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951AEB">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161925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762242">
                              <w:rPr>
                                <w:sz w:val="22"/>
                              </w:rPr>
                              <w:t>4</w:t>
                            </w:r>
                            <w:r w:rsidR="00CE729F">
                              <w:rPr>
                                <w:sz w:val="22"/>
                              </w:rPr>
                              <w:t>3</w:t>
                            </w:r>
                            <w:r w:rsidR="00FD3370">
                              <w:rPr>
                                <w:sz w:val="22"/>
                              </w:rPr>
                              <w:t>/2015</w:t>
                            </w:r>
                          </w:p>
                          <w:p w:rsidR="00A13B62" w:rsidRDefault="000B5387" w:rsidP="00A13B62">
                            <w:pPr>
                              <w:pStyle w:val="BodyText"/>
                              <w:rPr>
                                <w:b w:val="0"/>
                                <w:sz w:val="22"/>
                                <w:szCs w:val="22"/>
                              </w:rPr>
                            </w:pPr>
                            <w:r>
                              <w:rPr>
                                <w:b w:val="0"/>
                                <w:sz w:val="22"/>
                                <w:szCs w:val="22"/>
                              </w:rPr>
                              <w:t xml:space="preserve">(Agenda item: </w:t>
                            </w:r>
                            <w:r w:rsidR="00762242">
                              <w:rPr>
                                <w:b w:val="0"/>
                                <w:sz w:val="22"/>
                                <w:szCs w:val="22"/>
                              </w:rPr>
                              <w:t>1</w:t>
                            </w:r>
                            <w:r w:rsidR="00CE729F">
                              <w:rPr>
                                <w:b w:val="0"/>
                                <w:sz w:val="22"/>
                                <w:szCs w:val="22"/>
                              </w:rPr>
                              <w:t>4</w:t>
                            </w:r>
                            <w:bookmarkStart w:id="0" w:name="_GoBack"/>
                            <w:bookmarkEnd w:id="0"/>
                            <w:r w:rsidR="00A13B62">
                              <w:rPr>
                                <w:b w:val="0"/>
                                <w:sz w:val="22"/>
                                <w:szCs w:val="22"/>
                              </w:rPr>
                              <w:t>)</w:t>
                            </w:r>
                          </w:p>
                          <w:p w:rsidR="00A13B62" w:rsidRDefault="00A13B62">
                            <w:pPr>
                              <w:pStyle w:val="BodyText"/>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762242">
                        <w:rPr>
                          <w:sz w:val="22"/>
                        </w:rPr>
                        <w:t>4</w:t>
                      </w:r>
                      <w:r w:rsidR="00CE729F">
                        <w:rPr>
                          <w:sz w:val="22"/>
                        </w:rPr>
                        <w:t>3</w:t>
                      </w:r>
                      <w:r w:rsidR="00FD3370">
                        <w:rPr>
                          <w:sz w:val="22"/>
                        </w:rPr>
                        <w:t>/2015</w:t>
                      </w:r>
                    </w:p>
                    <w:p w:rsidR="00A13B62" w:rsidRDefault="000B5387" w:rsidP="00A13B62">
                      <w:pPr>
                        <w:pStyle w:val="BodyText"/>
                        <w:rPr>
                          <w:b w:val="0"/>
                          <w:sz w:val="22"/>
                          <w:szCs w:val="22"/>
                        </w:rPr>
                      </w:pPr>
                      <w:r>
                        <w:rPr>
                          <w:b w:val="0"/>
                          <w:sz w:val="22"/>
                          <w:szCs w:val="22"/>
                        </w:rPr>
                        <w:t xml:space="preserve">(Agenda item: </w:t>
                      </w:r>
                      <w:r w:rsidR="00762242">
                        <w:rPr>
                          <w:b w:val="0"/>
                          <w:sz w:val="22"/>
                          <w:szCs w:val="22"/>
                        </w:rPr>
                        <w:t>1</w:t>
                      </w:r>
                      <w:r w:rsidR="00CE729F">
                        <w:rPr>
                          <w:b w:val="0"/>
                          <w:sz w:val="22"/>
                          <w:szCs w:val="22"/>
                        </w:rPr>
                        <w:t>4</w:t>
                      </w:r>
                      <w:bookmarkStart w:id="1" w:name="_GoBack"/>
                      <w:bookmarkEnd w:id="1"/>
                      <w:r w:rsidR="00A13B62">
                        <w:rPr>
                          <w:b w:val="0"/>
                          <w:sz w:val="22"/>
                          <w:szCs w:val="22"/>
                        </w:rPr>
                        <w:t>)</w:t>
                      </w:r>
                    </w:p>
                    <w:p w:rsidR="00A13B62" w:rsidRDefault="00A13B62">
                      <w:pPr>
                        <w:pStyle w:val="BodyText"/>
                        <w:rPr>
                          <w:sz w:val="22"/>
                        </w:rPr>
                      </w:pPr>
                    </w:p>
                  </w:txbxContent>
                </v:textbox>
              </v:rect>
            </w:pict>
          </mc:Fallback>
        </mc:AlternateConten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4974B3" w:rsidRDefault="004974B3" w:rsidP="00BF7008">
      <w:pPr>
        <w:ind w:left="720"/>
        <w:jc w:val="center"/>
        <w:rPr>
          <w:rFonts w:ascii="Arial" w:hAnsi="Arial" w:cs="Arial"/>
          <w:b/>
        </w:rPr>
      </w:pPr>
    </w:p>
    <w:p w:rsidR="00AA30D6" w:rsidRDefault="00D857B0" w:rsidP="00BF7008">
      <w:pPr>
        <w:ind w:left="720"/>
        <w:jc w:val="center"/>
        <w:rPr>
          <w:rFonts w:ascii="Arial" w:hAnsi="Arial" w:cs="Arial"/>
          <w:b/>
        </w:rPr>
      </w:pPr>
      <w:r>
        <w:rPr>
          <w:rFonts w:ascii="Arial" w:hAnsi="Arial" w:cs="Arial"/>
          <w:b/>
        </w:rPr>
        <w:t xml:space="preserve">25 </w:t>
      </w:r>
      <w:r w:rsidR="00676559">
        <w:rPr>
          <w:rFonts w:ascii="Arial" w:hAnsi="Arial" w:cs="Arial"/>
          <w:b/>
        </w:rPr>
        <w:t>March</w:t>
      </w:r>
      <w:r w:rsidR="00FD3370">
        <w:rPr>
          <w:rFonts w:ascii="Arial" w:hAnsi="Arial" w:cs="Arial"/>
          <w:b/>
        </w:rPr>
        <w:t xml:space="preserve"> 2015</w:t>
      </w:r>
    </w:p>
    <w:p w:rsidR="005D3499" w:rsidRDefault="005D3499" w:rsidP="00BF7008">
      <w:pPr>
        <w:ind w:left="720"/>
        <w:jc w:val="center"/>
        <w:rPr>
          <w:rFonts w:ascii="Arial" w:hAnsi="Arial" w:cs="Arial"/>
          <w:b/>
        </w:rPr>
      </w:pPr>
    </w:p>
    <w:p w:rsidR="005D3499" w:rsidRDefault="005D3499">
      <w:pPr>
        <w:jc w:val="center"/>
        <w:rPr>
          <w:rFonts w:ascii="Arial" w:hAnsi="Arial" w:cs="Arial"/>
          <w:b/>
        </w:rPr>
      </w:pPr>
    </w:p>
    <w:p w:rsidR="005D3499" w:rsidRDefault="003E092B" w:rsidP="003E092B">
      <w:pPr>
        <w:jc w:val="center"/>
        <w:rPr>
          <w:rFonts w:ascii="Arial" w:hAnsi="Arial" w:cs="Arial"/>
          <w:b/>
        </w:rPr>
      </w:pPr>
      <w:r>
        <w:rPr>
          <w:rFonts w:ascii="Arial" w:hAnsi="Arial" w:cs="Arial"/>
          <w:b/>
        </w:rPr>
        <w:t>Improving Access to Mental Health Services</w:t>
      </w:r>
    </w:p>
    <w:p w:rsidR="00DC77D3" w:rsidRPr="00DC77D3" w:rsidRDefault="00DC77D3" w:rsidP="00292613">
      <w:pPr>
        <w:rPr>
          <w:rFonts w:ascii="Arial" w:hAnsi="Arial" w:cs="Arial"/>
        </w:rPr>
      </w:pPr>
      <w:r>
        <w:rPr>
          <w:rFonts w:ascii="Arial" w:hAnsi="Arial" w:cs="Arial"/>
        </w:rPr>
        <w:t>.</w:t>
      </w:r>
    </w:p>
    <w:p w:rsidR="00DC77D3" w:rsidRPr="00E7019B" w:rsidRDefault="00C12F11" w:rsidP="00292613">
      <w:pPr>
        <w:rPr>
          <w:rFonts w:ascii="Arial" w:hAnsi="Arial" w:cs="Arial"/>
          <w:b/>
          <w:u w:val="single"/>
        </w:rPr>
      </w:pPr>
      <w:r w:rsidRPr="00E7019B">
        <w:rPr>
          <w:rFonts w:ascii="Arial" w:hAnsi="Arial" w:cs="Arial"/>
          <w:b/>
          <w:u w:val="single"/>
        </w:rPr>
        <w:t xml:space="preserve">For </w:t>
      </w:r>
      <w:r w:rsidR="004047A0">
        <w:rPr>
          <w:rFonts w:ascii="Arial" w:hAnsi="Arial" w:cs="Arial"/>
          <w:b/>
          <w:u w:val="single"/>
        </w:rPr>
        <w:t>Information</w:t>
      </w:r>
    </w:p>
    <w:p w:rsidR="00C12F11" w:rsidRPr="00E7019B" w:rsidRDefault="00C12F11" w:rsidP="00292613">
      <w:pPr>
        <w:rPr>
          <w:rFonts w:ascii="Arial" w:hAnsi="Arial" w:cs="Arial"/>
          <w:b/>
          <w:u w:val="single"/>
        </w:rPr>
      </w:pPr>
    </w:p>
    <w:p w:rsidR="003E092B" w:rsidRDefault="003E092B" w:rsidP="003E092B">
      <w:pPr>
        <w:rPr>
          <w:rFonts w:ascii="Arial" w:hAnsi="Arial" w:cs="Arial"/>
        </w:rPr>
      </w:pPr>
      <w:r>
        <w:rPr>
          <w:rFonts w:ascii="Arial" w:hAnsi="Arial" w:cs="Arial"/>
        </w:rPr>
        <w:t>New access targets for mental health services will be introduced during 2015/16.  The first targets will relate to Early Intervention in Psychosis Services and Improving Access to Psychological Therapies Services.</w:t>
      </w:r>
    </w:p>
    <w:p w:rsidR="003E092B" w:rsidRDefault="003E092B" w:rsidP="003E092B">
      <w:pPr>
        <w:rPr>
          <w:rFonts w:ascii="Arial" w:hAnsi="Arial" w:cs="Arial"/>
        </w:rPr>
      </w:pPr>
    </w:p>
    <w:p w:rsidR="00034C83" w:rsidRDefault="003E092B" w:rsidP="003E092B">
      <w:pPr>
        <w:rPr>
          <w:rFonts w:ascii="Arial" w:hAnsi="Arial" w:cs="Arial"/>
        </w:rPr>
      </w:pPr>
      <w:r>
        <w:rPr>
          <w:rFonts w:ascii="Arial" w:hAnsi="Arial" w:cs="Arial"/>
        </w:rPr>
        <w:t>We are still awaiting guidance as to the exact nature of the targets and how they are to be measured from NHSE.  The attached paper sets out our current view on the Trust’s position with respect to these targets.</w:t>
      </w:r>
    </w:p>
    <w:p w:rsidR="003E092B" w:rsidRDefault="003E092B" w:rsidP="003E092B">
      <w:pPr>
        <w:rPr>
          <w:rFonts w:ascii="Arial" w:hAnsi="Arial" w:cs="Arial"/>
        </w:rPr>
      </w:pPr>
    </w:p>
    <w:p w:rsidR="00C12F11" w:rsidRDefault="003E092B" w:rsidP="00034C83">
      <w:pPr>
        <w:rPr>
          <w:rFonts w:ascii="Arial" w:hAnsi="Arial" w:cs="Arial"/>
        </w:rPr>
      </w:pPr>
      <w:r>
        <w:rPr>
          <w:rFonts w:ascii="Arial" w:hAnsi="Arial" w:cs="Arial"/>
        </w:rPr>
        <w:t>The Trust is in negotiation with the Oxfordshire and Buckinghamshire Clinical Commissioning Groups with respect to the l</w:t>
      </w:r>
      <w:r w:rsidR="00762242">
        <w:rPr>
          <w:rFonts w:ascii="Arial" w:hAnsi="Arial" w:cs="Arial"/>
        </w:rPr>
        <w:t xml:space="preserve">evels of investment required </w:t>
      </w:r>
      <w:proofErr w:type="gramStart"/>
      <w:r w:rsidR="00762242">
        <w:rPr>
          <w:rFonts w:ascii="Arial" w:hAnsi="Arial" w:cs="Arial"/>
        </w:rPr>
        <w:t xml:space="preserve">to </w:t>
      </w:r>
      <w:r>
        <w:rPr>
          <w:rFonts w:ascii="Arial" w:hAnsi="Arial" w:cs="Arial"/>
        </w:rPr>
        <w:t>meet</w:t>
      </w:r>
      <w:proofErr w:type="gramEnd"/>
      <w:r>
        <w:rPr>
          <w:rFonts w:ascii="Arial" w:hAnsi="Arial" w:cs="Arial"/>
        </w:rPr>
        <w:t xml:space="preserve"> the expected targets.</w:t>
      </w:r>
    </w:p>
    <w:p w:rsidR="007F21C2" w:rsidRDefault="007F21C2" w:rsidP="00034C83">
      <w:pPr>
        <w:rPr>
          <w:rFonts w:ascii="Arial" w:hAnsi="Arial" w:cs="Arial"/>
        </w:rPr>
      </w:pPr>
    </w:p>
    <w:p w:rsidR="007F21C2" w:rsidRPr="00034C83" w:rsidRDefault="007F21C2" w:rsidP="00034C83">
      <w:pPr>
        <w:rPr>
          <w:rFonts w:ascii="Arial" w:hAnsi="Arial" w:cs="Arial"/>
        </w:rPr>
      </w:pPr>
      <w:r>
        <w:rPr>
          <w:rFonts w:ascii="Arial" w:hAnsi="Arial" w:cs="Arial"/>
        </w:rPr>
        <w:t>The Board will be provided with a further update once guidance is clear.</w:t>
      </w:r>
    </w:p>
    <w:p w:rsidR="00E7019B" w:rsidRPr="00E7019B" w:rsidRDefault="00E7019B" w:rsidP="004047A0">
      <w:pPr>
        <w:pStyle w:val="ListParagraph"/>
        <w:rPr>
          <w:rFonts w:ascii="Arial" w:hAnsi="Arial" w:cs="Arial"/>
        </w:rPr>
      </w:pPr>
    </w:p>
    <w:p w:rsidR="00E8482A" w:rsidRPr="00E7019B" w:rsidRDefault="00E8482A" w:rsidP="00E67430">
      <w:pPr>
        <w:pStyle w:val="NoSpacing"/>
        <w:rPr>
          <w:rFonts w:ascii="Arial" w:hAnsi="Arial" w:cs="Arial"/>
          <w:sz w:val="24"/>
          <w:szCs w:val="24"/>
        </w:rPr>
      </w:pPr>
    </w:p>
    <w:p w:rsidR="004B4F48" w:rsidRPr="00E7019B" w:rsidRDefault="004B4F48" w:rsidP="00DC77D3">
      <w:pPr>
        <w:pStyle w:val="NoSpacing"/>
        <w:rPr>
          <w:rFonts w:ascii="Arial" w:hAnsi="Arial" w:cs="Arial"/>
          <w:b/>
          <w:sz w:val="24"/>
          <w:szCs w:val="24"/>
        </w:rPr>
      </w:pPr>
    </w:p>
    <w:p w:rsidR="0073522A" w:rsidRDefault="0073522A" w:rsidP="004B4F48">
      <w:pPr>
        <w:pStyle w:val="NoSpacing"/>
        <w:rPr>
          <w:rFonts w:ascii="Arial" w:hAnsi="Arial" w:cs="Arial"/>
          <w:b/>
          <w:sz w:val="24"/>
          <w:szCs w:val="24"/>
        </w:rPr>
      </w:pPr>
      <w:r w:rsidRPr="00E7019B">
        <w:rPr>
          <w:rFonts w:ascii="Arial" w:hAnsi="Arial" w:cs="Arial"/>
          <w:b/>
          <w:sz w:val="24"/>
          <w:szCs w:val="24"/>
        </w:rPr>
        <w:t>Recommendation</w:t>
      </w:r>
      <w:r w:rsidR="00DC77D3" w:rsidRPr="00E7019B">
        <w:rPr>
          <w:rFonts w:ascii="Arial" w:hAnsi="Arial" w:cs="Arial"/>
          <w:b/>
          <w:sz w:val="24"/>
          <w:szCs w:val="24"/>
        </w:rPr>
        <w:t>s</w:t>
      </w:r>
    </w:p>
    <w:p w:rsidR="004047A0" w:rsidRDefault="004047A0" w:rsidP="004B4F48">
      <w:pPr>
        <w:pStyle w:val="NoSpacing"/>
        <w:rPr>
          <w:rFonts w:ascii="Arial" w:hAnsi="Arial" w:cs="Arial"/>
          <w:b/>
          <w:sz w:val="24"/>
          <w:szCs w:val="24"/>
        </w:rPr>
      </w:pPr>
    </w:p>
    <w:p w:rsidR="004047A0" w:rsidRPr="004047A0" w:rsidRDefault="004047A0" w:rsidP="004B4F48">
      <w:pPr>
        <w:pStyle w:val="NoSpacing"/>
        <w:rPr>
          <w:rFonts w:ascii="Arial" w:hAnsi="Arial" w:cs="Arial"/>
          <w:sz w:val="24"/>
          <w:szCs w:val="24"/>
        </w:rPr>
      </w:pPr>
      <w:r>
        <w:rPr>
          <w:rFonts w:ascii="Arial" w:hAnsi="Arial" w:cs="Arial"/>
          <w:sz w:val="24"/>
          <w:szCs w:val="24"/>
        </w:rPr>
        <w:t>The Bo</w:t>
      </w:r>
      <w:r w:rsidR="00593024">
        <w:rPr>
          <w:rFonts w:ascii="Arial" w:hAnsi="Arial" w:cs="Arial"/>
          <w:sz w:val="24"/>
          <w:szCs w:val="24"/>
        </w:rPr>
        <w:t>ard is asked to note the report</w:t>
      </w:r>
      <w:r>
        <w:rPr>
          <w:rFonts w:ascii="Arial" w:hAnsi="Arial" w:cs="Arial"/>
          <w:sz w:val="24"/>
          <w:szCs w:val="24"/>
        </w:rPr>
        <w:t>.</w:t>
      </w:r>
    </w:p>
    <w:p w:rsidR="0073522A" w:rsidRPr="00E7019B" w:rsidRDefault="0073522A" w:rsidP="0073522A">
      <w:pPr>
        <w:jc w:val="both"/>
        <w:rPr>
          <w:rFonts w:ascii="Arial" w:hAnsi="Arial" w:cs="Arial"/>
        </w:rPr>
      </w:pPr>
    </w:p>
    <w:p w:rsidR="009B7B2F" w:rsidRPr="00E7019B" w:rsidRDefault="009B7B2F" w:rsidP="00C62DA8">
      <w:pPr>
        <w:rPr>
          <w:rFonts w:ascii="Arial" w:hAnsi="Arial" w:cs="Arial"/>
        </w:rPr>
      </w:pPr>
    </w:p>
    <w:p w:rsidR="005D3499" w:rsidRPr="00E7019B" w:rsidRDefault="003E092B">
      <w:pPr>
        <w:jc w:val="both"/>
        <w:rPr>
          <w:rFonts w:ascii="Arial" w:hAnsi="Arial" w:cs="Arial"/>
          <w:b/>
        </w:rPr>
      </w:pPr>
      <w:r>
        <w:rPr>
          <w:rFonts w:ascii="Arial" w:hAnsi="Arial" w:cs="Arial"/>
          <w:b/>
        </w:rPr>
        <w:t>Author: Charlotte Hunt: Performance Information Manager</w:t>
      </w:r>
    </w:p>
    <w:p w:rsidR="0073522A" w:rsidRPr="00E7019B" w:rsidRDefault="0073522A" w:rsidP="0073522A">
      <w:pPr>
        <w:jc w:val="both"/>
        <w:rPr>
          <w:rFonts w:ascii="Arial" w:hAnsi="Arial" w:cs="Arial"/>
          <w:b/>
        </w:rPr>
      </w:pPr>
      <w:r w:rsidRPr="00E7019B">
        <w:rPr>
          <w:rFonts w:ascii="Arial" w:hAnsi="Arial" w:cs="Arial"/>
          <w:b/>
        </w:rPr>
        <w:t>Lead Executive Director:</w:t>
      </w:r>
      <w:r w:rsidRPr="00E7019B">
        <w:rPr>
          <w:rFonts w:ascii="Arial" w:hAnsi="Arial" w:cs="Arial"/>
          <w:b/>
        </w:rPr>
        <w:tab/>
      </w:r>
      <w:r w:rsidR="00A04A86" w:rsidRPr="00E7019B">
        <w:rPr>
          <w:rFonts w:ascii="Arial" w:hAnsi="Arial" w:cs="Arial"/>
          <w:b/>
        </w:rPr>
        <w:t xml:space="preserve">Yvonne Taylor, </w:t>
      </w:r>
      <w:r w:rsidR="00C62DA8" w:rsidRPr="00E7019B">
        <w:rPr>
          <w:rFonts w:ascii="Arial" w:hAnsi="Arial" w:cs="Arial"/>
          <w:b/>
        </w:rPr>
        <w:t>Chief Operating Officer</w:t>
      </w:r>
    </w:p>
    <w:p w:rsidR="0073522A" w:rsidRPr="00E7019B" w:rsidRDefault="0073522A">
      <w:pPr>
        <w:jc w:val="both"/>
        <w:rPr>
          <w:rFonts w:ascii="Arial" w:hAnsi="Arial" w:cs="Arial"/>
          <w:b/>
        </w:rPr>
      </w:pPr>
    </w:p>
    <w:p w:rsidR="00800DAD" w:rsidRDefault="009132E5" w:rsidP="003D180A">
      <w:pPr>
        <w:rPr>
          <w:rFonts w:ascii="Arial" w:hAnsi="Arial" w:cs="Arial"/>
          <w:b/>
          <w:bCs/>
        </w:rPr>
      </w:pPr>
      <w:r w:rsidRPr="00E7019B">
        <w:rPr>
          <w:rFonts w:ascii="Arial" w:hAnsi="Arial" w:cs="Arial"/>
          <w:b/>
          <w:bCs/>
        </w:rPr>
        <w:br/>
      </w:r>
    </w:p>
    <w:p w:rsidR="003E092B" w:rsidRPr="003E092B" w:rsidRDefault="003E092B" w:rsidP="003E092B">
      <w:pPr>
        <w:jc w:val="center"/>
        <w:rPr>
          <w:rFonts w:ascii="Arial" w:hAnsi="Arial" w:cs="Arial"/>
          <w:b/>
        </w:rPr>
      </w:pPr>
      <w:r w:rsidRPr="003E092B">
        <w:rPr>
          <w:rFonts w:ascii="Arial" w:hAnsi="Arial" w:cs="Arial"/>
          <w:b/>
        </w:rPr>
        <w:lastRenderedPageBreak/>
        <w:t>Achieving better access to Mental Health Services</w:t>
      </w:r>
    </w:p>
    <w:p w:rsidR="003E092B" w:rsidRPr="003E092B" w:rsidRDefault="003E092B" w:rsidP="003E092B">
      <w:pPr>
        <w:jc w:val="center"/>
        <w:rPr>
          <w:rFonts w:ascii="Arial" w:hAnsi="Arial" w:cs="Arial"/>
          <w:b/>
        </w:rPr>
      </w:pPr>
    </w:p>
    <w:p w:rsidR="003E092B" w:rsidRPr="003E092B" w:rsidRDefault="003E092B" w:rsidP="003E092B">
      <w:pPr>
        <w:pStyle w:val="ListParagraph"/>
        <w:numPr>
          <w:ilvl w:val="0"/>
          <w:numId w:val="48"/>
        </w:numPr>
        <w:contextualSpacing/>
        <w:rPr>
          <w:rFonts w:ascii="Arial" w:hAnsi="Arial" w:cs="Arial"/>
          <w:b/>
        </w:rPr>
      </w:pPr>
      <w:r w:rsidRPr="003E092B">
        <w:rPr>
          <w:rFonts w:ascii="Arial" w:hAnsi="Arial" w:cs="Arial"/>
          <w:b/>
        </w:rPr>
        <w:t>Introduction</w:t>
      </w:r>
    </w:p>
    <w:p w:rsidR="003E092B" w:rsidRPr="003E092B" w:rsidRDefault="003E092B" w:rsidP="003E092B">
      <w:pPr>
        <w:rPr>
          <w:rFonts w:ascii="Arial" w:hAnsi="Arial" w:cs="Arial"/>
          <w:b/>
        </w:rPr>
      </w:pPr>
    </w:p>
    <w:p w:rsidR="003E092B" w:rsidRPr="003E092B" w:rsidRDefault="003E092B" w:rsidP="003E092B">
      <w:pPr>
        <w:rPr>
          <w:rFonts w:ascii="Arial" w:hAnsi="Arial" w:cs="Arial"/>
        </w:rPr>
      </w:pPr>
      <w:r w:rsidRPr="003E092B">
        <w:rPr>
          <w:rFonts w:ascii="Arial" w:hAnsi="Arial" w:cs="Arial"/>
        </w:rPr>
        <w:t xml:space="preserve">In October 2014, NHS England and the Department of Health jointly published </w:t>
      </w:r>
      <w:r w:rsidRPr="003E092B">
        <w:rPr>
          <w:rFonts w:ascii="Arial" w:hAnsi="Arial" w:cs="Arial"/>
          <w:i/>
          <w:iCs/>
        </w:rPr>
        <w:t>Improving access to mental health services by 2020</w:t>
      </w:r>
      <w:r w:rsidRPr="003E092B">
        <w:rPr>
          <w:rFonts w:ascii="Arial" w:hAnsi="Arial" w:cs="Arial"/>
        </w:rPr>
        <w:t xml:space="preserve">. This document outlined a first set of mental health access and waiting time standards for introduction during 2015/16 and set out an ambition, subject to future resourcing decisions following the next Spending Review, to introduce access and waiting time standards across all mental health services between 2016 and 2020. </w:t>
      </w:r>
    </w:p>
    <w:p w:rsidR="003E092B" w:rsidRPr="003E092B" w:rsidRDefault="003E092B" w:rsidP="003E092B">
      <w:pPr>
        <w:rPr>
          <w:rFonts w:ascii="Arial" w:hAnsi="Arial" w:cs="Arial"/>
        </w:rPr>
      </w:pPr>
    </w:p>
    <w:p w:rsidR="003E092B" w:rsidRPr="003E092B" w:rsidRDefault="003E092B" w:rsidP="003E092B">
      <w:pPr>
        <w:rPr>
          <w:rFonts w:ascii="Arial" w:hAnsi="Arial" w:cs="Arial"/>
        </w:rPr>
      </w:pPr>
      <w:r w:rsidRPr="003E092B">
        <w:rPr>
          <w:rFonts w:ascii="Arial" w:hAnsi="Arial" w:cs="Arial"/>
        </w:rPr>
        <w:t>Improvements towards meeting the first standards will come into effect from 1 April 2015 for achievement by 1 April 2016 and are focused in three areas where timely access to evidence-based care is of particular importance in improving longer term mental health, physical health and recovery-focused outcomes and in reducing the distress experienced by individuals and their families:</w:t>
      </w:r>
    </w:p>
    <w:p w:rsidR="003E092B" w:rsidRPr="003E092B" w:rsidRDefault="003E092B" w:rsidP="003E092B">
      <w:pPr>
        <w:pStyle w:val="Default"/>
        <w:rPr>
          <w:rFonts w:ascii="Arial" w:hAnsi="Arial" w:cs="Arial"/>
        </w:rPr>
      </w:pPr>
    </w:p>
    <w:p w:rsidR="003E092B" w:rsidRPr="003E092B" w:rsidRDefault="003E092B" w:rsidP="003E092B">
      <w:pPr>
        <w:pStyle w:val="Default"/>
        <w:rPr>
          <w:rFonts w:ascii="Arial" w:hAnsi="Arial" w:cs="Arial"/>
          <w:b/>
        </w:rPr>
      </w:pPr>
      <w:r w:rsidRPr="003E092B">
        <w:rPr>
          <w:rFonts w:ascii="Arial" w:hAnsi="Arial" w:cs="Arial"/>
          <w:b/>
        </w:rPr>
        <w:t>Standard 1</w:t>
      </w:r>
    </w:p>
    <w:p w:rsidR="003E092B" w:rsidRPr="003E092B" w:rsidRDefault="003E092B" w:rsidP="003E092B">
      <w:pPr>
        <w:pStyle w:val="Default"/>
        <w:rPr>
          <w:rFonts w:ascii="Arial" w:hAnsi="Arial" w:cs="Arial"/>
        </w:rPr>
      </w:pPr>
      <w:r w:rsidRPr="003E092B">
        <w:rPr>
          <w:rFonts w:ascii="Arial" w:hAnsi="Arial" w:cs="Arial"/>
        </w:rPr>
        <w:t xml:space="preserve">More than 50% of people experiencing a first episode of psychosis will be treated with a NICE approved care package within two weeks of referral. </w:t>
      </w:r>
    </w:p>
    <w:p w:rsidR="003E092B" w:rsidRPr="003E092B" w:rsidRDefault="003E092B" w:rsidP="003E092B">
      <w:pPr>
        <w:pStyle w:val="Default"/>
        <w:rPr>
          <w:rFonts w:ascii="Arial" w:hAnsi="Arial" w:cs="Arial"/>
        </w:rPr>
      </w:pPr>
    </w:p>
    <w:p w:rsidR="003E092B" w:rsidRPr="003E092B" w:rsidRDefault="003E092B" w:rsidP="003E092B">
      <w:pPr>
        <w:pStyle w:val="Default"/>
        <w:rPr>
          <w:rFonts w:ascii="Arial" w:hAnsi="Arial" w:cs="Arial"/>
          <w:b/>
        </w:rPr>
      </w:pPr>
      <w:r w:rsidRPr="003E092B">
        <w:rPr>
          <w:rFonts w:ascii="Arial" w:hAnsi="Arial" w:cs="Arial"/>
          <w:b/>
        </w:rPr>
        <w:t>Standard 2</w:t>
      </w:r>
    </w:p>
    <w:p w:rsidR="003E092B" w:rsidRPr="003E092B" w:rsidRDefault="003E092B" w:rsidP="003E092B">
      <w:pPr>
        <w:pStyle w:val="Default"/>
        <w:rPr>
          <w:rFonts w:ascii="Arial" w:hAnsi="Arial" w:cs="Arial"/>
        </w:rPr>
      </w:pPr>
      <w:r w:rsidRPr="003E092B">
        <w:rPr>
          <w:rFonts w:ascii="Arial" w:hAnsi="Arial" w:cs="Arial"/>
        </w:rPr>
        <w:t xml:space="preserve">75% of people referred to the Improved Access to Psychological Therapies (IAPT) programme will be treated within 6 weeks of referral, and 95% will be treated within 18 weeks of referral. This standard applies to adults. </w:t>
      </w:r>
    </w:p>
    <w:p w:rsidR="003E092B" w:rsidRPr="003E092B" w:rsidRDefault="003E092B" w:rsidP="003E092B">
      <w:pPr>
        <w:pStyle w:val="Default"/>
        <w:rPr>
          <w:rFonts w:ascii="Arial" w:hAnsi="Arial" w:cs="Arial"/>
        </w:rPr>
      </w:pPr>
    </w:p>
    <w:p w:rsidR="003E092B" w:rsidRPr="003E092B" w:rsidRDefault="003E092B" w:rsidP="003E092B">
      <w:pPr>
        <w:pStyle w:val="Default"/>
        <w:rPr>
          <w:rFonts w:ascii="Arial" w:hAnsi="Arial" w:cs="Arial"/>
          <w:b/>
        </w:rPr>
      </w:pPr>
      <w:r w:rsidRPr="003E092B">
        <w:rPr>
          <w:rFonts w:ascii="Arial" w:hAnsi="Arial" w:cs="Arial"/>
          <w:b/>
        </w:rPr>
        <w:t>Standard 3</w:t>
      </w:r>
    </w:p>
    <w:p w:rsidR="003E092B" w:rsidRPr="003E092B" w:rsidRDefault="003E092B" w:rsidP="003E092B">
      <w:pPr>
        <w:pStyle w:val="Default"/>
        <w:rPr>
          <w:rFonts w:ascii="Arial" w:hAnsi="Arial" w:cs="Arial"/>
        </w:rPr>
      </w:pPr>
      <w:r w:rsidRPr="003E092B">
        <w:rPr>
          <w:rFonts w:ascii="Arial" w:hAnsi="Arial" w:cs="Arial"/>
        </w:rPr>
        <w:t xml:space="preserve">£30m investment is to be targeted on effective models of liaison psychiatry in a greater number of acute hospitals. From 15/16, when the Care Quality Commission (CQC) rates acute services, it will include a specific focus on liaison mental health services and mental health care, as well as the quality of treatment and care for physical conditions. </w:t>
      </w:r>
      <w:r w:rsidRPr="003E092B">
        <w:rPr>
          <w:rFonts w:ascii="Arial" w:hAnsi="Arial" w:cs="Arial"/>
          <w:i/>
          <w:iCs/>
        </w:rPr>
        <w:t xml:space="preserve">Achieving better access to mental health services by 2020 </w:t>
      </w:r>
      <w:r w:rsidRPr="003E092B">
        <w:rPr>
          <w:rFonts w:ascii="Arial" w:hAnsi="Arial" w:cs="Arial"/>
        </w:rPr>
        <w:t xml:space="preserve">set the expectation that, by 2020, all acute trusts will have in place liaison mental health services for all ages appropriate to the size, acuity and specialty of the hospital. </w:t>
      </w:r>
    </w:p>
    <w:p w:rsidR="003E092B" w:rsidRPr="003E092B" w:rsidRDefault="003E092B" w:rsidP="003E092B">
      <w:pPr>
        <w:rPr>
          <w:rFonts w:ascii="Arial" w:hAnsi="Arial" w:cs="Arial"/>
        </w:rPr>
      </w:pPr>
    </w:p>
    <w:p w:rsidR="003E092B" w:rsidRPr="003E092B" w:rsidRDefault="003E092B" w:rsidP="003E092B">
      <w:pPr>
        <w:rPr>
          <w:rFonts w:ascii="Arial" w:hAnsi="Arial" w:cs="Arial"/>
        </w:rPr>
      </w:pPr>
      <w:r w:rsidRPr="003E092B">
        <w:rPr>
          <w:rFonts w:ascii="Arial" w:hAnsi="Arial" w:cs="Arial"/>
        </w:rPr>
        <w:t>Acute Trusts will be measured against this standard. Oxford Health NHS FT may be commissioned by Oxford University Hospitals and Buckinghamshire Healthcare to provide Liaison psychiatry services.</w:t>
      </w:r>
    </w:p>
    <w:p w:rsidR="003E092B" w:rsidRPr="003E092B" w:rsidRDefault="003E092B" w:rsidP="003E092B">
      <w:pPr>
        <w:rPr>
          <w:rFonts w:ascii="Arial" w:hAnsi="Arial" w:cs="Arial"/>
        </w:rPr>
      </w:pPr>
    </w:p>
    <w:p w:rsidR="003E092B" w:rsidRPr="003E092B" w:rsidRDefault="003E092B" w:rsidP="003E092B">
      <w:pPr>
        <w:pStyle w:val="ListParagraph"/>
        <w:numPr>
          <w:ilvl w:val="0"/>
          <w:numId w:val="48"/>
        </w:numPr>
        <w:contextualSpacing/>
        <w:rPr>
          <w:rFonts w:ascii="Arial" w:hAnsi="Arial" w:cs="Arial"/>
          <w:b/>
        </w:rPr>
      </w:pPr>
      <w:r w:rsidRPr="003E092B">
        <w:rPr>
          <w:rFonts w:ascii="Arial" w:hAnsi="Arial" w:cs="Arial"/>
          <w:b/>
        </w:rPr>
        <w:t>Measurement of the Standards</w:t>
      </w:r>
    </w:p>
    <w:p w:rsidR="003E092B" w:rsidRPr="003E092B" w:rsidRDefault="003E092B" w:rsidP="003E092B">
      <w:pPr>
        <w:pStyle w:val="Default"/>
        <w:rPr>
          <w:rFonts w:ascii="Arial" w:hAnsi="Arial" w:cs="Arial"/>
        </w:rPr>
      </w:pPr>
    </w:p>
    <w:p w:rsidR="003E092B" w:rsidRPr="003E092B" w:rsidRDefault="003E092B" w:rsidP="003E092B">
      <w:pPr>
        <w:pStyle w:val="Default"/>
        <w:rPr>
          <w:rFonts w:ascii="Arial" w:hAnsi="Arial" w:cs="Arial"/>
          <w:b/>
        </w:rPr>
      </w:pPr>
      <w:r w:rsidRPr="003E092B">
        <w:rPr>
          <w:rFonts w:ascii="Arial" w:hAnsi="Arial" w:cs="Arial"/>
          <w:b/>
        </w:rPr>
        <w:t>Early Intervention in psychosis</w:t>
      </w:r>
    </w:p>
    <w:p w:rsidR="003E092B" w:rsidRPr="003E092B" w:rsidRDefault="003E092B" w:rsidP="003E092B">
      <w:pPr>
        <w:pStyle w:val="Default"/>
        <w:rPr>
          <w:rFonts w:ascii="Arial" w:hAnsi="Arial" w:cs="Arial"/>
        </w:rPr>
      </w:pPr>
      <w:r w:rsidRPr="003E092B">
        <w:rPr>
          <w:rFonts w:ascii="Arial" w:hAnsi="Arial" w:cs="Arial"/>
        </w:rPr>
        <w:t xml:space="preserve">By 1 April 2016 more than 50% of people experiencing a first episode of psychosis will be treated with a NICE approved care package within two weeks of referral. </w:t>
      </w:r>
    </w:p>
    <w:p w:rsidR="003E092B" w:rsidRPr="003E092B" w:rsidRDefault="003E092B" w:rsidP="003E092B">
      <w:pPr>
        <w:pStyle w:val="Default"/>
        <w:rPr>
          <w:rFonts w:ascii="Arial" w:hAnsi="Arial" w:cs="Arial"/>
        </w:rPr>
      </w:pPr>
    </w:p>
    <w:p w:rsidR="003E092B" w:rsidRPr="003E092B" w:rsidRDefault="003E092B" w:rsidP="003E092B">
      <w:pPr>
        <w:pStyle w:val="Default"/>
        <w:rPr>
          <w:rFonts w:ascii="Arial" w:hAnsi="Arial" w:cs="Arial"/>
        </w:rPr>
      </w:pPr>
      <w:r w:rsidRPr="003E092B">
        <w:rPr>
          <w:rFonts w:ascii="Arial" w:hAnsi="Arial" w:cs="Arial"/>
        </w:rPr>
        <w:t>The standard will be measured in two parts (both must be met for the standard to be deemed to have been achieved), a maximum wait of two weeks from referral to treatment and treatment delivered in accordance with NICE guidelines for psychosis and schizophrenia - either in children and young people or in adults.</w:t>
      </w:r>
    </w:p>
    <w:p w:rsidR="003E092B" w:rsidRPr="003E092B" w:rsidRDefault="003E092B" w:rsidP="003E092B">
      <w:pPr>
        <w:pStyle w:val="Default"/>
        <w:rPr>
          <w:rFonts w:ascii="Arial" w:hAnsi="Arial" w:cs="Arial"/>
        </w:rPr>
      </w:pPr>
    </w:p>
    <w:p w:rsidR="003E092B" w:rsidRPr="003E092B" w:rsidRDefault="003E092B" w:rsidP="003E092B">
      <w:pPr>
        <w:pStyle w:val="Default"/>
        <w:rPr>
          <w:rFonts w:ascii="Arial" w:hAnsi="Arial" w:cs="Arial"/>
          <w:b/>
        </w:rPr>
      </w:pPr>
      <w:r w:rsidRPr="003E092B">
        <w:rPr>
          <w:rFonts w:ascii="Arial" w:hAnsi="Arial" w:cs="Arial"/>
          <w:b/>
        </w:rPr>
        <w:t>How the standard will be measured</w:t>
      </w:r>
    </w:p>
    <w:p w:rsidR="003E092B" w:rsidRPr="003E092B" w:rsidRDefault="003E092B" w:rsidP="003E092B">
      <w:pPr>
        <w:pStyle w:val="Default"/>
        <w:rPr>
          <w:rFonts w:ascii="Arial" w:hAnsi="Arial" w:cs="Arial"/>
        </w:rPr>
      </w:pPr>
      <w:r w:rsidRPr="003E092B">
        <w:rPr>
          <w:rFonts w:ascii="Arial" w:hAnsi="Arial" w:cs="Arial"/>
        </w:rPr>
        <w:t>The exact guidance for measurement is still under development the expected approach is detailed below.</w:t>
      </w:r>
    </w:p>
    <w:p w:rsidR="003E092B" w:rsidRPr="003E092B" w:rsidRDefault="003E092B" w:rsidP="003E092B">
      <w:pPr>
        <w:pStyle w:val="Default"/>
        <w:rPr>
          <w:rFonts w:ascii="Arial" w:hAnsi="Arial" w:cs="Arial"/>
        </w:rPr>
      </w:pPr>
    </w:p>
    <w:p w:rsidR="003E092B" w:rsidRPr="003E092B" w:rsidRDefault="003E092B" w:rsidP="003E092B">
      <w:pPr>
        <w:pStyle w:val="Default"/>
        <w:ind w:left="720"/>
        <w:rPr>
          <w:rFonts w:ascii="Arial" w:hAnsi="Arial" w:cs="Arial"/>
        </w:rPr>
      </w:pPr>
      <w:r w:rsidRPr="003E092B">
        <w:rPr>
          <w:rFonts w:ascii="Arial" w:hAnsi="Arial" w:cs="Arial"/>
          <w:b/>
        </w:rPr>
        <w:t>Clock starts</w:t>
      </w:r>
      <w:r w:rsidRPr="003E092B">
        <w:rPr>
          <w:rFonts w:ascii="Arial" w:hAnsi="Arial" w:cs="Arial"/>
        </w:rPr>
        <w:t xml:space="preserve"> when central triage point or Early Intervention service receives referral.</w:t>
      </w:r>
    </w:p>
    <w:p w:rsidR="003E092B" w:rsidRPr="003E092B" w:rsidRDefault="003E092B" w:rsidP="003E092B">
      <w:pPr>
        <w:pStyle w:val="Default"/>
        <w:ind w:left="720"/>
        <w:rPr>
          <w:rFonts w:ascii="Arial" w:hAnsi="Arial" w:cs="Arial"/>
        </w:rPr>
      </w:pPr>
    </w:p>
    <w:p w:rsidR="003E092B" w:rsidRPr="003E092B" w:rsidRDefault="003E092B" w:rsidP="003E092B">
      <w:pPr>
        <w:pStyle w:val="Default"/>
        <w:ind w:left="720"/>
        <w:rPr>
          <w:rFonts w:ascii="Arial" w:hAnsi="Arial" w:cs="Arial"/>
        </w:rPr>
      </w:pPr>
      <w:r w:rsidRPr="003E092B">
        <w:rPr>
          <w:rFonts w:ascii="Arial" w:hAnsi="Arial" w:cs="Arial"/>
          <w:b/>
        </w:rPr>
        <w:t>Clock stops</w:t>
      </w:r>
      <w:r w:rsidRPr="003E092B">
        <w:rPr>
          <w:rFonts w:ascii="Arial" w:hAnsi="Arial" w:cs="Arial"/>
        </w:rPr>
        <w:t xml:space="preserve"> when patient accepted on the Early Intervention caseload, Care Coordinator allocated, NICE concordant package of care commenced.</w:t>
      </w:r>
    </w:p>
    <w:p w:rsidR="003E092B" w:rsidRPr="003E092B" w:rsidRDefault="003E092B" w:rsidP="003E092B">
      <w:pPr>
        <w:rPr>
          <w:rFonts w:ascii="Arial" w:hAnsi="Arial" w:cs="Arial"/>
          <w:b/>
        </w:rPr>
      </w:pPr>
    </w:p>
    <w:p w:rsidR="003E092B" w:rsidRPr="003E092B" w:rsidRDefault="003E092B" w:rsidP="003E092B">
      <w:pPr>
        <w:rPr>
          <w:rFonts w:ascii="Arial" w:hAnsi="Arial" w:cs="Arial"/>
        </w:rPr>
      </w:pPr>
      <w:r w:rsidRPr="003E092B">
        <w:rPr>
          <w:rFonts w:ascii="Arial" w:hAnsi="Arial" w:cs="Arial"/>
        </w:rPr>
        <w:t>Unlike other referral to treatment guidance, if a patient does not attend (DNA) their first appointments this will not stop, pause or nullify the waiting time clock.</w:t>
      </w:r>
    </w:p>
    <w:p w:rsidR="003E092B" w:rsidRPr="003E092B" w:rsidRDefault="003E092B" w:rsidP="003E092B">
      <w:pPr>
        <w:rPr>
          <w:rFonts w:ascii="Arial" w:hAnsi="Arial" w:cs="Arial"/>
        </w:rPr>
      </w:pPr>
    </w:p>
    <w:p w:rsidR="003E092B" w:rsidRPr="003E092B" w:rsidRDefault="003E092B" w:rsidP="003E092B">
      <w:pPr>
        <w:rPr>
          <w:rFonts w:ascii="Arial" w:hAnsi="Arial" w:cs="Arial"/>
        </w:rPr>
      </w:pPr>
      <w:r w:rsidRPr="003E092B">
        <w:rPr>
          <w:rFonts w:ascii="Arial" w:hAnsi="Arial" w:cs="Arial"/>
        </w:rPr>
        <w:t>Assessing NICE concordance will be retrospective for 1 year. The approach currently being explored and the most likely for 2015/16 is the commissioning of a national clinical audit focusing on the care offered and delivered to individuals identified as experiencing first episode psychosis during 2015/16.</w:t>
      </w:r>
    </w:p>
    <w:p w:rsidR="003E092B" w:rsidRPr="003E092B" w:rsidRDefault="003E092B" w:rsidP="003E092B">
      <w:pPr>
        <w:rPr>
          <w:rFonts w:ascii="Arial" w:hAnsi="Arial" w:cs="Arial"/>
        </w:rPr>
      </w:pPr>
    </w:p>
    <w:p w:rsidR="003E092B" w:rsidRPr="003E092B" w:rsidRDefault="003E092B" w:rsidP="003E092B">
      <w:pPr>
        <w:pStyle w:val="Default"/>
        <w:rPr>
          <w:rFonts w:ascii="Arial" w:hAnsi="Arial" w:cs="Arial"/>
        </w:rPr>
      </w:pPr>
      <w:r w:rsidRPr="003E092B">
        <w:rPr>
          <w:rFonts w:ascii="Arial" w:hAnsi="Arial" w:cs="Arial"/>
        </w:rPr>
        <w:t xml:space="preserve">By April 2016, the mental health and learning disability dataset (MHLDDS) is to be updated to include the relevant NICE concordant interventions so that it should be possible in the medium term to draw the relevant data directly from provider systems. </w:t>
      </w:r>
    </w:p>
    <w:p w:rsidR="003E092B" w:rsidRPr="003E092B" w:rsidRDefault="003E092B" w:rsidP="003E092B">
      <w:pPr>
        <w:pStyle w:val="Default"/>
        <w:rPr>
          <w:rFonts w:ascii="Arial" w:hAnsi="Arial" w:cs="Arial"/>
        </w:rPr>
      </w:pPr>
    </w:p>
    <w:p w:rsidR="003E092B" w:rsidRPr="003E092B" w:rsidRDefault="003E092B" w:rsidP="003E092B">
      <w:pPr>
        <w:rPr>
          <w:rFonts w:ascii="Arial" w:hAnsi="Arial" w:cs="Arial"/>
        </w:rPr>
      </w:pPr>
      <w:r w:rsidRPr="003E092B">
        <w:rPr>
          <w:rFonts w:ascii="Arial" w:hAnsi="Arial" w:cs="Arial"/>
        </w:rPr>
        <w:t>A third option under development is the establishment of an accreditation or service ‘</w:t>
      </w:r>
      <w:proofErr w:type="spellStart"/>
      <w:r w:rsidRPr="003E092B">
        <w:rPr>
          <w:rFonts w:ascii="Arial" w:hAnsi="Arial" w:cs="Arial"/>
        </w:rPr>
        <w:t>kitemarking</w:t>
      </w:r>
      <w:proofErr w:type="spellEnd"/>
      <w:r w:rsidRPr="003E092B">
        <w:rPr>
          <w:rFonts w:ascii="Arial" w:hAnsi="Arial" w:cs="Arial"/>
        </w:rPr>
        <w:t>’ scheme for early intervention in psychosis services.</w:t>
      </w:r>
    </w:p>
    <w:p w:rsidR="003E092B" w:rsidRPr="003E092B" w:rsidRDefault="003E092B" w:rsidP="003E092B">
      <w:pPr>
        <w:rPr>
          <w:rFonts w:ascii="Arial" w:hAnsi="Arial" w:cs="Arial"/>
        </w:rPr>
      </w:pPr>
    </w:p>
    <w:p w:rsidR="003E092B" w:rsidRPr="003E092B" w:rsidRDefault="003E092B" w:rsidP="003E092B">
      <w:pPr>
        <w:pStyle w:val="Default"/>
        <w:rPr>
          <w:rFonts w:ascii="Arial" w:hAnsi="Arial" w:cs="Arial"/>
          <w:b/>
        </w:rPr>
      </w:pPr>
      <w:r w:rsidRPr="003E092B">
        <w:rPr>
          <w:rFonts w:ascii="Arial" w:hAnsi="Arial" w:cs="Arial"/>
          <w:b/>
        </w:rPr>
        <w:t>Assessment of current performance</w:t>
      </w:r>
    </w:p>
    <w:p w:rsidR="003E092B" w:rsidRPr="003E092B" w:rsidRDefault="003E092B" w:rsidP="003E092B">
      <w:pPr>
        <w:rPr>
          <w:rFonts w:ascii="Arial" w:hAnsi="Arial" w:cs="Arial"/>
        </w:rPr>
      </w:pPr>
    </w:p>
    <w:p w:rsidR="003E092B" w:rsidRPr="003E092B" w:rsidRDefault="003E092B" w:rsidP="003E092B">
      <w:pPr>
        <w:rPr>
          <w:rFonts w:ascii="Arial" w:eastAsiaTheme="minorHAnsi" w:hAnsi="Arial" w:cs="Arial"/>
          <w:color w:val="000000"/>
        </w:rPr>
      </w:pPr>
      <w:r w:rsidRPr="003E092B">
        <w:rPr>
          <w:rFonts w:ascii="Arial" w:hAnsi="Arial" w:cs="Arial"/>
        </w:rPr>
        <w:t>It is therefore difficult to understand our current performance given the lack of clarity as to the standard and the measurement</w:t>
      </w:r>
      <w:r>
        <w:rPr>
          <w:rFonts w:ascii="Arial" w:hAnsi="Arial" w:cs="Arial"/>
        </w:rPr>
        <w:t>.  We have therefore undertaken an</w:t>
      </w:r>
      <w:r w:rsidRPr="006A08C8">
        <w:rPr>
          <w:rFonts w:ascii="Arial" w:eastAsiaTheme="minorHAnsi" w:hAnsi="Arial" w:cs="Arial"/>
          <w:color w:val="000000"/>
        </w:rPr>
        <w:t xml:space="preserve"> audit looking at current waiting times. The results of the audit highlighted that currently it takes an average of 6.5 weeks from the referral being made for an initial assessment to be undertaken and then to move to a bio-psychosocial treatment plan. </w:t>
      </w:r>
      <w:r w:rsidRPr="003E092B">
        <w:rPr>
          <w:rFonts w:ascii="Arial" w:eastAsiaTheme="minorHAnsi" w:hAnsi="Arial" w:cs="Arial"/>
          <w:color w:val="000000"/>
        </w:rPr>
        <w:t xml:space="preserve">  </w:t>
      </w:r>
    </w:p>
    <w:p w:rsidR="003E092B" w:rsidRPr="003E092B" w:rsidRDefault="003E092B" w:rsidP="003E092B">
      <w:pPr>
        <w:autoSpaceDE w:val="0"/>
        <w:autoSpaceDN w:val="0"/>
        <w:adjustRightInd w:val="0"/>
        <w:jc w:val="both"/>
        <w:rPr>
          <w:rFonts w:ascii="Arial" w:eastAsiaTheme="minorHAnsi" w:hAnsi="Arial" w:cs="Arial"/>
          <w:color w:val="000000"/>
        </w:rPr>
      </w:pPr>
    </w:p>
    <w:p w:rsidR="003E092B" w:rsidRPr="003E092B" w:rsidRDefault="003E092B" w:rsidP="003E092B">
      <w:pPr>
        <w:autoSpaceDE w:val="0"/>
        <w:autoSpaceDN w:val="0"/>
        <w:adjustRightInd w:val="0"/>
        <w:jc w:val="both"/>
        <w:rPr>
          <w:rFonts w:ascii="Arial" w:hAnsi="Arial" w:cs="Arial"/>
        </w:rPr>
      </w:pPr>
      <w:r w:rsidRPr="003E092B">
        <w:rPr>
          <w:rFonts w:ascii="Arial" w:eastAsiaTheme="minorHAnsi" w:hAnsi="Arial" w:cs="Arial"/>
          <w:color w:val="000000"/>
        </w:rPr>
        <w:t>Clinical Commissioning Groups in both Oxfordshire and Buckinghamshire have indicated their intention to invest in early intervention services in order to meet the 2 week standard.</w:t>
      </w:r>
    </w:p>
    <w:p w:rsidR="003E092B" w:rsidRPr="003E092B" w:rsidRDefault="003E092B" w:rsidP="003E092B">
      <w:pPr>
        <w:rPr>
          <w:rFonts w:ascii="Arial" w:hAnsi="Arial" w:cs="Arial"/>
        </w:rPr>
      </w:pPr>
    </w:p>
    <w:p w:rsidR="003E092B" w:rsidRPr="003E092B" w:rsidRDefault="003E092B" w:rsidP="003E092B">
      <w:pPr>
        <w:rPr>
          <w:rFonts w:ascii="Arial" w:hAnsi="Arial" w:cs="Arial"/>
        </w:rPr>
      </w:pPr>
    </w:p>
    <w:p w:rsidR="003E092B" w:rsidRPr="003E092B" w:rsidRDefault="003E092B" w:rsidP="003E092B">
      <w:pPr>
        <w:pStyle w:val="Default"/>
        <w:numPr>
          <w:ilvl w:val="0"/>
          <w:numId w:val="48"/>
        </w:numPr>
        <w:adjustRightInd w:val="0"/>
        <w:rPr>
          <w:rFonts w:ascii="Arial" w:hAnsi="Arial" w:cs="Arial"/>
          <w:b/>
        </w:rPr>
      </w:pPr>
      <w:r w:rsidRPr="003E092B">
        <w:rPr>
          <w:rFonts w:ascii="Arial" w:hAnsi="Arial" w:cs="Arial"/>
          <w:b/>
        </w:rPr>
        <w:t xml:space="preserve"> Improving access to psychological therapies (IAPT)</w:t>
      </w:r>
    </w:p>
    <w:p w:rsidR="003E092B" w:rsidRPr="003E092B" w:rsidRDefault="003E092B" w:rsidP="003E092B">
      <w:pPr>
        <w:pStyle w:val="Default"/>
        <w:rPr>
          <w:rFonts w:ascii="Arial" w:hAnsi="Arial" w:cs="Arial"/>
        </w:rPr>
      </w:pPr>
      <w:r w:rsidRPr="003E092B">
        <w:rPr>
          <w:rFonts w:ascii="Arial" w:hAnsi="Arial" w:cs="Arial"/>
        </w:rPr>
        <w:t xml:space="preserve">The new waiting time standard requires that by 1 April 2016 75% of people with common mental health conditions referred to the Improved Access to Psychological Therapies programme will be treated within 6 weeks of referral, and 95% will be treated within 18 weeks of referral. The standard applies to adults. </w:t>
      </w:r>
    </w:p>
    <w:p w:rsidR="003E092B" w:rsidRPr="003E092B" w:rsidRDefault="003E092B" w:rsidP="003E092B">
      <w:pPr>
        <w:rPr>
          <w:rFonts w:ascii="Arial" w:hAnsi="Arial" w:cs="Arial"/>
        </w:rPr>
      </w:pPr>
    </w:p>
    <w:p w:rsidR="003E092B" w:rsidRPr="003E092B" w:rsidRDefault="003E092B" w:rsidP="003E092B">
      <w:pPr>
        <w:rPr>
          <w:rFonts w:ascii="Arial" w:hAnsi="Arial" w:cs="Arial"/>
        </w:rPr>
      </w:pPr>
      <w:r w:rsidRPr="003E092B">
        <w:rPr>
          <w:rFonts w:ascii="Arial" w:hAnsi="Arial" w:cs="Arial"/>
        </w:rPr>
        <w:t>Services will continue to be required to maintain the access standard of ensuring that at least 15% of adults with relevant disorders will have timely access to IAPT services with a recovery rate of 50%.</w:t>
      </w:r>
    </w:p>
    <w:p w:rsidR="003E092B" w:rsidRPr="003E092B" w:rsidRDefault="003E092B" w:rsidP="003E092B">
      <w:pPr>
        <w:rPr>
          <w:rFonts w:ascii="Arial" w:hAnsi="Arial" w:cs="Arial"/>
        </w:rPr>
      </w:pPr>
    </w:p>
    <w:p w:rsidR="003E092B" w:rsidRPr="003E092B" w:rsidRDefault="003E092B" w:rsidP="003E092B">
      <w:pPr>
        <w:pStyle w:val="Default"/>
        <w:rPr>
          <w:rFonts w:ascii="Arial" w:hAnsi="Arial" w:cs="Arial"/>
          <w:b/>
        </w:rPr>
      </w:pPr>
      <w:r w:rsidRPr="003E092B">
        <w:rPr>
          <w:rFonts w:ascii="Arial" w:hAnsi="Arial" w:cs="Arial"/>
          <w:b/>
        </w:rPr>
        <w:t>How the standard will be measured</w:t>
      </w:r>
    </w:p>
    <w:p w:rsidR="003E092B" w:rsidRPr="003E092B" w:rsidRDefault="003E092B" w:rsidP="003E092B">
      <w:pPr>
        <w:pStyle w:val="Default"/>
        <w:rPr>
          <w:rFonts w:ascii="Arial" w:hAnsi="Arial" w:cs="Arial"/>
        </w:rPr>
      </w:pPr>
      <w:r w:rsidRPr="003E092B">
        <w:rPr>
          <w:rFonts w:ascii="Arial" w:hAnsi="Arial" w:cs="Arial"/>
        </w:rPr>
        <w:t xml:space="preserve">The new national indicators will measure waiting times from referral date to the start of a course of treatment – i.e. for those people who have two or more treatment sessions. Local areas will also be required to capture and monitor waits from referral to first treatment appointment for all people who enter the service and this should include people who receive a single treatment session. </w:t>
      </w:r>
    </w:p>
    <w:p w:rsidR="003E092B" w:rsidRPr="003E092B" w:rsidRDefault="003E092B" w:rsidP="003E092B">
      <w:pPr>
        <w:pStyle w:val="Default"/>
        <w:rPr>
          <w:rFonts w:ascii="Arial" w:hAnsi="Arial" w:cs="Arial"/>
        </w:rPr>
      </w:pPr>
    </w:p>
    <w:p w:rsidR="003E092B" w:rsidRPr="003E092B" w:rsidRDefault="003E092B" w:rsidP="003E092B">
      <w:pPr>
        <w:rPr>
          <w:rFonts w:ascii="Arial" w:hAnsi="Arial" w:cs="Arial"/>
        </w:rPr>
      </w:pPr>
      <w:r w:rsidRPr="003E092B">
        <w:rPr>
          <w:rFonts w:ascii="Arial" w:hAnsi="Arial" w:cs="Arial"/>
        </w:rPr>
        <w:t>Patient-initiated delays will not be taken into consideration when calculating the IAPT indicator.</w:t>
      </w:r>
    </w:p>
    <w:p w:rsidR="003E092B" w:rsidRPr="003E092B" w:rsidRDefault="003E092B" w:rsidP="003E092B">
      <w:pPr>
        <w:rPr>
          <w:rFonts w:ascii="Arial" w:hAnsi="Arial" w:cs="Arial"/>
        </w:rPr>
      </w:pPr>
    </w:p>
    <w:p w:rsidR="003E092B" w:rsidRPr="003E092B" w:rsidRDefault="003E092B" w:rsidP="003E092B">
      <w:pPr>
        <w:pStyle w:val="Default"/>
        <w:ind w:left="720"/>
        <w:rPr>
          <w:rFonts w:ascii="Arial" w:hAnsi="Arial" w:cs="Arial"/>
        </w:rPr>
      </w:pPr>
      <w:r w:rsidRPr="003E092B">
        <w:rPr>
          <w:rFonts w:ascii="Arial" w:hAnsi="Arial" w:cs="Arial"/>
          <w:b/>
        </w:rPr>
        <w:t>Clock starts</w:t>
      </w:r>
      <w:r w:rsidRPr="003E092B">
        <w:rPr>
          <w:rFonts w:ascii="Arial" w:hAnsi="Arial" w:cs="Arial"/>
        </w:rPr>
        <w:t xml:space="preserve"> date the referral is received.</w:t>
      </w:r>
    </w:p>
    <w:p w:rsidR="003E092B" w:rsidRPr="003E092B" w:rsidRDefault="003E092B" w:rsidP="003E092B">
      <w:pPr>
        <w:pStyle w:val="Default"/>
        <w:ind w:left="720"/>
        <w:rPr>
          <w:rFonts w:ascii="Arial" w:hAnsi="Arial" w:cs="Arial"/>
        </w:rPr>
      </w:pPr>
    </w:p>
    <w:p w:rsidR="003E092B" w:rsidRPr="003E092B" w:rsidRDefault="003E092B" w:rsidP="003E092B">
      <w:pPr>
        <w:pStyle w:val="Default"/>
        <w:ind w:left="720"/>
        <w:rPr>
          <w:rFonts w:ascii="Arial" w:hAnsi="Arial" w:cs="Arial"/>
        </w:rPr>
      </w:pPr>
      <w:r w:rsidRPr="003E092B">
        <w:rPr>
          <w:rFonts w:ascii="Arial" w:hAnsi="Arial" w:cs="Arial"/>
          <w:b/>
        </w:rPr>
        <w:t>Clock stops</w:t>
      </w:r>
      <w:r w:rsidRPr="003E092B">
        <w:rPr>
          <w:rFonts w:ascii="Arial" w:hAnsi="Arial" w:cs="Arial"/>
        </w:rPr>
        <w:t xml:space="preserve"> Appointment date of the first treatment appointment identified by the appointment type code 02 – Treatment, 03 – Assessment and Treatment and 05 – Review and Treatment.</w:t>
      </w:r>
    </w:p>
    <w:p w:rsidR="003E092B" w:rsidRPr="003E092B" w:rsidRDefault="003E092B" w:rsidP="003E092B">
      <w:pPr>
        <w:pStyle w:val="Default"/>
        <w:rPr>
          <w:rFonts w:ascii="Arial" w:hAnsi="Arial" w:cs="Arial"/>
        </w:rPr>
      </w:pPr>
    </w:p>
    <w:p w:rsidR="003E092B" w:rsidRPr="003E092B" w:rsidRDefault="003E092B" w:rsidP="003E092B">
      <w:pPr>
        <w:pStyle w:val="Default"/>
        <w:rPr>
          <w:rFonts w:ascii="Arial" w:hAnsi="Arial" w:cs="Arial"/>
          <w:b/>
        </w:rPr>
      </w:pPr>
      <w:r w:rsidRPr="003E092B">
        <w:rPr>
          <w:rFonts w:ascii="Arial" w:hAnsi="Arial" w:cs="Arial"/>
          <w:b/>
        </w:rPr>
        <w:t>Assessment of current performance</w:t>
      </w:r>
    </w:p>
    <w:p w:rsidR="003E092B" w:rsidRPr="003E092B" w:rsidRDefault="003E092B" w:rsidP="003E092B">
      <w:pPr>
        <w:pStyle w:val="Default"/>
        <w:rPr>
          <w:rFonts w:ascii="Arial" w:hAnsi="Arial" w:cs="Arial"/>
          <w:b/>
        </w:rPr>
      </w:pPr>
    </w:p>
    <w:p w:rsidR="003E092B" w:rsidRPr="003E092B" w:rsidRDefault="003E092B" w:rsidP="003E092B">
      <w:pPr>
        <w:pStyle w:val="Default"/>
        <w:rPr>
          <w:rFonts w:ascii="Arial" w:hAnsi="Arial" w:cs="Arial"/>
        </w:rPr>
      </w:pPr>
      <w:r w:rsidRPr="003E092B">
        <w:rPr>
          <w:rFonts w:ascii="Arial" w:hAnsi="Arial" w:cs="Arial"/>
        </w:rPr>
        <w:t xml:space="preserve">The IAPT teams from Oxford Health will be having discussions over the next month with the national team and services across the region to ensure consistency of reporting and clarify exactly what data items will be used to measure performance. </w:t>
      </w:r>
    </w:p>
    <w:p w:rsidR="003E092B" w:rsidRPr="003E092B" w:rsidRDefault="003E092B" w:rsidP="003E092B">
      <w:pPr>
        <w:pStyle w:val="Default"/>
        <w:rPr>
          <w:rFonts w:ascii="Arial" w:hAnsi="Arial" w:cs="Arial"/>
        </w:rPr>
      </w:pPr>
    </w:p>
    <w:p w:rsidR="003E092B" w:rsidRPr="003E092B" w:rsidRDefault="003E092B" w:rsidP="003E092B">
      <w:pPr>
        <w:pStyle w:val="Default"/>
        <w:rPr>
          <w:rFonts w:ascii="Arial" w:hAnsi="Arial" w:cs="Arial"/>
        </w:rPr>
      </w:pPr>
      <w:r w:rsidRPr="003E092B">
        <w:rPr>
          <w:rFonts w:ascii="Arial" w:hAnsi="Arial" w:cs="Arial"/>
        </w:rPr>
        <w:t>Based on the interpretation of the brief available guidance current performance is as follows:</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7F21C2">
        <w:rPr>
          <w:rFonts w:ascii="Arial" w:hAnsi="Arial" w:cs="Arial"/>
        </w:rPr>
        <w:br/>
      </w:r>
      <w:r>
        <w:rPr>
          <w:rFonts w:ascii="Arial" w:hAnsi="Arial" w:cs="Arial"/>
        </w:rPr>
        <w:br/>
      </w:r>
    </w:p>
    <w:p w:rsidR="003E092B" w:rsidRPr="003E092B" w:rsidRDefault="003E092B" w:rsidP="003E092B">
      <w:pPr>
        <w:pStyle w:val="Default"/>
        <w:rPr>
          <w:rFonts w:ascii="Arial" w:hAnsi="Arial" w:cs="Arial"/>
        </w:rPr>
      </w:pPr>
    </w:p>
    <w:p w:rsidR="003E092B" w:rsidRPr="003E092B" w:rsidRDefault="003E092B" w:rsidP="003E092B">
      <w:pPr>
        <w:pStyle w:val="Default"/>
        <w:rPr>
          <w:rFonts w:ascii="Arial" w:hAnsi="Arial" w:cs="Arial"/>
          <w:b/>
        </w:rPr>
      </w:pPr>
      <w:r w:rsidRPr="003E092B">
        <w:rPr>
          <w:rFonts w:ascii="Arial" w:hAnsi="Arial" w:cs="Arial"/>
          <w:b/>
        </w:rPr>
        <w:lastRenderedPageBreak/>
        <w:t>Percentage of patients waiting 6 weeks or less from referral to entering a course of treatment</w:t>
      </w:r>
    </w:p>
    <w:p w:rsidR="003E092B" w:rsidRPr="003E092B" w:rsidRDefault="003E092B" w:rsidP="003E092B">
      <w:pPr>
        <w:pStyle w:val="Default"/>
        <w:rPr>
          <w:rFonts w:ascii="Arial" w:hAnsi="Arial" w:cs="Arial"/>
        </w:rPr>
      </w:pPr>
    </w:p>
    <w:tbl>
      <w:tblPr>
        <w:tblW w:w="4800" w:type="dxa"/>
        <w:tblInd w:w="93" w:type="dxa"/>
        <w:tblLook w:val="04A0" w:firstRow="1" w:lastRow="0" w:firstColumn="1" w:lastColumn="0" w:noHBand="0" w:noVBand="1"/>
      </w:tblPr>
      <w:tblGrid>
        <w:gridCol w:w="1084"/>
        <w:gridCol w:w="1084"/>
        <w:gridCol w:w="1084"/>
        <w:gridCol w:w="960"/>
        <w:gridCol w:w="960"/>
      </w:tblGrid>
      <w:tr w:rsidR="003E092B" w:rsidRPr="003E092B" w:rsidTr="00F130CF">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092B" w:rsidRPr="003E092B" w:rsidRDefault="003E092B" w:rsidP="00F130CF">
            <w:pPr>
              <w:jc w:val="center"/>
              <w:rPr>
                <w:rFonts w:ascii="Arial" w:hAnsi="Arial" w:cs="Arial"/>
                <w:color w:val="000000"/>
              </w:rPr>
            </w:pPr>
            <w:r w:rsidRPr="003E092B">
              <w:rPr>
                <w:rFonts w:ascii="Arial" w:hAnsi="Arial" w:cs="Arial"/>
                <w:color w:val="000000"/>
              </w:rPr>
              <w:t>Q1 2014/15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E092B" w:rsidRPr="003E092B" w:rsidRDefault="003E092B" w:rsidP="00F130CF">
            <w:pPr>
              <w:jc w:val="center"/>
              <w:rPr>
                <w:rFonts w:ascii="Arial" w:hAnsi="Arial" w:cs="Arial"/>
                <w:color w:val="000000"/>
              </w:rPr>
            </w:pPr>
            <w:r w:rsidRPr="003E092B">
              <w:rPr>
                <w:rFonts w:ascii="Arial" w:hAnsi="Arial" w:cs="Arial"/>
                <w:color w:val="000000"/>
              </w:rPr>
              <w:t>Q2 2014/15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E092B" w:rsidRPr="003E092B" w:rsidRDefault="003E092B" w:rsidP="00F130CF">
            <w:pPr>
              <w:jc w:val="center"/>
              <w:rPr>
                <w:rFonts w:ascii="Arial" w:hAnsi="Arial" w:cs="Arial"/>
                <w:color w:val="000000"/>
              </w:rPr>
            </w:pPr>
            <w:r w:rsidRPr="003E092B">
              <w:rPr>
                <w:rFonts w:ascii="Arial" w:hAnsi="Arial" w:cs="Arial"/>
                <w:color w:val="000000"/>
              </w:rPr>
              <w:t>Q3 2014/15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E092B" w:rsidRPr="003E092B" w:rsidRDefault="003E092B" w:rsidP="00F130CF">
            <w:pPr>
              <w:jc w:val="center"/>
              <w:rPr>
                <w:rFonts w:ascii="Arial" w:hAnsi="Arial" w:cs="Arial"/>
                <w:color w:val="000000"/>
              </w:rPr>
            </w:pPr>
            <w:r w:rsidRPr="003E092B">
              <w:rPr>
                <w:rFonts w:ascii="Arial" w:hAnsi="Arial" w:cs="Arial"/>
                <w:color w:val="000000"/>
              </w:rPr>
              <w:t>Q4 Jan &amp; Feb 2015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E092B" w:rsidRPr="003E092B" w:rsidRDefault="003E092B" w:rsidP="00F130CF">
            <w:pPr>
              <w:jc w:val="center"/>
              <w:rPr>
                <w:rFonts w:ascii="Arial" w:hAnsi="Arial" w:cs="Arial"/>
                <w:color w:val="000000"/>
              </w:rPr>
            </w:pPr>
            <w:r w:rsidRPr="003E092B">
              <w:rPr>
                <w:rFonts w:ascii="Arial" w:hAnsi="Arial" w:cs="Arial"/>
                <w:color w:val="000000"/>
              </w:rPr>
              <w:t>Year to Date</w:t>
            </w:r>
          </w:p>
        </w:tc>
      </w:tr>
      <w:tr w:rsidR="003E092B" w:rsidRPr="003E092B" w:rsidTr="00F130C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96.9%</w:t>
            </w:r>
          </w:p>
        </w:tc>
        <w:tc>
          <w:tcPr>
            <w:tcW w:w="960"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97.5%</w:t>
            </w:r>
          </w:p>
        </w:tc>
        <w:tc>
          <w:tcPr>
            <w:tcW w:w="960"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96.5%</w:t>
            </w:r>
          </w:p>
        </w:tc>
        <w:tc>
          <w:tcPr>
            <w:tcW w:w="960"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85.6%</w:t>
            </w:r>
          </w:p>
        </w:tc>
        <w:tc>
          <w:tcPr>
            <w:tcW w:w="960"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94.7%</w:t>
            </w:r>
          </w:p>
        </w:tc>
      </w:tr>
    </w:tbl>
    <w:p w:rsidR="003E092B" w:rsidRPr="003E092B" w:rsidRDefault="003E092B" w:rsidP="003E092B">
      <w:pPr>
        <w:pStyle w:val="Default"/>
        <w:rPr>
          <w:rFonts w:ascii="Arial" w:hAnsi="Arial" w:cs="Arial"/>
        </w:rPr>
      </w:pPr>
    </w:p>
    <w:p w:rsidR="003E092B" w:rsidRPr="003E092B" w:rsidRDefault="003E092B" w:rsidP="003E092B">
      <w:pPr>
        <w:pStyle w:val="Default"/>
        <w:rPr>
          <w:rFonts w:ascii="Arial" w:hAnsi="Arial" w:cs="Arial"/>
          <w:b/>
        </w:rPr>
      </w:pPr>
      <w:r w:rsidRPr="003E092B">
        <w:rPr>
          <w:rFonts w:ascii="Arial" w:hAnsi="Arial" w:cs="Arial"/>
          <w:b/>
        </w:rPr>
        <w:br/>
      </w:r>
      <w:r w:rsidRPr="003E092B">
        <w:rPr>
          <w:rFonts w:ascii="Arial" w:hAnsi="Arial" w:cs="Arial"/>
          <w:b/>
        </w:rPr>
        <w:br/>
        <w:t>Percentage of patients waiting 18 weeks or less from referral to entering a course of treatment</w:t>
      </w:r>
    </w:p>
    <w:p w:rsidR="003E092B" w:rsidRPr="003E092B" w:rsidRDefault="003E092B" w:rsidP="003E092B">
      <w:pPr>
        <w:pStyle w:val="Default"/>
        <w:rPr>
          <w:rFonts w:ascii="Arial" w:hAnsi="Arial" w:cs="Arial"/>
        </w:rPr>
      </w:pPr>
    </w:p>
    <w:tbl>
      <w:tblPr>
        <w:tblW w:w="4800" w:type="dxa"/>
        <w:tblInd w:w="93" w:type="dxa"/>
        <w:tblLook w:val="04A0" w:firstRow="1" w:lastRow="0" w:firstColumn="1" w:lastColumn="0" w:noHBand="0" w:noVBand="1"/>
      </w:tblPr>
      <w:tblGrid>
        <w:gridCol w:w="1084"/>
        <w:gridCol w:w="1084"/>
        <w:gridCol w:w="1084"/>
        <w:gridCol w:w="960"/>
        <w:gridCol w:w="960"/>
      </w:tblGrid>
      <w:tr w:rsidR="003E092B" w:rsidRPr="003E092B" w:rsidTr="00F130CF">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092B" w:rsidRPr="003E092B" w:rsidRDefault="003E092B" w:rsidP="00F130CF">
            <w:pPr>
              <w:jc w:val="center"/>
              <w:rPr>
                <w:rFonts w:ascii="Arial" w:hAnsi="Arial" w:cs="Arial"/>
                <w:color w:val="000000"/>
              </w:rPr>
            </w:pPr>
            <w:r w:rsidRPr="003E092B">
              <w:rPr>
                <w:rFonts w:ascii="Arial" w:hAnsi="Arial" w:cs="Arial"/>
                <w:color w:val="000000"/>
              </w:rPr>
              <w:t>Q1 2014/15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E092B" w:rsidRPr="003E092B" w:rsidRDefault="003E092B" w:rsidP="00F130CF">
            <w:pPr>
              <w:jc w:val="center"/>
              <w:rPr>
                <w:rFonts w:ascii="Arial" w:hAnsi="Arial" w:cs="Arial"/>
                <w:color w:val="000000"/>
              </w:rPr>
            </w:pPr>
            <w:r w:rsidRPr="003E092B">
              <w:rPr>
                <w:rFonts w:ascii="Arial" w:hAnsi="Arial" w:cs="Arial"/>
                <w:color w:val="000000"/>
              </w:rPr>
              <w:t>Q2 2014/15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E092B" w:rsidRPr="003E092B" w:rsidRDefault="003E092B" w:rsidP="00F130CF">
            <w:pPr>
              <w:jc w:val="center"/>
              <w:rPr>
                <w:rFonts w:ascii="Arial" w:hAnsi="Arial" w:cs="Arial"/>
                <w:color w:val="000000"/>
              </w:rPr>
            </w:pPr>
            <w:r w:rsidRPr="003E092B">
              <w:rPr>
                <w:rFonts w:ascii="Arial" w:hAnsi="Arial" w:cs="Arial"/>
                <w:color w:val="000000"/>
              </w:rPr>
              <w:t>Q3 2014/15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E092B" w:rsidRPr="003E092B" w:rsidRDefault="003E092B" w:rsidP="00F130CF">
            <w:pPr>
              <w:jc w:val="center"/>
              <w:rPr>
                <w:rFonts w:ascii="Arial" w:hAnsi="Arial" w:cs="Arial"/>
                <w:color w:val="000000"/>
              </w:rPr>
            </w:pPr>
            <w:r w:rsidRPr="003E092B">
              <w:rPr>
                <w:rFonts w:ascii="Arial" w:hAnsi="Arial" w:cs="Arial"/>
                <w:color w:val="000000"/>
              </w:rPr>
              <w:t>Q4 Jan &amp; Feb 2015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E092B" w:rsidRPr="003E092B" w:rsidRDefault="003E092B" w:rsidP="00F130CF">
            <w:pPr>
              <w:jc w:val="center"/>
              <w:rPr>
                <w:rFonts w:ascii="Arial" w:hAnsi="Arial" w:cs="Arial"/>
                <w:color w:val="000000"/>
              </w:rPr>
            </w:pPr>
            <w:r w:rsidRPr="003E092B">
              <w:rPr>
                <w:rFonts w:ascii="Arial" w:hAnsi="Arial" w:cs="Arial"/>
                <w:color w:val="000000"/>
              </w:rPr>
              <w:t>Year to Date</w:t>
            </w:r>
          </w:p>
        </w:tc>
      </w:tr>
      <w:tr w:rsidR="003E092B" w:rsidRPr="003E092B" w:rsidTr="00F130C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99.8%</w:t>
            </w:r>
          </w:p>
        </w:tc>
        <w:tc>
          <w:tcPr>
            <w:tcW w:w="960"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99.8%</w:t>
            </w:r>
          </w:p>
        </w:tc>
        <w:tc>
          <w:tcPr>
            <w:tcW w:w="960"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99.8%</w:t>
            </w:r>
          </w:p>
        </w:tc>
        <w:tc>
          <w:tcPr>
            <w:tcW w:w="960"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99.2%</w:t>
            </w:r>
          </w:p>
        </w:tc>
        <w:tc>
          <w:tcPr>
            <w:tcW w:w="960"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99.7%</w:t>
            </w:r>
          </w:p>
        </w:tc>
      </w:tr>
    </w:tbl>
    <w:p w:rsidR="003E092B" w:rsidRPr="003E092B" w:rsidRDefault="003E092B" w:rsidP="003E092B">
      <w:pPr>
        <w:pStyle w:val="Default"/>
        <w:rPr>
          <w:rFonts w:ascii="Arial" w:hAnsi="Arial" w:cs="Arial"/>
        </w:rPr>
      </w:pPr>
    </w:p>
    <w:p w:rsidR="003E092B" w:rsidRPr="003E092B" w:rsidRDefault="003E092B" w:rsidP="003E092B">
      <w:pPr>
        <w:pStyle w:val="Default"/>
        <w:rPr>
          <w:rFonts w:ascii="Arial" w:hAnsi="Arial" w:cs="Arial"/>
        </w:rPr>
      </w:pPr>
      <w:r w:rsidRPr="003E092B">
        <w:rPr>
          <w:rFonts w:ascii="Arial" w:hAnsi="Arial" w:cs="Arial"/>
        </w:rPr>
        <w:t>Current performance published by the Health and Social Care Information Centre isn’t to the same waiting time bands as the new standard however in quarters 1 to 2, 99% of referrals received treatment within 13 weeks.</w:t>
      </w:r>
    </w:p>
    <w:p w:rsidR="003E092B" w:rsidRPr="003E092B" w:rsidRDefault="003E092B" w:rsidP="003E092B">
      <w:pPr>
        <w:pStyle w:val="Default"/>
        <w:rPr>
          <w:rFonts w:ascii="Arial" w:hAnsi="Arial" w:cs="Arial"/>
        </w:rPr>
      </w:pPr>
    </w:p>
    <w:tbl>
      <w:tblPr>
        <w:tblW w:w="8662" w:type="dxa"/>
        <w:tblInd w:w="93" w:type="dxa"/>
        <w:tblLook w:val="04A0" w:firstRow="1" w:lastRow="0" w:firstColumn="1" w:lastColumn="0" w:noHBand="0" w:noVBand="1"/>
      </w:tblPr>
      <w:tblGrid>
        <w:gridCol w:w="2425"/>
        <w:gridCol w:w="1701"/>
        <w:gridCol w:w="992"/>
        <w:gridCol w:w="1134"/>
        <w:gridCol w:w="1276"/>
        <w:gridCol w:w="1134"/>
      </w:tblGrid>
      <w:tr w:rsidR="003E092B" w:rsidRPr="003E092B" w:rsidTr="00F130CF">
        <w:trPr>
          <w:trHeight w:val="300"/>
        </w:trPr>
        <w:tc>
          <w:tcPr>
            <w:tcW w:w="2425" w:type="dxa"/>
            <w:vMerge w:val="restart"/>
            <w:tcBorders>
              <w:top w:val="nil"/>
              <w:left w:val="nil"/>
              <w:bottom w:val="single" w:sz="4" w:space="0" w:color="000000"/>
              <w:right w:val="single" w:sz="4" w:space="0" w:color="000000"/>
            </w:tcBorders>
            <w:shd w:val="clear" w:color="auto" w:fill="auto"/>
            <w:vAlign w:val="bottom"/>
            <w:hideMark/>
          </w:tcPr>
          <w:p w:rsidR="003E092B" w:rsidRPr="003E092B" w:rsidRDefault="003E092B" w:rsidP="00F130CF">
            <w:pPr>
              <w:rPr>
                <w:rFonts w:ascii="Arial" w:hAnsi="Arial" w:cs="Arial"/>
                <w:b/>
                <w:color w:val="000000"/>
              </w:rPr>
            </w:pPr>
            <w:r w:rsidRPr="003E092B">
              <w:rPr>
                <w:rFonts w:ascii="Arial" w:hAnsi="Arial" w:cs="Arial"/>
                <w:b/>
                <w:color w:val="000000"/>
              </w:rPr>
              <w:t>Quarter 1 and 2 2014/15</w:t>
            </w:r>
          </w:p>
        </w:tc>
        <w:tc>
          <w:tcPr>
            <w:tcW w:w="1701" w:type="dxa"/>
            <w:vMerge w:val="restart"/>
            <w:tcBorders>
              <w:top w:val="single" w:sz="4" w:space="0" w:color="000000"/>
              <w:left w:val="single" w:sz="4" w:space="0" w:color="000000"/>
              <w:bottom w:val="nil"/>
              <w:right w:val="single" w:sz="4" w:space="0" w:color="000000"/>
            </w:tcBorders>
            <w:shd w:val="clear" w:color="auto" w:fill="auto"/>
            <w:hideMark/>
          </w:tcPr>
          <w:p w:rsidR="003E092B" w:rsidRPr="003E092B" w:rsidRDefault="003E092B" w:rsidP="00F130CF">
            <w:pPr>
              <w:jc w:val="right"/>
              <w:rPr>
                <w:rFonts w:ascii="Arial" w:hAnsi="Arial" w:cs="Arial"/>
                <w:color w:val="000000"/>
              </w:rPr>
            </w:pPr>
            <w:r w:rsidRPr="003E092B">
              <w:rPr>
                <w:rFonts w:ascii="Arial" w:hAnsi="Arial" w:cs="Arial"/>
                <w:color w:val="000000"/>
              </w:rPr>
              <w:t>Total with first treatment in reporting period</w:t>
            </w:r>
          </w:p>
        </w:tc>
        <w:tc>
          <w:tcPr>
            <w:tcW w:w="4536" w:type="dxa"/>
            <w:gridSpan w:val="4"/>
            <w:tcBorders>
              <w:top w:val="single" w:sz="4" w:space="0" w:color="000000"/>
              <w:left w:val="nil"/>
              <w:bottom w:val="single" w:sz="4" w:space="0" w:color="000000"/>
              <w:right w:val="single" w:sz="4" w:space="0" w:color="000000"/>
            </w:tcBorders>
            <w:shd w:val="clear" w:color="auto" w:fill="auto"/>
            <w:hideMark/>
          </w:tcPr>
          <w:p w:rsidR="003E092B" w:rsidRPr="003E092B" w:rsidRDefault="003E092B" w:rsidP="00F130CF">
            <w:pPr>
              <w:rPr>
                <w:rFonts w:ascii="Arial" w:hAnsi="Arial" w:cs="Arial"/>
                <w:i/>
                <w:iCs/>
                <w:color w:val="000000"/>
              </w:rPr>
            </w:pPr>
            <w:r w:rsidRPr="003E092B">
              <w:rPr>
                <w:rFonts w:ascii="Arial" w:hAnsi="Arial" w:cs="Arial"/>
                <w:i/>
                <w:iCs/>
                <w:color w:val="000000"/>
              </w:rPr>
              <w:t>of which:</w:t>
            </w:r>
          </w:p>
        </w:tc>
      </w:tr>
      <w:tr w:rsidR="003E092B" w:rsidRPr="003E092B" w:rsidTr="00F130CF">
        <w:trPr>
          <w:trHeight w:val="624"/>
        </w:trPr>
        <w:tc>
          <w:tcPr>
            <w:tcW w:w="2425" w:type="dxa"/>
            <w:vMerge/>
            <w:tcBorders>
              <w:top w:val="nil"/>
              <w:left w:val="nil"/>
              <w:bottom w:val="single" w:sz="4" w:space="0" w:color="000000"/>
              <w:right w:val="single" w:sz="4" w:space="0" w:color="000000"/>
            </w:tcBorders>
            <w:vAlign w:val="center"/>
            <w:hideMark/>
          </w:tcPr>
          <w:p w:rsidR="003E092B" w:rsidRPr="003E092B" w:rsidRDefault="003E092B" w:rsidP="00F130CF">
            <w:pPr>
              <w:rPr>
                <w:rFonts w:ascii="Arial" w:hAnsi="Arial" w:cs="Arial"/>
                <w:color w:val="000000"/>
              </w:rPr>
            </w:pPr>
          </w:p>
        </w:tc>
        <w:tc>
          <w:tcPr>
            <w:tcW w:w="1701" w:type="dxa"/>
            <w:vMerge/>
            <w:tcBorders>
              <w:top w:val="single" w:sz="4" w:space="0" w:color="000000"/>
              <w:left w:val="single" w:sz="4" w:space="0" w:color="000000"/>
              <w:bottom w:val="nil"/>
              <w:right w:val="single" w:sz="4" w:space="0" w:color="000000"/>
            </w:tcBorders>
            <w:vAlign w:val="center"/>
            <w:hideMark/>
          </w:tcPr>
          <w:p w:rsidR="003E092B" w:rsidRPr="003E092B" w:rsidRDefault="003E092B" w:rsidP="00F130CF">
            <w:pPr>
              <w:rPr>
                <w:rFonts w:ascii="Arial" w:hAnsi="Arial" w:cs="Arial"/>
                <w:color w:val="000000"/>
              </w:rPr>
            </w:pPr>
          </w:p>
        </w:tc>
        <w:tc>
          <w:tcPr>
            <w:tcW w:w="992" w:type="dxa"/>
            <w:tcBorders>
              <w:top w:val="nil"/>
              <w:left w:val="nil"/>
              <w:bottom w:val="nil"/>
              <w:right w:val="single" w:sz="4" w:space="0" w:color="000000"/>
            </w:tcBorders>
            <w:shd w:val="clear" w:color="auto" w:fill="auto"/>
            <w:hideMark/>
          </w:tcPr>
          <w:p w:rsidR="003E092B" w:rsidRPr="003E092B" w:rsidRDefault="003E092B" w:rsidP="00F130CF">
            <w:pPr>
              <w:jc w:val="right"/>
              <w:rPr>
                <w:rFonts w:ascii="Arial" w:hAnsi="Arial" w:cs="Arial"/>
                <w:color w:val="000000"/>
              </w:rPr>
            </w:pPr>
            <w:r w:rsidRPr="003E092B">
              <w:rPr>
                <w:rFonts w:ascii="Arial" w:hAnsi="Arial" w:cs="Arial"/>
                <w:color w:val="000000"/>
              </w:rPr>
              <w:t>Waited 28 days or less</w:t>
            </w:r>
          </w:p>
        </w:tc>
        <w:tc>
          <w:tcPr>
            <w:tcW w:w="1134" w:type="dxa"/>
            <w:tcBorders>
              <w:top w:val="nil"/>
              <w:left w:val="nil"/>
              <w:bottom w:val="nil"/>
              <w:right w:val="single" w:sz="4" w:space="0" w:color="000000"/>
            </w:tcBorders>
            <w:shd w:val="clear" w:color="auto" w:fill="auto"/>
            <w:hideMark/>
          </w:tcPr>
          <w:p w:rsidR="003E092B" w:rsidRPr="003E092B" w:rsidRDefault="003E092B" w:rsidP="00F130CF">
            <w:pPr>
              <w:jc w:val="right"/>
              <w:rPr>
                <w:rFonts w:ascii="Arial" w:hAnsi="Arial" w:cs="Arial"/>
                <w:color w:val="000000"/>
              </w:rPr>
            </w:pPr>
            <w:r w:rsidRPr="003E092B">
              <w:rPr>
                <w:rFonts w:ascii="Arial" w:hAnsi="Arial" w:cs="Arial"/>
                <w:color w:val="000000"/>
              </w:rPr>
              <w:t>Waited between 29 and 56 days</w:t>
            </w:r>
          </w:p>
        </w:tc>
        <w:tc>
          <w:tcPr>
            <w:tcW w:w="1276" w:type="dxa"/>
            <w:tcBorders>
              <w:top w:val="nil"/>
              <w:left w:val="nil"/>
              <w:bottom w:val="nil"/>
              <w:right w:val="single" w:sz="4" w:space="0" w:color="000000"/>
            </w:tcBorders>
            <w:shd w:val="clear" w:color="auto" w:fill="auto"/>
            <w:hideMark/>
          </w:tcPr>
          <w:p w:rsidR="003E092B" w:rsidRPr="003E092B" w:rsidRDefault="003E092B" w:rsidP="00F130CF">
            <w:pPr>
              <w:jc w:val="right"/>
              <w:rPr>
                <w:rFonts w:ascii="Arial" w:hAnsi="Arial" w:cs="Arial"/>
                <w:color w:val="000000"/>
              </w:rPr>
            </w:pPr>
            <w:r w:rsidRPr="003E092B">
              <w:rPr>
                <w:rFonts w:ascii="Arial" w:hAnsi="Arial" w:cs="Arial"/>
                <w:color w:val="000000"/>
              </w:rPr>
              <w:t>Waited between 57 and 90 days</w:t>
            </w:r>
          </w:p>
        </w:tc>
        <w:tc>
          <w:tcPr>
            <w:tcW w:w="1134" w:type="dxa"/>
            <w:tcBorders>
              <w:top w:val="nil"/>
              <w:left w:val="nil"/>
              <w:bottom w:val="nil"/>
              <w:right w:val="single" w:sz="4" w:space="0" w:color="000000"/>
            </w:tcBorders>
            <w:shd w:val="clear" w:color="auto" w:fill="auto"/>
            <w:hideMark/>
          </w:tcPr>
          <w:p w:rsidR="003E092B" w:rsidRPr="003E092B" w:rsidRDefault="003E092B" w:rsidP="00F130CF">
            <w:pPr>
              <w:jc w:val="right"/>
              <w:rPr>
                <w:rFonts w:ascii="Arial" w:hAnsi="Arial" w:cs="Arial"/>
                <w:color w:val="000000"/>
              </w:rPr>
            </w:pPr>
            <w:r w:rsidRPr="003E092B">
              <w:rPr>
                <w:rFonts w:ascii="Arial" w:hAnsi="Arial" w:cs="Arial"/>
                <w:color w:val="000000"/>
              </w:rPr>
              <w:t>Waited more than 90 days</w:t>
            </w:r>
          </w:p>
        </w:tc>
      </w:tr>
      <w:tr w:rsidR="003E092B" w:rsidRPr="003E092B" w:rsidTr="00F130CF">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E092B" w:rsidRPr="003E092B" w:rsidRDefault="003E092B" w:rsidP="00F130CF">
            <w:pPr>
              <w:rPr>
                <w:rFonts w:ascii="Arial" w:hAnsi="Arial" w:cs="Arial"/>
                <w:color w:val="000000"/>
              </w:rPr>
            </w:pPr>
            <w:r w:rsidRPr="003E092B">
              <w:rPr>
                <w:rFonts w:ascii="Arial" w:hAnsi="Arial" w:cs="Arial"/>
                <w:color w:val="000000"/>
              </w:rPr>
              <w:t>Trust Total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6,045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5,630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265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90</w:t>
            </w:r>
          </w:p>
        </w:tc>
      </w:tr>
      <w:tr w:rsidR="003E092B" w:rsidRPr="003E092B" w:rsidTr="00F130CF">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E092B" w:rsidRPr="003E092B" w:rsidRDefault="003E092B" w:rsidP="00F130CF">
            <w:pPr>
              <w:rPr>
                <w:rFonts w:ascii="Arial" w:hAnsi="Arial" w:cs="Arial"/>
                <w:color w:val="000000"/>
              </w:rPr>
            </w:pPr>
            <w:r w:rsidRPr="003E092B">
              <w:rPr>
                <w:rFonts w:ascii="Arial" w:hAnsi="Arial" w:cs="Arial"/>
                <w:color w:val="000000"/>
              </w:rPr>
              <w:t>Percentage</w:t>
            </w:r>
          </w:p>
        </w:tc>
        <w:tc>
          <w:tcPr>
            <w:tcW w:w="1701"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rPr>
                <w:rFonts w:ascii="Arial" w:hAnsi="Arial" w:cs="Arial"/>
                <w:color w:val="000000"/>
              </w:rPr>
            </w:pPr>
            <w:r w:rsidRPr="003E092B">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93%</w:t>
            </w:r>
          </w:p>
        </w:tc>
        <w:tc>
          <w:tcPr>
            <w:tcW w:w="1134"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4%</w:t>
            </w:r>
          </w:p>
        </w:tc>
        <w:tc>
          <w:tcPr>
            <w:tcW w:w="1276"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rsidR="003E092B" w:rsidRPr="003E092B" w:rsidRDefault="003E092B" w:rsidP="00F130CF">
            <w:pPr>
              <w:jc w:val="right"/>
              <w:rPr>
                <w:rFonts w:ascii="Arial" w:hAnsi="Arial" w:cs="Arial"/>
                <w:color w:val="000000"/>
              </w:rPr>
            </w:pPr>
            <w:r w:rsidRPr="003E092B">
              <w:rPr>
                <w:rFonts w:ascii="Arial" w:hAnsi="Arial" w:cs="Arial"/>
                <w:color w:val="000000"/>
              </w:rPr>
              <w:t>1%</w:t>
            </w:r>
          </w:p>
        </w:tc>
      </w:tr>
    </w:tbl>
    <w:p w:rsidR="003E092B" w:rsidRPr="003E092B" w:rsidRDefault="003E092B" w:rsidP="003E092B">
      <w:pPr>
        <w:pStyle w:val="Default"/>
        <w:rPr>
          <w:rFonts w:ascii="Arial" w:hAnsi="Arial" w:cs="Arial"/>
          <w:b/>
        </w:rPr>
      </w:pPr>
    </w:p>
    <w:p w:rsidR="003E092B" w:rsidRPr="003E092B" w:rsidRDefault="003E092B" w:rsidP="003E092B">
      <w:pPr>
        <w:rPr>
          <w:rFonts w:ascii="Arial" w:hAnsi="Arial" w:cs="Arial"/>
        </w:rPr>
      </w:pPr>
      <w:r w:rsidRPr="003E092B">
        <w:rPr>
          <w:rFonts w:ascii="Arial" w:hAnsi="Arial" w:cs="Arial"/>
        </w:rPr>
        <w:t xml:space="preserve">We anticipate that both Services will be able to meet the proposed Recovery Rates. </w:t>
      </w:r>
      <w:r w:rsidRPr="003E092B">
        <w:rPr>
          <w:rFonts w:ascii="Arial" w:hAnsi="Arial" w:cs="Arial"/>
        </w:rPr>
        <w:br/>
      </w:r>
      <w:r w:rsidRPr="003E092B">
        <w:rPr>
          <w:rFonts w:ascii="Arial" w:hAnsi="Arial" w:cs="Arial"/>
        </w:rPr>
        <w:br/>
        <w:t>Buckinghamshire CCGs have indicated their intention to invest in Healthy Minds in 2015/16 to ensure targets are met.</w:t>
      </w:r>
    </w:p>
    <w:p w:rsidR="003E092B" w:rsidRPr="003E092B" w:rsidRDefault="003E092B" w:rsidP="003E092B">
      <w:pPr>
        <w:rPr>
          <w:rFonts w:ascii="Arial" w:hAnsi="Arial" w:cs="Arial"/>
        </w:rPr>
      </w:pPr>
    </w:p>
    <w:p w:rsidR="00947788" w:rsidRPr="003E092B" w:rsidRDefault="003E092B" w:rsidP="002D4418">
      <w:pPr>
        <w:rPr>
          <w:rFonts w:ascii="Arial" w:hAnsi="Arial" w:cs="Arial"/>
          <w:lang w:val="en-GB"/>
        </w:rPr>
      </w:pPr>
      <w:r w:rsidRPr="003E092B">
        <w:rPr>
          <w:rFonts w:ascii="Arial" w:hAnsi="Arial" w:cs="Arial"/>
        </w:rPr>
        <w:t xml:space="preserve">Oxfordshire CCG intends to go out to tender for IAPT service.  However a delay of some months has caused some negative impact on the service in terms of morale and staffing.  Oxfordshire CCG did not invest in the service in 2014/15 and have indicated via contract discussions that they do not intend to make any investment at the moment. The result of this lack of investment will mean that </w:t>
      </w:r>
      <w:proofErr w:type="spellStart"/>
      <w:r w:rsidRPr="003E092B">
        <w:rPr>
          <w:rFonts w:ascii="Arial" w:hAnsi="Arial" w:cs="Arial"/>
        </w:rPr>
        <w:t>TalkingSpace</w:t>
      </w:r>
      <w:proofErr w:type="spellEnd"/>
      <w:r w:rsidRPr="003E092B">
        <w:rPr>
          <w:rFonts w:ascii="Arial" w:hAnsi="Arial" w:cs="Arial"/>
        </w:rPr>
        <w:t xml:space="preserve"> will experience difficulty in achieving the targets.</w:t>
      </w:r>
      <w:r w:rsidRPr="003E092B">
        <w:rPr>
          <w:rFonts w:ascii="Arial" w:hAnsi="Arial" w:cs="Arial"/>
          <w:lang w:val="en-GB"/>
        </w:rPr>
        <w:t xml:space="preserve"> </w:t>
      </w:r>
    </w:p>
    <w:p w:rsidR="00676559" w:rsidRPr="007F21C2" w:rsidRDefault="00676559" w:rsidP="007F21C2">
      <w:pPr>
        <w:rPr>
          <w:rFonts w:ascii="Arial" w:hAnsi="Arial" w:cs="Arial"/>
          <w:lang w:val="en-GB"/>
        </w:rPr>
      </w:pPr>
    </w:p>
    <w:sectPr w:rsidR="00676559" w:rsidRPr="007F21C2" w:rsidSect="00FE113A">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8810"/>
      <w:docPartObj>
        <w:docPartGallery w:val="Page Numbers (Bottom of Page)"/>
        <w:docPartUnique/>
      </w:docPartObj>
    </w:sdtPr>
    <w:sdtEndPr>
      <w:rPr>
        <w:noProof/>
      </w:rPr>
    </w:sdtEndPr>
    <w:sdtContent>
      <w:p w:rsidR="00A605D7" w:rsidRDefault="00655E78">
        <w:pPr>
          <w:pStyle w:val="Footer"/>
          <w:jc w:val="right"/>
        </w:pPr>
        <w:r>
          <w:fldChar w:fldCharType="begin"/>
        </w:r>
        <w:r w:rsidR="00A605D7">
          <w:instrText xml:space="preserve"> PAGE   \* MERGEFORMAT </w:instrText>
        </w:r>
        <w:r>
          <w:fldChar w:fldCharType="separate"/>
        </w:r>
        <w:r w:rsidR="00CE729F">
          <w:rPr>
            <w:noProof/>
          </w:rPr>
          <w:t>1</w:t>
        </w:r>
        <w:r>
          <w:rPr>
            <w:noProof/>
          </w:rPr>
          <w:fldChar w:fldCharType="end"/>
        </w:r>
      </w:p>
    </w:sdtContent>
  </w:sdt>
  <w:p w:rsidR="00FD57F9" w:rsidRDefault="00F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591"/>
    <w:multiLevelType w:val="hybridMultilevel"/>
    <w:tmpl w:val="82EAAD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15705E"/>
    <w:multiLevelType w:val="hybridMultilevel"/>
    <w:tmpl w:val="51243714"/>
    <w:lvl w:ilvl="0" w:tplc="351A7164">
      <w:start w:val="1"/>
      <w:numFmt w:val="bullet"/>
      <w:lvlText w:val="•"/>
      <w:lvlJc w:val="left"/>
      <w:pPr>
        <w:tabs>
          <w:tab w:val="num" w:pos="1069"/>
        </w:tabs>
        <w:ind w:left="1069" w:hanging="360"/>
      </w:pPr>
      <w:rPr>
        <w:rFonts w:ascii="Arial" w:hAnsi="Aria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C246702"/>
    <w:multiLevelType w:val="hybridMultilevel"/>
    <w:tmpl w:val="63E48E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7F78E3"/>
    <w:multiLevelType w:val="hybridMultilevel"/>
    <w:tmpl w:val="F9E439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157B50"/>
    <w:multiLevelType w:val="hybridMultilevel"/>
    <w:tmpl w:val="2ACAF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476294"/>
    <w:multiLevelType w:val="hybridMultilevel"/>
    <w:tmpl w:val="500C76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FFB42FD"/>
    <w:multiLevelType w:val="multilevel"/>
    <w:tmpl w:val="42D097E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
    <w:nsid w:val="145D6B8B"/>
    <w:multiLevelType w:val="multilevel"/>
    <w:tmpl w:val="F47AA37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8">
    <w:nsid w:val="146A4B51"/>
    <w:multiLevelType w:val="hybridMultilevel"/>
    <w:tmpl w:val="8BAE3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CB342A6"/>
    <w:multiLevelType w:val="multilevel"/>
    <w:tmpl w:val="40C0617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0">
    <w:nsid w:val="23F53983"/>
    <w:multiLevelType w:val="hybridMultilevel"/>
    <w:tmpl w:val="27D2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D70C9C"/>
    <w:multiLevelType w:val="hybridMultilevel"/>
    <w:tmpl w:val="E064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43107B"/>
    <w:multiLevelType w:val="hybridMultilevel"/>
    <w:tmpl w:val="CCD2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BE7810"/>
    <w:multiLevelType w:val="hybridMultilevel"/>
    <w:tmpl w:val="7F3CAB62"/>
    <w:lvl w:ilvl="0" w:tplc="807211C6">
      <w:start w:val="1"/>
      <w:numFmt w:val="bullet"/>
      <w:lvlText w:val="•"/>
      <w:lvlJc w:val="left"/>
      <w:pPr>
        <w:tabs>
          <w:tab w:val="num" w:pos="720"/>
        </w:tabs>
        <w:ind w:left="720" w:hanging="360"/>
      </w:pPr>
      <w:rPr>
        <w:rFonts w:ascii="Arial" w:hAnsi="Arial" w:cs="Times New Roman" w:hint="default"/>
      </w:rPr>
    </w:lvl>
    <w:lvl w:ilvl="1" w:tplc="3E687232">
      <w:start w:val="1"/>
      <w:numFmt w:val="bullet"/>
      <w:lvlText w:val="•"/>
      <w:lvlJc w:val="left"/>
      <w:pPr>
        <w:tabs>
          <w:tab w:val="num" w:pos="1440"/>
        </w:tabs>
        <w:ind w:left="1440" w:hanging="360"/>
      </w:pPr>
      <w:rPr>
        <w:rFonts w:ascii="Arial" w:hAnsi="Arial" w:cs="Times New Roman" w:hint="default"/>
      </w:rPr>
    </w:lvl>
    <w:lvl w:ilvl="2" w:tplc="5D94776E">
      <w:start w:val="1"/>
      <w:numFmt w:val="bullet"/>
      <w:lvlText w:val="•"/>
      <w:lvlJc w:val="left"/>
      <w:pPr>
        <w:tabs>
          <w:tab w:val="num" w:pos="2160"/>
        </w:tabs>
        <w:ind w:left="2160" w:hanging="360"/>
      </w:pPr>
      <w:rPr>
        <w:rFonts w:ascii="Arial" w:hAnsi="Arial" w:cs="Times New Roman" w:hint="default"/>
      </w:rPr>
    </w:lvl>
    <w:lvl w:ilvl="3" w:tplc="1AAA69CA">
      <w:start w:val="1"/>
      <w:numFmt w:val="bullet"/>
      <w:lvlText w:val="•"/>
      <w:lvlJc w:val="left"/>
      <w:pPr>
        <w:tabs>
          <w:tab w:val="num" w:pos="2880"/>
        </w:tabs>
        <w:ind w:left="2880" w:hanging="360"/>
      </w:pPr>
      <w:rPr>
        <w:rFonts w:ascii="Arial" w:hAnsi="Arial" w:cs="Times New Roman" w:hint="default"/>
      </w:rPr>
    </w:lvl>
    <w:lvl w:ilvl="4" w:tplc="FF3AE980">
      <w:start w:val="1"/>
      <w:numFmt w:val="bullet"/>
      <w:lvlText w:val="•"/>
      <w:lvlJc w:val="left"/>
      <w:pPr>
        <w:tabs>
          <w:tab w:val="num" w:pos="3600"/>
        </w:tabs>
        <w:ind w:left="3600" w:hanging="360"/>
      </w:pPr>
      <w:rPr>
        <w:rFonts w:ascii="Arial" w:hAnsi="Arial" w:cs="Times New Roman" w:hint="default"/>
      </w:rPr>
    </w:lvl>
    <w:lvl w:ilvl="5" w:tplc="52563A30">
      <w:start w:val="1"/>
      <w:numFmt w:val="bullet"/>
      <w:lvlText w:val="•"/>
      <w:lvlJc w:val="left"/>
      <w:pPr>
        <w:tabs>
          <w:tab w:val="num" w:pos="4320"/>
        </w:tabs>
        <w:ind w:left="4320" w:hanging="360"/>
      </w:pPr>
      <w:rPr>
        <w:rFonts w:ascii="Arial" w:hAnsi="Arial" w:cs="Times New Roman" w:hint="default"/>
      </w:rPr>
    </w:lvl>
    <w:lvl w:ilvl="6" w:tplc="BE0C87A2">
      <w:start w:val="1"/>
      <w:numFmt w:val="bullet"/>
      <w:lvlText w:val="•"/>
      <w:lvlJc w:val="left"/>
      <w:pPr>
        <w:tabs>
          <w:tab w:val="num" w:pos="5040"/>
        </w:tabs>
        <w:ind w:left="5040" w:hanging="360"/>
      </w:pPr>
      <w:rPr>
        <w:rFonts w:ascii="Arial" w:hAnsi="Arial" w:cs="Times New Roman" w:hint="default"/>
      </w:rPr>
    </w:lvl>
    <w:lvl w:ilvl="7" w:tplc="CB02833C">
      <w:start w:val="1"/>
      <w:numFmt w:val="bullet"/>
      <w:lvlText w:val="•"/>
      <w:lvlJc w:val="left"/>
      <w:pPr>
        <w:tabs>
          <w:tab w:val="num" w:pos="5760"/>
        </w:tabs>
        <w:ind w:left="5760" w:hanging="360"/>
      </w:pPr>
      <w:rPr>
        <w:rFonts w:ascii="Arial" w:hAnsi="Arial" w:cs="Times New Roman" w:hint="default"/>
      </w:rPr>
    </w:lvl>
    <w:lvl w:ilvl="8" w:tplc="1B588358">
      <w:start w:val="1"/>
      <w:numFmt w:val="bullet"/>
      <w:lvlText w:val="•"/>
      <w:lvlJc w:val="left"/>
      <w:pPr>
        <w:tabs>
          <w:tab w:val="num" w:pos="6480"/>
        </w:tabs>
        <w:ind w:left="6480" w:hanging="360"/>
      </w:pPr>
      <w:rPr>
        <w:rFonts w:ascii="Arial" w:hAnsi="Arial" w:cs="Times New Roman" w:hint="default"/>
      </w:rPr>
    </w:lvl>
  </w:abstractNum>
  <w:abstractNum w:abstractNumId="14">
    <w:nsid w:val="31717F4E"/>
    <w:multiLevelType w:val="hybridMultilevel"/>
    <w:tmpl w:val="DF4ADE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6A2354E"/>
    <w:multiLevelType w:val="hybridMultilevel"/>
    <w:tmpl w:val="3EF4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3D3DD0"/>
    <w:multiLevelType w:val="hybridMultilevel"/>
    <w:tmpl w:val="6916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5F1683"/>
    <w:multiLevelType w:val="hybridMultilevel"/>
    <w:tmpl w:val="C2B093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066B8E"/>
    <w:multiLevelType w:val="hybridMultilevel"/>
    <w:tmpl w:val="085A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E06DE0"/>
    <w:multiLevelType w:val="hybridMultilevel"/>
    <w:tmpl w:val="8D405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BD1A93"/>
    <w:multiLevelType w:val="hybridMultilevel"/>
    <w:tmpl w:val="4536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7A387E"/>
    <w:multiLevelType w:val="multilevel"/>
    <w:tmpl w:val="EA3C7E7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2">
    <w:nsid w:val="448E5118"/>
    <w:multiLevelType w:val="hybridMultilevel"/>
    <w:tmpl w:val="31C25E70"/>
    <w:lvl w:ilvl="0" w:tplc="DDA0CA6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072174"/>
    <w:multiLevelType w:val="hybridMultilevel"/>
    <w:tmpl w:val="3B56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F40971"/>
    <w:multiLevelType w:val="multilevel"/>
    <w:tmpl w:val="A7CCE54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5">
    <w:nsid w:val="4CC32899"/>
    <w:multiLevelType w:val="hybridMultilevel"/>
    <w:tmpl w:val="C380A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D42297E"/>
    <w:multiLevelType w:val="multilevel"/>
    <w:tmpl w:val="2292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BA1F04"/>
    <w:multiLevelType w:val="hybridMultilevel"/>
    <w:tmpl w:val="26A4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3C43CA"/>
    <w:multiLevelType w:val="hybridMultilevel"/>
    <w:tmpl w:val="DD98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251C7E"/>
    <w:multiLevelType w:val="hybridMultilevel"/>
    <w:tmpl w:val="78B2CF0C"/>
    <w:lvl w:ilvl="0" w:tplc="0DC245EA">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2112B"/>
    <w:multiLevelType w:val="hybridMultilevel"/>
    <w:tmpl w:val="88CA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CC77FA"/>
    <w:multiLevelType w:val="hybridMultilevel"/>
    <w:tmpl w:val="FDAC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F82AD6"/>
    <w:multiLevelType w:val="hybridMultilevel"/>
    <w:tmpl w:val="FB86F448"/>
    <w:lvl w:ilvl="0" w:tplc="08090001">
      <w:start w:val="1"/>
      <w:numFmt w:val="bullet"/>
      <w:lvlText w:val=""/>
      <w:lvlJc w:val="left"/>
      <w:pPr>
        <w:ind w:left="2205"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start w:val="1"/>
      <w:numFmt w:val="bullet"/>
      <w:lvlText w:val=""/>
      <w:lvlJc w:val="left"/>
      <w:pPr>
        <w:ind w:left="3645" w:hanging="360"/>
      </w:pPr>
      <w:rPr>
        <w:rFonts w:ascii="Wingdings" w:hAnsi="Wingdings" w:hint="default"/>
      </w:rPr>
    </w:lvl>
    <w:lvl w:ilvl="3" w:tplc="08090001">
      <w:start w:val="1"/>
      <w:numFmt w:val="bullet"/>
      <w:lvlText w:val=""/>
      <w:lvlJc w:val="left"/>
      <w:pPr>
        <w:ind w:left="4365" w:hanging="360"/>
      </w:pPr>
      <w:rPr>
        <w:rFonts w:ascii="Symbol" w:hAnsi="Symbol" w:hint="default"/>
      </w:rPr>
    </w:lvl>
    <w:lvl w:ilvl="4" w:tplc="08090003">
      <w:start w:val="1"/>
      <w:numFmt w:val="bullet"/>
      <w:lvlText w:val="o"/>
      <w:lvlJc w:val="left"/>
      <w:pPr>
        <w:ind w:left="5085" w:hanging="360"/>
      </w:pPr>
      <w:rPr>
        <w:rFonts w:ascii="Courier New" w:hAnsi="Courier New" w:cs="Courier New" w:hint="default"/>
      </w:rPr>
    </w:lvl>
    <w:lvl w:ilvl="5" w:tplc="08090005">
      <w:start w:val="1"/>
      <w:numFmt w:val="bullet"/>
      <w:lvlText w:val=""/>
      <w:lvlJc w:val="left"/>
      <w:pPr>
        <w:ind w:left="5805" w:hanging="360"/>
      </w:pPr>
      <w:rPr>
        <w:rFonts w:ascii="Wingdings" w:hAnsi="Wingdings" w:hint="default"/>
      </w:rPr>
    </w:lvl>
    <w:lvl w:ilvl="6" w:tplc="08090001">
      <w:start w:val="1"/>
      <w:numFmt w:val="bullet"/>
      <w:lvlText w:val=""/>
      <w:lvlJc w:val="left"/>
      <w:pPr>
        <w:ind w:left="6525" w:hanging="360"/>
      </w:pPr>
      <w:rPr>
        <w:rFonts w:ascii="Symbol" w:hAnsi="Symbol" w:hint="default"/>
      </w:rPr>
    </w:lvl>
    <w:lvl w:ilvl="7" w:tplc="08090003">
      <w:start w:val="1"/>
      <w:numFmt w:val="bullet"/>
      <w:lvlText w:val="o"/>
      <w:lvlJc w:val="left"/>
      <w:pPr>
        <w:ind w:left="7245" w:hanging="360"/>
      </w:pPr>
      <w:rPr>
        <w:rFonts w:ascii="Courier New" w:hAnsi="Courier New" w:cs="Courier New" w:hint="default"/>
      </w:rPr>
    </w:lvl>
    <w:lvl w:ilvl="8" w:tplc="08090005">
      <w:start w:val="1"/>
      <w:numFmt w:val="bullet"/>
      <w:lvlText w:val=""/>
      <w:lvlJc w:val="left"/>
      <w:pPr>
        <w:ind w:left="7965" w:hanging="360"/>
      </w:pPr>
      <w:rPr>
        <w:rFonts w:ascii="Wingdings" w:hAnsi="Wingdings" w:hint="default"/>
      </w:rPr>
    </w:lvl>
  </w:abstractNum>
  <w:abstractNum w:abstractNumId="34">
    <w:nsid w:val="5F895873"/>
    <w:multiLevelType w:val="hybridMultilevel"/>
    <w:tmpl w:val="1B1C60BA"/>
    <w:lvl w:ilvl="0" w:tplc="351A7164">
      <w:start w:val="1"/>
      <w:numFmt w:val="bullet"/>
      <w:lvlText w:val="•"/>
      <w:lvlJc w:val="left"/>
      <w:pPr>
        <w:tabs>
          <w:tab w:val="num" w:pos="1080"/>
        </w:tabs>
        <w:ind w:left="1080" w:hanging="360"/>
      </w:pPr>
      <w:rPr>
        <w:rFonts w:ascii="Arial"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33E183E"/>
    <w:multiLevelType w:val="hybridMultilevel"/>
    <w:tmpl w:val="7D103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37">
    <w:nsid w:val="65B50AB5"/>
    <w:multiLevelType w:val="hybridMultilevel"/>
    <w:tmpl w:val="EBC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5E3359"/>
    <w:multiLevelType w:val="hybridMultilevel"/>
    <w:tmpl w:val="C81A2C2A"/>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9">
    <w:nsid w:val="728C353B"/>
    <w:multiLevelType w:val="hybridMultilevel"/>
    <w:tmpl w:val="D1B8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154427"/>
    <w:multiLevelType w:val="multilevel"/>
    <w:tmpl w:val="949A533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1">
    <w:nsid w:val="747E61F8"/>
    <w:multiLevelType w:val="hybridMultilevel"/>
    <w:tmpl w:val="7D966C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54B7E72"/>
    <w:multiLevelType w:val="hybridMultilevel"/>
    <w:tmpl w:val="6568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4752E0"/>
    <w:multiLevelType w:val="hybridMultilevel"/>
    <w:tmpl w:val="2B96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DB006A"/>
    <w:multiLevelType w:val="hybridMultilevel"/>
    <w:tmpl w:val="352E8B0C"/>
    <w:lvl w:ilvl="0" w:tplc="B5E83D0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abstractNum w:abstractNumId="46">
    <w:nsid w:val="7FF4150B"/>
    <w:multiLevelType w:val="hybridMultilevel"/>
    <w:tmpl w:val="F706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30"/>
  </w:num>
  <w:num w:numId="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31"/>
  </w:num>
  <w:num w:numId="5">
    <w:abstractNumId w:val="25"/>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23"/>
  </w:num>
  <w:num w:numId="9">
    <w:abstractNumId w:val="39"/>
  </w:num>
  <w:num w:numId="10">
    <w:abstractNumId w:val="18"/>
  </w:num>
  <w:num w:numId="11">
    <w:abstractNumId w:val="42"/>
  </w:num>
  <w:num w:numId="12">
    <w:abstractNumId w:val="12"/>
  </w:num>
  <w:num w:numId="13">
    <w:abstractNumId w:val="28"/>
  </w:num>
  <w:num w:numId="14">
    <w:abstractNumId w:val="13"/>
  </w:num>
  <w:num w:numId="15">
    <w:abstractNumId w:val="35"/>
  </w:num>
  <w:num w:numId="16">
    <w:abstractNumId w:val="1"/>
  </w:num>
  <w:num w:numId="17">
    <w:abstractNumId w:val="34"/>
  </w:num>
  <w:num w:numId="18">
    <w:abstractNumId w:val="8"/>
  </w:num>
  <w:num w:numId="19">
    <w:abstractNumId w:val="29"/>
  </w:num>
  <w:num w:numId="20">
    <w:abstractNumId w:val="32"/>
  </w:num>
  <w:num w:numId="21">
    <w:abstractNumId w:val="10"/>
  </w:num>
  <w:num w:numId="22">
    <w:abstractNumId w:val="4"/>
  </w:num>
  <w:num w:numId="23">
    <w:abstractNumId w:val="26"/>
  </w:num>
  <w:num w:numId="24">
    <w:abstractNumId w:val="38"/>
  </w:num>
  <w:num w:numId="25">
    <w:abstractNumId w:val="20"/>
  </w:num>
  <w:num w:numId="26">
    <w:abstractNumId w:val="15"/>
  </w:num>
  <w:num w:numId="27">
    <w:abstractNumId w:val="11"/>
  </w:num>
  <w:num w:numId="28">
    <w:abstractNumId w:val="16"/>
  </w:num>
  <w:num w:numId="29">
    <w:abstractNumId w:val="9"/>
  </w:num>
  <w:num w:numId="30">
    <w:abstractNumId w:val="21"/>
  </w:num>
  <w:num w:numId="31">
    <w:abstractNumId w:val="7"/>
  </w:num>
  <w:num w:numId="32">
    <w:abstractNumId w:val="24"/>
  </w:num>
  <w:num w:numId="33">
    <w:abstractNumId w:val="6"/>
  </w:num>
  <w:num w:numId="34">
    <w:abstractNumId w:val="40"/>
  </w:num>
  <w:num w:numId="35">
    <w:abstractNumId w:val="37"/>
  </w:num>
  <w:num w:numId="36">
    <w:abstractNumId w:val="19"/>
  </w:num>
  <w:num w:numId="37">
    <w:abstractNumId w:val="27"/>
  </w:num>
  <w:num w:numId="38">
    <w:abstractNumId w:val="22"/>
  </w:num>
  <w:num w:numId="39">
    <w:abstractNumId w:val="3"/>
  </w:num>
  <w:num w:numId="40">
    <w:abstractNumId w:val="17"/>
  </w:num>
  <w:num w:numId="41">
    <w:abstractNumId w:val="33"/>
  </w:num>
  <w:num w:numId="42">
    <w:abstractNumId w:val="5"/>
  </w:num>
  <w:num w:numId="43">
    <w:abstractNumId w:val="41"/>
  </w:num>
  <w:num w:numId="44">
    <w:abstractNumId w:val="0"/>
  </w:num>
  <w:num w:numId="45">
    <w:abstractNumId w:val="14"/>
  </w:num>
  <w:num w:numId="46">
    <w:abstractNumId w:val="43"/>
  </w:num>
  <w:num w:numId="47">
    <w:abstractNumId w:val="46"/>
  </w:num>
  <w:num w:numId="4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7EF"/>
    <w:rsid w:val="00007F30"/>
    <w:rsid w:val="00012B22"/>
    <w:rsid w:val="00034C83"/>
    <w:rsid w:val="000456C0"/>
    <w:rsid w:val="00076ECD"/>
    <w:rsid w:val="00080414"/>
    <w:rsid w:val="000814E6"/>
    <w:rsid w:val="000836CA"/>
    <w:rsid w:val="000A2C52"/>
    <w:rsid w:val="000B0304"/>
    <w:rsid w:val="000B5387"/>
    <w:rsid w:val="000D3453"/>
    <w:rsid w:val="000E25BB"/>
    <w:rsid w:val="000E64CC"/>
    <w:rsid w:val="000F1509"/>
    <w:rsid w:val="00106CB3"/>
    <w:rsid w:val="001260AA"/>
    <w:rsid w:val="0012708E"/>
    <w:rsid w:val="001437A1"/>
    <w:rsid w:val="00145CB6"/>
    <w:rsid w:val="00171760"/>
    <w:rsid w:val="00174FE4"/>
    <w:rsid w:val="001B7277"/>
    <w:rsid w:val="001C331A"/>
    <w:rsid w:val="001F76ED"/>
    <w:rsid w:val="00206A47"/>
    <w:rsid w:val="002077BB"/>
    <w:rsid w:val="00221336"/>
    <w:rsid w:val="00222470"/>
    <w:rsid w:val="00224E0F"/>
    <w:rsid w:val="00227FCE"/>
    <w:rsid w:val="00234F26"/>
    <w:rsid w:val="002404C7"/>
    <w:rsid w:val="002418F7"/>
    <w:rsid w:val="0024765B"/>
    <w:rsid w:val="00251439"/>
    <w:rsid w:val="00254599"/>
    <w:rsid w:val="00255F3D"/>
    <w:rsid w:val="00256EDA"/>
    <w:rsid w:val="002619EF"/>
    <w:rsid w:val="00266867"/>
    <w:rsid w:val="002821F8"/>
    <w:rsid w:val="00292613"/>
    <w:rsid w:val="00296798"/>
    <w:rsid w:val="002A73E8"/>
    <w:rsid w:val="002A75EC"/>
    <w:rsid w:val="002B1712"/>
    <w:rsid w:val="002B2E9F"/>
    <w:rsid w:val="002B5C7D"/>
    <w:rsid w:val="002C2F97"/>
    <w:rsid w:val="002D4418"/>
    <w:rsid w:val="002E53AC"/>
    <w:rsid w:val="002E6FC6"/>
    <w:rsid w:val="002F4AAF"/>
    <w:rsid w:val="002F7EF7"/>
    <w:rsid w:val="0030487E"/>
    <w:rsid w:val="00304A74"/>
    <w:rsid w:val="00331F8C"/>
    <w:rsid w:val="00332CDF"/>
    <w:rsid w:val="003330F9"/>
    <w:rsid w:val="003971F6"/>
    <w:rsid w:val="003B1CDC"/>
    <w:rsid w:val="003D1041"/>
    <w:rsid w:val="003D180A"/>
    <w:rsid w:val="003E092B"/>
    <w:rsid w:val="003E7888"/>
    <w:rsid w:val="003F0402"/>
    <w:rsid w:val="003F2ACD"/>
    <w:rsid w:val="004011E9"/>
    <w:rsid w:val="004047A0"/>
    <w:rsid w:val="00407C25"/>
    <w:rsid w:val="004221E4"/>
    <w:rsid w:val="004326BB"/>
    <w:rsid w:val="00437616"/>
    <w:rsid w:val="00444571"/>
    <w:rsid w:val="00482583"/>
    <w:rsid w:val="00492A24"/>
    <w:rsid w:val="00494077"/>
    <w:rsid w:val="004974B3"/>
    <w:rsid w:val="004B4F48"/>
    <w:rsid w:val="004B6ED0"/>
    <w:rsid w:val="004C78BD"/>
    <w:rsid w:val="004E7C4B"/>
    <w:rsid w:val="004F4BBA"/>
    <w:rsid w:val="00501799"/>
    <w:rsid w:val="00506076"/>
    <w:rsid w:val="00506DE8"/>
    <w:rsid w:val="005233AA"/>
    <w:rsid w:val="005263D1"/>
    <w:rsid w:val="00551B0F"/>
    <w:rsid w:val="00553603"/>
    <w:rsid w:val="0055603C"/>
    <w:rsid w:val="00557A4C"/>
    <w:rsid w:val="00564FA0"/>
    <w:rsid w:val="005653B1"/>
    <w:rsid w:val="005659FB"/>
    <w:rsid w:val="00566C7C"/>
    <w:rsid w:val="00573C86"/>
    <w:rsid w:val="00590B9F"/>
    <w:rsid w:val="00593024"/>
    <w:rsid w:val="0059724C"/>
    <w:rsid w:val="005B045E"/>
    <w:rsid w:val="005B3E3C"/>
    <w:rsid w:val="005C3FC1"/>
    <w:rsid w:val="005D2449"/>
    <w:rsid w:val="005D3499"/>
    <w:rsid w:val="005E2583"/>
    <w:rsid w:val="005E57B5"/>
    <w:rsid w:val="006023A3"/>
    <w:rsid w:val="0061430B"/>
    <w:rsid w:val="0061684E"/>
    <w:rsid w:val="006175FF"/>
    <w:rsid w:val="00655E78"/>
    <w:rsid w:val="0066682B"/>
    <w:rsid w:val="00676559"/>
    <w:rsid w:val="006B7101"/>
    <w:rsid w:val="006B7256"/>
    <w:rsid w:val="006E6145"/>
    <w:rsid w:val="006E638E"/>
    <w:rsid w:val="006F6373"/>
    <w:rsid w:val="00716881"/>
    <w:rsid w:val="0073522A"/>
    <w:rsid w:val="00746B1B"/>
    <w:rsid w:val="00755AF8"/>
    <w:rsid w:val="00761242"/>
    <w:rsid w:val="00762242"/>
    <w:rsid w:val="007769CD"/>
    <w:rsid w:val="0078032B"/>
    <w:rsid w:val="00781566"/>
    <w:rsid w:val="007936E8"/>
    <w:rsid w:val="007976E7"/>
    <w:rsid w:val="007A22A7"/>
    <w:rsid w:val="007B4022"/>
    <w:rsid w:val="007E6803"/>
    <w:rsid w:val="007F194E"/>
    <w:rsid w:val="007F21C2"/>
    <w:rsid w:val="007F7AE4"/>
    <w:rsid w:val="00800DAD"/>
    <w:rsid w:val="00802701"/>
    <w:rsid w:val="008038A2"/>
    <w:rsid w:val="00811FE8"/>
    <w:rsid w:val="00814BF9"/>
    <w:rsid w:val="00822FBB"/>
    <w:rsid w:val="008302C1"/>
    <w:rsid w:val="00830B0C"/>
    <w:rsid w:val="00840DC7"/>
    <w:rsid w:val="0085065E"/>
    <w:rsid w:val="0086436B"/>
    <w:rsid w:val="008662FA"/>
    <w:rsid w:val="00886F70"/>
    <w:rsid w:val="008940B6"/>
    <w:rsid w:val="00894B97"/>
    <w:rsid w:val="008A5046"/>
    <w:rsid w:val="008B49A7"/>
    <w:rsid w:val="008D07A2"/>
    <w:rsid w:val="008D5410"/>
    <w:rsid w:val="008E21E9"/>
    <w:rsid w:val="008E6891"/>
    <w:rsid w:val="008F4876"/>
    <w:rsid w:val="009132E5"/>
    <w:rsid w:val="00914325"/>
    <w:rsid w:val="00917840"/>
    <w:rsid w:val="0094146F"/>
    <w:rsid w:val="00941B3A"/>
    <w:rsid w:val="00946E6E"/>
    <w:rsid w:val="00947788"/>
    <w:rsid w:val="00951AEB"/>
    <w:rsid w:val="00951E82"/>
    <w:rsid w:val="00962939"/>
    <w:rsid w:val="009732F4"/>
    <w:rsid w:val="00974A68"/>
    <w:rsid w:val="00974AE1"/>
    <w:rsid w:val="00975FED"/>
    <w:rsid w:val="00986161"/>
    <w:rsid w:val="00996189"/>
    <w:rsid w:val="009A7019"/>
    <w:rsid w:val="009B7B2F"/>
    <w:rsid w:val="009C4B33"/>
    <w:rsid w:val="00A04A86"/>
    <w:rsid w:val="00A13B62"/>
    <w:rsid w:val="00A14901"/>
    <w:rsid w:val="00A21EEF"/>
    <w:rsid w:val="00A27F9C"/>
    <w:rsid w:val="00A605D7"/>
    <w:rsid w:val="00A674FB"/>
    <w:rsid w:val="00A67C34"/>
    <w:rsid w:val="00A70568"/>
    <w:rsid w:val="00A76349"/>
    <w:rsid w:val="00A84261"/>
    <w:rsid w:val="00A85311"/>
    <w:rsid w:val="00A900EB"/>
    <w:rsid w:val="00AA0C3F"/>
    <w:rsid w:val="00AA277D"/>
    <w:rsid w:val="00AA30D6"/>
    <w:rsid w:val="00AA3819"/>
    <w:rsid w:val="00AC3814"/>
    <w:rsid w:val="00AC79AE"/>
    <w:rsid w:val="00AD32D1"/>
    <w:rsid w:val="00AE01A5"/>
    <w:rsid w:val="00AF0102"/>
    <w:rsid w:val="00AF0562"/>
    <w:rsid w:val="00B02487"/>
    <w:rsid w:val="00B04A9D"/>
    <w:rsid w:val="00B04D11"/>
    <w:rsid w:val="00B21063"/>
    <w:rsid w:val="00B26E1A"/>
    <w:rsid w:val="00B31A9A"/>
    <w:rsid w:val="00B50D5E"/>
    <w:rsid w:val="00B62C5D"/>
    <w:rsid w:val="00B63D3F"/>
    <w:rsid w:val="00B719EC"/>
    <w:rsid w:val="00B73D11"/>
    <w:rsid w:val="00B76D2F"/>
    <w:rsid w:val="00B87B18"/>
    <w:rsid w:val="00BA3B3E"/>
    <w:rsid w:val="00BB2DF8"/>
    <w:rsid w:val="00BC0C8F"/>
    <w:rsid w:val="00BD26C2"/>
    <w:rsid w:val="00BD6335"/>
    <w:rsid w:val="00BF5367"/>
    <w:rsid w:val="00BF7008"/>
    <w:rsid w:val="00C03616"/>
    <w:rsid w:val="00C04C1E"/>
    <w:rsid w:val="00C07817"/>
    <w:rsid w:val="00C11AA2"/>
    <w:rsid w:val="00C122BC"/>
    <w:rsid w:val="00C12F11"/>
    <w:rsid w:val="00C225EB"/>
    <w:rsid w:val="00C31967"/>
    <w:rsid w:val="00C36B2A"/>
    <w:rsid w:val="00C37ABF"/>
    <w:rsid w:val="00C433ED"/>
    <w:rsid w:val="00C540E3"/>
    <w:rsid w:val="00C62DA8"/>
    <w:rsid w:val="00C63291"/>
    <w:rsid w:val="00C63AD6"/>
    <w:rsid w:val="00C7534A"/>
    <w:rsid w:val="00C94821"/>
    <w:rsid w:val="00CA25F7"/>
    <w:rsid w:val="00CA59EB"/>
    <w:rsid w:val="00CB233D"/>
    <w:rsid w:val="00CC60C9"/>
    <w:rsid w:val="00CE28A6"/>
    <w:rsid w:val="00CE729F"/>
    <w:rsid w:val="00D04B63"/>
    <w:rsid w:val="00D07064"/>
    <w:rsid w:val="00D227BD"/>
    <w:rsid w:val="00D26A35"/>
    <w:rsid w:val="00D279FC"/>
    <w:rsid w:val="00D311D5"/>
    <w:rsid w:val="00D3125E"/>
    <w:rsid w:val="00D46839"/>
    <w:rsid w:val="00D55ADD"/>
    <w:rsid w:val="00D63A04"/>
    <w:rsid w:val="00D71F4B"/>
    <w:rsid w:val="00D85111"/>
    <w:rsid w:val="00D8544F"/>
    <w:rsid w:val="00D857B0"/>
    <w:rsid w:val="00D87759"/>
    <w:rsid w:val="00DA0FA6"/>
    <w:rsid w:val="00DB78EB"/>
    <w:rsid w:val="00DC77D3"/>
    <w:rsid w:val="00DC7AB8"/>
    <w:rsid w:val="00DD33DF"/>
    <w:rsid w:val="00DD45DF"/>
    <w:rsid w:val="00DD6675"/>
    <w:rsid w:val="00DE1293"/>
    <w:rsid w:val="00DF4E76"/>
    <w:rsid w:val="00DF7BF0"/>
    <w:rsid w:val="00E008E7"/>
    <w:rsid w:val="00E02680"/>
    <w:rsid w:val="00E03609"/>
    <w:rsid w:val="00E34DCC"/>
    <w:rsid w:val="00E447A6"/>
    <w:rsid w:val="00E657EE"/>
    <w:rsid w:val="00E67430"/>
    <w:rsid w:val="00E7019B"/>
    <w:rsid w:val="00E7289D"/>
    <w:rsid w:val="00E747B2"/>
    <w:rsid w:val="00E754FC"/>
    <w:rsid w:val="00E827C5"/>
    <w:rsid w:val="00E8482A"/>
    <w:rsid w:val="00E95373"/>
    <w:rsid w:val="00EC2229"/>
    <w:rsid w:val="00ED2EA1"/>
    <w:rsid w:val="00EE5E36"/>
    <w:rsid w:val="00F05EAE"/>
    <w:rsid w:val="00F17A26"/>
    <w:rsid w:val="00F23C8A"/>
    <w:rsid w:val="00F57119"/>
    <w:rsid w:val="00F5776A"/>
    <w:rsid w:val="00F644D6"/>
    <w:rsid w:val="00F94048"/>
    <w:rsid w:val="00FA75EF"/>
    <w:rsid w:val="00FC343E"/>
    <w:rsid w:val="00FD3370"/>
    <w:rsid w:val="00FD57F9"/>
    <w:rsid w:val="00FE113A"/>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3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3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326">
      <w:bodyDiv w:val="1"/>
      <w:marLeft w:val="0"/>
      <w:marRight w:val="0"/>
      <w:marTop w:val="0"/>
      <w:marBottom w:val="0"/>
      <w:divBdr>
        <w:top w:val="none" w:sz="0" w:space="0" w:color="auto"/>
        <w:left w:val="none" w:sz="0" w:space="0" w:color="auto"/>
        <w:bottom w:val="none" w:sz="0" w:space="0" w:color="auto"/>
        <w:right w:val="none" w:sz="0" w:space="0" w:color="auto"/>
      </w:divBdr>
      <w:divsChild>
        <w:div w:id="1690792514">
          <w:marLeft w:val="0"/>
          <w:marRight w:val="0"/>
          <w:marTop w:val="0"/>
          <w:marBottom w:val="0"/>
          <w:divBdr>
            <w:top w:val="none" w:sz="0" w:space="0" w:color="auto"/>
            <w:left w:val="none" w:sz="0" w:space="0" w:color="auto"/>
            <w:bottom w:val="none" w:sz="0" w:space="0" w:color="auto"/>
            <w:right w:val="none" w:sz="0" w:space="0" w:color="auto"/>
          </w:divBdr>
          <w:divsChild>
            <w:div w:id="1942566121">
              <w:marLeft w:val="0"/>
              <w:marRight w:val="0"/>
              <w:marTop w:val="0"/>
              <w:marBottom w:val="0"/>
              <w:divBdr>
                <w:top w:val="none" w:sz="0" w:space="0" w:color="auto"/>
                <w:left w:val="none" w:sz="0" w:space="0" w:color="auto"/>
                <w:bottom w:val="none" w:sz="0" w:space="0" w:color="auto"/>
                <w:right w:val="none" w:sz="0" w:space="0" w:color="auto"/>
              </w:divBdr>
              <w:divsChild>
                <w:div w:id="1117872371">
                  <w:marLeft w:val="0"/>
                  <w:marRight w:val="0"/>
                  <w:marTop w:val="0"/>
                  <w:marBottom w:val="0"/>
                  <w:divBdr>
                    <w:top w:val="none" w:sz="0" w:space="0" w:color="auto"/>
                    <w:left w:val="none" w:sz="0" w:space="0" w:color="auto"/>
                    <w:bottom w:val="none" w:sz="0" w:space="0" w:color="auto"/>
                    <w:right w:val="none" w:sz="0" w:space="0" w:color="auto"/>
                  </w:divBdr>
                  <w:divsChild>
                    <w:div w:id="341589178">
                      <w:marLeft w:val="0"/>
                      <w:marRight w:val="0"/>
                      <w:marTop w:val="0"/>
                      <w:marBottom w:val="0"/>
                      <w:divBdr>
                        <w:top w:val="none" w:sz="0" w:space="0" w:color="auto"/>
                        <w:left w:val="none" w:sz="0" w:space="0" w:color="auto"/>
                        <w:bottom w:val="none" w:sz="0" w:space="0" w:color="auto"/>
                        <w:right w:val="none" w:sz="0" w:space="0" w:color="auto"/>
                      </w:divBdr>
                      <w:divsChild>
                        <w:div w:id="2146117465">
                          <w:marLeft w:val="0"/>
                          <w:marRight w:val="0"/>
                          <w:marTop w:val="0"/>
                          <w:marBottom w:val="0"/>
                          <w:divBdr>
                            <w:top w:val="none" w:sz="0" w:space="0" w:color="auto"/>
                            <w:left w:val="none" w:sz="0" w:space="0" w:color="auto"/>
                            <w:bottom w:val="none" w:sz="0" w:space="0" w:color="auto"/>
                            <w:right w:val="none" w:sz="0" w:space="0" w:color="auto"/>
                          </w:divBdr>
                          <w:divsChild>
                            <w:div w:id="1246454624">
                              <w:marLeft w:val="0"/>
                              <w:marRight w:val="0"/>
                              <w:marTop w:val="0"/>
                              <w:marBottom w:val="0"/>
                              <w:divBdr>
                                <w:top w:val="none" w:sz="0" w:space="0" w:color="auto"/>
                                <w:left w:val="none" w:sz="0" w:space="0" w:color="auto"/>
                                <w:bottom w:val="none" w:sz="0" w:space="0" w:color="auto"/>
                                <w:right w:val="none" w:sz="0" w:space="0" w:color="auto"/>
                              </w:divBdr>
                              <w:divsChild>
                                <w:div w:id="1051225548">
                                  <w:marLeft w:val="0"/>
                                  <w:marRight w:val="0"/>
                                  <w:marTop w:val="0"/>
                                  <w:marBottom w:val="0"/>
                                  <w:divBdr>
                                    <w:top w:val="none" w:sz="0" w:space="0" w:color="auto"/>
                                    <w:left w:val="none" w:sz="0" w:space="0" w:color="auto"/>
                                    <w:bottom w:val="none" w:sz="0" w:space="0" w:color="auto"/>
                                    <w:right w:val="none" w:sz="0" w:space="0" w:color="auto"/>
                                  </w:divBdr>
                                  <w:divsChild>
                                    <w:div w:id="857040815">
                                      <w:marLeft w:val="0"/>
                                      <w:marRight w:val="0"/>
                                      <w:marTop w:val="0"/>
                                      <w:marBottom w:val="0"/>
                                      <w:divBdr>
                                        <w:top w:val="none" w:sz="0" w:space="0" w:color="auto"/>
                                        <w:left w:val="none" w:sz="0" w:space="0" w:color="auto"/>
                                        <w:bottom w:val="none" w:sz="0" w:space="0" w:color="auto"/>
                                        <w:right w:val="none" w:sz="0" w:space="0" w:color="auto"/>
                                      </w:divBdr>
                                      <w:divsChild>
                                        <w:div w:id="6227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755635446">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960695374">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264727730">
      <w:bodyDiv w:val="1"/>
      <w:marLeft w:val="0"/>
      <w:marRight w:val="0"/>
      <w:marTop w:val="0"/>
      <w:marBottom w:val="0"/>
      <w:divBdr>
        <w:top w:val="none" w:sz="0" w:space="0" w:color="auto"/>
        <w:left w:val="none" w:sz="0" w:space="0" w:color="auto"/>
        <w:bottom w:val="none" w:sz="0" w:space="0" w:color="auto"/>
        <w:right w:val="none" w:sz="0" w:space="0" w:color="auto"/>
      </w:divBdr>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514302635">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1959097493">
      <w:bodyDiv w:val="1"/>
      <w:marLeft w:val="0"/>
      <w:marRight w:val="0"/>
      <w:marTop w:val="0"/>
      <w:marBottom w:val="0"/>
      <w:divBdr>
        <w:top w:val="none" w:sz="0" w:space="0" w:color="auto"/>
        <w:left w:val="none" w:sz="0" w:space="0" w:color="auto"/>
        <w:bottom w:val="none" w:sz="0" w:space="0" w:color="auto"/>
        <w:right w:val="none" w:sz="0" w:space="0" w:color="auto"/>
      </w:divBdr>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1390</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Habner Justinian (RNU) Oxford Health</cp:lastModifiedBy>
  <cp:revision>3</cp:revision>
  <cp:lastPrinted>2005-05-11T11:48:00Z</cp:lastPrinted>
  <dcterms:created xsi:type="dcterms:W3CDTF">2015-03-18T09:31:00Z</dcterms:created>
  <dcterms:modified xsi:type="dcterms:W3CDTF">2015-03-18T09:59:00Z</dcterms:modified>
</cp:coreProperties>
</file>