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47" w:rsidRPr="00BE2EFA" w:rsidRDefault="000B2947" w:rsidP="000B2947">
      <w:pPr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 w:rsidRPr="000D759B">
        <w:rPr>
          <w:rFonts w:ascii="Arial" w:hAnsi="Arial" w:cs="Arial"/>
          <w:b/>
          <w:sz w:val="28"/>
          <w:szCs w:val="28"/>
        </w:rPr>
        <w:t xml:space="preserve">Summary of </w:t>
      </w:r>
      <w:r w:rsidRPr="00BE2EFA">
        <w:rPr>
          <w:rFonts w:ascii="Arial" w:hAnsi="Arial" w:cs="Arial"/>
          <w:b/>
          <w:sz w:val="28"/>
          <w:szCs w:val="28"/>
        </w:rPr>
        <w:t xml:space="preserve">Actions from Board </w:t>
      </w:r>
      <w:r w:rsidR="000B69CF" w:rsidRPr="00BE2EFA">
        <w:rPr>
          <w:rFonts w:ascii="Arial" w:hAnsi="Arial" w:cs="Arial"/>
          <w:b/>
          <w:sz w:val="28"/>
          <w:szCs w:val="28"/>
        </w:rPr>
        <w:t>meeting</w:t>
      </w:r>
      <w:r w:rsidRPr="00BE2EFA">
        <w:rPr>
          <w:rFonts w:ascii="Arial" w:hAnsi="Arial" w:cs="Arial"/>
          <w:b/>
          <w:sz w:val="28"/>
          <w:szCs w:val="28"/>
        </w:rPr>
        <w:t xml:space="preserve"> </w:t>
      </w:r>
      <w:r w:rsidR="00E97685">
        <w:rPr>
          <w:rFonts w:ascii="Arial" w:hAnsi="Arial" w:cs="Arial"/>
          <w:b/>
          <w:sz w:val="28"/>
          <w:szCs w:val="28"/>
        </w:rPr>
        <w:t xml:space="preserve">on </w:t>
      </w:r>
      <w:r w:rsidR="003033E1">
        <w:rPr>
          <w:rFonts w:ascii="Arial" w:hAnsi="Arial" w:cs="Arial"/>
          <w:b/>
          <w:sz w:val="28"/>
          <w:szCs w:val="28"/>
        </w:rPr>
        <w:t xml:space="preserve">25 </w:t>
      </w:r>
      <w:r w:rsidR="00A37FAC">
        <w:rPr>
          <w:rFonts w:ascii="Arial" w:hAnsi="Arial" w:cs="Arial"/>
          <w:b/>
          <w:sz w:val="28"/>
          <w:szCs w:val="28"/>
        </w:rPr>
        <w:t>March</w:t>
      </w:r>
      <w:r w:rsidR="0084583C">
        <w:rPr>
          <w:rFonts w:ascii="Arial" w:hAnsi="Arial" w:cs="Arial"/>
          <w:b/>
          <w:sz w:val="28"/>
          <w:szCs w:val="28"/>
        </w:rPr>
        <w:t xml:space="preserve"> 2015</w:t>
      </w:r>
    </w:p>
    <w:p w:rsidR="000B2947" w:rsidRDefault="000B2947" w:rsidP="000B2947"/>
    <w:p w:rsidR="000B2947" w:rsidRDefault="000B2947" w:rsidP="000B2947"/>
    <w:tbl>
      <w:tblPr>
        <w:tblpPr w:leftFromText="180" w:rightFromText="180" w:vertAnchor="page" w:horzAnchor="margin" w:tblpXSpec="center" w:tblpY="2442"/>
        <w:tblW w:w="12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8351"/>
        <w:gridCol w:w="2286"/>
      </w:tblGrid>
      <w:tr w:rsidR="000B2947" w:rsidRPr="00D3669C" w:rsidTr="00D8125D">
        <w:trPr>
          <w:trHeight w:val="439"/>
        </w:trPr>
        <w:tc>
          <w:tcPr>
            <w:tcW w:w="2197" w:type="dxa"/>
            <w:vAlign w:val="center"/>
          </w:tcPr>
          <w:p w:rsidR="000B2947" w:rsidRPr="009D2F5A" w:rsidRDefault="000B2947" w:rsidP="00E21D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2F5A">
              <w:rPr>
                <w:rFonts w:ascii="Arial" w:hAnsi="Arial" w:cs="Arial"/>
                <w:b/>
                <w:sz w:val="24"/>
                <w:szCs w:val="24"/>
              </w:rPr>
              <w:t>Relevant Item</w:t>
            </w:r>
          </w:p>
        </w:tc>
        <w:tc>
          <w:tcPr>
            <w:tcW w:w="8351" w:type="dxa"/>
            <w:vAlign w:val="center"/>
          </w:tcPr>
          <w:p w:rsidR="000B2947" w:rsidRPr="009D2F5A" w:rsidRDefault="000B2947" w:rsidP="00E21D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2F5A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2286" w:type="dxa"/>
            <w:vAlign w:val="center"/>
          </w:tcPr>
          <w:p w:rsidR="000B2947" w:rsidRPr="009D2F5A" w:rsidRDefault="000B2947" w:rsidP="00E21D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2F5A">
              <w:rPr>
                <w:rFonts w:ascii="Arial" w:hAnsi="Arial" w:cs="Arial"/>
                <w:b/>
                <w:sz w:val="24"/>
                <w:szCs w:val="24"/>
              </w:rPr>
              <w:t>Responsibility</w:t>
            </w:r>
          </w:p>
        </w:tc>
      </w:tr>
      <w:tr w:rsidR="0015391E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15391E" w:rsidRDefault="0015391E" w:rsidP="0015391E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391E" w:rsidRPr="009D2F5A" w:rsidRDefault="0015391E" w:rsidP="003033E1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A37FAC">
              <w:rPr>
                <w:rFonts w:ascii="Arial" w:hAnsi="Arial" w:cs="Arial"/>
                <w:sz w:val="24"/>
                <w:szCs w:val="24"/>
              </w:rPr>
              <w:t>4</w:t>
            </w:r>
            <w:r w:rsidR="0084583C">
              <w:rPr>
                <w:rFonts w:ascii="Arial" w:hAnsi="Arial" w:cs="Arial"/>
                <w:sz w:val="24"/>
                <w:szCs w:val="24"/>
              </w:rPr>
              <w:t>4/15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A37FAC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15391E" w:rsidRDefault="00F00297" w:rsidP="0015391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Mental Health Services in Schools</w:t>
            </w:r>
          </w:p>
          <w:p w:rsidR="0015391E" w:rsidRPr="00F40768" w:rsidRDefault="00A37FAC" w:rsidP="00F0029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Look into services the Trust could offer to colleges</w:t>
            </w:r>
            <w:r w:rsidR="00F0029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and universities</w:t>
            </w:r>
            <w:r w:rsidR="00F00297">
              <w:rPr>
                <w:rFonts w:ascii="Arial" w:hAnsi="Arial" w:cs="Arial"/>
                <w:bCs/>
                <w:sz w:val="24"/>
                <w:szCs w:val="24"/>
              </w:rPr>
              <w:t xml:space="preserve"> (in addition to schools) and consider a</w:t>
            </w:r>
            <w:r>
              <w:rPr>
                <w:rFonts w:ascii="Arial" w:hAnsi="Arial" w:cs="Arial"/>
                <w:bCs/>
                <w:sz w:val="24"/>
                <w:szCs w:val="24"/>
              </w:rPr>
              <w:t>pproach</w:t>
            </w:r>
            <w:r w:rsidR="00F00297">
              <w:rPr>
                <w:rFonts w:ascii="Arial" w:hAnsi="Arial" w:cs="Arial"/>
                <w:bCs/>
                <w:sz w:val="24"/>
                <w:szCs w:val="24"/>
              </w:rPr>
              <w:t>ing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the college nurses association.</w:t>
            </w:r>
          </w:p>
        </w:tc>
        <w:tc>
          <w:tcPr>
            <w:tcW w:w="2286" w:type="dxa"/>
            <w:shd w:val="clear" w:color="auto" w:fill="auto"/>
          </w:tcPr>
          <w:p w:rsidR="0015391E" w:rsidRDefault="0015391E" w:rsidP="0015391E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391E" w:rsidRPr="009D2F5A" w:rsidRDefault="00A37FAC" w:rsidP="0015391E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</w:t>
            </w:r>
          </w:p>
        </w:tc>
      </w:tr>
      <w:tr w:rsidR="007B3FD6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7B3FD6" w:rsidRDefault="007B3FD6" w:rsidP="007B3FD6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3FD6" w:rsidRPr="009D2F5A" w:rsidRDefault="007B3FD6" w:rsidP="003033E1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610966">
              <w:rPr>
                <w:rFonts w:ascii="Arial" w:hAnsi="Arial" w:cs="Arial"/>
                <w:sz w:val="24"/>
                <w:szCs w:val="24"/>
              </w:rPr>
              <w:t>44</w:t>
            </w:r>
            <w:r w:rsidR="00F40768">
              <w:rPr>
                <w:rFonts w:ascii="Arial" w:hAnsi="Arial" w:cs="Arial"/>
                <w:sz w:val="24"/>
                <w:szCs w:val="24"/>
              </w:rPr>
              <w:t>/15</w:t>
            </w:r>
            <w:r w:rsidR="001E16A4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610966">
              <w:rPr>
                <w:rFonts w:ascii="Arial" w:hAnsi="Arial" w:cs="Arial"/>
                <w:sz w:val="24"/>
                <w:szCs w:val="24"/>
              </w:rPr>
              <w:t>g</w:t>
            </w:r>
            <w:r w:rsidR="001E16A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15391E" w:rsidRDefault="00A37FAC" w:rsidP="0015391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Executive and Non-Executive Visits</w:t>
            </w:r>
          </w:p>
          <w:p w:rsidR="007B3FD6" w:rsidRPr="00687CBE" w:rsidRDefault="00F40768" w:rsidP="0061096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Provide a</w:t>
            </w:r>
            <w:r w:rsidR="00610966">
              <w:rPr>
                <w:rFonts w:ascii="Arial" w:hAnsi="Arial" w:cs="Arial"/>
                <w:bCs/>
                <w:sz w:val="24"/>
                <w:szCs w:val="24"/>
              </w:rPr>
              <w:t>n update on visits at the Board seminar in April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2015.</w:t>
            </w:r>
          </w:p>
        </w:tc>
        <w:tc>
          <w:tcPr>
            <w:tcW w:w="2286" w:type="dxa"/>
            <w:shd w:val="clear" w:color="auto" w:fill="auto"/>
          </w:tcPr>
          <w:p w:rsidR="007B3FD6" w:rsidRDefault="007B3FD6" w:rsidP="007B3FD6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3FD6" w:rsidRPr="009D2F5A" w:rsidRDefault="00610966" w:rsidP="007B3FD6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JCH / RA</w:t>
            </w:r>
          </w:p>
        </w:tc>
      </w:tr>
      <w:tr w:rsidR="0015391E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15391E" w:rsidRDefault="0015391E" w:rsidP="0015391E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391E" w:rsidRPr="009D2F5A" w:rsidRDefault="0015391E" w:rsidP="00BF32AD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610966">
              <w:rPr>
                <w:rFonts w:ascii="Arial" w:hAnsi="Arial" w:cs="Arial"/>
                <w:sz w:val="24"/>
                <w:szCs w:val="24"/>
              </w:rPr>
              <w:t>44</w:t>
            </w:r>
            <w:r w:rsidR="00F40768">
              <w:rPr>
                <w:rFonts w:ascii="Arial" w:hAnsi="Arial" w:cs="Arial"/>
                <w:sz w:val="24"/>
                <w:szCs w:val="24"/>
              </w:rPr>
              <w:t>/15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4266B5">
              <w:rPr>
                <w:rFonts w:ascii="Arial" w:hAnsi="Arial" w:cs="Arial"/>
                <w:sz w:val="24"/>
                <w:szCs w:val="24"/>
              </w:rPr>
              <w:t>j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15391E" w:rsidRDefault="004266B5" w:rsidP="0015391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Limited Assurance Internal Audit Report</w:t>
            </w:r>
          </w:p>
          <w:p w:rsidR="00A44287" w:rsidRPr="00687CBE" w:rsidRDefault="004266B5" w:rsidP="003871F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Consider the Internal Audit report suggestion that the Board needed to more effectively hold the Executive to account for the CIP </w:t>
            </w:r>
            <w:r w:rsidR="003871F3">
              <w:rPr>
                <w:rFonts w:ascii="Arial" w:hAnsi="Arial" w:cs="Arial"/>
                <w:bCs/>
                <w:sz w:val="24"/>
                <w:szCs w:val="24"/>
              </w:rPr>
              <w:t>and whether NED oversight of the CIP was sufficient.</w:t>
            </w:r>
          </w:p>
        </w:tc>
        <w:tc>
          <w:tcPr>
            <w:tcW w:w="2286" w:type="dxa"/>
            <w:shd w:val="clear" w:color="auto" w:fill="auto"/>
          </w:tcPr>
          <w:p w:rsidR="0015391E" w:rsidRDefault="0015391E" w:rsidP="0015391E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391E" w:rsidRPr="009D2F5A" w:rsidRDefault="004266B5" w:rsidP="0015391E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MMcE</w:t>
            </w:r>
          </w:p>
        </w:tc>
      </w:tr>
      <w:tr w:rsidR="00C9522B" w:rsidRPr="00E367B7" w:rsidTr="002D230C">
        <w:trPr>
          <w:trHeight w:val="1340"/>
        </w:trPr>
        <w:tc>
          <w:tcPr>
            <w:tcW w:w="2197" w:type="dxa"/>
            <w:shd w:val="clear" w:color="auto" w:fill="auto"/>
          </w:tcPr>
          <w:p w:rsidR="00C9522B" w:rsidRDefault="00C9522B" w:rsidP="00C9522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522B" w:rsidRPr="009D2F5A" w:rsidRDefault="00C9522B" w:rsidP="004266B5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4266B5">
              <w:rPr>
                <w:rFonts w:ascii="Arial" w:hAnsi="Arial" w:cs="Arial"/>
                <w:sz w:val="24"/>
                <w:szCs w:val="24"/>
              </w:rPr>
              <w:t>44</w:t>
            </w:r>
            <w:r w:rsidR="00F40768">
              <w:rPr>
                <w:rFonts w:ascii="Arial" w:hAnsi="Arial" w:cs="Arial"/>
                <w:sz w:val="24"/>
                <w:szCs w:val="24"/>
              </w:rPr>
              <w:t>/15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4266B5"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4266B5" w:rsidRDefault="004266B5" w:rsidP="004266B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Limited Assurance Internal Audit Report</w:t>
            </w:r>
          </w:p>
          <w:p w:rsidR="00C9522B" w:rsidRPr="00C9522B" w:rsidRDefault="004266B5" w:rsidP="00C9522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Set aside time at the April Board seminar to discuss the Deloitte report and the CIP.</w:t>
            </w:r>
          </w:p>
        </w:tc>
        <w:tc>
          <w:tcPr>
            <w:tcW w:w="2286" w:type="dxa"/>
            <w:shd w:val="clear" w:color="auto" w:fill="auto"/>
          </w:tcPr>
          <w:p w:rsidR="00C9522B" w:rsidRDefault="00C9522B" w:rsidP="00C9522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522B" w:rsidRPr="009D2F5A" w:rsidRDefault="004266B5" w:rsidP="004266B5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JCH</w:t>
            </w:r>
            <w:r w:rsidR="00BF32AD">
              <w:rPr>
                <w:rFonts w:ascii="Arial" w:hAnsi="Arial" w:cs="Arial"/>
                <w:sz w:val="24"/>
                <w:szCs w:val="24"/>
              </w:rPr>
              <w:t xml:space="preserve"> / M</w:t>
            </w:r>
            <w:r>
              <w:rPr>
                <w:rFonts w:ascii="Arial" w:hAnsi="Arial" w:cs="Arial"/>
                <w:sz w:val="24"/>
                <w:szCs w:val="24"/>
              </w:rPr>
              <w:t>McE</w:t>
            </w:r>
          </w:p>
        </w:tc>
      </w:tr>
      <w:tr w:rsidR="00C9522B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C9522B" w:rsidRDefault="00C9522B" w:rsidP="00C9522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522B" w:rsidRPr="009D2F5A" w:rsidRDefault="00C9522B" w:rsidP="0006325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063257">
              <w:rPr>
                <w:rFonts w:ascii="Arial" w:hAnsi="Arial" w:cs="Arial"/>
                <w:sz w:val="24"/>
                <w:szCs w:val="24"/>
              </w:rPr>
              <w:t>44</w:t>
            </w:r>
            <w:r w:rsidR="00F40768">
              <w:rPr>
                <w:rFonts w:ascii="Arial" w:hAnsi="Arial" w:cs="Arial"/>
                <w:sz w:val="24"/>
                <w:szCs w:val="24"/>
              </w:rPr>
              <w:t>/15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063257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C9522B" w:rsidRDefault="00063257" w:rsidP="00C9522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Staff Survey</w:t>
            </w:r>
          </w:p>
          <w:p w:rsidR="00C9522B" w:rsidRPr="00687CBE" w:rsidRDefault="00063257" w:rsidP="003871F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Provide a report on the 2014 staff </w:t>
            </w:r>
            <w:r w:rsidR="00F37A2E">
              <w:rPr>
                <w:rFonts w:ascii="Arial" w:hAnsi="Arial" w:cs="Arial"/>
                <w:bCs/>
                <w:sz w:val="24"/>
                <w:szCs w:val="24"/>
              </w:rPr>
              <w:t xml:space="preserve">survey in April. Consider including </w:t>
            </w:r>
            <w:r w:rsidR="003871F3">
              <w:rPr>
                <w:rFonts w:ascii="Arial" w:hAnsi="Arial" w:cs="Arial"/>
                <w:bCs/>
                <w:sz w:val="24"/>
                <w:szCs w:val="24"/>
              </w:rPr>
              <w:t>how</w:t>
            </w:r>
            <w:r w:rsidR="00F37A2E">
              <w:rPr>
                <w:rFonts w:ascii="Arial" w:hAnsi="Arial" w:cs="Arial"/>
                <w:bCs/>
                <w:sz w:val="24"/>
                <w:szCs w:val="24"/>
              </w:rPr>
              <w:t xml:space="preserve"> staff reported stress levels could be tackled.</w:t>
            </w:r>
          </w:p>
        </w:tc>
        <w:tc>
          <w:tcPr>
            <w:tcW w:w="2286" w:type="dxa"/>
            <w:shd w:val="clear" w:color="auto" w:fill="auto"/>
          </w:tcPr>
          <w:p w:rsidR="00C9522B" w:rsidRDefault="00C9522B" w:rsidP="00C9522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522B" w:rsidRPr="009D2F5A" w:rsidRDefault="00F37A2E" w:rsidP="00C9522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MMcE</w:t>
            </w:r>
          </w:p>
        </w:tc>
      </w:tr>
      <w:tr w:rsidR="0089273B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89273B" w:rsidRDefault="0089273B" w:rsidP="0089273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273B" w:rsidRPr="009D2F5A" w:rsidRDefault="0089273B" w:rsidP="00F37A2E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F37A2E">
              <w:rPr>
                <w:rFonts w:ascii="Arial" w:hAnsi="Arial" w:cs="Arial"/>
                <w:sz w:val="24"/>
                <w:szCs w:val="24"/>
              </w:rPr>
              <w:t>46</w:t>
            </w:r>
            <w:r w:rsidR="00ED16EA">
              <w:rPr>
                <w:rFonts w:ascii="Arial" w:hAnsi="Arial" w:cs="Arial"/>
                <w:sz w:val="24"/>
                <w:szCs w:val="24"/>
              </w:rPr>
              <w:t>/15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F37A2E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89273B" w:rsidRDefault="006128F5" w:rsidP="0089273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Chief Executive’s Report</w:t>
            </w:r>
            <w:r w:rsidR="003871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OSCB</w:t>
            </w:r>
          </w:p>
          <w:p w:rsidR="0089273B" w:rsidRPr="00687CBE" w:rsidRDefault="00A72B2B" w:rsidP="003871F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Quality Committee </w:t>
            </w:r>
            <w:r w:rsidR="003871F3">
              <w:rPr>
                <w:rFonts w:ascii="Arial" w:hAnsi="Arial" w:cs="Arial"/>
                <w:bCs/>
                <w:sz w:val="24"/>
                <w:szCs w:val="24"/>
              </w:rPr>
              <w:t>kept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informed of the Trust’s progress against </w:t>
            </w:r>
            <w:r w:rsidR="00F50EBF">
              <w:rPr>
                <w:rFonts w:ascii="Arial" w:hAnsi="Arial" w:cs="Arial"/>
                <w:bCs/>
                <w:sz w:val="24"/>
                <w:szCs w:val="24"/>
              </w:rPr>
              <w:t>its actions</w:t>
            </w:r>
            <w:r w:rsidR="007F39F5">
              <w:rPr>
                <w:rFonts w:ascii="Arial" w:hAnsi="Arial" w:cs="Arial"/>
                <w:bCs/>
                <w:sz w:val="24"/>
                <w:szCs w:val="24"/>
              </w:rPr>
              <w:t>. -</w:t>
            </w:r>
            <w:r w:rsidR="003871F3">
              <w:rPr>
                <w:rFonts w:ascii="Arial" w:hAnsi="Arial" w:cs="Arial"/>
                <w:bCs/>
                <w:sz w:val="24"/>
                <w:szCs w:val="24"/>
              </w:rPr>
              <w:t xml:space="preserve"> relating to OSCB Report.</w:t>
            </w:r>
          </w:p>
        </w:tc>
        <w:tc>
          <w:tcPr>
            <w:tcW w:w="2286" w:type="dxa"/>
            <w:shd w:val="clear" w:color="auto" w:fill="auto"/>
          </w:tcPr>
          <w:p w:rsidR="0089273B" w:rsidRDefault="0089273B" w:rsidP="0089273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273B" w:rsidRPr="009D2F5A" w:rsidRDefault="002B57BD" w:rsidP="0089273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</w:t>
            </w:r>
          </w:p>
        </w:tc>
      </w:tr>
      <w:tr w:rsidR="000E6B70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0E6B70" w:rsidRDefault="000E6B70" w:rsidP="000E6B70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6B70" w:rsidRPr="009D2F5A" w:rsidRDefault="000E6B70" w:rsidP="0025331B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F50EBF">
              <w:rPr>
                <w:rFonts w:ascii="Arial" w:hAnsi="Arial" w:cs="Arial"/>
                <w:sz w:val="24"/>
                <w:szCs w:val="24"/>
              </w:rPr>
              <w:t>47</w:t>
            </w:r>
            <w:r w:rsidR="00ED16EA">
              <w:rPr>
                <w:rFonts w:ascii="Arial" w:hAnsi="Arial" w:cs="Arial"/>
                <w:sz w:val="24"/>
                <w:szCs w:val="24"/>
              </w:rPr>
              <w:t>/15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25331B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2B57BD" w:rsidRDefault="00F50EBF" w:rsidP="002B57B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Chief Operating Officer’s Report</w:t>
            </w:r>
          </w:p>
          <w:p w:rsidR="002F3B6B" w:rsidRPr="00687CBE" w:rsidRDefault="000D05CC" w:rsidP="00ED16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Consider whether</w:t>
            </w:r>
            <w:r w:rsidR="0025331B">
              <w:rPr>
                <w:rFonts w:ascii="Arial" w:hAnsi="Arial" w:cs="Arial"/>
                <w:bCs/>
                <w:sz w:val="24"/>
                <w:szCs w:val="24"/>
              </w:rPr>
              <w:t xml:space="preserve"> future reports could routinely show the number of staff and caseload figures when providing an overview of services.</w:t>
            </w:r>
          </w:p>
        </w:tc>
        <w:tc>
          <w:tcPr>
            <w:tcW w:w="2286" w:type="dxa"/>
            <w:shd w:val="clear" w:color="auto" w:fill="auto"/>
          </w:tcPr>
          <w:p w:rsidR="000E6B70" w:rsidRDefault="000E6B70" w:rsidP="000E6B70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6B70" w:rsidRPr="009D2F5A" w:rsidRDefault="0025331B" w:rsidP="000E6B70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YT</w:t>
            </w:r>
          </w:p>
        </w:tc>
      </w:tr>
      <w:tr w:rsidR="0089403F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89403F" w:rsidRDefault="0089403F" w:rsidP="0089403F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403F" w:rsidRPr="009D2F5A" w:rsidRDefault="0089403F" w:rsidP="002B57BD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25331B">
              <w:rPr>
                <w:rFonts w:ascii="Arial" w:hAnsi="Arial" w:cs="Arial"/>
                <w:sz w:val="24"/>
                <w:szCs w:val="24"/>
              </w:rPr>
              <w:t>47</w:t>
            </w:r>
            <w:r w:rsidR="0052154A">
              <w:rPr>
                <w:rFonts w:ascii="Arial" w:hAnsi="Arial" w:cs="Arial"/>
                <w:sz w:val="24"/>
                <w:szCs w:val="24"/>
              </w:rPr>
              <w:t>/15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25331B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25331B" w:rsidRDefault="0025331B" w:rsidP="0025331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Chief Operating Officer’s Report</w:t>
            </w:r>
          </w:p>
          <w:p w:rsidR="0089403F" w:rsidRPr="00687CBE" w:rsidRDefault="0025331B" w:rsidP="002B57B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Present a final project wrap-up report </w:t>
            </w:r>
            <w:r w:rsidR="000D05CC">
              <w:rPr>
                <w:rFonts w:ascii="Arial" w:hAnsi="Arial" w:cs="Arial"/>
                <w:bCs/>
                <w:sz w:val="24"/>
                <w:szCs w:val="24"/>
              </w:rPr>
              <w:t xml:space="preserve">on the Whiteleaf Centre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to the Board. </w:t>
            </w:r>
          </w:p>
        </w:tc>
        <w:tc>
          <w:tcPr>
            <w:tcW w:w="2286" w:type="dxa"/>
            <w:shd w:val="clear" w:color="auto" w:fill="auto"/>
          </w:tcPr>
          <w:p w:rsidR="0089403F" w:rsidRDefault="0089403F" w:rsidP="0089403F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403F" w:rsidRPr="009D2F5A" w:rsidRDefault="0052154A" w:rsidP="0089403F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</w:t>
            </w:r>
          </w:p>
        </w:tc>
      </w:tr>
      <w:tr w:rsidR="0089403F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89403F" w:rsidRDefault="0089403F" w:rsidP="0089403F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403F" w:rsidRPr="009D2F5A" w:rsidRDefault="0089403F" w:rsidP="005D77EC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A15794">
              <w:rPr>
                <w:rFonts w:ascii="Arial" w:hAnsi="Arial" w:cs="Arial"/>
                <w:sz w:val="24"/>
                <w:szCs w:val="24"/>
              </w:rPr>
              <w:t>47</w:t>
            </w:r>
            <w:r w:rsidR="0052154A">
              <w:rPr>
                <w:rFonts w:ascii="Arial" w:hAnsi="Arial" w:cs="Arial"/>
                <w:sz w:val="24"/>
                <w:szCs w:val="24"/>
              </w:rPr>
              <w:t>/15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A15794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25331B" w:rsidRDefault="0025331B" w:rsidP="0025331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Chief Operating Officer’s Report</w:t>
            </w:r>
          </w:p>
          <w:p w:rsidR="0089403F" w:rsidRPr="00687CBE" w:rsidRDefault="0025331B" w:rsidP="0089403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Look at whether the benefits of the relocation of the Oxford City Community Hospital could be shown</w:t>
            </w:r>
            <w:r w:rsidR="00A15794">
              <w:rPr>
                <w:rFonts w:ascii="Arial" w:hAnsi="Arial" w:cs="Arial"/>
                <w:bCs/>
                <w:sz w:val="24"/>
                <w:szCs w:val="24"/>
              </w:rPr>
              <w:t xml:space="preserve"> in a future report</w:t>
            </w:r>
            <w:r w:rsidR="005D77EC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286" w:type="dxa"/>
            <w:shd w:val="clear" w:color="auto" w:fill="auto"/>
          </w:tcPr>
          <w:p w:rsidR="0089403F" w:rsidRDefault="0089403F" w:rsidP="0089403F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403F" w:rsidRPr="009D2F5A" w:rsidRDefault="0025331B" w:rsidP="0089403F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YT</w:t>
            </w:r>
          </w:p>
        </w:tc>
      </w:tr>
      <w:tr w:rsidR="0089403F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89403F" w:rsidRDefault="0089403F" w:rsidP="0089403F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403F" w:rsidRPr="009D2F5A" w:rsidRDefault="0089403F" w:rsidP="005D77EC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A15794">
              <w:rPr>
                <w:rFonts w:ascii="Arial" w:hAnsi="Arial" w:cs="Arial"/>
                <w:sz w:val="24"/>
                <w:szCs w:val="24"/>
              </w:rPr>
              <w:t>48</w:t>
            </w:r>
            <w:r w:rsidR="00191B83">
              <w:rPr>
                <w:rFonts w:ascii="Arial" w:hAnsi="Arial" w:cs="Arial"/>
                <w:sz w:val="24"/>
                <w:szCs w:val="24"/>
              </w:rPr>
              <w:t>/15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A15794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89403F" w:rsidRDefault="00A15794" w:rsidP="0089403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Quality and Safety Report – Patient Experience </w:t>
            </w:r>
          </w:p>
          <w:p w:rsidR="0089403F" w:rsidRPr="00063421" w:rsidRDefault="00754E78" w:rsidP="003871F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 w:rsidR="00A15794">
              <w:rPr>
                <w:rFonts w:ascii="Arial" w:hAnsi="Arial" w:cs="Arial"/>
                <w:bCs/>
                <w:sz w:val="24"/>
                <w:szCs w:val="24"/>
              </w:rPr>
              <w:t xml:space="preserve">Executive team to discuss and consider how </w:t>
            </w:r>
            <w:r w:rsidR="003871F3">
              <w:rPr>
                <w:rFonts w:ascii="Arial" w:hAnsi="Arial" w:cs="Arial"/>
                <w:bCs/>
                <w:sz w:val="24"/>
                <w:szCs w:val="24"/>
              </w:rPr>
              <w:t xml:space="preserve">patient experience </w:t>
            </w:r>
            <w:r w:rsidR="00A15794">
              <w:rPr>
                <w:rFonts w:ascii="Arial" w:hAnsi="Arial" w:cs="Arial"/>
                <w:bCs/>
                <w:sz w:val="24"/>
                <w:szCs w:val="24"/>
              </w:rPr>
              <w:t>results should be fe</w:t>
            </w:r>
            <w:r w:rsidR="000D05CC">
              <w:rPr>
                <w:rFonts w:ascii="Arial" w:hAnsi="Arial" w:cs="Arial"/>
                <w:bCs/>
                <w:sz w:val="24"/>
                <w:szCs w:val="24"/>
              </w:rPr>
              <w:t xml:space="preserve">d back to staff and </w:t>
            </w:r>
            <w:r w:rsidR="003871F3">
              <w:rPr>
                <w:rFonts w:ascii="Arial" w:hAnsi="Arial" w:cs="Arial"/>
                <w:bCs/>
                <w:sz w:val="24"/>
                <w:szCs w:val="24"/>
              </w:rPr>
              <w:t>look to furnish the Board with action plans for this following Executive discussion</w:t>
            </w:r>
            <w:r w:rsidR="000D05CC">
              <w:rPr>
                <w:rFonts w:ascii="Arial" w:hAnsi="Arial" w:cs="Arial"/>
                <w:bCs/>
                <w:sz w:val="24"/>
                <w:szCs w:val="24"/>
              </w:rPr>
              <w:t xml:space="preserve">.   </w:t>
            </w:r>
          </w:p>
        </w:tc>
        <w:tc>
          <w:tcPr>
            <w:tcW w:w="2286" w:type="dxa"/>
            <w:shd w:val="clear" w:color="auto" w:fill="auto"/>
          </w:tcPr>
          <w:p w:rsidR="0089403F" w:rsidRDefault="0089403F" w:rsidP="0089403F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403F" w:rsidRPr="009D2F5A" w:rsidRDefault="005D77EC" w:rsidP="0089403F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</w:t>
            </w:r>
          </w:p>
        </w:tc>
      </w:tr>
      <w:tr w:rsidR="000E6B70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0E6B70" w:rsidRDefault="000E6B70" w:rsidP="000E6B70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6B70" w:rsidRPr="009D2F5A" w:rsidRDefault="000E6B70" w:rsidP="00A1579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A15794">
              <w:rPr>
                <w:rFonts w:ascii="Arial" w:hAnsi="Arial" w:cs="Arial"/>
                <w:sz w:val="24"/>
                <w:szCs w:val="24"/>
              </w:rPr>
              <w:t>49</w:t>
            </w:r>
            <w:r>
              <w:rPr>
                <w:rFonts w:ascii="Arial" w:hAnsi="Arial" w:cs="Arial"/>
                <w:sz w:val="24"/>
                <w:szCs w:val="24"/>
              </w:rPr>
              <w:t>/1</w:t>
            </w:r>
            <w:r w:rsidR="005E5479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A15794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5D77EC" w:rsidRDefault="00A15794" w:rsidP="005D77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Quality Account Priorities 2015/16</w:t>
            </w:r>
          </w:p>
          <w:p w:rsidR="005D77EC" w:rsidRPr="005D77EC" w:rsidRDefault="005D77EC" w:rsidP="005D77E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2F3B6B" w:rsidRPr="005D77EC" w:rsidRDefault="003871F3" w:rsidP="00754E7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Amend the Quality Account priorities as agreed</w:t>
            </w:r>
            <w:r w:rsidR="00754E7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286" w:type="dxa"/>
            <w:shd w:val="clear" w:color="auto" w:fill="auto"/>
          </w:tcPr>
          <w:p w:rsidR="000E6B70" w:rsidRDefault="000E6B70" w:rsidP="000E6B70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6B70" w:rsidRPr="009D2F5A" w:rsidRDefault="00754E78" w:rsidP="000E6B70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</w:t>
            </w:r>
          </w:p>
        </w:tc>
      </w:tr>
      <w:tr w:rsidR="00063421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063421" w:rsidRDefault="00063421" w:rsidP="00063421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421" w:rsidRDefault="00063421" w:rsidP="00FA1522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754E78">
              <w:rPr>
                <w:rFonts w:ascii="Arial" w:hAnsi="Arial" w:cs="Arial"/>
                <w:sz w:val="24"/>
                <w:szCs w:val="24"/>
              </w:rPr>
              <w:t>50</w:t>
            </w:r>
            <w:r w:rsidR="005E5479">
              <w:rPr>
                <w:rFonts w:ascii="Arial" w:hAnsi="Arial" w:cs="Arial"/>
                <w:sz w:val="24"/>
                <w:szCs w:val="24"/>
              </w:rPr>
              <w:t>/15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754E78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5E547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01E3D" w:rsidRPr="009D2F5A" w:rsidRDefault="00601E3D" w:rsidP="00FA1522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1" w:type="dxa"/>
          </w:tcPr>
          <w:p w:rsidR="00C44D41" w:rsidRDefault="00754E78" w:rsidP="00C44D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Inpatient Safe Staffing (Nursing)</w:t>
            </w:r>
          </w:p>
          <w:p w:rsidR="00C44D41" w:rsidRDefault="00C44D41" w:rsidP="00C44D41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63421" w:rsidRPr="00687CBE" w:rsidRDefault="003871F3" w:rsidP="003871F3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Consider whether Band &amp; Agency usage would decrease if vacancies were filled and p</w:t>
            </w:r>
            <w:r w:rsidR="00754E78">
              <w:rPr>
                <w:rFonts w:ascii="Arial" w:hAnsi="Arial" w:cs="Arial"/>
                <w:bCs/>
                <w:sz w:val="24"/>
                <w:szCs w:val="24"/>
              </w:rPr>
              <w:t>rovide further information, out-of-session on how the budget for Bank &amp; Agency staff worked</w:t>
            </w:r>
            <w:r w:rsidR="00C44D41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286" w:type="dxa"/>
            <w:shd w:val="clear" w:color="auto" w:fill="auto"/>
          </w:tcPr>
          <w:p w:rsidR="00063421" w:rsidRDefault="00063421" w:rsidP="00063421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421" w:rsidRPr="009D2F5A" w:rsidRDefault="00754E78" w:rsidP="005E5479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 / </w:t>
            </w:r>
            <w:r w:rsidR="00C44D41">
              <w:rPr>
                <w:rFonts w:ascii="Arial" w:hAnsi="Arial" w:cs="Arial"/>
                <w:sz w:val="24"/>
                <w:szCs w:val="24"/>
              </w:rPr>
              <w:t>MMcE</w:t>
            </w:r>
          </w:p>
        </w:tc>
      </w:tr>
      <w:tr w:rsidR="00063421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063421" w:rsidRDefault="00063421" w:rsidP="00063421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421" w:rsidRPr="009D2F5A" w:rsidRDefault="00063421" w:rsidP="00754E78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754E78">
              <w:rPr>
                <w:rFonts w:ascii="Arial" w:hAnsi="Arial" w:cs="Arial"/>
                <w:sz w:val="24"/>
                <w:szCs w:val="24"/>
              </w:rPr>
              <w:t>54</w:t>
            </w:r>
            <w:r w:rsidR="005E5479">
              <w:rPr>
                <w:rFonts w:ascii="Arial" w:hAnsi="Arial" w:cs="Arial"/>
                <w:sz w:val="24"/>
                <w:szCs w:val="24"/>
              </w:rPr>
              <w:t>/15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754E78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754E78" w:rsidRDefault="00754E78" w:rsidP="00754E7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Improving Access to Mental Health Services</w:t>
            </w:r>
          </w:p>
          <w:p w:rsidR="00063421" w:rsidRPr="00687CBE" w:rsidRDefault="009E77B9" w:rsidP="007F39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Ensure that future reports show what support was made availab</w:t>
            </w:r>
            <w:r w:rsidR="003871F3">
              <w:rPr>
                <w:rFonts w:ascii="Arial" w:hAnsi="Arial" w:cs="Arial"/>
                <w:bCs/>
                <w:sz w:val="24"/>
                <w:szCs w:val="24"/>
              </w:rPr>
              <w:t xml:space="preserve">le to people who may </w:t>
            </w:r>
            <w:bookmarkStart w:id="0" w:name="_GoBack"/>
            <w:bookmarkEnd w:id="0"/>
            <w:r w:rsidR="003871F3">
              <w:rPr>
                <w:rFonts w:ascii="Arial" w:hAnsi="Arial" w:cs="Arial"/>
                <w:bCs/>
                <w:sz w:val="24"/>
                <w:szCs w:val="24"/>
              </w:rPr>
              <w:t>need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to wait for services</w:t>
            </w:r>
            <w:r w:rsidR="002744DF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286" w:type="dxa"/>
            <w:shd w:val="clear" w:color="auto" w:fill="auto"/>
          </w:tcPr>
          <w:p w:rsidR="00063421" w:rsidRDefault="00063421" w:rsidP="00063421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421" w:rsidRPr="009D2F5A" w:rsidRDefault="009E77B9" w:rsidP="00063421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YT</w:t>
            </w:r>
          </w:p>
        </w:tc>
      </w:tr>
      <w:tr w:rsidR="005E5479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5E5479" w:rsidRDefault="005E5479" w:rsidP="005E5479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E5479" w:rsidRPr="009D2F5A" w:rsidRDefault="005E5479" w:rsidP="00754E78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754E78">
              <w:rPr>
                <w:rFonts w:ascii="Arial" w:hAnsi="Arial" w:cs="Arial"/>
                <w:sz w:val="24"/>
                <w:szCs w:val="24"/>
              </w:rPr>
              <w:t>55/15 (d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754E78" w:rsidRDefault="00754E78" w:rsidP="00754E7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Workforce Performance Report </w:t>
            </w:r>
          </w:p>
          <w:p w:rsidR="005E5479" w:rsidRPr="00687CBE" w:rsidRDefault="007F39F5" w:rsidP="007F39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Use the s</w:t>
            </w:r>
            <w:r w:rsidR="003871F3">
              <w:rPr>
                <w:rFonts w:ascii="Arial" w:hAnsi="Arial" w:cs="Arial"/>
                <w:bCs/>
                <w:sz w:val="24"/>
                <w:szCs w:val="24"/>
              </w:rPr>
              <w:t xml:space="preserve">trategy </w:t>
            </w:r>
            <w:r w:rsidR="00341BD4">
              <w:rPr>
                <w:rFonts w:ascii="Arial" w:hAnsi="Arial" w:cs="Arial"/>
                <w:bCs/>
                <w:sz w:val="24"/>
                <w:szCs w:val="24"/>
              </w:rPr>
              <w:t>session 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t </w:t>
            </w:r>
            <w:r w:rsidR="00341BD4">
              <w:rPr>
                <w:rFonts w:ascii="Arial" w:hAnsi="Arial" w:cs="Arial"/>
                <w:bCs/>
                <w:sz w:val="24"/>
                <w:szCs w:val="24"/>
              </w:rPr>
              <w:t>the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May</w:t>
            </w:r>
            <w:r w:rsidR="00341BD4">
              <w:rPr>
                <w:rFonts w:ascii="Arial" w:hAnsi="Arial" w:cs="Arial"/>
                <w:bCs/>
                <w:sz w:val="24"/>
                <w:szCs w:val="24"/>
              </w:rPr>
              <w:t xml:space="preserve"> private Board meeting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to focus on the workforce strategy. </w:t>
            </w:r>
          </w:p>
        </w:tc>
        <w:tc>
          <w:tcPr>
            <w:tcW w:w="2286" w:type="dxa"/>
            <w:shd w:val="clear" w:color="auto" w:fill="auto"/>
          </w:tcPr>
          <w:p w:rsidR="005E5479" w:rsidRDefault="005E5479" w:rsidP="005E5479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E5479" w:rsidRPr="009D2F5A" w:rsidRDefault="002744DF" w:rsidP="005E5479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MMcE</w:t>
            </w:r>
            <w:r w:rsidR="00341BD4">
              <w:rPr>
                <w:rFonts w:ascii="Arial" w:hAnsi="Arial" w:cs="Arial"/>
                <w:sz w:val="24"/>
                <w:szCs w:val="24"/>
              </w:rPr>
              <w:t xml:space="preserve"> / CM</w:t>
            </w:r>
          </w:p>
        </w:tc>
      </w:tr>
      <w:tr w:rsidR="005E5479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5E5479" w:rsidRDefault="005E5479" w:rsidP="005E5479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E5479" w:rsidRPr="009D2F5A" w:rsidRDefault="005E5479" w:rsidP="00927ED6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341BD4">
              <w:rPr>
                <w:rFonts w:ascii="Arial" w:hAnsi="Arial" w:cs="Arial"/>
                <w:sz w:val="24"/>
                <w:szCs w:val="24"/>
              </w:rPr>
              <w:t>5</w:t>
            </w:r>
            <w:r w:rsidR="00927ED6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/15 (</w:t>
            </w:r>
            <w:r w:rsidR="00341BD4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341BD4" w:rsidRDefault="00341BD4" w:rsidP="00341BD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Workforce Performance Report </w:t>
            </w:r>
          </w:p>
          <w:p w:rsidR="005E5479" w:rsidRPr="00687CBE" w:rsidRDefault="001B0FB1" w:rsidP="005E547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Look to provide an update in the next report on what Agency cover is being used for (i</w:t>
            </w:r>
            <w:r w:rsidR="000D05CC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="000D05CC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sickness absence or vacancies).</w:t>
            </w:r>
          </w:p>
        </w:tc>
        <w:tc>
          <w:tcPr>
            <w:tcW w:w="2286" w:type="dxa"/>
            <w:shd w:val="clear" w:color="auto" w:fill="auto"/>
          </w:tcPr>
          <w:p w:rsidR="005E5479" w:rsidRDefault="005E5479" w:rsidP="005E5479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E5479" w:rsidRPr="009D2F5A" w:rsidRDefault="001B0FB1" w:rsidP="005E5479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MMcE</w:t>
            </w:r>
          </w:p>
        </w:tc>
      </w:tr>
    </w:tbl>
    <w:p w:rsidR="00633554" w:rsidRPr="00E367B7" w:rsidRDefault="00633554">
      <w:pPr>
        <w:rPr>
          <w:rFonts w:ascii="Arial" w:hAnsi="Arial" w:cs="Arial"/>
          <w:sz w:val="24"/>
          <w:szCs w:val="24"/>
        </w:rPr>
      </w:pPr>
    </w:p>
    <w:sectPr w:rsidR="00633554" w:rsidRPr="00E367B7" w:rsidSect="000B2947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522" w:rsidRDefault="00FA1522" w:rsidP="000B2947">
      <w:pPr>
        <w:spacing w:after="0" w:line="240" w:lineRule="auto"/>
      </w:pPr>
      <w:r>
        <w:separator/>
      </w:r>
    </w:p>
  </w:endnote>
  <w:endnote w:type="continuationSeparator" w:id="0">
    <w:p w:rsidR="00FA1522" w:rsidRDefault="00FA1522" w:rsidP="000B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522" w:rsidRDefault="00861BF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39F5">
      <w:rPr>
        <w:noProof/>
      </w:rPr>
      <w:t>3</w:t>
    </w:r>
    <w:r>
      <w:rPr>
        <w:noProof/>
      </w:rPr>
      <w:fldChar w:fldCharType="end"/>
    </w:r>
  </w:p>
  <w:p w:rsidR="00FA1522" w:rsidRDefault="00FA15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522" w:rsidRDefault="00FA1522" w:rsidP="000B2947">
      <w:pPr>
        <w:spacing w:after="0" w:line="240" w:lineRule="auto"/>
      </w:pPr>
      <w:r>
        <w:separator/>
      </w:r>
    </w:p>
  </w:footnote>
  <w:footnote w:type="continuationSeparator" w:id="0">
    <w:p w:rsidR="00FA1522" w:rsidRDefault="00FA1522" w:rsidP="000B2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522" w:rsidRPr="007D06DC" w:rsidRDefault="00FA1522" w:rsidP="000B2947">
    <w:pPr>
      <w:pStyle w:val="Header"/>
      <w:jc w:val="center"/>
    </w:pPr>
    <w:r>
      <w:rPr>
        <w:i/>
      </w:rPr>
      <w:t>PUBLIC</w:t>
    </w:r>
  </w:p>
  <w:p w:rsidR="00FA1522" w:rsidRPr="000B2947" w:rsidRDefault="00FA1522">
    <w:pPr>
      <w:pStyle w:val="Header"/>
      <w:rPr>
        <w:b/>
      </w:rPr>
    </w:pPr>
  </w:p>
  <w:p w:rsidR="00FA1522" w:rsidRDefault="00FA152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482"/>
    <w:multiLevelType w:val="hybridMultilevel"/>
    <w:tmpl w:val="79EAA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1217C"/>
    <w:multiLevelType w:val="hybridMultilevel"/>
    <w:tmpl w:val="7E343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67214"/>
    <w:multiLevelType w:val="hybridMultilevel"/>
    <w:tmpl w:val="7D106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BA7F32"/>
    <w:multiLevelType w:val="hybridMultilevel"/>
    <w:tmpl w:val="060C7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47"/>
    <w:rsid w:val="000039B1"/>
    <w:rsid w:val="000072FC"/>
    <w:rsid w:val="00015015"/>
    <w:rsid w:val="00024DA4"/>
    <w:rsid w:val="00032E57"/>
    <w:rsid w:val="0004460B"/>
    <w:rsid w:val="00046EA9"/>
    <w:rsid w:val="00063257"/>
    <w:rsid w:val="00063421"/>
    <w:rsid w:val="000765F3"/>
    <w:rsid w:val="0007738F"/>
    <w:rsid w:val="00087272"/>
    <w:rsid w:val="000B2947"/>
    <w:rsid w:val="000B69CF"/>
    <w:rsid w:val="000D05CC"/>
    <w:rsid w:val="000D7875"/>
    <w:rsid w:val="000E244A"/>
    <w:rsid w:val="000E6B70"/>
    <w:rsid w:val="000F0B7F"/>
    <w:rsid w:val="000F48CF"/>
    <w:rsid w:val="000F7BD1"/>
    <w:rsid w:val="00105FDB"/>
    <w:rsid w:val="001120FD"/>
    <w:rsid w:val="001219E0"/>
    <w:rsid w:val="001220D3"/>
    <w:rsid w:val="00131067"/>
    <w:rsid w:val="001431EB"/>
    <w:rsid w:val="0015391E"/>
    <w:rsid w:val="00171A81"/>
    <w:rsid w:val="00191B83"/>
    <w:rsid w:val="001B0FB1"/>
    <w:rsid w:val="001E16A4"/>
    <w:rsid w:val="0020141B"/>
    <w:rsid w:val="00201E3B"/>
    <w:rsid w:val="0020722B"/>
    <w:rsid w:val="002258F6"/>
    <w:rsid w:val="00237F6F"/>
    <w:rsid w:val="00240701"/>
    <w:rsid w:val="00241AA6"/>
    <w:rsid w:val="00244F70"/>
    <w:rsid w:val="0025228D"/>
    <w:rsid w:val="0025331B"/>
    <w:rsid w:val="00253C8F"/>
    <w:rsid w:val="00261E54"/>
    <w:rsid w:val="002744DF"/>
    <w:rsid w:val="00282647"/>
    <w:rsid w:val="00282D3B"/>
    <w:rsid w:val="002A5A69"/>
    <w:rsid w:val="002B57BD"/>
    <w:rsid w:val="002C0F68"/>
    <w:rsid w:val="002C6990"/>
    <w:rsid w:val="002D230C"/>
    <w:rsid w:val="002D6A88"/>
    <w:rsid w:val="002E50D9"/>
    <w:rsid w:val="002F2524"/>
    <w:rsid w:val="002F3B6B"/>
    <w:rsid w:val="002F6393"/>
    <w:rsid w:val="003033E1"/>
    <w:rsid w:val="00314CE7"/>
    <w:rsid w:val="003305FC"/>
    <w:rsid w:val="0033178B"/>
    <w:rsid w:val="0033274C"/>
    <w:rsid w:val="00341BD4"/>
    <w:rsid w:val="003515C3"/>
    <w:rsid w:val="003759F1"/>
    <w:rsid w:val="00376489"/>
    <w:rsid w:val="00380E7A"/>
    <w:rsid w:val="00383F5B"/>
    <w:rsid w:val="00384B7A"/>
    <w:rsid w:val="003871F3"/>
    <w:rsid w:val="00390FD5"/>
    <w:rsid w:val="00393728"/>
    <w:rsid w:val="00393AFE"/>
    <w:rsid w:val="00394139"/>
    <w:rsid w:val="00397575"/>
    <w:rsid w:val="003B304C"/>
    <w:rsid w:val="003D05D4"/>
    <w:rsid w:val="003E28C6"/>
    <w:rsid w:val="003E5C3C"/>
    <w:rsid w:val="003F2467"/>
    <w:rsid w:val="00425229"/>
    <w:rsid w:val="004266B5"/>
    <w:rsid w:val="00440F72"/>
    <w:rsid w:val="00452F7C"/>
    <w:rsid w:val="00456BE6"/>
    <w:rsid w:val="00465CD1"/>
    <w:rsid w:val="00466230"/>
    <w:rsid w:val="004921A3"/>
    <w:rsid w:val="004938A0"/>
    <w:rsid w:val="004942A2"/>
    <w:rsid w:val="004B0D4D"/>
    <w:rsid w:val="004C759B"/>
    <w:rsid w:val="004D7E50"/>
    <w:rsid w:val="00505351"/>
    <w:rsid w:val="005077BE"/>
    <w:rsid w:val="00511324"/>
    <w:rsid w:val="0052154A"/>
    <w:rsid w:val="00522131"/>
    <w:rsid w:val="00525A57"/>
    <w:rsid w:val="00531123"/>
    <w:rsid w:val="00537F66"/>
    <w:rsid w:val="00543314"/>
    <w:rsid w:val="0057412E"/>
    <w:rsid w:val="00581E04"/>
    <w:rsid w:val="005823B6"/>
    <w:rsid w:val="0059202C"/>
    <w:rsid w:val="00593FA0"/>
    <w:rsid w:val="00594955"/>
    <w:rsid w:val="005B3341"/>
    <w:rsid w:val="005B61CF"/>
    <w:rsid w:val="005D72E8"/>
    <w:rsid w:val="005D77EC"/>
    <w:rsid w:val="005E5479"/>
    <w:rsid w:val="005F3233"/>
    <w:rsid w:val="00601E3D"/>
    <w:rsid w:val="00610966"/>
    <w:rsid w:val="00611984"/>
    <w:rsid w:val="006128F5"/>
    <w:rsid w:val="00627618"/>
    <w:rsid w:val="00633554"/>
    <w:rsid w:val="006439B2"/>
    <w:rsid w:val="006454AE"/>
    <w:rsid w:val="00652FAF"/>
    <w:rsid w:val="006716E3"/>
    <w:rsid w:val="00674699"/>
    <w:rsid w:val="0067651E"/>
    <w:rsid w:val="00687CBE"/>
    <w:rsid w:val="00693453"/>
    <w:rsid w:val="006946E2"/>
    <w:rsid w:val="00696E9F"/>
    <w:rsid w:val="00697032"/>
    <w:rsid w:val="006B1EB2"/>
    <w:rsid w:val="006B7541"/>
    <w:rsid w:val="006D39B0"/>
    <w:rsid w:val="006D6992"/>
    <w:rsid w:val="00700062"/>
    <w:rsid w:val="0070258B"/>
    <w:rsid w:val="0072245F"/>
    <w:rsid w:val="00730438"/>
    <w:rsid w:val="0073197C"/>
    <w:rsid w:val="007336A4"/>
    <w:rsid w:val="00734966"/>
    <w:rsid w:val="00754E78"/>
    <w:rsid w:val="00760C31"/>
    <w:rsid w:val="00762ED4"/>
    <w:rsid w:val="00763A8F"/>
    <w:rsid w:val="0076462F"/>
    <w:rsid w:val="00766A85"/>
    <w:rsid w:val="00767605"/>
    <w:rsid w:val="00774CB7"/>
    <w:rsid w:val="0078654D"/>
    <w:rsid w:val="00793558"/>
    <w:rsid w:val="007B21CE"/>
    <w:rsid w:val="007B3FD6"/>
    <w:rsid w:val="007C3131"/>
    <w:rsid w:val="007C4C3A"/>
    <w:rsid w:val="007E3804"/>
    <w:rsid w:val="007E4BCB"/>
    <w:rsid w:val="007F39F5"/>
    <w:rsid w:val="007F3D90"/>
    <w:rsid w:val="008006A3"/>
    <w:rsid w:val="0081463C"/>
    <w:rsid w:val="00832469"/>
    <w:rsid w:val="008340D7"/>
    <w:rsid w:val="00834277"/>
    <w:rsid w:val="0084583C"/>
    <w:rsid w:val="00861BF3"/>
    <w:rsid w:val="008734E5"/>
    <w:rsid w:val="008756CF"/>
    <w:rsid w:val="008757DA"/>
    <w:rsid w:val="008776D6"/>
    <w:rsid w:val="0088270F"/>
    <w:rsid w:val="00891EB1"/>
    <w:rsid w:val="0089273B"/>
    <w:rsid w:val="0089403F"/>
    <w:rsid w:val="008A7296"/>
    <w:rsid w:val="008B2F3F"/>
    <w:rsid w:val="008F4C6C"/>
    <w:rsid w:val="00907DE9"/>
    <w:rsid w:val="00923288"/>
    <w:rsid w:val="0092378F"/>
    <w:rsid w:val="00926388"/>
    <w:rsid w:val="00927ED6"/>
    <w:rsid w:val="00933452"/>
    <w:rsid w:val="00942C34"/>
    <w:rsid w:val="0094567F"/>
    <w:rsid w:val="009564BB"/>
    <w:rsid w:val="009650DE"/>
    <w:rsid w:val="009C6599"/>
    <w:rsid w:val="009D23DA"/>
    <w:rsid w:val="009D2F5A"/>
    <w:rsid w:val="009E38B1"/>
    <w:rsid w:val="009E77B9"/>
    <w:rsid w:val="00A15794"/>
    <w:rsid w:val="00A166C1"/>
    <w:rsid w:val="00A226AB"/>
    <w:rsid w:val="00A22825"/>
    <w:rsid w:val="00A24484"/>
    <w:rsid w:val="00A37FAC"/>
    <w:rsid w:val="00A43C8E"/>
    <w:rsid w:val="00A44287"/>
    <w:rsid w:val="00A44C56"/>
    <w:rsid w:val="00A5526F"/>
    <w:rsid w:val="00A71BDC"/>
    <w:rsid w:val="00A72B2B"/>
    <w:rsid w:val="00A802E6"/>
    <w:rsid w:val="00AA1675"/>
    <w:rsid w:val="00AA2AD8"/>
    <w:rsid w:val="00AB249F"/>
    <w:rsid w:val="00AC008C"/>
    <w:rsid w:val="00AC76AD"/>
    <w:rsid w:val="00AD5AF4"/>
    <w:rsid w:val="00B02AC5"/>
    <w:rsid w:val="00B31870"/>
    <w:rsid w:val="00B33194"/>
    <w:rsid w:val="00B347C7"/>
    <w:rsid w:val="00B40958"/>
    <w:rsid w:val="00B658D5"/>
    <w:rsid w:val="00B724D9"/>
    <w:rsid w:val="00B81AE9"/>
    <w:rsid w:val="00B974C1"/>
    <w:rsid w:val="00BA2DD3"/>
    <w:rsid w:val="00BA44E9"/>
    <w:rsid w:val="00BB62AB"/>
    <w:rsid w:val="00BC04F8"/>
    <w:rsid w:val="00BD4925"/>
    <w:rsid w:val="00BE2EFA"/>
    <w:rsid w:val="00BE3D89"/>
    <w:rsid w:val="00BE7491"/>
    <w:rsid w:val="00BF32AD"/>
    <w:rsid w:val="00C4205F"/>
    <w:rsid w:val="00C44D41"/>
    <w:rsid w:val="00C4763E"/>
    <w:rsid w:val="00C5206A"/>
    <w:rsid w:val="00C74867"/>
    <w:rsid w:val="00C9522B"/>
    <w:rsid w:val="00C95A17"/>
    <w:rsid w:val="00C97CCE"/>
    <w:rsid w:val="00CD2283"/>
    <w:rsid w:val="00CE2874"/>
    <w:rsid w:val="00D121CE"/>
    <w:rsid w:val="00D14EC6"/>
    <w:rsid w:val="00D1503C"/>
    <w:rsid w:val="00D3669C"/>
    <w:rsid w:val="00D36BC0"/>
    <w:rsid w:val="00D42170"/>
    <w:rsid w:val="00D42D1A"/>
    <w:rsid w:val="00D6616A"/>
    <w:rsid w:val="00D7197F"/>
    <w:rsid w:val="00D8125D"/>
    <w:rsid w:val="00D83FCB"/>
    <w:rsid w:val="00D84DC6"/>
    <w:rsid w:val="00D9768A"/>
    <w:rsid w:val="00DC3C3E"/>
    <w:rsid w:val="00DC54A2"/>
    <w:rsid w:val="00DF07E3"/>
    <w:rsid w:val="00E00003"/>
    <w:rsid w:val="00E06EED"/>
    <w:rsid w:val="00E11EFB"/>
    <w:rsid w:val="00E14469"/>
    <w:rsid w:val="00E21DA2"/>
    <w:rsid w:val="00E22C7A"/>
    <w:rsid w:val="00E32A06"/>
    <w:rsid w:val="00E34729"/>
    <w:rsid w:val="00E367B7"/>
    <w:rsid w:val="00E520A9"/>
    <w:rsid w:val="00E55CDA"/>
    <w:rsid w:val="00E60C6D"/>
    <w:rsid w:val="00E7308C"/>
    <w:rsid w:val="00E76646"/>
    <w:rsid w:val="00E95111"/>
    <w:rsid w:val="00E97685"/>
    <w:rsid w:val="00EB50AE"/>
    <w:rsid w:val="00EB5869"/>
    <w:rsid w:val="00EC11E7"/>
    <w:rsid w:val="00ED08CB"/>
    <w:rsid w:val="00ED16EA"/>
    <w:rsid w:val="00ED427A"/>
    <w:rsid w:val="00EE1AB5"/>
    <w:rsid w:val="00EE4894"/>
    <w:rsid w:val="00EF5115"/>
    <w:rsid w:val="00EF72CB"/>
    <w:rsid w:val="00F00297"/>
    <w:rsid w:val="00F019EB"/>
    <w:rsid w:val="00F1349A"/>
    <w:rsid w:val="00F16822"/>
    <w:rsid w:val="00F16BE8"/>
    <w:rsid w:val="00F231AA"/>
    <w:rsid w:val="00F25643"/>
    <w:rsid w:val="00F31E37"/>
    <w:rsid w:val="00F31EA2"/>
    <w:rsid w:val="00F36B10"/>
    <w:rsid w:val="00F37A2E"/>
    <w:rsid w:val="00F40768"/>
    <w:rsid w:val="00F50EBF"/>
    <w:rsid w:val="00F51049"/>
    <w:rsid w:val="00F56435"/>
    <w:rsid w:val="00F57D46"/>
    <w:rsid w:val="00F65D26"/>
    <w:rsid w:val="00F77BBC"/>
    <w:rsid w:val="00F87CBE"/>
    <w:rsid w:val="00F907A0"/>
    <w:rsid w:val="00FA1522"/>
    <w:rsid w:val="00FC07BA"/>
    <w:rsid w:val="00FC7547"/>
    <w:rsid w:val="00FD4AAA"/>
    <w:rsid w:val="00FD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55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B2947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B294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2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947"/>
  </w:style>
  <w:style w:type="paragraph" w:styleId="BalloonText">
    <w:name w:val="Balloon Text"/>
    <w:basedOn w:val="Normal"/>
    <w:link w:val="BalloonTextChar"/>
    <w:uiPriority w:val="99"/>
    <w:semiHidden/>
    <w:unhideWhenUsed/>
    <w:rsid w:val="009E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8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54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55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B2947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B294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2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947"/>
  </w:style>
  <w:style w:type="paragraph" w:styleId="BalloonText">
    <w:name w:val="Balloon Text"/>
    <w:basedOn w:val="Normal"/>
    <w:link w:val="BalloonTextChar"/>
    <w:uiPriority w:val="99"/>
    <w:semiHidden/>
    <w:unhideWhenUsed/>
    <w:rsid w:val="009E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8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5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chine.anyaegbu</dc:creator>
  <cp:lastModifiedBy>Maxine.Hayden</cp:lastModifiedBy>
  <cp:revision>7</cp:revision>
  <cp:lastPrinted>2015-04-14T14:09:00Z</cp:lastPrinted>
  <dcterms:created xsi:type="dcterms:W3CDTF">2015-04-14T09:40:00Z</dcterms:created>
  <dcterms:modified xsi:type="dcterms:W3CDTF">2015-04-15T15:55:00Z</dcterms:modified>
</cp:coreProperties>
</file>