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BBF" w:rsidRDefault="00FE2BBF" w:rsidP="00FE2BBF">
      <w:pPr>
        <w:ind w:right="-900"/>
        <w:jc w:val="right"/>
      </w:pPr>
      <w:r>
        <w:rPr>
          <w:noProof/>
          <w:lang w:eastAsia="en-GB"/>
        </w:rPr>
        <w:drawing>
          <wp:inline distT="0" distB="0" distL="0" distR="0">
            <wp:extent cx="2552700" cy="504825"/>
            <wp:effectExtent l="0" t="0" r="0" b="952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52700" cy="504825"/>
                    </a:xfrm>
                    <a:prstGeom prst="rect">
                      <a:avLst/>
                    </a:prstGeom>
                    <a:noFill/>
                    <a:ln>
                      <a:noFill/>
                    </a:ln>
                  </pic:spPr>
                </pic:pic>
              </a:graphicData>
            </a:graphic>
          </wp:inline>
        </w:drawing>
      </w:r>
    </w:p>
    <w:p w:rsidR="00FE2BBF" w:rsidRDefault="00FE2BBF" w:rsidP="00FE2BBF">
      <w:pPr>
        <w:pStyle w:val="Heading1"/>
        <w:tabs>
          <w:tab w:val="left" w:pos="720"/>
        </w:tabs>
        <w:jc w:val="center"/>
        <w:rPr>
          <w:sz w:val="28"/>
        </w:rPr>
      </w:pPr>
    </w:p>
    <w:p w:rsidR="00FE2BBF" w:rsidRDefault="00FE2BBF" w:rsidP="00FE2BBF">
      <w:pPr>
        <w:pStyle w:val="Heading1"/>
        <w:tabs>
          <w:tab w:val="left" w:pos="720"/>
        </w:tabs>
        <w:jc w:val="center"/>
        <w:rPr>
          <w:rFonts w:ascii="Segoe UI" w:hAnsi="Segoe UI" w:cs="Segoe UI"/>
          <w:sz w:val="22"/>
          <w:szCs w:val="22"/>
          <w:u w:val="none"/>
        </w:rPr>
      </w:pPr>
    </w:p>
    <w:p w:rsidR="00FE2BBF" w:rsidRDefault="00FE2BBF" w:rsidP="00FE2BBF">
      <w:pPr>
        <w:pStyle w:val="Heading1"/>
        <w:tabs>
          <w:tab w:val="left" w:pos="720"/>
        </w:tabs>
        <w:jc w:val="center"/>
        <w:rPr>
          <w:rFonts w:ascii="Segoe UI" w:hAnsi="Segoe UI" w:cs="Segoe UI"/>
          <w:sz w:val="22"/>
          <w:szCs w:val="22"/>
          <w:u w:val="none"/>
        </w:rPr>
      </w:pPr>
    </w:p>
    <w:p w:rsidR="00FE2BBF" w:rsidRDefault="00FE2BBF" w:rsidP="00FE2BBF">
      <w:pPr>
        <w:pStyle w:val="Heading1"/>
        <w:tabs>
          <w:tab w:val="left" w:pos="720"/>
        </w:tabs>
        <w:jc w:val="center"/>
        <w:rPr>
          <w:rFonts w:ascii="Segoe UI" w:hAnsi="Segoe UI" w:cs="Segoe UI"/>
          <w:sz w:val="22"/>
          <w:szCs w:val="22"/>
          <w:u w:val="none"/>
        </w:rPr>
      </w:pPr>
    </w:p>
    <w:p w:rsidR="00FE2BBF" w:rsidRPr="007B1EA9" w:rsidRDefault="00FE2BBF" w:rsidP="00FE2BBF">
      <w:pPr>
        <w:pStyle w:val="Heading1"/>
        <w:tabs>
          <w:tab w:val="left" w:pos="720"/>
        </w:tabs>
        <w:jc w:val="center"/>
        <w:rPr>
          <w:rFonts w:ascii="Segoe UI" w:hAnsi="Segoe UI" w:cs="Segoe UI"/>
          <w:sz w:val="22"/>
          <w:szCs w:val="22"/>
          <w:u w:val="none"/>
        </w:rPr>
      </w:pPr>
      <w:r w:rsidRPr="007B1EA9">
        <w:rPr>
          <w:rFonts w:ascii="Segoe UI" w:hAnsi="Segoe UI" w:cs="Segoe UI"/>
          <w:sz w:val="22"/>
          <w:szCs w:val="22"/>
          <w:u w:val="none"/>
        </w:rPr>
        <w:t>Report to the Meeting of the Oxford Health NHS Foundation Trust</w:t>
      </w:r>
    </w:p>
    <w:p w:rsidR="00FE2BBF" w:rsidRPr="007B1EA9" w:rsidRDefault="00FE2BBF" w:rsidP="00FE2BBF">
      <w:pPr>
        <w:pStyle w:val="Heading1"/>
        <w:tabs>
          <w:tab w:val="left" w:pos="720"/>
        </w:tabs>
        <w:jc w:val="center"/>
        <w:rPr>
          <w:rFonts w:ascii="Segoe UI" w:hAnsi="Segoe UI" w:cs="Segoe UI"/>
          <w:sz w:val="22"/>
          <w:szCs w:val="22"/>
          <w:u w:val="none"/>
        </w:rPr>
      </w:pPr>
      <w:r>
        <w:rPr>
          <w:rFonts w:ascii="Segoe UI" w:hAnsi="Segoe UI" w:cs="Segoe UI"/>
          <w:sz w:val="22"/>
          <w:szCs w:val="22"/>
          <w:u w:val="none"/>
        </w:rPr>
        <w:t>Board of Directors</w:t>
      </w:r>
    </w:p>
    <w:p w:rsidR="00FE2BBF" w:rsidRPr="00D87E5A" w:rsidRDefault="00FE2BBF" w:rsidP="00FE2BBF">
      <w:pPr>
        <w:spacing w:line="240" w:lineRule="auto"/>
        <w:jc w:val="center"/>
        <w:rPr>
          <w:rFonts w:ascii="Segoe UI" w:hAnsi="Segoe UI" w:cs="Segoe UI"/>
          <w:b/>
          <w:sz w:val="16"/>
          <w:szCs w:val="16"/>
        </w:rPr>
      </w:pPr>
    </w:p>
    <w:p w:rsidR="00FE2BBF" w:rsidRPr="007B1EA9" w:rsidRDefault="00FE2BBF" w:rsidP="00FE2BBF">
      <w:pPr>
        <w:spacing w:line="240" w:lineRule="auto"/>
        <w:jc w:val="center"/>
        <w:rPr>
          <w:rFonts w:ascii="Segoe UI" w:hAnsi="Segoe UI" w:cs="Segoe UI"/>
          <w:b/>
        </w:rPr>
      </w:pPr>
      <w:r>
        <w:rPr>
          <w:rFonts w:ascii="Segoe UI" w:hAnsi="Segoe UI" w:cs="Segoe UI"/>
          <w:noProof/>
          <w:lang w:eastAsia="en-GB"/>
        </w:rPr>
        <mc:AlternateContent>
          <mc:Choice Requires="wps">
            <w:drawing>
              <wp:anchor distT="0" distB="0" distL="114300" distR="114300" simplePos="0" relativeHeight="251661312" behindDoc="0" locked="0" layoutInCell="1" allowOverlap="1" wp14:anchorId="4E3FA34B" wp14:editId="7A6864EF">
                <wp:simplePos x="0" y="0"/>
                <wp:positionH relativeFrom="column">
                  <wp:posOffset>4457700</wp:posOffset>
                </wp:positionH>
                <wp:positionV relativeFrom="paragraph">
                  <wp:posOffset>23495</wp:posOffset>
                </wp:positionV>
                <wp:extent cx="1371600" cy="523875"/>
                <wp:effectExtent l="0" t="0" r="1905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23875"/>
                        </a:xfrm>
                        <a:prstGeom prst="rect">
                          <a:avLst/>
                        </a:prstGeom>
                        <a:solidFill>
                          <a:srgbClr val="FFFFFF"/>
                        </a:solidFill>
                        <a:ln w="9525">
                          <a:solidFill>
                            <a:srgbClr val="000000"/>
                          </a:solidFill>
                          <a:miter lim="800000"/>
                          <a:headEnd/>
                          <a:tailEnd/>
                        </a:ln>
                      </wps:spPr>
                      <wps:txbx>
                        <w:txbxContent>
                          <w:p w:rsidR="00673543" w:rsidRDefault="00673543" w:rsidP="00673543">
                            <w:pPr>
                              <w:pStyle w:val="Heading1"/>
                              <w:jc w:val="center"/>
                              <w:rPr>
                                <w:sz w:val="24"/>
                                <w:u w:val="none"/>
                              </w:rPr>
                            </w:pPr>
                            <w:r>
                              <w:rPr>
                                <w:sz w:val="24"/>
                                <w:u w:val="none"/>
                              </w:rPr>
                              <w:t>PAPER</w:t>
                            </w:r>
                          </w:p>
                          <w:p w:rsidR="00673543" w:rsidRDefault="00673543" w:rsidP="00673543">
                            <w:pPr>
                              <w:pStyle w:val="BodyText"/>
                              <w:jc w:val="center"/>
                              <w:rPr>
                                <w:b/>
                                <w:sz w:val="22"/>
                              </w:rPr>
                            </w:pPr>
                            <w:r>
                              <w:rPr>
                                <w:b/>
                                <w:sz w:val="22"/>
                              </w:rPr>
                              <w:t>BOD 52/2015</w:t>
                            </w:r>
                          </w:p>
                          <w:p w:rsidR="00673543" w:rsidRDefault="00673543" w:rsidP="00673543">
                            <w:pPr>
                              <w:jc w:val="center"/>
                              <w:rPr>
                                <w:rFonts w:cs="Arial"/>
                                <w:sz w:val="20"/>
                                <w:szCs w:val="20"/>
                              </w:rPr>
                            </w:pPr>
                            <w:r>
                              <w:rPr>
                                <w:rFonts w:cs="Arial"/>
                                <w:sz w:val="20"/>
                                <w:szCs w:val="20"/>
                              </w:rPr>
                              <w:t xml:space="preserve">(Agenda Item: </w:t>
                            </w:r>
                            <w:r w:rsidR="00DB6646">
                              <w:rPr>
                                <w:rFonts w:cs="Arial"/>
                                <w:sz w:val="20"/>
                                <w:szCs w:val="20"/>
                              </w:rPr>
                              <w:t>(</w:t>
                            </w:r>
                            <w:bookmarkStart w:id="0" w:name="_GoBack"/>
                            <w:bookmarkEnd w:id="0"/>
                            <w:r>
                              <w:rPr>
                                <w:rFonts w:cs="Arial"/>
                                <w:sz w:val="20"/>
                                <w:szCs w:val="20"/>
                              </w:rPr>
                              <w:t>7)</w:t>
                            </w:r>
                          </w:p>
                          <w:p w:rsidR="00FE2BBF" w:rsidRPr="00DE30BB" w:rsidRDefault="00FE2BBF" w:rsidP="00FE2BBF">
                            <w:pPr>
                              <w:jc w:val="center"/>
                              <w:rPr>
                                <w:rFonts w:ascii="Segoe UI" w:hAnsi="Segoe UI" w:cs="Segoe UI"/>
                                <w:b/>
                              </w:rPr>
                            </w:pPr>
                            <w:r w:rsidRPr="00DE30BB">
                              <w:rPr>
                                <w:rFonts w:ascii="Segoe UI" w:hAnsi="Segoe UI" w:cs="Segoe UI"/>
                              </w:rPr>
                              <w:t xml:space="preserve">Agenda item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51pt;margin-top:1.85pt;width:108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">
                <v:textbox inset="0,0,0,0">
                  <w:txbxContent>
                    <w:p w:rsidR="00673543" w:rsidRDefault="00673543" w:rsidP="00673543">
                      <w:pPr>
                        <w:pStyle w:val="Heading1"/>
                        <w:jc w:val="center"/>
                        <w:rPr>
                          <w:sz w:val="24"/>
                          <w:u w:val="none"/>
                        </w:rPr>
                      </w:pPr>
                      <w:r>
                        <w:rPr>
                          <w:sz w:val="24"/>
                          <w:u w:val="none"/>
                        </w:rPr>
                        <w:t>PAPER</w:t>
                      </w:r>
                    </w:p>
                    <w:p w:rsidR="00673543" w:rsidRDefault="00673543" w:rsidP="00673543">
                      <w:pPr>
                        <w:pStyle w:val="BodyText"/>
                        <w:jc w:val="center"/>
                        <w:rPr>
                          <w:b/>
                          <w:sz w:val="22"/>
                        </w:rPr>
                      </w:pPr>
                      <w:r>
                        <w:rPr>
                          <w:b/>
                          <w:sz w:val="22"/>
                        </w:rPr>
                        <w:t>BOD 52/2015</w:t>
                      </w:r>
                    </w:p>
                    <w:p w:rsidR="00673543" w:rsidRDefault="00673543" w:rsidP="00673543">
                      <w:pPr>
                        <w:jc w:val="center"/>
                        <w:rPr>
                          <w:rFonts w:cs="Arial"/>
                          <w:sz w:val="20"/>
                          <w:szCs w:val="20"/>
                        </w:rPr>
                      </w:pPr>
                      <w:r>
                        <w:rPr>
                          <w:rFonts w:cs="Arial"/>
                          <w:sz w:val="20"/>
                          <w:szCs w:val="20"/>
                        </w:rPr>
                        <w:t xml:space="preserve">(Agenda Item: </w:t>
                      </w:r>
                      <w:r w:rsidR="00DB6646">
                        <w:rPr>
                          <w:rFonts w:cs="Arial"/>
                          <w:sz w:val="20"/>
                          <w:szCs w:val="20"/>
                        </w:rPr>
                        <w:t>(</w:t>
                      </w:r>
                      <w:bookmarkStart w:id="1" w:name="_GoBack"/>
                      <w:bookmarkEnd w:id="1"/>
                      <w:r>
                        <w:rPr>
                          <w:rFonts w:cs="Arial"/>
                          <w:sz w:val="20"/>
                          <w:szCs w:val="20"/>
                        </w:rPr>
                        <w:t>7)</w:t>
                      </w:r>
                    </w:p>
                    <w:p w:rsidR="00FE2BBF" w:rsidRPr="00DE30BB" w:rsidRDefault="00FE2BBF" w:rsidP="00FE2BBF">
                      <w:pPr>
                        <w:jc w:val="center"/>
                        <w:rPr>
                          <w:rFonts w:ascii="Segoe UI" w:hAnsi="Segoe UI" w:cs="Segoe UI"/>
                          <w:b/>
                        </w:rPr>
                      </w:pPr>
                      <w:r w:rsidRPr="00DE30BB">
                        <w:rPr>
                          <w:rFonts w:ascii="Segoe UI" w:hAnsi="Segoe UI" w:cs="Segoe UI"/>
                        </w:rPr>
                        <w:t xml:space="preserve">Agenda item </w:t>
                      </w:r>
                    </w:p>
                  </w:txbxContent>
                </v:textbox>
              </v:rect>
            </w:pict>
          </mc:Fallback>
        </mc:AlternateContent>
      </w:r>
      <w:r>
        <w:rPr>
          <w:rFonts w:ascii="Segoe UI" w:hAnsi="Segoe UI" w:cs="Segoe UI"/>
          <w:b/>
        </w:rPr>
        <w:t>For Approval</w:t>
      </w:r>
    </w:p>
    <w:p w:rsidR="00FE2BBF" w:rsidRPr="00D87E5A" w:rsidRDefault="00FE2BBF" w:rsidP="00FE2BBF">
      <w:pPr>
        <w:spacing w:after="0" w:line="240" w:lineRule="auto"/>
        <w:jc w:val="center"/>
        <w:rPr>
          <w:rFonts w:ascii="Segoe UI" w:hAnsi="Segoe UI" w:cs="Segoe UI"/>
          <w:b/>
          <w:sz w:val="16"/>
          <w:szCs w:val="16"/>
        </w:rPr>
      </w:pPr>
    </w:p>
    <w:p w:rsidR="00FE2BBF" w:rsidRPr="007B1EA9" w:rsidRDefault="00FE2BBF" w:rsidP="00FE2BBF">
      <w:pPr>
        <w:spacing w:after="0" w:line="240" w:lineRule="auto"/>
        <w:jc w:val="center"/>
        <w:rPr>
          <w:rFonts w:ascii="Segoe UI" w:hAnsi="Segoe UI" w:cs="Segoe UI"/>
          <w:b/>
        </w:rPr>
      </w:pPr>
      <w:r>
        <w:rPr>
          <w:rFonts w:ascii="Segoe UI" w:hAnsi="Segoe UI" w:cs="Segoe UI"/>
          <w:b/>
        </w:rPr>
        <w:t>29 April 2015</w:t>
      </w:r>
    </w:p>
    <w:p w:rsidR="00FE2BBF" w:rsidRPr="00D87E5A" w:rsidRDefault="00FE2BBF" w:rsidP="00FE2BBF">
      <w:pPr>
        <w:spacing w:after="0" w:line="240" w:lineRule="auto"/>
        <w:jc w:val="center"/>
        <w:rPr>
          <w:rFonts w:ascii="Segoe UI" w:hAnsi="Segoe UI" w:cs="Segoe UI"/>
          <w:b/>
          <w:sz w:val="16"/>
          <w:szCs w:val="16"/>
        </w:rPr>
      </w:pPr>
    </w:p>
    <w:p w:rsidR="00FE2F27" w:rsidRDefault="00FE2F27" w:rsidP="00FE2F27">
      <w:pPr>
        <w:jc w:val="center"/>
        <w:rPr>
          <w:rFonts w:ascii="Segoe UI" w:hAnsi="Segoe UI" w:cs="Segoe UI"/>
          <w:b/>
        </w:rPr>
      </w:pPr>
      <w:r w:rsidRPr="005A0F00">
        <w:rPr>
          <w:rFonts w:ascii="Segoe UI" w:hAnsi="Segoe UI" w:cs="Segoe UI"/>
          <w:b/>
        </w:rPr>
        <w:t>Quality and Safety Report</w:t>
      </w:r>
    </w:p>
    <w:p w:rsidR="00FE2F27" w:rsidRPr="005A0F00" w:rsidRDefault="00FE2F27" w:rsidP="00FE2F27">
      <w:pPr>
        <w:spacing w:after="0"/>
        <w:rPr>
          <w:rFonts w:ascii="Segoe UI" w:hAnsi="Segoe UI" w:cs="Segoe UI"/>
        </w:rPr>
      </w:pPr>
      <w:r w:rsidRPr="0064195F">
        <w:rPr>
          <w:rFonts w:ascii="Segoe UI" w:hAnsi="Segoe UI" w:cs="Segoe UI"/>
          <w:b/>
        </w:rPr>
        <w:t>For Information</w:t>
      </w:r>
      <w:r w:rsidRPr="0064195F">
        <w:rPr>
          <w:rFonts w:ascii="Segoe UI" w:hAnsi="Segoe UI" w:cs="Segoe UI"/>
        </w:rPr>
        <w:t xml:space="preserve"> </w:t>
      </w:r>
    </w:p>
    <w:p w:rsidR="00FE2F27" w:rsidRPr="005A0F00" w:rsidRDefault="00FE2F27" w:rsidP="00FE2F27">
      <w:pPr>
        <w:spacing w:after="0" w:line="240" w:lineRule="auto"/>
        <w:rPr>
          <w:rFonts w:ascii="Segoe UI" w:hAnsi="Segoe UI" w:cs="Segoe UI"/>
        </w:rPr>
      </w:pPr>
      <w:r>
        <w:rPr>
          <w:rFonts w:ascii="Segoe UI" w:hAnsi="Segoe UI" w:cs="Segoe UI"/>
        </w:rPr>
        <w:t xml:space="preserve">This </w:t>
      </w:r>
      <w:r w:rsidRPr="005A0F00">
        <w:rPr>
          <w:rFonts w:ascii="Segoe UI" w:hAnsi="Segoe UI" w:cs="Segoe UI"/>
        </w:rPr>
        <w:t>report outlines current</w:t>
      </w:r>
      <w:r>
        <w:rPr>
          <w:rFonts w:ascii="Segoe UI" w:hAnsi="Segoe UI" w:cs="Segoe UI"/>
        </w:rPr>
        <w:t xml:space="preserve"> progress, including</w:t>
      </w:r>
      <w:r w:rsidRPr="005A0F00">
        <w:rPr>
          <w:rFonts w:ascii="Segoe UI" w:hAnsi="Segoe UI" w:cs="Segoe UI"/>
        </w:rPr>
        <w:t xml:space="preserve"> areas of concern or priorities across our trust in relation to quality and patient safety for quarter</w:t>
      </w:r>
      <w:r w:rsidR="00C439D8">
        <w:rPr>
          <w:rFonts w:ascii="Segoe UI" w:hAnsi="Segoe UI" w:cs="Segoe UI"/>
        </w:rPr>
        <w:t xml:space="preserve"> 4</w:t>
      </w:r>
      <w:r>
        <w:rPr>
          <w:rFonts w:ascii="Segoe UI" w:hAnsi="Segoe UI" w:cs="Segoe UI"/>
        </w:rPr>
        <w:t xml:space="preserve"> (2014/15). </w:t>
      </w:r>
      <w:r w:rsidRPr="005A0F00">
        <w:rPr>
          <w:rFonts w:ascii="Segoe UI" w:hAnsi="Segoe UI" w:cs="Segoe UI"/>
        </w:rPr>
        <w:t xml:space="preserve">It draws on reports that have been submitted to the Integrated Governance </w:t>
      </w:r>
      <w:r>
        <w:rPr>
          <w:rFonts w:ascii="Segoe UI" w:hAnsi="Segoe UI" w:cs="Segoe UI"/>
        </w:rPr>
        <w:t xml:space="preserve">(Quality) </w:t>
      </w:r>
      <w:r w:rsidRPr="005A0F00">
        <w:rPr>
          <w:rFonts w:ascii="Segoe UI" w:hAnsi="Segoe UI" w:cs="Segoe UI"/>
        </w:rPr>
        <w:t>Committee and the Safety Committee where these reports were reviewed in detail. The areas covered are:</w:t>
      </w:r>
    </w:p>
    <w:p w:rsidR="00FE2F27" w:rsidRPr="005A0F00" w:rsidRDefault="00FE2F27" w:rsidP="00FE2F27">
      <w:pPr>
        <w:spacing w:after="0"/>
        <w:rPr>
          <w:rFonts w:ascii="Segoe UI" w:hAnsi="Segoe UI" w:cs="Segoe UI"/>
        </w:rPr>
      </w:pPr>
    </w:p>
    <w:p w:rsidR="00FE2F27" w:rsidRPr="005A0F00" w:rsidRDefault="00FE2F27" w:rsidP="00FE2F27">
      <w:pPr>
        <w:numPr>
          <w:ilvl w:val="0"/>
          <w:numId w:val="30"/>
        </w:numPr>
        <w:spacing w:after="0" w:line="240" w:lineRule="auto"/>
        <w:ind w:left="567" w:hanging="567"/>
        <w:rPr>
          <w:rFonts w:ascii="Segoe UI" w:hAnsi="Segoe UI" w:cs="Segoe UI"/>
        </w:rPr>
      </w:pPr>
      <w:r w:rsidRPr="005A0F00">
        <w:rPr>
          <w:rFonts w:ascii="Segoe UI" w:hAnsi="Segoe UI" w:cs="Segoe UI"/>
        </w:rPr>
        <w:t xml:space="preserve">Patterns of reported incidents </w:t>
      </w:r>
    </w:p>
    <w:p w:rsidR="00FE2F27" w:rsidRDefault="00FE2F27" w:rsidP="00FE2F27">
      <w:pPr>
        <w:numPr>
          <w:ilvl w:val="0"/>
          <w:numId w:val="30"/>
        </w:numPr>
        <w:spacing w:after="0" w:line="240" w:lineRule="auto"/>
        <w:ind w:left="567" w:hanging="567"/>
        <w:rPr>
          <w:rFonts w:ascii="Segoe UI" w:hAnsi="Segoe UI" w:cs="Segoe UI"/>
        </w:rPr>
      </w:pPr>
      <w:r w:rsidRPr="005A0F00">
        <w:rPr>
          <w:rFonts w:ascii="Segoe UI" w:hAnsi="Segoe UI" w:cs="Segoe UI"/>
        </w:rPr>
        <w:t>Serious incidents requiring investigation</w:t>
      </w:r>
      <w:r w:rsidRPr="00BA5E82">
        <w:rPr>
          <w:rFonts w:ascii="Segoe UI" w:hAnsi="Segoe UI" w:cs="Segoe UI"/>
        </w:rPr>
        <w:t xml:space="preserve"> </w:t>
      </w:r>
    </w:p>
    <w:p w:rsidR="00FE2F27" w:rsidRPr="005A0F00" w:rsidRDefault="00FE2F27" w:rsidP="00FE2F27">
      <w:pPr>
        <w:numPr>
          <w:ilvl w:val="0"/>
          <w:numId w:val="30"/>
        </w:numPr>
        <w:spacing w:after="0" w:line="240" w:lineRule="auto"/>
        <w:ind w:left="567" w:hanging="567"/>
        <w:rPr>
          <w:rFonts w:ascii="Segoe UI" w:hAnsi="Segoe UI" w:cs="Segoe UI"/>
        </w:rPr>
      </w:pPr>
      <w:r w:rsidRPr="005A0F00">
        <w:rPr>
          <w:rFonts w:ascii="Segoe UI" w:hAnsi="Segoe UI" w:cs="Segoe UI"/>
        </w:rPr>
        <w:t>Infection prevention and control</w:t>
      </w:r>
    </w:p>
    <w:p w:rsidR="00FE2F27" w:rsidRPr="005A0F00" w:rsidRDefault="00FE2F27" w:rsidP="00FE2F27">
      <w:pPr>
        <w:numPr>
          <w:ilvl w:val="0"/>
          <w:numId w:val="30"/>
        </w:numPr>
        <w:spacing w:after="0" w:line="240" w:lineRule="auto"/>
        <w:ind w:left="567" w:hanging="567"/>
        <w:rPr>
          <w:rFonts w:ascii="Segoe UI" w:hAnsi="Segoe UI" w:cs="Segoe UI"/>
        </w:rPr>
      </w:pPr>
      <w:r>
        <w:rPr>
          <w:rFonts w:ascii="Segoe UI" w:hAnsi="Segoe UI" w:cs="Segoe UI"/>
        </w:rPr>
        <w:t xml:space="preserve">Trust wide </w:t>
      </w:r>
      <w:r w:rsidR="00E6711D">
        <w:rPr>
          <w:rFonts w:ascii="Segoe UI" w:hAnsi="Segoe UI" w:cs="Segoe UI"/>
        </w:rPr>
        <w:t xml:space="preserve">internal </w:t>
      </w:r>
      <w:r>
        <w:rPr>
          <w:rFonts w:ascii="Segoe UI" w:hAnsi="Segoe UI" w:cs="Segoe UI"/>
        </w:rPr>
        <w:t>status report against CQC Outcomes</w:t>
      </w:r>
    </w:p>
    <w:p w:rsidR="00FE2F27" w:rsidRPr="005A0F00" w:rsidRDefault="000B65C7" w:rsidP="00FE2F27">
      <w:pPr>
        <w:numPr>
          <w:ilvl w:val="0"/>
          <w:numId w:val="30"/>
        </w:numPr>
        <w:spacing w:after="0" w:line="240" w:lineRule="auto"/>
        <w:ind w:left="567" w:hanging="567"/>
        <w:rPr>
          <w:rFonts w:ascii="Segoe UI" w:hAnsi="Segoe UI" w:cs="Segoe UI"/>
        </w:rPr>
      </w:pPr>
      <w:r>
        <w:rPr>
          <w:rFonts w:ascii="Segoe UI" w:hAnsi="Segoe UI" w:cs="Segoe UI"/>
        </w:rPr>
        <w:t>Harm reduction projects</w:t>
      </w:r>
    </w:p>
    <w:p w:rsidR="00FE2F27" w:rsidRPr="005A0F00" w:rsidRDefault="00FE2F27" w:rsidP="00FE2F27">
      <w:pPr>
        <w:spacing w:after="0"/>
        <w:rPr>
          <w:rFonts w:ascii="Segoe UI" w:hAnsi="Segoe UI" w:cs="Segoe UI"/>
          <w:b/>
        </w:rPr>
      </w:pPr>
    </w:p>
    <w:p w:rsidR="00FE2F27" w:rsidRPr="0065540E" w:rsidRDefault="00FE2F27" w:rsidP="00FE2F27">
      <w:pPr>
        <w:spacing w:after="0"/>
        <w:rPr>
          <w:rFonts w:ascii="Segoe UI" w:hAnsi="Segoe UI" w:cs="Segoe UI"/>
          <w:b/>
        </w:rPr>
      </w:pPr>
      <w:r w:rsidRPr="005A0F00">
        <w:rPr>
          <w:rFonts w:ascii="Segoe UI" w:hAnsi="Segoe UI" w:cs="Segoe UI"/>
          <w:b/>
        </w:rPr>
        <w:t>Recommendation</w:t>
      </w:r>
    </w:p>
    <w:p w:rsidR="00FE2F27" w:rsidRPr="00FE2F27" w:rsidRDefault="00FE2F27" w:rsidP="00FE2F27">
      <w:pPr>
        <w:spacing w:after="0"/>
        <w:rPr>
          <w:rFonts w:ascii="Segoe UI" w:hAnsi="Segoe UI" w:cs="Segoe UI"/>
        </w:rPr>
      </w:pPr>
      <w:r w:rsidRPr="005A0F00">
        <w:rPr>
          <w:rFonts w:ascii="Segoe UI" w:hAnsi="Segoe UI" w:cs="Segoe UI"/>
        </w:rPr>
        <w:t>The Boa</w:t>
      </w:r>
      <w:r>
        <w:rPr>
          <w:rFonts w:ascii="Segoe UI" w:hAnsi="Segoe UI" w:cs="Segoe UI"/>
        </w:rPr>
        <w:t>rd is asked to note the report.</w:t>
      </w:r>
    </w:p>
    <w:p w:rsidR="00FE2F27" w:rsidRPr="005A0F00" w:rsidRDefault="00FE2F27" w:rsidP="00FE2F27">
      <w:pPr>
        <w:spacing w:after="0"/>
        <w:rPr>
          <w:rFonts w:ascii="Segoe UI" w:hAnsi="Segoe UI" w:cs="Segoe UI"/>
        </w:rPr>
      </w:pPr>
      <w:r w:rsidRPr="005A0F00">
        <w:rPr>
          <w:rFonts w:ascii="Segoe UI" w:hAnsi="Segoe UI" w:cs="Segoe UI"/>
          <w:b/>
        </w:rPr>
        <w:t>Author and Title:</w:t>
      </w:r>
      <w:r w:rsidRPr="005A0F00">
        <w:rPr>
          <w:rFonts w:ascii="Segoe UI" w:hAnsi="Segoe UI" w:cs="Segoe UI"/>
        </w:rPr>
        <w:t xml:space="preserve"> </w:t>
      </w:r>
      <w:r w:rsidRPr="005A0F00">
        <w:rPr>
          <w:rFonts w:ascii="Segoe UI" w:hAnsi="Segoe UI" w:cs="Segoe UI"/>
        </w:rPr>
        <w:tab/>
      </w:r>
    </w:p>
    <w:p w:rsidR="00FE2F27" w:rsidRPr="005A0F00" w:rsidRDefault="00FE2F27" w:rsidP="00FE2F27">
      <w:pPr>
        <w:spacing w:line="240" w:lineRule="auto"/>
        <w:rPr>
          <w:rFonts w:ascii="Segoe UI" w:hAnsi="Segoe UI" w:cs="Segoe UI"/>
          <w:color w:val="000000"/>
        </w:rPr>
      </w:pPr>
      <w:r w:rsidRPr="005A0F00">
        <w:rPr>
          <w:rFonts w:ascii="Segoe UI" w:hAnsi="Segoe UI" w:cs="Segoe UI"/>
        </w:rPr>
        <w:t xml:space="preserve">Tehmeena Ajmal, Head of Quality and Safety; Rebecca Kelly, Learning from Incidents Lead; </w:t>
      </w:r>
      <w:r w:rsidRPr="005A0F00">
        <w:rPr>
          <w:rFonts w:ascii="Segoe UI" w:hAnsi="Segoe UI" w:cs="Segoe UI"/>
          <w:color w:val="000000"/>
        </w:rPr>
        <w:t>Helen Bosley, Infection Preventio</w:t>
      </w:r>
      <w:r>
        <w:rPr>
          <w:rFonts w:ascii="Segoe UI" w:hAnsi="Segoe UI" w:cs="Segoe UI"/>
          <w:color w:val="000000"/>
        </w:rPr>
        <w:t xml:space="preserve">n </w:t>
      </w:r>
      <w:r w:rsidRPr="005A0F00">
        <w:rPr>
          <w:rFonts w:ascii="Segoe UI" w:hAnsi="Segoe UI" w:cs="Segoe UI"/>
          <w:color w:val="000000"/>
        </w:rPr>
        <w:t>Control Matron; Jill Bailey, Consultant Nurse and Safer Care Lead</w:t>
      </w:r>
      <w:r>
        <w:rPr>
          <w:rFonts w:ascii="Segoe UI" w:hAnsi="Segoe UI" w:cs="Segoe UI"/>
          <w:color w:val="000000"/>
        </w:rPr>
        <w:t>.</w:t>
      </w:r>
    </w:p>
    <w:p w:rsidR="00FE2F27" w:rsidRPr="005A0F00" w:rsidRDefault="00FE2F27" w:rsidP="00FE2F27">
      <w:pPr>
        <w:ind w:left="1440" w:hanging="1440"/>
        <w:rPr>
          <w:rFonts w:ascii="Segoe UI" w:hAnsi="Segoe UI" w:cs="Segoe UI"/>
          <w:color w:val="000000"/>
        </w:rPr>
      </w:pPr>
    </w:p>
    <w:p w:rsidR="00FE2F27" w:rsidRPr="005A0F00" w:rsidRDefault="00FE2F27" w:rsidP="00FE2F27">
      <w:pPr>
        <w:rPr>
          <w:rFonts w:ascii="Segoe UI" w:hAnsi="Segoe UI" w:cs="Segoe UI"/>
        </w:rPr>
      </w:pPr>
      <w:r w:rsidRPr="005A0F00">
        <w:rPr>
          <w:rFonts w:ascii="Segoe UI" w:hAnsi="Segoe UI" w:cs="Segoe UI"/>
          <w:b/>
        </w:rPr>
        <w:t>Lead Executive Director:</w:t>
      </w:r>
      <w:r w:rsidRPr="005A0F00">
        <w:rPr>
          <w:rFonts w:ascii="Segoe UI" w:hAnsi="Segoe UI" w:cs="Segoe UI"/>
          <w:b/>
        </w:rPr>
        <w:tab/>
        <w:t xml:space="preserve"> </w:t>
      </w:r>
      <w:r w:rsidRPr="005A0F00">
        <w:rPr>
          <w:rFonts w:ascii="Segoe UI" w:hAnsi="Segoe UI" w:cs="Segoe UI"/>
        </w:rPr>
        <w:t>Ros Alstead, Director of Nursing and Clinical Standards</w:t>
      </w:r>
    </w:p>
    <w:p w:rsidR="00FE2F27" w:rsidRPr="005A0F00" w:rsidRDefault="00FE2F27" w:rsidP="00FE2F27">
      <w:pPr>
        <w:numPr>
          <w:ilvl w:val="0"/>
          <w:numId w:val="29"/>
        </w:numPr>
        <w:tabs>
          <w:tab w:val="clear" w:pos="720"/>
          <w:tab w:val="num" w:pos="567"/>
        </w:tabs>
        <w:spacing w:after="0" w:line="240" w:lineRule="auto"/>
        <w:ind w:left="567" w:hanging="567"/>
        <w:rPr>
          <w:rFonts w:ascii="Segoe UI" w:hAnsi="Segoe UI" w:cs="Segoe UI"/>
          <w:i/>
        </w:rPr>
      </w:pPr>
      <w:r w:rsidRPr="005A0F00">
        <w:rPr>
          <w:rFonts w:ascii="Segoe UI" w:hAnsi="Segoe UI" w:cs="Segoe UI"/>
          <w:i/>
        </w:rPr>
        <w:t>A risk assessment has been undertaken around the legal issues that this paper presents and there are no issues that need to be referred to the Trust Solicitors.</w:t>
      </w:r>
    </w:p>
    <w:p w:rsidR="00FE2F27" w:rsidRPr="005A0F00" w:rsidRDefault="00FE2F27" w:rsidP="00FE2F27">
      <w:pPr>
        <w:numPr>
          <w:ilvl w:val="0"/>
          <w:numId w:val="29"/>
        </w:numPr>
        <w:tabs>
          <w:tab w:val="clear" w:pos="720"/>
          <w:tab w:val="num" w:pos="567"/>
        </w:tabs>
        <w:spacing w:after="0" w:line="240" w:lineRule="auto"/>
        <w:ind w:left="567" w:hanging="567"/>
        <w:rPr>
          <w:rFonts w:ascii="Segoe UI" w:hAnsi="Segoe UI" w:cs="Segoe UI"/>
        </w:rPr>
      </w:pPr>
      <w:r w:rsidRPr="005A0F00">
        <w:rPr>
          <w:rFonts w:ascii="Segoe UI" w:hAnsi="Segoe UI" w:cs="Segoe UI"/>
          <w:i/>
        </w:rPr>
        <w:t>This paper provides assurance and evidence against the Care Quality Commission Outcome:  4, 5, 7, 8 and 16.</w:t>
      </w:r>
    </w:p>
    <w:p w:rsidR="00FE2F27" w:rsidRDefault="00FE2F27" w:rsidP="00FE2BBF">
      <w:pPr>
        <w:spacing w:after="0" w:line="240" w:lineRule="auto"/>
        <w:jc w:val="both"/>
        <w:rPr>
          <w:rFonts w:ascii="Segoe UI" w:eastAsia="Times New Roman" w:hAnsi="Segoe UI" w:cs="Segoe UI"/>
          <w:b/>
          <w:lang w:eastAsia="en-GB"/>
        </w:rPr>
      </w:pPr>
    </w:p>
    <w:p w:rsidR="00127A8A" w:rsidRDefault="00127A8A" w:rsidP="00566E1B">
      <w:pPr>
        <w:spacing w:after="0" w:line="240" w:lineRule="auto"/>
        <w:rPr>
          <w:rFonts w:ascii="Segoe UI" w:eastAsia="Times New Roman" w:hAnsi="Segoe UI" w:cs="Segoe UI"/>
          <w:b/>
          <w:lang w:eastAsia="en-GB"/>
        </w:rPr>
      </w:pPr>
    </w:p>
    <w:p w:rsidR="00C439D8" w:rsidRDefault="00C439D8" w:rsidP="00566E1B">
      <w:pPr>
        <w:spacing w:after="0" w:line="240" w:lineRule="auto"/>
        <w:rPr>
          <w:rFonts w:ascii="Segoe UI" w:eastAsia="Times New Roman" w:hAnsi="Segoe UI" w:cs="Segoe UI"/>
          <w:b/>
          <w:lang w:eastAsia="en-GB"/>
        </w:rPr>
      </w:pPr>
    </w:p>
    <w:p w:rsidR="000E20F0" w:rsidRDefault="00FE2F27" w:rsidP="00566E1B">
      <w:pPr>
        <w:spacing w:after="0" w:line="240" w:lineRule="auto"/>
        <w:rPr>
          <w:rFonts w:ascii="Segoe UI" w:eastAsia="Times New Roman" w:hAnsi="Segoe UI" w:cs="Segoe UI"/>
          <w:b/>
          <w:lang w:eastAsia="en-GB"/>
        </w:rPr>
      </w:pPr>
      <w:r>
        <w:rPr>
          <w:rFonts w:ascii="Segoe UI" w:eastAsia="Times New Roman" w:hAnsi="Segoe UI" w:cs="Segoe UI"/>
          <w:b/>
          <w:lang w:eastAsia="en-GB"/>
        </w:rPr>
        <w:lastRenderedPageBreak/>
        <w:t>Quality and Safety Report</w:t>
      </w:r>
    </w:p>
    <w:p w:rsidR="00FC239E" w:rsidRDefault="00FC239E" w:rsidP="00566E1B">
      <w:pPr>
        <w:spacing w:after="0" w:line="240" w:lineRule="auto"/>
        <w:rPr>
          <w:rFonts w:ascii="Segoe UI" w:eastAsia="Times New Roman" w:hAnsi="Segoe UI" w:cs="Segoe UI"/>
          <w:b/>
          <w:lang w:eastAsia="en-GB"/>
        </w:rPr>
      </w:pPr>
    </w:p>
    <w:p w:rsidR="00566E1B" w:rsidRDefault="00FC239E" w:rsidP="00566E1B">
      <w:pPr>
        <w:spacing w:after="0" w:line="240" w:lineRule="auto"/>
        <w:rPr>
          <w:rFonts w:ascii="Segoe UI" w:eastAsia="Times New Roman" w:hAnsi="Segoe UI" w:cs="Segoe UI"/>
          <w:b/>
          <w:lang w:eastAsia="en-GB"/>
        </w:rPr>
      </w:pPr>
      <w:r>
        <w:rPr>
          <w:rFonts w:ascii="Segoe UI" w:eastAsia="Times New Roman" w:hAnsi="Segoe UI" w:cs="Segoe UI"/>
          <w:b/>
          <w:lang w:eastAsia="en-GB"/>
        </w:rPr>
        <w:t>1.</w:t>
      </w:r>
      <w:r>
        <w:rPr>
          <w:rFonts w:ascii="Segoe UI" w:eastAsia="Times New Roman" w:hAnsi="Segoe UI" w:cs="Segoe UI"/>
          <w:b/>
          <w:lang w:eastAsia="en-GB"/>
        </w:rPr>
        <w:tab/>
      </w:r>
      <w:r w:rsidR="00566E1B">
        <w:rPr>
          <w:rFonts w:ascii="Segoe UI" w:eastAsia="Times New Roman" w:hAnsi="Segoe UI" w:cs="Segoe UI"/>
          <w:b/>
          <w:lang w:eastAsia="en-GB"/>
        </w:rPr>
        <w:t>Incidents</w:t>
      </w:r>
    </w:p>
    <w:p w:rsidR="000E20F0" w:rsidRPr="000E20F0" w:rsidRDefault="000804A8" w:rsidP="00566E1B">
      <w:pPr>
        <w:spacing w:after="0" w:line="240" w:lineRule="auto"/>
        <w:rPr>
          <w:rFonts w:ascii="Segoe UI" w:hAnsi="Segoe UI" w:cs="Segoe UI"/>
        </w:rPr>
      </w:pPr>
      <w:r w:rsidRPr="000E20F0">
        <w:rPr>
          <w:rFonts w:ascii="Segoe UI" w:hAnsi="Segoe UI" w:cs="Segoe UI"/>
        </w:rPr>
        <w:t>The level of incident reporting has increased over the last three quarters and is now at the highest level than at any time over the last two years. This is positive as the higher the level of incident reporting the better the safety culture within teams.</w:t>
      </w:r>
    </w:p>
    <w:p w:rsidR="000E20F0" w:rsidRDefault="000E20F0" w:rsidP="00566E1B">
      <w:pPr>
        <w:spacing w:after="0" w:line="240" w:lineRule="auto"/>
        <w:ind w:left="360"/>
        <w:rPr>
          <w:rFonts w:ascii="Segoe UI" w:hAnsi="Segoe UI" w:cs="Segoe UI"/>
        </w:rPr>
      </w:pPr>
    </w:p>
    <w:p w:rsidR="000E20F0" w:rsidRPr="000E20F0" w:rsidRDefault="000E20F0" w:rsidP="00566E1B">
      <w:pPr>
        <w:spacing w:after="0" w:line="240" w:lineRule="auto"/>
        <w:ind w:left="360"/>
        <w:rPr>
          <w:rFonts w:ascii="Segoe UI" w:hAnsi="Segoe UI" w:cs="Segoe UI"/>
        </w:rPr>
      </w:pPr>
      <w:r>
        <w:rPr>
          <w:noProof/>
          <w:lang w:eastAsia="en-GB"/>
        </w:rPr>
        <w:drawing>
          <wp:inline distT="0" distB="0" distL="0" distR="0" wp14:anchorId="0F73FA21" wp14:editId="6F4F7630">
            <wp:extent cx="5731510" cy="2453005"/>
            <wp:effectExtent l="0" t="0" r="21590" b="23495"/>
            <wp:docPr id="319" name="Chart 3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66E1B" w:rsidRDefault="00566E1B" w:rsidP="00566E1B">
      <w:pPr>
        <w:spacing w:after="0" w:line="240" w:lineRule="auto"/>
        <w:ind w:left="360"/>
        <w:rPr>
          <w:rFonts w:ascii="Segoe UI" w:hAnsi="Segoe UI" w:cs="Segoe UI"/>
        </w:rPr>
      </w:pPr>
    </w:p>
    <w:p w:rsidR="00231EAE" w:rsidRDefault="000804A8" w:rsidP="00566E1B">
      <w:pPr>
        <w:spacing w:after="0" w:line="240" w:lineRule="auto"/>
        <w:ind w:left="360"/>
        <w:rPr>
          <w:rFonts w:ascii="Segoe UI" w:hAnsi="Segoe UI" w:cs="Segoe UI"/>
        </w:rPr>
      </w:pPr>
      <w:r w:rsidRPr="000E20F0">
        <w:rPr>
          <w:rFonts w:ascii="Segoe UI" w:hAnsi="Segoe UI" w:cs="Segoe UI"/>
        </w:rPr>
        <w:t xml:space="preserve">The numbers of reported green and yellow incidents (low/minor injury or property damage) continues to represent the highest proportion of total reported incidents. There have been fifty five deaths reported this quarter.  After refreshing the figures for last quarter the numbers were also fifty five.  </w:t>
      </w:r>
    </w:p>
    <w:p w:rsidR="00566E1B" w:rsidRDefault="00566E1B" w:rsidP="00566E1B">
      <w:pPr>
        <w:spacing w:after="0" w:line="240" w:lineRule="auto"/>
        <w:ind w:left="360"/>
        <w:rPr>
          <w:rFonts w:ascii="Segoe UI" w:hAnsi="Segoe UI" w:cs="Segoe UI"/>
        </w:rPr>
      </w:pPr>
    </w:p>
    <w:p w:rsidR="000E20F0" w:rsidRDefault="000E20F0" w:rsidP="00566E1B">
      <w:pPr>
        <w:spacing w:after="0" w:line="240" w:lineRule="auto"/>
        <w:ind w:left="360"/>
        <w:rPr>
          <w:rFonts w:ascii="Segoe UI" w:hAnsi="Segoe UI" w:cs="Segoe UI"/>
        </w:rPr>
      </w:pPr>
      <w:r>
        <w:rPr>
          <w:noProof/>
          <w:lang w:eastAsia="en-GB"/>
        </w:rPr>
        <w:drawing>
          <wp:inline distT="0" distB="0" distL="0" distR="0" wp14:anchorId="6B161558" wp14:editId="493DD478">
            <wp:extent cx="5731510" cy="3402965"/>
            <wp:effectExtent l="0" t="0" r="21590" b="26035"/>
            <wp:docPr id="321" name="Chart 3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E20F0" w:rsidRPr="00547644" w:rsidRDefault="000E20F0" w:rsidP="00566E1B">
      <w:pPr>
        <w:spacing w:after="0" w:line="240" w:lineRule="auto"/>
        <w:ind w:left="360"/>
      </w:pPr>
    </w:p>
    <w:p w:rsidR="00CD137B" w:rsidRDefault="000804A8" w:rsidP="00566E1B">
      <w:pPr>
        <w:spacing w:after="0" w:line="240" w:lineRule="auto"/>
        <w:ind w:left="360"/>
        <w:rPr>
          <w:rFonts w:ascii="Segoe UI" w:hAnsi="Segoe UI" w:cs="Segoe UI"/>
        </w:rPr>
      </w:pPr>
      <w:r w:rsidRPr="000E20F0">
        <w:rPr>
          <w:rFonts w:ascii="Segoe UI" w:hAnsi="Segoe UI" w:cs="Segoe UI"/>
        </w:rPr>
        <w:t xml:space="preserve">In Q4 </w:t>
      </w:r>
      <w:r w:rsidR="00231EAE" w:rsidRPr="000E20F0">
        <w:rPr>
          <w:rFonts w:ascii="Segoe UI" w:hAnsi="Segoe UI" w:cs="Segoe UI"/>
        </w:rPr>
        <w:t>59</w:t>
      </w:r>
      <w:r w:rsidRPr="000E20F0">
        <w:rPr>
          <w:rFonts w:ascii="Segoe UI" w:hAnsi="Segoe UI" w:cs="Segoe UI"/>
        </w:rPr>
        <w:t xml:space="preserve"> deaths were reported. This is the highest number reported by quarter over the year. Sixteen of these were expected deaths. </w:t>
      </w:r>
      <w:r w:rsidR="00231EAE" w:rsidRPr="000E20F0">
        <w:rPr>
          <w:rFonts w:ascii="Segoe UI" w:hAnsi="Segoe UI" w:cs="Segoe UI"/>
        </w:rPr>
        <w:t xml:space="preserve">Thirty six were unexpected deaths in the </w:t>
      </w:r>
      <w:r w:rsidR="00231EAE" w:rsidRPr="000E20F0">
        <w:rPr>
          <w:rFonts w:ascii="Segoe UI" w:hAnsi="Segoe UI" w:cs="Segoe UI"/>
        </w:rPr>
        <w:lastRenderedPageBreak/>
        <w:t>community.  Sixteen were SIRI reportable at the time of writing this report. All of the unexpected deaths occurred in the Adult and Older Adult Directorates.</w:t>
      </w:r>
    </w:p>
    <w:p w:rsidR="00566E1B" w:rsidRDefault="00566E1B" w:rsidP="00566E1B">
      <w:pPr>
        <w:spacing w:after="0" w:line="240" w:lineRule="auto"/>
        <w:ind w:left="360"/>
        <w:rPr>
          <w:rFonts w:ascii="Segoe UI" w:hAnsi="Segoe UI" w:cs="Segoe UI"/>
        </w:rPr>
      </w:pPr>
    </w:p>
    <w:tbl>
      <w:tblPr>
        <w:tblW w:w="9580" w:type="dxa"/>
        <w:tblInd w:w="93" w:type="dxa"/>
        <w:tblLook w:val="04A0" w:firstRow="1" w:lastRow="0" w:firstColumn="1" w:lastColumn="0" w:noHBand="0" w:noVBand="1"/>
      </w:tblPr>
      <w:tblGrid>
        <w:gridCol w:w="4980"/>
        <w:gridCol w:w="1000"/>
        <w:gridCol w:w="820"/>
        <w:gridCol w:w="760"/>
        <w:gridCol w:w="840"/>
        <w:gridCol w:w="1180"/>
      </w:tblGrid>
      <w:tr w:rsidR="000E20F0" w:rsidRPr="00516FD3" w:rsidTr="005B1473">
        <w:trPr>
          <w:trHeight w:val="300"/>
        </w:trPr>
        <w:tc>
          <w:tcPr>
            <w:tcW w:w="498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0E20F0" w:rsidRPr="00516FD3" w:rsidRDefault="000E20F0" w:rsidP="00566E1B">
            <w:pPr>
              <w:spacing w:after="0" w:line="240" w:lineRule="auto"/>
              <w:rPr>
                <w:rFonts w:ascii="Calibri" w:eastAsia="Times New Roman" w:hAnsi="Calibri" w:cs="Times New Roman"/>
                <w:b/>
                <w:bCs/>
                <w:color w:val="000000"/>
                <w:lang w:eastAsia="en-GB"/>
              </w:rPr>
            </w:pPr>
            <w:r w:rsidRPr="00516FD3">
              <w:rPr>
                <w:rFonts w:ascii="Calibri" w:eastAsia="Times New Roman" w:hAnsi="Calibri" w:cs="Times New Roman"/>
                <w:b/>
                <w:bCs/>
                <w:color w:val="000000"/>
                <w:lang w:eastAsia="en-GB"/>
              </w:rPr>
              <w:t>Row Labels</w:t>
            </w:r>
          </w:p>
        </w:tc>
        <w:tc>
          <w:tcPr>
            <w:tcW w:w="100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0E20F0" w:rsidRPr="00516FD3" w:rsidRDefault="000E20F0" w:rsidP="00566E1B">
            <w:pPr>
              <w:spacing w:after="0" w:line="240" w:lineRule="auto"/>
              <w:jc w:val="right"/>
              <w:rPr>
                <w:rFonts w:ascii="Calibri" w:eastAsia="Times New Roman" w:hAnsi="Calibri" w:cs="Times New Roman"/>
                <w:b/>
                <w:bCs/>
                <w:color w:val="000000"/>
                <w:lang w:eastAsia="en-GB"/>
              </w:rPr>
            </w:pPr>
            <w:r w:rsidRPr="00516FD3">
              <w:rPr>
                <w:rFonts w:ascii="Calibri" w:eastAsia="Times New Roman" w:hAnsi="Calibri" w:cs="Times New Roman"/>
                <w:b/>
                <w:bCs/>
                <w:color w:val="000000"/>
                <w:lang w:eastAsia="en-GB"/>
              </w:rPr>
              <w:t>1</w:t>
            </w:r>
          </w:p>
        </w:tc>
        <w:tc>
          <w:tcPr>
            <w:tcW w:w="82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0E20F0" w:rsidRPr="00516FD3" w:rsidRDefault="000E20F0" w:rsidP="00566E1B">
            <w:pPr>
              <w:spacing w:after="0" w:line="240" w:lineRule="auto"/>
              <w:jc w:val="right"/>
              <w:rPr>
                <w:rFonts w:ascii="Calibri" w:eastAsia="Times New Roman" w:hAnsi="Calibri" w:cs="Times New Roman"/>
                <w:b/>
                <w:bCs/>
                <w:color w:val="000000"/>
                <w:lang w:eastAsia="en-GB"/>
              </w:rPr>
            </w:pPr>
            <w:r w:rsidRPr="00516FD3">
              <w:rPr>
                <w:rFonts w:ascii="Calibri" w:eastAsia="Times New Roman" w:hAnsi="Calibri" w:cs="Times New Roman"/>
                <w:b/>
                <w:bCs/>
                <w:color w:val="000000"/>
                <w:lang w:eastAsia="en-GB"/>
              </w:rPr>
              <w:t>2</w:t>
            </w:r>
          </w:p>
        </w:tc>
        <w:tc>
          <w:tcPr>
            <w:tcW w:w="76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0E20F0" w:rsidRPr="00516FD3" w:rsidRDefault="000E20F0" w:rsidP="00566E1B">
            <w:pPr>
              <w:spacing w:after="0" w:line="240" w:lineRule="auto"/>
              <w:jc w:val="right"/>
              <w:rPr>
                <w:rFonts w:ascii="Calibri" w:eastAsia="Times New Roman" w:hAnsi="Calibri" w:cs="Times New Roman"/>
                <w:b/>
                <w:bCs/>
                <w:color w:val="000000"/>
                <w:lang w:eastAsia="en-GB"/>
              </w:rPr>
            </w:pPr>
            <w:r w:rsidRPr="00516FD3">
              <w:rPr>
                <w:rFonts w:ascii="Calibri" w:eastAsia="Times New Roman" w:hAnsi="Calibri" w:cs="Times New Roman"/>
                <w:b/>
                <w:bCs/>
                <w:color w:val="000000"/>
                <w:lang w:eastAsia="en-GB"/>
              </w:rPr>
              <w:t>3</w:t>
            </w:r>
          </w:p>
        </w:tc>
        <w:tc>
          <w:tcPr>
            <w:tcW w:w="84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0E20F0" w:rsidRPr="00516FD3" w:rsidRDefault="000E20F0" w:rsidP="00566E1B">
            <w:pPr>
              <w:spacing w:after="0" w:line="240" w:lineRule="auto"/>
              <w:jc w:val="right"/>
              <w:rPr>
                <w:rFonts w:ascii="Calibri" w:eastAsia="Times New Roman" w:hAnsi="Calibri" w:cs="Times New Roman"/>
                <w:b/>
                <w:bCs/>
                <w:color w:val="000000"/>
                <w:lang w:eastAsia="en-GB"/>
              </w:rPr>
            </w:pPr>
            <w:r w:rsidRPr="00516FD3">
              <w:rPr>
                <w:rFonts w:ascii="Calibri" w:eastAsia="Times New Roman" w:hAnsi="Calibri" w:cs="Times New Roman"/>
                <w:b/>
                <w:bCs/>
                <w:color w:val="000000"/>
                <w:lang w:eastAsia="en-GB"/>
              </w:rPr>
              <w:t>4</w:t>
            </w:r>
          </w:p>
        </w:tc>
        <w:tc>
          <w:tcPr>
            <w:tcW w:w="118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0E20F0" w:rsidRPr="00516FD3" w:rsidRDefault="000E20F0" w:rsidP="00566E1B">
            <w:pPr>
              <w:spacing w:after="0" w:line="240" w:lineRule="auto"/>
              <w:rPr>
                <w:rFonts w:ascii="Calibri" w:eastAsia="Times New Roman" w:hAnsi="Calibri" w:cs="Times New Roman"/>
                <w:b/>
                <w:bCs/>
                <w:color w:val="000000"/>
                <w:lang w:eastAsia="en-GB"/>
              </w:rPr>
            </w:pPr>
            <w:r w:rsidRPr="00516FD3">
              <w:rPr>
                <w:rFonts w:ascii="Calibri" w:eastAsia="Times New Roman" w:hAnsi="Calibri" w:cs="Times New Roman"/>
                <w:b/>
                <w:bCs/>
                <w:color w:val="000000"/>
                <w:lang w:eastAsia="en-GB"/>
              </w:rPr>
              <w:t>Grand Total</w:t>
            </w:r>
          </w:p>
        </w:tc>
      </w:tr>
      <w:tr w:rsidR="000E20F0" w:rsidRPr="00516FD3" w:rsidTr="005B1473">
        <w:trPr>
          <w:trHeight w:val="300"/>
        </w:trPr>
        <w:tc>
          <w:tcPr>
            <w:tcW w:w="4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0F0" w:rsidRPr="00516FD3" w:rsidRDefault="000E20F0" w:rsidP="00566E1B">
            <w:pPr>
              <w:spacing w:after="0" w:line="240" w:lineRule="auto"/>
              <w:rPr>
                <w:rFonts w:ascii="Calibri" w:eastAsia="Times New Roman" w:hAnsi="Calibri" w:cs="Times New Roman"/>
                <w:b/>
                <w:bCs/>
                <w:color w:val="000000"/>
                <w:lang w:eastAsia="en-GB"/>
              </w:rPr>
            </w:pPr>
            <w:r w:rsidRPr="00516FD3">
              <w:rPr>
                <w:rFonts w:ascii="Calibri" w:eastAsia="Times New Roman" w:hAnsi="Calibri" w:cs="Times New Roman"/>
                <w:b/>
                <w:bCs/>
                <w:color w:val="000000"/>
                <w:lang w:eastAsia="en-GB"/>
              </w:rPr>
              <w:t>D01 Expected Death In Community</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0F0" w:rsidRPr="00516FD3" w:rsidRDefault="000E20F0" w:rsidP="00566E1B">
            <w:pPr>
              <w:spacing w:after="0" w:line="240" w:lineRule="auto"/>
              <w:jc w:val="right"/>
              <w:rPr>
                <w:rFonts w:ascii="Calibri" w:eastAsia="Times New Roman" w:hAnsi="Calibri" w:cs="Times New Roman"/>
                <w:b/>
                <w:bCs/>
                <w:color w:val="000000"/>
                <w:lang w:eastAsia="en-GB"/>
              </w:rPr>
            </w:pPr>
            <w:r w:rsidRPr="00516FD3">
              <w:rPr>
                <w:rFonts w:ascii="Calibri" w:eastAsia="Times New Roman" w:hAnsi="Calibri" w:cs="Times New Roman"/>
                <w:b/>
                <w:bCs/>
                <w:color w:val="000000"/>
                <w:lang w:eastAsia="en-GB"/>
              </w:rPr>
              <w:t>1</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0F0" w:rsidRPr="00516FD3" w:rsidRDefault="000E20F0" w:rsidP="00566E1B">
            <w:pPr>
              <w:spacing w:after="0" w:line="240" w:lineRule="auto"/>
              <w:jc w:val="right"/>
              <w:rPr>
                <w:rFonts w:ascii="Calibri" w:eastAsia="Times New Roman" w:hAnsi="Calibri" w:cs="Times New Roman"/>
                <w:b/>
                <w:bCs/>
                <w:color w:val="000000"/>
                <w:lang w:eastAsia="en-GB"/>
              </w:rPr>
            </w:pPr>
            <w:r w:rsidRPr="00516FD3">
              <w:rPr>
                <w:rFonts w:ascii="Calibri" w:eastAsia="Times New Roman" w:hAnsi="Calibri" w:cs="Times New Roman"/>
                <w:b/>
                <w:bCs/>
                <w:color w:val="000000"/>
                <w:lang w:eastAsia="en-GB"/>
              </w:rPr>
              <w:t>4</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0F0" w:rsidRPr="00516FD3" w:rsidRDefault="000E20F0" w:rsidP="00566E1B">
            <w:pPr>
              <w:spacing w:after="0" w:line="240" w:lineRule="auto"/>
              <w:jc w:val="right"/>
              <w:rPr>
                <w:rFonts w:ascii="Calibri" w:eastAsia="Times New Roman" w:hAnsi="Calibri" w:cs="Times New Roman"/>
                <w:b/>
                <w:bCs/>
                <w:color w:val="000000"/>
                <w:lang w:eastAsia="en-GB"/>
              </w:rPr>
            </w:pPr>
            <w:r w:rsidRPr="00516FD3">
              <w:rPr>
                <w:rFonts w:ascii="Calibri" w:eastAsia="Times New Roman" w:hAnsi="Calibri" w:cs="Times New Roman"/>
                <w:b/>
                <w:bCs/>
                <w:color w:val="000000"/>
                <w:lang w:eastAsia="en-GB"/>
              </w:rPr>
              <w:t>10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0F0" w:rsidRPr="00516FD3" w:rsidRDefault="000E20F0" w:rsidP="00566E1B">
            <w:pPr>
              <w:spacing w:after="0" w:line="240" w:lineRule="auto"/>
              <w:jc w:val="right"/>
              <w:rPr>
                <w:rFonts w:ascii="Calibri" w:eastAsia="Times New Roman" w:hAnsi="Calibri" w:cs="Times New Roman"/>
                <w:b/>
                <w:bCs/>
                <w:color w:val="000000"/>
                <w:lang w:eastAsia="en-GB"/>
              </w:rPr>
            </w:pPr>
            <w:r w:rsidRPr="00516FD3">
              <w:rPr>
                <w:rFonts w:ascii="Calibri" w:eastAsia="Times New Roman" w:hAnsi="Calibri" w:cs="Times New Roman"/>
                <w:b/>
                <w:bCs/>
                <w:color w:val="000000"/>
                <w:lang w:eastAsia="en-GB"/>
              </w:rPr>
              <w:t>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0F0" w:rsidRPr="00516FD3" w:rsidRDefault="000E20F0" w:rsidP="00566E1B">
            <w:pPr>
              <w:spacing w:after="0" w:line="240" w:lineRule="auto"/>
              <w:jc w:val="right"/>
              <w:rPr>
                <w:rFonts w:ascii="Calibri" w:eastAsia="Times New Roman" w:hAnsi="Calibri" w:cs="Times New Roman"/>
                <w:b/>
                <w:bCs/>
                <w:color w:val="000000"/>
                <w:lang w:eastAsia="en-GB"/>
              </w:rPr>
            </w:pPr>
            <w:r w:rsidRPr="00516FD3">
              <w:rPr>
                <w:rFonts w:ascii="Calibri" w:eastAsia="Times New Roman" w:hAnsi="Calibri" w:cs="Times New Roman"/>
                <w:b/>
                <w:bCs/>
                <w:color w:val="000000"/>
                <w:lang w:eastAsia="en-GB"/>
              </w:rPr>
              <w:t>20</w:t>
            </w:r>
          </w:p>
        </w:tc>
      </w:tr>
      <w:tr w:rsidR="000E20F0" w:rsidRPr="00516FD3" w:rsidTr="005B1473">
        <w:trPr>
          <w:trHeight w:val="300"/>
        </w:trPr>
        <w:tc>
          <w:tcPr>
            <w:tcW w:w="4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0F0" w:rsidRPr="00516FD3" w:rsidRDefault="000E20F0" w:rsidP="00566E1B">
            <w:pPr>
              <w:spacing w:after="0" w:line="240" w:lineRule="auto"/>
              <w:rPr>
                <w:rFonts w:ascii="Calibri" w:eastAsia="Times New Roman" w:hAnsi="Calibri" w:cs="Times New Roman"/>
                <w:b/>
                <w:bCs/>
                <w:color w:val="000000"/>
                <w:lang w:eastAsia="en-GB"/>
              </w:rPr>
            </w:pPr>
            <w:r w:rsidRPr="00516FD3">
              <w:rPr>
                <w:rFonts w:ascii="Calibri" w:eastAsia="Times New Roman" w:hAnsi="Calibri" w:cs="Times New Roman"/>
                <w:b/>
                <w:bCs/>
                <w:color w:val="000000"/>
                <w:lang w:eastAsia="en-GB"/>
              </w:rPr>
              <w:t>D02 Expected Death In Oxford Health Hospital</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0F0" w:rsidRPr="00516FD3" w:rsidRDefault="000E20F0" w:rsidP="00566E1B">
            <w:pPr>
              <w:spacing w:after="0" w:line="240" w:lineRule="auto"/>
              <w:rPr>
                <w:rFonts w:ascii="Calibri" w:eastAsia="Times New Roman" w:hAnsi="Calibri" w:cs="Times New Roman"/>
                <w:b/>
                <w:bCs/>
                <w:color w:val="000000"/>
                <w:lang w:eastAsia="en-GB"/>
              </w:rPr>
            </w:pPr>
            <w:r w:rsidRPr="00516FD3">
              <w:rPr>
                <w:rFonts w:ascii="Calibri" w:eastAsia="Times New Roman" w:hAnsi="Calibri" w:cs="Times New Roman"/>
                <w:b/>
                <w:bCs/>
                <w:color w:val="000000"/>
                <w:lang w:eastAsia="en-GB"/>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0F0" w:rsidRPr="00516FD3" w:rsidRDefault="000E20F0" w:rsidP="00566E1B">
            <w:pPr>
              <w:spacing w:after="0" w:line="240" w:lineRule="auto"/>
              <w:jc w:val="right"/>
              <w:rPr>
                <w:rFonts w:ascii="Calibri" w:eastAsia="Times New Roman" w:hAnsi="Calibri" w:cs="Times New Roman"/>
                <w:b/>
                <w:bCs/>
                <w:color w:val="000000"/>
                <w:lang w:eastAsia="en-GB"/>
              </w:rPr>
            </w:pPr>
            <w:r w:rsidRPr="00516FD3">
              <w:rPr>
                <w:rFonts w:ascii="Calibri" w:eastAsia="Times New Roman" w:hAnsi="Calibri" w:cs="Times New Roman"/>
                <w:b/>
                <w:bCs/>
                <w:color w:val="000000"/>
                <w:lang w:eastAsia="en-GB"/>
              </w:rPr>
              <w:t>2</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0F0" w:rsidRPr="00516FD3" w:rsidRDefault="000E20F0" w:rsidP="00566E1B">
            <w:pPr>
              <w:spacing w:after="0" w:line="240" w:lineRule="auto"/>
              <w:jc w:val="right"/>
              <w:rPr>
                <w:rFonts w:ascii="Calibri" w:eastAsia="Times New Roman" w:hAnsi="Calibri" w:cs="Times New Roman"/>
                <w:b/>
                <w:bCs/>
                <w:color w:val="000000"/>
                <w:lang w:eastAsia="en-GB"/>
              </w:rPr>
            </w:pPr>
            <w:r w:rsidRPr="00516FD3">
              <w:rPr>
                <w:rFonts w:ascii="Calibri" w:eastAsia="Times New Roman" w:hAnsi="Calibri" w:cs="Times New Roman"/>
                <w:b/>
                <w:bCs/>
                <w:color w:val="000000"/>
                <w:lang w:eastAsia="en-GB"/>
              </w:rPr>
              <w:t>6</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0F0" w:rsidRPr="00516FD3" w:rsidRDefault="000E20F0" w:rsidP="00566E1B">
            <w:pPr>
              <w:spacing w:after="0" w:line="240" w:lineRule="auto"/>
              <w:jc w:val="right"/>
              <w:rPr>
                <w:rFonts w:ascii="Calibri" w:eastAsia="Times New Roman" w:hAnsi="Calibri" w:cs="Times New Roman"/>
                <w:b/>
                <w:bCs/>
                <w:color w:val="000000"/>
                <w:lang w:eastAsia="en-GB"/>
              </w:rPr>
            </w:pPr>
            <w:r w:rsidRPr="00516FD3">
              <w:rPr>
                <w:rFonts w:ascii="Calibri" w:eastAsia="Times New Roman" w:hAnsi="Calibri" w:cs="Times New Roman"/>
                <w:b/>
                <w:bCs/>
                <w:color w:val="000000"/>
                <w:lang w:eastAsia="en-GB"/>
              </w:rPr>
              <w:t>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0F0" w:rsidRPr="00516FD3" w:rsidRDefault="000E20F0" w:rsidP="00566E1B">
            <w:pPr>
              <w:spacing w:after="0" w:line="240" w:lineRule="auto"/>
              <w:jc w:val="right"/>
              <w:rPr>
                <w:rFonts w:ascii="Calibri" w:eastAsia="Times New Roman" w:hAnsi="Calibri" w:cs="Times New Roman"/>
                <w:b/>
                <w:bCs/>
                <w:color w:val="000000"/>
                <w:lang w:eastAsia="en-GB"/>
              </w:rPr>
            </w:pPr>
            <w:r w:rsidRPr="00516FD3">
              <w:rPr>
                <w:rFonts w:ascii="Calibri" w:eastAsia="Times New Roman" w:hAnsi="Calibri" w:cs="Times New Roman"/>
                <w:b/>
                <w:bCs/>
                <w:color w:val="000000"/>
                <w:lang w:eastAsia="en-GB"/>
              </w:rPr>
              <w:t>12</w:t>
            </w:r>
          </w:p>
        </w:tc>
      </w:tr>
      <w:tr w:rsidR="000E20F0" w:rsidRPr="00516FD3" w:rsidTr="005B1473">
        <w:trPr>
          <w:trHeight w:val="300"/>
        </w:trPr>
        <w:tc>
          <w:tcPr>
            <w:tcW w:w="4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0F0" w:rsidRPr="00516FD3" w:rsidRDefault="000E20F0" w:rsidP="00566E1B">
            <w:pPr>
              <w:spacing w:after="0" w:line="240" w:lineRule="auto"/>
              <w:rPr>
                <w:rFonts w:ascii="Calibri" w:eastAsia="Times New Roman" w:hAnsi="Calibri" w:cs="Times New Roman"/>
                <w:b/>
                <w:bCs/>
                <w:color w:val="000000"/>
                <w:lang w:eastAsia="en-GB"/>
              </w:rPr>
            </w:pPr>
            <w:r w:rsidRPr="00516FD3">
              <w:rPr>
                <w:rFonts w:ascii="Calibri" w:eastAsia="Times New Roman" w:hAnsi="Calibri" w:cs="Times New Roman"/>
                <w:b/>
                <w:bCs/>
                <w:color w:val="000000"/>
                <w:lang w:eastAsia="en-GB"/>
              </w:rPr>
              <w:t xml:space="preserve">D03 Expected Death In Acute Hospital </w:t>
            </w:r>
            <w:proofErr w:type="spellStart"/>
            <w:r w:rsidRPr="00516FD3">
              <w:rPr>
                <w:rFonts w:ascii="Calibri" w:eastAsia="Times New Roman" w:hAnsi="Calibri" w:cs="Times New Roman"/>
                <w:b/>
                <w:bCs/>
                <w:color w:val="000000"/>
                <w:lang w:eastAsia="en-GB"/>
              </w:rPr>
              <w:t>Eg</w:t>
            </w:r>
            <w:proofErr w:type="spellEnd"/>
            <w:r w:rsidRPr="00516FD3">
              <w:rPr>
                <w:rFonts w:ascii="Calibri" w:eastAsia="Times New Roman" w:hAnsi="Calibri" w:cs="Times New Roman"/>
                <w:b/>
                <w:bCs/>
                <w:color w:val="000000"/>
                <w:lang w:eastAsia="en-GB"/>
              </w:rPr>
              <w:t>. JR</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0F0" w:rsidRPr="00516FD3" w:rsidRDefault="000E20F0" w:rsidP="00566E1B">
            <w:pPr>
              <w:spacing w:after="0" w:line="240" w:lineRule="auto"/>
              <w:jc w:val="right"/>
              <w:rPr>
                <w:rFonts w:ascii="Calibri" w:eastAsia="Times New Roman" w:hAnsi="Calibri" w:cs="Times New Roman"/>
                <w:b/>
                <w:bCs/>
                <w:color w:val="000000"/>
                <w:lang w:eastAsia="en-GB"/>
              </w:rPr>
            </w:pPr>
            <w:r w:rsidRPr="00516FD3">
              <w:rPr>
                <w:rFonts w:ascii="Calibri" w:eastAsia="Times New Roman" w:hAnsi="Calibri" w:cs="Times New Roman"/>
                <w:b/>
                <w:bCs/>
                <w:color w:val="000000"/>
                <w:lang w:eastAsia="en-GB"/>
              </w:rPr>
              <w:t>1</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0F0" w:rsidRPr="00516FD3" w:rsidRDefault="000E20F0" w:rsidP="00566E1B">
            <w:pPr>
              <w:spacing w:after="0" w:line="240" w:lineRule="auto"/>
              <w:jc w:val="right"/>
              <w:rPr>
                <w:rFonts w:ascii="Calibri" w:eastAsia="Times New Roman" w:hAnsi="Calibri" w:cs="Times New Roman"/>
                <w:b/>
                <w:bCs/>
                <w:color w:val="000000"/>
                <w:lang w:eastAsia="en-GB"/>
              </w:rPr>
            </w:pPr>
            <w:r w:rsidRPr="00516FD3">
              <w:rPr>
                <w:rFonts w:ascii="Calibri" w:eastAsia="Times New Roman" w:hAnsi="Calibri" w:cs="Times New Roman"/>
                <w:b/>
                <w:bCs/>
                <w:color w:val="000000"/>
                <w:lang w:eastAsia="en-GB"/>
              </w:rPr>
              <w:t>4</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0F0" w:rsidRPr="00516FD3" w:rsidRDefault="000E20F0" w:rsidP="00566E1B">
            <w:pPr>
              <w:spacing w:after="0" w:line="240" w:lineRule="auto"/>
              <w:jc w:val="right"/>
              <w:rPr>
                <w:rFonts w:ascii="Calibri" w:eastAsia="Times New Roman" w:hAnsi="Calibri" w:cs="Times New Roman"/>
                <w:b/>
                <w:bCs/>
                <w:color w:val="000000"/>
                <w:lang w:eastAsia="en-GB"/>
              </w:rPr>
            </w:pPr>
            <w:r w:rsidRPr="00516FD3">
              <w:rPr>
                <w:rFonts w:ascii="Calibri" w:eastAsia="Times New Roman" w:hAnsi="Calibri" w:cs="Times New Roman"/>
                <w:b/>
                <w:bCs/>
                <w:color w:val="000000"/>
                <w:lang w:eastAsia="en-GB"/>
              </w:rPr>
              <w:t>12</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0F0" w:rsidRPr="00516FD3" w:rsidRDefault="000E20F0" w:rsidP="00566E1B">
            <w:pPr>
              <w:spacing w:after="0" w:line="240" w:lineRule="auto"/>
              <w:jc w:val="right"/>
              <w:rPr>
                <w:rFonts w:ascii="Calibri" w:eastAsia="Times New Roman" w:hAnsi="Calibri" w:cs="Times New Roman"/>
                <w:b/>
                <w:bCs/>
                <w:color w:val="000000"/>
                <w:lang w:eastAsia="en-GB"/>
              </w:rPr>
            </w:pPr>
            <w:r w:rsidRPr="00516FD3">
              <w:rPr>
                <w:rFonts w:ascii="Calibri" w:eastAsia="Times New Roman" w:hAnsi="Calibri" w:cs="Times New Roman"/>
                <w:b/>
                <w:bCs/>
                <w:color w:val="000000"/>
                <w:lang w:eastAsia="en-GB"/>
              </w:rPr>
              <w:t>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0F0" w:rsidRPr="00516FD3" w:rsidRDefault="000E20F0" w:rsidP="00566E1B">
            <w:pPr>
              <w:spacing w:after="0" w:line="240" w:lineRule="auto"/>
              <w:jc w:val="right"/>
              <w:rPr>
                <w:rFonts w:ascii="Calibri" w:eastAsia="Times New Roman" w:hAnsi="Calibri" w:cs="Times New Roman"/>
                <w:b/>
                <w:bCs/>
                <w:color w:val="000000"/>
                <w:lang w:eastAsia="en-GB"/>
              </w:rPr>
            </w:pPr>
            <w:r w:rsidRPr="00516FD3">
              <w:rPr>
                <w:rFonts w:ascii="Calibri" w:eastAsia="Times New Roman" w:hAnsi="Calibri" w:cs="Times New Roman"/>
                <w:b/>
                <w:bCs/>
                <w:color w:val="000000"/>
                <w:lang w:eastAsia="en-GB"/>
              </w:rPr>
              <w:t>24</w:t>
            </w:r>
          </w:p>
        </w:tc>
      </w:tr>
      <w:tr w:rsidR="000E20F0" w:rsidRPr="00516FD3" w:rsidTr="005B1473">
        <w:trPr>
          <w:trHeight w:val="300"/>
        </w:trPr>
        <w:tc>
          <w:tcPr>
            <w:tcW w:w="4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0F0" w:rsidRPr="00516FD3" w:rsidRDefault="000E20F0" w:rsidP="00566E1B">
            <w:pPr>
              <w:spacing w:after="0" w:line="240" w:lineRule="auto"/>
              <w:rPr>
                <w:rFonts w:ascii="Calibri" w:eastAsia="Times New Roman" w:hAnsi="Calibri" w:cs="Times New Roman"/>
                <w:b/>
                <w:bCs/>
                <w:color w:val="000000"/>
                <w:lang w:eastAsia="en-GB"/>
              </w:rPr>
            </w:pPr>
            <w:r w:rsidRPr="00516FD3">
              <w:rPr>
                <w:rFonts w:ascii="Calibri" w:eastAsia="Times New Roman" w:hAnsi="Calibri" w:cs="Times New Roman"/>
                <w:b/>
                <w:bCs/>
                <w:color w:val="000000"/>
                <w:lang w:eastAsia="en-GB"/>
              </w:rPr>
              <w:t>D04 Unexpected Death In Oxford Health  Hospital</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0F0" w:rsidRPr="00516FD3" w:rsidRDefault="000E20F0" w:rsidP="00566E1B">
            <w:pPr>
              <w:spacing w:after="0" w:line="240" w:lineRule="auto"/>
              <w:jc w:val="right"/>
              <w:rPr>
                <w:rFonts w:ascii="Calibri" w:eastAsia="Times New Roman" w:hAnsi="Calibri" w:cs="Times New Roman"/>
                <w:b/>
                <w:bCs/>
                <w:color w:val="000000"/>
                <w:lang w:eastAsia="en-GB"/>
              </w:rPr>
            </w:pPr>
            <w:r w:rsidRPr="00516FD3">
              <w:rPr>
                <w:rFonts w:ascii="Calibri" w:eastAsia="Times New Roman" w:hAnsi="Calibri" w:cs="Times New Roman"/>
                <w:b/>
                <w:bCs/>
                <w:color w:val="000000"/>
                <w:lang w:eastAsia="en-GB"/>
              </w:rPr>
              <w:t>3</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0F0" w:rsidRPr="00516FD3" w:rsidRDefault="000E20F0" w:rsidP="00566E1B">
            <w:pPr>
              <w:spacing w:after="0" w:line="240" w:lineRule="auto"/>
              <w:jc w:val="right"/>
              <w:rPr>
                <w:rFonts w:ascii="Calibri" w:eastAsia="Times New Roman" w:hAnsi="Calibri" w:cs="Times New Roman"/>
                <w:b/>
                <w:bCs/>
                <w:color w:val="000000"/>
                <w:lang w:eastAsia="en-GB"/>
              </w:rPr>
            </w:pPr>
            <w:r w:rsidRPr="00516FD3">
              <w:rPr>
                <w:rFonts w:ascii="Calibri" w:eastAsia="Times New Roman" w:hAnsi="Calibri" w:cs="Times New Roman"/>
                <w:b/>
                <w:bCs/>
                <w:color w:val="000000"/>
                <w:lang w:eastAsia="en-GB"/>
              </w:rPr>
              <w:t>3</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0F0" w:rsidRPr="00516FD3" w:rsidRDefault="000E20F0" w:rsidP="00566E1B">
            <w:pPr>
              <w:spacing w:after="0" w:line="240" w:lineRule="auto"/>
              <w:rPr>
                <w:rFonts w:ascii="Calibri" w:eastAsia="Times New Roman" w:hAnsi="Calibri" w:cs="Times New Roman"/>
                <w:b/>
                <w:bCs/>
                <w:color w:val="000000"/>
                <w:lang w:eastAsia="en-GB"/>
              </w:rPr>
            </w:pPr>
            <w:r w:rsidRPr="00516FD3">
              <w:rPr>
                <w:rFonts w:ascii="Calibri" w:eastAsia="Times New Roman" w:hAnsi="Calibri" w:cs="Times New Roman"/>
                <w:b/>
                <w:bCs/>
                <w:color w:val="000000"/>
                <w:lang w:eastAsia="en-GB"/>
              </w:rPr>
              <w:t> </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0F0" w:rsidRPr="00516FD3" w:rsidRDefault="000E20F0" w:rsidP="00566E1B">
            <w:pPr>
              <w:spacing w:after="0" w:line="240" w:lineRule="auto"/>
              <w:rPr>
                <w:rFonts w:ascii="Calibri" w:eastAsia="Times New Roman" w:hAnsi="Calibri" w:cs="Times New Roman"/>
                <w:b/>
                <w:bCs/>
                <w:color w:val="000000"/>
                <w:lang w:eastAsia="en-GB"/>
              </w:rPr>
            </w:pPr>
            <w:r w:rsidRPr="00516FD3">
              <w:rPr>
                <w:rFonts w:ascii="Calibri" w:eastAsia="Times New Roman" w:hAnsi="Calibri" w:cs="Times New Roman"/>
                <w:b/>
                <w:bCs/>
                <w:color w:val="000000"/>
                <w:lang w:eastAsia="en-GB"/>
              </w:rPr>
              <w:t> </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0F0" w:rsidRPr="00516FD3" w:rsidRDefault="000E20F0" w:rsidP="00566E1B">
            <w:pPr>
              <w:spacing w:after="0" w:line="240" w:lineRule="auto"/>
              <w:jc w:val="right"/>
              <w:rPr>
                <w:rFonts w:ascii="Calibri" w:eastAsia="Times New Roman" w:hAnsi="Calibri" w:cs="Times New Roman"/>
                <w:b/>
                <w:bCs/>
                <w:color w:val="000000"/>
                <w:lang w:eastAsia="en-GB"/>
              </w:rPr>
            </w:pPr>
            <w:r w:rsidRPr="00516FD3">
              <w:rPr>
                <w:rFonts w:ascii="Calibri" w:eastAsia="Times New Roman" w:hAnsi="Calibri" w:cs="Times New Roman"/>
                <w:b/>
                <w:bCs/>
                <w:color w:val="000000"/>
                <w:lang w:eastAsia="en-GB"/>
              </w:rPr>
              <w:t>6</w:t>
            </w:r>
          </w:p>
        </w:tc>
      </w:tr>
      <w:tr w:rsidR="000E20F0" w:rsidRPr="00516FD3" w:rsidTr="005B1473">
        <w:trPr>
          <w:trHeight w:val="300"/>
        </w:trPr>
        <w:tc>
          <w:tcPr>
            <w:tcW w:w="4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0F0" w:rsidRPr="00516FD3" w:rsidRDefault="000E20F0" w:rsidP="00566E1B">
            <w:pPr>
              <w:spacing w:after="0" w:line="240" w:lineRule="auto"/>
              <w:rPr>
                <w:rFonts w:ascii="Calibri" w:eastAsia="Times New Roman" w:hAnsi="Calibri" w:cs="Times New Roman"/>
                <w:b/>
                <w:bCs/>
                <w:color w:val="000000"/>
                <w:lang w:eastAsia="en-GB"/>
              </w:rPr>
            </w:pPr>
            <w:r w:rsidRPr="00516FD3">
              <w:rPr>
                <w:rFonts w:ascii="Calibri" w:eastAsia="Times New Roman" w:hAnsi="Calibri" w:cs="Times New Roman"/>
                <w:b/>
                <w:bCs/>
                <w:color w:val="000000"/>
                <w:lang w:eastAsia="en-GB"/>
              </w:rPr>
              <w:t xml:space="preserve">D05 Unexpected Death In Acute Hospital </w:t>
            </w:r>
            <w:proofErr w:type="spellStart"/>
            <w:r w:rsidRPr="00516FD3">
              <w:rPr>
                <w:rFonts w:ascii="Calibri" w:eastAsia="Times New Roman" w:hAnsi="Calibri" w:cs="Times New Roman"/>
                <w:b/>
                <w:bCs/>
                <w:color w:val="000000"/>
                <w:lang w:eastAsia="en-GB"/>
              </w:rPr>
              <w:t>Eg</w:t>
            </w:r>
            <w:proofErr w:type="spellEnd"/>
            <w:r w:rsidRPr="00516FD3">
              <w:rPr>
                <w:rFonts w:ascii="Calibri" w:eastAsia="Times New Roman" w:hAnsi="Calibri" w:cs="Times New Roman"/>
                <w:b/>
                <w:bCs/>
                <w:color w:val="000000"/>
                <w:lang w:eastAsia="en-GB"/>
              </w:rPr>
              <w:t>. JR</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0F0" w:rsidRPr="00516FD3" w:rsidRDefault="000E20F0" w:rsidP="00566E1B">
            <w:pPr>
              <w:spacing w:after="0" w:line="240" w:lineRule="auto"/>
              <w:jc w:val="right"/>
              <w:rPr>
                <w:rFonts w:ascii="Calibri" w:eastAsia="Times New Roman" w:hAnsi="Calibri" w:cs="Times New Roman"/>
                <w:b/>
                <w:bCs/>
                <w:color w:val="000000"/>
                <w:lang w:eastAsia="en-GB"/>
              </w:rPr>
            </w:pPr>
            <w:r w:rsidRPr="00516FD3">
              <w:rPr>
                <w:rFonts w:ascii="Calibri" w:eastAsia="Times New Roman" w:hAnsi="Calibri" w:cs="Times New Roman"/>
                <w:b/>
                <w:bCs/>
                <w:color w:val="000000"/>
                <w:lang w:eastAsia="en-GB"/>
              </w:rPr>
              <w:t>3</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0F0" w:rsidRPr="00516FD3" w:rsidRDefault="000E20F0" w:rsidP="00566E1B">
            <w:pPr>
              <w:spacing w:after="0" w:line="240" w:lineRule="auto"/>
              <w:jc w:val="right"/>
              <w:rPr>
                <w:rFonts w:ascii="Calibri" w:eastAsia="Times New Roman" w:hAnsi="Calibri" w:cs="Times New Roman"/>
                <w:b/>
                <w:bCs/>
                <w:color w:val="000000"/>
                <w:lang w:eastAsia="en-GB"/>
              </w:rPr>
            </w:pPr>
            <w:r w:rsidRPr="00516FD3">
              <w:rPr>
                <w:rFonts w:ascii="Calibri" w:eastAsia="Times New Roman" w:hAnsi="Calibri" w:cs="Times New Roman"/>
                <w:b/>
                <w:bCs/>
                <w:color w:val="000000"/>
                <w:lang w:eastAsia="en-GB"/>
              </w:rPr>
              <w:t>5</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0F0" w:rsidRPr="00516FD3" w:rsidRDefault="000E20F0" w:rsidP="00566E1B">
            <w:pPr>
              <w:spacing w:after="0" w:line="240" w:lineRule="auto"/>
              <w:jc w:val="right"/>
              <w:rPr>
                <w:rFonts w:ascii="Calibri" w:eastAsia="Times New Roman" w:hAnsi="Calibri" w:cs="Times New Roman"/>
                <w:b/>
                <w:bCs/>
                <w:color w:val="000000"/>
                <w:lang w:eastAsia="en-GB"/>
              </w:rPr>
            </w:pPr>
            <w:r w:rsidRPr="00516FD3">
              <w:rPr>
                <w:rFonts w:ascii="Calibri" w:eastAsia="Times New Roman" w:hAnsi="Calibri" w:cs="Times New Roman"/>
                <w:b/>
                <w:bCs/>
                <w:color w:val="000000"/>
                <w:lang w:eastAsia="en-GB"/>
              </w:rPr>
              <w:t>8</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0F0" w:rsidRPr="00516FD3" w:rsidRDefault="000E20F0" w:rsidP="00566E1B">
            <w:pPr>
              <w:spacing w:after="0" w:line="240" w:lineRule="auto"/>
              <w:jc w:val="right"/>
              <w:rPr>
                <w:rFonts w:ascii="Calibri" w:eastAsia="Times New Roman" w:hAnsi="Calibri" w:cs="Times New Roman"/>
                <w:b/>
                <w:bCs/>
                <w:color w:val="000000"/>
                <w:lang w:eastAsia="en-GB"/>
              </w:rPr>
            </w:pPr>
            <w:r w:rsidRPr="00516FD3">
              <w:rPr>
                <w:rFonts w:ascii="Calibri" w:eastAsia="Times New Roman" w:hAnsi="Calibri" w:cs="Times New Roman"/>
                <w:b/>
                <w:bCs/>
                <w:color w:val="000000"/>
                <w:lang w:eastAsia="en-GB"/>
              </w:rPr>
              <w:t>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0F0" w:rsidRPr="00516FD3" w:rsidRDefault="000E20F0" w:rsidP="00566E1B">
            <w:pPr>
              <w:spacing w:after="0" w:line="240" w:lineRule="auto"/>
              <w:jc w:val="right"/>
              <w:rPr>
                <w:rFonts w:ascii="Calibri" w:eastAsia="Times New Roman" w:hAnsi="Calibri" w:cs="Times New Roman"/>
                <w:b/>
                <w:bCs/>
                <w:color w:val="000000"/>
                <w:lang w:eastAsia="en-GB"/>
              </w:rPr>
            </w:pPr>
            <w:r w:rsidRPr="00516FD3">
              <w:rPr>
                <w:rFonts w:ascii="Calibri" w:eastAsia="Times New Roman" w:hAnsi="Calibri" w:cs="Times New Roman"/>
                <w:b/>
                <w:bCs/>
                <w:color w:val="000000"/>
                <w:lang w:eastAsia="en-GB"/>
              </w:rPr>
              <w:t>21</w:t>
            </w:r>
          </w:p>
        </w:tc>
      </w:tr>
      <w:tr w:rsidR="000E20F0" w:rsidRPr="00516FD3" w:rsidTr="005B1473">
        <w:trPr>
          <w:trHeight w:val="300"/>
        </w:trPr>
        <w:tc>
          <w:tcPr>
            <w:tcW w:w="4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0F0" w:rsidRPr="00516FD3" w:rsidRDefault="000E20F0" w:rsidP="00566E1B">
            <w:pPr>
              <w:spacing w:after="0" w:line="240" w:lineRule="auto"/>
              <w:rPr>
                <w:rFonts w:ascii="Calibri" w:eastAsia="Times New Roman" w:hAnsi="Calibri" w:cs="Times New Roman"/>
                <w:b/>
                <w:bCs/>
                <w:color w:val="000000"/>
                <w:lang w:eastAsia="en-GB"/>
              </w:rPr>
            </w:pPr>
            <w:r w:rsidRPr="00516FD3">
              <w:rPr>
                <w:rFonts w:ascii="Calibri" w:eastAsia="Times New Roman" w:hAnsi="Calibri" w:cs="Times New Roman"/>
                <w:b/>
                <w:bCs/>
                <w:color w:val="000000"/>
                <w:lang w:eastAsia="en-GB"/>
              </w:rPr>
              <w:t>D06 Unexpected Death In Community</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0F0" w:rsidRPr="00516FD3" w:rsidRDefault="000E20F0" w:rsidP="00566E1B">
            <w:pPr>
              <w:spacing w:after="0" w:line="240" w:lineRule="auto"/>
              <w:jc w:val="right"/>
              <w:rPr>
                <w:rFonts w:ascii="Calibri" w:eastAsia="Times New Roman" w:hAnsi="Calibri" w:cs="Times New Roman"/>
                <w:b/>
                <w:bCs/>
                <w:color w:val="000000"/>
                <w:lang w:eastAsia="en-GB"/>
              </w:rPr>
            </w:pPr>
            <w:r w:rsidRPr="00516FD3">
              <w:rPr>
                <w:rFonts w:ascii="Calibri" w:eastAsia="Times New Roman" w:hAnsi="Calibri" w:cs="Times New Roman"/>
                <w:b/>
                <w:bCs/>
                <w:color w:val="000000"/>
                <w:lang w:eastAsia="en-GB"/>
              </w:rPr>
              <w:t>18</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0F0" w:rsidRPr="00516FD3" w:rsidRDefault="000E20F0" w:rsidP="00566E1B">
            <w:pPr>
              <w:spacing w:after="0" w:line="240" w:lineRule="auto"/>
              <w:jc w:val="right"/>
              <w:rPr>
                <w:rFonts w:ascii="Calibri" w:eastAsia="Times New Roman" w:hAnsi="Calibri" w:cs="Times New Roman"/>
                <w:b/>
                <w:bCs/>
                <w:color w:val="000000"/>
                <w:lang w:eastAsia="en-GB"/>
              </w:rPr>
            </w:pPr>
            <w:r w:rsidRPr="00516FD3">
              <w:rPr>
                <w:rFonts w:ascii="Calibri" w:eastAsia="Times New Roman" w:hAnsi="Calibri" w:cs="Times New Roman"/>
                <w:b/>
                <w:bCs/>
                <w:color w:val="000000"/>
                <w:lang w:eastAsia="en-GB"/>
              </w:rPr>
              <w:t>14</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0F0" w:rsidRPr="00516FD3" w:rsidRDefault="000E20F0" w:rsidP="00566E1B">
            <w:pPr>
              <w:spacing w:after="0" w:line="240" w:lineRule="auto"/>
              <w:jc w:val="right"/>
              <w:rPr>
                <w:rFonts w:ascii="Calibri" w:eastAsia="Times New Roman" w:hAnsi="Calibri" w:cs="Times New Roman"/>
                <w:b/>
                <w:bCs/>
                <w:color w:val="000000"/>
                <w:lang w:eastAsia="en-GB"/>
              </w:rPr>
            </w:pPr>
            <w:r w:rsidRPr="00516FD3">
              <w:rPr>
                <w:rFonts w:ascii="Calibri" w:eastAsia="Times New Roman" w:hAnsi="Calibri" w:cs="Times New Roman"/>
                <w:b/>
                <w:bCs/>
                <w:color w:val="000000"/>
                <w:lang w:eastAsia="en-GB"/>
              </w:rPr>
              <w:t>14</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0F0" w:rsidRPr="00516FD3" w:rsidRDefault="000E20F0" w:rsidP="00566E1B">
            <w:pPr>
              <w:spacing w:after="0" w:line="240" w:lineRule="auto"/>
              <w:jc w:val="right"/>
              <w:rPr>
                <w:rFonts w:ascii="Calibri" w:eastAsia="Times New Roman" w:hAnsi="Calibri" w:cs="Times New Roman"/>
                <w:b/>
                <w:bCs/>
                <w:color w:val="000000"/>
                <w:lang w:eastAsia="en-GB"/>
              </w:rPr>
            </w:pPr>
            <w:r w:rsidRPr="00516FD3">
              <w:rPr>
                <w:rFonts w:ascii="Calibri" w:eastAsia="Times New Roman" w:hAnsi="Calibri" w:cs="Times New Roman"/>
                <w:b/>
                <w:bCs/>
                <w:color w:val="000000"/>
                <w:lang w:eastAsia="en-GB"/>
              </w:rPr>
              <w:t>36</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0F0" w:rsidRPr="00516FD3" w:rsidRDefault="000E20F0" w:rsidP="00566E1B">
            <w:pPr>
              <w:spacing w:after="0" w:line="240" w:lineRule="auto"/>
              <w:jc w:val="right"/>
              <w:rPr>
                <w:rFonts w:ascii="Calibri" w:eastAsia="Times New Roman" w:hAnsi="Calibri" w:cs="Times New Roman"/>
                <w:b/>
                <w:bCs/>
                <w:color w:val="000000"/>
                <w:lang w:eastAsia="en-GB"/>
              </w:rPr>
            </w:pPr>
            <w:r w:rsidRPr="00516FD3">
              <w:rPr>
                <w:rFonts w:ascii="Calibri" w:eastAsia="Times New Roman" w:hAnsi="Calibri" w:cs="Times New Roman"/>
                <w:b/>
                <w:bCs/>
                <w:color w:val="000000"/>
                <w:lang w:eastAsia="en-GB"/>
              </w:rPr>
              <w:t>82</w:t>
            </w:r>
          </w:p>
        </w:tc>
      </w:tr>
      <w:tr w:rsidR="000E20F0" w:rsidRPr="00516FD3" w:rsidTr="005B1473">
        <w:trPr>
          <w:trHeight w:val="300"/>
        </w:trPr>
        <w:tc>
          <w:tcPr>
            <w:tcW w:w="4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0F0" w:rsidRPr="00516FD3" w:rsidRDefault="000E20F0" w:rsidP="00566E1B">
            <w:pPr>
              <w:spacing w:after="0" w:line="240" w:lineRule="auto"/>
              <w:rPr>
                <w:rFonts w:ascii="Calibri" w:eastAsia="Times New Roman" w:hAnsi="Calibri" w:cs="Times New Roman"/>
                <w:b/>
                <w:bCs/>
                <w:color w:val="000000"/>
                <w:lang w:eastAsia="en-GB"/>
              </w:rPr>
            </w:pPr>
            <w:r w:rsidRPr="00516FD3">
              <w:rPr>
                <w:rFonts w:ascii="Calibri" w:eastAsia="Times New Roman" w:hAnsi="Calibri" w:cs="Times New Roman"/>
                <w:b/>
                <w:bCs/>
                <w:color w:val="000000"/>
                <w:lang w:eastAsia="en-GB"/>
              </w:rPr>
              <w:t>D07 Unexpected Death After Discharge</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0F0" w:rsidRPr="00516FD3" w:rsidRDefault="000E20F0" w:rsidP="00566E1B">
            <w:pPr>
              <w:spacing w:after="0" w:line="240" w:lineRule="auto"/>
              <w:rPr>
                <w:rFonts w:ascii="Calibri" w:eastAsia="Times New Roman" w:hAnsi="Calibri" w:cs="Times New Roman"/>
                <w:b/>
                <w:bCs/>
                <w:color w:val="000000"/>
                <w:lang w:eastAsia="en-GB"/>
              </w:rPr>
            </w:pPr>
            <w:r w:rsidRPr="00516FD3">
              <w:rPr>
                <w:rFonts w:ascii="Calibri" w:eastAsia="Times New Roman" w:hAnsi="Calibri" w:cs="Times New Roman"/>
                <w:b/>
                <w:bCs/>
                <w:color w:val="000000"/>
                <w:lang w:eastAsia="en-GB"/>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0F0" w:rsidRPr="00516FD3" w:rsidRDefault="000E20F0" w:rsidP="00566E1B">
            <w:pPr>
              <w:spacing w:after="0" w:line="240" w:lineRule="auto"/>
              <w:jc w:val="right"/>
              <w:rPr>
                <w:rFonts w:ascii="Calibri" w:eastAsia="Times New Roman" w:hAnsi="Calibri" w:cs="Times New Roman"/>
                <w:b/>
                <w:bCs/>
                <w:color w:val="000000"/>
                <w:lang w:eastAsia="en-GB"/>
              </w:rPr>
            </w:pPr>
            <w:r w:rsidRPr="00516FD3">
              <w:rPr>
                <w:rFonts w:ascii="Calibri" w:eastAsia="Times New Roman" w:hAnsi="Calibri" w:cs="Times New Roman"/>
                <w:b/>
                <w:bCs/>
                <w:color w:val="000000"/>
                <w:lang w:eastAsia="en-GB"/>
              </w:rPr>
              <w:t>1</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0F0" w:rsidRPr="00516FD3" w:rsidRDefault="000E20F0" w:rsidP="00566E1B">
            <w:pPr>
              <w:spacing w:after="0" w:line="240" w:lineRule="auto"/>
              <w:jc w:val="right"/>
              <w:rPr>
                <w:rFonts w:ascii="Calibri" w:eastAsia="Times New Roman" w:hAnsi="Calibri" w:cs="Times New Roman"/>
                <w:b/>
                <w:bCs/>
                <w:color w:val="000000"/>
                <w:lang w:eastAsia="en-GB"/>
              </w:rPr>
            </w:pPr>
            <w:r w:rsidRPr="00516FD3">
              <w:rPr>
                <w:rFonts w:ascii="Calibri" w:eastAsia="Times New Roman" w:hAnsi="Calibri" w:cs="Times New Roman"/>
                <w:b/>
                <w:bCs/>
                <w:color w:val="000000"/>
                <w:lang w:eastAsia="en-GB"/>
              </w:rPr>
              <w:t>1</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0F0" w:rsidRPr="00516FD3" w:rsidRDefault="000E20F0" w:rsidP="00566E1B">
            <w:pPr>
              <w:spacing w:after="0" w:line="240" w:lineRule="auto"/>
              <w:jc w:val="right"/>
              <w:rPr>
                <w:rFonts w:ascii="Calibri" w:eastAsia="Times New Roman" w:hAnsi="Calibri" w:cs="Times New Roman"/>
                <w:b/>
                <w:bCs/>
                <w:color w:val="000000"/>
                <w:lang w:eastAsia="en-GB"/>
              </w:rPr>
            </w:pPr>
            <w:r w:rsidRPr="00516FD3">
              <w:rPr>
                <w:rFonts w:ascii="Calibri" w:eastAsia="Times New Roman" w:hAnsi="Calibri" w:cs="Times New Roman"/>
                <w:b/>
                <w:bCs/>
                <w:color w:val="000000"/>
                <w:lang w:eastAsia="en-GB"/>
              </w:rPr>
              <w:t>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0F0" w:rsidRPr="00516FD3" w:rsidRDefault="000E20F0" w:rsidP="00566E1B">
            <w:pPr>
              <w:spacing w:after="0" w:line="240" w:lineRule="auto"/>
              <w:jc w:val="right"/>
              <w:rPr>
                <w:rFonts w:ascii="Calibri" w:eastAsia="Times New Roman" w:hAnsi="Calibri" w:cs="Times New Roman"/>
                <w:b/>
                <w:bCs/>
                <w:color w:val="000000"/>
                <w:lang w:eastAsia="en-GB"/>
              </w:rPr>
            </w:pPr>
            <w:r w:rsidRPr="00516FD3">
              <w:rPr>
                <w:rFonts w:ascii="Calibri" w:eastAsia="Times New Roman" w:hAnsi="Calibri" w:cs="Times New Roman"/>
                <w:b/>
                <w:bCs/>
                <w:color w:val="000000"/>
                <w:lang w:eastAsia="en-GB"/>
              </w:rPr>
              <w:t>4</w:t>
            </w:r>
          </w:p>
        </w:tc>
      </w:tr>
      <w:tr w:rsidR="000E20F0" w:rsidRPr="00516FD3" w:rsidTr="005B1473">
        <w:trPr>
          <w:trHeight w:val="300"/>
        </w:trPr>
        <w:tc>
          <w:tcPr>
            <w:tcW w:w="4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0F0" w:rsidRPr="00516FD3" w:rsidRDefault="000E20F0" w:rsidP="00566E1B">
            <w:pPr>
              <w:spacing w:after="0" w:line="240" w:lineRule="auto"/>
              <w:rPr>
                <w:rFonts w:ascii="Calibri" w:eastAsia="Times New Roman" w:hAnsi="Calibri" w:cs="Times New Roman"/>
                <w:b/>
                <w:bCs/>
                <w:color w:val="000000"/>
                <w:lang w:eastAsia="en-GB"/>
              </w:rPr>
            </w:pPr>
            <w:r w:rsidRPr="00516FD3">
              <w:rPr>
                <w:rFonts w:ascii="Calibri" w:eastAsia="Times New Roman" w:hAnsi="Calibri" w:cs="Times New Roman"/>
                <w:b/>
                <w:bCs/>
                <w:color w:val="000000"/>
                <w:lang w:eastAsia="en-GB"/>
              </w:rPr>
              <w:t>D08 Unexpected Death In Prison</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0F0" w:rsidRPr="00516FD3" w:rsidRDefault="000E20F0" w:rsidP="00566E1B">
            <w:pPr>
              <w:spacing w:after="0" w:line="240" w:lineRule="auto"/>
              <w:jc w:val="right"/>
              <w:rPr>
                <w:rFonts w:ascii="Calibri" w:eastAsia="Times New Roman" w:hAnsi="Calibri" w:cs="Times New Roman"/>
                <w:b/>
                <w:bCs/>
                <w:color w:val="000000"/>
                <w:lang w:eastAsia="en-GB"/>
              </w:rPr>
            </w:pPr>
            <w:r w:rsidRPr="00516FD3">
              <w:rPr>
                <w:rFonts w:ascii="Calibri" w:eastAsia="Times New Roman" w:hAnsi="Calibri" w:cs="Times New Roman"/>
                <w:b/>
                <w:bCs/>
                <w:color w:val="000000"/>
                <w:lang w:eastAsia="en-GB"/>
              </w:rPr>
              <w:t>2</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0F0" w:rsidRPr="00516FD3" w:rsidRDefault="000E20F0" w:rsidP="00566E1B">
            <w:pPr>
              <w:spacing w:after="0" w:line="240" w:lineRule="auto"/>
              <w:rPr>
                <w:rFonts w:ascii="Calibri" w:eastAsia="Times New Roman" w:hAnsi="Calibri" w:cs="Times New Roman"/>
                <w:b/>
                <w:bCs/>
                <w:color w:val="000000"/>
                <w:lang w:eastAsia="en-GB"/>
              </w:rPr>
            </w:pPr>
            <w:r w:rsidRPr="00516FD3">
              <w:rPr>
                <w:rFonts w:ascii="Calibri" w:eastAsia="Times New Roman" w:hAnsi="Calibri" w:cs="Times New Roman"/>
                <w:b/>
                <w:bCs/>
                <w:color w:val="000000"/>
                <w:lang w:eastAsia="en-GB"/>
              </w:rPr>
              <w:t> </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0F0" w:rsidRPr="00516FD3" w:rsidRDefault="000E20F0" w:rsidP="00566E1B">
            <w:pPr>
              <w:spacing w:after="0" w:line="240" w:lineRule="auto"/>
              <w:rPr>
                <w:rFonts w:ascii="Calibri" w:eastAsia="Times New Roman" w:hAnsi="Calibri" w:cs="Times New Roman"/>
                <w:b/>
                <w:bCs/>
                <w:color w:val="000000"/>
                <w:lang w:eastAsia="en-GB"/>
              </w:rPr>
            </w:pPr>
            <w:r w:rsidRPr="00516FD3">
              <w:rPr>
                <w:rFonts w:ascii="Calibri" w:eastAsia="Times New Roman" w:hAnsi="Calibri" w:cs="Times New Roman"/>
                <w:b/>
                <w:bCs/>
                <w:color w:val="000000"/>
                <w:lang w:eastAsia="en-GB"/>
              </w:rPr>
              <w:t> </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0F0" w:rsidRPr="00516FD3" w:rsidRDefault="000E20F0" w:rsidP="00566E1B">
            <w:pPr>
              <w:spacing w:after="0" w:line="240" w:lineRule="auto"/>
              <w:rPr>
                <w:rFonts w:ascii="Calibri" w:eastAsia="Times New Roman" w:hAnsi="Calibri" w:cs="Times New Roman"/>
                <w:b/>
                <w:bCs/>
                <w:color w:val="000000"/>
                <w:lang w:eastAsia="en-GB"/>
              </w:rPr>
            </w:pPr>
            <w:r w:rsidRPr="00516FD3">
              <w:rPr>
                <w:rFonts w:ascii="Calibri" w:eastAsia="Times New Roman" w:hAnsi="Calibri" w:cs="Times New Roman"/>
                <w:b/>
                <w:bCs/>
                <w:color w:val="000000"/>
                <w:lang w:eastAsia="en-GB"/>
              </w:rPr>
              <w:t> </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0F0" w:rsidRPr="00516FD3" w:rsidRDefault="000E20F0" w:rsidP="00566E1B">
            <w:pPr>
              <w:spacing w:after="0" w:line="240" w:lineRule="auto"/>
              <w:jc w:val="right"/>
              <w:rPr>
                <w:rFonts w:ascii="Calibri" w:eastAsia="Times New Roman" w:hAnsi="Calibri" w:cs="Times New Roman"/>
                <w:b/>
                <w:bCs/>
                <w:color w:val="000000"/>
                <w:lang w:eastAsia="en-GB"/>
              </w:rPr>
            </w:pPr>
            <w:r w:rsidRPr="00516FD3">
              <w:rPr>
                <w:rFonts w:ascii="Calibri" w:eastAsia="Times New Roman" w:hAnsi="Calibri" w:cs="Times New Roman"/>
                <w:b/>
                <w:bCs/>
                <w:color w:val="000000"/>
                <w:lang w:eastAsia="en-GB"/>
              </w:rPr>
              <w:t>2</w:t>
            </w:r>
          </w:p>
        </w:tc>
      </w:tr>
      <w:tr w:rsidR="000E20F0" w:rsidRPr="00516FD3" w:rsidTr="005B1473">
        <w:trPr>
          <w:trHeight w:val="300"/>
        </w:trPr>
        <w:tc>
          <w:tcPr>
            <w:tcW w:w="498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0E20F0" w:rsidRPr="00516FD3" w:rsidRDefault="000E20F0" w:rsidP="00566E1B">
            <w:pPr>
              <w:spacing w:after="0" w:line="240" w:lineRule="auto"/>
              <w:rPr>
                <w:rFonts w:ascii="Calibri" w:eastAsia="Times New Roman" w:hAnsi="Calibri" w:cs="Times New Roman"/>
                <w:b/>
                <w:bCs/>
                <w:color w:val="000000"/>
                <w:lang w:eastAsia="en-GB"/>
              </w:rPr>
            </w:pPr>
            <w:r w:rsidRPr="00516FD3">
              <w:rPr>
                <w:rFonts w:ascii="Calibri" w:eastAsia="Times New Roman" w:hAnsi="Calibri" w:cs="Times New Roman"/>
                <w:b/>
                <w:bCs/>
                <w:color w:val="000000"/>
                <w:lang w:eastAsia="en-GB"/>
              </w:rPr>
              <w:t>Grand Total</w:t>
            </w:r>
          </w:p>
        </w:tc>
        <w:tc>
          <w:tcPr>
            <w:tcW w:w="100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0E20F0" w:rsidRPr="00516FD3" w:rsidRDefault="000E20F0" w:rsidP="00566E1B">
            <w:pPr>
              <w:spacing w:after="0" w:line="240" w:lineRule="auto"/>
              <w:jc w:val="right"/>
              <w:rPr>
                <w:rFonts w:ascii="Calibri" w:eastAsia="Times New Roman" w:hAnsi="Calibri" w:cs="Times New Roman"/>
                <w:b/>
                <w:bCs/>
                <w:color w:val="000000"/>
                <w:lang w:eastAsia="en-GB"/>
              </w:rPr>
            </w:pPr>
            <w:r w:rsidRPr="00516FD3">
              <w:rPr>
                <w:rFonts w:ascii="Calibri" w:eastAsia="Times New Roman" w:hAnsi="Calibri" w:cs="Times New Roman"/>
                <w:b/>
                <w:bCs/>
                <w:color w:val="000000"/>
                <w:lang w:eastAsia="en-GB"/>
              </w:rPr>
              <w:t>28</w:t>
            </w:r>
          </w:p>
        </w:tc>
        <w:tc>
          <w:tcPr>
            <w:tcW w:w="82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0E20F0" w:rsidRPr="00516FD3" w:rsidRDefault="000E20F0" w:rsidP="00566E1B">
            <w:pPr>
              <w:spacing w:after="0" w:line="240" w:lineRule="auto"/>
              <w:jc w:val="right"/>
              <w:rPr>
                <w:rFonts w:ascii="Calibri" w:eastAsia="Times New Roman" w:hAnsi="Calibri" w:cs="Times New Roman"/>
                <w:b/>
                <w:bCs/>
                <w:color w:val="000000"/>
                <w:lang w:eastAsia="en-GB"/>
              </w:rPr>
            </w:pPr>
            <w:r w:rsidRPr="00516FD3">
              <w:rPr>
                <w:rFonts w:ascii="Calibri" w:eastAsia="Times New Roman" w:hAnsi="Calibri" w:cs="Times New Roman"/>
                <w:b/>
                <w:bCs/>
                <w:color w:val="000000"/>
                <w:lang w:eastAsia="en-GB"/>
              </w:rPr>
              <w:t>33</w:t>
            </w:r>
          </w:p>
        </w:tc>
        <w:tc>
          <w:tcPr>
            <w:tcW w:w="76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0E20F0" w:rsidRPr="00516FD3" w:rsidRDefault="000E20F0" w:rsidP="00566E1B">
            <w:pPr>
              <w:spacing w:after="0" w:line="240" w:lineRule="auto"/>
              <w:jc w:val="right"/>
              <w:rPr>
                <w:rFonts w:ascii="Calibri" w:eastAsia="Times New Roman" w:hAnsi="Calibri" w:cs="Times New Roman"/>
                <w:b/>
                <w:bCs/>
                <w:color w:val="000000"/>
                <w:lang w:eastAsia="en-GB"/>
              </w:rPr>
            </w:pPr>
            <w:r w:rsidRPr="00516FD3">
              <w:rPr>
                <w:rFonts w:ascii="Calibri" w:eastAsia="Times New Roman" w:hAnsi="Calibri" w:cs="Times New Roman"/>
                <w:b/>
                <w:bCs/>
                <w:color w:val="000000"/>
                <w:lang w:eastAsia="en-GB"/>
              </w:rPr>
              <w:t>51</w:t>
            </w:r>
          </w:p>
        </w:tc>
        <w:tc>
          <w:tcPr>
            <w:tcW w:w="84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0E20F0" w:rsidRPr="00516FD3" w:rsidRDefault="000E20F0" w:rsidP="00566E1B">
            <w:pPr>
              <w:spacing w:after="0" w:line="240" w:lineRule="auto"/>
              <w:jc w:val="right"/>
              <w:rPr>
                <w:rFonts w:ascii="Calibri" w:eastAsia="Times New Roman" w:hAnsi="Calibri" w:cs="Times New Roman"/>
                <w:b/>
                <w:bCs/>
                <w:color w:val="000000"/>
                <w:lang w:eastAsia="en-GB"/>
              </w:rPr>
            </w:pPr>
            <w:r w:rsidRPr="00516FD3">
              <w:rPr>
                <w:rFonts w:ascii="Calibri" w:eastAsia="Times New Roman" w:hAnsi="Calibri" w:cs="Times New Roman"/>
                <w:b/>
                <w:bCs/>
                <w:color w:val="000000"/>
                <w:lang w:eastAsia="en-GB"/>
              </w:rPr>
              <w:t>59</w:t>
            </w:r>
          </w:p>
        </w:tc>
        <w:tc>
          <w:tcPr>
            <w:tcW w:w="118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0E20F0" w:rsidRPr="00516FD3" w:rsidRDefault="000E20F0" w:rsidP="00566E1B">
            <w:pPr>
              <w:spacing w:after="0" w:line="240" w:lineRule="auto"/>
              <w:jc w:val="right"/>
              <w:rPr>
                <w:rFonts w:ascii="Calibri" w:eastAsia="Times New Roman" w:hAnsi="Calibri" w:cs="Times New Roman"/>
                <w:b/>
                <w:bCs/>
                <w:color w:val="000000"/>
                <w:lang w:eastAsia="en-GB"/>
              </w:rPr>
            </w:pPr>
            <w:r w:rsidRPr="00516FD3">
              <w:rPr>
                <w:rFonts w:ascii="Calibri" w:eastAsia="Times New Roman" w:hAnsi="Calibri" w:cs="Times New Roman"/>
                <w:b/>
                <w:bCs/>
                <w:color w:val="000000"/>
                <w:lang w:eastAsia="en-GB"/>
              </w:rPr>
              <w:t>171</w:t>
            </w:r>
          </w:p>
        </w:tc>
      </w:tr>
    </w:tbl>
    <w:p w:rsidR="000E20F0" w:rsidRDefault="000E20F0" w:rsidP="00566E1B">
      <w:pPr>
        <w:spacing w:after="0" w:line="240" w:lineRule="auto"/>
        <w:ind w:left="360"/>
      </w:pPr>
    </w:p>
    <w:p w:rsidR="000E20F0" w:rsidRDefault="000E20F0" w:rsidP="00566E1B">
      <w:pPr>
        <w:spacing w:after="0" w:line="240" w:lineRule="auto"/>
        <w:ind w:left="360"/>
      </w:pPr>
    </w:p>
    <w:p w:rsidR="000E20F0" w:rsidRPr="00231EAE" w:rsidRDefault="000E20F0" w:rsidP="00566E1B">
      <w:pPr>
        <w:spacing w:after="0" w:line="240" w:lineRule="auto"/>
        <w:ind w:left="360"/>
      </w:pPr>
      <w:r>
        <w:rPr>
          <w:noProof/>
          <w:lang w:eastAsia="en-GB"/>
        </w:rPr>
        <w:drawing>
          <wp:inline distT="0" distB="0" distL="0" distR="0" wp14:anchorId="4663A250" wp14:editId="7756A296">
            <wp:extent cx="4572000" cy="2743200"/>
            <wp:effectExtent l="0" t="0" r="1905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66E1B" w:rsidRDefault="00566E1B" w:rsidP="00566E1B">
      <w:pPr>
        <w:spacing w:after="0" w:line="240" w:lineRule="auto"/>
        <w:ind w:left="360"/>
        <w:rPr>
          <w:rFonts w:ascii="Segoe UI" w:eastAsia="Times New Roman" w:hAnsi="Segoe UI" w:cs="Segoe UI"/>
          <w:lang w:eastAsia="x-none"/>
        </w:rPr>
      </w:pPr>
    </w:p>
    <w:p w:rsidR="00CD137B" w:rsidRDefault="00B665F4" w:rsidP="00566E1B">
      <w:pPr>
        <w:spacing w:after="0" w:line="240" w:lineRule="auto"/>
        <w:rPr>
          <w:rFonts w:ascii="Segoe UI" w:eastAsia="Times New Roman" w:hAnsi="Segoe UI" w:cs="Segoe UI"/>
          <w:lang w:eastAsia="x-none"/>
        </w:rPr>
      </w:pPr>
      <w:r w:rsidRPr="000E20F0">
        <w:rPr>
          <w:rFonts w:ascii="Segoe UI" w:eastAsia="Times New Roman" w:hAnsi="Segoe UI" w:cs="Segoe UI"/>
          <w:lang w:eastAsia="x-none"/>
        </w:rPr>
        <w:t xml:space="preserve">There are total of 248 teams that have not reported an incident in Q4.  It is the case that a significant number of teams will be very small (particularly in the Older People Directorate) and may not have witnessed a patient safety incident. Nevertheless the 2014 staff survey indicated that 34% of respondents had witnessed an error, near miss or incident in the last month. </w:t>
      </w:r>
    </w:p>
    <w:p w:rsidR="00566E1B" w:rsidRDefault="00566E1B" w:rsidP="00566E1B">
      <w:pPr>
        <w:spacing w:after="0" w:line="240" w:lineRule="auto"/>
        <w:rPr>
          <w:rFonts w:ascii="Segoe UI" w:eastAsia="Times New Roman" w:hAnsi="Segoe UI" w:cs="Segoe UI"/>
          <w:lang w:eastAsia="x-none"/>
        </w:rPr>
      </w:pPr>
    </w:p>
    <w:tbl>
      <w:tblPr>
        <w:tblW w:w="4277" w:type="pct"/>
        <w:tblLook w:val="04A0" w:firstRow="1" w:lastRow="0" w:firstColumn="1" w:lastColumn="0" w:noHBand="0" w:noVBand="1"/>
      </w:tblPr>
      <w:tblGrid>
        <w:gridCol w:w="3621"/>
        <w:gridCol w:w="4285"/>
      </w:tblGrid>
      <w:tr w:rsidR="000E20F0" w:rsidRPr="00766124" w:rsidTr="005B1473">
        <w:trPr>
          <w:trHeight w:val="590"/>
        </w:trPr>
        <w:tc>
          <w:tcPr>
            <w:tcW w:w="229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E20F0" w:rsidRPr="00766124" w:rsidRDefault="000E20F0" w:rsidP="00566E1B">
            <w:pPr>
              <w:spacing w:after="0" w:line="240" w:lineRule="auto"/>
              <w:jc w:val="center"/>
              <w:rPr>
                <w:rFonts w:ascii="Calibri" w:eastAsia="Times New Roman" w:hAnsi="Calibri" w:cs="Times New Roman"/>
                <w:color w:val="000000"/>
                <w:lang w:eastAsia="en-GB"/>
              </w:rPr>
            </w:pPr>
            <w:r w:rsidRPr="00766124">
              <w:rPr>
                <w:rFonts w:ascii="Calibri" w:eastAsia="Times New Roman" w:hAnsi="Calibri" w:cs="Times New Roman"/>
                <w:color w:val="000000"/>
                <w:lang w:eastAsia="en-GB"/>
              </w:rPr>
              <w:t> </w:t>
            </w:r>
          </w:p>
        </w:tc>
        <w:tc>
          <w:tcPr>
            <w:tcW w:w="2710" w:type="pct"/>
            <w:tcBorders>
              <w:top w:val="single" w:sz="4" w:space="0" w:color="auto"/>
              <w:left w:val="nil"/>
              <w:bottom w:val="single" w:sz="4" w:space="0" w:color="auto"/>
              <w:right w:val="single" w:sz="4" w:space="0" w:color="auto"/>
            </w:tcBorders>
            <w:shd w:val="clear" w:color="auto" w:fill="D9D9D9" w:themeFill="background1" w:themeFillShade="D9"/>
            <w:hideMark/>
          </w:tcPr>
          <w:p w:rsidR="000E20F0" w:rsidRPr="00766124" w:rsidRDefault="000E20F0" w:rsidP="00566E1B">
            <w:pPr>
              <w:spacing w:after="0" w:line="240" w:lineRule="auto"/>
              <w:jc w:val="center"/>
              <w:rPr>
                <w:rFonts w:ascii="Calibri" w:eastAsia="Times New Roman" w:hAnsi="Calibri" w:cs="Times New Roman"/>
                <w:b/>
                <w:bCs/>
                <w:color w:val="000000"/>
                <w:lang w:eastAsia="en-GB"/>
              </w:rPr>
            </w:pPr>
            <w:r w:rsidRPr="00766124">
              <w:rPr>
                <w:rFonts w:ascii="Calibri" w:eastAsia="Times New Roman" w:hAnsi="Calibri" w:cs="Times New Roman"/>
                <w:b/>
                <w:bCs/>
                <w:color w:val="000000"/>
                <w:lang w:eastAsia="en-GB"/>
              </w:rPr>
              <w:t>Number of departments that haven't reported an incident (q4)</w:t>
            </w:r>
          </w:p>
        </w:tc>
      </w:tr>
      <w:tr w:rsidR="000E20F0" w:rsidRPr="00766124" w:rsidTr="005B1473">
        <w:trPr>
          <w:trHeight w:val="442"/>
        </w:trPr>
        <w:tc>
          <w:tcPr>
            <w:tcW w:w="2290" w:type="pct"/>
            <w:tcBorders>
              <w:top w:val="nil"/>
              <w:left w:val="single" w:sz="4" w:space="0" w:color="auto"/>
              <w:bottom w:val="single" w:sz="4" w:space="0" w:color="auto"/>
              <w:right w:val="single" w:sz="4" w:space="0" w:color="auto"/>
            </w:tcBorders>
            <w:shd w:val="clear" w:color="auto" w:fill="D9D9D9" w:themeFill="background1" w:themeFillShade="D9"/>
            <w:hideMark/>
          </w:tcPr>
          <w:p w:rsidR="000E20F0" w:rsidRPr="00766124" w:rsidRDefault="000E20F0" w:rsidP="00566E1B">
            <w:pPr>
              <w:spacing w:after="0" w:line="240" w:lineRule="auto"/>
              <w:jc w:val="center"/>
              <w:rPr>
                <w:rFonts w:ascii="Calibri" w:eastAsia="Times New Roman" w:hAnsi="Calibri" w:cs="Times New Roman"/>
                <w:b/>
                <w:bCs/>
                <w:color w:val="000000"/>
                <w:lang w:eastAsia="en-GB"/>
              </w:rPr>
            </w:pPr>
            <w:r w:rsidRPr="00766124">
              <w:rPr>
                <w:rFonts w:ascii="Calibri" w:eastAsia="Times New Roman" w:hAnsi="Calibri" w:cs="Times New Roman"/>
                <w:b/>
                <w:bCs/>
                <w:color w:val="000000"/>
                <w:lang w:eastAsia="en-GB"/>
              </w:rPr>
              <w:t>Adult Directorate</w:t>
            </w:r>
          </w:p>
        </w:tc>
        <w:tc>
          <w:tcPr>
            <w:tcW w:w="2710" w:type="pct"/>
            <w:tcBorders>
              <w:top w:val="nil"/>
              <w:left w:val="nil"/>
              <w:bottom w:val="single" w:sz="4" w:space="0" w:color="auto"/>
              <w:right w:val="single" w:sz="4" w:space="0" w:color="auto"/>
            </w:tcBorders>
            <w:shd w:val="clear" w:color="auto" w:fill="auto"/>
            <w:noWrap/>
            <w:hideMark/>
          </w:tcPr>
          <w:p w:rsidR="000E20F0" w:rsidRPr="00766124" w:rsidRDefault="000E20F0" w:rsidP="00566E1B">
            <w:pPr>
              <w:spacing w:after="0" w:line="240" w:lineRule="auto"/>
              <w:jc w:val="center"/>
              <w:rPr>
                <w:rFonts w:ascii="Calibri" w:eastAsia="Times New Roman" w:hAnsi="Calibri" w:cs="Times New Roman"/>
                <w:b/>
                <w:color w:val="000000"/>
                <w:lang w:eastAsia="en-GB"/>
              </w:rPr>
            </w:pPr>
            <w:r w:rsidRPr="00766124">
              <w:rPr>
                <w:rFonts w:ascii="Calibri" w:eastAsia="Times New Roman" w:hAnsi="Calibri" w:cs="Times New Roman"/>
                <w:b/>
                <w:color w:val="000000"/>
                <w:lang w:eastAsia="en-GB"/>
              </w:rPr>
              <w:t>19</w:t>
            </w:r>
          </w:p>
        </w:tc>
      </w:tr>
      <w:tr w:rsidR="000E20F0" w:rsidRPr="00766124" w:rsidTr="005B1473">
        <w:trPr>
          <w:trHeight w:val="392"/>
        </w:trPr>
        <w:tc>
          <w:tcPr>
            <w:tcW w:w="2290" w:type="pct"/>
            <w:tcBorders>
              <w:top w:val="nil"/>
              <w:left w:val="single" w:sz="4" w:space="0" w:color="auto"/>
              <w:bottom w:val="single" w:sz="4" w:space="0" w:color="auto"/>
              <w:right w:val="single" w:sz="4" w:space="0" w:color="auto"/>
            </w:tcBorders>
            <w:shd w:val="clear" w:color="auto" w:fill="D9D9D9" w:themeFill="background1" w:themeFillShade="D9"/>
            <w:hideMark/>
          </w:tcPr>
          <w:p w:rsidR="000E20F0" w:rsidRPr="00766124" w:rsidRDefault="000E20F0" w:rsidP="00566E1B">
            <w:pPr>
              <w:spacing w:after="0" w:line="240" w:lineRule="auto"/>
              <w:jc w:val="center"/>
              <w:rPr>
                <w:rFonts w:ascii="Calibri" w:eastAsia="Times New Roman" w:hAnsi="Calibri" w:cs="Times New Roman"/>
                <w:b/>
                <w:bCs/>
                <w:color w:val="000000"/>
                <w:lang w:eastAsia="en-GB"/>
              </w:rPr>
            </w:pPr>
            <w:r w:rsidRPr="00766124">
              <w:rPr>
                <w:rFonts w:ascii="Calibri" w:eastAsia="Times New Roman" w:hAnsi="Calibri" w:cs="Times New Roman"/>
                <w:b/>
                <w:bCs/>
                <w:color w:val="000000"/>
                <w:lang w:eastAsia="en-GB"/>
              </w:rPr>
              <w:t>Children &amp; Young People</w:t>
            </w:r>
            <w:r>
              <w:rPr>
                <w:rFonts w:ascii="Calibri" w:eastAsia="Times New Roman" w:hAnsi="Calibri" w:cs="Times New Roman"/>
                <w:b/>
                <w:bCs/>
                <w:color w:val="000000"/>
                <w:lang w:eastAsia="en-GB"/>
              </w:rPr>
              <w:t xml:space="preserve"> Directorate</w:t>
            </w:r>
          </w:p>
        </w:tc>
        <w:tc>
          <w:tcPr>
            <w:tcW w:w="2710" w:type="pct"/>
            <w:tcBorders>
              <w:top w:val="nil"/>
              <w:left w:val="nil"/>
              <w:bottom w:val="single" w:sz="4" w:space="0" w:color="auto"/>
              <w:right w:val="single" w:sz="4" w:space="0" w:color="auto"/>
            </w:tcBorders>
            <w:shd w:val="clear" w:color="auto" w:fill="auto"/>
            <w:noWrap/>
            <w:hideMark/>
          </w:tcPr>
          <w:p w:rsidR="000E20F0" w:rsidRPr="00766124" w:rsidRDefault="000E20F0" w:rsidP="00566E1B">
            <w:pPr>
              <w:spacing w:after="0" w:line="240" w:lineRule="auto"/>
              <w:jc w:val="center"/>
              <w:rPr>
                <w:rFonts w:ascii="Calibri" w:eastAsia="Times New Roman" w:hAnsi="Calibri" w:cs="Times New Roman"/>
                <w:b/>
                <w:color w:val="000000"/>
                <w:lang w:eastAsia="en-GB"/>
              </w:rPr>
            </w:pPr>
            <w:r w:rsidRPr="00766124">
              <w:rPr>
                <w:rFonts w:ascii="Calibri" w:eastAsia="Times New Roman" w:hAnsi="Calibri" w:cs="Times New Roman"/>
                <w:b/>
                <w:color w:val="000000"/>
                <w:lang w:eastAsia="en-GB"/>
              </w:rPr>
              <w:t>24</w:t>
            </w:r>
          </w:p>
        </w:tc>
      </w:tr>
      <w:tr w:rsidR="000E20F0" w:rsidRPr="00766124" w:rsidTr="005B1473">
        <w:trPr>
          <w:trHeight w:val="427"/>
        </w:trPr>
        <w:tc>
          <w:tcPr>
            <w:tcW w:w="2290" w:type="pct"/>
            <w:tcBorders>
              <w:top w:val="nil"/>
              <w:left w:val="single" w:sz="4" w:space="0" w:color="auto"/>
              <w:bottom w:val="single" w:sz="4" w:space="0" w:color="auto"/>
              <w:right w:val="single" w:sz="4" w:space="0" w:color="auto"/>
            </w:tcBorders>
            <w:shd w:val="clear" w:color="auto" w:fill="D9D9D9" w:themeFill="background1" w:themeFillShade="D9"/>
            <w:hideMark/>
          </w:tcPr>
          <w:p w:rsidR="000E20F0" w:rsidRPr="00766124" w:rsidRDefault="000E20F0" w:rsidP="00566E1B">
            <w:pPr>
              <w:spacing w:after="0" w:line="240" w:lineRule="auto"/>
              <w:jc w:val="center"/>
              <w:rPr>
                <w:rFonts w:ascii="Calibri" w:eastAsia="Times New Roman" w:hAnsi="Calibri" w:cs="Times New Roman"/>
                <w:b/>
                <w:bCs/>
                <w:color w:val="000000"/>
                <w:lang w:eastAsia="en-GB"/>
              </w:rPr>
            </w:pPr>
            <w:r w:rsidRPr="00766124">
              <w:rPr>
                <w:rFonts w:ascii="Calibri" w:eastAsia="Times New Roman" w:hAnsi="Calibri" w:cs="Times New Roman"/>
                <w:b/>
                <w:bCs/>
                <w:color w:val="000000"/>
                <w:lang w:eastAsia="en-GB"/>
              </w:rPr>
              <w:t>Older People</w:t>
            </w:r>
            <w:r>
              <w:rPr>
                <w:rFonts w:ascii="Calibri" w:eastAsia="Times New Roman" w:hAnsi="Calibri" w:cs="Times New Roman"/>
                <w:b/>
                <w:bCs/>
                <w:color w:val="000000"/>
                <w:lang w:eastAsia="en-GB"/>
              </w:rPr>
              <w:t>s’ Directorate</w:t>
            </w:r>
          </w:p>
        </w:tc>
        <w:tc>
          <w:tcPr>
            <w:tcW w:w="2710" w:type="pct"/>
            <w:tcBorders>
              <w:top w:val="nil"/>
              <w:left w:val="nil"/>
              <w:bottom w:val="single" w:sz="4" w:space="0" w:color="auto"/>
              <w:right w:val="single" w:sz="4" w:space="0" w:color="auto"/>
            </w:tcBorders>
            <w:shd w:val="clear" w:color="auto" w:fill="auto"/>
            <w:noWrap/>
            <w:hideMark/>
          </w:tcPr>
          <w:p w:rsidR="000E20F0" w:rsidRPr="00766124" w:rsidRDefault="000E20F0" w:rsidP="00566E1B">
            <w:pPr>
              <w:spacing w:after="0" w:line="240" w:lineRule="auto"/>
              <w:jc w:val="center"/>
              <w:rPr>
                <w:rFonts w:ascii="Calibri" w:eastAsia="Times New Roman" w:hAnsi="Calibri" w:cs="Times New Roman"/>
                <w:b/>
                <w:color w:val="000000"/>
                <w:lang w:eastAsia="en-GB"/>
              </w:rPr>
            </w:pPr>
            <w:r w:rsidRPr="00766124">
              <w:rPr>
                <w:rFonts w:ascii="Calibri" w:eastAsia="Times New Roman" w:hAnsi="Calibri" w:cs="Times New Roman"/>
                <w:b/>
                <w:color w:val="000000"/>
                <w:lang w:eastAsia="en-GB"/>
              </w:rPr>
              <w:t>175</w:t>
            </w:r>
          </w:p>
        </w:tc>
      </w:tr>
      <w:tr w:rsidR="000E20F0" w:rsidRPr="00766124" w:rsidTr="00FE2F27">
        <w:trPr>
          <w:trHeight w:val="416"/>
        </w:trPr>
        <w:tc>
          <w:tcPr>
            <w:tcW w:w="2290" w:type="pct"/>
            <w:tcBorders>
              <w:top w:val="nil"/>
              <w:left w:val="single" w:sz="4" w:space="0" w:color="auto"/>
              <w:bottom w:val="single" w:sz="4" w:space="0" w:color="auto"/>
              <w:right w:val="single" w:sz="4" w:space="0" w:color="auto"/>
            </w:tcBorders>
            <w:shd w:val="clear" w:color="auto" w:fill="D9D9D9" w:themeFill="background1" w:themeFillShade="D9"/>
            <w:hideMark/>
          </w:tcPr>
          <w:p w:rsidR="000E20F0" w:rsidRPr="00766124" w:rsidRDefault="000E20F0" w:rsidP="00566E1B">
            <w:pPr>
              <w:spacing w:after="0" w:line="240" w:lineRule="auto"/>
              <w:jc w:val="center"/>
              <w:rPr>
                <w:rFonts w:ascii="Calibri" w:eastAsia="Times New Roman" w:hAnsi="Calibri" w:cs="Times New Roman"/>
                <w:b/>
                <w:bCs/>
                <w:color w:val="000000"/>
                <w:lang w:eastAsia="en-GB"/>
              </w:rPr>
            </w:pPr>
            <w:r w:rsidRPr="00766124">
              <w:rPr>
                <w:rFonts w:ascii="Calibri" w:eastAsia="Times New Roman" w:hAnsi="Calibri" w:cs="Times New Roman"/>
                <w:b/>
                <w:bCs/>
                <w:color w:val="000000"/>
                <w:lang w:eastAsia="en-GB"/>
              </w:rPr>
              <w:t>Corporate Directorate</w:t>
            </w:r>
          </w:p>
        </w:tc>
        <w:tc>
          <w:tcPr>
            <w:tcW w:w="2710" w:type="pct"/>
            <w:tcBorders>
              <w:top w:val="nil"/>
              <w:left w:val="nil"/>
              <w:bottom w:val="single" w:sz="4" w:space="0" w:color="auto"/>
              <w:right w:val="single" w:sz="4" w:space="0" w:color="auto"/>
            </w:tcBorders>
            <w:shd w:val="clear" w:color="auto" w:fill="auto"/>
            <w:noWrap/>
            <w:hideMark/>
          </w:tcPr>
          <w:p w:rsidR="000E20F0" w:rsidRPr="00766124" w:rsidRDefault="000E20F0" w:rsidP="00566E1B">
            <w:pPr>
              <w:spacing w:after="0" w:line="240" w:lineRule="auto"/>
              <w:jc w:val="center"/>
              <w:rPr>
                <w:rFonts w:ascii="Calibri" w:eastAsia="Times New Roman" w:hAnsi="Calibri" w:cs="Times New Roman"/>
                <w:b/>
                <w:color w:val="000000"/>
                <w:lang w:eastAsia="en-GB"/>
              </w:rPr>
            </w:pPr>
            <w:r w:rsidRPr="00766124">
              <w:rPr>
                <w:rFonts w:ascii="Calibri" w:eastAsia="Times New Roman" w:hAnsi="Calibri" w:cs="Times New Roman"/>
                <w:b/>
                <w:color w:val="000000"/>
                <w:lang w:eastAsia="en-GB"/>
              </w:rPr>
              <w:t>30</w:t>
            </w:r>
          </w:p>
        </w:tc>
      </w:tr>
      <w:tr w:rsidR="000E20F0" w:rsidRPr="00766124" w:rsidTr="005B1473">
        <w:trPr>
          <w:trHeight w:val="373"/>
        </w:trPr>
        <w:tc>
          <w:tcPr>
            <w:tcW w:w="2290" w:type="pct"/>
            <w:tcBorders>
              <w:top w:val="nil"/>
              <w:left w:val="single" w:sz="4" w:space="0" w:color="auto"/>
              <w:bottom w:val="single" w:sz="4" w:space="0" w:color="auto"/>
              <w:right w:val="single" w:sz="4" w:space="0" w:color="auto"/>
            </w:tcBorders>
            <w:shd w:val="clear" w:color="auto" w:fill="D9D9D9" w:themeFill="background1" w:themeFillShade="D9"/>
            <w:hideMark/>
          </w:tcPr>
          <w:p w:rsidR="000E20F0" w:rsidRPr="00766124" w:rsidRDefault="000E20F0" w:rsidP="00566E1B">
            <w:pPr>
              <w:spacing w:after="0" w:line="240" w:lineRule="auto"/>
              <w:jc w:val="center"/>
              <w:rPr>
                <w:rFonts w:ascii="Calibri" w:eastAsia="Times New Roman" w:hAnsi="Calibri" w:cs="Times New Roman"/>
                <w:b/>
                <w:bCs/>
                <w:color w:val="000000"/>
                <w:lang w:eastAsia="en-GB"/>
              </w:rPr>
            </w:pPr>
            <w:r w:rsidRPr="00766124">
              <w:rPr>
                <w:rFonts w:ascii="Calibri" w:eastAsia="Times New Roman" w:hAnsi="Calibri" w:cs="Times New Roman"/>
                <w:b/>
                <w:bCs/>
                <w:color w:val="000000"/>
                <w:lang w:eastAsia="en-GB"/>
              </w:rPr>
              <w:t>Total</w:t>
            </w:r>
          </w:p>
        </w:tc>
        <w:tc>
          <w:tcPr>
            <w:tcW w:w="2710" w:type="pct"/>
            <w:tcBorders>
              <w:top w:val="nil"/>
              <w:left w:val="nil"/>
              <w:bottom w:val="single" w:sz="4" w:space="0" w:color="auto"/>
              <w:right w:val="single" w:sz="4" w:space="0" w:color="auto"/>
            </w:tcBorders>
            <w:shd w:val="clear" w:color="auto" w:fill="auto"/>
            <w:noWrap/>
            <w:hideMark/>
          </w:tcPr>
          <w:p w:rsidR="000E20F0" w:rsidRPr="00766124" w:rsidRDefault="000E20F0" w:rsidP="00566E1B">
            <w:pPr>
              <w:spacing w:after="0" w:line="240" w:lineRule="auto"/>
              <w:jc w:val="center"/>
              <w:rPr>
                <w:rFonts w:ascii="Calibri" w:eastAsia="Times New Roman" w:hAnsi="Calibri" w:cs="Times New Roman"/>
                <w:b/>
                <w:bCs/>
                <w:color w:val="000000"/>
                <w:lang w:eastAsia="en-GB"/>
              </w:rPr>
            </w:pPr>
            <w:r w:rsidRPr="00766124">
              <w:rPr>
                <w:rFonts w:ascii="Calibri" w:eastAsia="Times New Roman" w:hAnsi="Calibri" w:cs="Times New Roman"/>
                <w:b/>
                <w:bCs/>
                <w:color w:val="000000"/>
                <w:lang w:eastAsia="en-GB"/>
              </w:rPr>
              <w:t>248</w:t>
            </w:r>
          </w:p>
        </w:tc>
      </w:tr>
    </w:tbl>
    <w:p w:rsidR="00CD137B" w:rsidRDefault="000804A8" w:rsidP="00566E1B">
      <w:pPr>
        <w:spacing w:after="0" w:line="240" w:lineRule="auto"/>
        <w:ind w:left="360"/>
        <w:rPr>
          <w:rFonts w:ascii="Segoe UI" w:hAnsi="Segoe UI" w:cs="Segoe UI"/>
        </w:rPr>
      </w:pPr>
      <w:r w:rsidRPr="000E20F0">
        <w:rPr>
          <w:rFonts w:ascii="Segoe UI" w:hAnsi="Segoe UI" w:cs="Segoe UI"/>
        </w:rPr>
        <w:lastRenderedPageBreak/>
        <w:t>At the time that this report was run there were 2159 in</w:t>
      </w:r>
      <w:r w:rsidR="00231EAE" w:rsidRPr="000E20F0">
        <w:rPr>
          <w:rFonts w:ascii="Segoe UI" w:hAnsi="Segoe UI" w:cs="Segoe UI"/>
        </w:rPr>
        <w:t xml:space="preserve">cidents in web-holding.  </w:t>
      </w:r>
      <w:proofErr w:type="gramStart"/>
      <w:r w:rsidR="00231EAE" w:rsidRPr="000E20F0">
        <w:rPr>
          <w:rFonts w:ascii="Segoe UI" w:hAnsi="Segoe UI" w:cs="Segoe UI"/>
        </w:rPr>
        <w:t xml:space="preserve">1165  </w:t>
      </w:r>
      <w:r w:rsidRPr="000E20F0">
        <w:rPr>
          <w:rFonts w:ascii="Segoe UI" w:hAnsi="Segoe UI" w:cs="Segoe UI"/>
        </w:rPr>
        <w:t>of</w:t>
      </w:r>
      <w:proofErr w:type="gramEnd"/>
      <w:r w:rsidRPr="000E20F0">
        <w:rPr>
          <w:rFonts w:ascii="Segoe UI" w:hAnsi="Segoe UI" w:cs="Segoe UI"/>
        </w:rPr>
        <w:t xml:space="preserve"> these incidents are waiting for manager’s review. The remaining numbers of incidents in web-holding are as a result of a number of factors.  The largest factor is that the quality and risk team have been under capacity and this has resulted in approximately 878 incidents that have not yet been “merged”. There are plans in the team to address this and they would not expect to have more than 100-150 incidents in web-holding waiting to be merged at any one time.  In addition there are approximately 114 incidents that are “under re</w:t>
      </w:r>
      <w:r w:rsidR="00B665F4" w:rsidRPr="000E20F0">
        <w:rPr>
          <w:rFonts w:ascii="Segoe UI" w:hAnsi="Segoe UI" w:cs="Segoe UI"/>
        </w:rPr>
        <w:t xml:space="preserve">view” or “returned to author”. </w:t>
      </w:r>
    </w:p>
    <w:p w:rsidR="00FE2F27" w:rsidRDefault="00FE2F27" w:rsidP="00566E1B">
      <w:pPr>
        <w:spacing w:after="0" w:line="240" w:lineRule="auto"/>
        <w:rPr>
          <w:rFonts w:ascii="Segoe UI" w:hAnsi="Segoe UI" w:cs="Segoe UI"/>
          <w:b/>
        </w:rPr>
      </w:pPr>
    </w:p>
    <w:p w:rsidR="000E20F0" w:rsidRPr="00566E1B" w:rsidRDefault="000E20F0" w:rsidP="00FE2F27">
      <w:pPr>
        <w:spacing w:before="240" w:after="0" w:line="240" w:lineRule="auto"/>
        <w:rPr>
          <w:rFonts w:ascii="Segoe UI" w:hAnsi="Segoe UI" w:cs="Segoe UI"/>
          <w:b/>
        </w:rPr>
      </w:pPr>
      <w:r w:rsidRPr="00566E1B">
        <w:rPr>
          <w:b/>
          <w:noProof/>
          <w:lang w:eastAsia="en-GB"/>
        </w:rPr>
        <w:drawing>
          <wp:anchor distT="0" distB="0" distL="114300" distR="114300" simplePos="0" relativeHeight="251659264" behindDoc="1" locked="0" layoutInCell="1" allowOverlap="1" wp14:anchorId="5DED6105" wp14:editId="76AFD41B">
            <wp:simplePos x="0" y="0"/>
            <wp:positionH relativeFrom="column">
              <wp:posOffset>66675</wp:posOffset>
            </wp:positionH>
            <wp:positionV relativeFrom="paragraph">
              <wp:posOffset>141605</wp:posOffset>
            </wp:positionV>
            <wp:extent cx="5970270" cy="2976245"/>
            <wp:effectExtent l="0" t="0" r="11430" b="14605"/>
            <wp:wrapTight wrapText="bothSides">
              <wp:wrapPolygon edited="0">
                <wp:start x="0" y="0"/>
                <wp:lineTo x="0" y="21568"/>
                <wp:lineTo x="21572" y="21568"/>
                <wp:lineTo x="21572" y="0"/>
                <wp:lineTo x="0" y="0"/>
              </wp:wrapPolygon>
            </wp:wrapTight>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566E1B" w:rsidRPr="00566E1B">
        <w:rPr>
          <w:rFonts w:ascii="Segoe UI" w:hAnsi="Segoe UI" w:cs="Segoe UI"/>
          <w:b/>
        </w:rPr>
        <w:t>Incident type</w:t>
      </w:r>
    </w:p>
    <w:p w:rsidR="00FE2F27" w:rsidRDefault="00FE2F27" w:rsidP="00566E1B">
      <w:pPr>
        <w:spacing w:after="0" w:line="240" w:lineRule="auto"/>
        <w:rPr>
          <w:rFonts w:ascii="Segoe UI" w:hAnsi="Segoe UI" w:cs="Segoe UI"/>
          <w:b/>
        </w:rPr>
      </w:pPr>
    </w:p>
    <w:p w:rsidR="00FE2F27" w:rsidRPr="00FE2F27" w:rsidRDefault="00B665F4" w:rsidP="00FE2F27">
      <w:pPr>
        <w:pStyle w:val="ListParagraph"/>
        <w:numPr>
          <w:ilvl w:val="0"/>
          <w:numId w:val="31"/>
        </w:numPr>
        <w:spacing w:after="0" w:line="240" w:lineRule="auto"/>
        <w:rPr>
          <w:rFonts w:ascii="Segoe UI" w:hAnsi="Segoe UI" w:cs="Segoe UI"/>
        </w:rPr>
      </w:pPr>
      <w:r w:rsidRPr="00FE2F27">
        <w:rPr>
          <w:rFonts w:ascii="Segoe UI" w:hAnsi="Segoe UI" w:cs="Segoe UI"/>
          <w:b/>
        </w:rPr>
        <w:t>Health</w:t>
      </w:r>
      <w:r w:rsidRPr="00FE2F27">
        <w:rPr>
          <w:rFonts w:ascii="Segoe UI" w:hAnsi="Segoe UI" w:cs="Segoe UI"/>
        </w:rPr>
        <w:t xml:space="preserve"> was the most commonly reported incident in Q4.  This cause group is used primarily for reporting pressure ulcers (avoidable and unavoidable). The increase in Q4 may be accounted for by the significant numbers of inherited Pressure ulcers reported.  </w:t>
      </w:r>
    </w:p>
    <w:p w:rsidR="00FE2F27" w:rsidRPr="00FE2F27" w:rsidRDefault="00FE2F27" w:rsidP="00566E1B">
      <w:pPr>
        <w:spacing w:after="0" w:line="240" w:lineRule="auto"/>
        <w:rPr>
          <w:rFonts w:ascii="Segoe UI" w:hAnsi="Segoe UI" w:cs="Segoe UI"/>
          <w:sz w:val="16"/>
          <w:szCs w:val="16"/>
        </w:rPr>
      </w:pPr>
    </w:p>
    <w:p w:rsidR="00FE2F27" w:rsidRPr="00FE2F27" w:rsidRDefault="000804A8" w:rsidP="00FE2F27">
      <w:pPr>
        <w:pStyle w:val="ListParagraph"/>
        <w:numPr>
          <w:ilvl w:val="0"/>
          <w:numId w:val="31"/>
        </w:numPr>
        <w:spacing w:after="0" w:line="240" w:lineRule="auto"/>
        <w:rPr>
          <w:rFonts w:ascii="Segoe UI" w:hAnsi="Segoe UI" w:cs="Segoe UI"/>
        </w:rPr>
      </w:pPr>
      <w:r w:rsidRPr="00FE2F27">
        <w:rPr>
          <w:rFonts w:ascii="Segoe UI" w:hAnsi="Segoe UI" w:cs="Segoe UI"/>
          <w:b/>
        </w:rPr>
        <w:t>Violence and aggression</w:t>
      </w:r>
      <w:r w:rsidR="00B665F4" w:rsidRPr="00FE2F27">
        <w:rPr>
          <w:rFonts w:ascii="Segoe UI" w:hAnsi="Segoe UI" w:cs="Segoe UI"/>
          <w:b/>
        </w:rPr>
        <w:t xml:space="preserve"> </w:t>
      </w:r>
      <w:r w:rsidRPr="00FE2F27">
        <w:rPr>
          <w:rFonts w:ascii="Segoe UI" w:hAnsi="Segoe UI" w:cs="Segoe UI"/>
        </w:rPr>
        <w:t xml:space="preserve">is the second highest incident reported in Q4. The number of violence and aggression incidents has increased in Q4 to the highest over the last four quarters. </w:t>
      </w:r>
    </w:p>
    <w:p w:rsidR="00FE2F27" w:rsidRPr="00FE2F27" w:rsidRDefault="00FE2F27" w:rsidP="00566E1B">
      <w:pPr>
        <w:spacing w:after="0" w:line="240" w:lineRule="auto"/>
        <w:rPr>
          <w:rFonts w:ascii="Segoe UI" w:hAnsi="Segoe UI" w:cs="Segoe UI"/>
          <w:sz w:val="16"/>
          <w:szCs w:val="16"/>
        </w:rPr>
      </w:pPr>
    </w:p>
    <w:p w:rsidR="00FE2F27" w:rsidRPr="00FE2F27" w:rsidRDefault="000804A8" w:rsidP="00FE2F27">
      <w:pPr>
        <w:pStyle w:val="ListParagraph"/>
        <w:numPr>
          <w:ilvl w:val="0"/>
          <w:numId w:val="31"/>
        </w:numPr>
        <w:spacing w:after="0" w:line="240" w:lineRule="auto"/>
        <w:rPr>
          <w:rFonts w:ascii="Segoe UI" w:hAnsi="Segoe UI" w:cs="Segoe UI"/>
        </w:rPr>
      </w:pPr>
      <w:r w:rsidRPr="00FE2F27">
        <w:rPr>
          <w:rFonts w:ascii="Segoe UI" w:eastAsia="Times New Roman" w:hAnsi="Segoe UI" w:cs="Segoe UI"/>
          <w:b/>
          <w:lang w:eastAsia="en-GB"/>
        </w:rPr>
        <w:t>Medication incidents</w:t>
      </w:r>
      <w:r w:rsidR="00B665F4" w:rsidRPr="00FE2F27">
        <w:rPr>
          <w:rFonts w:ascii="Segoe UI" w:eastAsia="Times New Roman" w:hAnsi="Segoe UI" w:cs="Segoe UI"/>
          <w:b/>
          <w:lang w:eastAsia="en-GB"/>
        </w:rPr>
        <w:t xml:space="preserve"> </w:t>
      </w:r>
      <w:r w:rsidRPr="00FE2F27">
        <w:rPr>
          <w:rFonts w:ascii="Segoe UI" w:hAnsi="Segoe UI" w:cs="Segoe UI"/>
        </w:rPr>
        <w:t>were the third highest type of reported incident in Q4.</w:t>
      </w:r>
      <w:r w:rsidRPr="00FE2F27">
        <w:rPr>
          <w:rFonts w:ascii="Segoe UI" w:hAnsi="Segoe UI" w:cs="Segoe UI"/>
          <w:color w:val="FF0000"/>
        </w:rPr>
        <w:t xml:space="preserve"> </w:t>
      </w:r>
      <w:r w:rsidRPr="00FE2F27">
        <w:rPr>
          <w:rFonts w:ascii="Segoe UI" w:hAnsi="Segoe UI" w:cs="Segoe UI"/>
        </w:rPr>
        <w:t xml:space="preserve">There was an increase of reported incidents this quarter of </w:t>
      </w:r>
      <w:r w:rsidR="00231EAE" w:rsidRPr="00FE2F27">
        <w:rPr>
          <w:rFonts w:ascii="Segoe UI" w:hAnsi="Segoe UI" w:cs="Segoe UI"/>
        </w:rPr>
        <w:t>265</w:t>
      </w:r>
      <w:r w:rsidRPr="00FE2F27">
        <w:rPr>
          <w:rFonts w:ascii="Segoe UI" w:hAnsi="Segoe UI" w:cs="Segoe UI"/>
        </w:rPr>
        <w:t xml:space="preserve"> compared </w:t>
      </w:r>
      <w:r w:rsidR="00231EAE" w:rsidRPr="00FE2F27">
        <w:rPr>
          <w:rFonts w:ascii="Segoe UI" w:hAnsi="Segoe UI" w:cs="Segoe UI"/>
        </w:rPr>
        <w:t>205</w:t>
      </w:r>
      <w:r w:rsidRPr="00FE2F27">
        <w:rPr>
          <w:rFonts w:ascii="Segoe UI" w:hAnsi="Segoe UI" w:cs="Segoe UI"/>
        </w:rPr>
        <w:t xml:space="preserve"> last </w:t>
      </w:r>
      <w:proofErr w:type="gramStart"/>
      <w:r w:rsidRPr="00FE2F27">
        <w:rPr>
          <w:rFonts w:ascii="Segoe UI" w:hAnsi="Segoe UI" w:cs="Segoe UI"/>
        </w:rPr>
        <w:t>quarter</w:t>
      </w:r>
      <w:proofErr w:type="gramEnd"/>
      <w:r w:rsidRPr="00FE2F27">
        <w:rPr>
          <w:rFonts w:ascii="Segoe UI" w:hAnsi="Segoe UI" w:cs="Segoe UI"/>
        </w:rPr>
        <w:t>.</w:t>
      </w:r>
      <w:r w:rsidR="00B665F4" w:rsidRPr="00FE2F27">
        <w:rPr>
          <w:rFonts w:ascii="Segoe UI" w:hAnsi="Segoe UI" w:cs="Segoe UI"/>
        </w:rPr>
        <w:t xml:space="preserve"> </w:t>
      </w:r>
    </w:p>
    <w:p w:rsidR="00FE2F27" w:rsidRPr="00FE2F27" w:rsidRDefault="00FE2F27" w:rsidP="00566E1B">
      <w:pPr>
        <w:spacing w:after="0" w:line="240" w:lineRule="auto"/>
        <w:rPr>
          <w:rFonts w:ascii="Segoe UI" w:hAnsi="Segoe UI" w:cs="Segoe UI"/>
          <w:sz w:val="16"/>
          <w:szCs w:val="16"/>
        </w:rPr>
      </w:pPr>
    </w:p>
    <w:p w:rsidR="00FE2F27" w:rsidRPr="00FE2F27" w:rsidRDefault="000804A8" w:rsidP="00FE2F27">
      <w:pPr>
        <w:pStyle w:val="ListParagraph"/>
        <w:numPr>
          <w:ilvl w:val="0"/>
          <w:numId w:val="31"/>
        </w:numPr>
        <w:spacing w:after="0" w:line="240" w:lineRule="auto"/>
        <w:rPr>
          <w:rFonts w:ascii="Segoe UI" w:hAnsi="Segoe UI" w:cs="Segoe UI"/>
          <w:b/>
        </w:rPr>
      </w:pPr>
      <w:proofErr w:type="spellStart"/>
      <w:r w:rsidRPr="00FE2F27">
        <w:rPr>
          <w:rFonts w:ascii="Segoe UI" w:eastAsia="Times New Roman" w:hAnsi="Segoe UI" w:cs="Segoe UI"/>
          <w:b/>
          <w:lang w:eastAsia="en-GB"/>
        </w:rPr>
        <w:t>Self Harm</w:t>
      </w:r>
      <w:proofErr w:type="spellEnd"/>
      <w:r w:rsidR="00B665F4" w:rsidRPr="00FE2F27">
        <w:rPr>
          <w:rFonts w:ascii="Segoe UI" w:eastAsia="Times New Roman" w:hAnsi="Segoe UI" w:cs="Segoe UI"/>
          <w:b/>
          <w:lang w:eastAsia="en-GB"/>
        </w:rPr>
        <w:t xml:space="preserve"> </w:t>
      </w:r>
      <w:r w:rsidRPr="00FE2F27">
        <w:rPr>
          <w:rFonts w:ascii="Segoe UI" w:eastAsia="Times New Roman" w:hAnsi="Segoe UI" w:cs="Segoe UI"/>
          <w:lang w:eastAsia="en-GB"/>
        </w:rPr>
        <w:t xml:space="preserve">was the fourth highest type of incident reported in Q4. There were </w:t>
      </w:r>
      <w:r w:rsidR="00231EAE" w:rsidRPr="00FE2F27">
        <w:rPr>
          <w:rFonts w:ascii="Segoe UI" w:eastAsia="Times New Roman" w:hAnsi="Segoe UI" w:cs="Segoe UI"/>
          <w:lang w:eastAsia="en-GB"/>
        </w:rPr>
        <w:t>327</w:t>
      </w:r>
      <w:r w:rsidRPr="00FE2F27">
        <w:rPr>
          <w:rFonts w:ascii="Segoe UI" w:eastAsia="Times New Roman" w:hAnsi="Segoe UI" w:cs="Segoe UI"/>
          <w:lang w:eastAsia="en-GB"/>
        </w:rPr>
        <w:t xml:space="preserve"> incidents reported in Q4 representing a further increase from Q3.</w:t>
      </w:r>
      <w:r w:rsidR="00B665F4" w:rsidRPr="00FE2F27">
        <w:rPr>
          <w:rFonts w:ascii="Segoe UI" w:eastAsia="Times New Roman" w:hAnsi="Segoe UI" w:cs="Segoe UI"/>
          <w:lang w:eastAsia="en-GB"/>
        </w:rPr>
        <w:t xml:space="preserve"> </w:t>
      </w:r>
    </w:p>
    <w:p w:rsidR="00FE2F27" w:rsidRPr="00FE2F27" w:rsidRDefault="00FE2F27" w:rsidP="00566E1B">
      <w:pPr>
        <w:spacing w:after="0" w:line="240" w:lineRule="auto"/>
        <w:rPr>
          <w:rFonts w:ascii="Segoe UI" w:hAnsi="Segoe UI" w:cs="Segoe UI"/>
          <w:b/>
          <w:sz w:val="16"/>
          <w:szCs w:val="16"/>
        </w:rPr>
      </w:pPr>
    </w:p>
    <w:p w:rsidR="00FE2F27" w:rsidRPr="00FE2F27" w:rsidRDefault="00FE2F27" w:rsidP="00FE2F27">
      <w:pPr>
        <w:pStyle w:val="ListParagraph"/>
        <w:numPr>
          <w:ilvl w:val="0"/>
          <w:numId w:val="31"/>
        </w:numPr>
        <w:spacing w:after="0" w:line="240" w:lineRule="auto"/>
        <w:rPr>
          <w:rFonts w:ascii="Segoe UI" w:eastAsia="Times New Roman" w:hAnsi="Segoe UI" w:cs="Segoe UI"/>
          <w:lang w:eastAsia="en-GB"/>
        </w:rPr>
      </w:pPr>
      <w:r w:rsidRPr="00FE2F27">
        <w:rPr>
          <w:rFonts w:ascii="Segoe UI" w:hAnsi="Segoe UI" w:cs="Segoe UI"/>
          <w:b/>
        </w:rPr>
        <w:t>F</w:t>
      </w:r>
      <w:r w:rsidR="000804A8" w:rsidRPr="00FE2F27">
        <w:rPr>
          <w:rFonts w:ascii="Segoe UI" w:hAnsi="Segoe UI" w:cs="Segoe UI"/>
          <w:b/>
        </w:rPr>
        <w:t>all Related</w:t>
      </w:r>
      <w:r w:rsidR="00B665F4" w:rsidRPr="00FE2F27">
        <w:rPr>
          <w:rFonts w:ascii="Segoe UI" w:hAnsi="Segoe UI" w:cs="Segoe UI"/>
          <w:b/>
        </w:rPr>
        <w:t xml:space="preserve"> </w:t>
      </w:r>
      <w:proofErr w:type="gramStart"/>
      <w:r w:rsidR="000804A8" w:rsidRPr="00FE2F27">
        <w:rPr>
          <w:rFonts w:ascii="Segoe UI" w:eastAsia="Times New Roman" w:hAnsi="Segoe UI" w:cs="Segoe UI"/>
          <w:lang w:eastAsia="en-GB"/>
        </w:rPr>
        <w:t>were</w:t>
      </w:r>
      <w:proofErr w:type="gramEnd"/>
      <w:r w:rsidR="000804A8" w:rsidRPr="00FE2F27">
        <w:rPr>
          <w:rFonts w:ascii="Segoe UI" w:eastAsia="Times New Roman" w:hAnsi="Segoe UI" w:cs="Segoe UI"/>
          <w:lang w:eastAsia="en-GB"/>
        </w:rPr>
        <w:t xml:space="preserve"> the fifth most commonly reported type of incident in Q4. The numbers of reported falls have fallen to the lowest number for the last two years.</w:t>
      </w:r>
      <w:r w:rsidR="00B665F4" w:rsidRPr="00FE2F27">
        <w:rPr>
          <w:rFonts w:ascii="Segoe UI" w:eastAsia="Times New Roman" w:hAnsi="Segoe UI" w:cs="Segoe UI"/>
          <w:lang w:eastAsia="en-GB"/>
        </w:rPr>
        <w:t xml:space="preserve">  </w:t>
      </w:r>
    </w:p>
    <w:p w:rsidR="00FE2F27" w:rsidRPr="00FE2F27" w:rsidRDefault="00FE2F27" w:rsidP="00566E1B">
      <w:pPr>
        <w:spacing w:after="0" w:line="240" w:lineRule="auto"/>
        <w:rPr>
          <w:rFonts w:ascii="Segoe UI" w:eastAsia="Times New Roman" w:hAnsi="Segoe UI" w:cs="Segoe UI"/>
          <w:sz w:val="16"/>
          <w:szCs w:val="16"/>
          <w:lang w:eastAsia="en-GB"/>
        </w:rPr>
      </w:pPr>
    </w:p>
    <w:p w:rsidR="00FE2F27" w:rsidRDefault="000804A8" w:rsidP="00FE2F27">
      <w:pPr>
        <w:pStyle w:val="ListParagraph"/>
        <w:numPr>
          <w:ilvl w:val="0"/>
          <w:numId w:val="31"/>
        </w:numPr>
        <w:spacing w:after="0" w:line="240" w:lineRule="auto"/>
        <w:rPr>
          <w:rFonts w:ascii="Segoe UI" w:eastAsia="Times New Roman" w:hAnsi="Segoe UI" w:cs="Segoe UI"/>
          <w:lang w:eastAsia="en-GB"/>
        </w:rPr>
      </w:pPr>
      <w:r w:rsidRPr="00FE2F27">
        <w:rPr>
          <w:rFonts w:ascii="Segoe UI" w:eastAsia="Times New Roman" w:hAnsi="Segoe UI" w:cs="Segoe UI"/>
          <w:b/>
          <w:lang w:eastAsia="en-GB"/>
        </w:rPr>
        <w:lastRenderedPageBreak/>
        <w:t>Communication/Confidentiality</w:t>
      </w:r>
      <w:r w:rsidR="00B665F4" w:rsidRPr="00FE2F27">
        <w:rPr>
          <w:rFonts w:ascii="Segoe UI" w:eastAsia="Times New Roman" w:hAnsi="Segoe UI" w:cs="Segoe UI"/>
          <w:b/>
          <w:lang w:eastAsia="en-GB"/>
        </w:rPr>
        <w:t xml:space="preserve"> </w:t>
      </w:r>
      <w:proofErr w:type="gramStart"/>
      <w:r w:rsidRPr="00FE2F27">
        <w:rPr>
          <w:rFonts w:ascii="Segoe UI" w:eastAsia="Times New Roman" w:hAnsi="Segoe UI" w:cs="Segoe UI"/>
          <w:lang w:eastAsia="en-GB"/>
        </w:rPr>
        <w:t>were</w:t>
      </w:r>
      <w:proofErr w:type="gramEnd"/>
      <w:r w:rsidRPr="00FE2F27">
        <w:rPr>
          <w:rFonts w:ascii="Segoe UI" w:eastAsia="Times New Roman" w:hAnsi="Segoe UI" w:cs="Segoe UI"/>
          <w:lang w:eastAsia="en-GB"/>
        </w:rPr>
        <w:t xml:space="preserve"> the six most commonly reported type of incident in Q4. There was an increase in these types of incide</w:t>
      </w:r>
      <w:r w:rsidR="00B665F4" w:rsidRPr="00FE2F27">
        <w:rPr>
          <w:rFonts w:ascii="Segoe UI" w:eastAsia="Times New Roman" w:hAnsi="Segoe UI" w:cs="Segoe UI"/>
          <w:lang w:eastAsia="en-GB"/>
        </w:rPr>
        <w:t xml:space="preserve">nts from 151 in Q3 to 206 in Q4.  </w:t>
      </w:r>
    </w:p>
    <w:p w:rsidR="00FE2F27" w:rsidRPr="00FE2F27" w:rsidRDefault="00FE2F27" w:rsidP="00FE2F27">
      <w:pPr>
        <w:pStyle w:val="ListParagraph"/>
        <w:spacing w:after="0" w:line="240" w:lineRule="auto"/>
        <w:rPr>
          <w:rFonts w:ascii="Segoe UI" w:eastAsia="Times New Roman" w:hAnsi="Segoe UI" w:cs="Segoe UI"/>
          <w:sz w:val="16"/>
          <w:szCs w:val="16"/>
          <w:lang w:eastAsia="en-GB"/>
        </w:rPr>
      </w:pPr>
    </w:p>
    <w:p w:rsidR="000804A8" w:rsidRPr="00FE2F27" w:rsidRDefault="00B665F4" w:rsidP="00FE2F27">
      <w:pPr>
        <w:pStyle w:val="ListParagraph"/>
        <w:numPr>
          <w:ilvl w:val="0"/>
          <w:numId w:val="31"/>
        </w:numPr>
        <w:spacing w:after="0" w:line="240" w:lineRule="auto"/>
        <w:rPr>
          <w:rFonts w:ascii="Segoe UI" w:eastAsia="Times New Roman" w:hAnsi="Segoe UI" w:cs="Segoe UI"/>
          <w:lang w:eastAsia="en-GB"/>
        </w:rPr>
      </w:pPr>
      <w:r w:rsidRPr="00FE2F27">
        <w:rPr>
          <w:rFonts w:ascii="Segoe UI" w:eastAsia="Times New Roman" w:hAnsi="Segoe UI" w:cs="Segoe UI"/>
          <w:b/>
          <w:lang w:eastAsia="en-GB"/>
        </w:rPr>
        <w:t xml:space="preserve">Security </w:t>
      </w:r>
      <w:r w:rsidR="000804A8" w:rsidRPr="00FE2F27">
        <w:rPr>
          <w:rFonts w:ascii="Segoe UI" w:eastAsia="Times New Roman" w:hAnsi="Segoe UI" w:cs="Segoe UI"/>
          <w:b/>
          <w:lang w:eastAsia="en-GB"/>
        </w:rPr>
        <w:t xml:space="preserve">related incidents </w:t>
      </w:r>
      <w:r w:rsidR="000804A8" w:rsidRPr="00FE2F27">
        <w:rPr>
          <w:rFonts w:ascii="Segoe UI" w:eastAsia="Times New Roman" w:hAnsi="Segoe UI" w:cs="Segoe UI"/>
          <w:lang w:eastAsia="en-GB"/>
        </w:rPr>
        <w:t>were the fifth most commonly reported type of incident in Q4. Reported incidents have fallen to the lowest level in the last year</w:t>
      </w:r>
    </w:p>
    <w:p w:rsidR="000E20F0" w:rsidRDefault="000E20F0" w:rsidP="00566E1B">
      <w:pPr>
        <w:spacing w:after="0" w:line="240" w:lineRule="auto"/>
        <w:ind w:left="360"/>
        <w:rPr>
          <w:rFonts w:ascii="Segoe UI" w:hAnsi="Segoe UI" w:cs="Segoe UI"/>
        </w:rPr>
      </w:pPr>
    </w:p>
    <w:p w:rsidR="000E20F0" w:rsidRDefault="000E20F0" w:rsidP="00566E1B">
      <w:pPr>
        <w:spacing w:after="0" w:line="240" w:lineRule="auto"/>
        <w:ind w:left="360"/>
        <w:rPr>
          <w:rFonts w:ascii="Segoe UI" w:hAnsi="Segoe UI" w:cs="Segoe UI"/>
        </w:rPr>
      </w:pPr>
      <w:r>
        <w:rPr>
          <w:noProof/>
          <w:lang w:eastAsia="en-GB"/>
        </w:rPr>
        <w:drawing>
          <wp:inline distT="0" distB="0" distL="0" distR="0" wp14:anchorId="6A3AB8EE" wp14:editId="69D576BF">
            <wp:extent cx="5731510" cy="3330505"/>
            <wp:effectExtent l="0" t="0" r="21590" b="22860"/>
            <wp:docPr id="301" name="Chart 30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66E1B" w:rsidRDefault="00566E1B" w:rsidP="00566E1B">
      <w:pPr>
        <w:spacing w:after="0" w:line="240" w:lineRule="auto"/>
        <w:ind w:left="360"/>
        <w:rPr>
          <w:rFonts w:ascii="Segoe UI" w:hAnsi="Segoe UI" w:cs="Segoe UI"/>
        </w:rPr>
      </w:pPr>
    </w:p>
    <w:p w:rsidR="00FE2F27" w:rsidRDefault="00FE2F27" w:rsidP="00566E1B">
      <w:pPr>
        <w:spacing w:after="0" w:line="240" w:lineRule="auto"/>
        <w:ind w:left="360"/>
        <w:rPr>
          <w:rFonts w:ascii="Segoe UI" w:hAnsi="Segoe UI" w:cs="Segoe UI"/>
        </w:rPr>
      </w:pPr>
      <w:proofErr w:type="gramStart"/>
      <w:r>
        <w:rPr>
          <w:rFonts w:ascii="Segoe UI" w:hAnsi="Segoe UI" w:cs="Segoe UI"/>
        </w:rPr>
        <w:t>the</w:t>
      </w:r>
      <w:proofErr w:type="gramEnd"/>
      <w:r>
        <w:rPr>
          <w:rFonts w:ascii="Segoe UI" w:hAnsi="Segoe UI" w:cs="Segoe UI"/>
        </w:rPr>
        <w:t xml:space="preserve"> following two charts show the spread of incidents by division (quarters 1-3 based on the previous reporting structure on Ulysses) and by directorate (quarter 4 based on the new reporting structure on Ulysses). This now reflects the new directorate team structure.</w:t>
      </w:r>
    </w:p>
    <w:p w:rsidR="00566E1B" w:rsidRPr="000E20F0" w:rsidRDefault="00566E1B" w:rsidP="00566E1B">
      <w:pPr>
        <w:spacing w:after="0" w:line="240" w:lineRule="auto"/>
        <w:ind w:left="360"/>
        <w:rPr>
          <w:rFonts w:ascii="Segoe UI" w:hAnsi="Segoe UI" w:cs="Segoe UI"/>
        </w:rPr>
      </w:pPr>
    </w:p>
    <w:p w:rsidR="000804A8" w:rsidRPr="00F16AEF" w:rsidRDefault="000E20F0" w:rsidP="00566E1B">
      <w:pPr>
        <w:spacing w:after="0" w:line="240" w:lineRule="auto"/>
        <w:rPr>
          <w:rFonts w:ascii="Segoe UI" w:eastAsia="Times New Roman" w:hAnsi="Segoe UI" w:cs="Segoe UI"/>
          <w:b/>
          <w:color w:val="FF0000"/>
          <w:lang w:eastAsia="en-GB"/>
        </w:rPr>
      </w:pPr>
      <w:r>
        <w:rPr>
          <w:noProof/>
          <w:lang w:eastAsia="en-GB"/>
        </w:rPr>
        <w:drawing>
          <wp:inline distT="0" distB="0" distL="0" distR="0" wp14:anchorId="6109E1BC" wp14:editId="5325C8AE">
            <wp:extent cx="5731510" cy="3219450"/>
            <wp:effectExtent l="0" t="0" r="2159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E20F0" w:rsidRDefault="00FE2F27" w:rsidP="00566E1B">
      <w:pPr>
        <w:tabs>
          <w:tab w:val="left" w:pos="142"/>
        </w:tabs>
        <w:spacing w:after="0" w:line="240" w:lineRule="auto"/>
        <w:rPr>
          <w:rFonts w:ascii="Segoe UI" w:eastAsia="Times New Roman" w:hAnsi="Segoe UI" w:cs="Segoe UI"/>
          <w:lang w:eastAsia="en-GB"/>
        </w:rPr>
      </w:pPr>
      <w:r>
        <w:rPr>
          <w:rFonts w:ascii="Segoe UI" w:eastAsia="Times New Roman" w:hAnsi="Segoe UI" w:cs="Segoe UI"/>
          <w:lang w:eastAsia="en-GB"/>
        </w:rPr>
        <w:lastRenderedPageBreak/>
        <w:t>Older people’</w:t>
      </w:r>
      <w:r w:rsidRPr="00FE2F27">
        <w:rPr>
          <w:rFonts w:ascii="Segoe UI" w:eastAsia="Times New Roman" w:hAnsi="Segoe UI" w:cs="Segoe UI"/>
          <w:lang w:eastAsia="en-GB"/>
        </w:rPr>
        <w:t xml:space="preserve">s services have the </w:t>
      </w:r>
      <w:r>
        <w:rPr>
          <w:rFonts w:ascii="Segoe UI" w:eastAsia="Times New Roman" w:hAnsi="Segoe UI" w:cs="Segoe UI"/>
          <w:lang w:eastAsia="en-GB"/>
        </w:rPr>
        <w:t>highest number of reported incidents, whic</w:t>
      </w:r>
      <w:r w:rsidRPr="00FE2F27">
        <w:rPr>
          <w:rFonts w:ascii="Segoe UI" w:eastAsia="Times New Roman" w:hAnsi="Segoe UI" w:cs="Segoe UI"/>
          <w:lang w:eastAsia="en-GB"/>
        </w:rPr>
        <w:t xml:space="preserve">h is to be </w:t>
      </w:r>
      <w:r>
        <w:rPr>
          <w:rFonts w:ascii="Segoe UI" w:eastAsia="Times New Roman" w:hAnsi="Segoe UI" w:cs="Segoe UI"/>
          <w:lang w:eastAsia="en-GB"/>
        </w:rPr>
        <w:t>expected</w:t>
      </w:r>
      <w:r w:rsidRPr="00FE2F27">
        <w:rPr>
          <w:rFonts w:ascii="Segoe UI" w:eastAsia="Times New Roman" w:hAnsi="Segoe UI" w:cs="Segoe UI"/>
          <w:lang w:eastAsia="en-GB"/>
        </w:rPr>
        <w:t xml:space="preserve"> the largest number of patients are seen in their services.</w:t>
      </w:r>
    </w:p>
    <w:p w:rsidR="00FE2F27" w:rsidRPr="00FE2F27" w:rsidRDefault="00FE2F27" w:rsidP="00566E1B">
      <w:pPr>
        <w:tabs>
          <w:tab w:val="left" w:pos="142"/>
        </w:tabs>
        <w:spacing w:after="0" w:line="240" w:lineRule="auto"/>
        <w:rPr>
          <w:rFonts w:ascii="Segoe UI" w:eastAsia="Times New Roman" w:hAnsi="Segoe UI" w:cs="Segoe UI"/>
          <w:lang w:eastAsia="en-GB"/>
        </w:rPr>
      </w:pPr>
    </w:p>
    <w:p w:rsidR="000E20F0" w:rsidRDefault="000E20F0" w:rsidP="00566E1B">
      <w:pPr>
        <w:tabs>
          <w:tab w:val="left" w:pos="142"/>
        </w:tabs>
        <w:spacing w:after="0" w:line="240" w:lineRule="auto"/>
        <w:rPr>
          <w:rFonts w:ascii="Segoe UI" w:eastAsia="Times New Roman" w:hAnsi="Segoe UI" w:cs="Segoe UI"/>
          <w:b/>
          <w:lang w:eastAsia="en-GB"/>
        </w:rPr>
      </w:pPr>
      <w:r>
        <w:rPr>
          <w:noProof/>
          <w:lang w:eastAsia="en-GB"/>
        </w:rPr>
        <w:drawing>
          <wp:inline distT="0" distB="0" distL="0" distR="0" wp14:anchorId="5C0CD472" wp14:editId="733F115F">
            <wp:extent cx="4572000" cy="2743200"/>
            <wp:effectExtent l="0" t="0" r="19050" b="1905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E20F0" w:rsidRDefault="000E20F0" w:rsidP="00566E1B">
      <w:pPr>
        <w:tabs>
          <w:tab w:val="left" w:pos="142"/>
        </w:tabs>
        <w:spacing w:after="0" w:line="240" w:lineRule="auto"/>
        <w:rPr>
          <w:rFonts w:ascii="Segoe UI" w:eastAsia="Times New Roman" w:hAnsi="Segoe UI" w:cs="Segoe UI"/>
          <w:b/>
          <w:lang w:eastAsia="en-GB"/>
        </w:rPr>
      </w:pPr>
    </w:p>
    <w:p w:rsidR="00516C30" w:rsidRPr="00231EAE" w:rsidRDefault="00FC239E" w:rsidP="00566E1B">
      <w:pPr>
        <w:tabs>
          <w:tab w:val="left" w:pos="142"/>
        </w:tabs>
        <w:spacing w:after="0" w:line="240" w:lineRule="auto"/>
        <w:rPr>
          <w:rFonts w:ascii="Segoe UI" w:eastAsia="Times New Roman" w:hAnsi="Segoe UI" w:cs="Segoe UI"/>
          <w:b/>
          <w:lang w:eastAsia="en-GB"/>
        </w:rPr>
      </w:pPr>
      <w:r>
        <w:rPr>
          <w:rFonts w:ascii="Segoe UI" w:eastAsia="Times New Roman" w:hAnsi="Segoe UI" w:cs="Segoe UI"/>
          <w:b/>
          <w:lang w:eastAsia="en-GB"/>
        </w:rPr>
        <w:t>2.</w:t>
      </w:r>
      <w:r>
        <w:rPr>
          <w:rFonts w:ascii="Segoe UI" w:eastAsia="Times New Roman" w:hAnsi="Segoe UI" w:cs="Segoe UI"/>
          <w:b/>
          <w:lang w:eastAsia="en-GB"/>
        </w:rPr>
        <w:tab/>
        <w:t>SIRIs</w:t>
      </w:r>
    </w:p>
    <w:p w:rsidR="00CD137B" w:rsidRPr="00566E1B" w:rsidRDefault="00231EAE" w:rsidP="00566E1B">
      <w:pPr>
        <w:tabs>
          <w:tab w:val="left" w:pos="142"/>
        </w:tabs>
        <w:spacing w:after="0" w:line="240" w:lineRule="auto"/>
        <w:rPr>
          <w:rFonts w:ascii="Segoe UI" w:eastAsia="Times New Roman" w:hAnsi="Segoe UI" w:cs="Segoe UI"/>
          <w:lang w:eastAsia="en-GB"/>
        </w:rPr>
      </w:pPr>
      <w:r w:rsidRPr="00566E1B">
        <w:rPr>
          <w:rFonts w:ascii="Segoe UI" w:hAnsi="Segoe UI" w:cs="Segoe UI"/>
        </w:rPr>
        <w:t>The total number of SIRI</w:t>
      </w:r>
      <w:r w:rsidR="00547644" w:rsidRPr="00566E1B">
        <w:rPr>
          <w:rFonts w:ascii="Segoe UI" w:hAnsi="Segoe UI" w:cs="Segoe UI"/>
        </w:rPr>
        <w:t>s in Q4 is twenty seven which is a sharp increase from Q2 and the highest it has been over the last two years. Despite this, the total number of SIRIs in 2014-15 is the lowest over the last three years.</w:t>
      </w:r>
    </w:p>
    <w:p w:rsidR="00566E1B" w:rsidRPr="00566E1B" w:rsidRDefault="00566E1B" w:rsidP="00566E1B">
      <w:pPr>
        <w:tabs>
          <w:tab w:val="left" w:pos="142"/>
        </w:tabs>
        <w:spacing w:after="0" w:line="240" w:lineRule="auto"/>
        <w:rPr>
          <w:rFonts w:ascii="Segoe UI" w:eastAsia="Times New Roman" w:hAnsi="Segoe UI" w:cs="Segoe UI"/>
          <w:lang w:eastAsia="en-GB"/>
        </w:rPr>
      </w:pPr>
    </w:p>
    <w:p w:rsidR="00231EAE" w:rsidRDefault="00566E1B" w:rsidP="00566E1B">
      <w:pPr>
        <w:tabs>
          <w:tab w:val="left" w:pos="142"/>
        </w:tabs>
        <w:spacing w:after="0" w:line="240" w:lineRule="auto"/>
        <w:rPr>
          <w:rFonts w:ascii="Segoe UI" w:hAnsi="Segoe UI" w:cs="Segoe UI"/>
        </w:rPr>
      </w:pPr>
      <w:r>
        <w:rPr>
          <w:noProof/>
          <w:lang w:eastAsia="en-GB"/>
        </w:rPr>
        <w:drawing>
          <wp:inline distT="0" distB="0" distL="0" distR="0" wp14:anchorId="5109F4A5" wp14:editId="05FB378F">
            <wp:extent cx="5731510" cy="3677285"/>
            <wp:effectExtent l="0" t="0" r="21590" b="18415"/>
            <wp:docPr id="323" name="Chart 3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66E1B" w:rsidRDefault="00566E1B" w:rsidP="00566E1B">
      <w:pPr>
        <w:tabs>
          <w:tab w:val="left" w:pos="142"/>
        </w:tabs>
        <w:spacing w:after="0" w:line="240" w:lineRule="auto"/>
        <w:rPr>
          <w:rFonts w:ascii="Segoe UI" w:hAnsi="Segoe UI" w:cs="Segoe UI"/>
        </w:rPr>
      </w:pPr>
    </w:p>
    <w:p w:rsidR="00566E1B" w:rsidRDefault="00566E1B" w:rsidP="00566E1B">
      <w:pPr>
        <w:tabs>
          <w:tab w:val="left" w:pos="142"/>
        </w:tabs>
        <w:spacing w:after="0" w:line="240" w:lineRule="auto"/>
        <w:rPr>
          <w:rFonts w:ascii="Segoe UI" w:hAnsi="Segoe UI" w:cs="Segoe UI"/>
        </w:rPr>
      </w:pPr>
    </w:p>
    <w:p w:rsidR="00566E1B" w:rsidRDefault="00566E1B" w:rsidP="00566E1B">
      <w:pPr>
        <w:tabs>
          <w:tab w:val="left" w:pos="142"/>
        </w:tabs>
        <w:spacing w:after="0" w:line="240" w:lineRule="auto"/>
        <w:rPr>
          <w:rFonts w:ascii="Segoe UI" w:hAnsi="Segoe UI" w:cs="Segoe UI"/>
        </w:rPr>
      </w:pPr>
      <w:r>
        <w:rPr>
          <w:noProof/>
          <w:lang w:eastAsia="en-GB"/>
        </w:rPr>
        <w:lastRenderedPageBreak/>
        <w:drawing>
          <wp:inline distT="0" distB="0" distL="0" distR="0" wp14:anchorId="1EFBCAE0" wp14:editId="3CA2B071">
            <wp:extent cx="3623733" cy="2472267"/>
            <wp:effectExtent l="0" t="0" r="15240" b="23495"/>
            <wp:docPr id="326" name="Chart 3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66E1B" w:rsidRDefault="00566E1B" w:rsidP="00566E1B">
      <w:pPr>
        <w:tabs>
          <w:tab w:val="left" w:pos="142"/>
        </w:tabs>
        <w:spacing w:after="0" w:line="240" w:lineRule="auto"/>
        <w:rPr>
          <w:rFonts w:ascii="Segoe UI" w:hAnsi="Segoe UI" w:cs="Segoe UI"/>
        </w:rPr>
      </w:pPr>
    </w:p>
    <w:p w:rsidR="00547644" w:rsidRPr="00231EAE" w:rsidRDefault="00547644" w:rsidP="00566E1B">
      <w:pPr>
        <w:tabs>
          <w:tab w:val="left" w:pos="142"/>
        </w:tabs>
        <w:spacing w:after="0" w:line="240" w:lineRule="auto"/>
        <w:rPr>
          <w:rFonts w:ascii="Segoe UI" w:eastAsia="Times New Roman" w:hAnsi="Segoe UI" w:cs="Segoe UI"/>
          <w:color w:val="FF0000"/>
          <w:lang w:eastAsia="en-GB"/>
        </w:rPr>
      </w:pPr>
      <w:r w:rsidRPr="00231EAE">
        <w:rPr>
          <w:rFonts w:ascii="Segoe UI" w:hAnsi="Segoe UI" w:cs="Segoe UI"/>
        </w:rPr>
        <w:t>In quarter 4 there have been:</w:t>
      </w:r>
    </w:p>
    <w:p w:rsidR="00547644" w:rsidRPr="00231EAE" w:rsidRDefault="00547644" w:rsidP="00566E1B">
      <w:pPr>
        <w:pStyle w:val="ListParagraph"/>
        <w:numPr>
          <w:ilvl w:val="0"/>
          <w:numId w:val="24"/>
        </w:numPr>
        <w:spacing w:after="0" w:line="240" w:lineRule="auto"/>
        <w:rPr>
          <w:rFonts w:ascii="Segoe UI" w:hAnsi="Segoe UI" w:cs="Segoe UI"/>
        </w:rPr>
      </w:pPr>
      <w:r w:rsidRPr="00231EAE">
        <w:rPr>
          <w:rFonts w:ascii="Segoe UI" w:hAnsi="Segoe UI" w:cs="Segoe UI"/>
        </w:rPr>
        <w:t>Eleven confirmed or suspected suicides.</w:t>
      </w:r>
    </w:p>
    <w:p w:rsidR="00547644" w:rsidRPr="00231EAE" w:rsidRDefault="00547644" w:rsidP="00566E1B">
      <w:pPr>
        <w:pStyle w:val="ListParagraph"/>
        <w:numPr>
          <w:ilvl w:val="0"/>
          <w:numId w:val="24"/>
        </w:numPr>
        <w:spacing w:after="0" w:line="240" w:lineRule="auto"/>
        <w:rPr>
          <w:rFonts w:ascii="Segoe UI" w:hAnsi="Segoe UI" w:cs="Segoe UI"/>
        </w:rPr>
      </w:pPr>
      <w:r w:rsidRPr="00231EAE">
        <w:rPr>
          <w:rFonts w:ascii="Segoe UI" w:hAnsi="Segoe UI" w:cs="Segoe UI"/>
        </w:rPr>
        <w:t>Three unexpected deaths.  All three were reported by different community mental health teams and there is nothing to indicate the cause of death is either suspicious or suspected suicide.</w:t>
      </w:r>
    </w:p>
    <w:p w:rsidR="00547644" w:rsidRPr="00231EAE" w:rsidRDefault="00547644" w:rsidP="00566E1B">
      <w:pPr>
        <w:pStyle w:val="ListParagraph"/>
        <w:numPr>
          <w:ilvl w:val="0"/>
          <w:numId w:val="24"/>
        </w:numPr>
        <w:spacing w:after="0" w:line="240" w:lineRule="auto"/>
        <w:rPr>
          <w:rFonts w:ascii="Segoe UI" w:hAnsi="Segoe UI" w:cs="Segoe UI"/>
        </w:rPr>
      </w:pPr>
      <w:r w:rsidRPr="00231EAE">
        <w:rPr>
          <w:rFonts w:ascii="Segoe UI" w:hAnsi="Segoe UI" w:cs="Segoe UI"/>
        </w:rPr>
        <w:t>Three avoidable grade 3 or 4 pressure ulcers</w:t>
      </w:r>
    </w:p>
    <w:p w:rsidR="00547644" w:rsidRPr="00231EAE" w:rsidRDefault="00547644" w:rsidP="00566E1B">
      <w:pPr>
        <w:pStyle w:val="ListParagraph"/>
        <w:numPr>
          <w:ilvl w:val="0"/>
          <w:numId w:val="24"/>
        </w:numPr>
        <w:spacing w:after="0" w:line="240" w:lineRule="auto"/>
        <w:rPr>
          <w:rFonts w:ascii="Segoe UI" w:hAnsi="Segoe UI" w:cs="Segoe UI"/>
        </w:rPr>
      </w:pPr>
      <w:r w:rsidRPr="00231EAE">
        <w:rPr>
          <w:rFonts w:ascii="Segoe UI" w:hAnsi="Segoe UI" w:cs="Segoe UI"/>
        </w:rPr>
        <w:t>One fracture of a patients wrist on an older adult ward</w:t>
      </w:r>
    </w:p>
    <w:p w:rsidR="00547644" w:rsidRPr="00231EAE" w:rsidRDefault="00547644" w:rsidP="00566E1B">
      <w:pPr>
        <w:pStyle w:val="ListParagraph"/>
        <w:numPr>
          <w:ilvl w:val="0"/>
          <w:numId w:val="24"/>
        </w:numPr>
        <w:spacing w:after="0" w:line="240" w:lineRule="auto"/>
        <w:rPr>
          <w:rFonts w:ascii="Segoe UI" w:hAnsi="Segoe UI" w:cs="Segoe UI"/>
        </w:rPr>
      </w:pPr>
      <w:r w:rsidRPr="00231EAE">
        <w:rPr>
          <w:rFonts w:ascii="Segoe UI" w:hAnsi="Segoe UI" w:cs="Segoe UI"/>
        </w:rPr>
        <w:t>One assault by a community patient on a neighbour</w:t>
      </w:r>
    </w:p>
    <w:p w:rsidR="00547644" w:rsidRPr="00231EAE" w:rsidRDefault="00547644" w:rsidP="00566E1B">
      <w:pPr>
        <w:pStyle w:val="ListParagraph"/>
        <w:numPr>
          <w:ilvl w:val="0"/>
          <w:numId w:val="24"/>
        </w:numPr>
        <w:spacing w:after="0" w:line="240" w:lineRule="auto"/>
        <w:rPr>
          <w:rFonts w:ascii="Segoe UI" w:hAnsi="Segoe UI" w:cs="Segoe UI"/>
        </w:rPr>
      </w:pPr>
      <w:r w:rsidRPr="00231EAE">
        <w:rPr>
          <w:rFonts w:ascii="Segoe UI" w:hAnsi="Segoe UI" w:cs="Segoe UI"/>
        </w:rPr>
        <w:t>The death of an eighteen month old child.</w:t>
      </w:r>
    </w:p>
    <w:p w:rsidR="00547644" w:rsidRPr="00231EAE" w:rsidRDefault="00547644" w:rsidP="00566E1B">
      <w:pPr>
        <w:pStyle w:val="ListParagraph"/>
        <w:numPr>
          <w:ilvl w:val="0"/>
          <w:numId w:val="24"/>
        </w:numPr>
        <w:spacing w:after="0" w:line="240" w:lineRule="auto"/>
        <w:rPr>
          <w:rFonts w:ascii="Segoe UI" w:hAnsi="Segoe UI" w:cs="Segoe UI"/>
        </w:rPr>
      </w:pPr>
      <w:r w:rsidRPr="00231EAE">
        <w:rPr>
          <w:rFonts w:ascii="Segoe UI" w:hAnsi="Segoe UI" w:cs="Segoe UI"/>
        </w:rPr>
        <w:t>A significant breach of confidential information</w:t>
      </w:r>
    </w:p>
    <w:p w:rsidR="00547644" w:rsidRPr="00231EAE" w:rsidRDefault="00547644" w:rsidP="00566E1B">
      <w:pPr>
        <w:pStyle w:val="ListParagraph"/>
        <w:numPr>
          <w:ilvl w:val="0"/>
          <w:numId w:val="24"/>
        </w:numPr>
        <w:spacing w:after="0" w:line="240" w:lineRule="auto"/>
        <w:rPr>
          <w:rFonts w:ascii="Segoe UI" w:hAnsi="Segoe UI" w:cs="Segoe UI"/>
        </w:rPr>
      </w:pPr>
      <w:r w:rsidRPr="00231EAE">
        <w:rPr>
          <w:rFonts w:ascii="Segoe UI" w:hAnsi="Segoe UI" w:cs="Segoe UI"/>
        </w:rPr>
        <w:t>A failure to act upon test results and manage ketoacidosis in an insulin dependent patient</w:t>
      </w:r>
    </w:p>
    <w:p w:rsidR="00547644" w:rsidRPr="00231EAE" w:rsidRDefault="00547644" w:rsidP="00566E1B">
      <w:pPr>
        <w:pStyle w:val="ListParagraph"/>
        <w:numPr>
          <w:ilvl w:val="0"/>
          <w:numId w:val="24"/>
        </w:numPr>
        <w:spacing w:after="0" w:line="240" w:lineRule="auto"/>
        <w:rPr>
          <w:rFonts w:ascii="Segoe UI" w:hAnsi="Segoe UI" w:cs="Segoe UI"/>
        </w:rPr>
      </w:pPr>
      <w:r w:rsidRPr="00231EAE">
        <w:rPr>
          <w:rFonts w:ascii="Segoe UI" w:hAnsi="Segoe UI" w:cs="Segoe UI"/>
        </w:rPr>
        <w:t>An NHS 11 incident where a visit was delayed and the patient subsequently died.</w:t>
      </w:r>
    </w:p>
    <w:p w:rsidR="00547644" w:rsidRPr="00231EAE" w:rsidRDefault="00547644" w:rsidP="00566E1B">
      <w:pPr>
        <w:pStyle w:val="ListParagraph"/>
        <w:numPr>
          <w:ilvl w:val="0"/>
          <w:numId w:val="24"/>
        </w:numPr>
        <w:spacing w:after="0" w:line="240" w:lineRule="auto"/>
        <w:rPr>
          <w:rFonts w:ascii="Segoe UI" w:hAnsi="Segoe UI" w:cs="Segoe UI"/>
        </w:rPr>
      </w:pPr>
      <w:r w:rsidRPr="00231EAE">
        <w:rPr>
          <w:rFonts w:ascii="Segoe UI" w:hAnsi="Segoe UI" w:cs="Segoe UI"/>
        </w:rPr>
        <w:t>One incident of a patient sustaining a fracture (likely self-inflicted) and not receiving timely care. This SIRI is being managed through the complaints process.</w:t>
      </w:r>
    </w:p>
    <w:p w:rsidR="00547644" w:rsidRPr="00231EAE" w:rsidRDefault="00547644" w:rsidP="00566E1B">
      <w:pPr>
        <w:pStyle w:val="ListParagraph"/>
        <w:numPr>
          <w:ilvl w:val="0"/>
          <w:numId w:val="24"/>
        </w:numPr>
        <w:spacing w:after="0" w:line="240" w:lineRule="auto"/>
        <w:rPr>
          <w:rFonts w:ascii="Segoe UI" w:hAnsi="Segoe UI" w:cs="Segoe UI"/>
        </w:rPr>
      </w:pPr>
      <w:r w:rsidRPr="00231EAE">
        <w:rPr>
          <w:rFonts w:ascii="Segoe UI" w:hAnsi="Segoe UI" w:cs="Segoe UI"/>
        </w:rPr>
        <w:t xml:space="preserve">One incident of a pregnant patient on section 17 </w:t>
      </w:r>
      <w:proofErr w:type="gramStart"/>
      <w:r w:rsidRPr="00231EAE">
        <w:rPr>
          <w:rFonts w:ascii="Segoe UI" w:hAnsi="Segoe UI" w:cs="Segoe UI"/>
        </w:rPr>
        <w:t>leave</w:t>
      </w:r>
      <w:proofErr w:type="gramEnd"/>
      <w:r w:rsidRPr="00231EAE">
        <w:rPr>
          <w:rFonts w:ascii="Segoe UI" w:hAnsi="Segoe UI" w:cs="Segoe UI"/>
        </w:rPr>
        <w:t xml:space="preserve"> who refused to return.  This is being managed through a multiagency review.</w:t>
      </w:r>
    </w:p>
    <w:p w:rsidR="00547644" w:rsidRPr="00231EAE" w:rsidRDefault="00547644" w:rsidP="00566E1B">
      <w:pPr>
        <w:pStyle w:val="ListParagraph"/>
        <w:numPr>
          <w:ilvl w:val="0"/>
          <w:numId w:val="24"/>
        </w:numPr>
        <w:spacing w:after="0" w:line="240" w:lineRule="auto"/>
        <w:rPr>
          <w:rFonts w:ascii="Segoe UI" w:hAnsi="Segoe UI" w:cs="Segoe UI"/>
        </w:rPr>
      </w:pPr>
      <w:r w:rsidRPr="00231EAE">
        <w:rPr>
          <w:rFonts w:ascii="Segoe UI" w:hAnsi="Segoe UI" w:cs="Segoe UI"/>
        </w:rPr>
        <w:t>One incident of a patient in the community falling, carers failed to summon help or medical review the patient and fell again later fracturing their collarbone.</w:t>
      </w:r>
    </w:p>
    <w:p w:rsidR="00547644" w:rsidRPr="00231EAE" w:rsidRDefault="00547644" w:rsidP="00566E1B">
      <w:pPr>
        <w:pStyle w:val="ListParagraph"/>
        <w:numPr>
          <w:ilvl w:val="0"/>
          <w:numId w:val="24"/>
        </w:numPr>
        <w:spacing w:after="0" w:line="240" w:lineRule="auto"/>
        <w:rPr>
          <w:rFonts w:ascii="Segoe UI" w:hAnsi="Segoe UI" w:cs="Segoe UI"/>
        </w:rPr>
      </w:pPr>
      <w:r w:rsidRPr="00231EAE">
        <w:rPr>
          <w:rFonts w:ascii="Segoe UI" w:hAnsi="Segoe UI" w:cs="Segoe UI"/>
        </w:rPr>
        <w:t>One incident of a patient in the 136 suite substantially damaging the 136 and putting it out of commission for some time.</w:t>
      </w:r>
    </w:p>
    <w:p w:rsidR="00CD137B" w:rsidRPr="000E20F0" w:rsidRDefault="00547644" w:rsidP="00566E1B">
      <w:pPr>
        <w:pStyle w:val="ListParagraph"/>
        <w:numPr>
          <w:ilvl w:val="0"/>
          <w:numId w:val="24"/>
        </w:numPr>
        <w:spacing w:after="0" w:line="240" w:lineRule="auto"/>
        <w:rPr>
          <w:rFonts w:ascii="Segoe UI" w:hAnsi="Segoe UI" w:cs="Segoe UI"/>
        </w:rPr>
      </w:pPr>
      <w:r w:rsidRPr="00231EAE">
        <w:rPr>
          <w:rFonts w:ascii="Segoe UI" w:hAnsi="Segoe UI" w:cs="Segoe UI"/>
        </w:rPr>
        <w:t xml:space="preserve">In Q3 we reported that there had been no avoidable grade 3 /4 pressure ulcers reported in Q3. Refreshing figures and accounting for delays in notification after the last data was run the numbers of pressure ulcers to report has changed. In Q 3 there were four avoidable pressure ulcers and in Q4 there have been three. </w:t>
      </w:r>
    </w:p>
    <w:p w:rsidR="00566E1B" w:rsidRDefault="00566E1B" w:rsidP="00566E1B">
      <w:pPr>
        <w:spacing w:after="0" w:line="240" w:lineRule="auto"/>
        <w:ind w:left="360"/>
        <w:rPr>
          <w:rFonts w:ascii="Segoe UI" w:hAnsi="Segoe UI" w:cs="Segoe UI"/>
        </w:rPr>
      </w:pPr>
    </w:p>
    <w:p w:rsidR="00547644" w:rsidRDefault="00547644" w:rsidP="00566E1B">
      <w:pPr>
        <w:spacing w:after="0" w:line="240" w:lineRule="auto"/>
        <w:ind w:left="360"/>
        <w:rPr>
          <w:rFonts w:ascii="Segoe UI" w:hAnsi="Segoe UI" w:cs="Segoe UI"/>
        </w:rPr>
      </w:pPr>
      <w:r w:rsidRPr="00566E1B">
        <w:rPr>
          <w:rFonts w:ascii="Segoe UI" w:hAnsi="Segoe UI" w:cs="Segoe UI"/>
        </w:rPr>
        <w:t>The number of suspected suicides in Q4 has further increased from six in Q3 to eleven in Q4 which is above the median.  The trend however continues downwards and 2014-15 has reported the smallest number of suspected/confirmed suicides in the last four years. All of these reported deaths occurred in the community.</w:t>
      </w:r>
      <w:r w:rsidR="00B665F4" w:rsidRPr="00566E1B">
        <w:rPr>
          <w:rFonts w:ascii="Segoe UI" w:hAnsi="Segoe UI" w:cs="Segoe UI"/>
        </w:rPr>
        <w:t xml:space="preserve"> </w:t>
      </w:r>
      <w:r w:rsidR="000E20F0" w:rsidRPr="00566E1B">
        <w:rPr>
          <w:rFonts w:ascii="Segoe UI" w:hAnsi="Segoe UI" w:cs="Segoe UI"/>
        </w:rPr>
        <w:t xml:space="preserve">There have been a total of 24 </w:t>
      </w:r>
      <w:r w:rsidRPr="00566E1B">
        <w:rPr>
          <w:rFonts w:ascii="Segoe UI" w:hAnsi="Segoe UI" w:cs="Segoe UI"/>
        </w:rPr>
        <w:t xml:space="preserve">in the Adult Directorate, </w:t>
      </w:r>
      <w:r w:rsidR="000E20F0" w:rsidRPr="00566E1B">
        <w:rPr>
          <w:rFonts w:ascii="Segoe UI" w:hAnsi="Segoe UI" w:cs="Segoe UI"/>
        </w:rPr>
        <w:t>two</w:t>
      </w:r>
      <w:r w:rsidRPr="00566E1B">
        <w:rPr>
          <w:rFonts w:ascii="Segoe UI" w:hAnsi="Segoe UI" w:cs="Segoe UI"/>
        </w:rPr>
        <w:t xml:space="preserve"> in the Older Peoples Directorate (mental health) and </w:t>
      </w:r>
      <w:r w:rsidR="000E20F0" w:rsidRPr="00566E1B">
        <w:rPr>
          <w:rFonts w:ascii="Segoe UI" w:hAnsi="Segoe UI" w:cs="Segoe UI"/>
        </w:rPr>
        <w:t>two</w:t>
      </w:r>
      <w:r w:rsidRPr="00566E1B">
        <w:rPr>
          <w:rFonts w:ascii="Segoe UI" w:hAnsi="Segoe UI" w:cs="Segoe UI"/>
        </w:rPr>
        <w:t xml:space="preserve"> in the Children and Young Peoples Directorate. </w:t>
      </w:r>
    </w:p>
    <w:p w:rsidR="00566E1B" w:rsidRDefault="00566E1B" w:rsidP="00566E1B">
      <w:pPr>
        <w:spacing w:after="0" w:line="240" w:lineRule="auto"/>
        <w:ind w:left="360"/>
        <w:rPr>
          <w:rFonts w:ascii="Segoe UI" w:hAnsi="Segoe UI" w:cs="Segoe UI"/>
        </w:rPr>
      </w:pPr>
    </w:p>
    <w:p w:rsidR="00566E1B" w:rsidRPr="00566E1B" w:rsidRDefault="00566E1B" w:rsidP="00566E1B">
      <w:pPr>
        <w:spacing w:after="0" w:line="240" w:lineRule="auto"/>
        <w:ind w:left="360"/>
        <w:rPr>
          <w:rFonts w:ascii="Segoe UI" w:hAnsi="Segoe UI" w:cs="Segoe UI"/>
        </w:rPr>
      </w:pPr>
      <w:r>
        <w:rPr>
          <w:noProof/>
          <w:lang w:eastAsia="en-GB"/>
        </w:rPr>
        <w:lastRenderedPageBreak/>
        <w:drawing>
          <wp:inline distT="0" distB="0" distL="0" distR="0" wp14:anchorId="2E7218DA" wp14:editId="6A301D43">
            <wp:extent cx="5689600" cy="3296355"/>
            <wp:effectExtent l="0" t="0" r="25400" b="18415"/>
            <wp:docPr id="329" name="Chart 3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66E1B" w:rsidRDefault="00566E1B" w:rsidP="00566E1B">
      <w:pPr>
        <w:spacing w:after="0" w:line="240" w:lineRule="auto"/>
        <w:rPr>
          <w:rFonts w:ascii="Segoe UI" w:hAnsi="Segoe UI" w:cs="Segoe UI"/>
        </w:rPr>
      </w:pPr>
    </w:p>
    <w:p w:rsidR="00547644" w:rsidRDefault="00547644" w:rsidP="00566E1B">
      <w:pPr>
        <w:spacing w:after="0" w:line="240" w:lineRule="auto"/>
        <w:rPr>
          <w:rFonts w:ascii="Segoe UI" w:hAnsi="Segoe UI" w:cs="Segoe UI"/>
        </w:rPr>
      </w:pPr>
      <w:r w:rsidRPr="000E20F0">
        <w:rPr>
          <w:rFonts w:ascii="Segoe UI" w:hAnsi="Segoe UI" w:cs="Segoe UI"/>
        </w:rPr>
        <w:t xml:space="preserve">Ten </w:t>
      </w:r>
      <w:r w:rsidR="00FE2F27">
        <w:rPr>
          <w:rFonts w:ascii="Segoe UI" w:hAnsi="Segoe UI" w:cs="Segoe UI"/>
        </w:rPr>
        <w:t xml:space="preserve">suspected suicides </w:t>
      </w:r>
      <w:r w:rsidRPr="000E20F0">
        <w:rPr>
          <w:rFonts w:ascii="Segoe UI" w:hAnsi="Segoe UI" w:cs="Segoe UI"/>
        </w:rPr>
        <w:t xml:space="preserve">have occurred in Bucks and </w:t>
      </w:r>
      <w:r w:rsidR="000E20F0">
        <w:rPr>
          <w:rFonts w:ascii="Segoe UI" w:hAnsi="Segoe UI" w:cs="Segoe UI"/>
        </w:rPr>
        <w:t>ten</w:t>
      </w:r>
      <w:r w:rsidRPr="000E20F0">
        <w:rPr>
          <w:rFonts w:ascii="Segoe UI" w:hAnsi="Segoe UI" w:cs="Segoe UI"/>
        </w:rPr>
        <w:t xml:space="preserve"> in Oxford. Chiltern team had the largest number with six (one each in the first two quarters and two each in the second two quarters) and Oxon N&amp;W AMHT the fewest with two (both of which occurred in the first two quarters of this year). The Adult Directorate have undertaken a service review in the Chiltern team and made a number of recommendations to improve working practice and address high referral and capacity issues in the team.</w:t>
      </w:r>
    </w:p>
    <w:p w:rsidR="00566E1B" w:rsidRDefault="00566E1B" w:rsidP="00566E1B">
      <w:pPr>
        <w:spacing w:after="0" w:line="240" w:lineRule="auto"/>
        <w:rPr>
          <w:rFonts w:ascii="Segoe UI" w:hAnsi="Segoe UI" w:cs="Segoe UI"/>
        </w:rPr>
      </w:pPr>
    </w:p>
    <w:p w:rsidR="00566E1B" w:rsidRPr="00566E1B" w:rsidRDefault="00566E1B" w:rsidP="00566E1B">
      <w:pPr>
        <w:spacing w:after="0" w:line="240" w:lineRule="auto"/>
        <w:rPr>
          <w:rFonts w:ascii="Segoe UI" w:hAnsi="Segoe UI" w:cs="Segoe UI"/>
        </w:rPr>
      </w:pPr>
      <w:r w:rsidRPr="00566E1B">
        <w:rPr>
          <w:rFonts w:ascii="Segoe UI" w:hAnsi="Segoe UI" w:cs="Segoe UI"/>
        </w:rPr>
        <w:t>The days between deaths that meet the criteria for inpatient deaths are 192, 153 and 439 (and counting). The quality account indicator for this year which is set at 300 days has been achieved. There was one unexpected death reported of an inpatient in a low secure mental health unit.  The death was attributed to natural causes in Q2.</w:t>
      </w:r>
    </w:p>
    <w:p w:rsidR="00566E1B" w:rsidRPr="00F26574" w:rsidRDefault="00566E1B" w:rsidP="00566E1B">
      <w:pPr>
        <w:pStyle w:val="ListParagraph"/>
        <w:spacing w:after="0" w:line="240" w:lineRule="auto"/>
        <w:ind w:left="360"/>
        <w:rPr>
          <w:rFonts w:ascii="Segoe UI" w:hAnsi="Segoe UI" w:cs="Segoe UI"/>
        </w:rPr>
      </w:pPr>
    </w:p>
    <w:p w:rsidR="00566E1B" w:rsidRPr="00F26574" w:rsidRDefault="00566E1B" w:rsidP="00566E1B">
      <w:pPr>
        <w:pStyle w:val="ListParagraph"/>
        <w:spacing w:after="0" w:line="240" w:lineRule="auto"/>
        <w:ind w:left="360"/>
        <w:rPr>
          <w:rFonts w:ascii="Segoe UI" w:hAnsi="Segoe UI" w:cs="Segoe UI"/>
          <w:b/>
        </w:rPr>
      </w:pPr>
      <w:r>
        <w:rPr>
          <w:rFonts w:ascii="Segoe UI" w:hAnsi="Segoe UI" w:cs="Segoe UI"/>
          <w:b/>
        </w:rPr>
        <w:t>Table 6: inpatient suicides by year</w:t>
      </w:r>
    </w:p>
    <w:tbl>
      <w:tblPr>
        <w:tblW w:w="1841"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2111"/>
      </w:tblGrid>
      <w:tr w:rsidR="00566E1B" w:rsidRPr="00B843D6" w:rsidTr="005B1473">
        <w:trPr>
          <w:trHeight w:val="178"/>
        </w:trPr>
        <w:tc>
          <w:tcPr>
            <w:tcW w:w="1899" w:type="pct"/>
            <w:shd w:val="clear" w:color="auto" w:fill="D9D9D9"/>
          </w:tcPr>
          <w:p w:rsidR="00566E1B" w:rsidRPr="00B843D6" w:rsidRDefault="00566E1B" w:rsidP="00566E1B">
            <w:pPr>
              <w:spacing w:after="0" w:line="240" w:lineRule="auto"/>
              <w:jc w:val="center"/>
              <w:rPr>
                <w:rFonts w:ascii="Segoe UI" w:hAnsi="Segoe UI" w:cs="Segoe UI"/>
                <w:b/>
              </w:rPr>
            </w:pPr>
            <w:r w:rsidRPr="00B843D6">
              <w:rPr>
                <w:rFonts w:ascii="Segoe UI" w:hAnsi="Segoe UI" w:cs="Segoe UI"/>
                <w:b/>
              </w:rPr>
              <w:t>Year</w:t>
            </w:r>
          </w:p>
        </w:tc>
        <w:tc>
          <w:tcPr>
            <w:tcW w:w="3101" w:type="pct"/>
            <w:shd w:val="clear" w:color="auto" w:fill="D9D9D9"/>
          </w:tcPr>
          <w:p w:rsidR="00566E1B" w:rsidRPr="00B843D6" w:rsidRDefault="00566E1B" w:rsidP="00566E1B">
            <w:pPr>
              <w:spacing w:after="0" w:line="240" w:lineRule="auto"/>
              <w:jc w:val="center"/>
              <w:rPr>
                <w:rFonts w:ascii="Segoe UI" w:hAnsi="Segoe UI" w:cs="Segoe UI"/>
                <w:b/>
              </w:rPr>
            </w:pPr>
            <w:r w:rsidRPr="00B843D6">
              <w:rPr>
                <w:rFonts w:ascii="Segoe UI" w:hAnsi="Segoe UI" w:cs="Segoe UI"/>
                <w:b/>
              </w:rPr>
              <w:t>Inpatient</w:t>
            </w:r>
          </w:p>
        </w:tc>
      </w:tr>
      <w:tr w:rsidR="00566E1B" w:rsidRPr="00B843D6" w:rsidTr="005B1473">
        <w:trPr>
          <w:trHeight w:val="178"/>
        </w:trPr>
        <w:tc>
          <w:tcPr>
            <w:tcW w:w="1899" w:type="pct"/>
          </w:tcPr>
          <w:p w:rsidR="00566E1B" w:rsidRPr="00B843D6" w:rsidRDefault="00566E1B" w:rsidP="00566E1B">
            <w:pPr>
              <w:spacing w:after="0" w:line="240" w:lineRule="auto"/>
              <w:jc w:val="center"/>
              <w:rPr>
                <w:rFonts w:ascii="Segoe UI" w:hAnsi="Segoe UI" w:cs="Segoe UI"/>
                <w:b/>
              </w:rPr>
            </w:pPr>
            <w:r w:rsidRPr="00B843D6">
              <w:rPr>
                <w:rFonts w:ascii="Segoe UI" w:hAnsi="Segoe UI" w:cs="Segoe UI"/>
                <w:b/>
              </w:rPr>
              <w:t>2009/10</w:t>
            </w:r>
          </w:p>
        </w:tc>
        <w:tc>
          <w:tcPr>
            <w:tcW w:w="3101" w:type="pct"/>
          </w:tcPr>
          <w:p w:rsidR="00566E1B" w:rsidRPr="00B843D6" w:rsidRDefault="00566E1B" w:rsidP="00566E1B">
            <w:pPr>
              <w:spacing w:after="0" w:line="240" w:lineRule="auto"/>
              <w:jc w:val="center"/>
              <w:rPr>
                <w:rFonts w:ascii="Segoe UI" w:hAnsi="Segoe UI" w:cs="Segoe UI"/>
                <w:b/>
              </w:rPr>
            </w:pPr>
            <w:r w:rsidRPr="00B843D6">
              <w:rPr>
                <w:rFonts w:ascii="Segoe UI" w:hAnsi="Segoe UI" w:cs="Segoe UI"/>
                <w:b/>
              </w:rPr>
              <w:t>1</w:t>
            </w:r>
          </w:p>
        </w:tc>
      </w:tr>
      <w:tr w:rsidR="00566E1B" w:rsidRPr="00B843D6" w:rsidTr="005B1473">
        <w:trPr>
          <w:trHeight w:val="183"/>
        </w:trPr>
        <w:tc>
          <w:tcPr>
            <w:tcW w:w="1899" w:type="pct"/>
          </w:tcPr>
          <w:p w:rsidR="00566E1B" w:rsidRPr="00B843D6" w:rsidRDefault="00566E1B" w:rsidP="00566E1B">
            <w:pPr>
              <w:spacing w:after="0" w:line="240" w:lineRule="auto"/>
              <w:jc w:val="center"/>
              <w:rPr>
                <w:rFonts w:ascii="Segoe UI" w:hAnsi="Segoe UI" w:cs="Segoe UI"/>
                <w:b/>
              </w:rPr>
            </w:pPr>
            <w:r w:rsidRPr="00B843D6">
              <w:rPr>
                <w:rFonts w:ascii="Segoe UI" w:hAnsi="Segoe UI" w:cs="Segoe UI"/>
                <w:b/>
              </w:rPr>
              <w:t>2010/11</w:t>
            </w:r>
          </w:p>
        </w:tc>
        <w:tc>
          <w:tcPr>
            <w:tcW w:w="3101" w:type="pct"/>
          </w:tcPr>
          <w:p w:rsidR="00566E1B" w:rsidRPr="00B843D6" w:rsidRDefault="00566E1B" w:rsidP="00566E1B">
            <w:pPr>
              <w:spacing w:after="0" w:line="240" w:lineRule="auto"/>
              <w:jc w:val="center"/>
              <w:rPr>
                <w:rFonts w:ascii="Segoe UI" w:hAnsi="Segoe UI" w:cs="Segoe UI"/>
                <w:b/>
              </w:rPr>
            </w:pPr>
            <w:r w:rsidRPr="00B843D6">
              <w:rPr>
                <w:rFonts w:ascii="Segoe UI" w:hAnsi="Segoe UI" w:cs="Segoe UI"/>
                <w:b/>
              </w:rPr>
              <w:t>1</w:t>
            </w:r>
          </w:p>
        </w:tc>
      </w:tr>
      <w:tr w:rsidR="00566E1B" w:rsidRPr="00B843D6" w:rsidTr="005B1473">
        <w:trPr>
          <w:trHeight w:val="183"/>
        </w:trPr>
        <w:tc>
          <w:tcPr>
            <w:tcW w:w="1899" w:type="pct"/>
          </w:tcPr>
          <w:p w:rsidR="00566E1B" w:rsidRPr="00B843D6" w:rsidRDefault="00566E1B" w:rsidP="00566E1B">
            <w:pPr>
              <w:spacing w:after="0" w:line="240" w:lineRule="auto"/>
              <w:jc w:val="center"/>
              <w:rPr>
                <w:rFonts w:ascii="Segoe UI" w:hAnsi="Segoe UI" w:cs="Segoe UI"/>
                <w:b/>
              </w:rPr>
            </w:pPr>
            <w:r w:rsidRPr="00B843D6">
              <w:rPr>
                <w:rFonts w:ascii="Segoe UI" w:hAnsi="Segoe UI" w:cs="Segoe UI"/>
                <w:b/>
              </w:rPr>
              <w:t>2011/12</w:t>
            </w:r>
          </w:p>
        </w:tc>
        <w:tc>
          <w:tcPr>
            <w:tcW w:w="3101" w:type="pct"/>
          </w:tcPr>
          <w:p w:rsidR="00566E1B" w:rsidRPr="00B843D6" w:rsidRDefault="00566E1B" w:rsidP="00566E1B">
            <w:pPr>
              <w:spacing w:after="0" w:line="240" w:lineRule="auto"/>
              <w:jc w:val="center"/>
              <w:rPr>
                <w:rFonts w:ascii="Segoe UI" w:hAnsi="Segoe UI" w:cs="Segoe UI"/>
                <w:b/>
              </w:rPr>
            </w:pPr>
            <w:r w:rsidRPr="00B843D6">
              <w:rPr>
                <w:rFonts w:ascii="Segoe UI" w:hAnsi="Segoe UI" w:cs="Segoe UI"/>
                <w:b/>
              </w:rPr>
              <w:t>0</w:t>
            </w:r>
          </w:p>
        </w:tc>
      </w:tr>
      <w:tr w:rsidR="00566E1B" w:rsidRPr="00B843D6" w:rsidTr="005B1473">
        <w:trPr>
          <w:trHeight w:val="178"/>
        </w:trPr>
        <w:tc>
          <w:tcPr>
            <w:tcW w:w="1899" w:type="pct"/>
          </w:tcPr>
          <w:p w:rsidR="00566E1B" w:rsidRPr="00B843D6" w:rsidRDefault="00566E1B" w:rsidP="00566E1B">
            <w:pPr>
              <w:spacing w:after="0" w:line="240" w:lineRule="auto"/>
              <w:jc w:val="center"/>
              <w:rPr>
                <w:rFonts w:ascii="Segoe UI" w:hAnsi="Segoe UI" w:cs="Segoe UI"/>
                <w:b/>
              </w:rPr>
            </w:pPr>
            <w:r w:rsidRPr="00B843D6">
              <w:rPr>
                <w:rFonts w:ascii="Segoe UI" w:hAnsi="Segoe UI" w:cs="Segoe UI"/>
                <w:b/>
              </w:rPr>
              <w:t>2012/13</w:t>
            </w:r>
          </w:p>
        </w:tc>
        <w:tc>
          <w:tcPr>
            <w:tcW w:w="3101" w:type="pct"/>
          </w:tcPr>
          <w:p w:rsidR="00566E1B" w:rsidRPr="00B843D6" w:rsidRDefault="00566E1B" w:rsidP="00566E1B">
            <w:pPr>
              <w:spacing w:after="0" w:line="240" w:lineRule="auto"/>
              <w:jc w:val="center"/>
              <w:rPr>
                <w:rFonts w:ascii="Segoe UI" w:hAnsi="Segoe UI" w:cs="Segoe UI"/>
                <w:b/>
              </w:rPr>
            </w:pPr>
            <w:r w:rsidRPr="00B843D6">
              <w:rPr>
                <w:rFonts w:ascii="Segoe UI" w:hAnsi="Segoe UI" w:cs="Segoe UI"/>
                <w:b/>
              </w:rPr>
              <w:t>1</w:t>
            </w:r>
          </w:p>
        </w:tc>
      </w:tr>
      <w:tr w:rsidR="00566E1B" w:rsidRPr="00B843D6" w:rsidTr="005B1473">
        <w:trPr>
          <w:trHeight w:val="183"/>
        </w:trPr>
        <w:tc>
          <w:tcPr>
            <w:tcW w:w="1899" w:type="pct"/>
          </w:tcPr>
          <w:p w:rsidR="00566E1B" w:rsidRPr="00B843D6" w:rsidRDefault="00566E1B" w:rsidP="00566E1B">
            <w:pPr>
              <w:spacing w:after="0" w:line="240" w:lineRule="auto"/>
              <w:jc w:val="center"/>
              <w:rPr>
                <w:rFonts w:ascii="Segoe UI" w:hAnsi="Segoe UI" w:cs="Segoe UI"/>
                <w:b/>
              </w:rPr>
            </w:pPr>
            <w:r w:rsidRPr="00B843D6">
              <w:rPr>
                <w:rFonts w:ascii="Segoe UI" w:hAnsi="Segoe UI" w:cs="Segoe UI"/>
                <w:b/>
              </w:rPr>
              <w:t>2013/14</w:t>
            </w:r>
          </w:p>
        </w:tc>
        <w:tc>
          <w:tcPr>
            <w:tcW w:w="3101" w:type="pct"/>
          </w:tcPr>
          <w:p w:rsidR="00566E1B" w:rsidRPr="00B843D6" w:rsidRDefault="00566E1B" w:rsidP="00566E1B">
            <w:pPr>
              <w:spacing w:after="0" w:line="240" w:lineRule="auto"/>
              <w:jc w:val="center"/>
              <w:rPr>
                <w:rFonts w:ascii="Segoe UI" w:hAnsi="Segoe UI" w:cs="Segoe UI"/>
                <w:b/>
              </w:rPr>
            </w:pPr>
            <w:r w:rsidRPr="00B843D6">
              <w:rPr>
                <w:rFonts w:ascii="Segoe UI" w:hAnsi="Segoe UI" w:cs="Segoe UI"/>
                <w:b/>
              </w:rPr>
              <w:t>2</w:t>
            </w:r>
          </w:p>
        </w:tc>
      </w:tr>
      <w:tr w:rsidR="00566E1B" w:rsidRPr="00B843D6" w:rsidTr="005B1473">
        <w:trPr>
          <w:trHeight w:val="183"/>
        </w:trPr>
        <w:tc>
          <w:tcPr>
            <w:tcW w:w="1899" w:type="pct"/>
          </w:tcPr>
          <w:p w:rsidR="00566E1B" w:rsidRPr="00B843D6" w:rsidRDefault="00566E1B" w:rsidP="00566E1B">
            <w:pPr>
              <w:spacing w:after="0" w:line="240" w:lineRule="auto"/>
              <w:jc w:val="center"/>
              <w:rPr>
                <w:rFonts w:ascii="Segoe UI" w:hAnsi="Segoe UI" w:cs="Segoe UI"/>
                <w:b/>
              </w:rPr>
            </w:pPr>
            <w:r w:rsidRPr="00B843D6">
              <w:rPr>
                <w:rFonts w:ascii="Segoe UI" w:hAnsi="Segoe UI" w:cs="Segoe UI"/>
                <w:b/>
              </w:rPr>
              <w:t>2014/15</w:t>
            </w:r>
          </w:p>
        </w:tc>
        <w:tc>
          <w:tcPr>
            <w:tcW w:w="3101" w:type="pct"/>
          </w:tcPr>
          <w:p w:rsidR="00566E1B" w:rsidRPr="00B843D6" w:rsidRDefault="00566E1B" w:rsidP="00566E1B">
            <w:pPr>
              <w:spacing w:after="0" w:line="240" w:lineRule="auto"/>
              <w:jc w:val="center"/>
              <w:rPr>
                <w:rFonts w:ascii="Segoe UI" w:hAnsi="Segoe UI" w:cs="Segoe UI"/>
                <w:b/>
              </w:rPr>
            </w:pPr>
            <w:r w:rsidRPr="00B843D6">
              <w:rPr>
                <w:rFonts w:ascii="Segoe UI" w:hAnsi="Segoe UI" w:cs="Segoe UI"/>
                <w:b/>
              </w:rPr>
              <w:t>0</w:t>
            </w:r>
          </w:p>
        </w:tc>
      </w:tr>
    </w:tbl>
    <w:p w:rsidR="00566E1B" w:rsidRPr="000E20F0" w:rsidRDefault="00566E1B" w:rsidP="00566E1B">
      <w:pPr>
        <w:spacing w:after="0" w:line="240" w:lineRule="auto"/>
        <w:rPr>
          <w:rFonts w:ascii="Segoe UI" w:hAnsi="Segoe UI" w:cs="Segoe UI"/>
        </w:rPr>
      </w:pPr>
    </w:p>
    <w:p w:rsidR="00CD137B" w:rsidRDefault="00547644" w:rsidP="00566E1B">
      <w:pPr>
        <w:spacing w:after="0" w:line="240" w:lineRule="auto"/>
        <w:rPr>
          <w:rFonts w:ascii="Segoe UI" w:hAnsi="Segoe UI" w:cs="Segoe UI"/>
        </w:rPr>
      </w:pPr>
      <w:r w:rsidRPr="000E20F0">
        <w:rPr>
          <w:rFonts w:ascii="Segoe UI" w:hAnsi="Segoe UI" w:cs="Segoe UI"/>
        </w:rPr>
        <w:t>There are a total of one hundred and six out of date actions from SIRI investigations. Thirty two of these are a year or more out of date with the majority likely to be no longer relevant as services have undergone significant change. Capacity issues within the team may account for some of the actions not being closed on time.  Also actions may have been closed by Directorates but the risk team not advised. Nevertheless this does indicate a problem as full assurance cannot be given that all changes are being delivered in practice.</w:t>
      </w:r>
    </w:p>
    <w:p w:rsidR="00566E1B" w:rsidRDefault="00566E1B" w:rsidP="00566E1B">
      <w:pPr>
        <w:spacing w:after="0" w:line="240" w:lineRule="auto"/>
        <w:rPr>
          <w:rFonts w:ascii="Segoe UI" w:hAnsi="Segoe UI" w:cs="Segoe U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566E1B" w:rsidRPr="00A63F86" w:rsidTr="005B1473">
        <w:trPr>
          <w:trHeight w:val="2586"/>
        </w:trPr>
        <w:tc>
          <w:tcPr>
            <w:tcW w:w="4621" w:type="dxa"/>
          </w:tcPr>
          <w:p w:rsidR="00566E1B" w:rsidRDefault="00566E1B" w:rsidP="00566E1B"/>
          <w:tbl>
            <w:tblPr>
              <w:tblStyle w:val="TableGrid"/>
              <w:tblW w:w="0" w:type="auto"/>
              <w:tblInd w:w="108" w:type="dxa"/>
              <w:tblLook w:val="04A0" w:firstRow="1" w:lastRow="0" w:firstColumn="1" w:lastColumn="0" w:noHBand="0" w:noVBand="1"/>
            </w:tblPr>
            <w:tblGrid>
              <w:gridCol w:w="2977"/>
              <w:gridCol w:w="1276"/>
            </w:tblGrid>
            <w:tr w:rsidR="00566E1B" w:rsidRPr="003A7BBB" w:rsidTr="005B1473">
              <w:tc>
                <w:tcPr>
                  <w:tcW w:w="2977" w:type="dxa"/>
                  <w:shd w:val="clear" w:color="auto" w:fill="D9D9D9" w:themeFill="background1" w:themeFillShade="D9"/>
                </w:tcPr>
                <w:p w:rsidR="00566E1B" w:rsidRDefault="00566E1B" w:rsidP="00566E1B">
                  <w:pPr>
                    <w:jc w:val="center"/>
                  </w:pPr>
                  <w:r w:rsidRPr="00227E07">
                    <w:t>Out of date actions timeframe</w:t>
                  </w:r>
                </w:p>
                <w:p w:rsidR="00566E1B" w:rsidRPr="00227E07" w:rsidRDefault="00566E1B" w:rsidP="00566E1B">
                  <w:pPr>
                    <w:jc w:val="center"/>
                  </w:pPr>
                </w:p>
              </w:tc>
              <w:tc>
                <w:tcPr>
                  <w:tcW w:w="1276" w:type="dxa"/>
                  <w:shd w:val="clear" w:color="auto" w:fill="D9D9D9" w:themeFill="background1" w:themeFillShade="D9"/>
                </w:tcPr>
                <w:p w:rsidR="00566E1B" w:rsidRPr="00227E07" w:rsidRDefault="00566E1B" w:rsidP="00566E1B">
                  <w:pPr>
                    <w:jc w:val="center"/>
                  </w:pPr>
                  <w:r w:rsidRPr="00227E07">
                    <w:t>Number</w:t>
                  </w:r>
                </w:p>
              </w:tc>
            </w:tr>
            <w:tr w:rsidR="00566E1B" w:rsidRPr="003A7BBB" w:rsidTr="005B1473">
              <w:tc>
                <w:tcPr>
                  <w:tcW w:w="2977" w:type="dxa"/>
                </w:tcPr>
                <w:p w:rsidR="00566E1B" w:rsidRPr="00227E07" w:rsidRDefault="00566E1B" w:rsidP="00566E1B">
                  <w:pPr>
                    <w:jc w:val="center"/>
                  </w:pPr>
                  <w:r w:rsidRPr="00227E07">
                    <w:t>In date</w:t>
                  </w:r>
                </w:p>
              </w:tc>
              <w:tc>
                <w:tcPr>
                  <w:tcW w:w="1276" w:type="dxa"/>
                </w:tcPr>
                <w:p w:rsidR="00566E1B" w:rsidRPr="00227E07" w:rsidRDefault="00566E1B" w:rsidP="00566E1B">
                  <w:pPr>
                    <w:jc w:val="center"/>
                  </w:pPr>
                  <w:r w:rsidRPr="00227E07">
                    <w:t>16</w:t>
                  </w:r>
                </w:p>
              </w:tc>
            </w:tr>
            <w:tr w:rsidR="00566E1B" w:rsidRPr="003A7BBB" w:rsidTr="005B1473">
              <w:tc>
                <w:tcPr>
                  <w:tcW w:w="2977" w:type="dxa"/>
                </w:tcPr>
                <w:p w:rsidR="00566E1B" w:rsidRPr="00227E07" w:rsidRDefault="00566E1B" w:rsidP="00566E1B">
                  <w:pPr>
                    <w:jc w:val="center"/>
                  </w:pPr>
                  <w:r w:rsidRPr="00227E07">
                    <w:t>0-5 months</w:t>
                  </w:r>
                </w:p>
              </w:tc>
              <w:tc>
                <w:tcPr>
                  <w:tcW w:w="1276" w:type="dxa"/>
                </w:tcPr>
                <w:p w:rsidR="00566E1B" w:rsidRPr="00227E07" w:rsidRDefault="00566E1B" w:rsidP="00566E1B">
                  <w:pPr>
                    <w:jc w:val="center"/>
                  </w:pPr>
                  <w:r w:rsidRPr="00227E07">
                    <w:t>51</w:t>
                  </w:r>
                </w:p>
              </w:tc>
            </w:tr>
            <w:tr w:rsidR="00566E1B" w:rsidRPr="003A7BBB" w:rsidTr="005B1473">
              <w:tc>
                <w:tcPr>
                  <w:tcW w:w="2977" w:type="dxa"/>
                </w:tcPr>
                <w:p w:rsidR="00566E1B" w:rsidRPr="00227E07" w:rsidRDefault="00566E1B" w:rsidP="00566E1B">
                  <w:pPr>
                    <w:jc w:val="center"/>
                  </w:pPr>
                  <w:r w:rsidRPr="00227E07">
                    <w:t>6-11 months</w:t>
                  </w:r>
                </w:p>
              </w:tc>
              <w:tc>
                <w:tcPr>
                  <w:tcW w:w="1276" w:type="dxa"/>
                </w:tcPr>
                <w:p w:rsidR="00566E1B" w:rsidRPr="00227E07" w:rsidRDefault="00566E1B" w:rsidP="00566E1B">
                  <w:pPr>
                    <w:jc w:val="center"/>
                  </w:pPr>
                  <w:r w:rsidRPr="00227E07">
                    <w:t>21</w:t>
                  </w:r>
                </w:p>
              </w:tc>
            </w:tr>
            <w:tr w:rsidR="00566E1B" w:rsidRPr="003A7BBB" w:rsidTr="005B1473">
              <w:tc>
                <w:tcPr>
                  <w:tcW w:w="2977" w:type="dxa"/>
                </w:tcPr>
                <w:p w:rsidR="00566E1B" w:rsidRPr="00227E07" w:rsidRDefault="00566E1B" w:rsidP="00566E1B">
                  <w:pPr>
                    <w:jc w:val="center"/>
                  </w:pPr>
                  <w:r w:rsidRPr="00227E07">
                    <w:t>12-18 months</w:t>
                  </w:r>
                </w:p>
              </w:tc>
              <w:tc>
                <w:tcPr>
                  <w:tcW w:w="1276" w:type="dxa"/>
                </w:tcPr>
                <w:p w:rsidR="00566E1B" w:rsidRPr="00227E07" w:rsidRDefault="00566E1B" w:rsidP="00566E1B">
                  <w:pPr>
                    <w:jc w:val="center"/>
                  </w:pPr>
                  <w:r w:rsidRPr="00227E07">
                    <w:t>11</w:t>
                  </w:r>
                </w:p>
              </w:tc>
            </w:tr>
            <w:tr w:rsidR="00566E1B" w:rsidRPr="003A7BBB" w:rsidTr="005B1473">
              <w:tc>
                <w:tcPr>
                  <w:tcW w:w="2977" w:type="dxa"/>
                </w:tcPr>
                <w:p w:rsidR="00566E1B" w:rsidRPr="00227E07" w:rsidRDefault="00566E1B" w:rsidP="00566E1B">
                  <w:pPr>
                    <w:jc w:val="center"/>
                  </w:pPr>
                  <w:r w:rsidRPr="00227E07">
                    <w:t>19 plus months</w:t>
                  </w:r>
                </w:p>
              </w:tc>
              <w:tc>
                <w:tcPr>
                  <w:tcW w:w="1276" w:type="dxa"/>
                </w:tcPr>
                <w:p w:rsidR="00566E1B" w:rsidRPr="00227E07" w:rsidRDefault="00566E1B" w:rsidP="00566E1B">
                  <w:pPr>
                    <w:jc w:val="center"/>
                  </w:pPr>
                  <w:r w:rsidRPr="00227E07">
                    <w:t>21</w:t>
                  </w:r>
                </w:p>
              </w:tc>
            </w:tr>
          </w:tbl>
          <w:p w:rsidR="00566E1B" w:rsidRDefault="00566E1B" w:rsidP="00566E1B"/>
          <w:p w:rsidR="00566E1B" w:rsidRDefault="00566E1B" w:rsidP="00566E1B"/>
          <w:p w:rsidR="00566E1B" w:rsidRDefault="00566E1B" w:rsidP="00566E1B"/>
          <w:tbl>
            <w:tblPr>
              <w:tblpPr w:leftFromText="180" w:rightFromText="180" w:vertAnchor="text" w:horzAnchor="margin" w:tblpY="63"/>
              <w:tblOverlap w:val="never"/>
              <w:tblW w:w="4268" w:type="dxa"/>
              <w:tblLook w:val="04A0" w:firstRow="1" w:lastRow="0" w:firstColumn="1" w:lastColumn="0" w:noHBand="0" w:noVBand="1"/>
            </w:tblPr>
            <w:tblGrid>
              <w:gridCol w:w="2280"/>
              <w:gridCol w:w="1988"/>
            </w:tblGrid>
            <w:tr w:rsidR="00566E1B" w:rsidRPr="00227E07" w:rsidTr="005B1473">
              <w:trPr>
                <w:trHeight w:val="557"/>
              </w:trPr>
              <w:tc>
                <w:tcPr>
                  <w:tcW w:w="2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66E1B" w:rsidRPr="00227E07" w:rsidRDefault="00566E1B" w:rsidP="00566E1B">
                  <w:pPr>
                    <w:spacing w:after="0" w:line="240" w:lineRule="auto"/>
                    <w:jc w:val="center"/>
                    <w:rPr>
                      <w:rFonts w:ascii="Calibri" w:eastAsia="Times New Roman" w:hAnsi="Calibri" w:cs="Times New Roman"/>
                      <w:color w:val="000000"/>
                      <w:lang w:eastAsia="en-GB"/>
                    </w:rPr>
                  </w:pPr>
                  <w:r w:rsidRPr="00227E07">
                    <w:rPr>
                      <w:rFonts w:ascii="Calibri" w:eastAsia="Times New Roman" w:hAnsi="Calibri" w:cs="Times New Roman"/>
                      <w:color w:val="000000"/>
                      <w:lang w:eastAsia="en-GB"/>
                    </w:rPr>
                    <w:t>Directorate</w:t>
                  </w:r>
                </w:p>
              </w:tc>
              <w:tc>
                <w:tcPr>
                  <w:tcW w:w="198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66E1B" w:rsidRPr="00227E07" w:rsidRDefault="00566E1B" w:rsidP="00566E1B">
                  <w:pPr>
                    <w:spacing w:after="0" w:line="240" w:lineRule="auto"/>
                    <w:jc w:val="center"/>
                    <w:rPr>
                      <w:rFonts w:ascii="Calibri" w:eastAsia="Times New Roman" w:hAnsi="Calibri" w:cs="Times New Roman"/>
                      <w:color w:val="000000"/>
                      <w:lang w:eastAsia="en-GB"/>
                    </w:rPr>
                  </w:pPr>
                  <w:r w:rsidRPr="00227E07">
                    <w:rPr>
                      <w:rFonts w:ascii="Calibri" w:eastAsia="Times New Roman" w:hAnsi="Calibri" w:cs="Times New Roman"/>
                      <w:color w:val="000000"/>
                      <w:lang w:eastAsia="en-GB"/>
                    </w:rPr>
                    <w:t>Out of date actions</w:t>
                  </w:r>
                </w:p>
              </w:tc>
            </w:tr>
            <w:tr w:rsidR="00566E1B" w:rsidRPr="00227E07" w:rsidTr="005B1473">
              <w:trPr>
                <w:trHeight w:val="300"/>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566E1B" w:rsidRPr="00227E07" w:rsidRDefault="00566E1B" w:rsidP="00566E1B">
                  <w:pPr>
                    <w:spacing w:after="0" w:line="240" w:lineRule="auto"/>
                    <w:jc w:val="center"/>
                    <w:rPr>
                      <w:rFonts w:ascii="Calibri" w:eastAsia="Times New Roman" w:hAnsi="Calibri" w:cs="Times New Roman"/>
                      <w:color w:val="000000"/>
                      <w:lang w:eastAsia="en-GB"/>
                    </w:rPr>
                  </w:pPr>
                  <w:r w:rsidRPr="00227E07">
                    <w:rPr>
                      <w:rFonts w:ascii="Calibri" w:eastAsia="Times New Roman" w:hAnsi="Calibri" w:cs="Times New Roman"/>
                      <w:color w:val="000000"/>
                      <w:lang w:eastAsia="en-GB"/>
                    </w:rPr>
                    <w:t>Children &amp; Families</w:t>
                  </w:r>
                </w:p>
              </w:tc>
              <w:tc>
                <w:tcPr>
                  <w:tcW w:w="1988" w:type="dxa"/>
                  <w:tcBorders>
                    <w:top w:val="nil"/>
                    <w:left w:val="nil"/>
                    <w:bottom w:val="single" w:sz="4" w:space="0" w:color="auto"/>
                    <w:right w:val="single" w:sz="4" w:space="0" w:color="auto"/>
                  </w:tcBorders>
                  <w:shd w:val="clear" w:color="auto" w:fill="auto"/>
                  <w:noWrap/>
                  <w:vAlign w:val="center"/>
                  <w:hideMark/>
                </w:tcPr>
                <w:p w:rsidR="00566E1B" w:rsidRPr="00227E07" w:rsidRDefault="00566E1B" w:rsidP="00566E1B">
                  <w:pPr>
                    <w:spacing w:after="0" w:line="240" w:lineRule="auto"/>
                    <w:jc w:val="center"/>
                    <w:rPr>
                      <w:rFonts w:ascii="Calibri" w:eastAsia="Times New Roman" w:hAnsi="Calibri" w:cs="Times New Roman"/>
                      <w:color w:val="000000"/>
                      <w:lang w:eastAsia="en-GB"/>
                    </w:rPr>
                  </w:pPr>
                  <w:r w:rsidRPr="00227E07">
                    <w:rPr>
                      <w:rFonts w:ascii="Calibri" w:eastAsia="Times New Roman" w:hAnsi="Calibri" w:cs="Times New Roman"/>
                      <w:color w:val="000000"/>
                      <w:lang w:eastAsia="en-GB"/>
                    </w:rPr>
                    <w:t>5</w:t>
                  </w:r>
                </w:p>
              </w:tc>
            </w:tr>
            <w:tr w:rsidR="00566E1B" w:rsidRPr="00227E07" w:rsidTr="005B1473">
              <w:trPr>
                <w:trHeight w:val="300"/>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566E1B" w:rsidRPr="00227E07" w:rsidRDefault="00566E1B" w:rsidP="00566E1B">
                  <w:pPr>
                    <w:spacing w:after="0" w:line="240" w:lineRule="auto"/>
                    <w:jc w:val="center"/>
                    <w:rPr>
                      <w:rFonts w:ascii="Calibri" w:eastAsia="Times New Roman" w:hAnsi="Calibri" w:cs="Times New Roman"/>
                      <w:color w:val="000000"/>
                      <w:lang w:eastAsia="en-GB"/>
                    </w:rPr>
                  </w:pPr>
                  <w:r w:rsidRPr="00227E07">
                    <w:rPr>
                      <w:rFonts w:ascii="Calibri" w:eastAsia="Times New Roman" w:hAnsi="Calibri" w:cs="Times New Roman"/>
                      <w:color w:val="000000"/>
                      <w:lang w:eastAsia="en-GB"/>
                    </w:rPr>
                    <w:t>Mental Health Services</w:t>
                  </w:r>
                </w:p>
              </w:tc>
              <w:tc>
                <w:tcPr>
                  <w:tcW w:w="1988" w:type="dxa"/>
                  <w:tcBorders>
                    <w:top w:val="nil"/>
                    <w:left w:val="nil"/>
                    <w:bottom w:val="single" w:sz="4" w:space="0" w:color="auto"/>
                    <w:right w:val="single" w:sz="4" w:space="0" w:color="auto"/>
                  </w:tcBorders>
                  <w:shd w:val="clear" w:color="auto" w:fill="auto"/>
                  <w:noWrap/>
                  <w:vAlign w:val="center"/>
                  <w:hideMark/>
                </w:tcPr>
                <w:p w:rsidR="00566E1B" w:rsidRPr="00227E07" w:rsidRDefault="00566E1B" w:rsidP="00566E1B">
                  <w:pPr>
                    <w:spacing w:after="0" w:line="240" w:lineRule="auto"/>
                    <w:jc w:val="center"/>
                    <w:rPr>
                      <w:rFonts w:ascii="Calibri" w:eastAsia="Times New Roman" w:hAnsi="Calibri" w:cs="Times New Roman"/>
                      <w:color w:val="000000"/>
                      <w:lang w:eastAsia="en-GB"/>
                    </w:rPr>
                  </w:pPr>
                  <w:r w:rsidRPr="00227E07">
                    <w:rPr>
                      <w:rFonts w:ascii="Calibri" w:eastAsia="Times New Roman" w:hAnsi="Calibri" w:cs="Times New Roman"/>
                      <w:color w:val="000000"/>
                      <w:lang w:eastAsia="en-GB"/>
                    </w:rPr>
                    <w:t>47</w:t>
                  </w:r>
                </w:p>
              </w:tc>
            </w:tr>
            <w:tr w:rsidR="00566E1B" w:rsidRPr="00227E07" w:rsidTr="005B1473">
              <w:trPr>
                <w:trHeight w:val="300"/>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566E1B" w:rsidRPr="00227E07" w:rsidRDefault="00566E1B" w:rsidP="00566E1B">
                  <w:pPr>
                    <w:spacing w:after="0" w:line="240" w:lineRule="auto"/>
                    <w:jc w:val="center"/>
                    <w:rPr>
                      <w:rFonts w:ascii="Calibri" w:eastAsia="Times New Roman" w:hAnsi="Calibri" w:cs="Times New Roman"/>
                      <w:color w:val="000000"/>
                      <w:lang w:eastAsia="en-GB"/>
                    </w:rPr>
                  </w:pPr>
                  <w:r w:rsidRPr="00227E07">
                    <w:rPr>
                      <w:rFonts w:ascii="Calibri" w:eastAsia="Times New Roman" w:hAnsi="Calibri" w:cs="Times New Roman"/>
                      <w:color w:val="000000"/>
                      <w:lang w:eastAsia="en-GB"/>
                    </w:rPr>
                    <w:t>Community Services</w:t>
                  </w:r>
                </w:p>
              </w:tc>
              <w:tc>
                <w:tcPr>
                  <w:tcW w:w="1988" w:type="dxa"/>
                  <w:tcBorders>
                    <w:top w:val="nil"/>
                    <w:left w:val="nil"/>
                    <w:bottom w:val="single" w:sz="4" w:space="0" w:color="auto"/>
                    <w:right w:val="single" w:sz="4" w:space="0" w:color="auto"/>
                  </w:tcBorders>
                  <w:shd w:val="clear" w:color="auto" w:fill="auto"/>
                  <w:noWrap/>
                  <w:vAlign w:val="center"/>
                  <w:hideMark/>
                </w:tcPr>
                <w:p w:rsidR="00566E1B" w:rsidRPr="00227E07" w:rsidRDefault="00566E1B" w:rsidP="00566E1B">
                  <w:pPr>
                    <w:spacing w:after="0" w:line="240" w:lineRule="auto"/>
                    <w:jc w:val="center"/>
                    <w:rPr>
                      <w:rFonts w:ascii="Calibri" w:eastAsia="Times New Roman" w:hAnsi="Calibri" w:cs="Times New Roman"/>
                      <w:color w:val="000000"/>
                      <w:lang w:eastAsia="en-GB"/>
                    </w:rPr>
                  </w:pPr>
                  <w:r w:rsidRPr="00227E07">
                    <w:rPr>
                      <w:rFonts w:ascii="Calibri" w:eastAsia="Times New Roman" w:hAnsi="Calibri" w:cs="Times New Roman"/>
                      <w:color w:val="000000"/>
                      <w:lang w:eastAsia="en-GB"/>
                    </w:rPr>
                    <w:t>21</w:t>
                  </w:r>
                </w:p>
              </w:tc>
            </w:tr>
            <w:tr w:rsidR="00566E1B" w:rsidRPr="00227E07" w:rsidTr="005B1473">
              <w:trPr>
                <w:trHeight w:val="300"/>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566E1B" w:rsidRPr="00227E07" w:rsidRDefault="00566E1B" w:rsidP="00566E1B">
                  <w:pPr>
                    <w:spacing w:after="0" w:line="240" w:lineRule="auto"/>
                    <w:jc w:val="center"/>
                    <w:rPr>
                      <w:rFonts w:ascii="Calibri" w:eastAsia="Times New Roman" w:hAnsi="Calibri" w:cs="Times New Roman"/>
                      <w:color w:val="000000"/>
                      <w:lang w:eastAsia="en-GB"/>
                    </w:rPr>
                  </w:pPr>
                  <w:r w:rsidRPr="00227E07">
                    <w:rPr>
                      <w:rFonts w:ascii="Calibri" w:eastAsia="Times New Roman" w:hAnsi="Calibri" w:cs="Times New Roman"/>
                      <w:color w:val="000000"/>
                      <w:lang w:eastAsia="en-GB"/>
                    </w:rPr>
                    <w:t>Specialised Services</w:t>
                  </w:r>
                </w:p>
              </w:tc>
              <w:tc>
                <w:tcPr>
                  <w:tcW w:w="1988" w:type="dxa"/>
                  <w:tcBorders>
                    <w:top w:val="nil"/>
                    <w:left w:val="nil"/>
                    <w:bottom w:val="single" w:sz="4" w:space="0" w:color="auto"/>
                    <w:right w:val="single" w:sz="4" w:space="0" w:color="auto"/>
                  </w:tcBorders>
                  <w:shd w:val="clear" w:color="auto" w:fill="auto"/>
                  <w:noWrap/>
                  <w:vAlign w:val="center"/>
                  <w:hideMark/>
                </w:tcPr>
                <w:p w:rsidR="00566E1B" w:rsidRPr="00227E07" w:rsidRDefault="00566E1B" w:rsidP="00566E1B">
                  <w:pPr>
                    <w:spacing w:after="0" w:line="240" w:lineRule="auto"/>
                    <w:jc w:val="center"/>
                    <w:rPr>
                      <w:rFonts w:ascii="Calibri" w:eastAsia="Times New Roman" w:hAnsi="Calibri" w:cs="Times New Roman"/>
                      <w:color w:val="000000"/>
                      <w:lang w:eastAsia="en-GB"/>
                    </w:rPr>
                  </w:pPr>
                  <w:r w:rsidRPr="00227E07">
                    <w:rPr>
                      <w:rFonts w:ascii="Calibri" w:eastAsia="Times New Roman" w:hAnsi="Calibri" w:cs="Times New Roman"/>
                      <w:color w:val="000000"/>
                      <w:lang w:eastAsia="en-GB"/>
                    </w:rPr>
                    <w:t>13</w:t>
                  </w:r>
                </w:p>
              </w:tc>
            </w:tr>
            <w:tr w:rsidR="00566E1B" w:rsidRPr="00227E07" w:rsidTr="005B1473">
              <w:trPr>
                <w:trHeight w:val="300"/>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566E1B" w:rsidRPr="00227E07" w:rsidRDefault="00566E1B" w:rsidP="00566E1B">
                  <w:pPr>
                    <w:spacing w:after="0" w:line="240" w:lineRule="auto"/>
                    <w:jc w:val="center"/>
                    <w:rPr>
                      <w:rFonts w:ascii="Calibri" w:eastAsia="Times New Roman" w:hAnsi="Calibri" w:cs="Times New Roman"/>
                      <w:b/>
                      <w:bCs/>
                      <w:color w:val="000000"/>
                      <w:lang w:eastAsia="en-GB"/>
                    </w:rPr>
                  </w:pPr>
                  <w:r w:rsidRPr="00227E07">
                    <w:rPr>
                      <w:rFonts w:ascii="Calibri" w:eastAsia="Times New Roman" w:hAnsi="Calibri" w:cs="Times New Roman"/>
                      <w:b/>
                      <w:bCs/>
                      <w:color w:val="000000"/>
                      <w:lang w:eastAsia="en-GB"/>
                    </w:rPr>
                    <w:t>Total</w:t>
                  </w:r>
                </w:p>
              </w:tc>
              <w:tc>
                <w:tcPr>
                  <w:tcW w:w="1988" w:type="dxa"/>
                  <w:tcBorders>
                    <w:top w:val="nil"/>
                    <w:left w:val="nil"/>
                    <w:bottom w:val="single" w:sz="4" w:space="0" w:color="auto"/>
                    <w:right w:val="single" w:sz="4" w:space="0" w:color="auto"/>
                  </w:tcBorders>
                  <w:shd w:val="clear" w:color="auto" w:fill="auto"/>
                  <w:noWrap/>
                  <w:vAlign w:val="center"/>
                  <w:hideMark/>
                </w:tcPr>
                <w:p w:rsidR="00566E1B" w:rsidRPr="00227E07" w:rsidRDefault="00566E1B" w:rsidP="00566E1B">
                  <w:pPr>
                    <w:spacing w:after="0" w:line="240" w:lineRule="auto"/>
                    <w:jc w:val="center"/>
                    <w:rPr>
                      <w:rFonts w:ascii="Calibri" w:eastAsia="Times New Roman" w:hAnsi="Calibri" w:cs="Times New Roman"/>
                      <w:b/>
                      <w:bCs/>
                      <w:color w:val="000000"/>
                      <w:lang w:eastAsia="en-GB"/>
                    </w:rPr>
                  </w:pPr>
                  <w:r w:rsidRPr="00227E07">
                    <w:rPr>
                      <w:rFonts w:ascii="Calibri" w:eastAsia="Times New Roman" w:hAnsi="Calibri" w:cs="Times New Roman"/>
                      <w:b/>
                      <w:bCs/>
                      <w:color w:val="000000"/>
                      <w:lang w:eastAsia="en-GB"/>
                    </w:rPr>
                    <w:t>86</w:t>
                  </w:r>
                </w:p>
              </w:tc>
            </w:tr>
          </w:tbl>
          <w:p w:rsidR="00566E1B" w:rsidRDefault="00566E1B" w:rsidP="00566E1B"/>
          <w:p w:rsidR="00566E1B" w:rsidRDefault="00566E1B" w:rsidP="00566E1B"/>
        </w:tc>
        <w:tc>
          <w:tcPr>
            <w:tcW w:w="4621" w:type="dxa"/>
          </w:tcPr>
          <w:p w:rsidR="00566E1B" w:rsidRDefault="00566E1B" w:rsidP="00566E1B"/>
          <w:tbl>
            <w:tblPr>
              <w:tblW w:w="4365" w:type="dxa"/>
              <w:tblLook w:val="04A0" w:firstRow="1" w:lastRow="0" w:firstColumn="1" w:lastColumn="0" w:noHBand="0" w:noVBand="1"/>
            </w:tblPr>
            <w:tblGrid>
              <w:gridCol w:w="2330"/>
              <w:gridCol w:w="1452"/>
              <w:gridCol w:w="583"/>
            </w:tblGrid>
            <w:tr w:rsidR="00566E1B" w:rsidRPr="00A1564B" w:rsidTr="005B1473">
              <w:trPr>
                <w:trHeight w:val="443"/>
              </w:trPr>
              <w:tc>
                <w:tcPr>
                  <w:tcW w:w="2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566E1B" w:rsidRPr="00A1564B" w:rsidRDefault="00566E1B" w:rsidP="00566E1B">
                  <w:pPr>
                    <w:spacing w:after="0" w:line="240" w:lineRule="auto"/>
                    <w:jc w:val="center"/>
                    <w:rPr>
                      <w:rFonts w:ascii="Calibri" w:eastAsia="Times New Roman" w:hAnsi="Calibri" w:cs="Times New Roman"/>
                      <w:color w:val="000000"/>
                      <w:lang w:eastAsia="en-GB"/>
                    </w:rPr>
                  </w:pPr>
                  <w:r w:rsidRPr="00A1564B">
                    <w:rPr>
                      <w:rFonts w:ascii="Calibri" w:eastAsia="Times New Roman" w:hAnsi="Calibri" w:cs="Times New Roman"/>
                      <w:color w:val="000000"/>
                      <w:lang w:eastAsia="en-GB"/>
                    </w:rPr>
                    <w:t>Directorate</w:t>
                  </w:r>
                </w:p>
              </w:tc>
              <w:tc>
                <w:tcPr>
                  <w:tcW w:w="1421" w:type="dxa"/>
                  <w:tcBorders>
                    <w:top w:val="single" w:sz="4" w:space="0" w:color="auto"/>
                    <w:left w:val="nil"/>
                    <w:bottom w:val="single" w:sz="4" w:space="0" w:color="auto"/>
                    <w:right w:val="single" w:sz="4" w:space="0" w:color="auto"/>
                  </w:tcBorders>
                  <w:shd w:val="clear" w:color="auto" w:fill="D9D9D9" w:themeFill="background1" w:themeFillShade="D9"/>
                  <w:hideMark/>
                </w:tcPr>
                <w:p w:rsidR="00566E1B" w:rsidRPr="00A1564B" w:rsidRDefault="00566E1B" w:rsidP="00566E1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Within </w:t>
                  </w:r>
                  <w:r w:rsidRPr="00A1564B">
                    <w:rPr>
                      <w:rFonts w:ascii="Calibri" w:eastAsia="Times New Roman" w:hAnsi="Calibri" w:cs="Times New Roman"/>
                      <w:color w:val="000000"/>
                      <w:lang w:eastAsia="en-GB"/>
                    </w:rPr>
                    <w:t>Date</w:t>
                  </w:r>
                </w:p>
              </w:tc>
              <w:tc>
                <w:tcPr>
                  <w:tcW w:w="571"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566E1B" w:rsidRPr="00A1564B" w:rsidRDefault="00566E1B" w:rsidP="00566E1B">
                  <w:pPr>
                    <w:spacing w:after="0" w:line="240" w:lineRule="auto"/>
                    <w:jc w:val="center"/>
                    <w:rPr>
                      <w:rFonts w:ascii="Calibri" w:eastAsia="Times New Roman" w:hAnsi="Calibri" w:cs="Times New Roman"/>
                      <w:color w:val="000000"/>
                      <w:lang w:eastAsia="en-GB"/>
                    </w:rPr>
                  </w:pPr>
                  <w:r w:rsidRPr="00A1564B">
                    <w:rPr>
                      <w:rFonts w:ascii="Calibri" w:eastAsia="Times New Roman" w:hAnsi="Calibri" w:cs="Times New Roman"/>
                      <w:color w:val="000000"/>
                      <w:lang w:eastAsia="en-GB"/>
                    </w:rPr>
                    <w:t>N/A</w:t>
                  </w:r>
                </w:p>
              </w:tc>
            </w:tr>
            <w:tr w:rsidR="00566E1B" w:rsidRPr="00A1564B" w:rsidTr="005B1473">
              <w:trPr>
                <w:trHeight w:val="300"/>
              </w:trPr>
              <w:tc>
                <w:tcPr>
                  <w:tcW w:w="2280" w:type="dxa"/>
                  <w:tcBorders>
                    <w:top w:val="nil"/>
                    <w:left w:val="single" w:sz="4" w:space="0" w:color="auto"/>
                    <w:bottom w:val="single" w:sz="4" w:space="0" w:color="auto"/>
                    <w:right w:val="single" w:sz="4" w:space="0" w:color="auto"/>
                  </w:tcBorders>
                  <w:shd w:val="clear" w:color="auto" w:fill="auto"/>
                  <w:noWrap/>
                  <w:hideMark/>
                </w:tcPr>
                <w:p w:rsidR="00566E1B" w:rsidRPr="00A1564B" w:rsidRDefault="00566E1B" w:rsidP="00566E1B">
                  <w:pPr>
                    <w:spacing w:after="0" w:line="240" w:lineRule="auto"/>
                    <w:jc w:val="center"/>
                    <w:rPr>
                      <w:rFonts w:ascii="Calibri" w:eastAsia="Times New Roman" w:hAnsi="Calibri" w:cs="Times New Roman"/>
                      <w:color w:val="000000"/>
                      <w:lang w:eastAsia="en-GB"/>
                    </w:rPr>
                  </w:pPr>
                  <w:r w:rsidRPr="00A1564B">
                    <w:rPr>
                      <w:rFonts w:ascii="Calibri" w:eastAsia="Times New Roman" w:hAnsi="Calibri" w:cs="Times New Roman"/>
                      <w:color w:val="000000"/>
                      <w:lang w:eastAsia="en-GB"/>
                    </w:rPr>
                    <w:t>Children &amp; Families</w:t>
                  </w:r>
                </w:p>
              </w:tc>
              <w:tc>
                <w:tcPr>
                  <w:tcW w:w="1421" w:type="dxa"/>
                  <w:tcBorders>
                    <w:top w:val="nil"/>
                    <w:left w:val="nil"/>
                    <w:bottom w:val="single" w:sz="4" w:space="0" w:color="auto"/>
                    <w:right w:val="single" w:sz="4" w:space="0" w:color="auto"/>
                  </w:tcBorders>
                  <w:shd w:val="clear" w:color="auto" w:fill="auto"/>
                  <w:noWrap/>
                  <w:hideMark/>
                </w:tcPr>
                <w:p w:rsidR="00566E1B" w:rsidRPr="00A1564B" w:rsidRDefault="00566E1B" w:rsidP="00566E1B">
                  <w:pPr>
                    <w:spacing w:after="0" w:line="240" w:lineRule="auto"/>
                    <w:jc w:val="center"/>
                    <w:rPr>
                      <w:rFonts w:ascii="Calibri" w:eastAsia="Times New Roman" w:hAnsi="Calibri" w:cs="Times New Roman"/>
                      <w:color w:val="000000"/>
                      <w:lang w:eastAsia="en-GB"/>
                    </w:rPr>
                  </w:pPr>
                  <w:r w:rsidRPr="00A1564B">
                    <w:rPr>
                      <w:rFonts w:ascii="Calibri" w:eastAsia="Times New Roman" w:hAnsi="Calibri" w:cs="Times New Roman"/>
                      <w:color w:val="000000"/>
                      <w:lang w:eastAsia="en-GB"/>
                    </w:rPr>
                    <w:t>8</w:t>
                  </w:r>
                </w:p>
              </w:tc>
              <w:tc>
                <w:tcPr>
                  <w:tcW w:w="571" w:type="dxa"/>
                  <w:tcBorders>
                    <w:top w:val="nil"/>
                    <w:left w:val="nil"/>
                    <w:bottom w:val="single" w:sz="4" w:space="0" w:color="auto"/>
                    <w:right w:val="single" w:sz="4" w:space="0" w:color="auto"/>
                  </w:tcBorders>
                  <w:shd w:val="clear" w:color="auto" w:fill="auto"/>
                  <w:noWrap/>
                  <w:hideMark/>
                </w:tcPr>
                <w:p w:rsidR="00566E1B" w:rsidRPr="00A1564B" w:rsidRDefault="00566E1B" w:rsidP="00566E1B">
                  <w:pPr>
                    <w:spacing w:after="0" w:line="240" w:lineRule="auto"/>
                    <w:jc w:val="center"/>
                    <w:rPr>
                      <w:rFonts w:ascii="Calibri" w:eastAsia="Times New Roman" w:hAnsi="Calibri" w:cs="Times New Roman"/>
                      <w:color w:val="000000"/>
                      <w:lang w:eastAsia="en-GB"/>
                    </w:rPr>
                  </w:pPr>
                </w:p>
              </w:tc>
            </w:tr>
            <w:tr w:rsidR="00566E1B" w:rsidRPr="00A1564B" w:rsidTr="005B1473">
              <w:trPr>
                <w:trHeight w:val="300"/>
              </w:trPr>
              <w:tc>
                <w:tcPr>
                  <w:tcW w:w="2280" w:type="dxa"/>
                  <w:tcBorders>
                    <w:top w:val="nil"/>
                    <w:left w:val="single" w:sz="4" w:space="0" w:color="auto"/>
                    <w:bottom w:val="single" w:sz="4" w:space="0" w:color="auto"/>
                    <w:right w:val="single" w:sz="4" w:space="0" w:color="auto"/>
                  </w:tcBorders>
                  <w:shd w:val="clear" w:color="auto" w:fill="auto"/>
                  <w:noWrap/>
                  <w:hideMark/>
                </w:tcPr>
                <w:p w:rsidR="00566E1B" w:rsidRPr="00A1564B" w:rsidRDefault="00566E1B" w:rsidP="00566E1B">
                  <w:pPr>
                    <w:spacing w:after="0" w:line="240" w:lineRule="auto"/>
                    <w:jc w:val="center"/>
                    <w:rPr>
                      <w:rFonts w:ascii="Calibri" w:eastAsia="Times New Roman" w:hAnsi="Calibri" w:cs="Times New Roman"/>
                      <w:color w:val="000000"/>
                      <w:lang w:eastAsia="en-GB"/>
                    </w:rPr>
                  </w:pPr>
                  <w:r w:rsidRPr="00A1564B">
                    <w:rPr>
                      <w:rFonts w:ascii="Calibri" w:eastAsia="Times New Roman" w:hAnsi="Calibri" w:cs="Times New Roman"/>
                      <w:color w:val="000000"/>
                      <w:lang w:eastAsia="en-GB"/>
                    </w:rPr>
                    <w:t>Mental Health Services</w:t>
                  </w:r>
                </w:p>
              </w:tc>
              <w:tc>
                <w:tcPr>
                  <w:tcW w:w="1421" w:type="dxa"/>
                  <w:tcBorders>
                    <w:top w:val="nil"/>
                    <w:left w:val="nil"/>
                    <w:bottom w:val="single" w:sz="4" w:space="0" w:color="auto"/>
                    <w:right w:val="single" w:sz="4" w:space="0" w:color="auto"/>
                  </w:tcBorders>
                  <w:shd w:val="clear" w:color="auto" w:fill="auto"/>
                  <w:noWrap/>
                  <w:hideMark/>
                </w:tcPr>
                <w:p w:rsidR="00566E1B" w:rsidRPr="00A1564B" w:rsidRDefault="00566E1B" w:rsidP="00566E1B">
                  <w:pPr>
                    <w:spacing w:after="0" w:line="240" w:lineRule="auto"/>
                    <w:jc w:val="center"/>
                    <w:rPr>
                      <w:rFonts w:ascii="Calibri" w:eastAsia="Times New Roman" w:hAnsi="Calibri" w:cs="Times New Roman"/>
                      <w:color w:val="000000"/>
                      <w:lang w:eastAsia="en-GB"/>
                    </w:rPr>
                  </w:pPr>
                  <w:r w:rsidRPr="00A1564B">
                    <w:rPr>
                      <w:rFonts w:ascii="Calibri" w:eastAsia="Times New Roman" w:hAnsi="Calibri" w:cs="Times New Roman"/>
                      <w:color w:val="000000"/>
                      <w:lang w:eastAsia="en-GB"/>
                    </w:rPr>
                    <w:t>4</w:t>
                  </w:r>
                </w:p>
              </w:tc>
              <w:tc>
                <w:tcPr>
                  <w:tcW w:w="571" w:type="dxa"/>
                  <w:tcBorders>
                    <w:top w:val="nil"/>
                    <w:left w:val="nil"/>
                    <w:bottom w:val="single" w:sz="4" w:space="0" w:color="auto"/>
                    <w:right w:val="single" w:sz="4" w:space="0" w:color="auto"/>
                  </w:tcBorders>
                  <w:shd w:val="clear" w:color="auto" w:fill="auto"/>
                  <w:noWrap/>
                  <w:hideMark/>
                </w:tcPr>
                <w:p w:rsidR="00566E1B" w:rsidRPr="00A1564B" w:rsidRDefault="00566E1B" w:rsidP="00566E1B">
                  <w:pPr>
                    <w:spacing w:after="0" w:line="240" w:lineRule="auto"/>
                    <w:jc w:val="center"/>
                    <w:rPr>
                      <w:rFonts w:ascii="Calibri" w:eastAsia="Times New Roman" w:hAnsi="Calibri" w:cs="Times New Roman"/>
                      <w:color w:val="000000"/>
                      <w:lang w:eastAsia="en-GB"/>
                    </w:rPr>
                  </w:pPr>
                  <w:r w:rsidRPr="00A1564B">
                    <w:rPr>
                      <w:rFonts w:ascii="Calibri" w:eastAsia="Times New Roman" w:hAnsi="Calibri" w:cs="Times New Roman"/>
                      <w:color w:val="000000"/>
                      <w:lang w:eastAsia="en-GB"/>
                    </w:rPr>
                    <w:t>4</w:t>
                  </w:r>
                </w:p>
              </w:tc>
            </w:tr>
            <w:tr w:rsidR="00566E1B" w:rsidRPr="00A1564B" w:rsidTr="005B1473">
              <w:trPr>
                <w:trHeight w:val="300"/>
              </w:trPr>
              <w:tc>
                <w:tcPr>
                  <w:tcW w:w="2280" w:type="dxa"/>
                  <w:tcBorders>
                    <w:top w:val="nil"/>
                    <w:left w:val="single" w:sz="4" w:space="0" w:color="auto"/>
                    <w:bottom w:val="single" w:sz="4" w:space="0" w:color="auto"/>
                    <w:right w:val="single" w:sz="4" w:space="0" w:color="auto"/>
                  </w:tcBorders>
                  <w:shd w:val="clear" w:color="auto" w:fill="auto"/>
                  <w:noWrap/>
                  <w:hideMark/>
                </w:tcPr>
                <w:p w:rsidR="00566E1B" w:rsidRPr="00A1564B" w:rsidRDefault="00566E1B" w:rsidP="00566E1B">
                  <w:pPr>
                    <w:spacing w:after="0" w:line="240" w:lineRule="auto"/>
                    <w:jc w:val="center"/>
                    <w:rPr>
                      <w:rFonts w:ascii="Calibri" w:eastAsia="Times New Roman" w:hAnsi="Calibri" w:cs="Times New Roman"/>
                      <w:color w:val="000000"/>
                      <w:lang w:eastAsia="en-GB"/>
                    </w:rPr>
                  </w:pPr>
                  <w:r w:rsidRPr="00A1564B">
                    <w:rPr>
                      <w:rFonts w:ascii="Calibri" w:eastAsia="Times New Roman" w:hAnsi="Calibri" w:cs="Times New Roman"/>
                      <w:color w:val="000000"/>
                      <w:lang w:eastAsia="en-GB"/>
                    </w:rPr>
                    <w:t>Community Services</w:t>
                  </w:r>
                </w:p>
              </w:tc>
              <w:tc>
                <w:tcPr>
                  <w:tcW w:w="1421" w:type="dxa"/>
                  <w:tcBorders>
                    <w:top w:val="nil"/>
                    <w:left w:val="nil"/>
                    <w:bottom w:val="single" w:sz="4" w:space="0" w:color="auto"/>
                    <w:right w:val="single" w:sz="4" w:space="0" w:color="auto"/>
                  </w:tcBorders>
                  <w:shd w:val="clear" w:color="auto" w:fill="auto"/>
                  <w:noWrap/>
                  <w:hideMark/>
                </w:tcPr>
                <w:p w:rsidR="00566E1B" w:rsidRPr="00A1564B" w:rsidRDefault="00566E1B" w:rsidP="00566E1B">
                  <w:pPr>
                    <w:spacing w:after="0" w:line="240" w:lineRule="auto"/>
                    <w:jc w:val="center"/>
                    <w:rPr>
                      <w:rFonts w:ascii="Calibri" w:eastAsia="Times New Roman" w:hAnsi="Calibri" w:cs="Times New Roman"/>
                      <w:color w:val="000000"/>
                      <w:lang w:eastAsia="en-GB"/>
                    </w:rPr>
                  </w:pPr>
                  <w:r w:rsidRPr="00A1564B">
                    <w:rPr>
                      <w:rFonts w:ascii="Calibri" w:eastAsia="Times New Roman" w:hAnsi="Calibri" w:cs="Times New Roman"/>
                      <w:color w:val="000000"/>
                      <w:lang w:eastAsia="en-GB"/>
                    </w:rPr>
                    <w:t>4</w:t>
                  </w:r>
                </w:p>
              </w:tc>
              <w:tc>
                <w:tcPr>
                  <w:tcW w:w="571" w:type="dxa"/>
                  <w:tcBorders>
                    <w:top w:val="nil"/>
                    <w:left w:val="nil"/>
                    <w:bottom w:val="single" w:sz="4" w:space="0" w:color="auto"/>
                    <w:right w:val="single" w:sz="4" w:space="0" w:color="auto"/>
                  </w:tcBorders>
                  <w:shd w:val="clear" w:color="auto" w:fill="auto"/>
                  <w:noWrap/>
                  <w:hideMark/>
                </w:tcPr>
                <w:p w:rsidR="00566E1B" w:rsidRPr="00A1564B" w:rsidRDefault="00566E1B" w:rsidP="00566E1B">
                  <w:pPr>
                    <w:spacing w:after="0" w:line="240" w:lineRule="auto"/>
                    <w:jc w:val="center"/>
                    <w:rPr>
                      <w:rFonts w:ascii="Calibri" w:eastAsia="Times New Roman" w:hAnsi="Calibri" w:cs="Times New Roman"/>
                      <w:color w:val="000000"/>
                      <w:lang w:eastAsia="en-GB"/>
                    </w:rPr>
                  </w:pPr>
                </w:p>
              </w:tc>
            </w:tr>
            <w:tr w:rsidR="00566E1B" w:rsidRPr="00A1564B" w:rsidTr="005B1473">
              <w:trPr>
                <w:trHeight w:val="300"/>
              </w:trPr>
              <w:tc>
                <w:tcPr>
                  <w:tcW w:w="2280" w:type="dxa"/>
                  <w:tcBorders>
                    <w:top w:val="nil"/>
                    <w:left w:val="single" w:sz="4" w:space="0" w:color="auto"/>
                    <w:bottom w:val="single" w:sz="4" w:space="0" w:color="auto"/>
                    <w:right w:val="single" w:sz="4" w:space="0" w:color="auto"/>
                  </w:tcBorders>
                  <w:shd w:val="clear" w:color="auto" w:fill="auto"/>
                  <w:noWrap/>
                  <w:hideMark/>
                </w:tcPr>
                <w:p w:rsidR="00566E1B" w:rsidRPr="00A1564B" w:rsidRDefault="00566E1B" w:rsidP="00566E1B">
                  <w:pPr>
                    <w:spacing w:after="0" w:line="240" w:lineRule="auto"/>
                    <w:jc w:val="center"/>
                    <w:rPr>
                      <w:rFonts w:ascii="Calibri" w:eastAsia="Times New Roman" w:hAnsi="Calibri" w:cs="Times New Roman"/>
                      <w:color w:val="000000"/>
                      <w:lang w:eastAsia="en-GB"/>
                    </w:rPr>
                  </w:pPr>
                  <w:r w:rsidRPr="00A1564B">
                    <w:rPr>
                      <w:rFonts w:ascii="Calibri" w:eastAsia="Times New Roman" w:hAnsi="Calibri" w:cs="Times New Roman"/>
                      <w:color w:val="000000"/>
                      <w:lang w:eastAsia="en-GB"/>
                    </w:rPr>
                    <w:t>Specialised Services</w:t>
                  </w:r>
                </w:p>
              </w:tc>
              <w:tc>
                <w:tcPr>
                  <w:tcW w:w="1421" w:type="dxa"/>
                  <w:tcBorders>
                    <w:top w:val="nil"/>
                    <w:left w:val="nil"/>
                    <w:bottom w:val="single" w:sz="4" w:space="0" w:color="auto"/>
                    <w:right w:val="single" w:sz="4" w:space="0" w:color="auto"/>
                  </w:tcBorders>
                  <w:shd w:val="clear" w:color="auto" w:fill="auto"/>
                  <w:noWrap/>
                  <w:hideMark/>
                </w:tcPr>
                <w:p w:rsidR="00566E1B" w:rsidRPr="00A1564B" w:rsidRDefault="00566E1B" w:rsidP="00566E1B">
                  <w:pPr>
                    <w:spacing w:after="0" w:line="240" w:lineRule="auto"/>
                    <w:jc w:val="center"/>
                    <w:rPr>
                      <w:rFonts w:ascii="Calibri" w:eastAsia="Times New Roman" w:hAnsi="Calibri" w:cs="Times New Roman"/>
                      <w:color w:val="000000"/>
                      <w:lang w:eastAsia="en-GB"/>
                    </w:rPr>
                  </w:pPr>
                  <w:r w:rsidRPr="00A1564B">
                    <w:rPr>
                      <w:rFonts w:ascii="Calibri" w:eastAsia="Times New Roman" w:hAnsi="Calibri" w:cs="Times New Roman"/>
                      <w:color w:val="000000"/>
                      <w:lang w:eastAsia="en-GB"/>
                    </w:rPr>
                    <w:t>0</w:t>
                  </w:r>
                </w:p>
              </w:tc>
              <w:tc>
                <w:tcPr>
                  <w:tcW w:w="571" w:type="dxa"/>
                  <w:tcBorders>
                    <w:top w:val="nil"/>
                    <w:left w:val="nil"/>
                    <w:bottom w:val="single" w:sz="4" w:space="0" w:color="auto"/>
                    <w:right w:val="single" w:sz="4" w:space="0" w:color="auto"/>
                  </w:tcBorders>
                  <w:shd w:val="clear" w:color="auto" w:fill="auto"/>
                  <w:noWrap/>
                  <w:hideMark/>
                </w:tcPr>
                <w:p w:rsidR="00566E1B" w:rsidRPr="00A1564B" w:rsidRDefault="00566E1B" w:rsidP="00566E1B">
                  <w:pPr>
                    <w:spacing w:after="0" w:line="240" w:lineRule="auto"/>
                    <w:jc w:val="center"/>
                    <w:rPr>
                      <w:rFonts w:ascii="Calibri" w:eastAsia="Times New Roman" w:hAnsi="Calibri" w:cs="Times New Roman"/>
                      <w:color w:val="000000"/>
                      <w:lang w:eastAsia="en-GB"/>
                    </w:rPr>
                  </w:pPr>
                </w:p>
              </w:tc>
            </w:tr>
            <w:tr w:rsidR="00566E1B" w:rsidRPr="00A1564B" w:rsidTr="005B1473">
              <w:trPr>
                <w:trHeight w:val="300"/>
              </w:trPr>
              <w:tc>
                <w:tcPr>
                  <w:tcW w:w="2280" w:type="dxa"/>
                  <w:tcBorders>
                    <w:top w:val="nil"/>
                    <w:left w:val="single" w:sz="4" w:space="0" w:color="auto"/>
                    <w:bottom w:val="single" w:sz="4" w:space="0" w:color="auto"/>
                    <w:right w:val="single" w:sz="4" w:space="0" w:color="auto"/>
                  </w:tcBorders>
                  <w:shd w:val="clear" w:color="auto" w:fill="auto"/>
                  <w:noWrap/>
                  <w:hideMark/>
                </w:tcPr>
                <w:p w:rsidR="00566E1B" w:rsidRPr="00A1564B" w:rsidRDefault="00566E1B" w:rsidP="00566E1B">
                  <w:pPr>
                    <w:spacing w:after="0" w:line="240" w:lineRule="auto"/>
                    <w:jc w:val="center"/>
                    <w:rPr>
                      <w:rFonts w:ascii="Calibri" w:eastAsia="Times New Roman" w:hAnsi="Calibri" w:cs="Times New Roman"/>
                      <w:color w:val="000000"/>
                      <w:lang w:eastAsia="en-GB"/>
                    </w:rPr>
                  </w:pPr>
                  <w:r w:rsidRPr="00A1564B">
                    <w:rPr>
                      <w:rFonts w:ascii="Calibri" w:eastAsia="Times New Roman" w:hAnsi="Calibri" w:cs="Times New Roman"/>
                      <w:color w:val="000000"/>
                      <w:lang w:eastAsia="en-GB"/>
                    </w:rPr>
                    <w:t>Total</w:t>
                  </w:r>
                </w:p>
              </w:tc>
              <w:tc>
                <w:tcPr>
                  <w:tcW w:w="1421" w:type="dxa"/>
                  <w:tcBorders>
                    <w:top w:val="nil"/>
                    <w:left w:val="nil"/>
                    <w:bottom w:val="single" w:sz="4" w:space="0" w:color="auto"/>
                    <w:right w:val="single" w:sz="4" w:space="0" w:color="auto"/>
                  </w:tcBorders>
                  <w:shd w:val="clear" w:color="auto" w:fill="auto"/>
                  <w:noWrap/>
                  <w:hideMark/>
                </w:tcPr>
                <w:p w:rsidR="00566E1B" w:rsidRPr="00A1564B" w:rsidRDefault="00566E1B" w:rsidP="00566E1B">
                  <w:pPr>
                    <w:spacing w:after="0" w:line="240" w:lineRule="auto"/>
                    <w:jc w:val="center"/>
                    <w:rPr>
                      <w:rFonts w:ascii="Calibri" w:eastAsia="Times New Roman" w:hAnsi="Calibri" w:cs="Times New Roman"/>
                      <w:color w:val="000000"/>
                      <w:lang w:eastAsia="en-GB"/>
                    </w:rPr>
                  </w:pPr>
                  <w:r w:rsidRPr="00A1564B">
                    <w:rPr>
                      <w:rFonts w:ascii="Calibri" w:eastAsia="Times New Roman" w:hAnsi="Calibri" w:cs="Times New Roman"/>
                      <w:color w:val="000000"/>
                      <w:lang w:eastAsia="en-GB"/>
                    </w:rPr>
                    <w:t>16</w:t>
                  </w:r>
                </w:p>
              </w:tc>
              <w:tc>
                <w:tcPr>
                  <w:tcW w:w="571" w:type="dxa"/>
                  <w:tcBorders>
                    <w:top w:val="nil"/>
                    <w:left w:val="nil"/>
                    <w:bottom w:val="single" w:sz="4" w:space="0" w:color="auto"/>
                    <w:right w:val="single" w:sz="4" w:space="0" w:color="auto"/>
                  </w:tcBorders>
                  <w:shd w:val="clear" w:color="auto" w:fill="auto"/>
                  <w:noWrap/>
                  <w:hideMark/>
                </w:tcPr>
                <w:p w:rsidR="00566E1B" w:rsidRPr="00A1564B" w:rsidRDefault="00566E1B" w:rsidP="00566E1B">
                  <w:pPr>
                    <w:spacing w:after="0" w:line="240" w:lineRule="auto"/>
                    <w:jc w:val="center"/>
                    <w:rPr>
                      <w:rFonts w:ascii="Calibri" w:eastAsia="Times New Roman" w:hAnsi="Calibri" w:cs="Times New Roman"/>
                      <w:color w:val="000000"/>
                      <w:lang w:eastAsia="en-GB"/>
                    </w:rPr>
                  </w:pPr>
                </w:p>
              </w:tc>
            </w:tr>
          </w:tbl>
          <w:tbl>
            <w:tblPr>
              <w:tblpPr w:leftFromText="180" w:rightFromText="180" w:vertAnchor="text" w:horzAnchor="margin" w:tblpY="737"/>
              <w:tblOverlap w:val="never"/>
              <w:tblW w:w="4390" w:type="dxa"/>
              <w:tblLook w:val="04A0" w:firstRow="1" w:lastRow="0" w:firstColumn="1" w:lastColumn="0" w:noHBand="0" w:noVBand="1"/>
            </w:tblPr>
            <w:tblGrid>
              <w:gridCol w:w="1129"/>
              <w:gridCol w:w="993"/>
              <w:gridCol w:w="1134"/>
              <w:gridCol w:w="1134"/>
            </w:tblGrid>
            <w:tr w:rsidR="00566E1B" w:rsidRPr="00227E07" w:rsidTr="005B1473">
              <w:trPr>
                <w:trHeight w:val="300"/>
              </w:trPr>
              <w:tc>
                <w:tcPr>
                  <w:tcW w:w="439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566E1B" w:rsidRPr="00227E07" w:rsidRDefault="00566E1B" w:rsidP="00566E1B">
                  <w:pPr>
                    <w:spacing w:after="0" w:line="240" w:lineRule="auto"/>
                    <w:jc w:val="center"/>
                    <w:rPr>
                      <w:rFonts w:ascii="Calibri" w:eastAsia="Times New Roman" w:hAnsi="Calibri" w:cs="Times New Roman"/>
                      <w:bCs/>
                      <w:color w:val="000000"/>
                      <w:lang w:eastAsia="en-GB"/>
                    </w:rPr>
                  </w:pPr>
                  <w:r w:rsidRPr="00227E07">
                    <w:rPr>
                      <w:rFonts w:ascii="Calibri" w:eastAsia="Times New Roman" w:hAnsi="Calibri" w:cs="Times New Roman"/>
                      <w:bCs/>
                      <w:color w:val="000000"/>
                      <w:lang w:eastAsia="en-GB"/>
                    </w:rPr>
                    <w:t>Actions completed - within target</w:t>
                  </w:r>
                </w:p>
                <w:p w:rsidR="00566E1B" w:rsidRPr="00227E07" w:rsidRDefault="00566E1B" w:rsidP="00566E1B">
                  <w:pPr>
                    <w:spacing w:after="0" w:line="240" w:lineRule="auto"/>
                    <w:jc w:val="center"/>
                    <w:rPr>
                      <w:rFonts w:ascii="Calibri" w:eastAsia="Times New Roman" w:hAnsi="Calibri" w:cs="Times New Roman"/>
                      <w:b/>
                      <w:bCs/>
                      <w:color w:val="000000"/>
                      <w:lang w:eastAsia="en-GB"/>
                    </w:rPr>
                  </w:pPr>
                </w:p>
              </w:tc>
            </w:tr>
            <w:tr w:rsidR="00566E1B" w:rsidRPr="00227E07" w:rsidTr="005B1473">
              <w:trPr>
                <w:trHeight w:val="300"/>
              </w:trPr>
              <w:tc>
                <w:tcPr>
                  <w:tcW w:w="1129" w:type="dxa"/>
                  <w:tcBorders>
                    <w:top w:val="nil"/>
                    <w:left w:val="single" w:sz="4" w:space="0" w:color="auto"/>
                    <w:bottom w:val="single" w:sz="4" w:space="0" w:color="auto"/>
                    <w:right w:val="single" w:sz="4" w:space="0" w:color="auto"/>
                  </w:tcBorders>
                  <w:shd w:val="clear" w:color="000000" w:fill="D9D9D9"/>
                  <w:noWrap/>
                  <w:hideMark/>
                </w:tcPr>
                <w:p w:rsidR="00566E1B" w:rsidRPr="00227E07" w:rsidRDefault="00566E1B" w:rsidP="00566E1B">
                  <w:pPr>
                    <w:spacing w:after="0" w:line="240" w:lineRule="auto"/>
                    <w:jc w:val="center"/>
                    <w:rPr>
                      <w:rFonts w:ascii="Calibri" w:eastAsia="Times New Roman" w:hAnsi="Calibri" w:cs="Times New Roman"/>
                      <w:b/>
                      <w:bCs/>
                      <w:color w:val="000000"/>
                      <w:lang w:eastAsia="en-GB"/>
                    </w:rPr>
                  </w:pPr>
                  <w:r w:rsidRPr="00227E07">
                    <w:rPr>
                      <w:rFonts w:ascii="Calibri" w:eastAsia="Times New Roman" w:hAnsi="Calibri" w:cs="Times New Roman"/>
                      <w:b/>
                      <w:bCs/>
                      <w:color w:val="000000"/>
                      <w:lang w:eastAsia="en-GB"/>
                    </w:rPr>
                    <w:t>Q4</w:t>
                  </w:r>
                </w:p>
              </w:tc>
              <w:tc>
                <w:tcPr>
                  <w:tcW w:w="993" w:type="dxa"/>
                  <w:tcBorders>
                    <w:top w:val="nil"/>
                    <w:left w:val="nil"/>
                    <w:bottom w:val="single" w:sz="4" w:space="0" w:color="auto"/>
                    <w:right w:val="single" w:sz="4" w:space="0" w:color="auto"/>
                  </w:tcBorders>
                  <w:shd w:val="clear" w:color="auto" w:fill="auto"/>
                  <w:noWrap/>
                  <w:hideMark/>
                </w:tcPr>
                <w:p w:rsidR="00566E1B" w:rsidRPr="00227E07" w:rsidRDefault="00566E1B" w:rsidP="00566E1B">
                  <w:pPr>
                    <w:spacing w:after="0" w:line="240" w:lineRule="auto"/>
                    <w:jc w:val="center"/>
                    <w:rPr>
                      <w:rFonts w:ascii="Calibri" w:eastAsia="Times New Roman" w:hAnsi="Calibri" w:cs="Times New Roman"/>
                      <w:b/>
                      <w:bCs/>
                      <w:color w:val="000000"/>
                      <w:lang w:eastAsia="en-GB"/>
                    </w:rPr>
                  </w:pPr>
                  <w:r w:rsidRPr="00227E07">
                    <w:rPr>
                      <w:rFonts w:ascii="Calibri" w:eastAsia="Times New Roman" w:hAnsi="Calibri" w:cs="Times New Roman"/>
                      <w:b/>
                      <w:bCs/>
                      <w:color w:val="000000"/>
                      <w:lang w:eastAsia="en-GB"/>
                    </w:rPr>
                    <w:t>Q3</w:t>
                  </w:r>
                </w:p>
              </w:tc>
              <w:tc>
                <w:tcPr>
                  <w:tcW w:w="1134" w:type="dxa"/>
                  <w:tcBorders>
                    <w:top w:val="nil"/>
                    <w:left w:val="nil"/>
                    <w:bottom w:val="single" w:sz="4" w:space="0" w:color="auto"/>
                    <w:right w:val="single" w:sz="4" w:space="0" w:color="auto"/>
                  </w:tcBorders>
                  <w:shd w:val="clear" w:color="auto" w:fill="auto"/>
                  <w:noWrap/>
                  <w:hideMark/>
                </w:tcPr>
                <w:p w:rsidR="00566E1B" w:rsidRPr="00227E07" w:rsidRDefault="00566E1B" w:rsidP="00566E1B">
                  <w:pPr>
                    <w:spacing w:after="0" w:line="240" w:lineRule="auto"/>
                    <w:jc w:val="center"/>
                    <w:rPr>
                      <w:rFonts w:ascii="Calibri" w:eastAsia="Times New Roman" w:hAnsi="Calibri" w:cs="Times New Roman"/>
                      <w:b/>
                      <w:bCs/>
                      <w:color w:val="000000"/>
                      <w:lang w:eastAsia="en-GB"/>
                    </w:rPr>
                  </w:pPr>
                  <w:r w:rsidRPr="00227E07">
                    <w:rPr>
                      <w:rFonts w:ascii="Calibri" w:eastAsia="Times New Roman" w:hAnsi="Calibri" w:cs="Times New Roman"/>
                      <w:b/>
                      <w:bCs/>
                      <w:color w:val="000000"/>
                      <w:lang w:eastAsia="en-GB"/>
                    </w:rPr>
                    <w:t>Q2</w:t>
                  </w:r>
                </w:p>
              </w:tc>
              <w:tc>
                <w:tcPr>
                  <w:tcW w:w="1134" w:type="dxa"/>
                  <w:tcBorders>
                    <w:top w:val="nil"/>
                    <w:left w:val="nil"/>
                    <w:bottom w:val="single" w:sz="4" w:space="0" w:color="auto"/>
                    <w:right w:val="single" w:sz="4" w:space="0" w:color="auto"/>
                  </w:tcBorders>
                  <w:shd w:val="clear" w:color="auto" w:fill="auto"/>
                  <w:noWrap/>
                  <w:hideMark/>
                </w:tcPr>
                <w:p w:rsidR="00566E1B" w:rsidRPr="00227E07" w:rsidRDefault="00566E1B" w:rsidP="00566E1B">
                  <w:pPr>
                    <w:spacing w:after="0" w:line="240" w:lineRule="auto"/>
                    <w:jc w:val="center"/>
                    <w:rPr>
                      <w:rFonts w:ascii="Calibri" w:eastAsia="Times New Roman" w:hAnsi="Calibri" w:cs="Times New Roman"/>
                      <w:b/>
                      <w:bCs/>
                      <w:color w:val="000000"/>
                      <w:lang w:eastAsia="en-GB"/>
                    </w:rPr>
                  </w:pPr>
                  <w:r w:rsidRPr="00227E07">
                    <w:rPr>
                      <w:rFonts w:ascii="Calibri" w:eastAsia="Times New Roman" w:hAnsi="Calibri" w:cs="Times New Roman"/>
                      <w:b/>
                      <w:bCs/>
                      <w:color w:val="000000"/>
                      <w:lang w:eastAsia="en-GB"/>
                    </w:rPr>
                    <w:t>Q1</w:t>
                  </w:r>
                </w:p>
              </w:tc>
            </w:tr>
            <w:tr w:rsidR="00566E1B" w:rsidRPr="00227E07" w:rsidTr="005B1473">
              <w:trPr>
                <w:trHeight w:val="300"/>
              </w:trPr>
              <w:tc>
                <w:tcPr>
                  <w:tcW w:w="1129" w:type="dxa"/>
                  <w:tcBorders>
                    <w:top w:val="nil"/>
                    <w:left w:val="single" w:sz="4" w:space="0" w:color="auto"/>
                    <w:bottom w:val="single" w:sz="4" w:space="0" w:color="auto"/>
                    <w:right w:val="single" w:sz="4" w:space="0" w:color="auto"/>
                  </w:tcBorders>
                  <w:shd w:val="clear" w:color="000000" w:fill="D9D9D9"/>
                  <w:noWrap/>
                  <w:hideMark/>
                </w:tcPr>
                <w:p w:rsidR="00566E1B" w:rsidRPr="00227E07" w:rsidRDefault="00566E1B" w:rsidP="00566E1B">
                  <w:pPr>
                    <w:spacing w:after="0" w:line="240" w:lineRule="auto"/>
                    <w:jc w:val="center"/>
                    <w:rPr>
                      <w:rFonts w:ascii="Calibri" w:eastAsia="Times New Roman" w:hAnsi="Calibri" w:cs="Times New Roman"/>
                      <w:color w:val="000000"/>
                      <w:lang w:eastAsia="en-GB"/>
                    </w:rPr>
                  </w:pPr>
                  <w:r w:rsidRPr="00227E07">
                    <w:rPr>
                      <w:rFonts w:ascii="Calibri" w:eastAsia="Times New Roman" w:hAnsi="Calibri" w:cs="Times New Roman"/>
                      <w:color w:val="000000"/>
                      <w:lang w:eastAsia="en-GB"/>
                    </w:rPr>
                    <w:t>12</w:t>
                  </w:r>
                </w:p>
              </w:tc>
              <w:tc>
                <w:tcPr>
                  <w:tcW w:w="993" w:type="dxa"/>
                  <w:tcBorders>
                    <w:top w:val="nil"/>
                    <w:left w:val="nil"/>
                    <w:bottom w:val="single" w:sz="4" w:space="0" w:color="auto"/>
                    <w:right w:val="single" w:sz="4" w:space="0" w:color="auto"/>
                  </w:tcBorders>
                  <w:shd w:val="clear" w:color="auto" w:fill="auto"/>
                  <w:noWrap/>
                  <w:hideMark/>
                </w:tcPr>
                <w:p w:rsidR="00566E1B" w:rsidRPr="00227E07" w:rsidRDefault="00566E1B" w:rsidP="00566E1B">
                  <w:pPr>
                    <w:spacing w:after="0" w:line="240" w:lineRule="auto"/>
                    <w:jc w:val="center"/>
                    <w:rPr>
                      <w:rFonts w:ascii="Calibri" w:eastAsia="Times New Roman" w:hAnsi="Calibri" w:cs="Times New Roman"/>
                      <w:color w:val="000000"/>
                      <w:lang w:eastAsia="en-GB"/>
                    </w:rPr>
                  </w:pPr>
                  <w:r w:rsidRPr="00227E07">
                    <w:rPr>
                      <w:rFonts w:ascii="Calibri" w:eastAsia="Times New Roman" w:hAnsi="Calibri" w:cs="Times New Roman"/>
                      <w:color w:val="000000"/>
                      <w:lang w:eastAsia="en-GB"/>
                    </w:rPr>
                    <w:t>13</w:t>
                  </w:r>
                </w:p>
              </w:tc>
              <w:tc>
                <w:tcPr>
                  <w:tcW w:w="1134" w:type="dxa"/>
                  <w:tcBorders>
                    <w:top w:val="nil"/>
                    <w:left w:val="nil"/>
                    <w:bottom w:val="single" w:sz="4" w:space="0" w:color="auto"/>
                    <w:right w:val="single" w:sz="4" w:space="0" w:color="auto"/>
                  </w:tcBorders>
                  <w:shd w:val="clear" w:color="auto" w:fill="auto"/>
                  <w:noWrap/>
                  <w:hideMark/>
                </w:tcPr>
                <w:p w:rsidR="00566E1B" w:rsidRPr="00227E07" w:rsidRDefault="00566E1B" w:rsidP="00566E1B">
                  <w:pPr>
                    <w:spacing w:after="0" w:line="240" w:lineRule="auto"/>
                    <w:jc w:val="center"/>
                    <w:rPr>
                      <w:rFonts w:ascii="Calibri" w:eastAsia="Times New Roman" w:hAnsi="Calibri" w:cs="Times New Roman"/>
                      <w:color w:val="000000"/>
                      <w:lang w:eastAsia="en-GB"/>
                    </w:rPr>
                  </w:pPr>
                  <w:r w:rsidRPr="00227E07">
                    <w:rPr>
                      <w:rFonts w:ascii="Calibri" w:eastAsia="Times New Roman" w:hAnsi="Calibri" w:cs="Times New Roman"/>
                      <w:color w:val="000000"/>
                      <w:lang w:eastAsia="en-GB"/>
                    </w:rPr>
                    <w:t>11</w:t>
                  </w:r>
                </w:p>
              </w:tc>
              <w:tc>
                <w:tcPr>
                  <w:tcW w:w="1134" w:type="dxa"/>
                  <w:tcBorders>
                    <w:top w:val="nil"/>
                    <w:left w:val="nil"/>
                    <w:bottom w:val="single" w:sz="4" w:space="0" w:color="auto"/>
                    <w:right w:val="single" w:sz="4" w:space="0" w:color="auto"/>
                  </w:tcBorders>
                  <w:shd w:val="clear" w:color="auto" w:fill="auto"/>
                  <w:noWrap/>
                  <w:hideMark/>
                </w:tcPr>
                <w:p w:rsidR="00566E1B" w:rsidRPr="00227E07" w:rsidRDefault="00566E1B" w:rsidP="00566E1B">
                  <w:pPr>
                    <w:spacing w:after="0" w:line="240" w:lineRule="auto"/>
                    <w:jc w:val="center"/>
                    <w:rPr>
                      <w:rFonts w:ascii="Calibri" w:eastAsia="Times New Roman" w:hAnsi="Calibri" w:cs="Times New Roman"/>
                      <w:color w:val="000000"/>
                      <w:lang w:eastAsia="en-GB"/>
                    </w:rPr>
                  </w:pPr>
                  <w:r w:rsidRPr="00227E07">
                    <w:rPr>
                      <w:rFonts w:ascii="Calibri" w:eastAsia="Times New Roman" w:hAnsi="Calibri" w:cs="Times New Roman"/>
                      <w:color w:val="000000"/>
                      <w:lang w:eastAsia="en-GB"/>
                    </w:rPr>
                    <w:t>6</w:t>
                  </w:r>
                </w:p>
              </w:tc>
            </w:tr>
            <w:tr w:rsidR="00566E1B" w:rsidRPr="00227E07" w:rsidTr="005B1473">
              <w:trPr>
                <w:trHeight w:val="300"/>
              </w:trPr>
              <w:tc>
                <w:tcPr>
                  <w:tcW w:w="1129" w:type="dxa"/>
                  <w:tcBorders>
                    <w:top w:val="nil"/>
                    <w:left w:val="single" w:sz="4" w:space="0" w:color="auto"/>
                    <w:bottom w:val="single" w:sz="4" w:space="0" w:color="auto"/>
                    <w:right w:val="single" w:sz="4" w:space="0" w:color="auto"/>
                  </w:tcBorders>
                  <w:shd w:val="clear" w:color="000000" w:fill="D9D9D9"/>
                  <w:noWrap/>
                  <w:hideMark/>
                </w:tcPr>
                <w:p w:rsidR="00566E1B" w:rsidRPr="00227E07" w:rsidRDefault="00566E1B" w:rsidP="00566E1B">
                  <w:pPr>
                    <w:spacing w:after="0" w:line="240" w:lineRule="auto"/>
                    <w:jc w:val="center"/>
                    <w:rPr>
                      <w:rFonts w:ascii="Calibri" w:eastAsia="Times New Roman" w:hAnsi="Calibri" w:cs="Times New Roman"/>
                      <w:color w:val="000000"/>
                      <w:lang w:eastAsia="en-GB"/>
                    </w:rPr>
                  </w:pPr>
                  <w:r w:rsidRPr="00227E07">
                    <w:rPr>
                      <w:rFonts w:ascii="Calibri" w:eastAsia="Times New Roman" w:hAnsi="Calibri" w:cs="Times New Roman"/>
                      <w:color w:val="000000"/>
                      <w:lang w:eastAsia="en-GB"/>
                    </w:rPr>
                    <w:t>111</w:t>
                  </w:r>
                </w:p>
              </w:tc>
              <w:tc>
                <w:tcPr>
                  <w:tcW w:w="993" w:type="dxa"/>
                  <w:tcBorders>
                    <w:top w:val="nil"/>
                    <w:left w:val="nil"/>
                    <w:bottom w:val="single" w:sz="4" w:space="0" w:color="auto"/>
                    <w:right w:val="single" w:sz="4" w:space="0" w:color="auto"/>
                  </w:tcBorders>
                  <w:shd w:val="clear" w:color="auto" w:fill="auto"/>
                  <w:noWrap/>
                  <w:hideMark/>
                </w:tcPr>
                <w:p w:rsidR="00566E1B" w:rsidRPr="00227E07" w:rsidRDefault="00566E1B" w:rsidP="00566E1B">
                  <w:pPr>
                    <w:spacing w:after="0" w:line="240" w:lineRule="auto"/>
                    <w:jc w:val="center"/>
                    <w:rPr>
                      <w:rFonts w:ascii="Calibri" w:eastAsia="Times New Roman" w:hAnsi="Calibri" w:cs="Times New Roman"/>
                      <w:color w:val="000000"/>
                      <w:lang w:eastAsia="en-GB"/>
                    </w:rPr>
                  </w:pPr>
                  <w:r w:rsidRPr="00227E07">
                    <w:rPr>
                      <w:rFonts w:ascii="Calibri" w:eastAsia="Times New Roman" w:hAnsi="Calibri" w:cs="Times New Roman"/>
                      <w:color w:val="000000"/>
                      <w:lang w:eastAsia="en-GB"/>
                    </w:rPr>
                    <w:t>109</w:t>
                  </w:r>
                </w:p>
              </w:tc>
              <w:tc>
                <w:tcPr>
                  <w:tcW w:w="1134" w:type="dxa"/>
                  <w:tcBorders>
                    <w:top w:val="nil"/>
                    <w:left w:val="nil"/>
                    <w:bottom w:val="single" w:sz="4" w:space="0" w:color="auto"/>
                    <w:right w:val="single" w:sz="4" w:space="0" w:color="auto"/>
                  </w:tcBorders>
                  <w:shd w:val="clear" w:color="auto" w:fill="auto"/>
                  <w:noWrap/>
                  <w:hideMark/>
                </w:tcPr>
                <w:p w:rsidR="00566E1B" w:rsidRPr="00227E07" w:rsidRDefault="00566E1B" w:rsidP="00566E1B">
                  <w:pPr>
                    <w:spacing w:after="0" w:line="240" w:lineRule="auto"/>
                    <w:jc w:val="center"/>
                    <w:rPr>
                      <w:rFonts w:ascii="Calibri" w:eastAsia="Times New Roman" w:hAnsi="Calibri" w:cs="Times New Roman"/>
                      <w:color w:val="000000"/>
                      <w:lang w:eastAsia="en-GB"/>
                    </w:rPr>
                  </w:pPr>
                  <w:r w:rsidRPr="00227E07">
                    <w:rPr>
                      <w:rFonts w:ascii="Calibri" w:eastAsia="Times New Roman" w:hAnsi="Calibri" w:cs="Times New Roman"/>
                      <w:color w:val="000000"/>
                      <w:lang w:eastAsia="en-GB"/>
                    </w:rPr>
                    <w:t>95</w:t>
                  </w:r>
                </w:p>
              </w:tc>
              <w:tc>
                <w:tcPr>
                  <w:tcW w:w="1134" w:type="dxa"/>
                  <w:tcBorders>
                    <w:top w:val="nil"/>
                    <w:left w:val="nil"/>
                    <w:bottom w:val="single" w:sz="4" w:space="0" w:color="auto"/>
                    <w:right w:val="single" w:sz="4" w:space="0" w:color="auto"/>
                  </w:tcBorders>
                  <w:shd w:val="clear" w:color="auto" w:fill="auto"/>
                  <w:noWrap/>
                  <w:hideMark/>
                </w:tcPr>
                <w:p w:rsidR="00566E1B" w:rsidRPr="00227E07" w:rsidRDefault="00566E1B" w:rsidP="00566E1B">
                  <w:pPr>
                    <w:spacing w:after="0" w:line="240" w:lineRule="auto"/>
                    <w:jc w:val="center"/>
                    <w:rPr>
                      <w:rFonts w:ascii="Calibri" w:eastAsia="Times New Roman" w:hAnsi="Calibri" w:cs="Times New Roman"/>
                      <w:color w:val="000000"/>
                      <w:lang w:eastAsia="en-GB"/>
                    </w:rPr>
                  </w:pPr>
                  <w:r w:rsidRPr="00227E07">
                    <w:rPr>
                      <w:rFonts w:ascii="Calibri" w:eastAsia="Times New Roman" w:hAnsi="Calibri" w:cs="Times New Roman"/>
                      <w:color w:val="000000"/>
                      <w:lang w:eastAsia="en-GB"/>
                    </w:rPr>
                    <w:t>33</w:t>
                  </w:r>
                </w:p>
              </w:tc>
            </w:tr>
            <w:tr w:rsidR="00566E1B" w:rsidRPr="00227E07" w:rsidTr="005B1473">
              <w:trPr>
                <w:trHeight w:val="300"/>
              </w:trPr>
              <w:tc>
                <w:tcPr>
                  <w:tcW w:w="1129" w:type="dxa"/>
                  <w:tcBorders>
                    <w:top w:val="nil"/>
                    <w:left w:val="single" w:sz="4" w:space="0" w:color="auto"/>
                    <w:bottom w:val="single" w:sz="4" w:space="0" w:color="auto"/>
                    <w:right w:val="single" w:sz="4" w:space="0" w:color="auto"/>
                  </w:tcBorders>
                  <w:shd w:val="clear" w:color="000000" w:fill="D9D9D9"/>
                  <w:noWrap/>
                  <w:hideMark/>
                </w:tcPr>
                <w:p w:rsidR="00566E1B" w:rsidRPr="00227E07" w:rsidRDefault="00566E1B" w:rsidP="00566E1B">
                  <w:pPr>
                    <w:spacing w:after="0" w:line="240" w:lineRule="auto"/>
                    <w:jc w:val="center"/>
                    <w:rPr>
                      <w:rFonts w:ascii="Calibri" w:eastAsia="Times New Roman" w:hAnsi="Calibri" w:cs="Times New Roman"/>
                      <w:color w:val="000000"/>
                      <w:lang w:eastAsia="en-GB"/>
                    </w:rPr>
                  </w:pPr>
                  <w:r w:rsidRPr="00227E07">
                    <w:rPr>
                      <w:rFonts w:ascii="Calibri" w:eastAsia="Times New Roman" w:hAnsi="Calibri" w:cs="Times New Roman"/>
                      <w:color w:val="000000"/>
                      <w:lang w:eastAsia="en-GB"/>
                    </w:rPr>
                    <w:t>122</w:t>
                  </w:r>
                </w:p>
              </w:tc>
              <w:tc>
                <w:tcPr>
                  <w:tcW w:w="993" w:type="dxa"/>
                  <w:tcBorders>
                    <w:top w:val="nil"/>
                    <w:left w:val="nil"/>
                    <w:bottom w:val="single" w:sz="4" w:space="0" w:color="auto"/>
                    <w:right w:val="single" w:sz="4" w:space="0" w:color="auto"/>
                  </w:tcBorders>
                  <w:shd w:val="clear" w:color="auto" w:fill="auto"/>
                  <w:noWrap/>
                  <w:hideMark/>
                </w:tcPr>
                <w:p w:rsidR="00566E1B" w:rsidRPr="00227E07" w:rsidRDefault="00566E1B" w:rsidP="00566E1B">
                  <w:pPr>
                    <w:spacing w:after="0" w:line="240" w:lineRule="auto"/>
                    <w:jc w:val="center"/>
                    <w:rPr>
                      <w:rFonts w:ascii="Calibri" w:eastAsia="Times New Roman" w:hAnsi="Calibri" w:cs="Times New Roman"/>
                      <w:color w:val="000000"/>
                      <w:lang w:eastAsia="en-GB"/>
                    </w:rPr>
                  </w:pPr>
                  <w:r w:rsidRPr="00227E07">
                    <w:rPr>
                      <w:rFonts w:ascii="Calibri" w:eastAsia="Times New Roman" w:hAnsi="Calibri" w:cs="Times New Roman"/>
                      <w:color w:val="000000"/>
                      <w:lang w:eastAsia="en-GB"/>
                    </w:rPr>
                    <w:t>122</w:t>
                  </w:r>
                </w:p>
              </w:tc>
              <w:tc>
                <w:tcPr>
                  <w:tcW w:w="1134" w:type="dxa"/>
                  <w:tcBorders>
                    <w:top w:val="nil"/>
                    <w:left w:val="nil"/>
                    <w:bottom w:val="single" w:sz="4" w:space="0" w:color="auto"/>
                    <w:right w:val="single" w:sz="4" w:space="0" w:color="auto"/>
                  </w:tcBorders>
                  <w:shd w:val="clear" w:color="auto" w:fill="auto"/>
                  <w:noWrap/>
                  <w:hideMark/>
                </w:tcPr>
                <w:p w:rsidR="00566E1B" w:rsidRPr="00227E07" w:rsidRDefault="00566E1B" w:rsidP="00566E1B">
                  <w:pPr>
                    <w:spacing w:after="0" w:line="240" w:lineRule="auto"/>
                    <w:jc w:val="center"/>
                    <w:rPr>
                      <w:rFonts w:ascii="Calibri" w:eastAsia="Times New Roman" w:hAnsi="Calibri" w:cs="Times New Roman"/>
                      <w:color w:val="000000"/>
                      <w:lang w:eastAsia="en-GB"/>
                    </w:rPr>
                  </w:pPr>
                  <w:r w:rsidRPr="00227E07">
                    <w:rPr>
                      <w:rFonts w:ascii="Calibri" w:eastAsia="Times New Roman" w:hAnsi="Calibri" w:cs="Times New Roman"/>
                      <w:color w:val="000000"/>
                      <w:lang w:eastAsia="en-GB"/>
                    </w:rPr>
                    <w:t>115</w:t>
                  </w:r>
                </w:p>
              </w:tc>
              <w:tc>
                <w:tcPr>
                  <w:tcW w:w="1134" w:type="dxa"/>
                  <w:tcBorders>
                    <w:top w:val="nil"/>
                    <w:left w:val="nil"/>
                    <w:bottom w:val="single" w:sz="4" w:space="0" w:color="auto"/>
                    <w:right w:val="single" w:sz="4" w:space="0" w:color="auto"/>
                  </w:tcBorders>
                  <w:shd w:val="clear" w:color="auto" w:fill="auto"/>
                  <w:noWrap/>
                  <w:hideMark/>
                </w:tcPr>
                <w:p w:rsidR="00566E1B" w:rsidRPr="00227E07" w:rsidRDefault="00566E1B" w:rsidP="00566E1B">
                  <w:pPr>
                    <w:spacing w:after="0" w:line="240" w:lineRule="auto"/>
                    <w:jc w:val="center"/>
                    <w:rPr>
                      <w:rFonts w:ascii="Calibri" w:eastAsia="Times New Roman" w:hAnsi="Calibri" w:cs="Times New Roman"/>
                      <w:color w:val="000000"/>
                      <w:lang w:eastAsia="en-GB"/>
                    </w:rPr>
                  </w:pPr>
                  <w:r w:rsidRPr="00227E07">
                    <w:rPr>
                      <w:rFonts w:ascii="Calibri" w:eastAsia="Times New Roman" w:hAnsi="Calibri" w:cs="Times New Roman"/>
                      <w:color w:val="000000"/>
                      <w:lang w:eastAsia="en-GB"/>
                    </w:rPr>
                    <w:t>78</w:t>
                  </w:r>
                </w:p>
              </w:tc>
            </w:tr>
            <w:tr w:rsidR="00566E1B" w:rsidRPr="00227E07" w:rsidTr="005B1473">
              <w:trPr>
                <w:trHeight w:val="300"/>
              </w:trPr>
              <w:tc>
                <w:tcPr>
                  <w:tcW w:w="1129" w:type="dxa"/>
                  <w:tcBorders>
                    <w:top w:val="nil"/>
                    <w:left w:val="single" w:sz="4" w:space="0" w:color="auto"/>
                    <w:bottom w:val="single" w:sz="4" w:space="0" w:color="auto"/>
                    <w:right w:val="single" w:sz="4" w:space="0" w:color="auto"/>
                  </w:tcBorders>
                  <w:shd w:val="clear" w:color="000000" w:fill="D9D9D9"/>
                  <w:noWrap/>
                  <w:hideMark/>
                </w:tcPr>
                <w:p w:rsidR="00566E1B" w:rsidRPr="00227E07" w:rsidRDefault="00566E1B" w:rsidP="00566E1B">
                  <w:pPr>
                    <w:spacing w:after="0" w:line="240" w:lineRule="auto"/>
                    <w:jc w:val="center"/>
                    <w:rPr>
                      <w:rFonts w:ascii="Calibri" w:eastAsia="Times New Roman" w:hAnsi="Calibri" w:cs="Times New Roman"/>
                      <w:color w:val="000000"/>
                      <w:lang w:eastAsia="en-GB"/>
                    </w:rPr>
                  </w:pPr>
                  <w:r w:rsidRPr="00227E07">
                    <w:rPr>
                      <w:rFonts w:ascii="Calibri" w:eastAsia="Times New Roman" w:hAnsi="Calibri" w:cs="Times New Roman"/>
                      <w:color w:val="000000"/>
                      <w:lang w:eastAsia="en-GB"/>
                    </w:rPr>
                    <w:t>10</w:t>
                  </w:r>
                </w:p>
              </w:tc>
              <w:tc>
                <w:tcPr>
                  <w:tcW w:w="993" w:type="dxa"/>
                  <w:tcBorders>
                    <w:top w:val="nil"/>
                    <w:left w:val="nil"/>
                    <w:bottom w:val="single" w:sz="4" w:space="0" w:color="auto"/>
                    <w:right w:val="single" w:sz="4" w:space="0" w:color="auto"/>
                  </w:tcBorders>
                  <w:shd w:val="clear" w:color="auto" w:fill="auto"/>
                  <w:noWrap/>
                  <w:hideMark/>
                </w:tcPr>
                <w:p w:rsidR="00566E1B" w:rsidRPr="00227E07" w:rsidRDefault="00566E1B" w:rsidP="00566E1B">
                  <w:pPr>
                    <w:spacing w:after="0" w:line="240" w:lineRule="auto"/>
                    <w:jc w:val="center"/>
                    <w:rPr>
                      <w:rFonts w:ascii="Calibri" w:eastAsia="Times New Roman" w:hAnsi="Calibri" w:cs="Times New Roman"/>
                      <w:color w:val="000000"/>
                      <w:lang w:eastAsia="en-GB"/>
                    </w:rPr>
                  </w:pPr>
                  <w:r w:rsidRPr="00227E07">
                    <w:rPr>
                      <w:rFonts w:ascii="Calibri" w:eastAsia="Times New Roman" w:hAnsi="Calibri" w:cs="Times New Roman"/>
                      <w:color w:val="000000"/>
                      <w:lang w:eastAsia="en-GB"/>
                    </w:rPr>
                    <w:t>9</w:t>
                  </w:r>
                </w:p>
              </w:tc>
              <w:tc>
                <w:tcPr>
                  <w:tcW w:w="1134" w:type="dxa"/>
                  <w:tcBorders>
                    <w:top w:val="nil"/>
                    <w:left w:val="nil"/>
                    <w:bottom w:val="single" w:sz="4" w:space="0" w:color="auto"/>
                    <w:right w:val="single" w:sz="4" w:space="0" w:color="auto"/>
                  </w:tcBorders>
                  <w:shd w:val="clear" w:color="auto" w:fill="auto"/>
                  <w:noWrap/>
                  <w:hideMark/>
                </w:tcPr>
                <w:p w:rsidR="00566E1B" w:rsidRPr="00227E07" w:rsidRDefault="00566E1B" w:rsidP="00566E1B">
                  <w:pPr>
                    <w:spacing w:after="0" w:line="240" w:lineRule="auto"/>
                    <w:jc w:val="center"/>
                    <w:rPr>
                      <w:rFonts w:ascii="Calibri" w:eastAsia="Times New Roman" w:hAnsi="Calibri" w:cs="Times New Roman"/>
                      <w:color w:val="000000"/>
                      <w:lang w:eastAsia="en-GB"/>
                    </w:rPr>
                  </w:pPr>
                  <w:r w:rsidRPr="00227E07">
                    <w:rPr>
                      <w:rFonts w:ascii="Calibri" w:eastAsia="Times New Roman" w:hAnsi="Calibri" w:cs="Times New Roman"/>
                      <w:color w:val="000000"/>
                      <w:lang w:eastAsia="en-GB"/>
                    </w:rPr>
                    <w:t>9</w:t>
                  </w:r>
                </w:p>
              </w:tc>
              <w:tc>
                <w:tcPr>
                  <w:tcW w:w="1134" w:type="dxa"/>
                  <w:tcBorders>
                    <w:top w:val="nil"/>
                    <w:left w:val="nil"/>
                    <w:bottom w:val="single" w:sz="4" w:space="0" w:color="auto"/>
                    <w:right w:val="single" w:sz="4" w:space="0" w:color="auto"/>
                  </w:tcBorders>
                  <w:shd w:val="clear" w:color="auto" w:fill="auto"/>
                  <w:noWrap/>
                  <w:hideMark/>
                </w:tcPr>
                <w:p w:rsidR="00566E1B" w:rsidRPr="00227E07" w:rsidRDefault="00566E1B" w:rsidP="00566E1B">
                  <w:pPr>
                    <w:spacing w:after="0" w:line="240" w:lineRule="auto"/>
                    <w:jc w:val="center"/>
                    <w:rPr>
                      <w:rFonts w:ascii="Calibri" w:eastAsia="Times New Roman" w:hAnsi="Calibri" w:cs="Times New Roman"/>
                      <w:color w:val="000000"/>
                      <w:lang w:eastAsia="en-GB"/>
                    </w:rPr>
                  </w:pPr>
                  <w:r w:rsidRPr="00227E07">
                    <w:rPr>
                      <w:rFonts w:ascii="Calibri" w:eastAsia="Times New Roman" w:hAnsi="Calibri" w:cs="Times New Roman"/>
                      <w:color w:val="000000"/>
                      <w:lang w:eastAsia="en-GB"/>
                    </w:rPr>
                    <w:t>15</w:t>
                  </w:r>
                </w:p>
              </w:tc>
            </w:tr>
            <w:tr w:rsidR="00566E1B" w:rsidRPr="00227E07" w:rsidTr="005B1473">
              <w:trPr>
                <w:trHeight w:val="300"/>
              </w:trPr>
              <w:tc>
                <w:tcPr>
                  <w:tcW w:w="1129" w:type="dxa"/>
                  <w:tcBorders>
                    <w:top w:val="nil"/>
                    <w:left w:val="single" w:sz="4" w:space="0" w:color="auto"/>
                    <w:bottom w:val="single" w:sz="4" w:space="0" w:color="auto"/>
                    <w:right w:val="single" w:sz="4" w:space="0" w:color="auto"/>
                  </w:tcBorders>
                  <w:shd w:val="clear" w:color="000000" w:fill="D9D9D9"/>
                  <w:noWrap/>
                  <w:hideMark/>
                </w:tcPr>
                <w:p w:rsidR="00566E1B" w:rsidRPr="00227E07" w:rsidRDefault="00566E1B" w:rsidP="00566E1B">
                  <w:pPr>
                    <w:spacing w:after="0" w:line="240" w:lineRule="auto"/>
                    <w:jc w:val="center"/>
                    <w:rPr>
                      <w:rFonts w:ascii="Calibri" w:eastAsia="Times New Roman" w:hAnsi="Calibri" w:cs="Times New Roman"/>
                      <w:color w:val="000000"/>
                      <w:lang w:eastAsia="en-GB"/>
                    </w:rPr>
                  </w:pPr>
                  <w:r w:rsidRPr="00227E07">
                    <w:rPr>
                      <w:rFonts w:ascii="Calibri" w:eastAsia="Times New Roman" w:hAnsi="Calibri" w:cs="Times New Roman"/>
                      <w:color w:val="000000"/>
                      <w:lang w:eastAsia="en-GB"/>
                    </w:rPr>
                    <w:t>9</w:t>
                  </w:r>
                </w:p>
              </w:tc>
              <w:tc>
                <w:tcPr>
                  <w:tcW w:w="993" w:type="dxa"/>
                  <w:tcBorders>
                    <w:top w:val="nil"/>
                    <w:left w:val="nil"/>
                    <w:bottom w:val="single" w:sz="4" w:space="0" w:color="auto"/>
                    <w:right w:val="single" w:sz="4" w:space="0" w:color="auto"/>
                  </w:tcBorders>
                  <w:shd w:val="clear" w:color="auto" w:fill="auto"/>
                  <w:noWrap/>
                  <w:hideMark/>
                </w:tcPr>
                <w:p w:rsidR="00566E1B" w:rsidRPr="00227E07" w:rsidRDefault="00566E1B" w:rsidP="00566E1B">
                  <w:pPr>
                    <w:spacing w:after="0" w:line="240" w:lineRule="auto"/>
                    <w:jc w:val="center"/>
                    <w:rPr>
                      <w:rFonts w:ascii="Calibri" w:eastAsia="Times New Roman" w:hAnsi="Calibri" w:cs="Times New Roman"/>
                      <w:color w:val="000000"/>
                      <w:lang w:eastAsia="en-GB"/>
                    </w:rPr>
                  </w:pPr>
                  <w:r w:rsidRPr="00227E07">
                    <w:rPr>
                      <w:rFonts w:ascii="Calibri" w:eastAsia="Times New Roman" w:hAnsi="Calibri" w:cs="Times New Roman"/>
                      <w:color w:val="000000"/>
                      <w:lang w:eastAsia="en-GB"/>
                    </w:rPr>
                    <w:t>9</w:t>
                  </w:r>
                </w:p>
              </w:tc>
              <w:tc>
                <w:tcPr>
                  <w:tcW w:w="1134" w:type="dxa"/>
                  <w:tcBorders>
                    <w:top w:val="nil"/>
                    <w:left w:val="nil"/>
                    <w:bottom w:val="single" w:sz="4" w:space="0" w:color="auto"/>
                    <w:right w:val="single" w:sz="4" w:space="0" w:color="auto"/>
                  </w:tcBorders>
                  <w:shd w:val="clear" w:color="auto" w:fill="auto"/>
                  <w:noWrap/>
                  <w:hideMark/>
                </w:tcPr>
                <w:p w:rsidR="00566E1B" w:rsidRPr="00227E07" w:rsidRDefault="00566E1B" w:rsidP="00566E1B">
                  <w:pPr>
                    <w:spacing w:after="0" w:line="240" w:lineRule="auto"/>
                    <w:jc w:val="center"/>
                    <w:rPr>
                      <w:rFonts w:ascii="Calibri" w:eastAsia="Times New Roman" w:hAnsi="Calibri" w:cs="Times New Roman"/>
                      <w:color w:val="000000"/>
                      <w:lang w:eastAsia="en-GB"/>
                    </w:rPr>
                  </w:pPr>
                  <w:r w:rsidRPr="00227E07">
                    <w:rPr>
                      <w:rFonts w:ascii="Calibri" w:eastAsia="Times New Roman" w:hAnsi="Calibri" w:cs="Times New Roman"/>
                      <w:color w:val="000000"/>
                      <w:lang w:eastAsia="en-GB"/>
                    </w:rPr>
                    <w:t>9</w:t>
                  </w:r>
                </w:p>
              </w:tc>
              <w:tc>
                <w:tcPr>
                  <w:tcW w:w="1134" w:type="dxa"/>
                  <w:tcBorders>
                    <w:top w:val="nil"/>
                    <w:left w:val="nil"/>
                    <w:bottom w:val="single" w:sz="4" w:space="0" w:color="auto"/>
                    <w:right w:val="single" w:sz="4" w:space="0" w:color="auto"/>
                  </w:tcBorders>
                  <w:shd w:val="clear" w:color="auto" w:fill="auto"/>
                  <w:noWrap/>
                  <w:hideMark/>
                </w:tcPr>
                <w:p w:rsidR="00566E1B" w:rsidRPr="00227E07" w:rsidRDefault="00566E1B" w:rsidP="00566E1B">
                  <w:pPr>
                    <w:spacing w:after="0" w:line="240" w:lineRule="auto"/>
                    <w:jc w:val="center"/>
                    <w:rPr>
                      <w:rFonts w:ascii="Calibri" w:eastAsia="Times New Roman" w:hAnsi="Calibri" w:cs="Times New Roman"/>
                      <w:color w:val="000000"/>
                      <w:lang w:eastAsia="en-GB"/>
                    </w:rPr>
                  </w:pPr>
                  <w:r w:rsidRPr="00227E07">
                    <w:rPr>
                      <w:rFonts w:ascii="Calibri" w:eastAsia="Times New Roman" w:hAnsi="Calibri" w:cs="Times New Roman"/>
                      <w:color w:val="000000"/>
                      <w:lang w:eastAsia="en-GB"/>
                    </w:rPr>
                    <w:t>9</w:t>
                  </w:r>
                </w:p>
              </w:tc>
            </w:tr>
            <w:tr w:rsidR="00566E1B" w:rsidRPr="00227E07" w:rsidTr="005B1473">
              <w:trPr>
                <w:trHeight w:val="300"/>
              </w:trPr>
              <w:tc>
                <w:tcPr>
                  <w:tcW w:w="1129" w:type="dxa"/>
                  <w:tcBorders>
                    <w:top w:val="nil"/>
                    <w:left w:val="single" w:sz="4" w:space="0" w:color="auto"/>
                    <w:bottom w:val="single" w:sz="4" w:space="0" w:color="auto"/>
                    <w:right w:val="single" w:sz="4" w:space="0" w:color="auto"/>
                  </w:tcBorders>
                  <w:shd w:val="clear" w:color="000000" w:fill="D9D9D9"/>
                  <w:noWrap/>
                  <w:hideMark/>
                </w:tcPr>
                <w:p w:rsidR="00566E1B" w:rsidRPr="00227E07" w:rsidRDefault="00566E1B" w:rsidP="00566E1B">
                  <w:pPr>
                    <w:spacing w:after="0" w:line="240" w:lineRule="auto"/>
                    <w:jc w:val="center"/>
                    <w:rPr>
                      <w:rFonts w:ascii="Calibri" w:eastAsia="Times New Roman" w:hAnsi="Calibri" w:cs="Times New Roman"/>
                      <w:b/>
                      <w:bCs/>
                      <w:color w:val="000000"/>
                      <w:lang w:eastAsia="en-GB"/>
                    </w:rPr>
                  </w:pPr>
                  <w:r w:rsidRPr="00227E07">
                    <w:rPr>
                      <w:rFonts w:ascii="Calibri" w:eastAsia="Times New Roman" w:hAnsi="Calibri" w:cs="Times New Roman"/>
                      <w:b/>
                      <w:bCs/>
                      <w:color w:val="000000"/>
                      <w:lang w:eastAsia="en-GB"/>
                    </w:rPr>
                    <w:t>264</w:t>
                  </w:r>
                </w:p>
              </w:tc>
              <w:tc>
                <w:tcPr>
                  <w:tcW w:w="993" w:type="dxa"/>
                  <w:tcBorders>
                    <w:top w:val="nil"/>
                    <w:left w:val="nil"/>
                    <w:bottom w:val="single" w:sz="4" w:space="0" w:color="auto"/>
                    <w:right w:val="single" w:sz="4" w:space="0" w:color="auto"/>
                  </w:tcBorders>
                  <w:shd w:val="clear" w:color="auto" w:fill="auto"/>
                  <w:noWrap/>
                  <w:hideMark/>
                </w:tcPr>
                <w:p w:rsidR="00566E1B" w:rsidRPr="00227E07" w:rsidRDefault="00566E1B" w:rsidP="00566E1B">
                  <w:pPr>
                    <w:spacing w:after="0" w:line="240" w:lineRule="auto"/>
                    <w:jc w:val="center"/>
                    <w:rPr>
                      <w:rFonts w:ascii="Calibri" w:eastAsia="Times New Roman" w:hAnsi="Calibri" w:cs="Times New Roman"/>
                      <w:b/>
                      <w:bCs/>
                      <w:color w:val="000000"/>
                      <w:lang w:eastAsia="en-GB"/>
                    </w:rPr>
                  </w:pPr>
                  <w:r w:rsidRPr="00227E07">
                    <w:rPr>
                      <w:rFonts w:ascii="Calibri" w:eastAsia="Times New Roman" w:hAnsi="Calibri" w:cs="Times New Roman"/>
                      <w:b/>
                      <w:bCs/>
                      <w:color w:val="000000"/>
                      <w:lang w:eastAsia="en-GB"/>
                    </w:rPr>
                    <w:t>262</w:t>
                  </w:r>
                </w:p>
              </w:tc>
              <w:tc>
                <w:tcPr>
                  <w:tcW w:w="1134" w:type="dxa"/>
                  <w:tcBorders>
                    <w:top w:val="nil"/>
                    <w:left w:val="nil"/>
                    <w:bottom w:val="single" w:sz="4" w:space="0" w:color="auto"/>
                    <w:right w:val="single" w:sz="4" w:space="0" w:color="auto"/>
                  </w:tcBorders>
                  <w:shd w:val="clear" w:color="auto" w:fill="auto"/>
                  <w:noWrap/>
                  <w:hideMark/>
                </w:tcPr>
                <w:p w:rsidR="00566E1B" w:rsidRPr="00227E07" w:rsidRDefault="00566E1B" w:rsidP="00566E1B">
                  <w:pPr>
                    <w:spacing w:after="0" w:line="240" w:lineRule="auto"/>
                    <w:jc w:val="center"/>
                    <w:rPr>
                      <w:rFonts w:ascii="Calibri" w:eastAsia="Times New Roman" w:hAnsi="Calibri" w:cs="Times New Roman"/>
                      <w:b/>
                      <w:bCs/>
                      <w:color w:val="000000"/>
                      <w:lang w:eastAsia="en-GB"/>
                    </w:rPr>
                  </w:pPr>
                  <w:r w:rsidRPr="00227E07">
                    <w:rPr>
                      <w:rFonts w:ascii="Calibri" w:eastAsia="Times New Roman" w:hAnsi="Calibri" w:cs="Times New Roman"/>
                      <w:b/>
                      <w:bCs/>
                      <w:color w:val="000000"/>
                      <w:lang w:eastAsia="en-GB"/>
                    </w:rPr>
                    <w:t>239</w:t>
                  </w:r>
                </w:p>
              </w:tc>
              <w:tc>
                <w:tcPr>
                  <w:tcW w:w="1134" w:type="dxa"/>
                  <w:tcBorders>
                    <w:top w:val="nil"/>
                    <w:left w:val="nil"/>
                    <w:bottom w:val="single" w:sz="4" w:space="0" w:color="auto"/>
                    <w:right w:val="single" w:sz="4" w:space="0" w:color="auto"/>
                  </w:tcBorders>
                  <w:shd w:val="clear" w:color="auto" w:fill="auto"/>
                  <w:noWrap/>
                  <w:hideMark/>
                </w:tcPr>
                <w:p w:rsidR="00566E1B" w:rsidRPr="00227E07" w:rsidRDefault="00566E1B" w:rsidP="00566E1B">
                  <w:pPr>
                    <w:spacing w:after="0" w:line="240" w:lineRule="auto"/>
                    <w:jc w:val="center"/>
                    <w:rPr>
                      <w:rFonts w:ascii="Calibri" w:eastAsia="Times New Roman" w:hAnsi="Calibri" w:cs="Times New Roman"/>
                      <w:b/>
                      <w:bCs/>
                      <w:color w:val="000000"/>
                      <w:lang w:eastAsia="en-GB"/>
                    </w:rPr>
                  </w:pPr>
                  <w:r w:rsidRPr="00227E07">
                    <w:rPr>
                      <w:rFonts w:ascii="Calibri" w:eastAsia="Times New Roman" w:hAnsi="Calibri" w:cs="Times New Roman"/>
                      <w:b/>
                      <w:bCs/>
                      <w:color w:val="000000"/>
                      <w:lang w:eastAsia="en-GB"/>
                    </w:rPr>
                    <w:t>141</w:t>
                  </w:r>
                </w:p>
              </w:tc>
            </w:tr>
          </w:tbl>
          <w:p w:rsidR="00566E1B" w:rsidRDefault="00566E1B" w:rsidP="00566E1B"/>
          <w:p w:rsidR="00566E1B" w:rsidRPr="00A63F86" w:rsidRDefault="00566E1B" w:rsidP="00566E1B">
            <w:pPr>
              <w:rPr>
                <w:b/>
              </w:rPr>
            </w:pPr>
          </w:p>
        </w:tc>
      </w:tr>
    </w:tbl>
    <w:p w:rsidR="00566E1B" w:rsidRPr="00C60545" w:rsidRDefault="00566E1B" w:rsidP="00566E1B">
      <w:pPr>
        <w:spacing w:after="0" w:line="240" w:lineRule="auto"/>
        <w:rPr>
          <w:rFonts w:ascii="Segoe UI" w:hAnsi="Segoe UI" w:cs="Segoe UI"/>
        </w:rPr>
      </w:pPr>
    </w:p>
    <w:p w:rsidR="00566E1B" w:rsidRDefault="00547644" w:rsidP="00566E1B">
      <w:pPr>
        <w:spacing w:after="0" w:line="240" w:lineRule="auto"/>
        <w:rPr>
          <w:rFonts w:ascii="Segoe UI" w:hAnsi="Segoe UI" w:cs="Segoe UI"/>
          <w:b/>
        </w:rPr>
      </w:pPr>
      <w:r w:rsidRPr="000E20F0">
        <w:rPr>
          <w:rFonts w:ascii="Segoe UI" w:hAnsi="Segoe UI" w:cs="Segoe UI"/>
          <w:b/>
        </w:rPr>
        <w:t>Learning Events</w:t>
      </w:r>
      <w:r w:rsidR="00B665F4" w:rsidRPr="000E20F0">
        <w:rPr>
          <w:rFonts w:ascii="Segoe UI" w:hAnsi="Segoe UI" w:cs="Segoe UI"/>
          <w:b/>
        </w:rPr>
        <w:t xml:space="preserve">: </w:t>
      </w:r>
    </w:p>
    <w:p w:rsidR="00C60545" w:rsidRPr="000E20F0" w:rsidRDefault="00547644" w:rsidP="00566E1B">
      <w:pPr>
        <w:spacing w:after="0" w:line="240" w:lineRule="auto"/>
        <w:rPr>
          <w:rFonts w:ascii="Segoe UI" w:hAnsi="Segoe UI" w:cs="Segoe UI"/>
        </w:rPr>
      </w:pPr>
      <w:r w:rsidRPr="000E20F0">
        <w:rPr>
          <w:rFonts w:ascii="Segoe UI" w:hAnsi="Segoe UI" w:cs="Segoe UI"/>
        </w:rPr>
        <w:t xml:space="preserve">A learning event is scheduled for June 2016 in relation to medication management. Eighty delegates are expected to attend including some users.  Due to the unprecedented demand we have been able to secure funding with the Learning and Development team to </w:t>
      </w:r>
      <w:r w:rsidR="000E20F0">
        <w:rPr>
          <w:rFonts w:ascii="Segoe UI" w:hAnsi="Segoe UI" w:cs="Segoe UI"/>
        </w:rPr>
        <w:t>put the event on at Unipart in O</w:t>
      </w:r>
      <w:r w:rsidRPr="000E20F0">
        <w:rPr>
          <w:rFonts w:ascii="Segoe UI" w:hAnsi="Segoe UI" w:cs="Segoe UI"/>
        </w:rPr>
        <w:t>xford.</w:t>
      </w:r>
    </w:p>
    <w:p w:rsidR="00566E1B" w:rsidRDefault="00566E1B" w:rsidP="00566E1B">
      <w:pPr>
        <w:spacing w:after="0" w:line="240" w:lineRule="auto"/>
        <w:rPr>
          <w:rFonts w:ascii="Segoe UI" w:hAnsi="Segoe UI" w:cs="Segoe UI"/>
          <w:b/>
        </w:rPr>
      </w:pPr>
    </w:p>
    <w:p w:rsidR="00547644" w:rsidRPr="000E20F0" w:rsidRDefault="00547644" w:rsidP="00566E1B">
      <w:pPr>
        <w:spacing w:after="0" w:line="240" w:lineRule="auto"/>
        <w:rPr>
          <w:rFonts w:ascii="Segoe UI" w:hAnsi="Segoe UI" w:cs="Segoe UI"/>
        </w:rPr>
      </w:pPr>
      <w:r w:rsidRPr="000E20F0">
        <w:rPr>
          <w:rFonts w:ascii="Segoe UI" w:hAnsi="Segoe UI" w:cs="Segoe UI"/>
          <w:b/>
        </w:rPr>
        <w:t>Risk Notes</w:t>
      </w:r>
      <w:r w:rsidR="00C60545" w:rsidRPr="000E20F0">
        <w:rPr>
          <w:rFonts w:ascii="Segoe UI" w:hAnsi="Segoe UI" w:cs="Segoe UI"/>
          <w:b/>
        </w:rPr>
        <w:t xml:space="preserve">: </w:t>
      </w:r>
      <w:r w:rsidRPr="000E20F0">
        <w:rPr>
          <w:rFonts w:ascii="Segoe UI" w:hAnsi="Segoe UI" w:cs="Segoe UI"/>
        </w:rPr>
        <w:t>There have been three risk notes and one reissued action note in Q4 2014-5</w:t>
      </w:r>
    </w:p>
    <w:p w:rsidR="00547644" w:rsidRPr="000E20F0" w:rsidRDefault="00547644" w:rsidP="00566E1B">
      <w:pPr>
        <w:pStyle w:val="ListParagraph"/>
        <w:numPr>
          <w:ilvl w:val="0"/>
          <w:numId w:val="25"/>
        </w:numPr>
        <w:spacing w:before="13" w:after="0" w:line="240" w:lineRule="auto"/>
        <w:ind w:right="2102"/>
        <w:jc w:val="both"/>
        <w:rPr>
          <w:rFonts w:ascii="Segoe UI" w:eastAsia="Segoe UI" w:hAnsi="Segoe UI" w:cs="Segoe UI"/>
        </w:rPr>
      </w:pPr>
      <w:r w:rsidRPr="000E20F0">
        <w:rPr>
          <w:rFonts w:ascii="Segoe UI" w:eastAsia="Segoe UI" w:hAnsi="Segoe UI" w:cs="Segoe UI"/>
          <w:bCs/>
        </w:rPr>
        <w:t>Phot</w:t>
      </w:r>
      <w:r w:rsidRPr="000E20F0">
        <w:rPr>
          <w:rFonts w:ascii="Segoe UI" w:eastAsia="Segoe UI" w:hAnsi="Segoe UI" w:cs="Segoe UI"/>
          <w:bCs/>
          <w:spacing w:val="1"/>
        </w:rPr>
        <w:t>o</w:t>
      </w:r>
      <w:r w:rsidRPr="000E20F0">
        <w:rPr>
          <w:rFonts w:ascii="Segoe UI" w:eastAsia="Segoe UI" w:hAnsi="Segoe UI" w:cs="Segoe UI"/>
          <w:bCs/>
        </w:rPr>
        <w:t>graphic</w:t>
      </w:r>
      <w:r w:rsidRPr="000E20F0">
        <w:rPr>
          <w:rFonts w:ascii="Segoe UI" w:eastAsia="Segoe UI" w:hAnsi="Segoe UI" w:cs="Segoe UI"/>
          <w:bCs/>
          <w:spacing w:val="-14"/>
        </w:rPr>
        <w:t xml:space="preserve"> </w:t>
      </w:r>
      <w:r w:rsidRPr="000E20F0">
        <w:rPr>
          <w:rFonts w:ascii="Segoe UI" w:eastAsia="Segoe UI" w:hAnsi="Segoe UI" w:cs="Segoe UI"/>
          <w:bCs/>
        </w:rPr>
        <w:t>r</w:t>
      </w:r>
      <w:r w:rsidRPr="000E20F0">
        <w:rPr>
          <w:rFonts w:ascii="Segoe UI" w:eastAsia="Segoe UI" w:hAnsi="Segoe UI" w:cs="Segoe UI"/>
          <w:bCs/>
          <w:spacing w:val="2"/>
        </w:rPr>
        <w:t>e</w:t>
      </w:r>
      <w:r w:rsidRPr="000E20F0">
        <w:rPr>
          <w:rFonts w:ascii="Segoe UI" w:eastAsia="Segoe UI" w:hAnsi="Segoe UI" w:cs="Segoe UI"/>
          <w:bCs/>
        </w:rPr>
        <w:t>cord</w:t>
      </w:r>
      <w:r w:rsidRPr="000E20F0">
        <w:rPr>
          <w:rFonts w:ascii="Segoe UI" w:eastAsia="Segoe UI" w:hAnsi="Segoe UI" w:cs="Segoe UI"/>
          <w:bCs/>
          <w:spacing w:val="1"/>
        </w:rPr>
        <w:t>i</w:t>
      </w:r>
      <w:r w:rsidRPr="000E20F0">
        <w:rPr>
          <w:rFonts w:ascii="Segoe UI" w:eastAsia="Segoe UI" w:hAnsi="Segoe UI" w:cs="Segoe UI"/>
          <w:bCs/>
          <w:spacing w:val="-1"/>
        </w:rPr>
        <w:t>n</w:t>
      </w:r>
      <w:r w:rsidRPr="000E20F0">
        <w:rPr>
          <w:rFonts w:ascii="Segoe UI" w:eastAsia="Segoe UI" w:hAnsi="Segoe UI" w:cs="Segoe UI"/>
          <w:bCs/>
        </w:rPr>
        <w:t>g</w:t>
      </w:r>
      <w:r w:rsidRPr="000E20F0">
        <w:rPr>
          <w:rFonts w:ascii="Segoe UI" w:eastAsia="Segoe UI" w:hAnsi="Segoe UI" w:cs="Segoe UI"/>
          <w:bCs/>
          <w:spacing w:val="-11"/>
        </w:rPr>
        <w:t xml:space="preserve"> </w:t>
      </w:r>
      <w:r w:rsidRPr="000E20F0">
        <w:rPr>
          <w:rFonts w:ascii="Segoe UI" w:eastAsia="Segoe UI" w:hAnsi="Segoe UI" w:cs="Segoe UI"/>
          <w:bCs/>
        </w:rPr>
        <w:t>of</w:t>
      </w:r>
      <w:r w:rsidRPr="000E20F0">
        <w:rPr>
          <w:rFonts w:ascii="Segoe UI" w:eastAsia="Segoe UI" w:hAnsi="Segoe UI" w:cs="Segoe UI"/>
          <w:bCs/>
          <w:spacing w:val="-14"/>
        </w:rPr>
        <w:t xml:space="preserve"> </w:t>
      </w:r>
      <w:r w:rsidRPr="000E20F0">
        <w:rPr>
          <w:rFonts w:ascii="Segoe UI" w:eastAsia="Segoe UI" w:hAnsi="Segoe UI" w:cs="Segoe UI"/>
          <w:bCs/>
        </w:rPr>
        <w:t>in</w:t>
      </w:r>
      <w:r w:rsidRPr="000E20F0">
        <w:rPr>
          <w:rFonts w:ascii="Segoe UI" w:eastAsia="Segoe UI" w:hAnsi="Segoe UI" w:cs="Segoe UI"/>
          <w:bCs/>
          <w:spacing w:val="2"/>
        </w:rPr>
        <w:t>j</w:t>
      </w:r>
      <w:r w:rsidRPr="000E20F0">
        <w:rPr>
          <w:rFonts w:ascii="Segoe UI" w:eastAsia="Segoe UI" w:hAnsi="Segoe UI" w:cs="Segoe UI"/>
          <w:bCs/>
          <w:spacing w:val="-1"/>
        </w:rPr>
        <w:t>u</w:t>
      </w:r>
      <w:r w:rsidRPr="000E20F0">
        <w:rPr>
          <w:rFonts w:ascii="Segoe UI" w:eastAsia="Segoe UI" w:hAnsi="Segoe UI" w:cs="Segoe UI"/>
          <w:bCs/>
          <w:spacing w:val="2"/>
        </w:rPr>
        <w:t>r</w:t>
      </w:r>
      <w:r w:rsidRPr="000E20F0">
        <w:rPr>
          <w:rFonts w:ascii="Segoe UI" w:eastAsia="Segoe UI" w:hAnsi="Segoe UI" w:cs="Segoe UI"/>
          <w:bCs/>
        </w:rPr>
        <w:t>y</w:t>
      </w:r>
      <w:r w:rsidRPr="000E20F0">
        <w:rPr>
          <w:rFonts w:ascii="Segoe UI" w:eastAsia="Segoe UI" w:hAnsi="Segoe UI" w:cs="Segoe UI"/>
          <w:bCs/>
          <w:spacing w:val="-12"/>
        </w:rPr>
        <w:t xml:space="preserve"> </w:t>
      </w:r>
      <w:r w:rsidRPr="000E20F0">
        <w:rPr>
          <w:rFonts w:ascii="Segoe UI" w:eastAsia="Segoe UI" w:hAnsi="Segoe UI" w:cs="Segoe UI"/>
          <w:bCs/>
        </w:rPr>
        <w:t>to</w:t>
      </w:r>
      <w:r w:rsidRPr="000E20F0">
        <w:rPr>
          <w:rFonts w:ascii="Segoe UI" w:eastAsia="Segoe UI" w:hAnsi="Segoe UI" w:cs="Segoe UI"/>
          <w:bCs/>
          <w:spacing w:val="-14"/>
        </w:rPr>
        <w:t xml:space="preserve"> </w:t>
      </w:r>
      <w:r w:rsidRPr="000E20F0">
        <w:rPr>
          <w:rFonts w:ascii="Segoe UI" w:eastAsia="Segoe UI" w:hAnsi="Segoe UI" w:cs="Segoe UI"/>
          <w:bCs/>
          <w:spacing w:val="-1"/>
        </w:rPr>
        <w:t>p</w:t>
      </w:r>
      <w:r w:rsidRPr="000E20F0">
        <w:rPr>
          <w:rFonts w:ascii="Segoe UI" w:eastAsia="Segoe UI" w:hAnsi="Segoe UI" w:cs="Segoe UI"/>
          <w:bCs/>
        </w:rPr>
        <w:t>atie</w:t>
      </w:r>
      <w:r w:rsidRPr="000E20F0">
        <w:rPr>
          <w:rFonts w:ascii="Segoe UI" w:eastAsia="Segoe UI" w:hAnsi="Segoe UI" w:cs="Segoe UI"/>
          <w:bCs/>
          <w:spacing w:val="-1"/>
        </w:rPr>
        <w:t>n</w:t>
      </w:r>
      <w:r w:rsidRPr="000E20F0">
        <w:rPr>
          <w:rFonts w:ascii="Segoe UI" w:eastAsia="Segoe UI" w:hAnsi="Segoe UI" w:cs="Segoe UI"/>
          <w:bCs/>
        </w:rPr>
        <w:t>ts</w:t>
      </w:r>
    </w:p>
    <w:p w:rsidR="00547644" w:rsidRPr="000E20F0" w:rsidRDefault="00547644" w:rsidP="00566E1B">
      <w:pPr>
        <w:pStyle w:val="ListParagraph"/>
        <w:numPr>
          <w:ilvl w:val="0"/>
          <w:numId w:val="25"/>
        </w:numPr>
        <w:spacing w:after="0" w:line="240" w:lineRule="auto"/>
        <w:ind w:right="119"/>
        <w:jc w:val="both"/>
        <w:rPr>
          <w:rFonts w:ascii="Segoe UI" w:eastAsia="Calibri" w:hAnsi="Segoe UI" w:cs="Segoe UI"/>
        </w:rPr>
      </w:pPr>
      <w:r w:rsidRPr="000E20F0">
        <w:rPr>
          <w:rFonts w:ascii="Segoe UI" w:eastAsia="Calibri" w:hAnsi="Segoe UI" w:cs="Segoe UI"/>
          <w:bCs/>
          <w:spacing w:val="-3"/>
        </w:rPr>
        <w:t>P</w:t>
      </w:r>
      <w:r w:rsidRPr="000E20F0">
        <w:rPr>
          <w:rFonts w:ascii="Segoe UI" w:eastAsia="Calibri" w:hAnsi="Segoe UI" w:cs="Segoe UI"/>
          <w:bCs/>
        </w:rPr>
        <w:t>r</w:t>
      </w:r>
      <w:r w:rsidRPr="000E20F0">
        <w:rPr>
          <w:rFonts w:ascii="Segoe UI" w:eastAsia="Calibri" w:hAnsi="Segoe UI" w:cs="Segoe UI"/>
          <w:bCs/>
          <w:spacing w:val="-1"/>
        </w:rPr>
        <w:t>o</w:t>
      </w:r>
      <w:r w:rsidRPr="000E20F0">
        <w:rPr>
          <w:rFonts w:ascii="Segoe UI" w:eastAsia="Calibri" w:hAnsi="Segoe UI" w:cs="Segoe UI"/>
          <w:bCs/>
        </w:rPr>
        <w:t>vi</w:t>
      </w:r>
      <w:r w:rsidRPr="000E20F0">
        <w:rPr>
          <w:rFonts w:ascii="Segoe UI" w:eastAsia="Calibri" w:hAnsi="Segoe UI" w:cs="Segoe UI"/>
          <w:bCs/>
          <w:spacing w:val="-4"/>
        </w:rPr>
        <w:t>d</w:t>
      </w:r>
      <w:r w:rsidRPr="000E20F0">
        <w:rPr>
          <w:rFonts w:ascii="Segoe UI" w:eastAsia="Calibri" w:hAnsi="Segoe UI" w:cs="Segoe UI"/>
          <w:bCs/>
        </w:rPr>
        <w:t>i</w:t>
      </w:r>
      <w:r w:rsidRPr="000E20F0">
        <w:rPr>
          <w:rFonts w:ascii="Segoe UI" w:eastAsia="Calibri" w:hAnsi="Segoe UI" w:cs="Segoe UI"/>
          <w:bCs/>
          <w:spacing w:val="-1"/>
        </w:rPr>
        <w:t>n</w:t>
      </w:r>
      <w:r w:rsidRPr="000E20F0">
        <w:rPr>
          <w:rFonts w:ascii="Segoe UI" w:eastAsia="Calibri" w:hAnsi="Segoe UI" w:cs="Segoe UI"/>
          <w:bCs/>
        </w:rPr>
        <w:t>g</w:t>
      </w:r>
      <w:r w:rsidRPr="000E20F0">
        <w:rPr>
          <w:rFonts w:ascii="Segoe UI" w:eastAsia="Calibri" w:hAnsi="Segoe UI" w:cs="Segoe UI"/>
          <w:bCs/>
          <w:spacing w:val="17"/>
        </w:rPr>
        <w:t xml:space="preserve"> </w:t>
      </w:r>
      <w:r w:rsidRPr="000E20F0">
        <w:rPr>
          <w:rFonts w:ascii="Segoe UI" w:eastAsia="Calibri" w:hAnsi="Segoe UI" w:cs="Segoe UI"/>
          <w:bCs/>
          <w:spacing w:val="-2"/>
        </w:rPr>
        <w:t>w</w:t>
      </w:r>
      <w:r w:rsidRPr="000E20F0">
        <w:rPr>
          <w:rFonts w:ascii="Segoe UI" w:eastAsia="Calibri" w:hAnsi="Segoe UI" w:cs="Segoe UI"/>
          <w:bCs/>
        </w:rPr>
        <w:t>ritten</w:t>
      </w:r>
      <w:r w:rsidRPr="000E20F0">
        <w:rPr>
          <w:rFonts w:ascii="Segoe UI" w:eastAsia="Calibri" w:hAnsi="Segoe UI" w:cs="Segoe UI"/>
          <w:bCs/>
          <w:spacing w:val="16"/>
        </w:rPr>
        <w:t xml:space="preserve"> </w:t>
      </w:r>
      <w:r w:rsidRPr="000E20F0">
        <w:rPr>
          <w:rFonts w:ascii="Segoe UI" w:eastAsia="Calibri" w:hAnsi="Segoe UI" w:cs="Segoe UI"/>
          <w:bCs/>
        </w:rPr>
        <w:t>i</w:t>
      </w:r>
      <w:r w:rsidRPr="000E20F0">
        <w:rPr>
          <w:rFonts w:ascii="Segoe UI" w:eastAsia="Calibri" w:hAnsi="Segoe UI" w:cs="Segoe UI"/>
          <w:bCs/>
          <w:spacing w:val="-1"/>
        </w:rPr>
        <w:t>n</w:t>
      </w:r>
      <w:r w:rsidRPr="000E20F0">
        <w:rPr>
          <w:rFonts w:ascii="Segoe UI" w:eastAsia="Calibri" w:hAnsi="Segoe UI" w:cs="Segoe UI"/>
          <w:bCs/>
          <w:spacing w:val="-3"/>
        </w:rPr>
        <w:t>f</w:t>
      </w:r>
      <w:r w:rsidRPr="000E20F0">
        <w:rPr>
          <w:rFonts w:ascii="Segoe UI" w:eastAsia="Calibri" w:hAnsi="Segoe UI" w:cs="Segoe UI"/>
          <w:bCs/>
          <w:spacing w:val="-1"/>
        </w:rPr>
        <w:t>o</w:t>
      </w:r>
      <w:r w:rsidRPr="000E20F0">
        <w:rPr>
          <w:rFonts w:ascii="Segoe UI" w:eastAsia="Calibri" w:hAnsi="Segoe UI" w:cs="Segoe UI"/>
          <w:bCs/>
        </w:rPr>
        <w:t>rmati</w:t>
      </w:r>
      <w:r w:rsidRPr="000E20F0">
        <w:rPr>
          <w:rFonts w:ascii="Segoe UI" w:eastAsia="Calibri" w:hAnsi="Segoe UI" w:cs="Segoe UI"/>
          <w:bCs/>
          <w:spacing w:val="-1"/>
        </w:rPr>
        <w:t>o</w:t>
      </w:r>
      <w:r w:rsidRPr="000E20F0">
        <w:rPr>
          <w:rFonts w:ascii="Segoe UI" w:eastAsia="Calibri" w:hAnsi="Segoe UI" w:cs="Segoe UI"/>
          <w:bCs/>
        </w:rPr>
        <w:t>n</w:t>
      </w:r>
      <w:r w:rsidRPr="000E20F0">
        <w:rPr>
          <w:rFonts w:ascii="Segoe UI" w:eastAsia="Calibri" w:hAnsi="Segoe UI" w:cs="Segoe UI"/>
          <w:bCs/>
          <w:spacing w:val="18"/>
        </w:rPr>
        <w:t xml:space="preserve"> </w:t>
      </w:r>
      <w:r w:rsidRPr="000E20F0">
        <w:rPr>
          <w:rFonts w:ascii="Segoe UI" w:eastAsia="Calibri" w:hAnsi="Segoe UI" w:cs="Segoe UI"/>
          <w:bCs/>
        </w:rPr>
        <w:t>f</w:t>
      </w:r>
      <w:r w:rsidRPr="000E20F0">
        <w:rPr>
          <w:rFonts w:ascii="Segoe UI" w:eastAsia="Calibri" w:hAnsi="Segoe UI" w:cs="Segoe UI"/>
          <w:bCs/>
          <w:spacing w:val="-2"/>
        </w:rPr>
        <w:t>o</w:t>
      </w:r>
      <w:r w:rsidRPr="000E20F0">
        <w:rPr>
          <w:rFonts w:ascii="Segoe UI" w:eastAsia="Calibri" w:hAnsi="Segoe UI" w:cs="Segoe UI"/>
          <w:bCs/>
        </w:rPr>
        <w:t>r</w:t>
      </w:r>
      <w:r w:rsidRPr="000E20F0">
        <w:rPr>
          <w:rFonts w:ascii="Segoe UI" w:eastAsia="Calibri" w:hAnsi="Segoe UI" w:cs="Segoe UI"/>
          <w:bCs/>
          <w:spacing w:val="17"/>
        </w:rPr>
        <w:t xml:space="preserve"> </w:t>
      </w:r>
      <w:r w:rsidRPr="000E20F0">
        <w:rPr>
          <w:rFonts w:ascii="Segoe UI" w:eastAsia="Calibri" w:hAnsi="Segoe UI" w:cs="Segoe UI"/>
          <w:bCs/>
        </w:rPr>
        <w:t>me</w:t>
      </w:r>
      <w:r w:rsidRPr="000E20F0">
        <w:rPr>
          <w:rFonts w:ascii="Segoe UI" w:eastAsia="Calibri" w:hAnsi="Segoe UI" w:cs="Segoe UI"/>
          <w:bCs/>
          <w:spacing w:val="-2"/>
        </w:rPr>
        <w:t>di</w:t>
      </w:r>
      <w:r w:rsidRPr="000E20F0">
        <w:rPr>
          <w:rFonts w:ascii="Segoe UI" w:eastAsia="Calibri" w:hAnsi="Segoe UI" w:cs="Segoe UI"/>
          <w:bCs/>
          <w:spacing w:val="1"/>
        </w:rPr>
        <w:t>c</w:t>
      </w:r>
      <w:r w:rsidRPr="000E20F0">
        <w:rPr>
          <w:rFonts w:ascii="Segoe UI" w:eastAsia="Calibri" w:hAnsi="Segoe UI" w:cs="Segoe UI"/>
          <w:bCs/>
          <w:spacing w:val="-2"/>
        </w:rPr>
        <w:t>a</w:t>
      </w:r>
      <w:r w:rsidRPr="000E20F0">
        <w:rPr>
          <w:rFonts w:ascii="Segoe UI" w:eastAsia="Calibri" w:hAnsi="Segoe UI" w:cs="Segoe UI"/>
          <w:bCs/>
        </w:rPr>
        <w:t>t</w:t>
      </w:r>
      <w:r w:rsidRPr="000E20F0">
        <w:rPr>
          <w:rFonts w:ascii="Segoe UI" w:eastAsia="Calibri" w:hAnsi="Segoe UI" w:cs="Segoe UI"/>
          <w:bCs/>
          <w:spacing w:val="1"/>
        </w:rPr>
        <w:t>i</w:t>
      </w:r>
      <w:r w:rsidRPr="000E20F0">
        <w:rPr>
          <w:rFonts w:ascii="Segoe UI" w:eastAsia="Calibri" w:hAnsi="Segoe UI" w:cs="Segoe UI"/>
          <w:bCs/>
          <w:spacing w:val="-1"/>
        </w:rPr>
        <w:t>o</w:t>
      </w:r>
      <w:r w:rsidRPr="000E20F0">
        <w:rPr>
          <w:rFonts w:ascii="Segoe UI" w:eastAsia="Calibri" w:hAnsi="Segoe UI" w:cs="Segoe UI"/>
          <w:bCs/>
        </w:rPr>
        <w:t>n</w:t>
      </w:r>
      <w:r w:rsidRPr="000E20F0">
        <w:rPr>
          <w:rFonts w:ascii="Segoe UI" w:eastAsia="Calibri" w:hAnsi="Segoe UI" w:cs="Segoe UI"/>
          <w:bCs/>
          <w:spacing w:val="22"/>
        </w:rPr>
        <w:t xml:space="preserve"> </w:t>
      </w:r>
      <w:r w:rsidRPr="000E20F0">
        <w:rPr>
          <w:rFonts w:ascii="Segoe UI" w:eastAsia="Calibri" w:hAnsi="Segoe UI" w:cs="Segoe UI"/>
          <w:bCs/>
          <w:spacing w:val="-3"/>
        </w:rPr>
        <w:t>t</w:t>
      </w:r>
      <w:r w:rsidRPr="000E20F0">
        <w:rPr>
          <w:rFonts w:ascii="Segoe UI" w:eastAsia="Calibri" w:hAnsi="Segoe UI" w:cs="Segoe UI"/>
          <w:bCs/>
        </w:rPr>
        <w:t>o</w:t>
      </w:r>
      <w:r w:rsidRPr="000E20F0">
        <w:rPr>
          <w:rFonts w:ascii="Segoe UI" w:eastAsia="Calibri" w:hAnsi="Segoe UI" w:cs="Segoe UI"/>
          <w:bCs/>
          <w:spacing w:val="18"/>
        </w:rPr>
        <w:t xml:space="preserve"> </w:t>
      </w:r>
      <w:r w:rsidRPr="000E20F0">
        <w:rPr>
          <w:rFonts w:ascii="Segoe UI" w:eastAsia="Calibri" w:hAnsi="Segoe UI" w:cs="Segoe UI"/>
          <w:bCs/>
        </w:rPr>
        <w:t>C</w:t>
      </w:r>
      <w:r w:rsidRPr="000E20F0">
        <w:rPr>
          <w:rFonts w:ascii="Segoe UI" w:eastAsia="Calibri" w:hAnsi="Segoe UI" w:cs="Segoe UI"/>
          <w:bCs/>
          <w:spacing w:val="-1"/>
        </w:rPr>
        <w:t>h</w:t>
      </w:r>
      <w:r w:rsidRPr="000E20F0">
        <w:rPr>
          <w:rFonts w:ascii="Segoe UI" w:eastAsia="Calibri" w:hAnsi="Segoe UI" w:cs="Segoe UI"/>
          <w:bCs/>
        </w:rPr>
        <w:t>il</w:t>
      </w:r>
      <w:r w:rsidRPr="000E20F0">
        <w:rPr>
          <w:rFonts w:ascii="Segoe UI" w:eastAsia="Calibri" w:hAnsi="Segoe UI" w:cs="Segoe UI"/>
          <w:bCs/>
          <w:spacing w:val="-4"/>
        </w:rPr>
        <w:t>d</w:t>
      </w:r>
      <w:r w:rsidRPr="000E20F0">
        <w:rPr>
          <w:rFonts w:ascii="Segoe UI" w:eastAsia="Calibri" w:hAnsi="Segoe UI" w:cs="Segoe UI"/>
          <w:bCs/>
        </w:rPr>
        <w:t>r</w:t>
      </w:r>
      <w:r w:rsidRPr="000E20F0">
        <w:rPr>
          <w:rFonts w:ascii="Segoe UI" w:eastAsia="Calibri" w:hAnsi="Segoe UI" w:cs="Segoe UI"/>
          <w:bCs/>
          <w:spacing w:val="-1"/>
        </w:rPr>
        <w:t>e</w:t>
      </w:r>
      <w:r w:rsidRPr="000E20F0">
        <w:rPr>
          <w:rFonts w:ascii="Segoe UI" w:eastAsia="Calibri" w:hAnsi="Segoe UI" w:cs="Segoe UI"/>
          <w:bCs/>
        </w:rPr>
        <w:t>n</w:t>
      </w:r>
      <w:r w:rsidRPr="000E20F0">
        <w:rPr>
          <w:rFonts w:ascii="Segoe UI" w:eastAsia="Calibri" w:hAnsi="Segoe UI" w:cs="Segoe UI"/>
          <w:bCs/>
          <w:spacing w:val="18"/>
        </w:rPr>
        <w:t xml:space="preserve"> </w:t>
      </w:r>
      <w:r w:rsidRPr="000E20F0">
        <w:rPr>
          <w:rFonts w:ascii="Segoe UI" w:eastAsia="Calibri" w:hAnsi="Segoe UI" w:cs="Segoe UI"/>
          <w:bCs/>
        </w:rPr>
        <w:t>Y</w:t>
      </w:r>
      <w:r w:rsidRPr="000E20F0">
        <w:rPr>
          <w:rFonts w:ascii="Segoe UI" w:eastAsia="Calibri" w:hAnsi="Segoe UI" w:cs="Segoe UI"/>
          <w:bCs/>
          <w:spacing w:val="-1"/>
        </w:rPr>
        <w:t>oun</w:t>
      </w:r>
      <w:r w:rsidRPr="000E20F0">
        <w:rPr>
          <w:rFonts w:ascii="Segoe UI" w:eastAsia="Calibri" w:hAnsi="Segoe UI" w:cs="Segoe UI"/>
          <w:bCs/>
        </w:rPr>
        <w:t>g</w:t>
      </w:r>
      <w:r w:rsidRPr="000E20F0">
        <w:rPr>
          <w:rFonts w:ascii="Segoe UI" w:eastAsia="Calibri" w:hAnsi="Segoe UI" w:cs="Segoe UI"/>
          <w:bCs/>
          <w:spacing w:val="18"/>
        </w:rPr>
        <w:t xml:space="preserve"> </w:t>
      </w:r>
      <w:r w:rsidRPr="000E20F0">
        <w:rPr>
          <w:rFonts w:ascii="Segoe UI" w:eastAsia="Calibri" w:hAnsi="Segoe UI" w:cs="Segoe UI"/>
          <w:bCs/>
          <w:spacing w:val="-1"/>
        </w:rPr>
        <w:t>peop</w:t>
      </w:r>
      <w:r w:rsidRPr="000E20F0">
        <w:rPr>
          <w:rFonts w:ascii="Segoe UI" w:eastAsia="Calibri" w:hAnsi="Segoe UI" w:cs="Segoe UI"/>
          <w:bCs/>
        </w:rPr>
        <w:t>le</w:t>
      </w:r>
      <w:r w:rsidRPr="000E20F0">
        <w:rPr>
          <w:rFonts w:ascii="Segoe UI" w:eastAsia="Calibri" w:hAnsi="Segoe UI" w:cs="Segoe UI"/>
          <w:bCs/>
          <w:spacing w:val="16"/>
        </w:rPr>
        <w:t xml:space="preserve"> </w:t>
      </w:r>
      <w:r w:rsidRPr="000E20F0">
        <w:rPr>
          <w:rFonts w:ascii="Segoe UI" w:eastAsia="Calibri" w:hAnsi="Segoe UI" w:cs="Segoe UI"/>
          <w:bCs/>
          <w:spacing w:val="-2"/>
        </w:rPr>
        <w:t>a</w:t>
      </w:r>
      <w:r w:rsidRPr="000E20F0">
        <w:rPr>
          <w:rFonts w:ascii="Segoe UI" w:eastAsia="Calibri" w:hAnsi="Segoe UI" w:cs="Segoe UI"/>
          <w:bCs/>
          <w:spacing w:val="-1"/>
        </w:rPr>
        <w:t>n</w:t>
      </w:r>
      <w:r w:rsidRPr="000E20F0">
        <w:rPr>
          <w:rFonts w:ascii="Segoe UI" w:eastAsia="Calibri" w:hAnsi="Segoe UI" w:cs="Segoe UI"/>
          <w:bCs/>
        </w:rPr>
        <w:t>d</w:t>
      </w:r>
      <w:r w:rsidRPr="000E20F0">
        <w:rPr>
          <w:rFonts w:ascii="Segoe UI" w:eastAsia="Calibri" w:hAnsi="Segoe UI" w:cs="Segoe UI"/>
          <w:bCs/>
          <w:spacing w:val="18"/>
        </w:rPr>
        <w:t xml:space="preserve"> </w:t>
      </w:r>
      <w:r w:rsidRPr="000E20F0">
        <w:rPr>
          <w:rFonts w:ascii="Segoe UI" w:eastAsia="Calibri" w:hAnsi="Segoe UI" w:cs="Segoe UI"/>
          <w:bCs/>
        </w:rPr>
        <w:t>t</w:t>
      </w:r>
      <w:r w:rsidRPr="000E20F0">
        <w:rPr>
          <w:rFonts w:ascii="Segoe UI" w:eastAsia="Calibri" w:hAnsi="Segoe UI" w:cs="Segoe UI"/>
          <w:bCs/>
          <w:spacing w:val="-1"/>
        </w:rPr>
        <w:t>he</w:t>
      </w:r>
      <w:r w:rsidRPr="000E20F0">
        <w:rPr>
          <w:rFonts w:ascii="Segoe UI" w:eastAsia="Calibri" w:hAnsi="Segoe UI" w:cs="Segoe UI"/>
          <w:bCs/>
        </w:rPr>
        <w:t>ir</w:t>
      </w:r>
      <w:r w:rsidRPr="000E20F0">
        <w:rPr>
          <w:rFonts w:ascii="Segoe UI" w:eastAsia="Calibri" w:hAnsi="Segoe UI" w:cs="Segoe UI"/>
          <w:bCs/>
          <w:spacing w:val="20"/>
        </w:rPr>
        <w:t xml:space="preserve"> </w:t>
      </w:r>
      <w:r w:rsidRPr="000E20F0">
        <w:rPr>
          <w:rFonts w:ascii="Segoe UI" w:eastAsia="Calibri" w:hAnsi="Segoe UI" w:cs="Segoe UI"/>
          <w:bCs/>
          <w:spacing w:val="-1"/>
        </w:rPr>
        <w:t>p</w:t>
      </w:r>
      <w:r w:rsidRPr="000E20F0">
        <w:rPr>
          <w:rFonts w:ascii="Segoe UI" w:eastAsia="Calibri" w:hAnsi="Segoe UI" w:cs="Segoe UI"/>
          <w:bCs/>
          <w:spacing w:val="-2"/>
        </w:rPr>
        <w:t>a</w:t>
      </w:r>
      <w:r w:rsidRPr="000E20F0">
        <w:rPr>
          <w:rFonts w:ascii="Segoe UI" w:eastAsia="Calibri" w:hAnsi="Segoe UI" w:cs="Segoe UI"/>
          <w:bCs/>
        </w:rPr>
        <w:t>r</w:t>
      </w:r>
      <w:r w:rsidRPr="000E20F0">
        <w:rPr>
          <w:rFonts w:ascii="Segoe UI" w:eastAsia="Calibri" w:hAnsi="Segoe UI" w:cs="Segoe UI"/>
          <w:bCs/>
          <w:spacing w:val="-1"/>
        </w:rPr>
        <w:t>en</w:t>
      </w:r>
      <w:r w:rsidRPr="000E20F0">
        <w:rPr>
          <w:rFonts w:ascii="Segoe UI" w:eastAsia="Calibri" w:hAnsi="Segoe UI" w:cs="Segoe UI"/>
          <w:bCs/>
        </w:rPr>
        <w:t>ts</w:t>
      </w:r>
      <w:r w:rsidRPr="000E20F0">
        <w:rPr>
          <w:rFonts w:ascii="Segoe UI" w:eastAsia="Calibri" w:hAnsi="Segoe UI" w:cs="Segoe UI"/>
          <w:bCs/>
          <w:spacing w:val="18"/>
        </w:rPr>
        <w:t xml:space="preserve"> </w:t>
      </w:r>
      <w:r w:rsidRPr="000E20F0">
        <w:rPr>
          <w:rFonts w:ascii="Segoe UI" w:eastAsia="Calibri" w:hAnsi="Segoe UI" w:cs="Segoe UI"/>
          <w:bCs/>
          <w:spacing w:val="-1"/>
        </w:rPr>
        <w:t>o</w:t>
      </w:r>
      <w:r w:rsidRPr="000E20F0">
        <w:rPr>
          <w:rFonts w:ascii="Segoe UI" w:eastAsia="Calibri" w:hAnsi="Segoe UI" w:cs="Segoe UI"/>
          <w:bCs/>
        </w:rPr>
        <w:t xml:space="preserve">r </w:t>
      </w:r>
      <w:r w:rsidRPr="000E20F0">
        <w:rPr>
          <w:rFonts w:ascii="Segoe UI" w:eastAsia="Calibri" w:hAnsi="Segoe UI" w:cs="Segoe UI"/>
          <w:bCs/>
          <w:spacing w:val="1"/>
        </w:rPr>
        <w:t>c</w:t>
      </w:r>
      <w:r w:rsidRPr="000E20F0">
        <w:rPr>
          <w:rFonts w:ascii="Segoe UI" w:eastAsia="Calibri" w:hAnsi="Segoe UI" w:cs="Segoe UI"/>
          <w:bCs/>
          <w:spacing w:val="-2"/>
        </w:rPr>
        <w:t>a</w:t>
      </w:r>
      <w:r w:rsidRPr="000E20F0">
        <w:rPr>
          <w:rFonts w:ascii="Segoe UI" w:eastAsia="Calibri" w:hAnsi="Segoe UI" w:cs="Segoe UI"/>
          <w:bCs/>
        </w:rPr>
        <w:t>r</w:t>
      </w:r>
      <w:r w:rsidRPr="000E20F0">
        <w:rPr>
          <w:rFonts w:ascii="Segoe UI" w:eastAsia="Calibri" w:hAnsi="Segoe UI" w:cs="Segoe UI"/>
          <w:bCs/>
          <w:spacing w:val="-1"/>
        </w:rPr>
        <w:t>e</w:t>
      </w:r>
      <w:r w:rsidRPr="000E20F0">
        <w:rPr>
          <w:rFonts w:ascii="Segoe UI" w:eastAsia="Calibri" w:hAnsi="Segoe UI" w:cs="Segoe UI"/>
          <w:bCs/>
        </w:rPr>
        <w:t>r</w:t>
      </w:r>
      <w:r w:rsidRPr="000E20F0">
        <w:rPr>
          <w:rFonts w:ascii="Segoe UI" w:eastAsia="Calibri" w:hAnsi="Segoe UI" w:cs="Segoe UI"/>
          <w:bCs/>
          <w:spacing w:val="-2"/>
        </w:rPr>
        <w:t>s</w:t>
      </w:r>
      <w:r w:rsidRPr="000E20F0">
        <w:rPr>
          <w:rFonts w:ascii="Segoe UI" w:eastAsia="Calibri" w:hAnsi="Segoe UI" w:cs="Segoe UI"/>
          <w:bCs/>
        </w:rPr>
        <w:t>.</w:t>
      </w:r>
    </w:p>
    <w:p w:rsidR="00547644" w:rsidRPr="000E20F0" w:rsidRDefault="00547644" w:rsidP="00566E1B">
      <w:pPr>
        <w:pStyle w:val="ListParagraph"/>
        <w:numPr>
          <w:ilvl w:val="0"/>
          <w:numId w:val="25"/>
        </w:numPr>
        <w:spacing w:after="0" w:line="240" w:lineRule="auto"/>
        <w:ind w:right="115"/>
        <w:jc w:val="both"/>
        <w:rPr>
          <w:rFonts w:ascii="Segoe UI" w:eastAsia="Calibri" w:hAnsi="Segoe UI" w:cs="Segoe UI"/>
          <w:i/>
        </w:rPr>
      </w:pPr>
      <w:r w:rsidRPr="000E20F0">
        <w:rPr>
          <w:rFonts w:ascii="Segoe UI" w:eastAsia="Arial" w:hAnsi="Segoe UI" w:cs="Segoe UI"/>
          <w:spacing w:val="-2"/>
        </w:rPr>
        <w:t>E</w:t>
      </w:r>
      <w:r w:rsidRPr="000E20F0">
        <w:rPr>
          <w:rFonts w:ascii="Segoe UI" w:eastAsia="Arial" w:hAnsi="Segoe UI" w:cs="Segoe UI"/>
        </w:rPr>
        <w:t>nd</w:t>
      </w:r>
      <w:r w:rsidRPr="000E20F0">
        <w:rPr>
          <w:rFonts w:ascii="Segoe UI" w:eastAsia="Arial" w:hAnsi="Segoe UI" w:cs="Segoe UI"/>
          <w:spacing w:val="-2"/>
        </w:rPr>
        <w:t xml:space="preserve"> o</w:t>
      </w:r>
      <w:r w:rsidRPr="000E20F0">
        <w:rPr>
          <w:rFonts w:ascii="Segoe UI" w:eastAsia="Arial" w:hAnsi="Segoe UI" w:cs="Segoe UI"/>
        </w:rPr>
        <w:t xml:space="preserve">f </w:t>
      </w:r>
      <w:r w:rsidRPr="000E20F0">
        <w:rPr>
          <w:rFonts w:ascii="Segoe UI" w:eastAsia="Arial" w:hAnsi="Segoe UI" w:cs="Segoe UI"/>
          <w:spacing w:val="1"/>
        </w:rPr>
        <w:t>L</w:t>
      </w:r>
      <w:r w:rsidRPr="000E20F0">
        <w:rPr>
          <w:rFonts w:ascii="Segoe UI" w:eastAsia="Arial" w:hAnsi="Segoe UI" w:cs="Segoe UI"/>
          <w:spacing w:val="-3"/>
        </w:rPr>
        <w:t>i</w:t>
      </w:r>
      <w:r w:rsidRPr="000E20F0">
        <w:rPr>
          <w:rFonts w:ascii="Segoe UI" w:eastAsia="Arial" w:hAnsi="Segoe UI" w:cs="Segoe UI"/>
          <w:spacing w:val="2"/>
        </w:rPr>
        <w:t>f</w:t>
      </w:r>
      <w:r w:rsidRPr="000E20F0">
        <w:rPr>
          <w:rFonts w:ascii="Segoe UI" w:eastAsia="Arial" w:hAnsi="Segoe UI" w:cs="Segoe UI"/>
        </w:rPr>
        <w:t>e Care</w:t>
      </w:r>
    </w:p>
    <w:p w:rsidR="00547644" w:rsidRPr="000E20F0" w:rsidRDefault="00547644" w:rsidP="00566E1B">
      <w:pPr>
        <w:pStyle w:val="ListParagraph"/>
        <w:widowControl w:val="0"/>
        <w:numPr>
          <w:ilvl w:val="0"/>
          <w:numId w:val="25"/>
        </w:numPr>
        <w:spacing w:after="0" w:line="240" w:lineRule="auto"/>
        <w:ind w:right="112"/>
        <w:rPr>
          <w:rFonts w:ascii="Segoe UI" w:eastAsia="Segoe UI" w:hAnsi="Segoe UI" w:cs="Segoe UI"/>
          <w:lang w:val="en-US"/>
        </w:rPr>
      </w:pPr>
      <w:r w:rsidRPr="000E20F0">
        <w:rPr>
          <w:rFonts w:ascii="Segoe UI" w:eastAsia="Times New Roman" w:hAnsi="Segoe UI" w:cs="Segoe UI"/>
          <w:bCs/>
          <w:lang w:val="en-US" w:eastAsia="en-GB"/>
        </w:rPr>
        <w:t>Action note 1:  Medical Devices Asset Labels:  reissued Action note</w:t>
      </w:r>
    </w:p>
    <w:p w:rsidR="00547644" w:rsidRPr="00C60545" w:rsidRDefault="00547644" w:rsidP="00566E1B">
      <w:pPr>
        <w:spacing w:after="0" w:line="240" w:lineRule="auto"/>
        <w:rPr>
          <w:rFonts w:ascii="Segoe UI" w:eastAsia="Times New Roman" w:hAnsi="Segoe UI" w:cs="Segoe UI"/>
          <w:bCs/>
          <w:lang w:val="en-US" w:eastAsia="en-GB"/>
        </w:rPr>
      </w:pPr>
    </w:p>
    <w:p w:rsidR="00566E1B" w:rsidRDefault="00547644" w:rsidP="00566E1B">
      <w:pPr>
        <w:spacing w:after="0" w:line="240" w:lineRule="auto"/>
        <w:rPr>
          <w:rFonts w:ascii="Segoe UI" w:hAnsi="Segoe UI" w:cs="Segoe UI"/>
          <w:b/>
        </w:rPr>
      </w:pPr>
      <w:r w:rsidRPr="000E20F0">
        <w:rPr>
          <w:rFonts w:ascii="Segoe UI" w:hAnsi="Segoe UI" w:cs="Segoe UI"/>
          <w:b/>
        </w:rPr>
        <w:t>Being Open Duty of candour</w:t>
      </w:r>
    </w:p>
    <w:p w:rsidR="00547644" w:rsidRPr="000E20F0" w:rsidRDefault="00547644" w:rsidP="00566E1B">
      <w:pPr>
        <w:spacing w:after="0" w:line="240" w:lineRule="auto"/>
        <w:rPr>
          <w:rFonts w:ascii="Segoe UI" w:hAnsi="Segoe UI" w:cs="Segoe UI"/>
          <w:b/>
        </w:rPr>
      </w:pPr>
      <w:r w:rsidRPr="000E20F0">
        <w:rPr>
          <w:rFonts w:ascii="Segoe UI" w:eastAsia="Segoe UI" w:hAnsi="Segoe UI"/>
          <w:lang w:val="en-US"/>
        </w:rPr>
        <w:t>In Q4 2014-15 there were ten SIRI panels, four record reviews that went to the weekly review meeting or the new Record review panels and one incident which further investigation resulted in a request for downgrade. Of the four record reviews one was escalated to a full RCA following the initial review of records.</w:t>
      </w:r>
      <w:r w:rsidR="00C60545" w:rsidRPr="000E20F0">
        <w:rPr>
          <w:rFonts w:ascii="Segoe UI" w:eastAsia="Segoe UI" w:hAnsi="Segoe UI"/>
          <w:lang w:val="en-US"/>
        </w:rPr>
        <w:t xml:space="preserve"> </w:t>
      </w:r>
      <w:r w:rsidRPr="000E20F0">
        <w:rPr>
          <w:rFonts w:ascii="Segoe UI" w:eastAsia="Segoe UI" w:hAnsi="Segoe UI"/>
          <w:lang w:val="en-US"/>
        </w:rPr>
        <w:t xml:space="preserve">Three of the investigations are still underway at the time of this report and having gone to panel and needing further work and family liaison to take </w:t>
      </w:r>
      <w:proofErr w:type="spellStart"/>
      <w:r w:rsidRPr="000E20F0">
        <w:rPr>
          <w:rFonts w:ascii="Segoe UI" w:eastAsia="Segoe UI" w:hAnsi="Segoe UI"/>
          <w:lang w:val="en-US"/>
        </w:rPr>
        <w:t>place.Of</w:t>
      </w:r>
      <w:proofErr w:type="spellEnd"/>
      <w:r w:rsidRPr="000E20F0">
        <w:rPr>
          <w:rFonts w:ascii="Segoe UI" w:eastAsia="Segoe UI" w:hAnsi="Segoe UI"/>
          <w:lang w:val="en-US"/>
        </w:rPr>
        <w:t xml:space="preserve"> the remaining:</w:t>
      </w:r>
    </w:p>
    <w:p w:rsidR="00547644" w:rsidRPr="000E20F0" w:rsidRDefault="00547644" w:rsidP="00566E1B">
      <w:pPr>
        <w:pStyle w:val="ListParagraph"/>
        <w:widowControl w:val="0"/>
        <w:numPr>
          <w:ilvl w:val="0"/>
          <w:numId w:val="26"/>
        </w:numPr>
        <w:spacing w:after="0" w:line="240" w:lineRule="auto"/>
        <w:ind w:right="145"/>
        <w:rPr>
          <w:rFonts w:ascii="Segoe UI" w:eastAsia="Segoe UI" w:hAnsi="Segoe UI"/>
          <w:lang w:val="en-US"/>
        </w:rPr>
      </w:pPr>
      <w:r w:rsidRPr="000E20F0">
        <w:rPr>
          <w:rFonts w:ascii="Segoe UI" w:eastAsia="Segoe UI" w:hAnsi="Segoe UI"/>
          <w:lang w:val="en-US"/>
        </w:rPr>
        <w:t>Six had family members who contributed to the investigation and requested feedback</w:t>
      </w:r>
    </w:p>
    <w:p w:rsidR="00547644" w:rsidRPr="000E20F0" w:rsidRDefault="00547644" w:rsidP="00566E1B">
      <w:pPr>
        <w:pStyle w:val="ListParagraph"/>
        <w:widowControl w:val="0"/>
        <w:numPr>
          <w:ilvl w:val="0"/>
          <w:numId w:val="26"/>
        </w:numPr>
        <w:spacing w:after="0" w:line="240" w:lineRule="auto"/>
        <w:ind w:right="145"/>
        <w:rPr>
          <w:rFonts w:ascii="Segoe UI" w:eastAsia="Segoe UI" w:hAnsi="Segoe UI"/>
          <w:lang w:val="en-US"/>
        </w:rPr>
      </w:pPr>
      <w:r w:rsidRPr="000E20F0">
        <w:rPr>
          <w:rFonts w:ascii="Segoe UI" w:eastAsia="Segoe UI" w:hAnsi="Segoe UI"/>
          <w:lang w:val="en-US"/>
        </w:rPr>
        <w:t xml:space="preserve">One the contact was made via </w:t>
      </w:r>
      <w:r w:rsidRPr="000E20F0">
        <w:rPr>
          <w:rFonts w:ascii="Segoe UI" w:hAnsi="Segoe UI" w:cs="Segoe UI"/>
        </w:rPr>
        <w:t>liaison via GP</w:t>
      </w:r>
    </w:p>
    <w:p w:rsidR="00547644" w:rsidRPr="000E20F0" w:rsidRDefault="00547644" w:rsidP="00566E1B">
      <w:pPr>
        <w:pStyle w:val="ListParagraph"/>
        <w:widowControl w:val="0"/>
        <w:numPr>
          <w:ilvl w:val="0"/>
          <w:numId w:val="26"/>
        </w:numPr>
        <w:spacing w:after="0" w:line="240" w:lineRule="auto"/>
        <w:ind w:right="145"/>
        <w:rPr>
          <w:rFonts w:ascii="Segoe UI" w:eastAsia="Segoe UI" w:hAnsi="Segoe UI"/>
          <w:lang w:val="en-US"/>
        </w:rPr>
      </w:pPr>
      <w:r w:rsidRPr="000E20F0">
        <w:rPr>
          <w:rFonts w:ascii="Segoe UI" w:hAnsi="Segoe UI" w:cs="Segoe UI"/>
        </w:rPr>
        <w:t>One was not contacted due to an ongoing criminal investigation</w:t>
      </w:r>
    </w:p>
    <w:p w:rsidR="00547644" w:rsidRPr="000E20F0" w:rsidRDefault="00547644" w:rsidP="00566E1B">
      <w:pPr>
        <w:pStyle w:val="ListParagraph"/>
        <w:widowControl w:val="0"/>
        <w:numPr>
          <w:ilvl w:val="0"/>
          <w:numId w:val="26"/>
        </w:numPr>
        <w:spacing w:after="0" w:line="240" w:lineRule="auto"/>
        <w:ind w:right="145"/>
        <w:rPr>
          <w:rFonts w:ascii="Segoe UI" w:eastAsia="Segoe UI" w:hAnsi="Segoe UI"/>
          <w:lang w:val="en-US"/>
        </w:rPr>
      </w:pPr>
      <w:r w:rsidRPr="000E20F0">
        <w:rPr>
          <w:rFonts w:ascii="Segoe UI" w:hAnsi="Segoe UI" w:cs="Segoe UI"/>
        </w:rPr>
        <w:t>One sent a letter sent post review</w:t>
      </w:r>
    </w:p>
    <w:p w:rsidR="00547644" w:rsidRPr="000E20F0" w:rsidRDefault="00547644" w:rsidP="00566E1B">
      <w:pPr>
        <w:pStyle w:val="ListParagraph"/>
        <w:widowControl w:val="0"/>
        <w:numPr>
          <w:ilvl w:val="0"/>
          <w:numId w:val="26"/>
        </w:numPr>
        <w:spacing w:after="0" w:line="240" w:lineRule="auto"/>
        <w:ind w:right="145"/>
        <w:rPr>
          <w:rFonts w:ascii="Segoe UI" w:eastAsia="Segoe UI" w:hAnsi="Segoe UI"/>
          <w:lang w:val="en-US"/>
        </w:rPr>
      </w:pPr>
      <w:r w:rsidRPr="000E20F0">
        <w:rPr>
          <w:rFonts w:ascii="Segoe UI" w:hAnsi="Segoe UI" w:cs="Segoe UI"/>
        </w:rPr>
        <w:t xml:space="preserve">One was contacted but received no response.  </w:t>
      </w:r>
    </w:p>
    <w:p w:rsidR="00547644" w:rsidRPr="000E20F0" w:rsidRDefault="00547644" w:rsidP="00566E1B">
      <w:pPr>
        <w:pStyle w:val="ListParagraph"/>
        <w:widowControl w:val="0"/>
        <w:numPr>
          <w:ilvl w:val="0"/>
          <w:numId w:val="26"/>
        </w:numPr>
        <w:spacing w:after="0" w:line="240" w:lineRule="auto"/>
        <w:ind w:right="145"/>
        <w:rPr>
          <w:rFonts w:ascii="Segoe UI" w:eastAsia="Segoe UI" w:hAnsi="Segoe UI"/>
          <w:lang w:val="en-US"/>
        </w:rPr>
      </w:pPr>
      <w:r w:rsidRPr="000E20F0">
        <w:rPr>
          <w:rFonts w:ascii="Segoe UI" w:hAnsi="Segoe UI" w:cs="Segoe UI"/>
        </w:rPr>
        <w:t>One patient was in custody and had no family</w:t>
      </w:r>
    </w:p>
    <w:p w:rsidR="00547644" w:rsidRPr="000E20F0" w:rsidRDefault="00547644" w:rsidP="00566E1B">
      <w:pPr>
        <w:pStyle w:val="ListParagraph"/>
        <w:widowControl w:val="0"/>
        <w:numPr>
          <w:ilvl w:val="0"/>
          <w:numId w:val="26"/>
        </w:numPr>
        <w:spacing w:after="0" w:line="240" w:lineRule="auto"/>
        <w:ind w:right="145"/>
        <w:rPr>
          <w:rFonts w:ascii="Segoe UI" w:eastAsia="Segoe UI" w:hAnsi="Segoe UI"/>
          <w:lang w:val="en-US"/>
        </w:rPr>
      </w:pPr>
      <w:r w:rsidRPr="000E20F0">
        <w:rPr>
          <w:rFonts w:ascii="Segoe UI" w:hAnsi="Segoe UI" w:cs="Segoe UI"/>
        </w:rPr>
        <w:lastRenderedPageBreak/>
        <w:t>One there were no family contact details available</w:t>
      </w:r>
    </w:p>
    <w:p w:rsidR="00C60545" w:rsidRPr="00686F6F" w:rsidRDefault="00C60545" w:rsidP="00566E1B">
      <w:pPr>
        <w:pStyle w:val="ListParagraph"/>
        <w:widowControl w:val="0"/>
        <w:spacing w:after="0" w:line="240" w:lineRule="auto"/>
        <w:ind w:left="1080" w:right="145"/>
        <w:rPr>
          <w:rFonts w:ascii="Segoe UI" w:eastAsia="Segoe UI" w:hAnsi="Segoe UI"/>
          <w:lang w:val="en-US"/>
        </w:rPr>
      </w:pPr>
    </w:p>
    <w:p w:rsidR="00566E1B" w:rsidRDefault="00547644" w:rsidP="00566E1B">
      <w:pPr>
        <w:spacing w:after="0" w:line="240" w:lineRule="auto"/>
        <w:rPr>
          <w:rFonts w:ascii="Segoe UI" w:hAnsi="Segoe UI" w:cs="Segoe UI"/>
          <w:b/>
        </w:rPr>
      </w:pPr>
      <w:r w:rsidRPr="000E20F0">
        <w:rPr>
          <w:rFonts w:ascii="Segoe UI" w:hAnsi="Segoe UI" w:cs="Segoe UI"/>
          <w:b/>
        </w:rPr>
        <w:t>Themes from SIRIs</w:t>
      </w:r>
    </w:p>
    <w:p w:rsidR="00547644" w:rsidRPr="000E20F0" w:rsidRDefault="00547644" w:rsidP="00566E1B">
      <w:pPr>
        <w:spacing w:after="0" w:line="240" w:lineRule="auto"/>
        <w:rPr>
          <w:rFonts w:ascii="Segoe UI" w:hAnsi="Segoe UI" w:cs="Segoe UI"/>
        </w:rPr>
      </w:pPr>
      <w:r w:rsidRPr="000E20F0">
        <w:rPr>
          <w:rFonts w:ascii="Segoe UI" w:eastAsia="Segoe UI" w:hAnsi="Segoe UI"/>
          <w:lang w:val="en-US"/>
        </w:rPr>
        <w:t xml:space="preserve">In many cases the findings of the reviews are that the issues noted were not thought to be root causes to the incidents.  Nevertheless </w:t>
      </w:r>
      <w:r w:rsidRPr="00566E1B">
        <w:rPr>
          <w:rFonts w:ascii="Segoe UI" w:hAnsi="Segoe UI" w:cs="Segoe UI"/>
        </w:rPr>
        <w:t>issues</w:t>
      </w:r>
      <w:r w:rsidRPr="000E20F0">
        <w:rPr>
          <w:rFonts w:ascii="Segoe UI" w:hAnsi="Segoe UI" w:cs="Segoe UI"/>
        </w:rPr>
        <w:t xml:space="preserve"> raised include:</w:t>
      </w:r>
    </w:p>
    <w:p w:rsidR="00547644" w:rsidRPr="005A52D8" w:rsidRDefault="00547644" w:rsidP="00566E1B">
      <w:pPr>
        <w:pStyle w:val="ListParagraph"/>
        <w:numPr>
          <w:ilvl w:val="0"/>
          <w:numId w:val="27"/>
        </w:numPr>
        <w:spacing w:after="0" w:line="240" w:lineRule="auto"/>
        <w:rPr>
          <w:rFonts w:ascii="Segoe UI" w:hAnsi="Segoe UI" w:cs="Segoe UI"/>
        </w:rPr>
      </w:pPr>
      <w:r w:rsidRPr="005A52D8">
        <w:rPr>
          <w:rFonts w:ascii="Segoe UI" w:hAnsi="Segoe UI" w:cs="Segoe UI"/>
        </w:rPr>
        <w:t>Family involvement in care planning was raised again. This included the family’s perceptions of their involvement.  Communication and involvement of family members/carers is an ongoing theme that will form part of the Quality account objectives for 2016-17.</w:t>
      </w:r>
    </w:p>
    <w:p w:rsidR="00547644" w:rsidRPr="005A52D8" w:rsidRDefault="00547644" w:rsidP="00566E1B">
      <w:pPr>
        <w:pStyle w:val="ListParagraph"/>
        <w:numPr>
          <w:ilvl w:val="0"/>
          <w:numId w:val="27"/>
        </w:numPr>
        <w:spacing w:after="0" w:line="240" w:lineRule="auto"/>
        <w:rPr>
          <w:rFonts w:ascii="Segoe UI" w:hAnsi="Segoe UI" w:cs="Segoe UI"/>
        </w:rPr>
      </w:pPr>
      <w:r w:rsidRPr="005A52D8">
        <w:rPr>
          <w:rFonts w:ascii="Segoe UI" w:hAnsi="Segoe UI" w:cs="Segoe UI"/>
        </w:rPr>
        <w:t>Documentation, risk assessment and care planning and updating of risk assessments was also raised again. In one case the risk assessment had not taken into account key risks. It is hoped that the new care records will support staff in being able to improve the quality of documentation.</w:t>
      </w:r>
    </w:p>
    <w:p w:rsidR="00547644" w:rsidRPr="005A52D8" w:rsidRDefault="00547644" w:rsidP="00566E1B">
      <w:pPr>
        <w:pStyle w:val="ListParagraph"/>
        <w:numPr>
          <w:ilvl w:val="0"/>
          <w:numId w:val="27"/>
        </w:numPr>
        <w:spacing w:after="0" w:line="240" w:lineRule="auto"/>
        <w:rPr>
          <w:rFonts w:ascii="Segoe UI" w:hAnsi="Segoe UI" w:cs="Segoe UI"/>
        </w:rPr>
      </w:pPr>
      <w:r w:rsidRPr="005A52D8">
        <w:rPr>
          <w:rFonts w:ascii="Segoe UI" w:hAnsi="Segoe UI" w:cs="Segoe UI"/>
        </w:rPr>
        <w:t>The mental capacity Act was raised in two SIRIs.  In particular these were related to ensuring formal and detailed capacity assessments were undertaken and recorded when making decisions about care when patients are declining treatment.</w:t>
      </w:r>
    </w:p>
    <w:p w:rsidR="00547644" w:rsidRPr="005A52D8" w:rsidRDefault="00547644" w:rsidP="00566E1B">
      <w:pPr>
        <w:pStyle w:val="ListParagraph"/>
        <w:numPr>
          <w:ilvl w:val="0"/>
          <w:numId w:val="27"/>
        </w:numPr>
        <w:spacing w:after="0" w:line="240" w:lineRule="auto"/>
        <w:rPr>
          <w:rFonts w:ascii="Segoe UI" w:hAnsi="Segoe UI" w:cs="Segoe UI"/>
        </w:rPr>
      </w:pPr>
      <w:r w:rsidRPr="005A52D8">
        <w:rPr>
          <w:rFonts w:ascii="Segoe UI" w:hAnsi="Segoe UI" w:cs="Segoe UI"/>
        </w:rPr>
        <w:t>Staff workload in particular the issue of part time working in the AMHT, participation in step up and out of hours work impacting on contact with ongoing clients.</w:t>
      </w:r>
    </w:p>
    <w:p w:rsidR="00547644" w:rsidRPr="005A52D8" w:rsidRDefault="00547644" w:rsidP="00566E1B">
      <w:pPr>
        <w:pStyle w:val="ListParagraph"/>
        <w:numPr>
          <w:ilvl w:val="0"/>
          <w:numId w:val="27"/>
        </w:numPr>
        <w:spacing w:after="0" w:line="240" w:lineRule="auto"/>
        <w:rPr>
          <w:rFonts w:ascii="Segoe UI" w:hAnsi="Segoe UI" w:cs="Segoe UI"/>
        </w:rPr>
      </w:pPr>
      <w:r w:rsidRPr="005A52D8">
        <w:rPr>
          <w:rFonts w:ascii="Segoe UI" w:hAnsi="Segoe UI" w:cs="Segoe UI"/>
        </w:rPr>
        <w:t>One SIRII noted the lack of consideration of safeguarding concerns which has been raised in the past.</w:t>
      </w:r>
    </w:p>
    <w:p w:rsidR="00547644" w:rsidRDefault="00547644" w:rsidP="00566E1B">
      <w:pPr>
        <w:pStyle w:val="ListParagraph"/>
        <w:numPr>
          <w:ilvl w:val="0"/>
          <w:numId w:val="27"/>
        </w:numPr>
        <w:spacing w:after="0" w:line="240" w:lineRule="auto"/>
        <w:rPr>
          <w:rFonts w:ascii="Segoe UI" w:hAnsi="Segoe UI" w:cs="Segoe UI"/>
        </w:rPr>
      </w:pPr>
      <w:r w:rsidRPr="005A52D8">
        <w:rPr>
          <w:rFonts w:ascii="Segoe UI" w:hAnsi="Segoe UI" w:cs="Segoe UI"/>
        </w:rPr>
        <w:t>One SIRI noted the rapidity of discharge and lack of clear aftercare planning following discharge.</w:t>
      </w:r>
    </w:p>
    <w:p w:rsidR="000E20F0" w:rsidRPr="000E20F0" w:rsidRDefault="00547644" w:rsidP="00566E1B">
      <w:pPr>
        <w:pStyle w:val="ListParagraph"/>
        <w:numPr>
          <w:ilvl w:val="0"/>
          <w:numId w:val="27"/>
        </w:numPr>
        <w:spacing w:after="0" w:line="240" w:lineRule="auto"/>
        <w:rPr>
          <w:rFonts w:ascii="Segoe UI" w:hAnsi="Segoe UI" w:cs="Segoe UI"/>
        </w:rPr>
      </w:pPr>
      <w:r>
        <w:rPr>
          <w:rFonts w:ascii="Segoe UI" w:hAnsi="Segoe UI" w:cs="Segoe UI"/>
        </w:rPr>
        <w:t>One SIRI noted the lack of a medical review which has been raised in the past.</w:t>
      </w:r>
    </w:p>
    <w:p w:rsidR="00566E1B" w:rsidRDefault="00566E1B" w:rsidP="00566E1B">
      <w:pPr>
        <w:spacing w:after="0" w:line="240" w:lineRule="auto"/>
        <w:rPr>
          <w:rFonts w:ascii="Segoe UI" w:hAnsi="Segoe UI" w:cs="Segoe UI"/>
          <w:b/>
        </w:rPr>
      </w:pPr>
    </w:p>
    <w:p w:rsidR="00547644" w:rsidRPr="000E20F0" w:rsidRDefault="00547644" w:rsidP="00566E1B">
      <w:pPr>
        <w:spacing w:after="0" w:line="240" w:lineRule="auto"/>
        <w:rPr>
          <w:rFonts w:ascii="Segoe UI" w:hAnsi="Segoe UI" w:cs="Segoe UI"/>
        </w:rPr>
      </w:pPr>
      <w:r w:rsidRPr="000E20F0">
        <w:rPr>
          <w:rFonts w:ascii="Segoe UI" w:hAnsi="Segoe UI" w:cs="Segoe UI"/>
          <w:b/>
        </w:rPr>
        <w:t>Good practice</w:t>
      </w:r>
      <w:r w:rsidRPr="000E20F0">
        <w:rPr>
          <w:rFonts w:ascii="Segoe UI" w:hAnsi="Segoe UI" w:cs="Segoe UI"/>
        </w:rPr>
        <w:t xml:space="preserve"> noted included:</w:t>
      </w:r>
    </w:p>
    <w:p w:rsidR="00547644" w:rsidRDefault="00547644" w:rsidP="00566E1B">
      <w:pPr>
        <w:pStyle w:val="ListParagraph"/>
        <w:numPr>
          <w:ilvl w:val="0"/>
          <w:numId w:val="28"/>
        </w:numPr>
        <w:spacing w:after="0" w:line="240" w:lineRule="auto"/>
        <w:rPr>
          <w:rFonts w:ascii="Segoe UI" w:hAnsi="Segoe UI" w:cs="Segoe UI"/>
        </w:rPr>
      </w:pPr>
      <w:r w:rsidRPr="005A52D8">
        <w:rPr>
          <w:rFonts w:ascii="Segoe UI" w:hAnsi="Segoe UI" w:cs="Segoe UI"/>
        </w:rPr>
        <w:t>Evidence of effective team work</w:t>
      </w:r>
      <w:r>
        <w:rPr>
          <w:rFonts w:ascii="Segoe UI" w:hAnsi="Segoe UI" w:cs="Segoe UI"/>
        </w:rPr>
        <w:t xml:space="preserve"> was noted on more than one occasion</w:t>
      </w:r>
    </w:p>
    <w:p w:rsidR="00547644" w:rsidRDefault="00547644" w:rsidP="00566E1B">
      <w:pPr>
        <w:pStyle w:val="ListParagraph"/>
        <w:numPr>
          <w:ilvl w:val="0"/>
          <w:numId w:val="28"/>
        </w:numPr>
        <w:spacing w:after="0" w:line="240" w:lineRule="auto"/>
        <w:rPr>
          <w:rFonts w:ascii="Segoe UI" w:hAnsi="Segoe UI" w:cs="Segoe UI"/>
        </w:rPr>
      </w:pPr>
      <w:r>
        <w:rPr>
          <w:rFonts w:ascii="Segoe UI" w:hAnsi="Segoe UI" w:cs="Segoe UI"/>
        </w:rPr>
        <w:t>Evidence of good c</w:t>
      </w:r>
      <w:r w:rsidRPr="005A52D8">
        <w:rPr>
          <w:rFonts w:ascii="Segoe UI" w:hAnsi="Segoe UI" w:cs="Segoe UI"/>
        </w:rPr>
        <w:t xml:space="preserve">ommunication and liaison was raised on more than one occasion. This included </w:t>
      </w:r>
      <w:r>
        <w:rPr>
          <w:rFonts w:ascii="Segoe UI" w:hAnsi="Segoe UI" w:cs="Segoe UI"/>
        </w:rPr>
        <w:t>l</w:t>
      </w:r>
      <w:r w:rsidRPr="005A52D8">
        <w:rPr>
          <w:rFonts w:ascii="Segoe UI" w:hAnsi="Segoe UI" w:cs="Segoe UI"/>
        </w:rPr>
        <w:t>iaison with</w:t>
      </w:r>
      <w:r>
        <w:rPr>
          <w:rFonts w:ascii="Segoe UI" w:hAnsi="Segoe UI" w:cs="Segoe UI"/>
        </w:rPr>
        <w:t xml:space="preserve"> the family and GP and sharing of care plans</w:t>
      </w:r>
    </w:p>
    <w:p w:rsidR="00547644" w:rsidRDefault="00547644" w:rsidP="00566E1B">
      <w:pPr>
        <w:pStyle w:val="ListParagraph"/>
        <w:numPr>
          <w:ilvl w:val="0"/>
          <w:numId w:val="28"/>
        </w:numPr>
        <w:spacing w:after="0" w:line="240" w:lineRule="auto"/>
        <w:rPr>
          <w:rFonts w:ascii="Segoe UI" w:hAnsi="Segoe UI" w:cs="Segoe UI"/>
        </w:rPr>
      </w:pPr>
      <w:r>
        <w:rPr>
          <w:rFonts w:ascii="Segoe UI" w:hAnsi="Segoe UI" w:cs="Segoe UI"/>
        </w:rPr>
        <w:t>Thorough risk assessment</w:t>
      </w:r>
    </w:p>
    <w:p w:rsidR="00547644" w:rsidRDefault="00547644" w:rsidP="00566E1B">
      <w:pPr>
        <w:pStyle w:val="ListParagraph"/>
        <w:numPr>
          <w:ilvl w:val="0"/>
          <w:numId w:val="28"/>
        </w:numPr>
        <w:spacing w:after="0" w:line="240" w:lineRule="auto"/>
        <w:rPr>
          <w:rFonts w:ascii="Segoe UI" w:hAnsi="Segoe UI" w:cs="Segoe UI"/>
        </w:rPr>
      </w:pPr>
      <w:r>
        <w:rPr>
          <w:rFonts w:ascii="Segoe UI" w:hAnsi="Segoe UI" w:cs="Segoe UI"/>
        </w:rPr>
        <w:t>Considered and detailed management of medication</w:t>
      </w:r>
    </w:p>
    <w:p w:rsidR="00547644" w:rsidRDefault="00547644" w:rsidP="00566E1B">
      <w:pPr>
        <w:pStyle w:val="ListParagraph"/>
        <w:numPr>
          <w:ilvl w:val="0"/>
          <w:numId w:val="28"/>
        </w:numPr>
        <w:spacing w:after="0" w:line="240" w:lineRule="auto"/>
        <w:rPr>
          <w:rFonts w:ascii="Segoe UI" w:hAnsi="Segoe UI" w:cs="Segoe UI"/>
        </w:rPr>
      </w:pPr>
      <w:r>
        <w:rPr>
          <w:rFonts w:ascii="Segoe UI" w:hAnsi="Segoe UI" w:cs="Segoe UI"/>
        </w:rPr>
        <w:t>Evidence of sensitively m</w:t>
      </w:r>
      <w:r w:rsidRPr="005A52D8">
        <w:rPr>
          <w:rFonts w:ascii="Segoe UI" w:hAnsi="Segoe UI" w:cs="Segoe UI"/>
        </w:rPr>
        <w:t xml:space="preserve">anaging </w:t>
      </w:r>
      <w:r>
        <w:rPr>
          <w:rFonts w:ascii="Segoe UI" w:hAnsi="Segoe UI" w:cs="Segoe UI"/>
        </w:rPr>
        <w:t xml:space="preserve">complex issues relating to </w:t>
      </w:r>
      <w:r w:rsidRPr="005A52D8">
        <w:rPr>
          <w:rFonts w:ascii="Segoe UI" w:hAnsi="Segoe UI" w:cs="Segoe UI"/>
        </w:rPr>
        <w:t>confidentiality</w:t>
      </w:r>
    </w:p>
    <w:p w:rsidR="00547644" w:rsidRDefault="00547644" w:rsidP="00566E1B">
      <w:pPr>
        <w:pStyle w:val="ListParagraph"/>
        <w:numPr>
          <w:ilvl w:val="0"/>
          <w:numId w:val="28"/>
        </w:numPr>
        <w:spacing w:after="0" w:line="240" w:lineRule="auto"/>
        <w:rPr>
          <w:rFonts w:ascii="Segoe UI" w:hAnsi="Segoe UI" w:cs="Segoe UI"/>
        </w:rPr>
      </w:pPr>
      <w:r w:rsidRPr="005A52D8">
        <w:rPr>
          <w:rFonts w:ascii="Segoe UI" w:hAnsi="Segoe UI" w:cs="Segoe UI"/>
        </w:rPr>
        <w:t>Timely and appropriate assessments</w:t>
      </w:r>
    </w:p>
    <w:p w:rsidR="00547644" w:rsidRDefault="00547644" w:rsidP="00566E1B">
      <w:pPr>
        <w:pStyle w:val="ListParagraph"/>
        <w:numPr>
          <w:ilvl w:val="0"/>
          <w:numId w:val="28"/>
        </w:numPr>
        <w:spacing w:after="0" w:line="240" w:lineRule="auto"/>
        <w:rPr>
          <w:rFonts w:ascii="Segoe UI" w:hAnsi="Segoe UI" w:cs="Segoe UI"/>
        </w:rPr>
      </w:pPr>
      <w:r w:rsidRPr="005A52D8">
        <w:rPr>
          <w:rFonts w:ascii="Segoe UI" w:hAnsi="Segoe UI" w:cs="Segoe UI"/>
        </w:rPr>
        <w:t>Clear communication processes</w:t>
      </w:r>
    </w:p>
    <w:p w:rsidR="00547644" w:rsidRDefault="00547644" w:rsidP="00566E1B">
      <w:pPr>
        <w:pStyle w:val="ListParagraph"/>
        <w:numPr>
          <w:ilvl w:val="0"/>
          <w:numId w:val="28"/>
        </w:numPr>
        <w:spacing w:after="0" w:line="240" w:lineRule="auto"/>
        <w:rPr>
          <w:rFonts w:ascii="Segoe UI" w:hAnsi="Segoe UI" w:cs="Segoe UI"/>
        </w:rPr>
      </w:pPr>
      <w:r>
        <w:rPr>
          <w:rFonts w:ascii="Segoe UI" w:hAnsi="Segoe UI" w:cs="Segoe UI"/>
        </w:rPr>
        <w:t>Detailed d</w:t>
      </w:r>
      <w:r w:rsidRPr="005A52D8">
        <w:rPr>
          <w:rFonts w:ascii="Segoe UI" w:hAnsi="Segoe UI" w:cs="Segoe UI"/>
        </w:rPr>
        <w:t>ocumentation</w:t>
      </w:r>
    </w:p>
    <w:p w:rsidR="00547644" w:rsidRPr="00487614" w:rsidRDefault="00547644" w:rsidP="00566E1B">
      <w:pPr>
        <w:pStyle w:val="ListParagraph"/>
        <w:numPr>
          <w:ilvl w:val="0"/>
          <w:numId w:val="28"/>
        </w:numPr>
        <w:spacing w:after="0" w:line="240" w:lineRule="auto"/>
        <w:rPr>
          <w:rFonts w:ascii="Segoe UI" w:hAnsi="Segoe UI" w:cs="Segoe UI"/>
        </w:rPr>
      </w:pPr>
      <w:r>
        <w:rPr>
          <w:rFonts w:ascii="Segoe UI" w:hAnsi="Segoe UI" w:cs="Segoe UI"/>
        </w:rPr>
        <w:t>A</w:t>
      </w:r>
      <w:r w:rsidRPr="005A52D8">
        <w:rPr>
          <w:rFonts w:ascii="Segoe UI" w:hAnsi="Segoe UI" w:cs="Segoe UI"/>
        </w:rPr>
        <w:t>ssertive follow up</w:t>
      </w:r>
      <w:r>
        <w:rPr>
          <w:rFonts w:ascii="Segoe UI" w:hAnsi="Segoe UI" w:cs="Segoe UI"/>
        </w:rPr>
        <w:t xml:space="preserve"> including step up care and crisis response including t</w:t>
      </w:r>
      <w:r w:rsidRPr="005A52D8">
        <w:rPr>
          <w:rFonts w:ascii="Segoe UI" w:hAnsi="Segoe UI" w:cs="Segoe UI"/>
        </w:rPr>
        <w:t>imely medication review</w:t>
      </w:r>
      <w:r>
        <w:rPr>
          <w:rFonts w:ascii="Segoe UI" w:hAnsi="Segoe UI" w:cs="Segoe UI"/>
        </w:rPr>
        <w:t>.</w:t>
      </w:r>
    </w:p>
    <w:p w:rsidR="00547644" w:rsidRDefault="00547644" w:rsidP="00566E1B">
      <w:pPr>
        <w:pStyle w:val="ListParagraph"/>
        <w:numPr>
          <w:ilvl w:val="0"/>
          <w:numId w:val="28"/>
        </w:numPr>
        <w:spacing w:after="0" w:line="240" w:lineRule="auto"/>
        <w:rPr>
          <w:rFonts w:ascii="Segoe UI" w:hAnsi="Segoe UI" w:cs="Segoe UI"/>
        </w:rPr>
      </w:pPr>
      <w:r w:rsidRPr="005A52D8">
        <w:rPr>
          <w:rFonts w:ascii="Segoe UI" w:hAnsi="Segoe UI" w:cs="Segoe UI"/>
        </w:rPr>
        <w:t xml:space="preserve">Management of </w:t>
      </w:r>
      <w:r>
        <w:rPr>
          <w:rFonts w:ascii="Segoe UI" w:hAnsi="Segoe UI" w:cs="Segoe UI"/>
        </w:rPr>
        <w:t>the level of acuity and</w:t>
      </w:r>
      <w:r w:rsidRPr="005A52D8">
        <w:rPr>
          <w:rFonts w:ascii="Segoe UI" w:hAnsi="Segoe UI" w:cs="Segoe UI"/>
        </w:rPr>
        <w:t xml:space="preserve"> complexity of patients  on </w:t>
      </w:r>
      <w:r>
        <w:rPr>
          <w:rFonts w:ascii="Segoe UI" w:hAnsi="Segoe UI" w:cs="Segoe UI"/>
        </w:rPr>
        <w:t xml:space="preserve">a </w:t>
      </w:r>
      <w:r w:rsidRPr="005A52D8">
        <w:rPr>
          <w:rFonts w:ascii="Segoe UI" w:hAnsi="Segoe UI" w:cs="Segoe UI"/>
        </w:rPr>
        <w:t>ward</w:t>
      </w:r>
    </w:p>
    <w:p w:rsidR="00547644" w:rsidRDefault="00547644" w:rsidP="00566E1B">
      <w:pPr>
        <w:pStyle w:val="ListParagraph"/>
        <w:numPr>
          <w:ilvl w:val="0"/>
          <w:numId w:val="28"/>
        </w:numPr>
        <w:spacing w:after="0" w:line="240" w:lineRule="auto"/>
        <w:rPr>
          <w:rFonts w:ascii="Segoe UI" w:hAnsi="Segoe UI" w:cs="Segoe UI"/>
        </w:rPr>
      </w:pPr>
      <w:r w:rsidRPr="005A52D8">
        <w:rPr>
          <w:rFonts w:ascii="Segoe UI" w:hAnsi="Segoe UI" w:cs="Segoe UI"/>
        </w:rPr>
        <w:t>Responsive medical contact</w:t>
      </w:r>
    </w:p>
    <w:p w:rsidR="00C60545" w:rsidRDefault="00547644" w:rsidP="00566E1B">
      <w:pPr>
        <w:pStyle w:val="ListParagraph"/>
        <w:numPr>
          <w:ilvl w:val="0"/>
          <w:numId w:val="28"/>
        </w:numPr>
        <w:spacing w:after="0" w:line="240" w:lineRule="auto"/>
        <w:rPr>
          <w:rFonts w:ascii="Segoe UI" w:hAnsi="Segoe UI" w:cs="Segoe UI"/>
        </w:rPr>
      </w:pPr>
      <w:r w:rsidRPr="005A52D8">
        <w:rPr>
          <w:rFonts w:ascii="Segoe UI" w:hAnsi="Segoe UI" w:cs="Segoe UI"/>
        </w:rPr>
        <w:t>Flexible efforts to maintain engagement</w:t>
      </w:r>
      <w:r>
        <w:rPr>
          <w:rFonts w:ascii="Segoe UI" w:hAnsi="Segoe UI" w:cs="Segoe UI"/>
        </w:rPr>
        <w:t>. This has been noted on a number of occasions</w:t>
      </w:r>
    </w:p>
    <w:p w:rsidR="00C60545" w:rsidRDefault="00C60545" w:rsidP="00566E1B">
      <w:pPr>
        <w:pStyle w:val="ListParagraph"/>
        <w:spacing w:after="0" w:line="240" w:lineRule="auto"/>
        <w:ind w:left="1080"/>
        <w:rPr>
          <w:rFonts w:ascii="Segoe UI" w:hAnsi="Segoe UI" w:cs="Segoe UI"/>
        </w:rPr>
      </w:pPr>
    </w:p>
    <w:p w:rsidR="00547644" w:rsidRPr="000E20F0" w:rsidRDefault="00547644" w:rsidP="00566E1B">
      <w:pPr>
        <w:spacing w:after="0" w:line="240" w:lineRule="auto"/>
        <w:rPr>
          <w:rFonts w:ascii="Segoe UI" w:hAnsi="Segoe UI" w:cs="Segoe UI"/>
        </w:rPr>
      </w:pPr>
      <w:r w:rsidRPr="000E20F0">
        <w:rPr>
          <w:rFonts w:ascii="Segoe UI" w:hAnsi="Segoe UI" w:cs="Segoe UI"/>
          <w:b/>
        </w:rPr>
        <w:t>Staff Support:</w:t>
      </w:r>
      <w:r w:rsidR="00C60545" w:rsidRPr="000E20F0">
        <w:rPr>
          <w:rFonts w:ascii="Segoe UI" w:hAnsi="Segoe UI" w:cs="Segoe UI"/>
          <w:b/>
        </w:rPr>
        <w:t xml:space="preserve"> </w:t>
      </w:r>
      <w:r w:rsidRPr="000E20F0">
        <w:rPr>
          <w:rFonts w:ascii="Segoe UI" w:hAnsi="Segoe UI" w:cs="Segoe UI"/>
        </w:rPr>
        <w:t>Following outcomes of staff surveys and serious incident investigations a working group was established to develop a proposal for supporting staff after critical incidents</w:t>
      </w:r>
      <w:r w:rsidR="00C60545" w:rsidRPr="000E20F0">
        <w:rPr>
          <w:rFonts w:ascii="Segoe UI" w:hAnsi="Segoe UI" w:cs="Segoe UI"/>
        </w:rPr>
        <w:t xml:space="preserve">.  </w:t>
      </w:r>
      <w:r w:rsidRPr="000E20F0">
        <w:rPr>
          <w:rFonts w:ascii="Segoe UI" w:hAnsi="Segoe UI" w:cs="Segoe UI"/>
        </w:rPr>
        <w:t xml:space="preserve">A staff psychological debriefing service, comprising suitably trained staff from all Directorates in the Trust and overseen by the Trust </w:t>
      </w:r>
      <w:r w:rsidRPr="000E20F0">
        <w:rPr>
          <w:rFonts w:ascii="Segoe UI" w:hAnsi="Segoe UI" w:cs="Segoe UI"/>
          <w:color w:val="000000"/>
          <w:lang w:eastAsia="en-GB"/>
        </w:rPr>
        <w:t>Head of Spiritual &amp; Pastoral Care</w:t>
      </w:r>
      <w:r w:rsidRPr="000E20F0">
        <w:rPr>
          <w:rFonts w:ascii="Segoe UI" w:hAnsi="Segoe UI" w:cs="Segoe UI"/>
        </w:rPr>
        <w:t xml:space="preserve"> has now </w:t>
      </w:r>
      <w:r w:rsidRPr="000E20F0">
        <w:rPr>
          <w:rFonts w:ascii="Segoe UI" w:hAnsi="Segoe UI" w:cs="Segoe UI"/>
        </w:rPr>
        <w:lastRenderedPageBreak/>
        <w:t>been established and was formally launched on 2</w:t>
      </w:r>
      <w:r w:rsidRPr="000E20F0">
        <w:rPr>
          <w:rFonts w:ascii="Segoe UI" w:hAnsi="Segoe UI" w:cs="Segoe UI"/>
          <w:vertAlign w:val="superscript"/>
        </w:rPr>
        <w:t>nd</w:t>
      </w:r>
      <w:r w:rsidRPr="000E20F0">
        <w:rPr>
          <w:rFonts w:ascii="Segoe UI" w:hAnsi="Segoe UI" w:cs="Segoe UI"/>
        </w:rPr>
        <w:t xml:space="preserve"> March 2015.    This service offers facilitated group or individual debriefs between 1 and 2 weeks after critical incidents, with an offer of follow up sessions if required. </w:t>
      </w:r>
    </w:p>
    <w:p w:rsidR="00096F15" w:rsidRDefault="00096F15" w:rsidP="00FE2F27">
      <w:pPr>
        <w:spacing w:after="0"/>
        <w:rPr>
          <w:b/>
          <w:noProof/>
          <w:lang w:eastAsia="en-GB"/>
        </w:rPr>
      </w:pPr>
    </w:p>
    <w:p w:rsidR="00FE2F27" w:rsidRDefault="00FC239E" w:rsidP="00FE2F27">
      <w:pPr>
        <w:spacing w:after="0"/>
        <w:rPr>
          <w:rFonts w:ascii="Segoe UI" w:hAnsi="Segoe UI" w:cs="Segoe UI"/>
          <w:b/>
          <w:noProof/>
          <w:lang w:eastAsia="en-GB"/>
        </w:rPr>
      </w:pPr>
      <w:r>
        <w:rPr>
          <w:rFonts w:ascii="Segoe UI" w:hAnsi="Segoe UI" w:cs="Segoe UI"/>
          <w:b/>
          <w:noProof/>
          <w:lang w:eastAsia="en-GB"/>
        </w:rPr>
        <w:t>3.</w:t>
      </w:r>
      <w:r>
        <w:rPr>
          <w:rFonts w:ascii="Segoe UI" w:hAnsi="Segoe UI" w:cs="Segoe UI"/>
          <w:b/>
          <w:noProof/>
          <w:lang w:eastAsia="en-GB"/>
        </w:rPr>
        <w:tab/>
      </w:r>
      <w:r w:rsidR="00FE2F27" w:rsidRPr="00FE2F27">
        <w:rPr>
          <w:rFonts w:ascii="Segoe UI" w:hAnsi="Segoe UI" w:cs="Segoe UI"/>
          <w:b/>
          <w:noProof/>
          <w:lang w:eastAsia="en-GB"/>
        </w:rPr>
        <w:t>Infection Prevention and Control</w:t>
      </w:r>
    </w:p>
    <w:p w:rsidR="00FC239E" w:rsidRPr="00FC239E" w:rsidRDefault="00FC239E" w:rsidP="00FC239E">
      <w:pPr>
        <w:spacing w:after="0" w:line="240" w:lineRule="auto"/>
        <w:rPr>
          <w:rFonts w:ascii="Segoe UI" w:hAnsi="Segoe UI" w:cs="Segoe UI"/>
        </w:rPr>
      </w:pPr>
      <w:r w:rsidRPr="00FC239E">
        <w:rPr>
          <w:rFonts w:ascii="Segoe UI" w:hAnsi="Segoe UI" w:cs="Segoe UI"/>
        </w:rPr>
        <w:t>This is a summary report for Quarter 4, January-March 2015 for the infection prevention and control team (IPCT). It reflects progress against the annual work programme.</w:t>
      </w:r>
      <w:bookmarkStart w:id="2" w:name="_MON_1410001258"/>
      <w:bookmarkEnd w:id="2"/>
    </w:p>
    <w:p w:rsidR="00FC239E" w:rsidRDefault="00FC239E" w:rsidP="00FC239E">
      <w:pPr>
        <w:spacing w:after="0" w:line="240" w:lineRule="auto"/>
        <w:rPr>
          <w:rFonts w:ascii="Segoe UI" w:hAnsi="Segoe UI" w:cs="Segoe UI"/>
          <w:b/>
        </w:rPr>
      </w:pPr>
    </w:p>
    <w:p w:rsidR="00FC239E" w:rsidRPr="00FC239E" w:rsidRDefault="00FC239E" w:rsidP="00FC239E">
      <w:pPr>
        <w:spacing w:after="0" w:line="240" w:lineRule="auto"/>
        <w:rPr>
          <w:rFonts w:ascii="Segoe UI" w:hAnsi="Segoe UI" w:cs="Segoe UI"/>
          <w:b/>
        </w:rPr>
      </w:pPr>
      <w:r w:rsidRPr="00FC239E">
        <w:rPr>
          <w:rFonts w:ascii="Segoe UI" w:hAnsi="Segoe UI" w:cs="Segoe UI"/>
          <w:b/>
        </w:rPr>
        <w:t>Management and Organisation</w:t>
      </w:r>
    </w:p>
    <w:p w:rsidR="00FC239E" w:rsidRPr="00FC239E" w:rsidRDefault="00FC239E" w:rsidP="00FC239E">
      <w:pPr>
        <w:spacing w:after="0" w:line="240" w:lineRule="auto"/>
        <w:rPr>
          <w:rFonts w:ascii="Segoe UI" w:hAnsi="Segoe UI" w:cs="Segoe UI"/>
        </w:rPr>
      </w:pPr>
      <w:r w:rsidRPr="00FC239E">
        <w:rPr>
          <w:rFonts w:ascii="Segoe UI" w:hAnsi="Segoe UI" w:cs="Segoe UI"/>
        </w:rPr>
        <w:t xml:space="preserve">Weekly updates are provided for senior managers of the Trusts performance. The Trust board continue to receive monthly updates on infection prevention and control issues and surveillance organisms. A quarterly CQC compliance and progress report is submitted to the Safety Committee. </w:t>
      </w:r>
    </w:p>
    <w:p w:rsidR="00FC239E" w:rsidRDefault="00FC239E" w:rsidP="00FC239E">
      <w:pPr>
        <w:spacing w:after="0" w:line="240" w:lineRule="auto"/>
        <w:rPr>
          <w:rFonts w:ascii="Segoe UI" w:hAnsi="Segoe UI" w:cs="Segoe UI"/>
          <w:b/>
        </w:rPr>
      </w:pPr>
    </w:p>
    <w:p w:rsidR="00FC239E" w:rsidRPr="00FC239E" w:rsidRDefault="00FC239E" w:rsidP="00FC239E">
      <w:pPr>
        <w:spacing w:after="0" w:line="240" w:lineRule="auto"/>
        <w:rPr>
          <w:rFonts w:ascii="Segoe UI" w:hAnsi="Segoe UI" w:cs="Segoe UI"/>
          <w:b/>
        </w:rPr>
      </w:pPr>
      <w:r w:rsidRPr="00FC239E">
        <w:rPr>
          <w:rFonts w:ascii="Segoe UI" w:hAnsi="Segoe UI" w:cs="Segoe UI"/>
          <w:b/>
        </w:rPr>
        <w:t>Surveillance</w:t>
      </w:r>
    </w:p>
    <w:p w:rsidR="00FC239E" w:rsidRPr="00FC239E" w:rsidRDefault="00FC239E" w:rsidP="00FC239E">
      <w:pPr>
        <w:spacing w:after="0" w:line="240" w:lineRule="auto"/>
        <w:rPr>
          <w:rFonts w:ascii="Segoe UI" w:hAnsi="Segoe UI" w:cs="Segoe UI"/>
          <w:b/>
        </w:rPr>
      </w:pPr>
      <w:r w:rsidRPr="00FC239E">
        <w:rPr>
          <w:rFonts w:ascii="Segoe UI" w:hAnsi="Segoe UI" w:cs="Segoe UI"/>
          <w:i/>
        </w:rPr>
        <w:t>Clostridium difficile infection (CDI)</w:t>
      </w:r>
    </w:p>
    <w:p w:rsidR="00FC239E" w:rsidRDefault="00FC239E" w:rsidP="00FC239E">
      <w:pPr>
        <w:spacing w:after="0" w:line="240" w:lineRule="auto"/>
        <w:rPr>
          <w:rFonts w:ascii="Segoe UI" w:hAnsi="Segoe UI" w:cs="Segoe UI"/>
          <w:b/>
        </w:rPr>
      </w:pPr>
    </w:p>
    <w:p w:rsidR="00FC239E" w:rsidRPr="00FC239E" w:rsidRDefault="00FC239E" w:rsidP="00FC239E">
      <w:pPr>
        <w:spacing w:after="0" w:line="240" w:lineRule="auto"/>
        <w:rPr>
          <w:rFonts w:ascii="Segoe UI" w:hAnsi="Segoe UI" w:cs="Segoe UI"/>
          <w:b/>
        </w:rPr>
      </w:pPr>
      <w:r w:rsidRPr="00FC239E">
        <w:rPr>
          <w:rFonts w:ascii="Segoe UI" w:hAnsi="Segoe UI" w:cs="Segoe UI"/>
          <w:b/>
        </w:rPr>
        <w:t>Older People Services</w:t>
      </w:r>
    </w:p>
    <w:p w:rsidR="00FC239E" w:rsidRPr="00FC239E" w:rsidRDefault="00FC239E" w:rsidP="00FC239E">
      <w:pPr>
        <w:spacing w:after="0" w:line="240" w:lineRule="auto"/>
        <w:rPr>
          <w:rFonts w:ascii="Segoe UI" w:hAnsi="Segoe UI" w:cs="Segoe UI"/>
        </w:rPr>
      </w:pPr>
      <w:r w:rsidRPr="00FC239E">
        <w:rPr>
          <w:rFonts w:ascii="Segoe UI" w:hAnsi="Segoe UI" w:cs="Segoe UI"/>
        </w:rPr>
        <w:t xml:space="preserve">There have been 3 confirmed cases of </w:t>
      </w:r>
      <w:r w:rsidRPr="00FC239E">
        <w:rPr>
          <w:rFonts w:ascii="Segoe UI" w:hAnsi="Segoe UI" w:cs="Segoe UI"/>
          <w:i/>
        </w:rPr>
        <w:t>Clostridium difficile</w:t>
      </w:r>
      <w:r w:rsidRPr="00FC239E">
        <w:rPr>
          <w:rFonts w:ascii="Segoe UI" w:hAnsi="Segoe UI" w:cs="Segoe UI"/>
        </w:rPr>
        <w:t xml:space="preserve"> in Q4 in older </w:t>
      </w:r>
      <w:proofErr w:type="gramStart"/>
      <w:r w:rsidRPr="00FC239E">
        <w:rPr>
          <w:rFonts w:ascii="Segoe UI" w:hAnsi="Segoe UI" w:cs="Segoe UI"/>
        </w:rPr>
        <w:t>peoples</w:t>
      </w:r>
      <w:proofErr w:type="gramEnd"/>
      <w:r w:rsidRPr="00FC239E">
        <w:rPr>
          <w:rFonts w:ascii="Segoe UI" w:hAnsi="Segoe UI" w:cs="Segoe UI"/>
        </w:rPr>
        <w:t xml:space="preserve"> services.  </w:t>
      </w:r>
    </w:p>
    <w:p w:rsidR="00FC239E" w:rsidRPr="00FC239E" w:rsidRDefault="00FC239E" w:rsidP="00FC239E">
      <w:pPr>
        <w:spacing w:after="0" w:line="240" w:lineRule="auto"/>
        <w:rPr>
          <w:rFonts w:ascii="Segoe UI" w:hAnsi="Segoe UI" w:cs="Segoe UI"/>
        </w:rPr>
      </w:pPr>
      <w:r w:rsidRPr="00FC239E">
        <w:rPr>
          <w:rFonts w:ascii="Segoe UI" w:hAnsi="Segoe UI" w:cs="Segoe UI"/>
        </w:rPr>
        <w:t xml:space="preserve">The </w:t>
      </w:r>
      <w:r>
        <w:rPr>
          <w:rFonts w:ascii="Segoe UI" w:hAnsi="Segoe UI" w:cs="Segoe UI"/>
        </w:rPr>
        <w:t>threshold</w:t>
      </w:r>
      <w:r w:rsidRPr="00FC239E">
        <w:rPr>
          <w:rFonts w:ascii="Segoe UI" w:hAnsi="Segoe UI" w:cs="Segoe UI"/>
        </w:rPr>
        <w:t xml:space="preserve"> this year is 8 cases and the Trust concluded the year on 7 cases.</w:t>
      </w:r>
    </w:p>
    <w:p w:rsidR="00FC239E" w:rsidRPr="00FC239E" w:rsidRDefault="00FC239E" w:rsidP="00FC239E">
      <w:pPr>
        <w:spacing w:after="0" w:line="240" w:lineRule="auto"/>
        <w:rPr>
          <w:rFonts w:ascii="Segoe UI" w:hAnsi="Segoe UI" w:cs="Segoe UI"/>
        </w:rPr>
      </w:pPr>
    </w:p>
    <w:p w:rsidR="00FC239E" w:rsidRPr="00FC239E" w:rsidRDefault="00FC239E" w:rsidP="00FC239E">
      <w:pPr>
        <w:spacing w:after="0" w:line="240" w:lineRule="auto"/>
        <w:rPr>
          <w:rFonts w:ascii="Segoe UI" w:hAnsi="Segoe UI" w:cs="Segoe UI"/>
        </w:rPr>
      </w:pPr>
      <w:r w:rsidRPr="00FC239E">
        <w:rPr>
          <w:rFonts w:ascii="Segoe UI" w:hAnsi="Segoe UI" w:cs="Segoe UI"/>
          <w:b/>
        </w:rPr>
        <w:t xml:space="preserve">January 2015- </w:t>
      </w:r>
      <w:r w:rsidRPr="00FC239E">
        <w:rPr>
          <w:rFonts w:ascii="Segoe UI" w:hAnsi="Segoe UI" w:cs="Segoe UI"/>
        </w:rPr>
        <w:t>1 case for a patient on Wenrisc ward, Witney hospital</w:t>
      </w:r>
    </w:p>
    <w:p w:rsidR="00FC239E" w:rsidRPr="00FC239E" w:rsidRDefault="00FC239E" w:rsidP="00FC239E">
      <w:pPr>
        <w:spacing w:after="0" w:line="240" w:lineRule="auto"/>
        <w:rPr>
          <w:rFonts w:ascii="Segoe UI" w:hAnsi="Segoe UI" w:cs="Segoe UI"/>
        </w:rPr>
      </w:pPr>
      <w:r w:rsidRPr="00FC239E">
        <w:rPr>
          <w:rFonts w:ascii="Segoe UI" w:hAnsi="Segoe UI" w:cs="Segoe UI"/>
          <w:b/>
        </w:rPr>
        <w:t xml:space="preserve">February 2015 – </w:t>
      </w:r>
      <w:r w:rsidRPr="00FC239E">
        <w:rPr>
          <w:rFonts w:ascii="Segoe UI" w:hAnsi="Segoe UI" w:cs="Segoe UI"/>
        </w:rPr>
        <w:t>1 case for a patient on Amber ward, Whiteleaf centre</w:t>
      </w:r>
    </w:p>
    <w:p w:rsidR="00FC239E" w:rsidRPr="00FC239E" w:rsidRDefault="00FC239E" w:rsidP="00FC239E">
      <w:pPr>
        <w:spacing w:after="0" w:line="240" w:lineRule="auto"/>
        <w:rPr>
          <w:rFonts w:ascii="Segoe UI" w:hAnsi="Segoe UI" w:cs="Segoe UI"/>
        </w:rPr>
      </w:pPr>
      <w:r w:rsidRPr="00FC239E">
        <w:rPr>
          <w:rFonts w:ascii="Segoe UI" w:hAnsi="Segoe UI" w:cs="Segoe UI"/>
          <w:b/>
        </w:rPr>
        <w:t xml:space="preserve">March 2015 – </w:t>
      </w:r>
      <w:r w:rsidRPr="00FC239E">
        <w:rPr>
          <w:rFonts w:ascii="Segoe UI" w:hAnsi="Segoe UI" w:cs="Segoe UI"/>
        </w:rPr>
        <w:t>1 case for a patient on City ward, Fulbrook centre</w:t>
      </w:r>
    </w:p>
    <w:p w:rsidR="00FC239E" w:rsidRDefault="00FC239E" w:rsidP="00FC239E">
      <w:pPr>
        <w:spacing w:after="0" w:line="240" w:lineRule="auto"/>
        <w:rPr>
          <w:rFonts w:ascii="Segoe UI" w:hAnsi="Segoe UI" w:cs="Segoe UI"/>
        </w:rPr>
      </w:pPr>
    </w:p>
    <w:p w:rsidR="00FC239E" w:rsidRDefault="00FC239E" w:rsidP="00FC239E">
      <w:pPr>
        <w:spacing w:after="0" w:line="240" w:lineRule="auto"/>
        <w:rPr>
          <w:rFonts w:ascii="Segoe UI" w:eastAsia="Times New Roman" w:hAnsi="Segoe UI" w:cs="Segoe UI"/>
          <w:bCs/>
          <w:lang w:eastAsia="en-GB"/>
        </w:rPr>
      </w:pPr>
      <w:r w:rsidRPr="00FC239E">
        <w:rPr>
          <w:rFonts w:ascii="Segoe UI" w:hAnsi="Segoe UI" w:cs="Segoe UI"/>
        </w:rPr>
        <w:t>Robust RCA’s have been completed and any learning identified communicated back to clinical teams and discussed in training for staff.</w:t>
      </w:r>
      <w:r w:rsidRPr="00FC239E">
        <w:rPr>
          <w:rFonts w:ascii="Segoe UI" w:eastAsia="Times New Roman" w:hAnsi="Segoe UI" w:cs="Segoe UI"/>
          <w:bCs/>
          <w:lang w:eastAsia="en-GB"/>
        </w:rPr>
        <w:t xml:space="preserve"> </w:t>
      </w:r>
    </w:p>
    <w:p w:rsidR="00FC239E" w:rsidRPr="00FC239E" w:rsidRDefault="00FC239E" w:rsidP="00FC239E">
      <w:pPr>
        <w:spacing w:after="0" w:line="240" w:lineRule="auto"/>
        <w:rPr>
          <w:rFonts w:ascii="Segoe UI" w:hAnsi="Segoe UI" w:cs="Segoe UI"/>
        </w:rPr>
      </w:pPr>
    </w:p>
    <w:p w:rsidR="00FC239E" w:rsidRDefault="00FC239E" w:rsidP="00FC239E">
      <w:pPr>
        <w:spacing w:after="0" w:line="240" w:lineRule="auto"/>
        <w:rPr>
          <w:rFonts w:ascii="Segoe UI" w:eastAsia="Times New Roman" w:hAnsi="Segoe UI" w:cs="Segoe UI"/>
          <w:bCs/>
          <w:lang w:eastAsia="en-GB"/>
        </w:rPr>
      </w:pPr>
      <w:r w:rsidRPr="00FC239E">
        <w:rPr>
          <w:rFonts w:ascii="Segoe UI" w:eastAsia="Times New Roman" w:hAnsi="Segoe UI" w:cs="Segoe UI"/>
          <w:bCs/>
          <w:lang w:eastAsia="en-GB"/>
        </w:rPr>
        <w:t xml:space="preserve">Each RCA is reviewed by the monthly health economy CDI meeting, with representation from the OUH, Public Health England and commissioners. </w:t>
      </w:r>
    </w:p>
    <w:p w:rsidR="00FC239E" w:rsidRPr="00FC239E" w:rsidRDefault="00FC239E" w:rsidP="00FC239E">
      <w:pPr>
        <w:spacing w:after="0" w:line="240" w:lineRule="auto"/>
        <w:rPr>
          <w:rFonts w:ascii="Segoe UI" w:eastAsia="Times New Roman" w:hAnsi="Segoe UI" w:cs="Segoe UI"/>
          <w:bCs/>
          <w:lang w:eastAsia="en-GB"/>
        </w:rPr>
      </w:pPr>
    </w:p>
    <w:p w:rsidR="00FC239E" w:rsidRPr="00FC239E" w:rsidRDefault="00FC239E" w:rsidP="00FC239E">
      <w:pPr>
        <w:spacing w:after="0" w:line="240" w:lineRule="auto"/>
        <w:rPr>
          <w:rFonts w:ascii="Segoe UI" w:eastAsia="Times New Roman" w:hAnsi="Segoe UI" w:cs="Segoe UI"/>
          <w:bCs/>
          <w:lang w:eastAsia="en-GB"/>
        </w:rPr>
      </w:pPr>
      <w:r w:rsidRPr="00FC239E">
        <w:rPr>
          <w:rFonts w:ascii="Segoe UI" w:eastAsia="Times New Roman" w:hAnsi="Segoe UI" w:cs="Segoe UI"/>
          <w:bCs/>
          <w:lang w:eastAsia="en-GB"/>
        </w:rPr>
        <w:t xml:space="preserve">All CDI cases have been reviewed and the 7 cases have been assessed as unavoidable. </w:t>
      </w:r>
    </w:p>
    <w:p w:rsidR="00FC239E" w:rsidRPr="00FC239E" w:rsidRDefault="00FC239E" w:rsidP="00FC239E">
      <w:pPr>
        <w:spacing w:after="0" w:line="240" w:lineRule="auto"/>
        <w:rPr>
          <w:rFonts w:ascii="Segoe UI" w:eastAsia="Times New Roman" w:hAnsi="Segoe UI" w:cs="Segoe UI"/>
          <w:bCs/>
          <w:lang w:eastAsia="en-GB"/>
        </w:rPr>
      </w:pPr>
    </w:p>
    <w:p w:rsidR="00FC239E" w:rsidRPr="00FC239E" w:rsidRDefault="00FC239E" w:rsidP="00FC239E">
      <w:pPr>
        <w:spacing w:after="0" w:line="240" w:lineRule="auto"/>
        <w:rPr>
          <w:rFonts w:ascii="Segoe UI" w:hAnsi="Segoe UI" w:cs="Segoe UI"/>
          <w:b/>
        </w:rPr>
      </w:pPr>
      <w:r w:rsidRPr="00FC239E">
        <w:rPr>
          <w:rFonts w:ascii="Segoe UI" w:hAnsi="Segoe UI" w:cs="Segoe UI"/>
          <w:b/>
        </w:rPr>
        <w:t>Cases of CDI in Community Hospitals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1843"/>
        <w:gridCol w:w="1985"/>
        <w:gridCol w:w="2126"/>
      </w:tblGrid>
      <w:tr w:rsidR="00FC239E" w:rsidRPr="00FC239E" w:rsidTr="0092537A">
        <w:tc>
          <w:tcPr>
            <w:tcW w:w="2943" w:type="dxa"/>
            <w:shd w:val="clear" w:color="auto" w:fill="DBE5F1"/>
          </w:tcPr>
          <w:p w:rsidR="00FC239E" w:rsidRPr="00FC239E" w:rsidRDefault="00FC239E" w:rsidP="00FC239E">
            <w:pPr>
              <w:spacing w:after="0" w:line="240" w:lineRule="auto"/>
              <w:rPr>
                <w:rFonts w:ascii="Segoe UI" w:hAnsi="Segoe UI" w:cs="Segoe UI"/>
              </w:rPr>
            </w:pPr>
          </w:p>
        </w:tc>
        <w:tc>
          <w:tcPr>
            <w:tcW w:w="1843" w:type="dxa"/>
            <w:shd w:val="clear" w:color="auto" w:fill="DBE5F1"/>
          </w:tcPr>
          <w:p w:rsidR="00FC239E" w:rsidRPr="00FC239E" w:rsidRDefault="00FC239E" w:rsidP="00FC239E">
            <w:pPr>
              <w:spacing w:after="0" w:line="240" w:lineRule="auto"/>
              <w:jc w:val="center"/>
              <w:rPr>
                <w:rFonts w:ascii="Segoe UI" w:hAnsi="Segoe UI" w:cs="Segoe UI"/>
                <w:b/>
                <w:bCs/>
              </w:rPr>
            </w:pPr>
            <w:r w:rsidRPr="00FC239E">
              <w:rPr>
                <w:rFonts w:ascii="Segoe UI" w:hAnsi="Segoe UI" w:cs="Segoe UI"/>
                <w:b/>
                <w:bCs/>
              </w:rPr>
              <w:t>January 2015</w:t>
            </w:r>
          </w:p>
        </w:tc>
        <w:tc>
          <w:tcPr>
            <w:tcW w:w="1985" w:type="dxa"/>
            <w:shd w:val="clear" w:color="auto" w:fill="DBE5F1"/>
          </w:tcPr>
          <w:p w:rsidR="00FC239E" w:rsidRPr="00FC239E" w:rsidRDefault="00FC239E" w:rsidP="00FC239E">
            <w:pPr>
              <w:spacing w:after="0" w:line="240" w:lineRule="auto"/>
              <w:jc w:val="center"/>
              <w:rPr>
                <w:rFonts w:ascii="Segoe UI" w:hAnsi="Segoe UI" w:cs="Segoe UI"/>
                <w:b/>
                <w:bCs/>
              </w:rPr>
            </w:pPr>
            <w:r w:rsidRPr="00FC239E">
              <w:rPr>
                <w:rFonts w:ascii="Segoe UI" w:hAnsi="Segoe UI" w:cs="Segoe UI"/>
                <w:b/>
                <w:bCs/>
              </w:rPr>
              <w:t>February 2015</w:t>
            </w:r>
          </w:p>
        </w:tc>
        <w:tc>
          <w:tcPr>
            <w:tcW w:w="2126" w:type="dxa"/>
            <w:shd w:val="clear" w:color="auto" w:fill="DBE5F1"/>
          </w:tcPr>
          <w:p w:rsidR="00FC239E" w:rsidRPr="00FC239E" w:rsidRDefault="00FC239E" w:rsidP="00FC239E">
            <w:pPr>
              <w:spacing w:after="0" w:line="240" w:lineRule="auto"/>
              <w:jc w:val="center"/>
              <w:rPr>
                <w:rFonts w:ascii="Segoe UI" w:hAnsi="Segoe UI" w:cs="Segoe UI"/>
                <w:b/>
                <w:bCs/>
              </w:rPr>
            </w:pPr>
            <w:r w:rsidRPr="00FC239E">
              <w:rPr>
                <w:rFonts w:ascii="Segoe UI" w:hAnsi="Segoe UI" w:cs="Segoe UI"/>
                <w:b/>
                <w:bCs/>
              </w:rPr>
              <w:t>March 2015</w:t>
            </w:r>
          </w:p>
        </w:tc>
      </w:tr>
      <w:tr w:rsidR="00FC239E" w:rsidRPr="00FC239E" w:rsidTr="0092537A">
        <w:tc>
          <w:tcPr>
            <w:tcW w:w="2943" w:type="dxa"/>
          </w:tcPr>
          <w:p w:rsidR="00FC239E" w:rsidRPr="00FC239E" w:rsidRDefault="00FC239E" w:rsidP="00FC239E">
            <w:pPr>
              <w:spacing w:after="0" w:line="240" w:lineRule="auto"/>
              <w:rPr>
                <w:rFonts w:ascii="Segoe UI" w:hAnsi="Segoe UI" w:cs="Segoe UI"/>
              </w:rPr>
            </w:pPr>
            <w:r w:rsidRPr="00FC239E">
              <w:rPr>
                <w:rFonts w:ascii="Segoe UI" w:hAnsi="Segoe UI" w:cs="Segoe UI"/>
              </w:rPr>
              <w:t>Total number of cases per month</w:t>
            </w:r>
          </w:p>
        </w:tc>
        <w:tc>
          <w:tcPr>
            <w:tcW w:w="1843" w:type="dxa"/>
          </w:tcPr>
          <w:p w:rsidR="00FC239E" w:rsidRPr="00FC239E" w:rsidRDefault="00FC239E" w:rsidP="00FC239E">
            <w:pPr>
              <w:spacing w:after="0" w:line="240" w:lineRule="auto"/>
              <w:jc w:val="center"/>
              <w:rPr>
                <w:rFonts w:ascii="Segoe UI" w:hAnsi="Segoe UI" w:cs="Segoe UI"/>
              </w:rPr>
            </w:pPr>
            <w:r w:rsidRPr="00FC239E">
              <w:rPr>
                <w:rFonts w:ascii="Segoe UI" w:hAnsi="Segoe UI" w:cs="Segoe UI"/>
              </w:rPr>
              <w:t>1</w:t>
            </w:r>
          </w:p>
        </w:tc>
        <w:tc>
          <w:tcPr>
            <w:tcW w:w="1985" w:type="dxa"/>
          </w:tcPr>
          <w:p w:rsidR="00FC239E" w:rsidRPr="00FC239E" w:rsidRDefault="00FC239E" w:rsidP="00FC239E">
            <w:pPr>
              <w:spacing w:after="0" w:line="240" w:lineRule="auto"/>
              <w:jc w:val="center"/>
              <w:rPr>
                <w:rFonts w:ascii="Segoe UI" w:hAnsi="Segoe UI" w:cs="Segoe UI"/>
              </w:rPr>
            </w:pPr>
            <w:r w:rsidRPr="00FC239E">
              <w:rPr>
                <w:rFonts w:ascii="Segoe UI" w:hAnsi="Segoe UI" w:cs="Segoe UI"/>
              </w:rPr>
              <w:t>1</w:t>
            </w:r>
          </w:p>
        </w:tc>
        <w:tc>
          <w:tcPr>
            <w:tcW w:w="2126" w:type="dxa"/>
          </w:tcPr>
          <w:p w:rsidR="00FC239E" w:rsidRPr="00FC239E" w:rsidRDefault="00FC239E" w:rsidP="00FC239E">
            <w:pPr>
              <w:spacing w:after="0" w:line="240" w:lineRule="auto"/>
              <w:jc w:val="center"/>
              <w:rPr>
                <w:rFonts w:ascii="Segoe UI" w:hAnsi="Segoe UI" w:cs="Segoe UI"/>
              </w:rPr>
            </w:pPr>
            <w:r w:rsidRPr="00FC239E">
              <w:rPr>
                <w:rFonts w:ascii="Segoe UI" w:hAnsi="Segoe UI" w:cs="Segoe UI"/>
              </w:rPr>
              <w:t>1</w:t>
            </w:r>
          </w:p>
        </w:tc>
      </w:tr>
      <w:tr w:rsidR="00FC239E" w:rsidRPr="00FC239E" w:rsidTr="0092537A">
        <w:tc>
          <w:tcPr>
            <w:tcW w:w="2943" w:type="dxa"/>
          </w:tcPr>
          <w:p w:rsidR="00FC239E" w:rsidRPr="00FC239E" w:rsidRDefault="00FC239E" w:rsidP="00FC239E">
            <w:pPr>
              <w:spacing w:after="0" w:line="240" w:lineRule="auto"/>
              <w:rPr>
                <w:rFonts w:ascii="Segoe UI" w:hAnsi="Segoe UI" w:cs="Segoe UI"/>
              </w:rPr>
            </w:pPr>
            <w:r w:rsidRPr="00FC239E">
              <w:rPr>
                <w:rFonts w:ascii="Segoe UI" w:hAnsi="Segoe UI" w:cs="Segoe UI"/>
              </w:rPr>
              <w:t>Total cases in year</w:t>
            </w:r>
          </w:p>
        </w:tc>
        <w:tc>
          <w:tcPr>
            <w:tcW w:w="1843" w:type="dxa"/>
          </w:tcPr>
          <w:p w:rsidR="00FC239E" w:rsidRPr="00FC239E" w:rsidRDefault="00FC239E" w:rsidP="00FC239E">
            <w:pPr>
              <w:spacing w:after="0" w:line="240" w:lineRule="auto"/>
              <w:jc w:val="center"/>
              <w:rPr>
                <w:rFonts w:ascii="Segoe UI" w:hAnsi="Segoe UI" w:cs="Segoe UI"/>
              </w:rPr>
            </w:pPr>
            <w:r w:rsidRPr="00FC239E">
              <w:rPr>
                <w:rFonts w:ascii="Segoe UI" w:hAnsi="Segoe UI" w:cs="Segoe UI"/>
              </w:rPr>
              <w:t>5</w:t>
            </w:r>
          </w:p>
        </w:tc>
        <w:tc>
          <w:tcPr>
            <w:tcW w:w="1985" w:type="dxa"/>
          </w:tcPr>
          <w:p w:rsidR="00FC239E" w:rsidRPr="00FC239E" w:rsidRDefault="00FC239E" w:rsidP="00FC239E">
            <w:pPr>
              <w:spacing w:after="0" w:line="240" w:lineRule="auto"/>
              <w:jc w:val="center"/>
              <w:rPr>
                <w:rFonts w:ascii="Segoe UI" w:hAnsi="Segoe UI" w:cs="Segoe UI"/>
              </w:rPr>
            </w:pPr>
            <w:r w:rsidRPr="00FC239E">
              <w:rPr>
                <w:rFonts w:ascii="Segoe UI" w:hAnsi="Segoe UI" w:cs="Segoe UI"/>
              </w:rPr>
              <w:t>6</w:t>
            </w:r>
          </w:p>
        </w:tc>
        <w:tc>
          <w:tcPr>
            <w:tcW w:w="2126" w:type="dxa"/>
          </w:tcPr>
          <w:p w:rsidR="00FC239E" w:rsidRPr="00FC239E" w:rsidRDefault="00FC239E" w:rsidP="00FC239E">
            <w:pPr>
              <w:spacing w:after="0" w:line="240" w:lineRule="auto"/>
              <w:jc w:val="center"/>
              <w:rPr>
                <w:rFonts w:ascii="Segoe UI" w:hAnsi="Segoe UI" w:cs="Segoe UI"/>
              </w:rPr>
            </w:pPr>
            <w:r w:rsidRPr="00FC239E">
              <w:rPr>
                <w:rFonts w:ascii="Segoe UI" w:hAnsi="Segoe UI" w:cs="Segoe UI"/>
              </w:rPr>
              <w:t>7</w:t>
            </w:r>
          </w:p>
        </w:tc>
      </w:tr>
      <w:tr w:rsidR="00FC239E" w:rsidRPr="00FC239E" w:rsidTr="0092537A">
        <w:tc>
          <w:tcPr>
            <w:tcW w:w="2943" w:type="dxa"/>
          </w:tcPr>
          <w:p w:rsidR="00FC239E" w:rsidRPr="00FC239E" w:rsidRDefault="00FC239E" w:rsidP="00FC239E">
            <w:pPr>
              <w:spacing w:after="0" w:line="240" w:lineRule="auto"/>
              <w:rPr>
                <w:rFonts w:ascii="Segoe UI" w:hAnsi="Segoe UI" w:cs="Segoe UI"/>
              </w:rPr>
            </w:pPr>
            <w:r w:rsidRPr="00FC239E">
              <w:rPr>
                <w:rFonts w:ascii="Segoe UI" w:hAnsi="Segoe UI" w:cs="Segoe UI"/>
              </w:rPr>
              <w:t>Outcome from monthly case review</w:t>
            </w:r>
          </w:p>
        </w:tc>
        <w:tc>
          <w:tcPr>
            <w:tcW w:w="1843" w:type="dxa"/>
            <w:shd w:val="clear" w:color="auto" w:fill="92D050"/>
          </w:tcPr>
          <w:p w:rsidR="00FC239E" w:rsidRPr="00FC239E" w:rsidRDefault="00FC239E" w:rsidP="00FC239E">
            <w:pPr>
              <w:spacing w:after="0" w:line="240" w:lineRule="auto"/>
              <w:jc w:val="center"/>
              <w:rPr>
                <w:rFonts w:ascii="Segoe UI" w:hAnsi="Segoe UI" w:cs="Segoe UI"/>
              </w:rPr>
            </w:pPr>
            <w:r w:rsidRPr="00FC239E">
              <w:rPr>
                <w:rFonts w:ascii="Segoe UI" w:hAnsi="Segoe UI" w:cs="Segoe UI"/>
              </w:rPr>
              <w:t>Unavoidable</w:t>
            </w:r>
          </w:p>
        </w:tc>
        <w:tc>
          <w:tcPr>
            <w:tcW w:w="1985" w:type="dxa"/>
            <w:shd w:val="clear" w:color="auto" w:fill="92D050"/>
          </w:tcPr>
          <w:p w:rsidR="00FC239E" w:rsidRPr="00FC239E" w:rsidRDefault="00FC239E" w:rsidP="00FC239E">
            <w:pPr>
              <w:spacing w:after="0" w:line="240" w:lineRule="auto"/>
              <w:jc w:val="center"/>
              <w:rPr>
                <w:rFonts w:ascii="Segoe UI" w:hAnsi="Segoe UI" w:cs="Segoe UI"/>
              </w:rPr>
            </w:pPr>
            <w:r w:rsidRPr="00FC239E">
              <w:rPr>
                <w:rFonts w:ascii="Segoe UI" w:hAnsi="Segoe UI" w:cs="Segoe UI"/>
              </w:rPr>
              <w:t>Unavoidable</w:t>
            </w:r>
          </w:p>
        </w:tc>
        <w:tc>
          <w:tcPr>
            <w:tcW w:w="2126" w:type="dxa"/>
            <w:shd w:val="clear" w:color="auto" w:fill="92D050"/>
          </w:tcPr>
          <w:p w:rsidR="00FC239E" w:rsidRPr="00FC239E" w:rsidRDefault="00FC239E" w:rsidP="00FC239E">
            <w:pPr>
              <w:spacing w:after="0" w:line="240" w:lineRule="auto"/>
              <w:jc w:val="center"/>
              <w:rPr>
                <w:rFonts w:ascii="Segoe UI" w:hAnsi="Segoe UI" w:cs="Segoe UI"/>
              </w:rPr>
            </w:pPr>
            <w:r w:rsidRPr="00FC239E">
              <w:rPr>
                <w:rFonts w:ascii="Segoe UI" w:hAnsi="Segoe UI" w:cs="Segoe UI"/>
              </w:rPr>
              <w:t>Unavoidable</w:t>
            </w:r>
          </w:p>
        </w:tc>
      </w:tr>
    </w:tbl>
    <w:p w:rsidR="00FC239E" w:rsidRDefault="00FC239E" w:rsidP="00FC239E">
      <w:pPr>
        <w:spacing w:after="0" w:line="240" w:lineRule="auto"/>
        <w:rPr>
          <w:rFonts w:ascii="Segoe UI" w:hAnsi="Segoe UI" w:cs="Segoe UI"/>
        </w:rPr>
      </w:pPr>
    </w:p>
    <w:p w:rsidR="00FC239E" w:rsidRPr="00FC239E" w:rsidRDefault="00FC239E" w:rsidP="00FC239E">
      <w:pPr>
        <w:spacing w:after="0" w:line="240" w:lineRule="auto"/>
        <w:rPr>
          <w:rFonts w:ascii="Segoe UI" w:hAnsi="Segoe UI" w:cs="Segoe UI"/>
        </w:rPr>
      </w:pPr>
      <w:r w:rsidRPr="00FC239E">
        <w:rPr>
          <w:rFonts w:ascii="Segoe UI" w:hAnsi="Segoe UI" w:cs="Segoe UI"/>
        </w:rPr>
        <w:t>There were no cases of CDI in mental health.</w:t>
      </w:r>
    </w:p>
    <w:p w:rsidR="00FC239E" w:rsidRDefault="00FC239E" w:rsidP="00FC239E">
      <w:pPr>
        <w:spacing w:after="0" w:line="240" w:lineRule="auto"/>
        <w:rPr>
          <w:rFonts w:ascii="Segoe UI" w:hAnsi="Segoe UI" w:cs="Segoe UI"/>
          <w:b/>
          <w:u w:val="single"/>
        </w:rPr>
      </w:pPr>
    </w:p>
    <w:p w:rsidR="00FC239E" w:rsidRPr="00FC239E" w:rsidRDefault="00FC239E" w:rsidP="00FC239E">
      <w:pPr>
        <w:spacing w:after="0" w:line="240" w:lineRule="auto"/>
        <w:rPr>
          <w:rFonts w:ascii="Segoe UI" w:hAnsi="Segoe UI" w:cs="Segoe UI"/>
          <w:i/>
        </w:rPr>
      </w:pPr>
      <w:r w:rsidRPr="00FC239E">
        <w:rPr>
          <w:rFonts w:ascii="Segoe UI" w:hAnsi="Segoe UI" w:cs="Segoe UI"/>
          <w:i/>
        </w:rPr>
        <w:t xml:space="preserve">MRSA and MSSA bacteraemia </w:t>
      </w:r>
    </w:p>
    <w:p w:rsidR="00FC239E" w:rsidRDefault="00FC239E" w:rsidP="00FC239E">
      <w:pPr>
        <w:shd w:val="clear" w:color="auto" w:fill="FFFFFF"/>
        <w:spacing w:after="0" w:line="240" w:lineRule="auto"/>
        <w:jc w:val="both"/>
        <w:rPr>
          <w:rFonts w:ascii="Segoe UI" w:eastAsia="Times New Roman" w:hAnsi="Segoe UI" w:cs="Segoe UI"/>
          <w:bCs/>
          <w:lang w:eastAsia="en-GB"/>
        </w:rPr>
      </w:pPr>
      <w:r w:rsidRPr="00FC239E">
        <w:rPr>
          <w:rFonts w:ascii="Segoe UI" w:eastAsia="Times New Roman" w:hAnsi="Segoe UI" w:cs="Segoe UI"/>
          <w:bCs/>
          <w:lang w:eastAsia="en-GB"/>
        </w:rPr>
        <w:t xml:space="preserve">There was a </w:t>
      </w:r>
      <w:proofErr w:type="spellStart"/>
      <w:r w:rsidRPr="00FC239E">
        <w:rPr>
          <w:rFonts w:ascii="Segoe UI" w:eastAsia="Times New Roman" w:hAnsi="Segoe UI" w:cs="Segoe UI"/>
          <w:bCs/>
          <w:lang w:eastAsia="en-GB"/>
        </w:rPr>
        <w:t>pre 48</w:t>
      </w:r>
      <w:proofErr w:type="spellEnd"/>
      <w:r w:rsidRPr="00FC239E">
        <w:rPr>
          <w:rFonts w:ascii="Segoe UI" w:eastAsia="Times New Roman" w:hAnsi="Segoe UI" w:cs="Segoe UI"/>
          <w:bCs/>
          <w:lang w:eastAsia="en-GB"/>
        </w:rPr>
        <w:t xml:space="preserve"> hour MRSA bacteraemia patient identified on assessment in EMU on 6</w:t>
      </w:r>
      <w:r w:rsidRPr="00FC239E">
        <w:rPr>
          <w:rFonts w:ascii="Segoe UI" w:eastAsia="Times New Roman" w:hAnsi="Segoe UI" w:cs="Segoe UI"/>
          <w:bCs/>
          <w:vertAlign w:val="superscript"/>
          <w:lang w:eastAsia="en-GB"/>
        </w:rPr>
        <w:t>th</w:t>
      </w:r>
      <w:r w:rsidRPr="00FC239E">
        <w:rPr>
          <w:rFonts w:ascii="Segoe UI" w:eastAsia="Times New Roman" w:hAnsi="Segoe UI" w:cs="Segoe UI"/>
          <w:bCs/>
          <w:lang w:eastAsia="en-GB"/>
        </w:rPr>
        <w:t xml:space="preserve"> January. The patient was admitted to ward 2, Abingdon. A post infection review meeting was </w:t>
      </w:r>
      <w:r w:rsidRPr="00FC239E">
        <w:rPr>
          <w:rFonts w:ascii="Segoe UI" w:eastAsia="Times New Roman" w:hAnsi="Segoe UI" w:cs="Segoe UI"/>
          <w:bCs/>
          <w:lang w:eastAsia="en-GB"/>
        </w:rPr>
        <w:lastRenderedPageBreak/>
        <w:t>held with the CCG and the case was deemed unavoidable. There are some actions points identified which are being addressed.</w:t>
      </w:r>
    </w:p>
    <w:p w:rsidR="00FC239E" w:rsidRPr="00FC239E" w:rsidRDefault="00FC239E" w:rsidP="00FC239E">
      <w:pPr>
        <w:shd w:val="clear" w:color="auto" w:fill="FFFFFF"/>
        <w:spacing w:after="0" w:line="240" w:lineRule="auto"/>
        <w:jc w:val="both"/>
        <w:rPr>
          <w:rFonts w:ascii="Segoe UI" w:eastAsia="Times New Roman" w:hAnsi="Segoe UI" w:cs="Segoe UI"/>
          <w:bCs/>
          <w:lang w:eastAsia="en-GB"/>
        </w:rPr>
      </w:pPr>
    </w:p>
    <w:p w:rsidR="00FC239E" w:rsidRDefault="00FC239E" w:rsidP="00FC239E">
      <w:pPr>
        <w:spacing w:after="0" w:line="240" w:lineRule="auto"/>
        <w:rPr>
          <w:rFonts w:ascii="Segoe UI" w:hAnsi="Segoe UI" w:cs="Segoe UI"/>
        </w:rPr>
      </w:pPr>
      <w:r w:rsidRPr="00FC239E">
        <w:rPr>
          <w:rFonts w:ascii="Segoe UI" w:hAnsi="Segoe UI" w:cs="Segoe UI"/>
        </w:rPr>
        <w:t>There were no cases of MSSA bacteraemia in the Trust.</w:t>
      </w:r>
    </w:p>
    <w:p w:rsidR="00FC239E" w:rsidRPr="00FC239E" w:rsidRDefault="00FC239E" w:rsidP="00FC239E">
      <w:pPr>
        <w:spacing w:after="0" w:line="240" w:lineRule="auto"/>
        <w:rPr>
          <w:rFonts w:ascii="Segoe UI" w:hAnsi="Segoe UI" w:cs="Segoe UI"/>
        </w:rPr>
      </w:pPr>
    </w:p>
    <w:p w:rsidR="00FC239E" w:rsidRPr="00FC239E" w:rsidRDefault="00FC239E" w:rsidP="00FC239E">
      <w:pPr>
        <w:spacing w:after="0" w:line="240" w:lineRule="auto"/>
        <w:rPr>
          <w:rFonts w:ascii="Segoe UI" w:hAnsi="Segoe UI" w:cs="Segoe UI"/>
          <w:i/>
        </w:rPr>
      </w:pPr>
      <w:proofErr w:type="spellStart"/>
      <w:r w:rsidRPr="00FC239E">
        <w:rPr>
          <w:rFonts w:ascii="Segoe UI" w:hAnsi="Segoe UI" w:cs="Segoe UI"/>
          <w:i/>
        </w:rPr>
        <w:t>E.Coli</w:t>
      </w:r>
      <w:proofErr w:type="spellEnd"/>
      <w:r w:rsidRPr="00FC239E">
        <w:rPr>
          <w:rFonts w:ascii="Segoe UI" w:hAnsi="Segoe UI" w:cs="Segoe UI"/>
          <w:i/>
        </w:rPr>
        <w:t xml:space="preserve"> </w:t>
      </w:r>
      <w:proofErr w:type="spellStart"/>
      <w:r w:rsidRPr="00FC239E">
        <w:rPr>
          <w:rFonts w:ascii="Segoe UI" w:hAnsi="Segoe UI" w:cs="Segoe UI"/>
          <w:i/>
        </w:rPr>
        <w:t>bacteraemias</w:t>
      </w:r>
      <w:proofErr w:type="spellEnd"/>
    </w:p>
    <w:p w:rsidR="00FC239E" w:rsidRPr="00FC239E" w:rsidRDefault="00FC239E" w:rsidP="00FC239E">
      <w:pPr>
        <w:spacing w:after="0" w:line="240" w:lineRule="auto"/>
        <w:rPr>
          <w:rFonts w:ascii="Segoe UI" w:hAnsi="Segoe UI" w:cs="Segoe UI"/>
        </w:rPr>
      </w:pPr>
      <w:r w:rsidRPr="00FC239E">
        <w:rPr>
          <w:rFonts w:ascii="Segoe UI" w:hAnsi="Segoe UI" w:cs="Segoe UI"/>
          <w:b/>
        </w:rPr>
        <w:t>January 2015</w:t>
      </w:r>
      <w:r w:rsidRPr="00FC239E">
        <w:rPr>
          <w:rFonts w:ascii="Segoe UI" w:hAnsi="Segoe UI" w:cs="Segoe UI"/>
        </w:rPr>
        <w:t>– No cases</w:t>
      </w:r>
    </w:p>
    <w:p w:rsidR="00FC239E" w:rsidRPr="00FC239E" w:rsidRDefault="00FC239E" w:rsidP="00FC239E">
      <w:pPr>
        <w:spacing w:after="0" w:line="240" w:lineRule="auto"/>
        <w:rPr>
          <w:rFonts w:ascii="Segoe UI" w:hAnsi="Segoe UI" w:cs="Segoe UI"/>
        </w:rPr>
      </w:pPr>
      <w:r w:rsidRPr="00FC239E">
        <w:rPr>
          <w:rFonts w:ascii="Segoe UI" w:hAnsi="Segoe UI" w:cs="Segoe UI"/>
          <w:b/>
        </w:rPr>
        <w:t>February 2015</w:t>
      </w:r>
      <w:r w:rsidRPr="00FC239E">
        <w:rPr>
          <w:rFonts w:ascii="Segoe UI" w:hAnsi="Segoe UI" w:cs="Segoe UI"/>
        </w:rPr>
        <w:t xml:space="preserve"> – No cases</w:t>
      </w:r>
    </w:p>
    <w:p w:rsidR="00FC239E" w:rsidRPr="00FC239E" w:rsidRDefault="00FC239E" w:rsidP="00FC239E">
      <w:pPr>
        <w:spacing w:after="0" w:line="240" w:lineRule="auto"/>
        <w:rPr>
          <w:rFonts w:ascii="Segoe UI" w:hAnsi="Segoe UI" w:cs="Segoe UI"/>
          <w:b/>
          <w:highlight w:val="yellow"/>
        </w:rPr>
      </w:pPr>
      <w:r w:rsidRPr="00FC239E">
        <w:rPr>
          <w:rFonts w:ascii="Segoe UI" w:hAnsi="Segoe UI" w:cs="Segoe UI"/>
          <w:b/>
        </w:rPr>
        <w:t xml:space="preserve">March 2015 - </w:t>
      </w:r>
      <w:r w:rsidRPr="00FC239E">
        <w:rPr>
          <w:rFonts w:ascii="Segoe UI" w:hAnsi="Segoe UI" w:cs="Segoe UI"/>
        </w:rPr>
        <w:t xml:space="preserve">1 pre 48 hour community case, admitted to Abingdon ward 1 under EMU care. </w:t>
      </w:r>
    </w:p>
    <w:p w:rsidR="00FC239E" w:rsidRDefault="00FC239E" w:rsidP="00FC239E">
      <w:pPr>
        <w:spacing w:after="0" w:line="240" w:lineRule="auto"/>
        <w:rPr>
          <w:rFonts w:ascii="Segoe UI" w:hAnsi="Segoe UI" w:cs="Segoe UI"/>
        </w:rPr>
      </w:pPr>
    </w:p>
    <w:p w:rsidR="00FC239E" w:rsidRDefault="00FC239E" w:rsidP="00FC239E">
      <w:pPr>
        <w:spacing w:after="0" w:line="240" w:lineRule="auto"/>
        <w:rPr>
          <w:rFonts w:ascii="Segoe UI" w:hAnsi="Segoe UI" w:cs="Segoe UI"/>
        </w:rPr>
      </w:pPr>
      <w:r w:rsidRPr="00FC239E">
        <w:rPr>
          <w:rFonts w:ascii="Segoe UI" w:hAnsi="Segoe UI" w:cs="Segoe UI"/>
        </w:rPr>
        <w:t>All cases have had a thorough RCA completed and any learning points identified and discussed within the service. These infections require mandatory reporting but do not have a target</w:t>
      </w:r>
    </w:p>
    <w:p w:rsidR="00FC239E" w:rsidRPr="00FC239E" w:rsidRDefault="00FC239E" w:rsidP="00FC239E">
      <w:pPr>
        <w:spacing w:after="0" w:line="240" w:lineRule="auto"/>
        <w:rPr>
          <w:rFonts w:ascii="Segoe UI" w:hAnsi="Segoe UI" w:cs="Segoe UI"/>
          <w:b/>
          <w:u w:val="single"/>
        </w:rPr>
      </w:pPr>
    </w:p>
    <w:p w:rsidR="00FC239E" w:rsidRPr="00FC239E" w:rsidRDefault="00FC239E" w:rsidP="00FC239E">
      <w:pPr>
        <w:spacing w:after="0" w:line="240" w:lineRule="auto"/>
        <w:rPr>
          <w:rFonts w:ascii="Segoe UI" w:hAnsi="Segoe UI" w:cs="Segoe UI"/>
          <w:b/>
        </w:rPr>
      </w:pPr>
      <w:r w:rsidRPr="00FC239E">
        <w:rPr>
          <w:rFonts w:ascii="Segoe UI" w:hAnsi="Segoe UI" w:cs="Segoe UI"/>
          <w:b/>
        </w:rPr>
        <w:t>Outbreaks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276"/>
        <w:gridCol w:w="3118"/>
        <w:gridCol w:w="1418"/>
        <w:gridCol w:w="1984"/>
      </w:tblGrid>
      <w:tr w:rsidR="00FC239E" w:rsidRPr="00FC239E" w:rsidTr="0092537A">
        <w:tc>
          <w:tcPr>
            <w:tcW w:w="1526" w:type="dxa"/>
            <w:shd w:val="clear" w:color="auto" w:fill="C6D9F1"/>
          </w:tcPr>
          <w:p w:rsidR="00FC239E" w:rsidRPr="00FC239E" w:rsidRDefault="00FC239E" w:rsidP="00FC239E">
            <w:pPr>
              <w:spacing w:after="0" w:line="240" w:lineRule="auto"/>
              <w:rPr>
                <w:rFonts w:ascii="Segoe UI" w:hAnsi="Segoe UI" w:cs="Segoe UI"/>
                <w:b/>
              </w:rPr>
            </w:pPr>
            <w:r w:rsidRPr="00FC239E">
              <w:rPr>
                <w:rFonts w:ascii="Segoe UI" w:hAnsi="Segoe UI" w:cs="Segoe UI"/>
                <w:b/>
              </w:rPr>
              <w:t>Location</w:t>
            </w:r>
          </w:p>
        </w:tc>
        <w:tc>
          <w:tcPr>
            <w:tcW w:w="1276" w:type="dxa"/>
            <w:shd w:val="clear" w:color="auto" w:fill="C6D9F1"/>
          </w:tcPr>
          <w:p w:rsidR="00FC239E" w:rsidRPr="00FC239E" w:rsidRDefault="00FC239E" w:rsidP="00FC239E">
            <w:pPr>
              <w:spacing w:after="0" w:line="240" w:lineRule="auto"/>
              <w:rPr>
                <w:rFonts w:ascii="Segoe UI" w:hAnsi="Segoe UI" w:cs="Segoe UI"/>
                <w:b/>
              </w:rPr>
            </w:pPr>
            <w:r w:rsidRPr="00FC239E">
              <w:rPr>
                <w:rFonts w:ascii="Segoe UI" w:hAnsi="Segoe UI" w:cs="Segoe UI"/>
                <w:b/>
              </w:rPr>
              <w:t>Dates</w:t>
            </w:r>
          </w:p>
        </w:tc>
        <w:tc>
          <w:tcPr>
            <w:tcW w:w="3118" w:type="dxa"/>
            <w:shd w:val="clear" w:color="auto" w:fill="C6D9F1"/>
          </w:tcPr>
          <w:p w:rsidR="00FC239E" w:rsidRPr="00FC239E" w:rsidRDefault="00FC239E" w:rsidP="00FC239E">
            <w:pPr>
              <w:spacing w:after="0" w:line="240" w:lineRule="auto"/>
              <w:rPr>
                <w:rFonts w:ascii="Segoe UI" w:hAnsi="Segoe UI" w:cs="Segoe UI"/>
                <w:b/>
              </w:rPr>
            </w:pPr>
            <w:r w:rsidRPr="00FC239E">
              <w:rPr>
                <w:rFonts w:ascii="Segoe UI" w:hAnsi="Segoe UI" w:cs="Segoe UI"/>
                <w:b/>
              </w:rPr>
              <w:t>Management</w:t>
            </w:r>
          </w:p>
        </w:tc>
        <w:tc>
          <w:tcPr>
            <w:tcW w:w="1418" w:type="dxa"/>
            <w:shd w:val="clear" w:color="auto" w:fill="C6D9F1"/>
          </w:tcPr>
          <w:p w:rsidR="00FC239E" w:rsidRPr="00FC239E" w:rsidRDefault="00FC239E" w:rsidP="00FC239E">
            <w:pPr>
              <w:spacing w:after="0" w:line="240" w:lineRule="auto"/>
              <w:rPr>
                <w:rFonts w:ascii="Segoe UI" w:hAnsi="Segoe UI" w:cs="Segoe UI"/>
                <w:b/>
              </w:rPr>
            </w:pPr>
            <w:r w:rsidRPr="00FC239E">
              <w:rPr>
                <w:rFonts w:ascii="Segoe UI" w:hAnsi="Segoe UI" w:cs="Segoe UI"/>
                <w:b/>
              </w:rPr>
              <w:t>Cause</w:t>
            </w:r>
          </w:p>
        </w:tc>
        <w:tc>
          <w:tcPr>
            <w:tcW w:w="1984" w:type="dxa"/>
            <w:shd w:val="clear" w:color="auto" w:fill="C6D9F1"/>
          </w:tcPr>
          <w:p w:rsidR="00FC239E" w:rsidRPr="00FC239E" w:rsidRDefault="00FC239E" w:rsidP="00FC239E">
            <w:pPr>
              <w:spacing w:after="0" w:line="240" w:lineRule="auto"/>
              <w:rPr>
                <w:rFonts w:ascii="Segoe UI" w:hAnsi="Segoe UI" w:cs="Segoe UI"/>
                <w:b/>
              </w:rPr>
            </w:pPr>
            <w:r w:rsidRPr="00FC239E">
              <w:rPr>
                <w:rFonts w:ascii="Segoe UI" w:hAnsi="Segoe UI" w:cs="Segoe UI"/>
                <w:b/>
              </w:rPr>
              <w:t>No. of cases</w:t>
            </w:r>
          </w:p>
        </w:tc>
      </w:tr>
      <w:tr w:rsidR="00FC239E" w:rsidRPr="00FC239E" w:rsidTr="00FC239E">
        <w:trPr>
          <w:trHeight w:val="1110"/>
        </w:trPr>
        <w:tc>
          <w:tcPr>
            <w:tcW w:w="1526" w:type="dxa"/>
            <w:shd w:val="clear" w:color="auto" w:fill="auto"/>
          </w:tcPr>
          <w:p w:rsidR="00FC239E" w:rsidRPr="00FC239E" w:rsidRDefault="00FC239E" w:rsidP="00FC239E">
            <w:pPr>
              <w:spacing w:after="0" w:line="240" w:lineRule="auto"/>
              <w:rPr>
                <w:rFonts w:ascii="Segoe UI" w:hAnsi="Segoe UI" w:cs="Segoe UI"/>
                <w:color w:val="000000"/>
              </w:rPr>
            </w:pPr>
            <w:r w:rsidRPr="00FC239E">
              <w:rPr>
                <w:rFonts w:ascii="Segoe UI" w:hAnsi="Segoe UI" w:cs="Segoe UI"/>
                <w:color w:val="000000"/>
              </w:rPr>
              <w:t>Bicester hospital</w:t>
            </w:r>
          </w:p>
        </w:tc>
        <w:tc>
          <w:tcPr>
            <w:tcW w:w="1276" w:type="dxa"/>
            <w:shd w:val="clear" w:color="auto" w:fill="auto"/>
          </w:tcPr>
          <w:p w:rsidR="00FC239E" w:rsidRPr="00FC239E" w:rsidRDefault="00FC239E" w:rsidP="00FC239E">
            <w:pPr>
              <w:spacing w:after="0" w:line="240" w:lineRule="auto"/>
              <w:rPr>
                <w:rFonts w:ascii="Segoe UI" w:hAnsi="Segoe UI" w:cs="Segoe UI"/>
                <w:color w:val="000000"/>
              </w:rPr>
            </w:pPr>
            <w:r w:rsidRPr="00FC239E">
              <w:rPr>
                <w:rFonts w:ascii="Segoe UI" w:hAnsi="Segoe UI" w:cs="Segoe UI"/>
                <w:color w:val="000000"/>
              </w:rPr>
              <w:t>2-8</w:t>
            </w:r>
            <w:r w:rsidRPr="00FC239E">
              <w:rPr>
                <w:rFonts w:ascii="Segoe UI" w:hAnsi="Segoe UI" w:cs="Segoe UI"/>
                <w:color w:val="000000"/>
                <w:vertAlign w:val="superscript"/>
              </w:rPr>
              <w:t>th</w:t>
            </w:r>
            <w:r w:rsidRPr="00FC239E">
              <w:rPr>
                <w:rFonts w:ascii="Segoe UI" w:hAnsi="Segoe UI" w:cs="Segoe UI"/>
                <w:color w:val="000000"/>
              </w:rPr>
              <w:t xml:space="preserve"> January 2015</w:t>
            </w:r>
          </w:p>
        </w:tc>
        <w:tc>
          <w:tcPr>
            <w:tcW w:w="3118" w:type="dxa"/>
            <w:shd w:val="clear" w:color="auto" w:fill="auto"/>
          </w:tcPr>
          <w:p w:rsidR="00FC239E" w:rsidRPr="00FC239E" w:rsidRDefault="00FC239E" w:rsidP="00FC239E">
            <w:pPr>
              <w:spacing w:after="0" w:line="240" w:lineRule="auto"/>
              <w:rPr>
                <w:rFonts w:ascii="Segoe UI" w:hAnsi="Segoe UI" w:cs="Segoe UI"/>
              </w:rPr>
            </w:pPr>
            <w:r w:rsidRPr="00FC239E">
              <w:rPr>
                <w:rFonts w:ascii="Segoe UI" w:hAnsi="Segoe UI" w:cs="Segoe UI"/>
              </w:rPr>
              <w:t>IPCT management with PHE advice</w:t>
            </w:r>
          </w:p>
        </w:tc>
        <w:tc>
          <w:tcPr>
            <w:tcW w:w="1418" w:type="dxa"/>
            <w:shd w:val="clear" w:color="auto" w:fill="auto"/>
          </w:tcPr>
          <w:p w:rsidR="00FC239E" w:rsidRPr="00FC239E" w:rsidRDefault="00FC239E" w:rsidP="00FC239E">
            <w:pPr>
              <w:spacing w:after="0" w:line="240" w:lineRule="auto"/>
              <w:rPr>
                <w:rFonts w:ascii="Segoe UI" w:hAnsi="Segoe UI" w:cs="Segoe UI"/>
                <w:color w:val="FF0000"/>
              </w:rPr>
            </w:pPr>
            <w:r w:rsidRPr="00FC239E">
              <w:rPr>
                <w:rFonts w:ascii="Segoe UI" w:hAnsi="Segoe UI" w:cs="Segoe UI"/>
                <w:color w:val="FF0000"/>
              </w:rPr>
              <w:t>Confirmed Influenza A</w:t>
            </w:r>
          </w:p>
        </w:tc>
        <w:tc>
          <w:tcPr>
            <w:tcW w:w="1984" w:type="dxa"/>
            <w:shd w:val="clear" w:color="auto" w:fill="auto"/>
          </w:tcPr>
          <w:p w:rsidR="00FC239E" w:rsidRPr="00FC239E" w:rsidRDefault="00FC239E" w:rsidP="00FC239E">
            <w:pPr>
              <w:spacing w:after="0" w:line="240" w:lineRule="auto"/>
              <w:rPr>
                <w:rFonts w:ascii="Segoe UI" w:hAnsi="Segoe UI" w:cs="Segoe UI"/>
                <w:color w:val="000000"/>
              </w:rPr>
            </w:pPr>
            <w:r w:rsidRPr="00FC239E">
              <w:rPr>
                <w:rFonts w:ascii="Segoe UI" w:hAnsi="Segoe UI" w:cs="Segoe UI"/>
                <w:color w:val="000000"/>
              </w:rPr>
              <w:t>4 patients and 8 staff</w:t>
            </w:r>
          </w:p>
        </w:tc>
      </w:tr>
      <w:tr w:rsidR="00FC239E" w:rsidRPr="00FC239E" w:rsidTr="00FC239E">
        <w:trPr>
          <w:trHeight w:val="1395"/>
        </w:trPr>
        <w:tc>
          <w:tcPr>
            <w:tcW w:w="1526" w:type="dxa"/>
            <w:shd w:val="clear" w:color="auto" w:fill="auto"/>
          </w:tcPr>
          <w:p w:rsidR="00FC239E" w:rsidRPr="00FC239E" w:rsidRDefault="00FC239E" w:rsidP="00FC239E">
            <w:pPr>
              <w:spacing w:after="0" w:line="240" w:lineRule="auto"/>
              <w:rPr>
                <w:rFonts w:ascii="Segoe UI" w:hAnsi="Segoe UI" w:cs="Segoe UI"/>
                <w:color w:val="000000"/>
              </w:rPr>
            </w:pPr>
            <w:r w:rsidRPr="00FC239E">
              <w:rPr>
                <w:rFonts w:ascii="Segoe UI" w:eastAsia="Times New Roman" w:hAnsi="Segoe UI" w:cs="Segoe UI"/>
                <w:lang w:eastAsia="en-GB"/>
              </w:rPr>
              <w:t>Opal ward, Whiteleaf centre</w:t>
            </w:r>
          </w:p>
        </w:tc>
        <w:tc>
          <w:tcPr>
            <w:tcW w:w="1276" w:type="dxa"/>
            <w:shd w:val="clear" w:color="auto" w:fill="auto"/>
          </w:tcPr>
          <w:p w:rsidR="00FC239E" w:rsidRPr="00FC239E" w:rsidRDefault="00FC239E" w:rsidP="00FC239E">
            <w:pPr>
              <w:spacing w:after="0" w:line="240" w:lineRule="auto"/>
              <w:rPr>
                <w:rFonts w:ascii="Segoe UI" w:hAnsi="Segoe UI" w:cs="Segoe UI"/>
                <w:color w:val="000000"/>
              </w:rPr>
            </w:pPr>
            <w:r w:rsidRPr="00FC239E">
              <w:rPr>
                <w:rFonts w:ascii="Segoe UI" w:hAnsi="Segoe UI" w:cs="Segoe UI"/>
                <w:color w:val="000000"/>
              </w:rPr>
              <w:t>12-20</w:t>
            </w:r>
            <w:r w:rsidRPr="00FC239E">
              <w:rPr>
                <w:rFonts w:ascii="Segoe UI" w:hAnsi="Segoe UI" w:cs="Segoe UI"/>
                <w:color w:val="000000"/>
                <w:vertAlign w:val="superscript"/>
              </w:rPr>
              <w:t>th</w:t>
            </w:r>
            <w:r w:rsidRPr="00FC239E">
              <w:rPr>
                <w:rFonts w:ascii="Segoe UI" w:hAnsi="Segoe UI" w:cs="Segoe UI"/>
                <w:color w:val="000000"/>
              </w:rPr>
              <w:t xml:space="preserve"> March 2015</w:t>
            </w:r>
          </w:p>
        </w:tc>
        <w:tc>
          <w:tcPr>
            <w:tcW w:w="3118" w:type="dxa"/>
            <w:shd w:val="clear" w:color="auto" w:fill="auto"/>
          </w:tcPr>
          <w:p w:rsidR="00FC239E" w:rsidRPr="00FC239E" w:rsidRDefault="00FC239E" w:rsidP="00FC239E">
            <w:pPr>
              <w:spacing w:after="0" w:line="240" w:lineRule="auto"/>
              <w:rPr>
                <w:rFonts w:ascii="Segoe UI" w:eastAsia="Times New Roman" w:hAnsi="Segoe UI" w:cs="Segoe UI"/>
                <w:lang w:eastAsia="en-GB"/>
              </w:rPr>
            </w:pPr>
            <w:r w:rsidRPr="00FC239E">
              <w:rPr>
                <w:rFonts w:ascii="Segoe UI" w:eastAsia="Times New Roman" w:hAnsi="Segoe UI" w:cs="Segoe UI"/>
                <w:lang w:eastAsia="en-GB"/>
              </w:rPr>
              <w:t>IPCT management with full terminal clean before the ward resumed normal operations.</w:t>
            </w:r>
          </w:p>
          <w:p w:rsidR="00FC239E" w:rsidRPr="00FC239E" w:rsidRDefault="00FC239E" w:rsidP="00FC239E">
            <w:pPr>
              <w:spacing w:after="0" w:line="240" w:lineRule="auto"/>
              <w:rPr>
                <w:rFonts w:ascii="Segoe UI" w:hAnsi="Segoe UI" w:cs="Segoe UI"/>
              </w:rPr>
            </w:pPr>
          </w:p>
        </w:tc>
        <w:tc>
          <w:tcPr>
            <w:tcW w:w="1418" w:type="dxa"/>
            <w:shd w:val="clear" w:color="auto" w:fill="auto"/>
          </w:tcPr>
          <w:p w:rsidR="00FC239E" w:rsidRPr="00FC239E" w:rsidRDefault="00FC239E" w:rsidP="00FC239E">
            <w:pPr>
              <w:spacing w:after="0" w:line="240" w:lineRule="auto"/>
              <w:rPr>
                <w:rFonts w:ascii="Segoe UI" w:hAnsi="Segoe UI" w:cs="Segoe UI"/>
                <w:color w:val="FF0000"/>
              </w:rPr>
            </w:pPr>
            <w:r w:rsidRPr="00FC239E">
              <w:rPr>
                <w:rFonts w:ascii="Segoe UI" w:eastAsia="Times New Roman" w:hAnsi="Segoe UI" w:cs="Segoe UI"/>
                <w:lang w:eastAsia="en-GB"/>
              </w:rPr>
              <w:t>Possible norovirus outbreak</w:t>
            </w:r>
          </w:p>
        </w:tc>
        <w:tc>
          <w:tcPr>
            <w:tcW w:w="1984" w:type="dxa"/>
            <w:shd w:val="clear" w:color="auto" w:fill="auto"/>
          </w:tcPr>
          <w:p w:rsidR="00FC239E" w:rsidRPr="00FC239E" w:rsidRDefault="00FC239E" w:rsidP="00FC239E">
            <w:pPr>
              <w:spacing w:after="0" w:line="240" w:lineRule="auto"/>
              <w:rPr>
                <w:rFonts w:ascii="Segoe UI" w:hAnsi="Segoe UI" w:cs="Segoe UI"/>
                <w:color w:val="000000"/>
              </w:rPr>
            </w:pPr>
            <w:r w:rsidRPr="00FC239E">
              <w:rPr>
                <w:rFonts w:ascii="Segoe UI" w:eastAsia="Times New Roman" w:hAnsi="Segoe UI" w:cs="Segoe UI"/>
                <w:lang w:eastAsia="en-GB"/>
              </w:rPr>
              <w:t>8 patients and 2 staff</w:t>
            </w:r>
          </w:p>
        </w:tc>
      </w:tr>
    </w:tbl>
    <w:p w:rsidR="00FC239E" w:rsidRPr="00FC239E" w:rsidRDefault="00FC239E" w:rsidP="00FC239E">
      <w:pPr>
        <w:spacing w:after="0" w:line="240" w:lineRule="auto"/>
        <w:rPr>
          <w:rFonts w:ascii="Segoe UI" w:hAnsi="Segoe UI" w:cs="Segoe UI"/>
        </w:rPr>
      </w:pPr>
    </w:p>
    <w:p w:rsidR="00FC239E" w:rsidRPr="00FC239E" w:rsidRDefault="00FC239E" w:rsidP="00FC239E">
      <w:pPr>
        <w:spacing w:after="0" w:line="240" w:lineRule="auto"/>
        <w:rPr>
          <w:rFonts w:ascii="Segoe UI" w:hAnsi="Segoe UI" w:cs="Segoe UI"/>
          <w:b/>
        </w:rPr>
      </w:pPr>
      <w:r w:rsidRPr="00FC239E">
        <w:rPr>
          <w:rFonts w:ascii="Segoe UI" w:hAnsi="Segoe UI" w:cs="Segoe UI"/>
          <w:b/>
        </w:rPr>
        <w:t>Audit programme</w:t>
      </w:r>
    </w:p>
    <w:p w:rsidR="00FC239E" w:rsidRPr="00FC239E" w:rsidRDefault="00FC239E" w:rsidP="00FC239E">
      <w:pPr>
        <w:spacing w:after="0" w:line="240" w:lineRule="auto"/>
        <w:rPr>
          <w:rFonts w:ascii="Segoe UI" w:hAnsi="Segoe UI" w:cs="Segoe UI"/>
          <w:b/>
        </w:rPr>
      </w:pPr>
      <w:r w:rsidRPr="00FC239E">
        <w:rPr>
          <w:rFonts w:ascii="Segoe UI" w:hAnsi="Segoe UI" w:cs="Segoe UI"/>
          <w:b/>
        </w:rPr>
        <w:t>Environmental Audits</w:t>
      </w:r>
    </w:p>
    <w:p w:rsidR="00FC239E" w:rsidRPr="00FC239E" w:rsidRDefault="00FC239E" w:rsidP="00FC239E">
      <w:pPr>
        <w:spacing w:after="0" w:line="240" w:lineRule="auto"/>
        <w:rPr>
          <w:rFonts w:ascii="Segoe UI" w:hAnsi="Segoe UI" w:cs="Segoe UI"/>
        </w:rPr>
      </w:pPr>
      <w:r w:rsidRPr="00FC239E">
        <w:rPr>
          <w:rFonts w:ascii="Segoe UI" w:hAnsi="Segoe UI" w:cs="Segoe UI"/>
        </w:rPr>
        <w:t>Environmental audits continue and overall demonstrate good compliance with infection prevention control standards.</w:t>
      </w:r>
    </w:p>
    <w:p w:rsidR="00FC239E" w:rsidRDefault="00FC239E" w:rsidP="00FC239E">
      <w:pPr>
        <w:spacing w:after="0" w:line="240" w:lineRule="auto"/>
        <w:rPr>
          <w:rFonts w:ascii="Segoe UI" w:hAnsi="Segoe UI" w:cs="Segoe UI"/>
          <w:b/>
        </w:rPr>
      </w:pPr>
    </w:p>
    <w:p w:rsidR="00FC239E" w:rsidRPr="00FC239E" w:rsidRDefault="00FC239E" w:rsidP="00FC239E">
      <w:pPr>
        <w:spacing w:after="0" w:line="240" w:lineRule="auto"/>
        <w:rPr>
          <w:rFonts w:ascii="Segoe UI" w:hAnsi="Segoe UI" w:cs="Segoe UI"/>
          <w:b/>
        </w:rPr>
      </w:pPr>
      <w:r w:rsidRPr="00FC239E">
        <w:rPr>
          <w:rFonts w:ascii="Segoe UI" w:hAnsi="Segoe UI" w:cs="Segoe UI"/>
          <w:b/>
        </w:rPr>
        <w:t>Hand hygiene</w:t>
      </w:r>
    </w:p>
    <w:p w:rsidR="00FC239E" w:rsidRPr="00FC239E" w:rsidRDefault="00FC239E" w:rsidP="00FC239E">
      <w:pPr>
        <w:spacing w:after="0" w:line="240" w:lineRule="auto"/>
        <w:rPr>
          <w:rFonts w:ascii="Segoe UI" w:hAnsi="Segoe UI" w:cs="Segoe UI"/>
        </w:rPr>
      </w:pPr>
      <w:r w:rsidRPr="00FC239E">
        <w:rPr>
          <w:rFonts w:ascii="Segoe UI" w:hAnsi="Segoe UI" w:cs="Segoe UI"/>
        </w:rPr>
        <w:t>Hand hygiene audits scores average in the community hospitals for Q4, continue to demonstrate excellent compliance</w:t>
      </w:r>
      <w:r w:rsidRPr="00FC239E">
        <w:rPr>
          <w:rFonts w:ascii="Segoe UI" w:hAnsi="Segoe UI" w:cs="Segoe UI"/>
          <w:shd w:val="clear" w:color="auto" w:fill="FFFFFF"/>
        </w:rPr>
        <w:t xml:space="preserve"> </w:t>
      </w:r>
      <w:r w:rsidRPr="00FC239E">
        <w:rPr>
          <w:rFonts w:ascii="Segoe UI" w:hAnsi="Segoe UI" w:cs="Segoe UI"/>
        </w:rPr>
        <w:t xml:space="preserve">of 99%.  Bare below the elbows was 100%. </w:t>
      </w:r>
    </w:p>
    <w:p w:rsidR="00FC239E" w:rsidRPr="00FC239E" w:rsidRDefault="00FC239E" w:rsidP="00FC239E">
      <w:pPr>
        <w:shd w:val="clear" w:color="auto" w:fill="FFFFFF"/>
        <w:spacing w:after="0" w:line="240" w:lineRule="auto"/>
        <w:rPr>
          <w:rFonts w:ascii="Segoe UI" w:hAnsi="Segoe UI" w:cs="Segoe UI"/>
        </w:rPr>
      </w:pPr>
      <w:r w:rsidRPr="00FC239E">
        <w:rPr>
          <w:rFonts w:ascii="Segoe UI" w:hAnsi="Segoe UI" w:cs="Segoe UI"/>
        </w:rPr>
        <w:t xml:space="preserve">Hand hygiene in mental health wards is continuing bi monthly as well. The overall compliance score for the hand washing technique for Q4 was 94 %. Bare below the elbows was 95%. </w:t>
      </w:r>
    </w:p>
    <w:p w:rsidR="00FC239E" w:rsidRDefault="00FC239E" w:rsidP="00FC239E">
      <w:pPr>
        <w:spacing w:after="0" w:line="240" w:lineRule="auto"/>
        <w:rPr>
          <w:rFonts w:ascii="Segoe UI" w:hAnsi="Segoe UI" w:cs="Segoe UI"/>
          <w:b/>
        </w:rPr>
      </w:pPr>
    </w:p>
    <w:p w:rsidR="00FC239E" w:rsidRPr="00FC239E" w:rsidRDefault="00FC239E" w:rsidP="00FC239E">
      <w:pPr>
        <w:spacing w:after="0" w:line="240" w:lineRule="auto"/>
        <w:rPr>
          <w:rFonts w:ascii="Segoe UI" w:hAnsi="Segoe UI" w:cs="Segoe UI"/>
        </w:rPr>
      </w:pPr>
      <w:r w:rsidRPr="00FC239E">
        <w:rPr>
          <w:rFonts w:ascii="Segoe UI" w:hAnsi="Segoe UI" w:cs="Segoe UI"/>
          <w:b/>
        </w:rPr>
        <w:t>Training</w:t>
      </w:r>
    </w:p>
    <w:p w:rsidR="00FC239E" w:rsidRPr="00FC239E" w:rsidRDefault="00FC239E" w:rsidP="00FC239E">
      <w:pPr>
        <w:spacing w:after="0" w:line="240" w:lineRule="auto"/>
        <w:rPr>
          <w:rFonts w:ascii="Segoe UI" w:hAnsi="Segoe UI" w:cs="Segoe UI"/>
        </w:rPr>
      </w:pPr>
      <w:r w:rsidRPr="00FC239E">
        <w:rPr>
          <w:rFonts w:ascii="Segoe UI" w:hAnsi="Segoe UI" w:cs="Segoe UI"/>
        </w:rPr>
        <w:t xml:space="preserve">Training numbers continue to be a challenge. The Trust has set the target of 90% of all eligible staff to complete infection prevention control training. The current figure is 82% of staff </w:t>
      </w:r>
      <w:proofErr w:type="gramStart"/>
      <w:r w:rsidRPr="00FC239E">
        <w:rPr>
          <w:rFonts w:ascii="Segoe UI" w:hAnsi="Segoe UI" w:cs="Segoe UI"/>
        </w:rPr>
        <w:t>are</w:t>
      </w:r>
      <w:proofErr w:type="gramEnd"/>
      <w:r w:rsidRPr="00FC239E">
        <w:rPr>
          <w:rFonts w:ascii="Segoe UI" w:hAnsi="Segoe UI" w:cs="Segoe UI"/>
        </w:rPr>
        <w:t xml:space="preserve"> in date with training requirements.  Training is also available via the E learning programme and work book for staff to access. </w:t>
      </w:r>
    </w:p>
    <w:p w:rsidR="00FC239E" w:rsidRDefault="00FC239E" w:rsidP="00FC239E">
      <w:pPr>
        <w:tabs>
          <w:tab w:val="left" w:pos="6053"/>
        </w:tabs>
        <w:spacing w:after="0" w:line="240" w:lineRule="auto"/>
        <w:rPr>
          <w:rFonts w:ascii="Segoe UI" w:hAnsi="Segoe UI" w:cs="Segoe UI"/>
          <w:b/>
        </w:rPr>
      </w:pPr>
    </w:p>
    <w:p w:rsidR="00FC239E" w:rsidRPr="00FC239E" w:rsidRDefault="00FC239E" w:rsidP="00FC239E">
      <w:pPr>
        <w:spacing w:after="0" w:line="240" w:lineRule="auto"/>
        <w:rPr>
          <w:rFonts w:ascii="Segoe UI" w:hAnsi="Segoe UI" w:cs="Segoe UI"/>
          <w:b/>
        </w:rPr>
      </w:pPr>
      <w:r w:rsidRPr="00FC239E">
        <w:rPr>
          <w:rFonts w:ascii="Segoe UI" w:hAnsi="Segoe UI" w:cs="Segoe UI"/>
          <w:b/>
        </w:rPr>
        <w:t>CQC compliance/national directives</w:t>
      </w:r>
    </w:p>
    <w:p w:rsidR="00FC239E" w:rsidRDefault="00FC239E" w:rsidP="00FC239E">
      <w:pPr>
        <w:spacing w:after="0" w:line="240" w:lineRule="auto"/>
        <w:rPr>
          <w:rFonts w:ascii="Segoe UI" w:hAnsi="Segoe UI" w:cs="Segoe UI"/>
        </w:rPr>
      </w:pPr>
      <w:r w:rsidRPr="00FC239E">
        <w:rPr>
          <w:rFonts w:ascii="Segoe UI" w:hAnsi="Segoe UI" w:cs="Segoe UI"/>
        </w:rPr>
        <w:lastRenderedPageBreak/>
        <w:t xml:space="preserve">Outcome 8 Cleanliness and Infection Control is monitored quarterly via the IPCT and governance team. Overall, areas are demonstrating good compliance with this outcome, except the numbers of staff trained in infection prevention and control remain below the target of 100%. There are also some concerns regarding audit results and decontamination record keeping. </w:t>
      </w:r>
    </w:p>
    <w:p w:rsidR="00FC239E" w:rsidRPr="00FC239E" w:rsidRDefault="00FC239E" w:rsidP="00FC239E">
      <w:pPr>
        <w:spacing w:after="0" w:line="240" w:lineRule="auto"/>
        <w:rPr>
          <w:rFonts w:ascii="Segoe UI" w:hAnsi="Segoe UI" w:cs="Segoe UI"/>
        </w:rPr>
      </w:pPr>
    </w:p>
    <w:p w:rsidR="00FC239E" w:rsidRPr="00FC239E" w:rsidRDefault="00FC239E" w:rsidP="00FC239E">
      <w:pPr>
        <w:spacing w:after="0" w:line="240" w:lineRule="auto"/>
        <w:rPr>
          <w:rFonts w:ascii="Segoe UI" w:hAnsi="Segoe UI" w:cs="Segoe UI"/>
          <w:b/>
        </w:rPr>
      </w:pPr>
      <w:r w:rsidRPr="00FC239E">
        <w:rPr>
          <w:rFonts w:ascii="Segoe UI" w:hAnsi="Segoe UI" w:cs="Segoe UI"/>
          <w:b/>
        </w:rPr>
        <w:t>Environmental cleanliness</w:t>
      </w:r>
    </w:p>
    <w:p w:rsidR="00FC239E" w:rsidRPr="00FC239E" w:rsidRDefault="00FC239E" w:rsidP="00FC239E">
      <w:pPr>
        <w:spacing w:after="0" w:line="240" w:lineRule="auto"/>
        <w:rPr>
          <w:rFonts w:ascii="Segoe UI" w:hAnsi="Segoe UI" w:cs="Segoe UI"/>
        </w:rPr>
      </w:pPr>
      <w:r w:rsidRPr="00FC239E">
        <w:rPr>
          <w:rFonts w:ascii="Segoe UI" w:hAnsi="Segoe UI" w:cs="Segoe UI"/>
        </w:rPr>
        <w:t>Monitoring and audit reports are submitted to the facilities teams.</w:t>
      </w:r>
    </w:p>
    <w:p w:rsidR="00FC239E" w:rsidRPr="00FC239E" w:rsidRDefault="00FC239E" w:rsidP="00FC239E">
      <w:pPr>
        <w:spacing w:after="0" w:line="240" w:lineRule="auto"/>
        <w:rPr>
          <w:rFonts w:ascii="Segoe UI" w:hAnsi="Segoe UI" w:cs="Segoe UI"/>
        </w:rPr>
      </w:pPr>
      <w:r w:rsidRPr="00FC239E">
        <w:rPr>
          <w:rFonts w:ascii="Segoe UI" w:hAnsi="Segoe UI" w:cs="Segoe UI"/>
        </w:rPr>
        <w:t>ATP environmental cleanliness monitoring continues monthly in community hospitals and older adult mental health wards.</w:t>
      </w:r>
    </w:p>
    <w:p w:rsidR="00FC239E" w:rsidRDefault="00FC239E" w:rsidP="00FC239E">
      <w:pPr>
        <w:spacing w:after="0" w:line="240" w:lineRule="auto"/>
        <w:rPr>
          <w:rFonts w:ascii="Segoe UI" w:hAnsi="Segoe UI" w:cs="Segoe UI"/>
          <w:b/>
        </w:rPr>
      </w:pPr>
    </w:p>
    <w:p w:rsidR="00FC239E" w:rsidRPr="00FC239E" w:rsidRDefault="00FC239E" w:rsidP="00FC239E">
      <w:pPr>
        <w:spacing w:after="0" w:line="240" w:lineRule="auto"/>
        <w:rPr>
          <w:rFonts w:ascii="Segoe UI" w:hAnsi="Segoe UI" w:cs="Segoe UI"/>
          <w:b/>
        </w:rPr>
      </w:pPr>
      <w:r w:rsidRPr="00FC239E">
        <w:rPr>
          <w:rFonts w:ascii="Segoe UI" w:hAnsi="Segoe UI" w:cs="Segoe UI"/>
          <w:b/>
        </w:rPr>
        <w:t>Decontamination</w:t>
      </w:r>
    </w:p>
    <w:p w:rsidR="00FC239E" w:rsidRPr="00FC239E" w:rsidRDefault="00FC239E" w:rsidP="00FC239E">
      <w:pPr>
        <w:spacing w:after="0" w:line="240" w:lineRule="auto"/>
        <w:rPr>
          <w:rFonts w:ascii="Segoe UI" w:hAnsi="Segoe UI" w:cs="Segoe UI"/>
        </w:rPr>
      </w:pPr>
      <w:r w:rsidRPr="00FC239E">
        <w:rPr>
          <w:rFonts w:ascii="Segoe UI" w:hAnsi="Segoe UI" w:cs="Segoe UI"/>
        </w:rPr>
        <w:t>Decontamination compliance remains generally high with appropriate processes in place including external contracts. One area of non-compliance remains poor documentation of cleaning records.</w:t>
      </w:r>
    </w:p>
    <w:p w:rsidR="00FC239E" w:rsidRDefault="00FC239E" w:rsidP="00FC239E">
      <w:pPr>
        <w:spacing w:after="0" w:line="240" w:lineRule="auto"/>
        <w:rPr>
          <w:rFonts w:ascii="Segoe UI" w:hAnsi="Segoe UI" w:cs="Segoe UI"/>
        </w:rPr>
      </w:pPr>
    </w:p>
    <w:p w:rsidR="00FC239E" w:rsidRPr="00FC239E" w:rsidRDefault="00FC239E" w:rsidP="00FC239E">
      <w:pPr>
        <w:spacing w:after="0" w:line="240" w:lineRule="auto"/>
        <w:rPr>
          <w:rFonts w:ascii="Segoe UI" w:hAnsi="Segoe UI" w:cs="Segoe UI"/>
          <w:b/>
        </w:rPr>
      </w:pPr>
      <w:r w:rsidRPr="00FC239E">
        <w:rPr>
          <w:rFonts w:ascii="Segoe UI" w:hAnsi="Segoe UI" w:cs="Segoe UI"/>
          <w:b/>
        </w:rPr>
        <w:t>4.</w:t>
      </w:r>
      <w:r w:rsidRPr="00FC239E">
        <w:rPr>
          <w:rFonts w:ascii="Segoe UI" w:hAnsi="Segoe UI" w:cs="Segoe UI"/>
          <w:b/>
        </w:rPr>
        <w:tab/>
        <w:t>Trust wide status report against CQC outcomes – internal position</w:t>
      </w:r>
    </w:p>
    <w:p w:rsidR="00FC239E" w:rsidRDefault="00FC239E" w:rsidP="00FC239E">
      <w:pPr>
        <w:pStyle w:val="ListParagraph"/>
        <w:spacing w:after="0" w:line="240" w:lineRule="auto"/>
        <w:ind w:left="0"/>
        <w:rPr>
          <w:rFonts w:ascii="Segoe UI" w:hAnsi="Segoe UI" w:cs="Segoe UI"/>
          <w:b/>
          <w:bCs/>
        </w:rPr>
      </w:pPr>
    </w:p>
    <w:p w:rsidR="00FC239E" w:rsidRDefault="00FC239E" w:rsidP="00FC239E">
      <w:pPr>
        <w:pStyle w:val="ListParagraph"/>
        <w:spacing w:after="0" w:line="240" w:lineRule="auto"/>
        <w:ind w:left="0"/>
        <w:rPr>
          <w:rFonts w:ascii="Segoe UI" w:hAnsi="Segoe UI" w:cs="Segoe UI"/>
          <w:b/>
          <w:bCs/>
        </w:rPr>
      </w:pPr>
      <w:r>
        <w:rPr>
          <w:rFonts w:ascii="Segoe UI" w:hAnsi="Segoe UI" w:cs="Segoe UI"/>
          <w:b/>
          <w:bCs/>
        </w:rPr>
        <w:t>Trust wide safety and suitability of premises</w:t>
      </w:r>
    </w:p>
    <w:p w:rsidR="00FC239E" w:rsidRPr="009C29FD" w:rsidRDefault="00FC239E" w:rsidP="009C29FD">
      <w:pPr>
        <w:pStyle w:val="ListParagraph"/>
        <w:numPr>
          <w:ilvl w:val="0"/>
          <w:numId w:val="41"/>
        </w:numPr>
        <w:spacing w:after="0" w:line="240" w:lineRule="auto"/>
        <w:rPr>
          <w:rFonts w:ascii="Segoe UI" w:hAnsi="Segoe UI" w:cs="Segoe UI"/>
        </w:rPr>
      </w:pPr>
      <w:r w:rsidRPr="009C29FD">
        <w:rPr>
          <w:rFonts w:ascii="Segoe UI" w:hAnsi="Segoe UI" w:cs="Segoe UI"/>
        </w:rPr>
        <w:t xml:space="preserve">Annual ligature audit of all wards completed and consistency checked in Dec 2014. Following discussion with clinical and senior staff a programme of work has been identified and currently out to tender. </w:t>
      </w:r>
    </w:p>
    <w:p w:rsidR="00FC239E" w:rsidRDefault="00FC239E" w:rsidP="00FC239E">
      <w:pPr>
        <w:spacing w:after="0" w:line="240" w:lineRule="auto"/>
        <w:rPr>
          <w:rFonts w:ascii="Segoe UI" w:hAnsi="Segoe UI" w:cs="Segoe UI"/>
        </w:rPr>
      </w:pPr>
    </w:p>
    <w:p w:rsidR="00FC239E" w:rsidRPr="009C29FD" w:rsidRDefault="00FC239E" w:rsidP="009C29FD">
      <w:pPr>
        <w:pStyle w:val="ListParagraph"/>
        <w:numPr>
          <w:ilvl w:val="0"/>
          <w:numId w:val="41"/>
        </w:numPr>
        <w:spacing w:after="0" w:line="240" w:lineRule="auto"/>
        <w:rPr>
          <w:rFonts w:ascii="Segoe UI" w:hAnsi="Segoe UI" w:cs="Segoe UI"/>
        </w:rPr>
      </w:pPr>
      <w:r w:rsidRPr="009C29FD">
        <w:rPr>
          <w:rFonts w:ascii="Segoe UI" w:hAnsi="Segoe UI" w:cs="Segoe UI"/>
        </w:rPr>
        <w:t>Plans are in place to carry out full site surveys in 2014 identifying works to be undertaken for inclusion on 2015/16 capital programme works relating to compliance with Disability Discrimination Ace requirements.</w:t>
      </w:r>
    </w:p>
    <w:p w:rsidR="009C29FD" w:rsidRDefault="009C29FD" w:rsidP="009C29FD">
      <w:pPr>
        <w:spacing w:after="0" w:line="240" w:lineRule="auto"/>
        <w:rPr>
          <w:rFonts w:ascii="Segoe UI" w:hAnsi="Segoe UI" w:cs="Segoe UI"/>
        </w:rPr>
      </w:pPr>
    </w:p>
    <w:p w:rsidR="00FC239E" w:rsidRPr="009C29FD" w:rsidRDefault="00FC239E" w:rsidP="009C29FD">
      <w:pPr>
        <w:pStyle w:val="ListParagraph"/>
        <w:numPr>
          <w:ilvl w:val="0"/>
          <w:numId w:val="41"/>
        </w:numPr>
        <w:spacing w:after="0" w:line="240" w:lineRule="auto"/>
        <w:rPr>
          <w:rFonts w:ascii="Segoe UI" w:hAnsi="Segoe UI" w:cs="Segoe UI"/>
        </w:rPr>
      </w:pPr>
      <w:r w:rsidRPr="009C29FD">
        <w:rPr>
          <w:rFonts w:ascii="Segoe UI" w:hAnsi="Segoe UI" w:cs="Segoe UI"/>
        </w:rPr>
        <w:t>All refuse areas across Trust have been reviewed and work is underway to ensure they meet national waste standards. Some clinical waste bin stores need capital works included in 2015/16 capital funding programme</w:t>
      </w:r>
    </w:p>
    <w:p w:rsidR="009C29FD" w:rsidRPr="009C29FD" w:rsidRDefault="009C29FD" w:rsidP="009C29FD">
      <w:pPr>
        <w:pStyle w:val="ListParagraph"/>
        <w:spacing w:after="0" w:line="240" w:lineRule="auto"/>
        <w:ind w:left="402"/>
        <w:rPr>
          <w:rFonts w:ascii="Segoe UI" w:hAnsi="Segoe UI" w:cs="Segoe UI"/>
        </w:rPr>
      </w:pPr>
    </w:p>
    <w:p w:rsidR="00FC239E" w:rsidRDefault="00FC239E" w:rsidP="009C29FD">
      <w:pPr>
        <w:spacing w:after="0" w:line="240" w:lineRule="auto"/>
        <w:rPr>
          <w:rFonts w:ascii="Segoe UI" w:hAnsi="Segoe UI" w:cs="Segoe UI"/>
          <w:b/>
          <w:bCs/>
        </w:rPr>
      </w:pPr>
      <w:r>
        <w:rPr>
          <w:rFonts w:ascii="Segoe UI" w:hAnsi="Segoe UI" w:cs="Segoe UI"/>
          <w:b/>
          <w:bCs/>
        </w:rPr>
        <w:t xml:space="preserve">Information governance </w:t>
      </w:r>
    </w:p>
    <w:p w:rsidR="00FC239E" w:rsidRDefault="00FC239E" w:rsidP="009C29FD">
      <w:pPr>
        <w:spacing w:after="0" w:line="240" w:lineRule="auto"/>
        <w:rPr>
          <w:rFonts w:ascii="Segoe UI" w:hAnsi="Segoe UI" w:cs="Segoe UI"/>
        </w:rPr>
      </w:pPr>
      <w:r>
        <w:rPr>
          <w:rFonts w:ascii="Segoe UI" w:hAnsi="Segoe UI" w:cs="Segoe UI"/>
        </w:rPr>
        <w:t xml:space="preserve">As a result of two data protection breaches the Information Commissioner has provided a form of undertaking for the Trust with respect to certain data protection matters. </w:t>
      </w:r>
      <w:proofErr w:type="gramStart"/>
      <w:r>
        <w:rPr>
          <w:rFonts w:ascii="Segoe UI" w:hAnsi="Segoe UI" w:cs="Segoe UI"/>
        </w:rPr>
        <w:t>Actions relating to procurement outstanding.</w:t>
      </w:r>
      <w:proofErr w:type="gramEnd"/>
      <w:r>
        <w:rPr>
          <w:rFonts w:ascii="Segoe UI" w:hAnsi="Segoe UI" w:cs="Segoe UI"/>
        </w:rPr>
        <w:t xml:space="preserve"> In the last 12 months the trust has had two incidents and is likely to have a third incident reported to the ICO.  There does not seem to be any common themes.</w:t>
      </w:r>
    </w:p>
    <w:p w:rsidR="009C29FD" w:rsidRDefault="009C29FD" w:rsidP="009C29FD">
      <w:pPr>
        <w:spacing w:after="0" w:line="240" w:lineRule="auto"/>
        <w:rPr>
          <w:rFonts w:ascii="Segoe UI" w:hAnsi="Segoe UI" w:cs="Segoe UI"/>
        </w:rPr>
      </w:pPr>
    </w:p>
    <w:p w:rsidR="00FC239E" w:rsidRDefault="00FC239E" w:rsidP="009C29FD">
      <w:pPr>
        <w:spacing w:after="0" w:line="240" w:lineRule="auto"/>
        <w:rPr>
          <w:rFonts w:ascii="Segoe UI" w:hAnsi="Segoe UI" w:cs="Segoe UI"/>
          <w:b/>
          <w:bCs/>
        </w:rPr>
      </w:pPr>
      <w:r>
        <w:rPr>
          <w:rFonts w:ascii="Segoe UI" w:hAnsi="Segoe UI" w:cs="Segoe UI"/>
          <w:b/>
          <w:bCs/>
        </w:rPr>
        <w:t>Trust wide monitoring and review of staffing levels (inpatients)</w:t>
      </w:r>
    </w:p>
    <w:p w:rsidR="00FC239E" w:rsidRDefault="00FC239E" w:rsidP="009C29FD">
      <w:pPr>
        <w:spacing w:after="0" w:line="240" w:lineRule="auto"/>
        <w:rPr>
          <w:rFonts w:ascii="Segoe UI" w:hAnsi="Segoe UI" w:cs="Segoe UI"/>
        </w:rPr>
      </w:pPr>
      <w:r>
        <w:rPr>
          <w:rFonts w:ascii="Segoe UI" w:hAnsi="Segoe UI" w:cs="Segoe UI"/>
        </w:rPr>
        <w:t xml:space="preserve">Six wards are identified as having the most difficulties with achieving staffing levels </w:t>
      </w:r>
      <w:proofErr w:type="gramStart"/>
      <w:r>
        <w:rPr>
          <w:rFonts w:ascii="Segoe UI" w:hAnsi="Segoe UI" w:cs="Segoe UI"/>
        </w:rPr>
        <w:t>between April 2014-Feb 2015 these are</w:t>
      </w:r>
      <w:proofErr w:type="gramEnd"/>
      <w:r>
        <w:rPr>
          <w:rFonts w:ascii="Segoe UI" w:hAnsi="Segoe UI" w:cs="Segoe UI"/>
        </w:rPr>
        <w:t xml:space="preserve">: Vaughan Thomas, Opal, Sandford, Wenrisc, Cotswold House Marlborough and Kingfisher. The main reason is due to vacancies related to recruitment difficulties in some geographical areas and some specialties. Vacancies are being monitored and managed on a weekly and monthly basis with the Executive Team. Following a campaign of recruitment the trust wide vacancy rates have been falling for the last four months, however a large number of staff are still currently going through pre-employment checks therefore have not started in their new roles yet, the wards should start to feel a significant </w:t>
      </w:r>
      <w:r>
        <w:rPr>
          <w:rFonts w:ascii="Segoe UI" w:hAnsi="Segoe UI" w:cs="Segoe UI"/>
        </w:rPr>
        <w:lastRenderedPageBreak/>
        <w:t>improvement in staffing numbers from April 2015. The secondary reason for staffing challenges is due to a rising level of sickness which is being actively examined with support from HR advisors so that solutions can be worked through.</w:t>
      </w:r>
    </w:p>
    <w:p w:rsidR="00FC239E" w:rsidRDefault="00FC239E" w:rsidP="009C29FD">
      <w:pPr>
        <w:spacing w:after="0" w:line="240" w:lineRule="auto"/>
        <w:rPr>
          <w:rFonts w:ascii="Segoe UI" w:hAnsi="Segoe UI" w:cs="Segoe UI"/>
        </w:rPr>
      </w:pPr>
    </w:p>
    <w:p w:rsidR="00FC239E" w:rsidRDefault="00FC239E" w:rsidP="009C29FD">
      <w:pPr>
        <w:spacing w:after="0"/>
        <w:rPr>
          <w:rFonts w:ascii="Segoe UI" w:hAnsi="Segoe UI" w:cs="Segoe UI"/>
          <w:b/>
          <w:bCs/>
        </w:rPr>
      </w:pPr>
      <w:r>
        <w:rPr>
          <w:rFonts w:ascii="Segoe UI" w:hAnsi="Segoe UI" w:cs="Segoe UI"/>
          <w:b/>
          <w:bCs/>
        </w:rPr>
        <w:t xml:space="preserve">Management of medicines across the Trust </w:t>
      </w:r>
    </w:p>
    <w:p w:rsidR="00FC239E" w:rsidRPr="009C29FD" w:rsidRDefault="009C29FD" w:rsidP="009C29FD">
      <w:pPr>
        <w:pStyle w:val="ListParagraph"/>
        <w:numPr>
          <w:ilvl w:val="0"/>
          <w:numId w:val="42"/>
        </w:numPr>
        <w:spacing w:after="0" w:line="240" w:lineRule="auto"/>
        <w:rPr>
          <w:rFonts w:ascii="Segoe UI" w:hAnsi="Segoe UI" w:cs="Segoe UI"/>
        </w:rPr>
      </w:pPr>
      <w:r w:rsidRPr="009C29FD">
        <w:rPr>
          <w:rFonts w:ascii="Segoe UI" w:hAnsi="Segoe UI" w:cs="Segoe UI"/>
        </w:rPr>
        <w:t>Co</w:t>
      </w:r>
      <w:r w:rsidR="00FC239E" w:rsidRPr="009C29FD">
        <w:rPr>
          <w:rFonts w:ascii="Segoe UI" w:hAnsi="Segoe UI" w:cs="Segoe UI"/>
        </w:rPr>
        <w:t>ntinued work on localised practice and storage issues and completeness of daily checks in all areas.</w:t>
      </w:r>
    </w:p>
    <w:p w:rsidR="00FC239E" w:rsidRPr="009C29FD" w:rsidRDefault="00FC239E" w:rsidP="009C29FD">
      <w:pPr>
        <w:pStyle w:val="ListParagraph"/>
        <w:numPr>
          <w:ilvl w:val="0"/>
          <w:numId w:val="42"/>
        </w:numPr>
        <w:spacing w:after="0" w:line="240" w:lineRule="auto"/>
        <w:rPr>
          <w:rFonts w:ascii="Segoe UI" w:hAnsi="Segoe UI" w:cs="Segoe UI"/>
        </w:rPr>
      </w:pPr>
      <w:r w:rsidRPr="009C29FD">
        <w:rPr>
          <w:rFonts w:ascii="Segoe UI" w:hAnsi="Segoe UI" w:cs="Segoe UI"/>
        </w:rPr>
        <w:t>Medicines reconciliation</w:t>
      </w:r>
      <w:r w:rsidR="009C29FD" w:rsidRPr="009C29FD">
        <w:rPr>
          <w:rFonts w:ascii="Segoe UI" w:hAnsi="Segoe UI" w:cs="Segoe UI"/>
        </w:rPr>
        <w:t xml:space="preserve"> - c</w:t>
      </w:r>
      <w:r w:rsidRPr="009C29FD">
        <w:rPr>
          <w:rFonts w:ascii="Segoe UI" w:hAnsi="Segoe UI" w:cs="Segoe UI"/>
        </w:rPr>
        <w:t>linical standard in development.</w:t>
      </w:r>
    </w:p>
    <w:p w:rsidR="00FC239E" w:rsidRDefault="009C29FD" w:rsidP="009C29FD">
      <w:pPr>
        <w:pStyle w:val="ListParagraph"/>
        <w:numPr>
          <w:ilvl w:val="0"/>
          <w:numId w:val="42"/>
        </w:numPr>
        <w:spacing w:after="0" w:line="240" w:lineRule="auto"/>
        <w:rPr>
          <w:rFonts w:ascii="Segoe UI" w:hAnsi="Segoe UI" w:cs="Segoe UI"/>
        </w:rPr>
      </w:pPr>
      <w:r>
        <w:rPr>
          <w:rFonts w:ascii="Segoe UI" w:hAnsi="Segoe UI" w:cs="Segoe UI"/>
        </w:rPr>
        <w:t>All Patient Group Directions (PGD)</w:t>
      </w:r>
      <w:r w:rsidR="00FC239E">
        <w:rPr>
          <w:rFonts w:ascii="Segoe UI" w:hAnsi="Segoe UI" w:cs="Segoe UI"/>
        </w:rPr>
        <w:t xml:space="preserve"> are current and signed off. System introduced to monitor/ govern use in practice which will be supported by new generic training.</w:t>
      </w:r>
    </w:p>
    <w:p w:rsidR="00FC239E" w:rsidRDefault="00FC239E" w:rsidP="009C29FD">
      <w:pPr>
        <w:pStyle w:val="ListParagraph"/>
        <w:numPr>
          <w:ilvl w:val="0"/>
          <w:numId w:val="42"/>
        </w:numPr>
        <w:spacing w:after="0" w:line="240" w:lineRule="auto"/>
        <w:rPr>
          <w:rFonts w:ascii="Segoe UI" w:hAnsi="Segoe UI" w:cs="Segoe UI"/>
        </w:rPr>
      </w:pPr>
      <w:r>
        <w:rPr>
          <w:rFonts w:ascii="Segoe UI" w:hAnsi="Segoe UI" w:cs="Segoe UI"/>
        </w:rPr>
        <w:t>Drug cupboard replacement work has been undertaken to ensure storage is complaint with the national recommendations. There are currently two wards non-compliant (Woodlands and Cotswold House Oxford).</w:t>
      </w:r>
    </w:p>
    <w:p w:rsidR="00FC239E" w:rsidRDefault="00FC239E" w:rsidP="009C29FD">
      <w:pPr>
        <w:pStyle w:val="ListParagraph"/>
        <w:numPr>
          <w:ilvl w:val="0"/>
          <w:numId w:val="42"/>
        </w:numPr>
        <w:spacing w:after="0" w:line="240" w:lineRule="auto"/>
        <w:rPr>
          <w:rFonts w:ascii="Segoe UI" w:hAnsi="Segoe UI" w:cs="Segoe UI"/>
        </w:rPr>
      </w:pPr>
      <w:r>
        <w:rPr>
          <w:rFonts w:ascii="Segoe UI" w:hAnsi="Segoe UI" w:cs="Segoe UI"/>
        </w:rPr>
        <w:t>Management of medical gases: working group established chaired by the Chief Pharmacist which reports to the Drug and Therapeutic Group. Actions being taken include ensuring procurement is in place, e-learning package and policy.</w:t>
      </w:r>
    </w:p>
    <w:p w:rsidR="00FC239E" w:rsidRDefault="00FC239E" w:rsidP="009C29FD">
      <w:pPr>
        <w:pStyle w:val="ListParagraph"/>
        <w:numPr>
          <w:ilvl w:val="0"/>
          <w:numId w:val="42"/>
        </w:numPr>
        <w:spacing w:after="0" w:line="240" w:lineRule="auto"/>
        <w:rPr>
          <w:rFonts w:ascii="Segoe UI" w:hAnsi="Segoe UI" w:cs="Segoe UI"/>
        </w:rPr>
      </w:pPr>
      <w:r>
        <w:rPr>
          <w:rFonts w:ascii="Segoe UI" w:hAnsi="Segoe UI" w:cs="Segoe UI"/>
        </w:rPr>
        <w:t>Published net formulary: this is a national requirement, the net formulary was due to be updated by 31</w:t>
      </w:r>
      <w:r>
        <w:rPr>
          <w:rFonts w:ascii="Segoe UI" w:hAnsi="Segoe UI" w:cs="Segoe UI"/>
          <w:vertAlign w:val="superscript"/>
        </w:rPr>
        <w:t>st</w:t>
      </w:r>
      <w:r>
        <w:rPr>
          <w:rFonts w:ascii="Segoe UI" w:hAnsi="Segoe UI" w:cs="Segoe UI"/>
        </w:rPr>
        <w:t xml:space="preserve"> March 2015 but this has slipped to the 31</w:t>
      </w:r>
      <w:r>
        <w:rPr>
          <w:rFonts w:ascii="Segoe UI" w:hAnsi="Segoe UI" w:cs="Segoe UI"/>
          <w:vertAlign w:val="superscript"/>
        </w:rPr>
        <w:t>st</w:t>
      </w:r>
      <w:r>
        <w:rPr>
          <w:rFonts w:ascii="Segoe UI" w:hAnsi="Segoe UI" w:cs="Segoe UI"/>
        </w:rPr>
        <w:t xml:space="preserve"> May 2015.</w:t>
      </w:r>
    </w:p>
    <w:p w:rsidR="00FC239E" w:rsidRDefault="00FC239E" w:rsidP="00FC239E">
      <w:pPr>
        <w:pStyle w:val="ListParagraph"/>
        <w:numPr>
          <w:ilvl w:val="0"/>
          <w:numId w:val="42"/>
        </w:numPr>
        <w:spacing w:after="0" w:line="240" w:lineRule="auto"/>
        <w:rPr>
          <w:rFonts w:ascii="Segoe UI" w:hAnsi="Segoe UI" w:cs="Segoe UI"/>
        </w:rPr>
      </w:pPr>
      <w:r>
        <w:rPr>
          <w:rFonts w:ascii="Segoe UI" w:hAnsi="Segoe UI" w:cs="Segoe UI"/>
        </w:rPr>
        <w:t>Learning from medicine incidents</w:t>
      </w:r>
      <w:r w:rsidR="009C29FD">
        <w:rPr>
          <w:rFonts w:ascii="Segoe UI" w:hAnsi="Segoe UI" w:cs="Segoe UI"/>
        </w:rPr>
        <w:t>:</w:t>
      </w:r>
      <w:r>
        <w:rPr>
          <w:rFonts w:ascii="Segoe UI" w:hAnsi="Segoe UI" w:cs="Segoe UI"/>
        </w:rPr>
        <w:t xml:space="preserve"> work is underway to improve the data quality and analysis of information. Most frequently reported incidents are around delayed/ omitted doses and incorrect does for high risk drugs.</w:t>
      </w:r>
    </w:p>
    <w:p w:rsidR="009C29FD" w:rsidRPr="009C29FD" w:rsidRDefault="009C29FD" w:rsidP="009C29FD">
      <w:pPr>
        <w:pStyle w:val="ListParagraph"/>
        <w:spacing w:after="0" w:line="240" w:lineRule="auto"/>
        <w:rPr>
          <w:rFonts w:ascii="Segoe UI" w:hAnsi="Segoe UI" w:cs="Segoe UI"/>
        </w:rPr>
      </w:pPr>
    </w:p>
    <w:p w:rsidR="00FC239E" w:rsidRDefault="00FC239E" w:rsidP="009C29FD">
      <w:pPr>
        <w:spacing w:after="0" w:line="240" w:lineRule="auto"/>
        <w:rPr>
          <w:rFonts w:ascii="Segoe UI" w:hAnsi="Segoe UI" w:cs="Segoe UI"/>
          <w:b/>
          <w:bCs/>
        </w:rPr>
      </w:pPr>
      <w:r>
        <w:rPr>
          <w:rFonts w:ascii="Segoe UI" w:hAnsi="Segoe UI" w:cs="Segoe UI"/>
          <w:b/>
          <w:bCs/>
        </w:rPr>
        <w:t>Completeness of patient records</w:t>
      </w:r>
    </w:p>
    <w:p w:rsidR="00FC239E" w:rsidRPr="009C29FD" w:rsidRDefault="00FC239E" w:rsidP="009C29FD">
      <w:pPr>
        <w:pStyle w:val="ListParagraph"/>
        <w:numPr>
          <w:ilvl w:val="0"/>
          <w:numId w:val="43"/>
        </w:numPr>
        <w:spacing w:after="0" w:line="240" w:lineRule="auto"/>
        <w:rPr>
          <w:rFonts w:ascii="Segoe UI" w:hAnsi="Segoe UI" w:cs="Segoe UI"/>
        </w:rPr>
      </w:pPr>
      <w:r w:rsidRPr="009C29FD">
        <w:rPr>
          <w:rFonts w:ascii="Segoe UI" w:hAnsi="Segoe UI" w:cs="Segoe UI"/>
        </w:rPr>
        <w:t>There is evidence to show variable quality and completeness of patient records across the trust</w:t>
      </w:r>
      <w:r w:rsidR="009C29FD">
        <w:rPr>
          <w:rFonts w:ascii="Segoe UI" w:hAnsi="Segoe UI" w:cs="Segoe UI"/>
        </w:rPr>
        <w:t xml:space="preserve">. </w:t>
      </w:r>
      <w:r w:rsidRPr="009C29FD">
        <w:rPr>
          <w:rFonts w:ascii="Segoe UI" w:hAnsi="Segoe UI" w:cs="Segoe UI"/>
        </w:rPr>
        <w:t>This does not mean the care being delivered is not of a high quality but how this care is documented (and demonstrated) is an area for improvement.</w:t>
      </w:r>
    </w:p>
    <w:p w:rsidR="00FC239E" w:rsidRPr="009C29FD" w:rsidRDefault="00FC239E" w:rsidP="009C29FD">
      <w:pPr>
        <w:pStyle w:val="ListParagraph"/>
        <w:numPr>
          <w:ilvl w:val="0"/>
          <w:numId w:val="43"/>
        </w:numPr>
        <w:spacing w:after="0" w:line="240" w:lineRule="auto"/>
        <w:rPr>
          <w:rFonts w:ascii="Segoe UI" w:hAnsi="Segoe UI" w:cs="Segoe UI"/>
        </w:rPr>
      </w:pPr>
      <w:r w:rsidRPr="009C29FD">
        <w:rPr>
          <w:rFonts w:ascii="Segoe UI" w:hAnsi="Segoe UI" w:cs="Segoe UI"/>
        </w:rPr>
        <w:t>Work to introduce the new electronic health record will support and help clinicians to more easily record the care and treatment they have agreed and are working with for each patient. However additional work is required to ensure everyone values the importance of good record keeping and training is provided.</w:t>
      </w:r>
    </w:p>
    <w:p w:rsidR="009C29FD" w:rsidRDefault="009C29FD" w:rsidP="009C29FD">
      <w:pPr>
        <w:spacing w:after="0" w:line="240" w:lineRule="auto"/>
        <w:rPr>
          <w:rFonts w:ascii="Segoe UI" w:hAnsi="Segoe UI" w:cs="Segoe UI"/>
          <w:b/>
          <w:bCs/>
        </w:rPr>
      </w:pPr>
    </w:p>
    <w:p w:rsidR="00FC239E" w:rsidRDefault="00FC239E" w:rsidP="009C29FD">
      <w:pPr>
        <w:spacing w:after="0" w:line="240" w:lineRule="auto"/>
        <w:rPr>
          <w:rFonts w:ascii="Segoe UI" w:hAnsi="Segoe UI" w:cs="Segoe UI"/>
          <w:b/>
          <w:bCs/>
        </w:rPr>
      </w:pPr>
      <w:r>
        <w:rPr>
          <w:rFonts w:ascii="Segoe UI" w:hAnsi="Segoe UI" w:cs="Segoe UI"/>
          <w:b/>
          <w:bCs/>
        </w:rPr>
        <w:t>End of life care</w:t>
      </w:r>
    </w:p>
    <w:p w:rsidR="00FC239E" w:rsidRDefault="00FC239E" w:rsidP="009C29FD">
      <w:pPr>
        <w:spacing w:after="0" w:line="240" w:lineRule="auto"/>
        <w:rPr>
          <w:rFonts w:ascii="Segoe UI" w:hAnsi="Segoe UI" w:cs="Segoe UI"/>
        </w:rPr>
      </w:pPr>
      <w:r>
        <w:rPr>
          <w:rFonts w:ascii="Segoe UI" w:hAnsi="Segoe UI" w:cs="Segoe UI"/>
        </w:rPr>
        <w:t>An independent audit w</w:t>
      </w:r>
      <w:r w:rsidR="009C29FD">
        <w:rPr>
          <w:rFonts w:ascii="Segoe UI" w:hAnsi="Segoe UI" w:cs="Segoe UI"/>
        </w:rPr>
        <w:t>as completed in Feb 2015 by TIAA</w:t>
      </w:r>
      <w:r>
        <w:rPr>
          <w:rFonts w:ascii="Segoe UI" w:hAnsi="Segoe UI" w:cs="Segoe UI"/>
        </w:rPr>
        <w:t>. The following key action areas will be led and monitored by the trusts one chance to get it right taskforce group: awareness by staff of the end of life care pathway that replaced the Liverpool Care Pathway, staff training, completeness of notes, care plans and DNA CRP forms as appropriate, information for families and parents and access to health records for all of multi-disciplinary team including agency staff.</w:t>
      </w:r>
    </w:p>
    <w:p w:rsidR="00FC239E" w:rsidRDefault="00FC239E" w:rsidP="009C29FD">
      <w:pPr>
        <w:spacing w:after="0"/>
        <w:rPr>
          <w:rFonts w:ascii="Segoe UI" w:hAnsi="Segoe UI" w:cs="Segoe UI"/>
        </w:rPr>
      </w:pPr>
    </w:p>
    <w:p w:rsidR="00FC239E" w:rsidRDefault="00FC239E" w:rsidP="009C29FD">
      <w:pPr>
        <w:spacing w:after="0"/>
        <w:rPr>
          <w:rFonts w:ascii="Segoe UI" w:hAnsi="Segoe UI" w:cs="Segoe UI"/>
          <w:b/>
          <w:bCs/>
        </w:rPr>
      </w:pPr>
      <w:r>
        <w:rPr>
          <w:rFonts w:ascii="Segoe UI" w:hAnsi="Segoe UI" w:cs="Segoe UI"/>
          <w:b/>
          <w:bCs/>
        </w:rPr>
        <w:t>Trust wide nutrition: screening, assessing needs and taking appropriate action</w:t>
      </w:r>
    </w:p>
    <w:p w:rsidR="00FC239E" w:rsidRDefault="00FC239E" w:rsidP="009C29FD">
      <w:pPr>
        <w:spacing w:after="0" w:line="240" w:lineRule="auto"/>
        <w:rPr>
          <w:rFonts w:ascii="Segoe UI" w:hAnsi="Segoe UI" w:cs="Segoe UI"/>
        </w:rPr>
      </w:pPr>
      <w:r>
        <w:rPr>
          <w:rFonts w:ascii="Segoe UI" w:hAnsi="Segoe UI" w:cs="Segoe UI"/>
        </w:rPr>
        <w:t>Evidence from audits show a lack of consistent assessment and monitoring of nutrition and hydration needs, and patient needs being fed through to care planning. A nutrition action group was established in August 2014 to coordinate improvement work to include a new trust nutrition and hydration policy with clear nutrition standards and staff training to raise awareness and appropriate use of nutrition screening tools.  Accurate recording will be supported by the new electronic health care record.</w:t>
      </w:r>
    </w:p>
    <w:p w:rsidR="00FC239E" w:rsidRDefault="00FC239E" w:rsidP="009C29FD">
      <w:pPr>
        <w:spacing w:after="0"/>
        <w:rPr>
          <w:rFonts w:ascii="Segoe UI" w:hAnsi="Segoe UI" w:cs="Segoe UI"/>
        </w:rPr>
      </w:pPr>
    </w:p>
    <w:p w:rsidR="00FC239E" w:rsidRDefault="00FC239E" w:rsidP="009C29FD">
      <w:pPr>
        <w:spacing w:after="0"/>
        <w:rPr>
          <w:rFonts w:ascii="Segoe UI" w:hAnsi="Segoe UI" w:cs="Segoe UI"/>
          <w:b/>
          <w:bCs/>
        </w:rPr>
      </w:pPr>
      <w:r>
        <w:rPr>
          <w:rFonts w:ascii="Segoe UI" w:hAnsi="Segoe UI" w:cs="Segoe UI"/>
          <w:b/>
          <w:bCs/>
        </w:rPr>
        <w:lastRenderedPageBreak/>
        <w:t>Delayed Transfers of Care across Community Hospitals</w:t>
      </w:r>
    </w:p>
    <w:p w:rsidR="00FC239E" w:rsidRDefault="00FC239E" w:rsidP="009C29FD">
      <w:pPr>
        <w:spacing w:line="240" w:lineRule="auto"/>
        <w:rPr>
          <w:rFonts w:ascii="Segoe UI" w:hAnsi="Segoe UI" w:cs="Segoe UI"/>
        </w:rPr>
      </w:pPr>
      <w:proofErr w:type="gramStart"/>
      <w:r>
        <w:rPr>
          <w:rFonts w:ascii="Segoe UI" w:hAnsi="Segoe UI" w:cs="Segoe UI"/>
        </w:rPr>
        <w:t>High number of delayed transfers of care particularly in Abingdon, Didcot and Witney which remains challenging.</w:t>
      </w:r>
      <w:proofErr w:type="gramEnd"/>
      <w:r>
        <w:rPr>
          <w:rFonts w:ascii="Segoe UI" w:hAnsi="Segoe UI" w:cs="Segoe UI"/>
        </w:rPr>
        <w:t xml:space="preserve"> A high number of delays are the responsibility of OCC and relate to their capacity, so </w:t>
      </w:r>
      <w:proofErr w:type="gramStart"/>
      <w:r>
        <w:rPr>
          <w:rFonts w:ascii="Segoe UI" w:hAnsi="Segoe UI" w:cs="Segoe UI"/>
        </w:rPr>
        <w:t>progressing</w:t>
      </w:r>
      <w:proofErr w:type="gramEnd"/>
      <w:r>
        <w:rPr>
          <w:rFonts w:ascii="Segoe UI" w:hAnsi="Segoe UI" w:cs="Segoe UI"/>
        </w:rPr>
        <w:t xml:space="preserve"> integration work is essential to address these problems. Choice delays represent about a third of all delays in terms of family agreeing discharge (property disregard funding and private funders). A revised choice policy has been signed at board level by the whole system and implemented alongside training across the community hospitals. The discharge pathway steering group is monitoring the impact of actions across the whole system.</w:t>
      </w:r>
    </w:p>
    <w:p w:rsidR="00FC239E" w:rsidRDefault="00FC239E" w:rsidP="009C29FD">
      <w:pPr>
        <w:spacing w:after="0" w:line="240" w:lineRule="auto"/>
        <w:rPr>
          <w:rFonts w:ascii="Segoe UI" w:hAnsi="Segoe UI" w:cs="Segoe UI"/>
          <w:b/>
          <w:bCs/>
        </w:rPr>
      </w:pPr>
      <w:r>
        <w:rPr>
          <w:rFonts w:ascii="Segoe UI" w:hAnsi="Segoe UI" w:cs="Segoe UI"/>
          <w:b/>
          <w:bCs/>
        </w:rPr>
        <w:t>Identifying and supporting carers, parents, family members</w:t>
      </w:r>
    </w:p>
    <w:p w:rsidR="00FC239E" w:rsidRDefault="00FC239E" w:rsidP="009C29FD">
      <w:pPr>
        <w:spacing w:after="0" w:line="240" w:lineRule="auto"/>
        <w:rPr>
          <w:rFonts w:ascii="Segoe UI" w:hAnsi="Segoe UI" w:cs="Segoe UI"/>
        </w:rPr>
      </w:pPr>
      <w:r>
        <w:rPr>
          <w:rFonts w:ascii="Segoe UI" w:hAnsi="Segoe UI" w:cs="Segoe UI"/>
        </w:rPr>
        <w:t>As the trust works through the triang</w:t>
      </w:r>
      <w:r w:rsidR="009C29FD">
        <w:rPr>
          <w:rFonts w:ascii="Segoe UI" w:hAnsi="Segoe UI" w:cs="Segoe UI"/>
        </w:rPr>
        <w:t>l</w:t>
      </w:r>
      <w:r>
        <w:rPr>
          <w:rFonts w:ascii="Segoe UI" w:hAnsi="Segoe UI" w:cs="Segoe UI"/>
        </w:rPr>
        <w:t xml:space="preserve">e of care accreditation process developed by the </w:t>
      </w:r>
      <w:proofErr w:type="gramStart"/>
      <w:r>
        <w:rPr>
          <w:rFonts w:ascii="Segoe UI" w:hAnsi="Segoe UI" w:cs="Segoe UI"/>
        </w:rPr>
        <w:t>carers</w:t>
      </w:r>
      <w:proofErr w:type="gramEnd"/>
      <w:r>
        <w:rPr>
          <w:rFonts w:ascii="Segoe UI" w:hAnsi="Segoe UI" w:cs="Segoe UI"/>
        </w:rPr>
        <w:t xml:space="preserve"> trust some gaps are being identified in support to carers, trust wide themes are around a lack of consistent and routine carer awareness training for staff and standardised information given to identified carers incl. information about local carer support services. </w:t>
      </w:r>
    </w:p>
    <w:p w:rsidR="00FC239E" w:rsidRDefault="00FC239E" w:rsidP="009C29FD">
      <w:pPr>
        <w:spacing w:after="0" w:line="240" w:lineRule="auto"/>
        <w:rPr>
          <w:rFonts w:ascii="Segoe UI" w:hAnsi="Segoe UI" w:cs="Segoe UI"/>
        </w:rPr>
      </w:pPr>
    </w:p>
    <w:p w:rsidR="00FC239E" w:rsidRDefault="00FC239E" w:rsidP="009C29FD">
      <w:pPr>
        <w:spacing w:after="0" w:line="240" w:lineRule="auto"/>
        <w:rPr>
          <w:rFonts w:ascii="Segoe UI" w:hAnsi="Segoe UI" w:cs="Segoe UI"/>
          <w:b/>
          <w:bCs/>
        </w:rPr>
      </w:pPr>
      <w:r>
        <w:rPr>
          <w:rFonts w:ascii="Segoe UI" w:hAnsi="Segoe UI" w:cs="Segoe UI"/>
          <w:b/>
          <w:bCs/>
        </w:rPr>
        <w:t>Staff feedback</w:t>
      </w:r>
    </w:p>
    <w:p w:rsidR="00FC239E" w:rsidRDefault="009C29FD" w:rsidP="009C29FD">
      <w:pPr>
        <w:spacing w:after="0" w:line="240" w:lineRule="auto"/>
        <w:rPr>
          <w:rFonts w:ascii="Segoe UI" w:hAnsi="Segoe UI" w:cs="Segoe UI"/>
          <w:lang w:eastAsia="en-GB"/>
        </w:rPr>
      </w:pPr>
      <w:r>
        <w:rPr>
          <w:rFonts w:ascii="Segoe UI" w:hAnsi="Segoe UI" w:cs="Segoe UI"/>
        </w:rPr>
        <w:t xml:space="preserve">There has been a </w:t>
      </w:r>
      <w:r w:rsidR="00FC239E">
        <w:rPr>
          <w:rFonts w:ascii="Segoe UI" w:hAnsi="Segoe UI" w:cs="Segoe UI"/>
        </w:rPr>
        <w:t xml:space="preserve">decline in </w:t>
      </w:r>
      <w:r>
        <w:rPr>
          <w:rFonts w:ascii="Segoe UI" w:hAnsi="Segoe UI" w:cs="Segoe UI"/>
        </w:rPr>
        <w:t xml:space="preserve">some </w:t>
      </w:r>
      <w:r w:rsidR="00FC239E">
        <w:rPr>
          <w:rFonts w:ascii="Segoe UI" w:hAnsi="Segoe UI" w:cs="Segoe UI"/>
        </w:rPr>
        <w:t>results</w:t>
      </w:r>
      <w:r>
        <w:rPr>
          <w:rFonts w:ascii="Segoe UI" w:hAnsi="Segoe UI" w:cs="Segoe UI"/>
        </w:rPr>
        <w:t xml:space="preserve"> for key findings</w:t>
      </w:r>
      <w:r w:rsidR="00FC239E">
        <w:rPr>
          <w:rFonts w:ascii="Segoe UI" w:hAnsi="Segoe UI" w:cs="Segoe UI"/>
        </w:rPr>
        <w:t xml:space="preserve"> in the recent 2014 staff survey (n=1646) with issues identified around staff working extra hours, experience of work related stress, work pressure, less staff feeling satisfied with quality of work/ patient care they are able to deliver, an increase in staff experiencing harassment, bullying or abuse from other staff, and a decrease in the belief the trust provides equal opportunities for career progression or promotion. Each directorate and the trust wide health and well-being group are identifying priorities to address in 2015/16.</w:t>
      </w:r>
    </w:p>
    <w:p w:rsidR="00FC239E" w:rsidRDefault="00FC239E" w:rsidP="00FC239E">
      <w:pPr>
        <w:spacing w:after="0" w:line="240" w:lineRule="auto"/>
        <w:rPr>
          <w:rFonts w:ascii="Segoe UI" w:hAnsi="Segoe UI" w:cs="Segoe UI"/>
        </w:rPr>
      </w:pPr>
    </w:p>
    <w:p w:rsidR="009C29FD" w:rsidRDefault="009C29FD" w:rsidP="00FC239E">
      <w:pPr>
        <w:spacing w:after="0" w:line="240" w:lineRule="auto"/>
        <w:rPr>
          <w:rFonts w:ascii="Segoe UI" w:hAnsi="Segoe UI" w:cs="Segoe UI"/>
          <w:b/>
        </w:rPr>
      </w:pPr>
      <w:r w:rsidRPr="009C29FD">
        <w:rPr>
          <w:rFonts w:ascii="Segoe UI" w:hAnsi="Segoe UI" w:cs="Segoe UI"/>
          <w:b/>
        </w:rPr>
        <w:t>5.</w:t>
      </w:r>
      <w:r w:rsidRPr="009C29FD">
        <w:rPr>
          <w:rFonts w:ascii="Segoe UI" w:hAnsi="Segoe UI" w:cs="Segoe UI"/>
          <w:b/>
        </w:rPr>
        <w:tab/>
        <w:t>Harm reduction projects</w:t>
      </w:r>
    </w:p>
    <w:p w:rsidR="009C29FD" w:rsidRPr="009C29FD" w:rsidRDefault="009C29FD" w:rsidP="009C29FD">
      <w:pPr>
        <w:spacing w:after="0" w:line="240" w:lineRule="auto"/>
        <w:rPr>
          <w:rFonts w:ascii="Segoe UI" w:hAnsi="Segoe UI" w:cs="Segoe UI"/>
        </w:rPr>
      </w:pPr>
      <w:r w:rsidRPr="009C29FD">
        <w:rPr>
          <w:rFonts w:ascii="Segoe UI" w:hAnsi="Segoe UI" w:cs="Segoe UI"/>
        </w:rPr>
        <w:t>The Highfield Unit</w:t>
      </w:r>
      <w:r w:rsidRPr="009C29FD">
        <w:rPr>
          <w:rFonts w:ascii="Segoe UI" w:hAnsi="Segoe UI" w:cs="Segoe UI"/>
          <w:b/>
        </w:rPr>
        <w:t xml:space="preserve"> </w:t>
      </w:r>
      <w:r w:rsidRPr="009C29FD">
        <w:rPr>
          <w:rFonts w:ascii="Segoe UI" w:hAnsi="Segoe UI" w:cs="Segoe UI"/>
        </w:rPr>
        <w:t xml:space="preserve">has implemented a project coordinated by the safer care team to reduce the incidents of serious violence/aggression leading to prone restraints. Their initial target in March 2014 was achieved, and the second target was to reduce incidents of violence and aggression by a further 25% by March 2015.  To support this, and as part of the Sensory project, a Sensory Assessment &amp; Care Plan was implemented in September 2014 with a new focus on considering how patients manage when feeling overwhelmed and distressed. The OT has been involved in assessing new admissions and the case team have been reviewing the assessment and formulating a care plan together and liaising with parents. Patients have welcomed the use of a sensory ladder which communicates to the team how they are feeling and what may help in that moment. Data suggests that the level of prone restraints has steadily decreased, with the odd outlier. These outliers relate to specific incidents requiring a specific and individualised response. </w:t>
      </w:r>
    </w:p>
    <w:p w:rsidR="009C29FD" w:rsidRPr="009C29FD" w:rsidRDefault="009C29FD" w:rsidP="009C29FD">
      <w:pPr>
        <w:spacing w:after="0" w:line="240" w:lineRule="auto"/>
        <w:rPr>
          <w:rFonts w:ascii="Segoe UI" w:hAnsi="Segoe UI" w:cs="Segoe UI"/>
        </w:rPr>
      </w:pPr>
    </w:p>
    <w:p w:rsidR="009C29FD" w:rsidRPr="009C29FD" w:rsidRDefault="009C29FD" w:rsidP="009C29FD">
      <w:pPr>
        <w:spacing w:line="240" w:lineRule="auto"/>
        <w:rPr>
          <w:rFonts w:ascii="Segoe UI" w:hAnsi="Segoe UI" w:cs="Segoe UI"/>
          <w:lang w:eastAsia="en-GB"/>
        </w:rPr>
      </w:pPr>
      <w:r w:rsidRPr="009C29FD">
        <w:rPr>
          <w:rFonts w:ascii="Segoe UI" w:hAnsi="Segoe UI" w:cs="Segoe UI"/>
          <w:lang w:eastAsia="en-GB"/>
        </w:rPr>
        <w:t>Sandford ward is currently completing an audit to measure the number of restraints occurring on the ward, which shall be compared to the actual numbers reported on incident forms. It is felt that even though high numbers are already being reported by the ward, that in reality, the number of PMVA incidents is much higher.</w:t>
      </w:r>
    </w:p>
    <w:p w:rsidR="009C29FD" w:rsidRPr="009C29FD" w:rsidRDefault="009C29FD" w:rsidP="009C29FD">
      <w:pPr>
        <w:spacing w:line="240" w:lineRule="auto"/>
        <w:rPr>
          <w:rFonts w:ascii="Segoe UI" w:hAnsi="Segoe UI" w:cs="Segoe UI"/>
          <w:lang w:eastAsia="en-GB"/>
        </w:rPr>
      </w:pPr>
      <w:r w:rsidRPr="009C29FD">
        <w:rPr>
          <w:rFonts w:ascii="Segoe UI" w:eastAsia="Times New Roman" w:hAnsi="Segoe UI" w:cs="Segoe UI"/>
          <w:lang w:eastAsia="en-GB"/>
        </w:rPr>
        <w:t>There has been a successful reduction in incidents of violence and aggression on Watling Ward (medium secure forensic service) as part of safer care work</w:t>
      </w:r>
    </w:p>
    <w:p w:rsidR="009C29FD" w:rsidRPr="009C29FD" w:rsidRDefault="009C29FD" w:rsidP="009C29FD">
      <w:pPr>
        <w:spacing w:after="0" w:line="240" w:lineRule="auto"/>
        <w:rPr>
          <w:rFonts w:ascii="Segoe UI" w:hAnsi="Segoe UI" w:cs="Segoe UI"/>
        </w:rPr>
      </w:pPr>
    </w:p>
    <w:p w:rsidR="009C29FD" w:rsidRPr="009C29FD" w:rsidRDefault="009C29FD" w:rsidP="00127A8A">
      <w:pPr>
        <w:tabs>
          <w:tab w:val="num" w:pos="1080"/>
        </w:tabs>
        <w:spacing w:before="140" w:after="0" w:line="240" w:lineRule="auto"/>
        <w:contextualSpacing/>
        <w:rPr>
          <w:rFonts w:ascii="Segoe UI" w:hAnsi="Segoe UI" w:cs="Segoe UI"/>
        </w:rPr>
      </w:pPr>
      <w:r w:rsidRPr="009C29FD">
        <w:rPr>
          <w:rFonts w:ascii="Segoe UI" w:hAnsi="Segoe UI" w:cs="Segoe UI"/>
        </w:rPr>
        <w:lastRenderedPageBreak/>
        <w:t>The CAMHS unit at Marlborough House Swindon (Tier 4 children service) has initiated a safer care project. The specific aim of the</w:t>
      </w:r>
      <w:r w:rsidR="00127A8A">
        <w:rPr>
          <w:rFonts w:ascii="Segoe UI" w:hAnsi="Segoe UI" w:cs="Segoe UI"/>
        </w:rPr>
        <w:t xml:space="preserve"> p</w:t>
      </w:r>
      <w:r w:rsidRPr="009C29FD">
        <w:rPr>
          <w:rFonts w:ascii="Segoe UI" w:hAnsi="Segoe UI" w:cs="Segoe UI"/>
        </w:rPr>
        <w:t xml:space="preserve">roject was to reduce incidents of deliberate self-harm (DSH) requiring intervention by 50% by the end of June 2015. </w:t>
      </w:r>
    </w:p>
    <w:p w:rsidR="009C29FD" w:rsidRPr="009C29FD" w:rsidRDefault="009C29FD" w:rsidP="009C29FD">
      <w:pPr>
        <w:tabs>
          <w:tab w:val="num" w:pos="1080"/>
        </w:tabs>
        <w:spacing w:before="140" w:after="0" w:line="240" w:lineRule="auto"/>
        <w:ind w:left="340" w:hanging="340"/>
        <w:contextualSpacing/>
        <w:rPr>
          <w:rFonts w:ascii="Segoe UI" w:hAnsi="Segoe UI" w:cs="Segoe UI"/>
        </w:rPr>
      </w:pPr>
    </w:p>
    <w:p w:rsidR="009C29FD" w:rsidRPr="009C29FD" w:rsidRDefault="009C29FD" w:rsidP="009C29FD">
      <w:pPr>
        <w:spacing w:line="240" w:lineRule="auto"/>
        <w:rPr>
          <w:rFonts w:ascii="Segoe UI" w:hAnsi="Segoe UI" w:cs="Segoe UI"/>
        </w:rPr>
      </w:pPr>
      <w:r w:rsidRPr="009C29FD">
        <w:rPr>
          <w:rFonts w:ascii="Segoe UI" w:hAnsi="Segoe UI" w:cs="Segoe UI"/>
        </w:rPr>
        <w:t xml:space="preserve">In June 2014 the safer care project commenced on the ward. The first Plan Do Study Act (PDSA) commenced in July 2014 which tested the impact of having two members of staff in communal areas. This was in response to both staff and young people feeling unsafe at times in these areas of the ward. </w:t>
      </w:r>
      <w:r w:rsidRPr="009C29FD">
        <w:rPr>
          <w:rFonts w:ascii="Segoe UI" w:hAnsi="Segoe UI" w:cs="Segoe UI"/>
          <w:noProof/>
          <w:lang w:eastAsia="en-GB"/>
        </w:rPr>
        <w:t>Narrative collected from young people during the project has revealed enhanced feelings of safety and the young people have also observed that formal observations are now less common on the ward. Staff also report a greater sense of psychological safety.</w:t>
      </w:r>
    </w:p>
    <w:p w:rsidR="009C29FD" w:rsidRPr="009C29FD" w:rsidRDefault="009C29FD" w:rsidP="00127A8A">
      <w:pPr>
        <w:spacing w:line="240" w:lineRule="auto"/>
        <w:rPr>
          <w:rFonts w:ascii="Segoe UI" w:hAnsi="Segoe UI" w:cs="Segoe UI"/>
        </w:rPr>
      </w:pPr>
      <w:r w:rsidRPr="009C29FD">
        <w:rPr>
          <w:rFonts w:ascii="Segoe UI" w:hAnsi="Segoe UI" w:cs="Segoe UI"/>
        </w:rPr>
        <w:t xml:space="preserve">In August 2014 a PDSA was designed to ensure that a nurse was </w:t>
      </w:r>
      <w:proofErr w:type="spellStart"/>
      <w:r w:rsidRPr="009C29FD">
        <w:rPr>
          <w:rFonts w:ascii="Segoe UI" w:hAnsi="Segoe UI" w:cs="Segoe UI"/>
        </w:rPr>
        <w:t>rostered</w:t>
      </w:r>
      <w:proofErr w:type="spellEnd"/>
      <w:r w:rsidRPr="009C29FD">
        <w:rPr>
          <w:rFonts w:ascii="Segoe UI" w:hAnsi="Segoe UI" w:cs="Segoe UI"/>
        </w:rPr>
        <w:t xml:space="preserve"> 9-5 to attend the case management meetings and to systematically provide feedback to the young person, the family and the ward team within agreed time frames. In October 2014, key working and a family nurse role were introduced. In November 2014, therapeutic groups for young people who self-harm were commenced. The SPC charts presents the current shift in mean number of self-harm incidents requiring physical intervention since the team commenced their safer care work.</w:t>
      </w:r>
    </w:p>
    <w:p w:rsidR="009C29FD" w:rsidRPr="009C29FD" w:rsidRDefault="009C29FD" w:rsidP="009C29FD">
      <w:pPr>
        <w:spacing w:after="0" w:line="240" w:lineRule="auto"/>
        <w:rPr>
          <w:rFonts w:ascii="Segoe UI" w:eastAsia="Times New Roman" w:hAnsi="Segoe UI" w:cs="Segoe UI"/>
        </w:rPr>
      </w:pPr>
      <w:r w:rsidRPr="009C29FD">
        <w:rPr>
          <w:rFonts w:ascii="Segoe UI" w:hAnsi="Segoe UI" w:cs="Segoe UI"/>
        </w:rPr>
        <w:t>The OSCA team have developed a project with Safer care to support seriously unwell patients with the aim would to provide clearer cover to those at high risk of serious self-harm, and a smoother transition from Tier 3 to OSCA or T4 to avoid crisis referrals.</w:t>
      </w:r>
      <w:r w:rsidRPr="009C29FD">
        <w:rPr>
          <w:rFonts w:ascii="Segoe UI" w:eastAsia="Times New Roman" w:hAnsi="Segoe UI" w:cs="Segoe UI"/>
        </w:rPr>
        <w:t xml:space="preserve"> The project is working towards the '</w:t>
      </w:r>
      <w:proofErr w:type="spellStart"/>
      <w:r w:rsidRPr="009C29FD">
        <w:rPr>
          <w:rFonts w:ascii="Segoe UI" w:eastAsia="Times New Roman" w:hAnsi="Segoe UI" w:cs="Segoe UI"/>
        </w:rPr>
        <w:t>watchlist</w:t>
      </w:r>
      <w:proofErr w:type="spellEnd"/>
      <w:r w:rsidRPr="009C29FD">
        <w:rPr>
          <w:rFonts w:ascii="Segoe UI" w:eastAsia="Times New Roman" w:hAnsi="Segoe UI" w:cs="Segoe UI"/>
        </w:rPr>
        <w:t>'</w:t>
      </w:r>
      <w:r w:rsidRPr="009C29FD">
        <w:rPr>
          <w:rStyle w:val="FootnoteReference"/>
          <w:rFonts w:ascii="Segoe UI" w:eastAsia="Times New Roman" w:hAnsi="Segoe UI" w:cs="Segoe UI"/>
        </w:rPr>
        <w:footnoteReference w:id="1"/>
      </w:r>
      <w:r w:rsidRPr="009C29FD">
        <w:rPr>
          <w:rFonts w:ascii="Segoe UI" w:eastAsia="Times New Roman" w:hAnsi="Segoe UI" w:cs="Segoe UI"/>
        </w:rPr>
        <w:t xml:space="preserve"> ceasing to exist from the 1st June 2015 and there is a project plan and steering group to ensure that the correct actions have happened to safely support this transition. </w:t>
      </w:r>
    </w:p>
    <w:p w:rsidR="009C29FD" w:rsidRPr="009C29FD" w:rsidRDefault="009C29FD" w:rsidP="009C29FD">
      <w:pPr>
        <w:spacing w:after="0" w:line="240" w:lineRule="auto"/>
        <w:rPr>
          <w:rFonts w:ascii="Segoe UI" w:eastAsia="Times New Roman" w:hAnsi="Segoe UI" w:cs="Segoe UI"/>
        </w:rPr>
      </w:pPr>
    </w:p>
    <w:p w:rsidR="009C29FD" w:rsidRPr="009C29FD" w:rsidRDefault="009C29FD" w:rsidP="009C29FD">
      <w:pPr>
        <w:spacing w:after="0" w:line="240" w:lineRule="auto"/>
        <w:rPr>
          <w:rFonts w:ascii="Segoe UI" w:hAnsi="Segoe UI" w:cs="Segoe UI"/>
        </w:rPr>
      </w:pPr>
      <w:r w:rsidRPr="009C29FD">
        <w:rPr>
          <w:rFonts w:ascii="Segoe UI" w:hAnsi="Segoe UI" w:cs="Segoe UI"/>
        </w:rPr>
        <w:t xml:space="preserve">Cotswold House Oxon is working on Admission Pathways as a result of some potentially serious near misses, a serious incident as well as patient feedback. A Standard Operating Procedure has been implemented which includes an admission pack, a checklist of tasks for Doctors and Nurses, new &amp; updated core and medical risk assessments (appropriate to Emergency departments), triage of other needs including children, pets, accommodation </w:t>
      </w:r>
      <w:proofErr w:type="spellStart"/>
      <w:r w:rsidRPr="009C29FD">
        <w:rPr>
          <w:rFonts w:ascii="Segoe UI" w:hAnsi="Segoe UI" w:cs="Segoe UI"/>
        </w:rPr>
        <w:t>etc</w:t>
      </w:r>
      <w:proofErr w:type="spellEnd"/>
      <w:r w:rsidRPr="009C29FD">
        <w:rPr>
          <w:rFonts w:ascii="Segoe UI" w:hAnsi="Segoe UI" w:cs="Segoe UI"/>
        </w:rPr>
        <w:t>, capacity and consent assessment, code of conduct for patients, carers and staff and finally outcome measures as a baseline (EDEQ, CIA, CORE)</w:t>
      </w:r>
    </w:p>
    <w:p w:rsidR="009C29FD" w:rsidRPr="009C29FD" w:rsidRDefault="009C29FD" w:rsidP="009C29FD">
      <w:pPr>
        <w:spacing w:after="0" w:line="240" w:lineRule="auto"/>
        <w:rPr>
          <w:rFonts w:ascii="Segoe UI" w:hAnsi="Segoe UI" w:cs="Segoe UI"/>
        </w:rPr>
      </w:pPr>
      <w:r w:rsidRPr="009C29FD">
        <w:rPr>
          <w:rFonts w:ascii="Segoe UI" w:hAnsi="Segoe UI" w:cs="Segoe UI"/>
        </w:rPr>
        <w:t>To date the outcomes that are reported to have been achieved are:</w:t>
      </w:r>
    </w:p>
    <w:p w:rsidR="009C29FD" w:rsidRPr="009C29FD" w:rsidRDefault="009C29FD" w:rsidP="009C29FD">
      <w:pPr>
        <w:pStyle w:val="ListParagraph"/>
        <w:numPr>
          <w:ilvl w:val="0"/>
          <w:numId w:val="44"/>
        </w:numPr>
        <w:spacing w:after="0" w:line="240" w:lineRule="auto"/>
        <w:rPr>
          <w:rFonts w:ascii="Segoe UI" w:hAnsi="Segoe UI" w:cs="Segoe UI"/>
        </w:rPr>
      </w:pPr>
      <w:r w:rsidRPr="009C29FD">
        <w:rPr>
          <w:rFonts w:ascii="Segoe UI" w:hAnsi="Segoe UI" w:cs="Segoe UI"/>
        </w:rPr>
        <w:t>Significant reduction in incidents and near misses</w:t>
      </w:r>
    </w:p>
    <w:p w:rsidR="009C29FD" w:rsidRPr="009C29FD" w:rsidRDefault="009C29FD" w:rsidP="009C29FD">
      <w:pPr>
        <w:pStyle w:val="ListParagraph"/>
        <w:numPr>
          <w:ilvl w:val="0"/>
          <w:numId w:val="44"/>
        </w:numPr>
        <w:spacing w:after="0" w:line="240" w:lineRule="auto"/>
        <w:rPr>
          <w:rFonts w:ascii="Segoe UI" w:hAnsi="Segoe UI" w:cs="Segoe UI"/>
        </w:rPr>
      </w:pPr>
      <w:r w:rsidRPr="009C29FD">
        <w:rPr>
          <w:rFonts w:ascii="Segoe UI" w:hAnsi="Segoe UI" w:cs="Segoe UI"/>
        </w:rPr>
        <w:t>Safer admission pathway with robust systems and processes</w:t>
      </w:r>
    </w:p>
    <w:p w:rsidR="009C29FD" w:rsidRPr="009C29FD" w:rsidRDefault="009C29FD" w:rsidP="009C29FD">
      <w:pPr>
        <w:pStyle w:val="ListParagraph"/>
        <w:numPr>
          <w:ilvl w:val="0"/>
          <w:numId w:val="44"/>
        </w:numPr>
        <w:spacing w:after="0" w:line="240" w:lineRule="auto"/>
        <w:rPr>
          <w:rFonts w:ascii="Segoe UI" w:hAnsi="Segoe UI" w:cs="Segoe UI"/>
        </w:rPr>
      </w:pPr>
      <w:r w:rsidRPr="009C29FD">
        <w:rPr>
          <w:rFonts w:ascii="Segoe UI" w:hAnsi="Segoe UI" w:cs="Segoe UI"/>
        </w:rPr>
        <w:t>Increase in patient satisfaction</w:t>
      </w:r>
    </w:p>
    <w:p w:rsidR="009C29FD" w:rsidRPr="009C29FD" w:rsidRDefault="009C29FD" w:rsidP="009C29FD">
      <w:pPr>
        <w:pStyle w:val="ListParagraph"/>
        <w:numPr>
          <w:ilvl w:val="0"/>
          <w:numId w:val="44"/>
        </w:numPr>
        <w:spacing w:after="0" w:line="240" w:lineRule="auto"/>
        <w:rPr>
          <w:rFonts w:ascii="Segoe UI" w:hAnsi="Segoe UI" w:cs="Segoe UI"/>
        </w:rPr>
      </w:pPr>
      <w:r w:rsidRPr="009C29FD">
        <w:rPr>
          <w:rFonts w:ascii="Segoe UI" w:hAnsi="Segoe UI" w:cs="Segoe UI"/>
        </w:rPr>
        <w:t>Increase in staff satisfaction</w:t>
      </w:r>
    </w:p>
    <w:p w:rsidR="009C29FD" w:rsidRDefault="009C29FD" w:rsidP="00FC239E">
      <w:pPr>
        <w:spacing w:after="0" w:line="240" w:lineRule="auto"/>
        <w:rPr>
          <w:rFonts w:ascii="Segoe UI" w:hAnsi="Segoe UI" w:cs="Segoe UI"/>
          <w:b/>
        </w:rPr>
      </w:pPr>
    </w:p>
    <w:p w:rsidR="00127A8A" w:rsidRPr="009C29FD" w:rsidRDefault="00127A8A" w:rsidP="00FC239E">
      <w:pPr>
        <w:spacing w:after="0" w:line="240" w:lineRule="auto"/>
        <w:rPr>
          <w:rFonts w:ascii="Segoe UI" w:hAnsi="Segoe UI" w:cs="Segoe UI"/>
          <w:b/>
        </w:rPr>
      </w:pPr>
    </w:p>
    <w:sectPr w:rsidR="00127A8A" w:rsidRPr="009C29FD" w:rsidSect="00566E1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EAE" w:rsidRDefault="00231EAE" w:rsidP="00DB0C15">
      <w:pPr>
        <w:spacing w:after="0" w:line="240" w:lineRule="auto"/>
      </w:pPr>
      <w:r>
        <w:separator/>
      </w:r>
    </w:p>
  </w:endnote>
  <w:endnote w:type="continuationSeparator" w:id="0">
    <w:p w:rsidR="00231EAE" w:rsidRDefault="00231EAE" w:rsidP="00DB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EAE" w:rsidRDefault="00231EAE" w:rsidP="00DB0C15">
      <w:pPr>
        <w:spacing w:after="0" w:line="240" w:lineRule="auto"/>
      </w:pPr>
      <w:r>
        <w:separator/>
      </w:r>
    </w:p>
  </w:footnote>
  <w:footnote w:type="continuationSeparator" w:id="0">
    <w:p w:rsidR="00231EAE" w:rsidRDefault="00231EAE" w:rsidP="00DB0C15">
      <w:pPr>
        <w:spacing w:after="0" w:line="240" w:lineRule="auto"/>
      </w:pPr>
      <w:r>
        <w:continuationSeparator/>
      </w:r>
    </w:p>
  </w:footnote>
  <w:footnote w:id="1">
    <w:p w:rsidR="009C29FD" w:rsidRPr="00127A8A" w:rsidRDefault="009C29FD" w:rsidP="009C29FD">
      <w:pPr>
        <w:spacing w:after="0" w:line="240" w:lineRule="auto"/>
        <w:rPr>
          <w:rFonts w:ascii="Segoe UI" w:eastAsia="Times New Roman" w:hAnsi="Segoe UI" w:cs="Segoe UI"/>
          <w:sz w:val="18"/>
          <w:szCs w:val="18"/>
        </w:rPr>
      </w:pPr>
      <w:r w:rsidRPr="00127A8A">
        <w:rPr>
          <w:rStyle w:val="FootnoteReference"/>
          <w:rFonts w:ascii="Segoe UI" w:hAnsi="Segoe UI" w:cs="Segoe UI"/>
          <w:sz w:val="18"/>
          <w:szCs w:val="18"/>
        </w:rPr>
        <w:footnoteRef/>
      </w:r>
      <w:r w:rsidRPr="00127A8A">
        <w:rPr>
          <w:rFonts w:ascii="Segoe UI" w:hAnsi="Segoe UI" w:cs="Segoe UI"/>
          <w:sz w:val="18"/>
          <w:szCs w:val="18"/>
        </w:rPr>
        <w:t xml:space="preserve"> </w:t>
      </w:r>
      <w:r w:rsidRPr="00127A8A">
        <w:rPr>
          <w:rFonts w:ascii="Segoe UI" w:eastAsia="Times New Roman" w:hAnsi="Segoe UI" w:cs="Segoe UI"/>
          <w:sz w:val="18"/>
          <w:szCs w:val="18"/>
        </w:rPr>
        <w:t>The watch list was seen as the high risk, contains names of potentially around 50 patients who may be deemed to be at high risk and so need 'watching'.</w:t>
      </w:r>
    </w:p>
    <w:p w:rsidR="009C29FD" w:rsidRDefault="009C29FD" w:rsidP="009C29FD">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5525"/>
    <w:multiLevelType w:val="hybridMultilevel"/>
    <w:tmpl w:val="678C0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C702EB"/>
    <w:multiLevelType w:val="hybridMultilevel"/>
    <w:tmpl w:val="320C821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5D32D33"/>
    <w:multiLevelType w:val="hybridMultilevel"/>
    <w:tmpl w:val="6638C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8678C0"/>
    <w:multiLevelType w:val="hybridMultilevel"/>
    <w:tmpl w:val="9C4A6A1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073C3926"/>
    <w:multiLevelType w:val="hybridMultilevel"/>
    <w:tmpl w:val="4418A4E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08C179A8"/>
    <w:multiLevelType w:val="hybridMultilevel"/>
    <w:tmpl w:val="DFEE5A7A"/>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6">
    <w:nsid w:val="0BDA5C2E"/>
    <w:multiLevelType w:val="hybridMultilevel"/>
    <w:tmpl w:val="33767D50"/>
    <w:lvl w:ilvl="0" w:tplc="0809000B">
      <w:start w:val="1"/>
      <w:numFmt w:val="bullet"/>
      <w:lvlText w:val=""/>
      <w:lvlJc w:val="left"/>
      <w:pPr>
        <w:ind w:left="1129" w:hanging="360"/>
      </w:pPr>
      <w:rPr>
        <w:rFonts w:ascii="Wingdings" w:hAnsi="Wingdings" w:hint="default"/>
      </w:rPr>
    </w:lvl>
    <w:lvl w:ilvl="1" w:tplc="08090003" w:tentative="1">
      <w:start w:val="1"/>
      <w:numFmt w:val="bullet"/>
      <w:lvlText w:val="o"/>
      <w:lvlJc w:val="left"/>
      <w:pPr>
        <w:ind w:left="1849" w:hanging="360"/>
      </w:pPr>
      <w:rPr>
        <w:rFonts w:ascii="Courier New" w:hAnsi="Courier New" w:cs="Courier New" w:hint="default"/>
      </w:rPr>
    </w:lvl>
    <w:lvl w:ilvl="2" w:tplc="08090005" w:tentative="1">
      <w:start w:val="1"/>
      <w:numFmt w:val="bullet"/>
      <w:lvlText w:val=""/>
      <w:lvlJc w:val="left"/>
      <w:pPr>
        <w:ind w:left="2569" w:hanging="360"/>
      </w:pPr>
      <w:rPr>
        <w:rFonts w:ascii="Wingdings" w:hAnsi="Wingdings" w:hint="default"/>
      </w:rPr>
    </w:lvl>
    <w:lvl w:ilvl="3" w:tplc="08090001" w:tentative="1">
      <w:start w:val="1"/>
      <w:numFmt w:val="bullet"/>
      <w:lvlText w:val=""/>
      <w:lvlJc w:val="left"/>
      <w:pPr>
        <w:ind w:left="3289" w:hanging="360"/>
      </w:pPr>
      <w:rPr>
        <w:rFonts w:ascii="Symbol" w:hAnsi="Symbol" w:hint="default"/>
      </w:rPr>
    </w:lvl>
    <w:lvl w:ilvl="4" w:tplc="08090003" w:tentative="1">
      <w:start w:val="1"/>
      <w:numFmt w:val="bullet"/>
      <w:lvlText w:val="o"/>
      <w:lvlJc w:val="left"/>
      <w:pPr>
        <w:ind w:left="4009" w:hanging="360"/>
      </w:pPr>
      <w:rPr>
        <w:rFonts w:ascii="Courier New" w:hAnsi="Courier New" w:cs="Courier New" w:hint="default"/>
      </w:rPr>
    </w:lvl>
    <w:lvl w:ilvl="5" w:tplc="08090005" w:tentative="1">
      <w:start w:val="1"/>
      <w:numFmt w:val="bullet"/>
      <w:lvlText w:val=""/>
      <w:lvlJc w:val="left"/>
      <w:pPr>
        <w:ind w:left="4729" w:hanging="360"/>
      </w:pPr>
      <w:rPr>
        <w:rFonts w:ascii="Wingdings" w:hAnsi="Wingdings" w:hint="default"/>
      </w:rPr>
    </w:lvl>
    <w:lvl w:ilvl="6" w:tplc="08090001" w:tentative="1">
      <w:start w:val="1"/>
      <w:numFmt w:val="bullet"/>
      <w:lvlText w:val=""/>
      <w:lvlJc w:val="left"/>
      <w:pPr>
        <w:ind w:left="5449" w:hanging="360"/>
      </w:pPr>
      <w:rPr>
        <w:rFonts w:ascii="Symbol" w:hAnsi="Symbol" w:hint="default"/>
      </w:rPr>
    </w:lvl>
    <w:lvl w:ilvl="7" w:tplc="08090003" w:tentative="1">
      <w:start w:val="1"/>
      <w:numFmt w:val="bullet"/>
      <w:lvlText w:val="o"/>
      <w:lvlJc w:val="left"/>
      <w:pPr>
        <w:ind w:left="6169" w:hanging="360"/>
      </w:pPr>
      <w:rPr>
        <w:rFonts w:ascii="Courier New" w:hAnsi="Courier New" w:cs="Courier New" w:hint="default"/>
      </w:rPr>
    </w:lvl>
    <w:lvl w:ilvl="8" w:tplc="08090005" w:tentative="1">
      <w:start w:val="1"/>
      <w:numFmt w:val="bullet"/>
      <w:lvlText w:val=""/>
      <w:lvlJc w:val="left"/>
      <w:pPr>
        <w:ind w:left="6889" w:hanging="360"/>
      </w:pPr>
      <w:rPr>
        <w:rFonts w:ascii="Wingdings" w:hAnsi="Wingdings" w:hint="default"/>
      </w:rPr>
    </w:lvl>
  </w:abstractNum>
  <w:abstractNum w:abstractNumId="7">
    <w:nsid w:val="112A1B91"/>
    <w:multiLevelType w:val="hybridMultilevel"/>
    <w:tmpl w:val="69D8E3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1482529"/>
    <w:multiLevelType w:val="hybridMultilevel"/>
    <w:tmpl w:val="AF04C0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127B1DEE"/>
    <w:multiLevelType w:val="hybridMultilevel"/>
    <w:tmpl w:val="13C237BE"/>
    <w:lvl w:ilvl="0" w:tplc="5722143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94441FE"/>
    <w:multiLevelType w:val="hybridMultilevel"/>
    <w:tmpl w:val="C3A05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D23580D"/>
    <w:multiLevelType w:val="hybridMultilevel"/>
    <w:tmpl w:val="AF446CD4"/>
    <w:lvl w:ilvl="0" w:tplc="5722143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05F73F1"/>
    <w:multiLevelType w:val="hybridMultilevel"/>
    <w:tmpl w:val="48B481CE"/>
    <w:lvl w:ilvl="0" w:tplc="08090001">
      <w:start w:val="1"/>
      <w:numFmt w:val="bullet"/>
      <w:lvlText w:val=""/>
      <w:lvlJc w:val="left"/>
      <w:pPr>
        <w:ind w:left="1129" w:hanging="360"/>
      </w:pPr>
      <w:rPr>
        <w:rFonts w:ascii="Symbol" w:hAnsi="Symbol" w:hint="default"/>
      </w:rPr>
    </w:lvl>
    <w:lvl w:ilvl="1" w:tplc="08090003" w:tentative="1">
      <w:start w:val="1"/>
      <w:numFmt w:val="bullet"/>
      <w:lvlText w:val="o"/>
      <w:lvlJc w:val="left"/>
      <w:pPr>
        <w:ind w:left="1849" w:hanging="360"/>
      </w:pPr>
      <w:rPr>
        <w:rFonts w:ascii="Courier New" w:hAnsi="Courier New" w:cs="Courier New" w:hint="default"/>
      </w:rPr>
    </w:lvl>
    <w:lvl w:ilvl="2" w:tplc="08090005" w:tentative="1">
      <w:start w:val="1"/>
      <w:numFmt w:val="bullet"/>
      <w:lvlText w:val=""/>
      <w:lvlJc w:val="left"/>
      <w:pPr>
        <w:ind w:left="2569" w:hanging="360"/>
      </w:pPr>
      <w:rPr>
        <w:rFonts w:ascii="Wingdings" w:hAnsi="Wingdings" w:hint="default"/>
      </w:rPr>
    </w:lvl>
    <w:lvl w:ilvl="3" w:tplc="08090001" w:tentative="1">
      <w:start w:val="1"/>
      <w:numFmt w:val="bullet"/>
      <w:lvlText w:val=""/>
      <w:lvlJc w:val="left"/>
      <w:pPr>
        <w:ind w:left="3289" w:hanging="360"/>
      </w:pPr>
      <w:rPr>
        <w:rFonts w:ascii="Symbol" w:hAnsi="Symbol" w:hint="default"/>
      </w:rPr>
    </w:lvl>
    <w:lvl w:ilvl="4" w:tplc="08090003" w:tentative="1">
      <w:start w:val="1"/>
      <w:numFmt w:val="bullet"/>
      <w:lvlText w:val="o"/>
      <w:lvlJc w:val="left"/>
      <w:pPr>
        <w:ind w:left="4009" w:hanging="360"/>
      </w:pPr>
      <w:rPr>
        <w:rFonts w:ascii="Courier New" w:hAnsi="Courier New" w:cs="Courier New" w:hint="default"/>
      </w:rPr>
    </w:lvl>
    <w:lvl w:ilvl="5" w:tplc="08090005" w:tentative="1">
      <w:start w:val="1"/>
      <w:numFmt w:val="bullet"/>
      <w:lvlText w:val=""/>
      <w:lvlJc w:val="left"/>
      <w:pPr>
        <w:ind w:left="4729" w:hanging="360"/>
      </w:pPr>
      <w:rPr>
        <w:rFonts w:ascii="Wingdings" w:hAnsi="Wingdings" w:hint="default"/>
      </w:rPr>
    </w:lvl>
    <w:lvl w:ilvl="6" w:tplc="08090001" w:tentative="1">
      <w:start w:val="1"/>
      <w:numFmt w:val="bullet"/>
      <w:lvlText w:val=""/>
      <w:lvlJc w:val="left"/>
      <w:pPr>
        <w:ind w:left="5449" w:hanging="360"/>
      </w:pPr>
      <w:rPr>
        <w:rFonts w:ascii="Symbol" w:hAnsi="Symbol" w:hint="default"/>
      </w:rPr>
    </w:lvl>
    <w:lvl w:ilvl="7" w:tplc="08090003" w:tentative="1">
      <w:start w:val="1"/>
      <w:numFmt w:val="bullet"/>
      <w:lvlText w:val="o"/>
      <w:lvlJc w:val="left"/>
      <w:pPr>
        <w:ind w:left="6169" w:hanging="360"/>
      </w:pPr>
      <w:rPr>
        <w:rFonts w:ascii="Courier New" w:hAnsi="Courier New" w:cs="Courier New" w:hint="default"/>
      </w:rPr>
    </w:lvl>
    <w:lvl w:ilvl="8" w:tplc="08090005" w:tentative="1">
      <w:start w:val="1"/>
      <w:numFmt w:val="bullet"/>
      <w:lvlText w:val=""/>
      <w:lvlJc w:val="left"/>
      <w:pPr>
        <w:ind w:left="6889" w:hanging="360"/>
      </w:pPr>
      <w:rPr>
        <w:rFonts w:ascii="Wingdings" w:hAnsi="Wingdings" w:hint="default"/>
      </w:rPr>
    </w:lvl>
  </w:abstractNum>
  <w:abstractNum w:abstractNumId="13">
    <w:nsid w:val="33BF6C42"/>
    <w:multiLevelType w:val="hybridMultilevel"/>
    <w:tmpl w:val="D26276A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37BA0B47"/>
    <w:multiLevelType w:val="multilevel"/>
    <w:tmpl w:val="9766AC5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93D141E"/>
    <w:multiLevelType w:val="hybridMultilevel"/>
    <w:tmpl w:val="0932FE92"/>
    <w:lvl w:ilvl="0" w:tplc="08090001">
      <w:start w:val="1"/>
      <w:numFmt w:val="bullet"/>
      <w:lvlText w:val=""/>
      <w:lvlJc w:val="left"/>
      <w:pPr>
        <w:ind w:left="697" w:hanging="360"/>
      </w:pPr>
      <w:rPr>
        <w:rFonts w:ascii="Symbol" w:hAnsi="Symbol" w:hint="default"/>
      </w:rPr>
    </w:lvl>
    <w:lvl w:ilvl="1" w:tplc="08090003">
      <w:start w:val="1"/>
      <w:numFmt w:val="bullet"/>
      <w:lvlText w:val="o"/>
      <w:lvlJc w:val="left"/>
      <w:pPr>
        <w:ind w:left="1417" w:hanging="360"/>
      </w:pPr>
      <w:rPr>
        <w:rFonts w:ascii="Courier New" w:hAnsi="Courier New" w:cs="Courier New" w:hint="default"/>
      </w:rPr>
    </w:lvl>
    <w:lvl w:ilvl="2" w:tplc="08090005">
      <w:start w:val="1"/>
      <w:numFmt w:val="bullet"/>
      <w:lvlText w:val=""/>
      <w:lvlJc w:val="left"/>
      <w:pPr>
        <w:ind w:left="2137" w:hanging="360"/>
      </w:pPr>
      <w:rPr>
        <w:rFonts w:ascii="Wingdings" w:hAnsi="Wingdings" w:hint="default"/>
      </w:rPr>
    </w:lvl>
    <w:lvl w:ilvl="3" w:tplc="08090001">
      <w:start w:val="1"/>
      <w:numFmt w:val="bullet"/>
      <w:lvlText w:val=""/>
      <w:lvlJc w:val="left"/>
      <w:pPr>
        <w:ind w:left="2857" w:hanging="360"/>
      </w:pPr>
      <w:rPr>
        <w:rFonts w:ascii="Symbol" w:hAnsi="Symbol" w:hint="default"/>
      </w:rPr>
    </w:lvl>
    <w:lvl w:ilvl="4" w:tplc="08090003">
      <w:start w:val="1"/>
      <w:numFmt w:val="bullet"/>
      <w:lvlText w:val="o"/>
      <w:lvlJc w:val="left"/>
      <w:pPr>
        <w:ind w:left="3577" w:hanging="360"/>
      </w:pPr>
      <w:rPr>
        <w:rFonts w:ascii="Courier New" w:hAnsi="Courier New" w:cs="Courier New" w:hint="default"/>
      </w:rPr>
    </w:lvl>
    <w:lvl w:ilvl="5" w:tplc="08090005">
      <w:start w:val="1"/>
      <w:numFmt w:val="bullet"/>
      <w:lvlText w:val=""/>
      <w:lvlJc w:val="left"/>
      <w:pPr>
        <w:ind w:left="4297" w:hanging="360"/>
      </w:pPr>
      <w:rPr>
        <w:rFonts w:ascii="Wingdings" w:hAnsi="Wingdings" w:hint="default"/>
      </w:rPr>
    </w:lvl>
    <w:lvl w:ilvl="6" w:tplc="08090001">
      <w:start w:val="1"/>
      <w:numFmt w:val="bullet"/>
      <w:lvlText w:val=""/>
      <w:lvlJc w:val="left"/>
      <w:pPr>
        <w:ind w:left="5017" w:hanging="360"/>
      </w:pPr>
      <w:rPr>
        <w:rFonts w:ascii="Symbol" w:hAnsi="Symbol" w:hint="default"/>
      </w:rPr>
    </w:lvl>
    <w:lvl w:ilvl="7" w:tplc="08090003">
      <w:start w:val="1"/>
      <w:numFmt w:val="bullet"/>
      <w:lvlText w:val="o"/>
      <w:lvlJc w:val="left"/>
      <w:pPr>
        <w:ind w:left="5737" w:hanging="360"/>
      </w:pPr>
      <w:rPr>
        <w:rFonts w:ascii="Courier New" w:hAnsi="Courier New" w:cs="Courier New" w:hint="default"/>
      </w:rPr>
    </w:lvl>
    <w:lvl w:ilvl="8" w:tplc="08090005">
      <w:start w:val="1"/>
      <w:numFmt w:val="bullet"/>
      <w:lvlText w:val=""/>
      <w:lvlJc w:val="left"/>
      <w:pPr>
        <w:ind w:left="6457" w:hanging="360"/>
      </w:pPr>
      <w:rPr>
        <w:rFonts w:ascii="Wingdings" w:hAnsi="Wingdings" w:hint="default"/>
      </w:rPr>
    </w:lvl>
  </w:abstractNum>
  <w:abstractNum w:abstractNumId="16">
    <w:nsid w:val="397454BC"/>
    <w:multiLevelType w:val="hybridMultilevel"/>
    <w:tmpl w:val="03EAA5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400E2A79"/>
    <w:multiLevelType w:val="hybridMultilevel"/>
    <w:tmpl w:val="1EA89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0CD3505"/>
    <w:multiLevelType w:val="hybridMultilevel"/>
    <w:tmpl w:val="A2AE6B40"/>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45603F03"/>
    <w:multiLevelType w:val="hybridMultilevel"/>
    <w:tmpl w:val="2D5C85E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0">
    <w:nsid w:val="46AD1A11"/>
    <w:multiLevelType w:val="hybridMultilevel"/>
    <w:tmpl w:val="64245900"/>
    <w:lvl w:ilvl="0" w:tplc="ED2EA390">
      <w:start w:val="2"/>
      <w:numFmt w:val="bullet"/>
      <w:lvlText w:val="-"/>
      <w:lvlJc w:val="left"/>
      <w:pPr>
        <w:ind w:left="765" w:hanging="360"/>
      </w:pPr>
      <w:rPr>
        <w:rFonts w:ascii="Calibri" w:eastAsia="Calibri" w:hAnsi="Calibri" w:cs="Calibri"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1">
    <w:nsid w:val="47C75FAC"/>
    <w:multiLevelType w:val="multilevel"/>
    <w:tmpl w:val="00225516"/>
    <w:lvl w:ilvl="0">
      <w:start w:val="1"/>
      <w:numFmt w:val="decimal"/>
      <w:lvlText w:val="%1."/>
      <w:lvlJc w:val="left"/>
      <w:pPr>
        <w:tabs>
          <w:tab w:val="num" w:pos="720"/>
        </w:tabs>
        <w:ind w:left="720" w:hanging="360"/>
      </w:p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8343D9F"/>
    <w:multiLevelType w:val="hybridMultilevel"/>
    <w:tmpl w:val="9D74D2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FBC2AD6"/>
    <w:multiLevelType w:val="hybridMultilevel"/>
    <w:tmpl w:val="08DE9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2B82DBE"/>
    <w:multiLevelType w:val="hybridMultilevel"/>
    <w:tmpl w:val="49025C12"/>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57620F23"/>
    <w:multiLevelType w:val="hybridMultilevel"/>
    <w:tmpl w:val="B0D8CE3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5BDB214E"/>
    <w:multiLevelType w:val="hybridMultilevel"/>
    <w:tmpl w:val="E9ECB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F503CDD"/>
    <w:multiLevelType w:val="hybridMultilevel"/>
    <w:tmpl w:val="57F4B0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601678A8"/>
    <w:multiLevelType w:val="multilevel"/>
    <w:tmpl w:val="2BB8A75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23A1238"/>
    <w:multiLevelType w:val="hybridMultilevel"/>
    <w:tmpl w:val="2A821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39232B8"/>
    <w:multiLevelType w:val="hybridMultilevel"/>
    <w:tmpl w:val="12F812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63DD5607"/>
    <w:multiLevelType w:val="hybridMultilevel"/>
    <w:tmpl w:val="1C625752"/>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nsid w:val="672C5C0A"/>
    <w:multiLevelType w:val="hybridMultilevel"/>
    <w:tmpl w:val="85B29740"/>
    <w:lvl w:ilvl="0" w:tplc="5722143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CD03658"/>
    <w:multiLevelType w:val="hybridMultilevel"/>
    <w:tmpl w:val="0DE42FD4"/>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nsid w:val="6D453124"/>
    <w:multiLevelType w:val="hybridMultilevel"/>
    <w:tmpl w:val="2662D648"/>
    <w:lvl w:ilvl="0" w:tplc="3C68BFC0">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D7A37DE"/>
    <w:multiLevelType w:val="hybridMultilevel"/>
    <w:tmpl w:val="69D8E3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E627BCB"/>
    <w:multiLevelType w:val="multilevel"/>
    <w:tmpl w:val="7250ED6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nsid w:val="6FB534F7"/>
    <w:multiLevelType w:val="hybridMultilevel"/>
    <w:tmpl w:val="857A1C78"/>
    <w:lvl w:ilvl="0" w:tplc="08090009">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8">
    <w:nsid w:val="71970273"/>
    <w:multiLevelType w:val="hybridMultilevel"/>
    <w:tmpl w:val="42EE1B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40958DE"/>
    <w:multiLevelType w:val="hybridMultilevel"/>
    <w:tmpl w:val="197E5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A7C2A82"/>
    <w:multiLevelType w:val="hybridMultilevel"/>
    <w:tmpl w:val="F4529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C812541"/>
    <w:multiLevelType w:val="hybridMultilevel"/>
    <w:tmpl w:val="1C3A4190"/>
    <w:lvl w:ilvl="0" w:tplc="0146368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nsid w:val="7D142C6F"/>
    <w:multiLevelType w:val="hybridMultilevel"/>
    <w:tmpl w:val="C4E07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14"/>
  </w:num>
  <w:num w:numId="3">
    <w:abstractNumId w:val="28"/>
  </w:num>
  <w:num w:numId="4">
    <w:abstractNumId w:val="29"/>
  </w:num>
  <w:num w:numId="5">
    <w:abstractNumId w:val="26"/>
  </w:num>
  <w:num w:numId="6">
    <w:abstractNumId w:val="12"/>
  </w:num>
  <w:num w:numId="7">
    <w:abstractNumId w:val="23"/>
  </w:num>
  <w:num w:numId="8">
    <w:abstractNumId w:val="2"/>
  </w:num>
  <w:num w:numId="9">
    <w:abstractNumId w:val="17"/>
  </w:num>
  <w:num w:numId="10">
    <w:abstractNumId w:val="41"/>
  </w:num>
  <w:num w:numId="11">
    <w:abstractNumId w:val="19"/>
  </w:num>
  <w:num w:numId="12">
    <w:abstractNumId w:val="42"/>
  </w:num>
  <w:num w:numId="13">
    <w:abstractNumId w:val="9"/>
  </w:num>
  <w:num w:numId="14">
    <w:abstractNumId w:val="25"/>
  </w:num>
  <w:num w:numId="15">
    <w:abstractNumId w:val="11"/>
  </w:num>
  <w:num w:numId="16">
    <w:abstractNumId w:val="6"/>
  </w:num>
  <w:num w:numId="17">
    <w:abstractNumId w:val="4"/>
  </w:num>
  <w:num w:numId="18">
    <w:abstractNumId w:val="32"/>
  </w:num>
  <w:num w:numId="19">
    <w:abstractNumId w:val="3"/>
  </w:num>
  <w:num w:numId="20">
    <w:abstractNumId w:val="13"/>
  </w:num>
  <w:num w:numId="21">
    <w:abstractNumId w:val="1"/>
  </w:num>
  <w:num w:numId="22">
    <w:abstractNumId w:val="7"/>
  </w:num>
  <w:num w:numId="23">
    <w:abstractNumId w:val="35"/>
  </w:num>
  <w:num w:numId="24">
    <w:abstractNumId w:val="22"/>
  </w:num>
  <w:num w:numId="25">
    <w:abstractNumId w:val="8"/>
  </w:num>
  <w:num w:numId="26">
    <w:abstractNumId w:val="27"/>
  </w:num>
  <w:num w:numId="27">
    <w:abstractNumId w:val="16"/>
  </w:num>
  <w:num w:numId="28">
    <w:abstractNumId w:val="30"/>
  </w:num>
  <w:num w:numId="29">
    <w:abstractNumId w:val="21"/>
  </w:num>
  <w:num w:numId="30">
    <w:abstractNumId w:val="34"/>
  </w:num>
  <w:num w:numId="31">
    <w:abstractNumId w:val="38"/>
  </w:num>
  <w:num w:numId="32">
    <w:abstractNumId w:val="0"/>
  </w:num>
  <w:num w:numId="33">
    <w:abstractNumId w:val="20"/>
  </w:num>
  <w:num w:numId="3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33"/>
  </w:num>
  <w:num w:numId="37">
    <w:abstractNumId w:val="31"/>
  </w:num>
  <w:num w:numId="38">
    <w:abstractNumId w:val="24"/>
  </w:num>
  <w:num w:numId="39">
    <w:abstractNumId w:val="18"/>
  </w:num>
  <w:num w:numId="40">
    <w:abstractNumId w:val="18"/>
  </w:num>
  <w:num w:numId="41">
    <w:abstractNumId w:val="10"/>
  </w:num>
  <w:num w:numId="42">
    <w:abstractNumId w:val="39"/>
  </w:num>
  <w:num w:numId="43">
    <w:abstractNumId w:val="5"/>
  </w:num>
  <w:num w:numId="44">
    <w:abstractNumId w:val="4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93D"/>
    <w:rsid w:val="00001D64"/>
    <w:rsid w:val="0000542C"/>
    <w:rsid w:val="0002227D"/>
    <w:rsid w:val="000247BD"/>
    <w:rsid w:val="0003521E"/>
    <w:rsid w:val="0004402F"/>
    <w:rsid w:val="000540A2"/>
    <w:rsid w:val="00076FF4"/>
    <w:rsid w:val="0008018C"/>
    <w:rsid w:val="000804A8"/>
    <w:rsid w:val="0008183E"/>
    <w:rsid w:val="00092E36"/>
    <w:rsid w:val="00096F15"/>
    <w:rsid w:val="000A0103"/>
    <w:rsid w:val="000A6ABA"/>
    <w:rsid w:val="000A7F08"/>
    <w:rsid w:val="000B65C7"/>
    <w:rsid w:val="000C4365"/>
    <w:rsid w:val="000D0DC6"/>
    <w:rsid w:val="000D178D"/>
    <w:rsid w:val="000D6AD8"/>
    <w:rsid w:val="000E20F0"/>
    <w:rsid w:val="00112D9B"/>
    <w:rsid w:val="00127A8A"/>
    <w:rsid w:val="00136663"/>
    <w:rsid w:val="00136859"/>
    <w:rsid w:val="00150E3D"/>
    <w:rsid w:val="00154FA3"/>
    <w:rsid w:val="00155AAB"/>
    <w:rsid w:val="00161C28"/>
    <w:rsid w:val="0017312C"/>
    <w:rsid w:val="00174720"/>
    <w:rsid w:val="0018243C"/>
    <w:rsid w:val="00186266"/>
    <w:rsid w:val="001932D9"/>
    <w:rsid w:val="00194F45"/>
    <w:rsid w:val="001960F9"/>
    <w:rsid w:val="001A229F"/>
    <w:rsid w:val="001A3275"/>
    <w:rsid w:val="001A37F3"/>
    <w:rsid w:val="001A5AE1"/>
    <w:rsid w:val="001C0F17"/>
    <w:rsid w:val="001C1B9C"/>
    <w:rsid w:val="001D137D"/>
    <w:rsid w:val="001E7AED"/>
    <w:rsid w:val="001F58D7"/>
    <w:rsid w:val="002050A9"/>
    <w:rsid w:val="002216F2"/>
    <w:rsid w:val="00226FBF"/>
    <w:rsid w:val="00227E07"/>
    <w:rsid w:val="00231EAE"/>
    <w:rsid w:val="00240CEB"/>
    <w:rsid w:val="00256B2B"/>
    <w:rsid w:val="00262CB5"/>
    <w:rsid w:val="00272416"/>
    <w:rsid w:val="00286E88"/>
    <w:rsid w:val="002A2E9B"/>
    <w:rsid w:val="002C488A"/>
    <w:rsid w:val="002F4F95"/>
    <w:rsid w:val="00302C68"/>
    <w:rsid w:val="003051C5"/>
    <w:rsid w:val="00311E23"/>
    <w:rsid w:val="00315BCB"/>
    <w:rsid w:val="003265E1"/>
    <w:rsid w:val="0036677D"/>
    <w:rsid w:val="0037563D"/>
    <w:rsid w:val="003A7BBB"/>
    <w:rsid w:val="003B7CE6"/>
    <w:rsid w:val="003C0D89"/>
    <w:rsid w:val="003C714C"/>
    <w:rsid w:val="003C7315"/>
    <w:rsid w:val="003F2FCD"/>
    <w:rsid w:val="003F5B0D"/>
    <w:rsid w:val="004044C0"/>
    <w:rsid w:val="004143D9"/>
    <w:rsid w:val="004162E1"/>
    <w:rsid w:val="0042695A"/>
    <w:rsid w:val="00445A86"/>
    <w:rsid w:val="00455DBB"/>
    <w:rsid w:val="004704A8"/>
    <w:rsid w:val="00487614"/>
    <w:rsid w:val="00492881"/>
    <w:rsid w:val="004C03E4"/>
    <w:rsid w:val="004F0E9D"/>
    <w:rsid w:val="004F7AD8"/>
    <w:rsid w:val="00511F0E"/>
    <w:rsid w:val="00516C30"/>
    <w:rsid w:val="00516FD3"/>
    <w:rsid w:val="00523F8F"/>
    <w:rsid w:val="005255B8"/>
    <w:rsid w:val="00540EFF"/>
    <w:rsid w:val="005435A1"/>
    <w:rsid w:val="00547644"/>
    <w:rsid w:val="00557DF5"/>
    <w:rsid w:val="00566E1B"/>
    <w:rsid w:val="00574338"/>
    <w:rsid w:val="00583DC1"/>
    <w:rsid w:val="00586902"/>
    <w:rsid w:val="00591E34"/>
    <w:rsid w:val="00595342"/>
    <w:rsid w:val="005976CC"/>
    <w:rsid w:val="005A52D8"/>
    <w:rsid w:val="005A7856"/>
    <w:rsid w:val="005C3875"/>
    <w:rsid w:val="005C46E7"/>
    <w:rsid w:val="005C55A3"/>
    <w:rsid w:val="005F4094"/>
    <w:rsid w:val="00600533"/>
    <w:rsid w:val="0060312B"/>
    <w:rsid w:val="00620487"/>
    <w:rsid w:val="00622E72"/>
    <w:rsid w:val="00625FC8"/>
    <w:rsid w:val="00655486"/>
    <w:rsid w:val="00662A38"/>
    <w:rsid w:val="006713E3"/>
    <w:rsid w:val="00673543"/>
    <w:rsid w:val="00683F40"/>
    <w:rsid w:val="00686F6F"/>
    <w:rsid w:val="006D35F8"/>
    <w:rsid w:val="006D4A37"/>
    <w:rsid w:val="006D60D4"/>
    <w:rsid w:val="006D693D"/>
    <w:rsid w:val="006F1216"/>
    <w:rsid w:val="006F2565"/>
    <w:rsid w:val="006F545D"/>
    <w:rsid w:val="0071391B"/>
    <w:rsid w:val="00724DDF"/>
    <w:rsid w:val="007263AF"/>
    <w:rsid w:val="00731D27"/>
    <w:rsid w:val="00752C9C"/>
    <w:rsid w:val="0076090A"/>
    <w:rsid w:val="00762C12"/>
    <w:rsid w:val="00766124"/>
    <w:rsid w:val="007739E0"/>
    <w:rsid w:val="00782D6F"/>
    <w:rsid w:val="007A0FFE"/>
    <w:rsid w:val="007D05AE"/>
    <w:rsid w:val="007D4374"/>
    <w:rsid w:val="00801CD7"/>
    <w:rsid w:val="0081008A"/>
    <w:rsid w:val="00840A93"/>
    <w:rsid w:val="00875D09"/>
    <w:rsid w:val="0088771D"/>
    <w:rsid w:val="008A0A2F"/>
    <w:rsid w:val="008C64DF"/>
    <w:rsid w:val="008D2C45"/>
    <w:rsid w:val="008E09C6"/>
    <w:rsid w:val="008E5DD3"/>
    <w:rsid w:val="008F4188"/>
    <w:rsid w:val="009048FD"/>
    <w:rsid w:val="0091294D"/>
    <w:rsid w:val="00925CF4"/>
    <w:rsid w:val="0093259E"/>
    <w:rsid w:val="009511C2"/>
    <w:rsid w:val="009511E8"/>
    <w:rsid w:val="0096214F"/>
    <w:rsid w:val="00962C56"/>
    <w:rsid w:val="0096348E"/>
    <w:rsid w:val="00973A4E"/>
    <w:rsid w:val="00974EC7"/>
    <w:rsid w:val="009810E8"/>
    <w:rsid w:val="00981E7F"/>
    <w:rsid w:val="00996A49"/>
    <w:rsid w:val="009A26D6"/>
    <w:rsid w:val="009A3EEC"/>
    <w:rsid w:val="009C29FD"/>
    <w:rsid w:val="009C481D"/>
    <w:rsid w:val="009E082B"/>
    <w:rsid w:val="009E46AA"/>
    <w:rsid w:val="009F3203"/>
    <w:rsid w:val="00A042CC"/>
    <w:rsid w:val="00A1564B"/>
    <w:rsid w:val="00A348FC"/>
    <w:rsid w:val="00A34DBC"/>
    <w:rsid w:val="00A35D9A"/>
    <w:rsid w:val="00A57DC9"/>
    <w:rsid w:val="00A63F86"/>
    <w:rsid w:val="00A8530C"/>
    <w:rsid w:val="00AA79EB"/>
    <w:rsid w:val="00AB216C"/>
    <w:rsid w:val="00AB2E85"/>
    <w:rsid w:val="00AD2C86"/>
    <w:rsid w:val="00B17AD9"/>
    <w:rsid w:val="00B222A7"/>
    <w:rsid w:val="00B23A7C"/>
    <w:rsid w:val="00B40BEA"/>
    <w:rsid w:val="00B42399"/>
    <w:rsid w:val="00B56FDF"/>
    <w:rsid w:val="00B614FC"/>
    <w:rsid w:val="00B665F4"/>
    <w:rsid w:val="00B732D3"/>
    <w:rsid w:val="00B902AB"/>
    <w:rsid w:val="00B92AD5"/>
    <w:rsid w:val="00B966D6"/>
    <w:rsid w:val="00BA574B"/>
    <w:rsid w:val="00BC6D13"/>
    <w:rsid w:val="00BF27D8"/>
    <w:rsid w:val="00BF4D5E"/>
    <w:rsid w:val="00C0358D"/>
    <w:rsid w:val="00C0387A"/>
    <w:rsid w:val="00C271CE"/>
    <w:rsid w:val="00C3753E"/>
    <w:rsid w:val="00C3783E"/>
    <w:rsid w:val="00C41802"/>
    <w:rsid w:val="00C439D8"/>
    <w:rsid w:val="00C60545"/>
    <w:rsid w:val="00C65923"/>
    <w:rsid w:val="00CA70EF"/>
    <w:rsid w:val="00CD137B"/>
    <w:rsid w:val="00CD67C1"/>
    <w:rsid w:val="00CE71CD"/>
    <w:rsid w:val="00D00018"/>
    <w:rsid w:val="00D03896"/>
    <w:rsid w:val="00D11E5C"/>
    <w:rsid w:val="00D22EE7"/>
    <w:rsid w:val="00D31EB1"/>
    <w:rsid w:val="00D5604C"/>
    <w:rsid w:val="00D56A7B"/>
    <w:rsid w:val="00D85761"/>
    <w:rsid w:val="00D92FE5"/>
    <w:rsid w:val="00D96BEC"/>
    <w:rsid w:val="00DA0600"/>
    <w:rsid w:val="00DA0728"/>
    <w:rsid w:val="00DA0D56"/>
    <w:rsid w:val="00DB0C15"/>
    <w:rsid w:val="00DB6646"/>
    <w:rsid w:val="00DB6678"/>
    <w:rsid w:val="00DB6AEB"/>
    <w:rsid w:val="00DC3995"/>
    <w:rsid w:val="00DC60C5"/>
    <w:rsid w:val="00DD134E"/>
    <w:rsid w:val="00DD4717"/>
    <w:rsid w:val="00DF30EF"/>
    <w:rsid w:val="00E06365"/>
    <w:rsid w:val="00E1290C"/>
    <w:rsid w:val="00E17460"/>
    <w:rsid w:val="00E53597"/>
    <w:rsid w:val="00E567F3"/>
    <w:rsid w:val="00E6711D"/>
    <w:rsid w:val="00E7696C"/>
    <w:rsid w:val="00E77EDC"/>
    <w:rsid w:val="00E82248"/>
    <w:rsid w:val="00E92DF2"/>
    <w:rsid w:val="00EA1B2C"/>
    <w:rsid w:val="00EB252F"/>
    <w:rsid w:val="00EC4E27"/>
    <w:rsid w:val="00ED5594"/>
    <w:rsid w:val="00EE1EB2"/>
    <w:rsid w:val="00F0057D"/>
    <w:rsid w:val="00F00B11"/>
    <w:rsid w:val="00F038D8"/>
    <w:rsid w:val="00F10B0D"/>
    <w:rsid w:val="00F15034"/>
    <w:rsid w:val="00F16499"/>
    <w:rsid w:val="00F16AEF"/>
    <w:rsid w:val="00F26574"/>
    <w:rsid w:val="00F41580"/>
    <w:rsid w:val="00F46009"/>
    <w:rsid w:val="00F47876"/>
    <w:rsid w:val="00F528A8"/>
    <w:rsid w:val="00F908B5"/>
    <w:rsid w:val="00F915E6"/>
    <w:rsid w:val="00F96B40"/>
    <w:rsid w:val="00F974AC"/>
    <w:rsid w:val="00F97BEF"/>
    <w:rsid w:val="00FA18C6"/>
    <w:rsid w:val="00FC239E"/>
    <w:rsid w:val="00FC6600"/>
    <w:rsid w:val="00FD5F3A"/>
    <w:rsid w:val="00FE19D7"/>
    <w:rsid w:val="00FE2BBF"/>
    <w:rsid w:val="00FE2F27"/>
    <w:rsid w:val="00FE39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E2BBF"/>
    <w:pPr>
      <w:keepNext/>
      <w:overflowPunct w:val="0"/>
      <w:autoSpaceDE w:val="0"/>
      <w:autoSpaceDN w:val="0"/>
      <w:adjustRightInd w:val="0"/>
      <w:spacing w:after="0" w:line="240" w:lineRule="auto"/>
      <w:textAlignment w:val="baseline"/>
      <w:outlineLvl w:val="0"/>
    </w:pPr>
    <w:rPr>
      <w:rFonts w:ascii="Arial" w:eastAsia="Times New Roman" w:hAnsi="Arial" w:cs="Times New Roman"/>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93D"/>
    <w:pPr>
      <w:ind w:left="720"/>
      <w:contextualSpacing/>
    </w:pPr>
  </w:style>
  <w:style w:type="paragraph" w:styleId="BalloonText">
    <w:name w:val="Balloon Text"/>
    <w:basedOn w:val="Normal"/>
    <w:link w:val="BalloonTextChar"/>
    <w:uiPriority w:val="99"/>
    <w:semiHidden/>
    <w:unhideWhenUsed/>
    <w:rsid w:val="006D69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93D"/>
    <w:rPr>
      <w:rFonts w:ascii="Tahoma" w:hAnsi="Tahoma" w:cs="Tahoma"/>
      <w:sz w:val="16"/>
      <w:szCs w:val="16"/>
    </w:rPr>
  </w:style>
  <w:style w:type="paragraph" w:styleId="Header">
    <w:name w:val="header"/>
    <w:basedOn w:val="Normal"/>
    <w:link w:val="HeaderChar"/>
    <w:uiPriority w:val="99"/>
    <w:unhideWhenUsed/>
    <w:rsid w:val="00DB0C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0C15"/>
  </w:style>
  <w:style w:type="paragraph" w:styleId="Footer">
    <w:name w:val="footer"/>
    <w:basedOn w:val="Normal"/>
    <w:link w:val="FooterChar"/>
    <w:uiPriority w:val="99"/>
    <w:unhideWhenUsed/>
    <w:rsid w:val="00DB0C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0C15"/>
  </w:style>
  <w:style w:type="paragraph" w:styleId="BlockText">
    <w:name w:val="Block Text"/>
    <w:basedOn w:val="Normal"/>
    <w:rsid w:val="00EA1B2C"/>
    <w:pPr>
      <w:spacing w:after="0" w:line="240" w:lineRule="auto"/>
      <w:ind w:left="-360" w:right="-154" w:firstLine="360"/>
    </w:pPr>
    <w:rPr>
      <w:rFonts w:ascii="Arial" w:eastAsia="Times New Roman" w:hAnsi="Arial" w:cs="Arial"/>
      <w:sz w:val="24"/>
      <w:szCs w:val="24"/>
    </w:rPr>
  </w:style>
  <w:style w:type="paragraph" w:styleId="NormalWeb">
    <w:name w:val="Normal (Web)"/>
    <w:basedOn w:val="Normal"/>
    <w:uiPriority w:val="99"/>
    <w:unhideWhenUsed/>
    <w:rsid w:val="007D4374"/>
    <w:pPr>
      <w:spacing w:before="100" w:beforeAutospacing="1" w:after="375" w:line="360" w:lineRule="atLeast"/>
    </w:pPr>
    <w:rPr>
      <w:rFonts w:ascii="Times New Roman" w:eastAsia="Times New Roman" w:hAnsi="Times New Roman" w:cs="Times New Roman"/>
      <w:sz w:val="21"/>
      <w:szCs w:val="21"/>
      <w:lang w:eastAsia="en-GB"/>
    </w:rPr>
  </w:style>
  <w:style w:type="character" w:styleId="PageNumber">
    <w:name w:val="page number"/>
    <w:uiPriority w:val="99"/>
    <w:rsid w:val="00516C30"/>
    <w:rPr>
      <w:rFonts w:cs="Times New Roman"/>
    </w:rPr>
  </w:style>
  <w:style w:type="table" w:styleId="TableGrid">
    <w:name w:val="Table Grid"/>
    <w:basedOn w:val="TableNormal"/>
    <w:uiPriority w:val="59"/>
    <w:rsid w:val="003A7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E2BBF"/>
    <w:rPr>
      <w:rFonts w:ascii="Arial" w:eastAsia="Times New Roman" w:hAnsi="Arial" w:cs="Times New Roman"/>
      <w:b/>
      <w:sz w:val="20"/>
      <w:szCs w:val="20"/>
      <w:u w:val="single"/>
    </w:rPr>
  </w:style>
  <w:style w:type="paragraph" w:styleId="FootnoteText">
    <w:name w:val="footnote text"/>
    <w:basedOn w:val="Normal"/>
    <w:link w:val="FootnoteTextChar"/>
    <w:uiPriority w:val="99"/>
    <w:semiHidden/>
    <w:unhideWhenUsed/>
    <w:rsid w:val="009C29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29FD"/>
    <w:rPr>
      <w:sz w:val="20"/>
      <w:szCs w:val="20"/>
    </w:rPr>
  </w:style>
  <w:style w:type="character" w:styleId="FootnoteReference">
    <w:name w:val="footnote reference"/>
    <w:basedOn w:val="DefaultParagraphFont"/>
    <w:uiPriority w:val="99"/>
    <w:semiHidden/>
    <w:unhideWhenUsed/>
    <w:rsid w:val="009C29FD"/>
    <w:rPr>
      <w:vertAlign w:val="superscript"/>
    </w:rPr>
  </w:style>
  <w:style w:type="paragraph" w:styleId="BodyText">
    <w:name w:val="Body Text"/>
    <w:basedOn w:val="Normal"/>
    <w:link w:val="BodyTextChar"/>
    <w:semiHidden/>
    <w:unhideWhenUsed/>
    <w:rsid w:val="00673543"/>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semiHidden/>
    <w:rsid w:val="00673543"/>
    <w:rPr>
      <w:rFonts w:ascii="Arial" w:eastAsia="Times New Roman" w:hAnsi="Aria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E2BBF"/>
    <w:pPr>
      <w:keepNext/>
      <w:overflowPunct w:val="0"/>
      <w:autoSpaceDE w:val="0"/>
      <w:autoSpaceDN w:val="0"/>
      <w:adjustRightInd w:val="0"/>
      <w:spacing w:after="0" w:line="240" w:lineRule="auto"/>
      <w:textAlignment w:val="baseline"/>
      <w:outlineLvl w:val="0"/>
    </w:pPr>
    <w:rPr>
      <w:rFonts w:ascii="Arial" w:eastAsia="Times New Roman" w:hAnsi="Arial" w:cs="Times New Roman"/>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93D"/>
    <w:pPr>
      <w:ind w:left="720"/>
      <w:contextualSpacing/>
    </w:pPr>
  </w:style>
  <w:style w:type="paragraph" w:styleId="BalloonText">
    <w:name w:val="Balloon Text"/>
    <w:basedOn w:val="Normal"/>
    <w:link w:val="BalloonTextChar"/>
    <w:uiPriority w:val="99"/>
    <w:semiHidden/>
    <w:unhideWhenUsed/>
    <w:rsid w:val="006D69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93D"/>
    <w:rPr>
      <w:rFonts w:ascii="Tahoma" w:hAnsi="Tahoma" w:cs="Tahoma"/>
      <w:sz w:val="16"/>
      <w:szCs w:val="16"/>
    </w:rPr>
  </w:style>
  <w:style w:type="paragraph" w:styleId="Header">
    <w:name w:val="header"/>
    <w:basedOn w:val="Normal"/>
    <w:link w:val="HeaderChar"/>
    <w:uiPriority w:val="99"/>
    <w:unhideWhenUsed/>
    <w:rsid w:val="00DB0C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0C15"/>
  </w:style>
  <w:style w:type="paragraph" w:styleId="Footer">
    <w:name w:val="footer"/>
    <w:basedOn w:val="Normal"/>
    <w:link w:val="FooterChar"/>
    <w:uiPriority w:val="99"/>
    <w:unhideWhenUsed/>
    <w:rsid w:val="00DB0C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0C15"/>
  </w:style>
  <w:style w:type="paragraph" w:styleId="BlockText">
    <w:name w:val="Block Text"/>
    <w:basedOn w:val="Normal"/>
    <w:rsid w:val="00EA1B2C"/>
    <w:pPr>
      <w:spacing w:after="0" w:line="240" w:lineRule="auto"/>
      <w:ind w:left="-360" w:right="-154" w:firstLine="360"/>
    </w:pPr>
    <w:rPr>
      <w:rFonts w:ascii="Arial" w:eastAsia="Times New Roman" w:hAnsi="Arial" w:cs="Arial"/>
      <w:sz w:val="24"/>
      <w:szCs w:val="24"/>
    </w:rPr>
  </w:style>
  <w:style w:type="paragraph" w:styleId="NormalWeb">
    <w:name w:val="Normal (Web)"/>
    <w:basedOn w:val="Normal"/>
    <w:uiPriority w:val="99"/>
    <w:unhideWhenUsed/>
    <w:rsid w:val="007D4374"/>
    <w:pPr>
      <w:spacing w:before="100" w:beforeAutospacing="1" w:after="375" w:line="360" w:lineRule="atLeast"/>
    </w:pPr>
    <w:rPr>
      <w:rFonts w:ascii="Times New Roman" w:eastAsia="Times New Roman" w:hAnsi="Times New Roman" w:cs="Times New Roman"/>
      <w:sz w:val="21"/>
      <w:szCs w:val="21"/>
      <w:lang w:eastAsia="en-GB"/>
    </w:rPr>
  </w:style>
  <w:style w:type="character" w:styleId="PageNumber">
    <w:name w:val="page number"/>
    <w:uiPriority w:val="99"/>
    <w:rsid w:val="00516C30"/>
    <w:rPr>
      <w:rFonts w:cs="Times New Roman"/>
    </w:rPr>
  </w:style>
  <w:style w:type="table" w:styleId="TableGrid">
    <w:name w:val="Table Grid"/>
    <w:basedOn w:val="TableNormal"/>
    <w:uiPriority w:val="59"/>
    <w:rsid w:val="003A7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E2BBF"/>
    <w:rPr>
      <w:rFonts w:ascii="Arial" w:eastAsia="Times New Roman" w:hAnsi="Arial" w:cs="Times New Roman"/>
      <w:b/>
      <w:sz w:val="20"/>
      <w:szCs w:val="20"/>
      <w:u w:val="single"/>
    </w:rPr>
  </w:style>
  <w:style w:type="paragraph" w:styleId="FootnoteText">
    <w:name w:val="footnote text"/>
    <w:basedOn w:val="Normal"/>
    <w:link w:val="FootnoteTextChar"/>
    <w:uiPriority w:val="99"/>
    <w:semiHidden/>
    <w:unhideWhenUsed/>
    <w:rsid w:val="009C29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29FD"/>
    <w:rPr>
      <w:sz w:val="20"/>
      <w:szCs w:val="20"/>
    </w:rPr>
  </w:style>
  <w:style w:type="character" w:styleId="FootnoteReference">
    <w:name w:val="footnote reference"/>
    <w:basedOn w:val="DefaultParagraphFont"/>
    <w:uiPriority w:val="99"/>
    <w:semiHidden/>
    <w:unhideWhenUsed/>
    <w:rsid w:val="009C29FD"/>
    <w:rPr>
      <w:vertAlign w:val="superscript"/>
    </w:rPr>
  </w:style>
  <w:style w:type="paragraph" w:styleId="BodyText">
    <w:name w:val="Body Text"/>
    <w:basedOn w:val="Normal"/>
    <w:link w:val="BodyTextChar"/>
    <w:semiHidden/>
    <w:unhideWhenUsed/>
    <w:rsid w:val="00673543"/>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semiHidden/>
    <w:rsid w:val="00673543"/>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2343">
      <w:bodyDiv w:val="1"/>
      <w:marLeft w:val="0"/>
      <w:marRight w:val="0"/>
      <w:marTop w:val="0"/>
      <w:marBottom w:val="0"/>
      <w:divBdr>
        <w:top w:val="none" w:sz="0" w:space="0" w:color="auto"/>
        <w:left w:val="none" w:sz="0" w:space="0" w:color="auto"/>
        <w:bottom w:val="none" w:sz="0" w:space="0" w:color="auto"/>
        <w:right w:val="none" w:sz="0" w:space="0" w:color="auto"/>
      </w:divBdr>
    </w:div>
    <w:div w:id="93015034">
      <w:bodyDiv w:val="1"/>
      <w:marLeft w:val="0"/>
      <w:marRight w:val="0"/>
      <w:marTop w:val="0"/>
      <w:marBottom w:val="0"/>
      <w:divBdr>
        <w:top w:val="none" w:sz="0" w:space="0" w:color="auto"/>
        <w:left w:val="none" w:sz="0" w:space="0" w:color="auto"/>
        <w:bottom w:val="none" w:sz="0" w:space="0" w:color="auto"/>
        <w:right w:val="none" w:sz="0" w:space="0" w:color="auto"/>
      </w:divBdr>
    </w:div>
    <w:div w:id="132605470">
      <w:bodyDiv w:val="1"/>
      <w:marLeft w:val="0"/>
      <w:marRight w:val="0"/>
      <w:marTop w:val="0"/>
      <w:marBottom w:val="0"/>
      <w:divBdr>
        <w:top w:val="none" w:sz="0" w:space="0" w:color="auto"/>
        <w:left w:val="none" w:sz="0" w:space="0" w:color="auto"/>
        <w:bottom w:val="none" w:sz="0" w:space="0" w:color="auto"/>
        <w:right w:val="none" w:sz="0" w:space="0" w:color="auto"/>
      </w:divBdr>
    </w:div>
    <w:div w:id="207649703">
      <w:bodyDiv w:val="1"/>
      <w:marLeft w:val="0"/>
      <w:marRight w:val="0"/>
      <w:marTop w:val="0"/>
      <w:marBottom w:val="0"/>
      <w:divBdr>
        <w:top w:val="none" w:sz="0" w:space="0" w:color="auto"/>
        <w:left w:val="none" w:sz="0" w:space="0" w:color="auto"/>
        <w:bottom w:val="none" w:sz="0" w:space="0" w:color="auto"/>
        <w:right w:val="none" w:sz="0" w:space="0" w:color="auto"/>
      </w:divBdr>
    </w:div>
    <w:div w:id="211039443">
      <w:bodyDiv w:val="1"/>
      <w:marLeft w:val="0"/>
      <w:marRight w:val="0"/>
      <w:marTop w:val="0"/>
      <w:marBottom w:val="0"/>
      <w:divBdr>
        <w:top w:val="none" w:sz="0" w:space="0" w:color="auto"/>
        <w:left w:val="none" w:sz="0" w:space="0" w:color="auto"/>
        <w:bottom w:val="none" w:sz="0" w:space="0" w:color="auto"/>
        <w:right w:val="none" w:sz="0" w:space="0" w:color="auto"/>
      </w:divBdr>
    </w:div>
    <w:div w:id="221451367">
      <w:bodyDiv w:val="1"/>
      <w:marLeft w:val="0"/>
      <w:marRight w:val="0"/>
      <w:marTop w:val="0"/>
      <w:marBottom w:val="0"/>
      <w:divBdr>
        <w:top w:val="none" w:sz="0" w:space="0" w:color="auto"/>
        <w:left w:val="none" w:sz="0" w:space="0" w:color="auto"/>
        <w:bottom w:val="none" w:sz="0" w:space="0" w:color="auto"/>
        <w:right w:val="none" w:sz="0" w:space="0" w:color="auto"/>
      </w:divBdr>
    </w:div>
    <w:div w:id="290136034">
      <w:bodyDiv w:val="1"/>
      <w:marLeft w:val="0"/>
      <w:marRight w:val="0"/>
      <w:marTop w:val="0"/>
      <w:marBottom w:val="0"/>
      <w:divBdr>
        <w:top w:val="none" w:sz="0" w:space="0" w:color="auto"/>
        <w:left w:val="none" w:sz="0" w:space="0" w:color="auto"/>
        <w:bottom w:val="none" w:sz="0" w:space="0" w:color="auto"/>
        <w:right w:val="none" w:sz="0" w:space="0" w:color="auto"/>
      </w:divBdr>
    </w:div>
    <w:div w:id="409547160">
      <w:bodyDiv w:val="1"/>
      <w:marLeft w:val="0"/>
      <w:marRight w:val="0"/>
      <w:marTop w:val="0"/>
      <w:marBottom w:val="0"/>
      <w:divBdr>
        <w:top w:val="none" w:sz="0" w:space="0" w:color="auto"/>
        <w:left w:val="none" w:sz="0" w:space="0" w:color="auto"/>
        <w:bottom w:val="none" w:sz="0" w:space="0" w:color="auto"/>
        <w:right w:val="none" w:sz="0" w:space="0" w:color="auto"/>
      </w:divBdr>
    </w:div>
    <w:div w:id="492070590">
      <w:bodyDiv w:val="1"/>
      <w:marLeft w:val="0"/>
      <w:marRight w:val="0"/>
      <w:marTop w:val="0"/>
      <w:marBottom w:val="0"/>
      <w:divBdr>
        <w:top w:val="none" w:sz="0" w:space="0" w:color="auto"/>
        <w:left w:val="none" w:sz="0" w:space="0" w:color="auto"/>
        <w:bottom w:val="none" w:sz="0" w:space="0" w:color="auto"/>
        <w:right w:val="none" w:sz="0" w:space="0" w:color="auto"/>
      </w:divBdr>
    </w:div>
    <w:div w:id="535237817">
      <w:bodyDiv w:val="1"/>
      <w:marLeft w:val="0"/>
      <w:marRight w:val="0"/>
      <w:marTop w:val="0"/>
      <w:marBottom w:val="0"/>
      <w:divBdr>
        <w:top w:val="none" w:sz="0" w:space="0" w:color="auto"/>
        <w:left w:val="none" w:sz="0" w:space="0" w:color="auto"/>
        <w:bottom w:val="none" w:sz="0" w:space="0" w:color="auto"/>
        <w:right w:val="none" w:sz="0" w:space="0" w:color="auto"/>
      </w:divBdr>
    </w:div>
    <w:div w:id="585264294">
      <w:bodyDiv w:val="1"/>
      <w:marLeft w:val="0"/>
      <w:marRight w:val="0"/>
      <w:marTop w:val="0"/>
      <w:marBottom w:val="0"/>
      <w:divBdr>
        <w:top w:val="none" w:sz="0" w:space="0" w:color="auto"/>
        <w:left w:val="none" w:sz="0" w:space="0" w:color="auto"/>
        <w:bottom w:val="none" w:sz="0" w:space="0" w:color="auto"/>
        <w:right w:val="none" w:sz="0" w:space="0" w:color="auto"/>
      </w:divBdr>
    </w:div>
    <w:div w:id="589462118">
      <w:bodyDiv w:val="1"/>
      <w:marLeft w:val="0"/>
      <w:marRight w:val="0"/>
      <w:marTop w:val="0"/>
      <w:marBottom w:val="0"/>
      <w:divBdr>
        <w:top w:val="none" w:sz="0" w:space="0" w:color="auto"/>
        <w:left w:val="none" w:sz="0" w:space="0" w:color="auto"/>
        <w:bottom w:val="none" w:sz="0" w:space="0" w:color="auto"/>
        <w:right w:val="none" w:sz="0" w:space="0" w:color="auto"/>
      </w:divBdr>
    </w:div>
    <w:div w:id="596793213">
      <w:bodyDiv w:val="1"/>
      <w:marLeft w:val="0"/>
      <w:marRight w:val="0"/>
      <w:marTop w:val="0"/>
      <w:marBottom w:val="0"/>
      <w:divBdr>
        <w:top w:val="none" w:sz="0" w:space="0" w:color="auto"/>
        <w:left w:val="none" w:sz="0" w:space="0" w:color="auto"/>
        <w:bottom w:val="none" w:sz="0" w:space="0" w:color="auto"/>
        <w:right w:val="none" w:sz="0" w:space="0" w:color="auto"/>
      </w:divBdr>
    </w:div>
    <w:div w:id="625627948">
      <w:bodyDiv w:val="1"/>
      <w:marLeft w:val="0"/>
      <w:marRight w:val="0"/>
      <w:marTop w:val="0"/>
      <w:marBottom w:val="0"/>
      <w:divBdr>
        <w:top w:val="none" w:sz="0" w:space="0" w:color="auto"/>
        <w:left w:val="none" w:sz="0" w:space="0" w:color="auto"/>
        <w:bottom w:val="none" w:sz="0" w:space="0" w:color="auto"/>
        <w:right w:val="none" w:sz="0" w:space="0" w:color="auto"/>
      </w:divBdr>
    </w:div>
    <w:div w:id="634876599">
      <w:bodyDiv w:val="1"/>
      <w:marLeft w:val="0"/>
      <w:marRight w:val="0"/>
      <w:marTop w:val="0"/>
      <w:marBottom w:val="0"/>
      <w:divBdr>
        <w:top w:val="none" w:sz="0" w:space="0" w:color="auto"/>
        <w:left w:val="none" w:sz="0" w:space="0" w:color="auto"/>
        <w:bottom w:val="none" w:sz="0" w:space="0" w:color="auto"/>
        <w:right w:val="none" w:sz="0" w:space="0" w:color="auto"/>
      </w:divBdr>
    </w:div>
    <w:div w:id="648679682">
      <w:bodyDiv w:val="1"/>
      <w:marLeft w:val="0"/>
      <w:marRight w:val="0"/>
      <w:marTop w:val="0"/>
      <w:marBottom w:val="0"/>
      <w:divBdr>
        <w:top w:val="none" w:sz="0" w:space="0" w:color="auto"/>
        <w:left w:val="none" w:sz="0" w:space="0" w:color="auto"/>
        <w:bottom w:val="none" w:sz="0" w:space="0" w:color="auto"/>
        <w:right w:val="none" w:sz="0" w:space="0" w:color="auto"/>
      </w:divBdr>
    </w:div>
    <w:div w:id="857696743">
      <w:bodyDiv w:val="1"/>
      <w:marLeft w:val="0"/>
      <w:marRight w:val="0"/>
      <w:marTop w:val="0"/>
      <w:marBottom w:val="0"/>
      <w:divBdr>
        <w:top w:val="none" w:sz="0" w:space="0" w:color="auto"/>
        <w:left w:val="none" w:sz="0" w:space="0" w:color="auto"/>
        <w:bottom w:val="none" w:sz="0" w:space="0" w:color="auto"/>
        <w:right w:val="none" w:sz="0" w:space="0" w:color="auto"/>
      </w:divBdr>
    </w:div>
    <w:div w:id="930314145">
      <w:bodyDiv w:val="1"/>
      <w:marLeft w:val="0"/>
      <w:marRight w:val="0"/>
      <w:marTop w:val="0"/>
      <w:marBottom w:val="0"/>
      <w:divBdr>
        <w:top w:val="none" w:sz="0" w:space="0" w:color="auto"/>
        <w:left w:val="none" w:sz="0" w:space="0" w:color="auto"/>
        <w:bottom w:val="none" w:sz="0" w:space="0" w:color="auto"/>
        <w:right w:val="none" w:sz="0" w:space="0" w:color="auto"/>
      </w:divBdr>
    </w:div>
    <w:div w:id="969439059">
      <w:bodyDiv w:val="1"/>
      <w:marLeft w:val="0"/>
      <w:marRight w:val="0"/>
      <w:marTop w:val="0"/>
      <w:marBottom w:val="0"/>
      <w:divBdr>
        <w:top w:val="none" w:sz="0" w:space="0" w:color="auto"/>
        <w:left w:val="none" w:sz="0" w:space="0" w:color="auto"/>
        <w:bottom w:val="none" w:sz="0" w:space="0" w:color="auto"/>
        <w:right w:val="none" w:sz="0" w:space="0" w:color="auto"/>
      </w:divBdr>
    </w:div>
    <w:div w:id="979190914">
      <w:bodyDiv w:val="1"/>
      <w:marLeft w:val="0"/>
      <w:marRight w:val="0"/>
      <w:marTop w:val="0"/>
      <w:marBottom w:val="0"/>
      <w:divBdr>
        <w:top w:val="none" w:sz="0" w:space="0" w:color="auto"/>
        <w:left w:val="none" w:sz="0" w:space="0" w:color="auto"/>
        <w:bottom w:val="none" w:sz="0" w:space="0" w:color="auto"/>
        <w:right w:val="none" w:sz="0" w:space="0" w:color="auto"/>
      </w:divBdr>
    </w:div>
    <w:div w:id="992877574">
      <w:bodyDiv w:val="1"/>
      <w:marLeft w:val="0"/>
      <w:marRight w:val="0"/>
      <w:marTop w:val="0"/>
      <w:marBottom w:val="0"/>
      <w:divBdr>
        <w:top w:val="none" w:sz="0" w:space="0" w:color="auto"/>
        <w:left w:val="none" w:sz="0" w:space="0" w:color="auto"/>
        <w:bottom w:val="none" w:sz="0" w:space="0" w:color="auto"/>
        <w:right w:val="none" w:sz="0" w:space="0" w:color="auto"/>
      </w:divBdr>
    </w:div>
    <w:div w:id="1019746020">
      <w:bodyDiv w:val="1"/>
      <w:marLeft w:val="0"/>
      <w:marRight w:val="0"/>
      <w:marTop w:val="0"/>
      <w:marBottom w:val="0"/>
      <w:divBdr>
        <w:top w:val="none" w:sz="0" w:space="0" w:color="auto"/>
        <w:left w:val="none" w:sz="0" w:space="0" w:color="auto"/>
        <w:bottom w:val="none" w:sz="0" w:space="0" w:color="auto"/>
        <w:right w:val="none" w:sz="0" w:space="0" w:color="auto"/>
      </w:divBdr>
    </w:div>
    <w:div w:id="1024212112">
      <w:bodyDiv w:val="1"/>
      <w:marLeft w:val="0"/>
      <w:marRight w:val="0"/>
      <w:marTop w:val="0"/>
      <w:marBottom w:val="0"/>
      <w:divBdr>
        <w:top w:val="none" w:sz="0" w:space="0" w:color="auto"/>
        <w:left w:val="none" w:sz="0" w:space="0" w:color="auto"/>
        <w:bottom w:val="none" w:sz="0" w:space="0" w:color="auto"/>
        <w:right w:val="none" w:sz="0" w:space="0" w:color="auto"/>
      </w:divBdr>
    </w:div>
    <w:div w:id="1024281616">
      <w:bodyDiv w:val="1"/>
      <w:marLeft w:val="0"/>
      <w:marRight w:val="0"/>
      <w:marTop w:val="0"/>
      <w:marBottom w:val="0"/>
      <w:divBdr>
        <w:top w:val="none" w:sz="0" w:space="0" w:color="auto"/>
        <w:left w:val="none" w:sz="0" w:space="0" w:color="auto"/>
        <w:bottom w:val="none" w:sz="0" w:space="0" w:color="auto"/>
        <w:right w:val="none" w:sz="0" w:space="0" w:color="auto"/>
      </w:divBdr>
    </w:div>
    <w:div w:id="1055738475">
      <w:bodyDiv w:val="1"/>
      <w:marLeft w:val="0"/>
      <w:marRight w:val="0"/>
      <w:marTop w:val="0"/>
      <w:marBottom w:val="0"/>
      <w:divBdr>
        <w:top w:val="none" w:sz="0" w:space="0" w:color="auto"/>
        <w:left w:val="none" w:sz="0" w:space="0" w:color="auto"/>
        <w:bottom w:val="none" w:sz="0" w:space="0" w:color="auto"/>
        <w:right w:val="none" w:sz="0" w:space="0" w:color="auto"/>
      </w:divBdr>
    </w:div>
    <w:div w:id="1057775965">
      <w:bodyDiv w:val="1"/>
      <w:marLeft w:val="0"/>
      <w:marRight w:val="0"/>
      <w:marTop w:val="0"/>
      <w:marBottom w:val="0"/>
      <w:divBdr>
        <w:top w:val="none" w:sz="0" w:space="0" w:color="auto"/>
        <w:left w:val="none" w:sz="0" w:space="0" w:color="auto"/>
        <w:bottom w:val="none" w:sz="0" w:space="0" w:color="auto"/>
        <w:right w:val="none" w:sz="0" w:space="0" w:color="auto"/>
      </w:divBdr>
    </w:div>
    <w:div w:id="1067341874">
      <w:bodyDiv w:val="1"/>
      <w:marLeft w:val="0"/>
      <w:marRight w:val="0"/>
      <w:marTop w:val="0"/>
      <w:marBottom w:val="0"/>
      <w:divBdr>
        <w:top w:val="none" w:sz="0" w:space="0" w:color="auto"/>
        <w:left w:val="none" w:sz="0" w:space="0" w:color="auto"/>
        <w:bottom w:val="none" w:sz="0" w:space="0" w:color="auto"/>
        <w:right w:val="none" w:sz="0" w:space="0" w:color="auto"/>
      </w:divBdr>
    </w:div>
    <w:div w:id="1101221902">
      <w:bodyDiv w:val="1"/>
      <w:marLeft w:val="0"/>
      <w:marRight w:val="0"/>
      <w:marTop w:val="0"/>
      <w:marBottom w:val="0"/>
      <w:divBdr>
        <w:top w:val="none" w:sz="0" w:space="0" w:color="auto"/>
        <w:left w:val="none" w:sz="0" w:space="0" w:color="auto"/>
        <w:bottom w:val="none" w:sz="0" w:space="0" w:color="auto"/>
        <w:right w:val="none" w:sz="0" w:space="0" w:color="auto"/>
      </w:divBdr>
    </w:div>
    <w:div w:id="1136220892">
      <w:bodyDiv w:val="1"/>
      <w:marLeft w:val="0"/>
      <w:marRight w:val="0"/>
      <w:marTop w:val="0"/>
      <w:marBottom w:val="0"/>
      <w:divBdr>
        <w:top w:val="none" w:sz="0" w:space="0" w:color="auto"/>
        <w:left w:val="none" w:sz="0" w:space="0" w:color="auto"/>
        <w:bottom w:val="none" w:sz="0" w:space="0" w:color="auto"/>
        <w:right w:val="none" w:sz="0" w:space="0" w:color="auto"/>
      </w:divBdr>
    </w:div>
    <w:div w:id="1150248822">
      <w:bodyDiv w:val="1"/>
      <w:marLeft w:val="0"/>
      <w:marRight w:val="0"/>
      <w:marTop w:val="0"/>
      <w:marBottom w:val="0"/>
      <w:divBdr>
        <w:top w:val="none" w:sz="0" w:space="0" w:color="auto"/>
        <w:left w:val="none" w:sz="0" w:space="0" w:color="auto"/>
        <w:bottom w:val="none" w:sz="0" w:space="0" w:color="auto"/>
        <w:right w:val="none" w:sz="0" w:space="0" w:color="auto"/>
      </w:divBdr>
    </w:div>
    <w:div w:id="1184712258">
      <w:bodyDiv w:val="1"/>
      <w:marLeft w:val="0"/>
      <w:marRight w:val="0"/>
      <w:marTop w:val="0"/>
      <w:marBottom w:val="0"/>
      <w:divBdr>
        <w:top w:val="none" w:sz="0" w:space="0" w:color="auto"/>
        <w:left w:val="none" w:sz="0" w:space="0" w:color="auto"/>
        <w:bottom w:val="none" w:sz="0" w:space="0" w:color="auto"/>
        <w:right w:val="none" w:sz="0" w:space="0" w:color="auto"/>
      </w:divBdr>
    </w:div>
    <w:div w:id="1192450118">
      <w:bodyDiv w:val="1"/>
      <w:marLeft w:val="0"/>
      <w:marRight w:val="0"/>
      <w:marTop w:val="0"/>
      <w:marBottom w:val="0"/>
      <w:divBdr>
        <w:top w:val="none" w:sz="0" w:space="0" w:color="auto"/>
        <w:left w:val="none" w:sz="0" w:space="0" w:color="auto"/>
        <w:bottom w:val="none" w:sz="0" w:space="0" w:color="auto"/>
        <w:right w:val="none" w:sz="0" w:space="0" w:color="auto"/>
      </w:divBdr>
    </w:div>
    <w:div w:id="1268930725">
      <w:bodyDiv w:val="1"/>
      <w:marLeft w:val="0"/>
      <w:marRight w:val="0"/>
      <w:marTop w:val="0"/>
      <w:marBottom w:val="0"/>
      <w:divBdr>
        <w:top w:val="none" w:sz="0" w:space="0" w:color="auto"/>
        <w:left w:val="none" w:sz="0" w:space="0" w:color="auto"/>
        <w:bottom w:val="none" w:sz="0" w:space="0" w:color="auto"/>
        <w:right w:val="none" w:sz="0" w:space="0" w:color="auto"/>
      </w:divBdr>
    </w:div>
    <w:div w:id="1291934114">
      <w:bodyDiv w:val="1"/>
      <w:marLeft w:val="0"/>
      <w:marRight w:val="0"/>
      <w:marTop w:val="0"/>
      <w:marBottom w:val="0"/>
      <w:divBdr>
        <w:top w:val="none" w:sz="0" w:space="0" w:color="auto"/>
        <w:left w:val="none" w:sz="0" w:space="0" w:color="auto"/>
        <w:bottom w:val="none" w:sz="0" w:space="0" w:color="auto"/>
        <w:right w:val="none" w:sz="0" w:space="0" w:color="auto"/>
      </w:divBdr>
    </w:div>
    <w:div w:id="1341850529">
      <w:bodyDiv w:val="1"/>
      <w:marLeft w:val="0"/>
      <w:marRight w:val="0"/>
      <w:marTop w:val="0"/>
      <w:marBottom w:val="0"/>
      <w:divBdr>
        <w:top w:val="none" w:sz="0" w:space="0" w:color="auto"/>
        <w:left w:val="none" w:sz="0" w:space="0" w:color="auto"/>
        <w:bottom w:val="none" w:sz="0" w:space="0" w:color="auto"/>
        <w:right w:val="none" w:sz="0" w:space="0" w:color="auto"/>
      </w:divBdr>
    </w:div>
    <w:div w:id="1397823891">
      <w:bodyDiv w:val="1"/>
      <w:marLeft w:val="0"/>
      <w:marRight w:val="0"/>
      <w:marTop w:val="0"/>
      <w:marBottom w:val="0"/>
      <w:divBdr>
        <w:top w:val="none" w:sz="0" w:space="0" w:color="auto"/>
        <w:left w:val="none" w:sz="0" w:space="0" w:color="auto"/>
        <w:bottom w:val="none" w:sz="0" w:space="0" w:color="auto"/>
        <w:right w:val="none" w:sz="0" w:space="0" w:color="auto"/>
      </w:divBdr>
    </w:div>
    <w:div w:id="1449078947">
      <w:bodyDiv w:val="1"/>
      <w:marLeft w:val="0"/>
      <w:marRight w:val="0"/>
      <w:marTop w:val="0"/>
      <w:marBottom w:val="0"/>
      <w:divBdr>
        <w:top w:val="none" w:sz="0" w:space="0" w:color="auto"/>
        <w:left w:val="none" w:sz="0" w:space="0" w:color="auto"/>
        <w:bottom w:val="none" w:sz="0" w:space="0" w:color="auto"/>
        <w:right w:val="none" w:sz="0" w:space="0" w:color="auto"/>
      </w:divBdr>
    </w:div>
    <w:div w:id="1484544405">
      <w:bodyDiv w:val="1"/>
      <w:marLeft w:val="0"/>
      <w:marRight w:val="0"/>
      <w:marTop w:val="0"/>
      <w:marBottom w:val="0"/>
      <w:divBdr>
        <w:top w:val="none" w:sz="0" w:space="0" w:color="auto"/>
        <w:left w:val="none" w:sz="0" w:space="0" w:color="auto"/>
        <w:bottom w:val="none" w:sz="0" w:space="0" w:color="auto"/>
        <w:right w:val="none" w:sz="0" w:space="0" w:color="auto"/>
      </w:divBdr>
    </w:div>
    <w:div w:id="1491869121">
      <w:bodyDiv w:val="1"/>
      <w:marLeft w:val="0"/>
      <w:marRight w:val="0"/>
      <w:marTop w:val="0"/>
      <w:marBottom w:val="0"/>
      <w:divBdr>
        <w:top w:val="none" w:sz="0" w:space="0" w:color="auto"/>
        <w:left w:val="none" w:sz="0" w:space="0" w:color="auto"/>
        <w:bottom w:val="none" w:sz="0" w:space="0" w:color="auto"/>
        <w:right w:val="none" w:sz="0" w:space="0" w:color="auto"/>
      </w:divBdr>
    </w:div>
    <w:div w:id="1616256729">
      <w:bodyDiv w:val="1"/>
      <w:marLeft w:val="0"/>
      <w:marRight w:val="0"/>
      <w:marTop w:val="0"/>
      <w:marBottom w:val="0"/>
      <w:divBdr>
        <w:top w:val="none" w:sz="0" w:space="0" w:color="auto"/>
        <w:left w:val="none" w:sz="0" w:space="0" w:color="auto"/>
        <w:bottom w:val="none" w:sz="0" w:space="0" w:color="auto"/>
        <w:right w:val="none" w:sz="0" w:space="0" w:color="auto"/>
      </w:divBdr>
    </w:div>
    <w:div w:id="1639676853">
      <w:bodyDiv w:val="1"/>
      <w:marLeft w:val="0"/>
      <w:marRight w:val="0"/>
      <w:marTop w:val="0"/>
      <w:marBottom w:val="0"/>
      <w:divBdr>
        <w:top w:val="none" w:sz="0" w:space="0" w:color="auto"/>
        <w:left w:val="none" w:sz="0" w:space="0" w:color="auto"/>
        <w:bottom w:val="none" w:sz="0" w:space="0" w:color="auto"/>
        <w:right w:val="none" w:sz="0" w:space="0" w:color="auto"/>
      </w:divBdr>
    </w:div>
    <w:div w:id="1644000323">
      <w:bodyDiv w:val="1"/>
      <w:marLeft w:val="0"/>
      <w:marRight w:val="0"/>
      <w:marTop w:val="0"/>
      <w:marBottom w:val="0"/>
      <w:divBdr>
        <w:top w:val="none" w:sz="0" w:space="0" w:color="auto"/>
        <w:left w:val="none" w:sz="0" w:space="0" w:color="auto"/>
        <w:bottom w:val="none" w:sz="0" w:space="0" w:color="auto"/>
        <w:right w:val="none" w:sz="0" w:space="0" w:color="auto"/>
      </w:divBdr>
    </w:div>
    <w:div w:id="1682928085">
      <w:bodyDiv w:val="1"/>
      <w:marLeft w:val="0"/>
      <w:marRight w:val="0"/>
      <w:marTop w:val="0"/>
      <w:marBottom w:val="0"/>
      <w:divBdr>
        <w:top w:val="none" w:sz="0" w:space="0" w:color="auto"/>
        <w:left w:val="none" w:sz="0" w:space="0" w:color="auto"/>
        <w:bottom w:val="none" w:sz="0" w:space="0" w:color="auto"/>
        <w:right w:val="none" w:sz="0" w:space="0" w:color="auto"/>
      </w:divBdr>
    </w:div>
    <w:div w:id="1696078729">
      <w:bodyDiv w:val="1"/>
      <w:marLeft w:val="0"/>
      <w:marRight w:val="0"/>
      <w:marTop w:val="0"/>
      <w:marBottom w:val="0"/>
      <w:divBdr>
        <w:top w:val="none" w:sz="0" w:space="0" w:color="auto"/>
        <w:left w:val="none" w:sz="0" w:space="0" w:color="auto"/>
        <w:bottom w:val="none" w:sz="0" w:space="0" w:color="auto"/>
        <w:right w:val="none" w:sz="0" w:space="0" w:color="auto"/>
      </w:divBdr>
    </w:div>
    <w:div w:id="1734693649">
      <w:bodyDiv w:val="1"/>
      <w:marLeft w:val="0"/>
      <w:marRight w:val="0"/>
      <w:marTop w:val="0"/>
      <w:marBottom w:val="0"/>
      <w:divBdr>
        <w:top w:val="none" w:sz="0" w:space="0" w:color="auto"/>
        <w:left w:val="none" w:sz="0" w:space="0" w:color="auto"/>
        <w:bottom w:val="none" w:sz="0" w:space="0" w:color="auto"/>
        <w:right w:val="none" w:sz="0" w:space="0" w:color="auto"/>
      </w:divBdr>
    </w:div>
    <w:div w:id="1741323574">
      <w:bodyDiv w:val="1"/>
      <w:marLeft w:val="0"/>
      <w:marRight w:val="0"/>
      <w:marTop w:val="0"/>
      <w:marBottom w:val="0"/>
      <w:divBdr>
        <w:top w:val="none" w:sz="0" w:space="0" w:color="auto"/>
        <w:left w:val="none" w:sz="0" w:space="0" w:color="auto"/>
        <w:bottom w:val="none" w:sz="0" w:space="0" w:color="auto"/>
        <w:right w:val="none" w:sz="0" w:space="0" w:color="auto"/>
      </w:divBdr>
    </w:div>
    <w:div w:id="1774662329">
      <w:bodyDiv w:val="1"/>
      <w:marLeft w:val="0"/>
      <w:marRight w:val="0"/>
      <w:marTop w:val="0"/>
      <w:marBottom w:val="0"/>
      <w:divBdr>
        <w:top w:val="none" w:sz="0" w:space="0" w:color="auto"/>
        <w:left w:val="none" w:sz="0" w:space="0" w:color="auto"/>
        <w:bottom w:val="none" w:sz="0" w:space="0" w:color="auto"/>
        <w:right w:val="none" w:sz="0" w:space="0" w:color="auto"/>
      </w:divBdr>
    </w:div>
    <w:div w:id="1776830080">
      <w:bodyDiv w:val="1"/>
      <w:marLeft w:val="0"/>
      <w:marRight w:val="0"/>
      <w:marTop w:val="0"/>
      <w:marBottom w:val="0"/>
      <w:divBdr>
        <w:top w:val="none" w:sz="0" w:space="0" w:color="auto"/>
        <w:left w:val="none" w:sz="0" w:space="0" w:color="auto"/>
        <w:bottom w:val="none" w:sz="0" w:space="0" w:color="auto"/>
        <w:right w:val="none" w:sz="0" w:space="0" w:color="auto"/>
      </w:divBdr>
    </w:div>
    <w:div w:id="1781365887">
      <w:bodyDiv w:val="1"/>
      <w:marLeft w:val="0"/>
      <w:marRight w:val="0"/>
      <w:marTop w:val="0"/>
      <w:marBottom w:val="0"/>
      <w:divBdr>
        <w:top w:val="none" w:sz="0" w:space="0" w:color="auto"/>
        <w:left w:val="none" w:sz="0" w:space="0" w:color="auto"/>
        <w:bottom w:val="none" w:sz="0" w:space="0" w:color="auto"/>
        <w:right w:val="none" w:sz="0" w:space="0" w:color="auto"/>
      </w:divBdr>
    </w:div>
    <w:div w:id="1793867867">
      <w:bodyDiv w:val="1"/>
      <w:marLeft w:val="0"/>
      <w:marRight w:val="0"/>
      <w:marTop w:val="0"/>
      <w:marBottom w:val="0"/>
      <w:divBdr>
        <w:top w:val="none" w:sz="0" w:space="0" w:color="auto"/>
        <w:left w:val="none" w:sz="0" w:space="0" w:color="auto"/>
        <w:bottom w:val="none" w:sz="0" w:space="0" w:color="auto"/>
        <w:right w:val="none" w:sz="0" w:space="0" w:color="auto"/>
      </w:divBdr>
    </w:div>
    <w:div w:id="1794398875">
      <w:bodyDiv w:val="1"/>
      <w:marLeft w:val="0"/>
      <w:marRight w:val="0"/>
      <w:marTop w:val="0"/>
      <w:marBottom w:val="0"/>
      <w:divBdr>
        <w:top w:val="none" w:sz="0" w:space="0" w:color="auto"/>
        <w:left w:val="none" w:sz="0" w:space="0" w:color="auto"/>
        <w:bottom w:val="none" w:sz="0" w:space="0" w:color="auto"/>
        <w:right w:val="none" w:sz="0" w:space="0" w:color="auto"/>
      </w:divBdr>
    </w:div>
    <w:div w:id="1794597110">
      <w:bodyDiv w:val="1"/>
      <w:marLeft w:val="0"/>
      <w:marRight w:val="0"/>
      <w:marTop w:val="0"/>
      <w:marBottom w:val="0"/>
      <w:divBdr>
        <w:top w:val="none" w:sz="0" w:space="0" w:color="auto"/>
        <w:left w:val="none" w:sz="0" w:space="0" w:color="auto"/>
        <w:bottom w:val="none" w:sz="0" w:space="0" w:color="auto"/>
        <w:right w:val="none" w:sz="0" w:space="0" w:color="auto"/>
      </w:divBdr>
    </w:div>
    <w:div w:id="1849445726">
      <w:bodyDiv w:val="1"/>
      <w:marLeft w:val="0"/>
      <w:marRight w:val="0"/>
      <w:marTop w:val="0"/>
      <w:marBottom w:val="0"/>
      <w:divBdr>
        <w:top w:val="none" w:sz="0" w:space="0" w:color="auto"/>
        <w:left w:val="none" w:sz="0" w:space="0" w:color="auto"/>
        <w:bottom w:val="none" w:sz="0" w:space="0" w:color="auto"/>
        <w:right w:val="none" w:sz="0" w:space="0" w:color="auto"/>
      </w:divBdr>
    </w:div>
    <w:div w:id="1907565157">
      <w:bodyDiv w:val="1"/>
      <w:marLeft w:val="0"/>
      <w:marRight w:val="0"/>
      <w:marTop w:val="0"/>
      <w:marBottom w:val="0"/>
      <w:divBdr>
        <w:top w:val="none" w:sz="0" w:space="0" w:color="auto"/>
        <w:left w:val="none" w:sz="0" w:space="0" w:color="auto"/>
        <w:bottom w:val="none" w:sz="0" w:space="0" w:color="auto"/>
        <w:right w:val="none" w:sz="0" w:space="0" w:color="auto"/>
      </w:divBdr>
    </w:div>
    <w:div w:id="1945184671">
      <w:bodyDiv w:val="1"/>
      <w:marLeft w:val="0"/>
      <w:marRight w:val="0"/>
      <w:marTop w:val="0"/>
      <w:marBottom w:val="0"/>
      <w:divBdr>
        <w:top w:val="none" w:sz="0" w:space="0" w:color="auto"/>
        <w:left w:val="none" w:sz="0" w:space="0" w:color="auto"/>
        <w:bottom w:val="none" w:sz="0" w:space="0" w:color="auto"/>
        <w:right w:val="none" w:sz="0" w:space="0" w:color="auto"/>
      </w:divBdr>
    </w:div>
    <w:div w:id="1952395994">
      <w:bodyDiv w:val="1"/>
      <w:marLeft w:val="0"/>
      <w:marRight w:val="0"/>
      <w:marTop w:val="0"/>
      <w:marBottom w:val="0"/>
      <w:divBdr>
        <w:top w:val="none" w:sz="0" w:space="0" w:color="auto"/>
        <w:left w:val="none" w:sz="0" w:space="0" w:color="auto"/>
        <w:bottom w:val="none" w:sz="0" w:space="0" w:color="auto"/>
        <w:right w:val="none" w:sz="0" w:space="0" w:color="auto"/>
      </w:divBdr>
    </w:div>
    <w:div w:id="1956595603">
      <w:bodyDiv w:val="1"/>
      <w:marLeft w:val="0"/>
      <w:marRight w:val="0"/>
      <w:marTop w:val="0"/>
      <w:marBottom w:val="0"/>
      <w:divBdr>
        <w:top w:val="none" w:sz="0" w:space="0" w:color="auto"/>
        <w:left w:val="none" w:sz="0" w:space="0" w:color="auto"/>
        <w:bottom w:val="none" w:sz="0" w:space="0" w:color="auto"/>
        <w:right w:val="none" w:sz="0" w:space="0" w:color="auto"/>
      </w:divBdr>
    </w:div>
    <w:div w:id="1998537612">
      <w:bodyDiv w:val="1"/>
      <w:marLeft w:val="0"/>
      <w:marRight w:val="0"/>
      <w:marTop w:val="0"/>
      <w:marBottom w:val="0"/>
      <w:divBdr>
        <w:top w:val="none" w:sz="0" w:space="0" w:color="auto"/>
        <w:left w:val="none" w:sz="0" w:space="0" w:color="auto"/>
        <w:bottom w:val="none" w:sz="0" w:space="0" w:color="auto"/>
        <w:right w:val="none" w:sz="0" w:space="0" w:color="auto"/>
      </w:divBdr>
    </w:div>
    <w:div w:id="2023239630">
      <w:bodyDiv w:val="1"/>
      <w:marLeft w:val="0"/>
      <w:marRight w:val="0"/>
      <w:marTop w:val="0"/>
      <w:marBottom w:val="0"/>
      <w:divBdr>
        <w:top w:val="none" w:sz="0" w:space="0" w:color="auto"/>
        <w:left w:val="none" w:sz="0" w:space="0" w:color="auto"/>
        <w:bottom w:val="none" w:sz="0" w:space="0" w:color="auto"/>
        <w:right w:val="none" w:sz="0" w:space="0" w:color="auto"/>
      </w:divBdr>
    </w:div>
    <w:div w:id="2047026624">
      <w:bodyDiv w:val="1"/>
      <w:marLeft w:val="0"/>
      <w:marRight w:val="0"/>
      <w:marTop w:val="0"/>
      <w:marBottom w:val="0"/>
      <w:divBdr>
        <w:top w:val="none" w:sz="0" w:space="0" w:color="auto"/>
        <w:left w:val="none" w:sz="0" w:space="0" w:color="auto"/>
        <w:bottom w:val="none" w:sz="0" w:space="0" w:color="auto"/>
        <w:right w:val="none" w:sz="0" w:space="0" w:color="auto"/>
      </w:divBdr>
    </w:div>
    <w:div w:id="2051606457">
      <w:bodyDiv w:val="1"/>
      <w:marLeft w:val="0"/>
      <w:marRight w:val="0"/>
      <w:marTop w:val="0"/>
      <w:marBottom w:val="0"/>
      <w:divBdr>
        <w:top w:val="none" w:sz="0" w:space="0" w:color="auto"/>
        <w:left w:val="none" w:sz="0" w:space="0" w:color="auto"/>
        <w:bottom w:val="none" w:sz="0" w:space="0" w:color="auto"/>
        <w:right w:val="none" w:sz="0" w:space="0" w:color="auto"/>
      </w:divBdr>
    </w:div>
    <w:div w:id="2077166082">
      <w:bodyDiv w:val="1"/>
      <w:marLeft w:val="0"/>
      <w:marRight w:val="0"/>
      <w:marTop w:val="0"/>
      <w:marBottom w:val="0"/>
      <w:divBdr>
        <w:top w:val="none" w:sz="0" w:space="0" w:color="auto"/>
        <w:left w:val="none" w:sz="0" w:space="0" w:color="auto"/>
        <w:bottom w:val="none" w:sz="0" w:space="0" w:color="auto"/>
        <w:right w:val="none" w:sz="0" w:space="0" w:color="auto"/>
      </w:divBdr>
    </w:div>
    <w:div w:id="2078042156">
      <w:bodyDiv w:val="1"/>
      <w:marLeft w:val="0"/>
      <w:marRight w:val="0"/>
      <w:marTop w:val="0"/>
      <w:marBottom w:val="0"/>
      <w:divBdr>
        <w:top w:val="none" w:sz="0" w:space="0" w:color="auto"/>
        <w:left w:val="none" w:sz="0" w:space="0" w:color="auto"/>
        <w:bottom w:val="none" w:sz="0" w:space="0" w:color="auto"/>
        <w:right w:val="none" w:sz="0" w:space="0" w:color="auto"/>
      </w:divBdr>
    </w:div>
    <w:div w:id="208721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chart" Target="charts/chart10.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oleObject" Target="file:///\\obmh.nhs.uk\G_Data\Oxfordshire\SIRI\Reports\IGC%202014-15\Safet%20Committee%20Q4%202014-15\Data\Copy%20of%20Deaths%20FY%2014.15%20by%20quarter%20V3.xlsx"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file:///\\OBMH\G_Data\Oxfordshire\OCCH\Oxford%20Health\Quality%20&amp;%20Risk%20Information%20Coordinator\IGC\IGC%202014-15%20(3)\IGC%202014-15%20(3)%20data.xlsx" TargetMode="External"/><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Number</a:t>
            </a:r>
            <a:r>
              <a:rPr lang="en-GB" baseline="0"/>
              <a:t> of incidents by quarter</a:t>
            </a:r>
            <a:endParaRPr lang="en-GB"/>
          </a:p>
        </c:rich>
      </c:tx>
      <c:overlay val="0"/>
    </c:title>
    <c:autoTitleDeleted val="0"/>
    <c:plotArea>
      <c:layout/>
      <c:barChart>
        <c:barDir val="col"/>
        <c:grouping val="clustered"/>
        <c:varyColors val="0"/>
        <c:ser>
          <c:idx val="0"/>
          <c:order val="0"/>
          <c:spPr>
            <a:solidFill>
              <a:srgbClr val="0070C0"/>
            </a:solidFill>
          </c:spPr>
          <c:invertIfNegative val="0"/>
          <c:trendline>
            <c:trendlineType val="linear"/>
            <c:dispRSqr val="0"/>
            <c:dispEq val="0"/>
          </c:trendline>
          <c:cat>
            <c:strRef>
              <c:f>'1.1 Total incidents'!$A$2:$A$9</c:f>
              <c:strCache>
                <c:ptCount val="8"/>
                <c:pt idx="0">
                  <c:v>2013/14 [1]</c:v>
                </c:pt>
                <c:pt idx="1">
                  <c:v>2013/14 [2]</c:v>
                </c:pt>
                <c:pt idx="2">
                  <c:v>2013/14 [3]</c:v>
                </c:pt>
                <c:pt idx="3">
                  <c:v>2013/14 [4]</c:v>
                </c:pt>
                <c:pt idx="4">
                  <c:v>2014/15 [1]</c:v>
                </c:pt>
                <c:pt idx="5">
                  <c:v>2014/15 [2]</c:v>
                </c:pt>
                <c:pt idx="6">
                  <c:v>2014/15 [3]</c:v>
                </c:pt>
                <c:pt idx="7">
                  <c:v>2014/15 [4]</c:v>
                </c:pt>
              </c:strCache>
            </c:strRef>
          </c:cat>
          <c:val>
            <c:numRef>
              <c:f>'1.1 Total incidents'!$B$2:$B$9</c:f>
              <c:numCache>
                <c:formatCode>General</c:formatCode>
                <c:ptCount val="8"/>
                <c:pt idx="0">
                  <c:v>2793</c:v>
                </c:pt>
                <c:pt idx="1">
                  <c:v>3005</c:v>
                </c:pt>
                <c:pt idx="2">
                  <c:v>2958</c:v>
                </c:pt>
                <c:pt idx="3">
                  <c:v>2753</c:v>
                </c:pt>
                <c:pt idx="4">
                  <c:v>3032</c:v>
                </c:pt>
                <c:pt idx="5">
                  <c:v>2848</c:v>
                </c:pt>
                <c:pt idx="6">
                  <c:v>2961</c:v>
                </c:pt>
                <c:pt idx="7">
                  <c:v>3119</c:v>
                </c:pt>
              </c:numCache>
            </c:numRef>
          </c:val>
        </c:ser>
        <c:dLbls>
          <c:showLegendKey val="0"/>
          <c:showVal val="0"/>
          <c:showCatName val="0"/>
          <c:showSerName val="0"/>
          <c:showPercent val="0"/>
          <c:showBubbleSize val="0"/>
        </c:dLbls>
        <c:gapWidth val="150"/>
        <c:axId val="74642560"/>
        <c:axId val="74644480"/>
      </c:barChart>
      <c:catAx>
        <c:axId val="74642560"/>
        <c:scaling>
          <c:orientation val="minMax"/>
        </c:scaling>
        <c:delete val="0"/>
        <c:axPos val="b"/>
        <c:title>
          <c:tx>
            <c:rich>
              <a:bodyPr/>
              <a:lstStyle/>
              <a:p>
                <a:pPr>
                  <a:defRPr/>
                </a:pPr>
                <a:r>
                  <a:rPr lang="en-GB"/>
                  <a:t>Quarter</a:t>
                </a:r>
              </a:p>
            </c:rich>
          </c:tx>
          <c:overlay val="0"/>
        </c:title>
        <c:majorTickMark val="out"/>
        <c:minorTickMark val="none"/>
        <c:tickLblPos val="nextTo"/>
        <c:crossAx val="74644480"/>
        <c:crosses val="autoZero"/>
        <c:auto val="1"/>
        <c:lblAlgn val="ctr"/>
        <c:lblOffset val="100"/>
        <c:noMultiLvlLbl val="0"/>
      </c:catAx>
      <c:valAx>
        <c:axId val="74644480"/>
        <c:scaling>
          <c:orientation val="minMax"/>
        </c:scaling>
        <c:delete val="0"/>
        <c:axPos val="l"/>
        <c:majorGridlines/>
        <c:title>
          <c:tx>
            <c:rich>
              <a:bodyPr rot="-5400000" vert="horz"/>
              <a:lstStyle/>
              <a:p>
                <a:pPr>
                  <a:defRPr/>
                </a:pPr>
                <a:r>
                  <a:rPr lang="en-GB"/>
                  <a:t>Number of incidents</a:t>
                </a:r>
              </a:p>
            </c:rich>
          </c:tx>
          <c:overlay val="0"/>
        </c:title>
        <c:numFmt formatCode="General" sourceLinked="1"/>
        <c:majorTickMark val="out"/>
        <c:minorTickMark val="none"/>
        <c:tickLblPos val="nextTo"/>
        <c:crossAx val="74642560"/>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Number of suspected and confirmed suicides by year</a:t>
            </a:r>
          </a:p>
        </c:rich>
      </c:tx>
      <c:layout>
        <c:manualLayout>
          <c:xMode val="edge"/>
          <c:yMode val="edge"/>
          <c:x val="0.15711891032208333"/>
          <c:y val="3.1796502384737677E-2"/>
        </c:manualLayout>
      </c:layout>
      <c:overlay val="0"/>
    </c:title>
    <c:autoTitleDeleted val="0"/>
    <c:plotArea>
      <c:layout/>
      <c:barChart>
        <c:barDir val="col"/>
        <c:grouping val="clustered"/>
        <c:varyColors val="0"/>
        <c:ser>
          <c:idx val="0"/>
          <c:order val="0"/>
          <c:invertIfNegative val="0"/>
          <c:cat>
            <c:strRef>
              <c:f>'2.3 Suicides'!$A$2:$A$5</c:f>
              <c:strCache>
                <c:ptCount val="4"/>
                <c:pt idx="0">
                  <c:v>2011/12</c:v>
                </c:pt>
                <c:pt idx="1">
                  <c:v>2012/13</c:v>
                </c:pt>
                <c:pt idx="2">
                  <c:v>2013/14</c:v>
                </c:pt>
                <c:pt idx="3">
                  <c:v>2014/15</c:v>
                </c:pt>
              </c:strCache>
            </c:strRef>
          </c:cat>
          <c:val>
            <c:numRef>
              <c:f>'2.3 Suicides'!$B$2:$B$5</c:f>
              <c:numCache>
                <c:formatCode>General</c:formatCode>
                <c:ptCount val="4"/>
                <c:pt idx="0">
                  <c:v>44</c:v>
                </c:pt>
                <c:pt idx="1">
                  <c:v>43</c:v>
                </c:pt>
                <c:pt idx="2">
                  <c:v>36</c:v>
                </c:pt>
                <c:pt idx="3">
                  <c:v>28</c:v>
                </c:pt>
              </c:numCache>
            </c:numRef>
          </c:val>
        </c:ser>
        <c:dLbls>
          <c:dLblPos val="outEnd"/>
          <c:showLegendKey val="0"/>
          <c:showVal val="1"/>
          <c:showCatName val="0"/>
          <c:showSerName val="0"/>
          <c:showPercent val="0"/>
          <c:showBubbleSize val="0"/>
        </c:dLbls>
        <c:gapWidth val="150"/>
        <c:axId val="88496384"/>
        <c:axId val="88498560"/>
      </c:barChart>
      <c:catAx>
        <c:axId val="88496384"/>
        <c:scaling>
          <c:orientation val="minMax"/>
        </c:scaling>
        <c:delete val="0"/>
        <c:axPos val="b"/>
        <c:title>
          <c:tx>
            <c:rich>
              <a:bodyPr/>
              <a:lstStyle/>
              <a:p>
                <a:pPr>
                  <a:defRPr/>
                </a:pPr>
                <a:r>
                  <a:rPr lang="en-GB"/>
                  <a:t>Year</a:t>
                </a:r>
              </a:p>
            </c:rich>
          </c:tx>
          <c:overlay val="0"/>
        </c:title>
        <c:majorTickMark val="out"/>
        <c:minorTickMark val="none"/>
        <c:tickLblPos val="nextTo"/>
        <c:crossAx val="88498560"/>
        <c:crosses val="autoZero"/>
        <c:auto val="1"/>
        <c:lblAlgn val="ctr"/>
        <c:lblOffset val="100"/>
        <c:noMultiLvlLbl val="0"/>
      </c:catAx>
      <c:valAx>
        <c:axId val="88498560"/>
        <c:scaling>
          <c:orientation val="minMax"/>
        </c:scaling>
        <c:delete val="0"/>
        <c:axPos val="l"/>
        <c:majorGridlines/>
        <c:title>
          <c:tx>
            <c:rich>
              <a:bodyPr rot="-5400000" vert="horz"/>
              <a:lstStyle/>
              <a:p>
                <a:pPr>
                  <a:defRPr/>
                </a:pPr>
                <a:r>
                  <a:rPr lang="en-GB"/>
                  <a:t>Number of incidents</a:t>
                </a:r>
              </a:p>
            </c:rich>
          </c:tx>
          <c:overlay val="0"/>
        </c:title>
        <c:numFmt formatCode="General" sourceLinked="1"/>
        <c:majorTickMark val="out"/>
        <c:minorTickMark val="none"/>
        <c:tickLblPos val="nextTo"/>
        <c:crossAx val="8849638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Incidents by actual impact</a:t>
            </a:r>
          </a:p>
        </c:rich>
      </c:tx>
      <c:overlay val="0"/>
    </c:title>
    <c:autoTitleDeleted val="0"/>
    <c:plotArea>
      <c:layout/>
      <c:barChart>
        <c:barDir val="col"/>
        <c:grouping val="stacked"/>
        <c:varyColors val="0"/>
        <c:ser>
          <c:idx val="0"/>
          <c:order val="0"/>
          <c:tx>
            <c:strRef>
              <c:f>'1.2 Actual impact'!$B$1</c:f>
              <c:strCache>
                <c:ptCount val="1"/>
                <c:pt idx="0">
                  <c:v>1. No Injury/No Property Damage</c:v>
                </c:pt>
              </c:strCache>
            </c:strRef>
          </c:tx>
          <c:spPr>
            <a:solidFill>
              <a:srgbClr val="00B050"/>
            </a:solidFill>
          </c:spPr>
          <c:invertIfNegative val="0"/>
          <c:cat>
            <c:strRef>
              <c:f>'1.2 Actual impact'!$A$2:$A$8</c:f>
              <c:strCache>
                <c:ptCount val="7"/>
                <c:pt idx="0">
                  <c:v>2013/14 [1]</c:v>
                </c:pt>
                <c:pt idx="1">
                  <c:v>2013/14 [2]</c:v>
                </c:pt>
                <c:pt idx="2">
                  <c:v>2013/14 [3]</c:v>
                </c:pt>
                <c:pt idx="3">
                  <c:v>2013/14 [4]</c:v>
                </c:pt>
                <c:pt idx="4">
                  <c:v>2014/15 [1]</c:v>
                </c:pt>
                <c:pt idx="5">
                  <c:v>2014/15 [2]</c:v>
                </c:pt>
                <c:pt idx="6">
                  <c:v>2014/15 [3]</c:v>
                </c:pt>
              </c:strCache>
            </c:strRef>
          </c:cat>
          <c:val>
            <c:numRef>
              <c:f>'1.2 Actual impact'!$B$2:$B$8</c:f>
              <c:numCache>
                <c:formatCode>General</c:formatCode>
                <c:ptCount val="7"/>
                <c:pt idx="0">
                  <c:v>1648</c:v>
                </c:pt>
                <c:pt idx="1">
                  <c:v>1764</c:v>
                </c:pt>
                <c:pt idx="2">
                  <c:v>1845</c:v>
                </c:pt>
                <c:pt idx="3">
                  <c:v>1722</c:v>
                </c:pt>
                <c:pt idx="4">
                  <c:v>1864</c:v>
                </c:pt>
                <c:pt idx="5">
                  <c:v>1684</c:v>
                </c:pt>
                <c:pt idx="6">
                  <c:v>1824</c:v>
                </c:pt>
              </c:numCache>
            </c:numRef>
          </c:val>
        </c:ser>
        <c:ser>
          <c:idx val="1"/>
          <c:order val="1"/>
          <c:tx>
            <c:strRef>
              <c:f>'1.2 Actual impact'!$C$1</c:f>
              <c:strCache>
                <c:ptCount val="1"/>
                <c:pt idx="0">
                  <c:v>2. Minor Injury/Minor Property Damage</c:v>
                </c:pt>
              </c:strCache>
            </c:strRef>
          </c:tx>
          <c:spPr>
            <a:solidFill>
              <a:srgbClr val="FFFF00"/>
            </a:solidFill>
          </c:spPr>
          <c:invertIfNegative val="0"/>
          <c:cat>
            <c:strRef>
              <c:f>'1.2 Actual impact'!$A$2:$A$8</c:f>
              <c:strCache>
                <c:ptCount val="7"/>
                <c:pt idx="0">
                  <c:v>2013/14 [1]</c:v>
                </c:pt>
                <c:pt idx="1">
                  <c:v>2013/14 [2]</c:v>
                </c:pt>
                <c:pt idx="2">
                  <c:v>2013/14 [3]</c:v>
                </c:pt>
                <c:pt idx="3">
                  <c:v>2013/14 [4]</c:v>
                </c:pt>
                <c:pt idx="4">
                  <c:v>2014/15 [1]</c:v>
                </c:pt>
                <c:pt idx="5">
                  <c:v>2014/15 [2]</c:v>
                </c:pt>
                <c:pt idx="6">
                  <c:v>2014/15 [3]</c:v>
                </c:pt>
              </c:strCache>
            </c:strRef>
          </c:cat>
          <c:val>
            <c:numRef>
              <c:f>'1.2 Actual impact'!$C$2:$C$8</c:f>
              <c:numCache>
                <c:formatCode>General</c:formatCode>
                <c:ptCount val="7"/>
                <c:pt idx="0">
                  <c:v>925</c:v>
                </c:pt>
                <c:pt idx="1">
                  <c:v>1009</c:v>
                </c:pt>
                <c:pt idx="2">
                  <c:v>857</c:v>
                </c:pt>
                <c:pt idx="3">
                  <c:v>804</c:v>
                </c:pt>
                <c:pt idx="4">
                  <c:v>923</c:v>
                </c:pt>
                <c:pt idx="5">
                  <c:v>888</c:v>
                </c:pt>
                <c:pt idx="6">
                  <c:v>881</c:v>
                </c:pt>
              </c:numCache>
            </c:numRef>
          </c:val>
        </c:ser>
        <c:ser>
          <c:idx val="2"/>
          <c:order val="2"/>
          <c:tx>
            <c:strRef>
              <c:f>'1.2 Actual impact'!$D$1</c:f>
              <c:strCache>
                <c:ptCount val="1"/>
                <c:pt idx="0">
                  <c:v>3. Moderate Injury/Moderate Property Damage</c:v>
                </c:pt>
              </c:strCache>
            </c:strRef>
          </c:tx>
          <c:spPr>
            <a:solidFill>
              <a:srgbClr val="FFC000"/>
            </a:solidFill>
          </c:spPr>
          <c:invertIfNegative val="0"/>
          <c:cat>
            <c:strRef>
              <c:f>'1.2 Actual impact'!$A$2:$A$8</c:f>
              <c:strCache>
                <c:ptCount val="7"/>
                <c:pt idx="0">
                  <c:v>2013/14 [1]</c:v>
                </c:pt>
                <c:pt idx="1">
                  <c:v>2013/14 [2]</c:v>
                </c:pt>
                <c:pt idx="2">
                  <c:v>2013/14 [3]</c:v>
                </c:pt>
                <c:pt idx="3">
                  <c:v>2013/14 [4]</c:v>
                </c:pt>
                <c:pt idx="4">
                  <c:v>2014/15 [1]</c:v>
                </c:pt>
                <c:pt idx="5">
                  <c:v>2014/15 [2]</c:v>
                </c:pt>
                <c:pt idx="6">
                  <c:v>2014/15 [3]</c:v>
                </c:pt>
              </c:strCache>
            </c:strRef>
          </c:cat>
          <c:val>
            <c:numRef>
              <c:f>'1.2 Actual impact'!$D$2:$D$8</c:f>
              <c:numCache>
                <c:formatCode>General</c:formatCode>
                <c:ptCount val="7"/>
                <c:pt idx="0">
                  <c:v>174</c:v>
                </c:pt>
                <c:pt idx="1">
                  <c:v>177</c:v>
                </c:pt>
                <c:pt idx="2">
                  <c:v>208</c:v>
                </c:pt>
                <c:pt idx="3">
                  <c:v>167</c:v>
                </c:pt>
                <c:pt idx="4">
                  <c:v>202</c:v>
                </c:pt>
                <c:pt idx="5">
                  <c:v>229</c:v>
                </c:pt>
                <c:pt idx="6">
                  <c:v>181</c:v>
                </c:pt>
              </c:numCache>
            </c:numRef>
          </c:val>
        </c:ser>
        <c:ser>
          <c:idx val="3"/>
          <c:order val="3"/>
          <c:tx>
            <c:strRef>
              <c:f>'1.2 Actual impact'!$E$1</c:f>
              <c:strCache>
                <c:ptCount val="1"/>
                <c:pt idx="0">
                  <c:v>4. Major Injury/Severe Property Damage</c:v>
                </c:pt>
              </c:strCache>
            </c:strRef>
          </c:tx>
          <c:spPr>
            <a:solidFill>
              <a:srgbClr val="FF0000"/>
            </a:solidFill>
          </c:spPr>
          <c:invertIfNegative val="0"/>
          <c:cat>
            <c:strRef>
              <c:f>'1.2 Actual impact'!$A$2:$A$8</c:f>
              <c:strCache>
                <c:ptCount val="7"/>
                <c:pt idx="0">
                  <c:v>2013/14 [1]</c:v>
                </c:pt>
                <c:pt idx="1">
                  <c:v>2013/14 [2]</c:v>
                </c:pt>
                <c:pt idx="2">
                  <c:v>2013/14 [3]</c:v>
                </c:pt>
                <c:pt idx="3">
                  <c:v>2013/14 [4]</c:v>
                </c:pt>
                <c:pt idx="4">
                  <c:v>2014/15 [1]</c:v>
                </c:pt>
                <c:pt idx="5">
                  <c:v>2014/15 [2]</c:v>
                </c:pt>
                <c:pt idx="6">
                  <c:v>2014/15 [3]</c:v>
                </c:pt>
              </c:strCache>
            </c:strRef>
          </c:cat>
          <c:val>
            <c:numRef>
              <c:f>'1.2 Actual impact'!$E$2:$E$8</c:f>
              <c:numCache>
                <c:formatCode>General</c:formatCode>
                <c:ptCount val="7"/>
                <c:pt idx="0">
                  <c:v>12</c:v>
                </c:pt>
                <c:pt idx="1">
                  <c:v>14</c:v>
                </c:pt>
                <c:pt idx="2">
                  <c:v>13</c:v>
                </c:pt>
                <c:pt idx="3">
                  <c:v>8</c:v>
                </c:pt>
                <c:pt idx="4">
                  <c:v>10</c:v>
                </c:pt>
                <c:pt idx="5">
                  <c:v>14</c:v>
                </c:pt>
                <c:pt idx="6">
                  <c:v>20</c:v>
                </c:pt>
              </c:numCache>
            </c:numRef>
          </c:val>
        </c:ser>
        <c:ser>
          <c:idx val="4"/>
          <c:order val="4"/>
          <c:tx>
            <c:strRef>
              <c:f>'1.2 Actual impact'!$F$1</c:f>
              <c:strCache>
                <c:ptCount val="1"/>
                <c:pt idx="0">
                  <c:v>5.Death</c:v>
                </c:pt>
              </c:strCache>
            </c:strRef>
          </c:tx>
          <c:spPr>
            <a:solidFill>
              <a:srgbClr val="C00000"/>
            </a:solidFill>
          </c:spPr>
          <c:invertIfNegative val="0"/>
          <c:cat>
            <c:strRef>
              <c:f>'1.2 Actual impact'!$A$2:$A$8</c:f>
              <c:strCache>
                <c:ptCount val="7"/>
                <c:pt idx="0">
                  <c:v>2013/14 [1]</c:v>
                </c:pt>
                <c:pt idx="1">
                  <c:v>2013/14 [2]</c:v>
                </c:pt>
                <c:pt idx="2">
                  <c:v>2013/14 [3]</c:v>
                </c:pt>
                <c:pt idx="3">
                  <c:v>2013/14 [4]</c:v>
                </c:pt>
                <c:pt idx="4">
                  <c:v>2014/15 [1]</c:v>
                </c:pt>
                <c:pt idx="5">
                  <c:v>2014/15 [2]</c:v>
                </c:pt>
                <c:pt idx="6">
                  <c:v>2014/15 [3]</c:v>
                </c:pt>
              </c:strCache>
            </c:strRef>
          </c:cat>
          <c:val>
            <c:numRef>
              <c:f>'1.2 Actual impact'!$F$2:$F$8</c:f>
              <c:numCache>
                <c:formatCode>General</c:formatCode>
                <c:ptCount val="7"/>
                <c:pt idx="0">
                  <c:v>33</c:v>
                </c:pt>
                <c:pt idx="1">
                  <c:v>41</c:v>
                </c:pt>
                <c:pt idx="2">
                  <c:v>35</c:v>
                </c:pt>
                <c:pt idx="3">
                  <c:v>52</c:v>
                </c:pt>
                <c:pt idx="4">
                  <c:v>33</c:v>
                </c:pt>
                <c:pt idx="5">
                  <c:v>33</c:v>
                </c:pt>
                <c:pt idx="6">
                  <c:v>55</c:v>
                </c:pt>
              </c:numCache>
            </c:numRef>
          </c:val>
        </c:ser>
        <c:dLbls>
          <c:showLegendKey val="0"/>
          <c:showVal val="0"/>
          <c:showCatName val="0"/>
          <c:showSerName val="0"/>
          <c:showPercent val="0"/>
          <c:showBubbleSize val="0"/>
        </c:dLbls>
        <c:gapWidth val="150"/>
        <c:overlap val="100"/>
        <c:axId val="83507456"/>
        <c:axId val="83513728"/>
      </c:barChart>
      <c:catAx>
        <c:axId val="83507456"/>
        <c:scaling>
          <c:orientation val="minMax"/>
        </c:scaling>
        <c:delete val="0"/>
        <c:axPos val="b"/>
        <c:title>
          <c:tx>
            <c:rich>
              <a:bodyPr/>
              <a:lstStyle/>
              <a:p>
                <a:pPr>
                  <a:defRPr/>
                </a:pPr>
                <a:r>
                  <a:rPr lang="en-GB"/>
                  <a:t>Quarter</a:t>
                </a:r>
              </a:p>
            </c:rich>
          </c:tx>
          <c:overlay val="0"/>
        </c:title>
        <c:majorTickMark val="out"/>
        <c:minorTickMark val="none"/>
        <c:tickLblPos val="nextTo"/>
        <c:crossAx val="83513728"/>
        <c:crosses val="autoZero"/>
        <c:auto val="1"/>
        <c:lblAlgn val="ctr"/>
        <c:lblOffset val="100"/>
        <c:noMultiLvlLbl val="0"/>
      </c:catAx>
      <c:valAx>
        <c:axId val="83513728"/>
        <c:scaling>
          <c:orientation val="minMax"/>
        </c:scaling>
        <c:delete val="0"/>
        <c:axPos val="l"/>
        <c:majorGridlines/>
        <c:title>
          <c:tx>
            <c:rich>
              <a:bodyPr rot="-5400000" vert="horz"/>
              <a:lstStyle/>
              <a:p>
                <a:pPr>
                  <a:defRPr/>
                </a:pPr>
                <a:r>
                  <a:rPr lang="en-GB"/>
                  <a:t>Number of incidents</a:t>
                </a:r>
              </a:p>
            </c:rich>
          </c:tx>
          <c:overlay val="0"/>
        </c:title>
        <c:numFmt formatCode="General" sourceLinked="1"/>
        <c:majorTickMark val="out"/>
        <c:minorTickMark val="none"/>
        <c:tickLblPos val="nextTo"/>
        <c:crossAx val="83507456"/>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All</a:t>
            </a:r>
            <a:r>
              <a:rPr lang="en-GB" baseline="0"/>
              <a:t> deaths by quarter 2014-2015</a:t>
            </a:r>
            <a:endParaRPr lang="en-GB"/>
          </a:p>
        </c:rich>
      </c:tx>
      <c:overlay val="0"/>
    </c:title>
    <c:autoTitleDeleted val="0"/>
    <c:plotArea>
      <c:layout/>
      <c:barChart>
        <c:barDir val="col"/>
        <c:grouping val="clustered"/>
        <c:varyColors val="0"/>
        <c:ser>
          <c:idx val="0"/>
          <c:order val="0"/>
          <c:tx>
            <c:v>deaths</c:v>
          </c:tx>
          <c:invertIfNegative val="0"/>
          <c:cat>
            <c:strRef>
              <c:f>Sheet2!$H$3:$H$10</c:f>
              <c:strCache>
                <c:ptCount val="8"/>
                <c:pt idx="0">
                  <c:v>2013-14 (1)</c:v>
                </c:pt>
                <c:pt idx="1">
                  <c:v>2013-14 (2)</c:v>
                </c:pt>
                <c:pt idx="2">
                  <c:v>2013-14 (3)</c:v>
                </c:pt>
                <c:pt idx="3">
                  <c:v>2013-14 (4)</c:v>
                </c:pt>
                <c:pt idx="4">
                  <c:v>2014-15 (1)</c:v>
                </c:pt>
                <c:pt idx="5">
                  <c:v>2014-15 (2)</c:v>
                </c:pt>
                <c:pt idx="6">
                  <c:v>2014-15 (3)</c:v>
                </c:pt>
                <c:pt idx="7">
                  <c:v>2014-15 (4)</c:v>
                </c:pt>
              </c:strCache>
            </c:strRef>
          </c:cat>
          <c:val>
            <c:numRef>
              <c:f>Sheet2!$I$3:$I$10</c:f>
              <c:numCache>
                <c:formatCode>General</c:formatCode>
                <c:ptCount val="8"/>
                <c:pt idx="0">
                  <c:v>32</c:v>
                </c:pt>
                <c:pt idx="1">
                  <c:v>40</c:v>
                </c:pt>
                <c:pt idx="2">
                  <c:v>34</c:v>
                </c:pt>
                <c:pt idx="3">
                  <c:v>48</c:v>
                </c:pt>
                <c:pt idx="4">
                  <c:v>28</c:v>
                </c:pt>
                <c:pt idx="5">
                  <c:v>33</c:v>
                </c:pt>
                <c:pt idx="6">
                  <c:v>51</c:v>
                </c:pt>
                <c:pt idx="7">
                  <c:v>59</c:v>
                </c:pt>
              </c:numCache>
            </c:numRef>
          </c:val>
        </c:ser>
        <c:dLbls>
          <c:showLegendKey val="0"/>
          <c:showVal val="0"/>
          <c:showCatName val="0"/>
          <c:showSerName val="0"/>
          <c:showPercent val="0"/>
          <c:showBubbleSize val="0"/>
        </c:dLbls>
        <c:gapWidth val="150"/>
        <c:axId val="83293312"/>
        <c:axId val="83294848"/>
      </c:barChart>
      <c:catAx>
        <c:axId val="83293312"/>
        <c:scaling>
          <c:orientation val="minMax"/>
        </c:scaling>
        <c:delete val="0"/>
        <c:axPos val="b"/>
        <c:majorTickMark val="none"/>
        <c:minorTickMark val="none"/>
        <c:tickLblPos val="nextTo"/>
        <c:txPr>
          <a:bodyPr/>
          <a:lstStyle/>
          <a:p>
            <a:pPr>
              <a:defRPr sz="900" baseline="0"/>
            </a:pPr>
            <a:endParaRPr lang="en-US"/>
          </a:p>
        </c:txPr>
        <c:crossAx val="83294848"/>
        <c:crosses val="autoZero"/>
        <c:auto val="1"/>
        <c:lblAlgn val="ctr"/>
        <c:lblOffset val="100"/>
        <c:noMultiLvlLbl val="0"/>
      </c:catAx>
      <c:valAx>
        <c:axId val="83294848"/>
        <c:scaling>
          <c:orientation val="minMax"/>
        </c:scaling>
        <c:delete val="0"/>
        <c:axPos val="l"/>
        <c:majorGridlines/>
        <c:numFmt formatCode="General" sourceLinked="1"/>
        <c:majorTickMark val="none"/>
        <c:minorTickMark val="none"/>
        <c:tickLblPos val="nextTo"/>
        <c:crossAx val="83293312"/>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23417349634103651"/>
          <c:y val="0"/>
        </c:manualLayout>
      </c:layout>
      <c:overlay val="0"/>
    </c:title>
    <c:autoTitleDeleted val="0"/>
    <c:plotArea>
      <c:layout/>
      <c:barChart>
        <c:barDir val="bar"/>
        <c:grouping val="clustered"/>
        <c:varyColors val="0"/>
        <c:ser>
          <c:idx val="0"/>
          <c:order val="0"/>
          <c:tx>
            <c:strRef>
              <c:f>'1.3 Web Holding'!$B$11</c:f>
              <c:strCache>
                <c:ptCount val="1"/>
                <c:pt idx="0">
                  <c:v>Number of incidents in web holding 16+ days </c:v>
                </c:pt>
              </c:strCache>
            </c:strRef>
          </c:tx>
          <c:invertIfNegative val="0"/>
          <c:cat>
            <c:strRef>
              <c:f>'1.3 Web Holding'!$A$12:$A$27</c:f>
              <c:strCache>
                <c:ptCount val="16"/>
                <c:pt idx="0">
                  <c:v>Highfield Unit Oxon</c:v>
                </c:pt>
                <c:pt idx="1">
                  <c:v>Cotswold House Oxon</c:v>
                </c:pt>
                <c:pt idx="2">
                  <c:v>Marlborough House Wilts</c:v>
                </c:pt>
                <c:pt idx="3">
                  <c:v>Sapphire Ward</c:v>
                </c:pt>
                <c:pt idx="4">
                  <c:v>Vaughan Thomas Ward</c:v>
                </c:pt>
                <c:pt idx="5">
                  <c:v>Kestrel Ward</c:v>
                </c:pt>
                <c:pt idx="6">
                  <c:v>Allen Ward</c:v>
                </c:pt>
                <c:pt idx="7">
                  <c:v>Wintle Ward</c:v>
                </c:pt>
                <c:pt idx="8">
                  <c:v>Community Nurses Abingdon</c:v>
                </c:pt>
                <c:pt idx="9">
                  <c:v>Ashurst PICU</c:v>
                </c:pt>
                <c:pt idx="10">
                  <c:v>Community Nurses Montgomery House</c:v>
                </c:pt>
                <c:pt idx="11">
                  <c:v>Phoenix Ward</c:v>
                </c:pt>
                <c:pt idx="12">
                  <c:v>Abingdon Urgent Care</c:v>
                </c:pt>
                <c:pt idx="13">
                  <c:v>Amber Ward</c:v>
                </c:pt>
                <c:pt idx="14">
                  <c:v>City Community Hospital</c:v>
                </c:pt>
                <c:pt idx="15">
                  <c:v>Community Nurses Goring</c:v>
                </c:pt>
              </c:strCache>
            </c:strRef>
          </c:cat>
          <c:val>
            <c:numRef>
              <c:f>'1.3 Web Holding'!$B$12:$B$27</c:f>
              <c:numCache>
                <c:formatCode>General</c:formatCode>
                <c:ptCount val="16"/>
                <c:pt idx="0">
                  <c:v>125</c:v>
                </c:pt>
                <c:pt idx="1">
                  <c:v>68</c:v>
                </c:pt>
                <c:pt idx="2">
                  <c:v>36</c:v>
                </c:pt>
                <c:pt idx="3">
                  <c:v>34</c:v>
                </c:pt>
                <c:pt idx="4">
                  <c:v>29</c:v>
                </c:pt>
                <c:pt idx="5">
                  <c:v>19</c:v>
                </c:pt>
                <c:pt idx="6">
                  <c:v>16</c:v>
                </c:pt>
                <c:pt idx="7">
                  <c:v>16</c:v>
                </c:pt>
                <c:pt idx="8">
                  <c:v>12</c:v>
                </c:pt>
                <c:pt idx="9">
                  <c:v>11</c:v>
                </c:pt>
                <c:pt idx="10">
                  <c:v>11</c:v>
                </c:pt>
                <c:pt idx="11">
                  <c:v>11</c:v>
                </c:pt>
                <c:pt idx="12">
                  <c:v>10</c:v>
                </c:pt>
                <c:pt idx="13">
                  <c:v>10</c:v>
                </c:pt>
                <c:pt idx="14">
                  <c:v>10</c:v>
                </c:pt>
                <c:pt idx="15">
                  <c:v>10</c:v>
                </c:pt>
              </c:numCache>
            </c:numRef>
          </c:val>
        </c:ser>
        <c:dLbls>
          <c:showLegendKey val="0"/>
          <c:showVal val="0"/>
          <c:showCatName val="0"/>
          <c:showSerName val="0"/>
          <c:showPercent val="0"/>
          <c:showBubbleSize val="0"/>
        </c:dLbls>
        <c:gapWidth val="150"/>
        <c:axId val="83368192"/>
        <c:axId val="83390848"/>
      </c:barChart>
      <c:catAx>
        <c:axId val="83368192"/>
        <c:scaling>
          <c:orientation val="minMax"/>
        </c:scaling>
        <c:delete val="0"/>
        <c:axPos val="l"/>
        <c:majorGridlines/>
        <c:title>
          <c:tx>
            <c:rich>
              <a:bodyPr rot="-5400000" vert="horz"/>
              <a:lstStyle/>
              <a:p>
                <a:pPr>
                  <a:defRPr/>
                </a:pPr>
                <a:r>
                  <a:rPr lang="en-US"/>
                  <a:t>Department</a:t>
                </a:r>
              </a:p>
            </c:rich>
          </c:tx>
          <c:overlay val="0"/>
        </c:title>
        <c:majorTickMark val="out"/>
        <c:minorTickMark val="none"/>
        <c:tickLblPos val="nextTo"/>
        <c:crossAx val="83390848"/>
        <c:crosses val="autoZero"/>
        <c:auto val="1"/>
        <c:lblAlgn val="ctr"/>
        <c:lblOffset val="100"/>
        <c:noMultiLvlLbl val="0"/>
      </c:catAx>
      <c:valAx>
        <c:axId val="83390848"/>
        <c:scaling>
          <c:orientation val="minMax"/>
        </c:scaling>
        <c:delete val="0"/>
        <c:axPos val="b"/>
        <c:minorGridlines/>
        <c:title>
          <c:tx>
            <c:rich>
              <a:bodyPr/>
              <a:lstStyle/>
              <a:p>
                <a:pPr>
                  <a:defRPr/>
                </a:pPr>
                <a:r>
                  <a:rPr lang="en-US"/>
                  <a:t>Number of incidents</a:t>
                </a:r>
              </a:p>
            </c:rich>
          </c:tx>
          <c:overlay val="0"/>
        </c:title>
        <c:numFmt formatCode="General" sourceLinked="1"/>
        <c:majorTickMark val="out"/>
        <c:minorTickMark val="none"/>
        <c:tickLblPos val="nextTo"/>
        <c:crossAx val="83368192"/>
        <c:crosses val="autoZero"/>
        <c:crossBetween val="between"/>
      </c:valAx>
      <c:spPr>
        <a:noFill/>
        <a:ln w="25400">
          <a:noFill/>
        </a:ln>
      </c:spPr>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Top seven</a:t>
            </a:r>
            <a:r>
              <a:rPr lang="en-GB" baseline="0"/>
              <a:t> incidents by cause group</a:t>
            </a:r>
            <a:endParaRPr lang="en-GB"/>
          </a:p>
        </c:rich>
      </c:tx>
      <c:overlay val="0"/>
    </c:title>
    <c:autoTitleDeleted val="0"/>
    <c:plotArea>
      <c:layout/>
      <c:lineChart>
        <c:grouping val="standard"/>
        <c:varyColors val="0"/>
        <c:ser>
          <c:idx val="0"/>
          <c:order val="0"/>
          <c:tx>
            <c:strRef>
              <c:f>'1.4 Top Causes'!$A$25</c:f>
              <c:strCache>
                <c:ptCount val="1"/>
                <c:pt idx="0">
                  <c:v>Communication/confidentiality</c:v>
                </c:pt>
              </c:strCache>
            </c:strRef>
          </c:tx>
          <c:cat>
            <c:strRef>
              <c:f>'1.4 Top Causes'!$B$24:$I$24</c:f>
              <c:strCache>
                <c:ptCount val="8"/>
                <c:pt idx="0">
                  <c:v>2013/14 [1]</c:v>
                </c:pt>
                <c:pt idx="1">
                  <c:v>2013/14 [2]</c:v>
                </c:pt>
                <c:pt idx="2">
                  <c:v>2013/14 [3]</c:v>
                </c:pt>
                <c:pt idx="3">
                  <c:v>2013/14 [4]</c:v>
                </c:pt>
                <c:pt idx="4">
                  <c:v>2014/15 [1]</c:v>
                </c:pt>
                <c:pt idx="5">
                  <c:v>2014/15 [2]</c:v>
                </c:pt>
                <c:pt idx="6">
                  <c:v>2014/15 [3]</c:v>
                </c:pt>
                <c:pt idx="7">
                  <c:v>2014/15 [4]</c:v>
                </c:pt>
              </c:strCache>
            </c:strRef>
          </c:cat>
          <c:val>
            <c:numRef>
              <c:f>'1.4 Top Causes'!$B$25:$I$25</c:f>
              <c:numCache>
                <c:formatCode>General</c:formatCode>
                <c:ptCount val="8"/>
                <c:pt idx="0">
                  <c:v>183</c:v>
                </c:pt>
                <c:pt idx="1">
                  <c:v>195</c:v>
                </c:pt>
                <c:pt idx="2">
                  <c:v>168</c:v>
                </c:pt>
                <c:pt idx="3">
                  <c:v>175</c:v>
                </c:pt>
                <c:pt idx="4">
                  <c:v>180</c:v>
                </c:pt>
                <c:pt idx="5">
                  <c:v>163</c:v>
                </c:pt>
                <c:pt idx="6">
                  <c:v>151</c:v>
                </c:pt>
                <c:pt idx="7">
                  <c:v>206</c:v>
                </c:pt>
              </c:numCache>
            </c:numRef>
          </c:val>
          <c:smooth val="0"/>
        </c:ser>
        <c:ser>
          <c:idx val="1"/>
          <c:order val="1"/>
          <c:tx>
            <c:strRef>
              <c:f>'1.4 Top Causes'!$A$26</c:f>
              <c:strCache>
                <c:ptCount val="1"/>
                <c:pt idx="0">
                  <c:v>Fall Related</c:v>
                </c:pt>
              </c:strCache>
            </c:strRef>
          </c:tx>
          <c:cat>
            <c:strRef>
              <c:f>'1.4 Top Causes'!$B$24:$I$24</c:f>
              <c:strCache>
                <c:ptCount val="8"/>
                <c:pt idx="0">
                  <c:v>2013/14 [1]</c:v>
                </c:pt>
                <c:pt idx="1">
                  <c:v>2013/14 [2]</c:v>
                </c:pt>
                <c:pt idx="2">
                  <c:v>2013/14 [3]</c:v>
                </c:pt>
                <c:pt idx="3">
                  <c:v>2013/14 [4]</c:v>
                </c:pt>
                <c:pt idx="4">
                  <c:v>2014/15 [1]</c:v>
                </c:pt>
                <c:pt idx="5">
                  <c:v>2014/15 [2]</c:v>
                </c:pt>
                <c:pt idx="6">
                  <c:v>2014/15 [3]</c:v>
                </c:pt>
                <c:pt idx="7">
                  <c:v>2014/15 [4]</c:v>
                </c:pt>
              </c:strCache>
            </c:strRef>
          </c:cat>
          <c:val>
            <c:numRef>
              <c:f>'1.4 Top Causes'!$B$26:$I$26</c:f>
              <c:numCache>
                <c:formatCode>General</c:formatCode>
                <c:ptCount val="8"/>
                <c:pt idx="0">
                  <c:v>246</c:v>
                </c:pt>
                <c:pt idx="1">
                  <c:v>226</c:v>
                </c:pt>
                <c:pt idx="2">
                  <c:v>278</c:v>
                </c:pt>
                <c:pt idx="3">
                  <c:v>282</c:v>
                </c:pt>
                <c:pt idx="4">
                  <c:v>283</c:v>
                </c:pt>
                <c:pt idx="5">
                  <c:v>260</c:v>
                </c:pt>
                <c:pt idx="6">
                  <c:v>303</c:v>
                </c:pt>
                <c:pt idx="7">
                  <c:v>233</c:v>
                </c:pt>
              </c:numCache>
            </c:numRef>
          </c:val>
          <c:smooth val="0"/>
        </c:ser>
        <c:ser>
          <c:idx val="2"/>
          <c:order val="2"/>
          <c:tx>
            <c:strRef>
              <c:f>'1.4 Top Causes'!$A$27</c:f>
              <c:strCache>
                <c:ptCount val="1"/>
                <c:pt idx="0">
                  <c:v>Health</c:v>
                </c:pt>
              </c:strCache>
            </c:strRef>
          </c:tx>
          <c:cat>
            <c:strRef>
              <c:f>'1.4 Top Causes'!$B$24:$I$24</c:f>
              <c:strCache>
                <c:ptCount val="8"/>
                <c:pt idx="0">
                  <c:v>2013/14 [1]</c:v>
                </c:pt>
                <c:pt idx="1">
                  <c:v>2013/14 [2]</c:v>
                </c:pt>
                <c:pt idx="2">
                  <c:v>2013/14 [3]</c:v>
                </c:pt>
                <c:pt idx="3">
                  <c:v>2013/14 [4]</c:v>
                </c:pt>
                <c:pt idx="4">
                  <c:v>2014/15 [1]</c:v>
                </c:pt>
                <c:pt idx="5">
                  <c:v>2014/15 [2]</c:v>
                </c:pt>
                <c:pt idx="6">
                  <c:v>2014/15 [3]</c:v>
                </c:pt>
                <c:pt idx="7">
                  <c:v>2014/15 [4]</c:v>
                </c:pt>
              </c:strCache>
            </c:strRef>
          </c:cat>
          <c:val>
            <c:numRef>
              <c:f>'1.4 Top Causes'!$B$27:$I$27</c:f>
              <c:numCache>
                <c:formatCode>General</c:formatCode>
                <c:ptCount val="8"/>
                <c:pt idx="0">
                  <c:v>540</c:v>
                </c:pt>
                <c:pt idx="1">
                  <c:v>519</c:v>
                </c:pt>
                <c:pt idx="2">
                  <c:v>479</c:v>
                </c:pt>
                <c:pt idx="3">
                  <c:v>535</c:v>
                </c:pt>
                <c:pt idx="4">
                  <c:v>559</c:v>
                </c:pt>
                <c:pt idx="5">
                  <c:v>543</c:v>
                </c:pt>
                <c:pt idx="6">
                  <c:v>508</c:v>
                </c:pt>
                <c:pt idx="7">
                  <c:v>629</c:v>
                </c:pt>
              </c:numCache>
            </c:numRef>
          </c:val>
          <c:smooth val="0"/>
        </c:ser>
        <c:ser>
          <c:idx val="3"/>
          <c:order val="3"/>
          <c:tx>
            <c:strRef>
              <c:f>'1.4 Top Causes'!$A$28</c:f>
              <c:strCache>
                <c:ptCount val="1"/>
                <c:pt idx="0">
                  <c:v>Medication Incidents</c:v>
                </c:pt>
              </c:strCache>
            </c:strRef>
          </c:tx>
          <c:cat>
            <c:strRef>
              <c:f>'1.4 Top Causes'!$B$24:$I$24</c:f>
              <c:strCache>
                <c:ptCount val="8"/>
                <c:pt idx="0">
                  <c:v>2013/14 [1]</c:v>
                </c:pt>
                <c:pt idx="1">
                  <c:v>2013/14 [2]</c:v>
                </c:pt>
                <c:pt idx="2">
                  <c:v>2013/14 [3]</c:v>
                </c:pt>
                <c:pt idx="3">
                  <c:v>2013/14 [4]</c:v>
                </c:pt>
                <c:pt idx="4">
                  <c:v>2014/15 [1]</c:v>
                </c:pt>
                <c:pt idx="5">
                  <c:v>2014/15 [2]</c:v>
                </c:pt>
                <c:pt idx="6">
                  <c:v>2014/15 [3]</c:v>
                </c:pt>
                <c:pt idx="7">
                  <c:v>2014/15 [4]</c:v>
                </c:pt>
              </c:strCache>
            </c:strRef>
          </c:cat>
          <c:val>
            <c:numRef>
              <c:f>'1.4 Top Causes'!$B$28:$I$28</c:f>
              <c:numCache>
                <c:formatCode>General</c:formatCode>
                <c:ptCount val="8"/>
                <c:pt idx="0">
                  <c:v>177</c:v>
                </c:pt>
                <c:pt idx="1">
                  <c:v>235</c:v>
                </c:pt>
                <c:pt idx="2">
                  <c:v>251</c:v>
                </c:pt>
                <c:pt idx="3">
                  <c:v>188</c:v>
                </c:pt>
                <c:pt idx="4">
                  <c:v>229</c:v>
                </c:pt>
                <c:pt idx="5">
                  <c:v>277</c:v>
                </c:pt>
                <c:pt idx="6">
                  <c:v>205</c:v>
                </c:pt>
                <c:pt idx="7">
                  <c:v>265</c:v>
                </c:pt>
              </c:numCache>
            </c:numRef>
          </c:val>
          <c:smooth val="0"/>
        </c:ser>
        <c:ser>
          <c:idx val="4"/>
          <c:order val="4"/>
          <c:tx>
            <c:strRef>
              <c:f>'1.4 Top Causes'!$A$29</c:f>
              <c:strCache>
                <c:ptCount val="1"/>
                <c:pt idx="0">
                  <c:v>Security</c:v>
                </c:pt>
              </c:strCache>
            </c:strRef>
          </c:tx>
          <c:cat>
            <c:strRef>
              <c:f>'1.4 Top Causes'!$B$24:$I$24</c:f>
              <c:strCache>
                <c:ptCount val="8"/>
                <c:pt idx="0">
                  <c:v>2013/14 [1]</c:v>
                </c:pt>
                <c:pt idx="1">
                  <c:v>2013/14 [2]</c:v>
                </c:pt>
                <c:pt idx="2">
                  <c:v>2013/14 [3]</c:v>
                </c:pt>
                <c:pt idx="3">
                  <c:v>2013/14 [4]</c:v>
                </c:pt>
                <c:pt idx="4">
                  <c:v>2014/15 [1]</c:v>
                </c:pt>
                <c:pt idx="5">
                  <c:v>2014/15 [2]</c:v>
                </c:pt>
                <c:pt idx="6">
                  <c:v>2014/15 [3]</c:v>
                </c:pt>
                <c:pt idx="7">
                  <c:v>2014/15 [4]</c:v>
                </c:pt>
              </c:strCache>
            </c:strRef>
          </c:cat>
          <c:val>
            <c:numRef>
              <c:f>'1.4 Top Causes'!$B$29:$I$29</c:f>
              <c:numCache>
                <c:formatCode>General</c:formatCode>
                <c:ptCount val="8"/>
                <c:pt idx="0">
                  <c:v>145</c:v>
                </c:pt>
                <c:pt idx="1">
                  <c:v>142</c:v>
                </c:pt>
                <c:pt idx="2">
                  <c:v>119</c:v>
                </c:pt>
                <c:pt idx="3">
                  <c:v>111</c:v>
                </c:pt>
                <c:pt idx="4">
                  <c:v>173</c:v>
                </c:pt>
                <c:pt idx="5">
                  <c:v>166</c:v>
                </c:pt>
                <c:pt idx="6">
                  <c:v>163</c:v>
                </c:pt>
                <c:pt idx="7">
                  <c:v>142</c:v>
                </c:pt>
              </c:numCache>
            </c:numRef>
          </c:val>
          <c:smooth val="0"/>
        </c:ser>
        <c:ser>
          <c:idx val="5"/>
          <c:order val="5"/>
          <c:tx>
            <c:strRef>
              <c:f>'1.4 Top Causes'!$A$30</c:f>
              <c:strCache>
                <c:ptCount val="1"/>
                <c:pt idx="0">
                  <c:v>Self Harm</c:v>
                </c:pt>
              </c:strCache>
            </c:strRef>
          </c:tx>
          <c:cat>
            <c:strRef>
              <c:f>'1.4 Top Causes'!$B$24:$I$24</c:f>
              <c:strCache>
                <c:ptCount val="8"/>
                <c:pt idx="0">
                  <c:v>2013/14 [1]</c:v>
                </c:pt>
                <c:pt idx="1">
                  <c:v>2013/14 [2]</c:v>
                </c:pt>
                <c:pt idx="2">
                  <c:v>2013/14 [3]</c:v>
                </c:pt>
                <c:pt idx="3">
                  <c:v>2013/14 [4]</c:v>
                </c:pt>
                <c:pt idx="4">
                  <c:v>2014/15 [1]</c:v>
                </c:pt>
                <c:pt idx="5">
                  <c:v>2014/15 [2]</c:v>
                </c:pt>
                <c:pt idx="6">
                  <c:v>2014/15 [3]</c:v>
                </c:pt>
                <c:pt idx="7">
                  <c:v>2014/15 [4]</c:v>
                </c:pt>
              </c:strCache>
            </c:strRef>
          </c:cat>
          <c:val>
            <c:numRef>
              <c:f>'1.4 Top Causes'!$B$30:$I$30</c:f>
              <c:numCache>
                <c:formatCode>General</c:formatCode>
                <c:ptCount val="8"/>
                <c:pt idx="0">
                  <c:v>214</c:v>
                </c:pt>
                <c:pt idx="1">
                  <c:v>193</c:v>
                </c:pt>
                <c:pt idx="2">
                  <c:v>138</c:v>
                </c:pt>
                <c:pt idx="3">
                  <c:v>162</c:v>
                </c:pt>
                <c:pt idx="4">
                  <c:v>168</c:v>
                </c:pt>
                <c:pt idx="5">
                  <c:v>172</c:v>
                </c:pt>
                <c:pt idx="6">
                  <c:v>246</c:v>
                </c:pt>
                <c:pt idx="7">
                  <c:v>261</c:v>
                </c:pt>
              </c:numCache>
            </c:numRef>
          </c:val>
          <c:smooth val="0"/>
        </c:ser>
        <c:ser>
          <c:idx val="6"/>
          <c:order val="6"/>
          <c:tx>
            <c:strRef>
              <c:f>'1.4 Top Causes'!$A$31</c:f>
              <c:strCache>
                <c:ptCount val="1"/>
                <c:pt idx="0">
                  <c:v>Violence/Aggression</c:v>
                </c:pt>
              </c:strCache>
            </c:strRef>
          </c:tx>
          <c:cat>
            <c:strRef>
              <c:f>'1.4 Top Causes'!$B$24:$I$24</c:f>
              <c:strCache>
                <c:ptCount val="8"/>
                <c:pt idx="0">
                  <c:v>2013/14 [1]</c:v>
                </c:pt>
                <c:pt idx="1">
                  <c:v>2013/14 [2]</c:v>
                </c:pt>
                <c:pt idx="2">
                  <c:v>2013/14 [3]</c:v>
                </c:pt>
                <c:pt idx="3">
                  <c:v>2013/14 [4]</c:v>
                </c:pt>
                <c:pt idx="4">
                  <c:v>2014/15 [1]</c:v>
                </c:pt>
                <c:pt idx="5">
                  <c:v>2014/15 [2]</c:v>
                </c:pt>
                <c:pt idx="6">
                  <c:v>2014/15 [3]</c:v>
                </c:pt>
                <c:pt idx="7">
                  <c:v>2014/15 [4]</c:v>
                </c:pt>
              </c:strCache>
            </c:strRef>
          </c:cat>
          <c:val>
            <c:numRef>
              <c:f>'1.4 Top Causes'!$B$31:$I$31</c:f>
              <c:numCache>
                <c:formatCode>General</c:formatCode>
                <c:ptCount val="8"/>
                <c:pt idx="0">
                  <c:v>374</c:v>
                </c:pt>
                <c:pt idx="1">
                  <c:v>426</c:v>
                </c:pt>
                <c:pt idx="2">
                  <c:v>479</c:v>
                </c:pt>
                <c:pt idx="3">
                  <c:v>386</c:v>
                </c:pt>
                <c:pt idx="4">
                  <c:v>409</c:v>
                </c:pt>
                <c:pt idx="5">
                  <c:v>436</c:v>
                </c:pt>
                <c:pt idx="6">
                  <c:v>431</c:v>
                </c:pt>
                <c:pt idx="7">
                  <c:v>527</c:v>
                </c:pt>
              </c:numCache>
            </c:numRef>
          </c:val>
          <c:smooth val="0"/>
        </c:ser>
        <c:dLbls>
          <c:showLegendKey val="0"/>
          <c:showVal val="0"/>
          <c:showCatName val="0"/>
          <c:showSerName val="0"/>
          <c:showPercent val="0"/>
          <c:showBubbleSize val="0"/>
        </c:dLbls>
        <c:marker val="1"/>
        <c:smooth val="0"/>
        <c:axId val="83420288"/>
        <c:axId val="83422208"/>
      </c:lineChart>
      <c:catAx>
        <c:axId val="83420288"/>
        <c:scaling>
          <c:orientation val="minMax"/>
        </c:scaling>
        <c:delete val="0"/>
        <c:axPos val="b"/>
        <c:title>
          <c:tx>
            <c:rich>
              <a:bodyPr/>
              <a:lstStyle/>
              <a:p>
                <a:pPr>
                  <a:defRPr/>
                </a:pPr>
                <a:r>
                  <a:rPr lang="en-GB"/>
                  <a:t>Quarter</a:t>
                </a:r>
              </a:p>
            </c:rich>
          </c:tx>
          <c:overlay val="0"/>
        </c:title>
        <c:majorTickMark val="out"/>
        <c:minorTickMark val="none"/>
        <c:tickLblPos val="nextTo"/>
        <c:crossAx val="83422208"/>
        <c:crosses val="autoZero"/>
        <c:auto val="1"/>
        <c:lblAlgn val="ctr"/>
        <c:lblOffset val="100"/>
        <c:noMultiLvlLbl val="0"/>
      </c:catAx>
      <c:valAx>
        <c:axId val="83422208"/>
        <c:scaling>
          <c:orientation val="minMax"/>
        </c:scaling>
        <c:delete val="0"/>
        <c:axPos val="l"/>
        <c:majorGridlines/>
        <c:title>
          <c:tx>
            <c:rich>
              <a:bodyPr rot="-5400000" vert="horz"/>
              <a:lstStyle/>
              <a:p>
                <a:pPr>
                  <a:defRPr/>
                </a:pPr>
                <a:r>
                  <a:rPr lang="en-GB"/>
                  <a:t>Number of incidents</a:t>
                </a:r>
              </a:p>
            </c:rich>
          </c:tx>
          <c:overlay val="0"/>
        </c:title>
        <c:numFmt formatCode="General" sourceLinked="1"/>
        <c:majorTickMark val="out"/>
        <c:minorTickMark val="none"/>
        <c:tickLblPos val="nextTo"/>
        <c:crossAx val="83420288"/>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Incidents</a:t>
            </a:r>
            <a:r>
              <a:rPr lang="en-GB" baseline="0"/>
              <a:t> by division Q1-3 2014-15</a:t>
            </a:r>
            <a:endParaRPr lang="en-GB"/>
          </a:p>
        </c:rich>
      </c:tx>
      <c:overlay val="0"/>
    </c:title>
    <c:autoTitleDeleted val="0"/>
    <c:plotArea>
      <c:layout/>
      <c:lineChart>
        <c:grouping val="standard"/>
        <c:varyColors val="0"/>
        <c:ser>
          <c:idx val="0"/>
          <c:order val="0"/>
          <c:tx>
            <c:strRef>
              <c:f>'1.4 Incidents by Division'!$B$1</c:f>
              <c:strCache>
                <c:ptCount val="1"/>
                <c:pt idx="0">
                  <c:v>Children &amp; Family Services</c:v>
                </c:pt>
              </c:strCache>
            </c:strRef>
          </c:tx>
          <c:cat>
            <c:strRef>
              <c:f>'1.4 Incidents by Division'!$A$2:$A$8</c:f>
              <c:strCache>
                <c:ptCount val="7"/>
                <c:pt idx="0">
                  <c:v>2013/14 [1]</c:v>
                </c:pt>
                <c:pt idx="1">
                  <c:v>2013/14 [2]</c:v>
                </c:pt>
                <c:pt idx="2">
                  <c:v>2013/14 [3]</c:v>
                </c:pt>
                <c:pt idx="3">
                  <c:v>2013/14 [4]</c:v>
                </c:pt>
                <c:pt idx="4">
                  <c:v>2014/15 [1]</c:v>
                </c:pt>
                <c:pt idx="5">
                  <c:v>2014/15 [2]</c:v>
                </c:pt>
                <c:pt idx="6">
                  <c:v>2014/15 [3]</c:v>
                </c:pt>
              </c:strCache>
            </c:strRef>
          </c:cat>
          <c:val>
            <c:numRef>
              <c:f>'1.4 Incidents by Division'!$B$2:$B$8</c:f>
              <c:numCache>
                <c:formatCode>General</c:formatCode>
                <c:ptCount val="7"/>
                <c:pt idx="0">
                  <c:v>308</c:v>
                </c:pt>
                <c:pt idx="1">
                  <c:v>292</c:v>
                </c:pt>
                <c:pt idx="2">
                  <c:v>242</c:v>
                </c:pt>
                <c:pt idx="3">
                  <c:v>299</c:v>
                </c:pt>
                <c:pt idx="4">
                  <c:v>336</c:v>
                </c:pt>
                <c:pt idx="5">
                  <c:v>360</c:v>
                </c:pt>
                <c:pt idx="6">
                  <c:v>377</c:v>
                </c:pt>
              </c:numCache>
            </c:numRef>
          </c:val>
          <c:smooth val="0"/>
        </c:ser>
        <c:ser>
          <c:idx val="1"/>
          <c:order val="1"/>
          <c:tx>
            <c:strRef>
              <c:f>'1.4 Incidents by Division'!$C$1</c:f>
              <c:strCache>
                <c:ptCount val="1"/>
                <c:pt idx="0">
                  <c:v>Mental Health Services</c:v>
                </c:pt>
              </c:strCache>
            </c:strRef>
          </c:tx>
          <c:cat>
            <c:strRef>
              <c:f>'1.4 Incidents by Division'!$A$2:$A$8</c:f>
              <c:strCache>
                <c:ptCount val="7"/>
                <c:pt idx="0">
                  <c:v>2013/14 [1]</c:v>
                </c:pt>
                <c:pt idx="1">
                  <c:v>2013/14 [2]</c:v>
                </c:pt>
                <c:pt idx="2">
                  <c:v>2013/14 [3]</c:v>
                </c:pt>
                <c:pt idx="3">
                  <c:v>2013/14 [4]</c:v>
                </c:pt>
                <c:pt idx="4">
                  <c:v>2014/15 [1]</c:v>
                </c:pt>
                <c:pt idx="5">
                  <c:v>2014/15 [2]</c:v>
                </c:pt>
                <c:pt idx="6">
                  <c:v>2014/15 [3]</c:v>
                </c:pt>
              </c:strCache>
            </c:strRef>
          </c:cat>
          <c:val>
            <c:numRef>
              <c:f>'1.4 Incidents by Division'!$C$2:$C$8</c:f>
              <c:numCache>
                <c:formatCode>General</c:formatCode>
                <c:ptCount val="7"/>
                <c:pt idx="0">
                  <c:v>1090</c:v>
                </c:pt>
                <c:pt idx="1">
                  <c:v>1130</c:v>
                </c:pt>
                <c:pt idx="2">
                  <c:v>1096</c:v>
                </c:pt>
                <c:pt idx="3">
                  <c:v>944</c:v>
                </c:pt>
                <c:pt idx="4">
                  <c:v>1032</c:v>
                </c:pt>
                <c:pt idx="5">
                  <c:v>803</c:v>
                </c:pt>
                <c:pt idx="6">
                  <c:v>835</c:v>
                </c:pt>
              </c:numCache>
            </c:numRef>
          </c:val>
          <c:smooth val="0"/>
        </c:ser>
        <c:ser>
          <c:idx val="2"/>
          <c:order val="2"/>
          <c:tx>
            <c:strRef>
              <c:f>'1.4 Incidents by Division'!$D$1</c:f>
              <c:strCache>
                <c:ptCount val="1"/>
                <c:pt idx="0">
                  <c:v>Oxfordshire Community Services</c:v>
                </c:pt>
              </c:strCache>
            </c:strRef>
          </c:tx>
          <c:cat>
            <c:strRef>
              <c:f>'1.4 Incidents by Division'!$A$2:$A$8</c:f>
              <c:strCache>
                <c:ptCount val="7"/>
                <c:pt idx="0">
                  <c:v>2013/14 [1]</c:v>
                </c:pt>
                <c:pt idx="1">
                  <c:v>2013/14 [2]</c:v>
                </c:pt>
                <c:pt idx="2">
                  <c:v>2013/14 [3]</c:v>
                </c:pt>
                <c:pt idx="3">
                  <c:v>2013/14 [4]</c:v>
                </c:pt>
                <c:pt idx="4">
                  <c:v>2014/15 [1]</c:v>
                </c:pt>
                <c:pt idx="5">
                  <c:v>2014/15 [2]</c:v>
                </c:pt>
                <c:pt idx="6">
                  <c:v>2014/15 [3]</c:v>
                </c:pt>
              </c:strCache>
            </c:strRef>
          </c:cat>
          <c:val>
            <c:numRef>
              <c:f>'1.4 Incidents by Division'!$D$2:$D$8</c:f>
              <c:numCache>
                <c:formatCode>General</c:formatCode>
                <c:ptCount val="7"/>
                <c:pt idx="0">
                  <c:v>1119</c:v>
                </c:pt>
                <c:pt idx="1">
                  <c:v>1206</c:v>
                </c:pt>
                <c:pt idx="2">
                  <c:v>1228</c:v>
                </c:pt>
                <c:pt idx="3">
                  <c:v>1149</c:v>
                </c:pt>
                <c:pt idx="4">
                  <c:v>1269</c:v>
                </c:pt>
                <c:pt idx="5">
                  <c:v>1286</c:v>
                </c:pt>
                <c:pt idx="6">
                  <c:v>1302</c:v>
                </c:pt>
              </c:numCache>
            </c:numRef>
          </c:val>
          <c:smooth val="0"/>
        </c:ser>
        <c:ser>
          <c:idx val="3"/>
          <c:order val="3"/>
          <c:tx>
            <c:strRef>
              <c:f>'1.4 Incidents by Division'!$E$1</c:f>
              <c:strCache>
                <c:ptCount val="1"/>
                <c:pt idx="0">
                  <c:v>Specialised Services</c:v>
                </c:pt>
              </c:strCache>
            </c:strRef>
          </c:tx>
          <c:cat>
            <c:strRef>
              <c:f>'1.4 Incidents by Division'!$A$2:$A$8</c:f>
              <c:strCache>
                <c:ptCount val="7"/>
                <c:pt idx="0">
                  <c:v>2013/14 [1]</c:v>
                </c:pt>
                <c:pt idx="1">
                  <c:v>2013/14 [2]</c:v>
                </c:pt>
                <c:pt idx="2">
                  <c:v>2013/14 [3]</c:v>
                </c:pt>
                <c:pt idx="3">
                  <c:v>2013/14 [4]</c:v>
                </c:pt>
                <c:pt idx="4">
                  <c:v>2014/15 [1]</c:v>
                </c:pt>
                <c:pt idx="5">
                  <c:v>2014/15 [2]</c:v>
                </c:pt>
                <c:pt idx="6">
                  <c:v>2014/15 [3]</c:v>
                </c:pt>
              </c:strCache>
            </c:strRef>
          </c:cat>
          <c:val>
            <c:numRef>
              <c:f>'1.4 Incidents by Division'!$E$2:$E$8</c:f>
              <c:numCache>
                <c:formatCode>General</c:formatCode>
                <c:ptCount val="7"/>
                <c:pt idx="0">
                  <c:v>241</c:v>
                </c:pt>
                <c:pt idx="1">
                  <c:v>330</c:v>
                </c:pt>
                <c:pt idx="2">
                  <c:v>371</c:v>
                </c:pt>
                <c:pt idx="3">
                  <c:v>326</c:v>
                </c:pt>
                <c:pt idx="4">
                  <c:v>343</c:v>
                </c:pt>
                <c:pt idx="5">
                  <c:v>376</c:v>
                </c:pt>
                <c:pt idx="6">
                  <c:v>372</c:v>
                </c:pt>
              </c:numCache>
            </c:numRef>
          </c:val>
          <c:smooth val="0"/>
        </c:ser>
        <c:ser>
          <c:idx val="4"/>
          <c:order val="4"/>
          <c:tx>
            <c:strRef>
              <c:f>'1.4 Incidents by Division'!$F$1</c:f>
              <c:strCache>
                <c:ptCount val="1"/>
                <c:pt idx="0">
                  <c:v>Support Services</c:v>
                </c:pt>
              </c:strCache>
            </c:strRef>
          </c:tx>
          <c:cat>
            <c:strRef>
              <c:f>'1.4 Incidents by Division'!$A$2:$A$8</c:f>
              <c:strCache>
                <c:ptCount val="7"/>
                <c:pt idx="0">
                  <c:v>2013/14 [1]</c:v>
                </c:pt>
                <c:pt idx="1">
                  <c:v>2013/14 [2]</c:v>
                </c:pt>
                <c:pt idx="2">
                  <c:v>2013/14 [3]</c:v>
                </c:pt>
                <c:pt idx="3">
                  <c:v>2013/14 [4]</c:v>
                </c:pt>
                <c:pt idx="4">
                  <c:v>2014/15 [1]</c:v>
                </c:pt>
                <c:pt idx="5">
                  <c:v>2014/15 [2]</c:v>
                </c:pt>
                <c:pt idx="6">
                  <c:v>2014/15 [3]</c:v>
                </c:pt>
              </c:strCache>
            </c:strRef>
          </c:cat>
          <c:val>
            <c:numRef>
              <c:f>'1.4 Incidents by Division'!$F$2:$F$8</c:f>
              <c:numCache>
                <c:formatCode>General</c:formatCode>
                <c:ptCount val="7"/>
                <c:pt idx="0">
                  <c:v>34</c:v>
                </c:pt>
                <c:pt idx="1">
                  <c:v>44</c:v>
                </c:pt>
                <c:pt idx="2">
                  <c:v>21</c:v>
                </c:pt>
                <c:pt idx="3">
                  <c:v>32</c:v>
                </c:pt>
                <c:pt idx="4">
                  <c:v>49</c:v>
                </c:pt>
                <c:pt idx="5">
                  <c:v>20</c:v>
                </c:pt>
                <c:pt idx="6">
                  <c:v>22</c:v>
                </c:pt>
              </c:numCache>
            </c:numRef>
          </c:val>
          <c:smooth val="0"/>
        </c:ser>
        <c:ser>
          <c:idx val="5"/>
          <c:order val="5"/>
          <c:tx>
            <c:strRef>
              <c:f>'1.4 Incidents by Division'!$G$1</c:f>
              <c:strCache>
                <c:ptCount val="1"/>
                <c:pt idx="0">
                  <c:v>Not Trust Related</c:v>
                </c:pt>
              </c:strCache>
            </c:strRef>
          </c:tx>
          <c:cat>
            <c:strRef>
              <c:f>'1.4 Incidents by Division'!$A$2:$A$8</c:f>
              <c:strCache>
                <c:ptCount val="7"/>
                <c:pt idx="0">
                  <c:v>2013/14 [1]</c:v>
                </c:pt>
                <c:pt idx="1">
                  <c:v>2013/14 [2]</c:v>
                </c:pt>
                <c:pt idx="2">
                  <c:v>2013/14 [3]</c:v>
                </c:pt>
                <c:pt idx="3">
                  <c:v>2013/14 [4]</c:v>
                </c:pt>
                <c:pt idx="4">
                  <c:v>2014/15 [1]</c:v>
                </c:pt>
                <c:pt idx="5">
                  <c:v>2014/15 [2]</c:v>
                </c:pt>
                <c:pt idx="6">
                  <c:v>2014/15 [3]</c:v>
                </c:pt>
              </c:strCache>
            </c:strRef>
          </c:cat>
          <c:val>
            <c:numRef>
              <c:f>'1.4 Incidents by Division'!$G$2:$G$8</c:f>
              <c:numCache>
                <c:formatCode>General</c:formatCode>
                <c:ptCount val="7"/>
                <c:pt idx="0">
                  <c:v>0</c:v>
                </c:pt>
                <c:pt idx="1">
                  <c:v>0</c:v>
                </c:pt>
                <c:pt idx="2">
                  <c:v>0</c:v>
                </c:pt>
                <c:pt idx="3">
                  <c:v>1</c:v>
                </c:pt>
                <c:pt idx="4">
                  <c:v>2</c:v>
                </c:pt>
                <c:pt idx="5">
                  <c:v>0</c:v>
                </c:pt>
                <c:pt idx="6">
                  <c:v>0</c:v>
                </c:pt>
              </c:numCache>
            </c:numRef>
          </c:val>
          <c:smooth val="0"/>
        </c:ser>
        <c:ser>
          <c:idx val="6"/>
          <c:order val="6"/>
          <c:tx>
            <c:strRef>
              <c:f>'1.4 Incidents by Division'!$H$1</c:f>
              <c:strCache>
                <c:ptCount val="1"/>
                <c:pt idx="0">
                  <c:v>Corporate</c:v>
                </c:pt>
              </c:strCache>
            </c:strRef>
          </c:tx>
          <c:cat>
            <c:strRef>
              <c:f>'1.4 Incidents by Division'!$A$2:$A$8</c:f>
              <c:strCache>
                <c:ptCount val="7"/>
                <c:pt idx="0">
                  <c:v>2013/14 [1]</c:v>
                </c:pt>
                <c:pt idx="1">
                  <c:v>2013/14 [2]</c:v>
                </c:pt>
                <c:pt idx="2">
                  <c:v>2013/14 [3]</c:v>
                </c:pt>
                <c:pt idx="3">
                  <c:v>2013/14 [4]</c:v>
                </c:pt>
                <c:pt idx="4">
                  <c:v>2014/15 [1]</c:v>
                </c:pt>
                <c:pt idx="5">
                  <c:v>2014/15 [2]</c:v>
                </c:pt>
                <c:pt idx="6">
                  <c:v>2014/15 [3]</c:v>
                </c:pt>
              </c:strCache>
            </c:strRef>
          </c:cat>
          <c:val>
            <c:numRef>
              <c:f>'1.4 Incidents by Division'!$H$2:$H$8</c:f>
              <c:numCache>
                <c:formatCode>General</c:formatCode>
                <c:ptCount val="7"/>
                <c:pt idx="0">
                  <c:v>1</c:v>
                </c:pt>
                <c:pt idx="1">
                  <c:v>2</c:v>
                </c:pt>
                <c:pt idx="2">
                  <c:v>2</c:v>
                </c:pt>
                <c:pt idx="3">
                  <c:v>0</c:v>
                </c:pt>
                <c:pt idx="4">
                  <c:v>0</c:v>
                </c:pt>
                <c:pt idx="5">
                  <c:v>1</c:v>
                </c:pt>
                <c:pt idx="6">
                  <c:v>3</c:v>
                </c:pt>
              </c:numCache>
            </c:numRef>
          </c:val>
          <c:smooth val="0"/>
        </c:ser>
        <c:dLbls>
          <c:showLegendKey val="0"/>
          <c:showVal val="0"/>
          <c:showCatName val="0"/>
          <c:showSerName val="0"/>
          <c:showPercent val="0"/>
          <c:showBubbleSize val="0"/>
        </c:dLbls>
        <c:marker val="1"/>
        <c:smooth val="0"/>
        <c:axId val="83575168"/>
        <c:axId val="83577088"/>
      </c:lineChart>
      <c:catAx>
        <c:axId val="83575168"/>
        <c:scaling>
          <c:orientation val="minMax"/>
        </c:scaling>
        <c:delete val="0"/>
        <c:axPos val="b"/>
        <c:title>
          <c:tx>
            <c:rich>
              <a:bodyPr/>
              <a:lstStyle/>
              <a:p>
                <a:pPr>
                  <a:defRPr/>
                </a:pPr>
                <a:r>
                  <a:rPr lang="en-GB"/>
                  <a:t>Quarter</a:t>
                </a:r>
              </a:p>
            </c:rich>
          </c:tx>
          <c:overlay val="0"/>
        </c:title>
        <c:majorTickMark val="out"/>
        <c:minorTickMark val="none"/>
        <c:tickLblPos val="nextTo"/>
        <c:crossAx val="83577088"/>
        <c:crosses val="autoZero"/>
        <c:auto val="1"/>
        <c:lblAlgn val="ctr"/>
        <c:lblOffset val="100"/>
        <c:noMultiLvlLbl val="0"/>
      </c:catAx>
      <c:valAx>
        <c:axId val="83577088"/>
        <c:scaling>
          <c:orientation val="minMax"/>
        </c:scaling>
        <c:delete val="0"/>
        <c:axPos val="l"/>
        <c:majorGridlines/>
        <c:title>
          <c:tx>
            <c:rich>
              <a:bodyPr rot="-5400000" vert="horz"/>
              <a:lstStyle/>
              <a:p>
                <a:pPr>
                  <a:defRPr/>
                </a:pPr>
                <a:r>
                  <a:rPr lang="en-GB"/>
                  <a:t>Number of incidents</a:t>
                </a:r>
              </a:p>
            </c:rich>
          </c:tx>
          <c:overlay val="0"/>
        </c:title>
        <c:numFmt formatCode="General" sourceLinked="1"/>
        <c:majorTickMark val="out"/>
        <c:minorTickMark val="none"/>
        <c:tickLblPos val="nextTo"/>
        <c:crossAx val="83575168"/>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Q4</a:t>
            </a:r>
            <a:r>
              <a:rPr lang="en-GB" baseline="0"/>
              <a:t> total incidents by Directorate</a:t>
            </a:r>
            <a:endParaRPr lang="en-GB"/>
          </a:p>
        </c:rich>
      </c:tx>
      <c:overlay val="0"/>
    </c:title>
    <c:autoTitleDeleted val="0"/>
    <c:plotArea>
      <c:layout/>
      <c:barChart>
        <c:barDir val="col"/>
        <c:grouping val="clustered"/>
        <c:varyColors val="0"/>
        <c:ser>
          <c:idx val="0"/>
          <c:order val="0"/>
          <c:tx>
            <c:v>Number of incidents</c:v>
          </c:tx>
          <c:invertIfNegative val="0"/>
          <c:dPt>
            <c:idx val="0"/>
            <c:invertIfNegative val="0"/>
            <c:bubble3D val="0"/>
            <c:spPr>
              <a:solidFill>
                <a:srgbClr val="C00000"/>
              </a:solidFill>
            </c:spPr>
          </c:dPt>
          <c:dPt>
            <c:idx val="2"/>
            <c:invertIfNegative val="0"/>
            <c:bubble3D val="0"/>
            <c:spPr>
              <a:solidFill>
                <a:srgbClr val="00B050"/>
              </a:solidFill>
            </c:spPr>
          </c:dPt>
          <c:dPt>
            <c:idx val="3"/>
            <c:invertIfNegative val="0"/>
            <c:bubble3D val="0"/>
            <c:spPr>
              <a:solidFill>
                <a:srgbClr val="00B0F0"/>
              </a:solidFill>
            </c:spPr>
          </c:dPt>
          <c:cat>
            <c:strRef>
              <c:f>'1.3 Incidents by Division'!$B$10:$E$10</c:f>
              <c:strCache>
                <c:ptCount val="4"/>
                <c:pt idx="0">
                  <c:v>Adult Directorate</c:v>
                </c:pt>
                <c:pt idx="1">
                  <c:v>Children and Young People</c:v>
                </c:pt>
                <c:pt idx="2">
                  <c:v>Older People</c:v>
                </c:pt>
                <c:pt idx="3">
                  <c:v>Corporate Directorate</c:v>
                </c:pt>
              </c:strCache>
            </c:strRef>
          </c:cat>
          <c:val>
            <c:numRef>
              <c:f>'1.3 Incidents by Division'!$B$11:$E$11</c:f>
              <c:numCache>
                <c:formatCode>General</c:formatCode>
                <c:ptCount val="4"/>
                <c:pt idx="0">
                  <c:v>783</c:v>
                </c:pt>
                <c:pt idx="1">
                  <c:v>282</c:v>
                </c:pt>
                <c:pt idx="2">
                  <c:v>1502</c:v>
                </c:pt>
                <c:pt idx="3">
                  <c:v>41</c:v>
                </c:pt>
              </c:numCache>
            </c:numRef>
          </c:val>
        </c:ser>
        <c:dLbls>
          <c:showLegendKey val="0"/>
          <c:showVal val="0"/>
          <c:showCatName val="0"/>
          <c:showSerName val="0"/>
          <c:showPercent val="0"/>
          <c:showBubbleSize val="0"/>
        </c:dLbls>
        <c:gapWidth val="150"/>
        <c:axId val="83623936"/>
        <c:axId val="83625472"/>
      </c:barChart>
      <c:catAx>
        <c:axId val="83623936"/>
        <c:scaling>
          <c:orientation val="minMax"/>
        </c:scaling>
        <c:delete val="0"/>
        <c:axPos val="b"/>
        <c:majorTickMark val="none"/>
        <c:minorTickMark val="none"/>
        <c:tickLblPos val="nextTo"/>
        <c:crossAx val="83625472"/>
        <c:crosses val="autoZero"/>
        <c:auto val="1"/>
        <c:lblAlgn val="ctr"/>
        <c:lblOffset val="100"/>
        <c:noMultiLvlLbl val="0"/>
      </c:catAx>
      <c:valAx>
        <c:axId val="83625472"/>
        <c:scaling>
          <c:orientation val="minMax"/>
        </c:scaling>
        <c:delete val="0"/>
        <c:axPos val="l"/>
        <c:majorGridlines/>
        <c:numFmt formatCode="General" sourceLinked="1"/>
        <c:majorTickMark val="none"/>
        <c:minorTickMark val="none"/>
        <c:tickLblPos val="nextTo"/>
        <c:crossAx val="83623936"/>
        <c:crosses val="autoZero"/>
        <c:crossBetween val="between"/>
      </c:valAx>
      <c:spPr>
        <a:noFill/>
      </c:spPr>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Number </a:t>
            </a:r>
            <a:r>
              <a:rPr lang="en-GB" baseline="0"/>
              <a:t>of SIRI's by quarter</a:t>
            </a:r>
            <a:endParaRPr lang="en-GB"/>
          </a:p>
        </c:rich>
      </c:tx>
      <c:overlay val="0"/>
    </c:title>
    <c:autoTitleDeleted val="0"/>
    <c:plotArea>
      <c:layout/>
      <c:barChart>
        <c:barDir val="col"/>
        <c:grouping val="clustered"/>
        <c:varyColors val="0"/>
        <c:ser>
          <c:idx val="0"/>
          <c:order val="0"/>
          <c:spPr>
            <a:solidFill>
              <a:schemeClr val="accent2"/>
            </a:solidFill>
          </c:spPr>
          <c:invertIfNegative val="0"/>
          <c:cat>
            <c:strRef>
              <c:f>'2.1 SIRIs'!$A$2:$A$9</c:f>
              <c:strCache>
                <c:ptCount val="8"/>
                <c:pt idx="0">
                  <c:v>2013/14 [1]</c:v>
                </c:pt>
                <c:pt idx="1">
                  <c:v>2013/14 [2]</c:v>
                </c:pt>
                <c:pt idx="2">
                  <c:v>2013/14 [3]</c:v>
                </c:pt>
                <c:pt idx="3">
                  <c:v>2013/14 [4]</c:v>
                </c:pt>
                <c:pt idx="4">
                  <c:v>2014/15 [1]</c:v>
                </c:pt>
                <c:pt idx="5">
                  <c:v>2014/15 [2]</c:v>
                </c:pt>
                <c:pt idx="6">
                  <c:v>2014/15 [3]</c:v>
                </c:pt>
                <c:pt idx="7">
                  <c:v>2014/15 [4]</c:v>
                </c:pt>
              </c:strCache>
            </c:strRef>
          </c:cat>
          <c:val>
            <c:numRef>
              <c:f>'2.1 SIRIs'!$B$2:$B$9</c:f>
              <c:numCache>
                <c:formatCode>General</c:formatCode>
                <c:ptCount val="8"/>
                <c:pt idx="0">
                  <c:v>22</c:v>
                </c:pt>
                <c:pt idx="1">
                  <c:v>26</c:v>
                </c:pt>
                <c:pt idx="2">
                  <c:v>15</c:v>
                </c:pt>
                <c:pt idx="3">
                  <c:v>15</c:v>
                </c:pt>
                <c:pt idx="4">
                  <c:v>15</c:v>
                </c:pt>
                <c:pt idx="5">
                  <c:v>16</c:v>
                </c:pt>
                <c:pt idx="6">
                  <c:v>17</c:v>
                </c:pt>
                <c:pt idx="7">
                  <c:v>27</c:v>
                </c:pt>
              </c:numCache>
            </c:numRef>
          </c:val>
        </c:ser>
        <c:dLbls>
          <c:showLegendKey val="0"/>
          <c:showVal val="0"/>
          <c:showCatName val="0"/>
          <c:showSerName val="0"/>
          <c:showPercent val="0"/>
          <c:showBubbleSize val="0"/>
        </c:dLbls>
        <c:gapWidth val="150"/>
        <c:axId val="88557056"/>
        <c:axId val="88558976"/>
      </c:barChart>
      <c:catAx>
        <c:axId val="88557056"/>
        <c:scaling>
          <c:orientation val="minMax"/>
        </c:scaling>
        <c:delete val="0"/>
        <c:axPos val="b"/>
        <c:title>
          <c:tx>
            <c:rich>
              <a:bodyPr/>
              <a:lstStyle/>
              <a:p>
                <a:pPr>
                  <a:defRPr/>
                </a:pPr>
                <a:r>
                  <a:rPr lang="en-GB"/>
                  <a:t>Quarter</a:t>
                </a:r>
              </a:p>
            </c:rich>
          </c:tx>
          <c:overlay val="0"/>
        </c:title>
        <c:majorTickMark val="out"/>
        <c:minorTickMark val="none"/>
        <c:tickLblPos val="nextTo"/>
        <c:crossAx val="88558976"/>
        <c:crosses val="autoZero"/>
        <c:auto val="1"/>
        <c:lblAlgn val="ctr"/>
        <c:lblOffset val="100"/>
        <c:noMultiLvlLbl val="0"/>
      </c:catAx>
      <c:valAx>
        <c:axId val="88558976"/>
        <c:scaling>
          <c:orientation val="minMax"/>
        </c:scaling>
        <c:delete val="0"/>
        <c:axPos val="l"/>
        <c:majorGridlines/>
        <c:title>
          <c:tx>
            <c:rich>
              <a:bodyPr rot="-5400000" vert="horz"/>
              <a:lstStyle/>
              <a:p>
                <a:pPr>
                  <a:defRPr/>
                </a:pPr>
                <a:r>
                  <a:rPr lang="en-GB"/>
                  <a:t>Number</a:t>
                </a:r>
                <a:r>
                  <a:rPr lang="en-GB" baseline="0"/>
                  <a:t> of incidents</a:t>
                </a:r>
                <a:endParaRPr lang="en-GB"/>
              </a:p>
            </c:rich>
          </c:tx>
          <c:overlay val="0"/>
        </c:title>
        <c:numFmt formatCode="General" sourceLinked="1"/>
        <c:majorTickMark val="out"/>
        <c:minorTickMark val="none"/>
        <c:tickLblPos val="nextTo"/>
        <c:crossAx val="88557056"/>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Number of SIRI's per year</a:t>
            </a:r>
          </a:p>
        </c:rich>
      </c:tx>
      <c:overlay val="0"/>
    </c:title>
    <c:autoTitleDeleted val="0"/>
    <c:plotArea>
      <c:layout/>
      <c:barChart>
        <c:barDir val="col"/>
        <c:grouping val="clustered"/>
        <c:varyColors val="0"/>
        <c:ser>
          <c:idx val="0"/>
          <c:order val="0"/>
          <c:spPr>
            <a:solidFill>
              <a:schemeClr val="accent2"/>
            </a:solidFill>
          </c:spPr>
          <c:invertIfNegative val="0"/>
          <c:cat>
            <c:strRef>
              <c:f>'2.1 SIRIs'!$A$15:$A$17</c:f>
              <c:strCache>
                <c:ptCount val="3"/>
                <c:pt idx="0">
                  <c:v>2012/13</c:v>
                </c:pt>
                <c:pt idx="1">
                  <c:v>2013/14</c:v>
                </c:pt>
                <c:pt idx="2">
                  <c:v>2014/15</c:v>
                </c:pt>
              </c:strCache>
            </c:strRef>
          </c:cat>
          <c:val>
            <c:numRef>
              <c:f>'2.1 SIRIs'!$B$15:$B$17</c:f>
              <c:numCache>
                <c:formatCode>General</c:formatCode>
                <c:ptCount val="3"/>
                <c:pt idx="0">
                  <c:v>116</c:v>
                </c:pt>
                <c:pt idx="1">
                  <c:v>77</c:v>
                </c:pt>
                <c:pt idx="2">
                  <c:v>75</c:v>
                </c:pt>
              </c:numCache>
            </c:numRef>
          </c:val>
        </c:ser>
        <c:dLbls>
          <c:showLegendKey val="0"/>
          <c:showVal val="0"/>
          <c:showCatName val="0"/>
          <c:showSerName val="0"/>
          <c:showPercent val="0"/>
          <c:showBubbleSize val="0"/>
        </c:dLbls>
        <c:gapWidth val="150"/>
        <c:axId val="88357888"/>
        <c:axId val="88405120"/>
      </c:barChart>
      <c:catAx>
        <c:axId val="88357888"/>
        <c:scaling>
          <c:orientation val="minMax"/>
        </c:scaling>
        <c:delete val="0"/>
        <c:axPos val="b"/>
        <c:title>
          <c:tx>
            <c:rich>
              <a:bodyPr/>
              <a:lstStyle/>
              <a:p>
                <a:pPr>
                  <a:defRPr/>
                </a:pPr>
                <a:r>
                  <a:rPr lang="en-GB"/>
                  <a:t>Year</a:t>
                </a:r>
              </a:p>
            </c:rich>
          </c:tx>
          <c:overlay val="0"/>
        </c:title>
        <c:majorTickMark val="out"/>
        <c:minorTickMark val="none"/>
        <c:tickLblPos val="nextTo"/>
        <c:crossAx val="88405120"/>
        <c:crosses val="autoZero"/>
        <c:auto val="1"/>
        <c:lblAlgn val="ctr"/>
        <c:lblOffset val="100"/>
        <c:noMultiLvlLbl val="0"/>
      </c:catAx>
      <c:valAx>
        <c:axId val="88405120"/>
        <c:scaling>
          <c:orientation val="minMax"/>
        </c:scaling>
        <c:delete val="0"/>
        <c:axPos val="l"/>
        <c:majorGridlines/>
        <c:title>
          <c:tx>
            <c:rich>
              <a:bodyPr rot="-5400000" vert="horz"/>
              <a:lstStyle/>
              <a:p>
                <a:pPr>
                  <a:defRPr/>
                </a:pPr>
                <a:r>
                  <a:rPr lang="en-GB"/>
                  <a:t>Number of incidents</a:t>
                </a:r>
              </a:p>
            </c:rich>
          </c:tx>
          <c:layout>
            <c:manualLayout>
              <c:xMode val="edge"/>
              <c:yMode val="edge"/>
              <c:x val="3.05555555555556E-2"/>
              <c:y val="0.31783756197141999"/>
            </c:manualLayout>
          </c:layout>
          <c:overlay val="0"/>
        </c:title>
        <c:numFmt formatCode="General" sourceLinked="1"/>
        <c:majorTickMark val="out"/>
        <c:minorTickMark val="none"/>
        <c:tickLblPos val="nextTo"/>
        <c:crossAx val="8835788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2FC96-B9EA-475F-8D35-80D721AF1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16</Pages>
  <Words>4408</Words>
  <Characters>25131</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Oxford Health NHS Foundation Trust</Company>
  <LinksUpToDate>false</LinksUpToDate>
  <CharactersWithSpaces>29481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Geekie Cameron (RNU) Oxford Health</dc:creator>
  <cp:lastModifiedBy>Maxine.Hayden</cp:lastModifiedBy>
  <cp:revision>9</cp:revision>
  <cp:lastPrinted>2015-01-13T15:46:00Z</cp:lastPrinted>
  <dcterms:created xsi:type="dcterms:W3CDTF">2015-04-21T18:15:00Z</dcterms:created>
  <dcterms:modified xsi:type="dcterms:W3CDTF">2015-04-28T11:56:00Z</dcterms:modified>
</cp:coreProperties>
</file>