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947" w:rsidRPr="00BE2EFA" w:rsidRDefault="000B2947" w:rsidP="000B2947">
      <w:pPr>
        <w:jc w:val="center"/>
        <w:rPr>
          <w:rFonts w:ascii="Arial" w:hAnsi="Arial" w:cs="Arial"/>
          <w:b/>
          <w:i/>
          <w:color w:val="FF0000"/>
          <w:sz w:val="28"/>
          <w:szCs w:val="28"/>
        </w:rPr>
      </w:pPr>
      <w:r w:rsidRPr="000D759B">
        <w:rPr>
          <w:rFonts w:ascii="Arial" w:hAnsi="Arial" w:cs="Arial"/>
          <w:b/>
          <w:sz w:val="28"/>
          <w:szCs w:val="28"/>
        </w:rPr>
        <w:t xml:space="preserve">Summary of </w:t>
      </w:r>
      <w:r w:rsidRPr="00BE2EFA">
        <w:rPr>
          <w:rFonts w:ascii="Arial" w:hAnsi="Arial" w:cs="Arial"/>
          <w:b/>
          <w:sz w:val="28"/>
          <w:szCs w:val="28"/>
        </w:rPr>
        <w:t xml:space="preserve">Actions from Board </w:t>
      </w:r>
      <w:r w:rsidR="000B69CF" w:rsidRPr="00BE2EFA">
        <w:rPr>
          <w:rFonts w:ascii="Arial" w:hAnsi="Arial" w:cs="Arial"/>
          <w:b/>
          <w:sz w:val="28"/>
          <w:szCs w:val="28"/>
        </w:rPr>
        <w:t>meeting</w:t>
      </w:r>
      <w:r w:rsidRPr="00BE2EFA">
        <w:rPr>
          <w:rFonts w:ascii="Arial" w:hAnsi="Arial" w:cs="Arial"/>
          <w:b/>
          <w:sz w:val="28"/>
          <w:szCs w:val="28"/>
        </w:rPr>
        <w:t xml:space="preserve"> </w:t>
      </w:r>
      <w:r w:rsidR="00E97685">
        <w:rPr>
          <w:rFonts w:ascii="Arial" w:hAnsi="Arial" w:cs="Arial"/>
          <w:b/>
          <w:sz w:val="28"/>
          <w:szCs w:val="28"/>
        </w:rPr>
        <w:t xml:space="preserve">on </w:t>
      </w:r>
      <w:r w:rsidR="00315081">
        <w:rPr>
          <w:rFonts w:ascii="Arial" w:hAnsi="Arial" w:cs="Arial"/>
          <w:b/>
          <w:sz w:val="28"/>
          <w:szCs w:val="28"/>
        </w:rPr>
        <w:t>29</w:t>
      </w:r>
      <w:r w:rsidR="003033E1">
        <w:rPr>
          <w:rFonts w:ascii="Arial" w:hAnsi="Arial" w:cs="Arial"/>
          <w:b/>
          <w:sz w:val="28"/>
          <w:szCs w:val="28"/>
        </w:rPr>
        <w:t xml:space="preserve"> </w:t>
      </w:r>
      <w:r w:rsidR="00315081">
        <w:rPr>
          <w:rFonts w:ascii="Arial" w:hAnsi="Arial" w:cs="Arial"/>
          <w:b/>
          <w:sz w:val="28"/>
          <w:szCs w:val="28"/>
        </w:rPr>
        <w:t>April</w:t>
      </w:r>
      <w:r w:rsidR="0084583C">
        <w:rPr>
          <w:rFonts w:ascii="Arial" w:hAnsi="Arial" w:cs="Arial"/>
          <w:b/>
          <w:sz w:val="28"/>
          <w:szCs w:val="28"/>
        </w:rPr>
        <w:t xml:space="preserve"> 2015</w:t>
      </w:r>
    </w:p>
    <w:p w:rsidR="000B2947" w:rsidRDefault="000B2947" w:rsidP="000B2947"/>
    <w:p w:rsidR="000B2947" w:rsidRDefault="000B2947" w:rsidP="000B2947"/>
    <w:tbl>
      <w:tblPr>
        <w:tblpPr w:leftFromText="180" w:rightFromText="180" w:vertAnchor="page" w:horzAnchor="margin" w:tblpXSpec="center" w:tblpY="2442"/>
        <w:tblW w:w="12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8351"/>
        <w:gridCol w:w="2286"/>
      </w:tblGrid>
      <w:tr w:rsidR="000B2947" w:rsidRPr="00D3669C" w:rsidTr="00D8125D">
        <w:trPr>
          <w:trHeight w:val="439"/>
        </w:trPr>
        <w:tc>
          <w:tcPr>
            <w:tcW w:w="2197" w:type="dxa"/>
            <w:vAlign w:val="center"/>
          </w:tcPr>
          <w:p w:rsidR="000B2947" w:rsidRPr="009D2F5A" w:rsidRDefault="000B2947" w:rsidP="00E21DA2">
            <w:pPr>
              <w:jc w:val="center"/>
              <w:rPr>
                <w:rFonts w:ascii="Arial" w:hAnsi="Arial" w:cs="Arial"/>
                <w:b/>
                <w:sz w:val="24"/>
                <w:szCs w:val="24"/>
              </w:rPr>
            </w:pPr>
            <w:r w:rsidRPr="009D2F5A">
              <w:rPr>
                <w:rFonts w:ascii="Arial" w:hAnsi="Arial" w:cs="Arial"/>
                <w:b/>
                <w:sz w:val="24"/>
                <w:szCs w:val="24"/>
              </w:rPr>
              <w:t>Relevant Item</w:t>
            </w:r>
          </w:p>
        </w:tc>
        <w:tc>
          <w:tcPr>
            <w:tcW w:w="8351" w:type="dxa"/>
            <w:vAlign w:val="center"/>
          </w:tcPr>
          <w:p w:rsidR="000B2947" w:rsidRPr="009D2F5A" w:rsidRDefault="000B2947" w:rsidP="00E21DA2">
            <w:pPr>
              <w:jc w:val="center"/>
              <w:rPr>
                <w:rFonts w:ascii="Arial" w:hAnsi="Arial" w:cs="Arial"/>
                <w:b/>
                <w:sz w:val="24"/>
                <w:szCs w:val="24"/>
              </w:rPr>
            </w:pPr>
            <w:r w:rsidRPr="009D2F5A">
              <w:rPr>
                <w:rFonts w:ascii="Arial" w:hAnsi="Arial" w:cs="Arial"/>
                <w:b/>
                <w:sz w:val="24"/>
                <w:szCs w:val="24"/>
              </w:rPr>
              <w:t>Action</w:t>
            </w:r>
          </w:p>
        </w:tc>
        <w:tc>
          <w:tcPr>
            <w:tcW w:w="2286" w:type="dxa"/>
            <w:vAlign w:val="center"/>
          </w:tcPr>
          <w:p w:rsidR="000B2947" w:rsidRPr="009D2F5A" w:rsidRDefault="000B2947" w:rsidP="00E21DA2">
            <w:pPr>
              <w:jc w:val="center"/>
              <w:rPr>
                <w:rFonts w:ascii="Arial" w:hAnsi="Arial" w:cs="Arial"/>
                <w:b/>
                <w:sz w:val="24"/>
                <w:szCs w:val="24"/>
              </w:rPr>
            </w:pPr>
            <w:r w:rsidRPr="009D2F5A">
              <w:rPr>
                <w:rFonts w:ascii="Arial" w:hAnsi="Arial" w:cs="Arial"/>
                <w:b/>
                <w:sz w:val="24"/>
                <w:szCs w:val="24"/>
              </w:rPr>
              <w:t>Responsibility</w:t>
            </w:r>
          </w:p>
        </w:tc>
      </w:tr>
      <w:tr w:rsidR="0015391E" w:rsidRPr="00E367B7" w:rsidTr="00D8125D">
        <w:trPr>
          <w:trHeight w:val="1340"/>
        </w:trPr>
        <w:tc>
          <w:tcPr>
            <w:tcW w:w="2197" w:type="dxa"/>
            <w:shd w:val="clear" w:color="auto" w:fill="auto"/>
          </w:tcPr>
          <w:p w:rsidR="0015391E" w:rsidRDefault="0015391E" w:rsidP="0015391E">
            <w:pPr>
              <w:keepNext/>
              <w:keepLines/>
              <w:jc w:val="center"/>
              <w:rPr>
                <w:rFonts w:ascii="Arial" w:hAnsi="Arial" w:cs="Arial"/>
                <w:sz w:val="24"/>
                <w:szCs w:val="24"/>
              </w:rPr>
            </w:pPr>
          </w:p>
          <w:p w:rsidR="0015391E" w:rsidRPr="009D2F5A" w:rsidRDefault="0015391E" w:rsidP="00315081">
            <w:pPr>
              <w:keepNext/>
              <w:keepLines/>
              <w:jc w:val="center"/>
              <w:rPr>
                <w:rFonts w:ascii="Arial" w:hAnsi="Arial" w:cs="Arial"/>
                <w:sz w:val="24"/>
                <w:szCs w:val="24"/>
              </w:rPr>
            </w:pPr>
            <w:r>
              <w:rPr>
                <w:rFonts w:ascii="Arial" w:hAnsi="Arial" w:cs="Arial"/>
                <w:sz w:val="24"/>
                <w:szCs w:val="24"/>
              </w:rPr>
              <w:t xml:space="preserve">BOD </w:t>
            </w:r>
            <w:r w:rsidR="00315081">
              <w:rPr>
                <w:rFonts w:ascii="Arial" w:hAnsi="Arial" w:cs="Arial"/>
                <w:sz w:val="24"/>
                <w:szCs w:val="24"/>
              </w:rPr>
              <w:t>62</w:t>
            </w:r>
            <w:r w:rsidR="0084583C">
              <w:rPr>
                <w:rFonts w:ascii="Arial" w:hAnsi="Arial" w:cs="Arial"/>
                <w:sz w:val="24"/>
                <w:szCs w:val="24"/>
              </w:rPr>
              <w:t>/15</w:t>
            </w:r>
            <w:r>
              <w:rPr>
                <w:rFonts w:ascii="Arial" w:hAnsi="Arial" w:cs="Arial"/>
                <w:sz w:val="24"/>
                <w:szCs w:val="24"/>
              </w:rPr>
              <w:t xml:space="preserve"> (</w:t>
            </w:r>
            <w:r w:rsidR="00315081">
              <w:rPr>
                <w:rFonts w:ascii="Arial" w:hAnsi="Arial" w:cs="Arial"/>
                <w:sz w:val="24"/>
                <w:szCs w:val="24"/>
              </w:rPr>
              <w:t>b</w:t>
            </w:r>
            <w:r>
              <w:rPr>
                <w:rFonts w:ascii="Arial" w:hAnsi="Arial" w:cs="Arial"/>
                <w:sz w:val="24"/>
                <w:szCs w:val="24"/>
              </w:rPr>
              <w:t>)</w:t>
            </w:r>
          </w:p>
        </w:tc>
        <w:tc>
          <w:tcPr>
            <w:tcW w:w="8351" w:type="dxa"/>
          </w:tcPr>
          <w:p w:rsidR="0015391E" w:rsidRDefault="00315081" w:rsidP="0015391E">
            <w:pPr>
              <w:jc w:val="both"/>
              <w:rPr>
                <w:rFonts w:ascii="Arial" w:hAnsi="Arial" w:cs="Arial"/>
                <w:bCs/>
                <w:sz w:val="24"/>
                <w:szCs w:val="24"/>
              </w:rPr>
            </w:pPr>
            <w:r>
              <w:rPr>
                <w:rFonts w:ascii="Arial" w:hAnsi="Arial" w:cs="Arial"/>
                <w:b/>
                <w:bCs/>
                <w:sz w:val="24"/>
                <w:szCs w:val="24"/>
              </w:rPr>
              <w:t>Freedom to Speak Up Report</w:t>
            </w:r>
          </w:p>
          <w:p w:rsidR="0015391E" w:rsidRPr="00F40768" w:rsidRDefault="00315081" w:rsidP="00315081">
            <w:pPr>
              <w:jc w:val="both"/>
              <w:rPr>
                <w:rFonts w:ascii="Arial" w:hAnsi="Arial" w:cs="Arial"/>
                <w:bCs/>
                <w:sz w:val="24"/>
                <w:szCs w:val="24"/>
              </w:rPr>
            </w:pPr>
            <w:r>
              <w:rPr>
                <w:rFonts w:ascii="Arial" w:hAnsi="Arial" w:cs="Arial"/>
                <w:bCs/>
                <w:sz w:val="24"/>
                <w:szCs w:val="24"/>
              </w:rPr>
              <w:t>Provide an update to Board in July 2015 on the progress made against the Freedom to Speak Up Report</w:t>
            </w:r>
            <w:r w:rsidR="00A37FAC">
              <w:rPr>
                <w:rFonts w:ascii="Arial" w:hAnsi="Arial" w:cs="Arial"/>
                <w:bCs/>
                <w:sz w:val="24"/>
                <w:szCs w:val="24"/>
              </w:rPr>
              <w:t>.</w:t>
            </w:r>
          </w:p>
        </w:tc>
        <w:tc>
          <w:tcPr>
            <w:tcW w:w="2286" w:type="dxa"/>
            <w:shd w:val="clear" w:color="auto" w:fill="auto"/>
          </w:tcPr>
          <w:p w:rsidR="0015391E" w:rsidRDefault="0015391E" w:rsidP="0015391E">
            <w:pPr>
              <w:keepNext/>
              <w:keepLines/>
              <w:jc w:val="center"/>
              <w:rPr>
                <w:rFonts w:ascii="Arial" w:hAnsi="Arial" w:cs="Arial"/>
                <w:sz w:val="24"/>
                <w:szCs w:val="24"/>
              </w:rPr>
            </w:pPr>
          </w:p>
          <w:p w:rsidR="0015391E" w:rsidRPr="009D2F5A" w:rsidRDefault="00315081" w:rsidP="0015391E">
            <w:pPr>
              <w:keepNext/>
              <w:keepLines/>
              <w:jc w:val="center"/>
              <w:rPr>
                <w:rFonts w:ascii="Arial" w:hAnsi="Arial" w:cs="Arial"/>
                <w:sz w:val="24"/>
                <w:szCs w:val="24"/>
              </w:rPr>
            </w:pPr>
            <w:r>
              <w:rPr>
                <w:rFonts w:ascii="Arial" w:hAnsi="Arial" w:cs="Arial"/>
                <w:sz w:val="24"/>
                <w:szCs w:val="24"/>
              </w:rPr>
              <w:t>SB</w:t>
            </w:r>
          </w:p>
        </w:tc>
      </w:tr>
      <w:tr w:rsidR="007B3FD6" w:rsidRPr="00E367B7" w:rsidTr="00D8125D">
        <w:trPr>
          <w:trHeight w:val="1340"/>
        </w:trPr>
        <w:tc>
          <w:tcPr>
            <w:tcW w:w="2197" w:type="dxa"/>
            <w:shd w:val="clear" w:color="auto" w:fill="auto"/>
          </w:tcPr>
          <w:p w:rsidR="007B3FD6" w:rsidRDefault="007B3FD6" w:rsidP="007B3FD6">
            <w:pPr>
              <w:keepNext/>
              <w:keepLines/>
              <w:jc w:val="center"/>
              <w:rPr>
                <w:rFonts w:ascii="Arial" w:hAnsi="Arial" w:cs="Arial"/>
                <w:sz w:val="24"/>
                <w:szCs w:val="24"/>
              </w:rPr>
            </w:pPr>
          </w:p>
          <w:p w:rsidR="007B3FD6" w:rsidRPr="009D2F5A" w:rsidRDefault="007B3FD6" w:rsidP="00315081">
            <w:pPr>
              <w:keepNext/>
              <w:keepLines/>
              <w:jc w:val="center"/>
              <w:rPr>
                <w:rFonts w:ascii="Arial" w:hAnsi="Arial" w:cs="Arial"/>
                <w:sz w:val="24"/>
                <w:szCs w:val="24"/>
              </w:rPr>
            </w:pPr>
            <w:r>
              <w:rPr>
                <w:rFonts w:ascii="Arial" w:hAnsi="Arial" w:cs="Arial"/>
                <w:sz w:val="24"/>
                <w:szCs w:val="24"/>
              </w:rPr>
              <w:t xml:space="preserve">BOD </w:t>
            </w:r>
            <w:r w:rsidR="00315081">
              <w:rPr>
                <w:rFonts w:ascii="Arial" w:hAnsi="Arial" w:cs="Arial"/>
                <w:sz w:val="24"/>
                <w:szCs w:val="24"/>
              </w:rPr>
              <w:t>62</w:t>
            </w:r>
            <w:r w:rsidR="00F40768">
              <w:rPr>
                <w:rFonts w:ascii="Arial" w:hAnsi="Arial" w:cs="Arial"/>
                <w:sz w:val="24"/>
                <w:szCs w:val="24"/>
              </w:rPr>
              <w:t>/15</w:t>
            </w:r>
            <w:r w:rsidR="001E16A4">
              <w:rPr>
                <w:rFonts w:ascii="Arial" w:hAnsi="Arial" w:cs="Arial"/>
                <w:sz w:val="24"/>
                <w:szCs w:val="24"/>
              </w:rPr>
              <w:t xml:space="preserve"> (</w:t>
            </w:r>
            <w:r w:rsidR="00315081">
              <w:rPr>
                <w:rFonts w:ascii="Arial" w:hAnsi="Arial" w:cs="Arial"/>
                <w:sz w:val="24"/>
                <w:szCs w:val="24"/>
              </w:rPr>
              <w:t>c</w:t>
            </w:r>
            <w:r w:rsidR="001E16A4">
              <w:rPr>
                <w:rFonts w:ascii="Arial" w:hAnsi="Arial" w:cs="Arial"/>
                <w:sz w:val="24"/>
                <w:szCs w:val="24"/>
              </w:rPr>
              <w:t>)</w:t>
            </w:r>
          </w:p>
        </w:tc>
        <w:tc>
          <w:tcPr>
            <w:tcW w:w="8351" w:type="dxa"/>
          </w:tcPr>
          <w:p w:rsidR="0015391E" w:rsidRDefault="00315081" w:rsidP="0015391E">
            <w:pPr>
              <w:jc w:val="both"/>
              <w:rPr>
                <w:rFonts w:ascii="Arial" w:hAnsi="Arial" w:cs="Arial"/>
                <w:bCs/>
                <w:sz w:val="24"/>
                <w:szCs w:val="24"/>
              </w:rPr>
            </w:pPr>
            <w:r>
              <w:rPr>
                <w:rFonts w:ascii="Arial" w:hAnsi="Arial" w:cs="Arial"/>
                <w:b/>
                <w:bCs/>
                <w:sz w:val="24"/>
                <w:szCs w:val="24"/>
              </w:rPr>
              <w:t>Mental Health Services in Schools</w:t>
            </w:r>
          </w:p>
          <w:p w:rsidR="007B3FD6" w:rsidRPr="00687CBE" w:rsidRDefault="001D2759" w:rsidP="00610966">
            <w:pPr>
              <w:jc w:val="both"/>
              <w:rPr>
                <w:rFonts w:ascii="Arial" w:hAnsi="Arial" w:cs="Arial"/>
                <w:bCs/>
                <w:sz w:val="24"/>
                <w:szCs w:val="24"/>
              </w:rPr>
            </w:pPr>
            <w:r>
              <w:rPr>
                <w:rFonts w:ascii="Arial" w:hAnsi="Arial" w:cs="Arial"/>
                <w:bCs/>
                <w:sz w:val="24"/>
                <w:szCs w:val="24"/>
              </w:rPr>
              <w:t>Look into services the Trust could offer to colleges and universities (in addition to schools) and consider approaching the college nurses association.</w:t>
            </w:r>
          </w:p>
        </w:tc>
        <w:tc>
          <w:tcPr>
            <w:tcW w:w="2286" w:type="dxa"/>
            <w:shd w:val="clear" w:color="auto" w:fill="auto"/>
          </w:tcPr>
          <w:p w:rsidR="007B3FD6" w:rsidRDefault="007B3FD6" w:rsidP="007B3FD6">
            <w:pPr>
              <w:keepNext/>
              <w:keepLines/>
              <w:jc w:val="center"/>
              <w:rPr>
                <w:rFonts w:ascii="Arial" w:hAnsi="Arial" w:cs="Arial"/>
                <w:sz w:val="24"/>
                <w:szCs w:val="24"/>
              </w:rPr>
            </w:pPr>
          </w:p>
          <w:p w:rsidR="007B3FD6" w:rsidRPr="009D2F5A" w:rsidRDefault="00315081" w:rsidP="007B3FD6">
            <w:pPr>
              <w:keepNext/>
              <w:keepLines/>
              <w:jc w:val="center"/>
              <w:rPr>
                <w:rFonts w:ascii="Arial" w:hAnsi="Arial" w:cs="Arial"/>
                <w:sz w:val="24"/>
                <w:szCs w:val="24"/>
              </w:rPr>
            </w:pPr>
            <w:r>
              <w:rPr>
                <w:rFonts w:ascii="Arial" w:hAnsi="Arial" w:cs="Arial"/>
                <w:sz w:val="24"/>
                <w:szCs w:val="24"/>
              </w:rPr>
              <w:t>RA</w:t>
            </w:r>
          </w:p>
        </w:tc>
      </w:tr>
      <w:tr w:rsidR="0015391E" w:rsidRPr="00E367B7" w:rsidTr="00D8125D">
        <w:trPr>
          <w:trHeight w:val="1340"/>
        </w:trPr>
        <w:tc>
          <w:tcPr>
            <w:tcW w:w="2197" w:type="dxa"/>
            <w:shd w:val="clear" w:color="auto" w:fill="auto"/>
          </w:tcPr>
          <w:p w:rsidR="0015391E" w:rsidRDefault="0015391E" w:rsidP="0015391E">
            <w:pPr>
              <w:keepNext/>
              <w:keepLines/>
              <w:jc w:val="center"/>
              <w:rPr>
                <w:rFonts w:ascii="Arial" w:hAnsi="Arial" w:cs="Arial"/>
                <w:sz w:val="24"/>
                <w:szCs w:val="24"/>
              </w:rPr>
            </w:pPr>
          </w:p>
          <w:p w:rsidR="0015391E" w:rsidRPr="009D2F5A" w:rsidRDefault="0015391E" w:rsidP="00BF32AD">
            <w:pPr>
              <w:keepNext/>
              <w:keepLines/>
              <w:jc w:val="center"/>
              <w:rPr>
                <w:rFonts w:ascii="Arial" w:hAnsi="Arial" w:cs="Arial"/>
                <w:sz w:val="24"/>
                <w:szCs w:val="24"/>
              </w:rPr>
            </w:pPr>
            <w:r>
              <w:rPr>
                <w:rFonts w:ascii="Arial" w:hAnsi="Arial" w:cs="Arial"/>
                <w:sz w:val="24"/>
                <w:szCs w:val="24"/>
              </w:rPr>
              <w:t xml:space="preserve">BOD </w:t>
            </w:r>
            <w:r w:rsidR="001D2759">
              <w:rPr>
                <w:rFonts w:ascii="Arial" w:hAnsi="Arial" w:cs="Arial"/>
                <w:sz w:val="24"/>
                <w:szCs w:val="24"/>
              </w:rPr>
              <w:t>62</w:t>
            </w:r>
            <w:r w:rsidR="00F40768">
              <w:rPr>
                <w:rFonts w:ascii="Arial" w:hAnsi="Arial" w:cs="Arial"/>
                <w:sz w:val="24"/>
                <w:szCs w:val="24"/>
              </w:rPr>
              <w:t>/15</w:t>
            </w:r>
            <w:r>
              <w:rPr>
                <w:rFonts w:ascii="Arial" w:hAnsi="Arial" w:cs="Arial"/>
                <w:sz w:val="24"/>
                <w:szCs w:val="24"/>
              </w:rPr>
              <w:t xml:space="preserve"> (</w:t>
            </w:r>
            <w:r w:rsidR="001D2759">
              <w:rPr>
                <w:rFonts w:ascii="Arial" w:hAnsi="Arial" w:cs="Arial"/>
                <w:sz w:val="24"/>
                <w:szCs w:val="24"/>
              </w:rPr>
              <w:t>e</w:t>
            </w:r>
            <w:r>
              <w:rPr>
                <w:rFonts w:ascii="Arial" w:hAnsi="Arial" w:cs="Arial"/>
                <w:sz w:val="24"/>
                <w:szCs w:val="24"/>
              </w:rPr>
              <w:t>)</w:t>
            </w:r>
          </w:p>
        </w:tc>
        <w:tc>
          <w:tcPr>
            <w:tcW w:w="8351" w:type="dxa"/>
          </w:tcPr>
          <w:p w:rsidR="0015391E" w:rsidRDefault="001D2759" w:rsidP="0015391E">
            <w:pPr>
              <w:jc w:val="both"/>
              <w:rPr>
                <w:rFonts w:ascii="Arial" w:hAnsi="Arial" w:cs="Arial"/>
                <w:bCs/>
                <w:sz w:val="24"/>
                <w:szCs w:val="24"/>
              </w:rPr>
            </w:pPr>
            <w:r>
              <w:rPr>
                <w:rFonts w:ascii="Arial" w:hAnsi="Arial" w:cs="Arial"/>
                <w:b/>
                <w:bCs/>
                <w:sz w:val="24"/>
                <w:szCs w:val="24"/>
              </w:rPr>
              <w:t>Whiteleaf</w:t>
            </w:r>
          </w:p>
          <w:p w:rsidR="00A44287" w:rsidRPr="00687CBE" w:rsidRDefault="001D2759" w:rsidP="00E04E2F">
            <w:pPr>
              <w:jc w:val="both"/>
              <w:rPr>
                <w:rFonts w:ascii="Arial" w:hAnsi="Arial" w:cs="Arial"/>
                <w:bCs/>
                <w:sz w:val="24"/>
                <w:szCs w:val="24"/>
              </w:rPr>
            </w:pPr>
            <w:r>
              <w:rPr>
                <w:rFonts w:ascii="Arial" w:hAnsi="Arial" w:cs="Arial"/>
                <w:bCs/>
                <w:sz w:val="24"/>
                <w:szCs w:val="24"/>
              </w:rPr>
              <w:t xml:space="preserve">Present a Whiteleaf Centre </w:t>
            </w:r>
            <w:r w:rsidR="00E04E2F">
              <w:rPr>
                <w:rFonts w:ascii="Arial" w:hAnsi="Arial" w:cs="Arial"/>
                <w:bCs/>
                <w:sz w:val="24"/>
                <w:szCs w:val="24"/>
              </w:rPr>
              <w:t xml:space="preserve">programme close-down report </w:t>
            </w:r>
            <w:r>
              <w:rPr>
                <w:rFonts w:ascii="Arial" w:hAnsi="Arial" w:cs="Arial"/>
                <w:bCs/>
                <w:sz w:val="24"/>
                <w:szCs w:val="24"/>
              </w:rPr>
              <w:t>to the Board in May 2015.</w:t>
            </w:r>
          </w:p>
        </w:tc>
        <w:tc>
          <w:tcPr>
            <w:tcW w:w="2286" w:type="dxa"/>
            <w:shd w:val="clear" w:color="auto" w:fill="auto"/>
          </w:tcPr>
          <w:p w:rsidR="0015391E" w:rsidRDefault="0015391E" w:rsidP="0015391E">
            <w:pPr>
              <w:keepNext/>
              <w:keepLines/>
              <w:jc w:val="center"/>
              <w:rPr>
                <w:rFonts w:ascii="Arial" w:hAnsi="Arial" w:cs="Arial"/>
                <w:sz w:val="24"/>
                <w:szCs w:val="24"/>
              </w:rPr>
            </w:pPr>
          </w:p>
          <w:p w:rsidR="0015391E" w:rsidRPr="009D2F5A" w:rsidRDefault="001D2759" w:rsidP="0015391E">
            <w:pPr>
              <w:keepNext/>
              <w:keepLines/>
              <w:jc w:val="center"/>
              <w:rPr>
                <w:rFonts w:ascii="Arial" w:hAnsi="Arial" w:cs="Arial"/>
                <w:sz w:val="24"/>
                <w:szCs w:val="24"/>
              </w:rPr>
            </w:pPr>
            <w:r>
              <w:rPr>
                <w:rFonts w:ascii="Arial" w:hAnsi="Arial" w:cs="Arial"/>
                <w:sz w:val="24"/>
                <w:szCs w:val="24"/>
              </w:rPr>
              <w:t>RA</w:t>
            </w:r>
          </w:p>
        </w:tc>
      </w:tr>
      <w:tr w:rsidR="00C9522B" w:rsidRPr="00E367B7" w:rsidTr="002D230C">
        <w:trPr>
          <w:trHeight w:val="1340"/>
        </w:trPr>
        <w:tc>
          <w:tcPr>
            <w:tcW w:w="2197" w:type="dxa"/>
            <w:shd w:val="clear" w:color="auto" w:fill="auto"/>
          </w:tcPr>
          <w:p w:rsidR="00C9522B" w:rsidRDefault="00C9522B" w:rsidP="00C9522B">
            <w:pPr>
              <w:keepNext/>
              <w:keepLines/>
              <w:jc w:val="center"/>
              <w:rPr>
                <w:rFonts w:ascii="Arial" w:hAnsi="Arial" w:cs="Arial"/>
                <w:sz w:val="24"/>
                <w:szCs w:val="24"/>
              </w:rPr>
            </w:pPr>
          </w:p>
          <w:p w:rsidR="00C9522B" w:rsidRPr="009D2F5A" w:rsidRDefault="00C9522B" w:rsidP="001D2759">
            <w:pPr>
              <w:keepNext/>
              <w:keepLines/>
              <w:jc w:val="center"/>
              <w:rPr>
                <w:rFonts w:ascii="Arial" w:hAnsi="Arial" w:cs="Arial"/>
                <w:sz w:val="24"/>
                <w:szCs w:val="24"/>
              </w:rPr>
            </w:pPr>
            <w:r>
              <w:rPr>
                <w:rFonts w:ascii="Arial" w:hAnsi="Arial" w:cs="Arial"/>
                <w:sz w:val="24"/>
                <w:szCs w:val="24"/>
              </w:rPr>
              <w:t xml:space="preserve">BOD </w:t>
            </w:r>
            <w:r w:rsidR="001D2759">
              <w:rPr>
                <w:rFonts w:ascii="Arial" w:hAnsi="Arial" w:cs="Arial"/>
                <w:sz w:val="24"/>
                <w:szCs w:val="24"/>
              </w:rPr>
              <w:t>62</w:t>
            </w:r>
            <w:r w:rsidR="00F40768">
              <w:rPr>
                <w:rFonts w:ascii="Arial" w:hAnsi="Arial" w:cs="Arial"/>
                <w:sz w:val="24"/>
                <w:szCs w:val="24"/>
              </w:rPr>
              <w:t>/15</w:t>
            </w:r>
            <w:r>
              <w:rPr>
                <w:rFonts w:ascii="Arial" w:hAnsi="Arial" w:cs="Arial"/>
                <w:sz w:val="24"/>
                <w:szCs w:val="24"/>
              </w:rPr>
              <w:t xml:space="preserve"> (</w:t>
            </w:r>
            <w:r w:rsidR="001D2759">
              <w:rPr>
                <w:rFonts w:ascii="Arial" w:hAnsi="Arial" w:cs="Arial"/>
                <w:sz w:val="24"/>
                <w:szCs w:val="24"/>
              </w:rPr>
              <w:t>g</w:t>
            </w:r>
            <w:r>
              <w:rPr>
                <w:rFonts w:ascii="Arial" w:hAnsi="Arial" w:cs="Arial"/>
                <w:sz w:val="24"/>
                <w:szCs w:val="24"/>
              </w:rPr>
              <w:t>)</w:t>
            </w:r>
          </w:p>
        </w:tc>
        <w:tc>
          <w:tcPr>
            <w:tcW w:w="8351" w:type="dxa"/>
          </w:tcPr>
          <w:p w:rsidR="004266B5" w:rsidRDefault="001D2759" w:rsidP="004266B5">
            <w:pPr>
              <w:jc w:val="both"/>
              <w:rPr>
                <w:rFonts w:ascii="Arial" w:hAnsi="Arial" w:cs="Arial"/>
                <w:bCs/>
                <w:sz w:val="24"/>
                <w:szCs w:val="24"/>
              </w:rPr>
            </w:pPr>
            <w:r>
              <w:rPr>
                <w:rFonts w:ascii="Arial" w:hAnsi="Arial" w:cs="Arial"/>
                <w:b/>
                <w:bCs/>
                <w:sz w:val="24"/>
                <w:szCs w:val="24"/>
              </w:rPr>
              <w:t>Bank &amp; Agency</w:t>
            </w:r>
          </w:p>
          <w:p w:rsidR="00C9522B" w:rsidRPr="00C9522B" w:rsidRDefault="004266B5" w:rsidP="00CC2ED9">
            <w:pPr>
              <w:jc w:val="both"/>
              <w:rPr>
                <w:rFonts w:ascii="Arial" w:hAnsi="Arial" w:cs="Arial"/>
                <w:bCs/>
                <w:sz w:val="24"/>
                <w:szCs w:val="24"/>
              </w:rPr>
            </w:pPr>
            <w:r>
              <w:rPr>
                <w:rFonts w:ascii="Arial" w:hAnsi="Arial" w:cs="Arial"/>
                <w:bCs/>
                <w:sz w:val="24"/>
                <w:szCs w:val="24"/>
              </w:rPr>
              <w:t xml:space="preserve">Set aside time </w:t>
            </w:r>
            <w:r w:rsidR="00CC2ED9">
              <w:rPr>
                <w:rFonts w:ascii="Arial" w:hAnsi="Arial" w:cs="Arial"/>
                <w:bCs/>
                <w:sz w:val="24"/>
                <w:szCs w:val="24"/>
              </w:rPr>
              <w:t>for a board-to-board with Oxfordshire CCG (OCCG) and Oxford University Hospitals NHS Trust (OUH) to be held late May to early June 2015.</w:t>
            </w:r>
          </w:p>
        </w:tc>
        <w:tc>
          <w:tcPr>
            <w:tcW w:w="2286" w:type="dxa"/>
            <w:shd w:val="clear" w:color="auto" w:fill="auto"/>
          </w:tcPr>
          <w:p w:rsidR="00C9522B" w:rsidRDefault="00C9522B" w:rsidP="00C9522B">
            <w:pPr>
              <w:keepNext/>
              <w:keepLines/>
              <w:jc w:val="center"/>
              <w:rPr>
                <w:rFonts w:ascii="Arial" w:hAnsi="Arial" w:cs="Arial"/>
                <w:sz w:val="24"/>
                <w:szCs w:val="24"/>
              </w:rPr>
            </w:pPr>
          </w:p>
          <w:p w:rsidR="00C9522B" w:rsidRPr="009D2F5A" w:rsidRDefault="00CC2ED9" w:rsidP="00CC2ED9">
            <w:pPr>
              <w:keepNext/>
              <w:keepLines/>
              <w:jc w:val="center"/>
              <w:rPr>
                <w:rFonts w:ascii="Arial" w:hAnsi="Arial" w:cs="Arial"/>
                <w:sz w:val="24"/>
                <w:szCs w:val="24"/>
              </w:rPr>
            </w:pPr>
            <w:r>
              <w:rPr>
                <w:rFonts w:ascii="Arial" w:hAnsi="Arial" w:cs="Arial"/>
                <w:sz w:val="24"/>
                <w:szCs w:val="24"/>
              </w:rPr>
              <w:t>SB</w:t>
            </w:r>
            <w:r w:rsidR="00BF32AD">
              <w:rPr>
                <w:rFonts w:ascii="Arial" w:hAnsi="Arial" w:cs="Arial"/>
                <w:sz w:val="24"/>
                <w:szCs w:val="24"/>
              </w:rPr>
              <w:t xml:space="preserve"> / M</w:t>
            </w:r>
            <w:r>
              <w:rPr>
                <w:rFonts w:ascii="Arial" w:hAnsi="Arial" w:cs="Arial"/>
                <w:sz w:val="24"/>
                <w:szCs w:val="24"/>
              </w:rPr>
              <w:t>GH</w:t>
            </w:r>
          </w:p>
        </w:tc>
      </w:tr>
      <w:tr w:rsidR="00C9522B" w:rsidRPr="00E367B7" w:rsidTr="00D8125D">
        <w:trPr>
          <w:trHeight w:val="1340"/>
        </w:trPr>
        <w:tc>
          <w:tcPr>
            <w:tcW w:w="2197" w:type="dxa"/>
            <w:shd w:val="clear" w:color="auto" w:fill="auto"/>
          </w:tcPr>
          <w:p w:rsidR="00C9522B" w:rsidRDefault="00C9522B" w:rsidP="00C9522B">
            <w:pPr>
              <w:keepNext/>
              <w:keepLines/>
              <w:jc w:val="center"/>
              <w:rPr>
                <w:rFonts w:ascii="Arial" w:hAnsi="Arial" w:cs="Arial"/>
                <w:sz w:val="24"/>
                <w:szCs w:val="24"/>
              </w:rPr>
            </w:pPr>
          </w:p>
          <w:p w:rsidR="00C9522B" w:rsidRPr="009D2F5A" w:rsidRDefault="00C9522B" w:rsidP="0083488F">
            <w:pPr>
              <w:keepNext/>
              <w:keepLines/>
              <w:jc w:val="center"/>
              <w:rPr>
                <w:rFonts w:ascii="Arial" w:hAnsi="Arial" w:cs="Arial"/>
                <w:sz w:val="24"/>
                <w:szCs w:val="24"/>
              </w:rPr>
            </w:pPr>
            <w:r>
              <w:rPr>
                <w:rFonts w:ascii="Arial" w:hAnsi="Arial" w:cs="Arial"/>
                <w:sz w:val="24"/>
                <w:szCs w:val="24"/>
              </w:rPr>
              <w:t xml:space="preserve">BOD </w:t>
            </w:r>
            <w:r w:rsidR="0083488F">
              <w:rPr>
                <w:rFonts w:ascii="Arial" w:hAnsi="Arial" w:cs="Arial"/>
                <w:sz w:val="24"/>
                <w:szCs w:val="24"/>
              </w:rPr>
              <w:t>63</w:t>
            </w:r>
            <w:r w:rsidR="00F40768">
              <w:rPr>
                <w:rFonts w:ascii="Arial" w:hAnsi="Arial" w:cs="Arial"/>
                <w:sz w:val="24"/>
                <w:szCs w:val="24"/>
              </w:rPr>
              <w:t>/15</w:t>
            </w:r>
            <w:r>
              <w:rPr>
                <w:rFonts w:ascii="Arial" w:hAnsi="Arial" w:cs="Arial"/>
                <w:sz w:val="24"/>
                <w:szCs w:val="24"/>
              </w:rPr>
              <w:t xml:space="preserve"> (</w:t>
            </w:r>
            <w:r w:rsidR="0083488F">
              <w:rPr>
                <w:rFonts w:ascii="Arial" w:hAnsi="Arial" w:cs="Arial"/>
                <w:sz w:val="24"/>
                <w:szCs w:val="24"/>
              </w:rPr>
              <w:t>g</w:t>
            </w:r>
            <w:r>
              <w:rPr>
                <w:rFonts w:ascii="Arial" w:hAnsi="Arial" w:cs="Arial"/>
                <w:sz w:val="24"/>
                <w:szCs w:val="24"/>
              </w:rPr>
              <w:t>)</w:t>
            </w:r>
          </w:p>
        </w:tc>
        <w:tc>
          <w:tcPr>
            <w:tcW w:w="8351" w:type="dxa"/>
          </w:tcPr>
          <w:p w:rsidR="0083488F" w:rsidRDefault="0083488F" w:rsidP="003871F3">
            <w:pPr>
              <w:jc w:val="both"/>
              <w:rPr>
                <w:rFonts w:ascii="Arial" w:hAnsi="Arial" w:cs="Arial"/>
                <w:b/>
                <w:bCs/>
                <w:sz w:val="24"/>
                <w:szCs w:val="24"/>
              </w:rPr>
            </w:pPr>
            <w:r>
              <w:rPr>
                <w:rFonts w:ascii="Arial" w:hAnsi="Arial" w:cs="Arial"/>
                <w:b/>
                <w:bCs/>
                <w:sz w:val="24"/>
                <w:szCs w:val="24"/>
              </w:rPr>
              <w:t>Chief Executive’s Report</w:t>
            </w:r>
          </w:p>
          <w:p w:rsidR="00C9522B" w:rsidRPr="00687CBE" w:rsidRDefault="0083488F" w:rsidP="0083488F">
            <w:pPr>
              <w:jc w:val="both"/>
              <w:rPr>
                <w:rFonts w:ascii="Arial" w:hAnsi="Arial" w:cs="Arial"/>
                <w:bCs/>
                <w:sz w:val="24"/>
                <w:szCs w:val="24"/>
              </w:rPr>
            </w:pPr>
            <w:r>
              <w:rPr>
                <w:rFonts w:ascii="Arial" w:hAnsi="Arial" w:cs="Arial"/>
                <w:bCs/>
                <w:sz w:val="24"/>
                <w:szCs w:val="24"/>
              </w:rPr>
              <w:t xml:space="preserve">Look to provide an update on the Care Certificate and the implications on the career development </w:t>
            </w:r>
            <w:r w:rsidR="005F70E9">
              <w:rPr>
                <w:rFonts w:ascii="Arial" w:hAnsi="Arial" w:cs="Arial"/>
                <w:bCs/>
                <w:sz w:val="24"/>
                <w:szCs w:val="24"/>
              </w:rPr>
              <w:t>of HCA</w:t>
            </w:r>
            <w:r>
              <w:rPr>
                <w:rFonts w:ascii="Arial" w:hAnsi="Arial" w:cs="Arial"/>
                <w:bCs/>
                <w:sz w:val="24"/>
                <w:szCs w:val="24"/>
              </w:rPr>
              <w:t xml:space="preserve"> staff in the workforce strategy discussion planned for May 2015 Board meeting.  </w:t>
            </w:r>
          </w:p>
        </w:tc>
        <w:tc>
          <w:tcPr>
            <w:tcW w:w="2286" w:type="dxa"/>
            <w:shd w:val="clear" w:color="auto" w:fill="auto"/>
          </w:tcPr>
          <w:p w:rsidR="00C9522B" w:rsidRDefault="00C9522B" w:rsidP="00C9522B">
            <w:pPr>
              <w:keepNext/>
              <w:keepLines/>
              <w:jc w:val="center"/>
              <w:rPr>
                <w:rFonts w:ascii="Arial" w:hAnsi="Arial" w:cs="Arial"/>
                <w:sz w:val="24"/>
                <w:szCs w:val="24"/>
              </w:rPr>
            </w:pPr>
          </w:p>
          <w:p w:rsidR="00C9522B" w:rsidRPr="009D2F5A" w:rsidRDefault="00F37A2E" w:rsidP="00C9522B">
            <w:pPr>
              <w:keepNext/>
              <w:keepLines/>
              <w:jc w:val="center"/>
              <w:rPr>
                <w:rFonts w:ascii="Arial" w:hAnsi="Arial" w:cs="Arial"/>
                <w:sz w:val="24"/>
                <w:szCs w:val="24"/>
              </w:rPr>
            </w:pPr>
            <w:r>
              <w:rPr>
                <w:rFonts w:ascii="Arial" w:hAnsi="Arial" w:cs="Arial"/>
                <w:sz w:val="24"/>
                <w:szCs w:val="24"/>
              </w:rPr>
              <w:t>MMcE</w:t>
            </w:r>
          </w:p>
        </w:tc>
      </w:tr>
      <w:tr w:rsidR="0089273B" w:rsidRPr="00E367B7" w:rsidTr="00D8125D">
        <w:trPr>
          <w:trHeight w:val="1340"/>
        </w:trPr>
        <w:tc>
          <w:tcPr>
            <w:tcW w:w="2197" w:type="dxa"/>
            <w:shd w:val="clear" w:color="auto" w:fill="auto"/>
          </w:tcPr>
          <w:p w:rsidR="0089273B" w:rsidRDefault="0089273B" w:rsidP="0089273B">
            <w:pPr>
              <w:keepNext/>
              <w:keepLines/>
              <w:jc w:val="center"/>
              <w:rPr>
                <w:rFonts w:ascii="Arial" w:hAnsi="Arial" w:cs="Arial"/>
                <w:sz w:val="24"/>
                <w:szCs w:val="24"/>
              </w:rPr>
            </w:pPr>
          </w:p>
          <w:p w:rsidR="0089273B" w:rsidRPr="009D2F5A" w:rsidRDefault="0089273B" w:rsidP="00F37A2E">
            <w:pPr>
              <w:keepNext/>
              <w:keepLines/>
              <w:jc w:val="center"/>
              <w:rPr>
                <w:rFonts w:ascii="Arial" w:hAnsi="Arial" w:cs="Arial"/>
                <w:sz w:val="24"/>
                <w:szCs w:val="24"/>
              </w:rPr>
            </w:pPr>
            <w:r>
              <w:rPr>
                <w:rFonts w:ascii="Arial" w:hAnsi="Arial" w:cs="Arial"/>
                <w:sz w:val="24"/>
                <w:szCs w:val="24"/>
              </w:rPr>
              <w:t xml:space="preserve">BOD </w:t>
            </w:r>
            <w:r w:rsidR="005F70E9">
              <w:rPr>
                <w:rFonts w:ascii="Arial" w:hAnsi="Arial" w:cs="Arial"/>
                <w:sz w:val="24"/>
                <w:szCs w:val="24"/>
              </w:rPr>
              <w:t>65</w:t>
            </w:r>
            <w:r w:rsidR="00ED16EA">
              <w:rPr>
                <w:rFonts w:ascii="Arial" w:hAnsi="Arial" w:cs="Arial"/>
                <w:sz w:val="24"/>
                <w:szCs w:val="24"/>
              </w:rPr>
              <w:t>/15</w:t>
            </w:r>
            <w:r>
              <w:rPr>
                <w:rFonts w:ascii="Arial" w:hAnsi="Arial" w:cs="Arial"/>
                <w:sz w:val="24"/>
                <w:szCs w:val="24"/>
              </w:rPr>
              <w:t xml:space="preserve"> (</w:t>
            </w:r>
            <w:r w:rsidR="005F70E9">
              <w:rPr>
                <w:rFonts w:ascii="Arial" w:hAnsi="Arial" w:cs="Arial"/>
                <w:sz w:val="24"/>
                <w:szCs w:val="24"/>
              </w:rPr>
              <w:t>a</w:t>
            </w:r>
            <w:r>
              <w:rPr>
                <w:rFonts w:ascii="Arial" w:hAnsi="Arial" w:cs="Arial"/>
                <w:sz w:val="24"/>
                <w:szCs w:val="24"/>
              </w:rPr>
              <w:t>)</w:t>
            </w:r>
          </w:p>
        </w:tc>
        <w:tc>
          <w:tcPr>
            <w:tcW w:w="8351" w:type="dxa"/>
          </w:tcPr>
          <w:p w:rsidR="0089273B" w:rsidRDefault="005F70E9" w:rsidP="0089273B">
            <w:pPr>
              <w:jc w:val="both"/>
              <w:rPr>
                <w:rFonts w:ascii="Arial" w:hAnsi="Arial" w:cs="Arial"/>
                <w:bCs/>
                <w:sz w:val="24"/>
                <w:szCs w:val="24"/>
              </w:rPr>
            </w:pPr>
            <w:r>
              <w:rPr>
                <w:rFonts w:ascii="Arial" w:hAnsi="Arial" w:cs="Arial"/>
                <w:b/>
                <w:bCs/>
                <w:sz w:val="24"/>
                <w:szCs w:val="24"/>
              </w:rPr>
              <w:t>Quality and Safety Report</w:t>
            </w:r>
            <w:r w:rsidR="002B5341">
              <w:rPr>
                <w:rFonts w:ascii="Arial" w:hAnsi="Arial" w:cs="Arial"/>
                <w:b/>
                <w:bCs/>
                <w:sz w:val="24"/>
                <w:szCs w:val="24"/>
              </w:rPr>
              <w:t xml:space="preserve"> </w:t>
            </w:r>
            <w:r w:rsidR="00745E5F">
              <w:rPr>
                <w:rFonts w:ascii="Arial" w:hAnsi="Arial" w:cs="Arial"/>
                <w:b/>
                <w:bCs/>
                <w:sz w:val="24"/>
                <w:szCs w:val="24"/>
              </w:rPr>
              <w:t>– for publication</w:t>
            </w:r>
          </w:p>
          <w:p w:rsidR="0089273B" w:rsidRPr="00687CBE" w:rsidRDefault="002B5341" w:rsidP="002B5341">
            <w:pPr>
              <w:jc w:val="both"/>
              <w:rPr>
                <w:rFonts w:ascii="Arial" w:hAnsi="Arial" w:cs="Arial"/>
                <w:bCs/>
                <w:sz w:val="24"/>
                <w:szCs w:val="24"/>
              </w:rPr>
            </w:pPr>
            <w:r>
              <w:rPr>
                <w:rFonts w:ascii="Arial" w:hAnsi="Arial" w:cs="Arial"/>
                <w:bCs/>
                <w:sz w:val="24"/>
                <w:szCs w:val="24"/>
              </w:rPr>
              <w:t>Amend prior to publication and include</w:t>
            </w:r>
            <w:r w:rsidR="00D10B4E">
              <w:rPr>
                <w:rFonts w:ascii="Arial" w:hAnsi="Arial" w:cs="Arial"/>
                <w:bCs/>
                <w:sz w:val="24"/>
                <w:szCs w:val="24"/>
              </w:rPr>
              <w:t xml:space="preserve"> more analytical narrative against the data</w:t>
            </w:r>
            <w:r w:rsidR="003871F3">
              <w:rPr>
                <w:rFonts w:ascii="Arial" w:hAnsi="Arial" w:cs="Arial"/>
                <w:bCs/>
                <w:sz w:val="24"/>
                <w:szCs w:val="24"/>
              </w:rPr>
              <w:t>.</w:t>
            </w:r>
          </w:p>
        </w:tc>
        <w:tc>
          <w:tcPr>
            <w:tcW w:w="2286" w:type="dxa"/>
            <w:shd w:val="clear" w:color="auto" w:fill="auto"/>
          </w:tcPr>
          <w:p w:rsidR="0089273B" w:rsidRDefault="0089273B" w:rsidP="0089273B">
            <w:pPr>
              <w:keepNext/>
              <w:keepLines/>
              <w:jc w:val="center"/>
              <w:rPr>
                <w:rFonts w:ascii="Arial" w:hAnsi="Arial" w:cs="Arial"/>
                <w:sz w:val="24"/>
                <w:szCs w:val="24"/>
              </w:rPr>
            </w:pPr>
          </w:p>
          <w:p w:rsidR="0089273B" w:rsidRPr="009D2F5A" w:rsidRDefault="002B57BD" w:rsidP="0089273B">
            <w:pPr>
              <w:keepNext/>
              <w:keepLines/>
              <w:jc w:val="center"/>
              <w:rPr>
                <w:rFonts w:ascii="Arial" w:hAnsi="Arial" w:cs="Arial"/>
                <w:sz w:val="24"/>
                <w:szCs w:val="24"/>
              </w:rPr>
            </w:pPr>
            <w:r>
              <w:rPr>
                <w:rFonts w:ascii="Arial" w:hAnsi="Arial" w:cs="Arial"/>
                <w:sz w:val="24"/>
                <w:szCs w:val="24"/>
              </w:rPr>
              <w:t>RA</w:t>
            </w:r>
          </w:p>
        </w:tc>
      </w:tr>
      <w:tr w:rsidR="000846EE" w:rsidRPr="00E367B7" w:rsidTr="00D8125D">
        <w:trPr>
          <w:trHeight w:val="1340"/>
        </w:trPr>
        <w:tc>
          <w:tcPr>
            <w:tcW w:w="2197" w:type="dxa"/>
            <w:shd w:val="clear" w:color="auto" w:fill="auto"/>
          </w:tcPr>
          <w:p w:rsidR="000846EE" w:rsidRDefault="000846EE" w:rsidP="000846EE">
            <w:pPr>
              <w:keepNext/>
              <w:keepLines/>
              <w:jc w:val="center"/>
              <w:rPr>
                <w:rFonts w:ascii="Arial" w:hAnsi="Arial" w:cs="Arial"/>
                <w:sz w:val="24"/>
                <w:szCs w:val="24"/>
              </w:rPr>
            </w:pPr>
          </w:p>
          <w:p w:rsidR="000846EE" w:rsidRPr="009D2F5A" w:rsidRDefault="000846EE" w:rsidP="000846EE">
            <w:pPr>
              <w:keepNext/>
              <w:keepLines/>
              <w:jc w:val="center"/>
              <w:rPr>
                <w:rFonts w:ascii="Arial" w:hAnsi="Arial" w:cs="Arial"/>
                <w:sz w:val="24"/>
                <w:szCs w:val="24"/>
              </w:rPr>
            </w:pPr>
            <w:r>
              <w:rPr>
                <w:rFonts w:ascii="Arial" w:hAnsi="Arial" w:cs="Arial"/>
                <w:sz w:val="24"/>
                <w:szCs w:val="24"/>
              </w:rPr>
              <w:t>BOD 65/15 (d)</w:t>
            </w:r>
          </w:p>
        </w:tc>
        <w:tc>
          <w:tcPr>
            <w:tcW w:w="8351" w:type="dxa"/>
          </w:tcPr>
          <w:p w:rsidR="000846EE" w:rsidRDefault="000846EE" w:rsidP="000846EE">
            <w:pPr>
              <w:jc w:val="both"/>
              <w:rPr>
                <w:rFonts w:ascii="Arial" w:hAnsi="Arial" w:cs="Arial"/>
                <w:bCs/>
                <w:sz w:val="24"/>
                <w:szCs w:val="24"/>
              </w:rPr>
            </w:pPr>
            <w:r>
              <w:rPr>
                <w:rFonts w:ascii="Arial" w:hAnsi="Arial" w:cs="Arial"/>
                <w:b/>
                <w:bCs/>
                <w:sz w:val="24"/>
                <w:szCs w:val="24"/>
              </w:rPr>
              <w:t>Quality and Safety Report</w:t>
            </w:r>
            <w:r w:rsidR="00745E5F">
              <w:rPr>
                <w:rFonts w:ascii="Arial" w:hAnsi="Arial" w:cs="Arial"/>
                <w:b/>
                <w:bCs/>
                <w:sz w:val="24"/>
                <w:szCs w:val="24"/>
              </w:rPr>
              <w:t xml:space="preserve"> – for publication</w:t>
            </w:r>
          </w:p>
          <w:p w:rsidR="000846EE" w:rsidRPr="00687CBE" w:rsidRDefault="002B5341" w:rsidP="002B5341">
            <w:pPr>
              <w:jc w:val="both"/>
              <w:rPr>
                <w:rFonts w:ascii="Arial" w:hAnsi="Arial" w:cs="Arial"/>
                <w:bCs/>
                <w:sz w:val="24"/>
                <w:szCs w:val="24"/>
              </w:rPr>
            </w:pPr>
            <w:r>
              <w:rPr>
                <w:rFonts w:ascii="Arial" w:hAnsi="Arial" w:cs="Arial"/>
                <w:bCs/>
                <w:sz w:val="24"/>
                <w:szCs w:val="24"/>
              </w:rPr>
              <w:t>Amend prior to publication to p</w:t>
            </w:r>
            <w:r w:rsidR="000846EE">
              <w:rPr>
                <w:rFonts w:ascii="Arial" w:hAnsi="Arial" w:cs="Arial"/>
                <w:bCs/>
                <w:sz w:val="24"/>
                <w:szCs w:val="24"/>
              </w:rPr>
              <w:t>rovide further narrative on the section on SIRIs in the report</w:t>
            </w:r>
            <w:r>
              <w:rPr>
                <w:rFonts w:ascii="Arial" w:hAnsi="Arial" w:cs="Arial"/>
                <w:bCs/>
                <w:sz w:val="24"/>
                <w:szCs w:val="24"/>
              </w:rPr>
              <w:t>, in particular the actions a year or more behind completion.</w:t>
            </w:r>
          </w:p>
        </w:tc>
        <w:tc>
          <w:tcPr>
            <w:tcW w:w="2286" w:type="dxa"/>
            <w:shd w:val="clear" w:color="auto" w:fill="auto"/>
          </w:tcPr>
          <w:p w:rsidR="000846EE" w:rsidRDefault="000846EE" w:rsidP="000846EE">
            <w:pPr>
              <w:keepNext/>
              <w:keepLines/>
              <w:jc w:val="center"/>
              <w:rPr>
                <w:rFonts w:ascii="Arial" w:hAnsi="Arial" w:cs="Arial"/>
                <w:sz w:val="24"/>
                <w:szCs w:val="24"/>
              </w:rPr>
            </w:pPr>
          </w:p>
          <w:p w:rsidR="000846EE" w:rsidRDefault="000846EE" w:rsidP="000846EE">
            <w:pPr>
              <w:keepNext/>
              <w:keepLines/>
              <w:jc w:val="center"/>
              <w:rPr>
                <w:rFonts w:ascii="Arial" w:hAnsi="Arial" w:cs="Arial"/>
                <w:sz w:val="24"/>
                <w:szCs w:val="24"/>
              </w:rPr>
            </w:pPr>
            <w:r>
              <w:rPr>
                <w:rFonts w:ascii="Arial" w:hAnsi="Arial" w:cs="Arial"/>
                <w:sz w:val="24"/>
                <w:szCs w:val="24"/>
              </w:rPr>
              <w:t>RA</w:t>
            </w:r>
          </w:p>
        </w:tc>
      </w:tr>
      <w:tr w:rsidR="000846EE" w:rsidRPr="00E367B7" w:rsidTr="00D8125D">
        <w:trPr>
          <w:trHeight w:val="1340"/>
        </w:trPr>
        <w:tc>
          <w:tcPr>
            <w:tcW w:w="2197" w:type="dxa"/>
            <w:shd w:val="clear" w:color="auto" w:fill="auto"/>
          </w:tcPr>
          <w:p w:rsidR="000846EE" w:rsidRDefault="000846EE" w:rsidP="000846EE">
            <w:pPr>
              <w:keepNext/>
              <w:keepLines/>
              <w:jc w:val="center"/>
              <w:rPr>
                <w:rFonts w:ascii="Arial" w:hAnsi="Arial" w:cs="Arial"/>
                <w:sz w:val="24"/>
                <w:szCs w:val="24"/>
              </w:rPr>
            </w:pPr>
          </w:p>
          <w:p w:rsidR="000846EE" w:rsidRPr="009D2F5A" w:rsidRDefault="000846EE" w:rsidP="000846EE">
            <w:pPr>
              <w:keepNext/>
              <w:keepLines/>
              <w:jc w:val="center"/>
              <w:rPr>
                <w:rFonts w:ascii="Arial" w:hAnsi="Arial" w:cs="Arial"/>
                <w:sz w:val="24"/>
                <w:szCs w:val="24"/>
              </w:rPr>
            </w:pPr>
            <w:r>
              <w:rPr>
                <w:rFonts w:ascii="Arial" w:hAnsi="Arial" w:cs="Arial"/>
                <w:sz w:val="24"/>
                <w:szCs w:val="24"/>
              </w:rPr>
              <w:t>BOD 65/15 (d)</w:t>
            </w:r>
          </w:p>
        </w:tc>
        <w:tc>
          <w:tcPr>
            <w:tcW w:w="8351" w:type="dxa"/>
          </w:tcPr>
          <w:p w:rsidR="000846EE" w:rsidRDefault="000846EE" w:rsidP="000846EE">
            <w:pPr>
              <w:jc w:val="both"/>
              <w:rPr>
                <w:rFonts w:ascii="Arial" w:hAnsi="Arial" w:cs="Arial"/>
                <w:bCs/>
                <w:sz w:val="24"/>
                <w:szCs w:val="24"/>
              </w:rPr>
            </w:pPr>
            <w:r>
              <w:rPr>
                <w:rFonts w:ascii="Arial" w:hAnsi="Arial" w:cs="Arial"/>
                <w:b/>
                <w:bCs/>
                <w:sz w:val="24"/>
                <w:szCs w:val="24"/>
              </w:rPr>
              <w:t>Quality and Safety Report</w:t>
            </w:r>
            <w:r w:rsidR="00745E5F">
              <w:rPr>
                <w:rFonts w:ascii="Arial" w:hAnsi="Arial" w:cs="Arial"/>
                <w:b/>
                <w:bCs/>
                <w:sz w:val="24"/>
                <w:szCs w:val="24"/>
              </w:rPr>
              <w:t xml:space="preserve"> – next appropriate report</w:t>
            </w:r>
          </w:p>
          <w:p w:rsidR="000846EE" w:rsidRPr="00687CBE" w:rsidRDefault="002B5341" w:rsidP="002B5341">
            <w:pPr>
              <w:jc w:val="both"/>
              <w:rPr>
                <w:rFonts w:ascii="Arial" w:hAnsi="Arial" w:cs="Arial"/>
                <w:bCs/>
                <w:sz w:val="24"/>
                <w:szCs w:val="24"/>
              </w:rPr>
            </w:pPr>
            <w:r>
              <w:rPr>
                <w:rFonts w:ascii="Arial" w:hAnsi="Arial" w:cs="Arial"/>
                <w:bCs/>
                <w:sz w:val="24"/>
                <w:szCs w:val="24"/>
              </w:rPr>
              <w:t>In the next appropriate report, p</w:t>
            </w:r>
            <w:r w:rsidR="000846EE">
              <w:rPr>
                <w:rFonts w:ascii="Arial" w:hAnsi="Arial" w:cs="Arial"/>
                <w:bCs/>
                <w:sz w:val="24"/>
                <w:szCs w:val="24"/>
              </w:rPr>
              <w:t xml:space="preserve">rovide an update </w:t>
            </w:r>
            <w:r>
              <w:rPr>
                <w:rFonts w:ascii="Arial" w:hAnsi="Arial" w:cs="Arial"/>
                <w:bCs/>
                <w:sz w:val="24"/>
                <w:szCs w:val="24"/>
              </w:rPr>
              <w:t>on the development of</w:t>
            </w:r>
            <w:r w:rsidR="000846EE">
              <w:rPr>
                <w:rFonts w:ascii="Arial" w:hAnsi="Arial" w:cs="Arial"/>
                <w:bCs/>
                <w:sz w:val="24"/>
                <w:szCs w:val="24"/>
              </w:rPr>
              <w:t xml:space="preserve"> </w:t>
            </w:r>
            <w:r>
              <w:rPr>
                <w:rFonts w:ascii="Arial" w:hAnsi="Arial" w:cs="Arial"/>
                <w:bCs/>
                <w:sz w:val="24"/>
                <w:szCs w:val="24"/>
              </w:rPr>
              <w:t xml:space="preserve">SIRI </w:t>
            </w:r>
            <w:r w:rsidR="000846EE">
              <w:rPr>
                <w:rFonts w:ascii="Arial" w:hAnsi="Arial" w:cs="Arial"/>
                <w:bCs/>
                <w:sz w:val="24"/>
                <w:szCs w:val="24"/>
              </w:rPr>
              <w:t>themes</w:t>
            </w:r>
            <w:r>
              <w:rPr>
                <w:rFonts w:ascii="Arial" w:hAnsi="Arial" w:cs="Arial"/>
                <w:bCs/>
                <w:sz w:val="24"/>
                <w:szCs w:val="24"/>
              </w:rPr>
              <w:t xml:space="preserve"> (to move away from having individual actions following each SIRI). </w:t>
            </w:r>
          </w:p>
        </w:tc>
        <w:tc>
          <w:tcPr>
            <w:tcW w:w="2286" w:type="dxa"/>
            <w:shd w:val="clear" w:color="auto" w:fill="auto"/>
          </w:tcPr>
          <w:p w:rsidR="000846EE" w:rsidRDefault="000846EE" w:rsidP="000846EE">
            <w:pPr>
              <w:keepNext/>
              <w:keepLines/>
              <w:jc w:val="center"/>
              <w:rPr>
                <w:rFonts w:ascii="Arial" w:hAnsi="Arial" w:cs="Arial"/>
                <w:sz w:val="24"/>
                <w:szCs w:val="24"/>
              </w:rPr>
            </w:pPr>
          </w:p>
          <w:p w:rsidR="000846EE" w:rsidRPr="009D2F5A" w:rsidRDefault="000846EE" w:rsidP="000846EE">
            <w:pPr>
              <w:keepNext/>
              <w:keepLines/>
              <w:jc w:val="center"/>
              <w:rPr>
                <w:rFonts w:ascii="Arial" w:hAnsi="Arial" w:cs="Arial"/>
                <w:sz w:val="24"/>
                <w:szCs w:val="24"/>
              </w:rPr>
            </w:pPr>
            <w:r>
              <w:rPr>
                <w:rFonts w:ascii="Arial" w:hAnsi="Arial" w:cs="Arial"/>
                <w:sz w:val="24"/>
                <w:szCs w:val="24"/>
              </w:rPr>
              <w:t>RA</w:t>
            </w:r>
          </w:p>
        </w:tc>
      </w:tr>
      <w:tr w:rsidR="000846EE" w:rsidRPr="00E367B7" w:rsidTr="00D8125D">
        <w:trPr>
          <w:trHeight w:val="1340"/>
        </w:trPr>
        <w:tc>
          <w:tcPr>
            <w:tcW w:w="2197" w:type="dxa"/>
            <w:shd w:val="clear" w:color="auto" w:fill="auto"/>
          </w:tcPr>
          <w:p w:rsidR="000846EE" w:rsidRDefault="000846EE" w:rsidP="000846EE">
            <w:pPr>
              <w:keepNext/>
              <w:keepLines/>
              <w:jc w:val="center"/>
              <w:rPr>
                <w:rFonts w:ascii="Arial" w:hAnsi="Arial" w:cs="Arial"/>
                <w:sz w:val="24"/>
                <w:szCs w:val="24"/>
              </w:rPr>
            </w:pPr>
          </w:p>
          <w:p w:rsidR="000846EE" w:rsidRPr="009D2F5A" w:rsidRDefault="000846EE" w:rsidP="000846EE">
            <w:pPr>
              <w:keepNext/>
              <w:keepLines/>
              <w:jc w:val="center"/>
              <w:rPr>
                <w:rFonts w:ascii="Arial" w:hAnsi="Arial" w:cs="Arial"/>
                <w:sz w:val="24"/>
                <w:szCs w:val="24"/>
              </w:rPr>
            </w:pPr>
            <w:r>
              <w:rPr>
                <w:rFonts w:ascii="Arial" w:hAnsi="Arial" w:cs="Arial"/>
                <w:sz w:val="24"/>
                <w:szCs w:val="24"/>
              </w:rPr>
              <w:t>BOD 65/15 (e)</w:t>
            </w:r>
          </w:p>
        </w:tc>
        <w:tc>
          <w:tcPr>
            <w:tcW w:w="8351" w:type="dxa"/>
          </w:tcPr>
          <w:p w:rsidR="000846EE" w:rsidRDefault="00745E5F" w:rsidP="000846EE">
            <w:pPr>
              <w:jc w:val="both"/>
              <w:rPr>
                <w:rFonts w:ascii="Arial" w:hAnsi="Arial" w:cs="Arial"/>
                <w:bCs/>
                <w:sz w:val="24"/>
                <w:szCs w:val="24"/>
              </w:rPr>
            </w:pPr>
            <w:r>
              <w:rPr>
                <w:rFonts w:ascii="Arial" w:hAnsi="Arial" w:cs="Arial"/>
                <w:b/>
                <w:bCs/>
                <w:sz w:val="24"/>
                <w:szCs w:val="24"/>
              </w:rPr>
              <w:t>Ligature risks – report to Quality Committee</w:t>
            </w:r>
          </w:p>
          <w:p w:rsidR="000846EE" w:rsidRPr="00687CBE" w:rsidRDefault="005E0E2E" w:rsidP="00902503">
            <w:pPr>
              <w:jc w:val="both"/>
              <w:rPr>
                <w:rFonts w:ascii="Arial" w:hAnsi="Arial" w:cs="Arial"/>
                <w:bCs/>
                <w:sz w:val="24"/>
                <w:szCs w:val="24"/>
              </w:rPr>
            </w:pPr>
            <w:r>
              <w:rPr>
                <w:rFonts w:ascii="Arial" w:hAnsi="Arial" w:cs="Arial"/>
                <w:bCs/>
                <w:sz w:val="24"/>
                <w:szCs w:val="24"/>
              </w:rPr>
              <w:t xml:space="preserve">Present a report which sets out what has been achieved </w:t>
            </w:r>
            <w:r w:rsidR="00902503">
              <w:rPr>
                <w:rFonts w:ascii="Arial" w:hAnsi="Arial" w:cs="Arial"/>
                <w:bCs/>
                <w:sz w:val="24"/>
                <w:szCs w:val="24"/>
              </w:rPr>
              <w:t xml:space="preserve">to address ligature risks, </w:t>
            </w:r>
            <w:r>
              <w:rPr>
                <w:rFonts w:ascii="Arial" w:hAnsi="Arial" w:cs="Arial"/>
                <w:bCs/>
                <w:sz w:val="24"/>
                <w:szCs w:val="24"/>
              </w:rPr>
              <w:t xml:space="preserve">against </w:t>
            </w:r>
            <w:r w:rsidR="00902503">
              <w:rPr>
                <w:rFonts w:ascii="Arial" w:hAnsi="Arial" w:cs="Arial"/>
                <w:bCs/>
                <w:sz w:val="24"/>
                <w:szCs w:val="24"/>
              </w:rPr>
              <w:t>the proposed programme,</w:t>
            </w:r>
            <w:r>
              <w:rPr>
                <w:rFonts w:ascii="Arial" w:hAnsi="Arial" w:cs="Arial"/>
                <w:bCs/>
                <w:sz w:val="24"/>
                <w:szCs w:val="24"/>
              </w:rPr>
              <w:t xml:space="preserve"> to the Quality Committee. </w:t>
            </w:r>
          </w:p>
        </w:tc>
        <w:tc>
          <w:tcPr>
            <w:tcW w:w="2286" w:type="dxa"/>
            <w:shd w:val="clear" w:color="auto" w:fill="auto"/>
          </w:tcPr>
          <w:p w:rsidR="000846EE" w:rsidRDefault="000846EE" w:rsidP="000846EE">
            <w:pPr>
              <w:keepNext/>
              <w:keepLines/>
              <w:jc w:val="center"/>
              <w:rPr>
                <w:rFonts w:ascii="Arial" w:hAnsi="Arial" w:cs="Arial"/>
                <w:sz w:val="24"/>
                <w:szCs w:val="24"/>
              </w:rPr>
            </w:pPr>
          </w:p>
          <w:p w:rsidR="000846EE" w:rsidRPr="009D2F5A" w:rsidRDefault="000846EE" w:rsidP="000846EE">
            <w:pPr>
              <w:keepNext/>
              <w:keepLines/>
              <w:jc w:val="center"/>
              <w:rPr>
                <w:rFonts w:ascii="Arial" w:hAnsi="Arial" w:cs="Arial"/>
                <w:sz w:val="24"/>
                <w:szCs w:val="24"/>
              </w:rPr>
            </w:pPr>
            <w:r>
              <w:rPr>
                <w:rFonts w:ascii="Arial" w:hAnsi="Arial" w:cs="Arial"/>
                <w:sz w:val="24"/>
                <w:szCs w:val="24"/>
              </w:rPr>
              <w:t>RA</w:t>
            </w:r>
          </w:p>
        </w:tc>
      </w:tr>
      <w:tr w:rsidR="009919D8" w:rsidRPr="00E367B7" w:rsidTr="00D8125D">
        <w:trPr>
          <w:trHeight w:val="1340"/>
        </w:trPr>
        <w:tc>
          <w:tcPr>
            <w:tcW w:w="2197" w:type="dxa"/>
            <w:shd w:val="clear" w:color="auto" w:fill="auto"/>
          </w:tcPr>
          <w:p w:rsidR="009919D8" w:rsidRDefault="009919D8" w:rsidP="000846EE">
            <w:pPr>
              <w:keepNext/>
              <w:keepLines/>
              <w:jc w:val="center"/>
              <w:rPr>
                <w:rFonts w:ascii="Arial" w:hAnsi="Arial" w:cs="Arial"/>
                <w:sz w:val="24"/>
                <w:szCs w:val="24"/>
              </w:rPr>
            </w:pPr>
          </w:p>
          <w:p w:rsidR="009919D8" w:rsidRDefault="009919D8" w:rsidP="000846EE">
            <w:pPr>
              <w:keepNext/>
              <w:keepLines/>
              <w:jc w:val="center"/>
              <w:rPr>
                <w:rFonts w:ascii="Arial" w:hAnsi="Arial" w:cs="Arial"/>
                <w:sz w:val="24"/>
                <w:szCs w:val="24"/>
              </w:rPr>
            </w:pPr>
            <w:r>
              <w:rPr>
                <w:rFonts w:ascii="Arial" w:hAnsi="Arial" w:cs="Arial"/>
                <w:sz w:val="24"/>
                <w:szCs w:val="24"/>
              </w:rPr>
              <w:t>BOD 66/15 (b)</w:t>
            </w:r>
          </w:p>
        </w:tc>
        <w:tc>
          <w:tcPr>
            <w:tcW w:w="8351" w:type="dxa"/>
          </w:tcPr>
          <w:p w:rsidR="009919D8" w:rsidRDefault="009919D8" w:rsidP="000846EE">
            <w:pPr>
              <w:jc w:val="both"/>
              <w:rPr>
                <w:rFonts w:ascii="Arial" w:hAnsi="Arial" w:cs="Arial"/>
                <w:bCs/>
                <w:sz w:val="24"/>
                <w:szCs w:val="24"/>
              </w:rPr>
            </w:pPr>
            <w:r>
              <w:rPr>
                <w:rFonts w:ascii="Arial" w:hAnsi="Arial" w:cs="Arial"/>
                <w:b/>
                <w:bCs/>
                <w:sz w:val="24"/>
                <w:szCs w:val="24"/>
              </w:rPr>
              <w:t>Quality Account 2015/16 and Quality Report 2014/15</w:t>
            </w:r>
          </w:p>
          <w:p w:rsidR="009919D8" w:rsidRPr="009919D8" w:rsidRDefault="009919D8" w:rsidP="000846EE">
            <w:pPr>
              <w:jc w:val="both"/>
              <w:rPr>
                <w:rFonts w:ascii="Arial" w:hAnsi="Arial" w:cs="Arial"/>
                <w:bCs/>
                <w:sz w:val="24"/>
                <w:szCs w:val="24"/>
              </w:rPr>
            </w:pPr>
            <w:r>
              <w:rPr>
                <w:rFonts w:ascii="Arial" w:hAnsi="Arial" w:cs="Arial"/>
                <w:bCs/>
                <w:sz w:val="24"/>
                <w:szCs w:val="24"/>
              </w:rPr>
              <w:t>Amend and update following receipt of further comments.</w:t>
            </w:r>
          </w:p>
        </w:tc>
        <w:tc>
          <w:tcPr>
            <w:tcW w:w="2286" w:type="dxa"/>
            <w:shd w:val="clear" w:color="auto" w:fill="auto"/>
          </w:tcPr>
          <w:p w:rsidR="009919D8" w:rsidRDefault="009919D8" w:rsidP="000846EE">
            <w:pPr>
              <w:keepNext/>
              <w:keepLines/>
              <w:jc w:val="center"/>
              <w:rPr>
                <w:rFonts w:ascii="Arial" w:hAnsi="Arial" w:cs="Arial"/>
                <w:sz w:val="24"/>
                <w:szCs w:val="24"/>
              </w:rPr>
            </w:pPr>
          </w:p>
          <w:p w:rsidR="009919D8" w:rsidRDefault="009919D8" w:rsidP="000846EE">
            <w:pPr>
              <w:keepNext/>
              <w:keepLines/>
              <w:jc w:val="center"/>
              <w:rPr>
                <w:rFonts w:ascii="Arial" w:hAnsi="Arial" w:cs="Arial"/>
                <w:sz w:val="24"/>
                <w:szCs w:val="24"/>
              </w:rPr>
            </w:pPr>
            <w:r>
              <w:rPr>
                <w:rFonts w:ascii="Arial" w:hAnsi="Arial" w:cs="Arial"/>
                <w:sz w:val="24"/>
                <w:szCs w:val="24"/>
              </w:rPr>
              <w:t>RA</w:t>
            </w:r>
          </w:p>
        </w:tc>
      </w:tr>
      <w:tr w:rsidR="009919D8" w:rsidRPr="00E367B7" w:rsidTr="00D8125D">
        <w:trPr>
          <w:trHeight w:val="1340"/>
        </w:trPr>
        <w:tc>
          <w:tcPr>
            <w:tcW w:w="2197" w:type="dxa"/>
            <w:shd w:val="clear" w:color="auto" w:fill="auto"/>
          </w:tcPr>
          <w:p w:rsidR="009919D8" w:rsidRDefault="009919D8" w:rsidP="000846EE">
            <w:pPr>
              <w:keepNext/>
              <w:keepLines/>
              <w:jc w:val="center"/>
              <w:rPr>
                <w:rFonts w:ascii="Arial" w:hAnsi="Arial" w:cs="Arial"/>
                <w:sz w:val="24"/>
                <w:szCs w:val="24"/>
              </w:rPr>
            </w:pPr>
          </w:p>
          <w:p w:rsidR="00932058" w:rsidRDefault="00932058" w:rsidP="000846EE">
            <w:pPr>
              <w:keepNext/>
              <w:keepLines/>
              <w:jc w:val="center"/>
              <w:rPr>
                <w:rFonts w:ascii="Arial" w:hAnsi="Arial" w:cs="Arial"/>
                <w:sz w:val="24"/>
                <w:szCs w:val="24"/>
              </w:rPr>
            </w:pPr>
            <w:r>
              <w:rPr>
                <w:rFonts w:ascii="Arial" w:hAnsi="Arial" w:cs="Arial"/>
                <w:sz w:val="24"/>
                <w:szCs w:val="24"/>
              </w:rPr>
              <w:t>BOD 67/15 (b)</w:t>
            </w:r>
          </w:p>
        </w:tc>
        <w:tc>
          <w:tcPr>
            <w:tcW w:w="8351" w:type="dxa"/>
          </w:tcPr>
          <w:p w:rsidR="009919D8" w:rsidRDefault="00932058" w:rsidP="000846EE">
            <w:pPr>
              <w:jc w:val="both"/>
              <w:rPr>
                <w:rFonts w:ascii="Arial" w:hAnsi="Arial" w:cs="Arial"/>
                <w:b/>
                <w:bCs/>
                <w:sz w:val="24"/>
                <w:szCs w:val="24"/>
              </w:rPr>
            </w:pPr>
            <w:proofErr w:type="spellStart"/>
            <w:r>
              <w:rPr>
                <w:rFonts w:ascii="Arial" w:hAnsi="Arial" w:cs="Arial"/>
                <w:b/>
                <w:bCs/>
                <w:sz w:val="24"/>
                <w:szCs w:val="24"/>
              </w:rPr>
              <w:t>Wintle</w:t>
            </w:r>
            <w:proofErr w:type="spellEnd"/>
            <w:r>
              <w:rPr>
                <w:rFonts w:ascii="Arial" w:hAnsi="Arial" w:cs="Arial"/>
                <w:b/>
                <w:bCs/>
                <w:sz w:val="24"/>
                <w:szCs w:val="24"/>
              </w:rPr>
              <w:t xml:space="preserve"> Ward </w:t>
            </w:r>
          </w:p>
          <w:p w:rsidR="00932058" w:rsidRPr="00932058" w:rsidRDefault="00932058" w:rsidP="000846EE">
            <w:pPr>
              <w:jc w:val="both"/>
              <w:rPr>
                <w:rFonts w:ascii="Arial" w:hAnsi="Arial" w:cs="Arial"/>
                <w:bCs/>
                <w:sz w:val="24"/>
                <w:szCs w:val="24"/>
              </w:rPr>
            </w:pPr>
            <w:r>
              <w:rPr>
                <w:rFonts w:ascii="Arial" w:hAnsi="Arial" w:cs="Arial"/>
                <w:bCs/>
                <w:sz w:val="24"/>
                <w:szCs w:val="24"/>
              </w:rPr>
              <w:t>To congratulate the ward on efforts to manage problems posed by staff vacancies.</w:t>
            </w:r>
          </w:p>
        </w:tc>
        <w:tc>
          <w:tcPr>
            <w:tcW w:w="2286" w:type="dxa"/>
            <w:shd w:val="clear" w:color="auto" w:fill="auto"/>
          </w:tcPr>
          <w:p w:rsidR="009919D8" w:rsidRDefault="009919D8" w:rsidP="000846EE">
            <w:pPr>
              <w:keepNext/>
              <w:keepLines/>
              <w:jc w:val="center"/>
              <w:rPr>
                <w:rFonts w:ascii="Arial" w:hAnsi="Arial" w:cs="Arial"/>
                <w:sz w:val="24"/>
                <w:szCs w:val="24"/>
              </w:rPr>
            </w:pPr>
          </w:p>
          <w:p w:rsidR="00932058" w:rsidRDefault="00932058" w:rsidP="000846EE">
            <w:pPr>
              <w:keepNext/>
              <w:keepLines/>
              <w:jc w:val="center"/>
              <w:rPr>
                <w:rFonts w:ascii="Arial" w:hAnsi="Arial" w:cs="Arial"/>
                <w:sz w:val="24"/>
                <w:szCs w:val="24"/>
              </w:rPr>
            </w:pPr>
            <w:r>
              <w:rPr>
                <w:rFonts w:ascii="Arial" w:hAnsi="Arial" w:cs="Arial"/>
                <w:sz w:val="24"/>
                <w:szCs w:val="24"/>
              </w:rPr>
              <w:t>RA/YT</w:t>
            </w:r>
          </w:p>
        </w:tc>
      </w:tr>
      <w:tr w:rsidR="009919D8" w:rsidRPr="00E367B7" w:rsidTr="00D8125D">
        <w:trPr>
          <w:trHeight w:val="1340"/>
        </w:trPr>
        <w:tc>
          <w:tcPr>
            <w:tcW w:w="2197" w:type="dxa"/>
            <w:shd w:val="clear" w:color="auto" w:fill="auto"/>
          </w:tcPr>
          <w:p w:rsidR="009919D8" w:rsidRDefault="009919D8" w:rsidP="000846EE">
            <w:pPr>
              <w:keepNext/>
              <w:keepLines/>
              <w:jc w:val="center"/>
              <w:rPr>
                <w:rFonts w:ascii="Arial" w:hAnsi="Arial" w:cs="Arial"/>
                <w:sz w:val="24"/>
                <w:szCs w:val="24"/>
              </w:rPr>
            </w:pPr>
          </w:p>
          <w:p w:rsidR="00932058" w:rsidRDefault="00932058" w:rsidP="000846EE">
            <w:pPr>
              <w:keepNext/>
              <w:keepLines/>
              <w:jc w:val="center"/>
              <w:rPr>
                <w:rFonts w:ascii="Arial" w:hAnsi="Arial" w:cs="Arial"/>
                <w:sz w:val="24"/>
                <w:szCs w:val="24"/>
              </w:rPr>
            </w:pPr>
            <w:r>
              <w:rPr>
                <w:rFonts w:ascii="Arial" w:hAnsi="Arial" w:cs="Arial"/>
                <w:sz w:val="24"/>
                <w:szCs w:val="24"/>
              </w:rPr>
              <w:t>BOD 67/15 (c)</w:t>
            </w:r>
          </w:p>
        </w:tc>
        <w:tc>
          <w:tcPr>
            <w:tcW w:w="8351" w:type="dxa"/>
          </w:tcPr>
          <w:p w:rsidR="009919D8" w:rsidRDefault="00932058" w:rsidP="000846EE">
            <w:pPr>
              <w:jc w:val="both"/>
              <w:rPr>
                <w:rFonts w:ascii="Arial" w:hAnsi="Arial" w:cs="Arial"/>
                <w:bCs/>
                <w:sz w:val="24"/>
                <w:szCs w:val="24"/>
              </w:rPr>
            </w:pPr>
            <w:r>
              <w:rPr>
                <w:rFonts w:ascii="Arial" w:hAnsi="Arial" w:cs="Arial"/>
                <w:b/>
                <w:bCs/>
                <w:sz w:val="24"/>
                <w:szCs w:val="24"/>
              </w:rPr>
              <w:t>Inpatient Safe Staffing (Nursing) report</w:t>
            </w:r>
          </w:p>
          <w:p w:rsidR="00932058" w:rsidRDefault="00932058" w:rsidP="000846EE">
            <w:pPr>
              <w:jc w:val="both"/>
              <w:rPr>
                <w:rFonts w:ascii="Arial" w:hAnsi="Arial" w:cs="Arial"/>
                <w:bCs/>
                <w:sz w:val="24"/>
                <w:szCs w:val="24"/>
              </w:rPr>
            </w:pPr>
            <w:r>
              <w:rPr>
                <w:rFonts w:ascii="Arial" w:hAnsi="Arial" w:cs="Arial"/>
                <w:bCs/>
                <w:sz w:val="24"/>
                <w:szCs w:val="24"/>
              </w:rPr>
              <w:t xml:space="preserve">Future reports to show: </w:t>
            </w:r>
          </w:p>
          <w:p w:rsidR="00932058" w:rsidRDefault="00932058" w:rsidP="00932058">
            <w:pPr>
              <w:pStyle w:val="ListParagraph"/>
              <w:numPr>
                <w:ilvl w:val="0"/>
                <w:numId w:val="5"/>
              </w:numPr>
              <w:jc w:val="both"/>
              <w:rPr>
                <w:rFonts w:ascii="Arial" w:hAnsi="Arial" w:cs="Arial"/>
                <w:bCs/>
                <w:sz w:val="24"/>
                <w:szCs w:val="24"/>
              </w:rPr>
            </w:pPr>
            <w:r w:rsidRPr="00932058">
              <w:rPr>
                <w:rFonts w:ascii="Arial" w:hAnsi="Arial" w:cs="Arial"/>
                <w:bCs/>
                <w:sz w:val="24"/>
                <w:szCs w:val="24"/>
              </w:rPr>
              <w:t xml:space="preserve">benchmarking data to given an indication of how the Trust compared to similar trusts; and  </w:t>
            </w:r>
          </w:p>
          <w:p w:rsidR="00932058" w:rsidRPr="00932058" w:rsidRDefault="00932058" w:rsidP="00932058">
            <w:pPr>
              <w:pStyle w:val="ListParagraph"/>
              <w:numPr>
                <w:ilvl w:val="0"/>
                <w:numId w:val="5"/>
              </w:numPr>
              <w:jc w:val="both"/>
              <w:rPr>
                <w:rFonts w:ascii="Arial" w:hAnsi="Arial" w:cs="Arial"/>
                <w:bCs/>
                <w:sz w:val="24"/>
                <w:szCs w:val="24"/>
              </w:rPr>
            </w:pPr>
            <w:r w:rsidRPr="00932058">
              <w:rPr>
                <w:rFonts w:ascii="Arial" w:hAnsi="Arial" w:cs="Arial"/>
                <w:bCs/>
                <w:sz w:val="24"/>
                <w:szCs w:val="24"/>
              </w:rPr>
              <w:t>actions implemented to mitigate against known problems and ensure safe staffing levels</w:t>
            </w:r>
          </w:p>
        </w:tc>
        <w:tc>
          <w:tcPr>
            <w:tcW w:w="2286" w:type="dxa"/>
            <w:shd w:val="clear" w:color="auto" w:fill="auto"/>
          </w:tcPr>
          <w:p w:rsidR="009919D8" w:rsidRDefault="009919D8" w:rsidP="000846EE">
            <w:pPr>
              <w:keepNext/>
              <w:keepLines/>
              <w:jc w:val="center"/>
              <w:rPr>
                <w:rFonts w:ascii="Arial" w:hAnsi="Arial" w:cs="Arial"/>
                <w:sz w:val="24"/>
                <w:szCs w:val="24"/>
              </w:rPr>
            </w:pPr>
          </w:p>
          <w:p w:rsidR="00932058" w:rsidRDefault="00932058" w:rsidP="000846EE">
            <w:pPr>
              <w:keepNext/>
              <w:keepLines/>
              <w:jc w:val="center"/>
              <w:rPr>
                <w:rFonts w:ascii="Arial" w:hAnsi="Arial" w:cs="Arial"/>
                <w:sz w:val="24"/>
                <w:szCs w:val="24"/>
              </w:rPr>
            </w:pPr>
            <w:r>
              <w:rPr>
                <w:rFonts w:ascii="Arial" w:hAnsi="Arial" w:cs="Arial"/>
                <w:sz w:val="24"/>
                <w:szCs w:val="24"/>
              </w:rPr>
              <w:t>RA</w:t>
            </w:r>
          </w:p>
        </w:tc>
      </w:tr>
      <w:tr w:rsidR="009919D8" w:rsidRPr="00E367B7" w:rsidTr="00D8125D">
        <w:trPr>
          <w:trHeight w:val="1340"/>
        </w:trPr>
        <w:tc>
          <w:tcPr>
            <w:tcW w:w="2197" w:type="dxa"/>
            <w:shd w:val="clear" w:color="auto" w:fill="auto"/>
          </w:tcPr>
          <w:p w:rsidR="009919D8" w:rsidRDefault="009919D8" w:rsidP="000846EE">
            <w:pPr>
              <w:keepNext/>
              <w:keepLines/>
              <w:jc w:val="center"/>
              <w:rPr>
                <w:rFonts w:ascii="Arial" w:hAnsi="Arial" w:cs="Arial"/>
                <w:sz w:val="24"/>
                <w:szCs w:val="24"/>
              </w:rPr>
            </w:pPr>
          </w:p>
          <w:p w:rsidR="00784E26" w:rsidRDefault="00784E26" w:rsidP="000846EE">
            <w:pPr>
              <w:keepNext/>
              <w:keepLines/>
              <w:jc w:val="center"/>
              <w:rPr>
                <w:rFonts w:ascii="Arial" w:hAnsi="Arial" w:cs="Arial"/>
                <w:sz w:val="24"/>
                <w:szCs w:val="24"/>
              </w:rPr>
            </w:pPr>
            <w:r>
              <w:rPr>
                <w:rFonts w:ascii="Arial" w:hAnsi="Arial" w:cs="Arial"/>
                <w:sz w:val="24"/>
                <w:szCs w:val="24"/>
              </w:rPr>
              <w:t>BOD 68/15 (b)</w:t>
            </w:r>
          </w:p>
        </w:tc>
        <w:tc>
          <w:tcPr>
            <w:tcW w:w="8351" w:type="dxa"/>
          </w:tcPr>
          <w:p w:rsidR="009919D8" w:rsidRDefault="00784E26" w:rsidP="000846EE">
            <w:pPr>
              <w:jc w:val="both"/>
              <w:rPr>
                <w:rFonts w:ascii="Arial" w:hAnsi="Arial" w:cs="Arial"/>
                <w:bCs/>
                <w:sz w:val="24"/>
                <w:szCs w:val="24"/>
              </w:rPr>
            </w:pPr>
            <w:r>
              <w:rPr>
                <w:rFonts w:ascii="Arial" w:hAnsi="Arial" w:cs="Arial"/>
                <w:b/>
                <w:bCs/>
                <w:sz w:val="24"/>
                <w:szCs w:val="24"/>
              </w:rPr>
              <w:t>Non-Executive visits</w:t>
            </w:r>
          </w:p>
          <w:p w:rsidR="00784E26" w:rsidRPr="00784E26" w:rsidRDefault="00784E26" w:rsidP="000846EE">
            <w:pPr>
              <w:jc w:val="both"/>
              <w:rPr>
                <w:rFonts w:ascii="Arial" w:hAnsi="Arial" w:cs="Arial"/>
                <w:bCs/>
                <w:sz w:val="24"/>
                <w:szCs w:val="24"/>
              </w:rPr>
            </w:pPr>
            <w:r>
              <w:rPr>
                <w:rFonts w:ascii="Arial" w:hAnsi="Arial" w:cs="Arial"/>
                <w:bCs/>
                <w:sz w:val="24"/>
                <w:szCs w:val="24"/>
              </w:rPr>
              <w:t xml:space="preserve">Non-Executives to feed back their experiences of visits out-of-session. </w:t>
            </w:r>
          </w:p>
        </w:tc>
        <w:tc>
          <w:tcPr>
            <w:tcW w:w="2286" w:type="dxa"/>
            <w:shd w:val="clear" w:color="auto" w:fill="auto"/>
          </w:tcPr>
          <w:p w:rsidR="00784E26" w:rsidRDefault="00784E26" w:rsidP="00784E26">
            <w:pPr>
              <w:keepNext/>
              <w:keepLines/>
              <w:jc w:val="center"/>
              <w:rPr>
                <w:rFonts w:ascii="Arial" w:hAnsi="Arial" w:cs="Arial"/>
                <w:sz w:val="24"/>
                <w:szCs w:val="24"/>
              </w:rPr>
            </w:pPr>
          </w:p>
          <w:p w:rsidR="00784E26" w:rsidRDefault="00784E26" w:rsidP="00784E26">
            <w:pPr>
              <w:keepNext/>
              <w:keepLines/>
              <w:jc w:val="center"/>
              <w:rPr>
                <w:rFonts w:ascii="Arial" w:hAnsi="Arial" w:cs="Arial"/>
                <w:sz w:val="24"/>
                <w:szCs w:val="24"/>
              </w:rPr>
            </w:pPr>
            <w:r>
              <w:rPr>
                <w:rFonts w:ascii="Arial" w:hAnsi="Arial" w:cs="Arial"/>
                <w:sz w:val="24"/>
                <w:szCs w:val="24"/>
              </w:rPr>
              <w:t>All NEDs</w:t>
            </w:r>
          </w:p>
        </w:tc>
      </w:tr>
      <w:tr w:rsidR="009919D8" w:rsidRPr="00E367B7" w:rsidTr="00D8125D">
        <w:trPr>
          <w:trHeight w:val="1340"/>
        </w:trPr>
        <w:tc>
          <w:tcPr>
            <w:tcW w:w="2197" w:type="dxa"/>
            <w:shd w:val="clear" w:color="auto" w:fill="auto"/>
          </w:tcPr>
          <w:p w:rsidR="009919D8" w:rsidRDefault="009919D8" w:rsidP="000846EE">
            <w:pPr>
              <w:keepNext/>
              <w:keepLines/>
              <w:jc w:val="center"/>
              <w:rPr>
                <w:rFonts w:ascii="Arial" w:hAnsi="Arial" w:cs="Arial"/>
                <w:sz w:val="24"/>
                <w:szCs w:val="24"/>
              </w:rPr>
            </w:pPr>
          </w:p>
          <w:p w:rsidR="00784E26" w:rsidRDefault="00784E26" w:rsidP="000846EE">
            <w:pPr>
              <w:keepNext/>
              <w:keepLines/>
              <w:jc w:val="center"/>
              <w:rPr>
                <w:rFonts w:ascii="Arial" w:hAnsi="Arial" w:cs="Arial"/>
                <w:sz w:val="24"/>
                <w:szCs w:val="24"/>
              </w:rPr>
            </w:pPr>
            <w:r>
              <w:rPr>
                <w:rFonts w:ascii="Arial" w:hAnsi="Arial" w:cs="Arial"/>
                <w:sz w:val="24"/>
                <w:szCs w:val="24"/>
              </w:rPr>
              <w:t>BOD 69/15 (b)</w:t>
            </w:r>
          </w:p>
        </w:tc>
        <w:tc>
          <w:tcPr>
            <w:tcW w:w="8351" w:type="dxa"/>
          </w:tcPr>
          <w:p w:rsidR="009919D8" w:rsidRDefault="00171162" w:rsidP="000846EE">
            <w:pPr>
              <w:jc w:val="both"/>
              <w:rPr>
                <w:rFonts w:ascii="Arial" w:hAnsi="Arial" w:cs="Arial"/>
                <w:bCs/>
                <w:sz w:val="24"/>
                <w:szCs w:val="24"/>
              </w:rPr>
            </w:pPr>
            <w:r>
              <w:rPr>
                <w:rFonts w:ascii="Arial" w:hAnsi="Arial" w:cs="Arial"/>
                <w:b/>
                <w:bCs/>
                <w:sz w:val="24"/>
                <w:szCs w:val="24"/>
              </w:rPr>
              <w:t>Finance Report – commissioner surpluses</w:t>
            </w:r>
          </w:p>
          <w:p w:rsidR="00171162" w:rsidRPr="00171162" w:rsidRDefault="00171162" w:rsidP="000846EE">
            <w:pPr>
              <w:jc w:val="both"/>
              <w:rPr>
                <w:rFonts w:ascii="Arial" w:hAnsi="Arial" w:cs="Arial"/>
                <w:bCs/>
                <w:sz w:val="24"/>
                <w:szCs w:val="24"/>
              </w:rPr>
            </w:pPr>
            <w:r>
              <w:rPr>
                <w:rFonts w:ascii="Arial" w:hAnsi="Arial" w:cs="Arial"/>
                <w:bCs/>
                <w:sz w:val="24"/>
                <w:szCs w:val="24"/>
              </w:rPr>
              <w:t xml:space="preserve">To confirm the position on commissioner surpluses and whether these would be returned to HM Treasury. </w:t>
            </w:r>
          </w:p>
        </w:tc>
        <w:tc>
          <w:tcPr>
            <w:tcW w:w="2286" w:type="dxa"/>
            <w:shd w:val="clear" w:color="auto" w:fill="auto"/>
          </w:tcPr>
          <w:p w:rsidR="009919D8" w:rsidRDefault="009919D8" w:rsidP="000846EE">
            <w:pPr>
              <w:keepNext/>
              <w:keepLines/>
              <w:jc w:val="center"/>
              <w:rPr>
                <w:rFonts w:ascii="Arial" w:hAnsi="Arial" w:cs="Arial"/>
                <w:sz w:val="24"/>
                <w:szCs w:val="24"/>
              </w:rPr>
            </w:pPr>
          </w:p>
          <w:p w:rsidR="00171162" w:rsidRDefault="00171162" w:rsidP="000846EE">
            <w:pPr>
              <w:keepNext/>
              <w:keepLines/>
              <w:jc w:val="center"/>
              <w:rPr>
                <w:rFonts w:ascii="Arial" w:hAnsi="Arial" w:cs="Arial"/>
                <w:sz w:val="24"/>
                <w:szCs w:val="24"/>
              </w:rPr>
            </w:pPr>
            <w:proofErr w:type="spellStart"/>
            <w:r>
              <w:rPr>
                <w:rFonts w:ascii="Arial" w:hAnsi="Arial" w:cs="Arial"/>
                <w:sz w:val="24"/>
                <w:szCs w:val="24"/>
              </w:rPr>
              <w:t>MMcE</w:t>
            </w:r>
            <w:proofErr w:type="spellEnd"/>
          </w:p>
        </w:tc>
      </w:tr>
      <w:tr w:rsidR="00784E26" w:rsidRPr="00E367B7" w:rsidTr="00D8125D">
        <w:trPr>
          <w:trHeight w:val="1340"/>
        </w:trPr>
        <w:tc>
          <w:tcPr>
            <w:tcW w:w="2197" w:type="dxa"/>
            <w:shd w:val="clear" w:color="auto" w:fill="auto"/>
          </w:tcPr>
          <w:p w:rsidR="00784E26" w:rsidRDefault="00784E26" w:rsidP="000846EE">
            <w:pPr>
              <w:keepNext/>
              <w:keepLines/>
              <w:jc w:val="center"/>
              <w:rPr>
                <w:rFonts w:ascii="Arial" w:hAnsi="Arial" w:cs="Arial"/>
                <w:sz w:val="24"/>
                <w:szCs w:val="24"/>
              </w:rPr>
            </w:pPr>
          </w:p>
          <w:p w:rsidR="00171162" w:rsidRDefault="00171162" w:rsidP="000846EE">
            <w:pPr>
              <w:keepNext/>
              <w:keepLines/>
              <w:jc w:val="center"/>
              <w:rPr>
                <w:rFonts w:ascii="Arial" w:hAnsi="Arial" w:cs="Arial"/>
                <w:sz w:val="24"/>
                <w:szCs w:val="24"/>
              </w:rPr>
            </w:pPr>
            <w:r>
              <w:rPr>
                <w:rFonts w:ascii="Arial" w:hAnsi="Arial" w:cs="Arial"/>
                <w:sz w:val="24"/>
                <w:szCs w:val="24"/>
              </w:rPr>
              <w:t>BOD 71/15 (c)</w:t>
            </w:r>
          </w:p>
        </w:tc>
        <w:tc>
          <w:tcPr>
            <w:tcW w:w="8351" w:type="dxa"/>
          </w:tcPr>
          <w:p w:rsidR="00784E26" w:rsidRDefault="00171162" w:rsidP="000846EE">
            <w:pPr>
              <w:jc w:val="both"/>
              <w:rPr>
                <w:rFonts w:ascii="Arial" w:hAnsi="Arial" w:cs="Arial"/>
                <w:bCs/>
                <w:sz w:val="24"/>
                <w:szCs w:val="24"/>
              </w:rPr>
            </w:pPr>
            <w:r>
              <w:rPr>
                <w:rFonts w:ascii="Arial" w:hAnsi="Arial" w:cs="Arial"/>
                <w:b/>
                <w:bCs/>
                <w:sz w:val="24"/>
                <w:szCs w:val="24"/>
              </w:rPr>
              <w:t>Workforce report – retention rates</w:t>
            </w:r>
          </w:p>
          <w:p w:rsidR="00171162" w:rsidRPr="00171162" w:rsidRDefault="00171162" w:rsidP="000846EE">
            <w:pPr>
              <w:jc w:val="both"/>
              <w:rPr>
                <w:rFonts w:ascii="Arial" w:hAnsi="Arial" w:cs="Arial"/>
                <w:bCs/>
                <w:sz w:val="24"/>
                <w:szCs w:val="24"/>
              </w:rPr>
            </w:pPr>
            <w:r>
              <w:rPr>
                <w:rFonts w:ascii="Arial" w:hAnsi="Arial" w:cs="Arial"/>
                <w:bCs/>
                <w:sz w:val="24"/>
                <w:szCs w:val="24"/>
              </w:rPr>
              <w:t xml:space="preserve">Future reports to sub-categorise retention rates to enable the Board to identify areas of particular concern. </w:t>
            </w:r>
          </w:p>
        </w:tc>
        <w:tc>
          <w:tcPr>
            <w:tcW w:w="2286" w:type="dxa"/>
            <w:shd w:val="clear" w:color="auto" w:fill="auto"/>
          </w:tcPr>
          <w:p w:rsidR="00784E26" w:rsidRDefault="00784E26" w:rsidP="000846EE">
            <w:pPr>
              <w:keepNext/>
              <w:keepLines/>
              <w:jc w:val="center"/>
              <w:rPr>
                <w:rFonts w:ascii="Arial" w:hAnsi="Arial" w:cs="Arial"/>
                <w:sz w:val="24"/>
                <w:szCs w:val="24"/>
              </w:rPr>
            </w:pPr>
          </w:p>
          <w:p w:rsidR="00171162" w:rsidRDefault="00171162" w:rsidP="000846EE">
            <w:pPr>
              <w:keepNext/>
              <w:keepLines/>
              <w:jc w:val="center"/>
              <w:rPr>
                <w:rFonts w:ascii="Arial" w:hAnsi="Arial" w:cs="Arial"/>
                <w:sz w:val="24"/>
                <w:szCs w:val="24"/>
              </w:rPr>
            </w:pPr>
            <w:proofErr w:type="spellStart"/>
            <w:r>
              <w:rPr>
                <w:rFonts w:ascii="Arial" w:hAnsi="Arial" w:cs="Arial"/>
                <w:sz w:val="24"/>
                <w:szCs w:val="24"/>
              </w:rPr>
              <w:t>MMcE</w:t>
            </w:r>
            <w:proofErr w:type="spellEnd"/>
          </w:p>
        </w:tc>
      </w:tr>
      <w:tr w:rsidR="00784E26" w:rsidRPr="00E367B7" w:rsidTr="00D8125D">
        <w:trPr>
          <w:trHeight w:val="1340"/>
        </w:trPr>
        <w:tc>
          <w:tcPr>
            <w:tcW w:w="2197" w:type="dxa"/>
            <w:shd w:val="clear" w:color="auto" w:fill="auto"/>
          </w:tcPr>
          <w:p w:rsidR="00784E26" w:rsidRDefault="00784E26" w:rsidP="000846EE">
            <w:pPr>
              <w:keepNext/>
              <w:keepLines/>
              <w:jc w:val="center"/>
              <w:rPr>
                <w:rFonts w:ascii="Arial" w:hAnsi="Arial" w:cs="Arial"/>
                <w:sz w:val="24"/>
                <w:szCs w:val="24"/>
              </w:rPr>
            </w:pPr>
          </w:p>
          <w:p w:rsidR="00F4139E" w:rsidRDefault="00F4139E" w:rsidP="000846EE">
            <w:pPr>
              <w:keepNext/>
              <w:keepLines/>
              <w:jc w:val="center"/>
              <w:rPr>
                <w:rFonts w:ascii="Arial" w:hAnsi="Arial" w:cs="Arial"/>
                <w:sz w:val="24"/>
                <w:szCs w:val="24"/>
              </w:rPr>
            </w:pPr>
            <w:r>
              <w:rPr>
                <w:rFonts w:ascii="Arial" w:hAnsi="Arial" w:cs="Arial"/>
                <w:sz w:val="24"/>
                <w:szCs w:val="24"/>
              </w:rPr>
              <w:t>BOD 71/15 (d)</w:t>
            </w:r>
          </w:p>
        </w:tc>
        <w:tc>
          <w:tcPr>
            <w:tcW w:w="8351" w:type="dxa"/>
          </w:tcPr>
          <w:p w:rsidR="00784E26" w:rsidRDefault="00F4139E" w:rsidP="000846EE">
            <w:pPr>
              <w:jc w:val="both"/>
              <w:rPr>
                <w:rFonts w:ascii="Arial" w:hAnsi="Arial" w:cs="Arial"/>
                <w:bCs/>
                <w:sz w:val="24"/>
                <w:szCs w:val="24"/>
              </w:rPr>
            </w:pPr>
            <w:r>
              <w:rPr>
                <w:rFonts w:ascii="Arial" w:hAnsi="Arial" w:cs="Arial"/>
                <w:b/>
                <w:bCs/>
                <w:sz w:val="24"/>
                <w:szCs w:val="24"/>
              </w:rPr>
              <w:t>Recruitment, retention and vacancies</w:t>
            </w:r>
          </w:p>
          <w:p w:rsidR="00F4139E" w:rsidRPr="00F4139E" w:rsidRDefault="00F4139E" w:rsidP="000846EE">
            <w:pPr>
              <w:jc w:val="both"/>
              <w:rPr>
                <w:rFonts w:ascii="Arial" w:hAnsi="Arial" w:cs="Arial"/>
                <w:bCs/>
                <w:sz w:val="24"/>
                <w:szCs w:val="24"/>
              </w:rPr>
            </w:pPr>
            <w:r>
              <w:rPr>
                <w:rFonts w:ascii="Arial" w:hAnsi="Arial" w:cs="Arial"/>
                <w:bCs/>
                <w:sz w:val="24"/>
                <w:szCs w:val="24"/>
              </w:rPr>
              <w:t xml:space="preserve">The approach being taken to recruit new staff, retain existing staff and provide solutions to managing vacancies to be picked up during the Board’s strategy discussion on workforce in the confidential meeting in May 2015.  </w:t>
            </w:r>
          </w:p>
        </w:tc>
        <w:tc>
          <w:tcPr>
            <w:tcW w:w="2286" w:type="dxa"/>
            <w:shd w:val="clear" w:color="auto" w:fill="auto"/>
          </w:tcPr>
          <w:p w:rsidR="00784E26" w:rsidRDefault="00784E26" w:rsidP="000846EE">
            <w:pPr>
              <w:keepNext/>
              <w:keepLines/>
              <w:jc w:val="center"/>
              <w:rPr>
                <w:rFonts w:ascii="Arial" w:hAnsi="Arial" w:cs="Arial"/>
                <w:sz w:val="24"/>
                <w:szCs w:val="24"/>
              </w:rPr>
            </w:pPr>
          </w:p>
          <w:p w:rsidR="00F4139E" w:rsidRDefault="00F4139E" w:rsidP="000846EE">
            <w:pPr>
              <w:keepNext/>
              <w:keepLines/>
              <w:jc w:val="center"/>
              <w:rPr>
                <w:rFonts w:ascii="Arial" w:hAnsi="Arial" w:cs="Arial"/>
                <w:sz w:val="24"/>
                <w:szCs w:val="24"/>
              </w:rPr>
            </w:pPr>
            <w:proofErr w:type="spellStart"/>
            <w:r>
              <w:rPr>
                <w:rFonts w:ascii="Arial" w:hAnsi="Arial" w:cs="Arial"/>
                <w:sz w:val="24"/>
                <w:szCs w:val="24"/>
              </w:rPr>
              <w:t>MMcE</w:t>
            </w:r>
            <w:proofErr w:type="spellEnd"/>
          </w:p>
        </w:tc>
      </w:tr>
      <w:tr w:rsidR="00784E26" w:rsidRPr="00E367B7" w:rsidTr="00D8125D">
        <w:trPr>
          <w:trHeight w:val="1340"/>
        </w:trPr>
        <w:tc>
          <w:tcPr>
            <w:tcW w:w="2197" w:type="dxa"/>
            <w:shd w:val="clear" w:color="auto" w:fill="auto"/>
          </w:tcPr>
          <w:p w:rsidR="00784E26" w:rsidRDefault="00784E26" w:rsidP="000846EE">
            <w:pPr>
              <w:keepNext/>
              <w:keepLines/>
              <w:jc w:val="center"/>
              <w:rPr>
                <w:rFonts w:ascii="Arial" w:hAnsi="Arial" w:cs="Arial"/>
                <w:sz w:val="24"/>
                <w:szCs w:val="24"/>
              </w:rPr>
            </w:pPr>
          </w:p>
          <w:p w:rsidR="005079BA" w:rsidRDefault="005079BA" w:rsidP="000846EE">
            <w:pPr>
              <w:keepNext/>
              <w:keepLines/>
              <w:jc w:val="center"/>
              <w:rPr>
                <w:rFonts w:ascii="Arial" w:hAnsi="Arial" w:cs="Arial"/>
                <w:sz w:val="24"/>
                <w:szCs w:val="24"/>
              </w:rPr>
            </w:pPr>
            <w:r>
              <w:rPr>
                <w:rFonts w:ascii="Arial" w:hAnsi="Arial" w:cs="Arial"/>
                <w:sz w:val="24"/>
                <w:szCs w:val="24"/>
              </w:rPr>
              <w:t>BOD 74/15</w:t>
            </w:r>
            <w:r w:rsidR="00D66EAD">
              <w:rPr>
                <w:rFonts w:ascii="Arial" w:hAnsi="Arial" w:cs="Arial"/>
                <w:sz w:val="24"/>
                <w:szCs w:val="24"/>
              </w:rPr>
              <w:t xml:space="preserve"> (c)</w:t>
            </w:r>
            <w:r w:rsidR="009E7C1A">
              <w:rPr>
                <w:rFonts w:ascii="Arial" w:hAnsi="Arial" w:cs="Arial"/>
                <w:sz w:val="24"/>
                <w:szCs w:val="24"/>
              </w:rPr>
              <w:t>-(d)</w:t>
            </w:r>
          </w:p>
        </w:tc>
        <w:tc>
          <w:tcPr>
            <w:tcW w:w="8351" w:type="dxa"/>
          </w:tcPr>
          <w:p w:rsidR="00784E26" w:rsidRDefault="00D66EAD" w:rsidP="000846EE">
            <w:pPr>
              <w:jc w:val="both"/>
              <w:rPr>
                <w:rFonts w:ascii="Arial" w:hAnsi="Arial" w:cs="Arial"/>
                <w:bCs/>
                <w:sz w:val="24"/>
                <w:szCs w:val="24"/>
              </w:rPr>
            </w:pPr>
            <w:r>
              <w:rPr>
                <w:rFonts w:ascii="Arial" w:hAnsi="Arial" w:cs="Arial"/>
                <w:b/>
                <w:bCs/>
                <w:sz w:val="24"/>
                <w:szCs w:val="24"/>
              </w:rPr>
              <w:t>Business Plan Report</w:t>
            </w:r>
          </w:p>
          <w:p w:rsidR="00D66EAD" w:rsidRPr="00D66EAD" w:rsidRDefault="009E7C1A" w:rsidP="000846EE">
            <w:pPr>
              <w:jc w:val="both"/>
              <w:rPr>
                <w:rFonts w:ascii="Arial" w:hAnsi="Arial" w:cs="Arial"/>
                <w:bCs/>
                <w:sz w:val="24"/>
                <w:szCs w:val="24"/>
              </w:rPr>
            </w:pPr>
            <w:r>
              <w:rPr>
                <w:rFonts w:ascii="Arial" w:hAnsi="Arial" w:cs="Arial"/>
                <w:bCs/>
                <w:sz w:val="24"/>
                <w:szCs w:val="24"/>
              </w:rPr>
              <w:t xml:space="preserve">Future reporting to be reviewed as the Q4 report was very dense and provided too much detail for the Board and some comments seemed out of date.  Careful consideration to be given to what was included in the 2015/16 plan and reported to the Board. </w:t>
            </w:r>
          </w:p>
        </w:tc>
        <w:tc>
          <w:tcPr>
            <w:tcW w:w="2286" w:type="dxa"/>
            <w:shd w:val="clear" w:color="auto" w:fill="auto"/>
          </w:tcPr>
          <w:p w:rsidR="00784E26" w:rsidRDefault="00784E26" w:rsidP="000846EE">
            <w:pPr>
              <w:keepNext/>
              <w:keepLines/>
              <w:jc w:val="center"/>
              <w:rPr>
                <w:rFonts w:ascii="Arial" w:hAnsi="Arial" w:cs="Arial"/>
                <w:sz w:val="24"/>
                <w:szCs w:val="24"/>
              </w:rPr>
            </w:pPr>
          </w:p>
          <w:p w:rsidR="009E7C1A" w:rsidRDefault="009E7C1A" w:rsidP="000846EE">
            <w:pPr>
              <w:keepNext/>
              <w:keepLines/>
              <w:jc w:val="center"/>
              <w:rPr>
                <w:rFonts w:ascii="Arial" w:hAnsi="Arial" w:cs="Arial"/>
                <w:sz w:val="24"/>
                <w:szCs w:val="24"/>
              </w:rPr>
            </w:pPr>
            <w:proofErr w:type="spellStart"/>
            <w:r>
              <w:rPr>
                <w:rFonts w:ascii="Arial" w:hAnsi="Arial" w:cs="Arial"/>
                <w:sz w:val="24"/>
                <w:szCs w:val="24"/>
              </w:rPr>
              <w:t>MMcE</w:t>
            </w:r>
            <w:proofErr w:type="spellEnd"/>
          </w:p>
        </w:tc>
      </w:tr>
      <w:tr w:rsidR="00F4139E" w:rsidRPr="00E367B7" w:rsidTr="00D8125D">
        <w:trPr>
          <w:trHeight w:val="1340"/>
        </w:trPr>
        <w:tc>
          <w:tcPr>
            <w:tcW w:w="2197" w:type="dxa"/>
            <w:shd w:val="clear" w:color="auto" w:fill="auto"/>
          </w:tcPr>
          <w:p w:rsidR="00F4139E" w:rsidRDefault="00F4139E" w:rsidP="000846EE">
            <w:pPr>
              <w:keepNext/>
              <w:keepLines/>
              <w:jc w:val="center"/>
              <w:rPr>
                <w:rFonts w:ascii="Arial" w:hAnsi="Arial" w:cs="Arial"/>
                <w:sz w:val="24"/>
                <w:szCs w:val="24"/>
              </w:rPr>
            </w:pPr>
          </w:p>
          <w:p w:rsidR="00974BEC" w:rsidRDefault="00974BEC" w:rsidP="000846EE">
            <w:pPr>
              <w:keepNext/>
              <w:keepLines/>
              <w:jc w:val="center"/>
              <w:rPr>
                <w:rFonts w:ascii="Arial" w:hAnsi="Arial" w:cs="Arial"/>
                <w:sz w:val="24"/>
                <w:szCs w:val="24"/>
              </w:rPr>
            </w:pPr>
            <w:r>
              <w:rPr>
                <w:rFonts w:ascii="Arial" w:hAnsi="Arial" w:cs="Arial"/>
                <w:sz w:val="24"/>
                <w:szCs w:val="24"/>
              </w:rPr>
              <w:t>BOD 75/15 (b)</w:t>
            </w:r>
          </w:p>
        </w:tc>
        <w:tc>
          <w:tcPr>
            <w:tcW w:w="8351" w:type="dxa"/>
          </w:tcPr>
          <w:p w:rsidR="00F4139E" w:rsidRDefault="00974BEC" w:rsidP="000846EE">
            <w:pPr>
              <w:jc w:val="both"/>
              <w:rPr>
                <w:rFonts w:ascii="Arial" w:hAnsi="Arial" w:cs="Arial"/>
                <w:bCs/>
                <w:sz w:val="24"/>
                <w:szCs w:val="24"/>
              </w:rPr>
            </w:pPr>
            <w:r>
              <w:rPr>
                <w:rFonts w:ascii="Arial" w:hAnsi="Arial" w:cs="Arial"/>
                <w:b/>
                <w:bCs/>
                <w:sz w:val="24"/>
                <w:szCs w:val="24"/>
              </w:rPr>
              <w:t>Board Assurance Framework – Risk 5.1A</w:t>
            </w:r>
          </w:p>
          <w:p w:rsidR="00974BEC" w:rsidRPr="00974BEC" w:rsidRDefault="00974BEC" w:rsidP="000846EE">
            <w:pPr>
              <w:jc w:val="both"/>
              <w:rPr>
                <w:rFonts w:ascii="Arial" w:hAnsi="Arial" w:cs="Arial"/>
                <w:bCs/>
                <w:sz w:val="24"/>
                <w:szCs w:val="24"/>
              </w:rPr>
            </w:pPr>
            <w:r>
              <w:rPr>
                <w:rFonts w:ascii="Arial" w:hAnsi="Arial" w:cs="Arial"/>
                <w:bCs/>
                <w:sz w:val="24"/>
                <w:szCs w:val="24"/>
              </w:rPr>
              <w:t xml:space="preserve">To be amended to explicitly mention problems with retaining staff. </w:t>
            </w:r>
          </w:p>
        </w:tc>
        <w:tc>
          <w:tcPr>
            <w:tcW w:w="2286" w:type="dxa"/>
            <w:shd w:val="clear" w:color="auto" w:fill="auto"/>
          </w:tcPr>
          <w:p w:rsidR="00F4139E" w:rsidRDefault="00F4139E" w:rsidP="000846EE">
            <w:pPr>
              <w:keepNext/>
              <w:keepLines/>
              <w:jc w:val="center"/>
              <w:rPr>
                <w:rFonts w:ascii="Arial" w:hAnsi="Arial" w:cs="Arial"/>
                <w:sz w:val="24"/>
                <w:szCs w:val="24"/>
              </w:rPr>
            </w:pPr>
          </w:p>
          <w:p w:rsidR="00974BEC" w:rsidRDefault="00974BEC" w:rsidP="000846EE">
            <w:pPr>
              <w:keepNext/>
              <w:keepLines/>
              <w:jc w:val="center"/>
              <w:rPr>
                <w:rFonts w:ascii="Arial" w:hAnsi="Arial" w:cs="Arial"/>
                <w:sz w:val="24"/>
                <w:szCs w:val="24"/>
              </w:rPr>
            </w:pPr>
            <w:proofErr w:type="spellStart"/>
            <w:r>
              <w:rPr>
                <w:rFonts w:ascii="Arial" w:hAnsi="Arial" w:cs="Arial"/>
                <w:sz w:val="24"/>
                <w:szCs w:val="24"/>
              </w:rPr>
              <w:t>MMcE</w:t>
            </w:r>
            <w:proofErr w:type="spellEnd"/>
          </w:p>
        </w:tc>
      </w:tr>
      <w:tr w:rsidR="00F4139E" w:rsidRPr="00E367B7" w:rsidTr="00D8125D">
        <w:trPr>
          <w:trHeight w:val="1340"/>
        </w:trPr>
        <w:tc>
          <w:tcPr>
            <w:tcW w:w="2197" w:type="dxa"/>
            <w:shd w:val="clear" w:color="auto" w:fill="auto"/>
          </w:tcPr>
          <w:p w:rsidR="00F4139E" w:rsidRDefault="00F4139E" w:rsidP="000846EE">
            <w:pPr>
              <w:keepNext/>
              <w:keepLines/>
              <w:jc w:val="center"/>
              <w:rPr>
                <w:rFonts w:ascii="Arial" w:hAnsi="Arial" w:cs="Arial"/>
                <w:sz w:val="24"/>
                <w:szCs w:val="24"/>
              </w:rPr>
            </w:pPr>
          </w:p>
          <w:p w:rsidR="00974BEC" w:rsidRDefault="00974BEC" w:rsidP="000846EE">
            <w:pPr>
              <w:keepNext/>
              <w:keepLines/>
              <w:jc w:val="center"/>
              <w:rPr>
                <w:rFonts w:ascii="Arial" w:hAnsi="Arial" w:cs="Arial"/>
                <w:sz w:val="24"/>
                <w:szCs w:val="24"/>
              </w:rPr>
            </w:pPr>
            <w:r>
              <w:rPr>
                <w:rFonts w:ascii="Arial" w:hAnsi="Arial" w:cs="Arial"/>
                <w:sz w:val="24"/>
                <w:szCs w:val="24"/>
              </w:rPr>
              <w:t>BOD 75/15 (c)</w:t>
            </w:r>
          </w:p>
        </w:tc>
        <w:tc>
          <w:tcPr>
            <w:tcW w:w="8351" w:type="dxa"/>
          </w:tcPr>
          <w:p w:rsidR="00F4139E" w:rsidRDefault="00974BEC" w:rsidP="000846EE">
            <w:pPr>
              <w:jc w:val="both"/>
              <w:rPr>
                <w:rFonts w:ascii="Arial" w:hAnsi="Arial" w:cs="Arial"/>
                <w:bCs/>
                <w:sz w:val="24"/>
                <w:szCs w:val="24"/>
              </w:rPr>
            </w:pPr>
            <w:r>
              <w:rPr>
                <w:rFonts w:ascii="Arial" w:hAnsi="Arial" w:cs="Arial"/>
                <w:b/>
                <w:bCs/>
                <w:sz w:val="24"/>
                <w:szCs w:val="24"/>
              </w:rPr>
              <w:t>Board Assurance Framework – Risk 2.3 (CIP)</w:t>
            </w:r>
          </w:p>
          <w:p w:rsidR="00974BEC" w:rsidRPr="00974BEC" w:rsidRDefault="00974BEC" w:rsidP="000846EE">
            <w:pPr>
              <w:jc w:val="both"/>
              <w:rPr>
                <w:rFonts w:ascii="Arial" w:hAnsi="Arial" w:cs="Arial"/>
                <w:bCs/>
                <w:sz w:val="24"/>
                <w:szCs w:val="24"/>
              </w:rPr>
            </w:pPr>
            <w:r>
              <w:rPr>
                <w:rFonts w:ascii="Arial" w:hAnsi="Arial" w:cs="Arial"/>
                <w:bCs/>
                <w:sz w:val="24"/>
                <w:szCs w:val="24"/>
              </w:rPr>
              <w:t xml:space="preserve">Rating on the “where we are” matrix to be amended to 5/5 (almost certain and catastrophic), given that concerns around achieving CIP had largely materialised. </w:t>
            </w:r>
            <w:r w:rsidR="003C5DB1">
              <w:rPr>
                <w:rFonts w:ascii="Arial" w:hAnsi="Arial" w:cs="Arial"/>
                <w:bCs/>
                <w:sz w:val="24"/>
                <w:szCs w:val="24"/>
              </w:rPr>
              <w:t xml:space="preserve"> A Board sub-committee to be tasked with responsibility to oversee this risk and the mitigating actions.  To also be reviewed by the Finance and Investment Committee and Quality Committee with both </w:t>
            </w:r>
            <w:r w:rsidR="003C5DB1">
              <w:rPr>
                <w:rFonts w:ascii="Arial" w:hAnsi="Arial" w:cs="Arial"/>
                <w:bCs/>
                <w:sz w:val="24"/>
                <w:szCs w:val="24"/>
              </w:rPr>
              <w:lastRenderedPageBreak/>
              <w:t>reporting progress to the Board.</w:t>
            </w:r>
          </w:p>
        </w:tc>
        <w:tc>
          <w:tcPr>
            <w:tcW w:w="2286" w:type="dxa"/>
            <w:shd w:val="clear" w:color="auto" w:fill="auto"/>
          </w:tcPr>
          <w:p w:rsidR="00F4139E" w:rsidRDefault="00F4139E" w:rsidP="000846EE">
            <w:pPr>
              <w:keepNext/>
              <w:keepLines/>
              <w:jc w:val="center"/>
              <w:rPr>
                <w:rFonts w:ascii="Arial" w:hAnsi="Arial" w:cs="Arial"/>
                <w:sz w:val="24"/>
                <w:szCs w:val="24"/>
              </w:rPr>
            </w:pPr>
          </w:p>
          <w:p w:rsidR="00974BEC" w:rsidRDefault="00974BEC" w:rsidP="00974BEC">
            <w:pPr>
              <w:keepNext/>
              <w:keepLines/>
              <w:jc w:val="center"/>
              <w:rPr>
                <w:rFonts w:ascii="Arial" w:hAnsi="Arial" w:cs="Arial"/>
                <w:sz w:val="24"/>
                <w:szCs w:val="24"/>
              </w:rPr>
            </w:pPr>
            <w:proofErr w:type="spellStart"/>
            <w:r>
              <w:rPr>
                <w:rFonts w:ascii="Arial" w:hAnsi="Arial" w:cs="Arial"/>
                <w:sz w:val="24"/>
                <w:szCs w:val="24"/>
              </w:rPr>
              <w:t>MMcE</w:t>
            </w:r>
            <w:proofErr w:type="spellEnd"/>
            <w:r w:rsidR="003C5DB1">
              <w:rPr>
                <w:rFonts w:ascii="Arial" w:hAnsi="Arial" w:cs="Arial"/>
                <w:sz w:val="24"/>
                <w:szCs w:val="24"/>
              </w:rPr>
              <w:t>/JCH</w:t>
            </w:r>
          </w:p>
        </w:tc>
      </w:tr>
      <w:tr w:rsidR="00974BEC" w:rsidRPr="00E367B7" w:rsidTr="00D8125D">
        <w:trPr>
          <w:trHeight w:val="1340"/>
        </w:trPr>
        <w:tc>
          <w:tcPr>
            <w:tcW w:w="2197" w:type="dxa"/>
            <w:shd w:val="clear" w:color="auto" w:fill="auto"/>
          </w:tcPr>
          <w:p w:rsidR="00974BEC" w:rsidRDefault="00974BEC" w:rsidP="000846EE">
            <w:pPr>
              <w:keepNext/>
              <w:keepLines/>
              <w:jc w:val="center"/>
              <w:rPr>
                <w:rFonts w:ascii="Arial" w:hAnsi="Arial" w:cs="Arial"/>
                <w:sz w:val="24"/>
                <w:szCs w:val="24"/>
              </w:rPr>
            </w:pPr>
          </w:p>
          <w:p w:rsidR="003C5DB1" w:rsidRDefault="004C26C4" w:rsidP="000846EE">
            <w:pPr>
              <w:keepNext/>
              <w:keepLines/>
              <w:jc w:val="center"/>
              <w:rPr>
                <w:rFonts w:ascii="Arial" w:hAnsi="Arial" w:cs="Arial"/>
                <w:sz w:val="24"/>
                <w:szCs w:val="24"/>
              </w:rPr>
            </w:pPr>
            <w:r>
              <w:rPr>
                <w:rFonts w:ascii="Arial" w:hAnsi="Arial" w:cs="Arial"/>
                <w:sz w:val="24"/>
                <w:szCs w:val="24"/>
              </w:rPr>
              <w:t>BOD 75/15 (d</w:t>
            </w:r>
            <w:r w:rsidR="003C5DB1">
              <w:rPr>
                <w:rFonts w:ascii="Arial" w:hAnsi="Arial" w:cs="Arial"/>
                <w:sz w:val="24"/>
                <w:szCs w:val="24"/>
              </w:rPr>
              <w:t>)</w:t>
            </w:r>
          </w:p>
          <w:p w:rsidR="003C5DB1" w:rsidRDefault="003C5DB1" w:rsidP="000846EE">
            <w:pPr>
              <w:keepNext/>
              <w:keepLines/>
              <w:jc w:val="center"/>
              <w:rPr>
                <w:rFonts w:ascii="Arial" w:hAnsi="Arial" w:cs="Arial"/>
                <w:sz w:val="24"/>
                <w:szCs w:val="24"/>
              </w:rPr>
            </w:pPr>
          </w:p>
        </w:tc>
        <w:tc>
          <w:tcPr>
            <w:tcW w:w="8351" w:type="dxa"/>
          </w:tcPr>
          <w:p w:rsidR="00974BEC" w:rsidRDefault="004C26C4" w:rsidP="000846EE">
            <w:pPr>
              <w:jc w:val="both"/>
              <w:rPr>
                <w:rFonts w:ascii="Arial" w:hAnsi="Arial" w:cs="Arial"/>
                <w:bCs/>
                <w:sz w:val="24"/>
                <w:szCs w:val="24"/>
              </w:rPr>
            </w:pPr>
            <w:r>
              <w:rPr>
                <w:rFonts w:ascii="Arial" w:hAnsi="Arial" w:cs="Arial"/>
                <w:b/>
                <w:bCs/>
                <w:sz w:val="24"/>
                <w:szCs w:val="24"/>
              </w:rPr>
              <w:t>Board Assurance Framework – extreme and high risks</w:t>
            </w:r>
          </w:p>
          <w:p w:rsidR="004C26C4" w:rsidRPr="004C26C4" w:rsidRDefault="004C26C4" w:rsidP="000846EE">
            <w:pPr>
              <w:jc w:val="both"/>
              <w:rPr>
                <w:rFonts w:ascii="Arial" w:hAnsi="Arial" w:cs="Arial"/>
                <w:bCs/>
                <w:sz w:val="24"/>
                <w:szCs w:val="24"/>
              </w:rPr>
            </w:pPr>
            <w:r>
              <w:rPr>
                <w:rFonts w:ascii="Arial" w:hAnsi="Arial" w:cs="Arial"/>
                <w:bCs/>
                <w:sz w:val="24"/>
                <w:szCs w:val="24"/>
              </w:rPr>
              <w:t xml:space="preserve">All extreme and high risks to be allocated to a Board committee for regular review. </w:t>
            </w:r>
          </w:p>
        </w:tc>
        <w:tc>
          <w:tcPr>
            <w:tcW w:w="2286" w:type="dxa"/>
            <w:shd w:val="clear" w:color="auto" w:fill="auto"/>
          </w:tcPr>
          <w:p w:rsidR="00974BEC" w:rsidRDefault="00974BEC" w:rsidP="000846EE">
            <w:pPr>
              <w:keepNext/>
              <w:keepLines/>
              <w:jc w:val="center"/>
              <w:rPr>
                <w:rFonts w:ascii="Arial" w:hAnsi="Arial" w:cs="Arial"/>
                <w:sz w:val="24"/>
                <w:szCs w:val="24"/>
              </w:rPr>
            </w:pPr>
          </w:p>
          <w:p w:rsidR="004C26C4" w:rsidRDefault="004C26C4" w:rsidP="000846EE">
            <w:pPr>
              <w:keepNext/>
              <w:keepLines/>
              <w:jc w:val="center"/>
              <w:rPr>
                <w:rFonts w:ascii="Arial" w:hAnsi="Arial" w:cs="Arial"/>
                <w:sz w:val="24"/>
                <w:szCs w:val="24"/>
              </w:rPr>
            </w:pPr>
            <w:r>
              <w:rPr>
                <w:rFonts w:ascii="Arial" w:hAnsi="Arial" w:cs="Arial"/>
                <w:sz w:val="24"/>
                <w:szCs w:val="24"/>
              </w:rPr>
              <w:t>JCH</w:t>
            </w:r>
          </w:p>
        </w:tc>
      </w:tr>
      <w:tr w:rsidR="00974BEC" w:rsidRPr="00E367B7" w:rsidTr="00D8125D">
        <w:trPr>
          <w:trHeight w:val="1340"/>
        </w:trPr>
        <w:tc>
          <w:tcPr>
            <w:tcW w:w="2197" w:type="dxa"/>
            <w:shd w:val="clear" w:color="auto" w:fill="auto"/>
          </w:tcPr>
          <w:p w:rsidR="00974BEC" w:rsidRDefault="00974BEC" w:rsidP="000846EE">
            <w:pPr>
              <w:keepNext/>
              <w:keepLines/>
              <w:jc w:val="center"/>
              <w:rPr>
                <w:rFonts w:ascii="Arial" w:hAnsi="Arial" w:cs="Arial"/>
                <w:sz w:val="24"/>
                <w:szCs w:val="24"/>
              </w:rPr>
            </w:pPr>
          </w:p>
          <w:p w:rsidR="00D762F7" w:rsidRDefault="00D762F7" w:rsidP="000846EE">
            <w:pPr>
              <w:keepNext/>
              <w:keepLines/>
              <w:jc w:val="center"/>
              <w:rPr>
                <w:rFonts w:ascii="Arial" w:hAnsi="Arial" w:cs="Arial"/>
                <w:sz w:val="24"/>
                <w:szCs w:val="24"/>
              </w:rPr>
            </w:pPr>
            <w:r>
              <w:rPr>
                <w:rFonts w:ascii="Arial" w:hAnsi="Arial" w:cs="Arial"/>
                <w:sz w:val="24"/>
                <w:szCs w:val="24"/>
              </w:rPr>
              <w:t>BOD 79/15 (b)</w:t>
            </w:r>
            <w:r w:rsidR="0079185E">
              <w:rPr>
                <w:rFonts w:ascii="Arial" w:hAnsi="Arial" w:cs="Arial"/>
                <w:sz w:val="24"/>
                <w:szCs w:val="24"/>
              </w:rPr>
              <w:t>-(c)</w:t>
            </w:r>
          </w:p>
        </w:tc>
        <w:tc>
          <w:tcPr>
            <w:tcW w:w="8351" w:type="dxa"/>
          </w:tcPr>
          <w:p w:rsidR="00974BEC" w:rsidRDefault="00674688" w:rsidP="000846EE">
            <w:pPr>
              <w:jc w:val="both"/>
              <w:rPr>
                <w:rFonts w:ascii="Arial" w:hAnsi="Arial" w:cs="Arial"/>
                <w:bCs/>
                <w:sz w:val="24"/>
                <w:szCs w:val="24"/>
              </w:rPr>
            </w:pPr>
            <w:r>
              <w:rPr>
                <w:rFonts w:ascii="Arial" w:hAnsi="Arial" w:cs="Arial"/>
                <w:b/>
                <w:bCs/>
                <w:sz w:val="24"/>
                <w:szCs w:val="24"/>
              </w:rPr>
              <w:t>Patient Engagement Strategy</w:t>
            </w:r>
          </w:p>
          <w:p w:rsidR="00674688" w:rsidRPr="00674688" w:rsidRDefault="00674688" w:rsidP="000846EE">
            <w:pPr>
              <w:jc w:val="both"/>
              <w:rPr>
                <w:rFonts w:ascii="Arial" w:hAnsi="Arial" w:cs="Arial"/>
                <w:bCs/>
                <w:sz w:val="24"/>
                <w:szCs w:val="24"/>
              </w:rPr>
            </w:pPr>
            <w:r>
              <w:rPr>
                <w:rFonts w:ascii="Arial" w:hAnsi="Arial" w:cs="Arial"/>
                <w:bCs/>
                <w:sz w:val="24"/>
                <w:szCs w:val="24"/>
              </w:rPr>
              <w:t>Special stand-alone event to be convened (before the summer holidays) whereby the Board could meet with relevant stakeholders.</w:t>
            </w:r>
            <w:r w:rsidR="0079185E">
              <w:rPr>
                <w:rFonts w:ascii="Arial" w:hAnsi="Arial" w:cs="Arial"/>
                <w:bCs/>
                <w:sz w:val="24"/>
                <w:szCs w:val="24"/>
              </w:rPr>
              <w:t xml:space="preserve">  Update to be provided on who would take this work forward when the Trust Secretary had departed. </w:t>
            </w:r>
          </w:p>
        </w:tc>
        <w:tc>
          <w:tcPr>
            <w:tcW w:w="2286" w:type="dxa"/>
            <w:shd w:val="clear" w:color="auto" w:fill="auto"/>
          </w:tcPr>
          <w:p w:rsidR="00974BEC" w:rsidRDefault="00974BEC" w:rsidP="000846EE">
            <w:pPr>
              <w:keepNext/>
              <w:keepLines/>
              <w:jc w:val="center"/>
              <w:rPr>
                <w:rFonts w:ascii="Arial" w:hAnsi="Arial" w:cs="Arial"/>
                <w:sz w:val="24"/>
                <w:szCs w:val="24"/>
              </w:rPr>
            </w:pPr>
          </w:p>
          <w:p w:rsidR="00674688" w:rsidRDefault="00674688" w:rsidP="000846EE">
            <w:pPr>
              <w:keepNext/>
              <w:keepLines/>
              <w:jc w:val="center"/>
              <w:rPr>
                <w:rFonts w:ascii="Arial" w:hAnsi="Arial" w:cs="Arial"/>
                <w:sz w:val="24"/>
                <w:szCs w:val="24"/>
              </w:rPr>
            </w:pPr>
            <w:r>
              <w:rPr>
                <w:rFonts w:ascii="Arial" w:hAnsi="Arial" w:cs="Arial"/>
                <w:sz w:val="24"/>
                <w:szCs w:val="24"/>
              </w:rPr>
              <w:t>SB</w:t>
            </w:r>
          </w:p>
        </w:tc>
      </w:tr>
    </w:tbl>
    <w:p w:rsidR="00633554" w:rsidRPr="00E367B7" w:rsidRDefault="00633554">
      <w:pPr>
        <w:rPr>
          <w:rFonts w:ascii="Arial" w:hAnsi="Arial" w:cs="Arial"/>
          <w:sz w:val="24"/>
          <w:szCs w:val="24"/>
        </w:rPr>
      </w:pPr>
      <w:bookmarkStart w:id="0" w:name="_GoBack"/>
      <w:bookmarkEnd w:id="0"/>
    </w:p>
    <w:sectPr w:rsidR="00633554" w:rsidRPr="00E367B7" w:rsidSect="000B2947">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522" w:rsidRDefault="00FA1522" w:rsidP="000B2947">
      <w:pPr>
        <w:spacing w:after="0" w:line="240" w:lineRule="auto"/>
      </w:pPr>
      <w:r>
        <w:separator/>
      </w:r>
    </w:p>
  </w:endnote>
  <w:endnote w:type="continuationSeparator" w:id="0">
    <w:p w:rsidR="00FA1522" w:rsidRDefault="00FA1522" w:rsidP="000B2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522" w:rsidRDefault="00861BF3">
    <w:pPr>
      <w:pStyle w:val="Footer"/>
      <w:jc w:val="center"/>
    </w:pPr>
    <w:r>
      <w:fldChar w:fldCharType="begin"/>
    </w:r>
    <w:r>
      <w:instrText xml:space="preserve"> PAGE   \* MERGEFORMAT </w:instrText>
    </w:r>
    <w:r>
      <w:fldChar w:fldCharType="separate"/>
    </w:r>
    <w:r w:rsidR="0079185E">
      <w:rPr>
        <w:noProof/>
      </w:rPr>
      <w:t>5</w:t>
    </w:r>
    <w:r>
      <w:rPr>
        <w:noProof/>
      </w:rPr>
      <w:fldChar w:fldCharType="end"/>
    </w:r>
  </w:p>
  <w:p w:rsidR="00FA1522" w:rsidRDefault="00FA15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522" w:rsidRDefault="00FA1522" w:rsidP="000B2947">
      <w:pPr>
        <w:spacing w:after="0" w:line="240" w:lineRule="auto"/>
      </w:pPr>
      <w:r>
        <w:separator/>
      </w:r>
    </w:p>
  </w:footnote>
  <w:footnote w:type="continuationSeparator" w:id="0">
    <w:p w:rsidR="00FA1522" w:rsidRDefault="00FA1522" w:rsidP="000B29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522" w:rsidRPr="007D06DC" w:rsidRDefault="00FA1522" w:rsidP="000B2947">
    <w:pPr>
      <w:pStyle w:val="Header"/>
      <w:jc w:val="center"/>
    </w:pPr>
    <w:r>
      <w:rPr>
        <w:i/>
      </w:rPr>
      <w:t>PUBLIC</w:t>
    </w:r>
  </w:p>
  <w:p w:rsidR="00FA1522" w:rsidRPr="000B2947" w:rsidRDefault="00FA1522">
    <w:pPr>
      <w:pStyle w:val="Header"/>
      <w:rPr>
        <w:b/>
      </w:rPr>
    </w:pPr>
  </w:p>
  <w:p w:rsidR="00FA1522" w:rsidRDefault="00FA15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5482"/>
    <w:multiLevelType w:val="hybridMultilevel"/>
    <w:tmpl w:val="79EA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E1217C"/>
    <w:multiLevelType w:val="hybridMultilevel"/>
    <w:tmpl w:val="7E343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5D67214"/>
    <w:multiLevelType w:val="hybridMultilevel"/>
    <w:tmpl w:val="7D106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2BA7F32"/>
    <w:multiLevelType w:val="hybridMultilevel"/>
    <w:tmpl w:val="060C7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2E7380F"/>
    <w:multiLevelType w:val="hybridMultilevel"/>
    <w:tmpl w:val="9CDAC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947"/>
    <w:rsid w:val="000039B1"/>
    <w:rsid w:val="000072FC"/>
    <w:rsid w:val="00015015"/>
    <w:rsid w:val="00024DA4"/>
    <w:rsid w:val="00032E57"/>
    <w:rsid w:val="0004460B"/>
    <w:rsid w:val="00046EA9"/>
    <w:rsid w:val="00063257"/>
    <w:rsid w:val="00063421"/>
    <w:rsid w:val="000765F3"/>
    <w:rsid w:val="0007738F"/>
    <w:rsid w:val="000846EE"/>
    <w:rsid w:val="00087272"/>
    <w:rsid w:val="000B2947"/>
    <w:rsid w:val="000B69CF"/>
    <w:rsid w:val="000D05CC"/>
    <w:rsid w:val="000D7875"/>
    <w:rsid w:val="000E244A"/>
    <w:rsid w:val="000E6B70"/>
    <w:rsid w:val="000F0B7F"/>
    <w:rsid w:val="000F48CF"/>
    <w:rsid w:val="000F7BD1"/>
    <w:rsid w:val="00105FDB"/>
    <w:rsid w:val="001120FD"/>
    <w:rsid w:val="001219E0"/>
    <w:rsid w:val="001220D3"/>
    <w:rsid w:val="00131067"/>
    <w:rsid w:val="001431EB"/>
    <w:rsid w:val="0015391E"/>
    <w:rsid w:val="00171162"/>
    <w:rsid w:val="00171A81"/>
    <w:rsid w:val="00191B83"/>
    <w:rsid w:val="001B0FB1"/>
    <w:rsid w:val="001D2759"/>
    <w:rsid w:val="001E16A4"/>
    <w:rsid w:val="0020141B"/>
    <w:rsid w:val="00201E3B"/>
    <w:rsid w:val="0020722B"/>
    <w:rsid w:val="002258F6"/>
    <w:rsid w:val="00237F6F"/>
    <w:rsid w:val="00240701"/>
    <w:rsid w:val="00241AA6"/>
    <w:rsid w:val="00244F70"/>
    <w:rsid w:val="0025228D"/>
    <w:rsid w:val="0025331B"/>
    <w:rsid w:val="00253C8F"/>
    <w:rsid w:val="00261E54"/>
    <w:rsid w:val="002744DF"/>
    <w:rsid w:val="00282647"/>
    <w:rsid w:val="00282D3B"/>
    <w:rsid w:val="002A5A69"/>
    <w:rsid w:val="002B5341"/>
    <w:rsid w:val="002B57BD"/>
    <w:rsid w:val="002C0F68"/>
    <w:rsid w:val="002C6990"/>
    <w:rsid w:val="002D230C"/>
    <w:rsid w:val="002D6A88"/>
    <w:rsid w:val="002E50D9"/>
    <w:rsid w:val="002F2524"/>
    <w:rsid w:val="002F3B6B"/>
    <w:rsid w:val="002F6393"/>
    <w:rsid w:val="003033E1"/>
    <w:rsid w:val="00314CE7"/>
    <w:rsid w:val="00315081"/>
    <w:rsid w:val="003305FC"/>
    <w:rsid w:val="0033178B"/>
    <w:rsid w:val="0033274C"/>
    <w:rsid w:val="00341BD4"/>
    <w:rsid w:val="003515C3"/>
    <w:rsid w:val="003759F1"/>
    <w:rsid w:val="00376489"/>
    <w:rsid w:val="00380E7A"/>
    <w:rsid w:val="00383F5B"/>
    <w:rsid w:val="00384B7A"/>
    <w:rsid w:val="003871F3"/>
    <w:rsid w:val="00390FD5"/>
    <w:rsid w:val="00393728"/>
    <w:rsid w:val="00393AFE"/>
    <w:rsid w:val="00394139"/>
    <w:rsid w:val="00397575"/>
    <w:rsid w:val="003B304C"/>
    <w:rsid w:val="003C5DB1"/>
    <w:rsid w:val="003D05D4"/>
    <w:rsid w:val="003E28C6"/>
    <w:rsid w:val="003E5C3C"/>
    <w:rsid w:val="003F2467"/>
    <w:rsid w:val="00425229"/>
    <w:rsid w:val="004266B5"/>
    <w:rsid w:val="00440F72"/>
    <w:rsid w:val="00452F7C"/>
    <w:rsid w:val="00456BE6"/>
    <w:rsid w:val="00465CD1"/>
    <w:rsid w:val="00466230"/>
    <w:rsid w:val="004921A3"/>
    <w:rsid w:val="004938A0"/>
    <w:rsid w:val="004942A2"/>
    <w:rsid w:val="004B0D4D"/>
    <w:rsid w:val="004C26C4"/>
    <w:rsid w:val="004C759B"/>
    <w:rsid w:val="004D7E50"/>
    <w:rsid w:val="00505351"/>
    <w:rsid w:val="005077BE"/>
    <w:rsid w:val="005079BA"/>
    <w:rsid w:val="00511324"/>
    <w:rsid w:val="0052154A"/>
    <w:rsid w:val="00522131"/>
    <w:rsid w:val="00525A57"/>
    <w:rsid w:val="00531123"/>
    <w:rsid w:val="00537F66"/>
    <w:rsid w:val="00543314"/>
    <w:rsid w:val="0057412E"/>
    <w:rsid w:val="00581E04"/>
    <w:rsid w:val="005823B6"/>
    <w:rsid w:val="0059202C"/>
    <w:rsid w:val="00593FA0"/>
    <w:rsid w:val="00594955"/>
    <w:rsid w:val="005B3341"/>
    <w:rsid w:val="005B61CF"/>
    <w:rsid w:val="005C61CA"/>
    <w:rsid w:val="005D72E8"/>
    <w:rsid w:val="005D77EC"/>
    <w:rsid w:val="005E0E2E"/>
    <w:rsid w:val="005E5479"/>
    <w:rsid w:val="005F3233"/>
    <w:rsid w:val="005F70E9"/>
    <w:rsid w:val="00601E3D"/>
    <w:rsid w:val="00610966"/>
    <w:rsid w:val="00611984"/>
    <w:rsid w:val="006128F5"/>
    <w:rsid w:val="00627618"/>
    <w:rsid w:val="00633554"/>
    <w:rsid w:val="006439B2"/>
    <w:rsid w:val="006454AE"/>
    <w:rsid w:val="00652FAF"/>
    <w:rsid w:val="006716E3"/>
    <w:rsid w:val="00674688"/>
    <w:rsid w:val="00674699"/>
    <w:rsid w:val="0067651E"/>
    <w:rsid w:val="00687CBE"/>
    <w:rsid w:val="00693453"/>
    <w:rsid w:val="006946E2"/>
    <w:rsid w:val="00696E9F"/>
    <w:rsid w:val="00697032"/>
    <w:rsid w:val="006B1EB2"/>
    <w:rsid w:val="006B7541"/>
    <w:rsid w:val="006D39B0"/>
    <w:rsid w:val="006D6992"/>
    <w:rsid w:val="00700062"/>
    <w:rsid w:val="0070258B"/>
    <w:rsid w:val="0072245F"/>
    <w:rsid w:val="00730438"/>
    <w:rsid w:val="0073197C"/>
    <w:rsid w:val="007336A4"/>
    <w:rsid w:val="00734966"/>
    <w:rsid w:val="00745E5F"/>
    <w:rsid w:val="00754E78"/>
    <w:rsid w:val="00760C31"/>
    <w:rsid w:val="00762ED4"/>
    <w:rsid w:val="00763A8F"/>
    <w:rsid w:val="0076462F"/>
    <w:rsid w:val="00766A85"/>
    <w:rsid w:val="00767605"/>
    <w:rsid w:val="00774CB7"/>
    <w:rsid w:val="00784E26"/>
    <w:rsid w:val="0078654D"/>
    <w:rsid w:val="0079185E"/>
    <w:rsid w:val="00793558"/>
    <w:rsid w:val="007B21CE"/>
    <w:rsid w:val="007B3FD6"/>
    <w:rsid w:val="007C3131"/>
    <w:rsid w:val="007C4C3A"/>
    <w:rsid w:val="007E3804"/>
    <w:rsid w:val="007E4BCB"/>
    <w:rsid w:val="007F39F5"/>
    <w:rsid w:val="007F3D90"/>
    <w:rsid w:val="008006A3"/>
    <w:rsid w:val="0081463C"/>
    <w:rsid w:val="00832469"/>
    <w:rsid w:val="008340D7"/>
    <w:rsid w:val="00834277"/>
    <w:rsid w:val="0083488F"/>
    <w:rsid w:val="008379EA"/>
    <w:rsid w:val="0084583C"/>
    <w:rsid w:val="00861BF3"/>
    <w:rsid w:val="008734E5"/>
    <w:rsid w:val="008756CF"/>
    <w:rsid w:val="008757DA"/>
    <w:rsid w:val="008776D6"/>
    <w:rsid w:val="0088270F"/>
    <w:rsid w:val="00891EB1"/>
    <w:rsid w:val="0089273B"/>
    <w:rsid w:val="0089403F"/>
    <w:rsid w:val="008A7296"/>
    <w:rsid w:val="008B2F3F"/>
    <w:rsid w:val="008F4C6C"/>
    <w:rsid w:val="00902503"/>
    <w:rsid w:val="00907DE9"/>
    <w:rsid w:val="00923288"/>
    <w:rsid w:val="0092378F"/>
    <w:rsid w:val="00926388"/>
    <w:rsid w:val="00927ED6"/>
    <w:rsid w:val="00932058"/>
    <w:rsid w:val="00933452"/>
    <w:rsid w:val="00942C34"/>
    <w:rsid w:val="0094567F"/>
    <w:rsid w:val="009564BB"/>
    <w:rsid w:val="009650DE"/>
    <w:rsid w:val="00974BEC"/>
    <w:rsid w:val="009919D8"/>
    <w:rsid w:val="009C6599"/>
    <w:rsid w:val="009D23DA"/>
    <w:rsid w:val="009D2F5A"/>
    <w:rsid w:val="009E38B1"/>
    <w:rsid w:val="009E77B9"/>
    <w:rsid w:val="009E7C1A"/>
    <w:rsid w:val="00A15794"/>
    <w:rsid w:val="00A166C1"/>
    <w:rsid w:val="00A226AB"/>
    <w:rsid w:val="00A22825"/>
    <w:rsid w:val="00A24484"/>
    <w:rsid w:val="00A37FAC"/>
    <w:rsid w:val="00A43C8E"/>
    <w:rsid w:val="00A44287"/>
    <w:rsid w:val="00A44C56"/>
    <w:rsid w:val="00A5526F"/>
    <w:rsid w:val="00A71BDC"/>
    <w:rsid w:val="00A72B2B"/>
    <w:rsid w:val="00A802E6"/>
    <w:rsid w:val="00AA1675"/>
    <w:rsid w:val="00AA2AD8"/>
    <w:rsid w:val="00AB249F"/>
    <w:rsid w:val="00AC008C"/>
    <w:rsid w:val="00AC76AD"/>
    <w:rsid w:val="00AD5AF4"/>
    <w:rsid w:val="00B02AC5"/>
    <w:rsid w:val="00B31870"/>
    <w:rsid w:val="00B33194"/>
    <w:rsid w:val="00B347C7"/>
    <w:rsid w:val="00B40958"/>
    <w:rsid w:val="00B410C3"/>
    <w:rsid w:val="00B658D5"/>
    <w:rsid w:val="00B724D9"/>
    <w:rsid w:val="00B81AE9"/>
    <w:rsid w:val="00B974C1"/>
    <w:rsid w:val="00BA2DD3"/>
    <w:rsid w:val="00BA44E9"/>
    <w:rsid w:val="00BB62AB"/>
    <w:rsid w:val="00BC04F8"/>
    <w:rsid w:val="00BD4925"/>
    <w:rsid w:val="00BE2EFA"/>
    <w:rsid w:val="00BE3D89"/>
    <w:rsid w:val="00BE7491"/>
    <w:rsid w:val="00BF32AD"/>
    <w:rsid w:val="00C4205F"/>
    <w:rsid w:val="00C44D41"/>
    <w:rsid w:val="00C4763E"/>
    <w:rsid w:val="00C5206A"/>
    <w:rsid w:val="00C74867"/>
    <w:rsid w:val="00C9522B"/>
    <w:rsid w:val="00C95A17"/>
    <w:rsid w:val="00C97CCE"/>
    <w:rsid w:val="00CC2ED9"/>
    <w:rsid w:val="00CD2283"/>
    <w:rsid w:val="00CE2874"/>
    <w:rsid w:val="00D10B4E"/>
    <w:rsid w:val="00D121CE"/>
    <w:rsid w:val="00D14EC6"/>
    <w:rsid w:val="00D1503C"/>
    <w:rsid w:val="00D3669C"/>
    <w:rsid w:val="00D36BC0"/>
    <w:rsid w:val="00D42170"/>
    <w:rsid w:val="00D42D1A"/>
    <w:rsid w:val="00D6616A"/>
    <w:rsid w:val="00D66EAD"/>
    <w:rsid w:val="00D7197F"/>
    <w:rsid w:val="00D762F7"/>
    <w:rsid w:val="00D8125D"/>
    <w:rsid w:val="00D83FCB"/>
    <w:rsid w:val="00D84DC6"/>
    <w:rsid w:val="00D9768A"/>
    <w:rsid w:val="00DC3C3E"/>
    <w:rsid w:val="00DC54A2"/>
    <w:rsid w:val="00DF07E3"/>
    <w:rsid w:val="00E00003"/>
    <w:rsid w:val="00E04E2F"/>
    <w:rsid w:val="00E06EED"/>
    <w:rsid w:val="00E11EFB"/>
    <w:rsid w:val="00E14469"/>
    <w:rsid w:val="00E21DA2"/>
    <w:rsid w:val="00E22C7A"/>
    <w:rsid w:val="00E32A06"/>
    <w:rsid w:val="00E34729"/>
    <w:rsid w:val="00E367B7"/>
    <w:rsid w:val="00E520A9"/>
    <w:rsid w:val="00E55CDA"/>
    <w:rsid w:val="00E60C6D"/>
    <w:rsid w:val="00E7308C"/>
    <w:rsid w:val="00E76646"/>
    <w:rsid w:val="00E95111"/>
    <w:rsid w:val="00E97685"/>
    <w:rsid w:val="00EB50AE"/>
    <w:rsid w:val="00EB5869"/>
    <w:rsid w:val="00EC11E7"/>
    <w:rsid w:val="00ED08CB"/>
    <w:rsid w:val="00ED16EA"/>
    <w:rsid w:val="00ED427A"/>
    <w:rsid w:val="00EE1AB5"/>
    <w:rsid w:val="00EE4894"/>
    <w:rsid w:val="00EF5115"/>
    <w:rsid w:val="00EF72CB"/>
    <w:rsid w:val="00F00297"/>
    <w:rsid w:val="00F019EB"/>
    <w:rsid w:val="00F1349A"/>
    <w:rsid w:val="00F16822"/>
    <w:rsid w:val="00F16BE8"/>
    <w:rsid w:val="00F231AA"/>
    <w:rsid w:val="00F25643"/>
    <w:rsid w:val="00F31E37"/>
    <w:rsid w:val="00F31EA2"/>
    <w:rsid w:val="00F36B10"/>
    <w:rsid w:val="00F37A2E"/>
    <w:rsid w:val="00F40768"/>
    <w:rsid w:val="00F4139E"/>
    <w:rsid w:val="00F50EBF"/>
    <w:rsid w:val="00F51049"/>
    <w:rsid w:val="00F56435"/>
    <w:rsid w:val="00F57D46"/>
    <w:rsid w:val="00F65D26"/>
    <w:rsid w:val="00F77BBC"/>
    <w:rsid w:val="00F87CBE"/>
    <w:rsid w:val="00F907A0"/>
    <w:rsid w:val="00FA1522"/>
    <w:rsid w:val="00FC07BA"/>
    <w:rsid w:val="00FC7547"/>
    <w:rsid w:val="00FD4AAA"/>
    <w:rsid w:val="00FD6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55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B2947"/>
    <w:pPr>
      <w:tabs>
        <w:tab w:val="center" w:pos="4513"/>
        <w:tab w:val="right" w:pos="9026"/>
      </w:tabs>
      <w:spacing w:after="0" w:line="240" w:lineRule="auto"/>
    </w:pPr>
    <w:rPr>
      <w:rFonts w:ascii="Times New Roman" w:eastAsia="Times New Roman" w:hAnsi="Times New Roman"/>
      <w:sz w:val="24"/>
      <w:szCs w:val="24"/>
      <w:lang w:eastAsia="en-GB"/>
    </w:rPr>
  </w:style>
  <w:style w:type="character" w:customStyle="1" w:styleId="HeaderChar">
    <w:name w:val="Header Char"/>
    <w:basedOn w:val="DefaultParagraphFont"/>
    <w:link w:val="Header"/>
    <w:uiPriority w:val="99"/>
    <w:semiHidden/>
    <w:rsid w:val="000B294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B29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947"/>
  </w:style>
  <w:style w:type="paragraph" w:styleId="BalloonText">
    <w:name w:val="Balloon Text"/>
    <w:basedOn w:val="Normal"/>
    <w:link w:val="BalloonTextChar"/>
    <w:uiPriority w:val="99"/>
    <w:semiHidden/>
    <w:unhideWhenUsed/>
    <w:rsid w:val="009E3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8B1"/>
    <w:rPr>
      <w:rFonts w:ascii="Tahoma" w:hAnsi="Tahoma" w:cs="Tahoma"/>
      <w:sz w:val="16"/>
      <w:szCs w:val="16"/>
    </w:rPr>
  </w:style>
  <w:style w:type="paragraph" w:styleId="ListParagraph">
    <w:name w:val="List Paragraph"/>
    <w:basedOn w:val="Normal"/>
    <w:uiPriority w:val="34"/>
    <w:qFormat/>
    <w:rsid w:val="006454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55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B2947"/>
    <w:pPr>
      <w:tabs>
        <w:tab w:val="center" w:pos="4513"/>
        <w:tab w:val="right" w:pos="9026"/>
      </w:tabs>
      <w:spacing w:after="0" w:line="240" w:lineRule="auto"/>
    </w:pPr>
    <w:rPr>
      <w:rFonts w:ascii="Times New Roman" w:eastAsia="Times New Roman" w:hAnsi="Times New Roman"/>
      <w:sz w:val="24"/>
      <w:szCs w:val="24"/>
      <w:lang w:eastAsia="en-GB"/>
    </w:rPr>
  </w:style>
  <w:style w:type="character" w:customStyle="1" w:styleId="HeaderChar">
    <w:name w:val="Header Char"/>
    <w:basedOn w:val="DefaultParagraphFont"/>
    <w:link w:val="Header"/>
    <w:uiPriority w:val="99"/>
    <w:semiHidden/>
    <w:rsid w:val="000B294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B29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947"/>
  </w:style>
  <w:style w:type="paragraph" w:styleId="BalloonText">
    <w:name w:val="Balloon Text"/>
    <w:basedOn w:val="Normal"/>
    <w:link w:val="BalloonTextChar"/>
    <w:uiPriority w:val="99"/>
    <w:semiHidden/>
    <w:unhideWhenUsed/>
    <w:rsid w:val="009E3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8B1"/>
    <w:rPr>
      <w:rFonts w:ascii="Tahoma" w:hAnsi="Tahoma" w:cs="Tahoma"/>
      <w:sz w:val="16"/>
      <w:szCs w:val="16"/>
    </w:rPr>
  </w:style>
  <w:style w:type="paragraph" w:styleId="ListParagraph">
    <w:name w:val="List Paragraph"/>
    <w:basedOn w:val="Normal"/>
    <w:uiPriority w:val="34"/>
    <w:qFormat/>
    <w:rsid w:val="006454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79339">
      <w:bodyDiv w:val="1"/>
      <w:marLeft w:val="0"/>
      <w:marRight w:val="0"/>
      <w:marTop w:val="0"/>
      <w:marBottom w:val="0"/>
      <w:divBdr>
        <w:top w:val="none" w:sz="0" w:space="0" w:color="auto"/>
        <w:left w:val="none" w:sz="0" w:space="0" w:color="auto"/>
        <w:bottom w:val="none" w:sz="0" w:space="0" w:color="auto"/>
        <w:right w:val="none" w:sz="0" w:space="0" w:color="auto"/>
      </w:divBdr>
    </w:div>
    <w:div w:id="360474410">
      <w:bodyDiv w:val="1"/>
      <w:marLeft w:val="0"/>
      <w:marRight w:val="0"/>
      <w:marTop w:val="0"/>
      <w:marBottom w:val="0"/>
      <w:divBdr>
        <w:top w:val="none" w:sz="0" w:space="0" w:color="auto"/>
        <w:left w:val="none" w:sz="0" w:space="0" w:color="auto"/>
        <w:bottom w:val="none" w:sz="0" w:space="0" w:color="auto"/>
        <w:right w:val="none" w:sz="0" w:space="0" w:color="auto"/>
      </w:divBdr>
    </w:div>
    <w:div w:id="372191950">
      <w:bodyDiv w:val="1"/>
      <w:marLeft w:val="0"/>
      <w:marRight w:val="0"/>
      <w:marTop w:val="0"/>
      <w:marBottom w:val="0"/>
      <w:divBdr>
        <w:top w:val="none" w:sz="0" w:space="0" w:color="auto"/>
        <w:left w:val="none" w:sz="0" w:space="0" w:color="auto"/>
        <w:bottom w:val="none" w:sz="0" w:space="0" w:color="auto"/>
        <w:right w:val="none" w:sz="0" w:space="0" w:color="auto"/>
      </w:divBdr>
    </w:div>
    <w:div w:id="506485854">
      <w:bodyDiv w:val="1"/>
      <w:marLeft w:val="0"/>
      <w:marRight w:val="0"/>
      <w:marTop w:val="0"/>
      <w:marBottom w:val="0"/>
      <w:divBdr>
        <w:top w:val="none" w:sz="0" w:space="0" w:color="auto"/>
        <w:left w:val="none" w:sz="0" w:space="0" w:color="auto"/>
        <w:bottom w:val="none" w:sz="0" w:space="0" w:color="auto"/>
        <w:right w:val="none" w:sz="0" w:space="0" w:color="auto"/>
      </w:divBdr>
    </w:div>
    <w:div w:id="543834884">
      <w:bodyDiv w:val="1"/>
      <w:marLeft w:val="0"/>
      <w:marRight w:val="0"/>
      <w:marTop w:val="0"/>
      <w:marBottom w:val="0"/>
      <w:divBdr>
        <w:top w:val="none" w:sz="0" w:space="0" w:color="auto"/>
        <w:left w:val="none" w:sz="0" w:space="0" w:color="auto"/>
        <w:bottom w:val="none" w:sz="0" w:space="0" w:color="auto"/>
        <w:right w:val="none" w:sz="0" w:space="0" w:color="auto"/>
      </w:divBdr>
    </w:div>
    <w:div w:id="709036261">
      <w:bodyDiv w:val="1"/>
      <w:marLeft w:val="0"/>
      <w:marRight w:val="0"/>
      <w:marTop w:val="0"/>
      <w:marBottom w:val="0"/>
      <w:divBdr>
        <w:top w:val="none" w:sz="0" w:space="0" w:color="auto"/>
        <w:left w:val="none" w:sz="0" w:space="0" w:color="auto"/>
        <w:bottom w:val="none" w:sz="0" w:space="0" w:color="auto"/>
        <w:right w:val="none" w:sz="0" w:space="0" w:color="auto"/>
      </w:divBdr>
    </w:div>
    <w:div w:id="1116556392">
      <w:bodyDiv w:val="1"/>
      <w:marLeft w:val="0"/>
      <w:marRight w:val="0"/>
      <w:marTop w:val="0"/>
      <w:marBottom w:val="0"/>
      <w:divBdr>
        <w:top w:val="none" w:sz="0" w:space="0" w:color="auto"/>
        <w:left w:val="none" w:sz="0" w:space="0" w:color="auto"/>
        <w:bottom w:val="none" w:sz="0" w:space="0" w:color="auto"/>
        <w:right w:val="none" w:sz="0" w:space="0" w:color="auto"/>
      </w:divBdr>
    </w:div>
    <w:div w:id="1267080114">
      <w:bodyDiv w:val="1"/>
      <w:marLeft w:val="0"/>
      <w:marRight w:val="0"/>
      <w:marTop w:val="0"/>
      <w:marBottom w:val="0"/>
      <w:divBdr>
        <w:top w:val="none" w:sz="0" w:space="0" w:color="auto"/>
        <w:left w:val="none" w:sz="0" w:space="0" w:color="auto"/>
        <w:bottom w:val="none" w:sz="0" w:space="0" w:color="auto"/>
        <w:right w:val="none" w:sz="0" w:space="0" w:color="auto"/>
      </w:divBdr>
    </w:div>
    <w:div w:id="1292980017">
      <w:bodyDiv w:val="1"/>
      <w:marLeft w:val="0"/>
      <w:marRight w:val="0"/>
      <w:marTop w:val="0"/>
      <w:marBottom w:val="0"/>
      <w:divBdr>
        <w:top w:val="none" w:sz="0" w:space="0" w:color="auto"/>
        <w:left w:val="none" w:sz="0" w:space="0" w:color="auto"/>
        <w:bottom w:val="none" w:sz="0" w:space="0" w:color="auto"/>
        <w:right w:val="none" w:sz="0" w:space="0" w:color="auto"/>
      </w:divBdr>
    </w:div>
    <w:div w:id="1460220759">
      <w:bodyDiv w:val="1"/>
      <w:marLeft w:val="0"/>
      <w:marRight w:val="0"/>
      <w:marTop w:val="0"/>
      <w:marBottom w:val="0"/>
      <w:divBdr>
        <w:top w:val="none" w:sz="0" w:space="0" w:color="auto"/>
        <w:left w:val="none" w:sz="0" w:space="0" w:color="auto"/>
        <w:bottom w:val="none" w:sz="0" w:space="0" w:color="auto"/>
        <w:right w:val="none" w:sz="0" w:space="0" w:color="auto"/>
      </w:divBdr>
    </w:div>
    <w:div w:id="1525750737">
      <w:bodyDiv w:val="1"/>
      <w:marLeft w:val="0"/>
      <w:marRight w:val="0"/>
      <w:marTop w:val="0"/>
      <w:marBottom w:val="0"/>
      <w:divBdr>
        <w:top w:val="none" w:sz="0" w:space="0" w:color="auto"/>
        <w:left w:val="none" w:sz="0" w:space="0" w:color="auto"/>
        <w:bottom w:val="none" w:sz="0" w:space="0" w:color="auto"/>
        <w:right w:val="none" w:sz="0" w:space="0" w:color="auto"/>
      </w:divBdr>
    </w:div>
    <w:div w:id="1579051201">
      <w:bodyDiv w:val="1"/>
      <w:marLeft w:val="0"/>
      <w:marRight w:val="0"/>
      <w:marTop w:val="0"/>
      <w:marBottom w:val="0"/>
      <w:divBdr>
        <w:top w:val="none" w:sz="0" w:space="0" w:color="auto"/>
        <w:left w:val="none" w:sz="0" w:space="0" w:color="auto"/>
        <w:bottom w:val="none" w:sz="0" w:space="0" w:color="auto"/>
        <w:right w:val="none" w:sz="0" w:space="0" w:color="auto"/>
      </w:divBdr>
    </w:div>
    <w:div w:id="1720745259">
      <w:bodyDiv w:val="1"/>
      <w:marLeft w:val="0"/>
      <w:marRight w:val="0"/>
      <w:marTop w:val="0"/>
      <w:marBottom w:val="0"/>
      <w:divBdr>
        <w:top w:val="none" w:sz="0" w:space="0" w:color="auto"/>
        <w:left w:val="none" w:sz="0" w:space="0" w:color="auto"/>
        <w:bottom w:val="none" w:sz="0" w:space="0" w:color="auto"/>
        <w:right w:val="none" w:sz="0" w:space="0" w:color="auto"/>
      </w:divBdr>
    </w:div>
    <w:div w:id="1770390434">
      <w:bodyDiv w:val="1"/>
      <w:marLeft w:val="0"/>
      <w:marRight w:val="0"/>
      <w:marTop w:val="0"/>
      <w:marBottom w:val="0"/>
      <w:divBdr>
        <w:top w:val="none" w:sz="0" w:space="0" w:color="auto"/>
        <w:left w:val="none" w:sz="0" w:space="0" w:color="auto"/>
        <w:bottom w:val="none" w:sz="0" w:space="0" w:color="auto"/>
        <w:right w:val="none" w:sz="0" w:space="0" w:color="auto"/>
      </w:divBdr>
    </w:div>
    <w:div w:id="1928268228">
      <w:bodyDiv w:val="1"/>
      <w:marLeft w:val="0"/>
      <w:marRight w:val="0"/>
      <w:marTop w:val="0"/>
      <w:marBottom w:val="0"/>
      <w:divBdr>
        <w:top w:val="none" w:sz="0" w:space="0" w:color="auto"/>
        <w:left w:val="none" w:sz="0" w:space="0" w:color="auto"/>
        <w:bottom w:val="none" w:sz="0" w:space="0" w:color="auto"/>
        <w:right w:val="none" w:sz="0" w:space="0" w:color="auto"/>
      </w:divBdr>
    </w:div>
    <w:div w:id="212719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5</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chine.anyaegbu</dc:creator>
  <cp:lastModifiedBy>Smith Hannah (RNU) Oxford Health</cp:lastModifiedBy>
  <cp:revision>20</cp:revision>
  <cp:lastPrinted>2015-04-14T14:09:00Z</cp:lastPrinted>
  <dcterms:created xsi:type="dcterms:W3CDTF">2015-05-20T09:53:00Z</dcterms:created>
  <dcterms:modified xsi:type="dcterms:W3CDTF">2015-05-20T12:45:00Z</dcterms:modified>
</cp:coreProperties>
</file>