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47" w:rsidRPr="00BE2EFA" w:rsidRDefault="000B2947" w:rsidP="000B294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D759B">
        <w:rPr>
          <w:rFonts w:ascii="Arial" w:hAnsi="Arial" w:cs="Arial"/>
          <w:b/>
          <w:sz w:val="28"/>
          <w:szCs w:val="28"/>
        </w:rPr>
        <w:t xml:space="preserve">Summary of </w:t>
      </w:r>
      <w:r w:rsidRPr="00BE2EFA">
        <w:rPr>
          <w:rFonts w:ascii="Arial" w:hAnsi="Arial" w:cs="Arial"/>
          <w:b/>
          <w:sz w:val="28"/>
          <w:szCs w:val="28"/>
        </w:rPr>
        <w:t xml:space="preserve">Actions from </w:t>
      </w:r>
      <w:r w:rsidR="00015A05">
        <w:rPr>
          <w:rFonts w:ascii="Arial" w:hAnsi="Arial" w:cs="Arial"/>
          <w:b/>
          <w:sz w:val="28"/>
          <w:szCs w:val="28"/>
        </w:rPr>
        <w:t xml:space="preserve">the </w:t>
      </w:r>
      <w:r w:rsidRPr="00BE2EFA">
        <w:rPr>
          <w:rFonts w:ascii="Arial" w:hAnsi="Arial" w:cs="Arial"/>
          <w:b/>
          <w:sz w:val="28"/>
          <w:szCs w:val="28"/>
        </w:rPr>
        <w:t xml:space="preserve">Board </w:t>
      </w:r>
      <w:r w:rsidR="000B69CF" w:rsidRPr="00BE2EFA">
        <w:rPr>
          <w:rFonts w:ascii="Arial" w:hAnsi="Arial" w:cs="Arial"/>
          <w:b/>
          <w:sz w:val="28"/>
          <w:szCs w:val="28"/>
        </w:rPr>
        <w:t>meeting</w:t>
      </w:r>
      <w:r w:rsidRPr="00BE2EFA">
        <w:rPr>
          <w:rFonts w:ascii="Arial" w:hAnsi="Arial" w:cs="Arial"/>
          <w:b/>
          <w:sz w:val="28"/>
          <w:szCs w:val="28"/>
        </w:rPr>
        <w:t xml:space="preserve"> </w:t>
      </w:r>
      <w:r w:rsidR="00E97685">
        <w:rPr>
          <w:rFonts w:ascii="Arial" w:hAnsi="Arial" w:cs="Arial"/>
          <w:b/>
          <w:sz w:val="28"/>
          <w:szCs w:val="28"/>
        </w:rPr>
        <w:t xml:space="preserve">on </w:t>
      </w:r>
      <w:r w:rsidR="00F45ED7">
        <w:rPr>
          <w:rFonts w:ascii="Arial" w:hAnsi="Arial" w:cs="Arial"/>
          <w:b/>
          <w:sz w:val="28"/>
          <w:szCs w:val="28"/>
        </w:rPr>
        <w:t xml:space="preserve">24 June </w:t>
      </w:r>
      <w:r w:rsidR="0084583C">
        <w:rPr>
          <w:rFonts w:ascii="Arial" w:hAnsi="Arial" w:cs="Arial"/>
          <w:b/>
          <w:sz w:val="28"/>
          <w:szCs w:val="28"/>
        </w:rPr>
        <w:t>2015</w:t>
      </w:r>
    </w:p>
    <w:p w:rsidR="000B2947" w:rsidRDefault="000B2947" w:rsidP="000B2947"/>
    <w:p w:rsidR="000B2947" w:rsidRDefault="000B2947" w:rsidP="000B2947"/>
    <w:tbl>
      <w:tblPr>
        <w:tblpPr w:leftFromText="180" w:rightFromText="180" w:vertAnchor="page" w:horzAnchor="margin" w:tblpXSpec="center" w:tblpY="2442"/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8351"/>
        <w:gridCol w:w="2286"/>
      </w:tblGrid>
      <w:tr w:rsidR="000B2947" w:rsidRPr="00D3669C" w:rsidTr="00D8125D">
        <w:trPr>
          <w:trHeight w:val="439"/>
        </w:trPr>
        <w:tc>
          <w:tcPr>
            <w:tcW w:w="2197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286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15391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15391E" w:rsidP="0031508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015A05">
              <w:rPr>
                <w:rFonts w:ascii="Arial" w:hAnsi="Arial" w:cs="Arial"/>
                <w:sz w:val="24"/>
                <w:szCs w:val="24"/>
              </w:rPr>
              <w:t>104</w:t>
            </w:r>
            <w:r w:rsidR="0084583C">
              <w:rPr>
                <w:rFonts w:ascii="Arial" w:hAnsi="Arial" w:cs="Arial"/>
                <w:sz w:val="24"/>
                <w:szCs w:val="24"/>
              </w:rPr>
              <w:t>/15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15A05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15391E" w:rsidRDefault="00015A05" w:rsidP="001539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15A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Patient Stories </w:t>
            </w:r>
          </w:p>
          <w:p w:rsidR="0015391E" w:rsidRPr="00F40768" w:rsidRDefault="00015A05" w:rsidP="0031508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thank the presenters on behalf of the Board and ensure that these stories were more widely disseminated. </w:t>
            </w:r>
          </w:p>
        </w:tc>
        <w:tc>
          <w:tcPr>
            <w:tcW w:w="2286" w:type="dxa"/>
            <w:shd w:val="clear" w:color="auto" w:fill="auto"/>
          </w:tcPr>
          <w:p w:rsidR="0015391E" w:rsidRDefault="0015391E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1E" w:rsidRPr="009D2F5A" w:rsidRDefault="00015A05" w:rsidP="0015391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F45ED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015A05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104/15 (c</w:t>
            </w:r>
            <w:r w:rsidR="00F45E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15A05" w:rsidRDefault="00015A05" w:rsidP="00F45E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A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Freedom to Speak Up Report </w:t>
            </w:r>
          </w:p>
          <w:p w:rsidR="00F45ED7" w:rsidRPr="00F40768" w:rsidRDefault="00015A05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15A05">
              <w:rPr>
                <w:rFonts w:ascii="Arial" w:hAnsi="Arial" w:cs="Arial"/>
                <w:bCs/>
                <w:sz w:val="24"/>
                <w:szCs w:val="24"/>
              </w:rPr>
              <w:t xml:space="preserve">To provide an update to the Board in July 2015 on the progress made against the Freedom to Speak Up Report.  </w:t>
            </w:r>
          </w:p>
        </w:tc>
        <w:tc>
          <w:tcPr>
            <w:tcW w:w="2286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015A05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</w:tc>
      </w:tr>
      <w:tr w:rsidR="00F45ED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015A05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104/15 (d</w:t>
            </w:r>
            <w:r w:rsidR="00F45E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F45ED7" w:rsidRDefault="00015A05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15A05">
              <w:rPr>
                <w:rFonts w:ascii="Arial" w:hAnsi="Arial" w:cs="Arial"/>
                <w:b/>
                <w:bCs/>
                <w:sz w:val="24"/>
                <w:szCs w:val="24"/>
              </w:rPr>
              <w:t>Whiteleaf Centre project closure report</w:t>
            </w:r>
          </w:p>
          <w:p w:rsidR="00F45ED7" w:rsidRPr="00F40768" w:rsidRDefault="00015A05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15A05">
              <w:rPr>
                <w:rFonts w:ascii="Arial" w:hAnsi="Arial" w:cs="Arial"/>
                <w:bCs/>
                <w:sz w:val="24"/>
                <w:szCs w:val="24"/>
              </w:rPr>
              <w:t xml:space="preserve">To present to the Finance and Investment Committee and the Board in July 2015.  </w:t>
            </w:r>
          </w:p>
        </w:tc>
        <w:tc>
          <w:tcPr>
            <w:tcW w:w="2286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015A05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F45ED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522C6B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104/15 (f</w:t>
            </w:r>
            <w:r w:rsidR="00F45E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F45ED7" w:rsidRDefault="00522C6B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2C6B">
              <w:rPr>
                <w:rFonts w:ascii="Arial" w:hAnsi="Arial" w:cs="Arial"/>
                <w:b/>
                <w:bCs/>
                <w:sz w:val="24"/>
                <w:szCs w:val="24"/>
              </w:rPr>
              <w:t>Ligature risks report</w:t>
            </w:r>
          </w:p>
          <w:p w:rsidR="00F45ED7" w:rsidRPr="00F40768" w:rsidRDefault="00522C6B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522C6B">
              <w:rPr>
                <w:rFonts w:ascii="Arial" w:hAnsi="Arial" w:cs="Arial"/>
                <w:bCs/>
                <w:sz w:val="24"/>
                <w:szCs w:val="24"/>
              </w:rPr>
              <w:t xml:space="preserve">o present to the Quality Committee.  </w:t>
            </w:r>
          </w:p>
        </w:tc>
        <w:tc>
          <w:tcPr>
            <w:tcW w:w="2286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522C6B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F45ED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EA10FE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104/15 (g</w:t>
            </w:r>
            <w:r w:rsidR="00F45E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F45ED7" w:rsidRDefault="00EA10FE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10FE">
              <w:rPr>
                <w:rFonts w:ascii="Arial" w:hAnsi="Arial" w:cs="Arial"/>
                <w:b/>
                <w:bCs/>
                <w:sz w:val="24"/>
                <w:szCs w:val="24"/>
              </w:rPr>
              <w:t>Business Plan report</w:t>
            </w:r>
          </w:p>
          <w:p w:rsidR="00F45ED7" w:rsidRPr="00F40768" w:rsidRDefault="00EA10FE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10FE">
              <w:rPr>
                <w:rFonts w:ascii="Arial" w:hAnsi="Arial" w:cs="Arial"/>
                <w:bCs/>
                <w:sz w:val="24"/>
                <w:szCs w:val="24"/>
              </w:rPr>
              <w:t xml:space="preserve">To review the level of detail in the report and consider what was included in the 2015/16 plan and how this was to be reported to the Board in July 2015.  </w:t>
            </w:r>
          </w:p>
        </w:tc>
        <w:tc>
          <w:tcPr>
            <w:tcW w:w="2286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EA10FE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</w:t>
            </w:r>
          </w:p>
        </w:tc>
      </w:tr>
      <w:tr w:rsidR="00F45ED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EA10FE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104/15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F45E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EA10FE" w:rsidRDefault="00EA10FE" w:rsidP="00F45E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0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Sleep Treatment Trial </w:t>
            </w:r>
          </w:p>
          <w:p w:rsidR="00F45ED7" w:rsidRPr="00F40768" w:rsidRDefault="00EA10FE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10FE">
              <w:rPr>
                <w:rFonts w:ascii="Arial" w:hAnsi="Arial" w:cs="Arial"/>
                <w:bCs/>
                <w:sz w:val="24"/>
                <w:szCs w:val="24"/>
              </w:rPr>
              <w:t xml:space="preserve">To provide an update to the Board in due course.  </w:t>
            </w:r>
          </w:p>
        </w:tc>
        <w:tc>
          <w:tcPr>
            <w:tcW w:w="2286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EA10FE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F45ED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EA10FE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104/15 (j</w:t>
            </w:r>
            <w:r w:rsidR="00F45E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A05F7D" w:rsidRDefault="00A05F7D" w:rsidP="00F45E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F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“Breaking the Cycle Week” </w:t>
            </w:r>
          </w:p>
          <w:p w:rsidR="00F45ED7" w:rsidRPr="00F40768" w:rsidRDefault="00A05F7D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5F7D">
              <w:rPr>
                <w:rFonts w:ascii="Arial" w:hAnsi="Arial" w:cs="Arial"/>
                <w:bCs/>
                <w:sz w:val="24"/>
                <w:szCs w:val="24"/>
              </w:rPr>
              <w:t xml:space="preserve">To share the report being prepared by OCCG with the Board in due course.  </w:t>
            </w:r>
          </w:p>
        </w:tc>
        <w:tc>
          <w:tcPr>
            <w:tcW w:w="2286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A05F7D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F45ED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4824A3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104/15 (m</w:t>
            </w:r>
            <w:r w:rsidR="00F45E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4824A3" w:rsidRDefault="004824A3" w:rsidP="00F45E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Whistleblowing report </w:t>
            </w:r>
          </w:p>
          <w:p w:rsidR="00F45ED7" w:rsidRPr="00F40768" w:rsidRDefault="004824A3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24A3">
              <w:rPr>
                <w:rFonts w:ascii="Arial" w:hAnsi="Arial" w:cs="Arial"/>
                <w:bCs/>
                <w:sz w:val="24"/>
                <w:szCs w:val="24"/>
              </w:rPr>
              <w:t xml:space="preserve">To present to the Quality Committee in July 2015 as part of the reporting on triangulating learning across disciplinary, grievance and whistleblowing cases.  </w:t>
            </w:r>
          </w:p>
        </w:tc>
        <w:tc>
          <w:tcPr>
            <w:tcW w:w="2286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4824A3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</w:t>
            </w:r>
          </w:p>
        </w:tc>
      </w:tr>
      <w:tr w:rsidR="00F45ED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4824A3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104/15 (o</w:t>
            </w:r>
            <w:r w:rsidR="00F45E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F45ED7" w:rsidRDefault="004824A3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24A3">
              <w:rPr>
                <w:rFonts w:ascii="Arial" w:hAnsi="Arial" w:cs="Arial"/>
                <w:b/>
                <w:bCs/>
                <w:sz w:val="24"/>
                <w:szCs w:val="24"/>
              </w:rPr>
              <w:t>Emergency Planning &amp; Business Continuity</w:t>
            </w:r>
          </w:p>
          <w:p w:rsidR="00F45ED7" w:rsidRPr="00F40768" w:rsidRDefault="004824A3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24A3">
              <w:rPr>
                <w:rFonts w:ascii="Arial" w:hAnsi="Arial" w:cs="Arial"/>
                <w:bCs/>
                <w:sz w:val="24"/>
                <w:szCs w:val="24"/>
              </w:rPr>
              <w:t>To consider opportunities for audit testing of Emergency Planning &amp; Business Continuity activities and to engage with the Audit Committee, as may be required, on this.</w:t>
            </w:r>
          </w:p>
        </w:tc>
        <w:tc>
          <w:tcPr>
            <w:tcW w:w="2286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4824A3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F45ED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4824A3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104/15 (p</w:t>
            </w:r>
            <w:r w:rsidR="00F45E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F45ED7" w:rsidRDefault="004824A3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24A3">
              <w:rPr>
                <w:rFonts w:ascii="Arial" w:hAnsi="Arial" w:cs="Arial"/>
                <w:b/>
                <w:bCs/>
                <w:sz w:val="24"/>
                <w:szCs w:val="24"/>
              </w:rPr>
              <w:t>Standing Financial Instructions</w:t>
            </w:r>
          </w:p>
          <w:p w:rsidR="00F45ED7" w:rsidRPr="00F40768" w:rsidRDefault="004824A3" w:rsidP="00F45ED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24A3">
              <w:rPr>
                <w:rFonts w:ascii="Arial" w:hAnsi="Arial" w:cs="Arial"/>
                <w:bCs/>
                <w:sz w:val="24"/>
                <w:szCs w:val="24"/>
              </w:rPr>
              <w:t xml:space="preserve">To circulate to the Audit Committee for review prior to presentation at the Board in July 2015.  </w:t>
            </w:r>
          </w:p>
        </w:tc>
        <w:tc>
          <w:tcPr>
            <w:tcW w:w="2286" w:type="dxa"/>
            <w:shd w:val="clear" w:color="auto" w:fill="auto"/>
          </w:tcPr>
          <w:p w:rsidR="00F45ED7" w:rsidRDefault="00F45ED7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5ED7" w:rsidRPr="009D2F5A" w:rsidRDefault="004824A3" w:rsidP="00F45ED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</w:t>
            </w:r>
          </w:p>
        </w:tc>
      </w:tr>
      <w:tr w:rsidR="004824A3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4824A3" w:rsidRDefault="004824A3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4A3" w:rsidRPr="009D2F5A" w:rsidRDefault="00626FC4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108/15 (c</w:t>
            </w:r>
            <w:r w:rsidR="004824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4824A3" w:rsidRDefault="00626FC4" w:rsidP="0048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Change in commissioning of health visiting services</w:t>
            </w:r>
          </w:p>
          <w:p w:rsidR="004824A3" w:rsidRPr="00F40768" w:rsidRDefault="00626FC4" w:rsidP="0048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consider and report back on presenting a paper setting out how the change control processes for the transition in commissioning arrangements for health visiting services were being managed. </w:t>
            </w:r>
          </w:p>
        </w:tc>
        <w:tc>
          <w:tcPr>
            <w:tcW w:w="2286" w:type="dxa"/>
            <w:shd w:val="clear" w:color="auto" w:fill="auto"/>
          </w:tcPr>
          <w:p w:rsidR="004824A3" w:rsidRDefault="004824A3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4A3" w:rsidRPr="009D2F5A" w:rsidRDefault="00626FC4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4824A3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4824A3" w:rsidRDefault="004824A3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4A3" w:rsidRPr="009D2F5A" w:rsidRDefault="00626FC4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109/15 (f</w:t>
            </w:r>
            <w:r w:rsidR="004824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4824A3" w:rsidRDefault="00626FC4" w:rsidP="0048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Patient experience at an individual level</w:t>
            </w:r>
          </w:p>
          <w:p w:rsidR="004824A3" w:rsidRPr="00F40768" w:rsidRDefault="00626FC4" w:rsidP="0048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consider whether the Trust should explore </w:t>
            </w:r>
            <w:r w:rsidRPr="00626FC4">
              <w:rPr>
                <w:rFonts w:ascii="Arial" w:hAnsi="Arial" w:cs="Arial"/>
                <w:bCs/>
                <w:sz w:val="24"/>
                <w:szCs w:val="24"/>
              </w:rPr>
              <w:t xml:space="preserve">seeking feedback from a regular group of participants as a way of monitoring change over time at an individual level.  </w:t>
            </w:r>
          </w:p>
        </w:tc>
        <w:tc>
          <w:tcPr>
            <w:tcW w:w="2286" w:type="dxa"/>
            <w:shd w:val="clear" w:color="auto" w:fill="auto"/>
          </w:tcPr>
          <w:p w:rsidR="004824A3" w:rsidRDefault="004824A3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4A3" w:rsidRPr="009D2F5A" w:rsidRDefault="00626FC4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4824A3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4824A3" w:rsidRDefault="004824A3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4A3" w:rsidRPr="009D2F5A" w:rsidRDefault="001860DA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115/15 (b</w:t>
            </w:r>
            <w:r w:rsidR="004824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1860DA" w:rsidRDefault="001860DA" w:rsidP="004824A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0DA">
              <w:rPr>
                <w:rFonts w:ascii="Arial" w:hAnsi="Arial" w:cs="Arial"/>
                <w:b/>
                <w:bCs/>
                <w:sz w:val="24"/>
                <w:szCs w:val="24"/>
              </w:rPr>
              <w:t>Collaboration in Leadership in Applied Health Research and Care (CLAHRC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4824A3" w:rsidRPr="00F40768" w:rsidRDefault="001860DA" w:rsidP="001860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present the CLAHRC annual report to the Board. </w:t>
            </w:r>
          </w:p>
        </w:tc>
        <w:tc>
          <w:tcPr>
            <w:tcW w:w="2286" w:type="dxa"/>
            <w:shd w:val="clear" w:color="auto" w:fill="auto"/>
          </w:tcPr>
          <w:p w:rsidR="004824A3" w:rsidRDefault="004824A3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4A3" w:rsidRPr="009D2F5A" w:rsidRDefault="001860DA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</w:tc>
      </w:tr>
      <w:tr w:rsidR="004824A3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4824A3" w:rsidRDefault="004824A3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4A3" w:rsidRPr="009D2F5A" w:rsidRDefault="006A7459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115/15 (c</w:t>
            </w:r>
            <w:r w:rsidR="004824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4824A3" w:rsidRDefault="006A7459" w:rsidP="0048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Publicising R&amp;D activity</w:t>
            </w:r>
          </w:p>
          <w:p w:rsidR="004824A3" w:rsidRPr="00F40768" w:rsidRDefault="006A7459" w:rsidP="0048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7459">
              <w:rPr>
                <w:rFonts w:ascii="Arial" w:hAnsi="Arial" w:cs="Arial"/>
                <w:bCs/>
                <w:sz w:val="24"/>
                <w:szCs w:val="24"/>
              </w:rPr>
              <w:t xml:space="preserve">To consider publicising R&amp;D activity to a wider audience within the Trust as well as externally to develop more collaborative relationships.  </w:t>
            </w:r>
          </w:p>
        </w:tc>
        <w:tc>
          <w:tcPr>
            <w:tcW w:w="2286" w:type="dxa"/>
            <w:shd w:val="clear" w:color="auto" w:fill="auto"/>
          </w:tcPr>
          <w:p w:rsidR="004824A3" w:rsidRDefault="004824A3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4A3" w:rsidRPr="009D2F5A" w:rsidRDefault="006A7459" w:rsidP="004824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CM/SB</w:t>
            </w:r>
          </w:p>
        </w:tc>
      </w:tr>
    </w:tbl>
    <w:p w:rsidR="00633554" w:rsidRPr="00E367B7" w:rsidRDefault="006335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3554" w:rsidRPr="00E367B7" w:rsidSect="000B294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22" w:rsidRDefault="00FA1522" w:rsidP="000B2947">
      <w:pPr>
        <w:spacing w:after="0" w:line="240" w:lineRule="auto"/>
      </w:pPr>
      <w:r>
        <w:separator/>
      </w:r>
    </w:p>
  </w:endnote>
  <w:endnote w:type="continuationSeparator" w:id="0">
    <w:p w:rsidR="00FA1522" w:rsidRDefault="00FA1522" w:rsidP="000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22" w:rsidRDefault="00861B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0DD">
      <w:rPr>
        <w:noProof/>
      </w:rPr>
      <w:t>3</w:t>
    </w:r>
    <w:r>
      <w:rPr>
        <w:noProof/>
      </w:rPr>
      <w:fldChar w:fldCharType="end"/>
    </w:r>
  </w:p>
  <w:p w:rsidR="00FA1522" w:rsidRDefault="00FA1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22" w:rsidRDefault="00FA1522" w:rsidP="000B2947">
      <w:pPr>
        <w:spacing w:after="0" w:line="240" w:lineRule="auto"/>
      </w:pPr>
      <w:r>
        <w:separator/>
      </w:r>
    </w:p>
  </w:footnote>
  <w:footnote w:type="continuationSeparator" w:id="0">
    <w:p w:rsidR="00FA1522" w:rsidRDefault="00FA1522" w:rsidP="000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22" w:rsidRPr="007D06DC" w:rsidRDefault="00FA1522" w:rsidP="000B2947">
    <w:pPr>
      <w:pStyle w:val="Header"/>
      <w:jc w:val="center"/>
    </w:pPr>
    <w:r>
      <w:rPr>
        <w:i/>
      </w:rPr>
      <w:t>PUBLIC</w:t>
    </w:r>
  </w:p>
  <w:p w:rsidR="00FA1522" w:rsidRPr="000B2947" w:rsidRDefault="00FA1522">
    <w:pPr>
      <w:pStyle w:val="Header"/>
      <w:rPr>
        <w:b/>
      </w:rPr>
    </w:pPr>
  </w:p>
  <w:p w:rsidR="00FA1522" w:rsidRDefault="00FA15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482"/>
    <w:multiLevelType w:val="hybridMultilevel"/>
    <w:tmpl w:val="79EA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1217C"/>
    <w:multiLevelType w:val="hybridMultilevel"/>
    <w:tmpl w:val="7E34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67214"/>
    <w:multiLevelType w:val="hybridMultilevel"/>
    <w:tmpl w:val="7D1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A7F32"/>
    <w:multiLevelType w:val="hybridMultilevel"/>
    <w:tmpl w:val="060C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7380F"/>
    <w:multiLevelType w:val="hybridMultilevel"/>
    <w:tmpl w:val="9CDAC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47"/>
    <w:rsid w:val="000039B1"/>
    <w:rsid w:val="000072FC"/>
    <w:rsid w:val="00015015"/>
    <w:rsid w:val="00015A05"/>
    <w:rsid w:val="00024DA4"/>
    <w:rsid w:val="00032E57"/>
    <w:rsid w:val="0004460B"/>
    <w:rsid w:val="00046EA9"/>
    <w:rsid w:val="00063257"/>
    <w:rsid w:val="00063421"/>
    <w:rsid w:val="000765F3"/>
    <w:rsid w:val="0007738F"/>
    <w:rsid w:val="000846EE"/>
    <w:rsid w:val="00087272"/>
    <w:rsid w:val="000B2947"/>
    <w:rsid w:val="000B69CF"/>
    <w:rsid w:val="000D05CC"/>
    <w:rsid w:val="000D7875"/>
    <w:rsid w:val="000E244A"/>
    <w:rsid w:val="000E6B70"/>
    <w:rsid w:val="000F0B7F"/>
    <w:rsid w:val="000F48CF"/>
    <w:rsid w:val="000F7BD1"/>
    <w:rsid w:val="00105FDB"/>
    <w:rsid w:val="001120FD"/>
    <w:rsid w:val="001219E0"/>
    <w:rsid w:val="001220D3"/>
    <w:rsid w:val="00131067"/>
    <w:rsid w:val="001431EB"/>
    <w:rsid w:val="0015391E"/>
    <w:rsid w:val="00171162"/>
    <w:rsid w:val="00171A81"/>
    <w:rsid w:val="001860DA"/>
    <w:rsid w:val="00191B83"/>
    <w:rsid w:val="001B0FB1"/>
    <w:rsid w:val="001D2759"/>
    <w:rsid w:val="001E16A4"/>
    <w:rsid w:val="0020141B"/>
    <w:rsid w:val="00201E3B"/>
    <w:rsid w:val="0020722B"/>
    <w:rsid w:val="002258F6"/>
    <w:rsid w:val="00237F6F"/>
    <w:rsid w:val="00240701"/>
    <w:rsid w:val="00241AA6"/>
    <w:rsid w:val="00244F70"/>
    <w:rsid w:val="0025228D"/>
    <w:rsid w:val="0025331B"/>
    <w:rsid w:val="00253C8F"/>
    <w:rsid w:val="00261E54"/>
    <w:rsid w:val="002744DF"/>
    <w:rsid w:val="00282647"/>
    <w:rsid w:val="00282D3B"/>
    <w:rsid w:val="002A5A69"/>
    <w:rsid w:val="002B5341"/>
    <w:rsid w:val="002B57BD"/>
    <w:rsid w:val="002C0F68"/>
    <w:rsid w:val="002C6990"/>
    <w:rsid w:val="002D230C"/>
    <w:rsid w:val="002D6A88"/>
    <w:rsid w:val="002E50D9"/>
    <w:rsid w:val="002F2524"/>
    <w:rsid w:val="002F3B6B"/>
    <w:rsid w:val="002F6393"/>
    <w:rsid w:val="003033E1"/>
    <w:rsid w:val="00314CE7"/>
    <w:rsid w:val="00315081"/>
    <w:rsid w:val="003305FC"/>
    <w:rsid w:val="0033178B"/>
    <w:rsid w:val="0033274C"/>
    <w:rsid w:val="00341BD4"/>
    <w:rsid w:val="003424EC"/>
    <w:rsid w:val="003515C3"/>
    <w:rsid w:val="003759F1"/>
    <w:rsid w:val="00376489"/>
    <w:rsid w:val="00380E7A"/>
    <w:rsid w:val="00383F5B"/>
    <w:rsid w:val="00384B7A"/>
    <w:rsid w:val="003871F3"/>
    <w:rsid w:val="00390FD5"/>
    <w:rsid w:val="00393728"/>
    <w:rsid w:val="00393AFE"/>
    <w:rsid w:val="00394139"/>
    <w:rsid w:val="00397575"/>
    <w:rsid w:val="003B304C"/>
    <w:rsid w:val="003C5DB1"/>
    <w:rsid w:val="003D05D4"/>
    <w:rsid w:val="003E28C6"/>
    <w:rsid w:val="003E5C3C"/>
    <w:rsid w:val="003F2467"/>
    <w:rsid w:val="00425229"/>
    <w:rsid w:val="004266B5"/>
    <w:rsid w:val="00440F72"/>
    <w:rsid w:val="00452F7C"/>
    <w:rsid w:val="00456BE6"/>
    <w:rsid w:val="00465CD1"/>
    <w:rsid w:val="00466230"/>
    <w:rsid w:val="004824A3"/>
    <w:rsid w:val="004921A3"/>
    <w:rsid w:val="004938A0"/>
    <w:rsid w:val="004942A2"/>
    <w:rsid w:val="004970DD"/>
    <w:rsid w:val="004B0D4D"/>
    <w:rsid w:val="004C26C4"/>
    <w:rsid w:val="004C759B"/>
    <w:rsid w:val="004D7E50"/>
    <w:rsid w:val="00505351"/>
    <w:rsid w:val="005077BE"/>
    <w:rsid w:val="005079BA"/>
    <w:rsid w:val="00511324"/>
    <w:rsid w:val="0052154A"/>
    <w:rsid w:val="00522131"/>
    <w:rsid w:val="00522C6B"/>
    <w:rsid w:val="00525A57"/>
    <w:rsid w:val="00531123"/>
    <w:rsid w:val="00537F66"/>
    <w:rsid w:val="00543314"/>
    <w:rsid w:val="0057412E"/>
    <w:rsid w:val="00581E04"/>
    <w:rsid w:val="005823B6"/>
    <w:rsid w:val="0059202C"/>
    <w:rsid w:val="00593FA0"/>
    <w:rsid w:val="00594955"/>
    <w:rsid w:val="005B3341"/>
    <w:rsid w:val="005B61CF"/>
    <w:rsid w:val="005C61CA"/>
    <w:rsid w:val="005D72E8"/>
    <w:rsid w:val="005D77EC"/>
    <w:rsid w:val="005E0E2E"/>
    <w:rsid w:val="005E5479"/>
    <w:rsid w:val="005F3233"/>
    <w:rsid w:val="005F70E9"/>
    <w:rsid w:val="00601E3D"/>
    <w:rsid w:val="00610966"/>
    <w:rsid w:val="00611984"/>
    <w:rsid w:val="006128F5"/>
    <w:rsid w:val="00626FC4"/>
    <w:rsid w:val="00627618"/>
    <w:rsid w:val="00633554"/>
    <w:rsid w:val="006439B2"/>
    <w:rsid w:val="006454AE"/>
    <w:rsid w:val="00652FAF"/>
    <w:rsid w:val="006716E3"/>
    <w:rsid w:val="00674688"/>
    <w:rsid w:val="00674699"/>
    <w:rsid w:val="0067651E"/>
    <w:rsid w:val="00687CBE"/>
    <w:rsid w:val="00693453"/>
    <w:rsid w:val="006946E2"/>
    <w:rsid w:val="00696E9F"/>
    <w:rsid w:val="00697032"/>
    <w:rsid w:val="006A7459"/>
    <w:rsid w:val="006B1EB2"/>
    <w:rsid w:val="006B7541"/>
    <w:rsid w:val="006D39B0"/>
    <w:rsid w:val="006D6992"/>
    <w:rsid w:val="00700062"/>
    <w:rsid w:val="0070258B"/>
    <w:rsid w:val="0072245F"/>
    <w:rsid w:val="00730438"/>
    <w:rsid w:val="0073197C"/>
    <w:rsid w:val="007336A4"/>
    <w:rsid w:val="00734966"/>
    <w:rsid w:val="00745E5F"/>
    <w:rsid w:val="00754E78"/>
    <w:rsid w:val="00760C31"/>
    <w:rsid w:val="00762ED4"/>
    <w:rsid w:val="00763A8F"/>
    <w:rsid w:val="0076462F"/>
    <w:rsid w:val="00766A85"/>
    <w:rsid w:val="00767605"/>
    <w:rsid w:val="00774CB7"/>
    <w:rsid w:val="00784E26"/>
    <w:rsid w:val="0078654D"/>
    <w:rsid w:val="0079185E"/>
    <w:rsid w:val="00793558"/>
    <w:rsid w:val="007B21CE"/>
    <w:rsid w:val="007B3FD6"/>
    <w:rsid w:val="007C3131"/>
    <w:rsid w:val="007C4C3A"/>
    <w:rsid w:val="007E3804"/>
    <w:rsid w:val="007E4BCB"/>
    <w:rsid w:val="007F39F5"/>
    <w:rsid w:val="007F3D90"/>
    <w:rsid w:val="008006A3"/>
    <w:rsid w:val="0081463C"/>
    <w:rsid w:val="00832469"/>
    <w:rsid w:val="008340D7"/>
    <w:rsid w:val="00834277"/>
    <w:rsid w:val="0083488F"/>
    <w:rsid w:val="008379EA"/>
    <w:rsid w:val="0084583C"/>
    <w:rsid w:val="00861BF3"/>
    <w:rsid w:val="008734E5"/>
    <w:rsid w:val="008756CF"/>
    <w:rsid w:val="008757DA"/>
    <w:rsid w:val="008776D6"/>
    <w:rsid w:val="0088270F"/>
    <w:rsid w:val="00891EB1"/>
    <w:rsid w:val="0089273B"/>
    <w:rsid w:val="0089403F"/>
    <w:rsid w:val="008A7296"/>
    <w:rsid w:val="008B2F3F"/>
    <w:rsid w:val="008F4C6C"/>
    <w:rsid w:val="00902503"/>
    <w:rsid w:val="00907DE9"/>
    <w:rsid w:val="00923288"/>
    <w:rsid w:val="0092378F"/>
    <w:rsid w:val="00926388"/>
    <w:rsid w:val="00927ED6"/>
    <w:rsid w:val="00932058"/>
    <w:rsid w:val="00933452"/>
    <w:rsid w:val="00942C34"/>
    <w:rsid w:val="0094567F"/>
    <w:rsid w:val="009564BB"/>
    <w:rsid w:val="009650DE"/>
    <w:rsid w:val="00974BEC"/>
    <w:rsid w:val="009919D8"/>
    <w:rsid w:val="009C6599"/>
    <w:rsid w:val="009D23DA"/>
    <w:rsid w:val="009D2F5A"/>
    <w:rsid w:val="009E38B1"/>
    <w:rsid w:val="009E77B9"/>
    <w:rsid w:val="009E7C1A"/>
    <w:rsid w:val="00A05F7D"/>
    <w:rsid w:val="00A15794"/>
    <w:rsid w:val="00A166C1"/>
    <w:rsid w:val="00A226AB"/>
    <w:rsid w:val="00A22825"/>
    <w:rsid w:val="00A24484"/>
    <w:rsid w:val="00A37FAC"/>
    <w:rsid w:val="00A43C8E"/>
    <w:rsid w:val="00A44287"/>
    <w:rsid w:val="00A44C56"/>
    <w:rsid w:val="00A5526F"/>
    <w:rsid w:val="00A71BDC"/>
    <w:rsid w:val="00A72B2B"/>
    <w:rsid w:val="00A802E6"/>
    <w:rsid w:val="00AA1675"/>
    <w:rsid w:val="00AA2AD8"/>
    <w:rsid w:val="00AB249F"/>
    <w:rsid w:val="00AC008C"/>
    <w:rsid w:val="00AC76AD"/>
    <w:rsid w:val="00AD5AF4"/>
    <w:rsid w:val="00AD6F84"/>
    <w:rsid w:val="00B02AC5"/>
    <w:rsid w:val="00B31870"/>
    <w:rsid w:val="00B33194"/>
    <w:rsid w:val="00B347C7"/>
    <w:rsid w:val="00B40958"/>
    <w:rsid w:val="00B410C3"/>
    <w:rsid w:val="00B658D5"/>
    <w:rsid w:val="00B724D9"/>
    <w:rsid w:val="00B81AE9"/>
    <w:rsid w:val="00B974C1"/>
    <w:rsid w:val="00BA2DD3"/>
    <w:rsid w:val="00BA44E9"/>
    <w:rsid w:val="00BB62AB"/>
    <w:rsid w:val="00BC04F8"/>
    <w:rsid w:val="00BD4925"/>
    <w:rsid w:val="00BE2EFA"/>
    <w:rsid w:val="00BE3D89"/>
    <w:rsid w:val="00BE7491"/>
    <w:rsid w:val="00BF32AD"/>
    <w:rsid w:val="00C4205F"/>
    <w:rsid w:val="00C44D41"/>
    <w:rsid w:val="00C4763E"/>
    <w:rsid w:val="00C5206A"/>
    <w:rsid w:val="00C74867"/>
    <w:rsid w:val="00C9522B"/>
    <w:rsid w:val="00C95A17"/>
    <w:rsid w:val="00C97CCE"/>
    <w:rsid w:val="00CC2ED9"/>
    <w:rsid w:val="00CD2283"/>
    <w:rsid w:val="00CE2874"/>
    <w:rsid w:val="00D10B4E"/>
    <w:rsid w:val="00D121CE"/>
    <w:rsid w:val="00D14EC6"/>
    <w:rsid w:val="00D1503C"/>
    <w:rsid w:val="00D3669C"/>
    <w:rsid w:val="00D36BC0"/>
    <w:rsid w:val="00D42170"/>
    <w:rsid w:val="00D42D1A"/>
    <w:rsid w:val="00D6616A"/>
    <w:rsid w:val="00D66EAD"/>
    <w:rsid w:val="00D7197F"/>
    <w:rsid w:val="00D762F7"/>
    <w:rsid w:val="00D8125D"/>
    <w:rsid w:val="00D83FCB"/>
    <w:rsid w:val="00D84DC6"/>
    <w:rsid w:val="00D9768A"/>
    <w:rsid w:val="00DC3C3E"/>
    <w:rsid w:val="00DC54A2"/>
    <w:rsid w:val="00DF07E3"/>
    <w:rsid w:val="00E00003"/>
    <w:rsid w:val="00E04E2F"/>
    <w:rsid w:val="00E06EED"/>
    <w:rsid w:val="00E11EFB"/>
    <w:rsid w:val="00E14469"/>
    <w:rsid w:val="00E21DA2"/>
    <w:rsid w:val="00E22C7A"/>
    <w:rsid w:val="00E32A06"/>
    <w:rsid w:val="00E34729"/>
    <w:rsid w:val="00E367B7"/>
    <w:rsid w:val="00E520A9"/>
    <w:rsid w:val="00E55CDA"/>
    <w:rsid w:val="00E60C6D"/>
    <w:rsid w:val="00E7308C"/>
    <w:rsid w:val="00E76646"/>
    <w:rsid w:val="00E95111"/>
    <w:rsid w:val="00E97685"/>
    <w:rsid w:val="00EA10FE"/>
    <w:rsid w:val="00EB50AE"/>
    <w:rsid w:val="00EB5869"/>
    <w:rsid w:val="00EC11E7"/>
    <w:rsid w:val="00ED08CB"/>
    <w:rsid w:val="00ED16EA"/>
    <w:rsid w:val="00ED427A"/>
    <w:rsid w:val="00EE1AB5"/>
    <w:rsid w:val="00EE4894"/>
    <w:rsid w:val="00EF5115"/>
    <w:rsid w:val="00EF72CB"/>
    <w:rsid w:val="00F00297"/>
    <w:rsid w:val="00F019EB"/>
    <w:rsid w:val="00F1349A"/>
    <w:rsid w:val="00F16822"/>
    <w:rsid w:val="00F16BE8"/>
    <w:rsid w:val="00F231AA"/>
    <w:rsid w:val="00F25643"/>
    <w:rsid w:val="00F31E37"/>
    <w:rsid w:val="00F31EA2"/>
    <w:rsid w:val="00F36B10"/>
    <w:rsid w:val="00F37A2E"/>
    <w:rsid w:val="00F40768"/>
    <w:rsid w:val="00F4139E"/>
    <w:rsid w:val="00F45ED7"/>
    <w:rsid w:val="00F50EBF"/>
    <w:rsid w:val="00F51049"/>
    <w:rsid w:val="00F56435"/>
    <w:rsid w:val="00F57D46"/>
    <w:rsid w:val="00F65D26"/>
    <w:rsid w:val="00F77BBC"/>
    <w:rsid w:val="00F87CBE"/>
    <w:rsid w:val="00F907A0"/>
    <w:rsid w:val="00FA1522"/>
    <w:rsid w:val="00FC07BA"/>
    <w:rsid w:val="00FC7547"/>
    <w:rsid w:val="00FD4AAA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chine.anyaegbu</dc:creator>
  <cp:lastModifiedBy>Smith Hannah (RNU) Oxford Health</cp:lastModifiedBy>
  <cp:revision>14</cp:revision>
  <cp:lastPrinted>2015-04-14T14:09:00Z</cp:lastPrinted>
  <dcterms:created xsi:type="dcterms:W3CDTF">2015-07-13T11:32:00Z</dcterms:created>
  <dcterms:modified xsi:type="dcterms:W3CDTF">2015-07-13T11:53:00Z</dcterms:modified>
</cp:coreProperties>
</file>