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65DF" w:rsidRDefault="00DC0ECC" w:rsidP="00DC0ECC">
      <w:pPr>
        <w:pStyle w:val="Heading1"/>
      </w:pPr>
      <w:r>
        <w:rPr>
          <w:noProof/>
          <w:lang w:val="en-GB" w:eastAsia="en-GB"/>
        </w:rPr>
        <w:drawing>
          <wp:anchor distT="0" distB="0" distL="114300" distR="114300" simplePos="0" relativeHeight="251658240" behindDoc="0" locked="0" layoutInCell="1" allowOverlap="1" wp14:anchorId="115CC094" wp14:editId="2E549F25">
            <wp:simplePos x="0" y="0"/>
            <wp:positionH relativeFrom="page">
              <wp:posOffset>180975</wp:posOffset>
            </wp:positionH>
            <wp:positionV relativeFrom="paragraph">
              <wp:posOffset>0</wp:posOffset>
            </wp:positionV>
            <wp:extent cx="1476375" cy="14763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formation[3].png"/>
                    <pic:cNvPicPr/>
                  </pic:nvPicPr>
                  <pic:blipFill>
                    <a:blip r:embed="rId11">
                      <a:extLst>
                        <a:ext uri="{28A0092B-C50C-407E-A947-70E740481C1C}">
                          <a14:useLocalDpi xmlns:a14="http://schemas.microsoft.com/office/drawing/2010/main" val="0"/>
                        </a:ext>
                      </a:extLst>
                    </a:blip>
                    <a:stretch>
                      <a:fillRect/>
                    </a:stretch>
                  </pic:blipFill>
                  <pic:spPr>
                    <a:xfrm>
                      <a:off x="0" y="0"/>
                      <a:ext cx="1476375" cy="1476375"/>
                    </a:xfrm>
                    <a:prstGeom prst="rect">
                      <a:avLst/>
                    </a:prstGeom>
                  </pic:spPr>
                </pic:pic>
              </a:graphicData>
            </a:graphic>
            <wp14:sizeRelH relativeFrom="page">
              <wp14:pctWidth>0</wp14:pctWidth>
            </wp14:sizeRelH>
            <wp14:sizeRelV relativeFrom="page">
              <wp14:pctHeight>0</wp14:pctHeight>
            </wp14:sizeRelV>
          </wp:anchor>
        </w:drawing>
      </w:r>
      <w:r w:rsidR="005864B6">
        <w:t xml:space="preserve">wound </w:t>
      </w:r>
      <w:r>
        <w:t>PAIN ASSESSMENT &amp; MANAG</w:t>
      </w:r>
      <w:r w:rsidR="00A87F7E">
        <w:t>e</w:t>
      </w:r>
      <w:r>
        <w:t>MENT</w:t>
      </w:r>
    </w:p>
    <w:p w:rsidR="00FD113B" w:rsidRPr="008065DF" w:rsidRDefault="00DC0ECC" w:rsidP="00DC0ECC">
      <w:pPr>
        <w:pStyle w:val="Heading1"/>
      </w:pPr>
      <w:r>
        <w:rPr>
          <w:caps w:val="0"/>
          <w:sz w:val="24"/>
        </w:rPr>
        <w:t>Tissue Viability S</w:t>
      </w:r>
      <w:r w:rsidRPr="00DC0ECC">
        <w:rPr>
          <w:caps w:val="0"/>
          <w:sz w:val="24"/>
        </w:rPr>
        <w:t>ervice</w:t>
      </w:r>
    </w:p>
    <w:p w:rsidR="00FD113B" w:rsidRDefault="00622E61" w:rsidP="008B26D6">
      <w:pPr>
        <w:pStyle w:val="Heading2"/>
      </w:pPr>
      <w:r>
        <w:t>What is p</w:t>
      </w:r>
      <w:r w:rsidR="00A87F7E">
        <w:t>ain?</w:t>
      </w:r>
    </w:p>
    <w:sdt>
      <w:sdtPr>
        <w:id w:val="-2113425653"/>
        <w:placeholder>
          <w:docPart w:val="6A4D2EEBF6A3460DB8BB9467083B6E2A"/>
        </w:placeholder>
        <w15:appearance w15:val="hidden"/>
      </w:sdtPr>
      <w:sdtEndPr/>
      <w:sdtContent>
        <w:p w:rsidR="00FD113B" w:rsidRDefault="00A87F7E">
          <w:r>
            <w:t>An unpleasant sensation felt as a result of the brain’s response to disease or damage to the body</w:t>
          </w:r>
          <w:r w:rsidR="00FB34CE">
            <w:t xml:space="preserve"> (Brown, </w:t>
          </w:r>
          <w:r w:rsidR="007A393E">
            <w:t>2014)</w:t>
          </w:r>
          <w:r w:rsidR="007C4053">
            <w:t>.</w:t>
          </w:r>
          <w:r w:rsidR="007A393E">
            <w:t xml:space="preserve"> </w:t>
          </w:r>
        </w:p>
      </w:sdtContent>
    </w:sdt>
    <w:p w:rsidR="00FD113B" w:rsidRDefault="00622E61">
      <w:pPr>
        <w:pStyle w:val="Heading2"/>
      </w:pPr>
      <w:r>
        <w:t>What are the types of p</w:t>
      </w:r>
      <w:r w:rsidR="00A87F7E">
        <w:t>ain</w:t>
      </w:r>
      <w:r>
        <w:t>?</w:t>
      </w:r>
    </w:p>
    <w:sdt>
      <w:sdtPr>
        <w:id w:val="-1466881030"/>
        <w:placeholder>
          <w:docPart w:val="6A4D2EEBF6A3460DB8BB9467083B6E2A"/>
        </w:placeholder>
        <w15:appearance w15:val="hidden"/>
      </w:sdtPr>
      <w:sdtEndPr/>
      <w:sdtContent>
        <w:p w:rsidR="00A87F7E" w:rsidRDefault="00A87F7E">
          <w:r>
            <w:t>Pain falls under 2 main types: nociceptive &amp; neuropathic pain.</w:t>
          </w:r>
        </w:p>
        <w:p w:rsidR="00A87F7E" w:rsidRDefault="00A87F7E" w:rsidP="00A87F7E">
          <w:pPr>
            <w:pStyle w:val="ListParagraph"/>
            <w:numPr>
              <w:ilvl w:val="0"/>
              <w:numId w:val="5"/>
            </w:numPr>
          </w:pPr>
          <w:r w:rsidRPr="00F96C46">
            <w:rPr>
              <w:b/>
            </w:rPr>
            <w:t>Nociceptive</w:t>
          </w:r>
          <w:r>
            <w:t xml:space="preserve"> – usually arising from direct damage to tissue. Signals are picked up by sensory receptors which are then transmitted to the spinal cord and then the brain where they are interpreted as pain</w:t>
          </w:r>
        </w:p>
        <w:p w:rsidR="00185F56" w:rsidRDefault="00A87F7E" w:rsidP="00A87F7E">
          <w:pPr>
            <w:pStyle w:val="ListParagraph"/>
            <w:numPr>
              <w:ilvl w:val="0"/>
              <w:numId w:val="5"/>
            </w:numPr>
          </w:pPr>
          <w:r w:rsidRPr="00F96C46">
            <w:rPr>
              <w:b/>
            </w:rPr>
            <w:t>Neuropathic</w:t>
          </w:r>
          <w:r>
            <w:t xml:space="preserve"> – caused by damage to or dysfunction of the nervo</w:t>
          </w:r>
          <w:r w:rsidR="00185F56">
            <w:t>us system which causes an abnormally strong response</w:t>
          </w:r>
        </w:p>
        <w:p w:rsidR="004E2C24" w:rsidRDefault="004E2C24" w:rsidP="004E2C24">
          <w:pPr>
            <w:ind w:left="360"/>
          </w:pPr>
          <w:r>
            <w:t>It is important to determine which type of pain the patient is experiencing as they require different treatments (Brown, 2015).</w:t>
          </w:r>
        </w:p>
        <w:tbl>
          <w:tblPr>
            <w:tblStyle w:val="ProjectScopeTable"/>
            <w:tblW w:w="0" w:type="auto"/>
            <w:tblInd w:w="360" w:type="dxa"/>
            <w:tblLook w:val="04A0" w:firstRow="1" w:lastRow="0" w:firstColumn="1" w:lastColumn="0" w:noHBand="0" w:noVBand="1"/>
          </w:tblPr>
          <w:tblGrid>
            <w:gridCol w:w="4513"/>
            <w:gridCol w:w="4477"/>
          </w:tblGrid>
          <w:tr w:rsidR="00185F56" w:rsidTr="00A11858">
            <w:trPr>
              <w:cnfStyle w:val="100000000000" w:firstRow="1" w:lastRow="0" w:firstColumn="0" w:lastColumn="0" w:oddVBand="0" w:evenVBand="0" w:oddHBand="0" w:evenHBand="0" w:firstRowFirstColumn="0" w:firstRowLastColumn="0" w:lastRowFirstColumn="0" w:lastRowLastColumn="0"/>
            </w:trPr>
            <w:tc>
              <w:tcPr>
                <w:tcW w:w="4513" w:type="dxa"/>
              </w:tcPr>
              <w:p w:rsidR="00185F56" w:rsidRDefault="00F96C46" w:rsidP="00185F56">
                <w:pPr>
                  <w:jc w:val="center"/>
                </w:pPr>
                <w:r>
                  <w:t>Recognising Nociceptive P</w:t>
                </w:r>
                <w:r w:rsidR="00185F56">
                  <w:t>ain</w:t>
                </w:r>
              </w:p>
            </w:tc>
            <w:tc>
              <w:tcPr>
                <w:tcW w:w="4477" w:type="dxa"/>
              </w:tcPr>
              <w:p w:rsidR="00185F56" w:rsidRDefault="00185F56" w:rsidP="00185F56">
                <w:pPr>
                  <w:jc w:val="center"/>
                </w:pPr>
                <w:r>
                  <w:t>Recognising</w:t>
                </w:r>
                <w:r w:rsidR="00F96C46">
                  <w:t xml:space="preserve"> Neuropathic P</w:t>
                </w:r>
                <w:r>
                  <w:t>ain</w:t>
                </w:r>
              </w:p>
            </w:tc>
          </w:tr>
          <w:tr w:rsidR="00A11858" w:rsidTr="00A11858">
            <w:tc>
              <w:tcPr>
                <w:tcW w:w="4513" w:type="dxa"/>
              </w:tcPr>
              <w:p w:rsidR="00A11858" w:rsidRDefault="00E913F6" w:rsidP="00E913F6">
                <w:pPr>
                  <w:pStyle w:val="ListParagraph"/>
                  <w:numPr>
                    <w:ilvl w:val="0"/>
                    <w:numId w:val="8"/>
                  </w:numPr>
                </w:pPr>
                <w:r>
                  <w:t xml:space="preserve">Described as </w:t>
                </w:r>
                <w:r w:rsidRPr="000E613F">
                  <w:rPr>
                    <w:b/>
                  </w:rPr>
                  <w:t>‘nagging’, ‘throbbing’, ‘gnawing’</w:t>
                </w:r>
              </w:p>
            </w:tc>
            <w:tc>
              <w:tcPr>
                <w:tcW w:w="4477" w:type="dxa"/>
              </w:tcPr>
              <w:p w:rsidR="00A11858" w:rsidRDefault="00A11858" w:rsidP="00A11858">
                <w:pPr>
                  <w:pStyle w:val="ListParagraph"/>
                  <w:numPr>
                    <w:ilvl w:val="0"/>
                    <w:numId w:val="8"/>
                  </w:numPr>
                </w:pPr>
                <w:r>
                  <w:t xml:space="preserve">Described </w:t>
                </w:r>
                <w:r w:rsidRPr="00A11858">
                  <w:t>as</w:t>
                </w:r>
                <w:r w:rsidRPr="00A11858">
                  <w:rPr>
                    <w:b/>
                  </w:rPr>
                  <w:t xml:space="preserve"> ‘pricking’, ‘tingling’, ‘pins &amp; needles’, ‘stabbing, ‘shooting’</w:t>
                </w:r>
              </w:p>
            </w:tc>
          </w:tr>
          <w:tr w:rsidR="00A11858" w:rsidTr="00A11858">
            <w:tc>
              <w:tcPr>
                <w:tcW w:w="4513" w:type="dxa"/>
              </w:tcPr>
              <w:p w:rsidR="00A11858" w:rsidRDefault="008803D3" w:rsidP="00A11858">
                <w:pPr>
                  <w:pStyle w:val="ListParagraph"/>
                  <w:numPr>
                    <w:ilvl w:val="0"/>
                    <w:numId w:val="8"/>
                  </w:numPr>
                </w:pPr>
                <w:r>
                  <w:t>Usually due to direct tissue damage or ischemia</w:t>
                </w:r>
              </w:p>
            </w:tc>
            <w:tc>
              <w:tcPr>
                <w:tcW w:w="4477" w:type="dxa"/>
              </w:tcPr>
              <w:p w:rsidR="00A11858" w:rsidRDefault="00F96C46" w:rsidP="00A11858">
                <w:pPr>
                  <w:pStyle w:val="ListParagraph"/>
                  <w:numPr>
                    <w:ilvl w:val="0"/>
                    <w:numId w:val="8"/>
                  </w:numPr>
                </w:pPr>
                <w:r>
                  <w:t xml:space="preserve">Skin or </w:t>
                </w:r>
                <w:r w:rsidR="00A11858">
                  <w:t>wound abnormally sensitive to touch</w:t>
                </w:r>
              </w:p>
            </w:tc>
          </w:tr>
          <w:tr w:rsidR="00A11858" w:rsidTr="00A11858">
            <w:tc>
              <w:tcPr>
                <w:tcW w:w="4513" w:type="dxa"/>
              </w:tcPr>
              <w:p w:rsidR="00A11858" w:rsidRDefault="008803D3" w:rsidP="00A11858">
                <w:pPr>
                  <w:pStyle w:val="ListParagraph"/>
                  <w:numPr>
                    <w:ilvl w:val="0"/>
                    <w:numId w:val="8"/>
                  </w:numPr>
                </w:pPr>
                <w:r>
                  <w:t>Caused by inflammatory markers that occur on injury</w:t>
                </w:r>
              </w:p>
            </w:tc>
            <w:tc>
              <w:tcPr>
                <w:tcW w:w="4477" w:type="dxa"/>
              </w:tcPr>
              <w:p w:rsidR="00A11858" w:rsidRDefault="00F96C46" w:rsidP="00A11858">
                <w:pPr>
                  <w:pStyle w:val="ListParagraph"/>
                  <w:numPr>
                    <w:ilvl w:val="0"/>
                    <w:numId w:val="8"/>
                  </w:numPr>
                </w:pPr>
                <w:r>
                  <w:t>Pain may come</w:t>
                </w:r>
                <w:r w:rsidR="00A11858">
                  <w:t xml:space="preserve"> </w:t>
                </w:r>
                <w:r w:rsidR="00E913F6">
                  <w:t>on in sudden bursts</w:t>
                </w:r>
                <w:r w:rsidR="00A11858">
                  <w:t xml:space="preserve"> for no apparent reason</w:t>
                </w:r>
              </w:p>
            </w:tc>
          </w:tr>
          <w:tr w:rsidR="00A11858" w:rsidTr="00A11858">
            <w:tc>
              <w:tcPr>
                <w:tcW w:w="4513" w:type="dxa"/>
              </w:tcPr>
              <w:p w:rsidR="00A11858" w:rsidRDefault="008803D3" w:rsidP="00A11858">
                <w:pPr>
                  <w:pStyle w:val="ListParagraph"/>
                  <w:numPr>
                    <w:ilvl w:val="0"/>
                    <w:numId w:val="8"/>
                  </w:numPr>
                </w:pPr>
                <w:r>
                  <w:t>May be due to prolonged healing time</w:t>
                </w:r>
              </w:p>
            </w:tc>
            <w:tc>
              <w:tcPr>
                <w:tcW w:w="4477" w:type="dxa"/>
              </w:tcPr>
              <w:p w:rsidR="00A11858" w:rsidRDefault="00F96C46" w:rsidP="00A11858">
                <w:pPr>
                  <w:pStyle w:val="ListParagraph"/>
                  <w:numPr>
                    <w:ilvl w:val="0"/>
                    <w:numId w:val="8"/>
                  </w:numPr>
                </w:pPr>
                <w:r>
                  <w:t>The t</w:t>
                </w:r>
                <w:r w:rsidR="00A11858">
                  <w:t xml:space="preserve">emperature in the painful area </w:t>
                </w:r>
                <w:r>
                  <w:t xml:space="preserve">may </w:t>
                </w:r>
                <w:r w:rsidR="00A11858">
                  <w:t xml:space="preserve">deemed to have changed - </w:t>
                </w:r>
                <w:r w:rsidR="00A11858" w:rsidRPr="00A11858">
                  <w:rPr>
                    <w:b/>
                  </w:rPr>
                  <w:t>‘hot’ ‘burning’</w:t>
                </w:r>
              </w:p>
            </w:tc>
          </w:tr>
        </w:tbl>
        <w:p w:rsidR="00F61814" w:rsidRPr="00FB34CE" w:rsidRDefault="004E2C24" w:rsidP="004E2C24">
          <w:pPr>
            <w:ind w:left="5760"/>
            <w:rPr>
              <w:color w:val="auto"/>
            </w:rPr>
          </w:pPr>
          <w:r>
            <w:rPr>
              <w:color w:val="auto"/>
            </w:rPr>
            <w:t xml:space="preserve">          (Adapted from </w:t>
          </w:r>
          <w:r w:rsidR="00FB34CE">
            <w:rPr>
              <w:color w:val="auto"/>
            </w:rPr>
            <w:t>White &amp; Harding, 2006)</w:t>
          </w:r>
        </w:p>
        <w:p w:rsidR="00FD113B" w:rsidRPr="008065DF" w:rsidRDefault="00C8778A" w:rsidP="008065DF">
          <w:pPr>
            <w:pStyle w:val="ListParagraph"/>
            <w:numPr>
              <w:ilvl w:val="0"/>
              <w:numId w:val="11"/>
            </w:numPr>
            <w:rPr>
              <w:color w:val="FF0000"/>
            </w:rPr>
          </w:pPr>
          <w:r w:rsidRPr="006C08D7">
            <w:rPr>
              <w:color w:val="FF0000"/>
              <w:sz w:val="20"/>
            </w:rPr>
            <w:t>HCPs</w:t>
          </w:r>
          <w:r w:rsidR="00F61814" w:rsidRPr="006C08D7">
            <w:rPr>
              <w:color w:val="FF0000"/>
              <w:sz w:val="20"/>
            </w:rPr>
            <w:t xml:space="preserve"> should also consider that any new</w:t>
          </w:r>
          <w:r w:rsidR="00B537E0">
            <w:rPr>
              <w:color w:val="FF0000"/>
              <w:sz w:val="20"/>
            </w:rPr>
            <w:t>/</w:t>
          </w:r>
          <w:r w:rsidR="00F932A0" w:rsidRPr="006C08D7">
            <w:rPr>
              <w:color w:val="FF0000"/>
              <w:sz w:val="20"/>
            </w:rPr>
            <w:t>unexpected</w:t>
          </w:r>
          <w:r w:rsidR="00B537E0">
            <w:rPr>
              <w:color w:val="FF0000"/>
              <w:sz w:val="20"/>
            </w:rPr>
            <w:t xml:space="preserve"> or change in</w:t>
          </w:r>
          <w:r w:rsidR="00F932A0" w:rsidRPr="006C08D7">
            <w:rPr>
              <w:color w:val="FF0000"/>
              <w:sz w:val="20"/>
            </w:rPr>
            <w:t xml:space="preserve"> pain could be a</w:t>
          </w:r>
          <w:r w:rsidR="00F61814" w:rsidRPr="006C08D7">
            <w:rPr>
              <w:color w:val="FF0000"/>
              <w:sz w:val="20"/>
            </w:rPr>
            <w:t xml:space="preserve"> sign of wound infection</w:t>
          </w:r>
          <w:r w:rsidR="006E5D52">
            <w:rPr>
              <w:color w:val="FF0000"/>
              <w:sz w:val="20"/>
            </w:rPr>
            <w:t xml:space="preserve"> or ischemia</w:t>
          </w:r>
        </w:p>
        <w:bookmarkStart w:id="0" w:name="_GoBack" w:displacedByCustomXml="next"/>
        <w:bookmarkEnd w:id="0" w:displacedByCustomXml="next"/>
      </w:sdtContent>
    </w:sdt>
    <w:p w:rsidR="00FD113B" w:rsidRDefault="00F61814" w:rsidP="000E613F">
      <w:pPr>
        <w:pStyle w:val="Heading2"/>
      </w:pPr>
      <w:r>
        <w:t>Pain Assessment</w:t>
      </w:r>
    </w:p>
    <w:p w:rsidR="003442DC" w:rsidRPr="003442DC" w:rsidRDefault="003442DC" w:rsidP="003442DC">
      <w:r>
        <w:t xml:space="preserve">What </w:t>
      </w:r>
      <w:r w:rsidR="00CD545B">
        <w:t>should we</w:t>
      </w:r>
      <w:r>
        <w:t xml:space="preserve"> </w:t>
      </w:r>
      <w:r w:rsidR="00622E61">
        <w:t>be asking about the pain</w:t>
      </w:r>
      <w:r>
        <w:t>?</w:t>
      </w:r>
    </w:p>
    <w:tbl>
      <w:tblPr>
        <w:tblStyle w:val="ProjectScopeTab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0E613F" w:rsidTr="00C8778A">
        <w:trPr>
          <w:cnfStyle w:val="100000000000" w:firstRow="1" w:lastRow="0" w:firstColumn="0" w:lastColumn="0" w:oddVBand="0" w:evenVBand="0" w:oddHBand="0" w:evenHBand="0" w:firstRowFirstColumn="0" w:firstRowLastColumn="0" w:lastRowFirstColumn="0" w:lastRowLastColumn="0"/>
        </w:trPr>
        <w:tc>
          <w:tcPr>
            <w:tcW w:w="3116" w:type="dxa"/>
            <w:shd w:val="clear" w:color="auto" w:fill="FFFFFF" w:themeFill="background1"/>
            <w:vAlign w:val="center"/>
          </w:tcPr>
          <w:p w:rsidR="000E613F" w:rsidRPr="003A0BCF" w:rsidRDefault="000E613F" w:rsidP="003A0BCF">
            <w:pPr>
              <w:pStyle w:val="ListParagraph"/>
              <w:numPr>
                <w:ilvl w:val="0"/>
                <w:numId w:val="18"/>
              </w:numPr>
            </w:pPr>
            <w:r w:rsidRPr="003A0BCF">
              <w:t>Cause</w:t>
            </w:r>
          </w:p>
        </w:tc>
        <w:tc>
          <w:tcPr>
            <w:tcW w:w="3117" w:type="dxa"/>
            <w:shd w:val="clear" w:color="auto" w:fill="FFFFFF" w:themeFill="background1"/>
            <w:vAlign w:val="center"/>
          </w:tcPr>
          <w:p w:rsidR="003A0BCF" w:rsidRDefault="003A0BCF" w:rsidP="003A0BCF">
            <w:pPr>
              <w:pStyle w:val="ListParagraph"/>
            </w:pPr>
          </w:p>
          <w:p w:rsidR="000E613F" w:rsidRPr="000E613F" w:rsidRDefault="000E613F" w:rsidP="000E613F">
            <w:pPr>
              <w:pStyle w:val="ListParagraph"/>
              <w:numPr>
                <w:ilvl w:val="0"/>
                <w:numId w:val="14"/>
              </w:numPr>
            </w:pPr>
            <w:r>
              <w:t>Location</w:t>
            </w:r>
            <w:r w:rsidR="003A0BCF">
              <w:t xml:space="preserve"> – </w:t>
            </w:r>
            <w:r w:rsidR="003A0BCF">
              <w:rPr>
                <w:b w:val="0"/>
                <w:color w:val="FF0000"/>
              </w:rPr>
              <w:t>pain over pressure points indicates first sign of damage</w:t>
            </w:r>
          </w:p>
        </w:tc>
        <w:tc>
          <w:tcPr>
            <w:tcW w:w="3117" w:type="dxa"/>
            <w:shd w:val="clear" w:color="auto" w:fill="FFFFFF" w:themeFill="background1"/>
            <w:vAlign w:val="center"/>
          </w:tcPr>
          <w:p w:rsidR="000E613F" w:rsidRPr="000E613F" w:rsidRDefault="000E613F" w:rsidP="000E613F">
            <w:pPr>
              <w:pStyle w:val="ListParagraph"/>
              <w:numPr>
                <w:ilvl w:val="0"/>
                <w:numId w:val="14"/>
              </w:numPr>
            </w:pPr>
            <w:r>
              <w:t>Descriptors</w:t>
            </w:r>
          </w:p>
        </w:tc>
      </w:tr>
      <w:tr w:rsidR="000E613F" w:rsidTr="00C8778A">
        <w:tc>
          <w:tcPr>
            <w:tcW w:w="3116" w:type="dxa"/>
            <w:shd w:val="clear" w:color="auto" w:fill="FFFFFF" w:themeFill="background1"/>
            <w:vAlign w:val="center"/>
          </w:tcPr>
          <w:p w:rsidR="000E613F" w:rsidRDefault="000E613F" w:rsidP="000E613F">
            <w:pPr>
              <w:pStyle w:val="ListParagraph"/>
              <w:numPr>
                <w:ilvl w:val="0"/>
                <w:numId w:val="14"/>
              </w:numPr>
            </w:pPr>
            <w:r>
              <w:rPr>
                <w:b/>
              </w:rPr>
              <w:t>Pattern – onset, duration and frequency</w:t>
            </w:r>
          </w:p>
        </w:tc>
        <w:tc>
          <w:tcPr>
            <w:tcW w:w="3117" w:type="dxa"/>
            <w:shd w:val="clear" w:color="auto" w:fill="FFFFFF" w:themeFill="background1"/>
            <w:vAlign w:val="center"/>
          </w:tcPr>
          <w:p w:rsidR="000E613F" w:rsidRPr="000E613F" w:rsidRDefault="00C8778A" w:rsidP="000E613F">
            <w:pPr>
              <w:pStyle w:val="ListParagraph"/>
              <w:numPr>
                <w:ilvl w:val="0"/>
                <w:numId w:val="14"/>
              </w:numPr>
              <w:rPr>
                <w:b/>
              </w:rPr>
            </w:pPr>
            <w:r>
              <w:rPr>
                <w:b/>
              </w:rPr>
              <w:t>Intensity</w:t>
            </w:r>
          </w:p>
        </w:tc>
        <w:tc>
          <w:tcPr>
            <w:tcW w:w="3117" w:type="dxa"/>
            <w:shd w:val="clear" w:color="auto" w:fill="FFFFFF" w:themeFill="background1"/>
            <w:vAlign w:val="center"/>
          </w:tcPr>
          <w:p w:rsidR="000E613F" w:rsidRPr="00C8778A" w:rsidRDefault="00C8778A" w:rsidP="000E613F">
            <w:pPr>
              <w:pStyle w:val="ListParagraph"/>
              <w:numPr>
                <w:ilvl w:val="0"/>
                <w:numId w:val="14"/>
              </w:numPr>
              <w:rPr>
                <w:b/>
              </w:rPr>
            </w:pPr>
            <w:r w:rsidRPr="00C8778A">
              <w:rPr>
                <w:b/>
              </w:rPr>
              <w:t>Aggravating and relieving factors</w:t>
            </w:r>
          </w:p>
        </w:tc>
      </w:tr>
    </w:tbl>
    <w:p w:rsidR="003A0BCF" w:rsidRPr="007F30A5" w:rsidRDefault="003A0BCF" w:rsidP="003A0BCF">
      <w:pPr>
        <w:pStyle w:val="Heading2"/>
        <w:numPr>
          <w:ilvl w:val="0"/>
          <w:numId w:val="14"/>
        </w:numPr>
        <w:rPr>
          <w:color w:val="404040" w:themeColor="text1" w:themeTint="BF"/>
          <w:sz w:val="18"/>
          <w:szCs w:val="18"/>
        </w:rPr>
      </w:pPr>
      <w:r w:rsidRPr="007F30A5">
        <w:rPr>
          <w:color w:val="404040" w:themeColor="text1" w:themeTint="BF"/>
          <w:sz w:val="18"/>
          <w:szCs w:val="18"/>
        </w:rPr>
        <w:lastRenderedPageBreak/>
        <w:t xml:space="preserve">What is the impact </w:t>
      </w:r>
      <w:r w:rsidR="00B471ED">
        <w:rPr>
          <w:color w:val="404040" w:themeColor="text1" w:themeTint="BF"/>
          <w:sz w:val="18"/>
          <w:szCs w:val="18"/>
        </w:rPr>
        <w:t xml:space="preserve">of the pain </w:t>
      </w:r>
      <w:r w:rsidRPr="007F30A5">
        <w:rPr>
          <w:color w:val="404040" w:themeColor="text1" w:themeTint="BF"/>
          <w:sz w:val="18"/>
          <w:szCs w:val="18"/>
        </w:rPr>
        <w:t>on the patient’s quality of life?</w:t>
      </w:r>
    </w:p>
    <w:p w:rsidR="003A0BCF" w:rsidRDefault="003A0BCF" w:rsidP="003A0BCF">
      <w:pPr>
        <w:rPr>
          <w:color w:val="FF0000"/>
        </w:rPr>
      </w:pPr>
    </w:p>
    <w:p w:rsidR="003F573B" w:rsidRPr="00046469" w:rsidRDefault="00C8778A" w:rsidP="000E613F">
      <w:r w:rsidRPr="00F932A0">
        <w:t>For patients who are unable to verbalise their pain, look for non-verbal cues such as grimacing, guarding the area and restricted movement</w:t>
      </w:r>
      <w:r w:rsidR="00FB34CE">
        <w:t>.</w:t>
      </w:r>
      <w:r w:rsidR="008803D3" w:rsidRPr="00F932A0">
        <w:t xml:space="preserve"> It may also be useful to gather informa</w:t>
      </w:r>
      <w:r w:rsidR="00FB34CE">
        <w:t>tion from the primary caregiver (Herr, 2005).</w:t>
      </w:r>
    </w:p>
    <w:p w:rsidR="00622E61" w:rsidRDefault="00622E61" w:rsidP="00622E61">
      <w:pPr>
        <w:rPr>
          <w:b/>
        </w:rPr>
      </w:pPr>
    </w:p>
    <w:p w:rsidR="00622E61" w:rsidRPr="00622E61" w:rsidRDefault="00046469" w:rsidP="00046469">
      <w:pPr>
        <w:jc w:val="center"/>
        <w:rPr>
          <w:b/>
        </w:rPr>
      </w:pPr>
      <w:r>
        <w:rPr>
          <w:b/>
          <w:noProof/>
          <w:lang w:val="en-GB" w:eastAsia="en-GB"/>
        </w:rPr>
        <w:drawing>
          <wp:inline distT="0" distB="0" distL="0" distR="0">
            <wp:extent cx="3876286" cy="9715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umeric Pain Scale.gif"/>
                    <pic:cNvPicPr/>
                  </pic:nvPicPr>
                  <pic:blipFill>
                    <a:blip r:embed="rId12">
                      <a:extLst>
                        <a:ext uri="{28A0092B-C50C-407E-A947-70E740481C1C}">
                          <a14:useLocalDpi xmlns:a14="http://schemas.microsoft.com/office/drawing/2010/main" val="0"/>
                        </a:ext>
                      </a:extLst>
                    </a:blip>
                    <a:stretch>
                      <a:fillRect/>
                    </a:stretch>
                  </pic:blipFill>
                  <pic:spPr>
                    <a:xfrm>
                      <a:off x="0" y="0"/>
                      <a:ext cx="3878271" cy="972048"/>
                    </a:xfrm>
                    <a:prstGeom prst="rect">
                      <a:avLst/>
                    </a:prstGeom>
                  </pic:spPr>
                </pic:pic>
              </a:graphicData>
            </a:graphic>
          </wp:inline>
        </w:drawing>
      </w:r>
    </w:p>
    <w:p w:rsidR="000C2B79" w:rsidRDefault="000C2B79" w:rsidP="000C2B79">
      <w:pPr>
        <w:pStyle w:val="NoSpacing"/>
      </w:pPr>
    </w:p>
    <w:p w:rsidR="000C2B79" w:rsidRDefault="000C2B79" w:rsidP="000C2B79">
      <w:pPr>
        <w:pStyle w:val="NoSpacing"/>
      </w:pPr>
      <w:r>
        <w:t>The type and intensity of wound pain experienced by patients is influenced by both physical and psychological factors</w:t>
      </w:r>
    </w:p>
    <w:p w:rsidR="000C2B79" w:rsidRDefault="000C2B79" w:rsidP="000C2B79">
      <w:pPr>
        <w:pStyle w:val="NoSpacing"/>
      </w:pPr>
    </w:p>
    <w:p w:rsidR="000C2B79" w:rsidRDefault="000C2B79" w:rsidP="000C2B79">
      <w:pPr>
        <w:pStyle w:val="NoSpacing"/>
        <w:numPr>
          <w:ilvl w:val="0"/>
          <w:numId w:val="9"/>
        </w:numPr>
      </w:pPr>
      <w:r>
        <w:rPr>
          <w:b/>
        </w:rPr>
        <w:t>Physical Factors</w:t>
      </w:r>
      <w:r>
        <w:t xml:space="preserve"> – cause, </w:t>
      </w:r>
      <w:r w:rsidR="004A6151">
        <w:t>site, and symptoms of the wound. W</w:t>
      </w:r>
      <w:r>
        <w:t>ound debri</w:t>
      </w:r>
      <w:r w:rsidR="004A6151">
        <w:t>dement, poor dressing technique, and</w:t>
      </w:r>
      <w:r>
        <w:t xml:space="preserve"> use of inappropriate dressings</w:t>
      </w:r>
      <w:r w:rsidR="004A6151">
        <w:t>.</w:t>
      </w:r>
    </w:p>
    <w:p w:rsidR="000C2B79" w:rsidRPr="00D120E1" w:rsidRDefault="000C2B79" w:rsidP="000C2B79">
      <w:pPr>
        <w:pStyle w:val="NoSpacing"/>
        <w:ind w:left="360"/>
      </w:pPr>
    </w:p>
    <w:p w:rsidR="000C2B79" w:rsidRDefault="000C2B79" w:rsidP="000C2B79">
      <w:pPr>
        <w:pStyle w:val="NoSpacing"/>
        <w:numPr>
          <w:ilvl w:val="0"/>
          <w:numId w:val="9"/>
        </w:numPr>
      </w:pPr>
      <w:r>
        <w:rPr>
          <w:b/>
        </w:rPr>
        <w:t>Psychological Factors</w:t>
      </w:r>
      <w:r>
        <w:t xml:space="preserve"> – anxiety, stress, fear, </w:t>
      </w:r>
      <w:r w:rsidR="004A6151">
        <w:t xml:space="preserve">and </w:t>
      </w:r>
      <w:r>
        <w:t>depression. These may cause sleep disturbance which</w:t>
      </w:r>
      <w:r w:rsidR="00F13E63">
        <w:t xml:space="preserve"> further reduces pain tolerance (</w:t>
      </w:r>
      <w:proofErr w:type="spellStart"/>
      <w:r w:rsidR="00F13E63">
        <w:t>Mudge</w:t>
      </w:r>
      <w:proofErr w:type="spellEnd"/>
      <w:r w:rsidR="00F13E63">
        <w:t xml:space="preserve"> et al, 2008; Soon &amp; Acton,2006).</w:t>
      </w:r>
    </w:p>
    <w:p w:rsidR="00F932A0" w:rsidRPr="00F932A0" w:rsidRDefault="00622E61" w:rsidP="00F932A0">
      <w:pPr>
        <w:pStyle w:val="Heading2"/>
      </w:pPr>
      <w:r>
        <w:t xml:space="preserve">Pain </w:t>
      </w:r>
      <w:r w:rsidR="003F573B">
        <w:t>M</w:t>
      </w:r>
      <w:r w:rsidR="00340F44">
        <w:t>anagement</w:t>
      </w:r>
    </w:p>
    <w:p w:rsidR="00BB056A" w:rsidRDefault="00BB056A" w:rsidP="003F573B">
      <w:r>
        <w:t>Methods for managing wound pain can be pharmacological and non-pharmacological</w:t>
      </w:r>
      <w:r w:rsidR="00046469">
        <w:t>.</w:t>
      </w:r>
    </w:p>
    <w:p w:rsidR="007E782E" w:rsidRDefault="00F932A0" w:rsidP="007E782E">
      <w:pPr>
        <w:pStyle w:val="ListParagraph"/>
        <w:numPr>
          <w:ilvl w:val="0"/>
          <w:numId w:val="17"/>
        </w:numPr>
      </w:pPr>
      <w:r w:rsidRPr="007E782E">
        <w:rPr>
          <w:b/>
        </w:rPr>
        <w:t>Non-pharma</w:t>
      </w:r>
      <w:r w:rsidR="008B26D6">
        <w:rPr>
          <w:b/>
        </w:rPr>
        <w:t>co</w:t>
      </w:r>
      <w:r w:rsidRPr="007E782E">
        <w:rPr>
          <w:b/>
        </w:rPr>
        <w:t>logical</w:t>
      </w:r>
      <w:r w:rsidR="007A393E">
        <w:t xml:space="preserve"> therapies</w:t>
      </w:r>
      <w:r w:rsidR="00FB34CE">
        <w:t xml:space="preserve"> are often not explored but can be </w:t>
      </w:r>
      <w:r w:rsidR="007D21F8">
        <w:t>very effective</w:t>
      </w:r>
      <w:r w:rsidR="00FB34CE">
        <w:t xml:space="preserve"> when used alongside pharmacological methods and in those patients who are reluctant to take or do not tolerate analgesia (Brown, 2014)</w:t>
      </w:r>
      <w:r w:rsidR="004E2C24">
        <w:t>.</w:t>
      </w:r>
    </w:p>
    <w:p w:rsidR="007E782E" w:rsidRDefault="007E782E" w:rsidP="007E782E">
      <w:pPr>
        <w:ind w:left="720"/>
      </w:pPr>
      <w:r w:rsidRPr="007E782E">
        <w:rPr>
          <w:u w:val="single"/>
        </w:rPr>
        <w:t>Reduce anxiety</w:t>
      </w:r>
      <w:r>
        <w:t xml:space="preserve"> – Talk to the patient about what pain they might expect prior to a dressing change and         explain what measures are in place to </w:t>
      </w:r>
      <w:r w:rsidR="005F2235">
        <w:t>minimis</w:t>
      </w:r>
      <w:r>
        <w:t xml:space="preserve">e this pain. Patients who experience more pain than they expected will be more anxious about future dressing changes </w:t>
      </w:r>
      <w:r w:rsidR="007C4053">
        <w:t>and this will have a negative impact</w:t>
      </w:r>
      <w:r w:rsidR="002505D0">
        <w:t xml:space="preserve"> on the pain they experience (Smith et al, 1997; </w:t>
      </w:r>
      <w:proofErr w:type="spellStart"/>
      <w:r w:rsidR="002505D0">
        <w:t>Vingoe</w:t>
      </w:r>
      <w:proofErr w:type="spellEnd"/>
      <w:r w:rsidR="002505D0">
        <w:t xml:space="preserve"> 1994).</w:t>
      </w:r>
    </w:p>
    <w:p w:rsidR="007E782E" w:rsidRDefault="007E782E" w:rsidP="007E782E">
      <w:pPr>
        <w:ind w:left="720"/>
      </w:pPr>
      <w:r>
        <w:rPr>
          <w:u w:val="single"/>
        </w:rPr>
        <w:t>Distraction therapy</w:t>
      </w:r>
      <w:r>
        <w:t xml:space="preserve"> </w:t>
      </w:r>
      <w:r w:rsidR="004E2C24">
        <w:t>–</w:t>
      </w:r>
      <w:r>
        <w:t xml:space="preserve"> </w:t>
      </w:r>
      <w:r w:rsidR="00025A09">
        <w:t xml:space="preserve">Watching television, listening to </w:t>
      </w:r>
      <w:r w:rsidR="001375D9">
        <w:t>music, chatting or other activities the patient enjoys. This h</w:t>
      </w:r>
      <w:r w:rsidR="00025A09">
        <w:t xml:space="preserve">elps </w:t>
      </w:r>
      <w:r w:rsidR="001375D9">
        <w:t>them to</w:t>
      </w:r>
      <w:r w:rsidR="00025A09">
        <w:t xml:space="preserve"> switch their focus to some</w:t>
      </w:r>
      <w:r w:rsidR="002505D0">
        <w:t xml:space="preserve">thing other than the pain and has shown to help reduce pain and provide emotional comfort (Williams &amp; </w:t>
      </w:r>
      <w:proofErr w:type="spellStart"/>
      <w:r w:rsidR="002505D0">
        <w:t>Irurita</w:t>
      </w:r>
      <w:proofErr w:type="spellEnd"/>
      <w:r w:rsidR="002505D0">
        <w:t>, 2004).</w:t>
      </w:r>
    </w:p>
    <w:p w:rsidR="00046469" w:rsidRDefault="001375D9" w:rsidP="003A0BCF">
      <w:pPr>
        <w:ind w:left="720"/>
      </w:pPr>
      <w:r>
        <w:rPr>
          <w:u w:val="single"/>
        </w:rPr>
        <w:t>Aromatherapy</w:t>
      </w:r>
      <w:r>
        <w:t xml:space="preserve"> – Essential oils can produce a sense of relaxation or may stimulate positive memories and feelings. They have been found to improve sleep pattern and wellbeing (Howarth 2002; Walsh &amp; Radcliffe, 2002)</w:t>
      </w:r>
    </w:p>
    <w:p w:rsidR="00B449ED" w:rsidRDefault="00BB056A" w:rsidP="00B449ED">
      <w:pPr>
        <w:pStyle w:val="ListParagraph"/>
        <w:numPr>
          <w:ilvl w:val="0"/>
          <w:numId w:val="17"/>
        </w:numPr>
      </w:pPr>
      <w:r w:rsidRPr="00931C7C">
        <w:rPr>
          <w:b/>
        </w:rPr>
        <w:t>Pharmacological</w:t>
      </w:r>
      <w:r w:rsidR="005F2235">
        <w:t xml:space="preserve"> - The appropriate use of analgesia both alone and in combination is key to minimising wound pain (Price et al, 2008).</w:t>
      </w:r>
      <w:r w:rsidR="00B449ED">
        <w:t xml:space="preserve"> The WHO anal</w:t>
      </w:r>
      <w:r w:rsidR="00A65021">
        <w:t xml:space="preserve">gesic ladder is a step approach with upward titration of analgesics starting with non-opioids and progressing through mild and strong opioids </w:t>
      </w:r>
      <w:r w:rsidR="00497B35">
        <w:t>(BMJ, 2016).</w:t>
      </w:r>
    </w:p>
    <w:p w:rsidR="00B449ED" w:rsidRDefault="00B449ED" w:rsidP="00B449ED">
      <w:pPr>
        <w:pStyle w:val="ListParagraph"/>
      </w:pPr>
    </w:p>
    <w:p w:rsidR="00BB056A" w:rsidRDefault="00DC0242" w:rsidP="003A0BCF">
      <w:pPr>
        <w:jc w:val="center"/>
      </w:pPr>
      <w:r>
        <w:rPr>
          <w:noProof/>
          <w:lang w:val="en-GB" w:eastAsia="en-GB"/>
        </w:rPr>
        <w:lastRenderedPageBreak/>
        <w:drawing>
          <wp:inline distT="0" distB="0" distL="0" distR="0" wp14:anchorId="6AEAAD2F" wp14:editId="4802D48B">
            <wp:extent cx="3421637" cy="3000013"/>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HO_analgesic_ladder.jpg"/>
                    <pic:cNvPicPr/>
                  </pic:nvPicPr>
                  <pic:blipFill>
                    <a:blip r:embed="rId13">
                      <a:extLst>
                        <a:ext uri="{28A0092B-C50C-407E-A947-70E740481C1C}">
                          <a14:useLocalDpi xmlns:a14="http://schemas.microsoft.com/office/drawing/2010/main" val="0"/>
                        </a:ext>
                      </a:extLst>
                    </a:blip>
                    <a:stretch>
                      <a:fillRect/>
                    </a:stretch>
                  </pic:blipFill>
                  <pic:spPr>
                    <a:xfrm>
                      <a:off x="0" y="0"/>
                      <a:ext cx="3430990" cy="3008214"/>
                    </a:xfrm>
                    <a:prstGeom prst="rect">
                      <a:avLst/>
                    </a:prstGeom>
                  </pic:spPr>
                </pic:pic>
              </a:graphicData>
            </a:graphic>
          </wp:inline>
        </w:drawing>
      </w:r>
    </w:p>
    <w:p w:rsidR="00681861" w:rsidRDefault="00681861" w:rsidP="00681861">
      <w:pPr>
        <w:pStyle w:val="ListParagraph"/>
      </w:pPr>
    </w:p>
    <w:p w:rsidR="00681861" w:rsidRPr="00B449ED" w:rsidRDefault="00681861" w:rsidP="00681861">
      <w:pPr>
        <w:pStyle w:val="ListParagraph"/>
      </w:pPr>
      <w:r w:rsidRPr="00B449ED">
        <w:t>Neuropathic pain may respond to opioid analgesics but generally it is managed with a tricyclic antidepressant or certain antiepileptic drugs. Amitriptyline, pregablin and gabapentin are most commonly used</w:t>
      </w:r>
      <w:r w:rsidR="005A2A4B">
        <w:t xml:space="preserve"> (NICE, </w:t>
      </w:r>
      <w:r w:rsidR="006B6AEC">
        <w:t>2013</w:t>
      </w:r>
      <w:r w:rsidR="005A2A4B">
        <w:t>)</w:t>
      </w:r>
    </w:p>
    <w:p w:rsidR="0078324A" w:rsidRDefault="0078324A" w:rsidP="0078324A">
      <w:pPr>
        <w:pStyle w:val="NoSpacing"/>
        <w:ind w:left="720"/>
      </w:pPr>
    </w:p>
    <w:p w:rsidR="00D4573C" w:rsidRDefault="00CC116B" w:rsidP="000E47E8">
      <w:pPr>
        <w:pStyle w:val="NoSpacing"/>
      </w:pPr>
      <w:r>
        <w:t>In order to reduce wound pain</w:t>
      </w:r>
      <w:r w:rsidR="00BF1A2B">
        <w:t>,</w:t>
      </w:r>
      <w:r>
        <w:t xml:space="preserve"> i</w:t>
      </w:r>
      <w:r w:rsidR="00D4573C">
        <w:t xml:space="preserve">t’s important to ensure </w:t>
      </w:r>
      <w:r w:rsidR="00BF1A2B">
        <w:t xml:space="preserve">the wound </w:t>
      </w:r>
      <w:r w:rsidR="00D4573C">
        <w:t>is being dr</w:t>
      </w:r>
      <w:r w:rsidR="00BF1A2B">
        <w:t>essed and manag</w:t>
      </w:r>
      <w:r w:rsidR="00E20952">
        <w:t>ed appropriately</w:t>
      </w:r>
      <w:r w:rsidR="00BF1A2B">
        <w:t>:</w:t>
      </w:r>
    </w:p>
    <w:p w:rsidR="00CC116B" w:rsidRDefault="00CC116B" w:rsidP="000E47E8">
      <w:pPr>
        <w:pStyle w:val="NoSpacing"/>
      </w:pPr>
    </w:p>
    <w:p w:rsidR="00D4573C" w:rsidRDefault="00D4573C" w:rsidP="00D4573C">
      <w:pPr>
        <w:pStyle w:val="NoSpacing"/>
        <w:numPr>
          <w:ilvl w:val="0"/>
          <w:numId w:val="19"/>
        </w:numPr>
      </w:pPr>
      <w:r w:rsidRPr="00D4573C">
        <w:rPr>
          <w:b/>
        </w:rPr>
        <w:t>Infection</w:t>
      </w:r>
      <w:r>
        <w:t xml:space="preserve"> –</w:t>
      </w:r>
      <w:r w:rsidR="003C65A5">
        <w:t xml:space="preserve"> T</w:t>
      </w:r>
      <w:r w:rsidR="00BF1A2B">
        <w:t xml:space="preserve">reat </w:t>
      </w:r>
      <w:r w:rsidR="006071AE">
        <w:t>promptly</w:t>
      </w:r>
      <w:r>
        <w:t xml:space="preserve"> using AMBL tool for guidance</w:t>
      </w:r>
    </w:p>
    <w:p w:rsidR="0011484C" w:rsidRDefault="0011484C" w:rsidP="0011484C">
      <w:pPr>
        <w:pStyle w:val="NoSpacing"/>
        <w:ind w:left="360"/>
      </w:pPr>
    </w:p>
    <w:p w:rsidR="00D4573C" w:rsidRDefault="00D4573C" w:rsidP="00D4573C">
      <w:pPr>
        <w:pStyle w:val="NoSpacing"/>
        <w:numPr>
          <w:ilvl w:val="0"/>
          <w:numId w:val="19"/>
        </w:numPr>
      </w:pPr>
      <w:r w:rsidRPr="00D4573C">
        <w:rPr>
          <w:b/>
        </w:rPr>
        <w:t>Dressing trauma</w:t>
      </w:r>
      <w:r w:rsidR="003C65A5">
        <w:t xml:space="preserve"> – D</w:t>
      </w:r>
      <w:r>
        <w:t>ressings can cause trauma to the wound bed if they adhere or dry out.</w:t>
      </w:r>
      <w:r w:rsidR="00E31B60">
        <w:t xml:space="preserve"> Ensure a suitably m</w:t>
      </w:r>
      <w:r w:rsidR="00C348A7">
        <w:t xml:space="preserve">oist, non-adherent product is used as </w:t>
      </w:r>
      <w:r w:rsidR="007A424F">
        <w:t xml:space="preserve">the </w:t>
      </w:r>
      <w:r w:rsidR="00C5269D">
        <w:t>primary dre</w:t>
      </w:r>
      <w:r w:rsidR="003A7F92">
        <w:t>ssing</w:t>
      </w:r>
      <w:r w:rsidR="00C5269D">
        <w:t xml:space="preserve"> (Upton &amp; </w:t>
      </w:r>
      <w:proofErr w:type="spellStart"/>
      <w:r w:rsidR="00C5269D">
        <w:t>Solowiej</w:t>
      </w:r>
      <w:proofErr w:type="spellEnd"/>
      <w:r w:rsidR="00C5269D">
        <w:t>, 2012)</w:t>
      </w:r>
      <w:r w:rsidR="004A6151">
        <w:t>.</w:t>
      </w:r>
    </w:p>
    <w:p w:rsidR="0011484C" w:rsidRDefault="0011484C" w:rsidP="0011484C">
      <w:pPr>
        <w:pStyle w:val="NoSpacing"/>
      </w:pPr>
    </w:p>
    <w:p w:rsidR="00D4573C" w:rsidRDefault="00D4573C" w:rsidP="00D4573C">
      <w:pPr>
        <w:pStyle w:val="NoSpacing"/>
        <w:numPr>
          <w:ilvl w:val="0"/>
          <w:numId w:val="19"/>
        </w:numPr>
      </w:pPr>
      <w:r>
        <w:rPr>
          <w:b/>
        </w:rPr>
        <w:t xml:space="preserve">Exudate </w:t>
      </w:r>
      <w:r w:rsidR="003C65A5">
        <w:t>– C</w:t>
      </w:r>
      <w:r>
        <w:t xml:space="preserve">hronic wound exudate contains </w:t>
      </w:r>
      <w:r w:rsidR="007D5FF6">
        <w:t>elevated levels of inflammatory mediators and proteases which</w:t>
      </w:r>
      <w:r w:rsidR="00512E4B">
        <w:t xml:space="preserve"> cause pain </w:t>
      </w:r>
      <w:r w:rsidR="007D5FF6">
        <w:t>when in contact with the</w:t>
      </w:r>
      <w:r w:rsidR="00512E4B">
        <w:t xml:space="preserve"> skin</w:t>
      </w:r>
      <w:r w:rsidR="00C348A7">
        <w:t xml:space="preserve">. Exudate should be managed with appropriate absorbent products and a </w:t>
      </w:r>
      <w:r w:rsidR="00C5640F">
        <w:t>skin barrier product may also be required</w:t>
      </w:r>
      <w:r w:rsidR="00C348A7">
        <w:t xml:space="preserve">. </w:t>
      </w:r>
    </w:p>
    <w:p w:rsidR="0011484C" w:rsidRDefault="0011484C" w:rsidP="0011484C">
      <w:pPr>
        <w:pStyle w:val="NoSpacing"/>
      </w:pPr>
    </w:p>
    <w:p w:rsidR="003C65A5" w:rsidRDefault="00E20952" w:rsidP="00C26171">
      <w:pPr>
        <w:pStyle w:val="NoSpacing"/>
        <w:numPr>
          <w:ilvl w:val="0"/>
          <w:numId w:val="19"/>
        </w:numPr>
      </w:pPr>
      <w:r w:rsidRPr="003C65A5">
        <w:rPr>
          <w:b/>
        </w:rPr>
        <w:t>C</w:t>
      </w:r>
      <w:r w:rsidR="007D5FF6" w:rsidRPr="003C65A5">
        <w:rPr>
          <w:b/>
        </w:rPr>
        <w:t xml:space="preserve">leansing </w:t>
      </w:r>
      <w:r w:rsidR="0074037F">
        <w:t>–</w:t>
      </w:r>
      <w:r w:rsidR="007D5FF6">
        <w:t xml:space="preserve"> </w:t>
      </w:r>
      <w:r w:rsidR="003C65A5">
        <w:t>R</w:t>
      </w:r>
      <w:r w:rsidR="0074037F">
        <w:t xml:space="preserve">eported as one of the most painful experiences associated </w:t>
      </w:r>
      <w:r w:rsidR="00C5640F">
        <w:t xml:space="preserve">with wounds (Price et al, 2008). </w:t>
      </w:r>
      <w:r w:rsidR="003C65A5">
        <w:t>Wounds s</w:t>
      </w:r>
      <w:r w:rsidR="007A424F">
        <w:t>hould only be cleansed to remove debris,</w:t>
      </w:r>
      <w:r w:rsidR="00C5640F">
        <w:t xml:space="preserve"> particularly to</w:t>
      </w:r>
      <w:r w:rsidR="007A424F">
        <w:t xml:space="preserve"> the peri-</w:t>
      </w:r>
      <w:r w:rsidR="00C5640F">
        <w:t xml:space="preserve">wound. Ensure the water is warm </w:t>
      </w:r>
      <w:r w:rsidR="004A6989">
        <w:t xml:space="preserve">(body temperature) </w:t>
      </w:r>
      <w:r w:rsidR="003C65A5">
        <w:t>as cold water has been reported to increase pain and warm water will</w:t>
      </w:r>
      <w:r w:rsidR="007A424F">
        <w:t xml:space="preserve"> </w:t>
      </w:r>
      <w:r w:rsidR="003C65A5">
        <w:t xml:space="preserve">help </w:t>
      </w:r>
      <w:r w:rsidR="007A424F">
        <w:t>maint</w:t>
      </w:r>
      <w:r w:rsidR="00A813DD">
        <w:t>ain blood flow to wound bed (</w:t>
      </w:r>
      <w:proofErr w:type="spellStart"/>
      <w:r w:rsidR="00A813DD">
        <w:t>MacFie</w:t>
      </w:r>
      <w:proofErr w:type="spellEnd"/>
      <w:r w:rsidR="00A813DD">
        <w:t xml:space="preserve"> et al, 2005).</w:t>
      </w:r>
    </w:p>
    <w:p w:rsidR="0011484C" w:rsidRDefault="0011484C" w:rsidP="0011484C">
      <w:pPr>
        <w:pStyle w:val="NoSpacing"/>
      </w:pPr>
    </w:p>
    <w:p w:rsidR="00857053" w:rsidRDefault="00857053" w:rsidP="00D4573C">
      <w:pPr>
        <w:pStyle w:val="NoSpacing"/>
        <w:numPr>
          <w:ilvl w:val="0"/>
          <w:numId w:val="19"/>
        </w:numPr>
      </w:pPr>
      <w:r>
        <w:rPr>
          <w:b/>
        </w:rPr>
        <w:t xml:space="preserve">Compression therapy </w:t>
      </w:r>
      <w:r w:rsidR="0011484C">
        <w:t>–</w:t>
      </w:r>
      <w:r w:rsidR="002C21D7">
        <w:t xml:space="preserve"> Can cause damage such a</w:t>
      </w:r>
      <w:r w:rsidR="004A6151">
        <w:t xml:space="preserve">s ridges, pockets of oedema and open </w:t>
      </w:r>
      <w:r w:rsidR="002C21D7">
        <w:t xml:space="preserve">wounds when not applied correctly. Ensure staff applying compression are competent, </w:t>
      </w:r>
      <w:r w:rsidR="004A6151">
        <w:t xml:space="preserve">wool padding is used to protect the limb, and assessment is being made at each dressing change for </w:t>
      </w:r>
      <w:r w:rsidR="002C21D7">
        <w:t>signs of damage</w:t>
      </w:r>
      <w:r w:rsidR="004A6151">
        <w:t>.</w:t>
      </w:r>
    </w:p>
    <w:p w:rsidR="0011484C" w:rsidRDefault="0011484C" w:rsidP="0011484C">
      <w:pPr>
        <w:pStyle w:val="NoSpacing"/>
      </w:pPr>
    </w:p>
    <w:p w:rsidR="00857053" w:rsidRPr="003C65A5" w:rsidRDefault="00307F87" w:rsidP="00D4573C">
      <w:pPr>
        <w:pStyle w:val="NoSpacing"/>
        <w:numPr>
          <w:ilvl w:val="0"/>
          <w:numId w:val="19"/>
        </w:numPr>
      </w:pPr>
      <w:r>
        <w:rPr>
          <w:b/>
        </w:rPr>
        <w:t>Isch</w:t>
      </w:r>
      <w:r w:rsidR="00870323">
        <w:rPr>
          <w:b/>
        </w:rPr>
        <w:t>a</w:t>
      </w:r>
      <w:r>
        <w:rPr>
          <w:b/>
        </w:rPr>
        <w:t xml:space="preserve">emia </w:t>
      </w:r>
      <w:r w:rsidR="003C65A5">
        <w:rPr>
          <w:b/>
        </w:rPr>
        <w:t>–</w:t>
      </w:r>
      <w:r>
        <w:rPr>
          <w:b/>
        </w:rPr>
        <w:t xml:space="preserve"> </w:t>
      </w:r>
      <w:r w:rsidR="003C65A5">
        <w:t>A</w:t>
      </w:r>
      <w:r w:rsidR="003C65A5" w:rsidRPr="003C65A5">
        <w:t xml:space="preserve">rterial insufficiency will result in increased pain. Patients </w:t>
      </w:r>
      <w:r w:rsidR="00C819E9">
        <w:t xml:space="preserve">with clinical signs of ischemia </w:t>
      </w:r>
      <w:r w:rsidR="003C65A5" w:rsidRPr="003C65A5">
        <w:t>should be referred urgently to vascular</w:t>
      </w:r>
      <w:r w:rsidR="003C65A5">
        <w:t>.</w:t>
      </w:r>
    </w:p>
    <w:p w:rsidR="00D4573C" w:rsidRPr="003C65A5" w:rsidRDefault="00D4573C" w:rsidP="000E47E8">
      <w:pPr>
        <w:pStyle w:val="NoSpacing"/>
      </w:pPr>
    </w:p>
    <w:p w:rsidR="00EE25E1" w:rsidRDefault="00EE25E1"/>
    <w:p w:rsidR="00EE25E1" w:rsidRPr="00F932A0" w:rsidRDefault="00EE25E1" w:rsidP="00EE25E1">
      <w:pPr>
        <w:pStyle w:val="Heading2"/>
        <w:numPr>
          <w:ilvl w:val="0"/>
          <w:numId w:val="0"/>
        </w:numPr>
        <w:ind w:left="360" w:hanging="360"/>
        <w:jc w:val="center"/>
      </w:pPr>
      <w:r>
        <w:t xml:space="preserve">If you are still unable to manage </w:t>
      </w:r>
      <w:r w:rsidR="00E14C4A">
        <w:t xml:space="preserve">the </w:t>
      </w:r>
      <w:r>
        <w:t>pain, then please refer to the GP for support.</w:t>
      </w:r>
    </w:p>
    <w:p w:rsidR="00EE25E1" w:rsidRDefault="00EE25E1"/>
    <w:sectPr w:rsidR="00EE25E1" w:rsidSect="008065DF">
      <w:headerReference w:type="default" r:id="rId14"/>
      <w:footerReference w:type="default" r:id="rId15"/>
      <w:pgSz w:w="12240" w:h="15840" w:code="1"/>
      <w:pgMar w:top="0" w:right="1134" w:bottom="1134" w:left="1134" w:header="0" w:footer="86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0242" w:rsidRDefault="00DC0242">
      <w:pPr>
        <w:spacing w:after="0" w:line="240" w:lineRule="auto"/>
      </w:pPr>
      <w:r>
        <w:separator/>
      </w:r>
    </w:p>
  </w:endnote>
  <w:endnote w:type="continuationSeparator" w:id="0">
    <w:p w:rsidR="00DC0242" w:rsidRDefault="00DC0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2D4A" w:rsidRDefault="00B92D4A" w:rsidP="00B92D4A">
    <w:pPr>
      <w:pStyle w:val="Footer"/>
      <w:jc w:val="center"/>
    </w:pPr>
    <w:r>
      <w:t>TissueViability/Wound pain assessment and management/V1/Nov2019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0242" w:rsidRDefault="00DC0242">
      <w:pPr>
        <w:spacing w:after="0" w:line="240" w:lineRule="auto"/>
      </w:pPr>
      <w:r>
        <w:separator/>
      </w:r>
    </w:p>
  </w:footnote>
  <w:footnote w:type="continuationSeparator" w:id="0">
    <w:p w:rsidR="00DC0242" w:rsidRDefault="00DC02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0242" w:rsidRDefault="00594EC0" w:rsidP="00594EC0">
    <w:pPr>
      <w:pStyle w:val="Header"/>
      <w:jc w:val="right"/>
    </w:pPr>
    <w:r>
      <w:rPr>
        <w:noProof/>
      </w:rPr>
      <w:drawing>
        <wp:inline distT="0" distB="0" distL="0" distR="0" wp14:anchorId="1AC11C66" wp14:editId="7D6B321E">
          <wp:extent cx="1591310" cy="923925"/>
          <wp:effectExtent l="0" t="0" r="8890" b="9525"/>
          <wp:docPr id="3" name="Picture 3" descr="C:\Users\Tessa.Slater\AppData\Local\Microsoft\Windows\Temporary Internet Files\Content.Outlook\Y8PRVXQR\A4 si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ssa.Slater\AppData\Local\Microsoft\Windows\Temporary Internet Files\Content.Outlook\Y8PRVXQR\A4 siz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17712" cy="939254"/>
                  </a:xfrm>
                  <a:prstGeom prst="rect">
                    <a:avLst/>
                  </a:prstGeom>
                  <a:noFill/>
                  <a:ln>
                    <a:noFill/>
                  </a:ln>
                </pic:spPr>
              </pic:pic>
            </a:graphicData>
          </a:graphic>
        </wp:inline>
      </w:drawing>
    </w:r>
  </w:p>
  <w:p w:rsidR="00DC0242" w:rsidRDefault="00DC02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0pt;height:600pt" o:bullet="t">
        <v:imagedata r:id="rId1" o:title="450px-Exclamation_mark[1]"/>
      </v:shape>
    </w:pict>
  </w:numPicBullet>
  <w:abstractNum w:abstractNumId="0"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4B754C"/>
    <w:multiLevelType w:val="hybridMultilevel"/>
    <w:tmpl w:val="921CA3DE"/>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5BD582D"/>
    <w:multiLevelType w:val="hybridMultilevel"/>
    <w:tmpl w:val="AA9CD6BC"/>
    <w:lvl w:ilvl="0" w:tplc="08090003">
      <w:start w:val="1"/>
      <w:numFmt w:val="bullet"/>
      <w:pStyle w:val="Heading2"/>
      <w:lvlText w:val="o"/>
      <w:lvlJc w:val="left"/>
      <w:pPr>
        <w:tabs>
          <w:tab w:val="num" w:pos="360"/>
        </w:tabs>
        <w:ind w:left="36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D05743"/>
    <w:multiLevelType w:val="hybridMultilevel"/>
    <w:tmpl w:val="5DBC745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13547D"/>
    <w:multiLevelType w:val="hybridMultilevel"/>
    <w:tmpl w:val="D7EC2F46"/>
    <w:lvl w:ilvl="0" w:tplc="190E9590">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4D6F20"/>
    <w:multiLevelType w:val="hybridMultilevel"/>
    <w:tmpl w:val="C1D8E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240B43"/>
    <w:multiLevelType w:val="hybridMultilevel"/>
    <w:tmpl w:val="F74842A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AC6B2D"/>
    <w:multiLevelType w:val="hybridMultilevel"/>
    <w:tmpl w:val="BF967E9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7B65FB"/>
    <w:multiLevelType w:val="hybridMultilevel"/>
    <w:tmpl w:val="4D226CE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E47BB1"/>
    <w:multiLevelType w:val="hybridMultilevel"/>
    <w:tmpl w:val="D0086B0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3A52CC"/>
    <w:multiLevelType w:val="hybridMultilevel"/>
    <w:tmpl w:val="4C7A6D0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697BB5"/>
    <w:multiLevelType w:val="hybridMultilevel"/>
    <w:tmpl w:val="21AABD8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9E7171"/>
    <w:multiLevelType w:val="hybridMultilevel"/>
    <w:tmpl w:val="BDDE6DA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264104"/>
    <w:multiLevelType w:val="hybridMultilevel"/>
    <w:tmpl w:val="6B32FD6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7E5D71"/>
    <w:multiLevelType w:val="hybridMultilevel"/>
    <w:tmpl w:val="BFBE56B6"/>
    <w:lvl w:ilvl="0" w:tplc="DF622CE6">
      <w:start w:val="1"/>
      <w:numFmt w:val="bullet"/>
      <w:pStyle w:val="ListBullet"/>
      <w:lvlText w:val=""/>
      <w:lvlJc w:val="left"/>
      <w:pPr>
        <w:tabs>
          <w:tab w:val="num" w:pos="360"/>
        </w:tabs>
        <w:ind w:left="432" w:hanging="288"/>
      </w:pPr>
      <w:rPr>
        <w:rFonts w:ascii="Symbol" w:hAnsi="Symbol" w:hint="default"/>
        <w:color w:val="5B9BD5"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E30D7E"/>
    <w:multiLevelType w:val="hybridMultilevel"/>
    <w:tmpl w:val="A53800E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FB363B5"/>
    <w:multiLevelType w:val="hybridMultilevel"/>
    <w:tmpl w:val="8916B7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F496953"/>
    <w:multiLevelType w:val="hybridMultilevel"/>
    <w:tmpl w:val="E2266B4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14"/>
    <w:lvlOverride w:ilvl="0">
      <w:startOverride w:val="1"/>
    </w:lvlOverride>
  </w:num>
  <w:num w:numId="4">
    <w:abstractNumId w:val="2"/>
  </w:num>
  <w:num w:numId="5">
    <w:abstractNumId w:val="13"/>
  </w:num>
  <w:num w:numId="6">
    <w:abstractNumId w:val="5"/>
  </w:num>
  <w:num w:numId="7">
    <w:abstractNumId w:val="7"/>
  </w:num>
  <w:num w:numId="8">
    <w:abstractNumId w:val="16"/>
  </w:num>
  <w:num w:numId="9">
    <w:abstractNumId w:val="15"/>
  </w:num>
  <w:num w:numId="10">
    <w:abstractNumId w:val="11"/>
  </w:num>
  <w:num w:numId="11">
    <w:abstractNumId w:val="4"/>
  </w:num>
  <w:num w:numId="12">
    <w:abstractNumId w:val="17"/>
  </w:num>
  <w:num w:numId="13">
    <w:abstractNumId w:val="9"/>
  </w:num>
  <w:num w:numId="14">
    <w:abstractNumId w:val="3"/>
  </w:num>
  <w:num w:numId="15">
    <w:abstractNumId w:val="1"/>
  </w:num>
  <w:num w:numId="16">
    <w:abstractNumId w:val="8"/>
  </w:num>
  <w:num w:numId="17">
    <w:abstractNumId w:val="6"/>
  </w:num>
  <w:num w:numId="18">
    <w:abstractNumId w:val="10"/>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FF9"/>
    <w:rsid w:val="00025A09"/>
    <w:rsid w:val="00046469"/>
    <w:rsid w:val="000819CB"/>
    <w:rsid w:val="000C2B79"/>
    <w:rsid w:val="000E47E8"/>
    <w:rsid w:val="000E613F"/>
    <w:rsid w:val="001056BA"/>
    <w:rsid w:val="0011484C"/>
    <w:rsid w:val="001375D9"/>
    <w:rsid w:val="00185F56"/>
    <w:rsid w:val="002505D0"/>
    <w:rsid w:val="002C21D7"/>
    <w:rsid w:val="00307F87"/>
    <w:rsid w:val="00340F44"/>
    <w:rsid w:val="003442DC"/>
    <w:rsid w:val="00367839"/>
    <w:rsid w:val="003A0BCF"/>
    <w:rsid w:val="003A7F92"/>
    <w:rsid w:val="003C65A5"/>
    <w:rsid w:val="003E4FF9"/>
    <w:rsid w:val="003F573B"/>
    <w:rsid w:val="00471CEC"/>
    <w:rsid w:val="00497B35"/>
    <w:rsid w:val="004A6151"/>
    <w:rsid w:val="004A6989"/>
    <w:rsid w:val="004E2C24"/>
    <w:rsid w:val="00512E4B"/>
    <w:rsid w:val="005864B6"/>
    <w:rsid w:val="00594EC0"/>
    <w:rsid w:val="005A2A4B"/>
    <w:rsid w:val="005F2235"/>
    <w:rsid w:val="006071AE"/>
    <w:rsid w:val="00622E61"/>
    <w:rsid w:val="00681861"/>
    <w:rsid w:val="00682E9B"/>
    <w:rsid w:val="006B6AEC"/>
    <w:rsid w:val="006C08D7"/>
    <w:rsid w:val="006C5701"/>
    <w:rsid w:val="006E5D52"/>
    <w:rsid w:val="0074037F"/>
    <w:rsid w:val="0078324A"/>
    <w:rsid w:val="007A393E"/>
    <w:rsid w:val="007A424F"/>
    <w:rsid w:val="007C4053"/>
    <w:rsid w:val="007D21F8"/>
    <w:rsid w:val="007D5FF6"/>
    <w:rsid w:val="007E782E"/>
    <w:rsid w:val="007F30A5"/>
    <w:rsid w:val="007F6DBD"/>
    <w:rsid w:val="008065DF"/>
    <w:rsid w:val="00811790"/>
    <w:rsid w:val="00857053"/>
    <w:rsid w:val="00870323"/>
    <w:rsid w:val="008803D3"/>
    <w:rsid w:val="008B26D6"/>
    <w:rsid w:val="00931C7C"/>
    <w:rsid w:val="00A11858"/>
    <w:rsid w:val="00A65021"/>
    <w:rsid w:val="00A813DD"/>
    <w:rsid w:val="00A87F7E"/>
    <w:rsid w:val="00B303EA"/>
    <w:rsid w:val="00B449ED"/>
    <w:rsid w:val="00B471ED"/>
    <w:rsid w:val="00B537E0"/>
    <w:rsid w:val="00B92D4A"/>
    <w:rsid w:val="00BB056A"/>
    <w:rsid w:val="00BF1A2B"/>
    <w:rsid w:val="00C32D5F"/>
    <w:rsid w:val="00C348A7"/>
    <w:rsid w:val="00C5269D"/>
    <w:rsid w:val="00C5640F"/>
    <w:rsid w:val="00C819E9"/>
    <w:rsid w:val="00C8778A"/>
    <w:rsid w:val="00CC116B"/>
    <w:rsid w:val="00CD545B"/>
    <w:rsid w:val="00D120E1"/>
    <w:rsid w:val="00D4573C"/>
    <w:rsid w:val="00DB2CA2"/>
    <w:rsid w:val="00DC0242"/>
    <w:rsid w:val="00DC0ECC"/>
    <w:rsid w:val="00E14C4A"/>
    <w:rsid w:val="00E15E4D"/>
    <w:rsid w:val="00E20952"/>
    <w:rsid w:val="00E31B60"/>
    <w:rsid w:val="00E913F6"/>
    <w:rsid w:val="00EE25E1"/>
    <w:rsid w:val="00F13E63"/>
    <w:rsid w:val="00F61814"/>
    <w:rsid w:val="00F932A0"/>
    <w:rsid w:val="00F96C46"/>
    <w:rsid w:val="00FB34CE"/>
    <w:rsid w:val="00FD113B"/>
    <w:rsid w:val="00FF3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48CD95"/>
  <w15:chartTrackingRefBased/>
  <w15:docId w15:val="{0C58A165-E276-499E-98BC-BAE986258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04040" w:themeColor="text1" w:themeTint="BF"/>
        <w:sz w:val="18"/>
        <w:lang w:val="en-US" w:eastAsia="ja-JP" w:bidi="ar-SA"/>
      </w:rPr>
    </w:rPrDefault>
    <w:pPrDefault>
      <w:pPr>
        <w:spacing w:after="18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600" w:after="240" w:line="240" w:lineRule="auto"/>
      <w:outlineLvl w:val="0"/>
    </w:pPr>
    <w:rPr>
      <w:b/>
      <w:bCs/>
      <w:caps/>
      <w:color w:val="1F4E79" w:themeColor="accent1" w:themeShade="80"/>
      <w:sz w:val="28"/>
    </w:rPr>
  </w:style>
  <w:style w:type="paragraph" w:styleId="Heading2">
    <w:name w:val="heading 2"/>
    <w:basedOn w:val="Normal"/>
    <w:next w:val="Normal"/>
    <w:link w:val="Heading2Char"/>
    <w:uiPriority w:val="9"/>
    <w:unhideWhenUsed/>
    <w:qFormat/>
    <w:pPr>
      <w:keepNext/>
      <w:keepLines/>
      <w:numPr>
        <w:numId w:val="4"/>
      </w:numPr>
      <w:spacing w:before="360" w:after="120" w:line="240" w:lineRule="auto"/>
      <w:outlineLvl w:val="1"/>
    </w:pPr>
    <w:rPr>
      <w:b/>
      <w:bCs/>
      <w:color w:val="5B9BD5"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rPr>
  </w:style>
  <w:style w:type="character" w:customStyle="1" w:styleId="TitleChar">
    <w:name w:val="Title Char"/>
    <w:basedOn w:val="DefaultParagraphFont"/>
    <w:link w:val="Title"/>
    <w:uiPriority w:val="10"/>
    <w:rPr>
      <w:rFonts w:asciiTheme="majorHAnsi" w:eastAsiaTheme="majorEastAsia" w:hAnsiTheme="majorHAnsi" w:cstheme="majorBidi"/>
      <w:caps/>
      <w:color w:val="1F4E79" w:themeColor="accent1" w:themeShade="80"/>
      <w:kern w:val="28"/>
      <w:sz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pPr>
      <w:numPr>
        <w:ilvl w:val="1"/>
      </w:numPr>
      <w:pBdr>
        <w:left w:val="double" w:sz="18" w:space="4" w:color="1F4E79" w:themeColor="accent1" w:themeShade="80"/>
      </w:pBdr>
      <w:spacing w:before="80" w:after="0" w:line="280" w:lineRule="exact"/>
    </w:pPr>
    <w:rPr>
      <w:b/>
      <w:bCs/>
      <w:color w:val="5B9BD5" w:themeColor="accent1"/>
      <w:sz w:val="24"/>
    </w:rPr>
  </w:style>
  <w:style w:type="character" w:customStyle="1" w:styleId="SubtitleChar">
    <w:name w:val="Subtitle Char"/>
    <w:basedOn w:val="DefaultParagraphFont"/>
    <w:link w:val="Subtitle"/>
    <w:uiPriority w:val="11"/>
    <w:rPr>
      <w:b/>
      <w:bCs/>
      <w:color w:val="5B9BD5" w:themeColor="accent1"/>
      <w:sz w:val="24"/>
    </w:rPr>
  </w:style>
  <w:style w:type="character" w:customStyle="1" w:styleId="Heading1Char">
    <w:name w:val="Heading 1 Char"/>
    <w:basedOn w:val="DefaultParagraphFont"/>
    <w:link w:val="Heading1"/>
    <w:uiPriority w:val="9"/>
    <w:rPr>
      <w:b/>
      <w:bCs/>
      <w:caps/>
      <w:color w:val="1F4E79" w:themeColor="accent1" w:themeShade="80"/>
      <w:sz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TipText">
    <w:name w:val="Tip Text"/>
    <w:basedOn w:val="Normal"/>
    <w:uiPriority w:val="99"/>
    <w:pPr>
      <w:spacing w:after="160" w:line="264" w:lineRule="auto"/>
      <w:ind w:right="576"/>
    </w:pPr>
    <w:rPr>
      <w:i/>
      <w:iCs/>
      <w:color w:val="7F7F7F" w:themeColor="text1" w:themeTint="80"/>
      <w:sz w:val="16"/>
    </w:rPr>
  </w:style>
  <w:style w:type="character" w:styleId="PlaceholderText">
    <w:name w:val="Placeholder Text"/>
    <w:basedOn w:val="DefaultParagraphFont"/>
    <w:uiPriority w:val="99"/>
    <w:semiHidden/>
    <w:rPr>
      <w:color w:val="808080"/>
    </w:rPr>
  </w:style>
  <w:style w:type="paragraph" w:styleId="NoSpacing">
    <w:name w:val="No Spacing"/>
    <w:uiPriority w:val="36"/>
    <w:qFormat/>
    <w:pPr>
      <w:spacing w:after="0" w:line="240" w:lineRule="auto"/>
    </w:pPr>
  </w:style>
  <w:style w:type="character" w:customStyle="1" w:styleId="Heading2Char">
    <w:name w:val="Heading 2 Char"/>
    <w:basedOn w:val="DefaultParagraphFont"/>
    <w:link w:val="Heading2"/>
    <w:uiPriority w:val="9"/>
    <w:rPr>
      <w:b/>
      <w:bCs/>
      <w:color w:val="5B9BD5" w:themeColor="accent1"/>
      <w:sz w:val="24"/>
    </w:rPr>
  </w:style>
  <w:style w:type="paragraph" w:styleId="ListBullet">
    <w:name w:val="List Bullet"/>
    <w:basedOn w:val="Normal"/>
    <w:uiPriority w:val="1"/>
    <w:unhideWhenUsed/>
    <w:qFormat/>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00" w:after="0" w:line="240" w:lineRule="auto"/>
      <w:contextualSpacing/>
      <w:jc w:val="right"/>
    </w:pPr>
    <w:rPr>
      <w:rFonts w:asciiTheme="majorHAnsi" w:eastAsiaTheme="majorEastAsia" w:hAnsiTheme="majorHAnsi" w:cstheme="majorBidi"/>
      <w:noProof/>
      <w:color w:val="1F4E79" w:themeColor="accent1" w:themeShade="80"/>
      <w:sz w:val="20"/>
    </w:rPr>
  </w:style>
  <w:style w:type="character" w:customStyle="1" w:styleId="FooterChar">
    <w:name w:val="Footer Char"/>
    <w:basedOn w:val="DefaultParagraphFont"/>
    <w:link w:val="Footer"/>
    <w:uiPriority w:val="99"/>
    <w:rPr>
      <w:rFonts w:asciiTheme="majorHAnsi" w:eastAsiaTheme="majorEastAsia" w:hAnsiTheme="majorHAnsi" w:cstheme="majorBidi"/>
      <w:noProof/>
      <w:color w:val="1F4E79" w:themeColor="accent1" w:themeShade="80"/>
      <w:sz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jectScopeTable">
    <w:name w:val="Project Scope Table"/>
    <w:basedOn w:val="TableNormal"/>
    <w:uiPriority w:val="99"/>
    <w:pPr>
      <w:spacing w:before="120" w:after="120" w:line="240" w:lineRule="auto"/>
    </w:p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style>
  <w:style w:type="paragraph" w:styleId="FootnoteText">
    <w:name w:val="footnote text"/>
    <w:basedOn w:val="Normal"/>
    <w:link w:val="FootnoteTextChar"/>
    <w:uiPriority w:val="12"/>
    <w:unhideWhenUsed/>
    <w:pPr>
      <w:spacing w:before="140" w:after="0" w:line="240" w:lineRule="auto"/>
    </w:pPr>
    <w:rPr>
      <w:i/>
      <w:iCs/>
      <w:sz w:val="14"/>
    </w:rPr>
  </w:style>
  <w:style w:type="character" w:customStyle="1" w:styleId="FootnoteTextChar">
    <w:name w:val="Footnote Text Char"/>
    <w:basedOn w:val="DefaultParagraphFont"/>
    <w:link w:val="FootnoteText"/>
    <w:uiPriority w:val="12"/>
    <w:rPr>
      <w:i/>
      <w:iCs/>
      <w:sz w:val="14"/>
    </w:rPr>
  </w:style>
  <w:style w:type="paragraph" w:styleId="ListParagraph">
    <w:name w:val="List Paragraph"/>
    <w:basedOn w:val="Normal"/>
    <w:uiPriority w:val="34"/>
    <w:unhideWhenUsed/>
    <w:qFormat/>
    <w:rsid w:val="00A87F7E"/>
    <w:pPr>
      <w:ind w:left="720"/>
      <w:contextualSpacing/>
    </w:pPr>
  </w:style>
  <w:style w:type="paragraph" w:styleId="BalloonText">
    <w:name w:val="Balloon Text"/>
    <w:basedOn w:val="Normal"/>
    <w:link w:val="BalloonTextChar"/>
    <w:uiPriority w:val="99"/>
    <w:semiHidden/>
    <w:unhideWhenUsed/>
    <w:rsid w:val="00F96C46"/>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F96C46"/>
    <w:rPr>
      <w:rFonts w:ascii="Segoe UI" w:hAnsi="Segoe UI" w:cs="Segoe UI"/>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jp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gif"/><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A4D2EEBF6A3460DB8BB9467083B6E2A"/>
        <w:category>
          <w:name w:val="General"/>
          <w:gallery w:val="placeholder"/>
        </w:category>
        <w:types>
          <w:type w:val="bbPlcHdr"/>
        </w:types>
        <w:behaviors>
          <w:behavior w:val="content"/>
        </w:behaviors>
        <w:guid w:val="{7D1721CE-CD16-4AE6-8A1D-E4BB7DB1BFDB}"/>
      </w:docPartPr>
      <w:docPartBody>
        <w:p w:rsidR="006A2362" w:rsidRDefault="006A2362">
          <w:pPr>
            <w:pStyle w:val="6A4D2EEBF6A3460DB8BB9467083B6E2A"/>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362"/>
    <w:rsid w:val="006A2362"/>
    <w:rsid w:val="00C122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6A4D2EEBF6A3460DB8BB9467083B6E2A">
    <w:name w:val="6A4D2EEBF6A3460DB8BB9467083B6E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844755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2012-06-27T21:54:00+00:00</AssetStart>
    <FriendlyTitle xmlns="4873beb7-5857-4685-be1f-d57550cc96cc" xsi:nil="true"/>
    <MarketSpecific xmlns="4873beb7-5857-4685-be1f-d57550cc96cc">false</MarketSpecific>
    <TPNamespace xmlns="4873beb7-5857-4685-be1f-d57550cc96cc" xsi:nil="true"/>
    <PublishStatusLookup xmlns="4873beb7-5857-4685-be1f-d57550cc96cc">
      <Value>1588199</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TP102927812</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2D898CE6-E20C-4A5D-A596-A2C4B36876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6D547B-1A8E-42A3-8288-1ECB4B3B303B}">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purl.org/dc/elements/1.1/"/>
    <ds:schemaRef ds:uri="4873beb7-5857-4685-be1f-d57550cc96cc"/>
    <ds:schemaRef ds:uri="http://www.w3.org/XML/1998/namespace"/>
  </ds:schemaRefs>
</ds:datastoreItem>
</file>

<file path=customXml/itemProps3.xml><?xml version="1.0" encoding="utf-8"?>
<ds:datastoreItem xmlns:ds="http://schemas.openxmlformats.org/officeDocument/2006/customXml" ds:itemID="{EE371770-17E6-4153-B66C-5ABDCB7E1816}">
  <ds:schemaRefs>
    <ds:schemaRef ds:uri="http://schemas.microsoft.com/sharepoint/v3/contenttype/forms"/>
  </ds:schemaRefs>
</ds:datastoreItem>
</file>

<file path=customXml/itemProps4.xml><?xml version="1.0" encoding="utf-8"?>
<ds:datastoreItem xmlns:ds="http://schemas.openxmlformats.org/officeDocument/2006/customXml" ds:itemID="{5C36BC40-C5C2-4802-B23A-3264ED9C7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827</Words>
  <Characters>4720</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Corcoran Lauren (RNU) Oxford Health</dc:creator>
  <cp:lastModifiedBy>Penny Rubio</cp:lastModifiedBy>
  <cp:revision>2</cp:revision>
  <dcterms:created xsi:type="dcterms:W3CDTF">2019-11-12T17:19:00Z</dcterms:created>
  <dcterms:modified xsi:type="dcterms:W3CDTF">2019-11-12T17:19:00Z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