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3B" w:rsidRDefault="00617BE9" w:rsidP="0006093B">
      <w:pPr>
        <w:spacing w:line="276" w:lineRule="auto"/>
        <w:jc w:val="center"/>
        <w:outlineLvl w:val="1"/>
        <w:rPr>
          <w:sz w:val="96"/>
          <w:szCs w:val="96"/>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6090285</wp:posOffset>
            </wp:positionH>
            <wp:positionV relativeFrom="paragraph">
              <wp:posOffset>-302895</wp:posOffset>
            </wp:positionV>
            <wp:extent cx="3169285" cy="626745"/>
            <wp:effectExtent l="19050" t="0" r="0" b="0"/>
            <wp:wrapTight wrapText="bothSides">
              <wp:wrapPolygon edited="0">
                <wp:start x="-130" y="0"/>
                <wp:lineTo x="-130" y="21009"/>
                <wp:lineTo x="21552" y="21009"/>
                <wp:lineTo x="21552" y="0"/>
                <wp:lineTo x="-130"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cstate="print"/>
                    <a:srcRect/>
                    <a:stretch>
                      <a:fillRect/>
                    </a:stretch>
                  </pic:blipFill>
                  <pic:spPr bwMode="auto">
                    <a:xfrm>
                      <a:off x="0" y="0"/>
                      <a:ext cx="3169285" cy="626745"/>
                    </a:xfrm>
                    <a:prstGeom prst="rect">
                      <a:avLst/>
                    </a:prstGeom>
                    <a:noFill/>
                    <a:ln w="9525">
                      <a:noFill/>
                      <a:miter lim="800000"/>
                      <a:headEnd/>
                      <a:tailEnd/>
                    </a:ln>
                  </pic:spPr>
                </pic:pic>
              </a:graphicData>
            </a:graphic>
          </wp:anchor>
        </w:drawing>
      </w:r>
    </w:p>
    <w:p w:rsidR="0006093B" w:rsidRPr="0006093B" w:rsidRDefault="006B456C" w:rsidP="0006093B">
      <w:pPr>
        <w:spacing w:line="276" w:lineRule="auto"/>
        <w:jc w:val="center"/>
        <w:outlineLvl w:val="1"/>
        <w:rPr>
          <w:sz w:val="96"/>
          <w:szCs w:val="96"/>
          <w:u w:val="single"/>
        </w:rPr>
      </w:pPr>
      <w:r>
        <w:rPr>
          <w:sz w:val="56"/>
          <w:szCs w:val="56"/>
        </w:rPr>
        <w:t>A p</w:t>
      </w:r>
      <w:r w:rsidR="0006093B" w:rsidRPr="00D56748">
        <w:rPr>
          <w:sz w:val="56"/>
          <w:szCs w:val="56"/>
        </w:rPr>
        <w:t xml:space="preserve">rotocol for the </w:t>
      </w:r>
      <w:r w:rsidR="00337D18">
        <w:rPr>
          <w:sz w:val="56"/>
          <w:szCs w:val="56"/>
        </w:rPr>
        <w:t xml:space="preserve">specialist </w:t>
      </w:r>
      <w:r w:rsidR="0006093B" w:rsidRPr="00D56748">
        <w:rPr>
          <w:sz w:val="56"/>
          <w:szCs w:val="56"/>
        </w:rPr>
        <w:t>use of topical steroid</w:t>
      </w:r>
      <w:r w:rsidR="0006093B" w:rsidRPr="00D56748">
        <w:rPr>
          <w:sz w:val="56"/>
          <w:szCs w:val="56"/>
          <w:vertAlign w:val="superscript"/>
        </w:rPr>
        <w:t xml:space="preserve"> </w:t>
      </w:r>
      <w:r w:rsidR="0006093B" w:rsidRPr="00D56748">
        <w:rPr>
          <w:sz w:val="56"/>
          <w:szCs w:val="56"/>
        </w:rPr>
        <w:t xml:space="preserve">preparations </w:t>
      </w:r>
      <w:r w:rsidR="00132866">
        <w:rPr>
          <w:sz w:val="56"/>
          <w:szCs w:val="56"/>
        </w:rPr>
        <w:t xml:space="preserve">on wound beds </w:t>
      </w:r>
      <w:r w:rsidR="0006093B" w:rsidRPr="00D56748">
        <w:rPr>
          <w:sz w:val="56"/>
          <w:szCs w:val="56"/>
        </w:rPr>
        <w:t>with</w:t>
      </w:r>
      <w:r w:rsidR="00132866">
        <w:rPr>
          <w:sz w:val="56"/>
          <w:szCs w:val="56"/>
        </w:rPr>
        <w:t>in</w:t>
      </w:r>
      <w:r w:rsidR="0006093B" w:rsidRPr="00D56748">
        <w:rPr>
          <w:sz w:val="56"/>
          <w:szCs w:val="56"/>
        </w:rPr>
        <w:t xml:space="preserve"> the community of Oxfordshire</w:t>
      </w:r>
    </w:p>
    <w:p w:rsidR="0006093B" w:rsidRDefault="0006093B" w:rsidP="0050778E">
      <w:pPr>
        <w:spacing w:line="276" w:lineRule="auto"/>
        <w:jc w:val="both"/>
      </w:pPr>
    </w:p>
    <w:p w:rsidR="00E95E4B" w:rsidRDefault="00C50FDB" w:rsidP="00F37E01">
      <w:pPr>
        <w:spacing w:line="360" w:lineRule="auto"/>
        <w:rPr>
          <w:b/>
        </w:rPr>
      </w:pPr>
      <w:r>
        <w:rPr>
          <w:b/>
          <w:noProof/>
          <w:sz w:val="56"/>
          <w:szCs w:val="56"/>
        </w:rPr>
        <mc:AlternateContent>
          <mc:Choice Requires="wps">
            <w:drawing>
              <wp:anchor distT="0" distB="0" distL="114300" distR="114300" simplePos="0" relativeHeight="251658240" behindDoc="1" locked="0" layoutInCell="0" allowOverlap="1">
                <wp:simplePos x="0" y="0"/>
                <wp:positionH relativeFrom="page">
                  <wp:posOffset>1111885</wp:posOffset>
                </wp:positionH>
                <wp:positionV relativeFrom="page">
                  <wp:posOffset>3152775</wp:posOffset>
                </wp:positionV>
                <wp:extent cx="8498840" cy="3286125"/>
                <wp:effectExtent l="26035" t="19050" r="47625" b="47625"/>
                <wp:wrapTight wrapText="bothSides">
                  <wp:wrapPolygon edited="0">
                    <wp:start x="-48" y="-138"/>
                    <wp:lineTo x="-48" y="21738"/>
                    <wp:lineTo x="-24" y="21871"/>
                    <wp:lineTo x="21721" y="21871"/>
                    <wp:lineTo x="21721" y="0"/>
                    <wp:lineTo x="21673" y="-138"/>
                    <wp:lineTo x="-48" y="-138"/>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8840" cy="3286125"/>
                        </a:xfrm>
                        <a:prstGeom prst="rect">
                          <a:avLst/>
                        </a:prstGeom>
                        <a:solidFill>
                          <a:srgbClr val="9BBB59"/>
                        </a:solidFill>
                        <a:ln w="38100">
                          <a:solidFill>
                            <a:srgbClr val="F2F2F2"/>
                          </a:solidFill>
                          <a:miter lim="800000"/>
                          <a:headEnd/>
                          <a:tailEnd/>
                        </a:ln>
                        <a:effectLst>
                          <a:outerShdw dist="35921" dir="2700000" algn="ctr" rotWithShape="0">
                            <a:srgbClr val="4E6128">
                              <a:alpha val="50000"/>
                            </a:srgbClr>
                          </a:outerShdw>
                        </a:effectLst>
                      </wps:spPr>
                      <wps:txbx>
                        <w:txbxContent>
                          <w:p w:rsidR="00FD5ACC" w:rsidRPr="003314D3" w:rsidRDefault="00FD5ACC" w:rsidP="00BE6E27">
                            <w:pPr>
                              <w:pStyle w:val="E-mailSignature"/>
                              <w:numPr>
                                <w:ilvl w:val="0"/>
                                <w:numId w:val="24"/>
                              </w:numPr>
                              <w:spacing w:line="480" w:lineRule="auto"/>
                              <w:rPr>
                                <w:color w:val="000080"/>
                                <w:sz w:val="22"/>
                                <w:szCs w:val="22"/>
                              </w:rPr>
                            </w:pPr>
                            <w:r w:rsidRPr="003314D3">
                              <w:rPr>
                                <w:sz w:val="22"/>
                                <w:szCs w:val="22"/>
                              </w:rPr>
                              <w:t>Mel Snelling:- Lead HIV / Infectious Diseases Pharmacist, Oxford University Hospitals NHS Trust</w:t>
                            </w:r>
                          </w:p>
                          <w:p w:rsidR="00FD5ACC" w:rsidRDefault="00FD5ACC" w:rsidP="00BE6E27">
                            <w:pPr>
                              <w:numPr>
                                <w:ilvl w:val="0"/>
                                <w:numId w:val="24"/>
                              </w:numPr>
                              <w:spacing w:line="480" w:lineRule="auto"/>
                              <w:rPr>
                                <w:sz w:val="22"/>
                                <w:szCs w:val="22"/>
                              </w:rPr>
                            </w:pPr>
                            <w:r w:rsidRPr="003314D3">
                              <w:rPr>
                                <w:sz w:val="22"/>
                                <w:szCs w:val="22"/>
                              </w:rPr>
                              <w:t>Catherine Harker:- Community Services Support Pharmacist, Oxford Health NHS Foundation Trust</w:t>
                            </w:r>
                          </w:p>
                          <w:p w:rsidR="00FD5ACC" w:rsidRDefault="00FD5ACC" w:rsidP="00BE6E27">
                            <w:pPr>
                              <w:numPr>
                                <w:ilvl w:val="0"/>
                                <w:numId w:val="24"/>
                              </w:numPr>
                              <w:spacing w:line="480" w:lineRule="auto"/>
                              <w:rPr>
                                <w:sz w:val="22"/>
                                <w:szCs w:val="22"/>
                              </w:rPr>
                            </w:pPr>
                            <w:r w:rsidRPr="003314D3">
                              <w:rPr>
                                <w:sz w:val="22"/>
                                <w:szCs w:val="22"/>
                              </w:rPr>
                              <w:t xml:space="preserve">Nicola Jones: – Consultant Physician, </w:t>
                            </w:r>
                            <w:r>
                              <w:rPr>
                                <w:sz w:val="22"/>
                                <w:szCs w:val="22"/>
                              </w:rPr>
                              <w:t xml:space="preserve">Department of Infectious Diseases, </w:t>
                            </w:r>
                            <w:r w:rsidRPr="003314D3">
                              <w:rPr>
                                <w:sz w:val="22"/>
                                <w:szCs w:val="22"/>
                              </w:rPr>
                              <w:t>Oxford University Hospitals NHS Trust</w:t>
                            </w:r>
                          </w:p>
                          <w:p w:rsidR="00FD5ACC" w:rsidRPr="003314D3" w:rsidRDefault="00FD5ACC" w:rsidP="00BE6E27">
                            <w:pPr>
                              <w:numPr>
                                <w:ilvl w:val="0"/>
                                <w:numId w:val="24"/>
                              </w:numPr>
                              <w:spacing w:line="480" w:lineRule="auto"/>
                              <w:rPr>
                                <w:sz w:val="22"/>
                                <w:szCs w:val="22"/>
                              </w:rPr>
                            </w:pPr>
                            <w:r>
                              <w:rPr>
                                <w:sz w:val="22"/>
                                <w:szCs w:val="22"/>
                              </w:rPr>
                              <w:t>Vanessa Venning – Consultant Dermatologist, Churchill Hospital, Oxford University Hospitals NHS Trust</w:t>
                            </w:r>
                          </w:p>
                          <w:p w:rsidR="00FD5ACC" w:rsidRDefault="00FD5ACC" w:rsidP="00BE6E27">
                            <w:pPr>
                              <w:numPr>
                                <w:ilvl w:val="0"/>
                                <w:numId w:val="24"/>
                              </w:numPr>
                              <w:spacing w:line="480" w:lineRule="auto"/>
                              <w:rPr>
                                <w:sz w:val="22"/>
                                <w:szCs w:val="22"/>
                              </w:rPr>
                            </w:pPr>
                            <w:r w:rsidRPr="003314D3">
                              <w:rPr>
                                <w:sz w:val="22"/>
                                <w:szCs w:val="22"/>
                              </w:rPr>
                              <w:t>Heather Newton: – Tissue Viability Consultant Nurse, Royal Cor</w:t>
                            </w:r>
                            <w:r>
                              <w:rPr>
                                <w:sz w:val="22"/>
                                <w:szCs w:val="22"/>
                              </w:rPr>
                              <w:t>n</w:t>
                            </w:r>
                            <w:r w:rsidRPr="003314D3">
                              <w:rPr>
                                <w:sz w:val="22"/>
                                <w:szCs w:val="22"/>
                              </w:rPr>
                              <w:t>wall Hospitals NHS Trust</w:t>
                            </w:r>
                          </w:p>
                          <w:p w:rsidR="00FD5ACC" w:rsidRPr="002E73BF" w:rsidRDefault="00FD5ACC" w:rsidP="00BE6E27">
                            <w:pPr>
                              <w:numPr>
                                <w:ilvl w:val="0"/>
                                <w:numId w:val="24"/>
                              </w:numPr>
                              <w:spacing w:line="480" w:lineRule="auto"/>
                              <w:rPr>
                                <w:sz w:val="22"/>
                                <w:szCs w:val="22"/>
                              </w:rPr>
                            </w:pPr>
                            <w:r w:rsidRPr="002E73BF">
                              <w:rPr>
                                <w:sz w:val="22"/>
                                <w:szCs w:val="22"/>
                              </w:rPr>
                              <w:t xml:space="preserve">Julie Van Onselen: - JVO Consultancy, education in Dermatology </w:t>
                            </w:r>
                          </w:p>
                          <w:p w:rsidR="00FD5ACC" w:rsidRPr="003314D3" w:rsidRDefault="00FD5ACC" w:rsidP="00BE6E27">
                            <w:pPr>
                              <w:pStyle w:val="PlainText"/>
                              <w:numPr>
                                <w:ilvl w:val="0"/>
                                <w:numId w:val="24"/>
                              </w:numPr>
                              <w:spacing w:line="480" w:lineRule="auto"/>
                              <w:rPr>
                                <w:rFonts w:ascii="Times New Roman" w:hAnsi="Times New Roman"/>
                                <w:sz w:val="22"/>
                                <w:szCs w:val="22"/>
                              </w:rPr>
                            </w:pPr>
                            <w:r w:rsidRPr="002E73BF">
                              <w:rPr>
                                <w:rFonts w:ascii="Times New Roman" w:hAnsi="Times New Roman"/>
                                <w:sz w:val="22"/>
                                <w:szCs w:val="22"/>
                              </w:rPr>
                              <w:t>Andrew Kingsley:- Clinical Manager Infection Control and Tissue Viability, Northern Devon Healthcare Trust incorporating community services in Exeter, East Devon and Mid Devon</w:t>
                            </w:r>
                          </w:p>
                          <w:p w:rsidR="00FD5ACC" w:rsidRPr="003314D3" w:rsidRDefault="00FD5ACC" w:rsidP="00BE6E27">
                            <w:pPr>
                              <w:numPr>
                                <w:ilvl w:val="0"/>
                                <w:numId w:val="24"/>
                              </w:numPr>
                              <w:spacing w:line="480" w:lineRule="auto"/>
                              <w:rPr>
                                <w:sz w:val="22"/>
                                <w:szCs w:val="22"/>
                              </w:rPr>
                            </w:pPr>
                            <w:r w:rsidRPr="003314D3">
                              <w:rPr>
                                <w:sz w:val="22"/>
                                <w:szCs w:val="22"/>
                              </w:rPr>
                              <w:t>Gill Wicks: - Tissue Viability Consultant Nurse, Wiltshire Community Health Services</w:t>
                            </w:r>
                          </w:p>
                          <w:p w:rsidR="00FD5ACC" w:rsidRPr="003314D3" w:rsidRDefault="00FD5ACC" w:rsidP="00BE6E27">
                            <w:pPr>
                              <w:numPr>
                                <w:ilvl w:val="0"/>
                                <w:numId w:val="24"/>
                              </w:numPr>
                              <w:spacing w:line="480" w:lineRule="auto"/>
                              <w:rPr>
                                <w:sz w:val="22"/>
                                <w:szCs w:val="22"/>
                              </w:rPr>
                            </w:pPr>
                            <w:r w:rsidRPr="003314D3">
                              <w:rPr>
                                <w:sz w:val="22"/>
                                <w:szCs w:val="22"/>
                              </w:rPr>
                              <w:t xml:space="preserve">Robin Cooper: - </w:t>
                            </w:r>
                            <w:r>
                              <w:rPr>
                                <w:sz w:val="22"/>
                                <w:szCs w:val="22"/>
                              </w:rPr>
                              <w:t xml:space="preserve">Leg Ulcer </w:t>
                            </w:r>
                            <w:r w:rsidRPr="003314D3">
                              <w:rPr>
                                <w:sz w:val="22"/>
                                <w:szCs w:val="22"/>
                              </w:rPr>
                              <w:t>Nurse Specialist, Salisbury Foundation NHS Trust</w:t>
                            </w:r>
                          </w:p>
                          <w:p w:rsidR="00FD5ACC" w:rsidRPr="00565225" w:rsidRDefault="00FD5ACC" w:rsidP="00BE6E27">
                            <w:pPr>
                              <w:numPr>
                                <w:ilvl w:val="0"/>
                                <w:numId w:val="24"/>
                              </w:numPr>
                              <w:spacing w:line="480" w:lineRule="auto"/>
                              <w:rPr>
                                <w:rFonts w:ascii="Cambria" w:hAnsi="Cambria"/>
                                <w:i/>
                                <w:iCs/>
                                <w:sz w:val="22"/>
                                <w:szCs w:val="22"/>
                              </w:rPr>
                            </w:pPr>
                            <w:r w:rsidRPr="003314D3">
                              <w:rPr>
                                <w:sz w:val="22"/>
                                <w:szCs w:val="22"/>
                              </w:rPr>
                              <w:t>David Green: - Specialist Pharmacist – Strategic Support, Colchester Hospital University NHS Foundation Trust</w:t>
                            </w:r>
                          </w:p>
                          <w:p w:rsidR="00FD5ACC" w:rsidRPr="006B456C" w:rsidRDefault="00FD5ACC" w:rsidP="006B456C">
                            <w:pPr>
                              <w:numPr>
                                <w:ilvl w:val="0"/>
                                <w:numId w:val="24"/>
                              </w:numPr>
                              <w:jc w:val="both"/>
                              <w:rPr>
                                <w:color w:val="000000"/>
                                <w:sz w:val="22"/>
                                <w:szCs w:val="22"/>
                              </w:rPr>
                            </w:pPr>
                            <w:r>
                              <w:rPr>
                                <w:sz w:val="22"/>
                                <w:szCs w:val="22"/>
                              </w:rPr>
                              <w:t xml:space="preserve">Susan Knight:- </w:t>
                            </w:r>
                            <w:r w:rsidRPr="006B456C">
                              <w:rPr>
                                <w:color w:val="000000"/>
                                <w:sz w:val="22"/>
                                <w:szCs w:val="22"/>
                              </w:rPr>
                              <w:t>QN Tissue Viability Specialist Nurse and Chair of the Leg Ulcer Forum.</w:t>
                            </w:r>
                          </w:p>
                          <w:p w:rsidR="00FD5ACC" w:rsidRPr="00565225" w:rsidRDefault="00FD5ACC" w:rsidP="00BE6E27">
                            <w:pPr>
                              <w:numPr>
                                <w:ilvl w:val="0"/>
                                <w:numId w:val="24"/>
                              </w:numPr>
                              <w:spacing w:line="480" w:lineRule="auto"/>
                              <w:rPr>
                                <w:rFonts w:ascii="Cambria" w:hAnsi="Cambria"/>
                                <w:i/>
                                <w:iCs/>
                                <w:sz w:val="22"/>
                                <w:szCs w:val="22"/>
                              </w:rPr>
                            </w:pPr>
                          </w:p>
                          <w:p w:rsidR="00FD5ACC" w:rsidRPr="003314D3" w:rsidRDefault="00FD5ACC" w:rsidP="00BE6E27">
                            <w:pPr>
                              <w:numPr>
                                <w:ilvl w:val="0"/>
                                <w:numId w:val="24"/>
                              </w:numPr>
                              <w:spacing w:line="480" w:lineRule="auto"/>
                              <w:rPr>
                                <w:rFonts w:ascii="Cambria" w:hAnsi="Cambria"/>
                                <w:i/>
                                <w:iCs/>
                                <w:sz w:val="22"/>
                                <w:szCs w:val="22"/>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7.55pt;margin-top:248.25pt;width:669.2pt;height:25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2w5fAIAAP0EAAAOAAAAZHJzL2Uyb0RvYy54bWysVFtv2yAUfp+0/4B4X31pkjpWnKppm2lS&#10;d5Haac8EsI2GgQGJ3f36HXCSeuuepiWSxeEcPr7vXFhdD51EB26d0KrC2UWKEVdUM6GaCn992r4r&#10;MHKeKEakVrzCz9zh6/XbN6velDzXrZaMWwQgypW9qXDrvSmTxNGWd8RdaMMVOGttO+LBtE3CLOkB&#10;vZNJnqaLpNeWGaspdw5270YnXkf8uubUf65rxz2SFQZuPn5t/O7CN1mvSNlYYlpBjzTIP7DoiFBw&#10;6RnqjniC9la8guoEtdrp2l9Q3SW6rgXlUQOoydI/1Dy2xPCoBZLjzDlN7v/B0k+HLxYJBrXDSJEO&#10;SvTEB482ekDzkJ3euBKCHg2E+QG2Q2RQ6syDpt8dUvq2JarhN9bqvuWEAbssnEwmR0ccF0B2/UfN&#10;4Bqy9zoCDbXtAiAkAwE6VOn5XJlAhcJmMVsWxQxcFHyXebHI8sguIeXpuLHOv+e6Q2FRYQulj/Dk&#10;8OB8oEPKU0ikr6VgWyFlNGyzu5UWHQi0yXKz2cyXUQGonIZJhXq4vsjSdEzB1OmmGNs8/P+G0QkP&#10;DS9FB6LS8AtBpAyJu1csrj0RclwDZ6mCm8dWBiHB0HuAeGxZj5gIUi/nyxyqxwT0dX41giIiGxhI&#10;6i1GVvtvwrexm0JmXyme3UM+izFb0rRkzMP8xA5YHMXFLJ6vj9aEWSx4qPFYbT/sBtATumCn2TOU&#10;HojE+sJ7AYtW258Y9TB7FXY/9sRyjOQHFdrn8ipbhGmN1jKbhcrb31y7qYsoCmBHtaNx68ch3xsr&#10;mhZuG5tW6Rtou1rEhnhhdmxWmLGo6fgehCGe2jHq5dVa/wIAAP//AwBQSwMEFAAGAAgAAAAhAPiN&#10;AJ7jAAAADQEAAA8AAABkcnMvZG93bnJldi54bWxMj8FOwzAQRO9I/IO1SNyo7ZIUGuJUiAohhDgk&#10;ICRu29gkKbEdxW6b8vVsT3Cb0T7NzuSryfZsb8bQeadAzgQw42qvO9coeH97vLoFFiI6jb13RsHR&#10;BFgV52c5ZtofXGn2VWwYhbiQoYI2xiHjPNStsRhmfjCObl9+tBjJjg3XIx4o3PZ8LsSCW+wcfWhx&#10;MA+tqb+rnVWwXZfr16U8Yqxe5j/l9uM5GZ4+lbq8mO7vgEUzxT8YTvWpOhTUaeN3TgfWk79JJaEK&#10;kuUiBXYiUnlNakNKyEQAL3L+f0XxCwAA//8DAFBLAQItABQABgAIAAAAIQC2gziS/gAAAOEBAAAT&#10;AAAAAAAAAAAAAAAAAAAAAABbQ29udGVudF9UeXBlc10ueG1sUEsBAi0AFAAGAAgAAAAhADj9If/W&#10;AAAAlAEAAAsAAAAAAAAAAAAAAAAALwEAAF9yZWxzLy5yZWxzUEsBAi0AFAAGAAgAAAAhAJwjbDl8&#10;AgAA/QQAAA4AAAAAAAAAAAAAAAAALgIAAGRycy9lMm9Eb2MueG1sUEsBAi0AFAAGAAgAAAAhAPiN&#10;AJ7jAAAADQEAAA8AAAAAAAAAAAAAAAAA1gQAAGRycy9kb3ducmV2LnhtbFBLBQYAAAAABAAEAPMA&#10;AADmBQAAAAA=&#10;" o:allowincell="f" fillcolor="#9bbb59" strokecolor="#f2f2f2" strokeweight="3pt">
                <v:shadow on="t" color="#4e6128" opacity=".5"/>
                <v:textbox inset="10.8pt,7.2pt,10.8pt,7.2pt">
                  <w:txbxContent>
                    <w:p w:rsidR="00FD5ACC" w:rsidRPr="003314D3" w:rsidRDefault="00FD5ACC" w:rsidP="00BE6E27">
                      <w:pPr>
                        <w:pStyle w:val="E-mailSignature"/>
                        <w:numPr>
                          <w:ilvl w:val="0"/>
                          <w:numId w:val="24"/>
                        </w:numPr>
                        <w:spacing w:line="480" w:lineRule="auto"/>
                        <w:rPr>
                          <w:color w:val="000080"/>
                          <w:sz w:val="22"/>
                          <w:szCs w:val="22"/>
                        </w:rPr>
                      </w:pPr>
                      <w:r w:rsidRPr="003314D3">
                        <w:rPr>
                          <w:sz w:val="22"/>
                          <w:szCs w:val="22"/>
                        </w:rPr>
                        <w:t>Mel Snelling:- Lead HIV / Infectious Diseases Pharmacist, Oxford University Hospitals NHS Trust</w:t>
                      </w:r>
                    </w:p>
                    <w:p w:rsidR="00FD5ACC" w:rsidRDefault="00FD5ACC" w:rsidP="00BE6E27">
                      <w:pPr>
                        <w:numPr>
                          <w:ilvl w:val="0"/>
                          <w:numId w:val="24"/>
                        </w:numPr>
                        <w:spacing w:line="480" w:lineRule="auto"/>
                        <w:rPr>
                          <w:sz w:val="22"/>
                          <w:szCs w:val="22"/>
                        </w:rPr>
                      </w:pPr>
                      <w:r w:rsidRPr="003314D3">
                        <w:rPr>
                          <w:sz w:val="22"/>
                          <w:szCs w:val="22"/>
                        </w:rPr>
                        <w:t>Catherine Harker:- Community Services Support Pharmacist, Oxford Health NHS Foundation Trust</w:t>
                      </w:r>
                    </w:p>
                    <w:p w:rsidR="00FD5ACC" w:rsidRDefault="00FD5ACC" w:rsidP="00BE6E27">
                      <w:pPr>
                        <w:numPr>
                          <w:ilvl w:val="0"/>
                          <w:numId w:val="24"/>
                        </w:numPr>
                        <w:spacing w:line="480" w:lineRule="auto"/>
                        <w:rPr>
                          <w:sz w:val="22"/>
                          <w:szCs w:val="22"/>
                        </w:rPr>
                      </w:pPr>
                      <w:r w:rsidRPr="003314D3">
                        <w:rPr>
                          <w:sz w:val="22"/>
                          <w:szCs w:val="22"/>
                        </w:rPr>
                        <w:t xml:space="preserve">Nicola Jones: – Consultant Physician, </w:t>
                      </w:r>
                      <w:r>
                        <w:rPr>
                          <w:sz w:val="22"/>
                          <w:szCs w:val="22"/>
                        </w:rPr>
                        <w:t xml:space="preserve">Department of Infectious Diseases, </w:t>
                      </w:r>
                      <w:r w:rsidRPr="003314D3">
                        <w:rPr>
                          <w:sz w:val="22"/>
                          <w:szCs w:val="22"/>
                        </w:rPr>
                        <w:t>Oxford University Hospitals NHS Trust</w:t>
                      </w:r>
                    </w:p>
                    <w:p w:rsidR="00FD5ACC" w:rsidRPr="003314D3" w:rsidRDefault="00FD5ACC" w:rsidP="00BE6E27">
                      <w:pPr>
                        <w:numPr>
                          <w:ilvl w:val="0"/>
                          <w:numId w:val="24"/>
                        </w:numPr>
                        <w:spacing w:line="480" w:lineRule="auto"/>
                        <w:rPr>
                          <w:sz w:val="22"/>
                          <w:szCs w:val="22"/>
                        </w:rPr>
                      </w:pPr>
                      <w:r>
                        <w:rPr>
                          <w:sz w:val="22"/>
                          <w:szCs w:val="22"/>
                        </w:rPr>
                        <w:t>Vanessa Venning – Consultant Dermatologist, Churchill Hospital, Oxford University Hospitals NHS Trust</w:t>
                      </w:r>
                    </w:p>
                    <w:p w:rsidR="00FD5ACC" w:rsidRDefault="00FD5ACC" w:rsidP="00BE6E27">
                      <w:pPr>
                        <w:numPr>
                          <w:ilvl w:val="0"/>
                          <w:numId w:val="24"/>
                        </w:numPr>
                        <w:spacing w:line="480" w:lineRule="auto"/>
                        <w:rPr>
                          <w:sz w:val="22"/>
                          <w:szCs w:val="22"/>
                        </w:rPr>
                      </w:pPr>
                      <w:r w:rsidRPr="003314D3">
                        <w:rPr>
                          <w:sz w:val="22"/>
                          <w:szCs w:val="22"/>
                        </w:rPr>
                        <w:t>Heather Newton: – Tissue Viability Consultant Nurse, Royal Cor</w:t>
                      </w:r>
                      <w:r>
                        <w:rPr>
                          <w:sz w:val="22"/>
                          <w:szCs w:val="22"/>
                        </w:rPr>
                        <w:t>n</w:t>
                      </w:r>
                      <w:r w:rsidRPr="003314D3">
                        <w:rPr>
                          <w:sz w:val="22"/>
                          <w:szCs w:val="22"/>
                        </w:rPr>
                        <w:t>wall Hospitals NHS Trust</w:t>
                      </w:r>
                    </w:p>
                    <w:p w:rsidR="00FD5ACC" w:rsidRPr="002E73BF" w:rsidRDefault="00FD5ACC" w:rsidP="00BE6E27">
                      <w:pPr>
                        <w:numPr>
                          <w:ilvl w:val="0"/>
                          <w:numId w:val="24"/>
                        </w:numPr>
                        <w:spacing w:line="480" w:lineRule="auto"/>
                        <w:rPr>
                          <w:sz w:val="22"/>
                          <w:szCs w:val="22"/>
                        </w:rPr>
                      </w:pPr>
                      <w:r w:rsidRPr="002E73BF">
                        <w:rPr>
                          <w:sz w:val="22"/>
                          <w:szCs w:val="22"/>
                        </w:rPr>
                        <w:t xml:space="preserve">Julie Van Onselen: - JVO Consultancy, education in Dermatology </w:t>
                      </w:r>
                    </w:p>
                    <w:p w:rsidR="00FD5ACC" w:rsidRPr="003314D3" w:rsidRDefault="00FD5ACC" w:rsidP="00BE6E27">
                      <w:pPr>
                        <w:pStyle w:val="PlainText"/>
                        <w:numPr>
                          <w:ilvl w:val="0"/>
                          <w:numId w:val="24"/>
                        </w:numPr>
                        <w:spacing w:line="480" w:lineRule="auto"/>
                        <w:rPr>
                          <w:rFonts w:ascii="Times New Roman" w:hAnsi="Times New Roman"/>
                          <w:sz w:val="22"/>
                          <w:szCs w:val="22"/>
                        </w:rPr>
                      </w:pPr>
                      <w:r w:rsidRPr="002E73BF">
                        <w:rPr>
                          <w:rFonts w:ascii="Times New Roman" w:hAnsi="Times New Roman"/>
                          <w:sz w:val="22"/>
                          <w:szCs w:val="22"/>
                        </w:rPr>
                        <w:t>Andrew Kingsley:- Clinical Manager Infection Control and Tissue Viability, Northern Devon Healthcare Trust incorporating community services in Exeter, East Devon and Mid Devon</w:t>
                      </w:r>
                    </w:p>
                    <w:p w:rsidR="00FD5ACC" w:rsidRPr="003314D3" w:rsidRDefault="00FD5ACC" w:rsidP="00BE6E27">
                      <w:pPr>
                        <w:numPr>
                          <w:ilvl w:val="0"/>
                          <w:numId w:val="24"/>
                        </w:numPr>
                        <w:spacing w:line="480" w:lineRule="auto"/>
                        <w:rPr>
                          <w:sz w:val="22"/>
                          <w:szCs w:val="22"/>
                        </w:rPr>
                      </w:pPr>
                      <w:r w:rsidRPr="003314D3">
                        <w:rPr>
                          <w:sz w:val="22"/>
                          <w:szCs w:val="22"/>
                        </w:rPr>
                        <w:t>Gill Wicks: - Tissue Viability Consultant Nurse, Wiltshire Community Health Services</w:t>
                      </w:r>
                    </w:p>
                    <w:p w:rsidR="00FD5ACC" w:rsidRPr="003314D3" w:rsidRDefault="00FD5ACC" w:rsidP="00BE6E27">
                      <w:pPr>
                        <w:numPr>
                          <w:ilvl w:val="0"/>
                          <w:numId w:val="24"/>
                        </w:numPr>
                        <w:spacing w:line="480" w:lineRule="auto"/>
                        <w:rPr>
                          <w:sz w:val="22"/>
                          <w:szCs w:val="22"/>
                        </w:rPr>
                      </w:pPr>
                      <w:r w:rsidRPr="003314D3">
                        <w:rPr>
                          <w:sz w:val="22"/>
                          <w:szCs w:val="22"/>
                        </w:rPr>
                        <w:t xml:space="preserve">Robin Cooper: - </w:t>
                      </w:r>
                      <w:r>
                        <w:rPr>
                          <w:sz w:val="22"/>
                          <w:szCs w:val="22"/>
                        </w:rPr>
                        <w:t xml:space="preserve">Leg Ulcer </w:t>
                      </w:r>
                      <w:r w:rsidRPr="003314D3">
                        <w:rPr>
                          <w:sz w:val="22"/>
                          <w:szCs w:val="22"/>
                        </w:rPr>
                        <w:t>Nurse Specialist, Salisbury Foundation NHS Trust</w:t>
                      </w:r>
                    </w:p>
                    <w:p w:rsidR="00FD5ACC" w:rsidRPr="00565225" w:rsidRDefault="00FD5ACC" w:rsidP="00BE6E27">
                      <w:pPr>
                        <w:numPr>
                          <w:ilvl w:val="0"/>
                          <w:numId w:val="24"/>
                        </w:numPr>
                        <w:spacing w:line="480" w:lineRule="auto"/>
                        <w:rPr>
                          <w:rFonts w:ascii="Cambria" w:hAnsi="Cambria"/>
                          <w:i/>
                          <w:iCs/>
                          <w:sz w:val="22"/>
                          <w:szCs w:val="22"/>
                        </w:rPr>
                      </w:pPr>
                      <w:r w:rsidRPr="003314D3">
                        <w:rPr>
                          <w:sz w:val="22"/>
                          <w:szCs w:val="22"/>
                        </w:rPr>
                        <w:t>David Green: - Specialist Pharmacist – Strategic Support, Colchester Hospital University NHS Foundation Trust</w:t>
                      </w:r>
                    </w:p>
                    <w:p w:rsidR="00FD5ACC" w:rsidRPr="006B456C" w:rsidRDefault="00FD5ACC" w:rsidP="006B456C">
                      <w:pPr>
                        <w:numPr>
                          <w:ilvl w:val="0"/>
                          <w:numId w:val="24"/>
                        </w:numPr>
                        <w:jc w:val="both"/>
                        <w:rPr>
                          <w:color w:val="000000"/>
                          <w:sz w:val="22"/>
                          <w:szCs w:val="22"/>
                        </w:rPr>
                      </w:pPr>
                      <w:r>
                        <w:rPr>
                          <w:sz w:val="22"/>
                          <w:szCs w:val="22"/>
                        </w:rPr>
                        <w:t xml:space="preserve">Susan Knight:- </w:t>
                      </w:r>
                      <w:r w:rsidRPr="006B456C">
                        <w:rPr>
                          <w:color w:val="000000"/>
                          <w:sz w:val="22"/>
                          <w:szCs w:val="22"/>
                        </w:rPr>
                        <w:t>QN Tissue Viability Specialist Nurse and Chair of the Leg Ulcer Forum.</w:t>
                      </w:r>
                    </w:p>
                    <w:p w:rsidR="00FD5ACC" w:rsidRPr="00565225" w:rsidRDefault="00FD5ACC" w:rsidP="00BE6E27">
                      <w:pPr>
                        <w:numPr>
                          <w:ilvl w:val="0"/>
                          <w:numId w:val="24"/>
                        </w:numPr>
                        <w:spacing w:line="480" w:lineRule="auto"/>
                        <w:rPr>
                          <w:rFonts w:ascii="Cambria" w:hAnsi="Cambria"/>
                          <w:i/>
                          <w:iCs/>
                          <w:sz w:val="22"/>
                          <w:szCs w:val="22"/>
                        </w:rPr>
                      </w:pPr>
                    </w:p>
                    <w:p w:rsidR="00FD5ACC" w:rsidRPr="003314D3" w:rsidRDefault="00FD5ACC" w:rsidP="00BE6E27">
                      <w:pPr>
                        <w:numPr>
                          <w:ilvl w:val="0"/>
                          <w:numId w:val="24"/>
                        </w:numPr>
                        <w:spacing w:line="480" w:lineRule="auto"/>
                        <w:rPr>
                          <w:rFonts w:ascii="Cambria" w:hAnsi="Cambria"/>
                          <w:i/>
                          <w:iCs/>
                          <w:sz w:val="22"/>
                          <w:szCs w:val="22"/>
                        </w:rPr>
                      </w:pPr>
                    </w:p>
                  </w:txbxContent>
                </v:textbox>
                <w10:wrap type="tight" anchorx="page" anchory="page"/>
              </v:shape>
            </w:pict>
          </mc:Fallback>
        </mc:AlternateContent>
      </w:r>
      <w:r w:rsidR="00D56748">
        <w:rPr>
          <w:b/>
        </w:rPr>
        <w:t>With thanks to:-</w:t>
      </w:r>
    </w:p>
    <w:p w:rsidR="00735285" w:rsidRDefault="00735285" w:rsidP="00C02765">
      <w:pPr>
        <w:spacing w:line="360" w:lineRule="auto"/>
        <w:jc w:val="both"/>
        <w:rPr>
          <w:b/>
          <w:sz w:val="28"/>
          <w:szCs w:val="28"/>
          <w:u w:val="single"/>
        </w:rPr>
      </w:pPr>
    </w:p>
    <w:p w:rsidR="00FD5ACC" w:rsidRPr="00C02765" w:rsidRDefault="0060449A" w:rsidP="00C02765">
      <w:pPr>
        <w:spacing w:line="360" w:lineRule="auto"/>
        <w:jc w:val="both"/>
        <w:rPr>
          <w:b/>
          <w:sz w:val="28"/>
          <w:szCs w:val="28"/>
          <w:u w:val="single"/>
        </w:rPr>
      </w:pPr>
      <w:r>
        <w:rPr>
          <w:b/>
          <w:sz w:val="28"/>
          <w:szCs w:val="28"/>
          <w:u w:val="single"/>
        </w:rPr>
        <w:lastRenderedPageBreak/>
        <w:t>At a glance summary</w:t>
      </w:r>
    </w:p>
    <w:p w:rsidR="00FD5ACC" w:rsidRPr="004C3EF5" w:rsidRDefault="00FD5ACC" w:rsidP="00FD5ACC">
      <w:pPr>
        <w:spacing w:line="360" w:lineRule="auto"/>
      </w:pPr>
    </w:p>
    <w:p w:rsidR="00FD5ACC" w:rsidRPr="00FD5ACC" w:rsidRDefault="00FD5ACC" w:rsidP="00FD5ACC">
      <w:pPr>
        <w:pStyle w:val="NormalWeb"/>
        <w:numPr>
          <w:ilvl w:val="0"/>
          <w:numId w:val="22"/>
        </w:numPr>
        <w:spacing w:line="360" w:lineRule="auto"/>
        <w:jc w:val="both"/>
        <w:rPr>
          <w:rStyle w:val="Strong"/>
          <w:b w:val="0"/>
        </w:rPr>
      </w:pPr>
      <w:r w:rsidRPr="00FD5ACC">
        <w:rPr>
          <w:rStyle w:val="Strong"/>
          <w:b w:val="0"/>
        </w:rPr>
        <w:t>Topical Corticosteroids are not products licensed for direct application to wound beds.</w:t>
      </w:r>
    </w:p>
    <w:p w:rsidR="00FD5ACC" w:rsidRPr="00C02765" w:rsidRDefault="00C02765" w:rsidP="00FD5ACC">
      <w:pPr>
        <w:pStyle w:val="NormalWeb"/>
        <w:numPr>
          <w:ilvl w:val="0"/>
          <w:numId w:val="22"/>
        </w:numPr>
        <w:spacing w:line="360" w:lineRule="auto"/>
        <w:jc w:val="both"/>
        <w:rPr>
          <w:rStyle w:val="Strong"/>
          <w:bCs w:val="0"/>
          <w:color w:val="000000"/>
        </w:rPr>
      </w:pPr>
      <w:r>
        <w:rPr>
          <w:rStyle w:val="Strong"/>
          <w:b w:val="0"/>
        </w:rPr>
        <w:t>T</w:t>
      </w:r>
      <w:r w:rsidR="00FD5ACC" w:rsidRPr="00FD5ACC">
        <w:rPr>
          <w:rStyle w:val="Strong"/>
          <w:b w:val="0"/>
        </w:rPr>
        <w:t>opical steroids are not recommended as a wound bed management agent unless instigated and overseen by a specialist service (e.g. Leg Ulcer Clinic, Community Tissue Viability Service or Podiatry).</w:t>
      </w:r>
    </w:p>
    <w:p w:rsidR="00C02765" w:rsidRPr="00C02765" w:rsidRDefault="00C02765" w:rsidP="00FD5ACC">
      <w:pPr>
        <w:pStyle w:val="NormalWeb"/>
        <w:numPr>
          <w:ilvl w:val="0"/>
          <w:numId w:val="22"/>
        </w:numPr>
        <w:spacing w:line="360" w:lineRule="auto"/>
        <w:jc w:val="both"/>
        <w:rPr>
          <w:b/>
          <w:color w:val="000000"/>
        </w:rPr>
      </w:pPr>
      <w:r w:rsidRPr="00C02765">
        <w:rPr>
          <w:rFonts w:cs="Arial"/>
        </w:rPr>
        <w:t>Steroid use for wound care management has been classified as brown for restricted use and Trimovate for wound care management will be added to the black list (i.e. Should not be used)</w:t>
      </w:r>
      <w:r>
        <w:rPr>
          <w:rFonts w:cs="Arial"/>
        </w:rPr>
        <w:t xml:space="preserve"> as per Area Prescribing Committee Oxfordshire (APCO)</w:t>
      </w:r>
      <w:r w:rsidR="00A15E71">
        <w:rPr>
          <w:rFonts w:cs="Arial"/>
        </w:rPr>
        <w:t xml:space="preserve"> March 2013</w:t>
      </w:r>
      <w:r>
        <w:rPr>
          <w:rFonts w:cs="Arial"/>
        </w:rPr>
        <w:t>.</w:t>
      </w:r>
    </w:p>
    <w:p w:rsidR="00FD5ACC" w:rsidRPr="00FD5ACC" w:rsidRDefault="00FD5ACC" w:rsidP="00FD5ACC">
      <w:pPr>
        <w:pStyle w:val="NormalWeb"/>
        <w:numPr>
          <w:ilvl w:val="0"/>
          <w:numId w:val="22"/>
        </w:numPr>
        <w:spacing w:before="0" w:beforeAutospacing="0" w:after="0" w:afterAutospacing="0" w:line="360" w:lineRule="auto"/>
        <w:jc w:val="both"/>
        <w:rPr>
          <w:rStyle w:val="Strong"/>
          <w:b w:val="0"/>
        </w:rPr>
      </w:pPr>
      <w:r w:rsidRPr="00FD5ACC">
        <w:rPr>
          <w:rStyle w:val="Strong"/>
          <w:b w:val="0"/>
        </w:rPr>
        <w:t>Specialist care plans should be explicit regarding the key treatment objectives and provide clear guidance on where, when and how often the treatment should be applied. A treatment period with prescribed end dates should be made clear.</w:t>
      </w:r>
    </w:p>
    <w:p w:rsidR="00FD5ACC" w:rsidRPr="00FD5ACC" w:rsidRDefault="00FD5ACC" w:rsidP="00FD5ACC">
      <w:pPr>
        <w:pStyle w:val="NormalWeb"/>
        <w:numPr>
          <w:ilvl w:val="0"/>
          <w:numId w:val="22"/>
        </w:numPr>
        <w:spacing w:line="360" w:lineRule="auto"/>
        <w:jc w:val="both"/>
        <w:rPr>
          <w:rStyle w:val="Strong"/>
          <w:b w:val="0"/>
        </w:rPr>
      </w:pPr>
      <w:r w:rsidRPr="00FD5ACC">
        <w:rPr>
          <w:rStyle w:val="Strong"/>
          <w:b w:val="0"/>
        </w:rPr>
        <w:t>Each prescription should be for single-patient use only.</w:t>
      </w:r>
    </w:p>
    <w:p w:rsidR="00FD5ACC" w:rsidRPr="00FD5ACC" w:rsidRDefault="00FD5ACC" w:rsidP="00FD5ACC">
      <w:pPr>
        <w:pStyle w:val="NormalWeb"/>
        <w:numPr>
          <w:ilvl w:val="0"/>
          <w:numId w:val="22"/>
        </w:numPr>
        <w:spacing w:before="0" w:beforeAutospacing="0" w:after="0" w:afterAutospacing="0" w:line="360" w:lineRule="auto"/>
        <w:jc w:val="both"/>
        <w:rPr>
          <w:rStyle w:val="Strong"/>
          <w:b w:val="0"/>
        </w:rPr>
      </w:pPr>
      <w:r w:rsidRPr="00FD5ACC">
        <w:rPr>
          <w:rStyle w:val="Strong"/>
          <w:b w:val="0"/>
        </w:rPr>
        <w:t>The choice of steroid should be Dermovate, reducing down to Elocon ointment.</w:t>
      </w:r>
    </w:p>
    <w:p w:rsidR="00FD5ACC" w:rsidRPr="00FD5ACC" w:rsidRDefault="00FD5ACC" w:rsidP="00FD5ACC">
      <w:pPr>
        <w:pStyle w:val="NormalWeb"/>
        <w:numPr>
          <w:ilvl w:val="0"/>
          <w:numId w:val="22"/>
        </w:numPr>
        <w:spacing w:line="360" w:lineRule="auto"/>
        <w:jc w:val="both"/>
        <w:rPr>
          <w:rStyle w:val="Strong"/>
          <w:b w:val="0"/>
        </w:rPr>
      </w:pPr>
      <w:r w:rsidRPr="00FD5ACC">
        <w:rPr>
          <w:rStyle w:val="Strong"/>
          <w:b w:val="0"/>
        </w:rPr>
        <w:t xml:space="preserve">The use of topical corticosteroids is not indicated as </w:t>
      </w:r>
      <w:r w:rsidRPr="00FD5ACC">
        <w:rPr>
          <w:rStyle w:val="Strong"/>
        </w:rPr>
        <w:t>first line</w:t>
      </w:r>
      <w:r w:rsidRPr="00FD5ACC">
        <w:rPr>
          <w:rStyle w:val="Strong"/>
          <w:b w:val="0"/>
        </w:rPr>
        <w:t xml:space="preserve"> treatment for the following:-</w:t>
      </w:r>
    </w:p>
    <w:p w:rsidR="00FD5ACC" w:rsidRPr="00FD5ACC" w:rsidRDefault="00FD5ACC" w:rsidP="00FD5ACC">
      <w:pPr>
        <w:pStyle w:val="NormalWeb"/>
        <w:numPr>
          <w:ilvl w:val="1"/>
          <w:numId w:val="22"/>
        </w:numPr>
        <w:spacing w:line="360" w:lineRule="auto"/>
        <w:jc w:val="both"/>
        <w:rPr>
          <w:rStyle w:val="Strong"/>
          <w:b w:val="0"/>
        </w:rPr>
      </w:pPr>
      <w:r w:rsidRPr="00FD5ACC">
        <w:rPr>
          <w:rStyle w:val="Strong"/>
          <w:b w:val="0"/>
        </w:rPr>
        <w:t>Wound-related Pain</w:t>
      </w:r>
    </w:p>
    <w:p w:rsidR="00FD5ACC" w:rsidRPr="00FD5ACC" w:rsidRDefault="00FD5ACC" w:rsidP="00FD5ACC">
      <w:pPr>
        <w:pStyle w:val="NormalWeb"/>
        <w:numPr>
          <w:ilvl w:val="1"/>
          <w:numId w:val="22"/>
        </w:numPr>
        <w:spacing w:line="360" w:lineRule="auto"/>
        <w:jc w:val="both"/>
        <w:rPr>
          <w:rStyle w:val="Strong"/>
          <w:b w:val="0"/>
        </w:rPr>
      </w:pPr>
      <w:r w:rsidRPr="00FD5ACC">
        <w:rPr>
          <w:rStyle w:val="Strong"/>
          <w:b w:val="0"/>
        </w:rPr>
        <w:t xml:space="preserve">Hypergranulation </w:t>
      </w:r>
    </w:p>
    <w:p w:rsidR="00FD5ACC" w:rsidRPr="00FD5ACC" w:rsidRDefault="00FD5ACC" w:rsidP="00FD5ACC">
      <w:pPr>
        <w:pStyle w:val="NormalWeb"/>
        <w:numPr>
          <w:ilvl w:val="1"/>
          <w:numId w:val="22"/>
        </w:numPr>
        <w:spacing w:line="360" w:lineRule="auto"/>
        <w:jc w:val="both"/>
        <w:rPr>
          <w:rStyle w:val="Strong"/>
          <w:b w:val="0"/>
        </w:rPr>
      </w:pPr>
      <w:r w:rsidRPr="00FD5ACC">
        <w:rPr>
          <w:rStyle w:val="Strong"/>
          <w:b w:val="0"/>
        </w:rPr>
        <w:t>Reducing wound bed bacterial loading</w:t>
      </w:r>
    </w:p>
    <w:p w:rsidR="00FD5ACC" w:rsidRDefault="00FD5ACC" w:rsidP="00FD5ACC">
      <w:pPr>
        <w:pStyle w:val="NormalWeb"/>
        <w:numPr>
          <w:ilvl w:val="1"/>
          <w:numId w:val="22"/>
        </w:numPr>
        <w:spacing w:before="0" w:beforeAutospacing="0" w:after="0" w:afterAutospacing="0" w:line="360" w:lineRule="auto"/>
        <w:jc w:val="both"/>
        <w:rPr>
          <w:rStyle w:val="Strong"/>
          <w:b w:val="0"/>
        </w:rPr>
      </w:pPr>
      <w:r w:rsidRPr="00FD5ACC">
        <w:rPr>
          <w:rStyle w:val="Strong"/>
          <w:b w:val="0"/>
        </w:rPr>
        <w:t>Delayed wound healing secondary to a prolonged inflammatory process</w:t>
      </w:r>
    </w:p>
    <w:p w:rsidR="00C02765" w:rsidRPr="00FD5ACC" w:rsidRDefault="00C02765" w:rsidP="00C02765">
      <w:pPr>
        <w:pStyle w:val="NormalWeb"/>
        <w:numPr>
          <w:ilvl w:val="1"/>
          <w:numId w:val="32"/>
        </w:numPr>
        <w:spacing w:before="0" w:beforeAutospacing="0" w:after="0" w:afterAutospacing="0" w:line="360" w:lineRule="auto"/>
        <w:ind w:left="426" w:firstLine="0"/>
        <w:jc w:val="both"/>
        <w:rPr>
          <w:rStyle w:val="Strong"/>
          <w:b w:val="0"/>
        </w:rPr>
      </w:pPr>
      <w:r>
        <w:rPr>
          <w:rStyle w:val="Strong"/>
          <w:b w:val="0"/>
        </w:rPr>
        <w:t>Clinicians needing support with hard to heal wounds should refer the patient to community tissue viability service</w:t>
      </w:r>
      <w:r w:rsidR="008A7B0B">
        <w:rPr>
          <w:rStyle w:val="Strong"/>
          <w:b w:val="0"/>
        </w:rPr>
        <w:t xml:space="preserve">. </w:t>
      </w:r>
      <w:hyperlink r:id="rId10" w:history="1">
        <w:r w:rsidR="008A7B0B" w:rsidRPr="00C26E2D">
          <w:rPr>
            <w:rStyle w:val="Hyperlink"/>
          </w:rPr>
          <w:t>tissueviability@oxfordhealth.nhs.uk</w:t>
        </w:r>
      </w:hyperlink>
      <w:r w:rsidR="008A7B0B">
        <w:rPr>
          <w:rStyle w:val="Strong"/>
          <w:b w:val="0"/>
        </w:rPr>
        <w:t xml:space="preserve"> or </w:t>
      </w:r>
      <w:hyperlink r:id="rId11" w:history="1">
        <w:r w:rsidR="008A7B0B" w:rsidRPr="00C26E2D">
          <w:rPr>
            <w:rStyle w:val="Hyperlink"/>
          </w:rPr>
          <w:t>oxfordhealth.tissueviability@nhs.net</w:t>
        </w:r>
      </w:hyperlink>
      <w:r w:rsidR="008A7B0B">
        <w:rPr>
          <w:rStyle w:val="Strong"/>
          <w:b w:val="0"/>
        </w:rPr>
        <w:t xml:space="preserve"> </w:t>
      </w:r>
    </w:p>
    <w:p w:rsidR="002D3B6C" w:rsidRDefault="00720BEA" w:rsidP="00720BEA">
      <w:pPr>
        <w:tabs>
          <w:tab w:val="left" w:pos="8595"/>
        </w:tabs>
        <w:spacing w:line="360" w:lineRule="auto"/>
        <w:rPr>
          <w:sz w:val="22"/>
          <w:szCs w:val="22"/>
        </w:rPr>
      </w:pPr>
      <w:r>
        <w:rPr>
          <w:sz w:val="22"/>
          <w:szCs w:val="22"/>
        </w:rPr>
        <w:tab/>
      </w:r>
    </w:p>
    <w:p w:rsidR="00C02765" w:rsidRDefault="00C02765" w:rsidP="002D3B6C">
      <w:pPr>
        <w:spacing w:line="276" w:lineRule="auto"/>
        <w:jc w:val="both"/>
        <w:rPr>
          <w:b/>
          <w:sz w:val="28"/>
          <w:szCs w:val="28"/>
        </w:rPr>
      </w:pPr>
    </w:p>
    <w:p w:rsidR="00C02765" w:rsidRDefault="00C02765" w:rsidP="002D3B6C">
      <w:pPr>
        <w:spacing w:line="276" w:lineRule="auto"/>
        <w:jc w:val="both"/>
        <w:rPr>
          <w:b/>
          <w:sz w:val="28"/>
          <w:szCs w:val="28"/>
        </w:rPr>
      </w:pPr>
    </w:p>
    <w:p w:rsidR="00C02765" w:rsidRDefault="00C02765" w:rsidP="002D3B6C">
      <w:pPr>
        <w:spacing w:line="276" w:lineRule="auto"/>
        <w:jc w:val="both"/>
        <w:rPr>
          <w:b/>
          <w:sz w:val="28"/>
          <w:szCs w:val="28"/>
        </w:rPr>
      </w:pPr>
    </w:p>
    <w:p w:rsidR="00C02765" w:rsidRDefault="00C02765" w:rsidP="002D3B6C">
      <w:pPr>
        <w:spacing w:line="276" w:lineRule="auto"/>
        <w:jc w:val="both"/>
        <w:rPr>
          <w:b/>
          <w:sz w:val="28"/>
          <w:szCs w:val="28"/>
        </w:rPr>
      </w:pPr>
    </w:p>
    <w:p w:rsidR="00C02765" w:rsidRPr="004C3EF5" w:rsidRDefault="00C02765" w:rsidP="00C02765">
      <w:pPr>
        <w:spacing w:line="360" w:lineRule="auto"/>
      </w:pPr>
      <w:r w:rsidRPr="004C3EF5">
        <w:t>This protocol has been devised based on consensus sought from a consortium of specialist services within secondary and primary care trusts. It has been developed to support primary care healthcare professionals in the safe application of prescribed topical steroid formulas to wound beds. The prescription of such treatment remains the responsibility of a specialist service and should not be instigated within the community without prior consultation.</w:t>
      </w:r>
    </w:p>
    <w:p w:rsidR="00C02765" w:rsidRDefault="00C02765" w:rsidP="002D3B6C">
      <w:pPr>
        <w:spacing w:line="276" w:lineRule="auto"/>
        <w:jc w:val="both"/>
        <w:rPr>
          <w:b/>
          <w:sz w:val="28"/>
          <w:szCs w:val="28"/>
        </w:rPr>
      </w:pPr>
    </w:p>
    <w:p w:rsidR="002D3B6C" w:rsidRPr="002747A0" w:rsidRDefault="002D3B6C" w:rsidP="002D3B6C">
      <w:pPr>
        <w:spacing w:line="276" w:lineRule="auto"/>
        <w:jc w:val="both"/>
        <w:rPr>
          <w:b/>
          <w:sz w:val="28"/>
          <w:szCs w:val="28"/>
        </w:rPr>
      </w:pPr>
      <w:r w:rsidRPr="002747A0">
        <w:rPr>
          <w:b/>
          <w:sz w:val="28"/>
          <w:szCs w:val="28"/>
        </w:rPr>
        <w:t xml:space="preserve">What are topical </w:t>
      </w:r>
      <w:r>
        <w:rPr>
          <w:b/>
          <w:sz w:val="28"/>
          <w:szCs w:val="28"/>
        </w:rPr>
        <w:t>Cortico</w:t>
      </w:r>
      <w:r w:rsidRPr="002747A0">
        <w:rPr>
          <w:b/>
          <w:sz w:val="28"/>
          <w:szCs w:val="28"/>
        </w:rPr>
        <w:t>steroids?</w:t>
      </w:r>
    </w:p>
    <w:p w:rsidR="002D3B6C" w:rsidRDefault="002D3B6C" w:rsidP="000D071C">
      <w:pPr>
        <w:pStyle w:val="NormalWeb"/>
        <w:numPr>
          <w:ilvl w:val="0"/>
          <w:numId w:val="13"/>
        </w:numPr>
        <w:spacing w:line="360" w:lineRule="auto"/>
        <w:jc w:val="both"/>
      </w:pPr>
      <w:r>
        <w:t>Topical steroids have been used within d</w:t>
      </w:r>
      <w:r w:rsidRPr="00272579">
        <w:t xml:space="preserve">ermatology </w:t>
      </w:r>
      <w:r>
        <w:t xml:space="preserve">practice </w:t>
      </w:r>
      <w:r w:rsidRPr="00272579">
        <w:t xml:space="preserve">since they were introduced in the late 1950s. They are effective anti-inflammatory preparations used to control </w:t>
      </w:r>
      <w:r>
        <w:t xml:space="preserve">skin conditions including Eczema and Dermatitis. </w:t>
      </w:r>
      <w:r w:rsidRPr="00272579">
        <w:t xml:space="preserve">They are </w:t>
      </w:r>
      <w:r>
        <w:t xml:space="preserve">often </w:t>
      </w:r>
      <w:r w:rsidRPr="00272579">
        <w:t xml:space="preserve">called topical corticosteroids or cortisone. </w:t>
      </w:r>
    </w:p>
    <w:p w:rsidR="002D3B6C" w:rsidRDefault="002D3B6C" w:rsidP="002D3B6C">
      <w:pPr>
        <w:pStyle w:val="NormalWeb"/>
        <w:numPr>
          <w:ilvl w:val="0"/>
          <w:numId w:val="13"/>
        </w:numPr>
        <w:spacing w:line="360" w:lineRule="auto"/>
        <w:jc w:val="both"/>
      </w:pPr>
      <w:r>
        <w:t xml:space="preserve">Topical Corticosteroids work by suppressing the inflammatory reaction during use. They are not considered curative and often the condition can re-occur following discontinuation (British National Formulary (BNF), </w:t>
      </w:r>
      <w:r w:rsidR="00C025B7">
        <w:t>accessed 19/12/</w:t>
      </w:r>
      <w:r>
        <w:t>12). They are generally used for the purpose of relieving symptoms and therefore maintaining skin integrity where emollient therapy alone is not sufficient.</w:t>
      </w:r>
    </w:p>
    <w:p w:rsidR="00337D18" w:rsidRDefault="002D3B6C" w:rsidP="002D3B6C">
      <w:pPr>
        <w:numPr>
          <w:ilvl w:val="0"/>
          <w:numId w:val="13"/>
        </w:numPr>
        <w:spacing w:line="360" w:lineRule="auto"/>
        <w:jc w:val="both"/>
      </w:pPr>
      <w:r>
        <w:t>Within wound bed management it is thought topical corticosteroids can increase cytokines, such as platelet derived growth factor (required for epidermal proliferation), and T cell growth factor (required for keratinocyte migration in the maturation phase of healing). Any reports of an improvement to wound healing status can be believed as it is likely this is due to the steroidal agent reducing local wound bed inflammation</w:t>
      </w:r>
      <w:r w:rsidR="00337D18">
        <w:t xml:space="preserve">. </w:t>
      </w:r>
    </w:p>
    <w:p w:rsidR="00205202" w:rsidRPr="00CA39D6" w:rsidRDefault="00337D18" w:rsidP="00205202">
      <w:pPr>
        <w:numPr>
          <w:ilvl w:val="0"/>
          <w:numId w:val="22"/>
        </w:numPr>
        <w:spacing w:line="336" w:lineRule="auto"/>
        <w:jc w:val="both"/>
        <w:rPr>
          <w:rFonts w:ascii="Verdana" w:hAnsi="Verdana"/>
        </w:rPr>
      </w:pPr>
      <w:r w:rsidRPr="00CA39D6">
        <w:t xml:space="preserve">The Dermatology team within Oxford University Hospitals </w:t>
      </w:r>
      <w:r w:rsidR="00BF75C5" w:rsidRPr="00CA39D6">
        <w:t>advocate the application of</w:t>
      </w:r>
      <w:r w:rsidRPr="00CA39D6">
        <w:t xml:space="preserve"> Tetracycline-</w:t>
      </w:r>
      <w:r w:rsidR="00BF75C5" w:rsidRPr="00CA39D6">
        <w:t xml:space="preserve">based formulations such as </w:t>
      </w:r>
      <w:r w:rsidR="0009783E" w:rsidRPr="00CA39D6">
        <w:t xml:space="preserve">Trimovate® </w:t>
      </w:r>
      <w:r w:rsidR="00BF75C5" w:rsidRPr="00CA39D6">
        <w:t xml:space="preserve">on wound beds. </w:t>
      </w:r>
      <w:r w:rsidRPr="00CA39D6">
        <w:t xml:space="preserve">Although primarily used in healthcare </w:t>
      </w:r>
      <w:r w:rsidR="002F0671" w:rsidRPr="00CA39D6">
        <w:t xml:space="preserve">as </w:t>
      </w:r>
      <w:r w:rsidR="00BF75C5" w:rsidRPr="00CA39D6">
        <w:t>an</w:t>
      </w:r>
      <w:r w:rsidRPr="00CA39D6">
        <w:t xml:space="preserve"> anti</w:t>
      </w:r>
      <w:r w:rsidR="004A5FC1" w:rsidRPr="00CA39D6">
        <w:t>microbial therapy (</w:t>
      </w:r>
      <w:r w:rsidR="00BF75C5" w:rsidRPr="00CA39D6">
        <w:t xml:space="preserve">contains an </w:t>
      </w:r>
      <w:r w:rsidR="004A5FC1" w:rsidRPr="00CA39D6">
        <w:t>antibiotic)</w:t>
      </w:r>
      <w:r w:rsidR="00BF75C5" w:rsidRPr="00CA39D6">
        <w:t xml:space="preserve"> </w:t>
      </w:r>
      <w:r w:rsidR="002F0671" w:rsidRPr="00CA39D6">
        <w:t xml:space="preserve">for the treatment of infected </w:t>
      </w:r>
      <w:r w:rsidR="00BF75C5" w:rsidRPr="00CA39D6">
        <w:t>ski</w:t>
      </w:r>
      <w:r w:rsidR="002F0671" w:rsidRPr="00CA39D6">
        <w:t>n conditions</w:t>
      </w:r>
      <w:r w:rsidR="004A5FC1" w:rsidRPr="00CA39D6">
        <w:t>, dermatology</w:t>
      </w:r>
      <w:r w:rsidR="00676413" w:rsidRPr="00CA39D6">
        <w:t xml:space="preserve"> often</w:t>
      </w:r>
      <w:r w:rsidRPr="00CA39D6">
        <w:t xml:space="preserve"> implement this treatment for wound-related pain management due to </w:t>
      </w:r>
      <w:r w:rsidR="00EA74CD" w:rsidRPr="00CA39D6">
        <w:t>Oxytetracycline, a constituent of Trimovate® having an anti-inflammatory effect.</w:t>
      </w:r>
    </w:p>
    <w:p w:rsidR="00BF75C5" w:rsidRPr="00CA39D6" w:rsidRDefault="00BF75C5" w:rsidP="00205202">
      <w:pPr>
        <w:pStyle w:val="ListParagraph"/>
        <w:numPr>
          <w:ilvl w:val="0"/>
          <w:numId w:val="22"/>
        </w:numPr>
        <w:spacing w:line="336" w:lineRule="auto"/>
        <w:jc w:val="both"/>
        <w:rPr>
          <w:rFonts w:ascii="Verdana" w:hAnsi="Verdana"/>
        </w:rPr>
      </w:pPr>
      <w:r w:rsidRPr="00CA39D6">
        <w:lastRenderedPageBreak/>
        <w:t>Outside dermatology practice the</w:t>
      </w:r>
      <w:r w:rsidR="00205202" w:rsidRPr="00CA39D6">
        <w:t xml:space="preserve"> routine</w:t>
      </w:r>
      <w:r w:rsidRPr="00CA39D6">
        <w:t xml:space="preserve"> use of combination (contain antibacterial/antifungal properties) topical steroid formulations such as Fucibet, Fucidin H, Daktacort are not advocated for use on wound beds.</w:t>
      </w:r>
      <w:r w:rsidRPr="00CA39D6">
        <w:rPr>
          <w:rFonts w:ascii="Verdana" w:hAnsi="Verdana"/>
        </w:rPr>
        <w:t xml:space="preserve"> </w:t>
      </w:r>
    </w:p>
    <w:p w:rsidR="00FD5ACC" w:rsidRDefault="00FD5ACC" w:rsidP="005C7128">
      <w:pPr>
        <w:pStyle w:val="NormalWeb"/>
        <w:jc w:val="both"/>
        <w:rPr>
          <w:b/>
          <w:sz w:val="28"/>
          <w:szCs w:val="28"/>
          <w:u w:val="single"/>
        </w:rPr>
      </w:pPr>
    </w:p>
    <w:p w:rsidR="00FD5ACC" w:rsidRDefault="00FD5ACC" w:rsidP="005C7128">
      <w:pPr>
        <w:pStyle w:val="NormalWeb"/>
        <w:jc w:val="both"/>
        <w:rPr>
          <w:b/>
          <w:sz w:val="28"/>
          <w:szCs w:val="28"/>
          <w:u w:val="single"/>
        </w:rPr>
      </w:pPr>
    </w:p>
    <w:p w:rsidR="002A6F4E" w:rsidRPr="00FD5ACC" w:rsidRDefault="002F0671" w:rsidP="005C7128">
      <w:pPr>
        <w:pStyle w:val="NormalWeb"/>
        <w:jc w:val="both"/>
        <w:rPr>
          <w:b/>
          <w:sz w:val="28"/>
          <w:szCs w:val="28"/>
          <w:u w:val="single"/>
        </w:rPr>
      </w:pPr>
      <w:r w:rsidRPr="00FD5ACC">
        <w:rPr>
          <w:b/>
          <w:sz w:val="28"/>
          <w:szCs w:val="28"/>
          <w:u w:val="single"/>
        </w:rPr>
        <w:t>S</w:t>
      </w:r>
      <w:r w:rsidR="00512DB2" w:rsidRPr="00FD5ACC">
        <w:rPr>
          <w:b/>
          <w:sz w:val="28"/>
          <w:szCs w:val="28"/>
          <w:u w:val="single"/>
        </w:rPr>
        <w:t>ummary</w:t>
      </w:r>
    </w:p>
    <w:p w:rsidR="00E57F45" w:rsidRPr="00CA39D6" w:rsidRDefault="008955E3" w:rsidP="00720BEA">
      <w:pPr>
        <w:pStyle w:val="NormalWeb"/>
        <w:numPr>
          <w:ilvl w:val="0"/>
          <w:numId w:val="9"/>
        </w:numPr>
        <w:spacing w:line="360" w:lineRule="auto"/>
        <w:jc w:val="both"/>
      </w:pPr>
      <w:r w:rsidRPr="00CA39D6">
        <w:t>Trimovate</w:t>
      </w:r>
      <w:r w:rsidRPr="00CA39D6">
        <w:rPr>
          <w:vertAlign w:val="superscript"/>
        </w:rPr>
        <w:t>®</w:t>
      </w:r>
      <w:r w:rsidRPr="00CA39D6">
        <w:rPr>
          <w:sz w:val="28"/>
          <w:szCs w:val="28"/>
          <w:vertAlign w:val="superscript"/>
        </w:rPr>
        <w:t xml:space="preserve"> </w:t>
      </w:r>
      <w:r w:rsidR="00E57F45" w:rsidRPr="00CA39D6">
        <w:t xml:space="preserve">cream and other topical steroids are not recommended for use </w:t>
      </w:r>
      <w:r w:rsidRPr="00CA39D6">
        <w:t>as</w:t>
      </w:r>
      <w:r w:rsidR="00E57F45" w:rsidRPr="00CA39D6">
        <w:t xml:space="preserve"> </w:t>
      </w:r>
      <w:r w:rsidR="00E359FD" w:rsidRPr="00CA39D6">
        <w:t xml:space="preserve">a </w:t>
      </w:r>
      <w:r w:rsidR="00E57F45" w:rsidRPr="00CA39D6">
        <w:t>wound bed management agent within the primary care setting of Oxfordshire unless instigated and overseen by a specialist service</w:t>
      </w:r>
      <w:r w:rsidR="00EA74CD" w:rsidRPr="00CA39D6">
        <w:t xml:space="preserve"> </w:t>
      </w:r>
      <w:r w:rsidR="00CA39D6">
        <w:t>(e.g. Leg U</w:t>
      </w:r>
      <w:r w:rsidR="00EA74CD" w:rsidRPr="00CA39D6">
        <w:t xml:space="preserve">lcer </w:t>
      </w:r>
      <w:r w:rsidR="00CA39D6">
        <w:t>C</w:t>
      </w:r>
      <w:r w:rsidR="00EA74CD" w:rsidRPr="00CA39D6">
        <w:t xml:space="preserve">linic, Community Tissue </w:t>
      </w:r>
      <w:r w:rsidR="00CA39D6">
        <w:t>V</w:t>
      </w:r>
      <w:r w:rsidR="00EA74CD" w:rsidRPr="00CA39D6">
        <w:t xml:space="preserve">iability </w:t>
      </w:r>
      <w:r w:rsidR="00CA39D6">
        <w:t>S</w:t>
      </w:r>
      <w:r w:rsidR="00EA74CD" w:rsidRPr="00CA39D6">
        <w:t>ervice or</w:t>
      </w:r>
      <w:r w:rsidR="00205202" w:rsidRPr="00CA39D6">
        <w:t xml:space="preserve"> </w:t>
      </w:r>
      <w:r w:rsidR="00CA39D6">
        <w:t>P</w:t>
      </w:r>
      <w:r w:rsidR="00205202" w:rsidRPr="00CA39D6">
        <w:t>odiatry</w:t>
      </w:r>
      <w:r w:rsidR="00CA39D6">
        <w:t>.</w:t>
      </w:r>
    </w:p>
    <w:p w:rsidR="005C7128" w:rsidRPr="00C47BE1" w:rsidRDefault="005C7128" w:rsidP="00720BEA">
      <w:pPr>
        <w:pStyle w:val="NormalWeb"/>
        <w:tabs>
          <w:tab w:val="left" w:pos="9510"/>
        </w:tabs>
        <w:jc w:val="both"/>
        <w:rPr>
          <w:b/>
          <w:sz w:val="28"/>
          <w:szCs w:val="28"/>
        </w:rPr>
      </w:pPr>
      <w:r w:rsidRPr="00C47BE1">
        <w:rPr>
          <w:b/>
          <w:sz w:val="28"/>
          <w:szCs w:val="28"/>
        </w:rPr>
        <w:t>Before implementation have you considered:-</w:t>
      </w:r>
      <w:r w:rsidR="00720BEA">
        <w:rPr>
          <w:b/>
          <w:sz w:val="28"/>
          <w:szCs w:val="28"/>
        </w:rPr>
        <w:tab/>
      </w:r>
    </w:p>
    <w:p w:rsidR="005C7128" w:rsidRDefault="005C7128" w:rsidP="005C7128">
      <w:pPr>
        <w:pStyle w:val="NormalWeb"/>
        <w:numPr>
          <w:ilvl w:val="0"/>
          <w:numId w:val="9"/>
        </w:numPr>
        <w:spacing w:line="360" w:lineRule="auto"/>
        <w:jc w:val="both"/>
      </w:pPr>
      <w:r>
        <w:t>Topical Corticosteroids are not products licensed for direct application to wound beds.</w:t>
      </w:r>
    </w:p>
    <w:p w:rsidR="005C7128" w:rsidRDefault="005C7128" w:rsidP="0099165C">
      <w:pPr>
        <w:pStyle w:val="NormalWeb"/>
        <w:numPr>
          <w:ilvl w:val="0"/>
          <w:numId w:val="9"/>
        </w:numPr>
        <w:spacing w:line="360" w:lineRule="auto"/>
        <w:jc w:val="both"/>
      </w:pPr>
      <w:r>
        <w:t>Treatment must be instigated and prescribed by a specialist service</w:t>
      </w:r>
      <w:r w:rsidR="003C3AA7">
        <w:t xml:space="preserve"> </w:t>
      </w:r>
    </w:p>
    <w:p w:rsidR="0099165C" w:rsidRDefault="005C7128" w:rsidP="0099165C">
      <w:pPr>
        <w:pStyle w:val="NormalWeb"/>
        <w:numPr>
          <w:ilvl w:val="0"/>
          <w:numId w:val="9"/>
        </w:numPr>
        <w:spacing w:line="360" w:lineRule="auto"/>
        <w:jc w:val="both"/>
      </w:pPr>
      <w:r>
        <w:t>Each prescription s</w:t>
      </w:r>
      <w:r w:rsidR="00C47BE1">
        <w:t>hould be for single-</w:t>
      </w:r>
      <w:r>
        <w:t>patient</w:t>
      </w:r>
      <w:r w:rsidR="00C47BE1">
        <w:t xml:space="preserve"> use only</w:t>
      </w:r>
      <w:r>
        <w:t>.</w:t>
      </w:r>
    </w:p>
    <w:p w:rsidR="0099165C" w:rsidRPr="0099165C" w:rsidRDefault="0099165C" w:rsidP="0099165C">
      <w:pPr>
        <w:pStyle w:val="NormalWeb"/>
        <w:numPr>
          <w:ilvl w:val="0"/>
          <w:numId w:val="9"/>
        </w:numPr>
        <w:spacing w:line="360" w:lineRule="auto"/>
        <w:jc w:val="both"/>
      </w:pPr>
      <w:r>
        <w:t>Has the patient provided informed consent for the treatment and is this documented on the patient’s treatment plan?</w:t>
      </w:r>
    </w:p>
    <w:p w:rsidR="00C47BE1" w:rsidRDefault="005C7128" w:rsidP="005C7128">
      <w:pPr>
        <w:pStyle w:val="NormalWeb"/>
        <w:numPr>
          <w:ilvl w:val="0"/>
          <w:numId w:val="9"/>
        </w:numPr>
        <w:spacing w:line="360" w:lineRule="auto"/>
        <w:jc w:val="both"/>
      </w:pPr>
      <w:r>
        <w:t xml:space="preserve">The </w:t>
      </w:r>
      <w:r w:rsidR="00C47BE1">
        <w:t xml:space="preserve">use of </w:t>
      </w:r>
      <w:r>
        <w:t xml:space="preserve">topical corticosteroids </w:t>
      </w:r>
      <w:r w:rsidR="00C47BE1">
        <w:t>is not indicated as</w:t>
      </w:r>
      <w:r>
        <w:t xml:space="preserve"> </w:t>
      </w:r>
      <w:r w:rsidRPr="00EA74CD">
        <w:rPr>
          <w:b/>
        </w:rPr>
        <w:t>first line</w:t>
      </w:r>
      <w:r>
        <w:t xml:space="preserve"> </w:t>
      </w:r>
      <w:r w:rsidR="00205202">
        <w:t xml:space="preserve">treatment </w:t>
      </w:r>
      <w:r w:rsidR="00C47BE1">
        <w:t>for the following:-</w:t>
      </w:r>
    </w:p>
    <w:p w:rsidR="00C47BE1" w:rsidRDefault="00C47BE1" w:rsidP="00C47BE1">
      <w:pPr>
        <w:pStyle w:val="NormalWeb"/>
        <w:numPr>
          <w:ilvl w:val="1"/>
          <w:numId w:val="9"/>
        </w:numPr>
        <w:spacing w:line="360" w:lineRule="auto"/>
        <w:jc w:val="both"/>
      </w:pPr>
      <w:r>
        <w:t>Wound-related Pain</w:t>
      </w:r>
    </w:p>
    <w:p w:rsidR="00C47BE1" w:rsidRDefault="00C47BE1" w:rsidP="00CF6CB6">
      <w:pPr>
        <w:pStyle w:val="NormalWeb"/>
        <w:numPr>
          <w:ilvl w:val="1"/>
          <w:numId w:val="9"/>
        </w:numPr>
        <w:spacing w:line="360" w:lineRule="auto"/>
        <w:jc w:val="both"/>
      </w:pPr>
      <w:r>
        <w:t>Hypergranulation</w:t>
      </w:r>
      <w:r w:rsidR="00512DB2">
        <w:t xml:space="preserve"> </w:t>
      </w:r>
    </w:p>
    <w:p w:rsidR="00C47BE1" w:rsidRDefault="00C47BE1" w:rsidP="00C47BE1">
      <w:pPr>
        <w:pStyle w:val="NormalWeb"/>
        <w:numPr>
          <w:ilvl w:val="1"/>
          <w:numId w:val="9"/>
        </w:numPr>
        <w:spacing w:line="360" w:lineRule="auto"/>
        <w:jc w:val="both"/>
      </w:pPr>
      <w:r>
        <w:t>Reducing wound bed bacterial loading</w:t>
      </w:r>
    </w:p>
    <w:p w:rsidR="00205202" w:rsidRDefault="00337D18" w:rsidP="00205202">
      <w:pPr>
        <w:pStyle w:val="NormalWeb"/>
        <w:numPr>
          <w:ilvl w:val="1"/>
          <w:numId w:val="9"/>
        </w:numPr>
        <w:spacing w:before="0" w:beforeAutospacing="0" w:after="0" w:afterAutospacing="0" w:line="360" w:lineRule="auto"/>
        <w:jc w:val="both"/>
        <w:rPr>
          <w:sz w:val="20"/>
          <w:szCs w:val="20"/>
        </w:rPr>
      </w:pPr>
      <w:r w:rsidRPr="00205202">
        <w:t>Delayed wound</w:t>
      </w:r>
      <w:r w:rsidR="00C47BE1" w:rsidRPr="00205202">
        <w:t xml:space="preserve"> </w:t>
      </w:r>
      <w:r w:rsidRPr="00205202">
        <w:t xml:space="preserve">healing secondary to a </w:t>
      </w:r>
      <w:r w:rsidR="00C47BE1" w:rsidRPr="00205202">
        <w:t>pro</w:t>
      </w:r>
      <w:r w:rsidR="00136163" w:rsidRPr="00205202">
        <w:t>longed inflammatory process</w:t>
      </w:r>
    </w:p>
    <w:p w:rsidR="00CF6CB6" w:rsidRPr="00205202" w:rsidRDefault="005C7128" w:rsidP="00205202">
      <w:pPr>
        <w:pStyle w:val="NormalWeb"/>
        <w:numPr>
          <w:ilvl w:val="0"/>
          <w:numId w:val="31"/>
        </w:numPr>
        <w:spacing w:before="0" w:beforeAutospacing="0" w:after="0" w:afterAutospacing="0" w:line="360" w:lineRule="auto"/>
        <w:jc w:val="both"/>
        <w:rPr>
          <w:sz w:val="20"/>
          <w:szCs w:val="20"/>
        </w:rPr>
      </w:pPr>
      <w:r>
        <w:t xml:space="preserve">There are localised and systemic risks associated with long-term use of topical steroid </w:t>
      </w:r>
      <w:r w:rsidR="00205202">
        <w:t>preparations</w:t>
      </w:r>
    </w:p>
    <w:p w:rsidR="00CF6CB6" w:rsidRPr="00C025B7" w:rsidRDefault="00CF6CB6" w:rsidP="003C3AA7">
      <w:pPr>
        <w:numPr>
          <w:ilvl w:val="0"/>
          <w:numId w:val="30"/>
        </w:numPr>
        <w:spacing w:line="360" w:lineRule="auto"/>
        <w:jc w:val="both"/>
        <w:rPr>
          <w:color w:val="333333"/>
          <w:sz w:val="20"/>
          <w:szCs w:val="20"/>
        </w:rPr>
      </w:pPr>
      <w:r>
        <w:lastRenderedPageBreak/>
        <w:t>Specialist care plans should be explicit regarding the key treatment objectives and provide clear guidance on where, when and how often the treatment should be applied. A treatment period with prescribed end dates should be made clear</w:t>
      </w:r>
      <w:r w:rsidR="008F35C2">
        <w:t xml:space="preserve"> </w:t>
      </w:r>
      <w:r w:rsidR="008F35C2">
        <w:rPr>
          <w:color w:val="333333"/>
          <w:sz w:val="20"/>
          <w:szCs w:val="20"/>
        </w:rPr>
        <w:t xml:space="preserve">(DermNet NZ, 2012, </w:t>
      </w:r>
      <w:r w:rsidR="008F35C2" w:rsidRPr="007E7607">
        <w:rPr>
          <w:sz w:val="20"/>
          <w:szCs w:val="20"/>
        </w:rPr>
        <w:t>accessed 23</w:t>
      </w:r>
      <w:r w:rsidR="008F35C2" w:rsidRPr="007E7607">
        <w:rPr>
          <w:sz w:val="20"/>
          <w:szCs w:val="20"/>
          <w:vertAlign w:val="superscript"/>
        </w:rPr>
        <w:t>rd</w:t>
      </w:r>
      <w:r w:rsidR="008F35C2" w:rsidRPr="007E7607">
        <w:rPr>
          <w:sz w:val="20"/>
          <w:szCs w:val="20"/>
        </w:rPr>
        <w:t xml:space="preserve"> November</w:t>
      </w:r>
      <w:r w:rsidR="00205202">
        <w:rPr>
          <w:sz w:val="20"/>
          <w:szCs w:val="20"/>
        </w:rPr>
        <w:t xml:space="preserve"> 2012)</w:t>
      </w:r>
    </w:p>
    <w:p w:rsidR="00C025B7" w:rsidRPr="00CB2A3E" w:rsidRDefault="00C025B7" w:rsidP="00C025B7">
      <w:pPr>
        <w:spacing w:line="360" w:lineRule="auto"/>
        <w:ind w:left="720"/>
        <w:jc w:val="both"/>
        <w:rPr>
          <w:color w:val="333333"/>
          <w:sz w:val="20"/>
          <w:szCs w:val="20"/>
        </w:rPr>
      </w:pPr>
    </w:p>
    <w:p w:rsidR="009A7A57" w:rsidRPr="00816500" w:rsidRDefault="009A7A57" w:rsidP="00816500">
      <w:pPr>
        <w:spacing w:line="276" w:lineRule="auto"/>
        <w:jc w:val="center"/>
        <w:rPr>
          <w:b/>
          <w:sz w:val="22"/>
          <w:szCs w:val="22"/>
        </w:rPr>
      </w:pPr>
      <w:r w:rsidRPr="00816500">
        <w:rPr>
          <w:b/>
          <w:sz w:val="22"/>
          <w:szCs w:val="22"/>
        </w:rPr>
        <w:t xml:space="preserve">The clinical evidence relating to the mode of action of topical steroids within wound bed </w:t>
      </w:r>
      <w:r w:rsidR="004C7022" w:rsidRPr="00816500">
        <w:rPr>
          <w:b/>
          <w:sz w:val="22"/>
          <w:szCs w:val="22"/>
        </w:rPr>
        <w:t>management</w:t>
      </w:r>
      <w:r w:rsidRPr="00816500">
        <w:rPr>
          <w:b/>
          <w:sz w:val="22"/>
          <w:szCs w:val="22"/>
        </w:rPr>
        <w:t xml:space="preserve"> is limited. The following protocol has been developed </w:t>
      </w:r>
      <w:r w:rsidR="00EA74CD" w:rsidRPr="00205202">
        <w:rPr>
          <w:b/>
          <w:sz w:val="22"/>
          <w:szCs w:val="22"/>
        </w:rPr>
        <w:t xml:space="preserve">by applying </w:t>
      </w:r>
      <w:r w:rsidR="0067366D" w:rsidRPr="00205202">
        <w:rPr>
          <w:b/>
          <w:sz w:val="22"/>
          <w:szCs w:val="22"/>
        </w:rPr>
        <w:t xml:space="preserve">national </w:t>
      </w:r>
      <w:r w:rsidRPr="00205202">
        <w:rPr>
          <w:b/>
          <w:sz w:val="22"/>
          <w:szCs w:val="22"/>
        </w:rPr>
        <w:t>dermato</w:t>
      </w:r>
      <w:r w:rsidR="004C7022" w:rsidRPr="00205202">
        <w:rPr>
          <w:b/>
          <w:sz w:val="22"/>
          <w:szCs w:val="22"/>
        </w:rPr>
        <w:t xml:space="preserve">logy </w:t>
      </w:r>
      <w:r w:rsidR="0067366D" w:rsidRPr="00205202">
        <w:rPr>
          <w:b/>
          <w:sz w:val="22"/>
          <w:szCs w:val="22"/>
        </w:rPr>
        <w:t>guidelines</w:t>
      </w:r>
      <w:r w:rsidR="004C7022" w:rsidRPr="00816500">
        <w:rPr>
          <w:b/>
          <w:sz w:val="22"/>
          <w:szCs w:val="22"/>
        </w:rPr>
        <w:t xml:space="preserve"> relating to topical formulas on skin, to wound bed management. Specialist consensus has been sought in order to promote safe nursing practice within the community.</w:t>
      </w:r>
    </w:p>
    <w:p w:rsidR="00CE30FA" w:rsidRDefault="00CE30FA" w:rsidP="005D7C25">
      <w:pPr>
        <w:spacing w:line="276" w:lineRule="auto"/>
        <w:jc w:val="both"/>
        <w:rPr>
          <w:sz w:val="28"/>
          <w:szCs w:val="28"/>
        </w:rPr>
      </w:pPr>
    </w:p>
    <w:tbl>
      <w:tblPr>
        <w:tblW w:w="15877" w:type="dxa"/>
        <w:tblCellSpacing w:w="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2"/>
        <w:gridCol w:w="10015"/>
      </w:tblGrid>
      <w:tr w:rsidR="00CE30FA" w:rsidRPr="007E7607" w:rsidTr="00A66148">
        <w:trPr>
          <w:tblCellSpacing w:w="56" w:type="dxa"/>
        </w:trPr>
        <w:tc>
          <w:tcPr>
            <w:tcW w:w="5694" w:type="dxa"/>
            <w:shd w:val="clear" w:color="auto" w:fill="9BBB59"/>
          </w:tcPr>
          <w:p w:rsidR="00CE30FA" w:rsidRPr="001F641B" w:rsidRDefault="00CE30FA" w:rsidP="001F641B">
            <w:pPr>
              <w:spacing w:line="276" w:lineRule="auto"/>
              <w:jc w:val="center"/>
              <w:rPr>
                <w:sz w:val="32"/>
                <w:szCs w:val="32"/>
              </w:rPr>
            </w:pPr>
            <w:r w:rsidRPr="001F641B">
              <w:rPr>
                <w:sz w:val="32"/>
                <w:szCs w:val="32"/>
              </w:rPr>
              <w:t>Action</w:t>
            </w:r>
          </w:p>
        </w:tc>
        <w:tc>
          <w:tcPr>
            <w:tcW w:w="9847" w:type="dxa"/>
            <w:shd w:val="clear" w:color="auto" w:fill="D6E3BC"/>
          </w:tcPr>
          <w:p w:rsidR="00CE30FA" w:rsidRPr="001F641B" w:rsidRDefault="00CE30FA" w:rsidP="001F641B">
            <w:pPr>
              <w:spacing w:line="276" w:lineRule="auto"/>
              <w:jc w:val="center"/>
              <w:rPr>
                <w:sz w:val="32"/>
                <w:szCs w:val="32"/>
              </w:rPr>
            </w:pPr>
            <w:r w:rsidRPr="001F641B">
              <w:rPr>
                <w:sz w:val="32"/>
                <w:szCs w:val="32"/>
              </w:rPr>
              <w:t>Rationale</w:t>
            </w:r>
          </w:p>
        </w:tc>
      </w:tr>
      <w:tr w:rsidR="001C6D54" w:rsidRPr="007E7607" w:rsidTr="00A66148">
        <w:trPr>
          <w:trHeight w:val="1650"/>
          <w:tblCellSpacing w:w="56" w:type="dxa"/>
        </w:trPr>
        <w:tc>
          <w:tcPr>
            <w:tcW w:w="5694" w:type="dxa"/>
            <w:shd w:val="clear" w:color="auto" w:fill="9BBB59"/>
          </w:tcPr>
          <w:p w:rsidR="001C6D54" w:rsidRPr="00A66148" w:rsidRDefault="001C6D54" w:rsidP="007E7607">
            <w:pPr>
              <w:pStyle w:val="NormalWeb"/>
              <w:spacing w:line="276" w:lineRule="auto"/>
              <w:rPr>
                <w:rFonts w:ascii="Calibri" w:hAnsi="Calibri"/>
                <w:b/>
                <w:sz w:val="26"/>
                <w:szCs w:val="26"/>
              </w:rPr>
            </w:pPr>
            <w:r w:rsidRPr="00A66148">
              <w:rPr>
                <w:rFonts w:ascii="Calibri" w:hAnsi="Calibri"/>
                <w:b/>
                <w:sz w:val="26"/>
                <w:szCs w:val="26"/>
              </w:rPr>
              <w:t>Clear treatment objectives and rationale for use</w:t>
            </w:r>
            <w:r w:rsidR="0039090B" w:rsidRPr="00A66148">
              <w:rPr>
                <w:rFonts w:ascii="Calibri" w:hAnsi="Calibri"/>
                <w:b/>
                <w:sz w:val="26"/>
                <w:szCs w:val="26"/>
              </w:rPr>
              <w:t>:-</w:t>
            </w:r>
          </w:p>
          <w:p w:rsidR="0039090B" w:rsidRDefault="0039090B" w:rsidP="007419B5">
            <w:pPr>
              <w:pStyle w:val="NormalWeb"/>
              <w:spacing w:line="276" w:lineRule="auto"/>
              <w:jc w:val="both"/>
            </w:pPr>
            <w:r>
              <w:t>Is there evidence of a holistic patient assessment with a clear diagnosis requiring this specialist treatment?</w:t>
            </w:r>
          </w:p>
          <w:p w:rsidR="0039090B" w:rsidRDefault="0039090B" w:rsidP="007419B5">
            <w:pPr>
              <w:pStyle w:val="NormalWeb"/>
              <w:spacing w:line="276" w:lineRule="auto"/>
              <w:jc w:val="both"/>
            </w:pPr>
            <w:r>
              <w:t>Could treatment objectives be managed through the application of licensed ONPOS dressing products and by optimising underlying disease processes/patient health?</w:t>
            </w:r>
          </w:p>
          <w:p w:rsidR="005F47ED" w:rsidRPr="007E7607" w:rsidRDefault="005F47ED" w:rsidP="00E31057">
            <w:pPr>
              <w:pStyle w:val="NormalWeb"/>
              <w:spacing w:line="276" w:lineRule="auto"/>
              <w:jc w:val="both"/>
              <w:rPr>
                <w:b/>
                <w:sz w:val="28"/>
                <w:szCs w:val="28"/>
              </w:rPr>
            </w:pPr>
            <w:r>
              <w:t xml:space="preserve">The prescribed </w:t>
            </w:r>
            <w:r w:rsidR="00E31057">
              <w:t>steroid preparation</w:t>
            </w:r>
            <w:r>
              <w:t xml:space="preserve"> is for single-patient use only.</w:t>
            </w:r>
          </w:p>
        </w:tc>
        <w:tc>
          <w:tcPr>
            <w:tcW w:w="9847" w:type="dxa"/>
            <w:shd w:val="clear" w:color="auto" w:fill="D6E3BC"/>
          </w:tcPr>
          <w:p w:rsidR="00726373" w:rsidRPr="001D0BCC" w:rsidRDefault="00726373" w:rsidP="001F641B">
            <w:pPr>
              <w:numPr>
                <w:ilvl w:val="0"/>
                <w:numId w:val="10"/>
              </w:numPr>
              <w:spacing w:line="360" w:lineRule="auto"/>
              <w:ind w:left="714" w:hanging="357"/>
              <w:jc w:val="both"/>
              <w:rPr>
                <w:sz w:val="20"/>
                <w:szCs w:val="20"/>
              </w:rPr>
            </w:pPr>
            <w:r w:rsidRPr="001D0BCC">
              <w:rPr>
                <w:sz w:val="20"/>
                <w:szCs w:val="20"/>
              </w:rPr>
              <w:t>Liability for prescribing an unlicensed product lies with the prescriber and the dispenser or supplier ((Nursing and Midwifery Council (NMC), 200</w:t>
            </w:r>
            <w:r w:rsidR="00537062">
              <w:rPr>
                <w:sz w:val="20"/>
                <w:szCs w:val="20"/>
              </w:rPr>
              <w:t>7</w:t>
            </w:r>
            <w:r w:rsidRPr="001D0BCC">
              <w:rPr>
                <w:sz w:val="20"/>
                <w:szCs w:val="20"/>
              </w:rPr>
              <w:t>). Although as an accountable practitioner you should be satisfied that you have sufficient information to administer an unlicensed drug safely and where possible acceptable published evidence to support product use (NMC, 200</w:t>
            </w:r>
            <w:r w:rsidR="00537062">
              <w:rPr>
                <w:sz w:val="20"/>
                <w:szCs w:val="20"/>
              </w:rPr>
              <w:t>7</w:t>
            </w:r>
            <w:r w:rsidRPr="001D0BCC">
              <w:rPr>
                <w:sz w:val="20"/>
                <w:szCs w:val="20"/>
              </w:rPr>
              <w:t>)</w:t>
            </w:r>
          </w:p>
          <w:p w:rsidR="00726373" w:rsidRPr="001D0BCC" w:rsidRDefault="00726373" w:rsidP="007E7607">
            <w:pPr>
              <w:numPr>
                <w:ilvl w:val="0"/>
                <w:numId w:val="10"/>
              </w:numPr>
              <w:spacing w:line="360" w:lineRule="auto"/>
              <w:jc w:val="both"/>
              <w:rPr>
                <w:b/>
                <w:sz w:val="20"/>
                <w:szCs w:val="20"/>
              </w:rPr>
            </w:pPr>
            <w:r w:rsidRPr="001D0BCC">
              <w:rPr>
                <w:sz w:val="20"/>
                <w:szCs w:val="20"/>
              </w:rPr>
              <w:t>You must exercise you professional judgement and apply your knowledge and skill in the given situation to ensure safe administration of medications (NMC, 200</w:t>
            </w:r>
            <w:r w:rsidR="00537062">
              <w:rPr>
                <w:sz w:val="20"/>
                <w:szCs w:val="20"/>
              </w:rPr>
              <w:t>7</w:t>
            </w:r>
            <w:r w:rsidRPr="001D0BCC">
              <w:rPr>
                <w:sz w:val="20"/>
                <w:szCs w:val="20"/>
              </w:rPr>
              <w:t>) and contact the prescribing specialist teams in order to obtain this information prior to implementation.</w:t>
            </w:r>
          </w:p>
          <w:p w:rsidR="005F47ED" w:rsidRPr="001D0BCC" w:rsidRDefault="005F47ED" w:rsidP="007E7607">
            <w:pPr>
              <w:numPr>
                <w:ilvl w:val="0"/>
                <w:numId w:val="10"/>
              </w:numPr>
              <w:spacing w:line="360" w:lineRule="auto"/>
              <w:jc w:val="both"/>
              <w:rPr>
                <w:b/>
                <w:sz w:val="20"/>
                <w:szCs w:val="20"/>
              </w:rPr>
            </w:pPr>
            <w:r w:rsidRPr="001D0BCC">
              <w:rPr>
                <w:sz w:val="20"/>
                <w:szCs w:val="20"/>
              </w:rPr>
              <w:t xml:space="preserve">If a non-medical prescriber chooses to change the specification for use of a </w:t>
            </w:r>
            <w:r w:rsidR="004D202B" w:rsidRPr="001D0BCC">
              <w:rPr>
                <w:sz w:val="20"/>
                <w:szCs w:val="20"/>
              </w:rPr>
              <w:t>prescribed</w:t>
            </w:r>
            <w:r w:rsidRPr="001D0BCC">
              <w:rPr>
                <w:sz w:val="20"/>
                <w:szCs w:val="20"/>
              </w:rPr>
              <w:t xml:space="preserve"> product they are responsible for their actions. This includes being accountable for any harm that the patient may experience following the application (Griffiths, 2007). </w:t>
            </w:r>
          </w:p>
          <w:p w:rsidR="001C6D54" w:rsidRPr="007E7607" w:rsidRDefault="001C6D54" w:rsidP="007E7607">
            <w:pPr>
              <w:spacing w:line="360" w:lineRule="auto"/>
              <w:ind w:left="720"/>
              <w:jc w:val="both"/>
              <w:rPr>
                <w:sz w:val="20"/>
                <w:szCs w:val="20"/>
              </w:rPr>
            </w:pPr>
          </w:p>
        </w:tc>
      </w:tr>
      <w:tr w:rsidR="006E4396" w:rsidRPr="007E7607" w:rsidTr="00A66148">
        <w:trPr>
          <w:trHeight w:val="1650"/>
          <w:tblCellSpacing w:w="56" w:type="dxa"/>
        </w:trPr>
        <w:tc>
          <w:tcPr>
            <w:tcW w:w="5694" w:type="dxa"/>
            <w:shd w:val="clear" w:color="auto" w:fill="9BBB59"/>
          </w:tcPr>
          <w:p w:rsidR="007419B5" w:rsidRPr="00A66148" w:rsidRDefault="001F641B" w:rsidP="007419B5">
            <w:pPr>
              <w:pStyle w:val="NormalWeb"/>
              <w:spacing w:before="0" w:beforeAutospacing="0" w:after="0" w:afterAutospacing="0" w:line="480" w:lineRule="auto"/>
              <w:rPr>
                <w:rFonts w:ascii="Calibri" w:hAnsi="Calibri"/>
                <w:b/>
                <w:sz w:val="26"/>
                <w:szCs w:val="26"/>
              </w:rPr>
            </w:pPr>
            <w:r w:rsidRPr="00A66148">
              <w:rPr>
                <w:rFonts w:ascii="Calibri" w:hAnsi="Calibri"/>
                <w:b/>
                <w:sz w:val="26"/>
                <w:szCs w:val="26"/>
              </w:rPr>
              <w:t>Ensuring safe administration:-</w:t>
            </w:r>
          </w:p>
          <w:p w:rsidR="001C6D54" w:rsidRPr="001F641B" w:rsidRDefault="007419B5" w:rsidP="007419B5">
            <w:pPr>
              <w:pStyle w:val="NormalWeb"/>
              <w:spacing w:before="0" w:beforeAutospacing="0" w:after="0" w:afterAutospacing="0"/>
              <w:jc w:val="both"/>
              <w:rPr>
                <w:b/>
                <w:sz w:val="28"/>
                <w:szCs w:val="28"/>
              </w:rPr>
            </w:pPr>
            <w:r>
              <w:t>Where possible g</w:t>
            </w:r>
            <w:r w:rsidR="00A26FF8">
              <w:t>ain and document p</w:t>
            </w:r>
            <w:r w:rsidR="006E4396">
              <w:t xml:space="preserve">atient informed consent </w:t>
            </w:r>
            <w:r>
              <w:t>for treatment.</w:t>
            </w:r>
          </w:p>
          <w:p w:rsidR="00354882" w:rsidRDefault="007419B5" w:rsidP="00354882">
            <w:pPr>
              <w:pStyle w:val="NormalWeb"/>
              <w:jc w:val="both"/>
            </w:pPr>
            <w:r>
              <w:t>Application of</w:t>
            </w:r>
            <w:r w:rsidR="00A26FF8">
              <w:t xml:space="preserve"> medication should be </w:t>
            </w:r>
            <w:r w:rsidR="001F641B">
              <w:t xml:space="preserve">in line </w:t>
            </w:r>
            <w:r w:rsidR="00132866">
              <w:t xml:space="preserve">with </w:t>
            </w:r>
            <w:r w:rsidR="00A26FF8">
              <w:t xml:space="preserve">a </w:t>
            </w:r>
            <w:r w:rsidR="00A26FF8">
              <w:lastRenderedPageBreak/>
              <w:t>Patient-Specific Direction</w:t>
            </w:r>
            <w:r w:rsidR="008F35C2">
              <w:t xml:space="preserve"> (PSD)</w:t>
            </w:r>
            <w:r w:rsidR="00A26FF8">
              <w:t xml:space="preserve"> (pink sheet) </w:t>
            </w:r>
          </w:p>
          <w:p w:rsidR="00354882" w:rsidRPr="00CE30FA" w:rsidRDefault="00354882" w:rsidP="00354882">
            <w:pPr>
              <w:pStyle w:val="NormalWeb"/>
              <w:jc w:val="both"/>
            </w:pPr>
          </w:p>
        </w:tc>
        <w:tc>
          <w:tcPr>
            <w:tcW w:w="9847" w:type="dxa"/>
            <w:shd w:val="clear" w:color="auto" w:fill="D6E3BC"/>
          </w:tcPr>
          <w:p w:rsidR="006E4396" w:rsidRDefault="00A26FF8" w:rsidP="007E7607">
            <w:pPr>
              <w:numPr>
                <w:ilvl w:val="0"/>
                <w:numId w:val="10"/>
              </w:numPr>
              <w:spacing w:line="360" w:lineRule="auto"/>
              <w:jc w:val="both"/>
              <w:rPr>
                <w:sz w:val="20"/>
                <w:szCs w:val="20"/>
              </w:rPr>
            </w:pPr>
            <w:r>
              <w:rPr>
                <w:sz w:val="20"/>
                <w:szCs w:val="20"/>
              </w:rPr>
              <w:lastRenderedPageBreak/>
              <w:t>As a registered nurse, where possible, you are responsible for gaining patient informed consent prior to instigating treatment. It is important the patient has a clear understanding of the purpose of treatment.</w:t>
            </w:r>
          </w:p>
          <w:p w:rsidR="00A26FF8" w:rsidRDefault="00A26FF8" w:rsidP="00A26FF8">
            <w:pPr>
              <w:numPr>
                <w:ilvl w:val="0"/>
                <w:numId w:val="10"/>
              </w:numPr>
              <w:spacing w:line="360" w:lineRule="auto"/>
              <w:jc w:val="both"/>
              <w:rPr>
                <w:sz w:val="20"/>
                <w:szCs w:val="20"/>
              </w:rPr>
            </w:pPr>
            <w:r>
              <w:rPr>
                <w:sz w:val="20"/>
                <w:szCs w:val="20"/>
              </w:rPr>
              <w:t>Patient allergies should be checked and clearly documented prior to administration (NMC, 200</w:t>
            </w:r>
            <w:r w:rsidR="00537062">
              <w:rPr>
                <w:sz w:val="20"/>
                <w:szCs w:val="20"/>
              </w:rPr>
              <w:t>7</w:t>
            </w:r>
            <w:r>
              <w:rPr>
                <w:sz w:val="20"/>
                <w:szCs w:val="20"/>
              </w:rPr>
              <w:t>)</w:t>
            </w:r>
          </w:p>
          <w:p w:rsidR="001D0BCC" w:rsidRDefault="00A26FF8" w:rsidP="00537062">
            <w:pPr>
              <w:numPr>
                <w:ilvl w:val="0"/>
                <w:numId w:val="10"/>
              </w:numPr>
              <w:spacing w:line="360" w:lineRule="auto"/>
              <w:jc w:val="both"/>
              <w:rPr>
                <w:sz w:val="20"/>
                <w:szCs w:val="20"/>
              </w:rPr>
            </w:pPr>
            <w:r>
              <w:rPr>
                <w:sz w:val="20"/>
                <w:szCs w:val="20"/>
              </w:rPr>
              <w:t>A practitioner should administer an unlicensed product against a Patient-Specific Direction and not against a Patient Group Direction  (NMC, 200</w:t>
            </w:r>
            <w:r w:rsidR="00537062">
              <w:rPr>
                <w:sz w:val="20"/>
                <w:szCs w:val="20"/>
              </w:rPr>
              <w:t>7</w:t>
            </w:r>
            <w:r>
              <w:rPr>
                <w:sz w:val="20"/>
                <w:szCs w:val="20"/>
              </w:rPr>
              <w:t>)</w:t>
            </w:r>
          </w:p>
          <w:p w:rsidR="00C43533" w:rsidRDefault="00C43533" w:rsidP="00C43533">
            <w:pPr>
              <w:spacing w:line="360" w:lineRule="auto"/>
              <w:jc w:val="both"/>
              <w:rPr>
                <w:sz w:val="20"/>
                <w:szCs w:val="20"/>
              </w:rPr>
            </w:pPr>
          </w:p>
          <w:p w:rsidR="00C43533" w:rsidRPr="007E7607" w:rsidRDefault="00C43533" w:rsidP="00C43533">
            <w:pPr>
              <w:spacing w:line="360" w:lineRule="auto"/>
              <w:jc w:val="both"/>
              <w:rPr>
                <w:sz w:val="20"/>
                <w:szCs w:val="20"/>
              </w:rPr>
            </w:pPr>
          </w:p>
        </w:tc>
      </w:tr>
      <w:tr w:rsidR="00265960" w:rsidRPr="007E7607" w:rsidTr="00A66148">
        <w:trPr>
          <w:tblCellSpacing w:w="56" w:type="dxa"/>
        </w:trPr>
        <w:tc>
          <w:tcPr>
            <w:tcW w:w="5694" w:type="dxa"/>
            <w:shd w:val="clear" w:color="auto" w:fill="9BBB59"/>
          </w:tcPr>
          <w:p w:rsidR="008F35C2" w:rsidRDefault="00265960" w:rsidP="008F35C2">
            <w:pPr>
              <w:pStyle w:val="NormalWeb"/>
              <w:rPr>
                <w:b/>
                <w:sz w:val="28"/>
                <w:szCs w:val="28"/>
              </w:rPr>
            </w:pPr>
            <w:r w:rsidRPr="00A66148">
              <w:rPr>
                <w:rFonts w:ascii="Calibri" w:hAnsi="Calibri"/>
                <w:b/>
                <w:sz w:val="26"/>
                <w:szCs w:val="26"/>
              </w:rPr>
              <w:lastRenderedPageBreak/>
              <w:t>What</w:t>
            </w:r>
            <w:r w:rsidR="0027181F">
              <w:rPr>
                <w:rFonts w:ascii="Calibri" w:hAnsi="Calibri"/>
                <w:b/>
                <w:sz w:val="26"/>
                <w:szCs w:val="26"/>
              </w:rPr>
              <w:t xml:space="preserve"> topical steroid</w:t>
            </w:r>
            <w:r w:rsidRPr="00A66148">
              <w:rPr>
                <w:rFonts w:ascii="Calibri" w:hAnsi="Calibri"/>
                <w:b/>
                <w:sz w:val="26"/>
                <w:szCs w:val="26"/>
              </w:rPr>
              <w:t xml:space="preserve"> should be applied</w:t>
            </w:r>
            <w:r w:rsidRPr="00A66148">
              <w:rPr>
                <w:b/>
              </w:rPr>
              <w:t>:-</w:t>
            </w:r>
            <w:r w:rsidR="00410D36">
              <w:rPr>
                <w:b/>
                <w:sz w:val="28"/>
                <w:szCs w:val="28"/>
              </w:rPr>
              <w:t xml:space="preserve"> </w:t>
            </w:r>
          </w:p>
          <w:p w:rsidR="00E503ED" w:rsidRPr="00E503ED" w:rsidRDefault="00E503ED" w:rsidP="008F35C2">
            <w:pPr>
              <w:pStyle w:val="NormalWeb"/>
              <w:rPr>
                <w:b/>
                <w:color w:val="FF0000"/>
                <w:sz w:val="20"/>
                <w:szCs w:val="20"/>
              </w:rPr>
            </w:pPr>
            <w:r w:rsidRPr="00E503ED">
              <w:rPr>
                <w:b/>
                <w:sz w:val="20"/>
                <w:szCs w:val="20"/>
              </w:rPr>
              <w:t>Examples include:</w:t>
            </w:r>
          </w:p>
          <w:p w:rsidR="0067366D" w:rsidRPr="00624ACF" w:rsidRDefault="0067366D" w:rsidP="00E503ED">
            <w:pPr>
              <w:numPr>
                <w:ilvl w:val="0"/>
                <w:numId w:val="25"/>
              </w:numPr>
              <w:spacing w:line="360" w:lineRule="auto"/>
            </w:pPr>
            <w:r w:rsidRPr="00624ACF">
              <w:t xml:space="preserve">Potent- </w:t>
            </w:r>
            <w:r w:rsidR="00CB4EAA">
              <w:t>Mometasone furoate 0.1% (Elocon)</w:t>
            </w:r>
          </w:p>
          <w:p w:rsidR="0067366D" w:rsidRPr="00624ACF" w:rsidRDefault="0067366D" w:rsidP="00E503ED">
            <w:pPr>
              <w:numPr>
                <w:ilvl w:val="0"/>
                <w:numId w:val="25"/>
              </w:numPr>
              <w:spacing w:line="360" w:lineRule="auto"/>
            </w:pPr>
            <w:r w:rsidRPr="00624ACF">
              <w:t>Very Potent -  Clobetasol Propionate (Dermovate)</w:t>
            </w:r>
          </w:p>
          <w:p w:rsidR="00051B8E" w:rsidRPr="006559A8" w:rsidRDefault="006559A8" w:rsidP="006559A8">
            <w:pPr>
              <w:pStyle w:val="NormalWeb"/>
              <w:spacing w:line="360" w:lineRule="auto"/>
              <w:jc w:val="both"/>
              <w:rPr>
                <w:b/>
                <w:color w:val="FF0000"/>
              </w:rPr>
            </w:pPr>
            <w:r w:rsidRPr="00624ACF">
              <w:rPr>
                <w:b/>
              </w:rPr>
              <w:t>The choice of formulation will be guided by a specialist service</w:t>
            </w:r>
          </w:p>
        </w:tc>
        <w:tc>
          <w:tcPr>
            <w:tcW w:w="9847" w:type="dxa"/>
            <w:shd w:val="clear" w:color="auto" w:fill="D6E3BC"/>
          </w:tcPr>
          <w:p w:rsidR="00265960" w:rsidRPr="001F641B" w:rsidRDefault="00265960" w:rsidP="00C7504D">
            <w:pPr>
              <w:numPr>
                <w:ilvl w:val="0"/>
                <w:numId w:val="22"/>
              </w:numPr>
              <w:spacing w:line="360" w:lineRule="auto"/>
              <w:jc w:val="both"/>
              <w:rPr>
                <w:color w:val="333333"/>
                <w:sz w:val="20"/>
                <w:szCs w:val="20"/>
              </w:rPr>
            </w:pPr>
            <w:r w:rsidRPr="001F641B">
              <w:rPr>
                <w:color w:val="333333"/>
                <w:sz w:val="20"/>
                <w:szCs w:val="20"/>
              </w:rPr>
              <w:t xml:space="preserve">Blood vessels become more permeable during the inflammatory phase of wound healing. This increased vascular activity at the surface of the wound bed may mean topical steroids are absorbed more rapidly when compared with absorption rates on thinner tissue types such as skin on the eyelid or face. </w:t>
            </w:r>
            <w:r w:rsidR="00FE15C0">
              <w:rPr>
                <w:color w:val="333333"/>
                <w:sz w:val="20"/>
                <w:szCs w:val="20"/>
              </w:rPr>
              <w:t>Absorption rate via the eye lids is thought to be higher (30%) than that of the pal</w:t>
            </w:r>
            <w:r w:rsidR="00E359FD">
              <w:rPr>
                <w:color w:val="333333"/>
                <w:sz w:val="20"/>
                <w:szCs w:val="20"/>
              </w:rPr>
              <w:t xml:space="preserve">m of a hand (0.1%) (DermNet NZ, </w:t>
            </w:r>
            <w:r w:rsidR="00FE15C0">
              <w:rPr>
                <w:color w:val="333333"/>
                <w:sz w:val="20"/>
                <w:szCs w:val="20"/>
              </w:rPr>
              <w:t>2012</w:t>
            </w:r>
            <w:r w:rsidR="00E359FD">
              <w:rPr>
                <w:color w:val="333333"/>
                <w:sz w:val="20"/>
                <w:szCs w:val="20"/>
              </w:rPr>
              <w:t xml:space="preserve">, </w:t>
            </w:r>
            <w:r w:rsidR="00E359FD" w:rsidRPr="007E7607">
              <w:rPr>
                <w:sz w:val="20"/>
                <w:szCs w:val="20"/>
              </w:rPr>
              <w:t>accessed 23</w:t>
            </w:r>
            <w:r w:rsidR="00E359FD" w:rsidRPr="007E7607">
              <w:rPr>
                <w:sz w:val="20"/>
                <w:szCs w:val="20"/>
                <w:vertAlign w:val="superscript"/>
              </w:rPr>
              <w:t>rd</w:t>
            </w:r>
            <w:r w:rsidR="00E359FD" w:rsidRPr="007E7607">
              <w:rPr>
                <w:sz w:val="20"/>
                <w:szCs w:val="20"/>
              </w:rPr>
              <w:t xml:space="preserve"> November 2012)</w:t>
            </w:r>
            <w:r w:rsidR="00FE15C0">
              <w:rPr>
                <w:color w:val="333333"/>
                <w:sz w:val="20"/>
                <w:szCs w:val="20"/>
              </w:rPr>
              <w:t>)</w:t>
            </w:r>
          </w:p>
          <w:p w:rsidR="00BC6361" w:rsidRPr="00624ACF" w:rsidRDefault="00265960" w:rsidP="00C7504D">
            <w:pPr>
              <w:numPr>
                <w:ilvl w:val="0"/>
                <w:numId w:val="22"/>
              </w:numPr>
              <w:spacing w:line="360" w:lineRule="auto"/>
              <w:jc w:val="both"/>
              <w:rPr>
                <w:sz w:val="20"/>
                <w:szCs w:val="20"/>
              </w:rPr>
            </w:pPr>
            <w:r w:rsidRPr="001F641B">
              <w:rPr>
                <w:color w:val="333333"/>
                <w:sz w:val="20"/>
                <w:szCs w:val="20"/>
              </w:rPr>
              <w:t>Occlusion of the wound bed with conventional dressings and compression therapy will enhance the absorption of the formulation therefore</w:t>
            </w:r>
            <w:r w:rsidRPr="00624ACF">
              <w:rPr>
                <w:sz w:val="20"/>
                <w:szCs w:val="20"/>
              </w:rPr>
              <w:t xml:space="preserve"> </w:t>
            </w:r>
            <w:r w:rsidR="00E503ED" w:rsidRPr="00624ACF">
              <w:rPr>
                <w:sz w:val="20"/>
                <w:szCs w:val="20"/>
              </w:rPr>
              <w:t>potent cortico</w:t>
            </w:r>
            <w:r w:rsidRPr="00624ACF">
              <w:rPr>
                <w:sz w:val="20"/>
                <w:szCs w:val="20"/>
              </w:rPr>
              <w:t>steroids may significantly increase the risk of side effects</w:t>
            </w:r>
            <w:r w:rsidR="00BC6361" w:rsidRPr="00624ACF">
              <w:rPr>
                <w:sz w:val="20"/>
                <w:szCs w:val="20"/>
              </w:rPr>
              <w:t xml:space="preserve"> </w:t>
            </w:r>
          </w:p>
          <w:p w:rsidR="00265960" w:rsidRPr="00624ACF" w:rsidRDefault="00BC6361" w:rsidP="00BC6361">
            <w:pPr>
              <w:spacing w:line="360" w:lineRule="auto"/>
              <w:ind w:left="720"/>
              <w:jc w:val="both"/>
              <w:rPr>
                <w:sz w:val="20"/>
                <w:szCs w:val="20"/>
              </w:rPr>
            </w:pPr>
            <w:r w:rsidRPr="00624ACF">
              <w:rPr>
                <w:sz w:val="20"/>
                <w:szCs w:val="20"/>
              </w:rPr>
              <w:t>(British Association of Dermatologists (BAD), 2008, accessed 24</w:t>
            </w:r>
            <w:r w:rsidRPr="00624ACF">
              <w:rPr>
                <w:sz w:val="20"/>
                <w:szCs w:val="20"/>
                <w:vertAlign w:val="superscript"/>
              </w:rPr>
              <w:t>th</w:t>
            </w:r>
            <w:r w:rsidRPr="00624ACF">
              <w:rPr>
                <w:sz w:val="20"/>
                <w:szCs w:val="20"/>
              </w:rPr>
              <w:t xml:space="preserve"> November 2012)</w:t>
            </w:r>
          </w:p>
          <w:p w:rsidR="00676413" w:rsidRPr="00624ACF" w:rsidRDefault="00663547" w:rsidP="00676413">
            <w:pPr>
              <w:numPr>
                <w:ilvl w:val="0"/>
                <w:numId w:val="22"/>
              </w:numPr>
              <w:spacing w:line="336" w:lineRule="auto"/>
              <w:jc w:val="both"/>
              <w:rPr>
                <w:rFonts w:ascii="Verdana" w:hAnsi="Verdana"/>
              </w:rPr>
            </w:pPr>
            <w:r w:rsidRPr="00624ACF">
              <w:rPr>
                <w:sz w:val="20"/>
                <w:szCs w:val="20"/>
              </w:rPr>
              <w:t xml:space="preserve">Topical </w:t>
            </w:r>
            <w:r w:rsidR="00E31057" w:rsidRPr="00624ACF">
              <w:rPr>
                <w:sz w:val="20"/>
                <w:szCs w:val="20"/>
              </w:rPr>
              <w:t>corticosteroids</w:t>
            </w:r>
            <w:r w:rsidR="00E503ED" w:rsidRPr="00624ACF">
              <w:rPr>
                <w:sz w:val="20"/>
                <w:szCs w:val="20"/>
              </w:rPr>
              <w:t xml:space="preserve"> are often classified in the UK</w:t>
            </w:r>
            <w:r w:rsidRPr="00624ACF">
              <w:rPr>
                <w:sz w:val="20"/>
                <w:szCs w:val="20"/>
              </w:rPr>
              <w:t xml:space="preserve"> as mild, </w:t>
            </w:r>
            <w:r w:rsidR="00E503ED" w:rsidRPr="00624ACF">
              <w:rPr>
                <w:sz w:val="20"/>
                <w:szCs w:val="20"/>
              </w:rPr>
              <w:t>moderate,</w:t>
            </w:r>
            <w:r w:rsidRPr="00624ACF">
              <w:rPr>
                <w:sz w:val="20"/>
                <w:szCs w:val="20"/>
              </w:rPr>
              <w:t xml:space="preserve"> potent, or very potent. For further information regarding topical steroid formulas for the treatment of dermatology conditions, please refer to the </w:t>
            </w:r>
            <w:r w:rsidR="00E503ED" w:rsidRPr="00624ACF">
              <w:rPr>
                <w:sz w:val="20"/>
                <w:szCs w:val="20"/>
              </w:rPr>
              <w:t>British National Formulary (BNF) (December 2012)</w:t>
            </w:r>
          </w:p>
          <w:p w:rsidR="00354882" w:rsidRDefault="0084507B" w:rsidP="00354882">
            <w:pPr>
              <w:numPr>
                <w:ilvl w:val="0"/>
                <w:numId w:val="22"/>
              </w:numPr>
              <w:spacing w:line="336" w:lineRule="auto"/>
              <w:jc w:val="both"/>
              <w:rPr>
                <w:rFonts w:ascii="Verdana" w:hAnsi="Verdana"/>
              </w:rPr>
            </w:pPr>
            <w:r w:rsidRPr="00624ACF">
              <w:rPr>
                <w:sz w:val="20"/>
                <w:szCs w:val="20"/>
              </w:rPr>
              <w:t>Specialist consensus advocate the use of topical corticosteroid ointment formulations rather than creams on wound beds as they contain less preservatives therefore reduce the likelihood of contact allergy</w:t>
            </w:r>
          </w:p>
          <w:p w:rsidR="004B1F48" w:rsidRPr="00354882" w:rsidRDefault="006559A8" w:rsidP="00354882">
            <w:pPr>
              <w:numPr>
                <w:ilvl w:val="0"/>
                <w:numId w:val="22"/>
              </w:numPr>
              <w:spacing w:line="336" w:lineRule="auto"/>
              <w:jc w:val="both"/>
              <w:rPr>
                <w:rFonts w:ascii="Verdana" w:hAnsi="Verdana"/>
              </w:rPr>
            </w:pPr>
            <w:r w:rsidRPr="00354882">
              <w:rPr>
                <w:sz w:val="20"/>
                <w:szCs w:val="20"/>
              </w:rPr>
              <w:t xml:space="preserve">Topical corticosteroids containing antimicrobials such as </w:t>
            </w:r>
            <w:r w:rsidR="00C30019" w:rsidRPr="00354882">
              <w:rPr>
                <w:sz w:val="20"/>
                <w:szCs w:val="20"/>
              </w:rPr>
              <w:t>Fucibet, Fucidin H, Daktacort are not advocated for use on wound beds</w:t>
            </w:r>
            <w:r w:rsidR="0009783E" w:rsidRPr="00354882">
              <w:rPr>
                <w:sz w:val="20"/>
                <w:szCs w:val="20"/>
              </w:rPr>
              <w:t xml:space="preserve"> unless under the supervision of a specialist service</w:t>
            </w:r>
            <w:r w:rsidR="002F0671" w:rsidRPr="00354882">
              <w:rPr>
                <w:sz w:val="20"/>
                <w:szCs w:val="20"/>
              </w:rPr>
              <w:t>.</w:t>
            </w:r>
          </w:p>
          <w:p w:rsidR="00354882" w:rsidRPr="007E7607" w:rsidRDefault="00354882" w:rsidP="00354882">
            <w:pPr>
              <w:spacing w:line="336" w:lineRule="auto"/>
              <w:ind w:left="720"/>
              <w:jc w:val="both"/>
              <w:rPr>
                <w:sz w:val="20"/>
                <w:szCs w:val="20"/>
              </w:rPr>
            </w:pPr>
          </w:p>
        </w:tc>
      </w:tr>
      <w:tr w:rsidR="00F443DA" w:rsidRPr="007E7607" w:rsidTr="00A66148">
        <w:trPr>
          <w:tblCellSpacing w:w="56" w:type="dxa"/>
        </w:trPr>
        <w:tc>
          <w:tcPr>
            <w:tcW w:w="5694" w:type="dxa"/>
            <w:shd w:val="clear" w:color="auto" w:fill="9BBB59"/>
          </w:tcPr>
          <w:p w:rsidR="008A5F36" w:rsidRDefault="009340A5" w:rsidP="008A5F36">
            <w:pPr>
              <w:pStyle w:val="NormalWeb"/>
              <w:spacing w:line="360" w:lineRule="auto"/>
              <w:jc w:val="both"/>
              <w:rPr>
                <w:rFonts w:ascii="Calibri" w:hAnsi="Calibri"/>
                <w:b/>
                <w:sz w:val="26"/>
                <w:szCs w:val="26"/>
              </w:rPr>
            </w:pPr>
            <w:r w:rsidRPr="00A66148">
              <w:rPr>
                <w:rFonts w:ascii="Calibri" w:hAnsi="Calibri"/>
                <w:b/>
                <w:sz w:val="26"/>
                <w:szCs w:val="26"/>
              </w:rPr>
              <w:t>How</w:t>
            </w:r>
            <w:r w:rsidR="006559A8">
              <w:rPr>
                <w:rFonts w:ascii="Calibri" w:hAnsi="Calibri"/>
                <w:b/>
                <w:sz w:val="26"/>
                <w:szCs w:val="26"/>
              </w:rPr>
              <w:t xml:space="preserve"> </w:t>
            </w:r>
            <w:r w:rsidR="00F443DA" w:rsidRPr="00A66148">
              <w:rPr>
                <w:rFonts w:ascii="Calibri" w:hAnsi="Calibri"/>
                <w:b/>
                <w:sz w:val="26"/>
                <w:szCs w:val="26"/>
              </w:rPr>
              <w:t>should the preparation be applied:-</w:t>
            </w:r>
          </w:p>
          <w:p w:rsidR="004D202B" w:rsidRDefault="009340A5" w:rsidP="008A5F36">
            <w:pPr>
              <w:pStyle w:val="NormalWeb"/>
              <w:spacing w:line="360" w:lineRule="auto"/>
              <w:jc w:val="both"/>
            </w:pPr>
            <w:r>
              <w:t xml:space="preserve">Using a </w:t>
            </w:r>
            <w:r w:rsidR="008A5F36">
              <w:t xml:space="preserve">sterile </w:t>
            </w:r>
            <w:r>
              <w:t xml:space="preserve">gloved fingertip. </w:t>
            </w:r>
            <w:r w:rsidR="00F443DA">
              <w:t xml:space="preserve">The topical steroid </w:t>
            </w:r>
            <w:r>
              <w:t>should</w:t>
            </w:r>
            <w:r w:rsidR="0085205A">
              <w:t xml:space="preserve"> be</w:t>
            </w:r>
            <w:r>
              <w:t xml:space="preserve"> applied gently </w:t>
            </w:r>
            <w:r w:rsidR="00F443DA">
              <w:t xml:space="preserve">in a thin layer directly to the </w:t>
            </w:r>
            <w:r w:rsidR="00F443DA">
              <w:lastRenderedPageBreak/>
              <w:t>wound bed</w:t>
            </w:r>
            <w:r w:rsidR="00676413">
              <w:t xml:space="preserve"> </w:t>
            </w:r>
            <w:r w:rsidR="00173541">
              <w:rPr>
                <w:sz w:val="20"/>
                <w:szCs w:val="20"/>
              </w:rPr>
              <w:t>(BNF, accessed 19/12/12)</w:t>
            </w:r>
            <w:r w:rsidRPr="00676413">
              <w:rPr>
                <w:sz w:val="20"/>
                <w:szCs w:val="20"/>
              </w:rPr>
              <w:t xml:space="preserve"> </w:t>
            </w:r>
            <w:r>
              <w:t xml:space="preserve">in line with treatment objectives and dressing regime. </w:t>
            </w:r>
          </w:p>
          <w:p w:rsidR="00354882" w:rsidRDefault="00354882" w:rsidP="008A5F36">
            <w:pPr>
              <w:pStyle w:val="NormalWeb"/>
              <w:spacing w:line="360" w:lineRule="auto"/>
              <w:jc w:val="both"/>
            </w:pPr>
          </w:p>
          <w:p w:rsidR="008A5F36" w:rsidRDefault="008A5F36" w:rsidP="008A5F36">
            <w:pPr>
              <w:pStyle w:val="NormalWeb"/>
              <w:spacing w:line="360" w:lineRule="auto"/>
              <w:jc w:val="both"/>
            </w:pPr>
            <w:r>
              <w:t xml:space="preserve">If the wound </w:t>
            </w:r>
            <w:r w:rsidR="0099165C">
              <w:t xml:space="preserve">is </w:t>
            </w:r>
            <w:r>
              <w:t xml:space="preserve">too painful to tolerate direct contact, </w:t>
            </w:r>
            <w:r w:rsidR="0099165C">
              <w:t xml:space="preserve">thinly </w:t>
            </w:r>
            <w:r>
              <w:t xml:space="preserve">spread the steroid </w:t>
            </w:r>
            <w:r w:rsidR="00C7401A">
              <w:t>ointment</w:t>
            </w:r>
            <w:r>
              <w:t xml:space="preserve"> onto a non-contact dressing and place </w:t>
            </w:r>
            <w:r w:rsidR="0099165C">
              <w:t xml:space="preserve">directly </w:t>
            </w:r>
            <w:r>
              <w:t>over the wound site.</w:t>
            </w:r>
          </w:p>
          <w:p w:rsidR="00434A6E" w:rsidRDefault="00434A6E" w:rsidP="008A5F36">
            <w:pPr>
              <w:pStyle w:val="NormalWeb"/>
              <w:spacing w:line="360" w:lineRule="auto"/>
              <w:jc w:val="both"/>
            </w:pPr>
          </w:p>
        </w:tc>
        <w:tc>
          <w:tcPr>
            <w:tcW w:w="9847" w:type="dxa"/>
            <w:shd w:val="clear" w:color="auto" w:fill="D6E3BC"/>
          </w:tcPr>
          <w:p w:rsidR="00F443DA" w:rsidRDefault="00676413" w:rsidP="00BC6361">
            <w:pPr>
              <w:numPr>
                <w:ilvl w:val="0"/>
                <w:numId w:val="10"/>
              </w:numPr>
              <w:spacing w:line="360" w:lineRule="auto"/>
              <w:jc w:val="both"/>
              <w:rPr>
                <w:sz w:val="20"/>
                <w:szCs w:val="20"/>
              </w:rPr>
            </w:pPr>
            <w:r>
              <w:rPr>
                <w:sz w:val="20"/>
                <w:szCs w:val="20"/>
              </w:rPr>
              <w:lastRenderedPageBreak/>
              <w:t xml:space="preserve">The recommendations for application primarily relate to those preparations applied to skin. </w:t>
            </w:r>
            <w:r w:rsidR="009340A5" w:rsidRPr="007E7607">
              <w:rPr>
                <w:sz w:val="20"/>
                <w:szCs w:val="20"/>
              </w:rPr>
              <w:t>In order to minimise the side-effects, the preparation should be applied thinly to intended affected area only. The application of such preparations within wound management is likely to be in line with dressing changes however generally should not be applied more ofte</w:t>
            </w:r>
            <w:r w:rsidR="00663547">
              <w:rPr>
                <w:sz w:val="20"/>
                <w:szCs w:val="20"/>
              </w:rPr>
              <w:t xml:space="preserve">n than twice a day </w:t>
            </w:r>
            <w:r w:rsidR="00BC6361">
              <w:rPr>
                <w:sz w:val="20"/>
                <w:szCs w:val="20"/>
              </w:rPr>
              <w:t>(B</w:t>
            </w:r>
            <w:r w:rsidR="00663547">
              <w:rPr>
                <w:sz w:val="20"/>
                <w:szCs w:val="20"/>
              </w:rPr>
              <w:t>NF</w:t>
            </w:r>
            <w:r w:rsidR="000875C6">
              <w:rPr>
                <w:sz w:val="20"/>
                <w:szCs w:val="20"/>
              </w:rPr>
              <w:t>, accessed 19/12/</w:t>
            </w:r>
            <w:r w:rsidR="00663547">
              <w:rPr>
                <w:sz w:val="20"/>
                <w:szCs w:val="20"/>
              </w:rPr>
              <w:t>12)</w:t>
            </w:r>
            <w:r w:rsidR="00C30019">
              <w:rPr>
                <w:sz w:val="20"/>
                <w:szCs w:val="20"/>
              </w:rPr>
              <w:t>.</w:t>
            </w:r>
          </w:p>
          <w:p w:rsidR="00C30019" w:rsidRDefault="00C30019" w:rsidP="00C30019">
            <w:pPr>
              <w:pStyle w:val="NormalWeb"/>
              <w:numPr>
                <w:ilvl w:val="0"/>
                <w:numId w:val="10"/>
              </w:numPr>
              <w:spacing w:line="360" w:lineRule="auto"/>
              <w:jc w:val="both"/>
              <w:rPr>
                <w:sz w:val="20"/>
                <w:szCs w:val="20"/>
              </w:rPr>
            </w:pPr>
            <w:r w:rsidRPr="00BC6361">
              <w:rPr>
                <w:sz w:val="20"/>
                <w:szCs w:val="20"/>
              </w:rPr>
              <w:t xml:space="preserve">A fingertip unit describes the amount of </w:t>
            </w:r>
            <w:r>
              <w:rPr>
                <w:sz w:val="20"/>
                <w:szCs w:val="20"/>
              </w:rPr>
              <w:t xml:space="preserve">ointment </w:t>
            </w:r>
            <w:r w:rsidRPr="00BC6361">
              <w:rPr>
                <w:sz w:val="20"/>
                <w:szCs w:val="20"/>
              </w:rPr>
              <w:t xml:space="preserve">squeezed out of its tube onto the end of the finger. It is a </w:t>
            </w:r>
            <w:r w:rsidRPr="00BC6361">
              <w:rPr>
                <w:sz w:val="20"/>
                <w:szCs w:val="20"/>
              </w:rPr>
              <w:lastRenderedPageBreak/>
              <w:t xml:space="preserve">convenient way to measure how much formulation should be applied in relation to a specific surface area of skin.  See </w:t>
            </w:r>
            <w:hyperlink r:id="rId12" w:history="1">
              <w:r w:rsidRPr="00BC6361">
                <w:rPr>
                  <w:rStyle w:val="Hyperlink"/>
                  <w:color w:val="auto"/>
                  <w:sz w:val="20"/>
                  <w:szCs w:val="20"/>
                </w:rPr>
                <w:t>http://www.dermnetnz.org/</w:t>
              </w:r>
            </w:hyperlink>
            <w:r w:rsidRPr="00BC6361">
              <w:rPr>
                <w:sz w:val="20"/>
                <w:szCs w:val="20"/>
              </w:rPr>
              <w:t xml:space="preserve"> or </w:t>
            </w:r>
            <w:hyperlink r:id="rId13" w:history="1">
              <w:r w:rsidRPr="00BC6361">
                <w:rPr>
                  <w:rStyle w:val="Hyperlink"/>
                  <w:color w:val="auto"/>
                  <w:sz w:val="20"/>
                  <w:szCs w:val="20"/>
                </w:rPr>
                <w:t>http://www.patient.co.uk</w:t>
              </w:r>
            </w:hyperlink>
            <w:r w:rsidRPr="00BC6361">
              <w:rPr>
                <w:sz w:val="20"/>
                <w:szCs w:val="20"/>
              </w:rPr>
              <w:t xml:space="preserve"> for further guidance</w:t>
            </w:r>
          </w:p>
          <w:p w:rsidR="00354882" w:rsidRDefault="00354882" w:rsidP="00354882">
            <w:pPr>
              <w:pStyle w:val="NormalWeb"/>
              <w:keepNext/>
              <w:spacing w:before="0" w:beforeAutospacing="0" w:after="0" w:afterAutospacing="0" w:line="276" w:lineRule="auto"/>
              <w:ind w:left="720"/>
              <w:jc w:val="both"/>
              <w:rPr>
                <w:sz w:val="20"/>
                <w:szCs w:val="20"/>
              </w:rPr>
            </w:pPr>
          </w:p>
          <w:p w:rsidR="00C7401A" w:rsidRPr="00624ACF" w:rsidRDefault="00C30019" w:rsidP="00C30019">
            <w:pPr>
              <w:pStyle w:val="NormalWeb"/>
              <w:keepNext/>
              <w:numPr>
                <w:ilvl w:val="0"/>
                <w:numId w:val="10"/>
              </w:numPr>
              <w:spacing w:before="0" w:beforeAutospacing="0" w:after="0" w:afterAutospacing="0" w:line="276" w:lineRule="auto"/>
              <w:jc w:val="both"/>
              <w:rPr>
                <w:sz w:val="20"/>
                <w:szCs w:val="20"/>
              </w:rPr>
            </w:pPr>
            <w:r w:rsidRPr="00624ACF">
              <w:rPr>
                <w:sz w:val="20"/>
                <w:szCs w:val="20"/>
              </w:rPr>
              <w:t>Within wound care such guidance</w:t>
            </w:r>
            <w:r w:rsidR="00C7401A" w:rsidRPr="00624ACF">
              <w:rPr>
                <w:sz w:val="20"/>
                <w:szCs w:val="20"/>
              </w:rPr>
              <w:t xml:space="preserve"> may be adapted to enable accurate</w:t>
            </w:r>
            <w:r w:rsidR="0009783E" w:rsidRPr="00624ACF">
              <w:rPr>
                <w:sz w:val="20"/>
                <w:szCs w:val="20"/>
              </w:rPr>
              <w:t xml:space="preserve"> dosing (depending on potency, 1</w:t>
            </w:r>
            <w:r w:rsidR="00C7401A" w:rsidRPr="00624ACF">
              <w:rPr>
                <w:sz w:val="20"/>
                <w:szCs w:val="20"/>
              </w:rPr>
              <w:t xml:space="preserve"> fi</w:t>
            </w:r>
            <w:r w:rsidRPr="00624ACF">
              <w:rPr>
                <w:sz w:val="20"/>
                <w:szCs w:val="20"/>
              </w:rPr>
              <w:t>ngertip dose = 0.5g of steroid and is sufficient to cover a surface area of two adult palms</w:t>
            </w:r>
            <w:r w:rsidR="00C7401A" w:rsidRPr="00624ACF">
              <w:rPr>
                <w:sz w:val="20"/>
                <w:szCs w:val="20"/>
              </w:rPr>
              <w:t>)</w:t>
            </w:r>
          </w:p>
          <w:p w:rsidR="00C30019" w:rsidRPr="00624ACF" w:rsidRDefault="00C30019" w:rsidP="00C7401A">
            <w:pPr>
              <w:pStyle w:val="NormalWeb"/>
              <w:keepNext/>
              <w:spacing w:before="0" w:beforeAutospacing="0" w:after="0" w:afterAutospacing="0" w:line="276" w:lineRule="auto"/>
              <w:ind w:left="720"/>
              <w:jc w:val="both"/>
              <w:rPr>
                <w:sz w:val="20"/>
                <w:szCs w:val="20"/>
              </w:rPr>
            </w:pPr>
            <w:r w:rsidRPr="00624ACF">
              <w:rPr>
                <w:sz w:val="20"/>
                <w:szCs w:val="20"/>
              </w:rPr>
              <w:t>.</w:t>
            </w:r>
          </w:p>
          <w:p w:rsidR="00C7401A" w:rsidRDefault="00C30019" w:rsidP="00624ACF">
            <w:pPr>
              <w:spacing w:line="276" w:lineRule="auto"/>
              <w:ind w:left="720"/>
              <w:rPr>
                <w:sz w:val="18"/>
                <w:szCs w:val="18"/>
                <w:vertAlign w:val="superscript"/>
              </w:rPr>
            </w:pPr>
            <w:r w:rsidRPr="00624ACF">
              <w:rPr>
                <w:b/>
                <w:sz w:val="18"/>
                <w:szCs w:val="18"/>
              </w:rPr>
              <w:t>E.G</w:t>
            </w:r>
            <w:r w:rsidRPr="00624ACF">
              <w:rPr>
                <w:sz w:val="18"/>
                <w:szCs w:val="18"/>
              </w:rPr>
              <w:t>. If the average adult palm measures = 60</w:t>
            </w:r>
            <w:r w:rsidR="0009783E" w:rsidRPr="00624ACF">
              <w:rPr>
                <w:sz w:val="18"/>
                <w:szCs w:val="18"/>
              </w:rPr>
              <w:t>cm</w:t>
            </w:r>
            <w:r w:rsidR="0009783E" w:rsidRPr="00624ACF">
              <w:rPr>
                <w:sz w:val="18"/>
                <w:szCs w:val="18"/>
                <w:vertAlign w:val="superscript"/>
              </w:rPr>
              <w:t>2</w:t>
            </w:r>
            <w:r w:rsidRPr="00624ACF">
              <w:rPr>
                <w:sz w:val="18"/>
                <w:szCs w:val="18"/>
                <w:vertAlign w:val="superscript"/>
              </w:rPr>
              <w:t xml:space="preserve"> </w:t>
            </w:r>
            <w:r w:rsidR="0009783E" w:rsidRPr="00624ACF">
              <w:rPr>
                <w:sz w:val="18"/>
                <w:szCs w:val="18"/>
                <w:vertAlign w:val="superscript"/>
              </w:rPr>
              <w:t xml:space="preserve"> </w:t>
            </w:r>
            <w:r w:rsidR="0009783E" w:rsidRPr="00624ACF">
              <w:rPr>
                <w:sz w:val="18"/>
                <w:szCs w:val="18"/>
              </w:rPr>
              <w:t>t</w:t>
            </w:r>
            <w:r w:rsidRPr="00624ACF">
              <w:rPr>
                <w:sz w:val="18"/>
                <w:szCs w:val="18"/>
              </w:rPr>
              <w:t>hen one fingertip unit dose would be sufficient to cover a wound bed surface area of 120c</w:t>
            </w:r>
            <w:r w:rsidR="0009783E" w:rsidRPr="00624ACF">
              <w:rPr>
                <w:sz w:val="18"/>
                <w:szCs w:val="18"/>
              </w:rPr>
              <w:t>m</w:t>
            </w:r>
            <w:r w:rsidR="0009783E" w:rsidRPr="00624ACF">
              <w:rPr>
                <w:sz w:val="18"/>
                <w:szCs w:val="18"/>
                <w:vertAlign w:val="superscript"/>
              </w:rPr>
              <w:t>2</w:t>
            </w:r>
          </w:p>
          <w:p w:rsidR="00624ACF" w:rsidRPr="00624ACF" w:rsidRDefault="00624ACF" w:rsidP="00624ACF">
            <w:pPr>
              <w:spacing w:line="276" w:lineRule="auto"/>
              <w:ind w:left="720"/>
              <w:rPr>
                <w:sz w:val="18"/>
                <w:szCs w:val="18"/>
                <w:vertAlign w:val="superscript"/>
              </w:rPr>
            </w:pPr>
          </w:p>
          <w:p w:rsidR="00676413" w:rsidRPr="00676413" w:rsidRDefault="00C7401A" w:rsidP="00624ACF">
            <w:pPr>
              <w:numPr>
                <w:ilvl w:val="0"/>
                <w:numId w:val="28"/>
              </w:numPr>
              <w:spacing w:line="276" w:lineRule="auto"/>
              <w:jc w:val="both"/>
              <w:rPr>
                <w:sz w:val="18"/>
                <w:szCs w:val="18"/>
              </w:rPr>
            </w:pPr>
            <w:r w:rsidRPr="00624ACF">
              <w:rPr>
                <w:sz w:val="20"/>
                <w:szCs w:val="20"/>
              </w:rPr>
              <w:t>The use of the fingertip guidance will be at the discretion of the specialist team implementing the treatment and clinicians should seek confirmation within the care plan.</w:t>
            </w:r>
          </w:p>
        </w:tc>
      </w:tr>
      <w:tr w:rsidR="00CE30FA" w:rsidRPr="007E7607" w:rsidTr="00A66148">
        <w:trPr>
          <w:tblCellSpacing w:w="56" w:type="dxa"/>
        </w:trPr>
        <w:tc>
          <w:tcPr>
            <w:tcW w:w="5694" w:type="dxa"/>
            <w:shd w:val="clear" w:color="auto" w:fill="9BBB59"/>
          </w:tcPr>
          <w:p w:rsidR="008B263D" w:rsidRPr="00A66148" w:rsidRDefault="008B263D" w:rsidP="007E7607">
            <w:pPr>
              <w:pStyle w:val="NormalWeb"/>
              <w:spacing w:line="360" w:lineRule="auto"/>
              <w:jc w:val="both"/>
              <w:rPr>
                <w:rFonts w:ascii="Calibri" w:hAnsi="Calibri"/>
                <w:b/>
                <w:sz w:val="26"/>
                <w:szCs w:val="26"/>
              </w:rPr>
            </w:pPr>
            <w:r w:rsidRPr="00A66148">
              <w:rPr>
                <w:rFonts w:ascii="Calibri" w:hAnsi="Calibri"/>
                <w:b/>
                <w:sz w:val="26"/>
                <w:szCs w:val="26"/>
              </w:rPr>
              <w:lastRenderedPageBreak/>
              <w:t>A clear treatment period and end date</w:t>
            </w:r>
            <w:r w:rsidR="00555BA1" w:rsidRPr="00A66148">
              <w:rPr>
                <w:rFonts w:ascii="Calibri" w:hAnsi="Calibri"/>
                <w:b/>
                <w:sz w:val="26"/>
                <w:szCs w:val="26"/>
              </w:rPr>
              <w:t>-</w:t>
            </w:r>
          </w:p>
          <w:p w:rsidR="00555BA1" w:rsidRPr="00624ACF" w:rsidRDefault="00555BA1" w:rsidP="00A66148">
            <w:pPr>
              <w:pStyle w:val="NormalWeb"/>
              <w:spacing w:line="276" w:lineRule="auto"/>
              <w:jc w:val="both"/>
            </w:pPr>
            <w:r w:rsidRPr="00624ACF">
              <w:t xml:space="preserve">Depending on the </w:t>
            </w:r>
            <w:r w:rsidR="0094179F" w:rsidRPr="00624ACF">
              <w:t>potency of</w:t>
            </w:r>
            <w:r w:rsidR="009B335B" w:rsidRPr="00624ACF">
              <w:t xml:space="preserve"> </w:t>
            </w:r>
            <w:r w:rsidRPr="00624ACF">
              <w:t>application</w:t>
            </w:r>
            <w:r w:rsidR="0094179F" w:rsidRPr="00624ACF">
              <w:t xml:space="preserve"> and the frequency of dressing change</w:t>
            </w:r>
            <w:r w:rsidRPr="00624ACF">
              <w:t>, the maximum treatment period for the use of topical steroids is four weeks (BNF</w:t>
            </w:r>
            <w:r w:rsidR="00E73DBB" w:rsidRPr="00624ACF">
              <w:t>, 2012</w:t>
            </w:r>
            <w:r w:rsidRPr="00624ACF">
              <w:t xml:space="preserve">). </w:t>
            </w:r>
          </w:p>
          <w:p w:rsidR="00555BA1" w:rsidRDefault="00617BE9" w:rsidP="00A66148">
            <w:pPr>
              <w:pStyle w:val="NormalWeb"/>
              <w:spacing w:line="276" w:lineRule="auto"/>
              <w:jc w:val="both"/>
            </w:pPr>
            <w:r>
              <w:t>In the management of skin conditions, d</w:t>
            </w:r>
            <w:r w:rsidR="00555BA1">
              <w:t xml:space="preserve">aily applications should be </w:t>
            </w:r>
            <w:r w:rsidR="00690809">
              <w:t>applied</w:t>
            </w:r>
            <w:r w:rsidR="007F68CF">
              <w:t xml:space="preserve"> for</w:t>
            </w:r>
            <w:r>
              <w:t xml:space="preserve"> a maximum of two weeks and if </w:t>
            </w:r>
            <w:r w:rsidR="007F68CF">
              <w:t xml:space="preserve"> within this time the</w:t>
            </w:r>
            <w:r>
              <w:t>re are</w:t>
            </w:r>
            <w:r w:rsidR="007F68CF">
              <w:t xml:space="preserve"> signs of improvement, application frequency</w:t>
            </w:r>
            <w:r w:rsidR="00690809">
              <w:t xml:space="preserve"> or steroid potency</w:t>
            </w:r>
            <w:r w:rsidR="007F68CF">
              <w:t xml:space="preserve"> should be titrated accordingly (BNF</w:t>
            </w:r>
            <w:r w:rsidR="00E73DBB">
              <w:t>, 2012</w:t>
            </w:r>
            <w:r w:rsidR="007F68CF">
              <w:t>)</w:t>
            </w:r>
            <w:r w:rsidR="00690809">
              <w:t>.</w:t>
            </w:r>
          </w:p>
          <w:p w:rsidR="00CE30FA" w:rsidRDefault="00617BE9" w:rsidP="00624ACF">
            <w:pPr>
              <w:pStyle w:val="NormalWeb"/>
              <w:spacing w:line="276" w:lineRule="auto"/>
              <w:jc w:val="both"/>
            </w:pPr>
            <w:r w:rsidRPr="00624ACF">
              <w:t xml:space="preserve">In wound care, an application of a topical steroid to the wound bed is required less frequently and is often in line with dressing changes. The prescribing specialist is </w:t>
            </w:r>
            <w:r w:rsidRPr="00624ACF">
              <w:lastRenderedPageBreak/>
              <w:t xml:space="preserve">responsible for advising clinicians on the frequency and treatment </w:t>
            </w:r>
            <w:r w:rsidR="00624ACF">
              <w:t>timescale</w:t>
            </w:r>
            <w:r w:rsidRPr="00624ACF">
              <w:t>.</w:t>
            </w:r>
          </w:p>
          <w:p w:rsidR="00FB5E87" w:rsidRPr="00677F22" w:rsidRDefault="00FB5E87" w:rsidP="00624ACF">
            <w:pPr>
              <w:pStyle w:val="NormalWeb"/>
              <w:spacing w:line="276" w:lineRule="auto"/>
              <w:jc w:val="both"/>
            </w:pPr>
            <w:r>
              <w:t>It is suggested that a step down approach is used when using steroids on wound beds, with a very potent steroid (Dermovate ointment) being applied initially for 2 weeks then stepping down to a potent steroid (Elocon) for a following 2 weeks</w:t>
            </w:r>
            <w:r w:rsidR="00740D1A">
              <w:t>.</w:t>
            </w:r>
          </w:p>
        </w:tc>
        <w:tc>
          <w:tcPr>
            <w:tcW w:w="9847" w:type="dxa"/>
            <w:shd w:val="clear" w:color="auto" w:fill="D6E3BC"/>
          </w:tcPr>
          <w:p w:rsidR="00BC6361" w:rsidRPr="007E7607" w:rsidRDefault="00BC6361" w:rsidP="00E73DBB">
            <w:pPr>
              <w:numPr>
                <w:ilvl w:val="0"/>
                <w:numId w:val="21"/>
              </w:numPr>
              <w:spacing w:before="100" w:beforeAutospacing="1" w:after="100" w:afterAutospacing="1" w:line="360" w:lineRule="auto"/>
              <w:rPr>
                <w:sz w:val="20"/>
                <w:szCs w:val="20"/>
              </w:rPr>
            </w:pPr>
            <w:r w:rsidRPr="007E7607">
              <w:rPr>
                <w:sz w:val="20"/>
                <w:szCs w:val="20"/>
              </w:rPr>
              <w:lastRenderedPageBreak/>
              <w:t>If the wound is occluded with conventional dressings or compression therapy the rate of a</w:t>
            </w:r>
            <w:r>
              <w:rPr>
                <w:sz w:val="20"/>
                <w:szCs w:val="20"/>
              </w:rPr>
              <w:t>bsorption</w:t>
            </w:r>
            <w:r w:rsidRPr="007E7607">
              <w:rPr>
                <w:sz w:val="20"/>
                <w:szCs w:val="20"/>
              </w:rPr>
              <w:t xml:space="preserve"> is increased therefore the need for daily application is reduced </w:t>
            </w:r>
            <w:r>
              <w:rPr>
                <w:sz w:val="20"/>
                <w:szCs w:val="20"/>
              </w:rPr>
              <w:t>(BAD, 2008).</w:t>
            </w:r>
          </w:p>
          <w:p w:rsidR="0021249E" w:rsidRPr="00BF75C5" w:rsidRDefault="0021249E" w:rsidP="001D0BCC">
            <w:pPr>
              <w:numPr>
                <w:ilvl w:val="0"/>
                <w:numId w:val="21"/>
              </w:numPr>
              <w:spacing w:before="100" w:beforeAutospacing="1" w:after="100" w:afterAutospacing="1" w:line="360" w:lineRule="auto"/>
              <w:rPr>
                <w:sz w:val="16"/>
                <w:szCs w:val="16"/>
              </w:rPr>
            </w:pPr>
            <w:r w:rsidRPr="007E7607">
              <w:rPr>
                <w:sz w:val="20"/>
                <w:szCs w:val="20"/>
              </w:rPr>
              <w:t>The direct a</w:t>
            </w:r>
            <w:r w:rsidR="00E73DBB">
              <w:rPr>
                <w:sz w:val="20"/>
                <w:szCs w:val="20"/>
              </w:rPr>
              <w:t>ction of topical steroids on long-term wound and patient health</w:t>
            </w:r>
            <w:r w:rsidRPr="007E7607">
              <w:rPr>
                <w:sz w:val="20"/>
                <w:szCs w:val="20"/>
              </w:rPr>
              <w:t xml:space="preserve"> is </w:t>
            </w:r>
            <w:r w:rsidR="00E73DBB">
              <w:rPr>
                <w:sz w:val="20"/>
                <w:szCs w:val="20"/>
              </w:rPr>
              <w:t>not clear</w:t>
            </w:r>
            <w:r w:rsidRPr="007E7607">
              <w:rPr>
                <w:sz w:val="20"/>
                <w:szCs w:val="20"/>
              </w:rPr>
              <w:t xml:space="preserve">. </w:t>
            </w:r>
            <w:r w:rsidR="00E73DBB">
              <w:rPr>
                <w:sz w:val="20"/>
                <w:szCs w:val="20"/>
              </w:rPr>
              <w:t>Therefore the controlled use of such treatment is deemed necessary in order to reduce the risk of potenti</w:t>
            </w:r>
            <w:r w:rsidR="00A66148">
              <w:rPr>
                <w:sz w:val="20"/>
                <w:szCs w:val="20"/>
              </w:rPr>
              <w:t>al side-effects (</w:t>
            </w:r>
            <w:r w:rsidR="00A66148" w:rsidRPr="00BF75C5">
              <w:rPr>
                <w:sz w:val="16"/>
                <w:szCs w:val="16"/>
              </w:rPr>
              <w:t>Table 1</w:t>
            </w:r>
            <w:r w:rsidR="00E73DBB" w:rsidRPr="00BF75C5">
              <w:rPr>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49"/>
            </w:tblGrid>
            <w:tr w:rsidR="009B335B" w:rsidRPr="007E7607" w:rsidTr="00E73DBB">
              <w:trPr>
                <w:trHeight w:val="510"/>
                <w:jc w:val="center"/>
              </w:trPr>
              <w:tc>
                <w:tcPr>
                  <w:tcW w:w="4649" w:type="dxa"/>
                  <w:vAlign w:val="center"/>
                </w:tcPr>
                <w:p w:rsidR="00E73DBB" w:rsidRPr="007E7607" w:rsidRDefault="009B335B" w:rsidP="00D3472A">
                  <w:pPr>
                    <w:pStyle w:val="NormalWeb"/>
                    <w:jc w:val="center"/>
                    <w:rPr>
                      <w:sz w:val="20"/>
                      <w:szCs w:val="20"/>
                    </w:rPr>
                  </w:pPr>
                  <w:r w:rsidRPr="007E7607">
                    <w:rPr>
                      <w:sz w:val="20"/>
                      <w:szCs w:val="20"/>
                    </w:rPr>
                    <w:t xml:space="preserve">Skin thinning (atrophy) </w:t>
                  </w:r>
                </w:p>
              </w:tc>
              <w:tc>
                <w:tcPr>
                  <w:tcW w:w="4649" w:type="dxa"/>
                  <w:vAlign w:val="center"/>
                </w:tcPr>
                <w:p w:rsidR="009B335B" w:rsidRPr="007E7607" w:rsidRDefault="009B335B" w:rsidP="00E73DBB">
                  <w:pPr>
                    <w:pStyle w:val="NormalWeb"/>
                    <w:jc w:val="center"/>
                    <w:rPr>
                      <w:sz w:val="20"/>
                      <w:szCs w:val="20"/>
                    </w:rPr>
                  </w:pPr>
                  <w:r w:rsidRPr="007E7607">
                    <w:rPr>
                      <w:sz w:val="20"/>
                      <w:szCs w:val="20"/>
                    </w:rPr>
                    <w:t>Easy bruising and tearing of the skin.</w:t>
                  </w:r>
                </w:p>
              </w:tc>
            </w:tr>
            <w:tr w:rsidR="009B335B" w:rsidRPr="007E7607" w:rsidTr="00E73DBB">
              <w:trPr>
                <w:trHeight w:val="510"/>
                <w:jc w:val="center"/>
              </w:trPr>
              <w:tc>
                <w:tcPr>
                  <w:tcW w:w="4649" w:type="dxa"/>
                  <w:vAlign w:val="center"/>
                </w:tcPr>
                <w:p w:rsidR="009B335B" w:rsidRPr="007E7607" w:rsidRDefault="00C50FDB" w:rsidP="00E73DBB">
                  <w:pPr>
                    <w:spacing w:before="96" w:after="96" w:line="288" w:lineRule="atLeast"/>
                    <w:jc w:val="center"/>
                    <w:rPr>
                      <w:sz w:val="20"/>
                      <w:szCs w:val="20"/>
                    </w:rPr>
                  </w:pPr>
                  <w:hyperlink r:id="rId14" w:history="1">
                    <w:r w:rsidR="00E73DBB" w:rsidRPr="007E7607">
                      <w:rPr>
                        <w:rStyle w:val="Hyperlink"/>
                        <w:color w:val="auto"/>
                        <w:sz w:val="20"/>
                        <w:szCs w:val="20"/>
                        <w:u w:val="none"/>
                      </w:rPr>
                      <w:t>Allergy</w:t>
                    </w:r>
                  </w:hyperlink>
                  <w:r w:rsidR="00E73DBB" w:rsidRPr="007E7607">
                    <w:rPr>
                      <w:sz w:val="20"/>
                      <w:szCs w:val="20"/>
                    </w:rPr>
                    <w:t xml:space="preserve"> to the steroid cream.</w:t>
                  </w:r>
                </w:p>
              </w:tc>
              <w:tc>
                <w:tcPr>
                  <w:tcW w:w="4649" w:type="dxa"/>
                  <w:vAlign w:val="center"/>
                </w:tcPr>
                <w:p w:rsidR="009B335B" w:rsidRPr="007E7607" w:rsidRDefault="009B335B" w:rsidP="00E73DBB">
                  <w:pPr>
                    <w:spacing w:before="96" w:after="96" w:line="288" w:lineRule="atLeast"/>
                    <w:jc w:val="center"/>
                    <w:rPr>
                      <w:sz w:val="20"/>
                      <w:szCs w:val="20"/>
                    </w:rPr>
                  </w:pPr>
                  <w:r w:rsidRPr="007E7607">
                    <w:rPr>
                      <w:sz w:val="20"/>
                      <w:szCs w:val="20"/>
                    </w:rPr>
                    <w:t>Enlarged blood vessels (telangiectasia).</w:t>
                  </w:r>
                </w:p>
              </w:tc>
            </w:tr>
            <w:tr w:rsidR="009B335B" w:rsidRPr="007E7607" w:rsidTr="00E73DBB">
              <w:trPr>
                <w:trHeight w:val="510"/>
                <w:jc w:val="center"/>
              </w:trPr>
              <w:tc>
                <w:tcPr>
                  <w:tcW w:w="4649" w:type="dxa"/>
                  <w:vAlign w:val="center"/>
                </w:tcPr>
                <w:p w:rsidR="009B335B" w:rsidRPr="007E7607" w:rsidRDefault="009B335B" w:rsidP="00E73DBB">
                  <w:pPr>
                    <w:spacing w:before="96" w:after="96" w:line="288" w:lineRule="atLeast"/>
                    <w:jc w:val="center"/>
                    <w:rPr>
                      <w:sz w:val="20"/>
                      <w:szCs w:val="20"/>
                    </w:rPr>
                  </w:pPr>
                  <w:r w:rsidRPr="007E7607">
                    <w:rPr>
                      <w:sz w:val="20"/>
                      <w:szCs w:val="20"/>
                    </w:rPr>
                    <w:t>Susceptibility to increased bacterial loading</w:t>
                  </w:r>
                </w:p>
              </w:tc>
              <w:tc>
                <w:tcPr>
                  <w:tcW w:w="4649" w:type="dxa"/>
                  <w:vAlign w:val="center"/>
                </w:tcPr>
                <w:p w:rsidR="009B335B" w:rsidRPr="007E7607" w:rsidRDefault="00E73DBB" w:rsidP="00E73DBB">
                  <w:pPr>
                    <w:spacing w:before="96" w:after="96" w:line="288" w:lineRule="atLeast"/>
                    <w:jc w:val="center"/>
                    <w:rPr>
                      <w:sz w:val="20"/>
                      <w:szCs w:val="20"/>
                    </w:rPr>
                  </w:pPr>
                  <w:r>
                    <w:rPr>
                      <w:sz w:val="20"/>
                      <w:szCs w:val="20"/>
                    </w:rPr>
                    <w:t>Masked inflammatory markers therefore d</w:t>
                  </w:r>
                  <w:r w:rsidR="009B335B" w:rsidRPr="007E7607">
                    <w:rPr>
                      <w:sz w:val="20"/>
                      <w:szCs w:val="20"/>
                    </w:rPr>
                    <w:t xml:space="preserve">isguising infection </w:t>
                  </w:r>
                </w:p>
              </w:tc>
            </w:tr>
          </w:tbl>
          <w:p w:rsidR="00CE30FA" w:rsidRPr="00677F22" w:rsidRDefault="009B335B" w:rsidP="00E359FD">
            <w:pPr>
              <w:pStyle w:val="NormalWeb"/>
            </w:pPr>
            <w:r w:rsidRPr="007E7607">
              <w:rPr>
                <w:sz w:val="20"/>
                <w:szCs w:val="20"/>
              </w:rPr>
              <w:t>Table 1: - common side effects of topical steroid use (DermNet NZ,</w:t>
            </w:r>
            <w:r w:rsidR="00E359FD">
              <w:rPr>
                <w:sz w:val="20"/>
                <w:szCs w:val="20"/>
              </w:rPr>
              <w:t xml:space="preserve"> 2012</w:t>
            </w:r>
            <w:r w:rsidRPr="007E7607">
              <w:rPr>
                <w:sz w:val="20"/>
                <w:szCs w:val="20"/>
              </w:rPr>
              <w:t>)</w:t>
            </w:r>
          </w:p>
        </w:tc>
      </w:tr>
    </w:tbl>
    <w:p w:rsidR="00CE30FA" w:rsidRPr="00CE30FA" w:rsidRDefault="00CE30FA" w:rsidP="005D7C25">
      <w:pPr>
        <w:spacing w:line="276" w:lineRule="auto"/>
        <w:jc w:val="both"/>
        <w:rPr>
          <w:sz w:val="28"/>
          <w:szCs w:val="28"/>
        </w:rPr>
      </w:pPr>
    </w:p>
    <w:p w:rsidR="005C7128" w:rsidRPr="0027181F" w:rsidRDefault="005C7128" w:rsidP="0027181F">
      <w:pPr>
        <w:spacing w:line="276" w:lineRule="auto"/>
        <w:jc w:val="center"/>
        <w:rPr>
          <w:b/>
          <w:sz w:val="44"/>
          <w:szCs w:val="44"/>
        </w:rPr>
      </w:pPr>
      <w:r w:rsidRPr="0027181F">
        <w:rPr>
          <w:b/>
          <w:sz w:val="44"/>
          <w:szCs w:val="44"/>
        </w:rPr>
        <w:t xml:space="preserve">Supporting </w:t>
      </w:r>
      <w:r w:rsidR="0027181F">
        <w:rPr>
          <w:b/>
          <w:sz w:val="44"/>
          <w:szCs w:val="44"/>
        </w:rPr>
        <w:t>Guidance</w:t>
      </w:r>
    </w:p>
    <w:p w:rsidR="00C47BE1" w:rsidRDefault="00C47BE1" w:rsidP="005D7C25">
      <w:pPr>
        <w:spacing w:line="276" w:lineRule="auto"/>
        <w:jc w:val="both"/>
      </w:pPr>
    </w:p>
    <w:p w:rsidR="00D4789F" w:rsidRDefault="00D4789F" w:rsidP="00512DB2">
      <w:pPr>
        <w:numPr>
          <w:ilvl w:val="0"/>
          <w:numId w:val="11"/>
        </w:numPr>
        <w:spacing w:line="276" w:lineRule="auto"/>
        <w:jc w:val="both"/>
      </w:pPr>
      <w:r>
        <w:t xml:space="preserve">The administration of medicines is an important aspect of the professional practice of registered nurses. It is not considered a mechanistic task to be performed in strict compliance with the written prescription of a </w:t>
      </w:r>
      <w:r w:rsidR="00181863">
        <w:t>medical or nursing practitioner</w:t>
      </w:r>
      <w:r w:rsidR="00F25452">
        <w:t xml:space="preserve">, </w:t>
      </w:r>
      <w:r>
        <w:t>it also requires the professional judgement of the healthcare professional towards safe application (Nursing and Midwifery Council (NMC)</w:t>
      </w:r>
      <w:r w:rsidR="00F25452">
        <w:t>,</w:t>
      </w:r>
      <w:r>
        <w:t xml:space="preserve"> 2007)</w:t>
      </w:r>
    </w:p>
    <w:p w:rsidR="00D4789F" w:rsidRDefault="00D4789F" w:rsidP="0050778E">
      <w:pPr>
        <w:spacing w:line="276" w:lineRule="auto"/>
        <w:jc w:val="both"/>
      </w:pPr>
    </w:p>
    <w:p w:rsidR="002747A0" w:rsidRDefault="005D7C25" w:rsidP="00512DB2">
      <w:pPr>
        <w:numPr>
          <w:ilvl w:val="0"/>
          <w:numId w:val="11"/>
        </w:numPr>
        <w:spacing w:line="276" w:lineRule="auto"/>
        <w:jc w:val="both"/>
      </w:pPr>
      <w:r>
        <w:t>The community tissue viability service do not currently advocate t</w:t>
      </w:r>
      <w:r w:rsidR="00223B49">
        <w:t xml:space="preserve">he </w:t>
      </w:r>
      <w:r w:rsidRPr="00301EC2">
        <w:t>use of Trimovate</w:t>
      </w:r>
      <w:r w:rsidRPr="00395D3F">
        <w:rPr>
          <w:vertAlign w:val="superscript"/>
        </w:rPr>
        <w:t xml:space="preserve">® </w:t>
      </w:r>
      <w:r>
        <w:t>or any other topical steroid</w:t>
      </w:r>
      <w:r w:rsidR="00F25452">
        <w:t xml:space="preserve"> preparation</w:t>
      </w:r>
      <w:r>
        <w:t xml:space="preserve"> </w:t>
      </w:r>
      <w:r w:rsidRPr="00301EC2">
        <w:t xml:space="preserve">in wound management </w:t>
      </w:r>
      <w:r w:rsidR="00223B49">
        <w:t>without specialist</w:t>
      </w:r>
      <w:r w:rsidR="00181863">
        <w:t xml:space="preserve"> team</w:t>
      </w:r>
      <w:r w:rsidR="00223B49">
        <w:t xml:space="preserve"> input. This is mainly </w:t>
      </w:r>
      <w:r w:rsidRPr="00301EC2">
        <w:t xml:space="preserve">due to the lack of scientific </w:t>
      </w:r>
      <w:r>
        <w:t>evidence or consensus regarding the effects of</w:t>
      </w:r>
      <w:r w:rsidR="00223B49">
        <w:t xml:space="preserve"> their</w:t>
      </w:r>
      <w:r>
        <w:t xml:space="preserve"> prolonged use on wound and patient health. </w:t>
      </w:r>
      <w:r w:rsidRPr="00301EC2">
        <w:t xml:space="preserve"> </w:t>
      </w:r>
    </w:p>
    <w:p w:rsidR="002747A0" w:rsidRDefault="002747A0" w:rsidP="002747A0">
      <w:pPr>
        <w:pStyle w:val="ListParagraph"/>
      </w:pPr>
    </w:p>
    <w:p w:rsidR="005D7C25" w:rsidRDefault="005D7C25" w:rsidP="00512DB2">
      <w:pPr>
        <w:numPr>
          <w:ilvl w:val="0"/>
          <w:numId w:val="11"/>
        </w:numPr>
        <w:spacing w:line="276" w:lineRule="auto"/>
        <w:jc w:val="both"/>
      </w:pPr>
      <w:r w:rsidRPr="00301EC2">
        <w:t>The product</w:t>
      </w:r>
      <w:r>
        <w:t>s are</w:t>
      </w:r>
      <w:r w:rsidRPr="00301EC2">
        <w:t xml:space="preserve"> not licensed for this purpose </w:t>
      </w:r>
      <w:r w:rsidR="00D40E60">
        <w:t>and therefore the prescription of which remains the responsibility of a specialist service such as D</w:t>
      </w:r>
      <w:r w:rsidR="00181863">
        <w:t>ermatology or Tissue Viability.</w:t>
      </w:r>
    </w:p>
    <w:p w:rsidR="00CB2A3E" w:rsidRDefault="00CB2A3E" w:rsidP="00CB2A3E">
      <w:pPr>
        <w:pStyle w:val="ListParagraph"/>
      </w:pPr>
    </w:p>
    <w:p w:rsidR="00CB2A3E" w:rsidRDefault="004303E5" w:rsidP="00CB2A3E">
      <w:pPr>
        <w:numPr>
          <w:ilvl w:val="0"/>
          <w:numId w:val="11"/>
        </w:numPr>
        <w:spacing w:line="360" w:lineRule="auto"/>
        <w:jc w:val="both"/>
        <w:rPr>
          <w:color w:val="000000"/>
          <w:sz w:val="22"/>
          <w:szCs w:val="22"/>
        </w:rPr>
      </w:pPr>
      <w:r w:rsidRPr="004303E5">
        <w:rPr>
          <w:color w:val="000000"/>
          <w:sz w:val="22"/>
          <w:szCs w:val="22"/>
        </w:rPr>
        <w:t>Historically topical steroids have also been used to reduce hypergranulation within the wound bed. This is no longer advocated as it is thought that this</w:t>
      </w:r>
      <w:r w:rsidR="004943DE">
        <w:rPr>
          <w:color w:val="000000"/>
          <w:sz w:val="22"/>
          <w:szCs w:val="22"/>
        </w:rPr>
        <w:t xml:space="preserve"> </w:t>
      </w:r>
      <w:r w:rsidR="00CA39D6">
        <w:rPr>
          <w:color w:val="000000"/>
          <w:sz w:val="22"/>
          <w:szCs w:val="22"/>
        </w:rPr>
        <w:t xml:space="preserve">is </w:t>
      </w:r>
      <w:r w:rsidRPr="004303E5">
        <w:rPr>
          <w:color w:val="000000"/>
          <w:sz w:val="22"/>
          <w:szCs w:val="22"/>
        </w:rPr>
        <w:t xml:space="preserve">caused by the exaggerated angiogenesis (development of new blood vessels) </w:t>
      </w:r>
      <w:r w:rsidR="00CA39D6">
        <w:rPr>
          <w:color w:val="000000"/>
          <w:sz w:val="22"/>
          <w:szCs w:val="22"/>
        </w:rPr>
        <w:t xml:space="preserve">secondary to </w:t>
      </w:r>
      <w:r w:rsidRPr="004303E5">
        <w:rPr>
          <w:color w:val="000000"/>
          <w:sz w:val="22"/>
          <w:szCs w:val="22"/>
        </w:rPr>
        <w:t>mismanaged bacterial load, exudate levels or dressing irritation. These can be managed successfully with conventional dressings however</w:t>
      </w:r>
      <w:r w:rsidR="00CB2A3E" w:rsidRPr="004303E5">
        <w:rPr>
          <w:color w:val="000000"/>
          <w:sz w:val="22"/>
          <w:szCs w:val="22"/>
        </w:rPr>
        <w:t xml:space="preserve"> Haelen</w:t>
      </w:r>
      <w:r w:rsidRPr="004303E5">
        <w:rPr>
          <w:color w:val="000000"/>
          <w:sz w:val="22"/>
          <w:szCs w:val="22"/>
        </w:rPr>
        <w:t xml:space="preserve"> tape</w:t>
      </w:r>
      <w:r w:rsidR="00CB2A3E" w:rsidRPr="004303E5">
        <w:rPr>
          <w:color w:val="000000"/>
          <w:sz w:val="22"/>
          <w:szCs w:val="22"/>
        </w:rPr>
        <w:t xml:space="preserve"> is widely used </w:t>
      </w:r>
      <w:r w:rsidRPr="004303E5">
        <w:rPr>
          <w:color w:val="000000"/>
          <w:sz w:val="22"/>
          <w:szCs w:val="22"/>
        </w:rPr>
        <w:t xml:space="preserve">and is licensed for this purpose. We would recommend you seek advice from tissue viability prior to implementing this treatment. </w:t>
      </w:r>
    </w:p>
    <w:p w:rsidR="004303E5" w:rsidRDefault="004303E5" w:rsidP="004303E5">
      <w:pPr>
        <w:pStyle w:val="ListParagraph"/>
        <w:rPr>
          <w:color w:val="000000"/>
          <w:sz w:val="22"/>
          <w:szCs w:val="22"/>
        </w:rPr>
      </w:pPr>
    </w:p>
    <w:p w:rsidR="005D7C25" w:rsidRPr="002747A0" w:rsidRDefault="005D7C25" w:rsidP="005D7C25">
      <w:pPr>
        <w:spacing w:line="276" w:lineRule="auto"/>
        <w:jc w:val="both"/>
        <w:rPr>
          <w:b/>
          <w:sz w:val="28"/>
          <w:szCs w:val="28"/>
        </w:rPr>
      </w:pPr>
      <w:r w:rsidRPr="002747A0">
        <w:rPr>
          <w:b/>
          <w:sz w:val="28"/>
          <w:szCs w:val="28"/>
        </w:rPr>
        <w:lastRenderedPageBreak/>
        <w:t>What does off-licence product mean?</w:t>
      </w:r>
    </w:p>
    <w:p w:rsidR="005D7C25" w:rsidRDefault="005D7C25" w:rsidP="005D7C25">
      <w:pPr>
        <w:spacing w:line="276" w:lineRule="auto"/>
        <w:jc w:val="both"/>
      </w:pPr>
    </w:p>
    <w:p w:rsidR="005D7C25" w:rsidRDefault="00B2168C" w:rsidP="002747A0">
      <w:pPr>
        <w:numPr>
          <w:ilvl w:val="0"/>
          <w:numId w:val="12"/>
        </w:numPr>
        <w:spacing w:line="276" w:lineRule="auto"/>
        <w:jc w:val="both"/>
      </w:pPr>
      <w:r>
        <w:t xml:space="preserve">This term relates to the use of a prescribed medicine in a different way to that set out in the product specification (Griffith 2007). For example it may be the product is administered using a different dose or route to that set out in the licensing specification. </w:t>
      </w:r>
    </w:p>
    <w:p w:rsidR="00B2168C" w:rsidRDefault="00B2168C" w:rsidP="005D7C25">
      <w:pPr>
        <w:spacing w:line="276" w:lineRule="auto"/>
        <w:jc w:val="both"/>
      </w:pPr>
    </w:p>
    <w:p w:rsidR="00CA39D6" w:rsidRDefault="00CA39D6" w:rsidP="005D7C25">
      <w:pPr>
        <w:spacing w:line="276" w:lineRule="auto"/>
        <w:jc w:val="both"/>
        <w:rPr>
          <w:b/>
          <w:sz w:val="28"/>
          <w:szCs w:val="28"/>
        </w:rPr>
      </w:pPr>
    </w:p>
    <w:p w:rsidR="00CA39D6" w:rsidRDefault="00CA39D6" w:rsidP="005D7C25">
      <w:pPr>
        <w:spacing w:line="276" w:lineRule="auto"/>
        <w:jc w:val="both"/>
        <w:rPr>
          <w:b/>
          <w:sz w:val="28"/>
          <w:szCs w:val="28"/>
        </w:rPr>
      </w:pPr>
    </w:p>
    <w:p w:rsidR="00CA39D6" w:rsidRDefault="00CA39D6" w:rsidP="005D7C25">
      <w:pPr>
        <w:spacing w:line="276" w:lineRule="auto"/>
        <w:jc w:val="both"/>
        <w:rPr>
          <w:b/>
          <w:sz w:val="28"/>
          <w:szCs w:val="28"/>
        </w:rPr>
      </w:pPr>
    </w:p>
    <w:p w:rsidR="00B2168C" w:rsidRPr="002747A0" w:rsidRDefault="00B2168C" w:rsidP="005D7C25">
      <w:pPr>
        <w:spacing w:line="276" w:lineRule="auto"/>
        <w:jc w:val="both"/>
        <w:rPr>
          <w:b/>
          <w:sz w:val="28"/>
          <w:szCs w:val="28"/>
        </w:rPr>
      </w:pPr>
      <w:r w:rsidRPr="002747A0">
        <w:rPr>
          <w:b/>
          <w:sz w:val="28"/>
          <w:szCs w:val="28"/>
        </w:rPr>
        <w:t>What are the implications of this in practice?</w:t>
      </w:r>
    </w:p>
    <w:p w:rsidR="00B2168C" w:rsidRDefault="00B2168C" w:rsidP="005D7C25">
      <w:pPr>
        <w:spacing w:line="276" w:lineRule="auto"/>
        <w:jc w:val="both"/>
      </w:pPr>
    </w:p>
    <w:p w:rsidR="00B2168C" w:rsidRDefault="00B2168C" w:rsidP="002747A0">
      <w:pPr>
        <w:numPr>
          <w:ilvl w:val="0"/>
          <w:numId w:val="12"/>
        </w:numPr>
        <w:spacing w:line="276" w:lineRule="auto"/>
        <w:jc w:val="both"/>
      </w:pPr>
      <w:r>
        <w:t>If a non</w:t>
      </w:r>
      <w:r w:rsidR="00E80503">
        <w:t>-</w:t>
      </w:r>
      <w:r>
        <w:t>medical</w:t>
      </w:r>
      <w:r w:rsidR="00223B49">
        <w:t xml:space="preserve"> or nurse</w:t>
      </w:r>
      <w:r>
        <w:t xml:space="preserve"> prescriber chooses to change the specification for use of a </w:t>
      </w:r>
      <w:r w:rsidR="00F17DA4">
        <w:t>licensed</w:t>
      </w:r>
      <w:r>
        <w:t xml:space="preserve"> product </w:t>
      </w:r>
      <w:r w:rsidR="00E80503">
        <w:t>they are responsible for their actions. This includes being accountable for any harm that the patient may exper</w:t>
      </w:r>
      <w:r w:rsidR="00223B49">
        <w:t>ience following the application (Griffiths, 2007)</w:t>
      </w:r>
    </w:p>
    <w:p w:rsidR="00E80503" w:rsidRDefault="00E80503" w:rsidP="005D7C25">
      <w:pPr>
        <w:spacing w:line="276" w:lineRule="auto"/>
        <w:jc w:val="both"/>
      </w:pPr>
    </w:p>
    <w:p w:rsidR="00E80503" w:rsidRPr="00CA39D6" w:rsidRDefault="00E80503" w:rsidP="002747A0">
      <w:pPr>
        <w:numPr>
          <w:ilvl w:val="0"/>
          <w:numId w:val="12"/>
        </w:numPr>
        <w:spacing w:line="276" w:lineRule="auto"/>
        <w:jc w:val="both"/>
      </w:pPr>
      <w:r w:rsidRPr="00CA39D6">
        <w:t xml:space="preserve">In </w:t>
      </w:r>
      <w:r w:rsidR="00CA39D6">
        <w:t xml:space="preserve">local </w:t>
      </w:r>
      <w:r w:rsidR="00CB2A3E" w:rsidRPr="00CA39D6">
        <w:t>d</w:t>
      </w:r>
      <w:r w:rsidRPr="00CA39D6">
        <w:t xml:space="preserve">ermatology </w:t>
      </w:r>
      <w:r w:rsidR="00566740" w:rsidRPr="00CA39D6">
        <w:t>s</w:t>
      </w:r>
      <w:r w:rsidRPr="00CA39D6">
        <w:t xml:space="preserve">ervices topical steroids such as </w:t>
      </w:r>
      <w:r w:rsidR="00223B49" w:rsidRPr="00CA39D6">
        <w:t>Trimovate</w:t>
      </w:r>
      <w:r w:rsidR="00223B49" w:rsidRPr="00CA39D6">
        <w:rPr>
          <w:vertAlign w:val="superscript"/>
        </w:rPr>
        <w:t xml:space="preserve">® </w:t>
      </w:r>
      <w:r w:rsidRPr="00CA39D6">
        <w:t xml:space="preserve">are often </w:t>
      </w:r>
      <w:r w:rsidR="00F17DA4" w:rsidRPr="00CA39D6">
        <w:t xml:space="preserve">favoured </w:t>
      </w:r>
      <w:r w:rsidRPr="00CA39D6">
        <w:t xml:space="preserve">within wound/ulcer management for </w:t>
      </w:r>
      <w:r w:rsidR="00F17DA4" w:rsidRPr="00CA39D6">
        <w:t xml:space="preserve">the </w:t>
      </w:r>
      <w:r w:rsidRPr="00CA39D6">
        <w:t xml:space="preserve">purpose of pain management despite the product not being licensed for this. </w:t>
      </w:r>
      <w:r w:rsidR="00CB2A3E" w:rsidRPr="00CA39D6">
        <w:t xml:space="preserve">It is </w:t>
      </w:r>
      <w:r w:rsidR="002F0671" w:rsidRPr="00CA39D6">
        <w:t xml:space="preserve">felt that </w:t>
      </w:r>
      <w:r w:rsidR="00CB2A3E" w:rsidRPr="00CA39D6">
        <w:t>Tetracycline</w:t>
      </w:r>
      <w:r w:rsidR="00C36218" w:rsidRPr="00CA39D6">
        <w:t xml:space="preserve"> within the product has</w:t>
      </w:r>
      <w:r w:rsidR="00CB2A3E" w:rsidRPr="00CA39D6">
        <w:t xml:space="preserve"> anti-inflammatory properties thought to help reduce pain symptoms. </w:t>
      </w:r>
      <w:r w:rsidR="00223B49" w:rsidRPr="00CA39D6">
        <w:t xml:space="preserve">Topical </w:t>
      </w:r>
      <w:r w:rsidR="0042208F" w:rsidRPr="00CA39D6">
        <w:t>cortico</w:t>
      </w:r>
      <w:r w:rsidR="00223B49" w:rsidRPr="00CA39D6">
        <w:t>steroids</w:t>
      </w:r>
      <w:r w:rsidR="001063DD" w:rsidRPr="00CA39D6">
        <w:t xml:space="preserve"> are licensed and therefore </w:t>
      </w:r>
      <w:r w:rsidR="00223B49" w:rsidRPr="00CA39D6">
        <w:t xml:space="preserve">often </w:t>
      </w:r>
      <w:r w:rsidR="001063DD" w:rsidRPr="00CA39D6">
        <w:t xml:space="preserve">prescribed for the specialist treatment of dermatology skin conditions such as Varicose Eczema. </w:t>
      </w:r>
    </w:p>
    <w:p w:rsidR="00122AFE" w:rsidRDefault="00122AFE" w:rsidP="005D7C25">
      <w:pPr>
        <w:spacing w:line="276" w:lineRule="auto"/>
        <w:jc w:val="both"/>
      </w:pPr>
    </w:p>
    <w:p w:rsidR="00122AFE" w:rsidRDefault="00122AFE" w:rsidP="002747A0">
      <w:pPr>
        <w:numPr>
          <w:ilvl w:val="0"/>
          <w:numId w:val="12"/>
        </w:numPr>
        <w:spacing w:line="276" w:lineRule="auto"/>
        <w:jc w:val="both"/>
      </w:pPr>
      <w:r>
        <w:t>Specialist care plans should be explicit regarding the key treatment objectives and provide clear guidance on where, when and how often the treatment should be applied. A treatment period with prescribed end dates should be made clear</w:t>
      </w:r>
      <w:r w:rsidR="00B57038">
        <w:t xml:space="preserve"> prior to implementation.</w:t>
      </w:r>
    </w:p>
    <w:p w:rsidR="00663547" w:rsidRDefault="00663547" w:rsidP="00663547">
      <w:pPr>
        <w:pStyle w:val="ListParagraph"/>
      </w:pPr>
    </w:p>
    <w:p w:rsidR="001063DD" w:rsidRDefault="001063DD" w:rsidP="002747A0">
      <w:pPr>
        <w:numPr>
          <w:ilvl w:val="0"/>
          <w:numId w:val="12"/>
        </w:numPr>
        <w:spacing w:line="276" w:lineRule="auto"/>
        <w:jc w:val="both"/>
      </w:pPr>
      <w:r>
        <w:t>Caution should be exercised if the rationale for the implementation of such trea</w:t>
      </w:r>
      <w:r w:rsidR="00F25452">
        <w:t>tment is not made clear by the specialist service</w:t>
      </w:r>
      <w:r>
        <w:t xml:space="preserve"> and </w:t>
      </w:r>
      <w:r w:rsidRPr="00301EC2">
        <w:t xml:space="preserve">individual practitioners </w:t>
      </w:r>
      <w:r>
        <w:t>should be mindful of their professional accountability when implementing such a treatment plan.</w:t>
      </w:r>
      <w:r w:rsidRPr="00301EC2">
        <w:t xml:space="preserve"> </w:t>
      </w:r>
    </w:p>
    <w:p w:rsidR="00C36218" w:rsidRDefault="00C36218" w:rsidP="005D7C25">
      <w:pPr>
        <w:spacing w:line="276" w:lineRule="auto"/>
        <w:jc w:val="both"/>
      </w:pPr>
    </w:p>
    <w:p w:rsidR="00E31057" w:rsidRDefault="00E31057" w:rsidP="00E31057">
      <w:pPr>
        <w:spacing w:line="360" w:lineRule="auto"/>
        <w:ind w:left="720"/>
        <w:jc w:val="both"/>
        <w:rPr>
          <w:b/>
          <w:sz w:val="28"/>
          <w:szCs w:val="28"/>
        </w:rPr>
      </w:pPr>
      <w:r w:rsidRPr="00E31057">
        <w:rPr>
          <w:b/>
          <w:sz w:val="28"/>
          <w:szCs w:val="28"/>
        </w:rPr>
        <w:t>The use of Trimovate</w:t>
      </w:r>
      <w:r w:rsidRPr="00E31057">
        <w:rPr>
          <w:b/>
          <w:sz w:val="28"/>
          <w:szCs w:val="28"/>
          <w:vertAlign w:val="superscript"/>
        </w:rPr>
        <w:t xml:space="preserve">® </w:t>
      </w:r>
      <w:r w:rsidR="009E08C4">
        <w:rPr>
          <w:b/>
          <w:sz w:val="28"/>
          <w:szCs w:val="28"/>
        </w:rPr>
        <w:t xml:space="preserve">cream </w:t>
      </w:r>
      <w:r w:rsidR="00E57F45">
        <w:rPr>
          <w:b/>
          <w:sz w:val="28"/>
          <w:szCs w:val="28"/>
        </w:rPr>
        <w:t>in wound management</w:t>
      </w:r>
    </w:p>
    <w:p w:rsidR="00D616AA" w:rsidRPr="002E4400" w:rsidRDefault="00223B49" w:rsidP="00E31057">
      <w:pPr>
        <w:spacing w:line="360" w:lineRule="auto"/>
        <w:ind w:left="720"/>
        <w:jc w:val="both"/>
        <w:rPr>
          <w:strike/>
          <w:color w:val="FF0000"/>
        </w:rPr>
      </w:pPr>
      <w:r>
        <w:lastRenderedPageBreak/>
        <w:t xml:space="preserve">Although this is an off-licence product there have been a number of </w:t>
      </w:r>
      <w:r w:rsidR="008C05D4">
        <w:t>case studies (Hofman et al, 2007)</w:t>
      </w:r>
      <w:r>
        <w:t xml:space="preserve"> where </w:t>
      </w:r>
      <w:r w:rsidRPr="00301EC2">
        <w:t>Trimovate</w:t>
      </w:r>
      <w:r w:rsidRPr="00395D3F">
        <w:rPr>
          <w:vertAlign w:val="superscript"/>
        </w:rPr>
        <w:t xml:space="preserve">® </w:t>
      </w:r>
      <w:r>
        <w:t>application has shown to be effective</w:t>
      </w:r>
      <w:r w:rsidR="002E4400">
        <w:t xml:space="preserve"> in the management of pai</w:t>
      </w:r>
      <w:r w:rsidR="000D09F3">
        <w:t>nful, inflammatory wounds</w:t>
      </w:r>
      <w:r w:rsidR="008C05D4">
        <w:t>. This is thought to be due</w:t>
      </w:r>
      <w:r w:rsidR="000D09F3">
        <w:t xml:space="preserve"> to o</w:t>
      </w:r>
      <w:r w:rsidR="002E4400">
        <w:t>xytetracycline</w:t>
      </w:r>
      <w:r w:rsidR="000D09F3">
        <w:t xml:space="preserve">, a constituent of Trimovate® having a known anti-inflammatory </w:t>
      </w:r>
      <w:r w:rsidR="00CA39D6">
        <w:t>effect.</w:t>
      </w:r>
    </w:p>
    <w:p w:rsidR="00D616AA" w:rsidRPr="002E4400" w:rsidRDefault="00D616AA" w:rsidP="00E31057">
      <w:pPr>
        <w:spacing w:line="360" w:lineRule="auto"/>
        <w:ind w:left="720"/>
        <w:jc w:val="both"/>
        <w:rPr>
          <w:strike/>
          <w:color w:val="333333"/>
        </w:rPr>
      </w:pPr>
    </w:p>
    <w:p w:rsidR="007E1A34" w:rsidRDefault="002C4228" w:rsidP="002747A0">
      <w:pPr>
        <w:numPr>
          <w:ilvl w:val="0"/>
          <w:numId w:val="13"/>
        </w:numPr>
        <w:spacing w:line="360" w:lineRule="auto"/>
        <w:jc w:val="both"/>
      </w:pPr>
      <w:r>
        <w:t>There are many reasons why wounds fail to progress and the development of tools</w:t>
      </w:r>
      <w:r w:rsidR="007E1A34">
        <w:t xml:space="preserve"> </w:t>
      </w:r>
      <w:r>
        <w:t xml:space="preserve">to help clinicians identify and manage the biological causes are currently in place together with guidance on alternative therapies to address any abnormalities. </w:t>
      </w:r>
      <w:r w:rsidR="00512DB2">
        <w:t>Please refer to the Oxford Health Guidelines for direction on the assessment and management of wounds available at:-</w:t>
      </w:r>
    </w:p>
    <w:p w:rsidR="007E1A34" w:rsidRDefault="007E1A34" w:rsidP="002747A0">
      <w:pPr>
        <w:spacing w:line="360" w:lineRule="auto"/>
        <w:jc w:val="both"/>
      </w:pPr>
    </w:p>
    <w:p w:rsidR="002C4228" w:rsidRDefault="002C4228" w:rsidP="002747A0">
      <w:pPr>
        <w:numPr>
          <w:ilvl w:val="0"/>
          <w:numId w:val="13"/>
        </w:numPr>
        <w:spacing w:line="360" w:lineRule="auto"/>
        <w:jc w:val="both"/>
      </w:pPr>
      <w:r>
        <w:t>There are licensed topical wound dressings available on local formularies that have the potential to achieve similar results in a timely and safe manner. Practitioners should be working to local Oxford Health guidelines and considering these products as first line.</w:t>
      </w:r>
    </w:p>
    <w:p w:rsidR="000938E7" w:rsidRDefault="000938E7" w:rsidP="002747A0">
      <w:pPr>
        <w:spacing w:line="360" w:lineRule="auto"/>
        <w:jc w:val="both"/>
      </w:pPr>
    </w:p>
    <w:p w:rsidR="002C4228" w:rsidRDefault="002C4228" w:rsidP="002747A0">
      <w:pPr>
        <w:numPr>
          <w:ilvl w:val="0"/>
          <w:numId w:val="13"/>
        </w:numPr>
        <w:spacing w:line="360" w:lineRule="auto"/>
        <w:jc w:val="both"/>
      </w:pPr>
      <w:r>
        <w:t>The use of hydrocolloid or occlusive dressings during</w:t>
      </w:r>
      <w:r w:rsidR="005A1E28">
        <w:t xml:space="preserve"> the</w:t>
      </w:r>
      <w:r>
        <w:t xml:space="preserve"> use </w:t>
      </w:r>
      <w:r w:rsidR="005A1E28">
        <w:t xml:space="preserve">of topical corticosteroids </w:t>
      </w:r>
      <w:r>
        <w:t>will increase the uptake of the steroid</w:t>
      </w:r>
      <w:r w:rsidR="00D54A58">
        <w:t xml:space="preserve"> and </w:t>
      </w:r>
      <w:r w:rsidR="005A1E28">
        <w:t>also increase the systemic/localised</w:t>
      </w:r>
      <w:r>
        <w:t xml:space="preserve"> side effects of the product. Therefore</w:t>
      </w:r>
      <w:r w:rsidR="00D54A58">
        <w:t xml:space="preserve"> these dressings should</w:t>
      </w:r>
      <w:r>
        <w:t xml:space="preserve"> only be used under specialist supervision or a short period of time</w:t>
      </w:r>
      <w:r w:rsidR="00D54A58">
        <w:t>.</w:t>
      </w:r>
    </w:p>
    <w:p w:rsidR="00D616AA" w:rsidRDefault="00D616AA" w:rsidP="00D616AA">
      <w:pPr>
        <w:pStyle w:val="ListParagraph"/>
      </w:pPr>
    </w:p>
    <w:p w:rsidR="00D616AA" w:rsidRPr="00CA39D6" w:rsidRDefault="00D616AA" w:rsidP="002747A0">
      <w:pPr>
        <w:numPr>
          <w:ilvl w:val="0"/>
          <w:numId w:val="13"/>
        </w:numPr>
        <w:spacing w:line="360" w:lineRule="auto"/>
        <w:jc w:val="both"/>
      </w:pPr>
      <w:r w:rsidRPr="00CA39D6">
        <w:t>You might also consider that hydrocolloid dressing products can also increase the probability of hypergranulation at the wound bed. The application of topical steroids to wound beds is not advocated for the treatment of such a condition. Often hyper</w:t>
      </w:r>
      <w:r w:rsidR="00676413" w:rsidRPr="00CA39D6">
        <w:t>granulation is secondary to mis</w:t>
      </w:r>
      <w:r w:rsidRPr="00CA39D6">
        <w:t xml:space="preserve">managed bacterial loading, exudate levels and/or dressing irritation. Consider whether changing the dressing regime and overall management plan might improve this. </w:t>
      </w:r>
    </w:p>
    <w:p w:rsidR="005A1E28" w:rsidRDefault="005A1E28" w:rsidP="002747A0">
      <w:pPr>
        <w:spacing w:line="360" w:lineRule="auto"/>
        <w:jc w:val="both"/>
      </w:pPr>
    </w:p>
    <w:p w:rsidR="001F5273" w:rsidRDefault="001F5273" w:rsidP="002747A0">
      <w:pPr>
        <w:numPr>
          <w:ilvl w:val="0"/>
          <w:numId w:val="15"/>
        </w:numPr>
        <w:spacing w:line="360" w:lineRule="auto"/>
        <w:jc w:val="both"/>
      </w:pPr>
      <w:r>
        <w:t xml:space="preserve">Please refer to the Nursing and Midwifery </w:t>
      </w:r>
      <w:r w:rsidR="003829A8">
        <w:t xml:space="preserve">standards for medicines management available at:- </w:t>
      </w:r>
      <w:r w:rsidR="003829A8" w:rsidRPr="003829A8">
        <w:t>http://www.nmc-uk.org/Documents/NMC-Publications/NMC-Standards-for-medicines-management.pdf</w:t>
      </w:r>
      <w:r w:rsidR="003829A8">
        <w:t xml:space="preserve"> </w:t>
      </w:r>
      <w:r>
        <w:t xml:space="preserve"> to</w:t>
      </w:r>
      <w:r w:rsidR="003829A8">
        <w:t>wards ensuring</w:t>
      </w:r>
      <w:r>
        <w:t xml:space="preserve"> safe administration of medicines.</w:t>
      </w:r>
    </w:p>
    <w:p w:rsidR="00C025B7" w:rsidRDefault="00C025B7">
      <w:pPr>
        <w:rPr>
          <w:b/>
        </w:rPr>
      </w:pPr>
    </w:p>
    <w:p w:rsidR="00C025B7" w:rsidRDefault="00C025B7">
      <w:pPr>
        <w:rPr>
          <w:b/>
        </w:rPr>
      </w:pPr>
    </w:p>
    <w:p w:rsidR="00C025B7" w:rsidRDefault="00C025B7">
      <w:pPr>
        <w:rPr>
          <w:b/>
        </w:rPr>
      </w:pPr>
    </w:p>
    <w:p w:rsidR="00561CBD" w:rsidRPr="00D76570" w:rsidRDefault="00205769">
      <w:pPr>
        <w:rPr>
          <w:b/>
        </w:rPr>
      </w:pPr>
      <w:r w:rsidRPr="00D76570">
        <w:rPr>
          <w:b/>
        </w:rPr>
        <w:t>References:-</w:t>
      </w:r>
    </w:p>
    <w:p w:rsidR="006C173D" w:rsidRDefault="006C173D"/>
    <w:p w:rsidR="00E359FD" w:rsidRDefault="006C173D" w:rsidP="000F3523">
      <w:pPr>
        <w:jc w:val="both"/>
      </w:pPr>
      <w:r w:rsidRPr="000F3523">
        <w:t>Britis</w:t>
      </w:r>
      <w:r w:rsidR="00D616AA">
        <w:t>h National Formulary (BNF) (December 2012</w:t>
      </w:r>
      <w:r w:rsidRPr="000F3523">
        <w:t xml:space="preserve">) </w:t>
      </w:r>
      <w:r w:rsidR="00D616AA">
        <w:t xml:space="preserve">available at: - </w:t>
      </w:r>
      <w:hyperlink r:id="rId15" w:history="1">
        <w:r w:rsidR="00676413" w:rsidRPr="00145CB2">
          <w:rPr>
            <w:rStyle w:val="Hyperlink"/>
          </w:rPr>
          <w:t>http://www.medicinescomplete.com/mc/</w:t>
        </w:r>
      </w:hyperlink>
      <w:r w:rsidR="00676413">
        <w:t xml:space="preserve"> (accessed 19</w:t>
      </w:r>
      <w:r w:rsidR="005F06EB" w:rsidRPr="005F06EB">
        <w:rPr>
          <w:vertAlign w:val="superscript"/>
        </w:rPr>
        <w:t>th</w:t>
      </w:r>
      <w:r w:rsidR="005F06EB">
        <w:t xml:space="preserve"> December 2012</w:t>
      </w:r>
      <w:r w:rsidR="00676413">
        <w:t>)</w:t>
      </w:r>
    </w:p>
    <w:p w:rsidR="000F5FA2" w:rsidRDefault="000F5FA2" w:rsidP="000F3523">
      <w:pPr>
        <w:jc w:val="both"/>
      </w:pPr>
    </w:p>
    <w:p w:rsidR="000F5FA2" w:rsidRPr="000F5FA2" w:rsidRDefault="000F5FA2" w:rsidP="000F3523">
      <w:pPr>
        <w:jc w:val="both"/>
      </w:pPr>
      <w:r>
        <w:t xml:space="preserve">Giffiths R (2007) Legal requirements for the prescribing and administration of medicines. </w:t>
      </w:r>
      <w:r>
        <w:rPr>
          <w:i/>
        </w:rPr>
        <w:t xml:space="preserve">British Journal of Community Nursing. </w:t>
      </w:r>
      <w:r w:rsidR="002E6826">
        <w:t>12 (10), 477-481.</w:t>
      </w:r>
    </w:p>
    <w:p w:rsidR="00ED180F" w:rsidRDefault="00ED180F" w:rsidP="000F3523">
      <w:pPr>
        <w:jc w:val="both"/>
      </w:pPr>
    </w:p>
    <w:p w:rsidR="00ED180F" w:rsidRDefault="00ED180F" w:rsidP="00ED180F">
      <w:r>
        <w:t>Hofman. D, Moore. K, Cooper. R, Eagle.M, Cooper.S. (2007) Use of corticosteroids in chronic leg ulcers. Journal of Wound Care.16 (5) 1 -4</w:t>
      </w:r>
    </w:p>
    <w:p w:rsidR="0012378D" w:rsidRPr="000F3523" w:rsidRDefault="0012378D" w:rsidP="000F3523">
      <w:pPr>
        <w:jc w:val="both"/>
      </w:pPr>
    </w:p>
    <w:p w:rsidR="00565225" w:rsidRPr="000F3523" w:rsidRDefault="00565225" w:rsidP="000F3523">
      <w:pPr>
        <w:jc w:val="both"/>
      </w:pPr>
      <w:r w:rsidRPr="000F3523">
        <w:t xml:space="preserve">New Zealand Dermatological Society Incorporated (2012) Topical Steroids. Available at:- </w:t>
      </w:r>
      <w:hyperlink r:id="rId16" w:history="1">
        <w:r w:rsidRPr="000F3523">
          <w:rPr>
            <w:rStyle w:val="Hyperlink"/>
          </w:rPr>
          <w:t>http://www.dermnetnz.org/treatments/topical-steroids.html</w:t>
        </w:r>
      </w:hyperlink>
      <w:r w:rsidR="006C173D" w:rsidRPr="000F3523">
        <w:t>. (a</w:t>
      </w:r>
      <w:r w:rsidRPr="000F3523">
        <w:t>ccessed on the 24th November 2012</w:t>
      </w:r>
      <w:r w:rsidR="006C173D" w:rsidRPr="000F3523">
        <w:t>)</w:t>
      </w:r>
      <w:r w:rsidRPr="000F3523">
        <w:t>.</w:t>
      </w:r>
    </w:p>
    <w:p w:rsidR="006C173D" w:rsidRPr="000F3523" w:rsidRDefault="006C173D" w:rsidP="000F3523">
      <w:pPr>
        <w:jc w:val="both"/>
      </w:pPr>
    </w:p>
    <w:p w:rsidR="006C173D" w:rsidRPr="000F3523" w:rsidRDefault="006C173D" w:rsidP="000F3523">
      <w:pPr>
        <w:jc w:val="both"/>
      </w:pPr>
      <w:r w:rsidRPr="000F3523">
        <w:t xml:space="preserve">Nursing and Midwifery Council (NMC) (2007) </w:t>
      </w:r>
      <w:r w:rsidRPr="000F3523">
        <w:rPr>
          <w:i/>
        </w:rPr>
        <w:t>Standards for Medicine Management</w:t>
      </w:r>
      <w:r w:rsidRPr="000F3523">
        <w:t>. NMC: London</w:t>
      </w:r>
    </w:p>
    <w:p w:rsidR="00565225" w:rsidRPr="000F3523" w:rsidRDefault="00565225" w:rsidP="000F3523">
      <w:pPr>
        <w:jc w:val="both"/>
      </w:pPr>
    </w:p>
    <w:p w:rsidR="00565225" w:rsidRPr="000F3523" w:rsidRDefault="00565225" w:rsidP="000F3523">
      <w:pPr>
        <w:jc w:val="both"/>
      </w:pPr>
      <w:r w:rsidRPr="000F3523">
        <w:t xml:space="preserve">The British Association of Dermatologists (BAD) (2008) </w:t>
      </w:r>
      <w:r w:rsidRPr="000F3523">
        <w:rPr>
          <w:i/>
        </w:rPr>
        <w:t>Topical Corticosteroids.</w:t>
      </w:r>
      <w:r w:rsidRPr="000F3523">
        <w:t xml:space="preserve"> Available at:- http://www.bad.org.uk/site/1117/default.aspx. </w:t>
      </w:r>
      <w:r w:rsidR="006C173D" w:rsidRPr="000F3523">
        <w:t>(a</w:t>
      </w:r>
      <w:r w:rsidR="00C94CC4">
        <w:t xml:space="preserve">ccessed: </w:t>
      </w:r>
      <w:r w:rsidRPr="000F3523">
        <w:t>24th November 2012</w:t>
      </w:r>
      <w:r w:rsidR="006C173D" w:rsidRPr="000F3523">
        <w:t>)</w:t>
      </w:r>
    </w:p>
    <w:p w:rsidR="008F35C2" w:rsidRDefault="008F35C2" w:rsidP="008C05D4"/>
    <w:p w:rsidR="00720BEA" w:rsidRDefault="00720BEA" w:rsidP="008C05D4"/>
    <w:p w:rsidR="00720BEA" w:rsidRPr="00720BEA" w:rsidRDefault="00720BEA" w:rsidP="00720BEA"/>
    <w:p w:rsidR="00720BEA" w:rsidRPr="00720BEA" w:rsidRDefault="00720BEA" w:rsidP="00720BEA"/>
    <w:p w:rsidR="00720BEA" w:rsidRPr="00720BEA" w:rsidRDefault="00720BEA" w:rsidP="00720BEA"/>
    <w:p w:rsidR="00720BEA" w:rsidRPr="00720BEA" w:rsidRDefault="00720BEA" w:rsidP="00720BEA"/>
    <w:sectPr w:rsidR="00720BEA" w:rsidRPr="00720BEA" w:rsidSect="00FD5ACC">
      <w:footerReference w:type="default" r:id="rId17"/>
      <w:pgSz w:w="16838" w:h="11906" w:orient="landscape"/>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CC" w:rsidRDefault="00FD5ACC" w:rsidP="0050778E">
      <w:r>
        <w:separator/>
      </w:r>
    </w:p>
  </w:endnote>
  <w:endnote w:type="continuationSeparator" w:id="0">
    <w:p w:rsidR="00FD5ACC" w:rsidRDefault="00FD5ACC" w:rsidP="0050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87" w:rsidRPr="00800587" w:rsidRDefault="00800587">
    <w:pPr>
      <w:pStyle w:val="Footer"/>
      <w:rPr>
        <w:sz w:val="20"/>
        <w:szCs w:val="20"/>
      </w:rPr>
    </w:pPr>
    <w:r w:rsidRPr="00800587">
      <w:rPr>
        <w:sz w:val="20"/>
        <w:szCs w:val="20"/>
      </w:rPr>
      <w:t>A protocol for the specialist use of topical steroid preparation on wound beds within the community. V2/ Final version 10/05/13</w:t>
    </w:r>
  </w:p>
  <w:p w:rsidR="00FD5ACC" w:rsidRPr="0042208F" w:rsidRDefault="00FD5ACC">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CC" w:rsidRDefault="00FD5ACC" w:rsidP="0050778E">
      <w:r>
        <w:separator/>
      </w:r>
    </w:p>
  </w:footnote>
  <w:footnote w:type="continuationSeparator" w:id="0">
    <w:p w:rsidR="00FD5ACC" w:rsidRDefault="00FD5ACC" w:rsidP="00507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F01BE6"/>
    <w:multiLevelType w:val="hybridMultilevel"/>
    <w:tmpl w:val="1E68C8E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D1061"/>
    <w:multiLevelType w:val="hybridMultilevel"/>
    <w:tmpl w:val="65A87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61687"/>
    <w:multiLevelType w:val="multilevel"/>
    <w:tmpl w:val="01AEB1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80CA3"/>
    <w:multiLevelType w:val="hybridMultilevel"/>
    <w:tmpl w:val="081EB47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BD069C7"/>
    <w:multiLevelType w:val="hybridMultilevel"/>
    <w:tmpl w:val="9D1CB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10788F"/>
    <w:multiLevelType w:val="hybridMultilevel"/>
    <w:tmpl w:val="2718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3C14B7"/>
    <w:multiLevelType w:val="hybridMultilevel"/>
    <w:tmpl w:val="EEBE98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88357B"/>
    <w:multiLevelType w:val="hybridMultilevel"/>
    <w:tmpl w:val="1FAC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F4795C"/>
    <w:multiLevelType w:val="multilevel"/>
    <w:tmpl w:val="36BC3E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DF1695"/>
    <w:multiLevelType w:val="hybridMultilevel"/>
    <w:tmpl w:val="1910EB1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B5698D"/>
    <w:multiLevelType w:val="hybridMultilevel"/>
    <w:tmpl w:val="1366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734433"/>
    <w:multiLevelType w:val="hybridMultilevel"/>
    <w:tmpl w:val="41CA3C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65472C"/>
    <w:multiLevelType w:val="multilevel"/>
    <w:tmpl w:val="30628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184D2F"/>
    <w:multiLevelType w:val="hybridMultilevel"/>
    <w:tmpl w:val="B23A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746EE7"/>
    <w:multiLevelType w:val="multilevel"/>
    <w:tmpl w:val="2D4E57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43564A"/>
    <w:multiLevelType w:val="hybridMultilevel"/>
    <w:tmpl w:val="1E52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2005AE"/>
    <w:multiLevelType w:val="multilevel"/>
    <w:tmpl w:val="2D4E57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745CA6"/>
    <w:multiLevelType w:val="multilevel"/>
    <w:tmpl w:val="012E7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971EA3"/>
    <w:multiLevelType w:val="hybridMultilevel"/>
    <w:tmpl w:val="0E7CEC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7A2EAD"/>
    <w:multiLevelType w:val="hybridMultilevel"/>
    <w:tmpl w:val="D07CA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31582C"/>
    <w:multiLevelType w:val="hybridMultilevel"/>
    <w:tmpl w:val="1FF6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12320B"/>
    <w:multiLevelType w:val="hybridMultilevel"/>
    <w:tmpl w:val="02D2915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3125AF"/>
    <w:multiLevelType w:val="hybridMultilevel"/>
    <w:tmpl w:val="081EB47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5D524BAD"/>
    <w:multiLevelType w:val="hybridMultilevel"/>
    <w:tmpl w:val="E78A1D2E"/>
    <w:lvl w:ilvl="0" w:tplc="0A746076">
      <w:numFmt w:val="bullet"/>
      <w:lvlText w:val="-"/>
      <w:lvlJc w:val="left"/>
      <w:pPr>
        <w:ind w:left="390" w:hanging="360"/>
      </w:pPr>
      <w:rPr>
        <w:rFonts w:ascii="Times New Roman" w:eastAsia="Calibri" w:hAnsi="Times New Roman" w:cs="Times New Roman" w:hint="default"/>
        <w:color w:val="auto"/>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4">
    <w:nsid w:val="62825BAE"/>
    <w:multiLevelType w:val="hybridMultilevel"/>
    <w:tmpl w:val="BEE6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A547F3"/>
    <w:multiLevelType w:val="hybridMultilevel"/>
    <w:tmpl w:val="FCD4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E416AA"/>
    <w:multiLevelType w:val="hybridMultilevel"/>
    <w:tmpl w:val="5A30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D6699E"/>
    <w:multiLevelType w:val="hybridMultilevel"/>
    <w:tmpl w:val="3BAE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5A6A01"/>
    <w:multiLevelType w:val="hybridMultilevel"/>
    <w:tmpl w:val="131451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067A53"/>
    <w:multiLevelType w:val="hybridMultilevel"/>
    <w:tmpl w:val="303A9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E223015"/>
    <w:multiLevelType w:val="hybridMultilevel"/>
    <w:tmpl w:val="AF86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
  </w:num>
  <w:num w:numId="4">
    <w:abstractNumId w:val="1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
  </w:num>
  <w:num w:numId="8">
    <w:abstractNumId w:val="11"/>
  </w:num>
  <w:num w:numId="9">
    <w:abstractNumId w:val="21"/>
  </w:num>
  <w:num w:numId="10">
    <w:abstractNumId w:val="20"/>
  </w:num>
  <w:num w:numId="11">
    <w:abstractNumId w:val="10"/>
  </w:num>
  <w:num w:numId="12">
    <w:abstractNumId w:val="5"/>
  </w:num>
  <w:num w:numId="13">
    <w:abstractNumId w:val="7"/>
  </w:num>
  <w:num w:numId="14">
    <w:abstractNumId w:val="13"/>
  </w:num>
  <w:num w:numId="15">
    <w:abstractNumId w:val="26"/>
  </w:num>
  <w:num w:numId="16">
    <w:abstractNumId w:val="15"/>
  </w:num>
  <w:num w:numId="17">
    <w:abstractNumId w:val="8"/>
  </w:num>
  <w:num w:numId="18">
    <w:abstractNumId w:val="24"/>
  </w:num>
  <w:num w:numId="19">
    <w:abstractNumId w:val="16"/>
  </w:num>
  <w:num w:numId="20">
    <w:abstractNumId w:val="14"/>
  </w:num>
  <w:num w:numId="21">
    <w:abstractNumId w:val="27"/>
  </w:num>
  <w:num w:numId="22">
    <w:abstractNumId w:val="1"/>
  </w:num>
  <w:num w:numId="23">
    <w:abstractNumId w:val="28"/>
  </w:num>
  <w:num w:numId="24">
    <w:abstractNumId w:val="23"/>
  </w:num>
  <w:num w:numId="25">
    <w:abstractNumId w:val="25"/>
  </w:num>
  <w:num w:numId="26">
    <w:abstractNumId w:val="29"/>
  </w:num>
  <w:num w:numId="27">
    <w:abstractNumId w:val="4"/>
  </w:num>
  <w:num w:numId="28">
    <w:abstractNumId w:val="30"/>
  </w:num>
  <w:num w:numId="29">
    <w:abstractNumId w:val="0"/>
  </w:num>
  <w:num w:numId="30">
    <w:abstractNumId w:val="19"/>
  </w:num>
  <w:num w:numId="31">
    <w:abstractNumId w:val="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8E"/>
    <w:rsid w:val="0000507E"/>
    <w:rsid w:val="00013B28"/>
    <w:rsid w:val="00051B8E"/>
    <w:rsid w:val="000604E5"/>
    <w:rsid w:val="0006093B"/>
    <w:rsid w:val="000875C6"/>
    <w:rsid w:val="000938E7"/>
    <w:rsid w:val="000967D3"/>
    <w:rsid w:val="0009783E"/>
    <w:rsid w:val="000A0B38"/>
    <w:rsid w:val="000A6858"/>
    <w:rsid w:val="000C705D"/>
    <w:rsid w:val="000D071C"/>
    <w:rsid w:val="000D09F3"/>
    <w:rsid w:val="000E3385"/>
    <w:rsid w:val="000F3523"/>
    <w:rsid w:val="000F5FA2"/>
    <w:rsid w:val="001063DD"/>
    <w:rsid w:val="00122AFE"/>
    <w:rsid w:val="0012378D"/>
    <w:rsid w:val="00132866"/>
    <w:rsid w:val="00136163"/>
    <w:rsid w:val="00151CFE"/>
    <w:rsid w:val="00154DF1"/>
    <w:rsid w:val="00173541"/>
    <w:rsid w:val="00181863"/>
    <w:rsid w:val="001A40DD"/>
    <w:rsid w:val="001C6D54"/>
    <w:rsid w:val="001C7108"/>
    <w:rsid w:val="001D0BCC"/>
    <w:rsid w:val="001E107C"/>
    <w:rsid w:val="001F5273"/>
    <w:rsid w:val="001F641B"/>
    <w:rsid w:val="00205202"/>
    <w:rsid w:val="00205769"/>
    <w:rsid w:val="0021249E"/>
    <w:rsid w:val="002127AE"/>
    <w:rsid w:val="00213D1E"/>
    <w:rsid w:val="0022353A"/>
    <w:rsid w:val="00223B49"/>
    <w:rsid w:val="00240800"/>
    <w:rsid w:val="002623F5"/>
    <w:rsid w:val="00262E69"/>
    <w:rsid w:val="00265960"/>
    <w:rsid w:val="0027181F"/>
    <w:rsid w:val="00272579"/>
    <w:rsid w:val="002747A0"/>
    <w:rsid w:val="00297CB4"/>
    <w:rsid w:val="002A014B"/>
    <w:rsid w:val="002A13F6"/>
    <w:rsid w:val="002A598E"/>
    <w:rsid w:val="002A6F4E"/>
    <w:rsid w:val="002A704A"/>
    <w:rsid w:val="002B7D9C"/>
    <w:rsid w:val="002C1293"/>
    <w:rsid w:val="002C4228"/>
    <w:rsid w:val="002D2EDB"/>
    <w:rsid w:val="002D3B6C"/>
    <w:rsid w:val="002E3870"/>
    <w:rsid w:val="002E4400"/>
    <w:rsid w:val="002E5FF1"/>
    <w:rsid w:val="002E6826"/>
    <w:rsid w:val="002E73BF"/>
    <w:rsid w:val="002F0671"/>
    <w:rsid w:val="003314D3"/>
    <w:rsid w:val="00337D18"/>
    <w:rsid w:val="00354882"/>
    <w:rsid w:val="003567A9"/>
    <w:rsid w:val="00357A10"/>
    <w:rsid w:val="0037530E"/>
    <w:rsid w:val="003829A8"/>
    <w:rsid w:val="003864D4"/>
    <w:rsid w:val="0039090B"/>
    <w:rsid w:val="003A5A5E"/>
    <w:rsid w:val="003C1FED"/>
    <w:rsid w:val="003C3AA7"/>
    <w:rsid w:val="00410D36"/>
    <w:rsid w:val="0042208F"/>
    <w:rsid w:val="00426B6E"/>
    <w:rsid w:val="004303E5"/>
    <w:rsid w:val="00434A6E"/>
    <w:rsid w:val="00437505"/>
    <w:rsid w:val="004900C3"/>
    <w:rsid w:val="004943DE"/>
    <w:rsid w:val="004A5FC1"/>
    <w:rsid w:val="004B1F48"/>
    <w:rsid w:val="004C5084"/>
    <w:rsid w:val="004C7022"/>
    <w:rsid w:val="004D202B"/>
    <w:rsid w:val="0050778E"/>
    <w:rsid w:val="00512DB2"/>
    <w:rsid w:val="00537062"/>
    <w:rsid w:val="00555BA1"/>
    <w:rsid w:val="00561CBD"/>
    <w:rsid w:val="00565225"/>
    <w:rsid w:val="00566740"/>
    <w:rsid w:val="0059636C"/>
    <w:rsid w:val="005A1E28"/>
    <w:rsid w:val="005A2B23"/>
    <w:rsid w:val="005B650A"/>
    <w:rsid w:val="005C7128"/>
    <w:rsid w:val="005D7C25"/>
    <w:rsid w:val="005F06EB"/>
    <w:rsid w:val="005F47ED"/>
    <w:rsid w:val="00601EEC"/>
    <w:rsid w:val="0060449A"/>
    <w:rsid w:val="00617BE9"/>
    <w:rsid w:val="00624ACF"/>
    <w:rsid w:val="00636D12"/>
    <w:rsid w:val="00653561"/>
    <w:rsid w:val="006559A8"/>
    <w:rsid w:val="0066164C"/>
    <w:rsid w:val="00663547"/>
    <w:rsid w:val="006674C3"/>
    <w:rsid w:val="0067366D"/>
    <w:rsid w:val="00676413"/>
    <w:rsid w:val="00677F22"/>
    <w:rsid w:val="00690809"/>
    <w:rsid w:val="00690F2D"/>
    <w:rsid w:val="006B456C"/>
    <w:rsid w:val="006C173D"/>
    <w:rsid w:val="006E4396"/>
    <w:rsid w:val="006E6B8C"/>
    <w:rsid w:val="00705A44"/>
    <w:rsid w:val="00720BEA"/>
    <w:rsid w:val="00725C87"/>
    <w:rsid w:val="00726373"/>
    <w:rsid w:val="00735285"/>
    <w:rsid w:val="007354A1"/>
    <w:rsid w:val="00740D1A"/>
    <w:rsid w:val="007419B5"/>
    <w:rsid w:val="007627D2"/>
    <w:rsid w:val="00777BF4"/>
    <w:rsid w:val="00791BBA"/>
    <w:rsid w:val="007C09B4"/>
    <w:rsid w:val="007D0501"/>
    <w:rsid w:val="007E1A34"/>
    <w:rsid w:val="007E7607"/>
    <w:rsid w:val="007F68CF"/>
    <w:rsid w:val="00800587"/>
    <w:rsid w:val="00812362"/>
    <w:rsid w:val="00816500"/>
    <w:rsid w:val="008363B6"/>
    <w:rsid w:val="0084507B"/>
    <w:rsid w:val="008518E9"/>
    <w:rsid w:val="0085205A"/>
    <w:rsid w:val="00863B80"/>
    <w:rsid w:val="008955E3"/>
    <w:rsid w:val="008A5F36"/>
    <w:rsid w:val="008A7B0B"/>
    <w:rsid w:val="008B263D"/>
    <w:rsid w:val="008C05D4"/>
    <w:rsid w:val="008D14F3"/>
    <w:rsid w:val="008F35C2"/>
    <w:rsid w:val="00917BAB"/>
    <w:rsid w:val="009261C7"/>
    <w:rsid w:val="009340A5"/>
    <w:rsid w:val="0094179F"/>
    <w:rsid w:val="00964443"/>
    <w:rsid w:val="009747F4"/>
    <w:rsid w:val="0099165C"/>
    <w:rsid w:val="00996321"/>
    <w:rsid w:val="009A7A57"/>
    <w:rsid w:val="009B335B"/>
    <w:rsid w:val="009C7951"/>
    <w:rsid w:val="009E08C4"/>
    <w:rsid w:val="00A15E71"/>
    <w:rsid w:val="00A240E7"/>
    <w:rsid w:val="00A26FF8"/>
    <w:rsid w:val="00A433AB"/>
    <w:rsid w:val="00A47630"/>
    <w:rsid w:val="00A61B08"/>
    <w:rsid w:val="00A66148"/>
    <w:rsid w:val="00AC7519"/>
    <w:rsid w:val="00AE04F9"/>
    <w:rsid w:val="00AE50DB"/>
    <w:rsid w:val="00AF58B5"/>
    <w:rsid w:val="00B01629"/>
    <w:rsid w:val="00B06A98"/>
    <w:rsid w:val="00B2168C"/>
    <w:rsid w:val="00B57038"/>
    <w:rsid w:val="00B62864"/>
    <w:rsid w:val="00BC6361"/>
    <w:rsid w:val="00BD2A80"/>
    <w:rsid w:val="00BE6E27"/>
    <w:rsid w:val="00BF0BC9"/>
    <w:rsid w:val="00BF1FE5"/>
    <w:rsid w:val="00BF75C5"/>
    <w:rsid w:val="00C025B7"/>
    <w:rsid w:val="00C02765"/>
    <w:rsid w:val="00C05605"/>
    <w:rsid w:val="00C30019"/>
    <w:rsid w:val="00C36218"/>
    <w:rsid w:val="00C3670B"/>
    <w:rsid w:val="00C43533"/>
    <w:rsid w:val="00C47BE1"/>
    <w:rsid w:val="00C50FDB"/>
    <w:rsid w:val="00C7401A"/>
    <w:rsid w:val="00C7504D"/>
    <w:rsid w:val="00C82C31"/>
    <w:rsid w:val="00C94B07"/>
    <w:rsid w:val="00C94CC4"/>
    <w:rsid w:val="00CA39D6"/>
    <w:rsid w:val="00CB2A3E"/>
    <w:rsid w:val="00CB4EAA"/>
    <w:rsid w:val="00CC0589"/>
    <w:rsid w:val="00CC7B6B"/>
    <w:rsid w:val="00CD54D4"/>
    <w:rsid w:val="00CE30FA"/>
    <w:rsid w:val="00CF6CB6"/>
    <w:rsid w:val="00CF7E03"/>
    <w:rsid w:val="00D105A0"/>
    <w:rsid w:val="00D2157A"/>
    <w:rsid w:val="00D30FD1"/>
    <w:rsid w:val="00D31731"/>
    <w:rsid w:val="00D3472A"/>
    <w:rsid w:val="00D40E60"/>
    <w:rsid w:val="00D44BC4"/>
    <w:rsid w:val="00D4789F"/>
    <w:rsid w:val="00D53B1C"/>
    <w:rsid w:val="00D54A58"/>
    <w:rsid w:val="00D56748"/>
    <w:rsid w:val="00D616AA"/>
    <w:rsid w:val="00D76570"/>
    <w:rsid w:val="00D87BF6"/>
    <w:rsid w:val="00DA231B"/>
    <w:rsid w:val="00DF1937"/>
    <w:rsid w:val="00E01B79"/>
    <w:rsid w:val="00E3039F"/>
    <w:rsid w:val="00E31057"/>
    <w:rsid w:val="00E3378D"/>
    <w:rsid w:val="00E359FD"/>
    <w:rsid w:val="00E503ED"/>
    <w:rsid w:val="00E57F45"/>
    <w:rsid w:val="00E73DBB"/>
    <w:rsid w:val="00E80503"/>
    <w:rsid w:val="00E95E4B"/>
    <w:rsid w:val="00EA2C0D"/>
    <w:rsid w:val="00EA6558"/>
    <w:rsid w:val="00EA74CD"/>
    <w:rsid w:val="00EB090D"/>
    <w:rsid w:val="00EB29B4"/>
    <w:rsid w:val="00ED180F"/>
    <w:rsid w:val="00EF78D6"/>
    <w:rsid w:val="00F17DA4"/>
    <w:rsid w:val="00F25452"/>
    <w:rsid w:val="00F303C4"/>
    <w:rsid w:val="00F37E01"/>
    <w:rsid w:val="00F4189F"/>
    <w:rsid w:val="00F443DA"/>
    <w:rsid w:val="00F578EC"/>
    <w:rsid w:val="00F6559B"/>
    <w:rsid w:val="00FB5E87"/>
    <w:rsid w:val="00FD5ACC"/>
    <w:rsid w:val="00FE15C0"/>
    <w:rsid w:val="00FE2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E"/>
    <w:rPr>
      <w:rFonts w:ascii="Times New Roman" w:eastAsia="Times New Roman" w:hAnsi="Times New Roman"/>
      <w:sz w:val="24"/>
      <w:szCs w:val="24"/>
    </w:rPr>
  </w:style>
  <w:style w:type="paragraph" w:styleId="Heading1">
    <w:name w:val="heading 1"/>
    <w:basedOn w:val="Normal"/>
    <w:link w:val="Heading1Char"/>
    <w:uiPriority w:val="9"/>
    <w:qFormat/>
    <w:rsid w:val="00C05605"/>
    <w:pPr>
      <w:spacing w:before="96" w:after="192"/>
      <w:outlineLvl w:val="0"/>
    </w:pPr>
    <w:rPr>
      <w:b/>
      <w:bCs/>
      <w:color w:val="365266"/>
      <w:kern w:val="36"/>
      <w:sz w:val="41"/>
      <w:szCs w:val="41"/>
    </w:rPr>
  </w:style>
  <w:style w:type="paragraph" w:styleId="Heading3">
    <w:name w:val="heading 3"/>
    <w:basedOn w:val="Normal"/>
    <w:next w:val="Normal"/>
    <w:link w:val="Heading3Char"/>
    <w:uiPriority w:val="9"/>
    <w:semiHidden/>
    <w:unhideWhenUsed/>
    <w:qFormat/>
    <w:rsid w:val="0021249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778E"/>
    <w:pPr>
      <w:tabs>
        <w:tab w:val="center" w:pos="4513"/>
        <w:tab w:val="right" w:pos="9026"/>
      </w:tabs>
    </w:pPr>
  </w:style>
  <w:style w:type="character" w:customStyle="1" w:styleId="HeaderChar">
    <w:name w:val="Header Char"/>
    <w:basedOn w:val="DefaultParagraphFont"/>
    <w:link w:val="Header"/>
    <w:uiPriority w:val="99"/>
    <w:semiHidden/>
    <w:rsid w:val="0050778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0778E"/>
    <w:pPr>
      <w:tabs>
        <w:tab w:val="center" w:pos="4513"/>
        <w:tab w:val="right" w:pos="9026"/>
      </w:tabs>
    </w:pPr>
  </w:style>
  <w:style w:type="character" w:customStyle="1" w:styleId="FooterChar">
    <w:name w:val="Footer Char"/>
    <w:basedOn w:val="DefaultParagraphFont"/>
    <w:link w:val="Footer"/>
    <w:uiPriority w:val="99"/>
    <w:rsid w:val="0050778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04F9"/>
    <w:rPr>
      <w:color w:val="2E6B99"/>
      <w:u w:val="single"/>
    </w:rPr>
  </w:style>
  <w:style w:type="paragraph" w:styleId="NormalWeb">
    <w:name w:val="Normal (Web)"/>
    <w:basedOn w:val="Normal"/>
    <w:uiPriority w:val="99"/>
    <w:unhideWhenUsed/>
    <w:rsid w:val="00AE04F9"/>
    <w:pPr>
      <w:spacing w:before="100" w:beforeAutospacing="1" w:after="100" w:afterAutospacing="1"/>
    </w:pPr>
  </w:style>
  <w:style w:type="character" w:customStyle="1" w:styleId="Heading1Char">
    <w:name w:val="Heading 1 Char"/>
    <w:basedOn w:val="DefaultParagraphFont"/>
    <w:link w:val="Heading1"/>
    <w:uiPriority w:val="9"/>
    <w:rsid w:val="00C05605"/>
    <w:rPr>
      <w:rFonts w:ascii="Times New Roman" w:eastAsia="Times New Roman" w:hAnsi="Times New Roman"/>
      <w:b/>
      <w:bCs/>
      <w:color w:val="365266"/>
      <w:kern w:val="36"/>
      <w:sz w:val="41"/>
      <w:szCs w:val="41"/>
    </w:rPr>
  </w:style>
  <w:style w:type="paragraph" w:styleId="ListParagraph">
    <w:name w:val="List Paragraph"/>
    <w:basedOn w:val="Normal"/>
    <w:uiPriority w:val="34"/>
    <w:qFormat/>
    <w:rsid w:val="00512DB2"/>
    <w:pPr>
      <w:ind w:left="720"/>
    </w:pPr>
  </w:style>
  <w:style w:type="table" w:styleId="TableGrid">
    <w:name w:val="Table Grid"/>
    <w:basedOn w:val="TableNormal"/>
    <w:uiPriority w:val="59"/>
    <w:rsid w:val="00CE3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1249E"/>
    <w:rPr>
      <w:rFonts w:ascii="Cambria" w:eastAsia="Times New Roman" w:hAnsi="Cambria" w:cs="Times New Roman"/>
      <w:b/>
      <w:bCs/>
      <w:sz w:val="26"/>
      <w:szCs w:val="26"/>
    </w:rPr>
  </w:style>
  <w:style w:type="paragraph" w:styleId="Caption">
    <w:name w:val="caption"/>
    <w:basedOn w:val="Normal"/>
    <w:next w:val="Normal"/>
    <w:uiPriority w:val="35"/>
    <w:unhideWhenUsed/>
    <w:qFormat/>
    <w:rsid w:val="00653561"/>
    <w:rPr>
      <w:b/>
      <w:bCs/>
      <w:sz w:val="20"/>
      <w:szCs w:val="20"/>
    </w:rPr>
  </w:style>
  <w:style w:type="paragraph" w:styleId="E-mailSignature">
    <w:name w:val="E-mail Signature"/>
    <w:basedOn w:val="Normal"/>
    <w:link w:val="E-mailSignatureChar"/>
    <w:uiPriority w:val="99"/>
    <w:semiHidden/>
    <w:unhideWhenUsed/>
    <w:rsid w:val="00EB090D"/>
    <w:rPr>
      <w:rFonts w:eastAsia="Calibri"/>
    </w:rPr>
  </w:style>
  <w:style w:type="character" w:customStyle="1" w:styleId="E-mailSignatureChar">
    <w:name w:val="E-mail Signature Char"/>
    <w:basedOn w:val="DefaultParagraphFont"/>
    <w:link w:val="E-mailSignature"/>
    <w:uiPriority w:val="99"/>
    <w:semiHidden/>
    <w:rsid w:val="00EB090D"/>
    <w:rPr>
      <w:rFonts w:ascii="Times New Roman" w:eastAsia="Calibri" w:hAnsi="Times New Roman"/>
      <w:sz w:val="24"/>
      <w:szCs w:val="24"/>
    </w:rPr>
  </w:style>
  <w:style w:type="paragraph" w:styleId="PlainText">
    <w:name w:val="Plain Text"/>
    <w:basedOn w:val="Normal"/>
    <w:link w:val="PlainTextChar"/>
    <w:uiPriority w:val="99"/>
    <w:unhideWhenUsed/>
    <w:rsid w:val="00F37E0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37E01"/>
    <w:rPr>
      <w:rFonts w:ascii="Consolas" w:eastAsia="Calibri" w:hAnsi="Consolas" w:cs="Times New Roman"/>
      <w:sz w:val="21"/>
      <w:szCs w:val="21"/>
      <w:lang w:eastAsia="en-US"/>
    </w:rPr>
  </w:style>
  <w:style w:type="paragraph" w:styleId="BalloonText">
    <w:name w:val="Balloon Text"/>
    <w:basedOn w:val="Normal"/>
    <w:link w:val="BalloonTextChar"/>
    <w:uiPriority w:val="99"/>
    <w:semiHidden/>
    <w:unhideWhenUsed/>
    <w:rsid w:val="00BE6E27"/>
    <w:rPr>
      <w:rFonts w:ascii="Tahoma" w:hAnsi="Tahoma" w:cs="Tahoma"/>
      <w:sz w:val="16"/>
      <w:szCs w:val="16"/>
    </w:rPr>
  </w:style>
  <w:style w:type="character" w:customStyle="1" w:styleId="BalloonTextChar">
    <w:name w:val="Balloon Text Char"/>
    <w:basedOn w:val="DefaultParagraphFont"/>
    <w:link w:val="BalloonText"/>
    <w:uiPriority w:val="99"/>
    <w:semiHidden/>
    <w:rsid w:val="00BE6E27"/>
    <w:rPr>
      <w:rFonts w:ascii="Tahoma" w:eastAsia="Times New Roman" w:hAnsi="Tahoma" w:cs="Tahoma"/>
      <w:sz w:val="16"/>
      <w:szCs w:val="16"/>
    </w:rPr>
  </w:style>
  <w:style w:type="character" w:customStyle="1" w:styleId="apple-style-span">
    <w:name w:val="apple-style-span"/>
    <w:basedOn w:val="DefaultParagraphFont"/>
    <w:rsid w:val="0067366D"/>
  </w:style>
  <w:style w:type="character" w:styleId="Emphasis">
    <w:name w:val="Emphasis"/>
    <w:basedOn w:val="DefaultParagraphFont"/>
    <w:uiPriority w:val="20"/>
    <w:qFormat/>
    <w:rsid w:val="00676413"/>
    <w:rPr>
      <w:i/>
      <w:iCs/>
    </w:rPr>
  </w:style>
  <w:style w:type="character" w:styleId="CommentReference">
    <w:name w:val="annotation reference"/>
    <w:basedOn w:val="DefaultParagraphFont"/>
    <w:uiPriority w:val="99"/>
    <w:semiHidden/>
    <w:unhideWhenUsed/>
    <w:rsid w:val="003C3AA7"/>
    <w:rPr>
      <w:sz w:val="16"/>
      <w:szCs w:val="16"/>
    </w:rPr>
  </w:style>
  <w:style w:type="paragraph" w:styleId="CommentText">
    <w:name w:val="annotation text"/>
    <w:basedOn w:val="Normal"/>
    <w:link w:val="CommentTextChar"/>
    <w:uiPriority w:val="99"/>
    <w:semiHidden/>
    <w:unhideWhenUsed/>
    <w:rsid w:val="003C3AA7"/>
    <w:rPr>
      <w:sz w:val="20"/>
      <w:szCs w:val="20"/>
    </w:rPr>
  </w:style>
  <w:style w:type="character" w:customStyle="1" w:styleId="CommentTextChar">
    <w:name w:val="Comment Text Char"/>
    <w:basedOn w:val="DefaultParagraphFont"/>
    <w:link w:val="CommentText"/>
    <w:uiPriority w:val="99"/>
    <w:semiHidden/>
    <w:rsid w:val="003C3AA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C3AA7"/>
    <w:rPr>
      <w:b/>
      <w:bCs/>
    </w:rPr>
  </w:style>
  <w:style w:type="character" w:customStyle="1" w:styleId="CommentSubjectChar">
    <w:name w:val="Comment Subject Char"/>
    <w:basedOn w:val="CommentTextChar"/>
    <w:link w:val="CommentSubject"/>
    <w:uiPriority w:val="99"/>
    <w:semiHidden/>
    <w:rsid w:val="003C3AA7"/>
    <w:rPr>
      <w:rFonts w:ascii="Times New Roman" w:eastAsia="Times New Roman" w:hAnsi="Times New Roman"/>
      <w:b/>
      <w:bCs/>
    </w:rPr>
  </w:style>
  <w:style w:type="paragraph" w:styleId="Revision">
    <w:name w:val="Revision"/>
    <w:hidden/>
    <w:uiPriority w:val="99"/>
    <w:semiHidden/>
    <w:rsid w:val="003C3AA7"/>
    <w:rPr>
      <w:rFonts w:ascii="Times New Roman" w:eastAsia="Times New Roman" w:hAnsi="Times New Roman"/>
      <w:sz w:val="24"/>
      <w:szCs w:val="24"/>
    </w:rPr>
  </w:style>
  <w:style w:type="character" w:styleId="Strong">
    <w:name w:val="Strong"/>
    <w:basedOn w:val="DefaultParagraphFont"/>
    <w:uiPriority w:val="22"/>
    <w:qFormat/>
    <w:rsid w:val="00FD5A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E"/>
    <w:rPr>
      <w:rFonts w:ascii="Times New Roman" w:eastAsia="Times New Roman" w:hAnsi="Times New Roman"/>
      <w:sz w:val="24"/>
      <w:szCs w:val="24"/>
    </w:rPr>
  </w:style>
  <w:style w:type="paragraph" w:styleId="Heading1">
    <w:name w:val="heading 1"/>
    <w:basedOn w:val="Normal"/>
    <w:link w:val="Heading1Char"/>
    <w:uiPriority w:val="9"/>
    <w:qFormat/>
    <w:rsid w:val="00C05605"/>
    <w:pPr>
      <w:spacing w:before="96" w:after="192"/>
      <w:outlineLvl w:val="0"/>
    </w:pPr>
    <w:rPr>
      <w:b/>
      <w:bCs/>
      <w:color w:val="365266"/>
      <w:kern w:val="36"/>
      <w:sz w:val="41"/>
      <w:szCs w:val="41"/>
    </w:rPr>
  </w:style>
  <w:style w:type="paragraph" w:styleId="Heading3">
    <w:name w:val="heading 3"/>
    <w:basedOn w:val="Normal"/>
    <w:next w:val="Normal"/>
    <w:link w:val="Heading3Char"/>
    <w:uiPriority w:val="9"/>
    <w:semiHidden/>
    <w:unhideWhenUsed/>
    <w:qFormat/>
    <w:rsid w:val="0021249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778E"/>
    <w:pPr>
      <w:tabs>
        <w:tab w:val="center" w:pos="4513"/>
        <w:tab w:val="right" w:pos="9026"/>
      </w:tabs>
    </w:pPr>
  </w:style>
  <w:style w:type="character" w:customStyle="1" w:styleId="HeaderChar">
    <w:name w:val="Header Char"/>
    <w:basedOn w:val="DefaultParagraphFont"/>
    <w:link w:val="Header"/>
    <w:uiPriority w:val="99"/>
    <w:semiHidden/>
    <w:rsid w:val="0050778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0778E"/>
    <w:pPr>
      <w:tabs>
        <w:tab w:val="center" w:pos="4513"/>
        <w:tab w:val="right" w:pos="9026"/>
      </w:tabs>
    </w:pPr>
  </w:style>
  <w:style w:type="character" w:customStyle="1" w:styleId="FooterChar">
    <w:name w:val="Footer Char"/>
    <w:basedOn w:val="DefaultParagraphFont"/>
    <w:link w:val="Footer"/>
    <w:uiPriority w:val="99"/>
    <w:rsid w:val="0050778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04F9"/>
    <w:rPr>
      <w:color w:val="2E6B99"/>
      <w:u w:val="single"/>
    </w:rPr>
  </w:style>
  <w:style w:type="paragraph" w:styleId="NormalWeb">
    <w:name w:val="Normal (Web)"/>
    <w:basedOn w:val="Normal"/>
    <w:uiPriority w:val="99"/>
    <w:unhideWhenUsed/>
    <w:rsid w:val="00AE04F9"/>
    <w:pPr>
      <w:spacing w:before="100" w:beforeAutospacing="1" w:after="100" w:afterAutospacing="1"/>
    </w:pPr>
  </w:style>
  <w:style w:type="character" w:customStyle="1" w:styleId="Heading1Char">
    <w:name w:val="Heading 1 Char"/>
    <w:basedOn w:val="DefaultParagraphFont"/>
    <w:link w:val="Heading1"/>
    <w:uiPriority w:val="9"/>
    <w:rsid w:val="00C05605"/>
    <w:rPr>
      <w:rFonts w:ascii="Times New Roman" w:eastAsia="Times New Roman" w:hAnsi="Times New Roman"/>
      <w:b/>
      <w:bCs/>
      <w:color w:val="365266"/>
      <w:kern w:val="36"/>
      <w:sz w:val="41"/>
      <w:szCs w:val="41"/>
    </w:rPr>
  </w:style>
  <w:style w:type="paragraph" w:styleId="ListParagraph">
    <w:name w:val="List Paragraph"/>
    <w:basedOn w:val="Normal"/>
    <w:uiPriority w:val="34"/>
    <w:qFormat/>
    <w:rsid w:val="00512DB2"/>
    <w:pPr>
      <w:ind w:left="720"/>
    </w:pPr>
  </w:style>
  <w:style w:type="table" w:styleId="TableGrid">
    <w:name w:val="Table Grid"/>
    <w:basedOn w:val="TableNormal"/>
    <w:uiPriority w:val="59"/>
    <w:rsid w:val="00CE3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1249E"/>
    <w:rPr>
      <w:rFonts w:ascii="Cambria" w:eastAsia="Times New Roman" w:hAnsi="Cambria" w:cs="Times New Roman"/>
      <w:b/>
      <w:bCs/>
      <w:sz w:val="26"/>
      <w:szCs w:val="26"/>
    </w:rPr>
  </w:style>
  <w:style w:type="paragraph" w:styleId="Caption">
    <w:name w:val="caption"/>
    <w:basedOn w:val="Normal"/>
    <w:next w:val="Normal"/>
    <w:uiPriority w:val="35"/>
    <w:unhideWhenUsed/>
    <w:qFormat/>
    <w:rsid w:val="00653561"/>
    <w:rPr>
      <w:b/>
      <w:bCs/>
      <w:sz w:val="20"/>
      <w:szCs w:val="20"/>
    </w:rPr>
  </w:style>
  <w:style w:type="paragraph" w:styleId="E-mailSignature">
    <w:name w:val="E-mail Signature"/>
    <w:basedOn w:val="Normal"/>
    <w:link w:val="E-mailSignatureChar"/>
    <w:uiPriority w:val="99"/>
    <w:semiHidden/>
    <w:unhideWhenUsed/>
    <w:rsid w:val="00EB090D"/>
    <w:rPr>
      <w:rFonts w:eastAsia="Calibri"/>
    </w:rPr>
  </w:style>
  <w:style w:type="character" w:customStyle="1" w:styleId="E-mailSignatureChar">
    <w:name w:val="E-mail Signature Char"/>
    <w:basedOn w:val="DefaultParagraphFont"/>
    <w:link w:val="E-mailSignature"/>
    <w:uiPriority w:val="99"/>
    <w:semiHidden/>
    <w:rsid w:val="00EB090D"/>
    <w:rPr>
      <w:rFonts w:ascii="Times New Roman" w:eastAsia="Calibri" w:hAnsi="Times New Roman"/>
      <w:sz w:val="24"/>
      <w:szCs w:val="24"/>
    </w:rPr>
  </w:style>
  <w:style w:type="paragraph" w:styleId="PlainText">
    <w:name w:val="Plain Text"/>
    <w:basedOn w:val="Normal"/>
    <w:link w:val="PlainTextChar"/>
    <w:uiPriority w:val="99"/>
    <w:unhideWhenUsed/>
    <w:rsid w:val="00F37E0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37E01"/>
    <w:rPr>
      <w:rFonts w:ascii="Consolas" w:eastAsia="Calibri" w:hAnsi="Consolas" w:cs="Times New Roman"/>
      <w:sz w:val="21"/>
      <w:szCs w:val="21"/>
      <w:lang w:eastAsia="en-US"/>
    </w:rPr>
  </w:style>
  <w:style w:type="paragraph" w:styleId="BalloonText">
    <w:name w:val="Balloon Text"/>
    <w:basedOn w:val="Normal"/>
    <w:link w:val="BalloonTextChar"/>
    <w:uiPriority w:val="99"/>
    <w:semiHidden/>
    <w:unhideWhenUsed/>
    <w:rsid w:val="00BE6E27"/>
    <w:rPr>
      <w:rFonts w:ascii="Tahoma" w:hAnsi="Tahoma" w:cs="Tahoma"/>
      <w:sz w:val="16"/>
      <w:szCs w:val="16"/>
    </w:rPr>
  </w:style>
  <w:style w:type="character" w:customStyle="1" w:styleId="BalloonTextChar">
    <w:name w:val="Balloon Text Char"/>
    <w:basedOn w:val="DefaultParagraphFont"/>
    <w:link w:val="BalloonText"/>
    <w:uiPriority w:val="99"/>
    <w:semiHidden/>
    <w:rsid w:val="00BE6E27"/>
    <w:rPr>
      <w:rFonts w:ascii="Tahoma" w:eastAsia="Times New Roman" w:hAnsi="Tahoma" w:cs="Tahoma"/>
      <w:sz w:val="16"/>
      <w:szCs w:val="16"/>
    </w:rPr>
  </w:style>
  <w:style w:type="character" w:customStyle="1" w:styleId="apple-style-span">
    <w:name w:val="apple-style-span"/>
    <w:basedOn w:val="DefaultParagraphFont"/>
    <w:rsid w:val="0067366D"/>
  </w:style>
  <w:style w:type="character" w:styleId="Emphasis">
    <w:name w:val="Emphasis"/>
    <w:basedOn w:val="DefaultParagraphFont"/>
    <w:uiPriority w:val="20"/>
    <w:qFormat/>
    <w:rsid w:val="00676413"/>
    <w:rPr>
      <w:i/>
      <w:iCs/>
    </w:rPr>
  </w:style>
  <w:style w:type="character" w:styleId="CommentReference">
    <w:name w:val="annotation reference"/>
    <w:basedOn w:val="DefaultParagraphFont"/>
    <w:uiPriority w:val="99"/>
    <w:semiHidden/>
    <w:unhideWhenUsed/>
    <w:rsid w:val="003C3AA7"/>
    <w:rPr>
      <w:sz w:val="16"/>
      <w:szCs w:val="16"/>
    </w:rPr>
  </w:style>
  <w:style w:type="paragraph" w:styleId="CommentText">
    <w:name w:val="annotation text"/>
    <w:basedOn w:val="Normal"/>
    <w:link w:val="CommentTextChar"/>
    <w:uiPriority w:val="99"/>
    <w:semiHidden/>
    <w:unhideWhenUsed/>
    <w:rsid w:val="003C3AA7"/>
    <w:rPr>
      <w:sz w:val="20"/>
      <w:szCs w:val="20"/>
    </w:rPr>
  </w:style>
  <w:style w:type="character" w:customStyle="1" w:styleId="CommentTextChar">
    <w:name w:val="Comment Text Char"/>
    <w:basedOn w:val="DefaultParagraphFont"/>
    <w:link w:val="CommentText"/>
    <w:uiPriority w:val="99"/>
    <w:semiHidden/>
    <w:rsid w:val="003C3AA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C3AA7"/>
    <w:rPr>
      <w:b/>
      <w:bCs/>
    </w:rPr>
  </w:style>
  <w:style w:type="character" w:customStyle="1" w:styleId="CommentSubjectChar">
    <w:name w:val="Comment Subject Char"/>
    <w:basedOn w:val="CommentTextChar"/>
    <w:link w:val="CommentSubject"/>
    <w:uiPriority w:val="99"/>
    <w:semiHidden/>
    <w:rsid w:val="003C3AA7"/>
    <w:rPr>
      <w:rFonts w:ascii="Times New Roman" w:eastAsia="Times New Roman" w:hAnsi="Times New Roman"/>
      <w:b/>
      <w:bCs/>
    </w:rPr>
  </w:style>
  <w:style w:type="paragraph" w:styleId="Revision">
    <w:name w:val="Revision"/>
    <w:hidden/>
    <w:uiPriority w:val="99"/>
    <w:semiHidden/>
    <w:rsid w:val="003C3AA7"/>
    <w:rPr>
      <w:rFonts w:ascii="Times New Roman" w:eastAsia="Times New Roman" w:hAnsi="Times New Roman"/>
      <w:sz w:val="24"/>
      <w:szCs w:val="24"/>
    </w:rPr>
  </w:style>
  <w:style w:type="character" w:styleId="Strong">
    <w:name w:val="Strong"/>
    <w:basedOn w:val="DefaultParagraphFont"/>
    <w:uiPriority w:val="22"/>
    <w:qFormat/>
    <w:rsid w:val="00FD5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8153">
      <w:bodyDiv w:val="1"/>
      <w:marLeft w:val="0"/>
      <w:marRight w:val="0"/>
      <w:marTop w:val="0"/>
      <w:marBottom w:val="0"/>
      <w:divBdr>
        <w:top w:val="none" w:sz="0" w:space="0" w:color="auto"/>
        <w:left w:val="none" w:sz="0" w:space="0" w:color="auto"/>
        <w:bottom w:val="none" w:sz="0" w:space="0" w:color="auto"/>
        <w:right w:val="none" w:sz="0" w:space="0" w:color="auto"/>
      </w:divBdr>
    </w:div>
    <w:div w:id="578827794">
      <w:bodyDiv w:val="1"/>
      <w:marLeft w:val="0"/>
      <w:marRight w:val="0"/>
      <w:marTop w:val="0"/>
      <w:marBottom w:val="0"/>
      <w:divBdr>
        <w:top w:val="none" w:sz="0" w:space="0" w:color="auto"/>
        <w:left w:val="none" w:sz="0" w:space="0" w:color="auto"/>
        <w:bottom w:val="none" w:sz="0" w:space="0" w:color="auto"/>
        <w:right w:val="none" w:sz="0" w:space="0" w:color="auto"/>
      </w:divBdr>
      <w:divsChild>
        <w:div w:id="70666589">
          <w:marLeft w:val="0"/>
          <w:marRight w:val="0"/>
          <w:marTop w:val="0"/>
          <w:marBottom w:val="0"/>
          <w:divBdr>
            <w:top w:val="none" w:sz="0" w:space="0" w:color="auto"/>
            <w:left w:val="none" w:sz="0" w:space="0" w:color="auto"/>
            <w:bottom w:val="none" w:sz="0" w:space="0" w:color="auto"/>
            <w:right w:val="none" w:sz="0" w:space="0" w:color="auto"/>
          </w:divBdr>
          <w:divsChild>
            <w:div w:id="17680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9676">
      <w:bodyDiv w:val="1"/>
      <w:marLeft w:val="0"/>
      <w:marRight w:val="0"/>
      <w:marTop w:val="0"/>
      <w:marBottom w:val="0"/>
      <w:divBdr>
        <w:top w:val="none" w:sz="0" w:space="0" w:color="auto"/>
        <w:left w:val="none" w:sz="0" w:space="0" w:color="auto"/>
        <w:bottom w:val="none" w:sz="0" w:space="0" w:color="auto"/>
        <w:right w:val="none" w:sz="0" w:space="0" w:color="auto"/>
      </w:divBdr>
      <w:divsChild>
        <w:div w:id="82191380">
          <w:marLeft w:val="0"/>
          <w:marRight w:val="0"/>
          <w:marTop w:val="0"/>
          <w:marBottom w:val="0"/>
          <w:divBdr>
            <w:top w:val="none" w:sz="0" w:space="0" w:color="auto"/>
            <w:left w:val="none" w:sz="0" w:space="0" w:color="auto"/>
            <w:bottom w:val="none" w:sz="0" w:space="0" w:color="auto"/>
            <w:right w:val="none" w:sz="0" w:space="0" w:color="auto"/>
          </w:divBdr>
        </w:div>
      </w:divsChild>
    </w:div>
    <w:div w:id="874541544">
      <w:bodyDiv w:val="1"/>
      <w:marLeft w:val="0"/>
      <w:marRight w:val="0"/>
      <w:marTop w:val="0"/>
      <w:marBottom w:val="0"/>
      <w:divBdr>
        <w:top w:val="none" w:sz="0" w:space="0" w:color="auto"/>
        <w:left w:val="none" w:sz="0" w:space="0" w:color="auto"/>
        <w:bottom w:val="none" w:sz="0" w:space="0" w:color="auto"/>
        <w:right w:val="none" w:sz="0" w:space="0" w:color="auto"/>
      </w:divBdr>
    </w:div>
    <w:div w:id="1004669358">
      <w:bodyDiv w:val="1"/>
      <w:marLeft w:val="0"/>
      <w:marRight w:val="0"/>
      <w:marTop w:val="0"/>
      <w:marBottom w:val="0"/>
      <w:divBdr>
        <w:top w:val="none" w:sz="0" w:space="0" w:color="auto"/>
        <w:left w:val="none" w:sz="0" w:space="0" w:color="auto"/>
        <w:bottom w:val="none" w:sz="0" w:space="0" w:color="auto"/>
        <w:right w:val="none" w:sz="0" w:space="0" w:color="auto"/>
      </w:divBdr>
    </w:div>
    <w:div w:id="1185554346">
      <w:bodyDiv w:val="1"/>
      <w:marLeft w:val="0"/>
      <w:marRight w:val="0"/>
      <w:marTop w:val="0"/>
      <w:marBottom w:val="0"/>
      <w:divBdr>
        <w:top w:val="none" w:sz="0" w:space="0" w:color="auto"/>
        <w:left w:val="none" w:sz="0" w:space="0" w:color="auto"/>
        <w:bottom w:val="none" w:sz="0" w:space="0" w:color="auto"/>
        <w:right w:val="none" w:sz="0" w:space="0" w:color="auto"/>
      </w:divBdr>
      <w:divsChild>
        <w:div w:id="1564682158">
          <w:marLeft w:val="0"/>
          <w:marRight w:val="0"/>
          <w:marTop w:val="0"/>
          <w:marBottom w:val="0"/>
          <w:divBdr>
            <w:top w:val="none" w:sz="0" w:space="0" w:color="auto"/>
            <w:left w:val="none" w:sz="0" w:space="0" w:color="auto"/>
            <w:bottom w:val="none" w:sz="0" w:space="0" w:color="auto"/>
            <w:right w:val="none" w:sz="0" w:space="0" w:color="auto"/>
          </w:divBdr>
        </w:div>
      </w:divsChild>
    </w:div>
    <w:div w:id="1203320247">
      <w:bodyDiv w:val="1"/>
      <w:marLeft w:val="0"/>
      <w:marRight w:val="0"/>
      <w:marTop w:val="0"/>
      <w:marBottom w:val="0"/>
      <w:divBdr>
        <w:top w:val="none" w:sz="0" w:space="0" w:color="auto"/>
        <w:left w:val="none" w:sz="0" w:space="0" w:color="auto"/>
        <w:bottom w:val="none" w:sz="0" w:space="0" w:color="auto"/>
        <w:right w:val="none" w:sz="0" w:space="0" w:color="auto"/>
      </w:divBdr>
      <w:divsChild>
        <w:div w:id="2146849096">
          <w:marLeft w:val="0"/>
          <w:marRight w:val="0"/>
          <w:marTop w:val="0"/>
          <w:marBottom w:val="0"/>
          <w:divBdr>
            <w:top w:val="none" w:sz="0" w:space="0" w:color="auto"/>
            <w:left w:val="none" w:sz="0" w:space="0" w:color="auto"/>
            <w:bottom w:val="none" w:sz="0" w:space="0" w:color="auto"/>
            <w:right w:val="none" w:sz="0" w:space="0" w:color="auto"/>
          </w:divBdr>
          <w:divsChild>
            <w:div w:id="960720990">
              <w:marLeft w:val="0"/>
              <w:marRight w:val="0"/>
              <w:marTop w:val="0"/>
              <w:marBottom w:val="0"/>
              <w:divBdr>
                <w:top w:val="none" w:sz="0" w:space="0" w:color="auto"/>
                <w:left w:val="none" w:sz="0" w:space="0" w:color="auto"/>
                <w:bottom w:val="none" w:sz="0" w:space="0" w:color="auto"/>
                <w:right w:val="none" w:sz="0" w:space="0" w:color="auto"/>
              </w:divBdr>
              <w:divsChild>
                <w:div w:id="1164593282">
                  <w:marLeft w:val="0"/>
                  <w:marRight w:val="0"/>
                  <w:marTop w:val="0"/>
                  <w:marBottom w:val="0"/>
                  <w:divBdr>
                    <w:top w:val="none" w:sz="0" w:space="0" w:color="auto"/>
                    <w:left w:val="none" w:sz="0" w:space="0" w:color="auto"/>
                    <w:bottom w:val="none" w:sz="0" w:space="0" w:color="auto"/>
                    <w:right w:val="none" w:sz="0" w:space="0" w:color="auto"/>
                  </w:divBdr>
                  <w:divsChild>
                    <w:div w:id="377633638">
                      <w:marLeft w:val="0"/>
                      <w:marRight w:val="0"/>
                      <w:marTop w:val="0"/>
                      <w:marBottom w:val="0"/>
                      <w:divBdr>
                        <w:top w:val="none" w:sz="0" w:space="0" w:color="auto"/>
                        <w:left w:val="none" w:sz="0" w:space="0" w:color="auto"/>
                        <w:bottom w:val="none" w:sz="0" w:space="0" w:color="auto"/>
                        <w:right w:val="none" w:sz="0" w:space="0" w:color="auto"/>
                      </w:divBdr>
                      <w:divsChild>
                        <w:div w:id="17789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042161">
      <w:bodyDiv w:val="1"/>
      <w:marLeft w:val="0"/>
      <w:marRight w:val="0"/>
      <w:marTop w:val="0"/>
      <w:marBottom w:val="0"/>
      <w:divBdr>
        <w:top w:val="none" w:sz="0" w:space="0" w:color="auto"/>
        <w:left w:val="none" w:sz="0" w:space="0" w:color="auto"/>
        <w:bottom w:val="none" w:sz="0" w:space="0" w:color="auto"/>
        <w:right w:val="none" w:sz="0" w:space="0" w:color="auto"/>
      </w:divBdr>
      <w:divsChild>
        <w:div w:id="258176981">
          <w:marLeft w:val="0"/>
          <w:marRight w:val="0"/>
          <w:marTop w:val="0"/>
          <w:marBottom w:val="0"/>
          <w:divBdr>
            <w:top w:val="none" w:sz="0" w:space="0" w:color="auto"/>
            <w:left w:val="none" w:sz="0" w:space="0" w:color="auto"/>
            <w:bottom w:val="none" w:sz="0" w:space="0" w:color="auto"/>
            <w:right w:val="none" w:sz="0" w:space="0" w:color="auto"/>
          </w:divBdr>
        </w:div>
      </w:divsChild>
    </w:div>
    <w:div w:id="1485584111">
      <w:bodyDiv w:val="1"/>
      <w:marLeft w:val="0"/>
      <w:marRight w:val="0"/>
      <w:marTop w:val="0"/>
      <w:marBottom w:val="0"/>
      <w:divBdr>
        <w:top w:val="none" w:sz="0" w:space="0" w:color="auto"/>
        <w:left w:val="none" w:sz="0" w:space="0" w:color="auto"/>
        <w:bottom w:val="none" w:sz="0" w:space="0" w:color="auto"/>
        <w:right w:val="none" w:sz="0" w:space="0" w:color="auto"/>
      </w:divBdr>
    </w:div>
    <w:div w:id="1614246696">
      <w:bodyDiv w:val="1"/>
      <w:marLeft w:val="0"/>
      <w:marRight w:val="0"/>
      <w:marTop w:val="0"/>
      <w:marBottom w:val="0"/>
      <w:divBdr>
        <w:top w:val="none" w:sz="0" w:space="0" w:color="auto"/>
        <w:left w:val="none" w:sz="0" w:space="0" w:color="auto"/>
        <w:bottom w:val="none" w:sz="0" w:space="0" w:color="auto"/>
        <w:right w:val="none" w:sz="0" w:space="0" w:color="auto"/>
      </w:divBdr>
      <w:divsChild>
        <w:div w:id="453063175">
          <w:marLeft w:val="0"/>
          <w:marRight w:val="0"/>
          <w:marTop w:val="0"/>
          <w:marBottom w:val="0"/>
          <w:divBdr>
            <w:top w:val="none" w:sz="0" w:space="0" w:color="auto"/>
            <w:left w:val="none" w:sz="0" w:space="0" w:color="auto"/>
            <w:bottom w:val="none" w:sz="0" w:space="0" w:color="auto"/>
            <w:right w:val="none" w:sz="0" w:space="0" w:color="auto"/>
          </w:divBdr>
        </w:div>
      </w:divsChild>
    </w:div>
    <w:div w:id="1939024677">
      <w:bodyDiv w:val="1"/>
      <w:marLeft w:val="0"/>
      <w:marRight w:val="0"/>
      <w:marTop w:val="0"/>
      <w:marBottom w:val="0"/>
      <w:divBdr>
        <w:top w:val="none" w:sz="0" w:space="0" w:color="auto"/>
        <w:left w:val="none" w:sz="0" w:space="0" w:color="auto"/>
        <w:bottom w:val="none" w:sz="0" w:space="0" w:color="auto"/>
        <w:right w:val="none" w:sz="0" w:space="0" w:color="auto"/>
      </w:divBdr>
      <w:divsChild>
        <w:div w:id="583030453">
          <w:marLeft w:val="0"/>
          <w:marRight w:val="0"/>
          <w:marTop w:val="0"/>
          <w:marBottom w:val="0"/>
          <w:divBdr>
            <w:top w:val="none" w:sz="0" w:space="0" w:color="auto"/>
            <w:left w:val="none" w:sz="0" w:space="0" w:color="auto"/>
            <w:bottom w:val="none" w:sz="0" w:space="0" w:color="auto"/>
            <w:right w:val="none" w:sz="0" w:space="0" w:color="auto"/>
          </w:divBdr>
        </w:div>
      </w:divsChild>
    </w:div>
    <w:div w:id="1971089646">
      <w:bodyDiv w:val="1"/>
      <w:marLeft w:val="0"/>
      <w:marRight w:val="0"/>
      <w:marTop w:val="0"/>
      <w:marBottom w:val="0"/>
      <w:divBdr>
        <w:top w:val="none" w:sz="0" w:space="0" w:color="auto"/>
        <w:left w:val="none" w:sz="0" w:space="0" w:color="auto"/>
        <w:bottom w:val="none" w:sz="0" w:space="0" w:color="auto"/>
        <w:right w:val="none" w:sz="0" w:space="0" w:color="auto"/>
      </w:divBdr>
      <w:divsChild>
        <w:div w:id="202333584">
          <w:marLeft w:val="0"/>
          <w:marRight w:val="0"/>
          <w:marTop w:val="0"/>
          <w:marBottom w:val="0"/>
          <w:divBdr>
            <w:top w:val="none" w:sz="0" w:space="0" w:color="auto"/>
            <w:left w:val="none" w:sz="0" w:space="0" w:color="auto"/>
            <w:bottom w:val="none" w:sz="0" w:space="0" w:color="auto"/>
            <w:right w:val="none" w:sz="0" w:space="0" w:color="auto"/>
          </w:divBdr>
        </w:div>
      </w:divsChild>
    </w:div>
    <w:div w:id="20885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tient.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rmnetnz.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rmnetnz.org/treatments/topical-steroid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xfordhealth.tissueviability@nhs.net" TargetMode="External"/><Relationship Id="rId5" Type="http://schemas.openxmlformats.org/officeDocument/2006/relationships/settings" Target="settings.xml"/><Relationship Id="rId15" Type="http://schemas.openxmlformats.org/officeDocument/2006/relationships/hyperlink" Target="http://www.medicinescomplete.com/mc/" TargetMode="External"/><Relationship Id="rId10" Type="http://schemas.openxmlformats.org/officeDocument/2006/relationships/hyperlink" Target="mailto:tissueviability@oxfordhealth.nhs.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ermnetnz.org/dermatitis/corticosteroid-aller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F925A-59B3-478F-AA46-1AC66838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Oxford Health NHS FT</Company>
  <LinksUpToDate>false</LinksUpToDate>
  <CharactersWithSpaces>18583</CharactersWithSpaces>
  <SharedDoc>false</SharedDoc>
  <HLinks>
    <vt:vector size="30" baseType="variant">
      <vt:variant>
        <vt:i4>6094863</vt:i4>
      </vt:variant>
      <vt:variant>
        <vt:i4>12</vt:i4>
      </vt:variant>
      <vt:variant>
        <vt:i4>0</vt:i4>
      </vt:variant>
      <vt:variant>
        <vt:i4>5</vt:i4>
      </vt:variant>
      <vt:variant>
        <vt:lpwstr>http://www.dermnetnz.org/treatments/topical-steroids.html</vt:lpwstr>
      </vt:variant>
      <vt:variant>
        <vt:lpwstr/>
      </vt:variant>
      <vt:variant>
        <vt:i4>983115</vt:i4>
      </vt:variant>
      <vt:variant>
        <vt:i4>9</vt:i4>
      </vt:variant>
      <vt:variant>
        <vt:i4>0</vt:i4>
      </vt:variant>
      <vt:variant>
        <vt:i4>5</vt:i4>
      </vt:variant>
      <vt:variant>
        <vt:lpwstr>http://www.medicinescomplete.com/mc/</vt:lpwstr>
      </vt:variant>
      <vt:variant>
        <vt:lpwstr/>
      </vt:variant>
      <vt:variant>
        <vt:i4>7012410</vt:i4>
      </vt:variant>
      <vt:variant>
        <vt:i4>6</vt:i4>
      </vt:variant>
      <vt:variant>
        <vt:i4>0</vt:i4>
      </vt:variant>
      <vt:variant>
        <vt:i4>5</vt:i4>
      </vt:variant>
      <vt:variant>
        <vt:lpwstr>http://www.dermnetnz.org/dermatitis/corticosteroid-allergy.html</vt:lpwstr>
      </vt:variant>
      <vt:variant>
        <vt:lpwstr/>
      </vt:variant>
      <vt:variant>
        <vt:i4>1572866</vt:i4>
      </vt:variant>
      <vt:variant>
        <vt:i4>3</vt:i4>
      </vt:variant>
      <vt:variant>
        <vt:i4>0</vt:i4>
      </vt:variant>
      <vt:variant>
        <vt:i4>5</vt:i4>
      </vt:variant>
      <vt:variant>
        <vt:lpwstr>http://www.patient.co.uk/</vt:lpwstr>
      </vt:variant>
      <vt:variant>
        <vt:lpwstr/>
      </vt:variant>
      <vt:variant>
        <vt:i4>5570575</vt:i4>
      </vt:variant>
      <vt:variant>
        <vt:i4>0</vt:i4>
      </vt:variant>
      <vt:variant>
        <vt:i4>0</vt:i4>
      </vt:variant>
      <vt:variant>
        <vt:i4>5</vt:i4>
      </vt:variant>
      <vt:variant>
        <vt:lpwstr>http://www.dermnetnz.org/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julie.hewish</dc:creator>
  <cp:lastModifiedBy>Penny Morgan (RNU) Oxford Health</cp:lastModifiedBy>
  <cp:revision>2</cp:revision>
  <cp:lastPrinted>2012-12-04T10:15:00Z</cp:lastPrinted>
  <dcterms:created xsi:type="dcterms:W3CDTF">2015-08-04T10:09:00Z</dcterms:created>
  <dcterms:modified xsi:type="dcterms:W3CDTF">2015-08-04T10:09:00Z</dcterms:modified>
</cp:coreProperties>
</file>