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641DEB" w:rsidRDefault="005D3499" w:rsidP="00B91CAE">
      <w:pPr>
        <w:ind w:right="-900"/>
        <w:rPr>
          <w:rFonts w:ascii="Segoe UI" w:hAnsi="Segoe UI" w:cs="Segoe UI"/>
          <w: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4791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7D40CB" w:rsidRDefault="007D40CB" w:rsidP="00C72F64">
                            <w:pPr>
                              <w:pStyle w:val="BodyText"/>
                              <w:rPr>
                                <w:b w:val="0"/>
                              </w:rPr>
                            </w:pPr>
                            <w:r w:rsidRPr="000504EC">
                              <w:t>BOD</w:t>
                            </w:r>
                            <w:r>
                              <w:t xml:space="preserve"> </w:t>
                            </w:r>
                            <w:r w:rsidR="007D33CA">
                              <w:t>02/2016</w:t>
                            </w:r>
                          </w:p>
                          <w:p w:rsidR="007D40CB" w:rsidRPr="003277D9" w:rsidRDefault="007D40CB" w:rsidP="00C72F64">
                            <w:pPr>
                              <w:pStyle w:val="BodyText"/>
                              <w:rPr>
                                <w:b w:val="0"/>
                                <w:sz w:val="22"/>
                                <w:szCs w:val="22"/>
                              </w:rPr>
                            </w:pPr>
                            <w:r>
                              <w:rPr>
                                <w:b w:val="0"/>
                                <w:sz w:val="22"/>
                                <w:szCs w:val="22"/>
                              </w:rPr>
                              <w:t>(Agenda item</w:t>
                            </w:r>
                            <w:proofErr w:type="gramStart"/>
                            <w:r>
                              <w:rPr>
                                <w:b w:val="0"/>
                                <w:sz w:val="22"/>
                                <w:szCs w:val="22"/>
                              </w:rPr>
                              <w:t>:</w:t>
                            </w:r>
                            <w:r w:rsidR="007D33CA">
                              <w:rPr>
                                <w:b w:val="0"/>
                                <w:sz w:val="22"/>
                                <w:szCs w:val="22"/>
                              </w:rPr>
                              <w:t>4</w:t>
                            </w:r>
                            <w:proofErr w:type="gramEnd"/>
                            <w:r>
                              <w:rPr>
                                <w:b w:val="0"/>
                                <w:sz w:val="22"/>
                                <w:szCs w:val="22"/>
                              </w:rPr>
                              <w:t>)</w:t>
                            </w:r>
                          </w:p>
                          <w:p w:rsidR="007D40CB" w:rsidRPr="00B34D25" w:rsidRDefault="007D40CB"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7D40CB" w:rsidRDefault="007D40CB" w:rsidP="00C72F64">
                      <w:pPr>
                        <w:pStyle w:val="BodyText"/>
                        <w:rPr>
                          <w:b w:val="0"/>
                        </w:rPr>
                      </w:pPr>
                      <w:r w:rsidRPr="000504EC">
                        <w:t>BOD</w:t>
                      </w:r>
                      <w:r>
                        <w:t xml:space="preserve"> </w:t>
                      </w:r>
                      <w:r w:rsidR="007D33CA">
                        <w:t>02/2016</w:t>
                      </w:r>
                    </w:p>
                    <w:p w:rsidR="007D40CB" w:rsidRPr="003277D9" w:rsidRDefault="007D40CB" w:rsidP="00C72F64">
                      <w:pPr>
                        <w:pStyle w:val="BodyText"/>
                        <w:rPr>
                          <w:b w:val="0"/>
                          <w:sz w:val="22"/>
                          <w:szCs w:val="22"/>
                        </w:rPr>
                      </w:pPr>
                      <w:r>
                        <w:rPr>
                          <w:b w:val="0"/>
                          <w:sz w:val="22"/>
                          <w:szCs w:val="22"/>
                        </w:rPr>
                        <w:t>(Agenda item</w:t>
                      </w:r>
                      <w:proofErr w:type="gramStart"/>
                      <w:r>
                        <w:rPr>
                          <w:b w:val="0"/>
                          <w:sz w:val="22"/>
                          <w:szCs w:val="22"/>
                        </w:rPr>
                        <w:t>:</w:t>
                      </w:r>
                      <w:r w:rsidR="007D33CA">
                        <w:rPr>
                          <w:b w:val="0"/>
                          <w:sz w:val="22"/>
                          <w:szCs w:val="22"/>
                        </w:rPr>
                        <w:t>4</w:t>
                      </w:r>
                      <w:proofErr w:type="gramEnd"/>
                      <w:r>
                        <w:rPr>
                          <w:b w:val="0"/>
                          <w:sz w:val="22"/>
                          <w:szCs w:val="22"/>
                        </w:rPr>
                        <w:t>)</w:t>
                      </w:r>
                    </w:p>
                    <w:p w:rsidR="007D40CB" w:rsidRPr="00B34D25" w:rsidRDefault="007D40CB" w:rsidP="00C72F64">
                      <w:pPr>
                        <w:pStyle w:val="BodyText"/>
                        <w:rPr>
                          <w:b w:val="0"/>
                          <w:sz w:val="22"/>
                          <w:szCs w:val="22"/>
                        </w:rPr>
                      </w:pPr>
                    </w:p>
                  </w:txbxContent>
                </v:textbox>
              </v:rect>
            </w:pict>
          </mc:Fallback>
        </mc:AlternateConten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Report to the Meeting of the </w:t>
      </w: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Oxford Health NHS Foundation Trust</w:t>
      </w:r>
      <w:bookmarkStart w:id="0" w:name="_GoBack"/>
      <w:bookmarkEnd w:id="0"/>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Board of Directors </w:t>
      </w:r>
    </w:p>
    <w:p w:rsidR="004B30BC" w:rsidRPr="00AA52F0" w:rsidRDefault="004B30BC" w:rsidP="004B30BC">
      <w:pPr>
        <w:jc w:val="right"/>
        <w:rPr>
          <w:rFonts w:ascii="Segoe UI" w:hAnsi="Segoe UI" w:cs="Segoe UI"/>
          <w:b/>
        </w:rPr>
      </w:pPr>
    </w:p>
    <w:p w:rsidR="004B30BC" w:rsidRPr="00AA52F0" w:rsidRDefault="00780971" w:rsidP="004B30BC">
      <w:pPr>
        <w:jc w:val="center"/>
        <w:rPr>
          <w:rFonts w:ascii="Segoe UI" w:hAnsi="Segoe UI" w:cs="Segoe UI"/>
          <w:b/>
        </w:rPr>
      </w:pPr>
      <w:r>
        <w:rPr>
          <w:rFonts w:ascii="Segoe UI" w:hAnsi="Segoe UI" w:cs="Segoe UI"/>
          <w:b/>
        </w:rPr>
        <w:t>27 JANUARY 2016</w:t>
      </w:r>
    </w:p>
    <w:p w:rsidR="004B30BC" w:rsidRPr="00AA52F0" w:rsidRDefault="004B30BC" w:rsidP="004B30BC">
      <w:pPr>
        <w:jc w:val="center"/>
        <w:rPr>
          <w:rFonts w:ascii="Segoe UI" w:hAnsi="Segoe UI" w:cs="Segoe UI"/>
          <w:b/>
        </w:rPr>
      </w:pPr>
    </w:p>
    <w:p w:rsidR="004B30BC" w:rsidRPr="00AA52F0" w:rsidRDefault="004B30BC" w:rsidP="004B30BC">
      <w:pPr>
        <w:jc w:val="center"/>
        <w:rPr>
          <w:rFonts w:ascii="Segoe UI" w:hAnsi="Segoe UI" w:cs="Segoe UI"/>
          <w:b/>
        </w:rPr>
      </w:pPr>
      <w:r w:rsidRPr="00AA52F0">
        <w:rPr>
          <w:rFonts w:ascii="Segoe UI" w:hAnsi="Segoe UI" w:cs="Segoe UI"/>
          <w:b/>
        </w:rPr>
        <w:t xml:space="preserve">Chief Executive’s Report </w:t>
      </w:r>
    </w:p>
    <w:p w:rsidR="004B30BC" w:rsidRPr="00AA52F0" w:rsidRDefault="004B30BC" w:rsidP="004B30BC">
      <w:pPr>
        <w:jc w:val="both"/>
        <w:rPr>
          <w:rFonts w:ascii="Segoe UI" w:hAnsi="Segoe UI" w:cs="Segoe UI"/>
          <w:bCs/>
        </w:rPr>
      </w:pPr>
    </w:p>
    <w:p w:rsidR="004B30BC" w:rsidRPr="000C1AB9" w:rsidRDefault="00D42F35" w:rsidP="00D42F35">
      <w:pPr>
        <w:rPr>
          <w:rFonts w:ascii="Segoe UI" w:hAnsi="Segoe UI" w:cs="Segoe UI"/>
          <w:b/>
          <w:sz w:val="22"/>
          <w:szCs w:val="22"/>
          <w:u w:val="single"/>
        </w:rPr>
      </w:pPr>
      <w:r w:rsidRPr="000C1AB9">
        <w:rPr>
          <w:rFonts w:ascii="Segoe UI" w:hAnsi="Segoe UI" w:cs="Segoe UI"/>
          <w:b/>
          <w:sz w:val="22"/>
          <w:szCs w:val="22"/>
          <w:u w:val="single"/>
        </w:rPr>
        <w:t>For</w:t>
      </w:r>
      <w:r w:rsidR="007D2A62" w:rsidRPr="000C1AB9">
        <w:rPr>
          <w:rFonts w:ascii="Segoe UI" w:hAnsi="Segoe UI" w:cs="Segoe UI"/>
          <w:b/>
          <w:sz w:val="22"/>
          <w:szCs w:val="22"/>
          <w:u w:val="single"/>
        </w:rPr>
        <w:t xml:space="preserve"> Approval</w:t>
      </w:r>
    </w:p>
    <w:p w:rsidR="004B30BC" w:rsidRPr="000C1AB9" w:rsidRDefault="004B30BC" w:rsidP="004B30BC">
      <w:pPr>
        <w:jc w:val="both"/>
        <w:rPr>
          <w:rFonts w:ascii="Segoe UI" w:hAnsi="Segoe UI" w:cs="Segoe UI"/>
          <w:b/>
          <w:bCs/>
          <w:sz w:val="22"/>
          <w:szCs w:val="22"/>
        </w:rPr>
      </w:pPr>
    </w:p>
    <w:p w:rsidR="00407B7E" w:rsidRPr="000C1AB9" w:rsidRDefault="00780971" w:rsidP="00407B7E">
      <w:pPr>
        <w:pStyle w:val="ListParagraph"/>
        <w:numPr>
          <w:ilvl w:val="0"/>
          <w:numId w:val="13"/>
        </w:numPr>
        <w:rPr>
          <w:rFonts w:ascii="Segoe UI" w:hAnsi="Segoe UI" w:cs="Segoe UI"/>
          <w:b/>
          <w:bCs/>
          <w:sz w:val="22"/>
          <w:szCs w:val="22"/>
        </w:rPr>
      </w:pPr>
      <w:r w:rsidRPr="000C1AB9">
        <w:rPr>
          <w:rFonts w:ascii="Segoe UI" w:hAnsi="Segoe UI" w:cs="Segoe UI"/>
          <w:b/>
          <w:bCs/>
          <w:sz w:val="22"/>
          <w:szCs w:val="22"/>
        </w:rPr>
        <w:t>Care Quality Commission</w:t>
      </w:r>
      <w:r w:rsidR="00407B7E" w:rsidRPr="000C1AB9">
        <w:rPr>
          <w:rFonts w:ascii="Segoe UI" w:hAnsi="Segoe UI" w:cs="Segoe UI"/>
          <w:b/>
          <w:bCs/>
          <w:sz w:val="22"/>
          <w:szCs w:val="22"/>
        </w:rPr>
        <w:t xml:space="preserve"> Inspection</w:t>
      </w:r>
    </w:p>
    <w:p w:rsidR="00407B7E" w:rsidRPr="000C1AB9" w:rsidRDefault="00780971" w:rsidP="00A40A46">
      <w:pPr>
        <w:jc w:val="both"/>
        <w:rPr>
          <w:rFonts w:ascii="Segoe UI" w:hAnsi="Segoe UI" w:cs="Segoe UI"/>
          <w:sz w:val="22"/>
          <w:szCs w:val="22"/>
        </w:rPr>
      </w:pPr>
      <w:r w:rsidRPr="000C1AB9">
        <w:rPr>
          <w:rFonts w:ascii="Segoe UI" w:hAnsi="Segoe UI" w:cs="Segoe UI"/>
          <w:b/>
          <w:bCs/>
          <w:sz w:val="22"/>
          <w:szCs w:val="22"/>
        </w:rPr>
        <w:br/>
      </w:r>
      <w:r w:rsidR="00407B7E" w:rsidRPr="000C1AB9">
        <w:rPr>
          <w:rFonts w:ascii="Segoe UI" w:hAnsi="Segoe UI" w:cs="Segoe UI"/>
          <w:sz w:val="22"/>
          <w:szCs w:val="22"/>
        </w:rPr>
        <w:t>The CQC published the report of the inspection it undertook commencing 28</w:t>
      </w:r>
      <w:r w:rsidR="00407B7E" w:rsidRPr="000C1AB9">
        <w:rPr>
          <w:rFonts w:ascii="Segoe UI" w:hAnsi="Segoe UI" w:cs="Segoe UI"/>
          <w:sz w:val="22"/>
          <w:szCs w:val="22"/>
          <w:vertAlign w:val="superscript"/>
        </w:rPr>
        <w:t>th</w:t>
      </w:r>
      <w:r w:rsidR="00407B7E" w:rsidRPr="000C1AB9">
        <w:rPr>
          <w:rFonts w:ascii="Segoe UI" w:hAnsi="Segoe UI" w:cs="Segoe UI"/>
          <w:sz w:val="22"/>
          <w:szCs w:val="22"/>
        </w:rPr>
        <w:t xml:space="preserve"> September 2015</w:t>
      </w:r>
      <w:r w:rsidR="00804ABD" w:rsidRPr="000C1AB9">
        <w:rPr>
          <w:rFonts w:ascii="Segoe UI" w:hAnsi="Segoe UI" w:cs="Segoe UI"/>
          <w:sz w:val="22"/>
          <w:szCs w:val="22"/>
        </w:rPr>
        <w:t xml:space="preserve"> on 15</w:t>
      </w:r>
      <w:r w:rsidR="00804ABD" w:rsidRPr="000C1AB9">
        <w:rPr>
          <w:rFonts w:ascii="Segoe UI" w:hAnsi="Segoe UI" w:cs="Segoe UI"/>
          <w:sz w:val="22"/>
          <w:szCs w:val="22"/>
          <w:vertAlign w:val="superscript"/>
        </w:rPr>
        <w:t>th</w:t>
      </w:r>
      <w:r w:rsidR="00804ABD" w:rsidRPr="000C1AB9">
        <w:rPr>
          <w:rFonts w:ascii="Segoe UI" w:hAnsi="Segoe UI" w:cs="Segoe UI"/>
          <w:sz w:val="22"/>
          <w:szCs w:val="22"/>
        </w:rPr>
        <w:t xml:space="preserve"> January 2016.</w:t>
      </w:r>
      <w:r w:rsidR="00407B7E" w:rsidRPr="000C1AB9">
        <w:rPr>
          <w:rFonts w:ascii="Segoe UI" w:hAnsi="Segoe UI" w:cs="Segoe UI"/>
          <w:sz w:val="22"/>
          <w:szCs w:val="22"/>
        </w:rPr>
        <w:t xml:space="preserve"> </w:t>
      </w:r>
      <w:r w:rsidR="00804ABD" w:rsidRPr="000C1AB9">
        <w:rPr>
          <w:rFonts w:ascii="Segoe UI" w:hAnsi="Segoe UI" w:cs="Segoe UI"/>
          <w:sz w:val="22"/>
          <w:szCs w:val="22"/>
        </w:rPr>
        <w:t>The trust was</w:t>
      </w:r>
      <w:r w:rsidR="00407B7E" w:rsidRPr="000C1AB9">
        <w:rPr>
          <w:rFonts w:ascii="Segoe UI" w:hAnsi="Segoe UI" w:cs="Segoe UI"/>
          <w:sz w:val="22"/>
          <w:szCs w:val="22"/>
        </w:rPr>
        <w:t xml:space="preserve"> inspected across 15 core services</w:t>
      </w:r>
      <w:r w:rsidR="00804ABD" w:rsidRPr="000C1AB9">
        <w:rPr>
          <w:rFonts w:ascii="Segoe UI" w:hAnsi="Segoe UI" w:cs="Segoe UI"/>
          <w:sz w:val="22"/>
          <w:szCs w:val="22"/>
        </w:rPr>
        <w:t xml:space="preserve"> (two core services, Community Dentistry and GP </w:t>
      </w:r>
      <w:proofErr w:type="gramStart"/>
      <w:r w:rsidR="00804ABD" w:rsidRPr="000C1AB9">
        <w:rPr>
          <w:rFonts w:ascii="Segoe UI" w:hAnsi="Segoe UI" w:cs="Segoe UI"/>
          <w:sz w:val="22"/>
          <w:szCs w:val="22"/>
        </w:rPr>
        <w:t>Out</w:t>
      </w:r>
      <w:proofErr w:type="gramEnd"/>
      <w:r w:rsidR="00804ABD" w:rsidRPr="000C1AB9">
        <w:rPr>
          <w:rFonts w:ascii="Segoe UI" w:hAnsi="Segoe UI" w:cs="Segoe UI"/>
          <w:sz w:val="22"/>
          <w:szCs w:val="22"/>
        </w:rPr>
        <w:t xml:space="preserve"> of Hours were not inspected on this occasion)</w:t>
      </w:r>
      <w:r w:rsidR="00407B7E" w:rsidRPr="000C1AB9">
        <w:rPr>
          <w:rFonts w:ascii="Segoe UI" w:hAnsi="Segoe UI" w:cs="Segoe UI"/>
          <w:sz w:val="22"/>
          <w:szCs w:val="22"/>
        </w:rPr>
        <w:t xml:space="preserve"> against five domains of quality – caring, responsive, well-led, effective and</w:t>
      </w:r>
      <w:r w:rsidR="00804ABD" w:rsidRPr="000C1AB9">
        <w:rPr>
          <w:rFonts w:ascii="Segoe UI" w:hAnsi="Segoe UI" w:cs="Segoe UI"/>
          <w:sz w:val="22"/>
          <w:szCs w:val="22"/>
        </w:rPr>
        <w:t xml:space="preserve"> safe. Of those 75 specific assessments</w:t>
      </w:r>
      <w:r w:rsidR="00407B7E" w:rsidRPr="000C1AB9">
        <w:rPr>
          <w:rFonts w:ascii="Segoe UI" w:hAnsi="Segoe UI" w:cs="Segoe UI"/>
          <w:sz w:val="22"/>
          <w:szCs w:val="22"/>
        </w:rPr>
        <w:t>, 49 were rated ‘good’, 6 ‘outstanding’ and 20 as ‘require</w:t>
      </w:r>
      <w:r w:rsidR="001E715D" w:rsidRPr="000C1AB9">
        <w:rPr>
          <w:rFonts w:ascii="Segoe UI" w:hAnsi="Segoe UI" w:cs="Segoe UI"/>
          <w:sz w:val="22"/>
          <w:szCs w:val="22"/>
        </w:rPr>
        <w:t>s</w:t>
      </w:r>
      <w:r w:rsidR="00407B7E" w:rsidRPr="000C1AB9">
        <w:rPr>
          <w:rFonts w:ascii="Segoe UI" w:hAnsi="Segoe UI" w:cs="Segoe UI"/>
          <w:sz w:val="22"/>
          <w:szCs w:val="22"/>
        </w:rPr>
        <w:t xml:space="preserve"> improvement’. None were found to be </w:t>
      </w:r>
      <w:r w:rsidR="00804ABD" w:rsidRPr="000C1AB9">
        <w:rPr>
          <w:rFonts w:ascii="Segoe UI" w:hAnsi="Segoe UI" w:cs="Segoe UI"/>
          <w:sz w:val="22"/>
          <w:szCs w:val="22"/>
        </w:rPr>
        <w:t>‘</w:t>
      </w:r>
      <w:r w:rsidR="00407B7E" w:rsidRPr="000C1AB9">
        <w:rPr>
          <w:rFonts w:ascii="Segoe UI" w:hAnsi="Segoe UI" w:cs="Segoe UI"/>
          <w:sz w:val="22"/>
          <w:szCs w:val="22"/>
        </w:rPr>
        <w:t>inadequate</w:t>
      </w:r>
      <w:r w:rsidR="00804ABD" w:rsidRPr="000C1AB9">
        <w:rPr>
          <w:rFonts w:ascii="Segoe UI" w:hAnsi="Segoe UI" w:cs="Segoe UI"/>
          <w:sz w:val="22"/>
          <w:szCs w:val="22"/>
        </w:rPr>
        <w:t>’</w:t>
      </w:r>
      <w:r w:rsidR="00407B7E" w:rsidRPr="000C1AB9">
        <w:rPr>
          <w:rFonts w:ascii="Segoe UI" w:hAnsi="Segoe UI" w:cs="Segoe UI"/>
          <w:sz w:val="22"/>
          <w:szCs w:val="22"/>
        </w:rPr>
        <w:t xml:space="preserve"> and we received no enforcement notices.</w:t>
      </w:r>
    </w:p>
    <w:p w:rsidR="00407B7E" w:rsidRPr="000C1AB9" w:rsidRDefault="00407B7E" w:rsidP="00A40A46">
      <w:pPr>
        <w:jc w:val="both"/>
        <w:rPr>
          <w:rFonts w:ascii="Segoe UI" w:hAnsi="Segoe UI" w:cs="Segoe UI"/>
          <w:sz w:val="22"/>
          <w:szCs w:val="22"/>
        </w:rPr>
      </w:pPr>
    </w:p>
    <w:p w:rsidR="00407B7E" w:rsidRPr="000C1AB9" w:rsidRDefault="00407B7E" w:rsidP="00A40A46">
      <w:pPr>
        <w:jc w:val="both"/>
        <w:rPr>
          <w:rFonts w:ascii="Segoe UI" w:hAnsi="Segoe UI" w:cs="Segoe UI"/>
          <w:sz w:val="22"/>
          <w:szCs w:val="22"/>
        </w:rPr>
      </w:pPr>
      <w:r w:rsidRPr="000C1AB9">
        <w:rPr>
          <w:rFonts w:ascii="Segoe UI" w:hAnsi="Segoe UI" w:cs="Segoe UI"/>
          <w:sz w:val="22"/>
          <w:szCs w:val="22"/>
        </w:rPr>
        <w:t xml:space="preserve">We were over-all rated ‘good’ in three </w:t>
      </w:r>
      <w:r w:rsidR="00804ABD" w:rsidRPr="000C1AB9">
        <w:rPr>
          <w:rFonts w:ascii="Segoe UI" w:hAnsi="Segoe UI" w:cs="Segoe UI"/>
          <w:sz w:val="22"/>
          <w:szCs w:val="22"/>
        </w:rPr>
        <w:t>out of five quality domains</w:t>
      </w:r>
      <w:r w:rsidRPr="000C1AB9">
        <w:rPr>
          <w:rFonts w:ascii="Segoe UI" w:hAnsi="Segoe UI" w:cs="Segoe UI"/>
          <w:sz w:val="22"/>
          <w:szCs w:val="22"/>
        </w:rPr>
        <w:t xml:space="preserve"> – </w:t>
      </w:r>
      <w:r w:rsidRPr="000C1AB9">
        <w:rPr>
          <w:rFonts w:ascii="Segoe UI" w:hAnsi="Segoe UI" w:cs="Segoe UI"/>
          <w:i/>
          <w:iCs/>
          <w:sz w:val="22"/>
          <w:szCs w:val="22"/>
        </w:rPr>
        <w:t>caring</w:t>
      </w:r>
      <w:r w:rsidRPr="000C1AB9">
        <w:rPr>
          <w:rFonts w:ascii="Segoe UI" w:hAnsi="Segoe UI" w:cs="Segoe UI"/>
          <w:sz w:val="22"/>
          <w:szCs w:val="22"/>
        </w:rPr>
        <w:t xml:space="preserve">, </w:t>
      </w:r>
      <w:r w:rsidRPr="000C1AB9">
        <w:rPr>
          <w:rFonts w:ascii="Segoe UI" w:hAnsi="Segoe UI" w:cs="Segoe UI"/>
          <w:i/>
          <w:iCs/>
          <w:sz w:val="22"/>
          <w:szCs w:val="22"/>
        </w:rPr>
        <w:t>responsive</w:t>
      </w:r>
      <w:r w:rsidRPr="000C1AB9">
        <w:rPr>
          <w:rFonts w:ascii="Segoe UI" w:hAnsi="Segoe UI" w:cs="Segoe UI"/>
          <w:sz w:val="22"/>
          <w:szCs w:val="22"/>
        </w:rPr>
        <w:t xml:space="preserve"> and </w:t>
      </w:r>
      <w:r w:rsidRPr="000C1AB9">
        <w:rPr>
          <w:rFonts w:ascii="Segoe UI" w:hAnsi="Segoe UI" w:cs="Segoe UI"/>
          <w:i/>
          <w:iCs/>
          <w:sz w:val="22"/>
          <w:szCs w:val="22"/>
        </w:rPr>
        <w:t>well-led</w:t>
      </w:r>
      <w:r w:rsidRPr="000C1AB9">
        <w:rPr>
          <w:rFonts w:ascii="Segoe UI" w:hAnsi="Segoe UI" w:cs="Segoe UI"/>
          <w:sz w:val="22"/>
          <w:szCs w:val="22"/>
        </w:rPr>
        <w:t xml:space="preserve"> and ‘requiring improvement’ in the remaining two, </w:t>
      </w:r>
      <w:r w:rsidRPr="000C1AB9">
        <w:rPr>
          <w:rFonts w:ascii="Segoe UI" w:hAnsi="Segoe UI" w:cs="Segoe UI"/>
          <w:i/>
          <w:iCs/>
          <w:sz w:val="22"/>
          <w:szCs w:val="22"/>
        </w:rPr>
        <w:t>effective</w:t>
      </w:r>
      <w:r w:rsidRPr="000C1AB9">
        <w:rPr>
          <w:rFonts w:ascii="Segoe UI" w:hAnsi="Segoe UI" w:cs="Segoe UI"/>
          <w:sz w:val="22"/>
          <w:szCs w:val="22"/>
        </w:rPr>
        <w:t xml:space="preserve"> and </w:t>
      </w:r>
      <w:r w:rsidRPr="000C1AB9">
        <w:rPr>
          <w:rFonts w:ascii="Segoe UI" w:hAnsi="Segoe UI" w:cs="Segoe UI"/>
          <w:i/>
          <w:iCs/>
          <w:sz w:val="22"/>
          <w:szCs w:val="22"/>
        </w:rPr>
        <w:t>safe</w:t>
      </w:r>
      <w:r w:rsidRPr="000C1AB9">
        <w:rPr>
          <w:rFonts w:ascii="Segoe UI" w:hAnsi="Segoe UI" w:cs="Segoe UI"/>
          <w:sz w:val="22"/>
          <w:szCs w:val="22"/>
        </w:rPr>
        <w:t xml:space="preserve">. Based on weighted scoring across all services inspected the trust </w:t>
      </w:r>
      <w:r w:rsidR="00804ABD" w:rsidRPr="000C1AB9">
        <w:rPr>
          <w:rFonts w:ascii="Segoe UI" w:hAnsi="Segoe UI" w:cs="Segoe UI"/>
          <w:sz w:val="22"/>
          <w:szCs w:val="22"/>
        </w:rPr>
        <w:t xml:space="preserve">therefore </w:t>
      </w:r>
      <w:r w:rsidRPr="000C1AB9">
        <w:rPr>
          <w:rFonts w:ascii="Segoe UI" w:hAnsi="Segoe UI" w:cs="Segoe UI"/>
          <w:sz w:val="22"/>
          <w:szCs w:val="22"/>
        </w:rPr>
        <w:t>has an over-all rating of ‘requires improvement’</w:t>
      </w:r>
      <w:r w:rsidR="00804ABD" w:rsidRPr="000C1AB9">
        <w:rPr>
          <w:rFonts w:ascii="Segoe UI" w:hAnsi="Segoe UI" w:cs="Segoe UI"/>
          <w:sz w:val="22"/>
          <w:szCs w:val="22"/>
        </w:rPr>
        <w:t>.</w:t>
      </w:r>
      <w:r w:rsidRPr="000C1AB9">
        <w:rPr>
          <w:rFonts w:ascii="Segoe UI" w:hAnsi="Segoe UI" w:cs="Segoe UI"/>
          <w:sz w:val="22"/>
          <w:szCs w:val="22"/>
        </w:rPr>
        <w:t xml:space="preserve"> </w:t>
      </w:r>
    </w:p>
    <w:p w:rsidR="00407B7E" w:rsidRPr="000C1AB9" w:rsidRDefault="00407B7E" w:rsidP="00A40A46">
      <w:pPr>
        <w:jc w:val="both"/>
        <w:rPr>
          <w:rFonts w:ascii="Segoe UI" w:hAnsi="Segoe UI" w:cs="Segoe UI"/>
          <w:sz w:val="22"/>
          <w:szCs w:val="22"/>
        </w:rPr>
      </w:pPr>
    </w:p>
    <w:p w:rsidR="00407B7E" w:rsidRPr="000C1AB9" w:rsidRDefault="00407B7E" w:rsidP="00A40A46">
      <w:pPr>
        <w:jc w:val="both"/>
        <w:rPr>
          <w:rFonts w:ascii="Segoe UI" w:hAnsi="Segoe UI" w:cs="Segoe UI"/>
          <w:b/>
          <w:bCs/>
          <w:sz w:val="22"/>
          <w:szCs w:val="22"/>
        </w:rPr>
      </w:pPr>
      <w:r w:rsidRPr="000C1AB9">
        <w:rPr>
          <w:rFonts w:ascii="Segoe UI" w:hAnsi="Segoe UI" w:cs="Segoe UI"/>
          <w:sz w:val="22"/>
          <w:szCs w:val="22"/>
        </w:rPr>
        <w:t>Withi</w:t>
      </w:r>
      <w:r w:rsidR="00804ABD" w:rsidRPr="000C1AB9">
        <w:rPr>
          <w:rFonts w:ascii="Segoe UI" w:hAnsi="Segoe UI" w:cs="Segoe UI"/>
          <w:sz w:val="22"/>
          <w:szCs w:val="22"/>
        </w:rPr>
        <w:t>n this composite picture the majority (10</w:t>
      </w:r>
      <w:r w:rsidRPr="000C1AB9">
        <w:rPr>
          <w:rFonts w:ascii="Segoe UI" w:hAnsi="Segoe UI" w:cs="Segoe UI"/>
          <w:sz w:val="22"/>
          <w:szCs w:val="22"/>
        </w:rPr>
        <w:t xml:space="preserve"> out of 15) of the trust’s </w:t>
      </w:r>
      <w:r w:rsidR="00804ABD" w:rsidRPr="000C1AB9">
        <w:rPr>
          <w:rFonts w:ascii="Segoe UI" w:hAnsi="Segoe UI" w:cs="Segoe UI"/>
          <w:sz w:val="22"/>
          <w:szCs w:val="22"/>
        </w:rPr>
        <w:t xml:space="preserve">core </w:t>
      </w:r>
      <w:r w:rsidRPr="000C1AB9">
        <w:rPr>
          <w:rFonts w:ascii="Segoe UI" w:hAnsi="Segoe UI" w:cs="Segoe UI"/>
          <w:sz w:val="22"/>
          <w:szCs w:val="22"/>
        </w:rPr>
        <w:t>services we</w:t>
      </w:r>
      <w:r w:rsidR="00804ABD" w:rsidRPr="000C1AB9">
        <w:rPr>
          <w:rFonts w:ascii="Segoe UI" w:hAnsi="Segoe UI" w:cs="Segoe UI"/>
          <w:sz w:val="22"/>
          <w:szCs w:val="22"/>
        </w:rPr>
        <w:t xml:space="preserve">re over-all rated ‘good’ (10) and one, our children and young people’s community service, which includes school health nurses, health visitors and children’s community nurses, was rated as </w:t>
      </w:r>
      <w:r w:rsidRPr="000C1AB9">
        <w:rPr>
          <w:rFonts w:ascii="Segoe UI" w:hAnsi="Segoe UI" w:cs="Segoe UI"/>
          <w:sz w:val="22"/>
          <w:szCs w:val="22"/>
        </w:rPr>
        <w:t xml:space="preserve"> ‘outstanding’</w:t>
      </w:r>
      <w:r w:rsidR="00804ABD" w:rsidRPr="000C1AB9">
        <w:rPr>
          <w:rFonts w:ascii="Segoe UI" w:hAnsi="Segoe UI" w:cs="Segoe UI"/>
          <w:sz w:val="22"/>
          <w:szCs w:val="22"/>
        </w:rPr>
        <w:t xml:space="preserve">. Four core services, Community Health Inpatient Services, the Rehabilitation Mental Health Ward, </w:t>
      </w:r>
      <w:r w:rsidR="001E715D" w:rsidRPr="000C1AB9">
        <w:rPr>
          <w:rFonts w:ascii="Segoe UI" w:hAnsi="Segoe UI" w:cs="Segoe UI"/>
          <w:sz w:val="22"/>
          <w:szCs w:val="22"/>
        </w:rPr>
        <w:t>Community Based Mental Health Services for Adults, and Acute Wards for Adults of Working Age, were overall rated as ‘requires improvement’.</w:t>
      </w:r>
    </w:p>
    <w:p w:rsidR="00407B7E" w:rsidRPr="000C1AB9" w:rsidRDefault="00407B7E" w:rsidP="00A40A46">
      <w:pPr>
        <w:jc w:val="both"/>
        <w:rPr>
          <w:rFonts w:ascii="Segoe UI" w:hAnsi="Segoe UI" w:cs="Segoe UI"/>
          <w:sz w:val="22"/>
          <w:szCs w:val="22"/>
        </w:rPr>
      </w:pPr>
    </w:p>
    <w:p w:rsidR="00407B7E" w:rsidRPr="000C1AB9" w:rsidRDefault="00407B7E" w:rsidP="00A40A46">
      <w:pPr>
        <w:jc w:val="both"/>
        <w:rPr>
          <w:rFonts w:ascii="Segoe UI" w:hAnsi="Segoe UI" w:cs="Segoe UI"/>
          <w:sz w:val="22"/>
          <w:szCs w:val="22"/>
        </w:rPr>
      </w:pPr>
      <w:r w:rsidRPr="000C1AB9">
        <w:rPr>
          <w:rFonts w:ascii="Segoe UI" w:hAnsi="Segoe UI" w:cs="Segoe UI"/>
          <w:sz w:val="22"/>
          <w:szCs w:val="22"/>
        </w:rPr>
        <w:lastRenderedPageBreak/>
        <w:t xml:space="preserve">The CQC found that Oxford Health NHS Foundation Trust was </w:t>
      </w:r>
      <w:r w:rsidRPr="000C1AB9">
        <w:rPr>
          <w:rFonts w:ascii="Segoe UI" w:hAnsi="Segoe UI" w:cs="Segoe UI"/>
          <w:i/>
          <w:iCs/>
          <w:sz w:val="22"/>
          <w:szCs w:val="22"/>
        </w:rPr>
        <w:t xml:space="preserve">well-led </w:t>
      </w:r>
      <w:r w:rsidRPr="000C1AB9">
        <w:rPr>
          <w:rFonts w:ascii="Segoe UI" w:hAnsi="Segoe UI" w:cs="Segoe UI"/>
          <w:sz w:val="22"/>
          <w:szCs w:val="22"/>
        </w:rPr>
        <w:t xml:space="preserve">with: accessible visible management at all levels and good working governance systems.  It was </w:t>
      </w:r>
      <w:r w:rsidRPr="000C1AB9">
        <w:rPr>
          <w:rFonts w:ascii="Segoe UI" w:hAnsi="Segoe UI" w:cs="Segoe UI"/>
          <w:i/>
          <w:iCs/>
          <w:sz w:val="22"/>
          <w:szCs w:val="22"/>
        </w:rPr>
        <w:t>responsive</w:t>
      </w:r>
      <w:r w:rsidRPr="000C1AB9">
        <w:rPr>
          <w:rFonts w:ascii="Segoe UI" w:hAnsi="Segoe UI" w:cs="Segoe UI"/>
          <w:sz w:val="22"/>
          <w:szCs w:val="22"/>
        </w:rPr>
        <w:t xml:space="preserve"> to people’s needs across services especially in a crisis, including reducing the need for police involvement in mental health crises, and in providing emotional support and counselling, especially for end of life care and bereavement. Patients and staff knew how to raise concerns and there was good learning from incidents and complaints. Perhaps most importantly, </w:t>
      </w:r>
      <w:proofErr w:type="gramStart"/>
      <w:r w:rsidRPr="000C1AB9">
        <w:rPr>
          <w:rFonts w:ascii="Segoe UI" w:hAnsi="Segoe UI" w:cs="Segoe UI"/>
          <w:sz w:val="22"/>
          <w:szCs w:val="22"/>
        </w:rPr>
        <w:t>staff were</w:t>
      </w:r>
      <w:proofErr w:type="gramEnd"/>
      <w:r w:rsidRPr="000C1AB9">
        <w:rPr>
          <w:rFonts w:ascii="Segoe UI" w:hAnsi="Segoe UI" w:cs="Segoe UI"/>
          <w:sz w:val="22"/>
          <w:szCs w:val="22"/>
        </w:rPr>
        <w:t xml:space="preserve"> found to be </w:t>
      </w:r>
      <w:r w:rsidRPr="000C1AB9">
        <w:rPr>
          <w:rFonts w:ascii="Segoe UI" w:hAnsi="Segoe UI" w:cs="Segoe UI"/>
          <w:i/>
          <w:iCs/>
          <w:sz w:val="22"/>
          <w:szCs w:val="22"/>
        </w:rPr>
        <w:t>caring</w:t>
      </w:r>
      <w:r w:rsidRPr="000C1AB9">
        <w:rPr>
          <w:rFonts w:ascii="Segoe UI" w:hAnsi="Segoe UI" w:cs="Segoe UI"/>
          <w:sz w:val="22"/>
          <w:szCs w:val="22"/>
        </w:rPr>
        <w:t xml:space="preserve">. </w:t>
      </w:r>
    </w:p>
    <w:p w:rsidR="00407B7E" w:rsidRPr="000C1AB9" w:rsidRDefault="00407B7E" w:rsidP="00A40A46">
      <w:pPr>
        <w:jc w:val="both"/>
        <w:rPr>
          <w:rFonts w:ascii="Segoe UI" w:hAnsi="Segoe UI" w:cs="Segoe UI"/>
          <w:sz w:val="22"/>
          <w:szCs w:val="22"/>
        </w:rPr>
      </w:pPr>
    </w:p>
    <w:p w:rsidR="00407B7E" w:rsidRPr="000C1AB9" w:rsidRDefault="00407B7E" w:rsidP="00A40A46">
      <w:pPr>
        <w:jc w:val="both"/>
        <w:rPr>
          <w:rFonts w:ascii="Segoe UI" w:hAnsi="Segoe UI" w:cs="Segoe UI"/>
          <w:sz w:val="22"/>
          <w:szCs w:val="22"/>
        </w:rPr>
      </w:pPr>
      <w:r w:rsidRPr="000C1AB9">
        <w:rPr>
          <w:rFonts w:ascii="Segoe UI" w:hAnsi="Segoe UI" w:cs="Segoe UI"/>
          <w:sz w:val="22"/>
          <w:szCs w:val="22"/>
        </w:rPr>
        <w:t xml:space="preserve">The report notes: “In most services, we found that </w:t>
      </w:r>
      <w:proofErr w:type="gramStart"/>
      <w:r w:rsidRPr="000C1AB9">
        <w:rPr>
          <w:rFonts w:ascii="Segoe UI" w:hAnsi="Segoe UI" w:cs="Segoe UI"/>
          <w:sz w:val="22"/>
          <w:szCs w:val="22"/>
        </w:rPr>
        <w:t>staff were</w:t>
      </w:r>
      <w:proofErr w:type="gramEnd"/>
      <w:r w:rsidRPr="000C1AB9">
        <w:rPr>
          <w:rFonts w:ascii="Segoe UI" w:hAnsi="Segoe UI" w:cs="Segoe UI"/>
          <w:sz w:val="22"/>
          <w:szCs w:val="22"/>
        </w:rPr>
        <w:t xml:space="preserve"> committed, dedicated and passionate about the work they did. Patients and their carers spoke positively about the care they received and felt they were treated with dignity and respect.” In some services </w:t>
      </w:r>
      <w:r w:rsidRPr="000C1AB9">
        <w:rPr>
          <w:rFonts w:ascii="Segoe UI" w:hAnsi="Segoe UI" w:cs="Segoe UI"/>
          <w:i/>
          <w:iCs/>
          <w:sz w:val="22"/>
          <w:szCs w:val="22"/>
        </w:rPr>
        <w:t>caring</w:t>
      </w:r>
      <w:r w:rsidRPr="000C1AB9">
        <w:rPr>
          <w:rFonts w:ascii="Segoe UI" w:hAnsi="Segoe UI" w:cs="Segoe UI"/>
          <w:sz w:val="22"/>
          <w:szCs w:val="22"/>
        </w:rPr>
        <w:t xml:space="preserve"> was rated ‘outstanding’… “Luther Street medical practice, CAMHS community services and community children’s services … showed passion, enthusiasm and received overwhelmingly positive feedback.” </w:t>
      </w:r>
      <w:proofErr w:type="gramStart"/>
      <w:r w:rsidRPr="000C1AB9">
        <w:rPr>
          <w:rFonts w:ascii="Segoe UI" w:hAnsi="Segoe UI" w:cs="Segoe UI"/>
          <w:sz w:val="22"/>
          <w:szCs w:val="22"/>
        </w:rPr>
        <w:t>(CQC Oxford Health NHS Foundation Trust Quality Report p10).</w:t>
      </w:r>
      <w:proofErr w:type="gramEnd"/>
    </w:p>
    <w:p w:rsidR="00407B7E" w:rsidRPr="000C1AB9" w:rsidRDefault="00407B7E" w:rsidP="00A40A46">
      <w:pPr>
        <w:jc w:val="both"/>
        <w:rPr>
          <w:rFonts w:ascii="Segoe UI" w:hAnsi="Segoe UI" w:cs="Segoe UI"/>
          <w:color w:val="333333"/>
          <w:sz w:val="22"/>
          <w:szCs w:val="22"/>
        </w:rPr>
      </w:pPr>
    </w:p>
    <w:p w:rsidR="00407B7E" w:rsidRPr="000C1AB9" w:rsidRDefault="00407B7E" w:rsidP="00A40A46">
      <w:pPr>
        <w:spacing w:after="240"/>
        <w:jc w:val="both"/>
        <w:rPr>
          <w:rFonts w:ascii="Segoe UI" w:hAnsi="Segoe UI" w:cs="Segoe UI"/>
          <w:sz w:val="22"/>
          <w:szCs w:val="22"/>
        </w:rPr>
      </w:pPr>
      <w:r w:rsidRPr="000C1AB9">
        <w:rPr>
          <w:rFonts w:ascii="Segoe UI" w:hAnsi="Segoe UI" w:cs="Segoe UI"/>
          <w:sz w:val="22"/>
          <w:szCs w:val="22"/>
        </w:rPr>
        <w:t xml:space="preserve">Improvements are required in </w:t>
      </w:r>
      <w:r w:rsidRPr="000C1AB9">
        <w:rPr>
          <w:rFonts w:ascii="Segoe UI" w:hAnsi="Segoe UI" w:cs="Segoe UI"/>
          <w:i/>
          <w:iCs/>
          <w:sz w:val="22"/>
          <w:szCs w:val="22"/>
        </w:rPr>
        <w:t>safety</w:t>
      </w:r>
      <w:r w:rsidRPr="000C1AB9">
        <w:rPr>
          <w:rFonts w:ascii="Segoe UI" w:hAnsi="Segoe UI" w:cs="Segoe UI"/>
          <w:sz w:val="22"/>
          <w:szCs w:val="22"/>
        </w:rPr>
        <w:t xml:space="preserve"> to ensure that across all trust services the same high standards are observed. Inspectors noted “On the whole services were safe, but the trust received a rating of requires improvement because we found pockets of poor practice.” They also noted that some of our older estate, especially inpatient mental health settings at the Warneford Hospital, was outdated for the delivery of modern mental health care</w:t>
      </w:r>
      <w:r w:rsidR="00A40A46" w:rsidRPr="000C1AB9">
        <w:rPr>
          <w:rFonts w:ascii="Segoe UI" w:hAnsi="Segoe UI" w:cs="Segoe UI"/>
          <w:sz w:val="22"/>
          <w:szCs w:val="22"/>
        </w:rPr>
        <w:t>...</w:t>
      </w:r>
      <w:r w:rsidRPr="000C1AB9">
        <w:rPr>
          <w:rFonts w:ascii="Segoe UI" w:hAnsi="Segoe UI" w:cs="Segoe UI"/>
          <w:sz w:val="22"/>
          <w:szCs w:val="22"/>
        </w:rPr>
        <w:t xml:space="preserve"> Other areas of for further work are around:</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Improving how we record and demonstrate patients’ involvement in their own care planning</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Ensuring consistent high quality records of care plans and assessments</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Continuing our work to implement a new end of life care pathway and monitoring the impact of this work</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Continuing to monitor and respond to increasing demands on staff specifically in community services</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Reviewing ‘blanket’ restrictions on some wards for example allowing all patients free access to garden areas</w:t>
      </w:r>
    </w:p>
    <w:p w:rsidR="00407B7E" w:rsidRPr="000C1AB9" w:rsidRDefault="00407B7E" w:rsidP="00407B7E">
      <w:pPr>
        <w:numPr>
          <w:ilvl w:val="0"/>
          <w:numId w:val="10"/>
        </w:numPr>
        <w:rPr>
          <w:rFonts w:ascii="Segoe UI" w:hAnsi="Segoe UI" w:cs="Segoe UI"/>
          <w:sz w:val="22"/>
          <w:szCs w:val="22"/>
        </w:rPr>
      </w:pPr>
      <w:r w:rsidRPr="000C1AB9">
        <w:rPr>
          <w:rFonts w:ascii="Segoe UI" w:hAnsi="Segoe UI" w:cs="Segoe UI"/>
          <w:sz w:val="22"/>
          <w:szCs w:val="22"/>
        </w:rPr>
        <w:t>Tightening monitoring arrangements around equipment including resuscitation equipment and trust labelling for ‘To Take Out’ medicines</w:t>
      </w:r>
    </w:p>
    <w:p w:rsidR="00407B7E" w:rsidRPr="000C1AB9" w:rsidRDefault="00407B7E" w:rsidP="00407B7E">
      <w:pPr>
        <w:numPr>
          <w:ilvl w:val="0"/>
          <w:numId w:val="10"/>
        </w:numPr>
        <w:spacing w:after="240"/>
        <w:rPr>
          <w:rFonts w:ascii="Segoe UI" w:hAnsi="Segoe UI" w:cs="Segoe UI"/>
          <w:sz w:val="22"/>
          <w:szCs w:val="22"/>
        </w:rPr>
      </w:pPr>
      <w:r w:rsidRPr="000C1AB9">
        <w:rPr>
          <w:rFonts w:ascii="Segoe UI" w:hAnsi="Segoe UI" w:cs="Segoe UI"/>
          <w:sz w:val="22"/>
          <w:szCs w:val="22"/>
        </w:rPr>
        <w:t>Continuing to work with staff to ensure all mandatory training specifically resuscitation is completed.</w:t>
      </w:r>
    </w:p>
    <w:p w:rsidR="00407B7E" w:rsidRPr="000C1AB9" w:rsidRDefault="00407B7E" w:rsidP="00A40A46">
      <w:pPr>
        <w:jc w:val="both"/>
        <w:rPr>
          <w:rFonts w:ascii="Segoe UI" w:hAnsi="Segoe UI" w:cs="Segoe UI"/>
          <w:sz w:val="22"/>
          <w:szCs w:val="22"/>
        </w:rPr>
      </w:pPr>
      <w:r w:rsidRPr="000C1AB9">
        <w:rPr>
          <w:rFonts w:ascii="Segoe UI" w:hAnsi="Segoe UI" w:cs="Segoe UI"/>
          <w:sz w:val="22"/>
          <w:szCs w:val="22"/>
        </w:rPr>
        <w:t xml:space="preserve">Inspectors noted that: “Across all services trust </w:t>
      </w:r>
      <w:proofErr w:type="gramStart"/>
      <w:r w:rsidRPr="000C1AB9">
        <w:rPr>
          <w:rFonts w:ascii="Segoe UI" w:hAnsi="Segoe UI" w:cs="Segoe UI"/>
          <w:sz w:val="22"/>
          <w:szCs w:val="22"/>
        </w:rPr>
        <w:t>staff were</w:t>
      </w:r>
      <w:proofErr w:type="gramEnd"/>
      <w:r w:rsidRPr="000C1AB9">
        <w:rPr>
          <w:rFonts w:ascii="Segoe UI" w:hAnsi="Segoe UI" w:cs="Segoe UI"/>
          <w:sz w:val="22"/>
          <w:szCs w:val="22"/>
        </w:rPr>
        <w:t xml:space="preserve"> good at recognising safeguarding and reporting incidents. Teams learnt from incidents and there was shared learning across services, through regular ‘briefing notes’ and “staff had good access to mandatory training and good induction programmes, as well as opportunities for continuous professional development.”</w:t>
      </w:r>
    </w:p>
    <w:p w:rsidR="00407B7E" w:rsidRPr="000C1AB9" w:rsidRDefault="00407B7E" w:rsidP="00A40A46">
      <w:pPr>
        <w:jc w:val="both"/>
        <w:rPr>
          <w:rFonts w:ascii="Segoe UI" w:hAnsi="Segoe UI" w:cs="Segoe UI"/>
          <w:sz w:val="22"/>
          <w:szCs w:val="22"/>
        </w:rPr>
      </w:pPr>
    </w:p>
    <w:p w:rsidR="00407B7E" w:rsidRPr="000C1AB9" w:rsidRDefault="001E715D" w:rsidP="00A40A46">
      <w:pPr>
        <w:jc w:val="both"/>
        <w:rPr>
          <w:rFonts w:ascii="Segoe UI" w:hAnsi="Segoe UI" w:cs="Segoe UI"/>
          <w:sz w:val="22"/>
          <w:szCs w:val="22"/>
        </w:rPr>
      </w:pPr>
      <w:r w:rsidRPr="000C1AB9">
        <w:rPr>
          <w:rFonts w:ascii="Segoe UI" w:hAnsi="Segoe UI" w:cs="Segoe UI"/>
          <w:sz w:val="22"/>
          <w:szCs w:val="22"/>
        </w:rPr>
        <w:lastRenderedPageBreak/>
        <w:t xml:space="preserve">On partnership working </w:t>
      </w:r>
      <w:r w:rsidR="00407B7E" w:rsidRPr="000C1AB9">
        <w:rPr>
          <w:rFonts w:ascii="Segoe UI" w:hAnsi="Segoe UI" w:cs="Segoe UI"/>
          <w:sz w:val="22"/>
          <w:szCs w:val="22"/>
        </w:rPr>
        <w:t>inspecto</w:t>
      </w:r>
      <w:r w:rsidRPr="000C1AB9">
        <w:rPr>
          <w:rFonts w:ascii="Segoe UI" w:hAnsi="Segoe UI" w:cs="Segoe UI"/>
          <w:sz w:val="22"/>
          <w:szCs w:val="22"/>
        </w:rPr>
        <w:t>rs noted, “</w:t>
      </w:r>
      <w:proofErr w:type="gramStart"/>
      <w:r w:rsidRPr="000C1AB9">
        <w:rPr>
          <w:rFonts w:ascii="Segoe UI" w:hAnsi="Segoe UI" w:cs="Segoe UI"/>
          <w:sz w:val="22"/>
          <w:szCs w:val="22"/>
        </w:rPr>
        <w:t>t</w:t>
      </w:r>
      <w:r w:rsidR="00407B7E" w:rsidRPr="000C1AB9">
        <w:rPr>
          <w:rFonts w:ascii="Segoe UI" w:hAnsi="Segoe UI" w:cs="Segoe UI"/>
          <w:sz w:val="22"/>
          <w:szCs w:val="22"/>
        </w:rPr>
        <w:t>he</w:t>
      </w:r>
      <w:proofErr w:type="gramEnd"/>
      <w:r w:rsidR="00407B7E" w:rsidRPr="000C1AB9">
        <w:rPr>
          <w:rFonts w:ascii="Segoe UI" w:hAnsi="Segoe UI" w:cs="Segoe UI"/>
          <w:sz w:val="22"/>
          <w:szCs w:val="22"/>
        </w:rPr>
        <w:t xml:space="preserve"> trust is clearly committed to services that are multi-agency and multi-disciplinary and this was evident from the board discussions we observed and how staff at the frontline described the care.”</w:t>
      </w:r>
    </w:p>
    <w:p w:rsidR="00407B7E" w:rsidRPr="000C1AB9" w:rsidRDefault="00407B7E" w:rsidP="00A40A46">
      <w:pPr>
        <w:jc w:val="both"/>
        <w:rPr>
          <w:rFonts w:ascii="Segoe UI" w:hAnsi="Segoe UI" w:cs="Segoe UI"/>
          <w:sz w:val="22"/>
          <w:szCs w:val="22"/>
        </w:rPr>
      </w:pPr>
    </w:p>
    <w:p w:rsidR="00407B7E" w:rsidRPr="000C1AB9" w:rsidRDefault="00407B7E" w:rsidP="00A40A46">
      <w:pPr>
        <w:jc w:val="both"/>
        <w:rPr>
          <w:rFonts w:ascii="Segoe UI" w:hAnsi="Segoe UI" w:cs="Segoe UI"/>
          <w:sz w:val="22"/>
          <w:szCs w:val="22"/>
        </w:rPr>
      </w:pPr>
      <w:r w:rsidRPr="000C1AB9">
        <w:rPr>
          <w:rFonts w:ascii="Segoe UI" w:hAnsi="Segoe UI" w:cs="Segoe UI"/>
          <w:sz w:val="22"/>
          <w:szCs w:val="22"/>
        </w:rPr>
        <w:t>Effectiveness was rated as requiring improvement</w:t>
      </w:r>
      <w:r w:rsidR="001E715D" w:rsidRPr="000C1AB9">
        <w:rPr>
          <w:rFonts w:ascii="Segoe UI" w:hAnsi="Segoe UI" w:cs="Segoe UI"/>
          <w:sz w:val="22"/>
          <w:szCs w:val="22"/>
        </w:rPr>
        <w:t>. The main area is</w:t>
      </w:r>
      <w:r w:rsidRPr="000C1AB9">
        <w:rPr>
          <w:rFonts w:ascii="Segoe UI" w:hAnsi="Segoe UI" w:cs="Segoe UI"/>
          <w:sz w:val="22"/>
          <w:szCs w:val="22"/>
        </w:rPr>
        <w:t xml:space="preserve"> involving patients in planning and reviewing their care and noting it on their records. A major piece of work on developing a new Patient Involvement and Engagement Strategy, in collaboration with patients and people who care for them is underway and due for completion by Spring 2016. The second area for improvement is around embedding more consistent patient assessments to evaluate pain (although timely administration of pain relief was reported positively by patients) and swallowing difficulties; and the third area is continuing to implement and assess the impact of our new end of life care pathway. Work has been completed or is underway to address all of these matters.</w:t>
      </w:r>
      <w:r w:rsidR="001E715D" w:rsidRPr="000C1AB9">
        <w:rPr>
          <w:rFonts w:ascii="Segoe UI" w:hAnsi="Segoe UI" w:cs="Segoe UI"/>
          <w:sz w:val="22"/>
          <w:szCs w:val="22"/>
        </w:rPr>
        <w:t xml:space="preserve"> Overall </w:t>
      </w:r>
      <w:r w:rsidRPr="000C1AB9">
        <w:rPr>
          <w:rFonts w:ascii="Segoe UI" w:hAnsi="Segoe UI" w:cs="Segoe UI"/>
          <w:sz w:val="22"/>
          <w:szCs w:val="22"/>
        </w:rPr>
        <w:t>inspectors found that National Institute for Health and Care Excellence (NICE) guidelines were followed.</w:t>
      </w:r>
    </w:p>
    <w:p w:rsidR="00407B7E" w:rsidRPr="000C1AB9" w:rsidRDefault="00407B7E" w:rsidP="00A40A46">
      <w:pPr>
        <w:jc w:val="both"/>
        <w:rPr>
          <w:rFonts w:ascii="Segoe UI" w:hAnsi="Segoe UI" w:cs="Segoe UI"/>
          <w:sz w:val="22"/>
          <w:szCs w:val="22"/>
        </w:rPr>
      </w:pPr>
    </w:p>
    <w:p w:rsidR="00407B7E" w:rsidRPr="000C1AB9" w:rsidRDefault="001E715D" w:rsidP="00A40A46">
      <w:pPr>
        <w:jc w:val="both"/>
        <w:rPr>
          <w:rFonts w:ascii="Segoe UI" w:hAnsi="Segoe UI" w:cs="Segoe UI"/>
          <w:sz w:val="22"/>
          <w:szCs w:val="22"/>
        </w:rPr>
      </w:pPr>
      <w:r w:rsidRPr="000C1AB9">
        <w:rPr>
          <w:rFonts w:ascii="Segoe UI" w:hAnsi="Segoe UI" w:cs="Segoe UI"/>
          <w:sz w:val="22"/>
          <w:szCs w:val="22"/>
        </w:rPr>
        <w:t>A Quality Summit will take place on 29</w:t>
      </w:r>
      <w:r w:rsidRPr="000C1AB9">
        <w:rPr>
          <w:rFonts w:ascii="Segoe UI" w:hAnsi="Segoe UI" w:cs="Segoe UI"/>
          <w:sz w:val="22"/>
          <w:szCs w:val="22"/>
          <w:vertAlign w:val="superscript"/>
        </w:rPr>
        <w:t>th</w:t>
      </w:r>
      <w:r w:rsidRPr="000C1AB9">
        <w:rPr>
          <w:rFonts w:ascii="Segoe UI" w:hAnsi="Segoe UI" w:cs="Segoe UI"/>
          <w:sz w:val="22"/>
          <w:szCs w:val="22"/>
        </w:rPr>
        <w:t xml:space="preserve"> January, involving the CQC, Monitor and a range of local stak</w:t>
      </w:r>
      <w:r w:rsidR="009D78AF" w:rsidRPr="000C1AB9">
        <w:rPr>
          <w:rFonts w:ascii="Segoe UI" w:hAnsi="Segoe UI" w:cs="Segoe UI"/>
          <w:sz w:val="22"/>
          <w:szCs w:val="22"/>
        </w:rPr>
        <w:t>e</w:t>
      </w:r>
      <w:r w:rsidRPr="000C1AB9">
        <w:rPr>
          <w:rFonts w:ascii="Segoe UI" w:hAnsi="Segoe UI" w:cs="Segoe UI"/>
          <w:sz w:val="22"/>
          <w:szCs w:val="22"/>
        </w:rPr>
        <w:t xml:space="preserve">holders. The CQC has indicated that is considers the action arising from the inspection is of such a nature that it would be able to return for a focussed inspection in around six months time, with a view to assessing whether, by that point an overall rating of ‘good’ had been obtained. </w:t>
      </w:r>
      <w:r w:rsidR="009D78AF" w:rsidRPr="000C1AB9">
        <w:rPr>
          <w:rFonts w:ascii="Segoe UI" w:hAnsi="Segoe UI" w:cs="Segoe UI"/>
          <w:sz w:val="22"/>
          <w:szCs w:val="22"/>
        </w:rPr>
        <w:t>In the meanwhile the follow up action to the individual recommendations will take place under the aegis of the Quality Committee. The full report will be considered later on the agenda.</w:t>
      </w:r>
    </w:p>
    <w:p w:rsidR="00407B7E" w:rsidRPr="000C1AB9" w:rsidRDefault="00407B7E" w:rsidP="00407B7E">
      <w:pPr>
        <w:rPr>
          <w:rFonts w:ascii="Segoe UI" w:hAnsi="Segoe UI" w:cs="Segoe UI"/>
          <w:sz w:val="22"/>
          <w:szCs w:val="22"/>
        </w:rPr>
      </w:pPr>
    </w:p>
    <w:p w:rsidR="005306DE" w:rsidRPr="000C1AB9" w:rsidRDefault="00277921" w:rsidP="00A40A46">
      <w:pPr>
        <w:pStyle w:val="ListParagraph"/>
        <w:numPr>
          <w:ilvl w:val="0"/>
          <w:numId w:val="13"/>
        </w:numPr>
        <w:ind w:left="0" w:firstLine="0"/>
        <w:rPr>
          <w:rFonts w:ascii="Segoe UI" w:hAnsi="Segoe UI" w:cs="Segoe UI"/>
          <w:b/>
          <w:bCs/>
          <w:sz w:val="22"/>
          <w:szCs w:val="22"/>
        </w:rPr>
      </w:pPr>
      <w:r w:rsidRPr="000C1AB9">
        <w:rPr>
          <w:rFonts w:ascii="Segoe UI" w:hAnsi="Segoe UI" w:cs="Segoe UI"/>
          <w:b/>
          <w:bCs/>
          <w:sz w:val="22"/>
          <w:szCs w:val="22"/>
        </w:rPr>
        <w:t>Oxfordshire Devolution</w:t>
      </w:r>
      <w:r w:rsidR="005306DE" w:rsidRPr="000C1AB9">
        <w:rPr>
          <w:rFonts w:ascii="Segoe UI" w:hAnsi="Segoe UI" w:cs="Segoe UI"/>
          <w:b/>
          <w:bCs/>
          <w:sz w:val="22"/>
          <w:szCs w:val="22"/>
        </w:rPr>
        <w:br/>
      </w:r>
      <w:r w:rsidR="005306DE" w:rsidRPr="000C1AB9">
        <w:rPr>
          <w:rFonts w:ascii="Segoe UI" w:hAnsi="Segoe UI" w:cs="Segoe UI"/>
          <w:b/>
          <w:bCs/>
          <w:sz w:val="22"/>
          <w:szCs w:val="22"/>
        </w:rPr>
        <w:br/>
      </w:r>
      <w:proofErr w:type="gramStart"/>
      <w:r w:rsidR="00A65E5A" w:rsidRPr="000C1AB9">
        <w:rPr>
          <w:rFonts w:ascii="Segoe UI" w:hAnsi="Segoe UI" w:cs="Segoe UI"/>
          <w:bCs/>
          <w:sz w:val="22"/>
          <w:szCs w:val="22"/>
        </w:rPr>
        <w:t>The</w:t>
      </w:r>
      <w:proofErr w:type="gramEnd"/>
      <w:r w:rsidR="00A65E5A" w:rsidRPr="000C1AB9">
        <w:rPr>
          <w:rFonts w:ascii="Segoe UI" w:hAnsi="Segoe UI" w:cs="Segoe UI"/>
          <w:bCs/>
          <w:sz w:val="22"/>
          <w:szCs w:val="22"/>
        </w:rPr>
        <w:t xml:space="preserve"> Oxfordshire devolution proposal was submitted to central government at the end of November. Follow up discussions are taking place mainly through the CCG and County Council, but are closely related to the need to develop a five year ‘place based’ plan outlined in the most recent planning guidance. Further updates will be provided as the situation develops.</w:t>
      </w:r>
      <w:r w:rsidR="0042358A" w:rsidRPr="000C1AB9">
        <w:rPr>
          <w:rFonts w:ascii="Segoe UI" w:hAnsi="Segoe UI" w:cs="Segoe UI"/>
          <w:b/>
          <w:bCs/>
          <w:sz w:val="22"/>
          <w:szCs w:val="22"/>
        </w:rPr>
        <w:br/>
      </w:r>
    </w:p>
    <w:p w:rsidR="00A65E5A" w:rsidRPr="000C1AB9" w:rsidRDefault="00A65E5A" w:rsidP="005306DE">
      <w:pPr>
        <w:pStyle w:val="ListParagraph"/>
        <w:numPr>
          <w:ilvl w:val="0"/>
          <w:numId w:val="13"/>
        </w:numPr>
        <w:ind w:left="0" w:firstLine="0"/>
        <w:rPr>
          <w:rFonts w:ascii="Segoe UI" w:hAnsi="Segoe UI" w:cs="Segoe UI"/>
          <w:b/>
          <w:bCs/>
          <w:sz w:val="22"/>
          <w:szCs w:val="22"/>
        </w:rPr>
      </w:pPr>
      <w:r w:rsidRPr="000C1AB9">
        <w:rPr>
          <w:rFonts w:ascii="Segoe UI" w:hAnsi="Segoe UI" w:cs="Segoe UI"/>
          <w:b/>
          <w:bCs/>
          <w:sz w:val="22"/>
          <w:szCs w:val="22"/>
        </w:rPr>
        <w:t>Delayed Transfers of Care – Oxfordshire</w:t>
      </w:r>
    </w:p>
    <w:p w:rsidR="00A65E5A" w:rsidRPr="000C1AB9" w:rsidRDefault="00A65E5A" w:rsidP="00A65E5A">
      <w:pPr>
        <w:rPr>
          <w:rFonts w:ascii="Segoe UI" w:hAnsi="Segoe UI" w:cs="Segoe UI"/>
          <w:b/>
          <w:bCs/>
          <w:sz w:val="22"/>
          <w:szCs w:val="22"/>
        </w:rPr>
      </w:pPr>
    </w:p>
    <w:p w:rsidR="00E141C7" w:rsidRPr="000C1AB9" w:rsidRDefault="00A65E5A" w:rsidP="00A40A46">
      <w:pPr>
        <w:jc w:val="both"/>
        <w:rPr>
          <w:rFonts w:ascii="Segoe UI" w:hAnsi="Segoe UI" w:cs="Segoe UI"/>
          <w:b/>
          <w:bCs/>
          <w:sz w:val="22"/>
          <w:szCs w:val="22"/>
        </w:rPr>
      </w:pPr>
      <w:r w:rsidRPr="000C1AB9">
        <w:rPr>
          <w:rFonts w:ascii="Segoe UI" w:hAnsi="Segoe UI" w:cs="Segoe UI"/>
          <w:bCs/>
          <w:sz w:val="22"/>
          <w:szCs w:val="22"/>
        </w:rPr>
        <w:t>The plans developed to use temporary intermediate care capacity commissioned in Nursing Homes and supported by outreach from OUH and OH FTs as a means of addressing the high numbers of delayed transfers of care in Oxfordshire appear to be working in line with expectations. A large number of patients who have been assessed as medically fit to move have been discharged from acute and community hospitals</w:t>
      </w:r>
      <w:r w:rsidR="002848CB" w:rsidRPr="000C1AB9">
        <w:rPr>
          <w:rFonts w:ascii="Segoe UI" w:hAnsi="Segoe UI" w:cs="Segoe UI"/>
          <w:bCs/>
          <w:sz w:val="22"/>
          <w:szCs w:val="22"/>
        </w:rPr>
        <w:t xml:space="preserve"> to intermediate care facilities</w:t>
      </w:r>
      <w:r w:rsidRPr="000C1AB9">
        <w:rPr>
          <w:rFonts w:ascii="Segoe UI" w:hAnsi="Segoe UI" w:cs="Segoe UI"/>
          <w:bCs/>
          <w:sz w:val="22"/>
          <w:szCs w:val="22"/>
        </w:rPr>
        <w:t xml:space="preserve">, and </w:t>
      </w:r>
      <w:r w:rsidR="002848CB" w:rsidRPr="000C1AB9">
        <w:rPr>
          <w:rFonts w:ascii="Segoe UI" w:hAnsi="Segoe UI" w:cs="Segoe UI"/>
          <w:bCs/>
          <w:sz w:val="22"/>
          <w:szCs w:val="22"/>
        </w:rPr>
        <w:t xml:space="preserve">the expected proportion have continued their rehabilitation and returned to their homes. The planned changes have been made to the disposition of acute beds within OUH, and </w:t>
      </w:r>
      <w:proofErr w:type="gramStart"/>
      <w:r w:rsidR="002848CB" w:rsidRPr="000C1AB9">
        <w:rPr>
          <w:rFonts w:ascii="Segoe UI" w:hAnsi="Segoe UI" w:cs="Segoe UI"/>
          <w:bCs/>
          <w:sz w:val="22"/>
          <w:szCs w:val="22"/>
        </w:rPr>
        <w:t>staff so released have</w:t>
      </w:r>
      <w:proofErr w:type="gramEnd"/>
      <w:r w:rsidR="002848CB" w:rsidRPr="000C1AB9">
        <w:rPr>
          <w:rFonts w:ascii="Segoe UI" w:hAnsi="Segoe UI" w:cs="Segoe UI"/>
          <w:bCs/>
          <w:sz w:val="22"/>
          <w:szCs w:val="22"/>
        </w:rPr>
        <w:t xml:space="preserve"> been redeployed to support the new model of care. The next key step is when the number of intermediate care beds is scaled back in February as part of the plan to move the system of care to a </w:t>
      </w:r>
      <w:r w:rsidR="002848CB" w:rsidRPr="000C1AB9">
        <w:rPr>
          <w:rFonts w:ascii="Segoe UI" w:hAnsi="Segoe UI" w:cs="Segoe UI"/>
          <w:bCs/>
          <w:sz w:val="22"/>
          <w:szCs w:val="22"/>
        </w:rPr>
        <w:lastRenderedPageBreak/>
        <w:t>new state of equilibrium. Discussions are continuing with commissioners about the best way to secure long term stability of the combined Supported Hospital Discharge/Reablement service, as the ability to maintain that equilibrium is critically dependent upon maintaining capacity to support patients in their own homes.</w:t>
      </w:r>
      <w:r w:rsidR="005306DE" w:rsidRPr="000C1AB9">
        <w:rPr>
          <w:rFonts w:ascii="Segoe UI" w:hAnsi="Segoe UI" w:cs="Segoe UI"/>
          <w:b/>
          <w:bCs/>
          <w:sz w:val="22"/>
          <w:szCs w:val="22"/>
        </w:rPr>
        <w:br/>
      </w:r>
    </w:p>
    <w:p w:rsidR="005306DE" w:rsidRPr="000C1AB9" w:rsidRDefault="00F1013B" w:rsidP="005306DE">
      <w:pPr>
        <w:pStyle w:val="ListParagraph"/>
        <w:numPr>
          <w:ilvl w:val="0"/>
          <w:numId w:val="13"/>
        </w:numPr>
        <w:ind w:left="567" w:hanging="567"/>
        <w:rPr>
          <w:rFonts w:ascii="Segoe UI" w:hAnsi="Segoe UI" w:cs="Segoe UI"/>
          <w:b/>
          <w:bCs/>
          <w:sz w:val="22"/>
          <w:szCs w:val="22"/>
        </w:rPr>
      </w:pPr>
      <w:r w:rsidRPr="000C1AB9">
        <w:rPr>
          <w:rFonts w:ascii="Segoe UI" w:hAnsi="Segoe UI" w:cs="Segoe UI"/>
          <w:b/>
          <w:bCs/>
          <w:sz w:val="22"/>
          <w:szCs w:val="22"/>
        </w:rPr>
        <w:t>National Issues</w:t>
      </w:r>
    </w:p>
    <w:p w:rsidR="00F1013B" w:rsidRPr="000C1AB9" w:rsidRDefault="00F1013B" w:rsidP="00F1013B">
      <w:pPr>
        <w:rPr>
          <w:rFonts w:ascii="Segoe UI" w:hAnsi="Segoe UI" w:cs="Segoe UI"/>
          <w:b/>
          <w:bCs/>
          <w:sz w:val="22"/>
          <w:szCs w:val="22"/>
        </w:rPr>
      </w:pPr>
    </w:p>
    <w:p w:rsidR="00F1013B" w:rsidRDefault="00F1013B" w:rsidP="00A40A46">
      <w:pPr>
        <w:jc w:val="both"/>
        <w:rPr>
          <w:rFonts w:ascii="Segoe UI" w:hAnsi="Segoe UI" w:cs="Segoe UI"/>
          <w:bCs/>
          <w:sz w:val="22"/>
          <w:szCs w:val="22"/>
        </w:rPr>
      </w:pPr>
      <w:r w:rsidRPr="000C1AB9">
        <w:rPr>
          <w:rFonts w:ascii="Segoe UI" w:hAnsi="Segoe UI" w:cs="Segoe UI"/>
          <w:bCs/>
          <w:sz w:val="22"/>
          <w:szCs w:val="22"/>
        </w:rPr>
        <w:t>Kerry Rogers has provided a helpful digest of national issues and guidance emerging since the las</w:t>
      </w:r>
      <w:r w:rsidR="002A4B2D">
        <w:rPr>
          <w:rFonts w:ascii="Segoe UI" w:hAnsi="Segoe UI" w:cs="Segoe UI"/>
          <w:bCs/>
          <w:sz w:val="22"/>
          <w:szCs w:val="22"/>
        </w:rPr>
        <w:t>t report. This is attached as</w:t>
      </w:r>
      <w:r w:rsidRPr="000C1AB9">
        <w:rPr>
          <w:rFonts w:ascii="Segoe UI" w:hAnsi="Segoe UI" w:cs="Segoe UI"/>
          <w:bCs/>
          <w:sz w:val="22"/>
          <w:szCs w:val="22"/>
        </w:rPr>
        <w:t xml:space="preserve"> appendix</w:t>
      </w:r>
      <w:r w:rsidR="002A4B2D">
        <w:rPr>
          <w:rFonts w:ascii="Segoe UI" w:hAnsi="Segoe UI" w:cs="Segoe UI"/>
          <w:bCs/>
          <w:sz w:val="22"/>
          <w:szCs w:val="22"/>
        </w:rPr>
        <w:t xml:space="preserve"> 1</w:t>
      </w:r>
      <w:r w:rsidRPr="000C1AB9">
        <w:rPr>
          <w:rFonts w:ascii="Segoe UI" w:hAnsi="Segoe UI" w:cs="Segoe UI"/>
          <w:bCs/>
          <w:sz w:val="22"/>
          <w:szCs w:val="22"/>
        </w:rPr>
        <w:t xml:space="preserve">. You will note that it has been a period of considerable activity following the Comprehensive Spending </w:t>
      </w:r>
      <w:proofErr w:type="gramStart"/>
      <w:r w:rsidRPr="000C1AB9">
        <w:rPr>
          <w:rFonts w:ascii="Segoe UI" w:hAnsi="Segoe UI" w:cs="Segoe UI"/>
          <w:bCs/>
          <w:sz w:val="22"/>
          <w:szCs w:val="22"/>
        </w:rPr>
        <w:t>Review,</w:t>
      </w:r>
      <w:proofErr w:type="gramEnd"/>
      <w:r w:rsidRPr="000C1AB9">
        <w:rPr>
          <w:rFonts w:ascii="Segoe UI" w:hAnsi="Segoe UI" w:cs="Segoe UI"/>
          <w:bCs/>
          <w:sz w:val="22"/>
          <w:szCs w:val="22"/>
        </w:rPr>
        <w:t xml:space="preserve"> and in the light of the significant financial challenges across the whole of the NHS.</w:t>
      </w:r>
    </w:p>
    <w:p w:rsidR="000C1AB9" w:rsidRDefault="000C1AB9" w:rsidP="00A40A46">
      <w:pPr>
        <w:jc w:val="both"/>
        <w:rPr>
          <w:rFonts w:ascii="Segoe UI" w:hAnsi="Segoe UI" w:cs="Segoe UI"/>
          <w:bCs/>
          <w:sz w:val="22"/>
          <w:szCs w:val="22"/>
        </w:rPr>
      </w:pPr>
    </w:p>
    <w:p w:rsidR="000C1AB9" w:rsidRPr="000C1AB9" w:rsidRDefault="000C1AB9" w:rsidP="000C1AB9">
      <w:pPr>
        <w:rPr>
          <w:rFonts w:ascii="Segoe UI" w:hAnsi="Segoe UI" w:cs="Segoe UI"/>
          <w:bCs/>
          <w:sz w:val="22"/>
          <w:szCs w:val="22"/>
          <w:lang w:val="en-US"/>
        </w:rPr>
      </w:pPr>
      <w:r w:rsidRPr="000C1AB9">
        <w:rPr>
          <w:rFonts w:ascii="Segoe UI" w:hAnsi="Segoe UI" w:cs="Segoe UI"/>
          <w:bCs/>
          <w:sz w:val="22"/>
          <w:szCs w:val="22"/>
          <w:lang w:val="en-US"/>
        </w:rPr>
        <w:t xml:space="preserve">Since completion of the </w:t>
      </w:r>
      <w:r w:rsidR="002A4B2D">
        <w:rPr>
          <w:rFonts w:ascii="Segoe UI" w:hAnsi="Segoe UI" w:cs="Segoe UI"/>
          <w:bCs/>
          <w:sz w:val="22"/>
          <w:szCs w:val="22"/>
          <w:lang w:val="en-US"/>
        </w:rPr>
        <w:t>attached r</w:t>
      </w:r>
      <w:r w:rsidRPr="000C1AB9">
        <w:rPr>
          <w:rFonts w:ascii="Segoe UI" w:hAnsi="Segoe UI" w:cs="Segoe UI"/>
          <w:bCs/>
          <w:sz w:val="22"/>
          <w:szCs w:val="22"/>
          <w:lang w:val="en-US"/>
        </w:rPr>
        <w:t>eport, Monitor has issued its technical guidance</w:t>
      </w:r>
      <w:r w:rsidR="002A4B2D">
        <w:rPr>
          <w:rFonts w:ascii="Segoe UI" w:hAnsi="Segoe UI" w:cs="Segoe UI"/>
          <w:bCs/>
          <w:sz w:val="22"/>
          <w:szCs w:val="22"/>
          <w:lang w:val="en-US"/>
        </w:rPr>
        <w:t xml:space="preserve"> with regard to the Annual Plan </w:t>
      </w:r>
      <w:r w:rsidRPr="000C1AB9">
        <w:rPr>
          <w:rFonts w:ascii="Segoe UI" w:hAnsi="Segoe UI" w:cs="Segoe UI"/>
          <w:bCs/>
          <w:sz w:val="22"/>
          <w:szCs w:val="22"/>
        </w:rPr>
        <w:t>Delivering the Forward View: Technical guidance for NHS planning 2016/17, which, in turn, supports the main planning guidance Delivering the Forward View: NHS planning guidance 2016/17 to 2020/21</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It requires NHS commissioners and providers to submit two separate but interconnected plans in 2016:</w:t>
      </w:r>
    </w:p>
    <w:p w:rsidR="000C1AB9" w:rsidRPr="000C1AB9" w:rsidRDefault="000C1AB9" w:rsidP="000C1AB9">
      <w:pPr>
        <w:numPr>
          <w:ilvl w:val="0"/>
          <w:numId w:val="16"/>
        </w:numPr>
        <w:rPr>
          <w:rFonts w:ascii="Segoe UI" w:hAnsi="Segoe UI" w:cs="Segoe UI"/>
          <w:bCs/>
          <w:sz w:val="22"/>
          <w:szCs w:val="22"/>
        </w:rPr>
      </w:pPr>
      <w:r w:rsidRPr="000C1AB9">
        <w:rPr>
          <w:rFonts w:ascii="Segoe UI" w:hAnsi="Segoe UI" w:cs="Segoe UI"/>
          <w:bCs/>
          <w:sz w:val="22"/>
          <w:szCs w:val="22"/>
        </w:rPr>
        <w:t>a strategic, local health and care system Sustainability and Transformation Plan (STP), covering the period October 2016 to March 2021</w:t>
      </w:r>
    </w:p>
    <w:p w:rsidR="000C1AB9" w:rsidRPr="000C1AB9" w:rsidRDefault="000C1AB9" w:rsidP="000C1AB9">
      <w:pPr>
        <w:numPr>
          <w:ilvl w:val="0"/>
          <w:numId w:val="16"/>
        </w:numPr>
        <w:rPr>
          <w:rFonts w:ascii="Segoe UI" w:hAnsi="Segoe UI" w:cs="Segoe UI"/>
          <w:bCs/>
          <w:sz w:val="22"/>
          <w:szCs w:val="22"/>
        </w:rPr>
      </w:pPr>
      <w:proofErr w:type="gramStart"/>
      <w:r w:rsidRPr="000C1AB9">
        <w:rPr>
          <w:rFonts w:ascii="Segoe UI" w:hAnsi="Segoe UI" w:cs="Segoe UI"/>
          <w:bCs/>
          <w:sz w:val="22"/>
          <w:szCs w:val="22"/>
        </w:rPr>
        <w:t>an</w:t>
      </w:r>
      <w:proofErr w:type="gramEnd"/>
      <w:r w:rsidRPr="000C1AB9">
        <w:rPr>
          <w:rFonts w:ascii="Segoe UI" w:hAnsi="Segoe UI" w:cs="Segoe UI"/>
          <w:bCs/>
          <w:sz w:val="22"/>
          <w:szCs w:val="22"/>
        </w:rPr>
        <w:t xml:space="preserve"> operational plan by each organisation for 2016/17, that should be consistent with the emerging local strategy and completed in time to enable contract sign-off by the end of March 2016.</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This technical annex outlines NHS Improvement’s requirements of providers for the 2016/17 operational plan only. Further detail on the STP requirement will be released later in January 2016.</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In short, provider plans must do the following: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plan for a reasonable and realistic level of activity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demonstrate the capacity to meet this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provide adequate assurance on the robustness of workforce plans and the provider’s approach to quality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be stretching from a financial perspective, taking full advantage of efficiency opportunities (including those identified by Lord Carter and the new rules around agency)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demonstrate improvement in the delivery of core access and NHS Constitution standards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contain affordable, value-for-money capital plans that are consistent with the provider’s clinical strategy and clearly demonstrate the delivery of safe, productive services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t xml:space="preserve">be aligned with commissioner plans, and underpinned by contracts that balance risk appropriately </w:t>
      </w:r>
    </w:p>
    <w:p w:rsidR="000C1AB9" w:rsidRPr="000C1AB9" w:rsidRDefault="000C1AB9" w:rsidP="000C1AB9">
      <w:pPr>
        <w:pStyle w:val="ListParagraph"/>
        <w:numPr>
          <w:ilvl w:val="0"/>
          <w:numId w:val="18"/>
        </w:numPr>
        <w:rPr>
          <w:rFonts w:ascii="Segoe UI" w:hAnsi="Segoe UI" w:cs="Segoe UI"/>
          <w:bCs/>
          <w:sz w:val="22"/>
          <w:szCs w:val="22"/>
        </w:rPr>
      </w:pPr>
      <w:r w:rsidRPr="000C1AB9">
        <w:rPr>
          <w:rFonts w:ascii="Segoe UI" w:hAnsi="Segoe UI" w:cs="Segoe UI"/>
          <w:bCs/>
          <w:sz w:val="22"/>
          <w:szCs w:val="22"/>
        </w:rPr>
        <w:lastRenderedPageBreak/>
        <w:t xml:space="preserve">link to the local health and care system’s emerging STP, the requirements for which are set out in </w:t>
      </w:r>
      <w:r w:rsidRPr="000C1AB9">
        <w:rPr>
          <w:rFonts w:ascii="Segoe UI" w:hAnsi="Segoe UI" w:cs="Segoe UI"/>
          <w:bCs/>
          <w:i/>
          <w:iCs/>
          <w:sz w:val="22"/>
          <w:szCs w:val="22"/>
        </w:rPr>
        <w:t xml:space="preserve">Delivering the Forward View: NHS planning guidance 2016/17 to 2020/21 </w:t>
      </w:r>
    </w:p>
    <w:p w:rsidR="000C1AB9" w:rsidRPr="000C1AB9" w:rsidRDefault="000C1AB9" w:rsidP="000C1AB9">
      <w:pPr>
        <w:pStyle w:val="ListParagraph"/>
        <w:numPr>
          <w:ilvl w:val="0"/>
          <w:numId w:val="18"/>
        </w:numPr>
        <w:rPr>
          <w:rFonts w:ascii="Segoe UI" w:hAnsi="Segoe UI" w:cs="Segoe UI"/>
          <w:bCs/>
          <w:sz w:val="22"/>
          <w:szCs w:val="22"/>
        </w:rPr>
      </w:pPr>
      <w:proofErr w:type="gramStart"/>
      <w:r w:rsidRPr="000C1AB9">
        <w:rPr>
          <w:rFonts w:ascii="Segoe UI" w:hAnsi="Segoe UI" w:cs="Segoe UI"/>
          <w:bCs/>
          <w:sz w:val="22"/>
          <w:szCs w:val="22"/>
        </w:rPr>
        <w:t>be</w:t>
      </w:r>
      <w:proofErr w:type="gramEnd"/>
      <w:r w:rsidRPr="000C1AB9">
        <w:rPr>
          <w:rFonts w:ascii="Segoe UI" w:hAnsi="Segoe UI" w:cs="Segoe UI"/>
          <w:bCs/>
          <w:sz w:val="22"/>
          <w:szCs w:val="22"/>
        </w:rPr>
        <w:t xml:space="preserve"> internally consistent between activity, workforce and finance plans. </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Draft operational plans</w:t>
      </w: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Providers’ draft, one-year operational plans for 2016/17 should be submitted to TDA and Monitor by midday on </w:t>
      </w:r>
      <w:r w:rsidRPr="000C1AB9">
        <w:rPr>
          <w:rFonts w:ascii="Segoe UI" w:hAnsi="Segoe UI" w:cs="Segoe UI"/>
          <w:b/>
          <w:bCs/>
          <w:sz w:val="22"/>
          <w:szCs w:val="22"/>
        </w:rPr>
        <w:t>Monday 8 February 2016.</w:t>
      </w:r>
      <w:r w:rsidR="002A4B2D">
        <w:rPr>
          <w:rFonts w:ascii="Segoe UI" w:hAnsi="Segoe UI" w:cs="Segoe UI"/>
          <w:b/>
          <w:bCs/>
          <w:sz w:val="22"/>
          <w:szCs w:val="22"/>
        </w:rPr>
        <w:t xml:space="preserve"> </w:t>
      </w:r>
      <w:r w:rsidRPr="000C1AB9">
        <w:rPr>
          <w:rFonts w:ascii="Segoe UI" w:hAnsi="Segoe UI" w:cs="Segoe UI"/>
          <w:bCs/>
          <w:sz w:val="22"/>
          <w:szCs w:val="22"/>
        </w:rPr>
        <w:t>This year, for both NHS trusts and NHS foundation trusts, the draft operational plan will include:</w:t>
      </w:r>
    </w:p>
    <w:p w:rsidR="000C1AB9" w:rsidRPr="000C1AB9" w:rsidRDefault="000C1AB9" w:rsidP="000C1AB9">
      <w:pPr>
        <w:pStyle w:val="ListParagraph"/>
        <w:numPr>
          <w:ilvl w:val="0"/>
          <w:numId w:val="19"/>
        </w:numPr>
        <w:rPr>
          <w:rFonts w:ascii="Segoe UI" w:hAnsi="Segoe UI" w:cs="Segoe UI"/>
          <w:bCs/>
          <w:sz w:val="22"/>
          <w:szCs w:val="22"/>
        </w:rPr>
      </w:pPr>
      <w:proofErr w:type="gramStart"/>
      <w:r w:rsidRPr="000C1AB9">
        <w:rPr>
          <w:rFonts w:ascii="Segoe UI" w:hAnsi="Segoe UI" w:cs="Segoe UI"/>
          <w:bCs/>
          <w:sz w:val="22"/>
          <w:szCs w:val="22"/>
        </w:rPr>
        <w:t>a</w:t>
      </w:r>
      <w:proofErr w:type="gramEnd"/>
      <w:r w:rsidRPr="000C1AB9">
        <w:rPr>
          <w:rFonts w:ascii="Segoe UI" w:hAnsi="Segoe UI" w:cs="Segoe UI"/>
          <w:bCs/>
          <w:sz w:val="22"/>
          <w:szCs w:val="22"/>
        </w:rPr>
        <w:t xml:space="preserve"> draft operational plan narrative (max. 20 pages), which should outline the provider’s approach to activity, quality, workforce and financial planning for 2016/17, and link to the local</w:t>
      </w:r>
      <w:r>
        <w:rPr>
          <w:rFonts w:ascii="Segoe UI" w:hAnsi="Segoe UI" w:cs="Segoe UI"/>
          <w:bCs/>
          <w:sz w:val="22"/>
          <w:szCs w:val="22"/>
        </w:rPr>
        <w:t xml:space="preserve"> health and care system’s STP. </w:t>
      </w:r>
    </w:p>
    <w:p w:rsidR="000C1AB9" w:rsidRPr="000C1AB9" w:rsidRDefault="000C1AB9" w:rsidP="000C1AB9">
      <w:pPr>
        <w:pStyle w:val="ListParagraph"/>
        <w:numPr>
          <w:ilvl w:val="0"/>
          <w:numId w:val="19"/>
        </w:numPr>
        <w:rPr>
          <w:rFonts w:ascii="Segoe UI" w:hAnsi="Segoe UI" w:cs="Segoe UI"/>
          <w:bCs/>
          <w:sz w:val="22"/>
          <w:szCs w:val="22"/>
        </w:rPr>
      </w:pPr>
      <w:r w:rsidRPr="000C1AB9">
        <w:rPr>
          <w:rFonts w:ascii="Segoe UI" w:hAnsi="Segoe UI" w:cs="Segoe UI"/>
          <w:bCs/>
          <w:sz w:val="22"/>
          <w:szCs w:val="22"/>
        </w:rPr>
        <w:t>a full set of draft finance, activity and workforce data:</w:t>
      </w:r>
    </w:p>
    <w:p w:rsidR="000C1AB9" w:rsidRPr="000C1AB9" w:rsidRDefault="000C1AB9" w:rsidP="000C1AB9">
      <w:pPr>
        <w:pStyle w:val="ListParagraph"/>
        <w:numPr>
          <w:ilvl w:val="0"/>
          <w:numId w:val="19"/>
        </w:numPr>
        <w:rPr>
          <w:rFonts w:ascii="Segoe UI" w:hAnsi="Segoe UI" w:cs="Segoe UI"/>
          <w:bCs/>
          <w:sz w:val="22"/>
          <w:szCs w:val="22"/>
        </w:rPr>
      </w:pPr>
      <w:r w:rsidRPr="000C1AB9">
        <w:rPr>
          <w:rFonts w:ascii="Segoe UI" w:hAnsi="Segoe UI" w:cs="Segoe UI"/>
          <w:bCs/>
          <w:sz w:val="22"/>
          <w:szCs w:val="22"/>
        </w:rPr>
        <w:t>NHS trusts will be required to submit separate finance, activity and workforce returns, in line with previous planning rounds</w:t>
      </w:r>
    </w:p>
    <w:p w:rsidR="000C1AB9" w:rsidRPr="000C1AB9" w:rsidRDefault="000C1AB9" w:rsidP="000C1AB9">
      <w:pPr>
        <w:pStyle w:val="ListParagraph"/>
        <w:numPr>
          <w:ilvl w:val="0"/>
          <w:numId w:val="19"/>
        </w:numPr>
        <w:rPr>
          <w:rFonts w:ascii="Segoe UI" w:hAnsi="Segoe UI" w:cs="Segoe UI"/>
          <w:bCs/>
          <w:sz w:val="22"/>
          <w:szCs w:val="22"/>
        </w:rPr>
      </w:pPr>
      <w:r w:rsidRPr="000C1AB9">
        <w:rPr>
          <w:rFonts w:ascii="Segoe UI" w:hAnsi="Segoe UI" w:cs="Segoe UI"/>
          <w:bCs/>
          <w:sz w:val="22"/>
          <w:szCs w:val="22"/>
        </w:rPr>
        <w:t>NHS foundation trusts are required to submit one return containing a full set of finance, activity and workforce data.</w:t>
      </w:r>
    </w:p>
    <w:p w:rsidR="000C1AB9" w:rsidRDefault="000C1AB9" w:rsidP="000C1AB9">
      <w:pPr>
        <w:rPr>
          <w:rFonts w:ascii="Segoe UI" w:hAnsi="Segoe UI" w:cs="Segoe UI"/>
          <w:b/>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Final operational plans</w:t>
      </w: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Providers’ final, one-year operational plans for 2016/17 should be submitted to TDA and Monitor by </w:t>
      </w:r>
      <w:r w:rsidRPr="000C1AB9">
        <w:rPr>
          <w:rFonts w:ascii="Segoe UI" w:hAnsi="Segoe UI" w:cs="Segoe UI"/>
          <w:b/>
          <w:bCs/>
          <w:sz w:val="22"/>
          <w:szCs w:val="22"/>
        </w:rPr>
        <w:t>midday on Monday 11 April 2016</w:t>
      </w:r>
      <w:r w:rsidRPr="000C1AB9">
        <w:rPr>
          <w:rFonts w:ascii="Segoe UI" w:hAnsi="Segoe UI" w:cs="Segoe UI"/>
          <w:bCs/>
          <w:sz w:val="22"/>
          <w:szCs w:val="22"/>
        </w:rPr>
        <w:t>. The final operational plan should include:</w:t>
      </w:r>
    </w:p>
    <w:p w:rsidR="000C1AB9" w:rsidRPr="000C1AB9" w:rsidRDefault="000C1AB9" w:rsidP="000C1AB9">
      <w:pPr>
        <w:pStyle w:val="ListParagraph"/>
        <w:numPr>
          <w:ilvl w:val="0"/>
          <w:numId w:val="20"/>
        </w:numPr>
        <w:rPr>
          <w:rFonts w:ascii="Segoe UI" w:hAnsi="Segoe UI" w:cs="Segoe UI"/>
          <w:bCs/>
          <w:sz w:val="22"/>
          <w:szCs w:val="22"/>
        </w:rPr>
      </w:pPr>
      <w:r w:rsidRPr="000C1AB9">
        <w:rPr>
          <w:rFonts w:ascii="Segoe UI" w:hAnsi="Segoe UI" w:cs="Segoe UI"/>
          <w:bCs/>
          <w:sz w:val="22"/>
          <w:szCs w:val="22"/>
        </w:rPr>
        <w:t>an updated final version of the operational plan narrative (max. 25 pages)</w:t>
      </w:r>
    </w:p>
    <w:p w:rsidR="000C1AB9" w:rsidRPr="000C1AB9" w:rsidRDefault="000C1AB9" w:rsidP="000C1AB9">
      <w:pPr>
        <w:pStyle w:val="ListParagraph"/>
        <w:numPr>
          <w:ilvl w:val="0"/>
          <w:numId w:val="20"/>
        </w:numPr>
        <w:rPr>
          <w:rFonts w:ascii="Segoe UI" w:hAnsi="Segoe UI" w:cs="Segoe UI"/>
          <w:bCs/>
          <w:sz w:val="22"/>
          <w:szCs w:val="22"/>
        </w:rPr>
      </w:pPr>
      <w:r w:rsidRPr="000C1AB9">
        <w:rPr>
          <w:rFonts w:ascii="Segoe UI" w:hAnsi="Segoe UI" w:cs="Segoe UI"/>
          <w:bCs/>
          <w:sz w:val="22"/>
          <w:szCs w:val="22"/>
        </w:rPr>
        <w:t>a one-page cover sheet for the final plan narrative, drawing attention to any material changes from the draft version</w:t>
      </w:r>
    </w:p>
    <w:p w:rsidR="000C1AB9" w:rsidRPr="000C1AB9" w:rsidRDefault="000C1AB9" w:rsidP="000C1AB9">
      <w:pPr>
        <w:pStyle w:val="ListParagraph"/>
        <w:numPr>
          <w:ilvl w:val="0"/>
          <w:numId w:val="20"/>
        </w:numPr>
        <w:rPr>
          <w:rFonts w:ascii="Segoe UI" w:hAnsi="Segoe UI" w:cs="Segoe UI"/>
          <w:bCs/>
          <w:sz w:val="22"/>
          <w:szCs w:val="22"/>
        </w:rPr>
      </w:pPr>
      <w:r w:rsidRPr="000C1AB9">
        <w:rPr>
          <w:rFonts w:ascii="Segoe UI" w:hAnsi="Segoe UI" w:cs="Segoe UI"/>
          <w:bCs/>
          <w:sz w:val="22"/>
          <w:szCs w:val="22"/>
        </w:rPr>
        <w:t>a separate version of the final plan narrative, in a format suitable for external publication (see end of Section 4 for further details)</w:t>
      </w:r>
    </w:p>
    <w:p w:rsidR="000C1AB9" w:rsidRPr="000C1AB9" w:rsidRDefault="000C1AB9" w:rsidP="000C1AB9">
      <w:pPr>
        <w:pStyle w:val="ListParagraph"/>
        <w:numPr>
          <w:ilvl w:val="0"/>
          <w:numId w:val="20"/>
        </w:numPr>
        <w:rPr>
          <w:rFonts w:ascii="Segoe UI" w:hAnsi="Segoe UI" w:cs="Segoe UI"/>
          <w:bCs/>
          <w:sz w:val="22"/>
          <w:szCs w:val="22"/>
        </w:rPr>
      </w:pPr>
      <w:proofErr w:type="gramStart"/>
      <w:r w:rsidRPr="000C1AB9">
        <w:rPr>
          <w:rFonts w:ascii="Segoe UI" w:hAnsi="Segoe UI" w:cs="Segoe UI"/>
          <w:bCs/>
          <w:sz w:val="22"/>
          <w:szCs w:val="22"/>
        </w:rPr>
        <w:t>updated</w:t>
      </w:r>
      <w:proofErr w:type="gramEnd"/>
      <w:r w:rsidRPr="000C1AB9">
        <w:rPr>
          <w:rFonts w:ascii="Segoe UI" w:hAnsi="Segoe UI" w:cs="Segoe UI"/>
          <w:bCs/>
          <w:sz w:val="22"/>
          <w:szCs w:val="22"/>
        </w:rPr>
        <w:t xml:space="preserve"> final versions of the finance, activity and workforce data returns.</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The </w:t>
      </w:r>
      <w:proofErr w:type="gramStart"/>
      <w:r w:rsidRPr="000C1AB9">
        <w:rPr>
          <w:rFonts w:ascii="Segoe UI" w:hAnsi="Segoe UI" w:cs="Segoe UI"/>
          <w:bCs/>
          <w:sz w:val="22"/>
          <w:szCs w:val="22"/>
        </w:rPr>
        <w:t>Financial</w:t>
      </w:r>
      <w:proofErr w:type="gramEnd"/>
      <w:r w:rsidRPr="000C1AB9">
        <w:rPr>
          <w:rFonts w:ascii="Segoe UI" w:hAnsi="Segoe UI" w:cs="Segoe UI"/>
          <w:bCs/>
          <w:sz w:val="22"/>
          <w:szCs w:val="22"/>
        </w:rPr>
        <w:t xml:space="preserve"> plans and supporting narrative will be considered through the governance structures, most notably the Draft Plan will be presented to the Finance and Investment Committee on 2</w:t>
      </w:r>
      <w:r w:rsidRPr="000C1AB9">
        <w:rPr>
          <w:rFonts w:ascii="Segoe UI" w:hAnsi="Segoe UI" w:cs="Segoe UI"/>
          <w:bCs/>
          <w:sz w:val="22"/>
          <w:szCs w:val="22"/>
          <w:vertAlign w:val="superscript"/>
        </w:rPr>
        <w:t>nd</w:t>
      </w:r>
      <w:r w:rsidRPr="000C1AB9">
        <w:rPr>
          <w:rFonts w:ascii="Segoe UI" w:hAnsi="Segoe UI" w:cs="Segoe UI"/>
          <w:bCs/>
          <w:sz w:val="22"/>
          <w:szCs w:val="22"/>
        </w:rPr>
        <w:t xml:space="preserve"> February</w:t>
      </w:r>
      <w:r>
        <w:rPr>
          <w:rFonts w:ascii="Segoe UI" w:hAnsi="Segoe UI" w:cs="Segoe UI"/>
          <w:bCs/>
          <w:sz w:val="22"/>
          <w:szCs w:val="22"/>
        </w:rPr>
        <w:t xml:space="preserve"> and progress in the plans development will be debated at the private session of the Board</w:t>
      </w:r>
      <w:r w:rsidRPr="000C1AB9">
        <w:rPr>
          <w:rFonts w:ascii="Segoe UI" w:hAnsi="Segoe UI" w:cs="Segoe UI"/>
          <w:bCs/>
          <w:sz w:val="22"/>
          <w:szCs w:val="22"/>
        </w:rPr>
        <w:t>.</w:t>
      </w:r>
    </w:p>
    <w:p w:rsidR="000C1AB9" w:rsidRPr="000C1AB9" w:rsidRDefault="000C1AB9" w:rsidP="000C1AB9">
      <w:pPr>
        <w:rPr>
          <w:rFonts w:ascii="Segoe UI" w:hAnsi="Segoe UI" w:cs="Segoe UI"/>
          <w:bCs/>
          <w:sz w:val="22"/>
          <w:szCs w:val="22"/>
        </w:rPr>
      </w:pP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Board declarations in final operational plans </w:t>
      </w:r>
    </w:p>
    <w:p w:rsidR="000C1AB9" w:rsidRPr="000C1AB9" w:rsidRDefault="000C1AB9" w:rsidP="000C1AB9">
      <w:pPr>
        <w:rPr>
          <w:rFonts w:ascii="Segoe UI" w:hAnsi="Segoe UI" w:cs="Segoe UI"/>
          <w:bCs/>
          <w:sz w:val="22"/>
          <w:szCs w:val="22"/>
        </w:rPr>
      </w:pPr>
      <w:r w:rsidRPr="000C1AB9">
        <w:rPr>
          <w:rFonts w:ascii="Segoe UI" w:hAnsi="Segoe UI" w:cs="Segoe UI"/>
          <w:bCs/>
          <w:sz w:val="22"/>
          <w:szCs w:val="22"/>
        </w:rPr>
        <w:t xml:space="preserve">Monitor requires each NHS foundation trust board to make a series of declarations as part of its final operational plan for 2016/17 </w:t>
      </w:r>
      <w:r w:rsidRPr="000C1AB9">
        <w:rPr>
          <w:rFonts w:ascii="Segoe UI" w:hAnsi="Segoe UI" w:cs="Segoe UI"/>
          <w:b/>
          <w:bCs/>
          <w:sz w:val="22"/>
          <w:szCs w:val="22"/>
        </w:rPr>
        <w:t>(deadline 11 April 2016).</w:t>
      </w:r>
      <w:r w:rsidRPr="000C1AB9">
        <w:rPr>
          <w:rFonts w:ascii="Segoe UI" w:hAnsi="Segoe UI" w:cs="Segoe UI"/>
          <w:bCs/>
          <w:sz w:val="22"/>
          <w:szCs w:val="22"/>
        </w:rPr>
        <w:t xml:space="preserve"> These declarations do not need to be made in the draft plan submission.  Future reports from the Company Secretary to the Bo</w:t>
      </w:r>
      <w:r>
        <w:rPr>
          <w:rFonts w:ascii="Segoe UI" w:hAnsi="Segoe UI" w:cs="Segoe UI"/>
          <w:bCs/>
          <w:sz w:val="22"/>
          <w:szCs w:val="22"/>
        </w:rPr>
        <w:t>ard will include the relevant information to</w:t>
      </w:r>
      <w:r w:rsidRPr="000C1AB9">
        <w:rPr>
          <w:rFonts w:ascii="Segoe UI" w:hAnsi="Segoe UI" w:cs="Segoe UI"/>
          <w:bCs/>
          <w:sz w:val="22"/>
          <w:szCs w:val="22"/>
        </w:rPr>
        <w:t xml:space="preserve"> support this self-certification process. </w:t>
      </w:r>
    </w:p>
    <w:p w:rsidR="0042358A" w:rsidRPr="000C1AB9" w:rsidRDefault="0042358A" w:rsidP="00780971">
      <w:pPr>
        <w:rPr>
          <w:rFonts w:ascii="Segoe UI" w:hAnsi="Segoe UI" w:cs="Segoe UI"/>
          <w:bCs/>
          <w:sz w:val="22"/>
          <w:szCs w:val="22"/>
        </w:rPr>
      </w:pPr>
    </w:p>
    <w:p w:rsidR="001D5DCE" w:rsidRPr="000C1AB9" w:rsidRDefault="001D5DCE" w:rsidP="0042358A">
      <w:pPr>
        <w:pStyle w:val="ListParagraph"/>
        <w:numPr>
          <w:ilvl w:val="0"/>
          <w:numId w:val="13"/>
        </w:numPr>
        <w:ind w:left="567" w:hanging="567"/>
        <w:rPr>
          <w:rFonts w:ascii="Segoe UI" w:hAnsi="Segoe UI" w:cs="Segoe UI"/>
          <w:b/>
          <w:bCs/>
          <w:sz w:val="22"/>
          <w:szCs w:val="22"/>
        </w:rPr>
      </w:pPr>
      <w:r w:rsidRPr="000C1AB9">
        <w:rPr>
          <w:rFonts w:ascii="Segoe UI" w:hAnsi="Segoe UI" w:cs="Segoe UI"/>
          <w:b/>
          <w:bCs/>
          <w:sz w:val="22"/>
          <w:szCs w:val="22"/>
        </w:rPr>
        <w:t>CEO Stakeholder Meetings &amp; Visits</w:t>
      </w:r>
      <w:r w:rsidR="0042358A" w:rsidRPr="000C1AB9">
        <w:rPr>
          <w:rFonts w:ascii="Segoe UI" w:hAnsi="Segoe UI" w:cs="Segoe UI"/>
          <w:b/>
          <w:bCs/>
          <w:sz w:val="22"/>
          <w:szCs w:val="22"/>
        </w:rPr>
        <w:br/>
      </w:r>
    </w:p>
    <w:p w:rsidR="001D5DCE" w:rsidRPr="000C1AB9" w:rsidRDefault="001D5DCE" w:rsidP="001D5DCE">
      <w:pPr>
        <w:spacing w:after="240"/>
        <w:rPr>
          <w:rFonts w:ascii="Segoe UI" w:hAnsi="Segoe UI" w:cs="Segoe UI"/>
          <w:sz w:val="22"/>
          <w:szCs w:val="22"/>
        </w:rPr>
      </w:pPr>
      <w:r w:rsidRPr="000C1AB9">
        <w:rPr>
          <w:rFonts w:ascii="Segoe UI" w:hAnsi="Segoe UI" w:cs="Segoe UI"/>
          <w:sz w:val="22"/>
          <w:szCs w:val="22"/>
        </w:rPr>
        <w:lastRenderedPageBreak/>
        <w:t xml:space="preserve">Since the last meeting, key stakeholders that I have met with, visits I have undertaken and meetings that I have attended have included: </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Transformation Board.</w:t>
      </w:r>
    </w:p>
    <w:p w:rsidR="00780971" w:rsidRPr="000C1AB9" w:rsidRDefault="00F101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Department of Health:  Mental Health Payment Systems Roundtable</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Health and Overview Scrutiny Committee.</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Picker Institute Board</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Transformation Board: Informatics work stream.</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Clinical Commissioning Group: Chief Executive’s and Chief Operating Officers, Delayed Transfer of Care Planning meeting</w:t>
      </w:r>
      <w:r w:rsidR="00F1013B" w:rsidRPr="000C1AB9">
        <w:rPr>
          <w:rFonts w:ascii="Segoe UI" w:hAnsi="Segoe UI" w:cs="Segoe UI"/>
          <w:sz w:val="22"/>
          <w:szCs w:val="22"/>
        </w:rPr>
        <w:t>s</w:t>
      </w:r>
      <w:r w:rsidRPr="000C1AB9">
        <w:rPr>
          <w:rFonts w:ascii="Segoe UI" w:hAnsi="Segoe UI" w:cs="Segoe UI"/>
          <w:sz w:val="22"/>
          <w:szCs w:val="22"/>
        </w:rPr>
        <w:t>.</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National Institute of Health Research ‘CLAHRC’ Oxford Symposium.</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W</w:t>
      </w:r>
      <w:r w:rsidR="00F1013B" w:rsidRPr="000C1AB9">
        <w:rPr>
          <w:rFonts w:ascii="Segoe UI" w:hAnsi="Segoe UI" w:cs="Segoe UI"/>
          <w:sz w:val="22"/>
          <w:szCs w:val="22"/>
        </w:rPr>
        <w:t>orld Health Organisation: Reforming the Mental Health System in the Czech Republic</w:t>
      </w:r>
      <w:r w:rsidRPr="000C1AB9">
        <w:rPr>
          <w:rFonts w:ascii="Segoe UI" w:hAnsi="Segoe UI" w:cs="Segoe UI"/>
          <w:sz w:val="22"/>
          <w:szCs w:val="22"/>
        </w:rPr>
        <w:t xml:space="preserve"> Symposium</w:t>
      </w:r>
    </w:p>
    <w:p w:rsidR="00780971" w:rsidRPr="000C1AB9" w:rsidRDefault="00780971"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Board to Board with Oxford University Hospitals NHS Foundation Trust.</w:t>
      </w:r>
    </w:p>
    <w:p w:rsidR="00784F17" w:rsidRPr="000C1AB9" w:rsidRDefault="00780971" w:rsidP="00784F17">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Department of Health: Mental Health Payment System Steering Group.</w:t>
      </w:r>
    </w:p>
    <w:p w:rsidR="00780971" w:rsidRPr="000C1AB9" w:rsidRDefault="00780971" w:rsidP="00784F17">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Learning Disabilities Transition Board.</w:t>
      </w:r>
    </w:p>
    <w:p w:rsidR="00780971" w:rsidRPr="000C1AB9" w:rsidRDefault="00F101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 xml:space="preserve">Chairing the </w:t>
      </w:r>
      <w:r w:rsidR="00780971" w:rsidRPr="000C1AB9">
        <w:rPr>
          <w:rFonts w:ascii="Segoe UI" w:hAnsi="Segoe UI" w:cs="Segoe UI"/>
          <w:sz w:val="22"/>
          <w:szCs w:val="22"/>
        </w:rPr>
        <w:t>Care Quality Commission Inspection</w:t>
      </w:r>
      <w:r w:rsidRPr="000C1AB9">
        <w:rPr>
          <w:rFonts w:ascii="Segoe UI" w:hAnsi="Segoe UI" w:cs="Segoe UI"/>
          <w:sz w:val="22"/>
          <w:szCs w:val="22"/>
        </w:rPr>
        <w:t xml:space="preserve"> of</w:t>
      </w:r>
      <w:r w:rsidR="008D363B" w:rsidRPr="000C1AB9">
        <w:rPr>
          <w:rFonts w:ascii="Segoe UI" w:hAnsi="Segoe UI" w:cs="Segoe UI"/>
          <w:sz w:val="22"/>
          <w:szCs w:val="22"/>
        </w:rPr>
        <w:t xml:space="preserve"> Lincolnshire</w:t>
      </w:r>
      <w:r w:rsidRPr="000C1AB9">
        <w:rPr>
          <w:rFonts w:ascii="Segoe UI" w:hAnsi="Segoe UI" w:cs="Segoe UI"/>
          <w:sz w:val="22"/>
          <w:szCs w:val="22"/>
        </w:rPr>
        <w:t xml:space="preserve"> Partnership NHSFT</w:t>
      </w:r>
      <w:r w:rsidR="008D363B" w:rsidRPr="000C1AB9">
        <w:rPr>
          <w:rFonts w:ascii="Segoe UI" w:hAnsi="Segoe UI" w:cs="Segoe UI"/>
          <w:sz w:val="22"/>
          <w:szCs w:val="22"/>
        </w:rPr>
        <w:t>.</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Department of Psychiatry: Joint Research Office meeting.</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Thames Valley Police Chief Executive’s meeting.</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NHS Providers Chairs and Chief Executives meeting.</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Health Bucks Leaders.</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Linking Leaders Conference – Oxford.</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 xml:space="preserve">Bio Medical Research </w:t>
      </w:r>
      <w:proofErr w:type="gramStart"/>
      <w:r w:rsidRPr="000C1AB9">
        <w:rPr>
          <w:rFonts w:ascii="Segoe UI" w:hAnsi="Segoe UI" w:cs="Segoe UI"/>
          <w:sz w:val="22"/>
          <w:szCs w:val="22"/>
        </w:rPr>
        <w:t>Planning</w:t>
      </w:r>
      <w:proofErr w:type="gramEnd"/>
      <w:r w:rsidRPr="000C1AB9">
        <w:rPr>
          <w:rFonts w:ascii="Segoe UI" w:hAnsi="Segoe UI" w:cs="Segoe UI"/>
          <w:sz w:val="22"/>
          <w:szCs w:val="22"/>
        </w:rPr>
        <w:t xml:space="preserve"> meeting.</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Clinical Commissioning Group: Oxfordshire Transformation Board – interviews for the</w:t>
      </w:r>
      <w:r w:rsidR="00F1013B" w:rsidRPr="000C1AB9">
        <w:rPr>
          <w:rFonts w:ascii="Segoe UI" w:hAnsi="Segoe UI" w:cs="Segoe UI"/>
          <w:sz w:val="22"/>
          <w:szCs w:val="22"/>
        </w:rPr>
        <w:t xml:space="preserve"> new Programme Director</w:t>
      </w:r>
      <w:r w:rsidRPr="000C1AB9">
        <w:rPr>
          <w:rFonts w:ascii="Segoe UI" w:hAnsi="Segoe UI" w:cs="Segoe UI"/>
          <w:sz w:val="22"/>
          <w:szCs w:val="22"/>
        </w:rPr>
        <w:t>.</w:t>
      </w:r>
    </w:p>
    <w:p w:rsidR="008D363B" w:rsidRPr="000C1AB9" w:rsidRDefault="008D36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 xml:space="preserve">Oxfordshire Health and Overview Scrutiny Committee. </w:t>
      </w:r>
    </w:p>
    <w:p w:rsidR="00DB3A46" w:rsidRPr="000C1AB9" w:rsidRDefault="00DB3A4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lastRenderedPageBreak/>
        <w:t xml:space="preserve">Oxfordshire Transformation Board: Chief Executive’s briefing session on </w:t>
      </w:r>
      <w:proofErr w:type="gramStart"/>
      <w:r w:rsidRPr="000C1AB9">
        <w:rPr>
          <w:rFonts w:ascii="Segoe UI" w:hAnsi="Segoe UI" w:cs="Segoe UI"/>
          <w:sz w:val="22"/>
          <w:szCs w:val="22"/>
        </w:rPr>
        <w:t>I&amp;MT</w:t>
      </w:r>
      <w:proofErr w:type="gramEnd"/>
      <w:r w:rsidRPr="000C1AB9">
        <w:rPr>
          <w:rFonts w:ascii="Segoe UI" w:hAnsi="Segoe UI" w:cs="Segoe UI"/>
          <w:sz w:val="22"/>
          <w:szCs w:val="22"/>
        </w:rPr>
        <w:t xml:space="preserve"> strategy and roadmap.</w:t>
      </w:r>
    </w:p>
    <w:p w:rsidR="00DB3A46" w:rsidRPr="000C1AB9" w:rsidRDefault="00DB3A4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Trust Linking Leaders Conference – Swindon.</w:t>
      </w:r>
    </w:p>
    <w:p w:rsidR="00DB3A46" w:rsidRPr="000C1AB9" w:rsidRDefault="00DB3A4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Trust Linking Leaders Conference – Aylesbury.</w:t>
      </w:r>
    </w:p>
    <w:p w:rsidR="00DB3A46" w:rsidRPr="000C1AB9" w:rsidRDefault="00DB3A4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Oxfordshire Clinical Commissioning Group: System Resilience Group.</w:t>
      </w:r>
    </w:p>
    <w:p w:rsidR="00DB3A46" w:rsidRPr="000C1AB9" w:rsidRDefault="00DB3A4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Advanced Healthcare meeting with the Managing Director.</w:t>
      </w:r>
    </w:p>
    <w:p w:rsidR="000205C6" w:rsidRPr="000C1AB9" w:rsidRDefault="00F1013B"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Meeting with Oxford City Council to discuss key worker accommodation and planning matters</w:t>
      </w:r>
      <w:r w:rsidR="000205C6" w:rsidRPr="000C1AB9">
        <w:rPr>
          <w:rFonts w:ascii="Segoe UI" w:hAnsi="Segoe UI" w:cs="Segoe UI"/>
          <w:sz w:val="22"/>
          <w:szCs w:val="22"/>
        </w:rPr>
        <w:t>.</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Chief Executive’s visit to Thames House, Littlemore.</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Department of Psychiatry: Dementia Research Institute Oversight Group.</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Price Waterhouse Cooper Chief Executives’ Group.</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National Institute of Health Research CLAHRC Phase 2 Project Review.</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w:t>
      </w:r>
      <w:r w:rsidR="00F1013B" w:rsidRPr="000C1AB9">
        <w:rPr>
          <w:rFonts w:ascii="Segoe UI" w:hAnsi="Segoe UI" w:cs="Segoe UI"/>
          <w:sz w:val="22"/>
          <w:szCs w:val="22"/>
        </w:rPr>
        <w:t>rtment of Psychiatry Strategic Awayd</w:t>
      </w:r>
      <w:r w:rsidRPr="000C1AB9">
        <w:rPr>
          <w:rFonts w:ascii="Segoe UI" w:hAnsi="Segoe UI" w:cs="Segoe UI"/>
          <w:sz w:val="22"/>
          <w:szCs w:val="22"/>
        </w:rPr>
        <w:t>ay.</w:t>
      </w:r>
    </w:p>
    <w:p w:rsidR="000205C6" w:rsidRPr="000C1AB9" w:rsidRDefault="000205C6" w:rsidP="00F1013B">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University of Oxford: Medical Sciences Division Retreat.</w:t>
      </w:r>
    </w:p>
    <w:p w:rsidR="000205C6" w:rsidRPr="000C1AB9" w:rsidRDefault="000205C6" w:rsidP="007C51E2">
      <w:pPr>
        <w:pStyle w:val="ListParagraph"/>
        <w:numPr>
          <w:ilvl w:val="0"/>
          <w:numId w:val="9"/>
        </w:numPr>
        <w:spacing w:after="240"/>
        <w:rPr>
          <w:rFonts w:ascii="Segoe UI" w:hAnsi="Segoe UI" w:cs="Segoe UI"/>
          <w:sz w:val="22"/>
          <w:szCs w:val="22"/>
        </w:rPr>
      </w:pPr>
      <w:r w:rsidRPr="000C1AB9">
        <w:rPr>
          <w:rFonts w:ascii="Segoe UI" w:hAnsi="Segoe UI" w:cs="Segoe UI"/>
          <w:sz w:val="22"/>
          <w:szCs w:val="22"/>
        </w:rPr>
        <w:t>Department of Health: Mental Health Outcomes Event.</w:t>
      </w:r>
    </w:p>
    <w:p w:rsidR="00AA52F0" w:rsidRPr="000C1AB9" w:rsidRDefault="00AA52F0" w:rsidP="00AA52F0">
      <w:pPr>
        <w:rPr>
          <w:rFonts w:ascii="Segoe UI" w:hAnsi="Segoe UI" w:cs="Segoe UI"/>
          <w:sz w:val="22"/>
          <w:szCs w:val="22"/>
        </w:rPr>
      </w:pPr>
    </w:p>
    <w:p w:rsidR="00345704" w:rsidRPr="000C1AB9" w:rsidRDefault="00345704" w:rsidP="00345704">
      <w:pPr>
        <w:pStyle w:val="ListParagraph"/>
        <w:numPr>
          <w:ilvl w:val="0"/>
          <w:numId w:val="13"/>
        </w:numPr>
        <w:rPr>
          <w:rFonts w:ascii="Segoe UI" w:hAnsi="Segoe UI" w:cs="Segoe UI"/>
          <w:b/>
          <w:sz w:val="22"/>
          <w:szCs w:val="22"/>
        </w:rPr>
      </w:pPr>
      <w:r w:rsidRPr="000C1AB9">
        <w:rPr>
          <w:rFonts w:ascii="Segoe UI" w:hAnsi="Segoe UI" w:cs="Segoe UI"/>
          <w:b/>
          <w:sz w:val="22"/>
          <w:szCs w:val="22"/>
        </w:rPr>
        <w:t>Board appointments</w:t>
      </w:r>
    </w:p>
    <w:p w:rsidR="00345704" w:rsidRPr="000C1AB9" w:rsidRDefault="00345704" w:rsidP="00345704">
      <w:pPr>
        <w:rPr>
          <w:rFonts w:ascii="Segoe UI" w:hAnsi="Segoe UI" w:cs="Segoe UI"/>
          <w:b/>
          <w:sz w:val="22"/>
          <w:szCs w:val="22"/>
        </w:rPr>
      </w:pPr>
    </w:p>
    <w:p w:rsidR="00345704" w:rsidRPr="000C1AB9" w:rsidRDefault="00345704" w:rsidP="00A40A46">
      <w:pPr>
        <w:jc w:val="both"/>
        <w:rPr>
          <w:rFonts w:ascii="Segoe UI" w:hAnsi="Segoe UI" w:cs="Segoe UI"/>
          <w:sz w:val="22"/>
          <w:szCs w:val="22"/>
        </w:rPr>
      </w:pPr>
      <w:r w:rsidRPr="000C1AB9">
        <w:rPr>
          <w:rFonts w:ascii="Segoe UI" w:hAnsi="Segoe UI" w:cs="Segoe UI"/>
          <w:sz w:val="22"/>
          <w:szCs w:val="22"/>
        </w:rPr>
        <w:t>I am pleased to report that Dr Mark Hancock has been appointed as Medical Director to succeed Dr Clive Meux upon his retirement at the end of March. Dr Hancock is currently Deputy Medical Director, and so arrangements will need to b</w:t>
      </w:r>
      <w:r w:rsidR="000142E7" w:rsidRPr="000C1AB9">
        <w:rPr>
          <w:rFonts w:ascii="Segoe UI" w:hAnsi="Segoe UI" w:cs="Segoe UI"/>
          <w:sz w:val="22"/>
          <w:szCs w:val="22"/>
        </w:rPr>
        <w:t>e made to fill that position. Subject to the usual clearances t</w:t>
      </w:r>
      <w:r w:rsidRPr="000C1AB9">
        <w:rPr>
          <w:rFonts w:ascii="Segoe UI" w:hAnsi="Segoe UI" w:cs="Segoe UI"/>
          <w:sz w:val="22"/>
          <w:szCs w:val="22"/>
        </w:rPr>
        <w:t>he post of Chief Operating Officer and Deputy Chief Executive</w:t>
      </w:r>
      <w:r w:rsidR="000142E7" w:rsidRPr="000C1AB9">
        <w:rPr>
          <w:rFonts w:ascii="Segoe UI" w:hAnsi="Segoe UI" w:cs="Segoe UI"/>
          <w:sz w:val="22"/>
          <w:szCs w:val="22"/>
        </w:rPr>
        <w:t xml:space="preserve"> has been accepted by Mr Dominic Hardisty, who is currently Deputy Chief Executive of Northamptonshire Healthcare NHS FT. The details of his start date are still to be finalised, but I remain very grateful to Pauline Scully for acting as COO in the meanwhile.</w:t>
      </w:r>
    </w:p>
    <w:p w:rsidR="00345704" w:rsidRPr="000C1AB9" w:rsidRDefault="00345704" w:rsidP="00AA52F0">
      <w:pPr>
        <w:rPr>
          <w:rFonts w:ascii="Segoe UI" w:hAnsi="Segoe UI" w:cs="Segoe UI"/>
          <w:sz w:val="22"/>
          <w:szCs w:val="22"/>
        </w:rPr>
      </w:pPr>
    </w:p>
    <w:p w:rsidR="004A4B5D" w:rsidRPr="000C1AB9" w:rsidRDefault="004A4B5D" w:rsidP="004A4B5D">
      <w:pPr>
        <w:jc w:val="both"/>
        <w:rPr>
          <w:rFonts w:ascii="Segoe UI" w:eastAsiaTheme="minorHAnsi" w:hAnsi="Segoe UI" w:cs="Segoe UI"/>
          <w:sz w:val="22"/>
          <w:szCs w:val="22"/>
        </w:rPr>
      </w:pPr>
      <w:r w:rsidRPr="000C1AB9">
        <w:rPr>
          <w:rFonts w:ascii="Segoe UI" w:hAnsi="Segoe UI" w:cs="Segoe UI"/>
          <w:b/>
          <w:bCs/>
          <w:sz w:val="22"/>
          <w:szCs w:val="22"/>
        </w:rPr>
        <w:t>Recommendation</w:t>
      </w:r>
    </w:p>
    <w:p w:rsidR="004A4B5D" w:rsidRPr="000C1AB9" w:rsidRDefault="004A4B5D" w:rsidP="004A4B5D">
      <w:pPr>
        <w:jc w:val="both"/>
        <w:rPr>
          <w:rFonts w:ascii="Segoe UI" w:hAnsi="Segoe UI" w:cs="Segoe UI"/>
          <w:sz w:val="22"/>
          <w:szCs w:val="22"/>
        </w:rPr>
      </w:pPr>
      <w:r w:rsidRPr="000C1AB9">
        <w:rPr>
          <w:rFonts w:ascii="Segoe UI" w:hAnsi="Segoe UI" w:cs="Segoe UI"/>
          <w:sz w:val="22"/>
          <w:szCs w:val="22"/>
        </w:rPr>
        <w:t>The Boar</w:t>
      </w:r>
      <w:r w:rsidR="00A745CD" w:rsidRPr="000C1AB9">
        <w:rPr>
          <w:rFonts w:ascii="Segoe UI" w:hAnsi="Segoe UI" w:cs="Segoe UI"/>
          <w:sz w:val="22"/>
          <w:szCs w:val="22"/>
        </w:rPr>
        <w:t>d of Directors are asked to</w:t>
      </w:r>
      <w:r w:rsidR="005871B4" w:rsidRPr="000C1AB9">
        <w:rPr>
          <w:rFonts w:ascii="Segoe UI" w:hAnsi="Segoe UI" w:cs="Segoe UI"/>
          <w:sz w:val="22"/>
          <w:szCs w:val="22"/>
        </w:rPr>
        <w:t xml:space="preserve"> note</w:t>
      </w:r>
      <w:r w:rsidRPr="000C1AB9">
        <w:rPr>
          <w:rFonts w:ascii="Segoe UI" w:hAnsi="Segoe UI" w:cs="Segoe UI"/>
          <w:sz w:val="22"/>
          <w:szCs w:val="22"/>
        </w:rPr>
        <w:t xml:space="preserve"> the report</w:t>
      </w:r>
    </w:p>
    <w:p w:rsidR="004A4B5D" w:rsidRPr="000C1AB9" w:rsidRDefault="004A4B5D" w:rsidP="004A4B5D">
      <w:pPr>
        <w:jc w:val="both"/>
        <w:rPr>
          <w:rFonts w:ascii="Segoe UI" w:hAnsi="Segoe UI" w:cs="Segoe UI"/>
          <w:sz w:val="22"/>
          <w:szCs w:val="22"/>
        </w:rPr>
      </w:pPr>
    </w:p>
    <w:p w:rsidR="004A4B5D" w:rsidRPr="000C1AB9" w:rsidRDefault="004A4B5D" w:rsidP="004A4B5D">
      <w:pPr>
        <w:jc w:val="both"/>
        <w:rPr>
          <w:rFonts w:ascii="Segoe UI" w:hAnsi="Segoe UI" w:cs="Segoe UI"/>
          <w:sz w:val="22"/>
          <w:szCs w:val="22"/>
        </w:rPr>
      </w:pPr>
    </w:p>
    <w:p w:rsidR="00AF0562" w:rsidRPr="000C1AB9" w:rsidRDefault="004A4B5D" w:rsidP="00747431">
      <w:pPr>
        <w:jc w:val="both"/>
        <w:rPr>
          <w:rFonts w:ascii="Segoe UI" w:hAnsi="Segoe UI" w:cs="Segoe UI"/>
          <w:sz w:val="22"/>
          <w:szCs w:val="22"/>
        </w:rPr>
      </w:pPr>
      <w:r w:rsidRPr="000C1AB9">
        <w:rPr>
          <w:rFonts w:ascii="Segoe UI" w:hAnsi="Segoe UI" w:cs="Segoe UI"/>
          <w:b/>
          <w:bCs/>
          <w:sz w:val="22"/>
          <w:szCs w:val="22"/>
        </w:rPr>
        <w:t>Lead Executive Director:</w:t>
      </w:r>
      <w:r w:rsidR="00747431" w:rsidRPr="000C1AB9">
        <w:rPr>
          <w:rFonts w:ascii="Segoe UI" w:hAnsi="Segoe UI" w:cs="Segoe UI"/>
          <w:b/>
          <w:bCs/>
          <w:sz w:val="22"/>
          <w:szCs w:val="22"/>
        </w:rPr>
        <w:t xml:space="preserve">  </w:t>
      </w:r>
      <w:r w:rsidRPr="000C1AB9">
        <w:rPr>
          <w:rFonts w:ascii="Segoe UI" w:hAnsi="Segoe UI" w:cs="Segoe UI"/>
          <w:sz w:val="22"/>
          <w:szCs w:val="22"/>
        </w:rPr>
        <w:t>Stuart Bell, Chief Executive</w:t>
      </w:r>
    </w:p>
    <w:p w:rsidR="00DB45B1" w:rsidRDefault="00DB45B1">
      <w:pPr>
        <w:rPr>
          <w:rFonts w:ascii="Arial" w:hAnsi="Arial" w:cs="Arial"/>
        </w:rPr>
      </w:pPr>
    </w:p>
    <w:sectPr w:rsidR="00DB45B1" w:rsidSect="00E84A8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8D" w:rsidRDefault="0045408D" w:rsidP="00A55309">
      <w:r>
        <w:separator/>
      </w:r>
    </w:p>
  </w:endnote>
  <w:endnote w:type="continuationSeparator" w:id="0">
    <w:p w:rsidR="0045408D" w:rsidRDefault="0045408D"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8D" w:rsidRDefault="0045408D" w:rsidP="00A55309">
      <w:r>
        <w:separator/>
      </w:r>
    </w:p>
  </w:footnote>
  <w:footnote w:type="continuationSeparator" w:id="0">
    <w:p w:rsidR="0045408D" w:rsidRDefault="0045408D"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Pr="00BE196A" w:rsidRDefault="007D40CB"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7D40CB" w:rsidRPr="00BE196A" w:rsidRDefault="007D40C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7C2B"/>
    <w:multiLevelType w:val="hybridMultilevel"/>
    <w:tmpl w:val="9568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B928AA"/>
    <w:multiLevelType w:val="hybridMultilevel"/>
    <w:tmpl w:val="8224F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4B6115"/>
    <w:multiLevelType w:val="hybridMultilevel"/>
    <w:tmpl w:val="6E789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3B3055B"/>
    <w:multiLevelType w:val="hybridMultilevel"/>
    <w:tmpl w:val="5130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FF7F6D"/>
    <w:multiLevelType w:val="hybridMultilevel"/>
    <w:tmpl w:val="BC2C6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86308F"/>
    <w:multiLevelType w:val="hybridMultilevel"/>
    <w:tmpl w:val="E3EE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B70417"/>
    <w:multiLevelType w:val="hybridMultilevel"/>
    <w:tmpl w:val="F41C57E8"/>
    <w:lvl w:ilvl="0" w:tplc="5CBCF2B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13315BE"/>
    <w:multiLevelType w:val="hybridMultilevel"/>
    <w:tmpl w:val="A02C6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D25062"/>
    <w:multiLevelType w:val="hybridMultilevel"/>
    <w:tmpl w:val="2CCA927A"/>
    <w:lvl w:ilvl="0" w:tplc="85F8EF8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9DD6206"/>
    <w:multiLevelType w:val="hybridMultilevel"/>
    <w:tmpl w:val="7D98B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49061F2"/>
    <w:multiLevelType w:val="hybridMultilevel"/>
    <w:tmpl w:val="EC5E6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56CE72E0"/>
    <w:multiLevelType w:val="hybridMultilevel"/>
    <w:tmpl w:val="A71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7C2E29"/>
    <w:multiLevelType w:val="hybridMultilevel"/>
    <w:tmpl w:val="41304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0B522D"/>
    <w:multiLevelType w:val="hybridMultilevel"/>
    <w:tmpl w:val="C70A8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7A821F3D"/>
    <w:multiLevelType w:val="hybridMultilevel"/>
    <w:tmpl w:val="2B76D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12"/>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1"/>
  </w:num>
  <w:num w:numId="9">
    <w:abstractNumId w:val="3"/>
  </w:num>
  <w:num w:numId="10">
    <w:abstractNumId w:val="2"/>
  </w:num>
  <w:num w:numId="11">
    <w:abstractNumId w:val="2"/>
  </w:num>
  <w:num w:numId="12">
    <w:abstractNumId w:val="7"/>
  </w:num>
  <w:num w:numId="13">
    <w:abstractNumId w:val="5"/>
  </w:num>
  <w:num w:numId="14">
    <w:abstractNumId w:val="9"/>
  </w:num>
  <w:num w:numId="15">
    <w:abstractNumId w:val="8"/>
  </w:num>
  <w:num w:numId="16">
    <w:abstractNumId w:val="9"/>
  </w:num>
  <w:num w:numId="17">
    <w:abstractNumId w:val="8"/>
  </w:num>
  <w:num w:numId="18">
    <w:abstractNumId w:val="0"/>
  </w:num>
  <w:num w:numId="19">
    <w:abstractNumId w:val="1"/>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42E7"/>
    <w:rsid w:val="00015B58"/>
    <w:rsid w:val="00016BB8"/>
    <w:rsid w:val="000205C6"/>
    <w:rsid w:val="0002105C"/>
    <w:rsid w:val="0002213D"/>
    <w:rsid w:val="00023C15"/>
    <w:rsid w:val="00027720"/>
    <w:rsid w:val="00037819"/>
    <w:rsid w:val="00040FFA"/>
    <w:rsid w:val="000414D8"/>
    <w:rsid w:val="000504EC"/>
    <w:rsid w:val="00051BA9"/>
    <w:rsid w:val="00051C38"/>
    <w:rsid w:val="0005393C"/>
    <w:rsid w:val="000542AF"/>
    <w:rsid w:val="0005435E"/>
    <w:rsid w:val="0005451F"/>
    <w:rsid w:val="00054B3B"/>
    <w:rsid w:val="000555AF"/>
    <w:rsid w:val="00055952"/>
    <w:rsid w:val="00064715"/>
    <w:rsid w:val="00070AF0"/>
    <w:rsid w:val="00073BDB"/>
    <w:rsid w:val="00074369"/>
    <w:rsid w:val="000758F7"/>
    <w:rsid w:val="0007631A"/>
    <w:rsid w:val="00077A95"/>
    <w:rsid w:val="00077CAF"/>
    <w:rsid w:val="0009109B"/>
    <w:rsid w:val="000929CF"/>
    <w:rsid w:val="000929E8"/>
    <w:rsid w:val="00093EDE"/>
    <w:rsid w:val="00095079"/>
    <w:rsid w:val="00096B95"/>
    <w:rsid w:val="00097314"/>
    <w:rsid w:val="00097B5C"/>
    <w:rsid w:val="000A013E"/>
    <w:rsid w:val="000A1E8F"/>
    <w:rsid w:val="000A33D8"/>
    <w:rsid w:val="000A57F6"/>
    <w:rsid w:val="000A7E31"/>
    <w:rsid w:val="000B10A6"/>
    <w:rsid w:val="000B312B"/>
    <w:rsid w:val="000B3532"/>
    <w:rsid w:val="000B4ADE"/>
    <w:rsid w:val="000B659B"/>
    <w:rsid w:val="000B6A4D"/>
    <w:rsid w:val="000B6F81"/>
    <w:rsid w:val="000B7051"/>
    <w:rsid w:val="000B71B5"/>
    <w:rsid w:val="000C1AB9"/>
    <w:rsid w:val="000C228A"/>
    <w:rsid w:val="000C7812"/>
    <w:rsid w:val="000D1E63"/>
    <w:rsid w:val="000D46CB"/>
    <w:rsid w:val="000D5903"/>
    <w:rsid w:val="000D6125"/>
    <w:rsid w:val="000D6FE6"/>
    <w:rsid w:val="000E0F76"/>
    <w:rsid w:val="000E34DE"/>
    <w:rsid w:val="000E5B0E"/>
    <w:rsid w:val="000E7F4B"/>
    <w:rsid w:val="000F17CB"/>
    <w:rsid w:val="000F4BD7"/>
    <w:rsid w:val="000F4D21"/>
    <w:rsid w:val="00100FCD"/>
    <w:rsid w:val="001014BE"/>
    <w:rsid w:val="001017EA"/>
    <w:rsid w:val="00101D83"/>
    <w:rsid w:val="00104411"/>
    <w:rsid w:val="00106531"/>
    <w:rsid w:val="00106563"/>
    <w:rsid w:val="001101CB"/>
    <w:rsid w:val="0011061E"/>
    <w:rsid w:val="001163D7"/>
    <w:rsid w:val="00117F97"/>
    <w:rsid w:val="0012172F"/>
    <w:rsid w:val="00125763"/>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7217D"/>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D4F92"/>
    <w:rsid w:val="001D5DCE"/>
    <w:rsid w:val="001E09C8"/>
    <w:rsid w:val="001E39E6"/>
    <w:rsid w:val="001E4CD8"/>
    <w:rsid w:val="001E6901"/>
    <w:rsid w:val="001E715D"/>
    <w:rsid w:val="001F0685"/>
    <w:rsid w:val="001F2D3E"/>
    <w:rsid w:val="001F551C"/>
    <w:rsid w:val="001F76ED"/>
    <w:rsid w:val="00203AF0"/>
    <w:rsid w:val="00204AC6"/>
    <w:rsid w:val="0020669F"/>
    <w:rsid w:val="00213FDD"/>
    <w:rsid w:val="002216FC"/>
    <w:rsid w:val="00221E47"/>
    <w:rsid w:val="002224F5"/>
    <w:rsid w:val="00222934"/>
    <w:rsid w:val="0022680A"/>
    <w:rsid w:val="002321A9"/>
    <w:rsid w:val="0023509B"/>
    <w:rsid w:val="0023675D"/>
    <w:rsid w:val="00236DC2"/>
    <w:rsid w:val="00241025"/>
    <w:rsid w:val="00243FA6"/>
    <w:rsid w:val="0024791A"/>
    <w:rsid w:val="002535E3"/>
    <w:rsid w:val="00254298"/>
    <w:rsid w:val="00255C85"/>
    <w:rsid w:val="002575F3"/>
    <w:rsid w:val="00260D47"/>
    <w:rsid w:val="002619EF"/>
    <w:rsid w:val="00261EC7"/>
    <w:rsid w:val="00262376"/>
    <w:rsid w:val="00262C9E"/>
    <w:rsid w:val="00271046"/>
    <w:rsid w:val="00273F30"/>
    <w:rsid w:val="00277921"/>
    <w:rsid w:val="00281C43"/>
    <w:rsid w:val="00282028"/>
    <w:rsid w:val="002830D4"/>
    <w:rsid w:val="002848CB"/>
    <w:rsid w:val="0028695A"/>
    <w:rsid w:val="002922C5"/>
    <w:rsid w:val="0029276D"/>
    <w:rsid w:val="00294190"/>
    <w:rsid w:val="002949A2"/>
    <w:rsid w:val="002970A5"/>
    <w:rsid w:val="002A4B2D"/>
    <w:rsid w:val="002A73E8"/>
    <w:rsid w:val="002B06F5"/>
    <w:rsid w:val="002B3B9C"/>
    <w:rsid w:val="002C2D18"/>
    <w:rsid w:val="002D1A09"/>
    <w:rsid w:val="002D45AA"/>
    <w:rsid w:val="002D4EBA"/>
    <w:rsid w:val="002D52FA"/>
    <w:rsid w:val="002D5DE7"/>
    <w:rsid w:val="002D6BAE"/>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6ACF"/>
    <w:rsid w:val="003277D9"/>
    <w:rsid w:val="00327F10"/>
    <w:rsid w:val="00335289"/>
    <w:rsid w:val="00335352"/>
    <w:rsid w:val="003369F8"/>
    <w:rsid w:val="00336DD5"/>
    <w:rsid w:val="00342133"/>
    <w:rsid w:val="003428CB"/>
    <w:rsid w:val="00343E12"/>
    <w:rsid w:val="00345670"/>
    <w:rsid w:val="00345704"/>
    <w:rsid w:val="00351E5B"/>
    <w:rsid w:val="0035319D"/>
    <w:rsid w:val="00355D01"/>
    <w:rsid w:val="00355DF5"/>
    <w:rsid w:val="00355FF2"/>
    <w:rsid w:val="003567AA"/>
    <w:rsid w:val="00370A7B"/>
    <w:rsid w:val="0037463A"/>
    <w:rsid w:val="00374B9A"/>
    <w:rsid w:val="00377DAB"/>
    <w:rsid w:val="003837FA"/>
    <w:rsid w:val="00384494"/>
    <w:rsid w:val="003902AA"/>
    <w:rsid w:val="00390C37"/>
    <w:rsid w:val="00392B78"/>
    <w:rsid w:val="00394F65"/>
    <w:rsid w:val="003971F6"/>
    <w:rsid w:val="003A02CD"/>
    <w:rsid w:val="003A0C29"/>
    <w:rsid w:val="003A2014"/>
    <w:rsid w:val="003B3D63"/>
    <w:rsid w:val="003B6576"/>
    <w:rsid w:val="003B6704"/>
    <w:rsid w:val="003C4CDE"/>
    <w:rsid w:val="003C71F1"/>
    <w:rsid w:val="003D1204"/>
    <w:rsid w:val="003D16CD"/>
    <w:rsid w:val="003D7103"/>
    <w:rsid w:val="003E293D"/>
    <w:rsid w:val="003E6B90"/>
    <w:rsid w:val="003F38A8"/>
    <w:rsid w:val="00406F60"/>
    <w:rsid w:val="00407B7E"/>
    <w:rsid w:val="00410C29"/>
    <w:rsid w:val="00413608"/>
    <w:rsid w:val="00415CB0"/>
    <w:rsid w:val="00415D97"/>
    <w:rsid w:val="00416167"/>
    <w:rsid w:val="004167F7"/>
    <w:rsid w:val="004225D9"/>
    <w:rsid w:val="0042358A"/>
    <w:rsid w:val="00434086"/>
    <w:rsid w:val="004350B8"/>
    <w:rsid w:val="004354D2"/>
    <w:rsid w:val="00441E43"/>
    <w:rsid w:val="00442349"/>
    <w:rsid w:val="00445F1A"/>
    <w:rsid w:val="0045148C"/>
    <w:rsid w:val="00451731"/>
    <w:rsid w:val="00452635"/>
    <w:rsid w:val="00453A53"/>
    <w:rsid w:val="0045408D"/>
    <w:rsid w:val="00455F3A"/>
    <w:rsid w:val="004564DB"/>
    <w:rsid w:val="00457970"/>
    <w:rsid w:val="00461292"/>
    <w:rsid w:val="004637DC"/>
    <w:rsid w:val="00474ED8"/>
    <w:rsid w:val="004757F0"/>
    <w:rsid w:val="00476D92"/>
    <w:rsid w:val="004828DD"/>
    <w:rsid w:val="00485538"/>
    <w:rsid w:val="00486571"/>
    <w:rsid w:val="00486A56"/>
    <w:rsid w:val="0049175D"/>
    <w:rsid w:val="004927B4"/>
    <w:rsid w:val="004949FA"/>
    <w:rsid w:val="004A2E7B"/>
    <w:rsid w:val="004A4B5D"/>
    <w:rsid w:val="004A6C48"/>
    <w:rsid w:val="004A71D8"/>
    <w:rsid w:val="004B2D7E"/>
    <w:rsid w:val="004B30BC"/>
    <w:rsid w:val="004B3EAD"/>
    <w:rsid w:val="004B4D83"/>
    <w:rsid w:val="004B6FBB"/>
    <w:rsid w:val="004B73F8"/>
    <w:rsid w:val="004C26FF"/>
    <w:rsid w:val="004C2C8B"/>
    <w:rsid w:val="004C5069"/>
    <w:rsid w:val="004C6F8A"/>
    <w:rsid w:val="004D2456"/>
    <w:rsid w:val="004D251E"/>
    <w:rsid w:val="004D3442"/>
    <w:rsid w:val="004E12C9"/>
    <w:rsid w:val="004E3F8A"/>
    <w:rsid w:val="004E4238"/>
    <w:rsid w:val="004E5E4F"/>
    <w:rsid w:val="004E6BD3"/>
    <w:rsid w:val="004E74D0"/>
    <w:rsid w:val="004F2CAD"/>
    <w:rsid w:val="004F4128"/>
    <w:rsid w:val="004F4BBA"/>
    <w:rsid w:val="004F4C73"/>
    <w:rsid w:val="00501A83"/>
    <w:rsid w:val="00501AA1"/>
    <w:rsid w:val="005041AA"/>
    <w:rsid w:val="00510F4B"/>
    <w:rsid w:val="0051153D"/>
    <w:rsid w:val="0051376D"/>
    <w:rsid w:val="0051594B"/>
    <w:rsid w:val="005159E4"/>
    <w:rsid w:val="00515A10"/>
    <w:rsid w:val="005173A8"/>
    <w:rsid w:val="00517E27"/>
    <w:rsid w:val="00517F57"/>
    <w:rsid w:val="005214AE"/>
    <w:rsid w:val="005233AA"/>
    <w:rsid w:val="00523933"/>
    <w:rsid w:val="00524C14"/>
    <w:rsid w:val="00524D58"/>
    <w:rsid w:val="005306DE"/>
    <w:rsid w:val="00532BF9"/>
    <w:rsid w:val="0053370A"/>
    <w:rsid w:val="00533ED6"/>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3DA9"/>
    <w:rsid w:val="005740B9"/>
    <w:rsid w:val="005756E9"/>
    <w:rsid w:val="00577554"/>
    <w:rsid w:val="00584BD8"/>
    <w:rsid w:val="00584F11"/>
    <w:rsid w:val="005865D8"/>
    <w:rsid w:val="005871B4"/>
    <w:rsid w:val="00593160"/>
    <w:rsid w:val="00596E0E"/>
    <w:rsid w:val="005A1911"/>
    <w:rsid w:val="005A3AC7"/>
    <w:rsid w:val="005A4B36"/>
    <w:rsid w:val="005A72BA"/>
    <w:rsid w:val="005B0A0B"/>
    <w:rsid w:val="005B383F"/>
    <w:rsid w:val="005B7A5C"/>
    <w:rsid w:val="005C02E9"/>
    <w:rsid w:val="005C23E9"/>
    <w:rsid w:val="005C3FC1"/>
    <w:rsid w:val="005C6CE8"/>
    <w:rsid w:val="005D12E8"/>
    <w:rsid w:val="005D2367"/>
    <w:rsid w:val="005D3499"/>
    <w:rsid w:val="005D4317"/>
    <w:rsid w:val="005E1126"/>
    <w:rsid w:val="005E1B0B"/>
    <w:rsid w:val="005E4C5F"/>
    <w:rsid w:val="005E53F3"/>
    <w:rsid w:val="005F009D"/>
    <w:rsid w:val="005F0C12"/>
    <w:rsid w:val="005F27C1"/>
    <w:rsid w:val="005F54B6"/>
    <w:rsid w:val="005F6499"/>
    <w:rsid w:val="006018D4"/>
    <w:rsid w:val="006034CB"/>
    <w:rsid w:val="00603EC4"/>
    <w:rsid w:val="006055FC"/>
    <w:rsid w:val="006126AD"/>
    <w:rsid w:val="00615A6F"/>
    <w:rsid w:val="0061746E"/>
    <w:rsid w:val="0062270D"/>
    <w:rsid w:val="00625DC8"/>
    <w:rsid w:val="00635125"/>
    <w:rsid w:val="00636EDF"/>
    <w:rsid w:val="00637069"/>
    <w:rsid w:val="00641DEB"/>
    <w:rsid w:val="006434BB"/>
    <w:rsid w:val="006445BF"/>
    <w:rsid w:val="00645CB9"/>
    <w:rsid w:val="006461D1"/>
    <w:rsid w:val="00647E6C"/>
    <w:rsid w:val="006526A2"/>
    <w:rsid w:val="00653472"/>
    <w:rsid w:val="0065566C"/>
    <w:rsid w:val="00662454"/>
    <w:rsid w:val="0066373E"/>
    <w:rsid w:val="0067389A"/>
    <w:rsid w:val="0067695B"/>
    <w:rsid w:val="00684BAA"/>
    <w:rsid w:val="0069052E"/>
    <w:rsid w:val="00691E52"/>
    <w:rsid w:val="00691F03"/>
    <w:rsid w:val="0069428E"/>
    <w:rsid w:val="006979AF"/>
    <w:rsid w:val="006A1279"/>
    <w:rsid w:val="006A3C01"/>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431"/>
    <w:rsid w:val="007475B8"/>
    <w:rsid w:val="0075066D"/>
    <w:rsid w:val="007509C4"/>
    <w:rsid w:val="007577DD"/>
    <w:rsid w:val="0076340F"/>
    <w:rsid w:val="0076411B"/>
    <w:rsid w:val="00766A38"/>
    <w:rsid w:val="00767B07"/>
    <w:rsid w:val="007701AE"/>
    <w:rsid w:val="0077561B"/>
    <w:rsid w:val="0077747B"/>
    <w:rsid w:val="00780971"/>
    <w:rsid w:val="00783DA1"/>
    <w:rsid w:val="00784489"/>
    <w:rsid w:val="00784F17"/>
    <w:rsid w:val="00795229"/>
    <w:rsid w:val="007A1C9C"/>
    <w:rsid w:val="007A1F4A"/>
    <w:rsid w:val="007A5D48"/>
    <w:rsid w:val="007A7FDB"/>
    <w:rsid w:val="007C0135"/>
    <w:rsid w:val="007C0E3E"/>
    <w:rsid w:val="007C0EB8"/>
    <w:rsid w:val="007C191E"/>
    <w:rsid w:val="007C1F2B"/>
    <w:rsid w:val="007C51E2"/>
    <w:rsid w:val="007D1283"/>
    <w:rsid w:val="007D2A62"/>
    <w:rsid w:val="007D2C02"/>
    <w:rsid w:val="007D33CA"/>
    <w:rsid w:val="007D3912"/>
    <w:rsid w:val="007D40CB"/>
    <w:rsid w:val="007D616C"/>
    <w:rsid w:val="007E058E"/>
    <w:rsid w:val="007E09E8"/>
    <w:rsid w:val="007E17F5"/>
    <w:rsid w:val="007E677F"/>
    <w:rsid w:val="007E6C41"/>
    <w:rsid w:val="007E7F2B"/>
    <w:rsid w:val="007F1245"/>
    <w:rsid w:val="007F2652"/>
    <w:rsid w:val="007F37BD"/>
    <w:rsid w:val="007F5BA3"/>
    <w:rsid w:val="007F6721"/>
    <w:rsid w:val="008013AD"/>
    <w:rsid w:val="0080178E"/>
    <w:rsid w:val="00803107"/>
    <w:rsid w:val="008038F7"/>
    <w:rsid w:val="00804ABD"/>
    <w:rsid w:val="00806212"/>
    <w:rsid w:val="00807495"/>
    <w:rsid w:val="008107C8"/>
    <w:rsid w:val="0082121E"/>
    <w:rsid w:val="00821522"/>
    <w:rsid w:val="00821C45"/>
    <w:rsid w:val="00821D01"/>
    <w:rsid w:val="00823523"/>
    <w:rsid w:val="008237E8"/>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0952"/>
    <w:rsid w:val="008929CE"/>
    <w:rsid w:val="008963D9"/>
    <w:rsid w:val="00896E5B"/>
    <w:rsid w:val="00897AA7"/>
    <w:rsid w:val="008A0845"/>
    <w:rsid w:val="008B1952"/>
    <w:rsid w:val="008B1CFF"/>
    <w:rsid w:val="008B367C"/>
    <w:rsid w:val="008C312D"/>
    <w:rsid w:val="008D14E5"/>
    <w:rsid w:val="008D1FCB"/>
    <w:rsid w:val="008D363B"/>
    <w:rsid w:val="008D3E3E"/>
    <w:rsid w:val="008D4EA9"/>
    <w:rsid w:val="008D67A5"/>
    <w:rsid w:val="008E1527"/>
    <w:rsid w:val="008F04BB"/>
    <w:rsid w:val="008F4936"/>
    <w:rsid w:val="008F5B6C"/>
    <w:rsid w:val="008F6241"/>
    <w:rsid w:val="008F7523"/>
    <w:rsid w:val="00902E3F"/>
    <w:rsid w:val="00905585"/>
    <w:rsid w:val="00911106"/>
    <w:rsid w:val="009128C2"/>
    <w:rsid w:val="009128DB"/>
    <w:rsid w:val="00917616"/>
    <w:rsid w:val="009204AE"/>
    <w:rsid w:val="00922422"/>
    <w:rsid w:val="00924225"/>
    <w:rsid w:val="00925436"/>
    <w:rsid w:val="009263EC"/>
    <w:rsid w:val="009364AB"/>
    <w:rsid w:val="009375F1"/>
    <w:rsid w:val="00941723"/>
    <w:rsid w:val="009417EA"/>
    <w:rsid w:val="00942E12"/>
    <w:rsid w:val="00944E2B"/>
    <w:rsid w:val="00946D3E"/>
    <w:rsid w:val="0095131B"/>
    <w:rsid w:val="009526AD"/>
    <w:rsid w:val="009548DB"/>
    <w:rsid w:val="00957B80"/>
    <w:rsid w:val="0096246C"/>
    <w:rsid w:val="00965E50"/>
    <w:rsid w:val="009661C9"/>
    <w:rsid w:val="009709EB"/>
    <w:rsid w:val="00970D9E"/>
    <w:rsid w:val="00972448"/>
    <w:rsid w:val="00974D2C"/>
    <w:rsid w:val="009753E3"/>
    <w:rsid w:val="0097554A"/>
    <w:rsid w:val="00977138"/>
    <w:rsid w:val="00983122"/>
    <w:rsid w:val="0098733A"/>
    <w:rsid w:val="009873B8"/>
    <w:rsid w:val="009927C0"/>
    <w:rsid w:val="00993DD5"/>
    <w:rsid w:val="00993F16"/>
    <w:rsid w:val="00997B44"/>
    <w:rsid w:val="009A14A3"/>
    <w:rsid w:val="009A209F"/>
    <w:rsid w:val="009A2682"/>
    <w:rsid w:val="009A3575"/>
    <w:rsid w:val="009A3887"/>
    <w:rsid w:val="009A784F"/>
    <w:rsid w:val="009B56BB"/>
    <w:rsid w:val="009C1051"/>
    <w:rsid w:val="009C2C53"/>
    <w:rsid w:val="009C46E8"/>
    <w:rsid w:val="009D0798"/>
    <w:rsid w:val="009D3E4D"/>
    <w:rsid w:val="009D78AF"/>
    <w:rsid w:val="009E21A5"/>
    <w:rsid w:val="009E356F"/>
    <w:rsid w:val="009E42AA"/>
    <w:rsid w:val="009F18E1"/>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021F"/>
    <w:rsid w:val="00A40A46"/>
    <w:rsid w:val="00A42657"/>
    <w:rsid w:val="00A43096"/>
    <w:rsid w:val="00A4385B"/>
    <w:rsid w:val="00A43D5C"/>
    <w:rsid w:val="00A475C8"/>
    <w:rsid w:val="00A476B0"/>
    <w:rsid w:val="00A50FFC"/>
    <w:rsid w:val="00A53E1C"/>
    <w:rsid w:val="00A55309"/>
    <w:rsid w:val="00A56994"/>
    <w:rsid w:val="00A611CB"/>
    <w:rsid w:val="00A623DF"/>
    <w:rsid w:val="00A65B5E"/>
    <w:rsid w:val="00A65E5A"/>
    <w:rsid w:val="00A6725A"/>
    <w:rsid w:val="00A6779F"/>
    <w:rsid w:val="00A745CD"/>
    <w:rsid w:val="00A75FC6"/>
    <w:rsid w:val="00A80C7E"/>
    <w:rsid w:val="00A81151"/>
    <w:rsid w:val="00A82F86"/>
    <w:rsid w:val="00A858E9"/>
    <w:rsid w:val="00A85D3A"/>
    <w:rsid w:val="00A87177"/>
    <w:rsid w:val="00A87FCE"/>
    <w:rsid w:val="00A91477"/>
    <w:rsid w:val="00A91A10"/>
    <w:rsid w:val="00A93B9D"/>
    <w:rsid w:val="00A96E23"/>
    <w:rsid w:val="00AA0841"/>
    <w:rsid w:val="00AA0F77"/>
    <w:rsid w:val="00AA52F0"/>
    <w:rsid w:val="00AB0214"/>
    <w:rsid w:val="00AC2842"/>
    <w:rsid w:val="00AC3814"/>
    <w:rsid w:val="00AC5D11"/>
    <w:rsid w:val="00AC6694"/>
    <w:rsid w:val="00AC69E0"/>
    <w:rsid w:val="00AC716C"/>
    <w:rsid w:val="00AC7AFB"/>
    <w:rsid w:val="00AD2D29"/>
    <w:rsid w:val="00AD2E8F"/>
    <w:rsid w:val="00AD36B8"/>
    <w:rsid w:val="00AD675B"/>
    <w:rsid w:val="00AD7A51"/>
    <w:rsid w:val="00AE2EB6"/>
    <w:rsid w:val="00AE5F21"/>
    <w:rsid w:val="00AE6E1A"/>
    <w:rsid w:val="00AF0562"/>
    <w:rsid w:val="00AF0DAB"/>
    <w:rsid w:val="00AF34E5"/>
    <w:rsid w:val="00AF4AEE"/>
    <w:rsid w:val="00AF5BC6"/>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07B"/>
    <w:rsid w:val="00B314F2"/>
    <w:rsid w:val="00B317BA"/>
    <w:rsid w:val="00B33045"/>
    <w:rsid w:val="00B34D25"/>
    <w:rsid w:val="00B35DC0"/>
    <w:rsid w:val="00B40234"/>
    <w:rsid w:val="00B40CB7"/>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1D3F"/>
    <w:rsid w:val="00B82D9D"/>
    <w:rsid w:val="00B833A0"/>
    <w:rsid w:val="00B90077"/>
    <w:rsid w:val="00B90712"/>
    <w:rsid w:val="00B90989"/>
    <w:rsid w:val="00B91CAE"/>
    <w:rsid w:val="00B925A2"/>
    <w:rsid w:val="00B94C05"/>
    <w:rsid w:val="00B95916"/>
    <w:rsid w:val="00B96658"/>
    <w:rsid w:val="00B96836"/>
    <w:rsid w:val="00BA0187"/>
    <w:rsid w:val="00BA217C"/>
    <w:rsid w:val="00BA4F1E"/>
    <w:rsid w:val="00BB24A4"/>
    <w:rsid w:val="00BB31A8"/>
    <w:rsid w:val="00BB3575"/>
    <w:rsid w:val="00BB40F9"/>
    <w:rsid w:val="00BB4C65"/>
    <w:rsid w:val="00BB4E60"/>
    <w:rsid w:val="00BB6CF0"/>
    <w:rsid w:val="00BC2AC7"/>
    <w:rsid w:val="00BC3A6F"/>
    <w:rsid w:val="00BC488D"/>
    <w:rsid w:val="00BC5F94"/>
    <w:rsid w:val="00BD6160"/>
    <w:rsid w:val="00BD7AB7"/>
    <w:rsid w:val="00BE196A"/>
    <w:rsid w:val="00BE30F1"/>
    <w:rsid w:val="00BE5629"/>
    <w:rsid w:val="00BE750D"/>
    <w:rsid w:val="00BF4B2E"/>
    <w:rsid w:val="00BF5367"/>
    <w:rsid w:val="00BF5E8C"/>
    <w:rsid w:val="00BF664A"/>
    <w:rsid w:val="00C01C5D"/>
    <w:rsid w:val="00C03C01"/>
    <w:rsid w:val="00C0524E"/>
    <w:rsid w:val="00C128E8"/>
    <w:rsid w:val="00C20230"/>
    <w:rsid w:val="00C22309"/>
    <w:rsid w:val="00C2242A"/>
    <w:rsid w:val="00C23820"/>
    <w:rsid w:val="00C26B36"/>
    <w:rsid w:val="00C311FF"/>
    <w:rsid w:val="00C33916"/>
    <w:rsid w:val="00C36069"/>
    <w:rsid w:val="00C44993"/>
    <w:rsid w:val="00C47194"/>
    <w:rsid w:val="00C533B4"/>
    <w:rsid w:val="00C65048"/>
    <w:rsid w:val="00C6768F"/>
    <w:rsid w:val="00C679AD"/>
    <w:rsid w:val="00C72F64"/>
    <w:rsid w:val="00C765A9"/>
    <w:rsid w:val="00C77B3D"/>
    <w:rsid w:val="00C84DFC"/>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2564"/>
    <w:rsid w:val="00D13E07"/>
    <w:rsid w:val="00D14A85"/>
    <w:rsid w:val="00D167A9"/>
    <w:rsid w:val="00D1726D"/>
    <w:rsid w:val="00D20FCE"/>
    <w:rsid w:val="00D265DA"/>
    <w:rsid w:val="00D268D4"/>
    <w:rsid w:val="00D2748B"/>
    <w:rsid w:val="00D27858"/>
    <w:rsid w:val="00D310BB"/>
    <w:rsid w:val="00D324B2"/>
    <w:rsid w:val="00D328F9"/>
    <w:rsid w:val="00D36CBD"/>
    <w:rsid w:val="00D42F35"/>
    <w:rsid w:val="00D45B3F"/>
    <w:rsid w:val="00D46666"/>
    <w:rsid w:val="00D50BE7"/>
    <w:rsid w:val="00D50C03"/>
    <w:rsid w:val="00D537C1"/>
    <w:rsid w:val="00D53EF9"/>
    <w:rsid w:val="00D55ADD"/>
    <w:rsid w:val="00D55DFA"/>
    <w:rsid w:val="00D56886"/>
    <w:rsid w:val="00D57F53"/>
    <w:rsid w:val="00D72467"/>
    <w:rsid w:val="00D74025"/>
    <w:rsid w:val="00D74C03"/>
    <w:rsid w:val="00D753E5"/>
    <w:rsid w:val="00D76471"/>
    <w:rsid w:val="00D764B0"/>
    <w:rsid w:val="00D77F74"/>
    <w:rsid w:val="00D81709"/>
    <w:rsid w:val="00D82899"/>
    <w:rsid w:val="00D854AC"/>
    <w:rsid w:val="00D85725"/>
    <w:rsid w:val="00D85AE4"/>
    <w:rsid w:val="00D86434"/>
    <w:rsid w:val="00D90B9E"/>
    <w:rsid w:val="00D93B17"/>
    <w:rsid w:val="00DA0C47"/>
    <w:rsid w:val="00DA0FA6"/>
    <w:rsid w:val="00DA1831"/>
    <w:rsid w:val="00DA4541"/>
    <w:rsid w:val="00DA46AF"/>
    <w:rsid w:val="00DA6505"/>
    <w:rsid w:val="00DA6FA2"/>
    <w:rsid w:val="00DA78E1"/>
    <w:rsid w:val="00DB0D65"/>
    <w:rsid w:val="00DB3A46"/>
    <w:rsid w:val="00DB3B49"/>
    <w:rsid w:val="00DB45B1"/>
    <w:rsid w:val="00DB4601"/>
    <w:rsid w:val="00DC001F"/>
    <w:rsid w:val="00DC031F"/>
    <w:rsid w:val="00DC0DEA"/>
    <w:rsid w:val="00DC3374"/>
    <w:rsid w:val="00DC38A1"/>
    <w:rsid w:val="00DD0A3B"/>
    <w:rsid w:val="00DD7949"/>
    <w:rsid w:val="00DE0461"/>
    <w:rsid w:val="00DE1293"/>
    <w:rsid w:val="00DE16D5"/>
    <w:rsid w:val="00DE54BE"/>
    <w:rsid w:val="00DE6B41"/>
    <w:rsid w:val="00E005C9"/>
    <w:rsid w:val="00E0145E"/>
    <w:rsid w:val="00E01D37"/>
    <w:rsid w:val="00E01ED0"/>
    <w:rsid w:val="00E02201"/>
    <w:rsid w:val="00E023B6"/>
    <w:rsid w:val="00E04091"/>
    <w:rsid w:val="00E04E25"/>
    <w:rsid w:val="00E05D8E"/>
    <w:rsid w:val="00E0645D"/>
    <w:rsid w:val="00E07B90"/>
    <w:rsid w:val="00E12082"/>
    <w:rsid w:val="00E12D6E"/>
    <w:rsid w:val="00E141C7"/>
    <w:rsid w:val="00E1584A"/>
    <w:rsid w:val="00E16451"/>
    <w:rsid w:val="00E224A9"/>
    <w:rsid w:val="00E23B23"/>
    <w:rsid w:val="00E23DA4"/>
    <w:rsid w:val="00E25D31"/>
    <w:rsid w:val="00E37B9F"/>
    <w:rsid w:val="00E42690"/>
    <w:rsid w:val="00E45F5A"/>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0828"/>
    <w:rsid w:val="00EA1B3B"/>
    <w:rsid w:val="00EA42A5"/>
    <w:rsid w:val="00EA5536"/>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78C"/>
    <w:rsid w:val="00F038B9"/>
    <w:rsid w:val="00F03A4F"/>
    <w:rsid w:val="00F040F8"/>
    <w:rsid w:val="00F06D8D"/>
    <w:rsid w:val="00F06E32"/>
    <w:rsid w:val="00F1013B"/>
    <w:rsid w:val="00F12A21"/>
    <w:rsid w:val="00F13129"/>
    <w:rsid w:val="00F13EFB"/>
    <w:rsid w:val="00F1465B"/>
    <w:rsid w:val="00F21D50"/>
    <w:rsid w:val="00F30F66"/>
    <w:rsid w:val="00F31AC1"/>
    <w:rsid w:val="00F345E0"/>
    <w:rsid w:val="00F40B57"/>
    <w:rsid w:val="00F4181E"/>
    <w:rsid w:val="00F45579"/>
    <w:rsid w:val="00F4577D"/>
    <w:rsid w:val="00F47412"/>
    <w:rsid w:val="00F51E25"/>
    <w:rsid w:val="00F5266B"/>
    <w:rsid w:val="00F527C2"/>
    <w:rsid w:val="00F53A62"/>
    <w:rsid w:val="00F552D0"/>
    <w:rsid w:val="00F56133"/>
    <w:rsid w:val="00F57D09"/>
    <w:rsid w:val="00F60011"/>
    <w:rsid w:val="00F6424D"/>
    <w:rsid w:val="00F64B6A"/>
    <w:rsid w:val="00F65BD6"/>
    <w:rsid w:val="00F65F74"/>
    <w:rsid w:val="00F72BAF"/>
    <w:rsid w:val="00F72E06"/>
    <w:rsid w:val="00F73329"/>
    <w:rsid w:val="00F765EF"/>
    <w:rsid w:val="00F7678B"/>
    <w:rsid w:val="00F76F43"/>
    <w:rsid w:val="00F77FDB"/>
    <w:rsid w:val="00F818F9"/>
    <w:rsid w:val="00F8256D"/>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3987743">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44946547">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42159">
      <w:bodyDiv w:val="1"/>
      <w:marLeft w:val="0"/>
      <w:marRight w:val="0"/>
      <w:marTop w:val="0"/>
      <w:marBottom w:val="0"/>
      <w:divBdr>
        <w:top w:val="none" w:sz="0" w:space="0" w:color="auto"/>
        <w:left w:val="none" w:sz="0" w:space="0" w:color="auto"/>
        <w:bottom w:val="none" w:sz="0" w:space="0" w:color="auto"/>
        <w:right w:val="none" w:sz="0" w:space="0" w:color="auto"/>
      </w:divBdr>
    </w:div>
    <w:div w:id="841969787">
      <w:bodyDiv w:val="1"/>
      <w:marLeft w:val="0"/>
      <w:marRight w:val="0"/>
      <w:marTop w:val="0"/>
      <w:marBottom w:val="0"/>
      <w:divBdr>
        <w:top w:val="none" w:sz="0" w:space="0" w:color="auto"/>
        <w:left w:val="none" w:sz="0" w:space="0" w:color="auto"/>
        <w:bottom w:val="none" w:sz="0" w:space="0" w:color="auto"/>
        <w:right w:val="none" w:sz="0" w:space="0" w:color="auto"/>
      </w:divBdr>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09407139">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10148486">
      <w:bodyDiv w:val="1"/>
      <w:marLeft w:val="0"/>
      <w:marRight w:val="0"/>
      <w:marTop w:val="0"/>
      <w:marBottom w:val="0"/>
      <w:divBdr>
        <w:top w:val="none" w:sz="0" w:space="0" w:color="auto"/>
        <w:left w:val="none" w:sz="0" w:space="0" w:color="auto"/>
        <w:bottom w:val="none" w:sz="0" w:space="0" w:color="auto"/>
        <w:right w:val="none" w:sz="0" w:space="0" w:color="auto"/>
      </w:divBdr>
    </w:div>
    <w:div w:id="1222639642">
      <w:bodyDiv w:val="1"/>
      <w:marLeft w:val="0"/>
      <w:marRight w:val="0"/>
      <w:marTop w:val="0"/>
      <w:marBottom w:val="0"/>
      <w:divBdr>
        <w:top w:val="none" w:sz="0" w:space="0" w:color="auto"/>
        <w:left w:val="none" w:sz="0" w:space="0" w:color="auto"/>
        <w:bottom w:val="none" w:sz="0" w:space="0" w:color="auto"/>
        <w:right w:val="none" w:sz="0" w:space="0" w:color="auto"/>
      </w:divBdr>
    </w:div>
    <w:div w:id="1250502034">
      <w:bodyDiv w:val="1"/>
      <w:marLeft w:val="0"/>
      <w:marRight w:val="0"/>
      <w:marTop w:val="0"/>
      <w:marBottom w:val="0"/>
      <w:divBdr>
        <w:top w:val="none" w:sz="0" w:space="0" w:color="auto"/>
        <w:left w:val="none" w:sz="0" w:space="0" w:color="auto"/>
        <w:bottom w:val="none" w:sz="0" w:space="0" w:color="auto"/>
        <w:right w:val="none" w:sz="0" w:space="0" w:color="auto"/>
      </w:divBdr>
      <w:divsChild>
        <w:div w:id="1749183497">
          <w:marLeft w:val="0"/>
          <w:marRight w:val="0"/>
          <w:marTop w:val="0"/>
          <w:marBottom w:val="0"/>
          <w:divBdr>
            <w:top w:val="none" w:sz="0" w:space="0" w:color="auto"/>
            <w:left w:val="none" w:sz="0" w:space="0" w:color="auto"/>
            <w:bottom w:val="none" w:sz="0" w:space="0" w:color="auto"/>
            <w:right w:val="none" w:sz="0" w:space="0" w:color="auto"/>
          </w:divBdr>
          <w:divsChild>
            <w:div w:id="169177869">
              <w:marLeft w:val="0"/>
              <w:marRight w:val="0"/>
              <w:marTop w:val="0"/>
              <w:marBottom w:val="0"/>
              <w:divBdr>
                <w:top w:val="none" w:sz="0" w:space="0" w:color="auto"/>
                <w:left w:val="none" w:sz="0" w:space="0" w:color="auto"/>
                <w:bottom w:val="none" w:sz="0" w:space="0" w:color="auto"/>
                <w:right w:val="none" w:sz="0" w:space="0" w:color="auto"/>
              </w:divBdr>
              <w:divsChild>
                <w:div w:id="908076775">
                  <w:marLeft w:val="0"/>
                  <w:marRight w:val="0"/>
                  <w:marTop w:val="0"/>
                  <w:marBottom w:val="0"/>
                  <w:divBdr>
                    <w:top w:val="none" w:sz="0" w:space="0" w:color="auto"/>
                    <w:left w:val="none" w:sz="0" w:space="0" w:color="auto"/>
                    <w:bottom w:val="none" w:sz="0" w:space="0" w:color="auto"/>
                    <w:right w:val="none" w:sz="0" w:space="0" w:color="auto"/>
                  </w:divBdr>
                  <w:divsChild>
                    <w:div w:id="969941813">
                      <w:marLeft w:val="0"/>
                      <w:marRight w:val="0"/>
                      <w:marTop w:val="0"/>
                      <w:marBottom w:val="0"/>
                      <w:divBdr>
                        <w:top w:val="none" w:sz="0" w:space="0" w:color="auto"/>
                        <w:left w:val="none" w:sz="0" w:space="0" w:color="auto"/>
                        <w:bottom w:val="none" w:sz="0" w:space="0" w:color="auto"/>
                        <w:right w:val="none" w:sz="0" w:space="0" w:color="auto"/>
                      </w:divBdr>
                      <w:divsChild>
                        <w:div w:id="1623609388">
                          <w:marLeft w:val="0"/>
                          <w:marRight w:val="0"/>
                          <w:marTop w:val="0"/>
                          <w:marBottom w:val="0"/>
                          <w:divBdr>
                            <w:top w:val="none" w:sz="0" w:space="0" w:color="auto"/>
                            <w:left w:val="none" w:sz="0" w:space="0" w:color="auto"/>
                            <w:bottom w:val="none" w:sz="0" w:space="0" w:color="auto"/>
                            <w:right w:val="none" w:sz="0" w:space="0" w:color="auto"/>
                          </w:divBdr>
                          <w:divsChild>
                            <w:div w:id="556402000">
                              <w:marLeft w:val="0"/>
                              <w:marRight w:val="0"/>
                              <w:marTop w:val="0"/>
                              <w:marBottom w:val="0"/>
                              <w:divBdr>
                                <w:top w:val="none" w:sz="0" w:space="0" w:color="auto"/>
                                <w:left w:val="none" w:sz="0" w:space="0" w:color="auto"/>
                                <w:bottom w:val="none" w:sz="0" w:space="0" w:color="auto"/>
                                <w:right w:val="none" w:sz="0" w:space="0" w:color="auto"/>
                              </w:divBdr>
                              <w:divsChild>
                                <w:div w:id="197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66104">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482845907">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568879365">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672292619">
      <w:bodyDiv w:val="1"/>
      <w:marLeft w:val="0"/>
      <w:marRight w:val="0"/>
      <w:marTop w:val="0"/>
      <w:marBottom w:val="0"/>
      <w:divBdr>
        <w:top w:val="none" w:sz="0" w:space="0" w:color="auto"/>
        <w:left w:val="none" w:sz="0" w:space="0" w:color="auto"/>
        <w:bottom w:val="none" w:sz="0" w:space="0" w:color="auto"/>
        <w:right w:val="none" w:sz="0" w:space="0" w:color="auto"/>
      </w:divBdr>
      <w:divsChild>
        <w:div w:id="2027750019">
          <w:marLeft w:val="0"/>
          <w:marRight w:val="0"/>
          <w:marTop w:val="0"/>
          <w:marBottom w:val="0"/>
          <w:divBdr>
            <w:top w:val="none" w:sz="0" w:space="0" w:color="auto"/>
            <w:left w:val="none" w:sz="0" w:space="0" w:color="auto"/>
            <w:bottom w:val="none" w:sz="0" w:space="0" w:color="auto"/>
            <w:right w:val="none" w:sz="0" w:space="0" w:color="auto"/>
          </w:divBdr>
          <w:divsChild>
            <w:div w:id="860170436">
              <w:marLeft w:val="0"/>
              <w:marRight w:val="0"/>
              <w:marTop w:val="0"/>
              <w:marBottom w:val="0"/>
              <w:divBdr>
                <w:top w:val="none" w:sz="0" w:space="0" w:color="auto"/>
                <w:left w:val="none" w:sz="0" w:space="0" w:color="auto"/>
                <w:bottom w:val="none" w:sz="0" w:space="0" w:color="auto"/>
                <w:right w:val="none" w:sz="0" w:space="0" w:color="auto"/>
              </w:divBdr>
              <w:divsChild>
                <w:div w:id="13116390">
                  <w:marLeft w:val="0"/>
                  <w:marRight w:val="0"/>
                  <w:marTop w:val="0"/>
                  <w:marBottom w:val="0"/>
                  <w:divBdr>
                    <w:top w:val="none" w:sz="0" w:space="0" w:color="auto"/>
                    <w:left w:val="none" w:sz="0" w:space="0" w:color="auto"/>
                    <w:bottom w:val="none" w:sz="0" w:space="0" w:color="auto"/>
                    <w:right w:val="none" w:sz="0" w:space="0" w:color="auto"/>
                  </w:divBdr>
                  <w:divsChild>
                    <w:div w:id="789276803">
                      <w:marLeft w:val="0"/>
                      <w:marRight w:val="0"/>
                      <w:marTop w:val="0"/>
                      <w:marBottom w:val="0"/>
                      <w:divBdr>
                        <w:top w:val="none" w:sz="0" w:space="0" w:color="auto"/>
                        <w:left w:val="none" w:sz="0" w:space="0" w:color="auto"/>
                        <w:bottom w:val="none" w:sz="0" w:space="0" w:color="auto"/>
                        <w:right w:val="none" w:sz="0" w:space="0" w:color="auto"/>
                      </w:divBdr>
                      <w:divsChild>
                        <w:div w:id="2059668545">
                          <w:marLeft w:val="0"/>
                          <w:marRight w:val="0"/>
                          <w:marTop w:val="0"/>
                          <w:marBottom w:val="0"/>
                          <w:divBdr>
                            <w:top w:val="none" w:sz="0" w:space="0" w:color="auto"/>
                            <w:left w:val="none" w:sz="0" w:space="0" w:color="auto"/>
                            <w:bottom w:val="none" w:sz="0" w:space="0" w:color="auto"/>
                            <w:right w:val="none" w:sz="0" w:space="0" w:color="auto"/>
                          </w:divBdr>
                          <w:divsChild>
                            <w:div w:id="1572932932">
                              <w:marLeft w:val="0"/>
                              <w:marRight w:val="0"/>
                              <w:marTop w:val="0"/>
                              <w:marBottom w:val="0"/>
                              <w:divBdr>
                                <w:top w:val="none" w:sz="0" w:space="0" w:color="auto"/>
                                <w:left w:val="none" w:sz="0" w:space="0" w:color="auto"/>
                                <w:bottom w:val="none" w:sz="0" w:space="0" w:color="auto"/>
                                <w:right w:val="none" w:sz="0" w:space="0" w:color="auto"/>
                              </w:divBdr>
                              <w:divsChild>
                                <w:div w:id="213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1295">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21078800">
      <w:bodyDiv w:val="1"/>
      <w:marLeft w:val="0"/>
      <w:marRight w:val="0"/>
      <w:marTop w:val="0"/>
      <w:marBottom w:val="0"/>
      <w:divBdr>
        <w:top w:val="none" w:sz="0" w:space="0" w:color="auto"/>
        <w:left w:val="none" w:sz="0" w:space="0" w:color="auto"/>
        <w:bottom w:val="none" w:sz="0" w:space="0" w:color="auto"/>
        <w:right w:val="none" w:sz="0" w:space="0" w:color="auto"/>
      </w:divBdr>
    </w:div>
    <w:div w:id="2063210351">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083091635">
      <w:bodyDiv w:val="1"/>
      <w:marLeft w:val="0"/>
      <w:marRight w:val="0"/>
      <w:marTop w:val="0"/>
      <w:marBottom w:val="0"/>
      <w:divBdr>
        <w:top w:val="none" w:sz="0" w:space="0" w:color="auto"/>
        <w:left w:val="none" w:sz="0" w:space="0" w:color="auto"/>
        <w:bottom w:val="none" w:sz="0" w:space="0" w:color="auto"/>
        <w:right w:val="none" w:sz="0" w:space="0" w:color="auto"/>
      </w:divBdr>
    </w:div>
    <w:div w:id="2093577181">
      <w:bodyDiv w:val="1"/>
      <w:marLeft w:val="0"/>
      <w:marRight w:val="0"/>
      <w:marTop w:val="0"/>
      <w:marBottom w:val="0"/>
      <w:divBdr>
        <w:top w:val="none" w:sz="0" w:space="0" w:color="auto"/>
        <w:left w:val="none" w:sz="0" w:space="0" w:color="auto"/>
        <w:bottom w:val="none" w:sz="0" w:space="0" w:color="auto"/>
        <w:right w:val="none" w:sz="0" w:space="0" w:color="auto"/>
      </w:divBdr>
    </w:div>
    <w:div w:id="2118015452">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81A5B-11AC-4D91-86AA-55E5EAE3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2220</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Bell CEO</dc:creator>
  <cp:lastModifiedBy>Smith Hannah (RNU) Oxford Health</cp:lastModifiedBy>
  <cp:revision>3</cp:revision>
  <cp:lastPrinted>2016-01-18T09:49:00Z</cp:lastPrinted>
  <dcterms:created xsi:type="dcterms:W3CDTF">2016-01-20T17:55:00Z</dcterms:created>
  <dcterms:modified xsi:type="dcterms:W3CDTF">2016-01-20T18:48:00Z</dcterms:modified>
</cp:coreProperties>
</file>