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5D" w:rsidRPr="002A74A9" w:rsidRDefault="00DF105D" w:rsidP="00DF105D">
      <w:pPr>
        <w:pStyle w:val="Default"/>
        <w:jc w:val="right"/>
        <w:rPr>
          <w:b/>
        </w:rPr>
      </w:pPr>
      <w:r w:rsidRPr="002A74A9">
        <w:rPr>
          <w:b/>
          <w:noProof/>
          <w:lang w:eastAsia="en-GB"/>
        </w:rPr>
        <w:drawing>
          <wp:inline distT="0" distB="0" distL="0" distR="0" wp14:anchorId="1A617E24" wp14:editId="2930E4C6">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DF105D" w:rsidRPr="002A74A9" w:rsidRDefault="00044355" w:rsidP="00DF105D">
      <w:pPr>
        <w:rPr>
          <w:rFonts w:ascii="Arial" w:hAnsi="Arial" w:cs="Arial"/>
          <w:b/>
        </w:rPr>
      </w:pPr>
      <w:r w:rsidRPr="002A74A9">
        <w:rPr>
          <w:b/>
          <w:noProof/>
        </w:rPr>
        <mc:AlternateContent>
          <mc:Choice Requires="wps">
            <w:drawing>
              <wp:anchor distT="0" distB="0" distL="114300" distR="114300" simplePos="0" relativeHeight="251659264" behindDoc="0" locked="0" layoutInCell="1" allowOverlap="1" wp14:anchorId="10A7FB60" wp14:editId="17635098">
                <wp:simplePos x="0" y="0"/>
                <wp:positionH relativeFrom="column">
                  <wp:posOffset>4114800</wp:posOffset>
                </wp:positionH>
                <wp:positionV relativeFrom="paragraph">
                  <wp:posOffset>128270</wp:posOffset>
                </wp:positionV>
                <wp:extent cx="1371600" cy="6477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7700"/>
                        </a:xfrm>
                        <a:prstGeom prst="rect">
                          <a:avLst/>
                        </a:prstGeom>
                        <a:solidFill>
                          <a:srgbClr val="FFFFFF"/>
                        </a:solidFill>
                        <a:ln w="9525">
                          <a:solidFill>
                            <a:srgbClr val="000000"/>
                          </a:solidFill>
                          <a:miter lim="800000"/>
                          <a:headEnd/>
                          <a:tailEnd/>
                        </a:ln>
                      </wps:spPr>
                      <wps:txbx>
                        <w:txbxContent>
                          <w:p w:rsidR="00DF105D" w:rsidRDefault="00044355" w:rsidP="00DF105D">
                            <w:pPr>
                              <w:jc w:val="center"/>
                              <w:rPr>
                                <w:rFonts w:ascii="Segoe UI" w:hAnsi="Segoe UI" w:cs="Segoe UI"/>
                              </w:rPr>
                            </w:pPr>
                            <w:r>
                              <w:rPr>
                                <w:b/>
                              </w:rPr>
                              <w:br/>
                            </w:r>
                            <w:r w:rsidR="00A17F69">
                              <w:rPr>
                                <w:rFonts w:ascii="Segoe UI" w:hAnsi="Segoe UI" w:cs="Segoe UI"/>
                                <w:b/>
                              </w:rPr>
                              <w:t>BOD 04/2016</w:t>
                            </w:r>
                          </w:p>
                          <w:p w:rsidR="00044355" w:rsidRPr="00044355" w:rsidRDefault="00044355" w:rsidP="00DF105D">
                            <w:pPr>
                              <w:jc w:val="center"/>
                              <w:rPr>
                                <w:rFonts w:ascii="Segoe UI" w:hAnsi="Segoe UI" w:cs="Segoe UI"/>
                                <w:sz w:val="22"/>
                                <w:szCs w:val="22"/>
                              </w:rPr>
                            </w:pPr>
                            <w:r>
                              <w:rPr>
                                <w:rFonts w:ascii="Segoe UI" w:hAnsi="Segoe UI" w:cs="Segoe UI"/>
                                <w:sz w:val="22"/>
                                <w:szCs w:val="22"/>
                              </w:rPr>
                              <w:t>(Agenda item: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10.1pt;width:10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">
                <v:textbox inset="0,0,0,0">
                  <w:txbxContent>
                    <w:p w:rsidR="00DF105D" w:rsidRDefault="00044355" w:rsidP="00DF105D">
                      <w:pPr>
                        <w:jc w:val="center"/>
                        <w:rPr>
                          <w:rFonts w:ascii="Segoe UI" w:hAnsi="Segoe UI" w:cs="Segoe UI"/>
                        </w:rPr>
                      </w:pPr>
                      <w:r>
                        <w:rPr>
                          <w:b/>
                        </w:rPr>
                        <w:br/>
                      </w:r>
                      <w:r w:rsidR="00A17F69">
                        <w:rPr>
                          <w:rFonts w:ascii="Segoe UI" w:hAnsi="Segoe UI" w:cs="Segoe UI"/>
                          <w:b/>
                        </w:rPr>
                        <w:t>BOD 04/2016</w:t>
                      </w:r>
                    </w:p>
                    <w:p w:rsidR="00044355" w:rsidRPr="00044355" w:rsidRDefault="00044355" w:rsidP="00DF105D">
                      <w:pPr>
                        <w:jc w:val="center"/>
                        <w:rPr>
                          <w:rFonts w:ascii="Segoe UI" w:hAnsi="Segoe UI" w:cs="Segoe UI"/>
                          <w:sz w:val="22"/>
                          <w:szCs w:val="22"/>
                        </w:rPr>
                      </w:pPr>
                      <w:r>
                        <w:rPr>
                          <w:rFonts w:ascii="Segoe UI" w:hAnsi="Segoe UI" w:cs="Segoe UI"/>
                          <w:sz w:val="22"/>
                          <w:szCs w:val="22"/>
                        </w:rPr>
                        <w:t>(Agenda item: 7)</w:t>
                      </w:r>
                    </w:p>
                  </w:txbxContent>
                </v:textbox>
              </v:rect>
            </w:pict>
          </mc:Fallback>
        </mc:AlternateContent>
      </w:r>
    </w:p>
    <w:p w:rsidR="00DF105D" w:rsidRPr="002A74A9" w:rsidRDefault="00DF105D" w:rsidP="00DF105D">
      <w:pPr>
        <w:pStyle w:val="Heading1"/>
        <w:rPr>
          <w:rFonts w:cs="Arial"/>
          <w:sz w:val="24"/>
          <w:szCs w:val="24"/>
        </w:rPr>
      </w:pPr>
    </w:p>
    <w:p w:rsidR="00DF105D" w:rsidRPr="002A74A9" w:rsidRDefault="00DF105D" w:rsidP="00DF105D">
      <w:pPr>
        <w:pStyle w:val="Heading1"/>
        <w:jc w:val="center"/>
        <w:rPr>
          <w:rFonts w:cs="Arial"/>
          <w:sz w:val="24"/>
          <w:szCs w:val="24"/>
          <w:u w:val="none"/>
        </w:rPr>
      </w:pPr>
    </w:p>
    <w:p w:rsidR="00152826" w:rsidRPr="002A74A9" w:rsidRDefault="00152826" w:rsidP="00DF105D">
      <w:pPr>
        <w:pStyle w:val="Heading1"/>
        <w:jc w:val="center"/>
        <w:rPr>
          <w:rFonts w:cs="Arial"/>
          <w:sz w:val="24"/>
          <w:szCs w:val="24"/>
          <w:u w:val="none"/>
        </w:rPr>
      </w:pPr>
    </w:p>
    <w:p w:rsidR="00152826" w:rsidRPr="002A74A9" w:rsidRDefault="00152826" w:rsidP="00DF105D">
      <w:pPr>
        <w:pStyle w:val="Heading1"/>
        <w:jc w:val="center"/>
        <w:rPr>
          <w:rFonts w:cs="Arial"/>
          <w:sz w:val="24"/>
          <w:szCs w:val="24"/>
          <w:u w:val="none"/>
        </w:rPr>
      </w:pPr>
    </w:p>
    <w:p w:rsidR="00DF105D" w:rsidRPr="002A74A9" w:rsidRDefault="00DF105D" w:rsidP="00DF105D">
      <w:pPr>
        <w:pStyle w:val="Heading1"/>
        <w:jc w:val="center"/>
        <w:rPr>
          <w:rFonts w:cs="Arial"/>
          <w:sz w:val="24"/>
          <w:szCs w:val="24"/>
          <w:u w:val="none"/>
        </w:rPr>
      </w:pPr>
      <w:r w:rsidRPr="002A74A9">
        <w:rPr>
          <w:rFonts w:cs="Arial"/>
          <w:sz w:val="24"/>
          <w:szCs w:val="24"/>
          <w:u w:val="none"/>
        </w:rPr>
        <w:t xml:space="preserve">Report to the Meeting of the </w:t>
      </w:r>
    </w:p>
    <w:p w:rsidR="00DF105D" w:rsidRPr="002A74A9" w:rsidRDefault="00DF105D" w:rsidP="00DF105D">
      <w:pPr>
        <w:pStyle w:val="Heading1"/>
        <w:jc w:val="center"/>
        <w:rPr>
          <w:rFonts w:cs="Arial"/>
          <w:sz w:val="24"/>
          <w:szCs w:val="24"/>
          <w:u w:val="none"/>
        </w:rPr>
      </w:pPr>
      <w:r w:rsidRPr="002A74A9">
        <w:rPr>
          <w:rFonts w:cs="Arial"/>
          <w:sz w:val="24"/>
          <w:szCs w:val="24"/>
          <w:u w:val="none"/>
        </w:rPr>
        <w:t xml:space="preserve">Oxford Health NHS Foundation Trust </w:t>
      </w:r>
    </w:p>
    <w:p w:rsidR="00DF105D" w:rsidRPr="002A74A9" w:rsidRDefault="00DF105D" w:rsidP="00DF105D">
      <w:pPr>
        <w:pStyle w:val="Heading1"/>
        <w:jc w:val="center"/>
        <w:rPr>
          <w:rFonts w:cs="Arial"/>
          <w:sz w:val="24"/>
          <w:szCs w:val="24"/>
          <w:u w:val="none"/>
        </w:rPr>
      </w:pPr>
      <w:r w:rsidRPr="002A74A9">
        <w:rPr>
          <w:rFonts w:cs="Arial"/>
          <w:sz w:val="24"/>
          <w:szCs w:val="24"/>
          <w:u w:val="none"/>
        </w:rPr>
        <w:t>Board of Directors</w:t>
      </w:r>
    </w:p>
    <w:p w:rsidR="00DF105D" w:rsidRPr="002A74A9" w:rsidRDefault="00DF105D" w:rsidP="00DF105D">
      <w:pPr>
        <w:rPr>
          <w:rFonts w:ascii="Arial" w:hAnsi="Arial" w:cs="Arial"/>
          <w:b/>
        </w:rPr>
      </w:pPr>
    </w:p>
    <w:p w:rsidR="00DF105D" w:rsidRPr="002A74A9" w:rsidRDefault="00DF105D" w:rsidP="00DF105D">
      <w:pPr>
        <w:jc w:val="center"/>
        <w:rPr>
          <w:rFonts w:ascii="Arial" w:hAnsi="Arial" w:cs="Arial"/>
          <w:b/>
        </w:rPr>
      </w:pPr>
      <w:r w:rsidRPr="002A74A9">
        <w:rPr>
          <w:rFonts w:ascii="Arial" w:hAnsi="Arial" w:cs="Arial"/>
          <w:b/>
        </w:rPr>
        <w:t>27 January 2016</w:t>
      </w:r>
    </w:p>
    <w:p w:rsidR="00DF105D" w:rsidRPr="002A74A9" w:rsidRDefault="00DF105D" w:rsidP="00DF105D">
      <w:pPr>
        <w:jc w:val="center"/>
        <w:rPr>
          <w:rFonts w:ascii="Arial" w:hAnsi="Arial" w:cs="Arial"/>
          <w:b/>
        </w:rPr>
      </w:pPr>
    </w:p>
    <w:p w:rsidR="00DF105D" w:rsidRPr="002A74A9" w:rsidRDefault="008116CC" w:rsidP="00DF105D">
      <w:pPr>
        <w:jc w:val="center"/>
        <w:rPr>
          <w:rFonts w:ascii="Arial" w:hAnsi="Arial" w:cs="Arial"/>
          <w:b/>
        </w:rPr>
      </w:pPr>
      <w:r w:rsidRPr="002A74A9">
        <w:rPr>
          <w:rFonts w:ascii="Arial" w:hAnsi="Arial" w:cs="Arial"/>
          <w:b/>
        </w:rPr>
        <w:t>CQC Comprehensive Inspection</w:t>
      </w:r>
      <w:r w:rsidR="006037D3">
        <w:rPr>
          <w:rFonts w:ascii="Arial" w:hAnsi="Arial" w:cs="Arial"/>
          <w:b/>
        </w:rPr>
        <w:t xml:space="preserve"> Report</w:t>
      </w:r>
    </w:p>
    <w:p w:rsidR="00DF105D" w:rsidRPr="002A74A9" w:rsidRDefault="00DF105D" w:rsidP="00DF105D">
      <w:pPr>
        <w:rPr>
          <w:rFonts w:ascii="Arial" w:hAnsi="Arial" w:cs="Arial"/>
          <w:b/>
        </w:rPr>
      </w:pPr>
      <w:bookmarkStart w:id="0" w:name="_GoBack"/>
      <w:bookmarkEnd w:id="0"/>
    </w:p>
    <w:p w:rsidR="00DF105D" w:rsidRPr="002A74A9" w:rsidRDefault="00DF105D" w:rsidP="00DF105D">
      <w:pPr>
        <w:rPr>
          <w:rFonts w:ascii="Arial" w:hAnsi="Arial" w:cs="Arial"/>
          <w:b/>
          <w:u w:val="single"/>
        </w:rPr>
      </w:pPr>
      <w:r w:rsidRPr="002A74A9">
        <w:rPr>
          <w:rFonts w:ascii="Arial" w:hAnsi="Arial" w:cs="Arial"/>
          <w:b/>
          <w:u w:val="single"/>
        </w:rPr>
        <w:t>For Information</w:t>
      </w:r>
    </w:p>
    <w:p w:rsidR="00DF105D" w:rsidRPr="002A74A9" w:rsidRDefault="00DF105D" w:rsidP="00DF105D">
      <w:pPr>
        <w:rPr>
          <w:rFonts w:ascii="Arial" w:hAnsi="Arial" w:cs="Arial"/>
          <w:b/>
        </w:rPr>
      </w:pPr>
    </w:p>
    <w:p w:rsidR="00DF105D" w:rsidRPr="002A74A9" w:rsidRDefault="00DF105D" w:rsidP="00DF105D">
      <w:pPr>
        <w:jc w:val="both"/>
        <w:rPr>
          <w:rFonts w:ascii="Arial" w:hAnsi="Arial" w:cs="Arial"/>
          <w:b/>
        </w:rPr>
      </w:pPr>
      <w:r w:rsidRPr="002A74A9">
        <w:rPr>
          <w:rFonts w:ascii="Arial" w:hAnsi="Arial" w:cs="Arial"/>
          <w:b/>
        </w:rPr>
        <w:t>Executive Summary</w:t>
      </w:r>
    </w:p>
    <w:p w:rsidR="008116CC" w:rsidRPr="002A74A9" w:rsidRDefault="008116CC" w:rsidP="00DF105D">
      <w:pPr>
        <w:jc w:val="both"/>
        <w:rPr>
          <w:rFonts w:ascii="Arial" w:hAnsi="Arial" w:cs="Arial"/>
          <w:b/>
        </w:rPr>
      </w:pPr>
    </w:p>
    <w:p w:rsidR="008116CC" w:rsidRPr="002A74A9" w:rsidRDefault="006037D3" w:rsidP="00DF105D">
      <w:pPr>
        <w:jc w:val="both"/>
        <w:rPr>
          <w:rFonts w:ascii="Arial" w:hAnsi="Arial" w:cs="Arial"/>
        </w:rPr>
      </w:pPr>
      <w:r>
        <w:rPr>
          <w:rFonts w:ascii="Arial" w:hAnsi="Arial" w:cs="Arial"/>
        </w:rPr>
        <w:t xml:space="preserve">The comprehensive inspection report for </w:t>
      </w:r>
      <w:r w:rsidR="008116CC" w:rsidRPr="002A74A9">
        <w:rPr>
          <w:rFonts w:ascii="Arial" w:hAnsi="Arial" w:cs="Arial"/>
        </w:rPr>
        <w:t>OHFT</w:t>
      </w:r>
      <w:r>
        <w:rPr>
          <w:rFonts w:ascii="Arial" w:hAnsi="Arial" w:cs="Arial"/>
        </w:rPr>
        <w:t xml:space="preserve"> was published</w:t>
      </w:r>
      <w:r w:rsidR="008116CC" w:rsidRPr="002A74A9">
        <w:rPr>
          <w:rFonts w:ascii="Arial" w:hAnsi="Arial" w:cs="Arial"/>
        </w:rPr>
        <w:t xml:space="preserve"> on 15</w:t>
      </w:r>
      <w:r w:rsidR="008116CC" w:rsidRPr="002A74A9">
        <w:rPr>
          <w:rFonts w:ascii="Arial" w:hAnsi="Arial" w:cs="Arial"/>
          <w:vertAlign w:val="superscript"/>
        </w:rPr>
        <w:t>th</w:t>
      </w:r>
      <w:r w:rsidR="009409CC" w:rsidRPr="002A74A9">
        <w:rPr>
          <w:rFonts w:ascii="Arial" w:hAnsi="Arial" w:cs="Arial"/>
        </w:rPr>
        <w:t xml:space="preserve"> January 2016.</w:t>
      </w:r>
      <w:r w:rsidR="008116CC" w:rsidRPr="002A74A9">
        <w:rPr>
          <w:rFonts w:ascii="Arial" w:hAnsi="Arial" w:cs="Arial"/>
        </w:rPr>
        <w:t xml:space="preserve"> </w:t>
      </w:r>
    </w:p>
    <w:p w:rsidR="008116CC" w:rsidRPr="002A74A9" w:rsidRDefault="008116CC" w:rsidP="00DF105D">
      <w:pPr>
        <w:jc w:val="both"/>
        <w:rPr>
          <w:rFonts w:ascii="Arial" w:hAnsi="Arial" w:cs="Arial"/>
        </w:rPr>
      </w:pPr>
    </w:p>
    <w:p w:rsidR="00B76E73" w:rsidRPr="002A74A9" w:rsidRDefault="006037D3" w:rsidP="00DF105D">
      <w:pPr>
        <w:jc w:val="both"/>
        <w:rPr>
          <w:rFonts w:ascii="Arial" w:hAnsi="Arial" w:cs="Arial"/>
        </w:rPr>
      </w:pPr>
      <w:r>
        <w:rPr>
          <w:rFonts w:ascii="Arial" w:hAnsi="Arial" w:cs="Arial"/>
        </w:rPr>
        <w:t>The CQC rated three</w:t>
      </w:r>
      <w:r w:rsidR="00B76E73" w:rsidRPr="002A74A9">
        <w:rPr>
          <w:rFonts w:ascii="Arial" w:hAnsi="Arial" w:cs="Arial"/>
        </w:rPr>
        <w:t xml:space="preserve"> out of the five quality </w:t>
      </w:r>
      <w:r w:rsidR="002A74A9" w:rsidRPr="002A74A9">
        <w:rPr>
          <w:rFonts w:ascii="Arial" w:hAnsi="Arial" w:cs="Arial"/>
        </w:rPr>
        <w:t>domains</w:t>
      </w:r>
      <w:r w:rsidR="00B76E73" w:rsidRPr="002A74A9">
        <w:rPr>
          <w:rFonts w:ascii="Arial" w:hAnsi="Arial" w:cs="Arial"/>
        </w:rPr>
        <w:t xml:space="preserve"> – </w:t>
      </w:r>
      <w:r w:rsidR="00B76E73" w:rsidRPr="002A74A9">
        <w:rPr>
          <w:rFonts w:ascii="Arial" w:hAnsi="Arial" w:cs="Arial"/>
          <w:i/>
        </w:rPr>
        <w:t>caring , responsive and well led as ‘</w:t>
      </w:r>
      <w:r w:rsidR="00E269CB" w:rsidRPr="002A74A9">
        <w:rPr>
          <w:rFonts w:ascii="Arial" w:hAnsi="Arial" w:cs="Arial"/>
        </w:rPr>
        <w:t>good</w:t>
      </w:r>
      <w:r w:rsidR="00B76E73" w:rsidRPr="002A74A9">
        <w:rPr>
          <w:rFonts w:ascii="Arial" w:hAnsi="Arial" w:cs="Arial"/>
          <w:i/>
        </w:rPr>
        <w:t xml:space="preserve">’, </w:t>
      </w:r>
      <w:r w:rsidR="00B76E73" w:rsidRPr="002A74A9">
        <w:rPr>
          <w:rFonts w:ascii="Arial" w:hAnsi="Arial" w:cs="Arial"/>
        </w:rPr>
        <w:t xml:space="preserve">in the remaining two </w:t>
      </w:r>
      <w:r w:rsidR="00B76E73" w:rsidRPr="002A74A9">
        <w:rPr>
          <w:rFonts w:ascii="Arial" w:hAnsi="Arial" w:cs="Arial"/>
          <w:i/>
        </w:rPr>
        <w:t xml:space="preserve">safety and effective </w:t>
      </w:r>
      <w:r w:rsidR="00B76E73" w:rsidRPr="002A74A9">
        <w:rPr>
          <w:rFonts w:ascii="Arial" w:hAnsi="Arial" w:cs="Arial"/>
        </w:rPr>
        <w:t xml:space="preserve">were rated as ‘requires </w:t>
      </w:r>
      <w:r w:rsidR="00FD671B">
        <w:rPr>
          <w:rFonts w:ascii="Arial" w:hAnsi="Arial" w:cs="Arial"/>
        </w:rPr>
        <w:t xml:space="preserve">improvement’. </w:t>
      </w:r>
      <w:r w:rsidR="00B76E73" w:rsidRPr="002A74A9">
        <w:rPr>
          <w:rFonts w:ascii="Arial" w:hAnsi="Arial" w:cs="Arial"/>
        </w:rPr>
        <w:t>This gives an overall rating of ‘Requires Improvement’.</w:t>
      </w:r>
    </w:p>
    <w:p w:rsidR="00B76E73" w:rsidRPr="002A74A9" w:rsidRDefault="00B76E73" w:rsidP="00DF105D">
      <w:pPr>
        <w:jc w:val="both"/>
        <w:rPr>
          <w:rFonts w:ascii="Arial" w:hAnsi="Arial" w:cs="Arial"/>
        </w:rPr>
      </w:pPr>
    </w:p>
    <w:p w:rsidR="00B76E73" w:rsidRPr="002A74A9" w:rsidRDefault="009409CC" w:rsidP="00DF105D">
      <w:pPr>
        <w:jc w:val="both"/>
        <w:rPr>
          <w:rFonts w:ascii="Arial" w:hAnsi="Arial" w:cs="Arial"/>
        </w:rPr>
      </w:pPr>
      <w:r w:rsidRPr="002A74A9">
        <w:rPr>
          <w:rFonts w:ascii="Arial" w:hAnsi="Arial" w:cs="Arial"/>
        </w:rPr>
        <w:t xml:space="preserve">We are delighted </w:t>
      </w:r>
      <w:r w:rsidR="00FD671B">
        <w:rPr>
          <w:rFonts w:ascii="Arial" w:hAnsi="Arial" w:cs="Arial"/>
        </w:rPr>
        <w:t>that o</w:t>
      </w:r>
      <w:r w:rsidR="00B76E73" w:rsidRPr="002A74A9">
        <w:rPr>
          <w:rFonts w:ascii="Arial" w:hAnsi="Arial" w:cs="Arial"/>
        </w:rPr>
        <w:t>ur children</w:t>
      </w:r>
      <w:r w:rsidRPr="002A74A9">
        <w:rPr>
          <w:rFonts w:ascii="Arial" w:hAnsi="Arial" w:cs="Arial"/>
        </w:rPr>
        <w:t>’</w:t>
      </w:r>
      <w:r w:rsidR="00B76E73" w:rsidRPr="002A74A9">
        <w:rPr>
          <w:rFonts w:ascii="Arial" w:hAnsi="Arial" w:cs="Arial"/>
        </w:rPr>
        <w:t>s community services which include health visiting, school nursing and children</w:t>
      </w:r>
      <w:r w:rsidRPr="002A74A9">
        <w:rPr>
          <w:rFonts w:ascii="Arial" w:hAnsi="Arial" w:cs="Arial"/>
        </w:rPr>
        <w:t>’</w:t>
      </w:r>
      <w:r w:rsidR="00B76E73" w:rsidRPr="002A74A9">
        <w:rPr>
          <w:rFonts w:ascii="Arial" w:hAnsi="Arial" w:cs="Arial"/>
        </w:rPr>
        <w:t>s community nursing were rated ‘outstanding’</w:t>
      </w:r>
      <w:r w:rsidR="006037D3">
        <w:rPr>
          <w:rFonts w:ascii="Arial" w:hAnsi="Arial" w:cs="Arial"/>
        </w:rPr>
        <w:t>.</w:t>
      </w:r>
    </w:p>
    <w:p w:rsidR="008116CC" w:rsidRPr="002A74A9" w:rsidRDefault="00B76E73" w:rsidP="00DF105D">
      <w:pPr>
        <w:jc w:val="both"/>
        <w:rPr>
          <w:rFonts w:ascii="Arial" w:hAnsi="Arial" w:cs="Arial"/>
        </w:rPr>
      </w:pPr>
      <w:r w:rsidRPr="002A74A9">
        <w:rPr>
          <w:rFonts w:ascii="Arial" w:hAnsi="Arial" w:cs="Arial"/>
        </w:rPr>
        <w:t>Te</w:t>
      </w:r>
      <w:r w:rsidR="008116CC" w:rsidRPr="002A74A9">
        <w:rPr>
          <w:rFonts w:ascii="Arial" w:hAnsi="Arial" w:cs="Arial"/>
        </w:rPr>
        <w:t>n core services</w:t>
      </w:r>
      <w:r w:rsidR="006037D3">
        <w:rPr>
          <w:rFonts w:ascii="Arial" w:hAnsi="Arial" w:cs="Arial"/>
        </w:rPr>
        <w:t xml:space="preserve"> were rated</w:t>
      </w:r>
      <w:r w:rsidR="008116CC" w:rsidRPr="002A74A9">
        <w:rPr>
          <w:rFonts w:ascii="Arial" w:hAnsi="Arial" w:cs="Arial"/>
        </w:rPr>
        <w:t xml:space="preserve"> a</w:t>
      </w:r>
      <w:r w:rsidRPr="002A74A9">
        <w:rPr>
          <w:rFonts w:ascii="Arial" w:hAnsi="Arial" w:cs="Arial"/>
        </w:rPr>
        <w:t>s Good</w:t>
      </w:r>
      <w:r w:rsidR="00E66451" w:rsidRPr="002A74A9">
        <w:rPr>
          <w:rFonts w:ascii="Arial" w:hAnsi="Arial" w:cs="Arial"/>
        </w:rPr>
        <w:t>, whilst</w:t>
      </w:r>
      <w:r w:rsidR="008116CC" w:rsidRPr="002A74A9">
        <w:rPr>
          <w:rFonts w:ascii="Arial" w:hAnsi="Arial" w:cs="Arial"/>
        </w:rPr>
        <w:t xml:space="preserve"> four core se</w:t>
      </w:r>
      <w:r w:rsidR="00E66451" w:rsidRPr="002A74A9">
        <w:rPr>
          <w:rFonts w:ascii="Arial" w:hAnsi="Arial" w:cs="Arial"/>
        </w:rPr>
        <w:t xml:space="preserve">rvices were rated as </w:t>
      </w:r>
      <w:r w:rsidR="006037D3">
        <w:rPr>
          <w:rFonts w:ascii="Arial" w:hAnsi="Arial" w:cs="Arial"/>
        </w:rPr>
        <w:t>‘</w:t>
      </w:r>
      <w:r w:rsidR="00E66451" w:rsidRPr="002A74A9">
        <w:rPr>
          <w:rFonts w:ascii="Arial" w:hAnsi="Arial" w:cs="Arial"/>
        </w:rPr>
        <w:t>requires</w:t>
      </w:r>
      <w:r w:rsidR="006037D3">
        <w:rPr>
          <w:rFonts w:ascii="Arial" w:hAnsi="Arial" w:cs="Arial"/>
        </w:rPr>
        <w:t xml:space="preserve"> i</w:t>
      </w:r>
      <w:r w:rsidR="008116CC" w:rsidRPr="002A74A9">
        <w:rPr>
          <w:rFonts w:ascii="Arial" w:hAnsi="Arial" w:cs="Arial"/>
        </w:rPr>
        <w:t>mprovement</w:t>
      </w:r>
      <w:r w:rsidR="006037D3">
        <w:rPr>
          <w:rFonts w:ascii="Arial" w:hAnsi="Arial" w:cs="Arial"/>
        </w:rPr>
        <w:t>’</w:t>
      </w:r>
      <w:r w:rsidRPr="002A74A9">
        <w:rPr>
          <w:rFonts w:ascii="Arial" w:hAnsi="Arial" w:cs="Arial"/>
        </w:rPr>
        <w:t xml:space="preserve"> including adult ac</w:t>
      </w:r>
      <w:r w:rsidR="008116CC" w:rsidRPr="002A74A9">
        <w:rPr>
          <w:rFonts w:ascii="Arial" w:hAnsi="Arial" w:cs="Arial"/>
        </w:rPr>
        <w:t>ute inpatient wards</w:t>
      </w:r>
      <w:r w:rsidR="009409CC" w:rsidRPr="002A74A9">
        <w:rPr>
          <w:rFonts w:ascii="Arial" w:hAnsi="Arial" w:cs="Arial"/>
        </w:rPr>
        <w:t>,</w:t>
      </w:r>
      <w:r w:rsidR="008116CC" w:rsidRPr="002A74A9">
        <w:rPr>
          <w:rFonts w:ascii="Arial" w:hAnsi="Arial" w:cs="Arial"/>
        </w:rPr>
        <w:t xml:space="preserve"> our one rehabilitation ward, community mental health teams for adults and community inpatient</w:t>
      </w:r>
      <w:r w:rsidRPr="002A74A9">
        <w:rPr>
          <w:rFonts w:ascii="Arial" w:hAnsi="Arial" w:cs="Arial"/>
        </w:rPr>
        <w:t xml:space="preserve">s services </w:t>
      </w:r>
      <w:r w:rsidR="006037D3">
        <w:rPr>
          <w:rFonts w:ascii="Arial" w:hAnsi="Arial" w:cs="Arial"/>
        </w:rPr>
        <w:t xml:space="preserve">for adults </w:t>
      </w:r>
      <w:r w:rsidRPr="002A74A9">
        <w:rPr>
          <w:rFonts w:ascii="Arial" w:hAnsi="Arial" w:cs="Arial"/>
        </w:rPr>
        <w:t>(</w:t>
      </w:r>
      <w:r w:rsidR="00E66451" w:rsidRPr="002A74A9">
        <w:rPr>
          <w:rFonts w:ascii="Arial" w:hAnsi="Arial" w:cs="Arial"/>
        </w:rPr>
        <w:t>community hospital wards</w:t>
      </w:r>
      <w:r w:rsidR="008116CC" w:rsidRPr="002A74A9">
        <w:rPr>
          <w:rFonts w:ascii="Arial" w:hAnsi="Arial" w:cs="Arial"/>
        </w:rPr>
        <w:t>)</w:t>
      </w:r>
      <w:r w:rsidRPr="002A74A9">
        <w:rPr>
          <w:rFonts w:ascii="Arial" w:hAnsi="Arial" w:cs="Arial"/>
        </w:rPr>
        <w:t>.</w:t>
      </w:r>
    </w:p>
    <w:p w:rsidR="00B76E73" w:rsidRPr="002A74A9" w:rsidRDefault="00B76E73" w:rsidP="00DF105D">
      <w:pPr>
        <w:jc w:val="both"/>
        <w:rPr>
          <w:rFonts w:ascii="Arial" w:hAnsi="Arial" w:cs="Arial"/>
        </w:rPr>
      </w:pPr>
    </w:p>
    <w:p w:rsidR="00E269CB" w:rsidRPr="002A74A9" w:rsidRDefault="00E269CB" w:rsidP="00DF105D">
      <w:pPr>
        <w:jc w:val="both"/>
        <w:rPr>
          <w:rFonts w:ascii="Arial" w:hAnsi="Arial" w:cs="Arial"/>
        </w:rPr>
      </w:pPr>
      <w:r w:rsidRPr="002A74A9">
        <w:rPr>
          <w:rFonts w:ascii="Arial" w:hAnsi="Arial" w:cs="Arial"/>
        </w:rPr>
        <w:t>T</w:t>
      </w:r>
      <w:r w:rsidR="009409CC" w:rsidRPr="002A74A9">
        <w:rPr>
          <w:rFonts w:ascii="Arial" w:hAnsi="Arial" w:cs="Arial"/>
        </w:rPr>
        <w:t xml:space="preserve">he CQC found </w:t>
      </w:r>
      <w:r w:rsidR="00FD671B">
        <w:rPr>
          <w:rFonts w:ascii="Arial" w:hAnsi="Arial" w:cs="Arial"/>
        </w:rPr>
        <w:t xml:space="preserve">that </w:t>
      </w:r>
      <w:proofErr w:type="gramStart"/>
      <w:r w:rsidR="009409CC" w:rsidRPr="002A74A9">
        <w:rPr>
          <w:rFonts w:ascii="Arial" w:hAnsi="Arial" w:cs="Arial"/>
        </w:rPr>
        <w:t xml:space="preserve">staff </w:t>
      </w:r>
      <w:r w:rsidRPr="002A74A9">
        <w:rPr>
          <w:rFonts w:ascii="Arial" w:hAnsi="Arial" w:cs="Arial"/>
        </w:rPr>
        <w:t>were</w:t>
      </w:r>
      <w:proofErr w:type="gramEnd"/>
      <w:r w:rsidRPr="002A74A9">
        <w:rPr>
          <w:rFonts w:ascii="Arial" w:hAnsi="Arial" w:cs="Arial"/>
        </w:rPr>
        <w:t xml:space="preserve"> caring, compassionate and treated people with dignity and respect, and although the Trust has 11 good/outstanding services, </w:t>
      </w:r>
      <w:r w:rsidR="006037D3">
        <w:rPr>
          <w:rFonts w:ascii="Arial" w:hAnsi="Arial" w:cs="Arial"/>
        </w:rPr>
        <w:t xml:space="preserve">they found </w:t>
      </w:r>
      <w:r w:rsidRPr="002A74A9">
        <w:rPr>
          <w:rFonts w:ascii="Arial" w:hAnsi="Arial" w:cs="Arial"/>
        </w:rPr>
        <w:t>improvements were needed for services to be consistently safe and effective.</w:t>
      </w:r>
    </w:p>
    <w:p w:rsidR="00E269CB" w:rsidRPr="002A74A9" w:rsidRDefault="00E269CB" w:rsidP="00DF105D">
      <w:pPr>
        <w:jc w:val="both"/>
        <w:rPr>
          <w:rFonts w:ascii="Arial" w:hAnsi="Arial" w:cs="Arial"/>
        </w:rPr>
      </w:pPr>
    </w:p>
    <w:p w:rsidR="00E269CB" w:rsidRDefault="00E269CB" w:rsidP="00DF105D">
      <w:pPr>
        <w:jc w:val="both"/>
        <w:rPr>
          <w:rFonts w:ascii="Arial" w:hAnsi="Arial" w:cs="Arial"/>
        </w:rPr>
      </w:pPr>
      <w:r w:rsidRPr="002A74A9">
        <w:rPr>
          <w:rFonts w:ascii="Arial" w:hAnsi="Arial" w:cs="Arial"/>
        </w:rPr>
        <w:t>The journey of improvement in all our services has been considerable</w:t>
      </w:r>
      <w:r w:rsidR="009409CC" w:rsidRPr="002A74A9">
        <w:rPr>
          <w:rFonts w:ascii="Arial" w:hAnsi="Arial" w:cs="Arial"/>
        </w:rPr>
        <w:t>;</w:t>
      </w:r>
      <w:r w:rsidRPr="002A74A9">
        <w:rPr>
          <w:rFonts w:ascii="Arial" w:hAnsi="Arial" w:cs="Arial"/>
        </w:rPr>
        <w:t xml:space="preserve"> before</w:t>
      </w:r>
      <w:r w:rsidR="009409CC" w:rsidRPr="002A74A9">
        <w:rPr>
          <w:rFonts w:ascii="Arial" w:hAnsi="Arial" w:cs="Arial"/>
        </w:rPr>
        <w:t>,</w:t>
      </w:r>
      <w:r w:rsidRPr="002A74A9">
        <w:rPr>
          <w:rFonts w:ascii="Arial" w:hAnsi="Arial" w:cs="Arial"/>
        </w:rPr>
        <w:t xml:space="preserve"> during and after the CQC inspection. The inspection confirmed many areas which we had already identified and a small </w:t>
      </w:r>
      <w:r w:rsidR="009409CC" w:rsidRPr="002A74A9">
        <w:rPr>
          <w:rFonts w:ascii="Arial" w:hAnsi="Arial" w:cs="Arial"/>
        </w:rPr>
        <w:t>number</w:t>
      </w:r>
      <w:r w:rsidRPr="002A74A9">
        <w:rPr>
          <w:rFonts w:ascii="Arial" w:hAnsi="Arial" w:cs="Arial"/>
        </w:rPr>
        <w:t xml:space="preserve"> of addi</w:t>
      </w:r>
      <w:r w:rsidR="009409CC" w:rsidRPr="002A74A9">
        <w:rPr>
          <w:rFonts w:ascii="Arial" w:hAnsi="Arial" w:cs="Arial"/>
        </w:rPr>
        <w:t>tional areas to improve upon. We</w:t>
      </w:r>
      <w:r w:rsidRPr="002A74A9">
        <w:rPr>
          <w:rFonts w:ascii="Arial" w:hAnsi="Arial" w:cs="Arial"/>
        </w:rPr>
        <w:t xml:space="preserve"> will continue throug</w:t>
      </w:r>
      <w:r w:rsidR="00780369">
        <w:rPr>
          <w:rFonts w:ascii="Arial" w:hAnsi="Arial" w:cs="Arial"/>
        </w:rPr>
        <w:t xml:space="preserve">h our plans and oversight </w:t>
      </w:r>
      <w:r w:rsidR="009409CC" w:rsidRPr="002A74A9">
        <w:rPr>
          <w:rFonts w:ascii="Arial" w:hAnsi="Arial" w:cs="Arial"/>
        </w:rPr>
        <w:t>to mak</w:t>
      </w:r>
      <w:r w:rsidRPr="002A74A9">
        <w:rPr>
          <w:rFonts w:ascii="Arial" w:hAnsi="Arial" w:cs="Arial"/>
        </w:rPr>
        <w:t xml:space="preserve">e sufficient improvements </w:t>
      </w:r>
      <w:r w:rsidR="009409CC" w:rsidRPr="002A74A9">
        <w:rPr>
          <w:rFonts w:ascii="Arial" w:hAnsi="Arial" w:cs="Arial"/>
        </w:rPr>
        <w:t>aiming</w:t>
      </w:r>
      <w:r w:rsidRPr="002A74A9">
        <w:rPr>
          <w:rFonts w:ascii="Arial" w:hAnsi="Arial" w:cs="Arial"/>
        </w:rPr>
        <w:t xml:space="preserve"> for all our core services to ach</w:t>
      </w:r>
      <w:r w:rsidR="00FD671B">
        <w:rPr>
          <w:rFonts w:ascii="Arial" w:hAnsi="Arial" w:cs="Arial"/>
        </w:rPr>
        <w:t>ieve a good/ outstanding rating</w:t>
      </w:r>
      <w:r w:rsidR="009409CC" w:rsidRPr="002A74A9">
        <w:rPr>
          <w:rFonts w:ascii="Arial" w:hAnsi="Arial" w:cs="Arial"/>
        </w:rPr>
        <w:t xml:space="preserve"> upon re-</w:t>
      </w:r>
      <w:r w:rsidRPr="002A74A9">
        <w:rPr>
          <w:rFonts w:ascii="Arial" w:hAnsi="Arial" w:cs="Arial"/>
        </w:rPr>
        <w:t xml:space="preserve">inspection. The CQC have </w:t>
      </w:r>
      <w:r w:rsidR="009409CC" w:rsidRPr="002A74A9">
        <w:rPr>
          <w:rFonts w:ascii="Arial" w:hAnsi="Arial" w:cs="Arial"/>
        </w:rPr>
        <w:t>offered</w:t>
      </w:r>
      <w:r w:rsidRPr="002A74A9">
        <w:rPr>
          <w:rFonts w:ascii="Arial" w:hAnsi="Arial" w:cs="Arial"/>
        </w:rPr>
        <w:t xml:space="preserve"> to return within a short </w:t>
      </w:r>
      <w:r w:rsidR="009409CC" w:rsidRPr="002A74A9">
        <w:rPr>
          <w:rFonts w:ascii="Arial" w:hAnsi="Arial" w:cs="Arial"/>
        </w:rPr>
        <w:t>time</w:t>
      </w:r>
      <w:r w:rsidRPr="002A74A9">
        <w:rPr>
          <w:rFonts w:ascii="Arial" w:hAnsi="Arial" w:cs="Arial"/>
        </w:rPr>
        <w:t xml:space="preserve"> frame to undertake a focussed inspection. </w:t>
      </w:r>
    </w:p>
    <w:p w:rsidR="00780369" w:rsidRPr="002A74A9" w:rsidRDefault="00780369" w:rsidP="00DF105D">
      <w:pPr>
        <w:jc w:val="both"/>
        <w:rPr>
          <w:rFonts w:ascii="Arial" w:hAnsi="Arial" w:cs="Arial"/>
        </w:rPr>
      </w:pPr>
    </w:p>
    <w:p w:rsidR="00E269CB" w:rsidRPr="002A74A9" w:rsidRDefault="00E269CB" w:rsidP="00DF105D">
      <w:pPr>
        <w:jc w:val="both"/>
        <w:rPr>
          <w:rFonts w:ascii="Arial" w:hAnsi="Arial" w:cs="Arial"/>
        </w:rPr>
      </w:pPr>
      <w:r w:rsidRPr="002A74A9">
        <w:rPr>
          <w:rFonts w:ascii="Arial" w:hAnsi="Arial" w:cs="Arial"/>
        </w:rPr>
        <w:t>Our Improvement plans have been developed with involvement from</w:t>
      </w:r>
      <w:r w:rsidR="009409CC" w:rsidRPr="002A74A9">
        <w:rPr>
          <w:rFonts w:ascii="Arial" w:hAnsi="Arial" w:cs="Arial"/>
        </w:rPr>
        <w:t xml:space="preserve"> patients and staff</w:t>
      </w:r>
      <w:r w:rsidRPr="002A74A9">
        <w:rPr>
          <w:rFonts w:ascii="Arial" w:hAnsi="Arial" w:cs="Arial"/>
        </w:rPr>
        <w:t xml:space="preserve"> across our teams and </w:t>
      </w:r>
      <w:r w:rsidR="009409CC" w:rsidRPr="002A74A9">
        <w:rPr>
          <w:rFonts w:ascii="Arial" w:hAnsi="Arial" w:cs="Arial"/>
        </w:rPr>
        <w:t>directorates</w:t>
      </w:r>
      <w:r w:rsidRPr="002A74A9">
        <w:rPr>
          <w:rFonts w:ascii="Arial" w:hAnsi="Arial" w:cs="Arial"/>
        </w:rPr>
        <w:t xml:space="preserve">. The Quality </w:t>
      </w:r>
      <w:r w:rsidR="009409CC" w:rsidRPr="002A74A9">
        <w:rPr>
          <w:rFonts w:ascii="Arial" w:hAnsi="Arial" w:cs="Arial"/>
        </w:rPr>
        <w:t>Summit</w:t>
      </w:r>
      <w:r w:rsidRPr="002A74A9">
        <w:rPr>
          <w:rFonts w:ascii="Arial" w:hAnsi="Arial" w:cs="Arial"/>
        </w:rPr>
        <w:t xml:space="preserve"> with our external </w:t>
      </w:r>
      <w:r w:rsidR="009409CC" w:rsidRPr="002A74A9">
        <w:rPr>
          <w:rFonts w:ascii="Arial" w:hAnsi="Arial" w:cs="Arial"/>
        </w:rPr>
        <w:t>stakeholder’s</w:t>
      </w:r>
      <w:r w:rsidRPr="002A74A9">
        <w:rPr>
          <w:rFonts w:ascii="Arial" w:hAnsi="Arial" w:cs="Arial"/>
        </w:rPr>
        <w:t xml:space="preserve"> </w:t>
      </w:r>
      <w:r w:rsidR="009409CC" w:rsidRPr="002A74A9">
        <w:rPr>
          <w:rFonts w:ascii="Arial" w:hAnsi="Arial" w:cs="Arial"/>
        </w:rPr>
        <w:t>includes</w:t>
      </w:r>
      <w:r w:rsidRPr="002A74A9">
        <w:rPr>
          <w:rFonts w:ascii="Arial" w:hAnsi="Arial" w:cs="Arial"/>
        </w:rPr>
        <w:t xml:space="preserve"> the CQC</w:t>
      </w:r>
      <w:r w:rsidR="009409CC" w:rsidRPr="002A74A9">
        <w:rPr>
          <w:rFonts w:ascii="Arial" w:hAnsi="Arial" w:cs="Arial"/>
        </w:rPr>
        <w:t>,</w:t>
      </w:r>
      <w:r w:rsidRPr="002A74A9">
        <w:rPr>
          <w:rFonts w:ascii="Arial" w:hAnsi="Arial" w:cs="Arial"/>
        </w:rPr>
        <w:t xml:space="preserve"> MONITOR and </w:t>
      </w:r>
      <w:r w:rsidR="009409CC" w:rsidRPr="002A74A9">
        <w:rPr>
          <w:rFonts w:ascii="Arial" w:hAnsi="Arial" w:cs="Arial"/>
        </w:rPr>
        <w:t>principle</w:t>
      </w:r>
      <w:r w:rsidRPr="002A74A9">
        <w:rPr>
          <w:rFonts w:ascii="Arial" w:hAnsi="Arial" w:cs="Arial"/>
        </w:rPr>
        <w:t xml:space="preserve"> </w:t>
      </w:r>
      <w:r w:rsidR="009409CC" w:rsidRPr="002A74A9">
        <w:rPr>
          <w:rFonts w:ascii="Arial" w:hAnsi="Arial" w:cs="Arial"/>
        </w:rPr>
        <w:t>Commissioners</w:t>
      </w:r>
      <w:r w:rsidRPr="002A74A9">
        <w:rPr>
          <w:rFonts w:ascii="Arial" w:hAnsi="Arial" w:cs="Arial"/>
        </w:rPr>
        <w:t xml:space="preserve"> takes place on 29</w:t>
      </w:r>
      <w:r w:rsidRPr="002A74A9">
        <w:rPr>
          <w:rFonts w:ascii="Arial" w:hAnsi="Arial" w:cs="Arial"/>
          <w:vertAlign w:val="superscript"/>
        </w:rPr>
        <w:t>th</w:t>
      </w:r>
      <w:r w:rsidRPr="002A74A9">
        <w:rPr>
          <w:rFonts w:ascii="Arial" w:hAnsi="Arial" w:cs="Arial"/>
        </w:rPr>
        <w:t xml:space="preserve"> January</w:t>
      </w:r>
      <w:r w:rsidR="00FD671B">
        <w:rPr>
          <w:rFonts w:ascii="Arial" w:hAnsi="Arial" w:cs="Arial"/>
        </w:rPr>
        <w:t xml:space="preserve"> 2016</w:t>
      </w:r>
      <w:r w:rsidRPr="002A74A9">
        <w:rPr>
          <w:rFonts w:ascii="Arial" w:hAnsi="Arial" w:cs="Arial"/>
        </w:rPr>
        <w:t>.</w:t>
      </w:r>
      <w:r w:rsidR="009409CC" w:rsidRPr="002A74A9">
        <w:rPr>
          <w:rFonts w:ascii="Arial" w:hAnsi="Arial" w:cs="Arial"/>
        </w:rPr>
        <w:t xml:space="preserve"> The outcome of the Inspection has to be displayed in all locations</w:t>
      </w:r>
      <w:r w:rsidR="006037D3">
        <w:rPr>
          <w:rFonts w:ascii="Arial" w:hAnsi="Arial" w:cs="Arial"/>
        </w:rPr>
        <w:t xml:space="preserve"> and on the website </w:t>
      </w:r>
      <w:r w:rsidR="009409CC" w:rsidRPr="002A74A9">
        <w:rPr>
          <w:rFonts w:ascii="Arial" w:hAnsi="Arial" w:cs="Arial"/>
        </w:rPr>
        <w:t>within 21 days and is underway.</w:t>
      </w:r>
    </w:p>
    <w:p w:rsidR="009409CC" w:rsidRPr="002A74A9" w:rsidRDefault="009409CC" w:rsidP="00DF105D">
      <w:pPr>
        <w:jc w:val="both"/>
        <w:rPr>
          <w:rFonts w:ascii="Arial" w:hAnsi="Arial" w:cs="Arial"/>
        </w:rPr>
      </w:pPr>
    </w:p>
    <w:p w:rsidR="00E269CB" w:rsidRPr="002A74A9" w:rsidRDefault="00E269CB" w:rsidP="00DF105D">
      <w:pPr>
        <w:jc w:val="both"/>
        <w:rPr>
          <w:rFonts w:ascii="Arial" w:hAnsi="Arial" w:cs="Arial"/>
        </w:rPr>
      </w:pPr>
      <w:r w:rsidRPr="002A74A9">
        <w:rPr>
          <w:rFonts w:ascii="Arial" w:hAnsi="Arial" w:cs="Arial"/>
        </w:rPr>
        <w:t>The Board will be</w:t>
      </w:r>
      <w:r w:rsidR="009409CC" w:rsidRPr="002A74A9">
        <w:rPr>
          <w:rFonts w:ascii="Arial" w:hAnsi="Arial" w:cs="Arial"/>
        </w:rPr>
        <w:t xml:space="preserve"> informed about the outcome of the </w:t>
      </w:r>
      <w:r w:rsidRPr="002A74A9">
        <w:rPr>
          <w:rFonts w:ascii="Arial" w:hAnsi="Arial" w:cs="Arial"/>
        </w:rPr>
        <w:t xml:space="preserve">Quality </w:t>
      </w:r>
      <w:r w:rsidR="009409CC" w:rsidRPr="002A74A9">
        <w:rPr>
          <w:rFonts w:ascii="Arial" w:hAnsi="Arial" w:cs="Arial"/>
        </w:rPr>
        <w:t>Summit</w:t>
      </w:r>
      <w:r w:rsidRPr="002A74A9">
        <w:rPr>
          <w:rFonts w:ascii="Arial" w:hAnsi="Arial" w:cs="Arial"/>
        </w:rPr>
        <w:t xml:space="preserve"> and the </w:t>
      </w:r>
      <w:r w:rsidR="009409CC" w:rsidRPr="002A74A9">
        <w:rPr>
          <w:rFonts w:ascii="Arial" w:hAnsi="Arial" w:cs="Arial"/>
        </w:rPr>
        <w:t>final</w:t>
      </w:r>
      <w:r w:rsidRPr="002A74A9">
        <w:rPr>
          <w:rFonts w:ascii="Arial" w:hAnsi="Arial" w:cs="Arial"/>
        </w:rPr>
        <w:t xml:space="preserve"> Improvement </w:t>
      </w:r>
      <w:r w:rsidR="009409CC" w:rsidRPr="002A74A9">
        <w:rPr>
          <w:rFonts w:ascii="Arial" w:hAnsi="Arial" w:cs="Arial"/>
        </w:rPr>
        <w:t>Plan</w:t>
      </w:r>
      <w:r w:rsidRPr="002A74A9">
        <w:rPr>
          <w:rFonts w:ascii="Arial" w:hAnsi="Arial" w:cs="Arial"/>
        </w:rPr>
        <w:t xml:space="preserve"> at its next </w:t>
      </w:r>
      <w:r w:rsidR="009409CC" w:rsidRPr="002A74A9">
        <w:rPr>
          <w:rFonts w:ascii="Arial" w:hAnsi="Arial" w:cs="Arial"/>
        </w:rPr>
        <w:t>meeting i</w:t>
      </w:r>
      <w:r w:rsidRPr="002A74A9">
        <w:rPr>
          <w:rFonts w:ascii="Arial" w:hAnsi="Arial" w:cs="Arial"/>
        </w:rPr>
        <w:t xml:space="preserve">n February. The Quality Committee will be the Board Committee </w:t>
      </w:r>
      <w:r w:rsidR="009409CC" w:rsidRPr="002A74A9">
        <w:rPr>
          <w:rFonts w:ascii="Arial" w:hAnsi="Arial" w:cs="Arial"/>
        </w:rPr>
        <w:t>responsible</w:t>
      </w:r>
      <w:r w:rsidRPr="002A74A9">
        <w:rPr>
          <w:rFonts w:ascii="Arial" w:hAnsi="Arial" w:cs="Arial"/>
        </w:rPr>
        <w:t xml:space="preserve"> for oversight of the Improvement </w:t>
      </w:r>
      <w:proofErr w:type="spellStart"/>
      <w:r w:rsidRPr="002A74A9">
        <w:rPr>
          <w:rFonts w:ascii="Arial" w:hAnsi="Arial" w:cs="Arial"/>
        </w:rPr>
        <w:t>plan</w:t>
      </w:r>
      <w:proofErr w:type="gramStart"/>
      <w:r w:rsidRPr="002A74A9">
        <w:rPr>
          <w:rFonts w:ascii="Arial" w:hAnsi="Arial" w:cs="Arial"/>
        </w:rPr>
        <w:t>,</w:t>
      </w:r>
      <w:r w:rsidR="006037D3">
        <w:rPr>
          <w:rFonts w:ascii="Arial" w:hAnsi="Arial" w:cs="Arial"/>
        </w:rPr>
        <w:t>and</w:t>
      </w:r>
      <w:proofErr w:type="spellEnd"/>
      <w:proofErr w:type="gramEnd"/>
      <w:r w:rsidRPr="002A74A9">
        <w:rPr>
          <w:rFonts w:ascii="Arial" w:hAnsi="Arial" w:cs="Arial"/>
        </w:rPr>
        <w:t xml:space="preserve"> ongoing IC5</w:t>
      </w:r>
      <w:r w:rsidR="00FD671B">
        <w:rPr>
          <w:rFonts w:ascii="Arial" w:hAnsi="Arial" w:cs="Arial"/>
        </w:rPr>
        <w:t xml:space="preserve"> peer review</w:t>
      </w:r>
      <w:r w:rsidR="009409CC" w:rsidRPr="002A74A9">
        <w:rPr>
          <w:rFonts w:ascii="Arial" w:hAnsi="Arial" w:cs="Arial"/>
        </w:rPr>
        <w:t>/</w:t>
      </w:r>
      <w:r w:rsidRPr="002A74A9">
        <w:rPr>
          <w:rFonts w:ascii="Arial" w:hAnsi="Arial" w:cs="Arial"/>
        </w:rPr>
        <w:t xml:space="preserve">shared governance </w:t>
      </w:r>
      <w:r w:rsidR="009409CC" w:rsidRPr="002A74A9">
        <w:rPr>
          <w:rFonts w:ascii="Arial" w:hAnsi="Arial" w:cs="Arial"/>
        </w:rPr>
        <w:t xml:space="preserve">process </w:t>
      </w:r>
      <w:r w:rsidRPr="002A74A9">
        <w:rPr>
          <w:rFonts w:ascii="Arial" w:hAnsi="Arial" w:cs="Arial"/>
        </w:rPr>
        <w:t xml:space="preserve">and </w:t>
      </w:r>
      <w:r w:rsidR="009409CC" w:rsidRPr="002A74A9">
        <w:rPr>
          <w:rFonts w:ascii="Arial" w:hAnsi="Arial" w:cs="Arial"/>
        </w:rPr>
        <w:t>there will be regular updates on progress to the Board of Directors.</w:t>
      </w:r>
    </w:p>
    <w:p w:rsidR="009409CC" w:rsidRPr="002A74A9" w:rsidRDefault="009409CC" w:rsidP="00DF105D">
      <w:pPr>
        <w:jc w:val="both"/>
        <w:rPr>
          <w:rFonts w:ascii="Arial" w:hAnsi="Arial" w:cs="Arial"/>
          <w:b/>
        </w:rPr>
      </w:pPr>
    </w:p>
    <w:p w:rsidR="00DF105D" w:rsidRDefault="00DF105D" w:rsidP="00DF105D">
      <w:pPr>
        <w:jc w:val="both"/>
        <w:rPr>
          <w:rFonts w:ascii="Arial" w:hAnsi="Arial" w:cs="Arial"/>
          <w:b/>
        </w:rPr>
      </w:pPr>
      <w:r w:rsidRPr="002A74A9">
        <w:rPr>
          <w:rFonts w:ascii="Arial" w:hAnsi="Arial" w:cs="Arial"/>
          <w:b/>
        </w:rPr>
        <w:t>Recommendations</w:t>
      </w:r>
    </w:p>
    <w:p w:rsidR="002A74A9" w:rsidRPr="002A74A9" w:rsidRDefault="002A74A9" w:rsidP="00DF105D">
      <w:pPr>
        <w:jc w:val="both"/>
        <w:rPr>
          <w:rFonts w:ascii="Arial" w:hAnsi="Arial" w:cs="Arial"/>
          <w:b/>
        </w:rPr>
      </w:pPr>
    </w:p>
    <w:p w:rsidR="00DF105D" w:rsidRPr="002A74A9" w:rsidRDefault="00E269CB" w:rsidP="00DF105D">
      <w:pPr>
        <w:jc w:val="both"/>
        <w:rPr>
          <w:rFonts w:ascii="Arial" w:hAnsi="Arial" w:cs="Arial"/>
        </w:rPr>
      </w:pPr>
      <w:r w:rsidRPr="002A74A9">
        <w:rPr>
          <w:rFonts w:ascii="Arial" w:hAnsi="Arial" w:cs="Arial"/>
        </w:rPr>
        <w:t xml:space="preserve">The Board is asked to receive the Overview Report </w:t>
      </w:r>
      <w:r w:rsidR="00F75201" w:rsidRPr="002A74A9">
        <w:rPr>
          <w:rFonts w:ascii="Arial" w:hAnsi="Arial" w:cs="Arial"/>
        </w:rPr>
        <w:t>(Attached Appendix 1)</w:t>
      </w:r>
      <w:r w:rsidR="004B0F2D">
        <w:rPr>
          <w:rFonts w:ascii="Arial" w:hAnsi="Arial" w:cs="Arial"/>
        </w:rPr>
        <w:t xml:space="preserve"> </w:t>
      </w:r>
      <w:r w:rsidRPr="002A74A9">
        <w:rPr>
          <w:rFonts w:ascii="Arial" w:hAnsi="Arial" w:cs="Arial"/>
        </w:rPr>
        <w:t>and the 15 core service reports</w:t>
      </w:r>
      <w:r w:rsidR="00F75201" w:rsidRPr="002A74A9">
        <w:rPr>
          <w:rFonts w:ascii="Arial" w:hAnsi="Arial" w:cs="Arial"/>
        </w:rPr>
        <w:t xml:space="preserve"> (not </w:t>
      </w:r>
      <w:proofErr w:type="gramStart"/>
      <w:r w:rsidR="00F75201" w:rsidRPr="002A74A9">
        <w:rPr>
          <w:rFonts w:ascii="Arial" w:hAnsi="Arial" w:cs="Arial"/>
        </w:rPr>
        <w:t>attached )</w:t>
      </w:r>
      <w:proofErr w:type="gramEnd"/>
      <w:r w:rsidR="00F75201" w:rsidRPr="002A74A9">
        <w:rPr>
          <w:rFonts w:ascii="Arial" w:hAnsi="Arial" w:cs="Arial"/>
        </w:rPr>
        <w:t>,</w:t>
      </w:r>
      <w:r w:rsidR="004B0F2D">
        <w:rPr>
          <w:rFonts w:ascii="Arial" w:hAnsi="Arial" w:cs="Arial"/>
        </w:rPr>
        <w:t xml:space="preserve"> all reports</w:t>
      </w:r>
      <w:r w:rsidR="009409CC" w:rsidRPr="002A74A9">
        <w:rPr>
          <w:rFonts w:ascii="Arial" w:hAnsi="Arial" w:cs="Arial"/>
        </w:rPr>
        <w:t xml:space="preserve"> are also available on our internet and intranet and at http://www.cqc.org.uk/provider/RNU</w:t>
      </w:r>
    </w:p>
    <w:p w:rsidR="0001183C" w:rsidRPr="002A74A9" w:rsidRDefault="0001183C" w:rsidP="00DF105D">
      <w:pPr>
        <w:jc w:val="both"/>
        <w:rPr>
          <w:rFonts w:ascii="Arial" w:hAnsi="Arial" w:cs="Arial"/>
          <w:b/>
        </w:rPr>
      </w:pPr>
    </w:p>
    <w:p w:rsidR="00152826" w:rsidRPr="002A74A9" w:rsidRDefault="00152826" w:rsidP="00DF105D">
      <w:pPr>
        <w:jc w:val="both"/>
        <w:rPr>
          <w:rFonts w:ascii="Arial" w:hAnsi="Arial" w:cs="Arial"/>
          <w:b/>
        </w:rPr>
      </w:pPr>
      <w:r w:rsidRPr="002A74A9">
        <w:rPr>
          <w:rFonts w:ascii="Arial" w:hAnsi="Arial" w:cs="Arial"/>
          <w:b/>
        </w:rPr>
        <w:t>Author and Title:</w:t>
      </w:r>
      <w:r w:rsidR="008116CC" w:rsidRPr="002A74A9">
        <w:rPr>
          <w:rFonts w:ascii="Arial" w:hAnsi="Arial" w:cs="Arial"/>
          <w:b/>
        </w:rPr>
        <w:t xml:space="preserve"> </w:t>
      </w:r>
      <w:r w:rsidR="002A74A9">
        <w:rPr>
          <w:rFonts w:ascii="Arial" w:hAnsi="Arial" w:cs="Arial"/>
        </w:rPr>
        <w:t xml:space="preserve">Lorcan O’Neill, Head of Communications </w:t>
      </w:r>
      <w:r w:rsidR="008116CC" w:rsidRPr="002A74A9">
        <w:rPr>
          <w:rFonts w:ascii="Arial" w:hAnsi="Arial" w:cs="Arial"/>
        </w:rPr>
        <w:t>and Ros Alstead</w:t>
      </w:r>
      <w:r w:rsidR="002A74A9">
        <w:rPr>
          <w:rFonts w:ascii="Arial" w:hAnsi="Arial" w:cs="Arial"/>
        </w:rPr>
        <w:t>, Director of Nursing and Clinical Standards</w:t>
      </w:r>
    </w:p>
    <w:p w:rsidR="00152826" w:rsidRPr="002A74A9" w:rsidRDefault="00152826" w:rsidP="00DF105D">
      <w:pPr>
        <w:jc w:val="both"/>
        <w:rPr>
          <w:rFonts w:ascii="Arial" w:hAnsi="Arial" w:cs="Arial"/>
          <w:b/>
        </w:rPr>
      </w:pPr>
    </w:p>
    <w:p w:rsidR="00DF105D" w:rsidRPr="002A74A9" w:rsidRDefault="00DF105D" w:rsidP="00DF105D">
      <w:pPr>
        <w:jc w:val="both"/>
        <w:rPr>
          <w:rFonts w:ascii="Arial" w:hAnsi="Arial" w:cs="Arial"/>
        </w:rPr>
      </w:pPr>
      <w:r w:rsidRPr="002A74A9">
        <w:rPr>
          <w:rFonts w:ascii="Arial" w:hAnsi="Arial" w:cs="Arial"/>
          <w:b/>
        </w:rPr>
        <w:t xml:space="preserve">Lead Executive Director: </w:t>
      </w:r>
      <w:r w:rsidRPr="002A74A9">
        <w:rPr>
          <w:rFonts w:ascii="Arial" w:hAnsi="Arial" w:cs="Arial"/>
        </w:rPr>
        <w:t>Ros Alstead, Director of Nursing and Clinical Standards</w:t>
      </w:r>
    </w:p>
    <w:p w:rsidR="00DF105D" w:rsidRPr="002A74A9" w:rsidRDefault="00DF105D">
      <w:pPr>
        <w:spacing w:after="200" w:line="276" w:lineRule="auto"/>
        <w:rPr>
          <w:rFonts w:ascii="Arial" w:hAnsi="Arial" w:cs="Arial"/>
          <w:b/>
        </w:rPr>
      </w:pPr>
      <w:r w:rsidRPr="002A74A9">
        <w:rPr>
          <w:rFonts w:ascii="Arial" w:hAnsi="Arial" w:cs="Arial"/>
          <w:b/>
        </w:rPr>
        <w:br w:type="page"/>
      </w:r>
    </w:p>
    <w:p w:rsidR="00F75201" w:rsidRPr="002A74A9" w:rsidRDefault="00F75201" w:rsidP="00316662">
      <w:pPr>
        <w:rPr>
          <w:rFonts w:ascii="Arial" w:hAnsi="Arial" w:cs="Arial"/>
          <w:b/>
        </w:rPr>
      </w:pPr>
      <w:r w:rsidRPr="002A74A9">
        <w:rPr>
          <w:rFonts w:ascii="Arial" w:hAnsi="Arial" w:cs="Arial"/>
          <w:b/>
        </w:rPr>
        <w:lastRenderedPageBreak/>
        <w:t>CQC Inspection</w:t>
      </w:r>
      <w:r w:rsidR="004B0F2D">
        <w:rPr>
          <w:rFonts w:ascii="Arial" w:hAnsi="Arial" w:cs="Arial"/>
          <w:b/>
        </w:rPr>
        <w:t xml:space="preserve"> Report </w:t>
      </w:r>
      <w:r w:rsidRPr="002A74A9">
        <w:rPr>
          <w:rFonts w:ascii="Arial" w:hAnsi="Arial" w:cs="Arial"/>
          <w:b/>
        </w:rPr>
        <w:t>Outcome</w:t>
      </w:r>
    </w:p>
    <w:p w:rsidR="00F75201" w:rsidRPr="002A74A9" w:rsidRDefault="00F75201" w:rsidP="00316662">
      <w:pPr>
        <w:rPr>
          <w:rFonts w:ascii="Arial" w:hAnsi="Arial" w:cs="Arial"/>
        </w:rPr>
      </w:pPr>
    </w:p>
    <w:p w:rsidR="00316662" w:rsidRPr="002A74A9" w:rsidRDefault="00316662" w:rsidP="00316662">
      <w:pPr>
        <w:rPr>
          <w:rFonts w:ascii="Arial" w:hAnsi="Arial" w:cs="Arial"/>
        </w:rPr>
      </w:pPr>
      <w:r w:rsidRPr="002A74A9">
        <w:rPr>
          <w:rFonts w:ascii="Arial" w:hAnsi="Arial" w:cs="Arial"/>
        </w:rPr>
        <w:t>The Care Quality Commission’s inspecti</w:t>
      </w:r>
      <w:r w:rsidR="00F75201" w:rsidRPr="002A74A9">
        <w:rPr>
          <w:rFonts w:ascii="Arial" w:hAnsi="Arial" w:cs="Arial"/>
        </w:rPr>
        <w:t>on results for Oxford Health FT</w:t>
      </w:r>
      <w:r w:rsidR="00DF105D" w:rsidRPr="002A74A9">
        <w:rPr>
          <w:rFonts w:ascii="Arial" w:hAnsi="Arial" w:cs="Arial"/>
        </w:rPr>
        <w:t xml:space="preserve"> were </w:t>
      </w:r>
      <w:r w:rsidRPr="002A74A9">
        <w:rPr>
          <w:rFonts w:ascii="Arial" w:hAnsi="Arial" w:cs="Arial"/>
        </w:rPr>
        <w:t>published on the 15</w:t>
      </w:r>
      <w:r w:rsidRPr="002A74A9">
        <w:rPr>
          <w:rFonts w:ascii="Arial" w:hAnsi="Arial" w:cs="Arial"/>
          <w:vertAlign w:val="superscript"/>
        </w:rPr>
        <w:t>th</w:t>
      </w:r>
      <w:r w:rsidR="000A41EE" w:rsidRPr="002A74A9">
        <w:rPr>
          <w:rFonts w:ascii="Arial" w:hAnsi="Arial" w:cs="Arial"/>
        </w:rPr>
        <w:t xml:space="preserve"> of January 2016.</w:t>
      </w:r>
      <w:r w:rsidR="002A74A9">
        <w:rPr>
          <w:rFonts w:ascii="Arial" w:hAnsi="Arial" w:cs="Arial"/>
        </w:rPr>
        <w:t xml:space="preserve"> </w:t>
      </w:r>
      <w:r w:rsidR="008116CC" w:rsidRPr="002A74A9">
        <w:rPr>
          <w:rFonts w:ascii="Arial" w:hAnsi="Arial" w:cs="Arial"/>
        </w:rPr>
        <w:t>During the comprehensive inspection during September and October a team of over 100 inspectors, and specialists including Drs nurses AHP’s and experts by experience visited  33 wards including nine wards in eight communit</w:t>
      </w:r>
      <w:r w:rsidR="004B0F2D">
        <w:rPr>
          <w:rFonts w:ascii="Arial" w:hAnsi="Arial" w:cs="Arial"/>
        </w:rPr>
        <w:t>y hospitals</w:t>
      </w:r>
      <w:r w:rsidR="008116CC" w:rsidRPr="002A74A9">
        <w:rPr>
          <w:rFonts w:ascii="Arial" w:hAnsi="Arial" w:cs="Arial"/>
        </w:rPr>
        <w:t xml:space="preserve"> and all</w:t>
      </w:r>
      <w:r w:rsidR="004B0F2D">
        <w:rPr>
          <w:rFonts w:ascii="Arial" w:hAnsi="Arial" w:cs="Arial"/>
        </w:rPr>
        <w:t xml:space="preserve"> 24</w:t>
      </w:r>
      <w:r w:rsidR="008116CC" w:rsidRPr="002A74A9">
        <w:rPr>
          <w:rFonts w:ascii="Arial" w:hAnsi="Arial" w:cs="Arial"/>
        </w:rPr>
        <w:t xml:space="preserve"> mental health inpatient services for children, adults including acute, rehabilitation and fo</w:t>
      </w:r>
      <w:r w:rsidR="004B0F2D">
        <w:rPr>
          <w:rFonts w:ascii="Arial" w:hAnsi="Arial" w:cs="Arial"/>
        </w:rPr>
        <w:t xml:space="preserve">rensic and older peoples wards in Oxford Buckinghamshire, Milton </w:t>
      </w:r>
      <w:proofErr w:type="spellStart"/>
      <w:r w:rsidR="004B0F2D">
        <w:rPr>
          <w:rFonts w:ascii="Arial" w:hAnsi="Arial" w:cs="Arial"/>
        </w:rPr>
        <w:t>Keyne</w:t>
      </w:r>
      <w:proofErr w:type="spellEnd"/>
      <w:r w:rsidR="004B0F2D">
        <w:rPr>
          <w:rFonts w:ascii="Arial" w:hAnsi="Arial" w:cs="Arial"/>
        </w:rPr>
        <w:t xml:space="preserve"> ,Swindon and Marlborough .</w:t>
      </w:r>
      <w:r w:rsidR="008116CC" w:rsidRPr="002A74A9">
        <w:rPr>
          <w:rFonts w:ascii="Arial" w:hAnsi="Arial" w:cs="Arial"/>
        </w:rPr>
        <w:t xml:space="preserve">The Inspection team visited and inspected another 52 locations where community health services for children adults and older adults were delivered including a GP Practice Luther Street. The team </w:t>
      </w:r>
      <w:r w:rsidR="002A74A9">
        <w:rPr>
          <w:rFonts w:ascii="Arial" w:hAnsi="Arial" w:cs="Arial"/>
        </w:rPr>
        <w:t>spoke to more than 340 patients</w:t>
      </w:r>
      <w:r w:rsidR="008116CC" w:rsidRPr="002A74A9">
        <w:rPr>
          <w:rFonts w:ascii="Arial" w:hAnsi="Arial" w:cs="Arial"/>
        </w:rPr>
        <w:t xml:space="preserve">, relatives and carers and interviewed 534 members of staff. The Overview Report </w:t>
      </w:r>
      <w:r w:rsidR="002A74A9" w:rsidRPr="002A74A9">
        <w:rPr>
          <w:rFonts w:ascii="Arial" w:hAnsi="Arial" w:cs="Arial"/>
        </w:rPr>
        <w:t>and reports</w:t>
      </w:r>
      <w:r w:rsidR="008116CC" w:rsidRPr="002A74A9">
        <w:rPr>
          <w:rFonts w:ascii="Arial" w:hAnsi="Arial" w:cs="Arial"/>
        </w:rPr>
        <w:t xml:space="preserve"> on all 15core services are available at </w:t>
      </w:r>
      <w:hyperlink r:id="rId9" w:history="1">
        <w:r w:rsidR="008116CC" w:rsidRPr="002A74A9">
          <w:rPr>
            <w:rStyle w:val="Hyperlink"/>
            <w:rFonts w:ascii="Arial" w:hAnsi="Arial" w:cs="Arial"/>
          </w:rPr>
          <w:t>http://www.cqc.org.uk/provider/RNU</w:t>
        </w:r>
      </w:hyperlink>
      <w:r w:rsidR="008116CC" w:rsidRPr="002A74A9">
        <w:rPr>
          <w:rFonts w:ascii="Arial" w:hAnsi="Arial" w:cs="Arial"/>
        </w:rPr>
        <w:t xml:space="preserve"> and our OHFT intranet and internet pages.</w:t>
      </w:r>
      <w:r w:rsidR="008116CC" w:rsidRPr="002A74A9">
        <w:rPr>
          <w:rFonts w:ascii="Arial" w:hAnsi="Arial" w:cs="Arial"/>
        </w:rPr>
        <w:br/>
      </w:r>
    </w:p>
    <w:p w:rsidR="00316662" w:rsidRPr="002A74A9" w:rsidRDefault="00316662" w:rsidP="00316662">
      <w:pPr>
        <w:rPr>
          <w:rFonts w:ascii="Arial" w:hAnsi="Arial" w:cs="Arial"/>
        </w:rPr>
      </w:pPr>
      <w:r w:rsidRPr="002A74A9">
        <w:rPr>
          <w:rFonts w:ascii="Arial" w:hAnsi="Arial" w:cs="Arial"/>
        </w:rPr>
        <w:t>We were inspected across 15 core services against five domains of quality – caring, responsive, well-led, effective and safe. Of those 75 specific quality measurements across services, 49 were rated ‘good’, 6 ‘outstanding’ and 20 as ‘require improvement’. None were found to be inadequate and we received no enforcement notices.</w:t>
      </w:r>
    </w:p>
    <w:p w:rsidR="00316662" w:rsidRPr="002A74A9" w:rsidRDefault="00316662" w:rsidP="00316662">
      <w:pPr>
        <w:rPr>
          <w:rFonts w:ascii="Arial" w:hAnsi="Arial" w:cs="Arial"/>
        </w:rPr>
      </w:pPr>
    </w:p>
    <w:p w:rsidR="00316662" w:rsidRPr="002A74A9" w:rsidRDefault="00316662" w:rsidP="00316662">
      <w:pPr>
        <w:rPr>
          <w:rFonts w:ascii="Arial" w:hAnsi="Arial" w:cs="Arial"/>
        </w:rPr>
      </w:pPr>
      <w:r w:rsidRPr="002A74A9">
        <w:rPr>
          <w:rFonts w:ascii="Arial" w:hAnsi="Arial" w:cs="Arial"/>
        </w:rPr>
        <w:t xml:space="preserve">We were over-all rated ‘good’ in three out of five quality measurements – </w:t>
      </w:r>
      <w:r w:rsidRPr="002A74A9">
        <w:rPr>
          <w:rFonts w:ascii="Arial" w:hAnsi="Arial" w:cs="Arial"/>
          <w:i/>
          <w:iCs/>
        </w:rPr>
        <w:t>caring</w:t>
      </w:r>
      <w:r w:rsidRPr="002A74A9">
        <w:rPr>
          <w:rFonts w:ascii="Arial" w:hAnsi="Arial" w:cs="Arial"/>
        </w:rPr>
        <w:t xml:space="preserve">, </w:t>
      </w:r>
      <w:r w:rsidRPr="002A74A9">
        <w:rPr>
          <w:rFonts w:ascii="Arial" w:hAnsi="Arial" w:cs="Arial"/>
          <w:i/>
          <w:iCs/>
        </w:rPr>
        <w:t>responsive</w:t>
      </w:r>
      <w:r w:rsidRPr="002A74A9">
        <w:rPr>
          <w:rFonts w:ascii="Arial" w:hAnsi="Arial" w:cs="Arial"/>
        </w:rPr>
        <w:t xml:space="preserve"> and </w:t>
      </w:r>
      <w:r w:rsidRPr="002A74A9">
        <w:rPr>
          <w:rFonts w:ascii="Arial" w:hAnsi="Arial" w:cs="Arial"/>
          <w:i/>
          <w:iCs/>
        </w:rPr>
        <w:t>well-led</w:t>
      </w:r>
      <w:r w:rsidRPr="002A74A9">
        <w:rPr>
          <w:rFonts w:ascii="Arial" w:hAnsi="Arial" w:cs="Arial"/>
        </w:rPr>
        <w:t xml:space="preserve"> and ‘requiring improvement’ in the remaining two, </w:t>
      </w:r>
      <w:r w:rsidRPr="002A74A9">
        <w:rPr>
          <w:rFonts w:ascii="Arial" w:hAnsi="Arial" w:cs="Arial"/>
          <w:i/>
          <w:iCs/>
        </w:rPr>
        <w:t>effective</w:t>
      </w:r>
      <w:r w:rsidRPr="002A74A9">
        <w:rPr>
          <w:rFonts w:ascii="Arial" w:hAnsi="Arial" w:cs="Arial"/>
        </w:rPr>
        <w:t xml:space="preserve"> and </w:t>
      </w:r>
      <w:r w:rsidRPr="002A74A9">
        <w:rPr>
          <w:rFonts w:ascii="Arial" w:hAnsi="Arial" w:cs="Arial"/>
          <w:i/>
          <w:iCs/>
        </w:rPr>
        <w:t>safe</w:t>
      </w:r>
      <w:r w:rsidRPr="002A74A9">
        <w:rPr>
          <w:rFonts w:ascii="Arial" w:hAnsi="Arial" w:cs="Arial"/>
        </w:rPr>
        <w:t xml:space="preserve">. Based on weighted scoring across all services inspected the trust has an over-all rating of ‘requires improvement’ </w:t>
      </w:r>
    </w:p>
    <w:p w:rsidR="00316662" w:rsidRPr="002A74A9" w:rsidRDefault="00316662" w:rsidP="00316662">
      <w:pPr>
        <w:rPr>
          <w:rFonts w:ascii="Arial" w:hAnsi="Arial" w:cs="Arial"/>
        </w:rPr>
      </w:pPr>
    </w:p>
    <w:p w:rsidR="00316662" w:rsidRPr="002A74A9" w:rsidRDefault="00316662" w:rsidP="00316662">
      <w:pPr>
        <w:rPr>
          <w:rFonts w:ascii="Arial" w:hAnsi="Arial" w:cs="Arial"/>
          <w:bCs/>
        </w:rPr>
      </w:pPr>
      <w:r w:rsidRPr="002A74A9">
        <w:rPr>
          <w:rFonts w:ascii="Arial" w:hAnsi="Arial" w:cs="Arial"/>
        </w:rPr>
        <w:t xml:space="preserve">Within this rating, it is clear that there is a great deal to be proud of. The majority (11 out of 15) of the </w:t>
      </w:r>
      <w:r w:rsidR="000A41EE" w:rsidRPr="002A74A9">
        <w:rPr>
          <w:rFonts w:ascii="Arial" w:hAnsi="Arial" w:cs="Arial"/>
        </w:rPr>
        <w:t>Trust</w:t>
      </w:r>
      <w:r w:rsidRPr="002A74A9">
        <w:rPr>
          <w:rFonts w:ascii="Arial" w:hAnsi="Arial" w:cs="Arial"/>
        </w:rPr>
        <w:t xml:space="preserve">’s services were over-all rated ‘good’ (10) or ‘outstanding’ (1). We are particularly pleased that the ‘outstanding’ rating was for our children and young people’s community service, which includes school health nurses, health visitors and children’s community nurses. </w:t>
      </w:r>
    </w:p>
    <w:p w:rsidR="00316662" w:rsidRPr="002A74A9" w:rsidRDefault="00316662" w:rsidP="00316662">
      <w:pPr>
        <w:rPr>
          <w:rFonts w:ascii="Arial" w:hAnsi="Arial" w:cs="Arial"/>
        </w:rPr>
      </w:pPr>
    </w:p>
    <w:p w:rsidR="00316662" w:rsidRPr="002A74A9" w:rsidRDefault="00316662" w:rsidP="00316662">
      <w:pPr>
        <w:rPr>
          <w:rFonts w:ascii="Arial" w:hAnsi="Arial" w:cs="Arial"/>
        </w:rPr>
      </w:pPr>
      <w:r w:rsidRPr="002A74A9">
        <w:rPr>
          <w:rFonts w:ascii="Arial" w:hAnsi="Arial" w:cs="Arial"/>
        </w:rPr>
        <w:t xml:space="preserve">The CQC found that Oxford Health NHS Foundation </w:t>
      </w:r>
      <w:r w:rsidR="000A41EE" w:rsidRPr="002A74A9">
        <w:rPr>
          <w:rFonts w:ascii="Arial" w:hAnsi="Arial" w:cs="Arial"/>
        </w:rPr>
        <w:t>Trust</w:t>
      </w:r>
      <w:r w:rsidRPr="002A74A9">
        <w:rPr>
          <w:rFonts w:ascii="Arial" w:hAnsi="Arial" w:cs="Arial"/>
        </w:rPr>
        <w:t xml:space="preserve"> was </w:t>
      </w:r>
      <w:r w:rsidRPr="002A74A9">
        <w:rPr>
          <w:rFonts w:ascii="Arial" w:hAnsi="Arial" w:cs="Arial"/>
          <w:i/>
          <w:iCs/>
        </w:rPr>
        <w:t xml:space="preserve">well-led </w:t>
      </w:r>
      <w:r w:rsidRPr="002A74A9">
        <w:rPr>
          <w:rFonts w:ascii="Arial" w:hAnsi="Arial" w:cs="Arial"/>
        </w:rPr>
        <w:t>with: accessible visible management at all levels and go</w:t>
      </w:r>
      <w:r w:rsidR="000A41EE" w:rsidRPr="002A74A9">
        <w:rPr>
          <w:rFonts w:ascii="Arial" w:hAnsi="Arial" w:cs="Arial"/>
        </w:rPr>
        <w:t xml:space="preserve">od working governance systems. </w:t>
      </w:r>
      <w:r w:rsidRPr="002A74A9">
        <w:rPr>
          <w:rFonts w:ascii="Arial" w:hAnsi="Arial" w:cs="Arial"/>
        </w:rPr>
        <w:t xml:space="preserve">It was </w:t>
      </w:r>
      <w:r w:rsidRPr="002A74A9">
        <w:rPr>
          <w:rFonts w:ascii="Arial" w:hAnsi="Arial" w:cs="Arial"/>
          <w:i/>
          <w:iCs/>
        </w:rPr>
        <w:t>responsive</w:t>
      </w:r>
      <w:r w:rsidRPr="002A74A9">
        <w:rPr>
          <w:rFonts w:ascii="Arial" w:hAnsi="Arial" w:cs="Arial"/>
        </w:rPr>
        <w:t xml:space="preserve"> to people’s needs across services especially in a crisis, including reducing the need for police involvement in mental health crises, and in providing emotional support and counselling, especially for end of life care and bereavement. Patients and staff knew how to raise concerns and there was good learning from incidents and complaints. Perhaps most importantly from the </w:t>
      </w:r>
      <w:r w:rsidR="000A41EE" w:rsidRPr="002A74A9">
        <w:rPr>
          <w:rFonts w:ascii="Arial" w:hAnsi="Arial" w:cs="Arial"/>
        </w:rPr>
        <w:t>Trust</w:t>
      </w:r>
      <w:r w:rsidRPr="002A74A9">
        <w:rPr>
          <w:rFonts w:ascii="Arial" w:hAnsi="Arial" w:cs="Arial"/>
        </w:rPr>
        <w:t xml:space="preserve">’s perspective, </w:t>
      </w:r>
      <w:proofErr w:type="gramStart"/>
      <w:r w:rsidRPr="002A74A9">
        <w:rPr>
          <w:rFonts w:ascii="Arial" w:hAnsi="Arial" w:cs="Arial"/>
        </w:rPr>
        <w:t>staff were</w:t>
      </w:r>
      <w:proofErr w:type="gramEnd"/>
      <w:r w:rsidRPr="002A74A9">
        <w:rPr>
          <w:rFonts w:ascii="Arial" w:hAnsi="Arial" w:cs="Arial"/>
        </w:rPr>
        <w:t xml:space="preserve"> found to be </w:t>
      </w:r>
      <w:r w:rsidRPr="002A74A9">
        <w:rPr>
          <w:rFonts w:ascii="Arial" w:hAnsi="Arial" w:cs="Arial"/>
          <w:i/>
          <w:iCs/>
        </w:rPr>
        <w:t>caring</w:t>
      </w:r>
      <w:r w:rsidRPr="002A74A9">
        <w:rPr>
          <w:rFonts w:ascii="Arial" w:hAnsi="Arial" w:cs="Arial"/>
        </w:rPr>
        <w:t xml:space="preserve">. </w:t>
      </w:r>
    </w:p>
    <w:p w:rsidR="00316662" w:rsidRPr="002A74A9" w:rsidRDefault="00316662" w:rsidP="00316662">
      <w:pPr>
        <w:rPr>
          <w:rFonts w:ascii="Arial" w:hAnsi="Arial" w:cs="Arial"/>
        </w:rPr>
      </w:pPr>
    </w:p>
    <w:p w:rsidR="00316662" w:rsidRPr="002A74A9" w:rsidRDefault="00316662" w:rsidP="00316662">
      <w:pPr>
        <w:rPr>
          <w:rFonts w:ascii="Arial" w:hAnsi="Arial" w:cs="Arial"/>
        </w:rPr>
      </w:pPr>
      <w:r w:rsidRPr="002A74A9">
        <w:rPr>
          <w:rFonts w:ascii="Arial" w:hAnsi="Arial" w:cs="Arial"/>
        </w:rPr>
        <w:t xml:space="preserve">The report notes: “In most services, we found that </w:t>
      </w:r>
      <w:proofErr w:type="gramStart"/>
      <w:r w:rsidRPr="002A74A9">
        <w:rPr>
          <w:rFonts w:ascii="Arial" w:hAnsi="Arial" w:cs="Arial"/>
        </w:rPr>
        <w:t>staff were</w:t>
      </w:r>
      <w:proofErr w:type="gramEnd"/>
      <w:r w:rsidRPr="002A74A9">
        <w:rPr>
          <w:rFonts w:ascii="Arial" w:hAnsi="Arial" w:cs="Arial"/>
        </w:rPr>
        <w:t xml:space="preserve"> committed, dedicated and passionate about the work they did. Patients and their carers spoke positively about the care they received and felt they were treated with dignity and respect.” In some services </w:t>
      </w:r>
      <w:r w:rsidRPr="002A74A9">
        <w:rPr>
          <w:rFonts w:ascii="Arial" w:hAnsi="Arial" w:cs="Arial"/>
          <w:i/>
          <w:iCs/>
        </w:rPr>
        <w:t>caring</w:t>
      </w:r>
      <w:r w:rsidRPr="002A74A9">
        <w:rPr>
          <w:rFonts w:ascii="Arial" w:hAnsi="Arial" w:cs="Arial"/>
        </w:rPr>
        <w:t xml:space="preserve"> was rated ‘outstanding’… “Luther Street medical practice, CAMHS community services and community children’s services … showed passion, enthusiasm and received overwhelmingly positive feedback.” </w:t>
      </w:r>
      <w:proofErr w:type="gramStart"/>
      <w:r w:rsidRPr="002A74A9">
        <w:rPr>
          <w:rFonts w:ascii="Arial" w:hAnsi="Arial" w:cs="Arial"/>
        </w:rPr>
        <w:t xml:space="preserve">(CQC Oxford Health NHS Foundation </w:t>
      </w:r>
      <w:r w:rsidR="000A41EE" w:rsidRPr="002A74A9">
        <w:rPr>
          <w:rFonts w:ascii="Arial" w:hAnsi="Arial" w:cs="Arial"/>
        </w:rPr>
        <w:t>Trust</w:t>
      </w:r>
      <w:r w:rsidRPr="002A74A9">
        <w:rPr>
          <w:rFonts w:ascii="Arial" w:hAnsi="Arial" w:cs="Arial"/>
        </w:rPr>
        <w:t xml:space="preserve"> Quality Report p10).</w:t>
      </w:r>
      <w:proofErr w:type="gramEnd"/>
    </w:p>
    <w:p w:rsidR="00316662" w:rsidRPr="002A74A9" w:rsidRDefault="00316662" w:rsidP="00316662">
      <w:pPr>
        <w:rPr>
          <w:rFonts w:ascii="Arial" w:hAnsi="Arial" w:cs="Arial"/>
          <w:color w:val="333333"/>
        </w:rPr>
      </w:pPr>
    </w:p>
    <w:p w:rsidR="00316662" w:rsidRPr="002A74A9" w:rsidRDefault="00316662" w:rsidP="00316662">
      <w:pPr>
        <w:spacing w:after="240"/>
        <w:rPr>
          <w:rFonts w:ascii="Arial" w:hAnsi="Arial" w:cs="Arial"/>
        </w:rPr>
      </w:pPr>
      <w:r w:rsidRPr="002A74A9">
        <w:rPr>
          <w:rFonts w:ascii="Arial" w:hAnsi="Arial" w:cs="Arial"/>
        </w:rPr>
        <w:lastRenderedPageBreak/>
        <w:t xml:space="preserve">Improvements are required in </w:t>
      </w:r>
      <w:r w:rsidRPr="002A74A9">
        <w:rPr>
          <w:rFonts w:ascii="Arial" w:hAnsi="Arial" w:cs="Arial"/>
          <w:i/>
          <w:iCs/>
        </w:rPr>
        <w:t>safety</w:t>
      </w:r>
      <w:r w:rsidRPr="002A74A9">
        <w:rPr>
          <w:rFonts w:ascii="Arial" w:hAnsi="Arial" w:cs="Arial"/>
        </w:rPr>
        <w:t xml:space="preserve"> to ensure that across all </w:t>
      </w:r>
      <w:r w:rsidR="000A41EE" w:rsidRPr="002A74A9">
        <w:rPr>
          <w:rFonts w:ascii="Arial" w:hAnsi="Arial" w:cs="Arial"/>
        </w:rPr>
        <w:t>Trust</w:t>
      </w:r>
      <w:r w:rsidRPr="002A74A9">
        <w:rPr>
          <w:rFonts w:ascii="Arial" w:hAnsi="Arial" w:cs="Arial"/>
        </w:rPr>
        <w:t xml:space="preserve"> services the same high standards are observed. Inspectors noted “On the whole services were safe, but the </w:t>
      </w:r>
      <w:r w:rsidR="000A41EE" w:rsidRPr="002A74A9">
        <w:rPr>
          <w:rFonts w:ascii="Arial" w:hAnsi="Arial" w:cs="Arial"/>
        </w:rPr>
        <w:t>Trust</w:t>
      </w:r>
      <w:r w:rsidRPr="002A74A9">
        <w:rPr>
          <w:rFonts w:ascii="Arial" w:hAnsi="Arial" w:cs="Arial"/>
        </w:rPr>
        <w:t xml:space="preserve"> received a rating of requires improvement because we found pockets of poor practice.” They also noted that some of our older estate, especially inpatient mental health settings at the Warneford Hospital, was outdated for the delivery of modern mental health care. The </w:t>
      </w:r>
      <w:r w:rsidR="000A41EE" w:rsidRPr="002A74A9">
        <w:rPr>
          <w:rFonts w:ascii="Arial" w:hAnsi="Arial" w:cs="Arial"/>
        </w:rPr>
        <w:t>Trust</w:t>
      </w:r>
      <w:r w:rsidRPr="002A74A9">
        <w:rPr>
          <w:rFonts w:ascii="Arial" w:hAnsi="Arial" w:cs="Arial"/>
        </w:rPr>
        <w:t xml:space="preserve"> has long been aware of the challenge of operating from Victorian buildings and in recent years has developed the Whiteleaf Centre in Buckinghamshire and the Highfield Adolescent Unit, Warneford Hospital as exemplars of purpose built 21</w:t>
      </w:r>
      <w:r w:rsidRPr="002A74A9">
        <w:rPr>
          <w:rFonts w:ascii="Arial" w:hAnsi="Arial" w:cs="Arial"/>
          <w:vertAlign w:val="superscript"/>
        </w:rPr>
        <w:t>st</w:t>
      </w:r>
      <w:r w:rsidRPr="002A74A9">
        <w:rPr>
          <w:rFonts w:ascii="Arial" w:hAnsi="Arial" w:cs="Arial"/>
        </w:rPr>
        <w:t xml:space="preserve"> century mental health care. A working group is currently developing options for future development of the Warneford Hospital site in particular to better address modern health care needs. Other areas of for further work are around:</w:t>
      </w:r>
    </w:p>
    <w:p w:rsidR="00316662" w:rsidRPr="002A74A9" w:rsidRDefault="00316662" w:rsidP="00316662">
      <w:pPr>
        <w:numPr>
          <w:ilvl w:val="0"/>
          <w:numId w:val="1"/>
        </w:numPr>
        <w:rPr>
          <w:rFonts w:ascii="Arial" w:hAnsi="Arial" w:cs="Arial"/>
        </w:rPr>
      </w:pPr>
      <w:r w:rsidRPr="002A74A9">
        <w:rPr>
          <w:rFonts w:ascii="Arial" w:hAnsi="Arial" w:cs="Arial"/>
        </w:rPr>
        <w:t>Improving how we record and demonstrate patients’ involvement in their own care planning</w:t>
      </w:r>
    </w:p>
    <w:p w:rsidR="004B0F2D" w:rsidRPr="006E7FB5" w:rsidRDefault="00316662" w:rsidP="006E7FB5">
      <w:pPr>
        <w:numPr>
          <w:ilvl w:val="0"/>
          <w:numId w:val="1"/>
        </w:numPr>
        <w:rPr>
          <w:rFonts w:ascii="Arial" w:hAnsi="Arial" w:cs="Arial"/>
        </w:rPr>
      </w:pPr>
      <w:r w:rsidRPr="002A74A9">
        <w:rPr>
          <w:rFonts w:ascii="Arial" w:hAnsi="Arial" w:cs="Arial"/>
        </w:rPr>
        <w:t>Ensuring consistent high quality records of care plans and assessments</w:t>
      </w:r>
    </w:p>
    <w:p w:rsidR="00316662" w:rsidRPr="002A74A9" w:rsidRDefault="00316662" w:rsidP="00316662">
      <w:pPr>
        <w:numPr>
          <w:ilvl w:val="0"/>
          <w:numId w:val="1"/>
        </w:numPr>
        <w:rPr>
          <w:rFonts w:ascii="Arial" w:hAnsi="Arial" w:cs="Arial"/>
        </w:rPr>
      </w:pPr>
      <w:r w:rsidRPr="002A74A9">
        <w:rPr>
          <w:rFonts w:ascii="Arial" w:hAnsi="Arial" w:cs="Arial"/>
        </w:rPr>
        <w:t>Continuing our work to implement a new end of life care pathway and monitoring the impact of this work</w:t>
      </w:r>
    </w:p>
    <w:p w:rsidR="00316662" w:rsidRPr="002A74A9" w:rsidRDefault="00316662" w:rsidP="00316662">
      <w:pPr>
        <w:numPr>
          <w:ilvl w:val="0"/>
          <w:numId w:val="1"/>
        </w:numPr>
        <w:rPr>
          <w:rFonts w:ascii="Arial" w:hAnsi="Arial" w:cs="Arial"/>
        </w:rPr>
      </w:pPr>
      <w:r w:rsidRPr="002A74A9">
        <w:rPr>
          <w:rFonts w:ascii="Arial" w:hAnsi="Arial" w:cs="Arial"/>
        </w:rPr>
        <w:t>Continuing to monitor and respond to increasing demands on staff specifically in community services</w:t>
      </w:r>
      <w:r w:rsidR="006E7FB5">
        <w:rPr>
          <w:rFonts w:ascii="Arial" w:hAnsi="Arial" w:cs="Arial"/>
        </w:rPr>
        <w:t xml:space="preserve"> in adult mental health and district nursing.</w:t>
      </w:r>
    </w:p>
    <w:p w:rsidR="00316662" w:rsidRPr="002A74A9" w:rsidRDefault="00316662" w:rsidP="00316662">
      <w:pPr>
        <w:numPr>
          <w:ilvl w:val="0"/>
          <w:numId w:val="1"/>
        </w:numPr>
        <w:rPr>
          <w:rFonts w:ascii="Arial" w:hAnsi="Arial" w:cs="Arial"/>
        </w:rPr>
      </w:pPr>
      <w:r w:rsidRPr="002A74A9">
        <w:rPr>
          <w:rFonts w:ascii="Arial" w:hAnsi="Arial" w:cs="Arial"/>
        </w:rPr>
        <w:t>Reviewing ‘blanket’ restrictions on some wards for example allowing all patients free access to garden areas</w:t>
      </w:r>
    </w:p>
    <w:p w:rsidR="00316662" w:rsidRPr="002A74A9" w:rsidRDefault="00316662" w:rsidP="00316662">
      <w:pPr>
        <w:numPr>
          <w:ilvl w:val="0"/>
          <w:numId w:val="1"/>
        </w:numPr>
        <w:rPr>
          <w:rFonts w:ascii="Arial" w:hAnsi="Arial" w:cs="Arial"/>
        </w:rPr>
      </w:pPr>
      <w:r w:rsidRPr="002A74A9">
        <w:rPr>
          <w:rFonts w:ascii="Arial" w:hAnsi="Arial" w:cs="Arial"/>
        </w:rPr>
        <w:t xml:space="preserve">Tightening monitoring arrangements around equipment including resuscitation equipment and </w:t>
      </w:r>
      <w:r w:rsidR="000A41EE" w:rsidRPr="002A74A9">
        <w:rPr>
          <w:rFonts w:ascii="Arial" w:hAnsi="Arial" w:cs="Arial"/>
        </w:rPr>
        <w:t>Trust</w:t>
      </w:r>
      <w:r w:rsidRPr="002A74A9">
        <w:rPr>
          <w:rFonts w:ascii="Arial" w:hAnsi="Arial" w:cs="Arial"/>
        </w:rPr>
        <w:t xml:space="preserve"> labelling for ‘To Take Out’ medicines</w:t>
      </w:r>
    </w:p>
    <w:p w:rsidR="00316662" w:rsidRPr="002A74A9" w:rsidRDefault="00316662" w:rsidP="00316662">
      <w:pPr>
        <w:numPr>
          <w:ilvl w:val="0"/>
          <w:numId w:val="1"/>
        </w:numPr>
        <w:spacing w:after="240"/>
        <w:rPr>
          <w:rFonts w:ascii="Arial" w:hAnsi="Arial" w:cs="Arial"/>
        </w:rPr>
      </w:pPr>
      <w:r w:rsidRPr="002A74A9">
        <w:rPr>
          <w:rFonts w:ascii="Arial" w:hAnsi="Arial" w:cs="Arial"/>
        </w:rPr>
        <w:t>Continuing to work with staff to ensure all mandatory training specifically resuscitation is completed.</w:t>
      </w:r>
    </w:p>
    <w:p w:rsidR="00316662" w:rsidRPr="002A74A9" w:rsidRDefault="00316662" w:rsidP="00316662">
      <w:pPr>
        <w:rPr>
          <w:rFonts w:ascii="Arial" w:hAnsi="Arial" w:cs="Arial"/>
        </w:rPr>
      </w:pPr>
      <w:r w:rsidRPr="002A74A9">
        <w:rPr>
          <w:rFonts w:ascii="Arial" w:hAnsi="Arial" w:cs="Arial"/>
        </w:rPr>
        <w:t>Inspectors no</w:t>
      </w:r>
      <w:r w:rsidR="000A41EE" w:rsidRPr="002A74A9">
        <w:rPr>
          <w:rFonts w:ascii="Arial" w:hAnsi="Arial" w:cs="Arial"/>
        </w:rPr>
        <w:t>ted that: “Across all services Trust</w:t>
      </w:r>
      <w:r w:rsidRPr="002A74A9">
        <w:rPr>
          <w:rFonts w:ascii="Arial" w:hAnsi="Arial" w:cs="Arial"/>
        </w:rPr>
        <w:t xml:space="preserve"> </w:t>
      </w:r>
      <w:proofErr w:type="gramStart"/>
      <w:r w:rsidRPr="002A74A9">
        <w:rPr>
          <w:rFonts w:ascii="Arial" w:hAnsi="Arial" w:cs="Arial"/>
        </w:rPr>
        <w:t>staff were</w:t>
      </w:r>
      <w:proofErr w:type="gramEnd"/>
      <w:r w:rsidRPr="002A74A9">
        <w:rPr>
          <w:rFonts w:ascii="Arial" w:hAnsi="Arial" w:cs="Arial"/>
        </w:rPr>
        <w:t xml:space="preserve"> good at recognising safeguarding and reporting incidents. Teams learnt from incidents and there was shared learning across services, through regular ‘briefing notes’ and “staff had good access to mandatory training and good induction programmes, as well as opportunities for continuous professional development.”</w:t>
      </w:r>
    </w:p>
    <w:p w:rsidR="00316662" w:rsidRPr="002A74A9" w:rsidRDefault="00316662" w:rsidP="00316662">
      <w:pPr>
        <w:rPr>
          <w:rFonts w:ascii="Arial" w:hAnsi="Arial" w:cs="Arial"/>
        </w:rPr>
      </w:pPr>
    </w:p>
    <w:p w:rsidR="00316662" w:rsidRPr="002A74A9" w:rsidRDefault="00105018" w:rsidP="00316662">
      <w:pPr>
        <w:rPr>
          <w:rFonts w:ascii="Arial" w:hAnsi="Arial" w:cs="Arial"/>
        </w:rPr>
      </w:pPr>
      <w:r w:rsidRPr="002A74A9">
        <w:rPr>
          <w:rFonts w:ascii="Arial" w:hAnsi="Arial" w:cs="Arial"/>
        </w:rPr>
        <w:t>Oxford Health FT h</w:t>
      </w:r>
      <w:r w:rsidR="00316662" w:rsidRPr="002A74A9">
        <w:rPr>
          <w:rFonts w:ascii="Arial" w:hAnsi="Arial" w:cs="Arial"/>
        </w:rPr>
        <w:t xml:space="preserve">as a strong track record of working in partnership with others and providing integrated services, inspectors noted. “The </w:t>
      </w:r>
      <w:r w:rsidR="000A41EE" w:rsidRPr="002A74A9">
        <w:rPr>
          <w:rFonts w:ascii="Arial" w:hAnsi="Arial" w:cs="Arial"/>
        </w:rPr>
        <w:t>Trust</w:t>
      </w:r>
      <w:r w:rsidR="00316662" w:rsidRPr="002A74A9">
        <w:rPr>
          <w:rFonts w:ascii="Arial" w:hAnsi="Arial" w:cs="Arial"/>
        </w:rPr>
        <w:t xml:space="preserve"> is clearly committed to services that are multi-agency and multi-disciplinary and this was evident from the board discussions we observed and how staff at the frontline described the care.”</w:t>
      </w:r>
    </w:p>
    <w:p w:rsidR="00316662" w:rsidRPr="002A74A9" w:rsidRDefault="00316662" w:rsidP="00316662">
      <w:pPr>
        <w:rPr>
          <w:rFonts w:ascii="Arial" w:hAnsi="Arial" w:cs="Arial"/>
        </w:rPr>
      </w:pPr>
    </w:p>
    <w:p w:rsidR="00316662" w:rsidRDefault="00316662" w:rsidP="00316662">
      <w:pPr>
        <w:rPr>
          <w:rFonts w:ascii="Arial" w:hAnsi="Arial" w:cs="Arial"/>
        </w:rPr>
      </w:pPr>
      <w:r w:rsidRPr="002A74A9">
        <w:rPr>
          <w:rFonts w:ascii="Arial" w:hAnsi="Arial" w:cs="Arial"/>
        </w:rPr>
        <w:t>Effectiveness was rated as requiring improvement, due to known issues that we are addressing. The main area is about involving patients in planning and reviewing their care and noting it on their records. A major piece of work on developing a new Patient Involvement and Engagement Strategy, in collaboration with patients and people who care for them is underway and due for completion by Spring 2016. The second area for improvement is around embedding more consistent patient assessments to evaluate pain (although timely administration of pain relief was reported positively by patients) and swallowing difficulties; and the third area is continuing to implement and assess the impact of our new end of life care pathway. Work has been completed or is underway to address all of these matters.</w:t>
      </w:r>
    </w:p>
    <w:p w:rsidR="006E7FB5" w:rsidRPr="002A74A9" w:rsidRDefault="006E7FB5" w:rsidP="00316662">
      <w:pPr>
        <w:rPr>
          <w:rFonts w:ascii="Arial" w:hAnsi="Arial" w:cs="Arial"/>
        </w:rPr>
      </w:pPr>
    </w:p>
    <w:p w:rsidR="00316662" w:rsidRPr="002A74A9" w:rsidRDefault="00316662" w:rsidP="00316662">
      <w:pPr>
        <w:rPr>
          <w:rFonts w:ascii="Arial" w:hAnsi="Arial" w:cs="Arial"/>
        </w:rPr>
      </w:pPr>
    </w:p>
    <w:p w:rsidR="00316662" w:rsidRPr="002A74A9" w:rsidRDefault="00316662" w:rsidP="00316662">
      <w:pPr>
        <w:rPr>
          <w:rFonts w:ascii="Arial" w:hAnsi="Arial" w:cs="Arial"/>
        </w:rPr>
      </w:pPr>
      <w:r w:rsidRPr="002A74A9">
        <w:rPr>
          <w:rFonts w:ascii="Arial" w:hAnsi="Arial" w:cs="Arial"/>
        </w:rPr>
        <w:lastRenderedPageBreak/>
        <w:t xml:space="preserve">In all, there are some very positive messages about the Trust over all from the inspectors in the reports, particularly about three of the five domains (caring, safe, </w:t>
      </w:r>
      <w:proofErr w:type="gramStart"/>
      <w:r w:rsidRPr="002A74A9">
        <w:rPr>
          <w:rFonts w:ascii="Arial" w:hAnsi="Arial" w:cs="Arial"/>
        </w:rPr>
        <w:t>effective</w:t>
      </w:r>
      <w:proofErr w:type="gramEnd"/>
      <w:r w:rsidRPr="002A74A9">
        <w:rPr>
          <w:rFonts w:ascii="Arial" w:hAnsi="Arial" w:cs="Arial"/>
        </w:rPr>
        <w:t>, responsive, well-led). Caring, responsive, well-led domains have all had really good reviews. There are some areas where we think we need to do more, around ‘safety' and 'effectiveness’ in particular. The vast majority of the areas for improvement were things we recognised and had plans in plac</w:t>
      </w:r>
      <w:r w:rsidR="00105018" w:rsidRPr="002A74A9">
        <w:rPr>
          <w:rFonts w:ascii="Arial" w:hAnsi="Arial" w:cs="Arial"/>
        </w:rPr>
        <w:t xml:space="preserve">e to address. WE have </w:t>
      </w:r>
      <w:r w:rsidRPr="002A74A9">
        <w:rPr>
          <w:rFonts w:ascii="Arial" w:hAnsi="Arial" w:cs="Arial"/>
        </w:rPr>
        <w:t>received no enforcement actions and that inspectors found that National Institute for Health and Care Excellence (NICE) guidelines were followed.</w:t>
      </w:r>
    </w:p>
    <w:p w:rsidR="00316662" w:rsidRPr="002A74A9" w:rsidRDefault="00316662" w:rsidP="00316662">
      <w:pPr>
        <w:rPr>
          <w:rFonts w:ascii="Arial" w:hAnsi="Arial" w:cs="Arial"/>
        </w:rPr>
      </w:pPr>
    </w:p>
    <w:p w:rsidR="00316662" w:rsidRPr="002A74A9" w:rsidRDefault="00105018" w:rsidP="00316662">
      <w:pPr>
        <w:rPr>
          <w:rFonts w:ascii="Arial" w:hAnsi="Arial" w:cs="Arial"/>
        </w:rPr>
      </w:pPr>
      <w:r w:rsidRPr="002A74A9">
        <w:rPr>
          <w:rFonts w:ascii="Arial" w:hAnsi="Arial" w:cs="Arial"/>
        </w:rPr>
        <w:t>Our</w:t>
      </w:r>
      <w:r w:rsidR="00316662" w:rsidRPr="002A74A9">
        <w:rPr>
          <w:rFonts w:ascii="Arial" w:hAnsi="Arial" w:cs="Arial"/>
        </w:rPr>
        <w:t xml:space="preserve"> caring staff for</w:t>
      </w:r>
      <w:r w:rsidRPr="002A74A9">
        <w:rPr>
          <w:rFonts w:ascii="Arial" w:hAnsi="Arial" w:cs="Arial"/>
        </w:rPr>
        <w:t xml:space="preserve"> can be proud of </w:t>
      </w:r>
      <w:r w:rsidR="00316662" w:rsidRPr="002A74A9">
        <w:rPr>
          <w:rFonts w:ascii="Arial" w:hAnsi="Arial" w:cs="Arial"/>
        </w:rPr>
        <w:t>contributing to delivering and improving our services before, during and after the CQC inspection. We began this journey of improvement before the inspection and we value the insights that our own preparations and the inspection process have given us. We will continue this improvement work into the future and we will have an opportunity to measure our progress with a follow-up inspection in about six months’ time. All of this helps our learning and is part of our ongoing drive to work together to improve our services to benefit the people we serve.</w:t>
      </w:r>
    </w:p>
    <w:p w:rsidR="00316662" w:rsidRPr="002A74A9" w:rsidRDefault="00316662" w:rsidP="00316662">
      <w:pPr>
        <w:rPr>
          <w:rFonts w:ascii="Arial" w:hAnsi="Arial" w:cs="Arial"/>
        </w:rPr>
      </w:pPr>
    </w:p>
    <w:p w:rsidR="00311E92" w:rsidRDefault="00311E92" w:rsidP="00316662">
      <w:pPr>
        <w:rPr>
          <w:rFonts w:ascii="Arial" w:hAnsi="Arial" w:cs="Arial"/>
        </w:rPr>
      </w:pPr>
      <w:r w:rsidRPr="002A74A9">
        <w:rPr>
          <w:rFonts w:ascii="Arial" w:hAnsi="Arial" w:cs="Arial"/>
        </w:rPr>
        <w:t xml:space="preserve">A summary of the 75 ratings </w:t>
      </w:r>
      <w:r w:rsidR="00B52B42" w:rsidRPr="002A74A9">
        <w:rPr>
          <w:rFonts w:ascii="Arial" w:hAnsi="Arial" w:cs="Arial"/>
        </w:rPr>
        <w:t>applying to e</w:t>
      </w:r>
      <w:r w:rsidR="000A41EE" w:rsidRPr="002A74A9">
        <w:rPr>
          <w:rFonts w:ascii="Arial" w:hAnsi="Arial" w:cs="Arial"/>
        </w:rPr>
        <w:t>ach core service is shown below:</w:t>
      </w:r>
    </w:p>
    <w:p w:rsidR="002A74A9" w:rsidRPr="002A74A9" w:rsidRDefault="002A74A9" w:rsidP="00316662">
      <w:pPr>
        <w:rPr>
          <w:rFonts w:ascii="Arial" w:hAnsi="Arial" w:cs="Arial"/>
          <w:b/>
        </w:rPr>
      </w:pPr>
    </w:p>
    <w:tbl>
      <w:tblPr>
        <w:tblStyle w:val="TableGrid"/>
        <w:tblpPr w:leftFromText="180" w:rightFromText="180" w:vertAnchor="text" w:horzAnchor="margin" w:tblpXSpec="center" w:tblpY="111"/>
        <w:tblW w:w="11165" w:type="dxa"/>
        <w:tblLayout w:type="fixed"/>
        <w:tblLook w:val="04A0" w:firstRow="1" w:lastRow="0" w:firstColumn="1" w:lastColumn="0" w:noHBand="0" w:noVBand="1"/>
      </w:tblPr>
      <w:tblGrid>
        <w:gridCol w:w="1668"/>
        <w:gridCol w:w="1701"/>
        <w:gridCol w:w="1559"/>
        <w:gridCol w:w="1559"/>
        <w:gridCol w:w="1559"/>
        <w:gridCol w:w="1560"/>
        <w:gridCol w:w="1559"/>
      </w:tblGrid>
      <w:tr w:rsidR="00DF105D" w:rsidRPr="002A74A9" w:rsidTr="002A74A9">
        <w:trPr>
          <w:tblHeader/>
        </w:trPr>
        <w:tc>
          <w:tcPr>
            <w:tcW w:w="1668" w:type="dxa"/>
            <w:vMerge w:val="restart"/>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Core Service</w:t>
            </w:r>
          </w:p>
        </w:tc>
        <w:tc>
          <w:tcPr>
            <w:tcW w:w="1701" w:type="dxa"/>
            <w:vMerge w:val="restart"/>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Overall Rating</w:t>
            </w:r>
          </w:p>
        </w:tc>
        <w:tc>
          <w:tcPr>
            <w:tcW w:w="7796" w:type="dxa"/>
            <w:gridSpan w:val="5"/>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Domain Rating</w:t>
            </w:r>
          </w:p>
        </w:tc>
      </w:tr>
      <w:tr w:rsidR="00DF105D" w:rsidRPr="002A74A9" w:rsidTr="002A74A9">
        <w:trPr>
          <w:tblHeader/>
        </w:trPr>
        <w:tc>
          <w:tcPr>
            <w:tcW w:w="1668" w:type="dxa"/>
            <w:vMerge/>
          </w:tcPr>
          <w:p w:rsidR="00DF105D" w:rsidRPr="002A74A9" w:rsidRDefault="00DF105D" w:rsidP="00DF105D">
            <w:pPr>
              <w:rPr>
                <w:rFonts w:ascii="Arial" w:hAnsi="Arial" w:cs="Arial"/>
                <w:sz w:val="22"/>
              </w:rPr>
            </w:pPr>
          </w:p>
        </w:tc>
        <w:tc>
          <w:tcPr>
            <w:tcW w:w="1701" w:type="dxa"/>
            <w:vMerge/>
            <w:shd w:val="clear" w:color="auto" w:fill="D9D9D9" w:themeFill="background1" w:themeFillShade="D9"/>
          </w:tcPr>
          <w:p w:rsidR="00DF105D" w:rsidRPr="002A74A9" w:rsidRDefault="00DF105D" w:rsidP="00DF105D">
            <w:pPr>
              <w:rPr>
                <w:rFonts w:ascii="Arial" w:hAnsi="Arial" w:cs="Arial"/>
                <w:sz w:val="22"/>
              </w:rPr>
            </w:pPr>
          </w:p>
        </w:tc>
        <w:tc>
          <w:tcPr>
            <w:tcW w:w="1559" w:type="dxa"/>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Safe</w:t>
            </w:r>
          </w:p>
        </w:tc>
        <w:tc>
          <w:tcPr>
            <w:tcW w:w="1559" w:type="dxa"/>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Effective</w:t>
            </w:r>
          </w:p>
        </w:tc>
        <w:tc>
          <w:tcPr>
            <w:tcW w:w="1559" w:type="dxa"/>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Caring</w:t>
            </w:r>
          </w:p>
        </w:tc>
        <w:tc>
          <w:tcPr>
            <w:tcW w:w="1560" w:type="dxa"/>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Responsive</w:t>
            </w:r>
          </w:p>
        </w:tc>
        <w:tc>
          <w:tcPr>
            <w:tcW w:w="1559" w:type="dxa"/>
            <w:shd w:val="clear" w:color="auto" w:fill="D9D9D9" w:themeFill="background1" w:themeFillShade="D9"/>
          </w:tcPr>
          <w:p w:rsidR="00DF105D" w:rsidRPr="002A74A9" w:rsidRDefault="00DF105D" w:rsidP="00DF105D">
            <w:pPr>
              <w:rPr>
                <w:rFonts w:ascii="Arial" w:hAnsi="Arial" w:cs="Arial"/>
                <w:sz w:val="22"/>
              </w:rPr>
            </w:pPr>
            <w:r w:rsidRPr="002A74A9">
              <w:rPr>
                <w:rFonts w:ascii="Arial" w:hAnsi="Arial" w:cs="Arial"/>
                <w:sz w:val="22"/>
              </w:rPr>
              <w:t>Well led</w:t>
            </w:r>
          </w:p>
        </w:tc>
      </w:tr>
      <w:tr w:rsidR="00DF105D" w:rsidRPr="002A74A9" w:rsidTr="002A74A9">
        <w:tc>
          <w:tcPr>
            <w:tcW w:w="1668" w:type="dxa"/>
            <w:shd w:val="clear" w:color="auto" w:fill="auto"/>
          </w:tcPr>
          <w:p w:rsidR="00DF105D" w:rsidRPr="002A74A9" w:rsidRDefault="00DF105D" w:rsidP="00DF105D">
            <w:pPr>
              <w:rPr>
                <w:rFonts w:ascii="Arial" w:hAnsi="Arial" w:cs="Arial"/>
                <w:i/>
                <w:sz w:val="22"/>
              </w:rPr>
            </w:pPr>
            <w:r w:rsidRPr="002A74A9">
              <w:rPr>
                <w:rFonts w:ascii="Arial" w:hAnsi="Arial" w:cs="Arial"/>
                <w:i/>
                <w:sz w:val="22"/>
              </w:rPr>
              <w:t>Trust wide</w:t>
            </w:r>
          </w:p>
        </w:tc>
        <w:tc>
          <w:tcPr>
            <w:tcW w:w="1701" w:type="dxa"/>
            <w:shd w:val="clear" w:color="auto" w:fill="FFFF00"/>
          </w:tcPr>
          <w:p w:rsidR="00DF105D" w:rsidRPr="002A74A9" w:rsidRDefault="00DF105D" w:rsidP="00DF105D">
            <w:pPr>
              <w:rPr>
                <w:rFonts w:ascii="Arial" w:hAnsi="Arial" w:cs="Arial"/>
                <w:i/>
                <w:sz w:val="22"/>
              </w:rPr>
            </w:pPr>
            <w:r w:rsidRPr="002A74A9">
              <w:rPr>
                <w:rFonts w:ascii="Arial" w:hAnsi="Arial" w:cs="Arial"/>
                <w:i/>
                <w:sz w:val="22"/>
              </w:rPr>
              <w:t>Requires Improvement</w:t>
            </w:r>
          </w:p>
        </w:tc>
        <w:tc>
          <w:tcPr>
            <w:tcW w:w="1559" w:type="dxa"/>
            <w:shd w:val="clear" w:color="auto" w:fill="FFFF00"/>
          </w:tcPr>
          <w:p w:rsidR="00DF105D" w:rsidRPr="002A74A9" w:rsidRDefault="00DF105D" w:rsidP="00DF105D">
            <w:pPr>
              <w:rPr>
                <w:rFonts w:ascii="Arial" w:hAnsi="Arial" w:cs="Arial"/>
                <w:i/>
                <w:sz w:val="22"/>
              </w:rPr>
            </w:pPr>
            <w:r w:rsidRPr="002A74A9">
              <w:rPr>
                <w:rFonts w:ascii="Arial" w:hAnsi="Arial" w:cs="Arial"/>
                <w:i/>
                <w:sz w:val="22"/>
              </w:rPr>
              <w:t>Requires Improvement</w:t>
            </w:r>
          </w:p>
        </w:tc>
        <w:tc>
          <w:tcPr>
            <w:tcW w:w="1559" w:type="dxa"/>
            <w:shd w:val="clear" w:color="auto" w:fill="FFFF00"/>
          </w:tcPr>
          <w:p w:rsidR="00DF105D" w:rsidRPr="002A74A9" w:rsidRDefault="00DF105D" w:rsidP="00DF105D">
            <w:pPr>
              <w:rPr>
                <w:rFonts w:ascii="Arial" w:hAnsi="Arial" w:cs="Arial"/>
                <w:i/>
                <w:sz w:val="22"/>
              </w:rPr>
            </w:pPr>
            <w:r w:rsidRPr="002A74A9">
              <w:rPr>
                <w:rFonts w:ascii="Arial" w:hAnsi="Arial" w:cs="Arial"/>
                <w:i/>
                <w:sz w:val="22"/>
              </w:rPr>
              <w:t>Requires Improvement</w:t>
            </w:r>
          </w:p>
        </w:tc>
        <w:tc>
          <w:tcPr>
            <w:tcW w:w="1559" w:type="dxa"/>
            <w:shd w:val="clear" w:color="auto" w:fill="92D050"/>
          </w:tcPr>
          <w:p w:rsidR="00DF105D" w:rsidRPr="002A74A9" w:rsidRDefault="00DF105D" w:rsidP="00DF105D">
            <w:pPr>
              <w:rPr>
                <w:rFonts w:ascii="Arial" w:hAnsi="Arial" w:cs="Arial"/>
                <w:i/>
                <w:sz w:val="22"/>
              </w:rPr>
            </w:pPr>
            <w:r w:rsidRPr="002A74A9">
              <w:rPr>
                <w:rFonts w:ascii="Arial" w:hAnsi="Arial" w:cs="Arial"/>
                <w:i/>
                <w:sz w:val="22"/>
              </w:rPr>
              <w:t>Good</w:t>
            </w:r>
          </w:p>
        </w:tc>
        <w:tc>
          <w:tcPr>
            <w:tcW w:w="1560" w:type="dxa"/>
            <w:shd w:val="clear" w:color="auto" w:fill="92D050"/>
          </w:tcPr>
          <w:p w:rsidR="00DF105D" w:rsidRPr="002A74A9" w:rsidRDefault="00DF105D" w:rsidP="00DF105D">
            <w:pPr>
              <w:rPr>
                <w:rFonts w:ascii="Arial" w:hAnsi="Arial" w:cs="Arial"/>
                <w:i/>
                <w:sz w:val="22"/>
              </w:rPr>
            </w:pPr>
            <w:r w:rsidRPr="002A74A9">
              <w:rPr>
                <w:rFonts w:ascii="Arial" w:hAnsi="Arial" w:cs="Arial"/>
                <w:i/>
                <w:sz w:val="22"/>
              </w:rPr>
              <w:t>Good</w:t>
            </w:r>
          </w:p>
        </w:tc>
        <w:tc>
          <w:tcPr>
            <w:tcW w:w="1559" w:type="dxa"/>
            <w:shd w:val="clear" w:color="auto" w:fill="92D050"/>
          </w:tcPr>
          <w:p w:rsidR="00DF105D" w:rsidRPr="002A74A9" w:rsidRDefault="00DF105D" w:rsidP="00DF105D">
            <w:pPr>
              <w:rPr>
                <w:rFonts w:ascii="Arial" w:hAnsi="Arial" w:cs="Arial"/>
                <w:i/>
                <w:sz w:val="22"/>
              </w:rPr>
            </w:pPr>
            <w:r w:rsidRPr="002A74A9">
              <w:rPr>
                <w:rFonts w:ascii="Arial" w:hAnsi="Arial" w:cs="Arial"/>
                <w:i/>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CAMHS wards</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CYP Services</w:t>
            </w:r>
          </w:p>
        </w:tc>
        <w:tc>
          <w:tcPr>
            <w:tcW w:w="1701"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59"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CAMHS community</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rPr>
          <w:trHeight w:val="70"/>
        </w:trPr>
        <w:tc>
          <w:tcPr>
            <w:tcW w:w="1668" w:type="dxa"/>
          </w:tcPr>
          <w:p w:rsidR="00DF105D" w:rsidRPr="002A74A9" w:rsidRDefault="00DF105D" w:rsidP="00DF105D">
            <w:pPr>
              <w:rPr>
                <w:rFonts w:ascii="Arial" w:hAnsi="Arial" w:cs="Arial"/>
                <w:sz w:val="22"/>
              </w:rPr>
            </w:pPr>
            <w:r w:rsidRPr="002A74A9">
              <w:rPr>
                <w:rFonts w:ascii="Arial" w:hAnsi="Arial" w:cs="Arial"/>
                <w:sz w:val="22"/>
              </w:rPr>
              <w:t>Luther Street GP</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60"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42FB" w:rsidP="00DF105D">
            <w:pPr>
              <w:rPr>
                <w:rFonts w:ascii="Arial" w:hAnsi="Arial" w:cs="Arial"/>
                <w:sz w:val="22"/>
              </w:rPr>
            </w:pPr>
            <w:r>
              <w:rPr>
                <w:rFonts w:ascii="Arial" w:hAnsi="Arial" w:cs="Arial"/>
                <w:sz w:val="22"/>
              </w:rPr>
              <w:t>Adult mental h</w:t>
            </w:r>
            <w:r w:rsidR="00DF105D" w:rsidRPr="002A74A9">
              <w:rPr>
                <w:rFonts w:ascii="Arial" w:hAnsi="Arial" w:cs="Arial"/>
                <w:sz w:val="22"/>
              </w:rPr>
              <w:t>ealth teams</w:t>
            </w:r>
          </w:p>
        </w:tc>
        <w:tc>
          <w:tcPr>
            <w:tcW w:w="1701"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Rehab mental health ward</w:t>
            </w:r>
          </w:p>
          <w:p w:rsidR="00DF105D" w:rsidRPr="002A74A9" w:rsidRDefault="00DF105D" w:rsidP="00DF105D">
            <w:pPr>
              <w:rPr>
                <w:rFonts w:ascii="Arial" w:hAnsi="Arial" w:cs="Arial"/>
                <w:sz w:val="22"/>
              </w:rPr>
            </w:pPr>
          </w:p>
        </w:tc>
        <w:tc>
          <w:tcPr>
            <w:tcW w:w="1701"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Adult acute mental health wards and PICU</w:t>
            </w:r>
          </w:p>
        </w:tc>
        <w:tc>
          <w:tcPr>
            <w:tcW w:w="1701"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r>
      <w:tr w:rsidR="00DF105D" w:rsidRPr="002A74A9" w:rsidTr="002A74A9">
        <w:trPr>
          <w:trHeight w:val="466"/>
        </w:trPr>
        <w:tc>
          <w:tcPr>
            <w:tcW w:w="1668" w:type="dxa"/>
          </w:tcPr>
          <w:p w:rsidR="00DF105D" w:rsidRPr="002A74A9" w:rsidRDefault="00DF105D" w:rsidP="00DF105D">
            <w:pPr>
              <w:rPr>
                <w:rFonts w:ascii="Arial" w:hAnsi="Arial" w:cs="Arial"/>
                <w:sz w:val="22"/>
              </w:rPr>
            </w:pPr>
            <w:r w:rsidRPr="002A74A9">
              <w:rPr>
                <w:rFonts w:ascii="Arial" w:hAnsi="Arial" w:cs="Arial"/>
                <w:sz w:val="22"/>
              </w:rPr>
              <w:t>Forensic wards</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00B0F0"/>
          </w:tcPr>
          <w:p w:rsidR="00DF105D" w:rsidRPr="002A74A9" w:rsidRDefault="00DF105D" w:rsidP="00DF105D">
            <w:pPr>
              <w:rPr>
                <w:rFonts w:ascii="Arial" w:hAnsi="Arial" w:cs="Arial"/>
                <w:sz w:val="22"/>
              </w:rPr>
            </w:pPr>
            <w:r w:rsidRPr="002A74A9">
              <w:rPr>
                <w:rFonts w:ascii="Arial" w:hAnsi="Arial" w:cs="Arial"/>
                <w:sz w:val="22"/>
              </w:rPr>
              <w:t>Outstanding</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Health based places of safety</w:t>
            </w:r>
            <w:r w:rsidR="006E7FB5">
              <w:rPr>
                <w:rFonts w:ascii="Arial" w:hAnsi="Arial" w:cs="Arial"/>
                <w:sz w:val="22"/>
              </w:rPr>
              <w:t xml:space="preserve"> (MH)</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Urgent care services</w:t>
            </w:r>
            <w:r w:rsidR="006E7FB5">
              <w:rPr>
                <w:rFonts w:ascii="Arial" w:hAnsi="Arial" w:cs="Arial"/>
                <w:sz w:val="22"/>
              </w:rPr>
              <w:t xml:space="preserve"> (MIU)</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42FB" w:rsidP="00DF105D">
            <w:pPr>
              <w:rPr>
                <w:rFonts w:ascii="Arial" w:hAnsi="Arial" w:cs="Arial"/>
                <w:sz w:val="22"/>
              </w:rPr>
            </w:pPr>
            <w:r>
              <w:rPr>
                <w:rFonts w:ascii="Arial" w:hAnsi="Arial" w:cs="Arial"/>
                <w:sz w:val="22"/>
              </w:rPr>
              <w:t>Community h</w:t>
            </w:r>
            <w:r w:rsidR="00DF105D" w:rsidRPr="002A74A9">
              <w:rPr>
                <w:rFonts w:ascii="Arial" w:hAnsi="Arial" w:cs="Arial"/>
                <w:sz w:val="22"/>
              </w:rPr>
              <w:t>ospitals</w:t>
            </w:r>
          </w:p>
        </w:tc>
        <w:tc>
          <w:tcPr>
            <w:tcW w:w="1701"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r>
      <w:tr w:rsidR="00DF105D" w:rsidRPr="002A74A9" w:rsidTr="002A74A9">
        <w:trPr>
          <w:trHeight w:val="710"/>
        </w:trPr>
        <w:tc>
          <w:tcPr>
            <w:tcW w:w="1668" w:type="dxa"/>
          </w:tcPr>
          <w:p w:rsidR="00DF105D" w:rsidRPr="002A74A9" w:rsidRDefault="00DF105D" w:rsidP="00DF105D">
            <w:pPr>
              <w:rPr>
                <w:rFonts w:ascii="Arial" w:hAnsi="Arial" w:cs="Arial"/>
                <w:sz w:val="22"/>
              </w:rPr>
            </w:pPr>
            <w:r w:rsidRPr="002A74A9">
              <w:rPr>
                <w:rFonts w:ascii="Arial" w:hAnsi="Arial" w:cs="Arial"/>
                <w:sz w:val="22"/>
              </w:rPr>
              <w:t>Older people  mental health wards</w:t>
            </w:r>
          </w:p>
          <w:p w:rsidR="00DF105D" w:rsidRPr="002A74A9" w:rsidRDefault="00DF105D" w:rsidP="00DF105D">
            <w:pPr>
              <w:rPr>
                <w:rFonts w:ascii="Arial" w:hAnsi="Arial" w:cs="Arial"/>
                <w:sz w:val="22"/>
              </w:rPr>
            </w:pP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6E7FB5" w:rsidP="00DF105D">
            <w:pPr>
              <w:rPr>
                <w:rFonts w:ascii="Arial" w:hAnsi="Arial" w:cs="Arial"/>
                <w:sz w:val="22"/>
              </w:rPr>
            </w:pPr>
            <w:r>
              <w:rPr>
                <w:rFonts w:ascii="Arial" w:hAnsi="Arial" w:cs="Arial"/>
                <w:sz w:val="22"/>
              </w:rPr>
              <w:lastRenderedPageBreak/>
              <w:t xml:space="preserve">Community services for adults( </w:t>
            </w:r>
            <w:proofErr w:type="spellStart"/>
            <w:r>
              <w:rPr>
                <w:rFonts w:ascii="Arial" w:hAnsi="Arial" w:cs="Arial"/>
                <w:sz w:val="22"/>
              </w:rPr>
              <w:t>Comm</w:t>
            </w:r>
            <w:proofErr w:type="spellEnd"/>
            <w:r>
              <w:rPr>
                <w:rFonts w:ascii="Arial" w:hAnsi="Arial" w:cs="Arial"/>
                <w:sz w:val="22"/>
              </w:rPr>
              <w:t xml:space="preserve"> Ng &amp; ILT)</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c>
          <w:tcPr>
            <w:tcW w:w="1668" w:type="dxa"/>
          </w:tcPr>
          <w:p w:rsidR="00DF105D" w:rsidRPr="002A74A9" w:rsidRDefault="00DF105D" w:rsidP="00DF105D">
            <w:pPr>
              <w:rPr>
                <w:rFonts w:ascii="Arial" w:hAnsi="Arial" w:cs="Arial"/>
                <w:sz w:val="22"/>
              </w:rPr>
            </w:pPr>
            <w:r w:rsidRPr="002A74A9">
              <w:rPr>
                <w:rFonts w:ascii="Arial" w:hAnsi="Arial" w:cs="Arial"/>
                <w:sz w:val="22"/>
              </w:rPr>
              <w:t>End of life care</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FFFF00"/>
          </w:tcPr>
          <w:p w:rsidR="00DF105D" w:rsidRPr="002A74A9" w:rsidRDefault="00DF105D" w:rsidP="00DF105D">
            <w:pPr>
              <w:rPr>
                <w:rFonts w:ascii="Arial" w:hAnsi="Arial" w:cs="Arial"/>
                <w:sz w:val="22"/>
              </w:rPr>
            </w:pPr>
            <w:r w:rsidRPr="002A74A9">
              <w:rPr>
                <w:rFonts w:ascii="Arial" w:hAnsi="Arial" w:cs="Arial"/>
                <w:sz w:val="22"/>
              </w:rPr>
              <w:t>Requires Improvement</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r w:rsidR="00DF105D" w:rsidRPr="002A74A9" w:rsidTr="002A74A9">
        <w:trPr>
          <w:trHeight w:val="686"/>
        </w:trPr>
        <w:tc>
          <w:tcPr>
            <w:tcW w:w="1668" w:type="dxa"/>
          </w:tcPr>
          <w:p w:rsidR="00DF105D" w:rsidRPr="002A74A9" w:rsidRDefault="00DF105D" w:rsidP="00DF105D">
            <w:pPr>
              <w:rPr>
                <w:rFonts w:ascii="Arial" w:hAnsi="Arial" w:cs="Arial"/>
                <w:sz w:val="22"/>
              </w:rPr>
            </w:pPr>
            <w:r w:rsidRPr="002A74A9">
              <w:rPr>
                <w:rFonts w:ascii="Arial" w:hAnsi="Arial" w:cs="Arial"/>
                <w:sz w:val="22"/>
              </w:rPr>
              <w:t>OP CMHTs</w:t>
            </w:r>
          </w:p>
        </w:tc>
        <w:tc>
          <w:tcPr>
            <w:tcW w:w="1701"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60"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c>
          <w:tcPr>
            <w:tcW w:w="1559" w:type="dxa"/>
            <w:shd w:val="clear" w:color="auto" w:fill="92D050"/>
          </w:tcPr>
          <w:p w:rsidR="00DF105D" w:rsidRPr="002A74A9" w:rsidRDefault="00DF105D" w:rsidP="00DF105D">
            <w:pPr>
              <w:rPr>
                <w:rFonts w:ascii="Arial" w:hAnsi="Arial" w:cs="Arial"/>
                <w:sz w:val="22"/>
              </w:rPr>
            </w:pPr>
            <w:r w:rsidRPr="002A74A9">
              <w:rPr>
                <w:rFonts w:ascii="Arial" w:hAnsi="Arial" w:cs="Arial"/>
                <w:sz w:val="22"/>
              </w:rPr>
              <w:t>Good</w:t>
            </w:r>
          </w:p>
        </w:tc>
      </w:tr>
    </w:tbl>
    <w:p w:rsidR="00311E92" w:rsidRPr="002A74A9" w:rsidRDefault="00311E92" w:rsidP="00316662">
      <w:pPr>
        <w:rPr>
          <w:rFonts w:ascii="Arial" w:hAnsi="Arial" w:cs="Arial"/>
          <w:b/>
        </w:rPr>
      </w:pPr>
    </w:p>
    <w:p w:rsidR="00311E92" w:rsidRPr="002A74A9" w:rsidRDefault="00311E92" w:rsidP="00316662">
      <w:pPr>
        <w:rPr>
          <w:rFonts w:ascii="Arial" w:hAnsi="Arial" w:cs="Arial"/>
          <w:b/>
        </w:rPr>
      </w:pPr>
    </w:p>
    <w:p w:rsidR="00311E92" w:rsidRPr="002A74A9" w:rsidRDefault="00311E92" w:rsidP="00311E92">
      <w:pPr>
        <w:rPr>
          <w:rFonts w:ascii="Arial" w:hAnsi="Arial" w:cs="Arial"/>
          <w:b/>
        </w:rPr>
      </w:pPr>
    </w:p>
    <w:p w:rsidR="00771533" w:rsidRPr="002A74A9" w:rsidRDefault="00B52B42" w:rsidP="00316662">
      <w:pPr>
        <w:rPr>
          <w:rFonts w:ascii="Arial" w:hAnsi="Arial" w:cs="Arial"/>
        </w:rPr>
      </w:pPr>
      <w:r w:rsidRPr="002A74A9">
        <w:rPr>
          <w:rFonts w:ascii="Arial" w:hAnsi="Arial" w:cs="Arial"/>
        </w:rPr>
        <w:t>The Quality Summit with the CQC</w:t>
      </w:r>
      <w:r w:rsidR="004437ED">
        <w:rPr>
          <w:rFonts w:ascii="Arial" w:hAnsi="Arial" w:cs="Arial"/>
        </w:rPr>
        <w:t xml:space="preserve">, </w:t>
      </w:r>
      <w:proofErr w:type="gramStart"/>
      <w:r w:rsidR="004437ED">
        <w:rPr>
          <w:rFonts w:ascii="Arial" w:hAnsi="Arial" w:cs="Arial"/>
        </w:rPr>
        <w:t>MONITOR ,</w:t>
      </w:r>
      <w:proofErr w:type="gramEnd"/>
      <w:r w:rsidRPr="002A74A9">
        <w:rPr>
          <w:rFonts w:ascii="Arial" w:hAnsi="Arial" w:cs="Arial"/>
        </w:rPr>
        <w:t xml:space="preserve"> commissioners</w:t>
      </w:r>
      <w:r w:rsidR="004437ED">
        <w:rPr>
          <w:rFonts w:ascii="Arial" w:hAnsi="Arial" w:cs="Arial"/>
        </w:rPr>
        <w:t xml:space="preserve">, partners and </w:t>
      </w:r>
      <w:proofErr w:type="spellStart"/>
      <w:r w:rsidR="004437ED">
        <w:rPr>
          <w:rFonts w:ascii="Arial" w:hAnsi="Arial" w:cs="Arial"/>
        </w:rPr>
        <w:t>Healthwatch</w:t>
      </w:r>
      <w:proofErr w:type="spellEnd"/>
      <w:r w:rsidRPr="002A74A9">
        <w:rPr>
          <w:rFonts w:ascii="Arial" w:hAnsi="Arial" w:cs="Arial"/>
        </w:rPr>
        <w:t xml:space="preserve"> is being held on 29</w:t>
      </w:r>
      <w:r w:rsidRPr="002A74A9">
        <w:rPr>
          <w:rFonts w:ascii="Arial" w:hAnsi="Arial" w:cs="Arial"/>
          <w:vertAlign w:val="superscript"/>
        </w:rPr>
        <w:t>th</w:t>
      </w:r>
      <w:r w:rsidRPr="002A74A9">
        <w:rPr>
          <w:rFonts w:ascii="Arial" w:hAnsi="Arial" w:cs="Arial"/>
        </w:rPr>
        <w:t xml:space="preserve"> January. A draft Improvement Plan has been developed and w</w:t>
      </w:r>
      <w:r w:rsidR="00597D6C" w:rsidRPr="002A74A9">
        <w:rPr>
          <w:rFonts w:ascii="Arial" w:hAnsi="Arial" w:cs="Arial"/>
        </w:rPr>
        <w:t>ill be finalised following the Q</w:t>
      </w:r>
      <w:r w:rsidRPr="002A74A9">
        <w:rPr>
          <w:rFonts w:ascii="Arial" w:hAnsi="Arial" w:cs="Arial"/>
        </w:rPr>
        <w:t xml:space="preserve">uality </w:t>
      </w:r>
      <w:r w:rsidR="00597D6C" w:rsidRPr="002A74A9">
        <w:rPr>
          <w:rFonts w:ascii="Arial" w:hAnsi="Arial" w:cs="Arial"/>
        </w:rPr>
        <w:t>Summit</w:t>
      </w:r>
      <w:r w:rsidR="00F75201" w:rsidRPr="002A74A9">
        <w:rPr>
          <w:rFonts w:ascii="Arial" w:hAnsi="Arial" w:cs="Arial"/>
        </w:rPr>
        <w:t xml:space="preserve"> and published in February.</w:t>
      </w:r>
    </w:p>
    <w:p w:rsidR="00F75201" w:rsidRDefault="00F75201" w:rsidP="00316662">
      <w:pPr>
        <w:rPr>
          <w:rFonts w:ascii="Arial" w:hAnsi="Arial" w:cs="Arial"/>
        </w:rPr>
      </w:pPr>
      <w:r w:rsidRPr="002A74A9">
        <w:rPr>
          <w:rFonts w:ascii="Arial" w:hAnsi="Arial" w:cs="Arial"/>
        </w:rPr>
        <w:t>There will be an update in February provided to the Board of Directors.</w:t>
      </w:r>
    </w:p>
    <w:p w:rsidR="00085C15" w:rsidRPr="002A74A9" w:rsidRDefault="00085C15" w:rsidP="00316662">
      <w:pPr>
        <w:rPr>
          <w:rFonts w:ascii="Arial" w:hAnsi="Arial" w:cs="Arial"/>
        </w:rPr>
      </w:pPr>
    </w:p>
    <w:p w:rsidR="00F75201" w:rsidRPr="002A74A9" w:rsidRDefault="00F75201" w:rsidP="00316662">
      <w:pPr>
        <w:rPr>
          <w:rFonts w:ascii="Arial" w:hAnsi="Arial" w:cs="Arial"/>
        </w:rPr>
      </w:pPr>
      <w:r w:rsidRPr="002A74A9">
        <w:rPr>
          <w:rFonts w:ascii="Arial" w:hAnsi="Arial" w:cs="Arial"/>
        </w:rPr>
        <w:t>The full overview Report is attached. The 15 Core se</w:t>
      </w:r>
      <w:r w:rsidR="00085C15">
        <w:rPr>
          <w:rFonts w:ascii="Arial" w:hAnsi="Arial" w:cs="Arial"/>
        </w:rPr>
        <w:t>rvice</w:t>
      </w:r>
      <w:r w:rsidRPr="002A74A9">
        <w:rPr>
          <w:rFonts w:ascii="Arial" w:hAnsi="Arial" w:cs="Arial"/>
        </w:rPr>
        <w:t xml:space="preserve"> Reports have already been circulated</w:t>
      </w:r>
      <w:r w:rsidR="00085C15">
        <w:rPr>
          <w:rFonts w:ascii="Arial" w:hAnsi="Arial" w:cs="Arial"/>
        </w:rPr>
        <w:t xml:space="preserve"> to Board members </w:t>
      </w:r>
      <w:r w:rsidRPr="002A74A9">
        <w:rPr>
          <w:rFonts w:ascii="Arial" w:hAnsi="Arial" w:cs="Arial"/>
        </w:rPr>
        <w:t xml:space="preserve">and are available at </w:t>
      </w:r>
      <w:hyperlink r:id="rId10" w:history="1">
        <w:r w:rsidRPr="002A74A9">
          <w:rPr>
            <w:rStyle w:val="Hyperlink"/>
            <w:rFonts w:ascii="Arial" w:hAnsi="Arial" w:cs="Arial"/>
          </w:rPr>
          <w:t>http://www.cqc.org.uk/RNU</w:t>
        </w:r>
      </w:hyperlink>
      <w:r w:rsidRPr="002A74A9">
        <w:rPr>
          <w:rFonts w:ascii="Arial" w:hAnsi="Arial" w:cs="Arial"/>
        </w:rPr>
        <w:t xml:space="preserve"> and on the OHFT website and intranet.</w:t>
      </w:r>
    </w:p>
    <w:sectPr w:rsidR="00F75201" w:rsidRPr="002A74A9" w:rsidSect="00DF105D">
      <w:headerReference w:type="default" r:id="rId11"/>
      <w:footerReference w:type="default" r:id="rId12"/>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F9" w:rsidRDefault="00610FF9" w:rsidP="00DF105D">
      <w:r>
        <w:separator/>
      </w:r>
    </w:p>
  </w:endnote>
  <w:endnote w:type="continuationSeparator" w:id="0">
    <w:p w:rsidR="00610FF9" w:rsidRDefault="00610FF9" w:rsidP="00DF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7722"/>
      <w:docPartObj>
        <w:docPartGallery w:val="Page Numbers (Bottom of Page)"/>
        <w:docPartUnique/>
      </w:docPartObj>
    </w:sdtPr>
    <w:sdtEndPr>
      <w:rPr>
        <w:noProof/>
      </w:rPr>
    </w:sdtEndPr>
    <w:sdtContent>
      <w:p w:rsidR="00DF105D" w:rsidRDefault="00DF105D">
        <w:pPr>
          <w:pStyle w:val="Footer"/>
          <w:jc w:val="right"/>
        </w:pPr>
        <w:r>
          <w:fldChar w:fldCharType="begin"/>
        </w:r>
        <w:r>
          <w:instrText xml:space="preserve"> PAGE   \* MERGEFORMAT </w:instrText>
        </w:r>
        <w:r>
          <w:fldChar w:fldCharType="separate"/>
        </w:r>
        <w:r w:rsidR="00A17F69">
          <w:rPr>
            <w:noProof/>
          </w:rPr>
          <w:t>6</w:t>
        </w:r>
        <w:r>
          <w:rPr>
            <w:noProof/>
          </w:rPr>
          <w:fldChar w:fldCharType="end"/>
        </w:r>
      </w:p>
    </w:sdtContent>
  </w:sdt>
  <w:p w:rsidR="00DF105D" w:rsidRDefault="00DF1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F9" w:rsidRDefault="00610FF9" w:rsidP="00DF105D">
      <w:r>
        <w:separator/>
      </w:r>
    </w:p>
  </w:footnote>
  <w:footnote w:type="continuationSeparator" w:id="0">
    <w:p w:rsidR="00610FF9" w:rsidRDefault="00610FF9" w:rsidP="00DF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01" w:rsidRDefault="00F75201">
    <w:pPr>
      <w:pStyle w:val="Header"/>
    </w:pPr>
  </w:p>
  <w:p w:rsidR="00DF105D" w:rsidRDefault="00DF1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115"/>
    <w:multiLevelType w:val="hybridMultilevel"/>
    <w:tmpl w:val="6E789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2"/>
    <w:rsid w:val="0001183C"/>
    <w:rsid w:val="00044355"/>
    <w:rsid w:val="00085C15"/>
    <w:rsid w:val="000A41EE"/>
    <w:rsid w:val="00105018"/>
    <w:rsid w:val="00152826"/>
    <w:rsid w:val="002A74A9"/>
    <w:rsid w:val="00311E92"/>
    <w:rsid w:val="00316662"/>
    <w:rsid w:val="004437ED"/>
    <w:rsid w:val="004B0F2D"/>
    <w:rsid w:val="00597D6C"/>
    <w:rsid w:val="006037D3"/>
    <w:rsid w:val="00610FF9"/>
    <w:rsid w:val="006E7FB5"/>
    <w:rsid w:val="00771533"/>
    <w:rsid w:val="00780369"/>
    <w:rsid w:val="008116CC"/>
    <w:rsid w:val="00873C22"/>
    <w:rsid w:val="008F569C"/>
    <w:rsid w:val="009409CC"/>
    <w:rsid w:val="00A17F69"/>
    <w:rsid w:val="00B21E0E"/>
    <w:rsid w:val="00B52B42"/>
    <w:rsid w:val="00B76E73"/>
    <w:rsid w:val="00DF105D"/>
    <w:rsid w:val="00DF42FB"/>
    <w:rsid w:val="00E269CB"/>
    <w:rsid w:val="00E66451"/>
    <w:rsid w:val="00E958B0"/>
    <w:rsid w:val="00F75201"/>
    <w:rsid w:val="00FD6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DF105D"/>
    <w:pPr>
      <w:keepNext/>
      <w:overflowPunct w:val="0"/>
      <w:autoSpaceDE w:val="0"/>
      <w:autoSpaceDN w:val="0"/>
      <w:adjustRightInd w:val="0"/>
      <w:textAlignment w:val="baseline"/>
      <w:outlineLvl w:val="0"/>
    </w:pPr>
    <w:rPr>
      <w:rFonts w:ascii="Arial" w:eastAsia="Times New Roman" w:hAnsi="Arial"/>
      <w:b/>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05D"/>
    <w:pPr>
      <w:tabs>
        <w:tab w:val="center" w:pos="4513"/>
        <w:tab w:val="right" w:pos="9026"/>
      </w:tabs>
    </w:pPr>
  </w:style>
  <w:style w:type="character" w:customStyle="1" w:styleId="HeaderChar">
    <w:name w:val="Header Char"/>
    <w:basedOn w:val="DefaultParagraphFont"/>
    <w:link w:val="Header"/>
    <w:uiPriority w:val="99"/>
    <w:rsid w:val="00DF105D"/>
    <w:rPr>
      <w:rFonts w:ascii="Times New Roman" w:hAnsi="Times New Roman" w:cs="Times New Roman"/>
      <w:sz w:val="24"/>
      <w:szCs w:val="24"/>
      <w:lang w:eastAsia="en-GB"/>
    </w:rPr>
  </w:style>
  <w:style w:type="paragraph" w:styleId="Footer">
    <w:name w:val="footer"/>
    <w:basedOn w:val="Normal"/>
    <w:link w:val="FooterChar"/>
    <w:uiPriority w:val="99"/>
    <w:unhideWhenUsed/>
    <w:rsid w:val="00DF105D"/>
    <w:pPr>
      <w:tabs>
        <w:tab w:val="center" w:pos="4513"/>
        <w:tab w:val="right" w:pos="9026"/>
      </w:tabs>
    </w:pPr>
  </w:style>
  <w:style w:type="character" w:customStyle="1" w:styleId="FooterChar">
    <w:name w:val="Footer Char"/>
    <w:basedOn w:val="DefaultParagraphFont"/>
    <w:link w:val="Footer"/>
    <w:uiPriority w:val="99"/>
    <w:rsid w:val="00DF105D"/>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F105D"/>
    <w:rPr>
      <w:rFonts w:ascii="Tahoma" w:hAnsi="Tahoma" w:cs="Tahoma"/>
      <w:sz w:val="16"/>
      <w:szCs w:val="16"/>
    </w:rPr>
  </w:style>
  <w:style w:type="character" w:customStyle="1" w:styleId="BalloonTextChar">
    <w:name w:val="Balloon Text Char"/>
    <w:basedOn w:val="DefaultParagraphFont"/>
    <w:link w:val="BalloonText"/>
    <w:uiPriority w:val="99"/>
    <w:semiHidden/>
    <w:rsid w:val="00DF105D"/>
    <w:rPr>
      <w:rFonts w:ascii="Tahoma" w:hAnsi="Tahoma" w:cs="Tahoma"/>
      <w:sz w:val="16"/>
      <w:szCs w:val="16"/>
      <w:lang w:eastAsia="en-GB"/>
    </w:rPr>
  </w:style>
  <w:style w:type="character" w:customStyle="1" w:styleId="Heading1Char">
    <w:name w:val="Heading 1 Char"/>
    <w:basedOn w:val="DefaultParagraphFont"/>
    <w:link w:val="Heading1"/>
    <w:rsid w:val="00DF105D"/>
    <w:rPr>
      <w:rFonts w:ascii="Arial" w:eastAsia="Times New Roman" w:hAnsi="Arial" w:cs="Times New Roman"/>
      <w:b/>
      <w:sz w:val="20"/>
      <w:szCs w:val="20"/>
      <w:u w:val="single"/>
    </w:rPr>
  </w:style>
  <w:style w:type="paragraph" w:customStyle="1" w:styleId="Default">
    <w:name w:val="Default"/>
    <w:rsid w:val="00DF105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DF105D"/>
    <w:pPr>
      <w:jc w:val="center"/>
    </w:pPr>
    <w:rPr>
      <w:rFonts w:ascii="Arial" w:eastAsia="Times New Roman" w:hAnsi="Arial" w:cs="Arial"/>
      <w:b/>
      <w:lang w:val="en-US" w:eastAsia="en-US"/>
    </w:rPr>
  </w:style>
  <w:style w:type="character" w:customStyle="1" w:styleId="BodyTextChar">
    <w:name w:val="Body Text Char"/>
    <w:basedOn w:val="DefaultParagraphFont"/>
    <w:link w:val="BodyText"/>
    <w:rsid w:val="00DF105D"/>
    <w:rPr>
      <w:rFonts w:ascii="Arial" w:eastAsia="Times New Roman" w:hAnsi="Arial" w:cs="Arial"/>
      <w:b/>
      <w:sz w:val="24"/>
      <w:szCs w:val="24"/>
      <w:lang w:val="en-US"/>
    </w:rPr>
  </w:style>
  <w:style w:type="character" w:styleId="Hyperlink">
    <w:name w:val="Hyperlink"/>
    <w:basedOn w:val="DefaultParagraphFont"/>
    <w:uiPriority w:val="99"/>
    <w:unhideWhenUsed/>
    <w:rsid w:val="008116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DF105D"/>
    <w:pPr>
      <w:keepNext/>
      <w:overflowPunct w:val="0"/>
      <w:autoSpaceDE w:val="0"/>
      <w:autoSpaceDN w:val="0"/>
      <w:adjustRightInd w:val="0"/>
      <w:textAlignment w:val="baseline"/>
      <w:outlineLvl w:val="0"/>
    </w:pPr>
    <w:rPr>
      <w:rFonts w:ascii="Arial" w:eastAsia="Times New Roman" w:hAnsi="Arial"/>
      <w:b/>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05D"/>
    <w:pPr>
      <w:tabs>
        <w:tab w:val="center" w:pos="4513"/>
        <w:tab w:val="right" w:pos="9026"/>
      </w:tabs>
    </w:pPr>
  </w:style>
  <w:style w:type="character" w:customStyle="1" w:styleId="HeaderChar">
    <w:name w:val="Header Char"/>
    <w:basedOn w:val="DefaultParagraphFont"/>
    <w:link w:val="Header"/>
    <w:uiPriority w:val="99"/>
    <w:rsid w:val="00DF105D"/>
    <w:rPr>
      <w:rFonts w:ascii="Times New Roman" w:hAnsi="Times New Roman" w:cs="Times New Roman"/>
      <w:sz w:val="24"/>
      <w:szCs w:val="24"/>
      <w:lang w:eastAsia="en-GB"/>
    </w:rPr>
  </w:style>
  <w:style w:type="paragraph" w:styleId="Footer">
    <w:name w:val="footer"/>
    <w:basedOn w:val="Normal"/>
    <w:link w:val="FooterChar"/>
    <w:uiPriority w:val="99"/>
    <w:unhideWhenUsed/>
    <w:rsid w:val="00DF105D"/>
    <w:pPr>
      <w:tabs>
        <w:tab w:val="center" w:pos="4513"/>
        <w:tab w:val="right" w:pos="9026"/>
      </w:tabs>
    </w:pPr>
  </w:style>
  <w:style w:type="character" w:customStyle="1" w:styleId="FooterChar">
    <w:name w:val="Footer Char"/>
    <w:basedOn w:val="DefaultParagraphFont"/>
    <w:link w:val="Footer"/>
    <w:uiPriority w:val="99"/>
    <w:rsid w:val="00DF105D"/>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F105D"/>
    <w:rPr>
      <w:rFonts w:ascii="Tahoma" w:hAnsi="Tahoma" w:cs="Tahoma"/>
      <w:sz w:val="16"/>
      <w:szCs w:val="16"/>
    </w:rPr>
  </w:style>
  <w:style w:type="character" w:customStyle="1" w:styleId="BalloonTextChar">
    <w:name w:val="Balloon Text Char"/>
    <w:basedOn w:val="DefaultParagraphFont"/>
    <w:link w:val="BalloonText"/>
    <w:uiPriority w:val="99"/>
    <w:semiHidden/>
    <w:rsid w:val="00DF105D"/>
    <w:rPr>
      <w:rFonts w:ascii="Tahoma" w:hAnsi="Tahoma" w:cs="Tahoma"/>
      <w:sz w:val="16"/>
      <w:szCs w:val="16"/>
      <w:lang w:eastAsia="en-GB"/>
    </w:rPr>
  </w:style>
  <w:style w:type="character" w:customStyle="1" w:styleId="Heading1Char">
    <w:name w:val="Heading 1 Char"/>
    <w:basedOn w:val="DefaultParagraphFont"/>
    <w:link w:val="Heading1"/>
    <w:rsid w:val="00DF105D"/>
    <w:rPr>
      <w:rFonts w:ascii="Arial" w:eastAsia="Times New Roman" w:hAnsi="Arial" w:cs="Times New Roman"/>
      <w:b/>
      <w:sz w:val="20"/>
      <w:szCs w:val="20"/>
      <w:u w:val="single"/>
    </w:rPr>
  </w:style>
  <w:style w:type="paragraph" w:customStyle="1" w:styleId="Default">
    <w:name w:val="Default"/>
    <w:rsid w:val="00DF105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DF105D"/>
    <w:pPr>
      <w:jc w:val="center"/>
    </w:pPr>
    <w:rPr>
      <w:rFonts w:ascii="Arial" w:eastAsia="Times New Roman" w:hAnsi="Arial" w:cs="Arial"/>
      <w:b/>
      <w:lang w:val="en-US" w:eastAsia="en-US"/>
    </w:rPr>
  </w:style>
  <w:style w:type="character" w:customStyle="1" w:styleId="BodyTextChar">
    <w:name w:val="Body Text Char"/>
    <w:basedOn w:val="DefaultParagraphFont"/>
    <w:link w:val="BodyText"/>
    <w:rsid w:val="00DF105D"/>
    <w:rPr>
      <w:rFonts w:ascii="Arial" w:eastAsia="Times New Roman" w:hAnsi="Arial" w:cs="Arial"/>
      <w:b/>
      <w:sz w:val="24"/>
      <w:szCs w:val="24"/>
      <w:lang w:val="en-US"/>
    </w:rPr>
  </w:style>
  <w:style w:type="character" w:styleId="Hyperlink">
    <w:name w:val="Hyperlink"/>
    <w:basedOn w:val="DefaultParagraphFont"/>
    <w:uiPriority w:val="99"/>
    <w:unhideWhenUsed/>
    <w:rsid w:val="00811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qc.org.uk/RNU" TargetMode="External"/><Relationship Id="rId4" Type="http://schemas.openxmlformats.org/officeDocument/2006/relationships/settings" Target="settings.xml"/><Relationship Id="rId9" Type="http://schemas.openxmlformats.org/officeDocument/2006/relationships/hyperlink" Target="http://www.cqc.org.uk/provider/RN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Ros.Alstead</dc:creator>
  <cp:lastModifiedBy>Smith Hannah (RNU) Oxford Health</cp:lastModifiedBy>
  <cp:revision>5</cp:revision>
  <dcterms:created xsi:type="dcterms:W3CDTF">2016-01-20T06:02:00Z</dcterms:created>
  <dcterms:modified xsi:type="dcterms:W3CDTF">2016-01-22T17:31:00Z</dcterms:modified>
</cp:coreProperties>
</file>