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216" w:rsidRDefault="00F45216" w:rsidP="00F45216">
      <w:pPr>
        <w:ind w:right="-900"/>
        <w:jc w:val="right"/>
        <w:rPr>
          <w:lang w:val="en-GB"/>
        </w:rPr>
      </w:pPr>
      <w:r>
        <w:rPr>
          <w:noProof/>
          <w:lang w:val="en-GB" w:eastAsia="en-GB"/>
        </w:rPr>
        <w:drawing>
          <wp:inline distT="0" distB="0" distL="0" distR="0" wp14:anchorId="5BAE7AA4" wp14:editId="4FA3C9C2">
            <wp:extent cx="2552700" cy="504825"/>
            <wp:effectExtent l="19050" t="0" r="0" b="0"/>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F45216" w:rsidRDefault="00F45216" w:rsidP="00F45216">
      <w:pPr>
        <w:jc w:val="center"/>
        <w:rPr>
          <w:rFonts w:ascii="Frutiger" w:hAnsi="Frutiger"/>
        </w:rPr>
      </w:pPr>
      <w:r>
        <w:rPr>
          <w:rFonts w:ascii="Times New Roman" w:hAnsi="Times New Roman"/>
          <w:noProof/>
          <w:sz w:val="20"/>
          <w:lang w:val="en-GB" w:eastAsia="en-GB"/>
        </w:rPr>
        <mc:AlternateContent>
          <mc:Choice Requires="wps">
            <w:drawing>
              <wp:anchor distT="0" distB="0" distL="114300" distR="114300" simplePos="0" relativeHeight="251659776" behindDoc="0" locked="0" layoutInCell="1" allowOverlap="1" wp14:anchorId="597FEBB2" wp14:editId="1B81EBCD">
                <wp:simplePos x="0" y="0"/>
                <wp:positionH relativeFrom="column">
                  <wp:posOffset>4114800</wp:posOffset>
                </wp:positionH>
                <wp:positionV relativeFrom="paragraph">
                  <wp:posOffset>51435</wp:posOffset>
                </wp:positionV>
                <wp:extent cx="1371600" cy="571500"/>
                <wp:effectExtent l="9525" t="7620" r="9525" b="1143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F33B50" w:rsidRPr="00F33B50" w:rsidRDefault="00F33B50" w:rsidP="00F33B50">
                            <w:pPr>
                              <w:jc w:val="center"/>
                              <w:rPr>
                                <w:sz w:val="22"/>
                                <w:szCs w:val="22"/>
                              </w:rPr>
                            </w:pPr>
                            <w:r w:rsidRPr="00F33B50">
                              <w:rPr>
                                <w:b/>
                              </w:rPr>
                              <w:t>BOD 13/2016</w:t>
                            </w:r>
                            <w:r>
                              <w:br/>
                            </w:r>
                            <w:r>
                              <w:rPr>
                                <w:sz w:val="22"/>
                                <w:szCs w:val="22"/>
                              </w:rPr>
                              <w:t>(Agenda item: 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324pt;margin-top:4.05pt;width:108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">
                <v:textbox inset="0,0,0,0">
                  <w:txbxContent>
                    <w:p w:rsidR="00F33B50" w:rsidRPr="00F33B50" w:rsidRDefault="00F33B50" w:rsidP="00F33B50">
                      <w:pPr>
                        <w:jc w:val="center"/>
                        <w:rPr>
                          <w:sz w:val="22"/>
                          <w:szCs w:val="22"/>
                        </w:rPr>
                      </w:pPr>
                      <w:r w:rsidRPr="00F33B50">
                        <w:rPr>
                          <w:b/>
                        </w:rPr>
                        <w:t>BOD 13/2016</w:t>
                      </w:r>
                      <w:r>
                        <w:br/>
                      </w:r>
                      <w:r>
                        <w:rPr>
                          <w:sz w:val="22"/>
                          <w:szCs w:val="22"/>
                        </w:rPr>
                        <w:t>(Agenda item: 16)</w:t>
                      </w:r>
                    </w:p>
                  </w:txbxContent>
                </v:textbox>
              </v:rect>
            </w:pict>
          </mc:Fallback>
        </mc:AlternateContent>
      </w:r>
    </w:p>
    <w:p w:rsidR="00F45216" w:rsidRDefault="00F45216" w:rsidP="00F45216">
      <w:pPr>
        <w:pStyle w:val="Heading1"/>
        <w:numPr>
          <w:ilvl w:val="0"/>
          <w:numId w:val="0"/>
        </w:numPr>
        <w:ind w:left="432" w:hanging="432"/>
        <w:rPr>
          <w:sz w:val="24"/>
        </w:rPr>
      </w:pPr>
    </w:p>
    <w:p w:rsidR="00F45216" w:rsidRDefault="00F45216" w:rsidP="00F45216">
      <w:pPr>
        <w:pStyle w:val="Heading1"/>
        <w:numPr>
          <w:ilvl w:val="0"/>
          <w:numId w:val="0"/>
        </w:numPr>
        <w:spacing w:before="0" w:after="0"/>
        <w:ind w:left="431"/>
        <w:jc w:val="center"/>
        <w:rPr>
          <w:u w:val="none"/>
        </w:rPr>
      </w:pPr>
      <w:r>
        <w:rPr>
          <w:u w:val="none"/>
        </w:rPr>
        <w:t>Report to the Meeting of the</w:t>
      </w:r>
    </w:p>
    <w:p w:rsidR="00F45216" w:rsidRDefault="00F45216" w:rsidP="00F45216">
      <w:pPr>
        <w:pStyle w:val="Heading1"/>
        <w:numPr>
          <w:ilvl w:val="0"/>
          <w:numId w:val="0"/>
        </w:numPr>
        <w:spacing w:before="0" w:after="0"/>
        <w:ind w:left="431"/>
        <w:jc w:val="center"/>
        <w:rPr>
          <w:u w:val="none"/>
        </w:rPr>
      </w:pPr>
      <w:r>
        <w:rPr>
          <w:u w:val="none"/>
        </w:rPr>
        <w:t>Oxford Health NHS Foundation Trust</w:t>
      </w:r>
    </w:p>
    <w:p w:rsidR="00F45216" w:rsidRDefault="00F45216" w:rsidP="00F45216">
      <w:pPr>
        <w:pStyle w:val="Heading1"/>
        <w:numPr>
          <w:ilvl w:val="0"/>
          <w:numId w:val="0"/>
        </w:numPr>
        <w:spacing w:before="0"/>
        <w:ind w:left="431"/>
        <w:jc w:val="center"/>
        <w:rPr>
          <w:u w:val="none"/>
        </w:rPr>
      </w:pPr>
      <w:r>
        <w:rPr>
          <w:u w:val="none"/>
        </w:rPr>
        <w:t>Board of Directors</w:t>
      </w:r>
    </w:p>
    <w:p w:rsidR="00F45216" w:rsidRDefault="00F45216" w:rsidP="00F45216">
      <w:pPr>
        <w:jc w:val="center"/>
        <w:rPr>
          <w:rFonts w:cs="Arial"/>
          <w:b/>
        </w:rPr>
      </w:pPr>
      <w:r>
        <w:rPr>
          <w:rFonts w:cs="Arial"/>
          <w:b/>
        </w:rPr>
        <w:t>27</w:t>
      </w:r>
      <w:r w:rsidRPr="005923E4">
        <w:rPr>
          <w:rFonts w:cs="Arial"/>
          <w:b/>
          <w:vertAlign w:val="superscript"/>
        </w:rPr>
        <w:t>th</w:t>
      </w:r>
      <w:r>
        <w:rPr>
          <w:rFonts w:cs="Arial"/>
          <w:b/>
        </w:rPr>
        <w:t xml:space="preserve"> January 2016</w:t>
      </w:r>
    </w:p>
    <w:p w:rsidR="00F45216" w:rsidRDefault="00F45216" w:rsidP="00F45216">
      <w:pPr>
        <w:jc w:val="center"/>
        <w:rPr>
          <w:rFonts w:cs="Arial"/>
          <w:b/>
        </w:rPr>
      </w:pPr>
      <w:r>
        <w:rPr>
          <w:rFonts w:cs="Arial"/>
          <w:b/>
        </w:rPr>
        <w:t>Research and Development</w:t>
      </w:r>
    </w:p>
    <w:p w:rsidR="00F45216" w:rsidRDefault="00F45216" w:rsidP="00F45216">
      <w:pPr>
        <w:rPr>
          <w:rFonts w:cs="Arial"/>
          <w:b/>
        </w:rPr>
      </w:pPr>
      <w:bookmarkStart w:id="0" w:name="_GoBack"/>
      <w:bookmarkEnd w:id="0"/>
    </w:p>
    <w:p w:rsidR="00F45216" w:rsidRPr="00292613" w:rsidRDefault="00F45216" w:rsidP="00F45216">
      <w:pPr>
        <w:rPr>
          <w:rFonts w:cs="Arial"/>
          <w:b/>
          <w:u w:val="single"/>
        </w:rPr>
      </w:pPr>
      <w:r w:rsidRPr="00292613">
        <w:rPr>
          <w:rFonts w:cs="Arial"/>
          <w:b/>
          <w:u w:val="single"/>
        </w:rPr>
        <w:t>For</w:t>
      </w:r>
      <w:r>
        <w:rPr>
          <w:rFonts w:cs="Arial"/>
          <w:b/>
          <w:u w:val="single"/>
        </w:rPr>
        <w:t xml:space="preserve">: </w:t>
      </w:r>
      <w:r w:rsidRPr="00292613">
        <w:rPr>
          <w:rFonts w:cs="Arial"/>
          <w:b/>
          <w:u w:val="single"/>
        </w:rPr>
        <w:t>Information</w:t>
      </w:r>
    </w:p>
    <w:p w:rsidR="00F45216" w:rsidRDefault="00F45216" w:rsidP="00F45216">
      <w:pPr>
        <w:rPr>
          <w:rFonts w:cs="Arial"/>
          <w:b/>
        </w:rPr>
      </w:pPr>
      <w:r>
        <w:rPr>
          <w:rFonts w:cs="Arial"/>
          <w:b/>
        </w:rPr>
        <w:t>Executive Summary</w:t>
      </w:r>
    </w:p>
    <w:p w:rsidR="00F45216" w:rsidRDefault="00F45216" w:rsidP="00F45216">
      <w:pPr>
        <w:rPr>
          <w:rFonts w:cs="Arial"/>
        </w:rPr>
      </w:pPr>
      <w:r>
        <w:rPr>
          <w:rFonts w:cs="Arial"/>
        </w:rPr>
        <w:t xml:space="preserve">The report provides an overview of Research Activity within Oxford Health NHS FT.  The R&amp;D department continues to support high quality research across the organization and in collaboration with other </w:t>
      </w:r>
      <w:proofErr w:type="spellStart"/>
      <w:r>
        <w:rPr>
          <w:rFonts w:cs="Arial"/>
        </w:rPr>
        <w:t>organisations</w:t>
      </w:r>
      <w:proofErr w:type="spellEnd"/>
      <w:r>
        <w:rPr>
          <w:rFonts w:cs="Arial"/>
        </w:rPr>
        <w:t>, predominantly the University of Oxford and Oxford University Hospitals.</w:t>
      </w:r>
    </w:p>
    <w:p w:rsidR="00F45216" w:rsidRDefault="00F45216" w:rsidP="00F45216">
      <w:pPr>
        <w:rPr>
          <w:rFonts w:cs="Arial"/>
        </w:rPr>
      </w:pPr>
      <w:r>
        <w:rPr>
          <w:rFonts w:cs="Arial"/>
        </w:rPr>
        <w:t xml:space="preserve">The Oxford Academic Health Science Network (AHSN) continues to host three themes, </w:t>
      </w:r>
      <w:proofErr w:type="gramStart"/>
      <w:r w:rsidRPr="00420295">
        <w:rPr>
          <w:rFonts w:cs="Arial"/>
        </w:rPr>
        <w:t>Early</w:t>
      </w:r>
      <w:proofErr w:type="gramEnd"/>
      <w:r w:rsidRPr="00420295">
        <w:rPr>
          <w:rFonts w:cs="Arial"/>
        </w:rPr>
        <w:t xml:space="preserve"> intervention led by Prof Belinda Lennox and Sarah Amani</w:t>
      </w:r>
      <w:r>
        <w:rPr>
          <w:rFonts w:cs="Arial"/>
        </w:rPr>
        <w:t>,</w:t>
      </w:r>
      <w:r w:rsidRPr="00420295">
        <w:rPr>
          <w:rFonts w:cs="Arial"/>
        </w:rPr>
        <w:t xml:space="preserve"> Anxiety and Depression led by Prof David Clark and </w:t>
      </w:r>
      <w:proofErr w:type="spellStart"/>
      <w:r w:rsidRPr="00420295">
        <w:rPr>
          <w:rFonts w:cs="Arial"/>
        </w:rPr>
        <w:t>Ineke</w:t>
      </w:r>
      <w:proofErr w:type="spellEnd"/>
      <w:r w:rsidRPr="00420295">
        <w:rPr>
          <w:rFonts w:cs="Arial"/>
        </w:rPr>
        <w:t xml:space="preserve"> Wolsey</w:t>
      </w:r>
      <w:r>
        <w:rPr>
          <w:rFonts w:cs="Arial"/>
        </w:rPr>
        <w:t xml:space="preserve"> and </w:t>
      </w:r>
      <w:r w:rsidRPr="00420295">
        <w:rPr>
          <w:rFonts w:cs="Arial"/>
        </w:rPr>
        <w:t xml:space="preserve">Dementia led by </w:t>
      </w:r>
      <w:proofErr w:type="spellStart"/>
      <w:r w:rsidRPr="00420295">
        <w:rPr>
          <w:rFonts w:cs="Arial"/>
        </w:rPr>
        <w:t>Dr</w:t>
      </w:r>
      <w:proofErr w:type="spellEnd"/>
      <w:r w:rsidRPr="00420295">
        <w:rPr>
          <w:rFonts w:cs="Arial"/>
        </w:rPr>
        <w:t xml:space="preserve"> Rupert McShane </w:t>
      </w:r>
      <w:r>
        <w:rPr>
          <w:rFonts w:cs="Arial"/>
        </w:rPr>
        <w:t>which are expected to continue until March 2016.</w:t>
      </w:r>
    </w:p>
    <w:p w:rsidR="00F45216" w:rsidRPr="00420295" w:rsidRDefault="00F45216" w:rsidP="00F45216">
      <w:pPr>
        <w:rPr>
          <w:rFonts w:cs="Arial"/>
        </w:rPr>
      </w:pPr>
      <w:r w:rsidRPr="00420295">
        <w:rPr>
          <w:rFonts w:cs="Arial"/>
        </w:rPr>
        <w:t>The O</w:t>
      </w:r>
      <w:r>
        <w:rPr>
          <w:rFonts w:cs="Arial"/>
        </w:rPr>
        <w:t>xford</w:t>
      </w:r>
      <w:r w:rsidRPr="00420295">
        <w:rPr>
          <w:rFonts w:cs="Arial"/>
        </w:rPr>
        <w:t xml:space="preserve"> NIHR Collaboration in Leadership in Applied Health Research and Care (CLAHRC) led by Professor Richard Hobbs has made good progress</w:t>
      </w:r>
      <w:r w:rsidRPr="00794D31">
        <w:t xml:space="preserve"> </w:t>
      </w:r>
      <w:r>
        <w:t>s</w:t>
      </w:r>
      <w:r w:rsidRPr="00794D31">
        <w:rPr>
          <w:rFonts w:cs="Arial"/>
        </w:rPr>
        <w:t xml:space="preserve">ince </w:t>
      </w:r>
      <w:r>
        <w:rPr>
          <w:rFonts w:cs="Arial"/>
        </w:rPr>
        <w:t>beginning in January</w:t>
      </w:r>
      <w:r w:rsidRPr="00794D31">
        <w:rPr>
          <w:rFonts w:cs="Arial"/>
        </w:rPr>
        <w:t xml:space="preserve"> 2014</w:t>
      </w:r>
      <w:r>
        <w:rPr>
          <w:rFonts w:cs="Arial"/>
        </w:rPr>
        <w:t>.  T</w:t>
      </w:r>
      <w:r w:rsidRPr="00794D31">
        <w:rPr>
          <w:rFonts w:cs="Arial"/>
        </w:rPr>
        <w:t>he number of projects within Phase 1 (01/01/2014 – 31/03/2016) has increased by 68% from 19 to 32 projects. 30 publications have been generated from CLAHRC research to date. The CLAHRC has leveraged £1.5 million in external funding and £5.1 million in matched funding.</w:t>
      </w:r>
      <w:r>
        <w:rPr>
          <w:rFonts w:cs="Arial"/>
        </w:rPr>
        <w:t xml:space="preserve"> </w:t>
      </w:r>
      <w:r w:rsidRPr="00794D31">
        <w:rPr>
          <w:rFonts w:cs="Arial"/>
        </w:rPr>
        <w:t>In November 2015 the CLAHRC hosted a site visit from the NIHR and the Department of Health. The visit went extremely well and they were impressed with the progress the CLAHRC has made in all areas to date,</w:t>
      </w:r>
      <w:r>
        <w:rPr>
          <w:rFonts w:cs="Arial"/>
        </w:rPr>
        <w:t xml:space="preserve"> in addition to the </w:t>
      </w:r>
      <w:r w:rsidRPr="00794D31">
        <w:rPr>
          <w:rFonts w:cs="Arial"/>
        </w:rPr>
        <w:t xml:space="preserve">Annual Report for 2014 </w:t>
      </w:r>
      <w:r>
        <w:rPr>
          <w:rFonts w:cs="Arial"/>
        </w:rPr>
        <w:t>being received very well following submission in summer 2015.</w:t>
      </w:r>
    </w:p>
    <w:p w:rsidR="00F45216" w:rsidRDefault="00F45216" w:rsidP="00F45216">
      <w:pPr>
        <w:rPr>
          <w:rFonts w:cs="Arial"/>
        </w:rPr>
      </w:pPr>
      <w:r w:rsidRPr="00794D31">
        <w:rPr>
          <w:rFonts w:cs="Arial"/>
        </w:rPr>
        <w:t xml:space="preserve">The NIHR Diagnostic Evidence Co-operative (DEC) led by </w:t>
      </w:r>
      <w:proofErr w:type="spellStart"/>
      <w:r w:rsidRPr="00794D31">
        <w:rPr>
          <w:rFonts w:cs="Arial"/>
        </w:rPr>
        <w:t>Dr</w:t>
      </w:r>
      <w:proofErr w:type="spellEnd"/>
      <w:r w:rsidRPr="00794D31">
        <w:rPr>
          <w:rFonts w:cs="Arial"/>
        </w:rPr>
        <w:t xml:space="preserve"> Ann Van den </w:t>
      </w:r>
      <w:proofErr w:type="spellStart"/>
      <w:r w:rsidRPr="00794D31">
        <w:rPr>
          <w:rFonts w:cs="Arial"/>
        </w:rPr>
        <w:t>Bruel</w:t>
      </w:r>
      <w:proofErr w:type="spellEnd"/>
      <w:r w:rsidRPr="00794D31">
        <w:rPr>
          <w:rFonts w:cs="Arial"/>
        </w:rPr>
        <w:t xml:space="preserve"> within the Department of Primary Care at the University of Oxford has consolidated its expertise in diagnostic test evaluation and established important links both nationally and internationally</w:t>
      </w:r>
      <w:r>
        <w:rPr>
          <w:rFonts w:cs="Arial"/>
        </w:rPr>
        <w:t xml:space="preserve"> with 17 formal interactions with external companies.</w:t>
      </w:r>
    </w:p>
    <w:p w:rsidR="00F45216" w:rsidRDefault="00F45216" w:rsidP="00F45216">
      <w:pPr>
        <w:rPr>
          <w:rFonts w:cs="Arial"/>
        </w:rPr>
      </w:pPr>
      <w:r w:rsidRPr="00794D31">
        <w:rPr>
          <w:rFonts w:cs="Arial"/>
        </w:rPr>
        <w:t>The NIHR Oxford cognitive health Clinical Research Facility (CRF) led by Professor John Geddes</w:t>
      </w:r>
      <w:r>
        <w:rPr>
          <w:rFonts w:cs="Arial"/>
        </w:rPr>
        <w:t xml:space="preserve"> encompasses four sites across Oxford;</w:t>
      </w:r>
      <w:r w:rsidRPr="00794D31">
        <w:rPr>
          <w:rFonts w:cs="Arial"/>
        </w:rPr>
        <w:t xml:space="preserve"> Department of Experimental Psychology, the Charles Wolfson Clinical Neuroscience Facility at the John Radcliffe Hospital and the Warneford Hospital.</w:t>
      </w:r>
      <w:r>
        <w:rPr>
          <w:rFonts w:cs="Arial"/>
        </w:rPr>
        <w:t xml:space="preserve"> </w:t>
      </w:r>
      <w:r w:rsidRPr="00794D31">
        <w:rPr>
          <w:rFonts w:cs="Arial"/>
        </w:rPr>
        <w:t xml:space="preserve"> </w:t>
      </w:r>
      <w:r>
        <w:rPr>
          <w:rFonts w:cs="Arial"/>
        </w:rPr>
        <w:t>It</w:t>
      </w:r>
      <w:r w:rsidRPr="00794D31">
        <w:rPr>
          <w:rFonts w:cs="Arial"/>
        </w:rPr>
        <w:t xml:space="preserve"> continues to undertake a wide range of both commercial and non-commercial </w:t>
      </w:r>
      <w:r>
        <w:rPr>
          <w:rFonts w:cs="Arial"/>
        </w:rPr>
        <w:t xml:space="preserve">research </w:t>
      </w:r>
      <w:r w:rsidRPr="00794D31">
        <w:rPr>
          <w:rFonts w:cs="Arial"/>
        </w:rPr>
        <w:t xml:space="preserve">studies. </w:t>
      </w:r>
    </w:p>
    <w:p w:rsidR="00F45216" w:rsidRDefault="00F45216" w:rsidP="00F45216">
      <w:pPr>
        <w:rPr>
          <w:rFonts w:cs="Arial"/>
        </w:rPr>
      </w:pPr>
    </w:p>
    <w:p w:rsidR="00F45216" w:rsidRDefault="00F45216" w:rsidP="00F45216">
      <w:pPr>
        <w:rPr>
          <w:rFonts w:cs="Arial"/>
        </w:rPr>
      </w:pPr>
      <w:r>
        <w:rPr>
          <w:rFonts w:cs="Arial"/>
        </w:rPr>
        <w:t>The NIHR are now requesting quarterly data on recruitment to research studies and publications from the infrastructure funding awards.  The CLAHRC and DEC provide a combined report sent from Oxford Health NHS FT and the CRF is submitted in conjunction with the Oxford University Hospital NHS FT due to funding host arrangements.</w:t>
      </w:r>
    </w:p>
    <w:p w:rsidR="00F45216" w:rsidRDefault="00F45216" w:rsidP="00F45216">
      <w:pPr>
        <w:rPr>
          <w:rFonts w:cs="Arial"/>
        </w:rPr>
      </w:pPr>
      <w:r>
        <w:rPr>
          <w:rFonts w:cs="Arial"/>
        </w:rPr>
        <w:t xml:space="preserve">R&amp;D continues to develop with new structures and data capture mechanisms being established to streamline the </w:t>
      </w:r>
      <w:proofErr w:type="spellStart"/>
      <w:r>
        <w:rPr>
          <w:rFonts w:cs="Arial"/>
        </w:rPr>
        <w:t>set up</w:t>
      </w:r>
      <w:proofErr w:type="spellEnd"/>
      <w:r>
        <w:rPr>
          <w:rFonts w:cs="Arial"/>
        </w:rPr>
        <w:t xml:space="preserve"> of research within the Trust in line with the new Health Research Authority in trying to reduce duplication nationally for research applications.  The Case Records Interactive Search (CRIS) system has received ethical approval and is being roll out of the system is in progress.</w:t>
      </w:r>
    </w:p>
    <w:p w:rsidR="00F45216" w:rsidRDefault="00F45216" w:rsidP="00F45216">
      <w:pPr>
        <w:rPr>
          <w:rFonts w:cs="Arial"/>
        </w:rPr>
      </w:pPr>
      <w:r>
        <w:rPr>
          <w:rFonts w:cs="Arial"/>
        </w:rPr>
        <w:t>R&amp;D is developing a Biomedical Research Centre Application in collaboration with the University of Oxford following the announcement in December 2015 and is closely supported by Oxford University Hospitals HNS FT.  Progress is being made with Pre Qualifying Questionnaires submitted in February 2016 to harness the excellence science and collaborations.</w:t>
      </w:r>
    </w:p>
    <w:p w:rsidR="00F45216" w:rsidRPr="00425A54" w:rsidRDefault="00F45216" w:rsidP="00F45216">
      <w:r>
        <w:t>R&amp;D</w:t>
      </w:r>
      <w:r w:rsidRPr="00425A54">
        <w:t xml:space="preserve"> at the end of period 8 (November 2015) had generated a £26k </w:t>
      </w:r>
      <w:proofErr w:type="spellStart"/>
      <w:r w:rsidRPr="00425A54">
        <w:t>favourable</w:t>
      </w:r>
      <w:proofErr w:type="spellEnd"/>
      <w:r w:rsidRPr="00425A54">
        <w:t xml:space="preserve"> variance </w:t>
      </w:r>
      <w:r>
        <w:t>in budget with</w:t>
      </w:r>
      <w:r w:rsidRPr="00425A54">
        <w:t xml:space="preserve"> </w:t>
      </w:r>
      <w:r>
        <w:t>c</w:t>
      </w:r>
      <w:r w:rsidRPr="00425A54">
        <w:t xml:space="preserve">urrently a small £9k </w:t>
      </w:r>
      <w:proofErr w:type="spellStart"/>
      <w:r w:rsidRPr="00425A54">
        <w:t>favourable</w:t>
      </w:r>
      <w:proofErr w:type="spellEnd"/>
      <w:r w:rsidRPr="00425A54">
        <w:t xml:space="preserve"> forecast outturn position predicted</w:t>
      </w:r>
      <w:r>
        <w:t>.  This</w:t>
      </w:r>
      <w:r w:rsidRPr="00425A54">
        <w:t xml:space="preserve"> is reviewed and amended on a monthly basis to reflect changes, in particular those impacting on study start dates and recruitment activity.</w:t>
      </w:r>
    </w:p>
    <w:p w:rsidR="00F45216" w:rsidRDefault="00F45216" w:rsidP="00F45216">
      <w:pPr>
        <w:rPr>
          <w:b/>
        </w:rPr>
      </w:pPr>
    </w:p>
    <w:p w:rsidR="00F45216" w:rsidRPr="00F45216" w:rsidRDefault="00F45216" w:rsidP="00F45216">
      <w:pPr>
        <w:rPr>
          <w:b/>
        </w:rPr>
      </w:pPr>
      <w:r w:rsidRPr="00425A54">
        <w:rPr>
          <w:b/>
        </w:rPr>
        <w:t>Recommendation</w:t>
      </w:r>
    </w:p>
    <w:p w:rsidR="00F45216" w:rsidRDefault="00F45216" w:rsidP="00F45216">
      <w:pPr>
        <w:rPr>
          <w:rFonts w:cs="Arial"/>
        </w:rPr>
      </w:pPr>
      <w:r>
        <w:rPr>
          <w:rFonts w:cs="Arial"/>
        </w:rPr>
        <w:t>No recommendations</w:t>
      </w:r>
    </w:p>
    <w:p w:rsidR="00F45216" w:rsidRDefault="00F45216" w:rsidP="00F45216">
      <w:pPr>
        <w:ind w:left="1440" w:hanging="1440"/>
        <w:rPr>
          <w:rFonts w:cs="Arial"/>
          <w:b/>
        </w:rPr>
      </w:pPr>
    </w:p>
    <w:p w:rsidR="00F45216" w:rsidRDefault="00F45216" w:rsidP="00F45216">
      <w:pPr>
        <w:ind w:left="1440" w:hanging="1440"/>
        <w:rPr>
          <w:rFonts w:cs="Arial"/>
        </w:rPr>
      </w:pPr>
      <w:r>
        <w:rPr>
          <w:rFonts w:cs="Arial"/>
          <w:b/>
        </w:rPr>
        <w:t>Author and Title:</w:t>
      </w:r>
      <w:r>
        <w:rPr>
          <w:rFonts w:cs="Arial"/>
        </w:rPr>
        <w:t xml:space="preserve"> </w:t>
      </w:r>
      <w:r>
        <w:rPr>
          <w:rFonts w:cs="Arial"/>
        </w:rPr>
        <w:tab/>
        <w:t>Prof John Geddes, Director of R&amp;D</w:t>
      </w:r>
    </w:p>
    <w:p w:rsidR="00F45216" w:rsidRDefault="00F45216" w:rsidP="00F45216">
      <w:pPr>
        <w:ind w:left="1440" w:firstLine="720"/>
        <w:rPr>
          <w:rFonts w:cs="Arial"/>
        </w:rPr>
      </w:pPr>
      <w:r>
        <w:rPr>
          <w:rFonts w:cs="Arial"/>
        </w:rPr>
        <w:t>Emma Stratful, Head of R&amp;D</w:t>
      </w:r>
    </w:p>
    <w:p w:rsidR="00F45216" w:rsidRDefault="00F45216" w:rsidP="00F45216">
      <w:pPr>
        <w:ind w:left="1440" w:hanging="1440"/>
        <w:rPr>
          <w:rFonts w:cs="Arial"/>
        </w:rPr>
      </w:pPr>
    </w:p>
    <w:p w:rsidR="00F45216" w:rsidRDefault="00F45216" w:rsidP="00F45216">
      <w:pPr>
        <w:rPr>
          <w:rFonts w:cs="Arial"/>
          <w:b/>
        </w:rPr>
      </w:pPr>
      <w:r>
        <w:rPr>
          <w:rFonts w:cs="Arial"/>
          <w:b/>
        </w:rPr>
        <w:t>Lead Executive Director:</w:t>
      </w:r>
      <w:r>
        <w:rPr>
          <w:rFonts w:cs="Arial"/>
          <w:b/>
        </w:rPr>
        <w:tab/>
      </w:r>
      <w:proofErr w:type="spellStart"/>
      <w:r w:rsidRPr="00F45216">
        <w:rPr>
          <w:rFonts w:cs="Arial"/>
        </w:rPr>
        <w:t>Dr</w:t>
      </w:r>
      <w:proofErr w:type="spellEnd"/>
      <w:r w:rsidRPr="00F45216">
        <w:rPr>
          <w:rFonts w:cs="Arial"/>
        </w:rPr>
        <w:t xml:space="preserve"> Clive Meux</w:t>
      </w:r>
    </w:p>
    <w:p w:rsidR="005D3499" w:rsidRDefault="005D3499" w:rsidP="0086436B">
      <w:pPr>
        <w:ind w:right="-900"/>
        <w:jc w:val="right"/>
        <w:rPr>
          <w:lang w:val="en-GB"/>
        </w:rPr>
      </w:pPr>
    </w:p>
    <w:p w:rsidR="005D3499" w:rsidRDefault="005D3499"/>
    <w:p w:rsidR="005D3499" w:rsidRDefault="005D3499">
      <w:pPr>
        <w:jc w:val="center"/>
        <w:rPr>
          <w:rFonts w:ascii="Frutiger" w:hAnsi="Frutiger"/>
        </w:rPr>
      </w:pPr>
    </w:p>
    <w:p w:rsidR="005D3499" w:rsidRDefault="005D3499" w:rsidP="006D305A"/>
    <w:p w:rsidR="005D3499" w:rsidRDefault="005D3499" w:rsidP="006D305A"/>
    <w:p w:rsidR="005D3499" w:rsidRDefault="005D3499" w:rsidP="006D305A"/>
    <w:p w:rsidR="005D3499" w:rsidRDefault="005D3499" w:rsidP="006D305A">
      <w:pPr>
        <w:rPr>
          <w:sz w:val="28"/>
        </w:rPr>
      </w:pPr>
    </w:p>
    <w:p w:rsidR="006D305A" w:rsidRDefault="006D305A">
      <w:pPr>
        <w:spacing w:before="0" w:after="0"/>
        <w:jc w:val="left"/>
        <w:rPr>
          <w:rFonts w:cs="Arial"/>
          <w:b/>
        </w:rPr>
      </w:pPr>
      <w:r>
        <w:rPr>
          <w:rFonts w:cs="Arial"/>
          <w:b/>
        </w:rPr>
        <w:br w:type="page"/>
      </w:r>
    </w:p>
    <w:sdt>
      <w:sdtPr>
        <w:rPr>
          <w:rFonts w:ascii="Arial" w:eastAsia="Times New Roman" w:hAnsi="Arial" w:cs="Times New Roman"/>
          <w:b w:val="0"/>
          <w:bCs w:val="0"/>
          <w:color w:val="auto"/>
          <w:sz w:val="24"/>
          <w:szCs w:val="24"/>
          <w:lang w:eastAsia="en-US"/>
        </w:rPr>
        <w:id w:val="-1307766736"/>
        <w:docPartObj>
          <w:docPartGallery w:val="Table of Contents"/>
          <w:docPartUnique/>
        </w:docPartObj>
      </w:sdtPr>
      <w:sdtEndPr>
        <w:rPr>
          <w:noProof/>
        </w:rPr>
      </w:sdtEndPr>
      <w:sdtContent>
        <w:p w:rsidR="00361EDC" w:rsidRDefault="00361EDC">
          <w:pPr>
            <w:pStyle w:val="TOCHeading"/>
          </w:pPr>
          <w:r>
            <w:t>Contents</w:t>
          </w:r>
        </w:p>
        <w:p w:rsidR="006911D9" w:rsidRDefault="00361EDC">
          <w:pPr>
            <w:pStyle w:val="TOC1"/>
            <w:tabs>
              <w:tab w:val="left" w:pos="480"/>
              <w:tab w:val="right" w:leader="dot" w:pos="9629"/>
            </w:tabs>
            <w:rPr>
              <w:rFonts w:asciiTheme="minorHAnsi" w:eastAsiaTheme="minorEastAsia" w:hAnsiTheme="minorHAnsi" w:cstheme="minorBidi"/>
              <w:noProof/>
              <w:sz w:val="22"/>
              <w:szCs w:val="22"/>
              <w:lang w:val="en-GB" w:eastAsia="en-GB"/>
            </w:rPr>
          </w:pPr>
          <w:r>
            <w:fldChar w:fldCharType="begin"/>
          </w:r>
          <w:r>
            <w:instrText xml:space="preserve"> TOC \o "1-3" \h \z \u </w:instrText>
          </w:r>
          <w:r>
            <w:fldChar w:fldCharType="separate"/>
          </w:r>
          <w:hyperlink w:anchor="_Toc441061184" w:history="1">
            <w:r w:rsidR="006911D9" w:rsidRPr="00D252D9">
              <w:rPr>
                <w:rStyle w:val="Hyperlink"/>
                <w:rFonts w:eastAsiaTheme="majorEastAsia"/>
                <w:noProof/>
              </w:rPr>
              <w:t>1</w:t>
            </w:r>
            <w:r w:rsidR="006911D9">
              <w:rPr>
                <w:rFonts w:asciiTheme="minorHAnsi" w:eastAsiaTheme="minorEastAsia" w:hAnsiTheme="minorHAnsi" w:cstheme="minorBidi"/>
                <w:noProof/>
                <w:sz w:val="22"/>
                <w:szCs w:val="22"/>
                <w:lang w:val="en-GB" w:eastAsia="en-GB"/>
              </w:rPr>
              <w:tab/>
            </w:r>
            <w:r w:rsidR="006911D9" w:rsidRPr="00D252D9">
              <w:rPr>
                <w:rStyle w:val="Hyperlink"/>
                <w:rFonts w:eastAsiaTheme="majorEastAsia"/>
                <w:noProof/>
              </w:rPr>
              <w:t>Clinical Quality and Care</w:t>
            </w:r>
            <w:r w:rsidR="006911D9">
              <w:rPr>
                <w:noProof/>
                <w:webHidden/>
              </w:rPr>
              <w:tab/>
            </w:r>
            <w:r w:rsidR="006911D9">
              <w:rPr>
                <w:noProof/>
                <w:webHidden/>
              </w:rPr>
              <w:fldChar w:fldCharType="begin"/>
            </w:r>
            <w:r w:rsidR="006911D9">
              <w:rPr>
                <w:noProof/>
                <w:webHidden/>
              </w:rPr>
              <w:instrText xml:space="preserve"> PAGEREF _Toc441061184 \h </w:instrText>
            </w:r>
            <w:r w:rsidR="006911D9">
              <w:rPr>
                <w:noProof/>
                <w:webHidden/>
              </w:rPr>
            </w:r>
            <w:r w:rsidR="006911D9">
              <w:rPr>
                <w:noProof/>
                <w:webHidden/>
              </w:rPr>
              <w:fldChar w:fldCharType="separate"/>
            </w:r>
            <w:r w:rsidR="006911D9">
              <w:rPr>
                <w:noProof/>
                <w:webHidden/>
              </w:rPr>
              <w:t>4</w:t>
            </w:r>
            <w:r w:rsidR="006911D9">
              <w:rPr>
                <w:noProof/>
                <w:webHidden/>
              </w:rPr>
              <w:fldChar w:fldCharType="end"/>
            </w:r>
          </w:hyperlink>
        </w:p>
        <w:p w:rsidR="006911D9" w:rsidRDefault="00F33B50">
          <w:pPr>
            <w:pStyle w:val="TOC1"/>
            <w:tabs>
              <w:tab w:val="left" w:pos="480"/>
              <w:tab w:val="right" w:leader="dot" w:pos="9629"/>
            </w:tabs>
            <w:rPr>
              <w:rFonts w:asciiTheme="minorHAnsi" w:eastAsiaTheme="minorEastAsia" w:hAnsiTheme="minorHAnsi" w:cstheme="minorBidi"/>
              <w:noProof/>
              <w:sz w:val="22"/>
              <w:szCs w:val="22"/>
              <w:lang w:val="en-GB" w:eastAsia="en-GB"/>
            </w:rPr>
          </w:pPr>
          <w:hyperlink w:anchor="_Toc441061185" w:history="1">
            <w:r w:rsidR="006911D9" w:rsidRPr="00D252D9">
              <w:rPr>
                <w:rStyle w:val="Hyperlink"/>
                <w:rFonts w:eastAsiaTheme="majorEastAsia"/>
                <w:noProof/>
              </w:rPr>
              <w:t>2</w:t>
            </w:r>
            <w:r w:rsidR="006911D9">
              <w:rPr>
                <w:rFonts w:asciiTheme="minorHAnsi" w:eastAsiaTheme="minorEastAsia" w:hAnsiTheme="minorHAnsi" w:cstheme="minorBidi"/>
                <w:noProof/>
                <w:sz w:val="22"/>
                <w:szCs w:val="22"/>
                <w:lang w:val="en-GB" w:eastAsia="en-GB"/>
              </w:rPr>
              <w:tab/>
            </w:r>
            <w:r w:rsidR="006911D9" w:rsidRPr="00D252D9">
              <w:rPr>
                <w:rStyle w:val="Hyperlink"/>
                <w:rFonts w:eastAsiaTheme="majorEastAsia"/>
                <w:noProof/>
              </w:rPr>
              <w:t>Networks and Collaborations</w:t>
            </w:r>
            <w:r w:rsidR="006911D9">
              <w:rPr>
                <w:noProof/>
                <w:webHidden/>
              </w:rPr>
              <w:tab/>
            </w:r>
            <w:r w:rsidR="006911D9">
              <w:rPr>
                <w:noProof/>
                <w:webHidden/>
              </w:rPr>
              <w:fldChar w:fldCharType="begin"/>
            </w:r>
            <w:r w:rsidR="006911D9">
              <w:rPr>
                <w:noProof/>
                <w:webHidden/>
              </w:rPr>
              <w:instrText xml:space="preserve"> PAGEREF _Toc441061185 \h </w:instrText>
            </w:r>
            <w:r w:rsidR="006911D9">
              <w:rPr>
                <w:noProof/>
                <w:webHidden/>
              </w:rPr>
            </w:r>
            <w:r w:rsidR="006911D9">
              <w:rPr>
                <w:noProof/>
                <w:webHidden/>
              </w:rPr>
              <w:fldChar w:fldCharType="separate"/>
            </w:r>
            <w:r w:rsidR="006911D9">
              <w:rPr>
                <w:noProof/>
                <w:webHidden/>
              </w:rPr>
              <w:t>4</w:t>
            </w:r>
            <w:r w:rsidR="006911D9">
              <w:rPr>
                <w:noProof/>
                <w:webHidden/>
              </w:rPr>
              <w:fldChar w:fldCharType="end"/>
            </w:r>
          </w:hyperlink>
        </w:p>
        <w:p w:rsidR="006911D9" w:rsidRDefault="00F33B50">
          <w:pPr>
            <w:pStyle w:val="TOC2"/>
            <w:tabs>
              <w:tab w:val="left" w:pos="880"/>
              <w:tab w:val="right" w:leader="dot" w:pos="9629"/>
            </w:tabs>
            <w:rPr>
              <w:rFonts w:asciiTheme="minorHAnsi" w:eastAsiaTheme="minorEastAsia" w:hAnsiTheme="minorHAnsi" w:cstheme="minorBidi"/>
              <w:noProof/>
              <w:sz w:val="22"/>
              <w:szCs w:val="22"/>
              <w:lang w:val="en-GB" w:eastAsia="en-GB"/>
            </w:rPr>
          </w:pPr>
          <w:hyperlink w:anchor="_Toc441061186" w:history="1">
            <w:r w:rsidR="006911D9" w:rsidRPr="00D252D9">
              <w:rPr>
                <w:rStyle w:val="Hyperlink"/>
                <w:noProof/>
                <w:lang w:val="en-GB"/>
              </w:rPr>
              <w:t>2.1</w:t>
            </w:r>
            <w:r w:rsidR="006911D9">
              <w:rPr>
                <w:rFonts w:asciiTheme="minorHAnsi" w:eastAsiaTheme="minorEastAsia" w:hAnsiTheme="minorHAnsi" w:cstheme="minorBidi"/>
                <w:noProof/>
                <w:sz w:val="22"/>
                <w:szCs w:val="22"/>
                <w:lang w:val="en-GB" w:eastAsia="en-GB"/>
              </w:rPr>
              <w:tab/>
            </w:r>
            <w:r w:rsidR="006911D9" w:rsidRPr="00D252D9">
              <w:rPr>
                <w:rStyle w:val="Hyperlink"/>
                <w:noProof/>
                <w:lang w:val="en-GB"/>
              </w:rPr>
              <w:t>Oxford Academic Health Science Network (OAHSN)</w:t>
            </w:r>
            <w:r w:rsidR="006911D9">
              <w:rPr>
                <w:noProof/>
                <w:webHidden/>
              </w:rPr>
              <w:tab/>
            </w:r>
            <w:r w:rsidR="006911D9">
              <w:rPr>
                <w:noProof/>
                <w:webHidden/>
              </w:rPr>
              <w:fldChar w:fldCharType="begin"/>
            </w:r>
            <w:r w:rsidR="006911D9">
              <w:rPr>
                <w:noProof/>
                <w:webHidden/>
              </w:rPr>
              <w:instrText xml:space="preserve"> PAGEREF _Toc441061186 \h </w:instrText>
            </w:r>
            <w:r w:rsidR="006911D9">
              <w:rPr>
                <w:noProof/>
                <w:webHidden/>
              </w:rPr>
            </w:r>
            <w:r w:rsidR="006911D9">
              <w:rPr>
                <w:noProof/>
                <w:webHidden/>
              </w:rPr>
              <w:fldChar w:fldCharType="separate"/>
            </w:r>
            <w:r w:rsidR="006911D9">
              <w:rPr>
                <w:noProof/>
                <w:webHidden/>
              </w:rPr>
              <w:t>4</w:t>
            </w:r>
            <w:r w:rsidR="006911D9">
              <w:rPr>
                <w:noProof/>
                <w:webHidden/>
              </w:rPr>
              <w:fldChar w:fldCharType="end"/>
            </w:r>
          </w:hyperlink>
        </w:p>
        <w:p w:rsidR="006911D9" w:rsidRDefault="00F33B50">
          <w:pPr>
            <w:pStyle w:val="TOC3"/>
            <w:tabs>
              <w:tab w:val="left" w:pos="1320"/>
              <w:tab w:val="right" w:leader="dot" w:pos="9629"/>
            </w:tabs>
            <w:rPr>
              <w:rFonts w:asciiTheme="minorHAnsi" w:eastAsiaTheme="minorEastAsia" w:hAnsiTheme="minorHAnsi" w:cstheme="minorBidi"/>
              <w:noProof/>
              <w:sz w:val="22"/>
              <w:szCs w:val="22"/>
              <w:lang w:val="en-GB" w:eastAsia="en-GB"/>
            </w:rPr>
          </w:pPr>
          <w:hyperlink w:anchor="_Toc441061187" w:history="1">
            <w:r w:rsidR="006911D9" w:rsidRPr="00D252D9">
              <w:rPr>
                <w:rStyle w:val="Hyperlink"/>
                <w:rFonts w:eastAsiaTheme="majorEastAsia"/>
                <w:noProof/>
                <w:lang w:val="en-GB"/>
              </w:rPr>
              <w:t>2.1.1</w:t>
            </w:r>
            <w:r w:rsidR="006911D9">
              <w:rPr>
                <w:rFonts w:asciiTheme="minorHAnsi" w:eastAsiaTheme="minorEastAsia" w:hAnsiTheme="minorHAnsi" w:cstheme="minorBidi"/>
                <w:noProof/>
                <w:sz w:val="22"/>
                <w:szCs w:val="22"/>
                <w:lang w:val="en-GB" w:eastAsia="en-GB"/>
              </w:rPr>
              <w:tab/>
            </w:r>
            <w:r w:rsidR="006911D9" w:rsidRPr="00D252D9">
              <w:rPr>
                <w:rStyle w:val="Hyperlink"/>
                <w:rFonts w:eastAsiaTheme="majorEastAsia"/>
                <w:noProof/>
                <w:lang w:val="en-GB"/>
              </w:rPr>
              <w:t>Early Intervention Theme</w:t>
            </w:r>
            <w:r w:rsidR="006911D9">
              <w:rPr>
                <w:noProof/>
                <w:webHidden/>
              </w:rPr>
              <w:tab/>
            </w:r>
            <w:r w:rsidR="006911D9">
              <w:rPr>
                <w:noProof/>
                <w:webHidden/>
              </w:rPr>
              <w:fldChar w:fldCharType="begin"/>
            </w:r>
            <w:r w:rsidR="006911D9">
              <w:rPr>
                <w:noProof/>
                <w:webHidden/>
              </w:rPr>
              <w:instrText xml:space="preserve"> PAGEREF _Toc441061187 \h </w:instrText>
            </w:r>
            <w:r w:rsidR="006911D9">
              <w:rPr>
                <w:noProof/>
                <w:webHidden/>
              </w:rPr>
            </w:r>
            <w:r w:rsidR="006911D9">
              <w:rPr>
                <w:noProof/>
                <w:webHidden/>
              </w:rPr>
              <w:fldChar w:fldCharType="separate"/>
            </w:r>
            <w:r w:rsidR="006911D9">
              <w:rPr>
                <w:noProof/>
                <w:webHidden/>
              </w:rPr>
              <w:t>4</w:t>
            </w:r>
            <w:r w:rsidR="006911D9">
              <w:rPr>
                <w:noProof/>
                <w:webHidden/>
              </w:rPr>
              <w:fldChar w:fldCharType="end"/>
            </w:r>
          </w:hyperlink>
        </w:p>
        <w:p w:rsidR="006911D9" w:rsidRDefault="00F33B50">
          <w:pPr>
            <w:pStyle w:val="TOC3"/>
            <w:tabs>
              <w:tab w:val="left" w:pos="1320"/>
              <w:tab w:val="right" w:leader="dot" w:pos="9629"/>
            </w:tabs>
            <w:rPr>
              <w:rFonts w:asciiTheme="minorHAnsi" w:eastAsiaTheme="minorEastAsia" w:hAnsiTheme="minorHAnsi" w:cstheme="minorBidi"/>
              <w:noProof/>
              <w:sz w:val="22"/>
              <w:szCs w:val="22"/>
              <w:lang w:val="en-GB" w:eastAsia="en-GB"/>
            </w:rPr>
          </w:pPr>
          <w:hyperlink w:anchor="_Toc441061188" w:history="1">
            <w:r w:rsidR="006911D9" w:rsidRPr="00D252D9">
              <w:rPr>
                <w:rStyle w:val="Hyperlink"/>
                <w:rFonts w:eastAsiaTheme="majorEastAsia"/>
                <w:noProof/>
              </w:rPr>
              <w:t>2.1.2</w:t>
            </w:r>
            <w:r w:rsidR="006911D9">
              <w:rPr>
                <w:rFonts w:asciiTheme="minorHAnsi" w:eastAsiaTheme="minorEastAsia" w:hAnsiTheme="minorHAnsi" w:cstheme="minorBidi"/>
                <w:noProof/>
                <w:sz w:val="22"/>
                <w:szCs w:val="22"/>
                <w:lang w:val="en-GB" w:eastAsia="en-GB"/>
              </w:rPr>
              <w:tab/>
            </w:r>
            <w:r w:rsidR="006911D9" w:rsidRPr="00D252D9">
              <w:rPr>
                <w:rStyle w:val="Hyperlink"/>
                <w:rFonts w:eastAsiaTheme="majorEastAsia"/>
                <w:noProof/>
              </w:rPr>
              <w:t>Anxiety and Depression Theme</w:t>
            </w:r>
            <w:r w:rsidR="006911D9">
              <w:rPr>
                <w:noProof/>
                <w:webHidden/>
              </w:rPr>
              <w:tab/>
            </w:r>
            <w:r w:rsidR="006911D9">
              <w:rPr>
                <w:noProof/>
                <w:webHidden/>
              </w:rPr>
              <w:fldChar w:fldCharType="begin"/>
            </w:r>
            <w:r w:rsidR="006911D9">
              <w:rPr>
                <w:noProof/>
                <w:webHidden/>
              </w:rPr>
              <w:instrText xml:space="preserve"> PAGEREF _Toc441061188 \h </w:instrText>
            </w:r>
            <w:r w:rsidR="006911D9">
              <w:rPr>
                <w:noProof/>
                <w:webHidden/>
              </w:rPr>
            </w:r>
            <w:r w:rsidR="006911D9">
              <w:rPr>
                <w:noProof/>
                <w:webHidden/>
              </w:rPr>
              <w:fldChar w:fldCharType="separate"/>
            </w:r>
            <w:r w:rsidR="006911D9">
              <w:rPr>
                <w:noProof/>
                <w:webHidden/>
              </w:rPr>
              <w:t>6</w:t>
            </w:r>
            <w:r w:rsidR="006911D9">
              <w:rPr>
                <w:noProof/>
                <w:webHidden/>
              </w:rPr>
              <w:fldChar w:fldCharType="end"/>
            </w:r>
          </w:hyperlink>
        </w:p>
        <w:p w:rsidR="006911D9" w:rsidRDefault="00F33B50">
          <w:pPr>
            <w:pStyle w:val="TOC3"/>
            <w:tabs>
              <w:tab w:val="left" w:pos="1320"/>
              <w:tab w:val="right" w:leader="dot" w:pos="9629"/>
            </w:tabs>
            <w:rPr>
              <w:rFonts w:asciiTheme="minorHAnsi" w:eastAsiaTheme="minorEastAsia" w:hAnsiTheme="minorHAnsi" w:cstheme="minorBidi"/>
              <w:noProof/>
              <w:sz w:val="22"/>
              <w:szCs w:val="22"/>
              <w:lang w:val="en-GB" w:eastAsia="en-GB"/>
            </w:rPr>
          </w:pPr>
          <w:hyperlink w:anchor="_Toc441061189" w:history="1">
            <w:r w:rsidR="006911D9" w:rsidRPr="00D252D9">
              <w:rPr>
                <w:rStyle w:val="Hyperlink"/>
                <w:rFonts w:eastAsiaTheme="majorEastAsia"/>
                <w:noProof/>
              </w:rPr>
              <w:t>2.1.3</w:t>
            </w:r>
            <w:r w:rsidR="006911D9">
              <w:rPr>
                <w:rFonts w:asciiTheme="minorHAnsi" w:eastAsiaTheme="minorEastAsia" w:hAnsiTheme="minorHAnsi" w:cstheme="minorBidi"/>
                <w:noProof/>
                <w:sz w:val="22"/>
                <w:szCs w:val="22"/>
                <w:lang w:val="en-GB" w:eastAsia="en-GB"/>
              </w:rPr>
              <w:tab/>
            </w:r>
            <w:r w:rsidR="006911D9" w:rsidRPr="00D252D9">
              <w:rPr>
                <w:rStyle w:val="Hyperlink"/>
                <w:rFonts w:eastAsiaTheme="majorEastAsia"/>
                <w:noProof/>
              </w:rPr>
              <w:t>Dementia Theme</w:t>
            </w:r>
            <w:r w:rsidR="006911D9">
              <w:rPr>
                <w:noProof/>
                <w:webHidden/>
              </w:rPr>
              <w:tab/>
            </w:r>
            <w:r w:rsidR="006911D9">
              <w:rPr>
                <w:noProof/>
                <w:webHidden/>
              </w:rPr>
              <w:fldChar w:fldCharType="begin"/>
            </w:r>
            <w:r w:rsidR="006911D9">
              <w:rPr>
                <w:noProof/>
                <w:webHidden/>
              </w:rPr>
              <w:instrText xml:space="preserve"> PAGEREF _Toc441061189 \h </w:instrText>
            </w:r>
            <w:r w:rsidR="006911D9">
              <w:rPr>
                <w:noProof/>
                <w:webHidden/>
              </w:rPr>
            </w:r>
            <w:r w:rsidR="006911D9">
              <w:rPr>
                <w:noProof/>
                <w:webHidden/>
              </w:rPr>
              <w:fldChar w:fldCharType="separate"/>
            </w:r>
            <w:r w:rsidR="006911D9">
              <w:rPr>
                <w:noProof/>
                <w:webHidden/>
              </w:rPr>
              <w:t>6</w:t>
            </w:r>
            <w:r w:rsidR="006911D9">
              <w:rPr>
                <w:noProof/>
                <w:webHidden/>
              </w:rPr>
              <w:fldChar w:fldCharType="end"/>
            </w:r>
          </w:hyperlink>
        </w:p>
        <w:p w:rsidR="006911D9" w:rsidRDefault="00F33B50">
          <w:pPr>
            <w:pStyle w:val="TOC2"/>
            <w:tabs>
              <w:tab w:val="left" w:pos="880"/>
              <w:tab w:val="right" w:leader="dot" w:pos="9629"/>
            </w:tabs>
            <w:rPr>
              <w:rFonts w:asciiTheme="minorHAnsi" w:eastAsiaTheme="minorEastAsia" w:hAnsiTheme="minorHAnsi" w:cstheme="minorBidi"/>
              <w:noProof/>
              <w:sz w:val="22"/>
              <w:szCs w:val="22"/>
              <w:lang w:val="en-GB" w:eastAsia="en-GB"/>
            </w:rPr>
          </w:pPr>
          <w:hyperlink w:anchor="_Toc441061190" w:history="1">
            <w:r w:rsidR="006911D9" w:rsidRPr="00D252D9">
              <w:rPr>
                <w:rStyle w:val="Hyperlink"/>
                <w:rFonts w:eastAsiaTheme="majorEastAsia"/>
                <w:noProof/>
              </w:rPr>
              <w:t>2.2</w:t>
            </w:r>
            <w:r w:rsidR="006911D9">
              <w:rPr>
                <w:rFonts w:asciiTheme="minorHAnsi" w:eastAsiaTheme="minorEastAsia" w:hAnsiTheme="minorHAnsi" w:cstheme="minorBidi"/>
                <w:noProof/>
                <w:sz w:val="22"/>
                <w:szCs w:val="22"/>
                <w:lang w:val="en-GB" w:eastAsia="en-GB"/>
              </w:rPr>
              <w:tab/>
            </w:r>
            <w:r w:rsidR="006911D9" w:rsidRPr="00D252D9">
              <w:rPr>
                <w:rStyle w:val="Hyperlink"/>
                <w:rFonts w:eastAsiaTheme="majorEastAsia"/>
                <w:noProof/>
                <w:lang w:val="en-GB"/>
              </w:rPr>
              <w:t xml:space="preserve">OXFORD NIHR </w:t>
            </w:r>
            <w:r w:rsidR="006911D9" w:rsidRPr="00D252D9">
              <w:rPr>
                <w:rStyle w:val="Hyperlink"/>
                <w:rFonts w:eastAsiaTheme="majorEastAsia"/>
                <w:noProof/>
              </w:rPr>
              <w:t>Collaboration in Leadership in Applied Health Research and Care (CLAHRC)</w:t>
            </w:r>
            <w:r w:rsidR="006911D9">
              <w:rPr>
                <w:noProof/>
                <w:webHidden/>
              </w:rPr>
              <w:tab/>
            </w:r>
            <w:r w:rsidR="006911D9">
              <w:rPr>
                <w:noProof/>
                <w:webHidden/>
              </w:rPr>
              <w:fldChar w:fldCharType="begin"/>
            </w:r>
            <w:r w:rsidR="006911D9">
              <w:rPr>
                <w:noProof/>
                <w:webHidden/>
              </w:rPr>
              <w:instrText xml:space="preserve"> PAGEREF _Toc441061190 \h </w:instrText>
            </w:r>
            <w:r w:rsidR="006911D9">
              <w:rPr>
                <w:noProof/>
                <w:webHidden/>
              </w:rPr>
            </w:r>
            <w:r w:rsidR="006911D9">
              <w:rPr>
                <w:noProof/>
                <w:webHidden/>
              </w:rPr>
              <w:fldChar w:fldCharType="separate"/>
            </w:r>
            <w:r w:rsidR="006911D9">
              <w:rPr>
                <w:noProof/>
                <w:webHidden/>
              </w:rPr>
              <w:t>9</w:t>
            </w:r>
            <w:r w:rsidR="006911D9">
              <w:rPr>
                <w:noProof/>
                <w:webHidden/>
              </w:rPr>
              <w:fldChar w:fldCharType="end"/>
            </w:r>
          </w:hyperlink>
        </w:p>
        <w:p w:rsidR="006911D9" w:rsidRDefault="00F33B50">
          <w:pPr>
            <w:pStyle w:val="TOC3"/>
            <w:tabs>
              <w:tab w:val="left" w:pos="1320"/>
              <w:tab w:val="right" w:leader="dot" w:pos="9629"/>
            </w:tabs>
            <w:rPr>
              <w:rFonts w:asciiTheme="minorHAnsi" w:eastAsiaTheme="minorEastAsia" w:hAnsiTheme="minorHAnsi" w:cstheme="minorBidi"/>
              <w:noProof/>
              <w:sz w:val="22"/>
              <w:szCs w:val="22"/>
              <w:lang w:val="en-GB" w:eastAsia="en-GB"/>
            </w:rPr>
          </w:pPr>
          <w:hyperlink w:anchor="_Toc441061191" w:history="1">
            <w:r w:rsidR="006911D9" w:rsidRPr="00D252D9">
              <w:rPr>
                <w:rStyle w:val="Hyperlink"/>
                <w:rFonts w:eastAsiaTheme="majorEastAsia"/>
                <w:noProof/>
              </w:rPr>
              <w:t>2.2.1</w:t>
            </w:r>
            <w:r w:rsidR="006911D9">
              <w:rPr>
                <w:rFonts w:asciiTheme="minorHAnsi" w:eastAsiaTheme="minorEastAsia" w:hAnsiTheme="minorHAnsi" w:cstheme="minorBidi"/>
                <w:noProof/>
                <w:sz w:val="22"/>
                <w:szCs w:val="22"/>
                <w:lang w:val="en-GB" w:eastAsia="en-GB"/>
              </w:rPr>
              <w:tab/>
            </w:r>
            <w:r w:rsidR="006911D9" w:rsidRPr="00D252D9">
              <w:rPr>
                <w:rStyle w:val="Hyperlink"/>
                <w:rFonts w:eastAsiaTheme="majorEastAsia"/>
                <w:noProof/>
              </w:rPr>
              <w:t>CLAHRC Annual Stakeholder Symposium</w:t>
            </w:r>
            <w:r w:rsidR="006911D9">
              <w:rPr>
                <w:noProof/>
                <w:webHidden/>
              </w:rPr>
              <w:tab/>
            </w:r>
            <w:r w:rsidR="006911D9">
              <w:rPr>
                <w:noProof/>
                <w:webHidden/>
              </w:rPr>
              <w:fldChar w:fldCharType="begin"/>
            </w:r>
            <w:r w:rsidR="006911D9">
              <w:rPr>
                <w:noProof/>
                <w:webHidden/>
              </w:rPr>
              <w:instrText xml:space="preserve"> PAGEREF _Toc441061191 \h </w:instrText>
            </w:r>
            <w:r w:rsidR="006911D9">
              <w:rPr>
                <w:noProof/>
                <w:webHidden/>
              </w:rPr>
            </w:r>
            <w:r w:rsidR="006911D9">
              <w:rPr>
                <w:noProof/>
                <w:webHidden/>
              </w:rPr>
              <w:fldChar w:fldCharType="separate"/>
            </w:r>
            <w:r w:rsidR="006911D9">
              <w:rPr>
                <w:noProof/>
                <w:webHidden/>
              </w:rPr>
              <w:t>9</w:t>
            </w:r>
            <w:r w:rsidR="006911D9">
              <w:rPr>
                <w:noProof/>
                <w:webHidden/>
              </w:rPr>
              <w:fldChar w:fldCharType="end"/>
            </w:r>
          </w:hyperlink>
        </w:p>
        <w:p w:rsidR="006911D9" w:rsidRDefault="00F33B50">
          <w:pPr>
            <w:pStyle w:val="TOC3"/>
            <w:tabs>
              <w:tab w:val="left" w:pos="1320"/>
              <w:tab w:val="right" w:leader="dot" w:pos="9629"/>
            </w:tabs>
            <w:rPr>
              <w:rFonts w:asciiTheme="minorHAnsi" w:eastAsiaTheme="minorEastAsia" w:hAnsiTheme="minorHAnsi" w:cstheme="minorBidi"/>
              <w:noProof/>
              <w:sz w:val="22"/>
              <w:szCs w:val="22"/>
              <w:lang w:val="en-GB" w:eastAsia="en-GB"/>
            </w:rPr>
          </w:pPr>
          <w:hyperlink w:anchor="_Toc441061192" w:history="1">
            <w:r w:rsidR="006911D9" w:rsidRPr="00D252D9">
              <w:rPr>
                <w:rStyle w:val="Hyperlink"/>
                <w:rFonts w:eastAsiaTheme="majorEastAsia"/>
                <w:noProof/>
              </w:rPr>
              <w:t>2.2.2</w:t>
            </w:r>
            <w:r w:rsidR="006911D9">
              <w:rPr>
                <w:rFonts w:asciiTheme="minorHAnsi" w:eastAsiaTheme="minorEastAsia" w:hAnsiTheme="minorHAnsi" w:cstheme="minorBidi"/>
                <w:noProof/>
                <w:sz w:val="22"/>
                <w:szCs w:val="22"/>
                <w:lang w:val="en-GB" w:eastAsia="en-GB"/>
              </w:rPr>
              <w:tab/>
            </w:r>
            <w:r w:rsidR="006911D9" w:rsidRPr="00D252D9">
              <w:rPr>
                <w:rStyle w:val="Hyperlink"/>
                <w:rFonts w:eastAsiaTheme="majorEastAsia"/>
                <w:noProof/>
              </w:rPr>
              <w:t>NIHR Visit and Annual Report</w:t>
            </w:r>
            <w:r w:rsidR="006911D9">
              <w:rPr>
                <w:noProof/>
                <w:webHidden/>
              </w:rPr>
              <w:tab/>
            </w:r>
            <w:r w:rsidR="006911D9">
              <w:rPr>
                <w:noProof/>
                <w:webHidden/>
              </w:rPr>
              <w:fldChar w:fldCharType="begin"/>
            </w:r>
            <w:r w:rsidR="006911D9">
              <w:rPr>
                <w:noProof/>
                <w:webHidden/>
              </w:rPr>
              <w:instrText xml:space="preserve"> PAGEREF _Toc441061192 \h </w:instrText>
            </w:r>
            <w:r w:rsidR="006911D9">
              <w:rPr>
                <w:noProof/>
                <w:webHidden/>
              </w:rPr>
            </w:r>
            <w:r w:rsidR="006911D9">
              <w:rPr>
                <w:noProof/>
                <w:webHidden/>
              </w:rPr>
              <w:fldChar w:fldCharType="separate"/>
            </w:r>
            <w:r w:rsidR="006911D9">
              <w:rPr>
                <w:noProof/>
                <w:webHidden/>
              </w:rPr>
              <w:t>10</w:t>
            </w:r>
            <w:r w:rsidR="006911D9">
              <w:rPr>
                <w:noProof/>
                <w:webHidden/>
              </w:rPr>
              <w:fldChar w:fldCharType="end"/>
            </w:r>
          </w:hyperlink>
        </w:p>
        <w:p w:rsidR="006911D9" w:rsidRDefault="00F33B50">
          <w:pPr>
            <w:pStyle w:val="TOC2"/>
            <w:tabs>
              <w:tab w:val="left" w:pos="880"/>
              <w:tab w:val="right" w:leader="dot" w:pos="9629"/>
            </w:tabs>
            <w:rPr>
              <w:rFonts w:asciiTheme="minorHAnsi" w:eastAsiaTheme="minorEastAsia" w:hAnsiTheme="minorHAnsi" w:cstheme="minorBidi"/>
              <w:noProof/>
              <w:sz w:val="22"/>
              <w:szCs w:val="22"/>
              <w:lang w:val="en-GB" w:eastAsia="en-GB"/>
            </w:rPr>
          </w:pPr>
          <w:hyperlink w:anchor="_Toc441061193" w:history="1">
            <w:r w:rsidR="006911D9" w:rsidRPr="00D252D9">
              <w:rPr>
                <w:rStyle w:val="Hyperlink"/>
                <w:rFonts w:eastAsiaTheme="majorEastAsia"/>
                <w:noProof/>
              </w:rPr>
              <w:t>2.3</w:t>
            </w:r>
            <w:r w:rsidR="006911D9">
              <w:rPr>
                <w:rFonts w:asciiTheme="minorHAnsi" w:eastAsiaTheme="minorEastAsia" w:hAnsiTheme="minorHAnsi" w:cstheme="minorBidi"/>
                <w:noProof/>
                <w:sz w:val="22"/>
                <w:szCs w:val="22"/>
                <w:lang w:val="en-GB" w:eastAsia="en-GB"/>
              </w:rPr>
              <w:tab/>
            </w:r>
            <w:r w:rsidR="006911D9" w:rsidRPr="00D252D9">
              <w:rPr>
                <w:rStyle w:val="Hyperlink"/>
                <w:rFonts w:eastAsiaTheme="majorEastAsia"/>
                <w:noProof/>
              </w:rPr>
              <w:t>NIHR Diagnostic Evidence Co-operative (DEC)</w:t>
            </w:r>
            <w:r w:rsidR="006911D9">
              <w:rPr>
                <w:noProof/>
                <w:webHidden/>
              </w:rPr>
              <w:tab/>
            </w:r>
            <w:r w:rsidR="006911D9">
              <w:rPr>
                <w:noProof/>
                <w:webHidden/>
              </w:rPr>
              <w:fldChar w:fldCharType="begin"/>
            </w:r>
            <w:r w:rsidR="006911D9">
              <w:rPr>
                <w:noProof/>
                <w:webHidden/>
              </w:rPr>
              <w:instrText xml:space="preserve"> PAGEREF _Toc441061193 \h </w:instrText>
            </w:r>
            <w:r w:rsidR="006911D9">
              <w:rPr>
                <w:noProof/>
                <w:webHidden/>
              </w:rPr>
            </w:r>
            <w:r w:rsidR="006911D9">
              <w:rPr>
                <w:noProof/>
                <w:webHidden/>
              </w:rPr>
              <w:fldChar w:fldCharType="separate"/>
            </w:r>
            <w:r w:rsidR="006911D9">
              <w:rPr>
                <w:noProof/>
                <w:webHidden/>
              </w:rPr>
              <w:t>10</w:t>
            </w:r>
            <w:r w:rsidR="006911D9">
              <w:rPr>
                <w:noProof/>
                <w:webHidden/>
              </w:rPr>
              <w:fldChar w:fldCharType="end"/>
            </w:r>
          </w:hyperlink>
        </w:p>
        <w:p w:rsidR="006911D9" w:rsidRDefault="00F33B50">
          <w:pPr>
            <w:pStyle w:val="TOC2"/>
            <w:tabs>
              <w:tab w:val="left" w:pos="880"/>
              <w:tab w:val="right" w:leader="dot" w:pos="9629"/>
            </w:tabs>
            <w:rPr>
              <w:rFonts w:asciiTheme="minorHAnsi" w:eastAsiaTheme="minorEastAsia" w:hAnsiTheme="minorHAnsi" w:cstheme="minorBidi"/>
              <w:noProof/>
              <w:sz w:val="22"/>
              <w:szCs w:val="22"/>
              <w:lang w:val="en-GB" w:eastAsia="en-GB"/>
            </w:rPr>
          </w:pPr>
          <w:hyperlink w:anchor="_Toc441061194" w:history="1">
            <w:r w:rsidR="006911D9" w:rsidRPr="00D252D9">
              <w:rPr>
                <w:rStyle w:val="Hyperlink"/>
                <w:rFonts w:eastAsiaTheme="majorEastAsia"/>
                <w:noProof/>
              </w:rPr>
              <w:t>2.4</w:t>
            </w:r>
            <w:r w:rsidR="006911D9">
              <w:rPr>
                <w:rFonts w:asciiTheme="minorHAnsi" w:eastAsiaTheme="minorEastAsia" w:hAnsiTheme="minorHAnsi" w:cstheme="minorBidi"/>
                <w:noProof/>
                <w:sz w:val="22"/>
                <w:szCs w:val="22"/>
                <w:lang w:val="en-GB" w:eastAsia="en-GB"/>
              </w:rPr>
              <w:tab/>
            </w:r>
            <w:r w:rsidR="006911D9" w:rsidRPr="00D252D9">
              <w:rPr>
                <w:rStyle w:val="Hyperlink"/>
                <w:rFonts w:eastAsiaTheme="majorEastAsia"/>
                <w:noProof/>
              </w:rPr>
              <w:t>NIHR Oxford cognitive health Clinical Research Facility (CRF)</w:t>
            </w:r>
            <w:r w:rsidR="006911D9">
              <w:rPr>
                <w:noProof/>
                <w:webHidden/>
              </w:rPr>
              <w:tab/>
            </w:r>
            <w:r w:rsidR="006911D9">
              <w:rPr>
                <w:noProof/>
                <w:webHidden/>
              </w:rPr>
              <w:fldChar w:fldCharType="begin"/>
            </w:r>
            <w:r w:rsidR="006911D9">
              <w:rPr>
                <w:noProof/>
                <w:webHidden/>
              </w:rPr>
              <w:instrText xml:space="preserve"> PAGEREF _Toc441061194 \h </w:instrText>
            </w:r>
            <w:r w:rsidR="006911D9">
              <w:rPr>
                <w:noProof/>
                <w:webHidden/>
              </w:rPr>
            </w:r>
            <w:r w:rsidR="006911D9">
              <w:rPr>
                <w:noProof/>
                <w:webHidden/>
              </w:rPr>
              <w:fldChar w:fldCharType="separate"/>
            </w:r>
            <w:r w:rsidR="006911D9">
              <w:rPr>
                <w:noProof/>
                <w:webHidden/>
              </w:rPr>
              <w:t>11</w:t>
            </w:r>
            <w:r w:rsidR="006911D9">
              <w:rPr>
                <w:noProof/>
                <w:webHidden/>
              </w:rPr>
              <w:fldChar w:fldCharType="end"/>
            </w:r>
          </w:hyperlink>
        </w:p>
        <w:p w:rsidR="006911D9" w:rsidRDefault="00F33B50">
          <w:pPr>
            <w:pStyle w:val="TOC3"/>
            <w:tabs>
              <w:tab w:val="left" w:pos="1320"/>
              <w:tab w:val="right" w:leader="dot" w:pos="9629"/>
            </w:tabs>
            <w:rPr>
              <w:rFonts w:asciiTheme="minorHAnsi" w:eastAsiaTheme="minorEastAsia" w:hAnsiTheme="minorHAnsi" w:cstheme="minorBidi"/>
              <w:noProof/>
              <w:sz w:val="22"/>
              <w:szCs w:val="22"/>
              <w:lang w:val="en-GB" w:eastAsia="en-GB"/>
            </w:rPr>
          </w:pPr>
          <w:hyperlink w:anchor="_Toc441061195" w:history="1">
            <w:r w:rsidR="006911D9" w:rsidRPr="00D252D9">
              <w:rPr>
                <w:rStyle w:val="Hyperlink"/>
                <w:rFonts w:eastAsiaTheme="majorEastAsia"/>
                <w:noProof/>
              </w:rPr>
              <w:t>2.4.1</w:t>
            </w:r>
            <w:r w:rsidR="006911D9">
              <w:rPr>
                <w:rFonts w:asciiTheme="minorHAnsi" w:eastAsiaTheme="minorEastAsia" w:hAnsiTheme="minorHAnsi" w:cstheme="minorBidi"/>
                <w:noProof/>
                <w:sz w:val="22"/>
                <w:szCs w:val="22"/>
                <w:lang w:val="en-GB" w:eastAsia="en-GB"/>
              </w:rPr>
              <w:tab/>
            </w:r>
            <w:r w:rsidR="006911D9" w:rsidRPr="00D252D9">
              <w:rPr>
                <w:rStyle w:val="Hyperlink"/>
                <w:rFonts w:eastAsiaTheme="majorEastAsia"/>
                <w:noProof/>
              </w:rPr>
              <w:t>Reporting</w:t>
            </w:r>
            <w:r w:rsidR="006911D9">
              <w:rPr>
                <w:noProof/>
                <w:webHidden/>
              </w:rPr>
              <w:tab/>
            </w:r>
            <w:r w:rsidR="006911D9">
              <w:rPr>
                <w:noProof/>
                <w:webHidden/>
              </w:rPr>
              <w:fldChar w:fldCharType="begin"/>
            </w:r>
            <w:r w:rsidR="006911D9">
              <w:rPr>
                <w:noProof/>
                <w:webHidden/>
              </w:rPr>
              <w:instrText xml:space="preserve"> PAGEREF _Toc441061195 \h </w:instrText>
            </w:r>
            <w:r w:rsidR="006911D9">
              <w:rPr>
                <w:noProof/>
                <w:webHidden/>
              </w:rPr>
            </w:r>
            <w:r w:rsidR="006911D9">
              <w:rPr>
                <w:noProof/>
                <w:webHidden/>
              </w:rPr>
              <w:fldChar w:fldCharType="separate"/>
            </w:r>
            <w:r w:rsidR="006911D9">
              <w:rPr>
                <w:noProof/>
                <w:webHidden/>
              </w:rPr>
              <w:t>11</w:t>
            </w:r>
            <w:r w:rsidR="006911D9">
              <w:rPr>
                <w:noProof/>
                <w:webHidden/>
              </w:rPr>
              <w:fldChar w:fldCharType="end"/>
            </w:r>
          </w:hyperlink>
        </w:p>
        <w:p w:rsidR="006911D9" w:rsidRDefault="00F33B50">
          <w:pPr>
            <w:pStyle w:val="TOC3"/>
            <w:tabs>
              <w:tab w:val="left" w:pos="1320"/>
              <w:tab w:val="right" w:leader="dot" w:pos="9629"/>
            </w:tabs>
            <w:rPr>
              <w:rFonts w:asciiTheme="minorHAnsi" w:eastAsiaTheme="minorEastAsia" w:hAnsiTheme="minorHAnsi" w:cstheme="minorBidi"/>
              <w:noProof/>
              <w:sz w:val="22"/>
              <w:szCs w:val="22"/>
              <w:lang w:val="en-GB" w:eastAsia="en-GB"/>
            </w:rPr>
          </w:pPr>
          <w:hyperlink w:anchor="_Toc441061196" w:history="1">
            <w:r w:rsidR="006911D9" w:rsidRPr="00D252D9">
              <w:rPr>
                <w:rStyle w:val="Hyperlink"/>
                <w:rFonts w:eastAsiaTheme="majorEastAsia"/>
                <w:noProof/>
              </w:rPr>
              <w:t>2.4.2</w:t>
            </w:r>
            <w:r w:rsidR="006911D9">
              <w:rPr>
                <w:rFonts w:asciiTheme="minorHAnsi" w:eastAsiaTheme="minorEastAsia" w:hAnsiTheme="minorHAnsi" w:cstheme="minorBidi"/>
                <w:noProof/>
                <w:sz w:val="22"/>
                <w:szCs w:val="22"/>
                <w:lang w:val="en-GB" w:eastAsia="en-GB"/>
              </w:rPr>
              <w:tab/>
            </w:r>
            <w:r w:rsidR="006911D9" w:rsidRPr="00D252D9">
              <w:rPr>
                <w:rStyle w:val="Hyperlink"/>
                <w:rFonts w:eastAsiaTheme="majorEastAsia"/>
                <w:noProof/>
              </w:rPr>
              <w:t>Occupancy</w:t>
            </w:r>
            <w:r w:rsidR="006911D9">
              <w:rPr>
                <w:noProof/>
                <w:webHidden/>
              </w:rPr>
              <w:tab/>
            </w:r>
            <w:r w:rsidR="006911D9">
              <w:rPr>
                <w:noProof/>
                <w:webHidden/>
              </w:rPr>
              <w:fldChar w:fldCharType="begin"/>
            </w:r>
            <w:r w:rsidR="006911D9">
              <w:rPr>
                <w:noProof/>
                <w:webHidden/>
              </w:rPr>
              <w:instrText xml:space="preserve"> PAGEREF _Toc441061196 \h </w:instrText>
            </w:r>
            <w:r w:rsidR="006911D9">
              <w:rPr>
                <w:noProof/>
                <w:webHidden/>
              </w:rPr>
            </w:r>
            <w:r w:rsidR="006911D9">
              <w:rPr>
                <w:noProof/>
                <w:webHidden/>
              </w:rPr>
              <w:fldChar w:fldCharType="separate"/>
            </w:r>
            <w:r w:rsidR="006911D9">
              <w:rPr>
                <w:noProof/>
                <w:webHidden/>
              </w:rPr>
              <w:t>11</w:t>
            </w:r>
            <w:r w:rsidR="006911D9">
              <w:rPr>
                <w:noProof/>
                <w:webHidden/>
              </w:rPr>
              <w:fldChar w:fldCharType="end"/>
            </w:r>
          </w:hyperlink>
        </w:p>
        <w:p w:rsidR="006911D9" w:rsidRDefault="00F33B50">
          <w:pPr>
            <w:pStyle w:val="TOC3"/>
            <w:tabs>
              <w:tab w:val="left" w:pos="1320"/>
              <w:tab w:val="right" w:leader="dot" w:pos="9629"/>
            </w:tabs>
            <w:rPr>
              <w:rFonts w:asciiTheme="minorHAnsi" w:eastAsiaTheme="minorEastAsia" w:hAnsiTheme="minorHAnsi" w:cstheme="minorBidi"/>
              <w:noProof/>
              <w:sz w:val="22"/>
              <w:szCs w:val="22"/>
              <w:lang w:val="en-GB" w:eastAsia="en-GB"/>
            </w:rPr>
          </w:pPr>
          <w:hyperlink w:anchor="_Toc441061197" w:history="1">
            <w:r w:rsidR="006911D9" w:rsidRPr="00D252D9">
              <w:rPr>
                <w:rStyle w:val="Hyperlink"/>
                <w:rFonts w:eastAsiaTheme="majorEastAsia"/>
                <w:noProof/>
              </w:rPr>
              <w:t>2.4.3</w:t>
            </w:r>
            <w:r w:rsidR="006911D9">
              <w:rPr>
                <w:rFonts w:asciiTheme="minorHAnsi" w:eastAsiaTheme="minorEastAsia" w:hAnsiTheme="minorHAnsi" w:cstheme="minorBidi"/>
                <w:noProof/>
                <w:sz w:val="22"/>
                <w:szCs w:val="22"/>
                <w:lang w:val="en-GB" w:eastAsia="en-GB"/>
              </w:rPr>
              <w:tab/>
            </w:r>
            <w:r w:rsidR="006911D9" w:rsidRPr="00D252D9">
              <w:rPr>
                <w:rStyle w:val="Hyperlink"/>
                <w:rFonts w:eastAsiaTheme="majorEastAsia"/>
                <w:noProof/>
              </w:rPr>
              <w:t>Studies</w:t>
            </w:r>
            <w:r w:rsidR="006911D9">
              <w:rPr>
                <w:noProof/>
                <w:webHidden/>
              </w:rPr>
              <w:tab/>
            </w:r>
            <w:r w:rsidR="006911D9">
              <w:rPr>
                <w:noProof/>
                <w:webHidden/>
              </w:rPr>
              <w:fldChar w:fldCharType="begin"/>
            </w:r>
            <w:r w:rsidR="006911D9">
              <w:rPr>
                <w:noProof/>
                <w:webHidden/>
              </w:rPr>
              <w:instrText xml:space="preserve"> PAGEREF _Toc441061197 \h </w:instrText>
            </w:r>
            <w:r w:rsidR="006911D9">
              <w:rPr>
                <w:noProof/>
                <w:webHidden/>
              </w:rPr>
            </w:r>
            <w:r w:rsidR="006911D9">
              <w:rPr>
                <w:noProof/>
                <w:webHidden/>
              </w:rPr>
              <w:fldChar w:fldCharType="separate"/>
            </w:r>
            <w:r w:rsidR="006911D9">
              <w:rPr>
                <w:noProof/>
                <w:webHidden/>
              </w:rPr>
              <w:t>11</w:t>
            </w:r>
            <w:r w:rsidR="006911D9">
              <w:rPr>
                <w:noProof/>
                <w:webHidden/>
              </w:rPr>
              <w:fldChar w:fldCharType="end"/>
            </w:r>
          </w:hyperlink>
        </w:p>
        <w:p w:rsidR="006911D9" w:rsidRDefault="00F33B50">
          <w:pPr>
            <w:pStyle w:val="TOC3"/>
            <w:tabs>
              <w:tab w:val="left" w:pos="1320"/>
              <w:tab w:val="right" w:leader="dot" w:pos="9629"/>
            </w:tabs>
            <w:rPr>
              <w:rFonts w:asciiTheme="minorHAnsi" w:eastAsiaTheme="minorEastAsia" w:hAnsiTheme="minorHAnsi" w:cstheme="minorBidi"/>
              <w:noProof/>
              <w:sz w:val="22"/>
              <w:szCs w:val="22"/>
              <w:lang w:val="en-GB" w:eastAsia="en-GB"/>
            </w:rPr>
          </w:pPr>
          <w:hyperlink w:anchor="_Toc441061198" w:history="1">
            <w:r w:rsidR="006911D9" w:rsidRPr="00D252D9">
              <w:rPr>
                <w:rStyle w:val="Hyperlink"/>
                <w:rFonts w:eastAsiaTheme="majorEastAsia"/>
                <w:noProof/>
              </w:rPr>
              <w:t>2.4.4</w:t>
            </w:r>
            <w:r w:rsidR="006911D9">
              <w:rPr>
                <w:rFonts w:asciiTheme="minorHAnsi" w:eastAsiaTheme="minorEastAsia" w:hAnsiTheme="minorHAnsi" w:cstheme="minorBidi"/>
                <w:noProof/>
                <w:sz w:val="22"/>
                <w:szCs w:val="22"/>
                <w:lang w:val="en-GB" w:eastAsia="en-GB"/>
              </w:rPr>
              <w:tab/>
            </w:r>
            <w:r w:rsidR="006911D9" w:rsidRPr="00D252D9">
              <w:rPr>
                <w:rStyle w:val="Hyperlink"/>
                <w:rFonts w:eastAsiaTheme="majorEastAsia"/>
                <w:noProof/>
              </w:rPr>
              <w:t>Future studies</w:t>
            </w:r>
            <w:r w:rsidR="006911D9">
              <w:rPr>
                <w:noProof/>
                <w:webHidden/>
              </w:rPr>
              <w:tab/>
            </w:r>
            <w:r w:rsidR="006911D9">
              <w:rPr>
                <w:noProof/>
                <w:webHidden/>
              </w:rPr>
              <w:fldChar w:fldCharType="begin"/>
            </w:r>
            <w:r w:rsidR="006911D9">
              <w:rPr>
                <w:noProof/>
                <w:webHidden/>
              </w:rPr>
              <w:instrText xml:space="preserve"> PAGEREF _Toc441061198 \h </w:instrText>
            </w:r>
            <w:r w:rsidR="006911D9">
              <w:rPr>
                <w:noProof/>
                <w:webHidden/>
              </w:rPr>
            </w:r>
            <w:r w:rsidR="006911D9">
              <w:rPr>
                <w:noProof/>
                <w:webHidden/>
              </w:rPr>
              <w:fldChar w:fldCharType="separate"/>
            </w:r>
            <w:r w:rsidR="006911D9">
              <w:rPr>
                <w:noProof/>
                <w:webHidden/>
              </w:rPr>
              <w:t>11</w:t>
            </w:r>
            <w:r w:rsidR="006911D9">
              <w:rPr>
                <w:noProof/>
                <w:webHidden/>
              </w:rPr>
              <w:fldChar w:fldCharType="end"/>
            </w:r>
          </w:hyperlink>
        </w:p>
        <w:p w:rsidR="006911D9" w:rsidRDefault="00F33B50">
          <w:pPr>
            <w:pStyle w:val="TOC3"/>
            <w:tabs>
              <w:tab w:val="left" w:pos="1320"/>
              <w:tab w:val="right" w:leader="dot" w:pos="9629"/>
            </w:tabs>
            <w:rPr>
              <w:rFonts w:asciiTheme="minorHAnsi" w:eastAsiaTheme="minorEastAsia" w:hAnsiTheme="minorHAnsi" w:cstheme="minorBidi"/>
              <w:noProof/>
              <w:sz w:val="22"/>
              <w:szCs w:val="22"/>
              <w:lang w:val="en-GB" w:eastAsia="en-GB"/>
            </w:rPr>
          </w:pPr>
          <w:hyperlink w:anchor="_Toc441061199" w:history="1">
            <w:r w:rsidR="006911D9" w:rsidRPr="00D252D9">
              <w:rPr>
                <w:rStyle w:val="Hyperlink"/>
                <w:rFonts w:eastAsiaTheme="majorEastAsia"/>
                <w:noProof/>
              </w:rPr>
              <w:t>2.4.5</w:t>
            </w:r>
            <w:r w:rsidR="006911D9">
              <w:rPr>
                <w:rFonts w:asciiTheme="minorHAnsi" w:eastAsiaTheme="minorEastAsia" w:hAnsiTheme="minorHAnsi" w:cstheme="minorBidi"/>
                <w:noProof/>
                <w:sz w:val="22"/>
                <w:szCs w:val="22"/>
                <w:lang w:val="en-GB" w:eastAsia="en-GB"/>
              </w:rPr>
              <w:tab/>
            </w:r>
            <w:r w:rsidR="006911D9" w:rsidRPr="00D252D9">
              <w:rPr>
                <w:rStyle w:val="Hyperlink"/>
                <w:rFonts w:eastAsiaTheme="majorEastAsia"/>
                <w:noProof/>
              </w:rPr>
              <w:t>Collaborations</w:t>
            </w:r>
            <w:r w:rsidR="006911D9">
              <w:rPr>
                <w:noProof/>
                <w:webHidden/>
              </w:rPr>
              <w:tab/>
            </w:r>
            <w:r w:rsidR="006911D9">
              <w:rPr>
                <w:noProof/>
                <w:webHidden/>
              </w:rPr>
              <w:fldChar w:fldCharType="begin"/>
            </w:r>
            <w:r w:rsidR="006911D9">
              <w:rPr>
                <w:noProof/>
                <w:webHidden/>
              </w:rPr>
              <w:instrText xml:space="preserve"> PAGEREF _Toc441061199 \h </w:instrText>
            </w:r>
            <w:r w:rsidR="006911D9">
              <w:rPr>
                <w:noProof/>
                <w:webHidden/>
              </w:rPr>
            </w:r>
            <w:r w:rsidR="006911D9">
              <w:rPr>
                <w:noProof/>
                <w:webHidden/>
              </w:rPr>
              <w:fldChar w:fldCharType="separate"/>
            </w:r>
            <w:r w:rsidR="006911D9">
              <w:rPr>
                <w:noProof/>
                <w:webHidden/>
              </w:rPr>
              <w:t>12</w:t>
            </w:r>
            <w:r w:rsidR="006911D9">
              <w:rPr>
                <w:noProof/>
                <w:webHidden/>
              </w:rPr>
              <w:fldChar w:fldCharType="end"/>
            </w:r>
          </w:hyperlink>
        </w:p>
        <w:p w:rsidR="006911D9" w:rsidRDefault="00F33B50">
          <w:pPr>
            <w:pStyle w:val="TOC3"/>
            <w:tabs>
              <w:tab w:val="left" w:pos="1320"/>
              <w:tab w:val="right" w:leader="dot" w:pos="9629"/>
            </w:tabs>
            <w:rPr>
              <w:rFonts w:asciiTheme="minorHAnsi" w:eastAsiaTheme="minorEastAsia" w:hAnsiTheme="minorHAnsi" w:cstheme="minorBidi"/>
              <w:noProof/>
              <w:sz w:val="22"/>
              <w:szCs w:val="22"/>
              <w:lang w:val="en-GB" w:eastAsia="en-GB"/>
            </w:rPr>
          </w:pPr>
          <w:hyperlink w:anchor="_Toc441061200" w:history="1">
            <w:r w:rsidR="006911D9" w:rsidRPr="00D252D9">
              <w:rPr>
                <w:rStyle w:val="Hyperlink"/>
                <w:rFonts w:eastAsiaTheme="majorEastAsia"/>
                <w:noProof/>
              </w:rPr>
              <w:t>2.4.6</w:t>
            </w:r>
            <w:r w:rsidR="006911D9">
              <w:rPr>
                <w:rFonts w:asciiTheme="minorHAnsi" w:eastAsiaTheme="minorEastAsia" w:hAnsiTheme="minorHAnsi" w:cstheme="minorBidi"/>
                <w:noProof/>
                <w:sz w:val="22"/>
                <w:szCs w:val="22"/>
                <w:lang w:val="en-GB" w:eastAsia="en-GB"/>
              </w:rPr>
              <w:tab/>
            </w:r>
            <w:r w:rsidR="006911D9" w:rsidRPr="00D252D9">
              <w:rPr>
                <w:rStyle w:val="Hyperlink"/>
                <w:rFonts w:eastAsiaTheme="majorEastAsia"/>
                <w:noProof/>
              </w:rPr>
              <w:t>Renewal of CRF funding</w:t>
            </w:r>
            <w:r w:rsidR="006911D9">
              <w:rPr>
                <w:noProof/>
                <w:webHidden/>
              </w:rPr>
              <w:tab/>
            </w:r>
            <w:r w:rsidR="006911D9">
              <w:rPr>
                <w:noProof/>
                <w:webHidden/>
              </w:rPr>
              <w:fldChar w:fldCharType="begin"/>
            </w:r>
            <w:r w:rsidR="006911D9">
              <w:rPr>
                <w:noProof/>
                <w:webHidden/>
              </w:rPr>
              <w:instrText xml:space="preserve"> PAGEREF _Toc441061200 \h </w:instrText>
            </w:r>
            <w:r w:rsidR="006911D9">
              <w:rPr>
                <w:noProof/>
                <w:webHidden/>
              </w:rPr>
            </w:r>
            <w:r w:rsidR="006911D9">
              <w:rPr>
                <w:noProof/>
                <w:webHidden/>
              </w:rPr>
              <w:fldChar w:fldCharType="separate"/>
            </w:r>
            <w:r w:rsidR="006911D9">
              <w:rPr>
                <w:noProof/>
                <w:webHidden/>
              </w:rPr>
              <w:t>12</w:t>
            </w:r>
            <w:r w:rsidR="006911D9">
              <w:rPr>
                <w:noProof/>
                <w:webHidden/>
              </w:rPr>
              <w:fldChar w:fldCharType="end"/>
            </w:r>
          </w:hyperlink>
        </w:p>
        <w:p w:rsidR="006911D9" w:rsidRDefault="00F33B50">
          <w:pPr>
            <w:pStyle w:val="TOC2"/>
            <w:tabs>
              <w:tab w:val="left" w:pos="880"/>
              <w:tab w:val="right" w:leader="dot" w:pos="9629"/>
            </w:tabs>
            <w:rPr>
              <w:rFonts w:asciiTheme="minorHAnsi" w:eastAsiaTheme="minorEastAsia" w:hAnsiTheme="minorHAnsi" w:cstheme="minorBidi"/>
              <w:noProof/>
              <w:sz w:val="22"/>
              <w:szCs w:val="22"/>
              <w:lang w:val="en-GB" w:eastAsia="en-GB"/>
            </w:rPr>
          </w:pPr>
          <w:hyperlink w:anchor="_Toc441061201" w:history="1">
            <w:r w:rsidR="006911D9" w:rsidRPr="00D252D9">
              <w:rPr>
                <w:rStyle w:val="Hyperlink"/>
                <w:rFonts w:eastAsiaTheme="majorEastAsia"/>
                <w:noProof/>
              </w:rPr>
              <w:t>2.5</w:t>
            </w:r>
            <w:r w:rsidR="006911D9">
              <w:rPr>
                <w:rFonts w:asciiTheme="minorHAnsi" w:eastAsiaTheme="minorEastAsia" w:hAnsiTheme="minorHAnsi" w:cstheme="minorBidi"/>
                <w:noProof/>
                <w:sz w:val="22"/>
                <w:szCs w:val="22"/>
                <w:lang w:val="en-GB" w:eastAsia="en-GB"/>
              </w:rPr>
              <w:tab/>
            </w:r>
            <w:r w:rsidR="006911D9" w:rsidRPr="00D252D9">
              <w:rPr>
                <w:rStyle w:val="Hyperlink"/>
                <w:rFonts w:eastAsiaTheme="majorEastAsia"/>
                <w:noProof/>
              </w:rPr>
              <w:t>NIHR BRC</w:t>
            </w:r>
            <w:r w:rsidR="006911D9">
              <w:rPr>
                <w:noProof/>
                <w:webHidden/>
              </w:rPr>
              <w:tab/>
            </w:r>
            <w:r w:rsidR="006911D9">
              <w:rPr>
                <w:noProof/>
                <w:webHidden/>
              </w:rPr>
              <w:fldChar w:fldCharType="begin"/>
            </w:r>
            <w:r w:rsidR="006911D9">
              <w:rPr>
                <w:noProof/>
                <w:webHidden/>
              </w:rPr>
              <w:instrText xml:space="preserve"> PAGEREF _Toc441061201 \h </w:instrText>
            </w:r>
            <w:r w:rsidR="006911D9">
              <w:rPr>
                <w:noProof/>
                <w:webHidden/>
              </w:rPr>
            </w:r>
            <w:r w:rsidR="006911D9">
              <w:rPr>
                <w:noProof/>
                <w:webHidden/>
              </w:rPr>
              <w:fldChar w:fldCharType="separate"/>
            </w:r>
            <w:r w:rsidR="006911D9">
              <w:rPr>
                <w:noProof/>
                <w:webHidden/>
              </w:rPr>
              <w:t>12</w:t>
            </w:r>
            <w:r w:rsidR="006911D9">
              <w:rPr>
                <w:noProof/>
                <w:webHidden/>
              </w:rPr>
              <w:fldChar w:fldCharType="end"/>
            </w:r>
          </w:hyperlink>
        </w:p>
        <w:p w:rsidR="006911D9" w:rsidRDefault="00F33B50">
          <w:pPr>
            <w:pStyle w:val="TOC2"/>
            <w:tabs>
              <w:tab w:val="left" w:pos="880"/>
              <w:tab w:val="right" w:leader="dot" w:pos="9629"/>
            </w:tabs>
            <w:rPr>
              <w:rFonts w:asciiTheme="minorHAnsi" w:eastAsiaTheme="minorEastAsia" w:hAnsiTheme="minorHAnsi" w:cstheme="minorBidi"/>
              <w:noProof/>
              <w:sz w:val="22"/>
              <w:szCs w:val="22"/>
              <w:lang w:val="en-GB" w:eastAsia="en-GB"/>
            </w:rPr>
          </w:pPr>
          <w:hyperlink w:anchor="_Toc441061202" w:history="1">
            <w:r w:rsidR="006911D9" w:rsidRPr="00D252D9">
              <w:rPr>
                <w:rStyle w:val="Hyperlink"/>
                <w:rFonts w:eastAsiaTheme="majorEastAsia"/>
                <w:noProof/>
              </w:rPr>
              <w:t>2.6</w:t>
            </w:r>
            <w:r w:rsidR="006911D9">
              <w:rPr>
                <w:rFonts w:asciiTheme="minorHAnsi" w:eastAsiaTheme="minorEastAsia" w:hAnsiTheme="minorHAnsi" w:cstheme="minorBidi"/>
                <w:noProof/>
                <w:sz w:val="22"/>
                <w:szCs w:val="22"/>
                <w:lang w:val="en-GB" w:eastAsia="en-GB"/>
              </w:rPr>
              <w:tab/>
            </w:r>
            <w:r w:rsidR="006911D9" w:rsidRPr="00D252D9">
              <w:rPr>
                <w:rStyle w:val="Hyperlink"/>
                <w:rFonts w:eastAsiaTheme="majorEastAsia"/>
                <w:noProof/>
              </w:rPr>
              <w:t>NIHR CRN</w:t>
            </w:r>
            <w:r w:rsidR="006911D9">
              <w:rPr>
                <w:noProof/>
                <w:webHidden/>
              </w:rPr>
              <w:tab/>
            </w:r>
            <w:r w:rsidR="006911D9">
              <w:rPr>
                <w:noProof/>
                <w:webHidden/>
              </w:rPr>
              <w:fldChar w:fldCharType="begin"/>
            </w:r>
            <w:r w:rsidR="006911D9">
              <w:rPr>
                <w:noProof/>
                <w:webHidden/>
              </w:rPr>
              <w:instrText xml:space="preserve"> PAGEREF _Toc441061202 \h </w:instrText>
            </w:r>
            <w:r w:rsidR="006911D9">
              <w:rPr>
                <w:noProof/>
                <w:webHidden/>
              </w:rPr>
            </w:r>
            <w:r w:rsidR="006911D9">
              <w:rPr>
                <w:noProof/>
                <w:webHidden/>
              </w:rPr>
              <w:fldChar w:fldCharType="separate"/>
            </w:r>
            <w:r w:rsidR="006911D9">
              <w:rPr>
                <w:noProof/>
                <w:webHidden/>
              </w:rPr>
              <w:t>13</w:t>
            </w:r>
            <w:r w:rsidR="006911D9">
              <w:rPr>
                <w:noProof/>
                <w:webHidden/>
              </w:rPr>
              <w:fldChar w:fldCharType="end"/>
            </w:r>
          </w:hyperlink>
        </w:p>
        <w:p w:rsidR="006911D9" w:rsidRDefault="00F33B50">
          <w:pPr>
            <w:pStyle w:val="TOC1"/>
            <w:tabs>
              <w:tab w:val="left" w:pos="480"/>
              <w:tab w:val="right" w:leader="dot" w:pos="9629"/>
            </w:tabs>
            <w:rPr>
              <w:rFonts w:asciiTheme="minorHAnsi" w:eastAsiaTheme="minorEastAsia" w:hAnsiTheme="minorHAnsi" w:cstheme="minorBidi"/>
              <w:noProof/>
              <w:sz w:val="22"/>
              <w:szCs w:val="22"/>
              <w:lang w:val="en-GB" w:eastAsia="en-GB"/>
            </w:rPr>
          </w:pPr>
          <w:hyperlink w:anchor="_Toc441061203" w:history="1">
            <w:r w:rsidR="006911D9" w:rsidRPr="00D252D9">
              <w:rPr>
                <w:rStyle w:val="Hyperlink"/>
                <w:rFonts w:eastAsiaTheme="majorEastAsia"/>
                <w:noProof/>
              </w:rPr>
              <w:t>3</w:t>
            </w:r>
            <w:r w:rsidR="006911D9">
              <w:rPr>
                <w:rFonts w:asciiTheme="minorHAnsi" w:eastAsiaTheme="minorEastAsia" w:hAnsiTheme="minorHAnsi" w:cstheme="minorBidi"/>
                <w:noProof/>
                <w:sz w:val="22"/>
                <w:szCs w:val="22"/>
                <w:lang w:val="en-GB" w:eastAsia="en-GB"/>
              </w:rPr>
              <w:tab/>
            </w:r>
            <w:r w:rsidR="006911D9" w:rsidRPr="00D252D9">
              <w:rPr>
                <w:rStyle w:val="Hyperlink"/>
                <w:rFonts w:eastAsiaTheme="majorEastAsia"/>
                <w:noProof/>
              </w:rPr>
              <w:t>Research Governance</w:t>
            </w:r>
            <w:r w:rsidR="006911D9">
              <w:rPr>
                <w:noProof/>
                <w:webHidden/>
              </w:rPr>
              <w:tab/>
            </w:r>
            <w:r w:rsidR="006911D9">
              <w:rPr>
                <w:noProof/>
                <w:webHidden/>
              </w:rPr>
              <w:fldChar w:fldCharType="begin"/>
            </w:r>
            <w:r w:rsidR="006911D9">
              <w:rPr>
                <w:noProof/>
                <w:webHidden/>
              </w:rPr>
              <w:instrText xml:space="preserve"> PAGEREF _Toc441061203 \h </w:instrText>
            </w:r>
            <w:r w:rsidR="006911D9">
              <w:rPr>
                <w:noProof/>
                <w:webHidden/>
              </w:rPr>
            </w:r>
            <w:r w:rsidR="006911D9">
              <w:rPr>
                <w:noProof/>
                <w:webHidden/>
              </w:rPr>
              <w:fldChar w:fldCharType="separate"/>
            </w:r>
            <w:r w:rsidR="006911D9">
              <w:rPr>
                <w:noProof/>
                <w:webHidden/>
              </w:rPr>
              <w:t>13</w:t>
            </w:r>
            <w:r w:rsidR="006911D9">
              <w:rPr>
                <w:noProof/>
                <w:webHidden/>
              </w:rPr>
              <w:fldChar w:fldCharType="end"/>
            </w:r>
          </w:hyperlink>
        </w:p>
        <w:p w:rsidR="006911D9" w:rsidRDefault="00F33B50">
          <w:pPr>
            <w:pStyle w:val="TOC2"/>
            <w:tabs>
              <w:tab w:val="left" w:pos="880"/>
              <w:tab w:val="right" w:leader="dot" w:pos="9629"/>
            </w:tabs>
            <w:rPr>
              <w:rFonts w:asciiTheme="minorHAnsi" w:eastAsiaTheme="minorEastAsia" w:hAnsiTheme="minorHAnsi" w:cstheme="minorBidi"/>
              <w:noProof/>
              <w:sz w:val="22"/>
              <w:szCs w:val="22"/>
              <w:lang w:val="en-GB" w:eastAsia="en-GB"/>
            </w:rPr>
          </w:pPr>
          <w:hyperlink w:anchor="_Toc441061204" w:history="1">
            <w:r w:rsidR="006911D9" w:rsidRPr="00D252D9">
              <w:rPr>
                <w:rStyle w:val="Hyperlink"/>
                <w:rFonts w:eastAsiaTheme="majorEastAsia"/>
                <w:noProof/>
              </w:rPr>
              <w:t>3.1</w:t>
            </w:r>
            <w:r w:rsidR="006911D9">
              <w:rPr>
                <w:rFonts w:asciiTheme="minorHAnsi" w:eastAsiaTheme="minorEastAsia" w:hAnsiTheme="minorHAnsi" w:cstheme="minorBidi"/>
                <w:noProof/>
                <w:sz w:val="22"/>
                <w:szCs w:val="22"/>
                <w:lang w:val="en-GB" w:eastAsia="en-GB"/>
              </w:rPr>
              <w:tab/>
            </w:r>
            <w:r w:rsidR="006911D9" w:rsidRPr="00D252D9">
              <w:rPr>
                <w:rStyle w:val="Hyperlink"/>
                <w:rFonts w:eastAsiaTheme="majorEastAsia"/>
                <w:noProof/>
              </w:rPr>
              <w:t>R&amp;D Governance Group</w:t>
            </w:r>
            <w:r w:rsidR="006911D9">
              <w:rPr>
                <w:noProof/>
                <w:webHidden/>
              </w:rPr>
              <w:tab/>
            </w:r>
            <w:r w:rsidR="006911D9">
              <w:rPr>
                <w:noProof/>
                <w:webHidden/>
              </w:rPr>
              <w:fldChar w:fldCharType="begin"/>
            </w:r>
            <w:r w:rsidR="006911D9">
              <w:rPr>
                <w:noProof/>
                <w:webHidden/>
              </w:rPr>
              <w:instrText xml:space="preserve"> PAGEREF _Toc441061204 \h </w:instrText>
            </w:r>
            <w:r w:rsidR="006911D9">
              <w:rPr>
                <w:noProof/>
                <w:webHidden/>
              </w:rPr>
            </w:r>
            <w:r w:rsidR="006911D9">
              <w:rPr>
                <w:noProof/>
                <w:webHidden/>
              </w:rPr>
              <w:fldChar w:fldCharType="separate"/>
            </w:r>
            <w:r w:rsidR="006911D9">
              <w:rPr>
                <w:noProof/>
                <w:webHidden/>
              </w:rPr>
              <w:t>13</w:t>
            </w:r>
            <w:r w:rsidR="006911D9">
              <w:rPr>
                <w:noProof/>
                <w:webHidden/>
              </w:rPr>
              <w:fldChar w:fldCharType="end"/>
            </w:r>
          </w:hyperlink>
        </w:p>
        <w:p w:rsidR="006911D9" w:rsidRDefault="00F33B50">
          <w:pPr>
            <w:pStyle w:val="TOC2"/>
            <w:tabs>
              <w:tab w:val="left" w:pos="880"/>
              <w:tab w:val="right" w:leader="dot" w:pos="9629"/>
            </w:tabs>
            <w:rPr>
              <w:rFonts w:asciiTheme="minorHAnsi" w:eastAsiaTheme="minorEastAsia" w:hAnsiTheme="minorHAnsi" w:cstheme="minorBidi"/>
              <w:noProof/>
              <w:sz w:val="22"/>
              <w:szCs w:val="22"/>
              <w:lang w:val="en-GB" w:eastAsia="en-GB"/>
            </w:rPr>
          </w:pPr>
          <w:hyperlink w:anchor="_Toc441061205" w:history="1">
            <w:r w:rsidR="006911D9" w:rsidRPr="00D252D9">
              <w:rPr>
                <w:rStyle w:val="Hyperlink"/>
                <w:rFonts w:eastAsiaTheme="majorEastAsia"/>
                <w:noProof/>
              </w:rPr>
              <w:t>3.2</w:t>
            </w:r>
            <w:r w:rsidR="006911D9">
              <w:rPr>
                <w:rFonts w:asciiTheme="minorHAnsi" w:eastAsiaTheme="minorEastAsia" w:hAnsiTheme="minorHAnsi" w:cstheme="minorBidi"/>
                <w:noProof/>
                <w:sz w:val="22"/>
                <w:szCs w:val="22"/>
                <w:lang w:val="en-GB" w:eastAsia="en-GB"/>
              </w:rPr>
              <w:tab/>
            </w:r>
            <w:r w:rsidR="006911D9" w:rsidRPr="00D252D9">
              <w:rPr>
                <w:rStyle w:val="Hyperlink"/>
                <w:rFonts w:eastAsiaTheme="majorEastAsia"/>
                <w:noProof/>
              </w:rPr>
              <w:t>Contract Review Processes</w:t>
            </w:r>
            <w:r w:rsidR="006911D9">
              <w:rPr>
                <w:noProof/>
                <w:webHidden/>
              </w:rPr>
              <w:tab/>
            </w:r>
            <w:r w:rsidR="006911D9">
              <w:rPr>
                <w:noProof/>
                <w:webHidden/>
              </w:rPr>
              <w:fldChar w:fldCharType="begin"/>
            </w:r>
            <w:r w:rsidR="006911D9">
              <w:rPr>
                <w:noProof/>
                <w:webHidden/>
              </w:rPr>
              <w:instrText xml:space="preserve"> PAGEREF _Toc441061205 \h </w:instrText>
            </w:r>
            <w:r w:rsidR="006911D9">
              <w:rPr>
                <w:noProof/>
                <w:webHidden/>
              </w:rPr>
            </w:r>
            <w:r w:rsidR="006911D9">
              <w:rPr>
                <w:noProof/>
                <w:webHidden/>
              </w:rPr>
              <w:fldChar w:fldCharType="separate"/>
            </w:r>
            <w:r w:rsidR="006911D9">
              <w:rPr>
                <w:noProof/>
                <w:webHidden/>
              </w:rPr>
              <w:t>14</w:t>
            </w:r>
            <w:r w:rsidR="006911D9">
              <w:rPr>
                <w:noProof/>
                <w:webHidden/>
              </w:rPr>
              <w:fldChar w:fldCharType="end"/>
            </w:r>
          </w:hyperlink>
        </w:p>
        <w:p w:rsidR="006911D9" w:rsidRDefault="00F33B50">
          <w:pPr>
            <w:pStyle w:val="TOC2"/>
            <w:tabs>
              <w:tab w:val="left" w:pos="880"/>
              <w:tab w:val="right" w:leader="dot" w:pos="9629"/>
            </w:tabs>
            <w:rPr>
              <w:rFonts w:asciiTheme="minorHAnsi" w:eastAsiaTheme="minorEastAsia" w:hAnsiTheme="minorHAnsi" w:cstheme="minorBidi"/>
              <w:noProof/>
              <w:sz w:val="22"/>
              <w:szCs w:val="22"/>
              <w:lang w:val="en-GB" w:eastAsia="en-GB"/>
            </w:rPr>
          </w:pPr>
          <w:hyperlink w:anchor="_Toc441061206" w:history="1">
            <w:r w:rsidR="006911D9" w:rsidRPr="00D252D9">
              <w:rPr>
                <w:rStyle w:val="Hyperlink"/>
                <w:rFonts w:eastAsiaTheme="majorEastAsia"/>
                <w:noProof/>
              </w:rPr>
              <w:t>3.3</w:t>
            </w:r>
            <w:r w:rsidR="006911D9">
              <w:rPr>
                <w:rFonts w:asciiTheme="minorHAnsi" w:eastAsiaTheme="minorEastAsia" w:hAnsiTheme="minorHAnsi" w:cstheme="minorBidi"/>
                <w:noProof/>
                <w:sz w:val="22"/>
                <w:szCs w:val="22"/>
                <w:lang w:val="en-GB" w:eastAsia="en-GB"/>
              </w:rPr>
              <w:tab/>
            </w:r>
            <w:r w:rsidR="006911D9" w:rsidRPr="00D252D9">
              <w:rPr>
                <w:rStyle w:val="Hyperlink"/>
                <w:rFonts w:eastAsiaTheme="majorEastAsia"/>
                <w:noProof/>
              </w:rPr>
              <w:t>R&amp;D Data Capture Mechanisms</w:t>
            </w:r>
            <w:r w:rsidR="006911D9">
              <w:rPr>
                <w:noProof/>
                <w:webHidden/>
              </w:rPr>
              <w:tab/>
            </w:r>
            <w:r w:rsidR="006911D9">
              <w:rPr>
                <w:noProof/>
                <w:webHidden/>
              </w:rPr>
              <w:fldChar w:fldCharType="begin"/>
            </w:r>
            <w:r w:rsidR="006911D9">
              <w:rPr>
                <w:noProof/>
                <w:webHidden/>
              </w:rPr>
              <w:instrText xml:space="preserve"> PAGEREF _Toc441061206 \h </w:instrText>
            </w:r>
            <w:r w:rsidR="006911D9">
              <w:rPr>
                <w:noProof/>
                <w:webHidden/>
              </w:rPr>
            </w:r>
            <w:r w:rsidR="006911D9">
              <w:rPr>
                <w:noProof/>
                <w:webHidden/>
              </w:rPr>
              <w:fldChar w:fldCharType="separate"/>
            </w:r>
            <w:r w:rsidR="006911D9">
              <w:rPr>
                <w:noProof/>
                <w:webHidden/>
              </w:rPr>
              <w:t>14</w:t>
            </w:r>
            <w:r w:rsidR="006911D9">
              <w:rPr>
                <w:noProof/>
                <w:webHidden/>
              </w:rPr>
              <w:fldChar w:fldCharType="end"/>
            </w:r>
          </w:hyperlink>
        </w:p>
        <w:p w:rsidR="006911D9" w:rsidRDefault="00F33B50">
          <w:pPr>
            <w:pStyle w:val="TOC3"/>
            <w:tabs>
              <w:tab w:val="left" w:pos="1320"/>
              <w:tab w:val="right" w:leader="dot" w:pos="9629"/>
            </w:tabs>
            <w:rPr>
              <w:rFonts w:asciiTheme="minorHAnsi" w:eastAsiaTheme="minorEastAsia" w:hAnsiTheme="minorHAnsi" w:cstheme="minorBidi"/>
              <w:noProof/>
              <w:sz w:val="22"/>
              <w:szCs w:val="22"/>
              <w:lang w:val="en-GB" w:eastAsia="en-GB"/>
            </w:rPr>
          </w:pPr>
          <w:hyperlink w:anchor="_Toc441061207" w:history="1">
            <w:r w:rsidR="006911D9" w:rsidRPr="00D252D9">
              <w:rPr>
                <w:rStyle w:val="Hyperlink"/>
                <w:rFonts w:eastAsiaTheme="majorEastAsia"/>
                <w:noProof/>
              </w:rPr>
              <w:t>3.3.1</w:t>
            </w:r>
            <w:r w:rsidR="006911D9">
              <w:rPr>
                <w:rFonts w:asciiTheme="minorHAnsi" w:eastAsiaTheme="minorEastAsia" w:hAnsiTheme="minorHAnsi" w:cstheme="minorBidi"/>
                <w:noProof/>
                <w:sz w:val="22"/>
                <w:szCs w:val="22"/>
                <w:lang w:val="en-GB" w:eastAsia="en-GB"/>
              </w:rPr>
              <w:tab/>
            </w:r>
            <w:r w:rsidR="006911D9" w:rsidRPr="00D252D9">
              <w:rPr>
                <w:rStyle w:val="Hyperlink"/>
                <w:rFonts w:eastAsiaTheme="majorEastAsia"/>
                <w:noProof/>
              </w:rPr>
              <w:t>Expressions of Interest</w:t>
            </w:r>
            <w:r w:rsidR="006911D9">
              <w:rPr>
                <w:noProof/>
                <w:webHidden/>
              </w:rPr>
              <w:tab/>
            </w:r>
            <w:r w:rsidR="006911D9">
              <w:rPr>
                <w:noProof/>
                <w:webHidden/>
              </w:rPr>
              <w:fldChar w:fldCharType="begin"/>
            </w:r>
            <w:r w:rsidR="006911D9">
              <w:rPr>
                <w:noProof/>
                <w:webHidden/>
              </w:rPr>
              <w:instrText xml:space="preserve"> PAGEREF _Toc441061207 \h </w:instrText>
            </w:r>
            <w:r w:rsidR="006911D9">
              <w:rPr>
                <w:noProof/>
                <w:webHidden/>
              </w:rPr>
            </w:r>
            <w:r w:rsidR="006911D9">
              <w:rPr>
                <w:noProof/>
                <w:webHidden/>
              </w:rPr>
              <w:fldChar w:fldCharType="separate"/>
            </w:r>
            <w:r w:rsidR="006911D9">
              <w:rPr>
                <w:noProof/>
                <w:webHidden/>
              </w:rPr>
              <w:t>14</w:t>
            </w:r>
            <w:r w:rsidR="006911D9">
              <w:rPr>
                <w:noProof/>
                <w:webHidden/>
              </w:rPr>
              <w:fldChar w:fldCharType="end"/>
            </w:r>
          </w:hyperlink>
        </w:p>
        <w:p w:rsidR="006911D9" w:rsidRDefault="00F33B50">
          <w:pPr>
            <w:pStyle w:val="TOC3"/>
            <w:tabs>
              <w:tab w:val="left" w:pos="1320"/>
              <w:tab w:val="right" w:leader="dot" w:pos="9629"/>
            </w:tabs>
            <w:rPr>
              <w:rFonts w:asciiTheme="minorHAnsi" w:eastAsiaTheme="minorEastAsia" w:hAnsiTheme="minorHAnsi" w:cstheme="minorBidi"/>
              <w:noProof/>
              <w:sz w:val="22"/>
              <w:szCs w:val="22"/>
              <w:lang w:val="en-GB" w:eastAsia="en-GB"/>
            </w:rPr>
          </w:pPr>
          <w:hyperlink w:anchor="_Toc441061208" w:history="1">
            <w:r w:rsidR="006911D9" w:rsidRPr="00D252D9">
              <w:rPr>
                <w:rStyle w:val="Hyperlink"/>
                <w:rFonts w:eastAsiaTheme="majorEastAsia"/>
                <w:noProof/>
              </w:rPr>
              <w:t>3.3.2</w:t>
            </w:r>
            <w:r w:rsidR="006911D9">
              <w:rPr>
                <w:rFonts w:asciiTheme="minorHAnsi" w:eastAsiaTheme="minorEastAsia" w:hAnsiTheme="minorHAnsi" w:cstheme="minorBidi"/>
                <w:noProof/>
                <w:sz w:val="22"/>
                <w:szCs w:val="22"/>
                <w:lang w:val="en-GB" w:eastAsia="en-GB"/>
              </w:rPr>
              <w:tab/>
            </w:r>
            <w:r w:rsidR="006911D9" w:rsidRPr="00D252D9">
              <w:rPr>
                <w:rStyle w:val="Hyperlink"/>
                <w:rFonts w:eastAsiaTheme="majorEastAsia"/>
                <w:noProof/>
              </w:rPr>
              <w:t>Pipeline Meetings</w:t>
            </w:r>
            <w:r w:rsidR="006911D9">
              <w:rPr>
                <w:noProof/>
                <w:webHidden/>
              </w:rPr>
              <w:tab/>
            </w:r>
            <w:r w:rsidR="006911D9">
              <w:rPr>
                <w:noProof/>
                <w:webHidden/>
              </w:rPr>
              <w:fldChar w:fldCharType="begin"/>
            </w:r>
            <w:r w:rsidR="006911D9">
              <w:rPr>
                <w:noProof/>
                <w:webHidden/>
              </w:rPr>
              <w:instrText xml:space="preserve"> PAGEREF _Toc441061208 \h </w:instrText>
            </w:r>
            <w:r w:rsidR="006911D9">
              <w:rPr>
                <w:noProof/>
                <w:webHidden/>
              </w:rPr>
            </w:r>
            <w:r w:rsidR="006911D9">
              <w:rPr>
                <w:noProof/>
                <w:webHidden/>
              </w:rPr>
              <w:fldChar w:fldCharType="separate"/>
            </w:r>
            <w:r w:rsidR="006911D9">
              <w:rPr>
                <w:noProof/>
                <w:webHidden/>
              </w:rPr>
              <w:t>14</w:t>
            </w:r>
            <w:r w:rsidR="006911D9">
              <w:rPr>
                <w:noProof/>
                <w:webHidden/>
              </w:rPr>
              <w:fldChar w:fldCharType="end"/>
            </w:r>
          </w:hyperlink>
        </w:p>
        <w:p w:rsidR="006911D9" w:rsidRDefault="00F33B50">
          <w:pPr>
            <w:pStyle w:val="TOC3"/>
            <w:tabs>
              <w:tab w:val="left" w:pos="1320"/>
              <w:tab w:val="right" w:leader="dot" w:pos="9629"/>
            </w:tabs>
            <w:rPr>
              <w:rFonts w:asciiTheme="minorHAnsi" w:eastAsiaTheme="minorEastAsia" w:hAnsiTheme="minorHAnsi" w:cstheme="minorBidi"/>
              <w:noProof/>
              <w:sz w:val="22"/>
              <w:szCs w:val="22"/>
              <w:lang w:val="en-GB" w:eastAsia="en-GB"/>
            </w:rPr>
          </w:pPr>
          <w:hyperlink w:anchor="_Toc441061209" w:history="1">
            <w:r w:rsidR="006911D9" w:rsidRPr="00D252D9">
              <w:rPr>
                <w:rStyle w:val="Hyperlink"/>
                <w:rFonts w:eastAsiaTheme="majorEastAsia"/>
                <w:noProof/>
              </w:rPr>
              <w:t>3.3.3</w:t>
            </w:r>
            <w:r w:rsidR="006911D9">
              <w:rPr>
                <w:rFonts w:asciiTheme="minorHAnsi" w:eastAsiaTheme="minorEastAsia" w:hAnsiTheme="minorHAnsi" w:cstheme="minorBidi"/>
                <w:noProof/>
                <w:sz w:val="22"/>
                <w:szCs w:val="22"/>
                <w:lang w:val="en-GB" w:eastAsia="en-GB"/>
              </w:rPr>
              <w:tab/>
            </w:r>
            <w:r w:rsidR="006911D9" w:rsidRPr="00D252D9">
              <w:rPr>
                <w:rStyle w:val="Hyperlink"/>
                <w:rFonts w:eastAsiaTheme="majorEastAsia"/>
                <w:noProof/>
              </w:rPr>
              <w:t>HRA</w:t>
            </w:r>
            <w:r w:rsidR="006911D9">
              <w:rPr>
                <w:noProof/>
                <w:webHidden/>
              </w:rPr>
              <w:tab/>
            </w:r>
            <w:r w:rsidR="006911D9">
              <w:rPr>
                <w:noProof/>
                <w:webHidden/>
              </w:rPr>
              <w:fldChar w:fldCharType="begin"/>
            </w:r>
            <w:r w:rsidR="006911D9">
              <w:rPr>
                <w:noProof/>
                <w:webHidden/>
              </w:rPr>
              <w:instrText xml:space="preserve"> PAGEREF _Toc441061209 \h </w:instrText>
            </w:r>
            <w:r w:rsidR="006911D9">
              <w:rPr>
                <w:noProof/>
                <w:webHidden/>
              </w:rPr>
            </w:r>
            <w:r w:rsidR="006911D9">
              <w:rPr>
                <w:noProof/>
                <w:webHidden/>
              </w:rPr>
              <w:fldChar w:fldCharType="separate"/>
            </w:r>
            <w:r w:rsidR="006911D9">
              <w:rPr>
                <w:noProof/>
                <w:webHidden/>
              </w:rPr>
              <w:t>14</w:t>
            </w:r>
            <w:r w:rsidR="006911D9">
              <w:rPr>
                <w:noProof/>
                <w:webHidden/>
              </w:rPr>
              <w:fldChar w:fldCharType="end"/>
            </w:r>
          </w:hyperlink>
        </w:p>
        <w:p w:rsidR="006911D9" w:rsidRDefault="00F33B50">
          <w:pPr>
            <w:pStyle w:val="TOC3"/>
            <w:tabs>
              <w:tab w:val="left" w:pos="1320"/>
              <w:tab w:val="right" w:leader="dot" w:pos="9629"/>
            </w:tabs>
            <w:rPr>
              <w:rFonts w:asciiTheme="minorHAnsi" w:eastAsiaTheme="minorEastAsia" w:hAnsiTheme="minorHAnsi" w:cstheme="minorBidi"/>
              <w:noProof/>
              <w:sz w:val="22"/>
              <w:szCs w:val="22"/>
              <w:lang w:val="en-GB" w:eastAsia="en-GB"/>
            </w:rPr>
          </w:pPr>
          <w:hyperlink w:anchor="_Toc441061210" w:history="1">
            <w:r w:rsidR="006911D9" w:rsidRPr="00D252D9">
              <w:rPr>
                <w:rStyle w:val="Hyperlink"/>
                <w:rFonts w:eastAsiaTheme="majorEastAsia"/>
                <w:noProof/>
              </w:rPr>
              <w:t>3.3.4</w:t>
            </w:r>
            <w:r w:rsidR="006911D9">
              <w:rPr>
                <w:rFonts w:asciiTheme="minorHAnsi" w:eastAsiaTheme="minorEastAsia" w:hAnsiTheme="minorHAnsi" w:cstheme="minorBidi"/>
                <w:noProof/>
                <w:sz w:val="22"/>
                <w:szCs w:val="22"/>
                <w:lang w:val="en-GB" w:eastAsia="en-GB"/>
              </w:rPr>
              <w:tab/>
            </w:r>
            <w:r w:rsidR="006911D9" w:rsidRPr="00D252D9">
              <w:rPr>
                <w:rStyle w:val="Hyperlink"/>
                <w:rFonts w:eastAsiaTheme="majorEastAsia"/>
                <w:noProof/>
              </w:rPr>
              <w:t>R&amp;D Data Capture</w:t>
            </w:r>
            <w:r w:rsidR="006911D9">
              <w:rPr>
                <w:noProof/>
                <w:webHidden/>
              </w:rPr>
              <w:tab/>
            </w:r>
            <w:r w:rsidR="006911D9">
              <w:rPr>
                <w:noProof/>
                <w:webHidden/>
              </w:rPr>
              <w:fldChar w:fldCharType="begin"/>
            </w:r>
            <w:r w:rsidR="006911D9">
              <w:rPr>
                <w:noProof/>
                <w:webHidden/>
              </w:rPr>
              <w:instrText xml:space="preserve"> PAGEREF _Toc441061210 \h </w:instrText>
            </w:r>
            <w:r w:rsidR="006911D9">
              <w:rPr>
                <w:noProof/>
                <w:webHidden/>
              </w:rPr>
            </w:r>
            <w:r w:rsidR="006911D9">
              <w:rPr>
                <w:noProof/>
                <w:webHidden/>
              </w:rPr>
              <w:fldChar w:fldCharType="separate"/>
            </w:r>
            <w:r w:rsidR="006911D9">
              <w:rPr>
                <w:noProof/>
                <w:webHidden/>
              </w:rPr>
              <w:t>15</w:t>
            </w:r>
            <w:r w:rsidR="006911D9">
              <w:rPr>
                <w:noProof/>
                <w:webHidden/>
              </w:rPr>
              <w:fldChar w:fldCharType="end"/>
            </w:r>
          </w:hyperlink>
        </w:p>
        <w:p w:rsidR="006911D9" w:rsidRDefault="00F33B50">
          <w:pPr>
            <w:pStyle w:val="TOC3"/>
            <w:tabs>
              <w:tab w:val="left" w:pos="1320"/>
              <w:tab w:val="right" w:leader="dot" w:pos="9629"/>
            </w:tabs>
            <w:rPr>
              <w:rFonts w:asciiTheme="minorHAnsi" w:eastAsiaTheme="minorEastAsia" w:hAnsiTheme="minorHAnsi" w:cstheme="minorBidi"/>
              <w:noProof/>
              <w:sz w:val="22"/>
              <w:szCs w:val="22"/>
              <w:lang w:val="en-GB" w:eastAsia="en-GB"/>
            </w:rPr>
          </w:pPr>
          <w:hyperlink w:anchor="_Toc441061211" w:history="1">
            <w:r w:rsidR="006911D9" w:rsidRPr="00D252D9">
              <w:rPr>
                <w:rStyle w:val="Hyperlink"/>
                <w:rFonts w:eastAsiaTheme="majorEastAsia"/>
                <w:noProof/>
              </w:rPr>
              <w:t>3.3.5</w:t>
            </w:r>
            <w:r w:rsidR="006911D9">
              <w:rPr>
                <w:rFonts w:asciiTheme="minorHAnsi" w:eastAsiaTheme="minorEastAsia" w:hAnsiTheme="minorHAnsi" w:cstheme="minorBidi"/>
                <w:noProof/>
                <w:sz w:val="22"/>
                <w:szCs w:val="22"/>
                <w:lang w:val="en-GB" w:eastAsia="en-GB"/>
              </w:rPr>
              <w:tab/>
            </w:r>
            <w:r w:rsidR="006911D9" w:rsidRPr="00D252D9">
              <w:rPr>
                <w:rStyle w:val="Hyperlink"/>
                <w:rFonts w:eastAsiaTheme="majorEastAsia"/>
                <w:noProof/>
              </w:rPr>
              <w:t>Monitoring and Auditing of research projects</w:t>
            </w:r>
            <w:r w:rsidR="006911D9">
              <w:rPr>
                <w:noProof/>
                <w:webHidden/>
              </w:rPr>
              <w:tab/>
            </w:r>
            <w:r w:rsidR="006911D9">
              <w:rPr>
                <w:noProof/>
                <w:webHidden/>
              </w:rPr>
              <w:fldChar w:fldCharType="begin"/>
            </w:r>
            <w:r w:rsidR="006911D9">
              <w:rPr>
                <w:noProof/>
                <w:webHidden/>
              </w:rPr>
              <w:instrText xml:space="preserve"> PAGEREF _Toc441061211 \h </w:instrText>
            </w:r>
            <w:r w:rsidR="006911D9">
              <w:rPr>
                <w:noProof/>
                <w:webHidden/>
              </w:rPr>
            </w:r>
            <w:r w:rsidR="006911D9">
              <w:rPr>
                <w:noProof/>
                <w:webHidden/>
              </w:rPr>
              <w:fldChar w:fldCharType="separate"/>
            </w:r>
            <w:r w:rsidR="006911D9">
              <w:rPr>
                <w:noProof/>
                <w:webHidden/>
              </w:rPr>
              <w:t>15</w:t>
            </w:r>
            <w:r w:rsidR="006911D9">
              <w:rPr>
                <w:noProof/>
                <w:webHidden/>
              </w:rPr>
              <w:fldChar w:fldCharType="end"/>
            </w:r>
          </w:hyperlink>
        </w:p>
        <w:p w:rsidR="006911D9" w:rsidRDefault="00F33B50">
          <w:pPr>
            <w:pStyle w:val="TOC3"/>
            <w:tabs>
              <w:tab w:val="left" w:pos="1320"/>
              <w:tab w:val="right" w:leader="dot" w:pos="9629"/>
            </w:tabs>
            <w:rPr>
              <w:rFonts w:asciiTheme="minorHAnsi" w:eastAsiaTheme="minorEastAsia" w:hAnsiTheme="minorHAnsi" w:cstheme="minorBidi"/>
              <w:noProof/>
              <w:sz w:val="22"/>
              <w:szCs w:val="22"/>
              <w:lang w:val="en-GB" w:eastAsia="en-GB"/>
            </w:rPr>
          </w:pPr>
          <w:hyperlink w:anchor="_Toc441061212" w:history="1">
            <w:r w:rsidR="006911D9" w:rsidRPr="00D252D9">
              <w:rPr>
                <w:rStyle w:val="Hyperlink"/>
                <w:rFonts w:eastAsiaTheme="majorEastAsia"/>
                <w:noProof/>
              </w:rPr>
              <w:t>3.3.6</w:t>
            </w:r>
            <w:r w:rsidR="006911D9">
              <w:rPr>
                <w:rFonts w:asciiTheme="minorHAnsi" w:eastAsiaTheme="minorEastAsia" w:hAnsiTheme="minorHAnsi" w:cstheme="minorBidi"/>
                <w:noProof/>
                <w:sz w:val="22"/>
                <w:szCs w:val="22"/>
                <w:lang w:val="en-GB" w:eastAsia="en-GB"/>
              </w:rPr>
              <w:tab/>
            </w:r>
            <w:r w:rsidR="006911D9" w:rsidRPr="00D252D9">
              <w:rPr>
                <w:rStyle w:val="Hyperlink"/>
                <w:rFonts w:eastAsiaTheme="majorEastAsia"/>
                <w:noProof/>
              </w:rPr>
              <w:t>Safety committee</w:t>
            </w:r>
            <w:r w:rsidR="006911D9">
              <w:rPr>
                <w:noProof/>
                <w:webHidden/>
              </w:rPr>
              <w:tab/>
            </w:r>
            <w:r w:rsidR="006911D9">
              <w:rPr>
                <w:noProof/>
                <w:webHidden/>
              </w:rPr>
              <w:fldChar w:fldCharType="begin"/>
            </w:r>
            <w:r w:rsidR="006911D9">
              <w:rPr>
                <w:noProof/>
                <w:webHidden/>
              </w:rPr>
              <w:instrText xml:space="preserve"> PAGEREF _Toc441061212 \h </w:instrText>
            </w:r>
            <w:r w:rsidR="006911D9">
              <w:rPr>
                <w:noProof/>
                <w:webHidden/>
              </w:rPr>
            </w:r>
            <w:r w:rsidR="006911D9">
              <w:rPr>
                <w:noProof/>
                <w:webHidden/>
              </w:rPr>
              <w:fldChar w:fldCharType="separate"/>
            </w:r>
            <w:r w:rsidR="006911D9">
              <w:rPr>
                <w:noProof/>
                <w:webHidden/>
              </w:rPr>
              <w:t>15</w:t>
            </w:r>
            <w:r w:rsidR="006911D9">
              <w:rPr>
                <w:noProof/>
                <w:webHidden/>
              </w:rPr>
              <w:fldChar w:fldCharType="end"/>
            </w:r>
          </w:hyperlink>
        </w:p>
        <w:p w:rsidR="006911D9" w:rsidRDefault="00F33B50">
          <w:pPr>
            <w:pStyle w:val="TOC2"/>
            <w:tabs>
              <w:tab w:val="left" w:pos="880"/>
              <w:tab w:val="right" w:leader="dot" w:pos="9629"/>
            </w:tabs>
            <w:rPr>
              <w:rFonts w:asciiTheme="minorHAnsi" w:eastAsiaTheme="minorEastAsia" w:hAnsiTheme="minorHAnsi" w:cstheme="minorBidi"/>
              <w:noProof/>
              <w:sz w:val="22"/>
              <w:szCs w:val="22"/>
              <w:lang w:val="en-GB" w:eastAsia="en-GB"/>
            </w:rPr>
          </w:pPr>
          <w:hyperlink w:anchor="_Toc441061213" w:history="1">
            <w:r w:rsidR="006911D9" w:rsidRPr="00D252D9">
              <w:rPr>
                <w:rStyle w:val="Hyperlink"/>
                <w:rFonts w:eastAsiaTheme="majorEastAsia"/>
                <w:noProof/>
              </w:rPr>
              <w:t>3.4</w:t>
            </w:r>
            <w:r w:rsidR="006911D9">
              <w:rPr>
                <w:rFonts w:asciiTheme="minorHAnsi" w:eastAsiaTheme="minorEastAsia" w:hAnsiTheme="minorHAnsi" w:cstheme="minorBidi"/>
                <w:noProof/>
                <w:sz w:val="22"/>
                <w:szCs w:val="22"/>
                <w:lang w:val="en-GB" w:eastAsia="en-GB"/>
              </w:rPr>
              <w:tab/>
            </w:r>
            <w:r w:rsidR="006911D9" w:rsidRPr="00D252D9">
              <w:rPr>
                <w:rStyle w:val="Hyperlink"/>
                <w:rFonts w:eastAsiaTheme="majorEastAsia"/>
                <w:noProof/>
              </w:rPr>
              <w:t>New Meeting Structure</w:t>
            </w:r>
            <w:r w:rsidR="006911D9">
              <w:rPr>
                <w:noProof/>
                <w:webHidden/>
              </w:rPr>
              <w:tab/>
            </w:r>
            <w:r w:rsidR="006911D9">
              <w:rPr>
                <w:noProof/>
                <w:webHidden/>
              </w:rPr>
              <w:fldChar w:fldCharType="begin"/>
            </w:r>
            <w:r w:rsidR="006911D9">
              <w:rPr>
                <w:noProof/>
                <w:webHidden/>
              </w:rPr>
              <w:instrText xml:space="preserve"> PAGEREF _Toc441061213 \h </w:instrText>
            </w:r>
            <w:r w:rsidR="006911D9">
              <w:rPr>
                <w:noProof/>
                <w:webHidden/>
              </w:rPr>
            </w:r>
            <w:r w:rsidR="006911D9">
              <w:rPr>
                <w:noProof/>
                <w:webHidden/>
              </w:rPr>
              <w:fldChar w:fldCharType="separate"/>
            </w:r>
            <w:r w:rsidR="006911D9">
              <w:rPr>
                <w:noProof/>
                <w:webHidden/>
              </w:rPr>
              <w:t>15</w:t>
            </w:r>
            <w:r w:rsidR="006911D9">
              <w:rPr>
                <w:noProof/>
                <w:webHidden/>
              </w:rPr>
              <w:fldChar w:fldCharType="end"/>
            </w:r>
          </w:hyperlink>
        </w:p>
        <w:p w:rsidR="006911D9" w:rsidRDefault="00F33B50">
          <w:pPr>
            <w:pStyle w:val="TOC1"/>
            <w:tabs>
              <w:tab w:val="left" w:pos="480"/>
              <w:tab w:val="right" w:leader="dot" w:pos="9629"/>
            </w:tabs>
            <w:rPr>
              <w:rFonts w:asciiTheme="minorHAnsi" w:eastAsiaTheme="minorEastAsia" w:hAnsiTheme="minorHAnsi" w:cstheme="minorBidi"/>
              <w:noProof/>
              <w:sz w:val="22"/>
              <w:szCs w:val="22"/>
              <w:lang w:val="en-GB" w:eastAsia="en-GB"/>
            </w:rPr>
          </w:pPr>
          <w:hyperlink w:anchor="_Toc441061214" w:history="1">
            <w:r w:rsidR="006911D9" w:rsidRPr="00D252D9">
              <w:rPr>
                <w:rStyle w:val="Hyperlink"/>
                <w:rFonts w:eastAsiaTheme="majorEastAsia"/>
                <w:noProof/>
              </w:rPr>
              <w:t>4</w:t>
            </w:r>
            <w:r w:rsidR="006911D9">
              <w:rPr>
                <w:rFonts w:asciiTheme="minorHAnsi" w:eastAsiaTheme="minorEastAsia" w:hAnsiTheme="minorHAnsi" w:cstheme="minorBidi"/>
                <w:noProof/>
                <w:sz w:val="22"/>
                <w:szCs w:val="22"/>
                <w:lang w:val="en-GB" w:eastAsia="en-GB"/>
              </w:rPr>
              <w:tab/>
            </w:r>
            <w:r w:rsidR="006911D9" w:rsidRPr="00D252D9">
              <w:rPr>
                <w:rStyle w:val="Hyperlink"/>
                <w:rFonts w:eastAsiaTheme="majorEastAsia"/>
                <w:noProof/>
              </w:rPr>
              <w:t>Studies and Participant Recruitment</w:t>
            </w:r>
            <w:r w:rsidR="006911D9">
              <w:rPr>
                <w:noProof/>
                <w:webHidden/>
              </w:rPr>
              <w:tab/>
            </w:r>
            <w:r w:rsidR="006911D9">
              <w:rPr>
                <w:noProof/>
                <w:webHidden/>
              </w:rPr>
              <w:fldChar w:fldCharType="begin"/>
            </w:r>
            <w:r w:rsidR="006911D9">
              <w:rPr>
                <w:noProof/>
                <w:webHidden/>
              </w:rPr>
              <w:instrText xml:space="preserve"> PAGEREF _Toc441061214 \h </w:instrText>
            </w:r>
            <w:r w:rsidR="006911D9">
              <w:rPr>
                <w:noProof/>
                <w:webHidden/>
              </w:rPr>
            </w:r>
            <w:r w:rsidR="006911D9">
              <w:rPr>
                <w:noProof/>
                <w:webHidden/>
              </w:rPr>
              <w:fldChar w:fldCharType="separate"/>
            </w:r>
            <w:r w:rsidR="006911D9">
              <w:rPr>
                <w:noProof/>
                <w:webHidden/>
              </w:rPr>
              <w:t>16</w:t>
            </w:r>
            <w:r w:rsidR="006911D9">
              <w:rPr>
                <w:noProof/>
                <w:webHidden/>
              </w:rPr>
              <w:fldChar w:fldCharType="end"/>
            </w:r>
          </w:hyperlink>
        </w:p>
        <w:p w:rsidR="006911D9" w:rsidRDefault="00F33B50">
          <w:pPr>
            <w:pStyle w:val="TOC2"/>
            <w:tabs>
              <w:tab w:val="left" w:pos="880"/>
              <w:tab w:val="right" w:leader="dot" w:pos="9629"/>
            </w:tabs>
            <w:rPr>
              <w:rFonts w:asciiTheme="minorHAnsi" w:eastAsiaTheme="minorEastAsia" w:hAnsiTheme="minorHAnsi" w:cstheme="minorBidi"/>
              <w:noProof/>
              <w:sz w:val="22"/>
              <w:szCs w:val="22"/>
              <w:lang w:val="en-GB" w:eastAsia="en-GB"/>
            </w:rPr>
          </w:pPr>
          <w:hyperlink w:anchor="_Toc441061215" w:history="1">
            <w:r w:rsidR="006911D9" w:rsidRPr="00D252D9">
              <w:rPr>
                <w:rStyle w:val="Hyperlink"/>
                <w:rFonts w:eastAsiaTheme="majorEastAsia"/>
                <w:noProof/>
                <w:lang w:val="en-GB"/>
              </w:rPr>
              <w:t>4.1</w:t>
            </w:r>
            <w:r w:rsidR="006911D9">
              <w:rPr>
                <w:rFonts w:asciiTheme="minorHAnsi" w:eastAsiaTheme="minorEastAsia" w:hAnsiTheme="minorHAnsi" w:cstheme="minorBidi"/>
                <w:noProof/>
                <w:sz w:val="22"/>
                <w:szCs w:val="22"/>
                <w:lang w:val="en-GB" w:eastAsia="en-GB"/>
              </w:rPr>
              <w:tab/>
            </w:r>
            <w:r w:rsidR="006911D9" w:rsidRPr="00D252D9">
              <w:rPr>
                <w:rStyle w:val="Hyperlink"/>
                <w:rFonts w:eastAsiaTheme="majorEastAsia"/>
                <w:noProof/>
                <w:lang w:val="en-GB"/>
              </w:rPr>
              <w:t>Studies</w:t>
            </w:r>
            <w:r w:rsidR="006911D9">
              <w:rPr>
                <w:noProof/>
                <w:webHidden/>
              </w:rPr>
              <w:tab/>
            </w:r>
            <w:r w:rsidR="006911D9">
              <w:rPr>
                <w:noProof/>
                <w:webHidden/>
              </w:rPr>
              <w:fldChar w:fldCharType="begin"/>
            </w:r>
            <w:r w:rsidR="006911D9">
              <w:rPr>
                <w:noProof/>
                <w:webHidden/>
              </w:rPr>
              <w:instrText xml:space="preserve"> PAGEREF _Toc441061215 \h </w:instrText>
            </w:r>
            <w:r w:rsidR="006911D9">
              <w:rPr>
                <w:noProof/>
                <w:webHidden/>
              </w:rPr>
            </w:r>
            <w:r w:rsidR="006911D9">
              <w:rPr>
                <w:noProof/>
                <w:webHidden/>
              </w:rPr>
              <w:fldChar w:fldCharType="separate"/>
            </w:r>
            <w:r w:rsidR="006911D9">
              <w:rPr>
                <w:noProof/>
                <w:webHidden/>
              </w:rPr>
              <w:t>16</w:t>
            </w:r>
            <w:r w:rsidR="006911D9">
              <w:rPr>
                <w:noProof/>
                <w:webHidden/>
              </w:rPr>
              <w:fldChar w:fldCharType="end"/>
            </w:r>
          </w:hyperlink>
        </w:p>
        <w:p w:rsidR="006911D9" w:rsidRDefault="00F33B50">
          <w:pPr>
            <w:pStyle w:val="TOC2"/>
            <w:tabs>
              <w:tab w:val="left" w:pos="880"/>
              <w:tab w:val="right" w:leader="dot" w:pos="9629"/>
            </w:tabs>
            <w:rPr>
              <w:rFonts w:asciiTheme="minorHAnsi" w:eastAsiaTheme="minorEastAsia" w:hAnsiTheme="minorHAnsi" w:cstheme="minorBidi"/>
              <w:noProof/>
              <w:sz w:val="22"/>
              <w:szCs w:val="22"/>
              <w:lang w:val="en-GB" w:eastAsia="en-GB"/>
            </w:rPr>
          </w:pPr>
          <w:hyperlink w:anchor="_Toc441061216" w:history="1">
            <w:r w:rsidR="006911D9" w:rsidRPr="00D252D9">
              <w:rPr>
                <w:rStyle w:val="Hyperlink"/>
                <w:rFonts w:eastAsiaTheme="majorEastAsia"/>
                <w:noProof/>
                <w:lang w:val="en-GB"/>
              </w:rPr>
              <w:t>4.2</w:t>
            </w:r>
            <w:r w:rsidR="006911D9">
              <w:rPr>
                <w:rFonts w:asciiTheme="minorHAnsi" w:eastAsiaTheme="minorEastAsia" w:hAnsiTheme="minorHAnsi" w:cstheme="minorBidi"/>
                <w:noProof/>
                <w:sz w:val="22"/>
                <w:szCs w:val="22"/>
                <w:lang w:val="en-GB" w:eastAsia="en-GB"/>
              </w:rPr>
              <w:tab/>
            </w:r>
            <w:r w:rsidR="006911D9" w:rsidRPr="00D252D9">
              <w:rPr>
                <w:rStyle w:val="Hyperlink"/>
                <w:rFonts w:eastAsiaTheme="majorEastAsia"/>
                <w:noProof/>
                <w:lang w:val="en-GB"/>
              </w:rPr>
              <w:t>Participant Recruitment</w:t>
            </w:r>
            <w:r w:rsidR="006911D9">
              <w:rPr>
                <w:noProof/>
                <w:webHidden/>
              </w:rPr>
              <w:tab/>
            </w:r>
            <w:r w:rsidR="006911D9">
              <w:rPr>
                <w:noProof/>
                <w:webHidden/>
              </w:rPr>
              <w:fldChar w:fldCharType="begin"/>
            </w:r>
            <w:r w:rsidR="006911D9">
              <w:rPr>
                <w:noProof/>
                <w:webHidden/>
              </w:rPr>
              <w:instrText xml:space="preserve"> PAGEREF _Toc441061216 \h </w:instrText>
            </w:r>
            <w:r w:rsidR="006911D9">
              <w:rPr>
                <w:noProof/>
                <w:webHidden/>
              </w:rPr>
            </w:r>
            <w:r w:rsidR="006911D9">
              <w:rPr>
                <w:noProof/>
                <w:webHidden/>
              </w:rPr>
              <w:fldChar w:fldCharType="separate"/>
            </w:r>
            <w:r w:rsidR="006911D9">
              <w:rPr>
                <w:noProof/>
                <w:webHidden/>
              </w:rPr>
              <w:t>16</w:t>
            </w:r>
            <w:r w:rsidR="006911D9">
              <w:rPr>
                <w:noProof/>
                <w:webHidden/>
              </w:rPr>
              <w:fldChar w:fldCharType="end"/>
            </w:r>
          </w:hyperlink>
        </w:p>
        <w:p w:rsidR="006911D9" w:rsidRDefault="00F33B50">
          <w:pPr>
            <w:pStyle w:val="TOC2"/>
            <w:tabs>
              <w:tab w:val="left" w:pos="880"/>
              <w:tab w:val="right" w:leader="dot" w:pos="9629"/>
            </w:tabs>
            <w:rPr>
              <w:rFonts w:asciiTheme="minorHAnsi" w:eastAsiaTheme="minorEastAsia" w:hAnsiTheme="minorHAnsi" w:cstheme="minorBidi"/>
              <w:noProof/>
              <w:sz w:val="22"/>
              <w:szCs w:val="22"/>
              <w:lang w:val="en-GB" w:eastAsia="en-GB"/>
            </w:rPr>
          </w:pPr>
          <w:hyperlink w:anchor="_Toc441061217" w:history="1">
            <w:r w:rsidR="006911D9" w:rsidRPr="00D252D9">
              <w:rPr>
                <w:rStyle w:val="Hyperlink"/>
                <w:rFonts w:eastAsiaTheme="majorEastAsia"/>
                <w:noProof/>
                <w:lang w:val="en-GB"/>
              </w:rPr>
              <w:t>4.3</w:t>
            </w:r>
            <w:r w:rsidR="006911D9">
              <w:rPr>
                <w:rFonts w:asciiTheme="minorHAnsi" w:eastAsiaTheme="minorEastAsia" w:hAnsiTheme="minorHAnsi" w:cstheme="minorBidi"/>
                <w:noProof/>
                <w:sz w:val="22"/>
                <w:szCs w:val="22"/>
                <w:lang w:val="en-GB" w:eastAsia="en-GB"/>
              </w:rPr>
              <w:tab/>
            </w:r>
            <w:r w:rsidR="006911D9" w:rsidRPr="00D252D9">
              <w:rPr>
                <w:rStyle w:val="Hyperlink"/>
                <w:rFonts w:eastAsiaTheme="majorEastAsia"/>
                <w:noProof/>
                <w:lang w:val="en-GB"/>
              </w:rPr>
              <w:t>Grant applications</w:t>
            </w:r>
            <w:r w:rsidR="006911D9">
              <w:rPr>
                <w:noProof/>
                <w:webHidden/>
              </w:rPr>
              <w:tab/>
            </w:r>
            <w:r w:rsidR="006911D9">
              <w:rPr>
                <w:noProof/>
                <w:webHidden/>
              </w:rPr>
              <w:fldChar w:fldCharType="begin"/>
            </w:r>
            <w:r w:rsidR="006911D9">
              <w:rPr>
                <w:noProof/>
                <w:webHidden/>
              </w:rPr>
              <w:instrText xml:space="preserve"> PAGEREF _Toc441061217 \h </w:instrText>
            </w:r>
            <w:r w:rsidR="006911D9">
              <w:rPr>
                <w:noProof/>
                <w:webHidden/>
              </w:rPr>
            </w:r>
            <w:r w:rsidR="006911D9">
              <w:rPr>
                <w:noProof/>
                <w:webHidden/>
              </w:rPr>
              <w:fldChar w:fldCharType="separate"/>
            </w:r>
            <w:r w:rsidR="006911D9">
              <w:rPr>
                <w:noProof/>
                <w:webHidden/>
              </w:rPr>
              <w:t>17</w:t>
            </w:r>
            <w:r w:rsidR="006911D9">
              <w:rPr>
                <w:noProof/>
                <w:webHidden/>
              </w:rPr>
              <w:fldChar w:fldCharType="end"/>
            </w:r>
          </w:hyperlink>
        </w:p>
        <w:p w:rsidR="006911D9" w:rsidRDefault="00F33B50">
          <w:pPr>
            <w:pStyle w:val="TOC2"/>
            <w:tabs>
              <w:tab w:val="left" w:pos="880"/>
              <w:tab w:val="right" w:leader="dot" w:pos="9629"/>
            </w:tabs>
            <w:rPr>
              <w:rFonts w:asciiTheme="minorHAnsi" w:eastAsiaTheme="minorEastAsia" w:hAnsiTheme="minorHAnsi" w:cstheme="minorBidi"/>
              <w:noProof/>
              <w:sz w:val="22"/>
              <w:szCs w:val="22"/>
              <w:lang w:val="en-GB" w:eastAsia="en-GB"/>
            </w:rPr>
          </w:pPr>
          <w:hyperlink w:anchor="_Toc441061218" w:history="1">
            <w:r w:rsidR="006911D9" w:rsidRPr="00D252D9">
              <w:rPr>
                <w:rStyle w:val="Hyperlink"/>
                <w:rFonts w:eastAsiaTheme="majorEastAsia"/>
                <w:noProof/>
                <w:lang w:val="en-GB"/>
              </w:rPr>
              <w:t>4.4</w:t>
            </w:r>
            <w:r w:rsidR="006911D9">
              <w:rPr>
                <w:rFonts w:asciiTheme="minorHAnsi" w:eastAsiaTheme="minorEastAsia" w:hAnsiTheme="minorHAnsi" w:cstheme="minorBidi"/>
                <w:noProof/>
                <w:sz w:val="22"/>
                <w:szCs w:val="22"/>
                <w:lang w:val="en-GB" w:eastAsia="en-GB"/>
              </w:rPr>
              <w:tab/>
            </w:r>
            <w:r w:rsidR="006911D9" w:rsidRPr="00D252D9">
              <w:rPr>
                <w:rStyle w:val="Hyperlink"/>
                <w:rFonts w:eastAsiaTheme="majorEastAsia"/>
                <w:noProof/>
                <w:lang w:val="en-GB"/>
              </w:rPr>
              <w:t>NIHR Metrics and Targets</w:t>
            </w:r>
            <w:r w:rsidR="006911D9">
              <w:rPr>
                <w:noProof/>
                <w:webHidden/>
              </w:rPr>
              <w:tab/>
            </w:r>
            <w:r w:rsidR="006911D9">
              <w:rPr>
                <w:noProof/>
                <w:webHidden/>
              </w:rPr>
              <w:fldChar w:fldCharType="begin"/>
            </w:r>
            <w:r w:rsidR="006911D9">
              <w:rPr>
                <w:noProof/>
                <w:webHidden/>
              </w:rPr>
              <w:instrText xml:space="preserve"> PAGEREF _Toc441061218 \h </w:instrText>
            </w:r>
            <w:r w:rsidR="006911D9">
              <w:rPr>
                <w:noProof/>
                <w:webHidden/>
              </w:rPr>
            </w:r>
            <w:r w:rsidR="006911D9">
              <w:rPr>
                <w:noProof/>
                <w:webHidden/>
              </w:rPr>
              <w:fldChar w:fldCharType="separate"/>
            </w:r>
            <w:r w:rsidR="006911D9">
              <w:rPr>
                <w:noProof/>
                <w:webHidden/>
              </w:rPr>
              <w:t>17</w:t>
            </w:r>
            <w:r w:rsidR="006911D9">
              <w:rPr>
                <w:noProof/>
                <w:webHidden/>
              </w:rPr>
              <w:fldChar w:fldCharType="end"/>
            </w:r>
          </w:hyperlink>
        </w:p>
        <w:p w:rsidR="006911D9" w:rsidRDefault="00F33B50">
          <w:pPr>
            <w:pStyle w:val="TOC1"/>
            <w:tabs>
              <w:tab w:val="left" w:pos="480"/>
              <w:tab w:val="right" w:leader="dot" w:pos="9629"/>
            </w:tabs>
            <w:rPr>
              <w:rFonts w:asciiTheme="minorHAnsi" w:eastAsiaTheme="minorEastAsia" w:hAnsiTheme="minorHAnsi" w:cstheme="minorBidi"/>
              <w:noProof/>
              <w:sz w:val="22"/>
              <w:szCs w:val="22"/>
              <w:lang w:val="en-GB" w:eastAsia="en-GB"/>
            </w:rPr>
          </w:pPr>
          <w:hyperlink w:anchor="_Toc441061219" w:history="1">
            <w:r w:rsidR="006911D9" w:rsidRPr="00D252D9">
              <w:rPr>
                <w:rStyle w:val="Hyperlink"/>
                <w:rFonts w:eastAsiaTheme="majorEastAsia"/>
                <w:noProof/>
              </w:rPr>
              <w:t>5</w:t>
            </w:r>
            <w:r w:rsidR="006911D9">
              <w:rPr>
                <w:rFonts w:asciiTheme="minorHAnsi" w:eastAsiaTheme="minorEastAsia" w:hAnsiTheme="minorHAnsi" w:cstheme="minorBidi"/>
                <w:noProof/>
                <w:sz w:val="22"/>
                <w:szCs w:val="22"/>
                <w:lang w:val="en-GB" w:eastAsia="en-GB"/>
              </w:rPr>
              <w:tab/>
            </w:r>
            <w:r w:rsidR="006911D9" w:rsidRPr="00D252D9">
              <w:rPr>
                <w:rStyle w:val="Hyperlink"/>
                <w:rFonts w:eastAsiaTheme="majorEastAsia"/>
                <w:noProof/>
              </w:rPr>
              <w:t>Case Records Interactive Search (CRIS)</w:t>
            </w:r>
            <w:r w:rsidR="006911D9">
              <w:rPr>
                <w:noProof/>
                <w:webHidden/>
              </w:rPr>
              <w:tab/>
            </w:r>
            <w:r w:rsidR="006911D9">
              <w:rPr>
                <w:noProof/>
                <w:webHidden/>
              </w:rPr>
              <w:fldChar w:fldCharType="begin"/>
            </w:r>
            <w:r w:rsidR="006911D9">
              <w:rPr>
                <w:noProof/>
                <w:webHidden/>
              </w:rPr>
              <w:instrText xml:space="preserve"> PAGEREF _Toc441061219 \h </w:instrText>
            </w:r>
            <w:r w:rsidR="006911D9">
              <w:rPr>
                <w:noProof/>
                <w:webHidden/>
              </w:rPr>
            </w:r>
            <w:r w:rsidR="006911D9">
              <w:rPr>
                <w:noProof/>
                <w:webHidden/>
              </w:rPr>
              <w:fldChar w:fldCharType="separate"/>
            </w:r>
            <w:r w:rsidR="006911D9">
              <w:rPr>
                <w:noProof/>
                <w:webHidden/>
              </w:rPr>
              <w:t>18</w:t>
            </w:r>
            <w:r w:rsidR="006911D9">
              <w:rPr>
                <w:noProof/>
                <w:webHidden/>
              </w:rPr>
              <w:fldChar w:fldCharType="end"/>
            </w:r>
          </w:hyperlink>
        </w:p>
        <w:p w:rsidR="006911D9" w:rsidRDefault="00F33B50">
          <w:pPr>
            <w:pStyle w:val="TOC1"/>
            <w:tabs>
              <w:tab w:val="left" w:pos="480"/>
              <w:tab w:val="right" w:leader="dot" w:pos="9629"/>
            </w:tabs>
            <w:rPr>
              <w:rFonts w:asciiTheme="minorHAnsi" w:eastAsiaTheme="minorEastAsia" w:hAnsiTheme="minorHAnsi" w:cstheme="minorBidi"/>
              <w:noProof/>
              <w:sz w:val="22"/>
              <w:szCs w:val="22"/>
              <w:lang w:val="en-GB" w:eastAsia="en-GB"/>
            </w:rPr>
          </w:pPr>
          <w:hyperlink w:anchor="_Toc441061220" w:history="1">
            <w:r w:rsidR="006911D9" w:rsidRPr="00D252D9">
              <w:rPr>
                <w:rStyle w:val="Hyperlink"/>
                <w:rFonts w:eastAsiaTheme="majorEastAsia"/>
                <w:noProof/>
              </w:rPr>
              <w:t>6</w:t>
            </w:r>
            <w:r w:rsidR="006911D9">
              <w:rPr>
                <w:rFonts w:asciiTheme="minorHAnsi" w:eastAsiaTheme="minorEastAsia" w:hAnsiTheme="minorHAnsi" w:cstheme="minorBidi"/>
                <w:noProof/>
                <w:sz w:val="22"/>
                <w:szCs w:val="22"/>
                <w:lang w:val="en-GB" w:eastAsia="en-GB"/>
              </w:rPr>
              <w:tab/>
            </w:r>
            <w:r w:rsidR="006911D9" w:rsidRPr="00D252D9">
              <w:rPr>
                <w:rStyle w:val="Hyperlink"/>
                <w:rFonts w:eastAsiaTheme="majorEastAsia"/>
                <w:noProof/>
              </w:rPr>
              <w:t>Finance</w:t>
            </w:r>
            <w:r w:rsidR="006911D9">
              <w:rPr>
                <w:noProof/>
                <w:webHidden/>
              </w:rPr>
              <w:tab/>
            </w:r>
            <w:r w:rsidR="006911D9">
              <w:rPr>
                <w:noProof/>
                <w:webHidden/>
              </w:rPr>
              <w:fldChar w:fldCharType="begin"/>
            </w:r>
            <w:r w:rsidR="006911D9">
              <w:rPr>
                <w:noProof/>
                <w:webHidden/>
              </w:rPr>
              <w:instrText xml:space="preserve"> PAGEREF _Toc441061220 \h </w:instrText>
            </w:r>
            <w:r w:rsidR="006911D9">
              <w:rPr>
                <w:noProof/>
                <w:webHidden/>
              </w:rPr>
            </w:r>
            <w:r w:rsidR="006911D9">
              <w:rPr>
                <w:noProof/>
                <w:webHidden/>
              </w:rPr>
              <w:fldChar w:fldCharType="separate"/>
            </w:r>
            <w:r w:rsidR="006911D9">
              <w:rPr>
                <w:noProof/>
                <w:webHidden/>
              </w:rPr>
              <w:t>19</w:t>
            </w:r>
            <w:r w:rsidR="006911D9">
              <w:rPr>
                <w:noProof/>
                <w:webHidden/>
              </w:rPr>
              <w:fldChar w:fldCharType="end"/>
            </w:r>
          </w:hyperlink>
        </w:p>
        <w:p w:rsidR="006911D9" w:rsidRDefault="00F33B50">
          <w:pPr>
            <w:pStyle w:val="TOC2"/>
            <w:tabs>
              <w:tab w:val="left" w:pos="880"/>
              <w:tab w:val="right" w:leader="dot" w:pos="9629"/>
            </w:tabs>
            <w:rPr>
              <w:rFonts w:asciiTheme="minorHAnsi" w:eastAsiaTheme="minorEastAsia" w:hAnsiTheme="minorHAnsi" w:cstheme="minorBidi"/>
              <w:noProof/>
              <w:sz w:val="22"/>
              <w:szCs w:val="22"/>
              <w:lang w:val="en-GB" w:eastAsia="en-GB"/>
            </w:rPr>
          </w:pPr>
          <w:hyperlink w:anchor="_Toc441061221" w:history="1">
            <w:r w:rsidR="006911D9" w:rsidRPr="00D252D9">
              <w:rPr>
                <w:rStyle w:val="Hyperlink"/>
                <w:rFonts w:eastAsiaTheme="majorEastAsia"/>
                <w:noProof/>
                <w:lang w:val="en-GB"/>
              </w:rPr>
              <w:t>6.1</w:t>
            </w:r>
            <w:r w:rsidR="006911D9">
              <w:rPr>
                <w:rFonts w:asciiTheme="minorHAnsi" w:eastAsiaTheme="minorEastAsia" w:hAnsiTheme="minorHAnsi" w:cstheme="minorBidi"/>
                <w:noProof/>
                <w:sz w:val="22"/>
                <w:szCs w:val="22"/>
                <w:lang w:val="en-GB" w:eastAsia="en-GB"/>
              </w:rPr>
              <w:tab/>
            </w:r>
            <w:r w:rsidR="006911D9" w:rsidRPr="00D252D9">
              <w:rPr>
                <w:rStyle w:val="Hyperlink"/>
                <w:rFonts w:eastAsiaTheme="majorEastAsia"/>
                <w:noProof/>
                <w:lang w:val="en-GB"/>
              </w:rPr>
              <w:t>FY16 Performance</w:t>
            </w:r>
            <w:r w:rsidR="006911D9">
              <w:rPr>
                <w:noProof/>
                <w:webHidden/>
              </w:rPr>
              <w:tab/>
            </w:r>
            <w:r w:rsidR="006911D9">
              <w:rPr>
                <w:noProof/>
                <w:webHidden/>
              </w:rPr>
              <w:fldChar w:fldCharType="begin"/>
            </w:r>
            <w:r w:rsidR="006911D9">
              <w:rPr>
                <w:noProof/>
                <w:webHidden/>
              </w:rPr>
              <w:instrText xml:space="preserve"> PAGEREF _Toc441061221 \h </w:instrText>
            </w:r>
            <w:r w:rsidR="006911D9">
              <w:rPr>
                <w:noProof/>
                <w:webHidden/>
              </w:rPr>
            </w:r>
            <w:r w:rsidR="006911D9">
              <w:rPr>
                <w:noProof/>
                <w:webHidden/>
              </w:rPr>
              <w:fldChar w:fldCharType="separate"/>
            </w:r>
            <w:r w:rsidR="006911D9">
              <w:rPr>
                <w:noProof/>
                <w:webHidden/>
              </w:rPr>
              <w:t>19</w:t>
            </w:r>
            <w:r w:rsidR="006911D9">
              <w:rPr>
                <w:noProof/>
                <w:webHidden/>
              </w:rPr>
              <w:fldChar w:fldCharType="end"/>
            </w:r>
          </w:hyperlink>
        </w:p>
        <w:p w:rsidR="006911D9" w:rsidRDefault="00F33B50">
          <w:pPr>
            <w:pStyle w:val="TOC2"/>
            <w:tabs>
              <w:tab w:val="left" w:pos="880"/>
              <w:tab w:val="right" w:leader="dot" w:pos="9629"/>
            </w:tabs>
            <w:rPr>
              <w:rFonts w:asciiTheme="minorHAnsi" w:eastAsiaTheme="minorEastAsia" w:hAnsiTheme="minorHAnsi" w:cstheme="minorBidi"/>
              <w:noProof/>
              <w:sz w:val="22"/>
              <w:szCs w:val="22"/>
              <w:lang w:val="en-GB" w:eastAsia="en-GB"/>
            </w:rPr>
          </w:pPr>
          <w:hyperlink w:anchor="_Toc441061222" w:history="1">
            <w:r w:rsidR="006911D9" w:rsidRPr="00D252D9">
              <w:rPr>
                <w:rStyle w:val="Hyperlink"/>
                <w:rFonts w:eastAsiaTheme="majorEastAsia"/>
                <w:noProof/>
              </w:rPr>
              <w:t>6.2</w:t>
            </w:r>
            <w:r w:rsidR="006911D9">
              <w:rPr>
                <w:rFonts w:asciiTheme="minorHAnsi" w:eastAsiaTheme="minorEastAsia" w:hAnsiTheme="minorHAnsi" w:cstheme="minorBidi"/>
                <w:noProof/>
                <w:sz w:val="22"/>
                <w:szCs w:val="22"/>
                <w:lang w:val="en-GB" w:eastAsia="en-GB"/>
              </w:rPr>
              <w:tab/>
            </w:r>
            <w:r w:rsidR="006911D9" w:rsidRPr="00D252D9">
              <w:rPr>
                <w:rStyle w:val="Hyperlink"/>
                <w:rFonts w:eastAsiaTheme="majorEastAsia"/>
                <w:noProof/>
              </w:rPr>
              <w:t>Research Capability Funding (RCF)</w:t>
            </w:r>
            <w:r w:rsidR="006911D9">
              <w:rPr>
                <w:noProof/>
                <w:webHidden/>
              </w:rPr>
              <w:tab/>
            </w:r>
            <w:r w:rsidR="006911D9">
              <w:rPr>
                <w:noProof/>
                <w:webHidden/>
              </w:rPr>
              <w:fldChar w:fldCharType="begin"/>
            </w:r>
            <w:r w:rsidR="006911D9">
              <w:rPr>
                <w:noProof/>
                <w:webHidden/>
              </w:rPr>
              <w:instrText xml:space="preserve"> PAGEREF _Toc441061222 \h </w:instrText>
            </w:r>
            <w:r w:rsidR="006911D9">
              <w:rPr>
                <w:noProof/>
                <w:webHidden/>
              </w:rPr>
            </w:r>
            <w:r w:rsidR="006911D9">
              <w:rPr>
                <w:noProof/>
                <w:webHidden/>
              </w:rPr>
              <w:fldChar w:fldCharType="separate"/>
            </w:r>
            <w:r w:rsidR="006911D9">
              <w:rPr>
                <w:noProof/>
                <w:webHidden/>
              </w:rPr>
              <w:t>19</w:t>
            </w:r>
            <w:r w:rsidR="006911D9">
              <w:rPr>
                <w:noProof/>
                <w:webHidden/>
              </w:rPr>
              <w:fldChar w:fldCharType="end"/>
            </w:r>
          </w:hyperlink>
        </w:p>
        <w:p w:rsidR="006911D9" w:rsidRDefault="00F33B50">
          <w:pPr>
            <w:pStyle w:val="TOC2"/>
            <w:tabs>
              <w:tab w:val="left" w:pos="880"/>
              <w:tab w:val="right" w:leader="dot" w:pos="9629"/>
            </w:tabs>
            <w:rPr>
              <w:rFonts w:asciiTheme="minorHAnsi" w:eastAsiaTheme="minorEastAsia" w:hAnsiTheme="minorHAnsi" w:cstheme="minorBidi"/>
              <w:noProof/>
              <w:sz w:val="22"/>
              <w:szCs w:val="22"/>
              <w:lang w:val="en-GB" w:eastAsia="en-GB"/>
            </w:rPr>
          </w:pPr>
          <w:hyperlink w:anchor="_Toc441061223" w:history="1">
            <w:r w:rsidR="006911D9" w:rsidRPr="00D252D9">
              <w:rPr>
                <w:rStyle w:val="Hyperlink"/>
                <w:rFonts w:eastAsiaTheme="majorEastAsia"/>
                <w:noProof/>
              </w:rPr>
              <w:t>6.3</w:t>
            </w:r>
            <w:r w:rsidR="006911D9">
              <w:rPr>
                <w:rFonts w:asciiTheme="minorHAnsi" w:eastAsiaTheme="minorEastAsia" w:hAnsiTheme="minorHAnsi" w:cstheme="minorBidi"/>
                <w:noProof/>
                <w:sz w:val="22"/>
                <w:szCs w:val="22"/>
                <w:lang w:val="en-GB" w:eastAsia="en-GB"/>
              </w:rPr>
              <w:tab/>
            </w:r>
            <w:r w:rsidR="006911D9" w:rsidRPr="00D252D9">
              <w:rPr>
                <w:rStyle w:val="Hyperlink"/>
                <w:rFonts w:eastAsiaTheme="majorEastAsia"/>
                <w:noProof/>
              </w:rPr>
              <w:t>FY16 RCF Allocation</w:t>
            </w:r>
            <w:r w:rsidR="006911D9">
              <w:rPr>
                <w:noProof/>
                <w:webHidden/>
              </w:rPr>
              <w:tab/>
            </w:r>
            <w:r w:rsidR="006911D9">
              <w:rPr>
                <w:noProof/>
                <w:webHidden/>
              </w:rPr>
              <w:fldChar w:fldCharType="begin"/>
            </w:r>
            <w:r w:rsidR="006911D9">
              <w:rPr>
                <w:noProof/>
                <w:webHidden/>
              </w:rPr>
              <w:instrText xml:space="preserve"> PAGEREF _Toc441061223 \h </w:instrText>
            </w:r>
            <w:r w:rsidR="006911D9">
              <w:rPr>
                <w:noProof/>
                <w:webHidden/>
              </w:rPr>
            </w:r>
            <w:r w:rsidR="006911D9">
              <w:rPr>
                <w:noProof/>
                <w:webHidden/>
              </w:rPr>
              <w:fldChar w:fldCharType="separate"/>
            </w:r>
            <w:r w:rsidR="006911D9">
              <w:rPr>
                <w:noProof/>
                <w:webHidden/>
              </w:rPr>
              <w:t>20</w:t>
            </w:r>
            <w:r w:rsidR="006911D9">
              <w:rPr>
                <w:noProof/>
                <w:webHidden/>
              </w:rPr>
              <w:fldChar w:fldCharType="end"/>
            </w:r>
          </w:hyperlink>
        </w:p>
        <w:p w:rsidR="006911D9" w:rsidRDefault="00F33B50">
          <w:pPr>
            <w:pStyle w:val="TOC2"/>
            <w:tabs>
              <w:tab w:val="left" w:pos="880"/>
              <w:tab w:val="right" w:leader="dot" w:pos="9629"/>
            </w:tabs>
            <w:rPr>
              <w:rFonts w:asciiTheme="minorHAnsi" w:eastAsiaTheme="minorEastAsia" w:hAnsiTheme="minorHAnsi" w:cstheme="minorBidi"/>
              <w:noProof/>
              <w:sz w:val="22"/>
              <w:szCs w:val="22"/>
              <w:lang w:val="en-GB" w:eastAsia="en-GB"/>
            </w:rPr>
          </w:pPr>
          <w:hyperlink w:anchor="_Toc441061224" w:history="1">
            <w:r w:rsidR="006911D9" w:rsidRPr="00D252D9">
              <w:rPr>
                <w:rStyle w:val="Hyperlink"/>
                <w:rFonts w:eastAsiaTheme="majorEastAsia"/>
                <w:noProof/>
              </w:rPr>
              <w:t>6.4</w:t>
            </w:r>
            <w:r w:rsidR="006911D9">
              <w:rPr>
                <w:rFonts w:asciiTheme="minorHAnsi" w:eastAsiaTheme="minorEastAsia" w:hAnsiTheme="minorHAnsi" w:cstheme="minorBidi"/>
                <w:noProof/>
                <w:sz w:val="22"/>
                <w:szCs w:val="22"/>
                <w:lang w:val="en-GB" w:eastAsia="en-GB"/>
              </w:rPr>
              <w:tab/>
            </w:r>
            <w:r w:rsidR="006911D9" w:rsidRPr="00D252D9">
              <w:rPr>
                <w:rStyle w:val="Hyperlink"/>
                <w:rFonts w:eastAsiaTheme="majorEastAsia"/>
                <w:noProof/>
              </w:rPr>
              <w:t>Clinical Research Facility (CRF)</w:t>
            </w:r>
            <w:r w:rsidR="006911D9">
              <w:rPr>
                <w:noProof/>
                <w:webHidden/>
              </w:rPr>
              <w:tab/>
            </w:r>
            <w:r w:rsidR="006911D9">
              <w:rPr>
                <w:noProof/>
                <w:webHidden/>
              </w:rPr>
              <w:fldChar w:fldCharType="begin"/>
            </w:r>
            <w:r w:rsidR="006911D9">
              <w:rPr>
                <w:noProof/>
                <w:webHidden/>
              </w:rPr>
              <w:instrText xml:space="preserve"> PAGEREF _Toc441061224 \h </w:instrText>
            </w:r>
            <w:r w:rsidR="006911D9">
              <w:rPr>
                <w:noProof/>
                <w:webHidden/>
              </w:rPr>
            </w:r>
            <w:r w:rsidR="006911D9">
              <w:rPr>
                <w:noProof/>
                <w:webHidden/>
              </w:rPr>
              <w:fldChar w:fldCharType="separate"/>
            </w:r>
            <w:r w:rsidR="006911D9">
              <w:rPr>
                <w:noProof/>
                <w:webHidden/>
              </w:rPr>
              <w:t>20</w:t>
            </w:r>
            <w:r w:rsidR="006911D9">
              <w:rPr>
                <w:noProof/>
                <w:webHidden/>
              </w:rPr>
              <w:fldChar w:fldCharType="end"/>
            </w:r>
          </w:hyperlink>
        </w:p>
        <w:p w:rsidR="006911D9" w:rsidRDefault="00F33B50">
          <w:pPr>
            <w:pStyle w:val="TOC2"/>
            <w:tabs>
              <w:tab w:val="left" w:pos="880"/>
              <w:tab w:val="right" w:leader="dot" w:pos="9629"/>
            </w:tabs>
            <w:rPr>
              <w:rFonts w:asciiTheme="minorHAnsi" w:eastAsiaTheme="minorEastAsia" w:hAnsiTheme="minorHAnsi" w:cstheme="minorBidi"/>
              <w:noProof/>
              <w:sz w:val="22"/>
              <w:szCs w:val="22"/>
              <w:lang w:val="en-GB" w:eastAsia="en-GB"/>
            </w:rPr>
          </w:pPr>
          <w:hyperlink w:anchor="_Toc441061225" w:history="1">
            <w:r w:rsidR="006911D9" w:rsidRPr="00D252D9">
              <w:rPr>
                <w:rStyle w:val="Hyperlink"/>
                <w:rFonts w:eastAsiaTheme="majorEastAsia"/>
                <w:noProof/>
              </w:rPr>
              <w:t>6.5</w:t>
            </w:r>
            <w:r w:rsidR="006911D9">
              <w:rPr>
                <w:rFonts w:asciiTheme="minorHAnsi" w:eastAsiaTheme="minorEastAsia" w:hAnsiTheme="minorHAnsi" w:cstheme="minorBidi"/>
                <w:noProof/>
                <w:sz w:val="22"/>
                <w:szCs w:val="22"/>
                <w:lang w:val="en-GB" w:eastAsia="en-GB"/>
              </w:rPr>
              <w:tab/>
            </w:r>
            <w:r w:rsidR="006911D9" w:rsidRPr="00D252D9">
              <w:rPr>
                <w:rStyle w:val="Hyperlink"/>
                <w:rFonts w:eastAsiaTheme="majorEastAsia"/>
                <w:noProof/>
              </w:rPr>
              <w:t>Clinical Research Network: Thames Valley and South Midlands (CRN)</w:t>
            </w:r>
            <w:r w:rsidR="006911D9">
              <w:rPr>
                <w:noProof/>
                <w:webHidden/>
              </w:rPr>
              <w:tab/>
            </w:r>
            <w:r w:rsidR="006911D9">
              <w:rPr>
                <w:noProof/>
                <w:webHidden/>
              </w:rPr>
              <w:fldChar w:fldCharType="begin"/>
            </w:r>
            <w:r w:rsidR="006911D9">
              <w:rPr>
                <w:noProof/>
                <w:webHidden/>
              </w:rPr>
              <w:instrText xml:space="preserve"> PAGEREF _Toc441061225 \h </w:instrText>
            </w:r>
            <w:r w:rsidR="006911D9">
              <w:rPr>
                <w:noProof/>
                <w:webHidden/>
              </w:rPr>
            </w:r>
            <w:r w:rsidR="006911D9">
              <w:rPr>
                <w:noProof/>
                <w:webHidden/>
              </w:rPr>
              <w:fldChar w:fldCharType="separate"/>
            </w:r>
            <w:r w:rsidR="006911D9">
              <w:rPr>
                <w:noProof/>
                <w:webHidden/>
              </w:rPr>
              <w:t>21</w:t>
            </w:r>
            <w:r w:rsidR="006911D9">
              <w:rPr>
                <w:noProof/>
                <w:webHidden/>
              </w:rPr>
              <w:fldChar w:fldCharType="end"/>
            </w:r>
          </w:hyperlink>
        </w:p>
        <w:p w:rsidR="006911D9" w:rsidRDefault="00F33B50">
          <w:pPr>
            <w:pStyle w:val="TOC2"/>
            <w:tabs>
              <w:tab w:val="left" w:pos="880"/>
              <w:tab w:val="right" w:leader="dot" w:pos="9629"/>
            </w:tabs>
            <w:rPr>
              <w:rFonts w:asciiTheme="minorHAnsi" w:eastAsiaTheme="minorEastAsia" w:hAnsiTheme="minorHAnsi" w:cstheme="minorBidi"/>
              <w:noProof/>
              <w:sz w:val="22"/>
              <w:szCs w:val="22"/>
              <w:lang w:val="en-GB" w:eastAsia="en-GB"/>
            </w:rPr>
          </w:pPr>
          <w:hyperlink w:anchor="_Toc441061226" w:history="1">
            <w:r w:rsidR="006911D9" w:rsidRPr="00D252D9">
              <w:rPr>
                <w:rStyle w:val="Hyperlink"/>
                <w:rFonts w:eastAsiaTheme="majorEastAsia"/>
                <w:noProof/>
              </w:rPr>
              <w:t>6.6</w:t>
            </w:r>
            <w:r w:rsidR="006911D9">
              <w:rPr>
                <w:rFonts w:asciiTheme="minorHAnsi" w:eastAsiaTheme="minorEastAsia" w:hAnsiTheme="minorHAnsi" w:cstheme="minorBidi"/>
                <w:noProof/>
                <w:sz w:val="22"/>
                <w:szCs w:val="22"/>
                <w:lang w:val="en-GB" w:eastAsia="en-GB"/>
              </w:rPr>
              <w:tab/>
            </w:r>
            <w:r w:rsidR="006911D9" w:rsidRPr="00D252D9">
              <w:rPr>
                <w:rStyle w:val="Hyperlink"/>
                <w:rFonts w:eastAsiaTheme="majorEastAsia"/>
                <w:noProof/>
              </w:rPr>
              <w:t>Financial Risks and Issues</w:t>
            </w:r>
            <w:r w:rsidR="006911D9">
              <w:rPr>
                <w:noProof/>
                <w:webHidden/>
              </w:rPr>
              <w:tab/>
            </w:r>
            <w:r w:rsidR="006911D9">
              <w:rPr>
                <w:noProof/>
                <w:webHidden/>
              </w:rPr>
              <w:fldChar w:fldCharType="begin"/>
            </w:r>
            <w:r w:rsidR="006911D9">
              <w:rPr>
                <w:noProof/>
                <w:webHidden/>
              </w:rPr>
              <w:instrText xml:space="preserve"> PAGEREF _Toc441061226 \h </w:instrText>
            </w:r>
            <w:r w:rsidR="006911D9">
              <w:rPr>
                <w:noProof/>
                <w:webHidden/>
              </w:rPr>
            </w:r>
            <w:r w:rsidR="006911D9">
              <w:rPr>
                <w:noProof/>
                <w:webHidden/>
              </w:rPr>
              <w:fldChar w:fldCharType="separate"/>
            </w:r>
            <w:r w:rsidR="006911D9">
              <w:rPr>
                <w:noProof/>
                <w:webHidden/>
              </w:rPr>
              <w:t>21</w:t>
            </w:r>
            <w:r w:rsidR="006911D9">
              <w:rPr>
                <w:noProof/>
                <w:webHidden/>
              </w:rPr>
              <w:fldChar w:fldCharType="end"/>
            </w:r>
          </w:hyperlink>
        </w:p>
        <w:p w:rsidR="006911D9" w:rsidRDefault="00F33B50">
          <w:pPr>
            <w:pStyle w:val="TOC3"/>
            <w:tabs>
              <w:tab w:val="left" w:pos="1320"/>
              <w:tab w:val="right" w:leader="dot" w:pos="9629"/>
            </w:tabs>
            <w:rPr>
              <w:rFonts w:asciiTheme="minorHAnsi" w:eastAsiaTheme="minorEastAsia" w:hAnsiTheme="minorHAnsi" w:cstheme="minorBidi"/>
              <w:noProof/>
              <w:sz w:val="22"/>
              <w:szCs w:val="22"/>
              <w:lang w:val="en-GB" w:eastAsia="en-GB"/>
            </w:rPr>
          </w:pPr>
          <w:hyperlink w:anchor="_Toc441061227" w:history="1">
            <w:r w:rsidR="006911D9" w:rsidRPr="00D252D9">
              <w:rPr>
                <w:rStyle w:val="Hyperlink"/>
                <w:rFonts w:eastAsiaTheme="majorEastAsia"/>
                <w:noProof/>
              </w:rPr>
              <w:t>6.6.1</w:t>
            </w:r>
            <w:r w:rsidR="006911D9">
              <w:rPr>
                <w:rFonts w:asciiTheme="minorHAnsi" w:eastAsiaTheme="minorEastAsia" w:hAnsiTheme="minorHAnsi" w:cstheme="minorBidi"/>
                <w:noProof/>
                <w:sz w:val="22"/>
                <w:szCs w:val="22"/>
                <w:lang w:val="en-GB" w:eastAsia="en-GB"/>
              </w:rPr>
              <w:tab/>
            </w:r>
            <w:r w:rsidR="006911D9" w:rsidRPr="00D252D9">
              <w:rPr>
                <w:rStyle w:val="Hyperlink"/>
                <w:rFonts w:eastAsiaTheme="majorEastAsia"/>
                <w:noProof/>
              </w:rPr>
              <w:t>R&amp;D Income Summary FY17</w:t>
            </w:r>
            <w:r w:rsidR="006911D9">
              <w:rPr>
                <w:noProof/>
                <w:webHidden/>
              </w:rPr>
              <w:tab/>
            </w:r>
            <w:r w:rsidR="006911D9">
              <w:rPr>
                <w:noProof/>
                <w:webHidden/>
              </w:rPr>
              <w:fldChar w:fldCharType="begin"/>
            </w:r>
            <w:r w:rsidR="006911D9">
              <w:rPr>
                <w:noProof/>
                <w:webHidden/>
              </w:rPr>
              <w:instrText xml:space="preserve"> PAGEREF _Toc441061227 \h </w:instrText>
            </w:r>
            <w:r w:rsidR="006911D9">
              <w:rPr>
                <w:noProof/>
                <w:webHidden/>
              </w:rPr>
            </w:r>
            <w:r w:rsidR="006911D9">
              <w:rPr>
                <w:noProof/>
                <w:webHidden/>
              </w:rPr>
              <w:fldChar w:fldCharType="separate"/>
            </w:r>
            <w:r w:rsidR="006911D9">
              <w:rPr>
                <w:noProof/>
                <w:webHidden/>
              </w:rPr>
              <w:t>21</w:t>
            </w:r>
            <w:r w:rsidR="006911D9">
              <w:rPr>
                <w:noProof/>
                <w:webHidden/>
              </w:rPr>
              <w:fldChar w:fldCharType="end"/>
            </w:r>
          </w:hyperlink>
        </w:p>
        <w:p w:rsidR="006911D9" w:rsidRDefault="00F33B50">
          <w:pPr>
            <w:pStyle w:val="TOC2"/>
            <w:tabs>
              <w:tab w:val="left" w:pos="880"/>
              <w:tab w:val="right" w:leader="dot" w:pos="9629"/>
            </w:tabs>
            <w:rPr>
              <w:rFonts w:asciiTheme="minorHAnsi" w:eastAsiaTheme="minorEastAsia" w:hAnsiTheme="minorHAnsi" w:cstheme="minorBidi"/>
              <w:noProof/>
              <w:sz w:val="22"/>
              <w:szCs w:val="22"/>
              <w:lang w:val="en-GB" w:eastAsia="en-GB"/>
            </w:rPr>
          </w:pPr>
          <w:hyperlink w:anchor="_Toc441061228" w:history="1">
            <w:r w:rsidR="006911D9" w:rsidRPr="00D252D9">
              <w:rPr>
                <w:rStyle w:val="Hyperlink"/>
                <w:rFonts w:eastAsiaTheme="majorEastAsia"/>
                <w:noProof/>
              </w:rPr>
              <w:t>6.7</w:t>
            </w:r>
            <w:r w:rsidR="006911D9">
              <w:rPr>
                <w:rFonts w:asciiTheme="minorHAnsi" w:eastAsiaTheme="minorEastAsia" w:hAnsiTheme="minorHAnsi" w:cstheme="minorBidi"/>
                <w:noProof/>
                <w:sz w:val="22"/>
                <w:szCs w:val="22"/>
                <w:lang w:val="en-GB" w:eastAsia="en-GB"/>
              </w:rPr>
              <w:tab/>
            </w:r>
            <w:r w:rsidR="006911D9" w:rsidRPr="00D252D9">
              <w:rPr>
                <w:rStyle w:val="Hyperlink"/>
                <w:rFonts w:eastAsiaTheme="majorEastAsia"/>
                <w:noProof/>
              </w:rPr>
              <w:t>Redundancy Costs</w:t>
            </w:r>
            <w:r w:rsidR="006911D9">
              <w:rPr>
                <w:noProof/>
                <w:webHidden/>
              </w:rPr>
              <w:tab/>
            </w:r>
            <w:r w:rsidR="006911D9">
              <w:rPr>
                <w:noProof/>
                <w:webHidden/>
              </w:rPr>
              <w:fldChar w:fldCharType="begin"/>
            </w:r>
            <w:r w:rsidR="006911D9">
              <w:rPr>
                <w:noProof/>
                <w:webHidden/>
              </w:rPr>
              <w:instrText xml:space="preserve"> PAGEREF _Toc441061228 \h </w:instrText>
            </w:r>
            <w:r w:rsidR="006911D9">
              <w:rPr>
                <w:noProof/>
                <w:webHidden/>
              </w:rPr>
            </w:r>
            <w:r w:rsidR="006911D9">
              <w:rPr>
                <w:noProof/>
                <w:webHidden/>
              </w:rPr>
              <w:fldChar w:fldCharType="separate"/>
            </w:r>
            <w:r w:rsidR="006911D9">
              <w:rPr>
                <w:noProof/>
                <w:webHidden/>
              </w:rPr>
              <w:t>22</w:t>
            </w:r>
            <w:r w:rsidR="006911D9">
              <w:rPr>
                <w:noProof/>
                <w:webHidden/>
              </w:rPr>
              <w:fldChar w:fldCharType="end"/>
            </w:r>
          </w:hyperlink>
        </w:p>
        <w:p w:rsidR="006911D9" w:rsidRDefault="00F33B50">
          <w:pPr>
            <w:pStyle w:val="TOC2"/>
            <w:tabs>
              <w:tab w:val="left" w:pos="880"/>
              <w:tab w:val="right" w:leader="dot" w:pos="9629"/>
            </w:tabs>
            <w:rPr>
              <w:rFonts w:asciiTheme="minorHAnsi" w:eastAsiaTheme="minorEastAsia" w:hAnsiTheme="minorHAnsi" w:cstheme="minorBidi"/>
              <w:noProof/>
              <w:sz w:val="22"/>
              <w:szCs w:val="22"/>
              <w:lang w:val="en-GB" w:eastAsia="en-GB"/>
            </w:rPr>
          </w:pPr>
          <w:hyperlink w:anchor="_Toc441061229" w:history="1">
            <w:r w:rsidR="006911D9" w:rsidRPr="00D252D9">
              <w:rPr>
                <w:rStyle w:val="Hyperlink"/>
                <w:rFonts w:eastAsiaTheme="majorEastAsia"/>
                <w:noProof/>
              </w:rPr>
              <w:t>6.8</w:t>
            </w:r>
            <w:r w:rsidR="006911D9">
              <w:rPr>
                <w:rFonts w:asciiTheme="minorHAnsi" w:eastAsiaTheme="minorEastAsia" w:hAnsiTheme="minorHAnsi" w:cstheme="minorBidi"/>
                <w:noProof/>
                <w:sz w:val="22"/>
                <w:szCs w:val="22"/>
                <w:lang w:val="en-GB" w:eastAsia="en-GB"/>
              </w:rPr>
              <w:tab/>
            </w:r>
            <w:r w:rsidR="006911D9" w:rsidRPr="00D252D9">
              <w:rPr>
                <w:rStyle w:val="Hyperlink"/>
                <w:rFonts w:eastAsiaTheme="majorEastAsia"/>
                <w:noProof/>
              </w:rPr>
              <w:t>Study Report and Publication dates</w:t>
            </w:r>
            <w:r w:rsidR="006911D9">
              <w:rPr>
                <w:noProof/>
                <w:webHidden/>
              </w:rPr>
              <w:tab/>
            </w:r>
            <w:r w:rsidR="006911D9">
              <w:rPr>
                <w:noProof/>
                <w:webHidden/>
              </w:rPr>
              <w:fldChar w:fldCharType="begin"/>
            </w:r>
            <w:r w:rsidR="006911D9">
              <w:rPr>
                <w:noProof/>
                <w:webHidden/>
              </w:rPr>
              <w:instrText xml:space="preserve"> PAGEREF _Toc441061229 \h </w:instrText>
            </w:r>
            <w:r w:rsidR="006911D9">
              <w:rPr>
                <w:noProof/>
                <w:webHidden/>
              </w:rPr>
            </w:r>
            <w:r w:rsidR="006911D9">
              <w:rPr>
                <w:noProof/>
                <w:webHidden/>
              </w:rPr>
              <w:fldChar w:fldCharType="separate"/>
            </w:r>
            <w:r w:rsidR="006911D9">
              <w:rPr>
                <w:noProof/>
                <w:webHidden/>
              </w:rPr>
              <w:t>22</w:t>
            </w:r>
            <w:r w:rsidR="006911D9">
              <w:rPr>
                <w:noProof/>
                <w:webHidden/>
              </w:rPr>
              <w:fldChar w:fldCharType="end"/>
            </w:r>
          </w:hyperlink>
        </w:p>
        <w:p w:rsidR="006911D9" w:rsidRDefault="00F33B50">
          <w:pPr>
            <w:pStyle w:val="TOC2"/>
            <w:tabs>
              <w:tab w:val="left" w:pos="880"/>
              <w:tab w:val="right" w:leader="dot" w:pos="9629"/>
            </w:tabs>
            <w:rPr>
              <w:rFonts w:asciiTheme="minorHAnsi" w:eastAsiaTheme="minorEastAsia" w:hAnsiTheme="minorHAnsi" w:cstheme="minorBidi"/>
              <w:noProof/>
              <w:sz w:val="22"/>
              <w:szCs w:val="22"/>
              <w:lang w:val="en-GB" w:eastAsia="en-GB"/>
            </w:rPr>
          </w:pPr>
          <w:hyperlink w:anchor="_Toc441061230" w:history="1">
            <w:r w:rsidR="006911D9" w:rsidRPr="00D252D9">
              <w:rPr>
                <w:rStyle w:val="Hyperlink"/>
                <w:rFonts w:eastAsiaTheme="majorEastAsia"/>
                <w:noProof/>
              </w:rPr>
              <w:t>6.9</w:t>
            </w:r>
            <w:r w:rsidR="006911D9">
              <w:rPr>
                <w:rFonts w:asciiTheme="minorHAnsi" w:eastAsiaTheme="minorEastAsia" w:hAnsiTheme="minorHAnsi" w:cstheme="minorBidi"/>
                <w:noProof/>
                <w:sz w:val="22"/>
                <w:szCs w:val="22"/>
                <w:lang w:val="en-GB" w:eastAsia="en-GB"/>
              </w:rPr>
              <w:tab/>
            </w:r>
            <w:r w:rsidR="006911D9" w:rsidRPr="00D252D9">
              <w:rPr>
                <w:rStyle w:val="Hyperlink"/>
                <w:rFonts w:eastAsiaTheme="majorEastAsia"/>
                <w:noProof/>
              </w:rPr>
              <w:t>Collaboration in Leadership in Applied Health Research and Care (CLAHRC)</w:t>
            </w:r>
            <w:r w:rsidR="006911D9">
              <w:rPr>
                <w:noProof/>
                <w:webHidden/>
              </w:rPr>
              <w:tab/>
            </w:r>
            <w:r w:rsidR="006911D9">
              <w:rPr>
                <w:noProof/>
                <w:webHidden/>
              </w:rPr>
              <w:fldChar w:fldCharType="begin"/>
            </w:r>
            <w:r w:rsidR="006911D9">
              <w:rPr>
                <w:noProof/>
                <w:webHidden/>
              </w:rPr>
              <w:instrText xml:space="preserve"> PAGEREF _Toc441061230 \h </w:instrText>
            </w:r>
            <w:r w:rsidR="006911D9">
              <w:rPr>
                <w:noProof/>
                <w:webHidden/>
              </w:rPr>
            </w:r>
            <w:r w:rsidR="006911D9">
              <w:rPr>
                <w:noProof/>
                <w:webHidden/>
              </w:rPr>
              <w:fldChar w:fldCharType="separate"/>
            </w:r>
            <w:r w:rsidR="006911D9">
              <w:rPr>
                <w:noProof/>
                <w:webHidden/>
              </w:rPr>
              <w:t>22</w:t>
            </w:r>
            <w:r w:rsidR="006911D9">
              <w:rPr>
                <w:noProof/>
                <w:webHidden/>
              </w:rPr>
              <w:fldChar w:fldCharType="end"/>
            </w:r>
          </w:hyperlink>
        </w:p>
        <w:p w:rsidR="006911D9" w:rsidRDefault="00F33B50">
          <w:pPr>
            <w:pStyle w:val="TOC3"/>
            <w:tabs>
              <w:tab w:val="left" w:pos="1320"/>
              <w:tab w:val="right" w:leader="dot" w:pos="9629"/>
            </w:tabs>
            <w:rPr>
              <w:rFonts w:asciiTheme="minorHAnsi" w:eastAsiaTheme="minorEastAsia" w:hAnsiTheme="minorHAnsi" w:cstheme="minorBidi"/>
              <w:noProof/>
              <w:sz w:val="22"/>
              <w:szCs w:val="22"/>
              <w:lang w:val="en-GB" w:eastAsia="en-GB"/>
            </w:rPr>
          </w:pPr>
          <w:hyperlink w:anchor="_Toc441061231" w:history="1">
            <w:r w:rsidR="006911D9" w:rsidRPr="00D252D9">
              <w:rPr>
                <w:rStyle w:val="Hyperlink"/>
                <w:rFonts w:eastAsiaTheme="majorEastAsia"/>
                <w:noProof/>
              </w:rPr>
              <w:t>6.9.1</w:t>
            </w:r>
            <w:r w:rsidR="006911D9">
              <w:rPr>
                <w:rFonts w:asciiTheme="minorHAnsi" w:eastAsiaTheme="minorEastAsia" w:hAnsiTheme="minorHAnsi" w:cstheme="minorBidi"/>
                <w:noProof/>
                <w:sz w:val="22"/>
                <w:szCs w:val="22"/>
                <w:lang w:val="en-GB" w:eastAsia="en-GB"/>
              </w:rPr>
              <w:tab/>
            </w:r>
            <w:r w:rsidR="006911D9" w:rsidRPr="00D252D9">
              <w:rPr>
                <w:rStyle w:val="Hyperlink"/>
                <w:rFonts w:eastAsiaTheme="majorEastAsia"/>
                <w:noProof/>
              </w:rPr>
              <w:t>CLAHRC Budgets</w:t>
            </w:r>
            <w:r w:rsidR="006911D9">
              <w:rPr>
                <w:noProof/>
                <w:webHidden/>
              </w:rPr>
              <w:tab/>
            </w:r>
            <w:r w:rsidR="006911D9">
              <w:rPr>
                <w:noProof/>
                <w:webHidden/>
              </w:rPr>
              <w:fldChar w:fldCharType="begin"/>
            </w:r>
            <w:r w:rsidR="006911D9">
              <w:rPr>
                <w:noProof/>
                <w:webHidden/>
              </w:rPr>
              <w:instrText xml:space="preserve"> PAGEREF _Toc441061231 \h </w:instrText>
            </w:r>
            <w:r w:rsidR="006911D9">
              <w:rPr>
                <w:noProof/>
                <w:webHidden/>
              </w:rPr>
            </w:r>
            <w:r w:rsidR="006911D9">
              <w:rPr>
                <w:noProof/>
                <w:webHidden/>
              </w:rPr>
              <w:fldChar w:fldCharType="separate"/>
            </w:r>
            <w:r w:rsidR="006911D9">
              <w:rPr>
                <w:noProof/>
                <w:webHidden/>
              </w:rPr>
              <w:t>23</w:t>
            </w:r>
            <w:r w:rsidR="006911D9">
              <w:rPr>
                <w:noProof/>
                <w:webHidden/>
              </w:rPr>
              <w:fldChar w:fldCharType="end"/>
            </w:r>
          </w:hyperlink>
        </w:p>
        <w:p w:rsidR="006911D9" w:rsidRDefault="00F33B50">
          <w:pPr>
            <w:pStyle w:val="TOC3"/>
            <w:tabs>
              <w:tab w:val="left" w:pos="1320"/>
              <w:tab w:val="right" w:leader="dot" w:pos="9629"/>
            </w:tabs>
            <w:rPr>
              <w:rFonts w:asciiTheme="minorHAnsi" w:eastAsiaTheme="minorEastAsia" w:hAnsiTheme="minorHAnsi" w:cstheme="minorBidi"/>
              <w:noProof/>
              <w:sz w:val="22"/>
              <w:szCs w:val="22"/>
              <w:lang w:val="en-GB" w:eastAsia="en-GB"/>
            </w:rPr>
          </w:pPr>
          <w:hyperlink w:anchor="_Toc441061232" w:history="1">
            <w:r w:rsidR="006911D9" w:rsidRPr="00D252D9">
              <w:rPr>
                <w:rStyle w:val="Hyperlink"/>
                <w:rFonts w:eastAsiaTheme="majorEastAsia"/>
                <w:noProof/>
              </w:rPr>
              <w:t>6.9.2</w:t>
            </w:r>
            <w:r w:rsidR="006911D9">
              <w:rPr>
                <w:rFonts w:asciiTheme="minorHAnsi" w:eastAsiaTheme="minorEastAsia" w:hAnsiTheme="minorHAnsi" w:cstheme="minorBidi"/>
                <w:noProof/>
                <w:sz w:val="22"/>
                <w:szCs w:val="22"/>
                <w:lang w:val="en-GB" w:eastAsia="en-GB"/>
              </w:rPr>
              <w:tab/>
            </w:r>
            <w:r w:rsidR="006911D9" w:rsidRPr="00D252D9">
              <w:rPr>
                <w:rStyle w:val="Hyperlink"/>
                <w:rFonts w:eastAsiaTheme="majorEastAsia"/>
                <w:noProof/>
              </w:rPr>
              <w:t>Performance</w:t>
            </w:r>
            <w:r w:rsidR="006911D9">
              <w:rPr>
                <w:noProof/>
                <w:webHidden/>
              </w:rPr>
              <w:tab/>
            </w:r>
            <w:r w:rsidR="006911D9">
              <w:rPr>
                <w:noProof/>
                <w:webHidden/>
              </w:rPr>
              <w:fldChar w:fldCharType="begin"/>
            </w:r>
            <w:r w:rsidR="006911D9">
              <w:rPr>
                <w:noProof/>
                <w:webHidden/>
              </w:rPr>
              <w:instrText xml:space="preserve"> PAGEREF _Toc441061232 \h </w:instrText>
            </w:r>
            <w:r w:rsidR="006911D9">
              <w:rPr>
                <w:noProof/>
                <w:webHidden/>
              </w:rPr>
            </w:r>
            <w:r w:rsidR="006911D9">
              <w:rPr>
                <w:noProof/>
                <w:webHidden/>
              </w:rPr>
              <w:fldChar w:fldCharType="separate"/>
            </w:r>
            <w:r w:rsidR="006911D9">
              <w:rPr>
                <w:noProof/>
                <w:webHidden/>
              </w:rPr>
              <w:t>23</w:t>
            </w:r>
            <w:r w:rsidR="006911D9">
              <w:rPr>
                <w:noProof/>
                <w:webHidden/>
              </w:rPr>
              <w:fldChar w:fldCharType="end"/>
            </w:r>
          </w:hyperlink>
        </w:p>
        <w:p w:rsidR="006911D9" w:rsidRDefault="00F33B50">
          <w:pPr>
            <w:pStyle w:val="TOC2"/>
            <w:tabs>
              <w:tab w:val="left" w:pos="1100"/>
              <w:tab w:val="right" w:leader="dot" w:pos="9629"/>
            </w:tabs>
            <w:rPr>
              <w:rFonts w:asciiTheme="minorHAnsi" w:eastAsiaTheme="minorEastAsia" w:hAnsiTheme="minorHAnsi" w:cstheme="minorBidi"/>
              <w:noProof/>
              <w:sz w:val="22"/>
              <w:szCs w:val="22"/>
              <w:lang w:val="en-GB" w:eastAsia="en-GB"/>
            </w:rPr>
          </w:pPr>
          <w:hyperlink w:anchor="_Toc441061233" w:history="1">
            <w:r w:rsidR="006911D9" w:rsidRPr="00D252D9">
              <w:rPr>
                <w:rStyle w:val="Hyperlink"/>
                <w:rFonts w:eastAsiaTheme="majorEastAsia"/>
                <w:noProof/>
              </w:rPr>
              <w:t>6.10</w:t>
            </w:r>
            <w:r w:rsidR="006911D9">
              <w:rPr>
                <w:rFonts w:asciiTheme="minorHAnsi" w:eastAsiaTheme="minorEastAsia" w:hAnsiTheme="minorHAnsi" w:cstheme="minorBidi"/>
                <w:noProof/>
                <w:sz w:val="22"/>
                <w:szCs w:val="22"/>
                <w:lang w:val="en-GB" w:eastAsia="en-GB"/>
              </w:rPr>
              <w:tab/>
            </w:r>
            <w:r w:rsidR="006911D9" w:rsidRPr="00D252D9">
              <w:rPr>
                <w:rStyle w:val="Hyperlink"/>
                <w:rFonts w:eastAsiaTheme="majorEastAsia"/>
                <w:noProof/>
              </w:rPr>
              <w:t>Oxford Academic Health Science Network (OAHSN)</w:t>
            </w:r>
            <w:r w:rsidR="006911D9">
              <w:rPr>
                <w:noProof/>
                <w:webHidden/>
              </w:rPr>
              <w:tab/>
            </w:r>
            <w:r w:rsidR="006911D9">
              <w:rPr>
                <w:noProof/>
                <w:webHidden/>
              </w:rPr>
              <w:fldChar w:fldCharType="begin"/>
            </w:r>
            <w:r w:rsidR="006911D9">
              <w:rPr>
                <w:noProof/>
                <w:webHidden/>
              </w:rPr>
              <w:instrText xml:space="preserve"> PAGEREF _Toc441061233 \h </w:instrText>
            </w:r>
            <w:r w:rsidR="006911D9">
              <w:rPr>
                <w:noProof/>
                <w:webHidden/>
              </w:rPr>
            </w:r>
            <w:r w:rsidR="006911D9">
              <w:rPr>
                <w:noProof/>
                <w:webHidden/>
              </w:rPr>
              <w:fldChar w:fldCharType="separate"/>
            </w:r>
            <w:r w:rsidR="006911D9">
              <w:rPr>
                <w:noProof/>
                <w:webHidden/>
              </w:rPr>
              <w:t>24</w:t>
            </w:r>
            <w:r w:rsidR="006911D9">
              <w:rPr>
                <w:noProof/>
                <w:webHidden/>
              </w:rPr>
              <w:fldChar w:fldCharType="end"/>
            </w:r>
          </w:hyperlink>
        </w:p>
        <w:p w:rsidR="006911D9" w:rsidRDefault="00F33B50">
          <w:pPr>
            <w:pStyle w:val="TOC1"/>
            <w:tabs>
              <w:tab w:val="left" w:pos="480"/>
              <w:tab w:val="right" w:leader="dot" w:pos="9629"/>
            </w:tabs>
            <w:rPr>
              <w:rFonts w:asciiTheme="minorHAnsi" w:eastAsiaTheme="minorEastAsia" w:hAnsiTheme="minorHAnsi" w:cstheme="minorBidi"/>
              <w:noProof/>
              <w:sz w:val="22"/>
              <w:szCs w:val="22"/>
              <w:lang w:val="en-GB" w:eastAsia="en-GB"/>
            </w:rPr>
          </w:pPr>
          <w:hyperlink w:anchor="_Toc441061234" w:history="1">
            <w:r w:rsidR="006911D9" w:rsidRPr="00D252D9">
              <w:rPr>
                <w:rStyle w:val="Hyperlink"/>
                <w:rFonts w:eastAsiaTheme="majorEastAsia"/>
                <w:noProof/>
              </w:rPr>
              <w:t>7</w:t>
            </w:r>
            <w:r w:rsidR="006911D9">
              <w:rPr>
                <w:rFonts w:asciiTheme="minorHAnsi" w:eastAsiaTheme="minorEastAsia" w:hAnsiTheme="minorHAnsi" w:cstheme="minorBidi"/>
                <w:noProof/>
                <w:sz w:val="22"/>
                <w:szCs w:val="22"/>
                <w:lang w:val="en-GB" w:eastAsia="en-GB"/>
              </w:rPr>
              <w:tab/>
            </w:r>
            <w:r w:rsidR="006911D9" w:rsidRPr="00D252D9">
              <w:rPr>
                <w:rStyle w:val="Hyperlink"/>
                <w:rFonts w:eastAsiaTheme="majorEastAsia"/>
                <w:noProof/>
              </w:rPr>
              <w:t>Estates</w:t>
            </w:r>
            <w:r w:rsidR="006911D9">
              <w:rPr>
                <w:noProof/>
                <w:webHidden/>
              </w:rPr>
              <w:tab/>
            </w:r>
            <w:r w:rsidR="006911D9">
              <w:rPr>
                <w:noProof/>
                <w:webHidden/>
              </w:rPr>
              <w:fldChar w:fldCharType="begin"/>
            </w:r>
            <w:r w:rsidR="006911D9">
              <w:rPr>
                <w:noProof/>
                <w:webHidden/>
              </w:rPr>
              <w:instrText xml:space="preserve"> PAGEREF _Toc441061234 \h </w:instrText>
            </w:r>
            <w:r w:rsidR="006911D9">
              <w:rPr>
                <w:noProof/>
                <w:webHidden/>
              </w:rPr>
            </w:r>
            <w:r w:rsidR="006911D9">
              <w:rPr>
                <w:noProof/>
                <w:webHidden/>
              </w:rPr>
              <w:fldChar w:fldCharType="separate"/>
            </w:r>
            <w:r w:rsidR="006911D9">
              <w:rPr>
                <w:noProof/>
                <w:webHidden/>
              </w:rPr>
              <w:t>24</w:t>
            </w:r>
            <w:r w:rsidR="006911D9">
              <w:rPr>
                <w:noProof/>
                <w:webHidden/>
              </w:rPr>
              <w:fldChar w:fldCharType="end"/>
            </w:r>
          </w:hyperlink>
        </w:p>
        <w:p w:rsidR="006911D9" w:rsidRDefault="00F33B50">
          <w:pPr>
            <w:pStyle w:val="TOC1"/>
            <w:tabs>
              <w:tab w:val="left" w:pos="480"/>
              <w:tab w:val="right" w:leader="dot" w:pos="9629"/>
            </w:tabs>
            <w:rPr>
              <w:rFonts w:asciiTheme="minorHAnsi" w:eastAsiaTheme="minorEastAsia" w:hAnsiTheme="minorHAnsi" w:cstheme="minorBidi"/>
              <w:noProof/>
              <w:sz w:val="22"/>
              <w:szCs w:val="22"/>
              <w:lang w:val="en-GB" w:eastAsia="en-GB"/>
            </w:rPr>
          </w:pPr>
          <w:hyperlink w:anchor="_Toc441061235" w:history="1">
            <w:r w:rsidR="006911D9" w:rsidRPr="00D252D9">
              <w:rPr>
                <w:rStyle w:val="Hyperlink"/>
                <w:rFonts w:eastAsiaTheme="majorEastAsia"/>
                <w:noProof/>
              </w:rPr>
              <w:t>8</w:t>
            </w:r>
            <w:r w:rsidR="006911D9">
              <w:rPr>
                <w:rFonts w:asciiTheme="minorHAnsi" w:eastAsiaTheme="minorEastAsia" w:hAnsiTheme="minorHAnsi" w:cstheme="minorBidi"/>
                <w:noProof/>
                <w:sz w:val="22"/>
                <w:szCs w:val="22"/>
                <w:lang w:val="en-GB" w:eastAsia="en-GB"/>
              </w:rPr>
              <w:tab/>
            </w:r>
            <w:r w:rsidR="006911D9" w:rsidRPr="00D252D9">
              <w:rPr>
                <w:rStyle w:val="Hyperlink"/>
                <w:rFonts w:eastAsiaTheme="majorEastAsia"/>
                <w:noProof/>
              </w:rPr>
              <w:t>Staffing</w:t>
            </w:r>
            <w:r w:rsidR="006911D9">
              <w:rPr>
                <w:noProof/>
                <w:webHidden/>
              </w:rPr>
              <w:tab/>
            </w:r>
            <w:r w:rsidR="006911D9">
              <w:rPr>
                <w:noProof/>
                <w:webHidden/>
              </w:rPr>
              <w:fldChar w:fldCharType="begin"/>
            </w:r>
            <w:r w:rsidR="006911D9">
              <w:rPr>
                <w:noProof/>
                <w:webHidden/>
              </w:rPr>
              <w:instrText xml:space="preserve"> PAGEREF _Toc441061235 \h </w:instrText>
            </w:r>
            <w:r w:rsidR="006911D9">
              <w:rPr>
                <w:noProof/>
                <w:webHidden/>
              </w:rPr>
            </w:r>
            <w:r w:rsidR="006911D9">
              <w:rPr>
                <w:noProof/>
                <w:webHidden/>
              </w:rPr>
              <w:fldChar w:fldCharType="separate"/>
            </w:r>
            <w:r w:rsidR="006911D9">
              <w:rPr>
                <w:noProof/>
                <w:webHidden/>
              </w:rPr>
              <w:t>24</w:t>
            </w:r>
            <w:r w:rsidR="006911D9">
              <w:rPr>
                <w:noProof/>
                <w:webHidden/>
              </w:rPr>
              <w:fldChar w:fldCharType="end"/>
            </w:r>
          </w:hyperlink>
        </w:p>
        <w:p w:rsidR="006911D9" w:rsidRDefault="00F33B50">
          <w:pPr>
            <w:pStyle w:val="TOC1"/>
            <w:tabs>
              <w:tab w:val="left" w:pos="480"/>
              <w:tab w:val="right" w:leader="dot" w:pos="9629"/>
            </w:tabs>
            <w:rPr>
              <w:rFonts w:asciiTheme="minorHAnsi" w:eastAsiaTheme="minorEastAsia" w:hAnsiTheme="minorHAnsi" w:cstheme="minorBidi"/>
              <w:noProof/>
              <w:sz w:val="22"/>
              <w:szCs w:val="22"/>
              <w:lang w:val="en-GB" w:eastAsia="en-GB"/>
            </w:rPr>
          </w:pPr>
          <w:hyperlink w:anchor="_Toc441061236" w:history="1">
            <w:r w:rsidR="006911D9" w:rsidRPr="00D252D9">
              <w:rPr>
                <w:rStyle w:val="Hyperlink"/>
                <w:rFonts w:eastAsiaTheme="majorEastAsia"/>
                <w:noProof/>
              </w:rPr>
              <w:t>9</w:t>
            </w:r>
            <w:r w:rsidR="006911D9">
              <w:rPr>
                <w:rFonts w:asciiTheme="minorHAnsi" w:eastAsiaTheme="minorEastAsia" w:hAnsiTheme="minorHAnsi" w:cstheme="minorBidi"/>
                <w:noProof/>
                <w:sz w:val="22"/>
                <w:szCs w:val="22"/>
                <w:lang w:val="en-GB" w:eastAsia="en-GB"/>
              </w:rPr>
              <w:tab/>
            </w:r>
            <w:r w:rsidR="006911D9" w:rsidRPr="00D252D9">
              <w:rPr>
                <w:rStyle w:val="Hyperlink"/>
                <w:rFonts w:eastAsiaTheme="majorEastAsia"/>
                <w:noProof/>
              </w:rPr>
              <w:t>Communications</w:t>
            </w:r>
            <w:r w:rsidR="006911D9">
              <w:rPr>
                <w:noProof/>
                <w:webHidden/>
              </w:rPr>
              <w:tab/>
            </w:r>
            <w:r w:rsidR="006911D9">
              <w:rPr>
                <w:noProof/>
                <w:webHidden/>
              </w:rPr>
              <w:fldChar w:fldCharType="begin"/>
            </w:r>
            <w:r w:rsidR="006911D9">
              <w:rPr>
                <w:noProof/>
                <w:webHidden/>
              </w:rPr>
              <w:instrText xml:space="preserve"> PAGEREF _Toc441061236 \h </w:instrText>
            </w:r>
            <w:r w:rsidR="006911D9">
              <w:rPr>
                <w:noProof/>
                <w:webHidden/>
              </w:rPr>
            </w:r>
            <w:r w:rsidR="006911D9">
              <w:rPr>
                <w:noProof/>
                <w:webHidden/>
              </w:rPr>
              <w:fldChar w:fldCharType="separate"/>
            </w:r>
            <w:r w:rsidR="006911D9">
              <w:rPr>
                <w:noProof/>
                <w:webHidden/>
              </w:rPr>
              <w:t>25</w:t>
            </w:r>
            <w:r w:rsidR="006911D9">
              <w:rPr>
                <w:noProof/>
                <w:webHidden/>
              </w:rPr>
              <w:fldChar w:fldCharType="end"/>
            </w:r>
          </w:hyperlink>
        </w:p>
        <w:p w:rsidR="006911D9" w:rsidRDefault="00F33B50">
          <w:pPr>
            <w:pStyle w:val="TOC2"/>
            <w:tabs>
              <w:tab w:val="left" w:pos="880"/>
              <w:tab w:val="right" w:leader="dot" w:pos="9629"/>
            </w:tabs>
            <w:rPr>
              <w:rFonts w:asciiTheme="minorHAnsi" w:eastAsiaTheme="minorEastAsia" w:hAnsiTheme="minorHAnsi" w:cstheme="minorBidi"/>
              <w:noProof/>
              <w:sz w:val="22"/>
              <w:szCs w:val="22"/>
              <w:lang w:val="en-GB" w:eastAsia="en-GB"/>
            </w:rPr>
          </w:pPr>
          <w:hyperlink w:anchor="_Toc441061237" w:history="1">
            <w:r w:rsidR="006911D9" w:rsidRPr="00D252D9">
              <w:rPr>
                <w:rStyle w:val="Hyperlink"/>
                <w:rFonts w:eastAsiaTheme="majorEastAsia"/>
                <w:noProof/>
                <w:lang w:val="en-GB"/>
              </w:rPr>
              <w:t>9.1</w:t>
            </w:r>
            <w:r w:rsidR="006911D9">
              <w:rPr>
                <w:rFonts w:asciiTheme="minorHAnsi" w:eastAsiaTheme="minorEastAsia" w:hAnsiTheme="minorHAnsi" w:cstheme="minorBidi"/>
                <w:noProof/>
                <w:sz w:val="22"/>
                <w:szCs w:val="22"/>
                <w:lang w:val="en-GB" w:eastAsia="en-GB"/>
              </w:rPr>
              <w:tab/>
            </w:r>
            <w:r w:rsidR="006911D9" w:rsidRPr="00D252D9">
              <w:rPr>
                <w:rStyle w:val="Hyperlink"/>
                <w:rFonts w:eastAsiaTheme="majorEastAsia"/>
                <w:noProof/>
                <w:lang w:val="en-GB"/>
              </w:rPr>
              <w:t>Trust R&amp;D Website</w:t>
            </w:r>
            <w:r w:rsidR="006911D9">
              <w:rPr>
                <w:noProof/>
                <w:webHidden/>
              </w:rPr>
              <w:tab/>
            </w:r>
            <w:r w:rsidR="006911D9">
              <w:rPr>
                <w:noProof/>
                <w:webHidden/>
              </w:rPr>
              <w:fldChar w:fldCharType="begin"/>
            </w:r>
            <w:r w:rsidR="006911D9">
              <w:rPr>
                <w:noProof/>
                <w:webHidden/>
              </w:rPr>
              <w:instrText xml:space="preserve"> PAGEREF _Toc441061237 \h </w:instrText>
            </w:r>
            <w:r w:rsidR="006911D9">
              <w:rPr>
                <w:noProof/>
                <w:webHidden/>
              </w:rPr>
            </w:r>
            <w:r w:rsidR="006911D9">
              <w:rPr>
                <w:noProof/>
                <w:webHidden/>
              </w:rPr>
              <w:fldChar w:fldCharType="separate"/>
            </w:r>
            <w:r w:rsidR="006911D9">
              <w:rPr>
                <w:noProof/>
                <w:webHidden/>
              </w:rPr>
              <w:t>25</w:t>
            </w:r>
            <w:r w:rsidR="006911D9">
              <w:rPr>
                <w:noProof/>
                <w:webHidden/>
              </w:rPr>
              <w:fldChar w:fldCharType="end"/>
            </w:r>
          </w:hyperlink>
        </w:p>
        <w:p w:rsidR="006911D9" w:rsidRDefault="00F33B50">
          <w:pPr>
            <w:pStyle w:val="TOC2"/>
            <w:tabs>
              <w:tab w:val="left" w:pos="880"/>
              <w:tab w:val="right" w:leader="dot" w:pos="9629"/>
            </w:tabs>
            <w:rPr>
              <w:rFonts w:asciiTheme="minorHAnsi" w:eastAsiaTheme="minorEastAsia" w:hAnsiTheme="minorHAnsi" w:cstheme="minorBidi"/>
              <w:noProof/>
              <w:sz w:val="22"/>
              <w:szCs w:val="22"/>
              <w:lang w:val="en-GB" w:eastAsia="en-GB"/>
            </w:rPr>
          </w:pPr>
          <w:hyperlink w:anchor="_Toc441061238" w:history="1">
            <w:r w:rsidR="006911D9" w:rsidRPr="00D252D9">
              <w:rPr>
                <w:rStyle w:val="Hyperlink"/>
                <w:rFonts w:eastAsiaTheme="majorEastAsia"/>
                <w:noProof/>
                <w:lang w:val="en-GB"/>
              </w:rPr>
              <w:t>9.2</w:t>
            </w:r>
            <w:r w:rsidR="006911D9">
              <w:rPr>
                <w:rFonts w:asciiTheme="minorHAnsi" w:eastAsiaTheme="minorEastAsia" w:hAnsiTheme="minorHAnsi" w:cstheme="minorBidi"/>
                <w:noProof/>
                <w:sz w:val="22"/>
                <w:szCs w:val="22"/>
                <w:lang w:val="en-GB" w:eastAsia="en-GB"/>
              </w:rPr>
              <w:tab/>
            </w:r>
            <w:r w:rsidR="006911D9" w:rsidRPr="00D252D9">
              <w:rPr>
                <w:rStyle w:val="Hyperlink"/>
                <w:rFonts w:eastAsiaTheme="majorEastAsia"/>
                <w:noProof/>
                <w:lang w:val="en-GB"/>
              </w:rPr>
              <w:t>Radio Interview</w:t>
            </w:r>
            <w:r w:rsidR="006911D9">
              <w:rPr>
                <w:noProof/>
                <w:webHidden/>
              </w:rPr>
              <w:tab/>
            </w:r>
            <w:r w:rsidR="006911D9">
              <w:rPr>
                <w:noProof/>
                <w:webHidden/>
              </w:rPr>
              <w:fldChar w:fldCharType="begin"/>
            </w:r>
            <w:r w:rsidR="006911D9">
              <w:rPr>
                <w:noProof/>
                <w:webHidden/>
              </w:rPr>
              <w:instrText xml:space="preserve"> PAGEREF _Toc441061238 \h </w:instrText>
            </w:r>
            <w:r w:rsidR="006911D9">
              <w:rPr>
                <w:noProof/>
                <w:webHidden/>
              </w:rPr>
            </w:r>
            <w:r w:rsidR="006911D9">
              <w:rPr>
                <w:noProof/>
                <w:webHidden/>
              </w:rPr>
              <w:fldChar w:fldCharType="separate"/>
            </w:r>
            <w:r w:rsidR="006911D9">
              <w:rPr>
                <w:noProof/>
                <w:webHidden/>
              </w:rPr>
              <w:t>25</w:t>
            </w:r>
            <w:r w:rsidR="006911D9">
              <w:rPr>
                <w:noProof/>
                <w:webHidden/>
              </w:rPr>
              <w:fldChar w:fldCharType="end"/>
            </w:r>
          </w:hyperlink>
        </w:p>
        <w:p w:rsidR="006911D9" w:rsidRDefault="00F33B50">
          <w:pPr>
            <w:pStyle w:val="TOC2"/>
            <w:tabs>
              <w:tab w:val="left" w:pos="880"/>
              <w:tab w:val="right" w:leader="dot" w:pos="9629"/>
            </w:tabs>
            <w:rPr>
              <w:rFonts w:asciiTheme="minorHAnsi" w:eastAsiaTheme="minorEastAsia" w:hAnsiTheme="minorHAnsi" w:cstheme="minorBidi"/>
              <w:noProof/>
              <w:sz w:val="22"/>
              <w:szCs w:val="22"/>
              <w:lang w:val="en-GB" w:eastAsia="en-GB"/>
            </w:rPr>
          </w:pPr>
          <w:hyperlink w:anchor="_Toc441061239" w:history="1">
            <w:r w:rsidR="006911D9" w:rsidRPr="00D252D9">
              <w:rPr>
                <w:rStyle w:val="Hyperlink"/>
                <w:rFonts w:eastAsiaTheme="majorEastAsia"/>
                <w:noProof/>
              </w:rPr>
              <w:t>9.3</w:t>
            </w:r>
            <w:r w:rsidR="006911D9">
              <w:rPr>
                <w:rFonts w:asciiTheme="minorHAnsi" w:eastAsiaTheme="minorEastAsia" w:hAnsiTheme="minorHAnsi" w:cstheme="minorBidi"/>
                <w:noProof/>
                <w:sz w:val="22"/>
                <w:szCs w:val="22"/>
                <w:lang w:val="en-GB" w:eastAsia="en-GB"/>
              </w:rPr>
              <w:tab/>
            </w:r>
            <w:r w:rsidR="006911D9" w:rsidRPr="00D252D9">
              <w:rPr>
                <w:rStyle w:val="Hyperlink"/>
                <w:rFonts w:eastAsiaTheme="majorEastAsia"/>
                <w:noProof/>
              </w:rPr>
              <w:t>Research Open Day 16th December 2015</w:t>
            </w:r>
            <w:r w:rsidR="006911D9">
              <w:rPr>
                <w:noProof/>
                <w:webHidden/>
              </w:rPr>
              <w:tab/>
            </w:r>
            <w:r w:rsidR="006911D9">
              <w:rPr>
                <w:noProof/>
                <w:webHidden/>
              </w:rPr>
              <w:fldChar w:fldCharType="begin"/>
            </w:r>
            <w:r w:rsidR="006911D9">
              <w:rPr>
                <w:noProof/>
                <w:webHidden/>
              </w:rPr>
              <w:instrText xml:space="preserve"> PAGEREF _Toc441061239 \h </w:instrText>
            </w:r>
            <w:r w:rsidR="006911D9">
              <w:rPr>
                <w:noProof/>
                <w:webHidden/>
              </w:rPr>
            </w:r>
            <w:r w:rsidR="006911D9">
              <w:rPr>
                <w:noProof/>
                <w:webHidden/>
              </w:rPr>
              <w:fldChar w:fldCharType="separate"/>
            </w:r>
            <w:r w:rsidR="006911D9">
              <w:rPr>
                <w:noProof/>
                <w:webHidden/>
              </w:rPr>
              <w:t>25</w:t>
            </w:r>
            <w:r w:rsidR="006911D9">
              <w:rPr>
                <w:noProof/>
                <w:webHidden/>
              </w:rPr>
              <w:fldChar w:fldCharType="end"/>
            </w:r>
          </w:hyperlink>
        </w:p>
        <w:p w:rsidR="00361EDC" w:rsidRDefault="00361EDC" w:rsidP="008B3DA8">
          <w:r>
            <w:rPr>
              <w:b/>
              <w:bCs/>
              <w:noProof/>
            </w:rPr>
            <w:fldChar w:fldCharType="end"/>
          </w:r>
        </w:p>
      </w:sdtContent>
    </w:sdt>
    <w:p w:rsidR="00BA3B3E" w:rsidRPr="00186E89" w:rsidRDefault="00361EDC" w:rsidP="008B3DA8">
      <w:pPr>
        <w:pStyle w:val="Heading1"/>
      </w:pPr>
      <w:r>
        <w:br w:type="page"/>
      </w:r>
      <w:bookmarkStart w:id="1" w:name="_Toc441061184"/>
      <w:r w:rsidR="00B466A4" w:rsidRPr="00186E89">
        <w:lastRenderedPageBreak/>
        <w:t>Clinical Quality and Care</w:t>
      </w:r>
      <w:bookmarkEnd w:id="1"/>
    </w:p>
    <w:p w:rsidR="006F545A" w:rsidRPr="006F545A" w:rsidRDefault="000B504A" w:rsidP="006F545A">
      <w:pPr>
        <w:rPr>
          <w:highlight w:val="yellow"/>
          <w:lang w:val="en-GB"/>
        </w:rPr>
      </w:pPr>
      <w:r w:rsidRPr="000B504A">
        <w:rPr>
          <w:lang w:val="en-GB"/>
        </w:rPr>
        <w:t xml:space="preserve">Participation in research produces widespread benefits for patients and, more generally, improvements in quality of care.  A </w:t>
      </w:r>
      <w:proofErr w:type="spellStart"/>
      <w:r w:rsidRPr="000B504A">
        <w:rPr>
          <w:lang w:val="en-GB"/>
        </w:rPr>
        <w:t>Censuswide</w:t>
      </w:r>
      <w:proofErr w:type="spellEnd"/>
      <w:r w:rsidRPr="000B504A">
        <w:rPr>
          <w:lang w:val="en-GB"/>
        </w:rPr>
        <w:t xml:space="preserve"> </w:t>
      </w:r>
      <w:proofErr w:type="spellStart"/>
      <w:r w:rsidRPr="000B504A">
        <w:rPr>
          <w:lang w:val="en-GB"/>
        </w:rPr>
        <w:t>comsumer</w:t>
      </w:r>
      <w:proofErr w:type="spellEnd"/>
      <w:r w:rsidRPr="000B504A">
        <w:rPr>
          <w:lang w:val="en-GB"/>
        </w:rPr>
        <w:t xml:space="preserve"> poll of 3,000 people in England, commissioned by the NIHR published data in September 2014 saying that 95% of those as responding stated that it is very important that the NHS carries out clinical research, with 85% or people agreeing that they would be very or somewhat willing to take part if they were diagnosed with a medical condition or disease.  This accounted for the main factor that was most likely to motivate them into taking part, along with if a friend/family member was taken seriously ill and didn’t have the treatment they needed.  The majority of those surveyed said that clinical research takes place within the NHS, Universities and Clinical Trials Units.  Oxford health NHS FT has strong links to the University of Oxford, a thriving R&amp;D department and Clinical Research Facility to enable high quality research to take place and provide opportunities for patients and carers.</w:t>
      </w:r>
    </w:p>
    <w:p w:rsidR="009B51DB" w:rsidRPr="00745EAC" w:rsidRDefault="009B51DB" w:rsidP="00A51501">
      <w:pPr>
        <w:pStyle w:val="Heading1"/>
      </w:pPr>
      <w:bookmarkStart w:id="2" w:name="_Toc441061185"/>
      <w:r w:rsidRPr="00745EAC">
        <w:t>Networks and Collaborations</w:t>
      </w:r>
      <w:bookmarkEnd w:id="2"/>
    </w:p>
    <w:p w:rsidR="00621761" w:rsidRDefault="00A75A77" w:rsidP="00621761">
      <w:pPr>
        <w:pStyle w:val="Heading2"/>
        <w:rPr>
          <w:rFonts w:eastAsia="Times New Roman" w:cs="Times New Roman"/>
          <w:bCs w:val="0"/>
          <w:i w:val="0"/>
          <w:sz w:val="28"/>
          <w:szCs w:val="20"/>
          <w:lang w:val="en-GB"/>
        </w:rPr>
      </w:pPr>
      <w:bookmarkStart w:id="3" w:name="_Toc441061186"/>
      <w:r>
        <w:rPr>
          <w:rFonts w:eastAsia="Times New Roman" w:cs="Times New Roman"/>
          <w:bCs w:val="0"/>
          <w:i w:val="0"/>
          <w:sz w:val="28"/>
          <w:szCs w:val="20"/>
          <w:lang w:val="en-GB"/>
        </w:rPr>
        <w:t>O</w:t>
      </w:r>
      <w:r w:rsidR="007B1D54">
        <w:rPr>
          <w:rFonts w:eastAsia="Times New Roman" w:cs="Times New Roman"/>
          <w:bCs w:val="0"/>
          <w:i w:val="0"/>
          <w:sz w:val="28"/>
          <w:szCs w:val="20"/>
          <w:lang w:val="en-GB"/>
        </w:rPr>
        <w:t>xford Ac</w:t>
      </w:r>
      <w:r w:rsidR="00A014D6">
        <w:rPr>
          <w:rFonts w:eastAsia="Times New Roman" w:cs="Times New Roman"/>
          <w:bCs w:val="0"/>
          <w:i w:val="0"/>
          <w:sz w:val="28"/>
          <w:szCs w:val="20"/>
          <w:lang w:val="en-GB"/>
        </w:rPr>
        <w:t>a</w:t>
      </w:r>
      <w:r w:rsidR="007B1D54">
        <w:rPr>
          <w:rFonts w:eastAsia="Times New Roman" w:cs="Times New Roman"/>
          <w:bCs w:val="0"/>
          <w:i w:val="0"/>
          <w:sz w:val="28"/>
          <w:szCs w:val="20"/>
          <w:lang w:val="en-GB"/>
        </w:rPr>
        <w:t>demic Health Science Network (O</w:t>
      </w:r>
      <w:r w:rsidR="00621761" w:rsidRPr="00A75A77">
        <w:rPr>
          <w:rFonts w:eastAsia="Times New Roman" w:cs="Times New Roman"/>
          <w:bCs w:val="0"/>
          <w:i w:val="0"/>
          <w:sz w:val="28"/>
          <w:szCs w:val="20"/>
          <w:lang w:val="en-GB"/>
        </w:rPr>
        <w:t>AHSN</w:t>
      </w:r>
      <w:r w:rsidR="007B1D54">
        <w:rPr>
          <w:rFonts w:eastAsia="Times New Roman" w:cs="Times New Roman"/>
          <w:bCs w:val="0"/>
          <w:i w:val="0"/>
          <w:sz w:val="28"/>
          <w:szCs w:val="20"/>
          <w:lang w:val="en-GB"/>
        </w:rPr>
        <w:t>)</w:t>
      </w:r>
      <w:bookmarkEnd w:id="3"/>
      <w:r w:rsidR="00621761" w:rsidRPr="00A75A77">
        <w:rPr>
          <w:rFonts w:eastAsia="Times New Roman" w:cs="Times New Roman"/>
          <w:bCs w:val="0"/>
          <w:i w:val="0"/>
          <w:sz w:val="28"/>
          <w:szCs w:val="20"/>
          <w:lang w:val="en-GB"/>
        </w:rPr>
        <w:t xml:space="preserve"> </w:t>
      </w:r>
    </w:p>
    <w:p w:rsidR="007B1D54" w:rsidRDefault="007B1D54" w:rsidP="007B1D54">
      <w:pPr>
        <w:rPr>
          <w:lang w:val="en-GB"/>
        </w:rPr>
      </w:pPr>
      <w:r>
        <w:rPr>
          <w:lang w:val="en-GB"/>
        </w:rPr>
        <w:t xml:space="preserve">Oxford Health NHS FT is hosting three OAHSN themes; </w:t>
      </w:r>
    </w:p>
    <w:p w:rsidR="007B1D54" w:rsidRDefault="007B1D54" w:rsidP="007B1D54">
      <w:pPr>
        <w:pStyle w:val="ListParagraph"/>
        <w:numPr>
          <w:ilvl w:val="0"/>
          <w:numId w:val="25"/>
        </w:numPr>
        <w:rPr>
          <w:lang w:val="en-GB"/>
        </w:rPr>
      </w:pPr>
      <w:r>
        <w:rPr>
          <w:lang w:val="en-GB"/>
        </w:rPr>
        <w:t xml:space="preserve">Early intervention led by Prof Belinda Lennox and Sarah Amani </w:t>
      </w:r>
    </w:p>
    <w:p w:rsidR="007B1D54" w:rsidRDefault="007B1D54" w:rsidP="007B1D54">
      <w:pPr>
        <w:pStyle w:val="ListParagraph"/>
        <w:numPr>
          <w:ilvl w:val="0"/>
          <w:numId w:val="25"/>
        </w:numPr>
        <w:rPr>
          <w:lang w:val="en-GB"/>
        </w:rPr>
      </w:pPr>
      <w:r>
        <w:rPr>
          <w:lang w:val="en-GB"/>
        </w:rPr>
        <w:t xml:space="preserve">Anxiety and Depression led by Prof David Clark and </w:t>
      </w:r>
      <w:proofErr w:type="spellStart"/>
      <w:r>
        <w:rPr>
          <w:lang w:val="en-GB"/>
        </w:rPr>
        <w:t>Ineke</w:t>
      </w:r>
      <w:proofErr w:type="spellEnd"/>
      <w:r>
        <w:rPr>
          <w:lang w:val="en-GB"/>
        </w:rPr>
        <w:t xml:space="preserve"> Wolsey</w:t>
      </w:r>
    </w:p>
    <w:p w:rsidR="007B1D54" w:rsidRDefault="007B1D54" w:rsidP="007B1D54">
      <w:pPr>
        <w:pStyle w:val="ListParagraph"/>
        <w:numPr>
          <w:ilvl w:val="0"/>
          <w:numId w:val="25"/>
        </w:numPr>
        <w:rPr>
          <w:lang w:val="en-GB"/>
        </w:rPr>
      </w:pPr>
      <w:r>
        <w:rPr>
          <w:lang w:val="en-GB"/>
        </w:rPr>
        <w:t>Dementia led by Dr Rupert McShane</w:t>
      </w:r>
    </w:p>
    <w:p w:rsidR="007B1D54" w:rsidRDefault="007B1D54" w:rsidP="007B1D54">
      <w:pPr>
        <w:rPr>
          <w:lang w:val="en-GB"/>
        </w:rPr>
      </w:pPr>
      <w:r>
        <w:rPr>
          <w:lang w:val="en-GB"/>
        </w:rPr>
        <w:t xml:space="preserve">The </w:t>
      </w:r>
      <w:r w:rsidR="00A3473B">
        <w:rPr>
          <w:lang w:val="en-GB"/>
        </w:rPr>
        <w:t xml:space="preserve">financial performance of these networks was combined with R&amp;D on the monthly board report throughout FY15. From April 2015 they are being reported separately. </w:t>
      </w:r>
      <w:r>
        <w:rPr>
          <w:lang w:val="en-GB"/>
        </w:rPr>
        <w:t xml:space="preserve">  </w:t>
      </w:r>
    </w:p>
    <w:p w:rsidR="00765972" w:rsidRDefault="00765972" w:rsidP="00765972">
      <w:pPr>
        <w:pStyle w:val="Heading3"/>
        <w:rPr>
          <w:lang w:val="en-GB"/>
        </w:rPr>
      </w:pPr>
      <w:bookmarkStart w:id="4" w:name="_Toc441061187"/>
      <w:r>
        <w:rPr>
          <w:lang w:val="en-GB"/>
        </w:rPr>
        <w:t>Early Intervention Theme</w:t>
      </w:r>
      <w:bookmarkEnd w:id="4"/>
    </w:p>
    <w:p w:rsidR="00A014D6" w:rsidRPr="00A014D6" w:rsidRDefault="00A014D6" w:rsidP="00A014D6">
      <w:pPr>
        <w:rPr>
          <w:lang w:val="en-GB"/>
        </w:rPr>
      </w:pPr>
      <w:r>
        <w:rPr>
          <w:lang w:val="en-GB"/>
        </w:rPr>
        <w:t xml:space="preserve">The </w:t>
      </w:r>
      <w:r w:rsidRPr="00A014D6">
        <w:rPr>
          <w:lang w:val="en-GB"/>
        </w:rPr>
        <w:t>Oxford AHSN EI Network are currently hosting the EIP Preparedness Programme for the South of England</w:t>
      </w:r>
      <w:r>
        <w:rPr>
          <w:lang w:val="en-GB"/>
        </w:rPr>
        <w:t xml:space="preserve"> and the p</w:t>
      </w:r>
      <w:r w:rsidRPr="00A014D6">
        <w:rPr>
          <w:lang w:val="en-GB"/>
        </w:rPr>
        <w:t>riority</w:t>
      </w:r>
      <w:r>
        <w:rPr>
          <w:lang w:val="en-GB"/>
        </w:rPr>
        <w:t xml:space="preserve"> of the theme is the E</w:t>
      </w:r>
      <w:r w:rsidRPr="00A014D6">
        <w:rPr>
          <w:lang w:val="en-GB"/>
        </w:rPr>
        <w:t>arly Intervention in Psychosis Access and Waiting Time Standards</w:t>
      </w:r>
    </w:p>
    <w:p w:rsidR="00A014D6" w:rsidRDefault="00A014D6" w:rsidP="00A014D6">
      <w:pPr>
        <w:rPr>
          <w:lang w:val="en-GB"/>
        </w:rPr>
      </w:pPr>
      <w:r>
        <w:rPr>
          <w:lang w:val="en-GB"/>
        </w:rPr>
        <w:t>It was o</w:t>
      </w:r>
      <w:r w:rsidRPr="00A014D6">
        <w:rPr>
          <w:lang w:val="en-GB"/>
        </w:rPr>
        <w:t>riginally set up to support Oxfordshire, Buckinghamshire, Berkshire and Milton Keynes providers and commissioners</w:t>
      </w:r>
      <w:r>
        <w:rPr>
          <w:lang w:val="en-GB"/>
        </w:rPr>
        <w:t>.  O</w:t>
      </w:r>
      <w:r w:rsidRPr="00A014D6">
        <w:rPr>
          <w:lang w:val="en-GB"/>
        </w:rPr>
        <w:t>xford AHSN’s Early Intervention Network’s work on EIP transformation led to a request to extend its EIP programme to the south of England to support 16 mental health trusts and 50 CCGs</w:t>
      </w:r>
      <w:r w:rsidR="000C5599">
        <w:rPr>
          <w:lang w:val="en-GB"/>
        </w:rPr>
        <w:t>, shown below</w:t>
      </w:r>
      <w:r w:rsidRPr="00A014D6">
        <w:rPr>
          <w:lang w:val="en-GB"/>
        </w:rPr>
        <w:t xml:space="preserve"> in implementing the EIP access and waiting time standards.</w:t>
      </w:r>
    </w:p>
    <w:p w:rsidR="000C5599" w:rsidRDefault="000C5599" w:rsidP="000C5599">
      <w:pPr>
        <w:jc w:val="center"/>
        <w:rPr>
          <w:lang w:val="en-GB"/>
        </w:rPr>
      </w:pPr>
      <w:r w:rsidRPr="000C5599">
        <w:rPr>
          <w:noProof/>
          <w:lang w:val="en-GB" w:eastAsia="en-GB"/>
        </w:rPr>
        <w:lastRenderedPageBreak/>
        <w:drawing>
          <wp:inline distT="0" distB="0" distL="0" distR="0" wp14:anchorId="66B07D67" wp14:editId="1BC7BD33">
            <wp:extent cx="5943600" cy="3200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3200400"/>
                    </a:xfrm>
                    <a:prstGeom prst="rect">
                      <a:avLst/>
                    </a:prstGeom>
                  </pic:spPr>
                </pic:pic>
              </a:graphicData>
            </a:graphic>
          </wp:inline>
        </w:drawing>
      </w:r>
    </w:p>
    <w:p w:rsidR="000C5599" w:rsidRDefault="000C5599" w:rsidP="00A014D6">
      <w:pPr>
        <w:rPr>
          <w:lang w:val="en-GB"/>
        </w:rPr>
      </w:pPr>
    </w:p>
    <w:p w:rsidR="00A014D6" w:rsidRDefault="00A014D6" w:rsidP="00A014D6">
      <w:pPr>
        <w:pStyle w:val="Heading4"/>
        <w:rPr>
          <w:lang w:val="en-GB"/>
        </w:rPr>
      </w:pPr>
      <w:r>
        <w:rPr>
          <w:lang w:val="en-GB"/>
        </w:rPr>
        <w:t>Objectives and Deliverables</w:t>
      </w:r>
    </w:p>
    <w:p w:rsidR="00A014D6" w:rsidRDefault="00A014D6" w:rsidP="00A014D6">
      <w:pPr>
        <w:pStyle w:val="ListParagraph"/>
        <w:numPr>
          <w:ilvl w:val="0"/>
          <w:numId w:val="31"/>
        </w:numPr>
        <w:rPr>
          <w:lang w:val="en-GB"/>
        </w:rPr>
      </w:pPr>
      <w:r>
        <w:rPr>
          <w:lang w:val="en-GB"/>
        </w:rPr>
        <w:t>T</w:t>
      </w:r>
      <w:r w:rsidRPr="00A014D6">
        <w:rPr>
          <w:lang w:val="en-GB"/>
        </w:rPr>
        <w:t>o raise awareness of the requirements of the EIP ac</w:t>
      </w:r>
      <w:r>
        <w:rPr>
          <w:lang w:val="en-GB"/>
        </w:rPr>
        <w:t>cess and waiting time standards</w:t>
      </w:r>
    </w:p>
    <w:p w:rsidR="00A014D6" w:rsidRPr="00A014D6" w:rsidRDefault="00A014D6" w:rsidP="00A014D6">
      <w:pPr>
        <w:pStyle w:val="ListParagraph"/>
        <w:numPr>
          <w:ilvl w:val="1"/>
          <w:numId w:val="31"/>
        </w:numPr>
        <w:rPr>
          <w:lang w:val="en-GB"/>
        </w:rPr>
      </w:pPr>
      <w:r w:rsidRPr="00A014D6">
        <w:rPr>
          <w:lang w:val="en-GB"/>
        </w:rPr>
        <w:t xml:space="preserve">South EIP Preparedness </w:t>
      </w:r>
      <w:r>
        <w:rPr>
          <w:lang w:val="en-GB"/>
        </w:rPr>
        <w:t xml:space="preserve">established </w:t>
      </w:r>
      <w:hyperlink r:id="rId11" w:history="1">
        <w:r w:rsidRPr="00250551">
          <w:rPr>
            <w:rStyle w:val="Hyperlink"/>
            <w:lang w:val="en-GB"/>
          </w:rPr>
          <w:t>http://time4recovery.com</w:t>
        </w:r>
      </w:hyperlink>
      <w:r>
        <w:rPr>
          <w:lang w:val="en-GB"/>
        </w:rPr>
        <w:t xml:space="preserve"> </w:t>
      </w:r>
      <w:r w:rsidRPr="00A014D6">
        <w:rPr>
          <w:lang w:val="en-GB"/>
        </w:rPr>
        <w:t xml:space="preserve"> </w:t>
      </w:r>
    </w:p>
    <w:p w:rsidR="00A014D6" w:rsidRPr="00A014D6" w:rsidRDefault="00A014D6" w:rsidP="00A014D6">
      <w:pPr>
        <w:pStyle w:val="ListParagraph"/>
        <w:numPr>
          <w:ilvl w:val="1"/>
          <w:numId w:val="31"/>
        </w:numPr>
        <w:rPr>
          <w:lang w:val="en-GB"/>
        </w:rPr>
      </w:pPr>
      <w:r w:rsidRPr="00A014D6">
        <w:rPr>
          <w:lang w:val="en-GB"/>
        </w:rPr>
        <w:t>‘Five Things to Know About EIP by April 2016’ poster and postcards</w:t>
      </w:r>
      <w:r>
        <w:rPr>
          <w:lang w:val="en-GB"/>
        </w:rPr>
        <w:t xml:space="preserve"> written</w:t>
      </w:r>
    </w:p>
    <w:p w:rsidR="00A014D6" w:rsidRDefault="00A014D6" w:rsidP="00A014D6">
      <w:pPr>
        <w:pStyle w:val="ListParagraph"/>
        <w:numPr>
          <w:ilvl w:val="0"/>
          <w:numId w:val="31"/>
        </w:numPr>
        <w:rPr>
          <w:lang w:val="en-GB"/>
        </w:rPr>
      </w:pPr>
      <w:r>
        <w:rPr>
          <w:lang w:val="en-GB"/>
        </w:rPr>
        <w:t>To b</w:t>
      </w:r>
      <w:r w:rsidRPr="00A014D6">
        <w:rPr>
          <w:lang w:val="en-GB"/>
        </w:rPr>
        <w:t>ring together local experts and establish quality improvement networks, ensuring effective linkage with existing networks of expertise.</w:t>
      </w:r>
    </w:p>
    <w:p w:rsidR="00A014D6" w:rsidRPr="00A014D6" w:rsidRDefault="00A014D6" w:rsidP="00A014D6">
      <w:pPr>
        <w:pStyle w:val="ListParagraph"/>
        <w:numPr>
          <w:ilvl w:val="1"/>
          <w:numId w:val="31"/>
        </w:numPr>
        <w:rPr>
          <w:lang w:val="en-GB"/>
        </w:rPr>
      </w:pPr>
      <w:r w:rsidRPr="00A014D6">
        <w:rPr>
          <w:lang w:val="en-GB"/>
        </w:rPr>
        <w:t xml:space="preserve">South EIP Clinical Group </w:t>
      </w:r>
      <w:r>
        <w:rPr>
          <w:lang w:val="en-GB"/>
        </w:rPr>
        <w:t xml:space="preserve">established and </w:t>
      </w:r>
      <w:r w:rsidRPr="00A014D6">
        <w:rPr>
          <w:lang w:val="en-GB"/>
        </w:rPr>
        <w:t>meet monthly</w:t>
      </w:r>
    </w:p>
    <w:p w:rsidR="00A014D6" w:rsidRPr="00A014D6" w:rsidRDefault="00A014D6" w:rsidP="00A014D6">
      <w:pPr>
        <w:pStyle w:val="ListParagraph"/>
        <w:numPr>
          <w:ilvl w:val="1"/>
          <w:numId w:val="31"/>
        </w:numPr>
        <w:rPr>
          <w:lang w:val="en-GB"/>
        </w:rPr>
      </w:pPr>
      <w:r w:rsidRPr="00A014D6">
        <w:rPr>
          <w:lang w:val="en-GB"/>
        </w:rPr>
        <w:t>South EI</w:t>
      </w:r>
      <w:r>
        <w:rPr>
          <w:lang w:val="en-GB"/>
        </w:rPr>
        <w:t>P Preparedness Programme Board established and meet bi-monthly</w:t>
      </w:r>
    </w:p>
    <w:p w:rsidR="00A014D6" w:rsidRDefault="00A014D6" w:rsidP="00A014D6">
      <w:pPr>
        <w:pStyle w:val="ListParagraph"/>
        <w:numPr>
          <w:ilvl w:val="0"/>
          <w:numId w:val="31"/>
        </w:numPr>
        <w:rPr>
          <w:lang w:val="en-GB"/>
        </w:rPr>
      </w:pPr>
      <w:r>
        <w:rPr>
          <w:lang w:val="en-GB"/>
        </w:rPr>
        <w:t>To b</w:t>
      </w:r>
      <w:r w:rsidRPr="00A014D6">
        <w:rPr>
          <w:lang w:val="en-GB"/>
        </w:rPr>
        <w:t>enchmark levels of demand, workforce competencies &amp; establish baseline performance in constituent CCGs – including any inequities in financial investment, team structures and access relative to the psychosis incidence in the population.</w:t>
      </w:r>
    </w:p>
    <w:p w:rsidR="00A014D6" w:rsidRPr="00A014D6" w:rsidRDefault="00A014D6" w:rsidP="00A014D6">
      <w:pPr>
        <w:pStyle w:val="ListParagraph"/>
        <w:numPr>
          <w:ilvl w:val="1"/>
          <w:numId w:val="31"/>
        </w:numPr>
        <w:rPr>
          <w:lang w:val="en-GB"/>
        </w:rPr>
      </w:pPr>
      <w:r w:rsidRPr="00A014D6">
        <w:rPr>
          <w:lang w:val="en-GB"/>
        </w:rPr>
        <w:t xml:space="preserve">EIP Matrix Self-Assessment Tool  </w:t>
      </w:r>
      <w:hyperlink r:id="rId12" w:history="1">
        <w:r w:rsidRPr="00250551">
          <w:rPr>
            <w:rStyle w:val="Hyperlink"/>
            <w:lang w:val="en-GB"/>
          </w:rPr>
          <w:t>http://time4recovery.com/eip-matrix/</w:t>
        </w:r>
      </w:hyperlink>
      <w:r>
        <w:rPr>
          <w:lang w:val="en-GB"/>
        </w:rPr>
        <w:t xml:space="preserve"> </w:t>
      </w:r>
      <w:r w:rsidRPr="00A014D6">
        <w:rPr>
          <w:lang w:val="en-GB"/>
        </w:rPr>
        <w:t xml:space="preserve"> </w:t>
      </w:r>
    </w:p>
    <w:p w:rsidR="00A014D6" w:rsidRPr="00A014D6" w:rsidRDefault="00A014D6" w:rsidP="00A014D6">
      <w:pPr>
        <w:pStyle w:val="ListParagraph"/>
        <w:numPr>
          <w:ilvl w:val="1"/>
          <w:numId w:val="31"/>
        </w:numPr>
        <w:rPr>
          <w:lang w:val="en-GB"/>
        </w:rPr>
      </w:pPr>
      <w:r w:rsidRPr="00A014D6">
        <w:rPr>
          <w:lang w:val="en-GB"/>
        </w:rPr>
        <w:t xml:space="preserve">EIP Workforce, Performance &amp; Outcomes Data Analysis </w:t>
      </w:r>
    </w:p>
    <w:p w:rsidR="00A014D6" w:rsidRDefault="00A014D6" w:rsidP="00A014D6">
      <w:pPr>
        <w:pStyle w:val="ListParagraph"/>
        <w:numPr>
          <w:ilvl w:val="0"/>
          <w:numId w:val="31"/>
        </w:numPr>
        <w:rPr>
          <w:lang w:val="en-GB"/>
        </w:rPr>
      </w:pPr>
      <w:r>
        <w:rPr>
          <w:lang w:val="en-GB"/>
        </w:rPr>
        <w:t>To s</w:t>
      </w:r>
      <w:r w:rsidRPr="00A014D6">
        <w:rPr>
          <w:lang w:val="en-GB"/>
        </w:rPr>
        <w:t>upport CCGs and providers in developing local preparedness action plans to meet the EIP access and waiting time standards.</w:t>
      </w:r>
    </w:p>
    <w:p w:rsidR="00A014D6" w:rsidRPr="00A014D6" w:rsidRDefault="00A014D6" w:rsidP="00A014D6">
      <w:pPr>
        <w:pStyle w:val="ListParagraph"/>
        <w:numPr>
          <w:ilvl w:val="1"/>
          <w:numId w:val="31"/>
        </w:numPr>
        <w:rPr>
          <w:lang w:val="en-GB"/>
        </w:rPr>
      </w:pPr>
      <w:r w:rsidRPr="00A014D6">
        <w:rPr>
          <w:lang w:val="en-GB"/>
        </w:rPr>
        <w:t>Organized five SDIP workshops</w:t>
      </w:r>
    </w:p>
    <w:p w:rsidR="00A014D6" w:rsidRPr="00A014D6" w:rsidRDefault="00A014D6" w:rsidP="00A014D6">
      <w:pPr>
        <w:pStyle w:val="ListParagraph"/>
        <w:numPr>
          <w:ilvl w:val="1"/>
          <w:numId w:val="31"/>
        </w:numPr>
        <w:rPr>
          <w:lang w:val="en-GB"/>
        </w:rPr>
      </w:pPr>
      <w:r w:rsidRPr="00A014D6">
        <w:rPr>
          <w:lang w:val="en-GB"/>
        </w:rPr>
        <w:t>Developed example SDIPs</w:t>
      </w:r>
    </w:p>
    <w:p w:rsidR="00A014D6" w:rsidRPr="000C5599" w:rsidRDefault="00A014D6" w:rsidP="000C5599">
      <w:pPr>
        <w:pStyle w:val="ListParagraph"/>
        <w:numPr>
          <w:ilvl w:val="0"/>
          <w:numId w:val="31"/>
        </w:numPr>
        <w:rPr>
          <w:lang w:val="en-GB"/>
        </w:rPr>
      </w:pPr>
      <w:r>
        <w:rPr>
          <w:lang w:val="en-GB"/>
        </w:rPr>
        <w:t>To a</w:t>
      </w:r>
      <w:r w:rsidRPr="00A014D6">
        <w:rPr>
          <w:lang w:val="en-GB"/>
        </w:rPr>
        <w:t>llocate targeted funding to accelerate the implementation &amp; support workforce development programmes of work with Trusts and Health Education England.</w:t>
      </w:r>
    </w:p>
    <w:p w:rsidR="008C2E8A" w:rsidRDefault="008C2E8A" w:rsidP="00331241">
      <w:pPr>
        <w:pStyle w:val="Heading3"/>
      </w:pPr>
      <w:bookmarkStart w:id="5" w:name="_Toc441061188"/>
      <w:r w:rsidRPr="00745EAC">
        <w:lastRenderedPageBreak/>
        <w:t>Anxiety and Depression Theme</w:t>
      </w:r>
      <w:bookmarkEnd w:id="5"/>
    </w:p>
    <w:p w:rsidR="00984B81" w:rsidRDefault="00984B81" w:rsidP="00984B81">
      <w:r>
        <w:t>The Anxiety and Depression Network has been awarded a further two years funding to continue its work in improving patient outcomes and reducing variation in psychological treatments for common mental health disorders (Improving Access to Psychological Therapies - IAPT services).</w:t>
      </w:r>
    </w:p>
    <w:p w:rsidR="00984B81" w:rsidRDefault="00984B81" w:rsidP="00984B81">
      <w:pPr>
        <w:pStyle w:val="Heading4"/>
      </w:pPr>
      <w:r>
        <w:t>Project 1: Enhancing recovery rates in IAPT services</w:t>
      </w:r>
    </w:p>
    <w:p w:rsidR="00984B81" w:rsidRDefault="00984B81" w:rsidP="00984B81">
      <w:r>
        <w:t xml:space="preserve">All service leads within the AHSN areas (Bucks, Berks, Oxon, Beds and Milton Keynes), their deputies and data leads meet quarterly to explore in detail all performance data available, especially recovery rates. Based on this exploration, action plans were agreed and specific training and development activity has taken place to enhance recovery rates including ICD Coding Workshop (accurate problem descriptors/provisional diagnoses are needed to determine the correct treatment protocol to be offered and, with that, improve patient outcomes and recovery rates), PTSD workshop (offering advanced skills development as recovery rates for PTSD too low) and </w:t>
      </w:r>
      <w:proofErr w:type="spellStart"/>
      <w:r>
        <w:t>Behavioural</w:t>
      </w:r>
      <w:proofErr w:type="spellEnd"/>
      <w:r>
        <w:t xml:space="preserve"> Couples Therapy (to enable step 2 staff to undertake some basic couples interventions). The A&amp;D Network achieved a 10% improvement in overall recovery rates (from 46% to 56%) during its first 18 months, at a time when national recovery rates remained static at 46%.</w:t>
      </w:r>
    </w:p>
    <w:p w:rsidR="00984B81" w:rsidRDefault="00984B81" w:rsidP="00984B81">
      <w:pPr>
        <w:pStyle w:val="Heading4"/>
      </w:pPr>
      <w:r>
        <w:t>Dissemination of new service innovations</w:t>
      </w:r>
    </w:p>
    <w:p w:rsidR="00984B81" w:rsidRDefault="00984B81" w:rsidP="00984B81">
      <w:r>
        <w:t xml:space="preserve">All services have adopted a new or newly adapted innovation over the past six </w:t>
      </w:r>
      <w:proofErr w:type="gramStart"/>
      <w:r>
        <w:t>months :</w:t>
      </w:r>
      <w:proofErr w:type="gramEnd"/>
      <w:r>
        <w:t xml:space="preserve">Berks adapted Diabetes treatment for patients suffering with diabetes and/or depression or anxiety, Oxon started roll-out of COPD (but was interrupted when service out to tender), Bucks piloted Diabetes treatment, Milton Keynes has started CBT for Insomnia treatment, </w:t>
      </w:r>
      <w:proofErr w:type="spellStart"/>
      <w:r>
        <w:t>Luton</w:t>
      </w:r>
      <w:proofErr w:type="spellEnd"/>
      <w:r>
        <w:t xml:space="preserve"> has started with </w:t>
      </w:r>
      <w:proofErr w:type="spellStart"/>
      <w:r>
        <w:t>PPIPCare</w:t>
      </w:r>
      <w:proofErr w:type="spellEnd"/>
      <w:r>
        <w:t xml:space="preserve"> (Psychological Perspectives in Primary Care) training sessions. We have also now started a health economics evaluation of all completed pathfinder LTC projects (Diabetes, Heart2Heart, Breathe Well, MUS) which will be completed by July 2016.</w:t>
      </w:r>
    </w:p>
    <w:p w:rsidR="00984B81" w:rsidRDefault="00984B81" w:rsidP="00984B81">
      <w:pPr>
        <w:pStyle w:val="Heading4"/>
      </w:pPr>
      <w:r>
        <w:t>Collecting Routine outcome Measures in CAMHs: CYP IAPT project</w:t>
      </w:r>
    </w:p>
    <w:p w:rsidR="00984B81" w:rsidRPr="00984B81" w:rsidRDefault="00984B81" w:rsidP="00984B81">
      <w:r>
        <w:t>Children and Young People’s IAPT have now established a collaborative of all data managers and service managers for CAMHs services across our AHSN patch. Local performance data on completion of paired outcomes has been collected as the national data base (CORC) is not reliable or meaningful as yet. Following this it was an action plan agreed with all services in order to improve ROMs collection. A second download of data (</w:t>
      </w:r>
      <w:proofErr w:type="spellStart"/>
      <w:r>
        <w:t>nos</w:t>
      </w:r>
      <w:proofErr w:type="spellEnd"/>
      <w:r>
        <w:t xml:space="preserve"> of paired outcomes recorded) from all services to compare to baseline figures from earlier in the year is expected. Work continues with the CAMHS to resolve data collection issues (systems, culture) </w:t>
      </w:r>
      <w:r w:rsidR="00584B23">
        <w:t xml:space="preserve">with the </w:t>
      </w:r>
      <w:r>
        <w:t xml:space="preserve">testing </w:t>
      </w:r>
      <w:r w:rsidR="00584B23">
        <w:t xml:space="preserve">of </w:t>
      </w:r>
      <w:r>
        <w:t xml:space="preserve">a new data collection system </w:t>
      </w:r>
      <w:r w:rsidR="00584B23">
        <w:t xml:space="preserve">started </w:t>
      </w:r>
      <w:r>
        <w:t>in December.</w:t>
      </w:r>
    </w:p>
    <w:p w:rsidR="008C2E8A" w:rsidRPr="00C97A4D" w:rsidRDefault="008C2E8A" w:rsidP="008C2E8A">
      <w:pPr>
        <w:pStyle w:val="Heading3"/>
      </w:pPr>
      <w:bookmarkStart w:id="6" w:name="_Toc441061189"/>
      <w:r w:rsidRPr="00C97A4D">
        <w:t>Dementia Theme</w:t>
      </w:r>
      <w:bookmarkEnd w:id="6"/>
    </w:p>
    <w:p w:rsidR="006141E3" w:rsidRDefault="006141E3" w:rsidP="006141E3">
      <w:pPr>
        <w:pStyle w:val="Heading4"/>
      </w:pPr>
      <w:r>
        <w:t>Unwarranted variation project</w:t>
      </w:r>
    </w:p>
    <w:p w:rsidR="006141E3" w:rsidRDefault="006141E3" w:rsidP="006141E3">
      <w:r>
        <w:t xml:space="preserve">This project aims to address unwarranted variation within dementia services across Oxford AHSN area (Berkshire, Buckinghamshire, Milton Keynes and Oxfordshire).  This has been achieved by means of Webinars including successful dementia network webinars.  Over this period webinar topics have included </w:t>
      </w:r>
      <w:proofErr w:type="spellStart"/>
      <w:r>
        <w:t>fronto</w:t>
      </w:r>
      <w:proofErr w:type="spellEnd"/>
      <w:r>
        <w:t xml:space="preserve">-temporal dementia, the value of brain </w:t>
      </w:r>
      <w:r>
        <w:lastRenderedPageBreak/>
        <w:t xml:space="preserve">imaging, Deprivation of Liberty safeguards, and home care for people living with dementia.  A further </w:t>
      </w:r>
      <w:proofErr w:type="spellStart"/>
      <w:r>
        <w:t>programme</w:t>
      </w:r>
      <w:proofErr w:type="spellEnd"/>
      <w:r>
        <w:t xml:space="preserve"> of webinars is being developed.</w:t>
      </w:r>
    </w:p>
    <w:p w:rsidR="006141E3" w:rsidRDefault="006141E3" w:rsidP="006141E3">
      <w:proofErr w:type="spellStart"/>
      <w:r>
        <w:t>Dr</w:t>
      </w:r>
      <w:proofErr w:type="spellEnd"/>
      <w:r>
        <w:t xml:space="preserve"> Jacqui Hussey from the Wokingham memory assessment service collated data including prescribing, diagnosis, referrals and clinic skill mix, which was presented at our event in September.  The diagnostic boundary around Mild Cognitive Impairment was also addressed in a presentation and discussion by </w:t>
      </w:r>
      <w:proofErr w:type="spellStart"/>
      <w:r>
        <w:t>Dr</w:t>
      </w:r>
      <w:proofErr w:type="spellEnd"/>
      <w:r>
        <w:t xml:space="preserve"> Rupert McShane and </w:t>
      </w:r>
      <w:proofErr w:type="spellStart"/>
      <w:r>
        <w:t>Dr</w:t>
      </w:r>
      <w:proofErr w:type="spellEnd"/>
      <w:r>
        <w:t xml:space="preserve"> Simon </w:t>
      </w:r>
      <w:proofErr w:type="spellStart"/>
      <w:r>
        <w:t>Lovestone</w:t>
      </w:r>
      <w:proofErr w:type="spellEnd"/>
      <w:r>
        <w:t xml:space="preserve"> of OHFT.  This will continue to be addressed this theme in the future.</w:t>
      </w:r>
    </w:p>
    <w:p w:rsidR="006141E3" w:rsidRDefault="006141E3" w:rsidP="006141E3">
      <w:pPr>
        <w:pStyle w:val="Heading4"/>
      </w:pPr>
      <w:r>
        <w:t>Memory Services Accreditation</w:t>
      </w:r>
    </w:p>
    <w:p w:rsidR="006141E3" w:rsidRDefault="006141E3" w:rsidP="006141E3">
      <w:r>
        <w:t xml:space="preserve">All of the OHFT memory clinics, and the Milton Keynes memory assessment service, were assessed under the Royal College of Psychiatrists’ Memory Services National Accreditation </w:t>
      </w:r>
      <w:proofErr w:type="spellStart"/>
      <w:r>
        <w:t>Programme</w:t>
      </w:r>
      <w:proofErr w:type="spellEnd"/>
      <w:r>
        <w:t xml:space="preserve"> (MSNAP).  This work was facilitated by Maureen Cundell, a nurse from the Oxford City memory assessment clinic who was seconded two days a week to the Dementia Network.  Maureen worked with the clinics preparing for accreditation, helping them to evidence standards and work on standards not currently met.  Five of the six clinics received accreditation in October, with three of them deemed excellent, and a further clinic needed to submit more evidence on a handful of standards and it is hoped will be accredited in January. One of the key successes of Maureen’s approach was to facilitate collaboration between clinics by having them visit </w:t>
      </w:r>
      <w:proofErr w:type="spellStart"/>
      <w:r>
        <w:t>each others’</w:t>
      </w:r>
      <w:proofErr w:type="spellEnd"/>
      <w:r>
        <w:t xml:space="preserve"> service to run ‘mock’ reviews.</w:t>
      </w:r>
    </w:p>
    <w:p w:rsidR="006141E3" w:rsidRDefault="006141E3" w:rsidP="006141E3">
      <w:pPr>
        <w:pStyle w:val="Heading4"/>
      </w:pPr>
      <w:r>
        <w:t>Services for Young People with Dementia</w:t>
      </w:r>
    </w:p>
    <w:p w:rsidR="006141E3" w:rsidRDefault="006141E3" w:rsidP="006141E3">
      <w:r>
        <w:t xml:space="preserve">The dementia clinical network has supported the Young People with Dementia (YPWD) service in West Berkshire and this has now achieved recurrent funding from the CCG.  The service provides age appropriate activities for people with young onset dementia and respite for their </w:t>
      </w:r>
      <w:proofErr w:type="spellStart"/>
      <w:r>
        <w:t>carers</w:t>
      </w:r>
      <w:proofErr w:type="spellEnd"/>
      <w:r>
        <w:t xml:space="preserve">.  There is evidence to suggest that </w:t>
      </w:r>
      <w:proofErr w:type="spellStart"/>
      <w:r>
        <w:t>carer</w:t>
      </w:r>
      <w:proofErr w:type="spellEnd"/>
      <w:r>
        <w:t xml:space="preserve"> education and regular support can reduce </w:t>
      </w:r>
      <w:proofErr w:type="spellStart"/>
      <w:r>
        <w:t>carer</w:t>
      </w:r>
      <w:proofErr w:type="spellEnd"/>
      <w:r>
        <w:t xml:space="preserve"> stress and delays the person with YOD going into </w:t>
      </w:r>
      <w:proofErr w:type="spellStart"/>
      <w:r>
        <w:t>institutionalised</w:t>
      </w:r>
      <w:proofErr w:type="spellEnd"/>
      <w:r>
        <w:t xml:space="preserve"> care.  There is also a specific dementia care advisor and an Admiral Nurse within the service.  The network is now funding YPWD to run services in East Berkshire for a year to demonstrate the benefit in that area too. </w:t>
      </w:r>
    </w:p>
    <w:p w:rsidR="006141E3" w:rsidRDefault="006141E3" w:rsidP="006141E3">
      <w:pPr>
        <w:pStyle w:val="Heading4"/>
      </w:pPr>
      <w:r>
        <w:t>Shared dementia event with Strategic Clinical Network</w:t>
      </w:r>
    </w:p>
    <w:p w:rsidR="006141E3" w:rsidRDefault="006141E3" w:rsidP="006141E3">
      <w:r>
        <w:t>In September we collaborated with the Strategic Clinical Network to run a very successful Dementia Event attended by over 80 people.  The agenda included talks on the following:</w:t>
      </w:r>
    </w:p>
    <w:p w:rsidR="006141E3" w:rsidRDefault="006141E3" w:rsidP="006141E3">
      <w:pPr>
        <w:pStyle w:val="ListParagraph"/>
        <w:numPr>
          <w:ilvl w:val="0"/>
          <w:numId w:val="33"/>
        </w:numPr>
      </w:pPr>
      <w:r>
        <w:t xml:space="preserve">Strategic Clinical Network projects, </w:t>
      </w:r>
      <w:proofErr w:type="spellStart"/>
      <w:r>
        <w:t>Dr</w:t>
      </w:r>
      <w:proofErr w:type="spellEnd"/>
      <w:r>
        <w:t xml:space="preserve"> Geoff Payne, Strategic Clinical Network</w:t>
      </w:r>
    </w:p>
    <w:p w:rsidR="006141E3" w:rsidRDefault="006141E3" w:rsidP="006141E3">
      <w:pPr>
        <w:pStyle w:val="ListParagraph"/>
        <w:numPr>
          <w:ilvl w:val="0"/>
          <w:numId w:val="33"/>
        </w:numPr>
      </w:pPr>
      <w:r>
        <w:t>Dementia training initiatives, Jacqueline Fairbairn-Platt, Health Education Thames Valley</w:t>
      </w:r>
    </w:p>
    <w:p w:rsidR="006141E3" w:rsidRDefault="006141E3" w:rsidP="006141E3">
      <w:pPr>
        <w:pStyle w:val="ListParagraph"/>
        <w:numPr>
          <w:ilvl w:val="0"/>
          <w:numId w:val="33"/>
        </w:numPr>
      </w:pPr>
      <w:r>
        <w:t xml:space="preserve">Post diagnostic support, </w:t>
      </w:r>
      <w:proofErr w:type="spellStart"/>
      <w:r>
        <w:t>Dr</w:t>
      </w:r>
      <w:proofErr w:type="spellEnd"/>
      <w:r>
        <w:t xml:space="preserve"> Stephanie </w:t>
      </w:r>
      <w:proofErr w:type="spellStart"/>
      <w:r>
        <w:t>Oldroyd</w:t>
      </w:r>
      <w:proofErr w:type="spellEnd"/>
    </w:p>
    <w:p w:rsidR="006141E3" w:rsidRDefault="006141E3" w:rsidP="006141E3">
      <w:pPr>
        <w:pStyle w:val="ListParagraph"/>
        <w:numPr>
          <w:ilvl w:val="0"/>
          <w:numId w:val="33"/>
        </w:numPr>
      </w:pPr>
      <w:r>
        <w:t xml:space="preserve">Variations on a “dementia” theme – diagnosis and prescribing across the Thames Valley, </w:t>
      </w:r>
      <w:proofErr w:type="spellStart"/>
      <w:r>
        <w:t>Dr</w:t>
      </w:r>
      <w:proofErr w:type="spellEnd"/>
      <w:r>
        <w:t xml:space="preserve"> Jacqui Hussey</w:t>
      </w:r>
    </w:p>
    <w:p w:rsidR="006141E3" w:rsidRDefault="006141E3" w:rsidP="006141E3">
      <w:pPr>
        <w:pStyle w:val="ListParagraph"/>
        <w:numPr>
          <w:ilvl w:val="0"/>
          <w:numId w:val="33"/>
        </w:numPr>
      </w:pPr>
      <w:r>
        <w:t xml:space="preserve">End of Life Care for people with Dementia, </w:t>
      </w:r>
      <w:proofErr w:type="spellStart"/>
      <w:r>
        <w:t>Dr</w:t>
      </w:r>
      <w:proofErr w:type="spellEnd"/>
      <w:r>
        <w:t xml:space="preserve"> Barbara Barrie</w:t>
      </w:r>
    </w:p>
    <w:p w:rsidR="006141E3" w:rsidRDefault="006141E3" w:rsidP="006141E3">
      <w:pPr>
        <w:pStyle w:val="ListParagraph"/>
        <w:numPr>
          <w:ilvl w:val="0"/>
          <w:numId w:val="33"/>
        </w:numPr>
      </w:pPr>
      <w:r>
        <w:t>How to engage people with a fabulous piece of food theatre, Connie’s Colander</w:t>
      </w:r>
    </w:p>
    <w:p w:rsidR="006141E3" w:rsidRDefault="006141E3" w:rsidP="006141E3">
      <w:pPr>
        <w:pStyle w:val="ListParagraph"/>
        <w:numPr>
          <w:ilvl w:val="0"/>
          <w:numId w:val="33"/>
        </w:numPr>
      </w:pPr>
      <w:r>
        <w:lastRenderedPageBreak/>
        <w:t xml:space="preserve">YPWD and Young Dementia UK, </w:t>
      </w:r>
      <w:proofErr w:type="spellStart"/>
      <w:r>
        <w:t>Dr</w:t>
      </w:r>
      <w:proofErr w:type="spellEnd"/>
      <w:r>
        <w:t xml:space="preserve"> Jacqui Hussey and Mandy Blair</w:t>
      </w:r>
    </w:p>
    <w:p w:rsidR="006141E3" w:rsidRDefault="006141E3" w:rsidP="006141E3">
      <w:pPr>
        <w:pStyle w:val="ListParagraph"/>
        <w:numPr>
          <w:ilvl w:val="0"/>
          <w:numId w:val="33"/>
        </w:numPr>
      </w:pPr>
      <w:r>
        <w:t xml:space="preserve">Keynote workshop: Case based discussion of mild cognitive impairment and mixed dementia diagnosis: criteria and reliability, Professor Simon </w:t>
      </w:r>
      <w:proofErr w:type="spellStart"/>
      <w:r>
        <w:t>Lovestone</w:t>
      </w:r>
      <w:proofErr w:type="spellEnd"/>
    </w:p>
    <w:p w:rsidR="006141E3" w:rsidRDefault="006141E3" w:rsidP="006141E3">
      <w:pPr>
        <w:pStyle w:val="Heading4"/>
      </w:pPr>
      <w:r>
        <w:t>Successful bidding for Oxford AHSN Round 2 2016-18</w:t>
      </w:r>
    </w:p>
    <w:p w:rsidR="006141E3" w:rsidRDefault="006141E3" w:rsidP="006141E3">
      <w:r>
        <w:t xml:space="preserve">Much energy in the last period has been directed to developing plans for the next two years and participating in AHSN’s Round 2 bidding process.  </w:t>
      </w:r>
      <w:r w:rsidR="00C97A4D">
        <w:t xml:space="preserve">The bid was </w:t>
      </w:r>
      <w:r>
        <w:t xml:space="preserve">successful and the dementia network has </w:t>
      </w:r>
      <w:r w:rsidR="00C97A4D">
        <w:t>agreed</w:t>
      </w:r>
      <w:r>
        <w:t xml:space="preserve"> funding until March 2018.  </w:t>
      </w:r>
      <w:r w:rsidR="00C97A4D">
        <w:t>The</w:t>
      </w:r>
      <w:r>
        <w:t xml:space="preserve"> bid consisted largely of projects proposed by stakeholders, and the projects </w:t>
      </w:r>
      <w:r w:rsidR="00C97A4D">
        <w:t>being taken forwards are:</w:t>
      </w:r>
    </w:p>
    <w:p w:rsidR="006141E3" w:rsidRDefault="006141E3" w:rsidP="00C97A4D">
      <w:pPr>
        <w:pStyle w:val="ListParagraph"/>
        <w:numPr>
          <w:ilvl w:val="0"/>
          <w:numId w:val="34"/>
        </w:numPr>
      </w:pPr>
      <w:r>
        <w:t xml:space="preserve">Reducing variation – identification and reduction of unwarranted variation across the AHSN area through further dementia webinars, addressing areas of variation demonstrated by Trust data, and working collaboratively to develop consensus best practice pathways, for example for </w:t>
      </w:r>
      <w:proofErr w:type="spellStart"/>
      <w:r>
        <w:t>fronto</w:t>
      </w:r>
      <w:proofErr w:type="spellEnd"/>
      <w:r>
        <w:t>-temporal dementia.</w:t>
      </w:r>
    </w:p>
    <w:p w:rsidR="006141E3" w:rsidRDefault="006141E3" w:rsidP="00C97A4D">
      <w:pPr>
        <w:pStyle w:val="ListParagraph"/>
        <w:numPr>
          <w:ilvl w:val="0"/>
          <w:numId w:val="34"/>
        </w:numPr>
      </w:pPr>
      <w:r>
        <w:t>Memory clinic improvement work – includes consolidation of MSNAP process, preparation for reaccreditation, and working for improvement on particular topics, for example memory assessment for BME populations.</w:t>
      </w:r>
    </w:p>
    <w:p w:rsidR="006141E3" w:rsidRDefault="006141E3" w:rsidP="00C97A4D">
      <w:pPr>
        <w:pStyle w:val="ListParagraph"/>
        <w:numPr>
          <w:ilvl w:val="0"/>
          <w:numId w:val="34"/>
        </w:numPr>
      </w:pPr>
      <w:r>
        <w:t xml:space="preserve">Young onset dementia – addressing variation in services by the YPWD service offering training and </w:t>
      </w:r>
      <w:proofErr w:type="spellStart"/>
      <w:r>
        <w:t>week long</w:t>
      </w:r>
      <w:proofErr w:type="spellEnd"/>
      <w:r>
        <w:t xml:space="preserve"> shadowing opportunities to enable spread of this successful model to less-well served areas.</w:t>
      </w:r>
    </w:p>
    <w:p w:rsidR="006141E3" w:rsidRDefault="006141E3" w:rsidP="00C97A4D">
      <w:pPr>
        <w:pStyle w:val="ListParagraph"/>
        <w:numPr>
          <w:ilvl w:val="0"/>
          <w:numId w:val="34"/>
        </w:numPr>
      </w:pPr>
      <w:r>
        <w:t xml:space="preserve">Best practice network for care homes and in-reach teams – working with Jane Fossey and Lucy Garrod of OHFT, this project aims to establish a best practice network in the Thames Valley which is open to care homes and health care teams working with them to share the findings from the WHELD </w:t>
      </w:r>
      <w:proofErr w:type="spellStart"/>
      <w:r>
        <w:t>programme</w:t>
      </w:r>
      <w:proofErr w:type="spellEnd"/>
      <w:r>
        <w:t xml:space="preserve"> and develop a sustainable practice forum for best practice in care homes for a person-</w:t>
      </w:r>
      <w:proofErr w:type="spellStart"/>
      <w:r>
        <w:t>centred</w:t>
      </w:r>
      <w:proofErr w:type="spellEnd"/>
      <w:r>
        <w:t xml:space="preserve"> care approach with evidence-based social interventions.</w:t>
      </w:r>
    </w:p>
    <w:p w:rsidR="006141E3" w:rsidRDefault="006141E3" w:rsidP="00C97A4D">
      <w:pPr>
        <w:pStyle w:val="ListParagraph"/>
        <w:numPr>
          <w:ilvl w:val="0"/>
          <w:numId w:val="34"/>
        </w:numPr>
      </w:pPr>
      <w:r>
        <w:t>Best practice network for post-diagnostic support – working with Jane Fossey and Candy Stone of OHFT this project aims to build on the work the AHSN has already begun in its support of MSNAP accreditation by providing a forum in which services across the Thames Valley can identify best practice and share knowledge to improve the post diagnostic support offered to people with dementia and their families.</w:t>
      </w:r>
    </w:p>
    <w:p w:rsidR="006141E3" w:rsidRDefault="006141E3" w:rsidP="00C97A4D">
      <w:pPr>
        <w:pStyle w:val="ListParagraph"/>
        <w:numPr>
          <w:ilvl w:val="0"/>
          <w:numId w:val="34"/>
        </w:numPr>
      </w:pPr>
      <w:proofErr w:type="spellStart"/>
      <w:r>
        <w:t>Neuroreader</w:t>
      </w:r>
      <w:proofErr w:type="spellEnd"/>
      <w:r>
        <w:t xml:space="preserve"> feasibility – we received a proposal from Berkshire to introduce an automated process for interpreting MRI scans.  In 2015-16 we carry out some preparation work, for example determining the numbers of patients who might benefit from this application.</w:t>
      </w:r>
    </w:p>
    <w:p w:rsidR="00773C91" w:rsidRPr="00AB2DE4" w:rsidRDefault="006141E3" w:rsidP="00C97A4D">
      <w:pPr>
        <w:pStyle w:val="ListParagraph"/>
        <w:numPr>
          <w:ilvl w:val="0"/>
          <w:numId w:val="34"/>
        </w:numPr>
      </w:pPr>
      <w:r>
        <w:t xml:space="preserve">Patient reported outcome measures – we plan to work with Professor Ray Fitzpatrick of Nuffield College and the CLAHRC, looking at the applicability of his Long-term conditions questionnaire for people with mild or moderate dementia, and </w:t>
      </w:r>
      <w:proofErr w:type="spellStart"/>
      <w:r>
        <w:t>carers</w:t>
      </w:r>
      <w:proofErr w:type="spellEnd"/>
      <w:r>
        <w:t xml:space="preserve"> of people living with dementia.</w:t>
      </w:r>
    </w:p>
    <w:p w:rsidR="00614F94" w:rsidRPr="00DC7351" w:rsidRDefault="00942E7A" w:rsidP="00614F94">
      <w:pPr>
        <w:pStyle w:val="Heading2"/>
        <w:spacing w:after="0"/>
        <w:rPr>
          <w:i w:val="0"/>
          <w:szCs w:val="24"/>
        </w:rPr>
      </w:pPr>
      <w:bookmarkStart w:id="7" w:name="_Toc441061190"/>
      <w:r w:rsidRPr="00DC7351">
        <w:rPr>
          <w:i w:val="0"/>
          <w:lang w:val="en-GB"/>
        </w:rPr>
        <w:lastRenderedPageBreak/>
        <w:t xml:space="preserve">OXFORD NIHR </w:t>
      </w:r>
      <w:r w:rsidR="00614F94" w:rsidRPr="00DC7351">
        <w:rPr>
          <w:i w:val="0"/>
          <w:szCs w:val="24"/>
        </w:rPr>
        <w:t>Collaboration in Leadership in Applied Health Research and Care (CLAHRC)</w:t>
      </w:r>
      <w:bookmarkEnd w:id="7"/>
    </w:p>
    <w:p w:rsidR="005B2D3E" w:rsidRDefault="005B2D3E" w:rsidP="005B2D3E">
      <w:r>
        <w:t xml:space="preserve">Since the NIHR CLAHRC Oxford began on January 1, 2014 the number of projects within Phase 1 (01/01/2014 – 31/03/2016) has increased by 68% from 19 to 32 projects. 30 publications have been generated from CLAHRC research to date. The CLAHRC has leveraged £1.5 million in external funding and £5.1 million in matched funding. </w:t>
      </w:r>
    </w:p>
    <w:p w:rsidR="005B2D3E" w:rsidRDefault="005B2D3E" w:rsidP="005B2D3E">
      <w:r>
        <w:t xml:space="preserve">Training is an essential element of the CLAHRC: there are 8 ACF and 4 DPhil positions currently supported. In addition to the more traditional academic training routes there are currently 30 alumni of our bespoke ‘Change Management and Leadership in Healthcare’ </w:t>
      </w:r>
      <w:proofErr w:type="spellStart"/>
      <w:r>
        <w:t>programme</w:t>
      </w:r>
      <w:proofErr w:type="spellEnd"/>
      <w:r>
        <w:t xml:space="preserve"> developed in collaboration with Oxford Health NHS FT and the Said Business School. Knowledge </w:t>
      </w:r>
      <w:proofErr w:type="spellStart"/>
      <w:r>
        <w:t>Mobilisation</w:t>
      </w:r>
      <w:proofErr w:type="spellEnd"/>
      <w:r>
        <w:t xml:space="preserve"> Alumni include representatives from our stakeholder </w:t>
      </w:r>
      <w:proofErr w:type="spellStart"/>
      <w:r>
        <w:t>organisations</w:t>
      </w:r>
      <w:proofErr w:type="spellEnd"/>
      <w:r>
        <w:t xml:space="preserve">. The course will be run for the third time in </w:t>
      </w:r>
      <w:proofErr w:type="gramStart"/>
      <w:r>
        <w:t>Autumn</w:t>
      </w:r>
      <w:proofErr w:type="gramEnd"/>
      <w:r>
        <w:t xml:space="preserve"> 2016. The aim of this initiative is not only to bridge a critical training gap between junior and senior management positions identified by our host </w:t>
      </w:r>
      <w:proofErr w:type="spellStart"/>
      <w:r>
        <w:t>organisation</w:t>
      </w:r>
      <w:proofErr w:type="spellEnd"/>
      <w:r>
        <w:t xml:space="preserve">, but also to ensure ongoing training and support for these Knowledge </w:t>
      </w:r>
      <w:proofErr w:type="spellStart"/>
      <w:r>
        <w:t>Mobilisation</w:t>
      </w:r>
      <w:proofErr w:type="spellEnd"/>
      <w:r>
        <w:t xml:space="preserve"> Alumni by forming a network throughout our partner </w:t>
      </w:r>
      <w:proofErr w:type="spellStart"/>
      <w:r>
        <w:t>organisations</w:t>
      </w:r>
      <w:proofErr w:type="spellEnd"/>
      <w:r>
        <w:t>. Allied Health Professional Training will be a focus throughout Phase 2 (01/04/2016 – 31/12/2018) of the CLAHRC and discussions began at the Stakeholder Symposium 2015 with HETV and Oxford Brookes University exploring how the CLAHRC can support this. A dedicated Training Lead will be appointed for Phase 2 of the CLAHRC.</w:t>
      </w:r>
    </w:p>
    <w:p w:rsidR="005B2D3E" w:rsidRDefault="005B2D3E" w:rsidP="005B2D3E">
      <w:r>
        <w:t xml:space="preserve">As outlined in the original application, the CLAHRC is currently undertaking a mid-term review. A number of projects from Phase 1 were granted non-funded extensions or modest funded extensions to complete in Phase 2 by the CLAHRC Management Board. </w:t>
      </w:r>
    </w:p>
    <w:p w:rsidR="005B2D3E" w:rsidRDefault="005B2D3E" w:rsidP="005B2D3E">
      <w:r>
        <w:t xml:space="preserve">£2.8 million was identified for new projects in Phase 2 and a call for applications has yielded 25 new high quality project submissions with a total of £4.8 million in funding requested for £5.7 million of supporting matched funding from partner </w:t>
      </w:r>
      <w:proofErr w:type="spellStart"/>
      <w:r>
        <w:t>organisations</w:t>
      </w:r>
      <w:proofErr w:type="spellEnd"/>
      <w:r>
        <w:t xml:space="preserve">. These have now been externally peer reviewed and an External Phase 2 Funding Panel will meet on Friday January 8 to give the final funding decisions. It is not clear as yet how this will shape the structure of the CLAHRC for Phase 2, but the Board will be kept informed of any changes. Funding announcements will be made by the end of January. In addition to the new project proposals there are two Phase 2 adopted projects that do not require CLAHRC funding and it is anticipated that there will be an increase in the number of adopted projects throughout Phase 2. </w:t>
      </w:r>
    </w:p>
    <w:p w:rsidR="00DC7351" w:rsidRDefault="00DC7351" w:rsidP="00DC7351">
      <w:pPr>
        <w:pStyle w:val="Heading3"/>
      </w:pPr>
      <w:bookmarkStart w:id="8" w:name="_Toc441061191"/>
      <w:r w:rsidRPr="00DC7351">
        <w:t>CLAHRC Annual Stakeholder Symposium</w:t>
      </w:r>
      <w:bookmarkEnd w:id="8"/>
      <w:r w:rsidRPr="00DC7351">
        <w:t xml:space="preserve"> </w:t>
      </w:r>
    </w:p>
    <w:p w:rsidR="005B2D3E" w:rsidRDefault="005B2D3E" w:rsidP="005B2D3E">
      <w:r>
        <w:t xml:space="preserve">The CLAHRC Annual Stakeholder Symposium 2015 was extremely successful with representation from most of our current and some potential new stakeholder </w:t>
      </w:r>
      <w:proofErr w:type="spellStart"/>
      <w:r>
        <w:t>organisations</w:t>
      </w:r>
      <w:proofErr w:type="spellEnd"/>
      <w:r>
        <w:t xml:space="preserve">. A mixture of presentations, group activities and stakeholder lead workshops provided the perfect forum for forming new collaborations and informing CLAHRC future priority setting in line with the needs of our partner </w:t>
      </w:r>
      <w:proofErr w:type="spellStart"/>
      <w:r>
        <w:t>organisations</w:t>
      </w:r>
      <w:proofErr w:type="spellEnd"/>
      <w:r>
        <w:t xml:space="preserve">. </w:t>
      </w:r>
    </w:p>
    <w:p w:rsidR="005B2D3E" w:rsidRDefault="005B2D3E" w:rsidP="005B2D3E">
      <w:r>
        <w:t>Stakeholder Symposium Outputs and Impacts:</w:t>
      </w:r>
    </w:p>
    <w:p w:rsidR="00DC7351" w:rsidRDefault="005B2D3E" w:rsidP="005B2D3E">
      <w:pPr>
        <w:pStyle w:val="ListParagraph"/>
        <w:numPr>
          <w:ilvl w:val="0"/>
          <w:numId w:val="36"/>
        </w:numPr>
      </w:pPr>
      <w:r>
        <w:t>Training</w:t>
      </w:r>
      <w:r w:rsidR="00DC7351">
        <w:t xml:space="preserve">.  </w:t>
      </w:r>
      <w:r>
        <w:t xml:space="preserve">A collaboration formed at the Symposium will result in all ST3 </w:t>
      </w:r>
      <w:proofErr w:type="gramStart"/>
      <w:r>
        <w:t>trainee</w:t>
      </w:r>
      <w:proofErr w:type="gramEnd"/>
      <w:r>
        <w:t xml:space="preserve"> GP’s now receiving a one day Good Clinical Practice (GCP) training. Meaning that when they start work in a GP practice, that practice will automatically be ‘research ready’. Aim is to introduce a cultural shift in the adoption of research by the GP community from the bottom up, providing a platform for future research adoption </w:t>
      </w:r>
      <w:r>
        <w:lastRenderedPageBreak/>
        <w:t>and increasing the number of surgeries undertaking research across the whole of the Thames Valley.</w:t>
      </w:r>
    </w:p>
    <w:p w:rsidR="005B2D3E" w:rsidRDefault="005B2D3E" w:rsidP="005B2D3E">
      <w:pPr>
        <w:pStyle w:val="ListParagraph"/>
        <w:numPr>
          <w:ilvl w:val="0"/>
          <w:numId w:val="36"/>
        </w:numPr>
      </w:pPr>
      <w:r>
        <w:t xml:space="preserve">A collaboration formed at the Symposium, between the Oxford Deanery, Health Education Thames Valley and the CLAHRC, will result in six ST4 GP trainees per year undertaking a 6 month research project supported by the CLAHRC. The Oxford Deanery will provide the salaries for these trainees for the six month duration of the projects, which will provide matched funding for the CLAHRC.        </w:t>
      </w:r>
    </w:p>
    <w:p w:rsidR="005B2D3E" w:rsidRDefault="005B2D3E" w:rsidP="005B2D3E">
      <w:pPr>
        <w:pStyle w:val="ListParagraph"/>
        <w:numPr>
          <w:ilvl w:val="0"/>
          <w:numId w:val="36"/>
        </w:numPr>
      </w:pPr>
      <w:r>
        <w:t>Industry</w:t>
      </w:r>
      <w:r w:rsidR="00DC7351">
        <w:t xml:space="preserve">. </w:t>
      </w:r>
      <w:r>
        <w:t>As a direct result of discussion at the Symposium Industry workshop, the AHSN, DEC, BRC and the CLAHRC are exploring new areas of industry collaboration, mapping CLAHRC research areas with current AHSN industry links and stakeholder priorities.</w:t>
      </w:r>
      <w:r w:rsidR="00DC7351">
        <w:t xml:space="preserve"> </w:t>
      </w:r>
      <w:r>
        <w:t xml:space="preserve">These collaborations will aim to support the NHS to </w:t>
      </w:r>
      <w:proofErr w:type="spellStart"/>
      <w:r>
        <w:t>maximise</w:t>
      </w:r>
      <w:proofErr w:type="spellEnd"/>
      <w:r>
        <w:t xml:space="preserve"> positive patient outcomes and </w:t>
      </w:r>
      <w:proofErr w:type="spellStart"/>
      <w:r>
        <w:t>minimise</w:t>
      </w:r>
      <w:proofErr w:type="spellEnd"/>
      <w:r>
        <w:t xml:space="preserve"> risk and waste.</w:t>
      </w:r>
    </w:p>
    <w:p w:rsidR="005B2D3E" w:rsidRDefault="005B2D3E" w:rsidP="00DC7351">
      <w:pPr>
        <w:pStyle w:val="Heading3"/>
      </w:pPr>
      <w:bookmarkStart w:id="9" w:name="_Toc441061192"/>
      <w:r>
        <w:t>NIHR Visit and Annual Report</w:t>
      </w:r>
      <w:bookmarkEnd w:id="9"/>
    </w:p>
    <w:p w:rsidR="005B2D3E" w:rsidRDefault="005B2D3E" w:rsidP="005B2D3E">
      <w:r>
        <w:t xml:space="preserve">In November 2015 the CLAHRC hosted a site visit from the NIHR and the Department of Health. The visit went extremely well and they were impressed with the progress the CLAHRC has made in all areas to </w:t>
      </w:r>
      <w:proofErr w:type="gramStart"/>
      <w:r>
        <w:t>date,</w:t>
      </w:r>
      <w:proofErr w:type="gramEnd"/>
      <w:r>
        <w:t xml:space="preserve"> and the outputs from the Stakeholder Symposium.</w:t>
      </w:r>
    </w:p>
    <w:p w:rsidR="00DC7351" w:rsidRDefault="006F545A" w:rsidP="005B2D3E">
      <w:r>
        <w:t>T</w:t>
      </w:r>
      <w:r w:rsidR="005B2D3E">
        <w:t xml:space="preserve">he CLAHRC Annual Report for 2014 was very well received. </w:t>
      </w:r>
    </w:p>
    <w:p w:rsidR="00ED1B8F" w:rsidRPr="008B3DA8" w:rsidRDefault="007D630D" w:rsidP="00ED1B8F">
      <w:pPr>
        <w:pStyle w:val="Heading2"/>
        <w:spacing w:after="29"/>
        <w:rPr>
          <w:i w:val="0"/>
        </w:rPr>
      </w:pPr>
      <w:bookmarkStart w:id="10" w:name="_Toc441061193"/>
      <w:r w:rsidRPr="008B3DA8">
        <w:rPr>
          <w:i w:val="0"/>
        </w:rPr>
        <w:t xml:space="preserve">NIHR </w:t>
      </w:r>
      <w:r w:rsidR="00BC0FD1" w:rsidRPr="008B3DA8">
        <w:rPr>
          <w:i w:val="0"/>
        </w:rPr>
        <w:t>Diagnostic Evidence Co-operative (</w:t>
      </w:r>
      <w:r w:rsidR="00621761" w:rsidRPr="008B3DA8">
        <w:rPr>
          <w:i w:val="0"/>
        </w:rPr>
        <w:t>DEC</w:t>
      </w:r>
      <w:r w:rsidR="00BC0FD1" w:rsidRPr="008B3DA8">
        <w:rPr>
          <w:i w:val="0"/>
        </w:rPr>
        <w:t>)</w:t>
      </w:r>
      <w:bookmarkEnd w:id="10"/>
    </w:p>
    <w:p w:rsidR="00ED1B8F" w:rsidRDefault="00ED1B8F" w:rsidP="00ED1B8F">
      <w:r>
        <w:t xml:space="preserve">The DEC has had 17 formal company interactions to date, most </w:t>
      </w:r>
      <w:r w:rsidR="008B3DA8">
        <w:t xml:space="preserve">regarding </w:t>
      </w:r>
      <w:r>
        <w:t>cardiovascular tests (n=6),</w:t>
      </w:r>
      <w:r w:rsidR="008B3DA8">
        <w:t xml:space="preserve"> and </w:t>
      </w:r>
      <w:r>
        <w:t>infectious diseases (n=3)</w:t>
      </w:r>
      <w:r w:rsidR="008B3DA8">
        <w:t>.</w:t>
      </w:r>
    </w:p>
    <w:p w:rsidR="008B3DA8" w:rsidRDefault="008B3DA8" w:rsidP="00ED1B8F">
      <w:r>
        <w:t xml:space="preserve">In addition the DEC has collaborated with Innovate UK Small Business Research Initiative: on four 4 applications for funding, one of which </w:t>
      </w:r>
      <w:proofErr w:type="gramStart"/>
      <w:r>
        <w:t>has</w:t>
      </w:r>
      <w:proofErr w:type="gramEnd"/>
      <w:r>
        <w:t xml:space="preserve"> been successful, two unsuccessful and the fourth is pending a decision.  The award is for a point-of-care test for COPD exacerbations in primary care, and worth approximately 150K.  This is currently in the set up phase and contracts are pending</w:t>
      </w:r>
    </w:p>
    <w:p w:rsidR="00ED1B8F" w:rsidRDefault="008B3DA8" w:rsidP="00ED1B8F">
      <w:r>
        <w:t xml:space="preserve">A paper has been written on Point-of-Care </w:t>
      </w:r>
      <w:r w:rsidR="00ED1B8F">
        <w:t xml:space="preserve">paper </w:t>
      </w:r>
      <w:r>
        <w:t xml:space="preserve">and submitted to Family Practice regarding </w:t>
      </w:r>
      <w:r w:rsidR="00ED1B8F">
        <w:t>diagnostic needs in primary care, specific</w:t>
      </w:r>
      <w:r>
        <w:t xml:space="preserve"> to the UK.</w:t>
      </w:r>
    </w:p>
    <w:p w:rsidR="008B3DA8" w:rsidRDefault="008B3DA8" w:rsidP="008B3DA8">
      <w:r>
        <w:t>The DEC has worked collaboratively with Oxfordshire CCG, in undertaking a survey of local GPs on their needs for point-of-care tests, with the results pending. Analyses are ongoing. In the meantime workshops are being organized for local GPS on the point-of-care tests.</w:t>
      </w:r>
    </w:p>
    <w:p w:rsidR="008B3DA8" w:rsidRDefault="008B3DA8" w:rsidP="008B3DA8">
      <w:r>
        <w:t>The next Diagnostics Forum will be from 26-27 May 2016 at Lady Margaret Hall with the theme 'Disruptive Diagnostics'</w:t>
      </w:r>
    </w:p>
    <w:p w:rsidR="008B3DA8" w:rsidRDefault="008B3DA8" w:rsidP="008B3DA8">
      <w:r>
        <w:t>The DEC has received positive feedback from NIHR on our previous annual report.</w:t>
      </w:r>
    </w:p>
    <w:p w:rsidR="008B3DA8" w:rsidRDefault="008B3DA8" w:rsidP="00ED1B8F">
      <w:r>
        <w:t>O</w:t>
      </w:r>
      <w:r w:rsidR="00ED1B8F">
        <w:t>ngoing projects include</w:t>
      </w:r>
      <w:r>
        <w:t>:</w:t>
      </w:r>
    </w:p>
    <w:p w:rsidR="008B3DA8" w:rsidRDefault="00ED1B8F" w:rsidP="008B3DA8">
      <w:pPr>
        <w:pStyle w:val="ListParagraph"/>
        <w:numPr>
          <w:ilvl w:val="0"/>
          <w:numId w:val="39"/>
        </w:numPr>
      </w:pPr>
      <w:r>
        <w:t>an analysis of laboratory testing for heart failure in Oxfordshire</w:t>
      </w:r>
    </w:p>
    <w:p w:rsidR="008B3DA8" w:rsidRDefault="00ED1B8F" w:rsidP="008B3DA8">
      <w:pPr>
        <w:pStyle w:val="ListParagraph"/>
        <w:numPr>
          <w:ilvl w:val="0"/>
          <w:numId w:val="39"/>
        </w:numPr>
      </w:pPr>
      <w:r>
        <w:t>a comparison of diagnostic accuracy of BNP testing in primary and secondary care</w:t>
      </w:r>
    </w:p>
    <w:p w:rsidR="008B3DA8" w:rsidRDefault="00ED1B8F" w:rsidP="008B3DA8">
      <w:pPr>
        <w:pStyle w:val="ListParagraph"/>
        <w:numPr>
          <w:ilvl w:val="0"/>
          <w:numId w:val="39"/>
        </w:numPr>
      </w:pPr>
      <w:r>
        <w:t>a review of existing horizon scan reports on the level of evidence for new tests</w:t>
      </w:r>
    </w:p>
    <w:p w:rsidR="00ED1B8F" w:rsidRPr="008B3DA8" w:rsidRDefault="00ED1B8F" w:rsidP="00C97A4D">
      <w:pPr>
        <w:pStyle w:val="ListParagraph"/>
        <w:numPr>
          <w:ilvl w:val="0"/>
          <w:numId w:val="39"/>
        </w:numPr>
      </w:pPr>
      <w:r>
        <w:lastRenderedPageBreak/>
        <w:t>a review on diagnostic accuracy evidence inf</w:t>
      </w:r>
      <w:r w:rsidR="008B3DA8">
        <w:t>orming health economic analyses</w:t>
      </w:r>
    </w:p>
    <w:p w:rsidR="00BE3822" w:rsidRPr="00DC7351" w:rsidRDefault="009E2BDF" w:rsidP="006D305A">
      <w:pPr>
        <w:pStyle w:val="Heading2"/>
        <w:rPr>
          <w:i w:val="0"/>
        </w:rPr>
      </w:pPr>
      <w:bookmarkStart w:id="11" w:name="_Toc441061194"/>
      <w:r w:rsidRPr="00DC7351">
        <w:rPr>
          <w:i w:val="0"/>
        </w:rPr>
        <w:t xml:space="preserve">NIHR </w:t>
      </w:r>
      <w:r w:rsidR="00942E7A" w:rsidRPr="00DC7351">
        <w:rPr>
          <w:i w:val="0"/>
        </w:rPr>
        <w:t xml:space="preserve">Oxford </w:t>
      </w:r>
      <w:r w:rsidR="00C97A4D" w:rsidRPr="00DC7351">
        <w:rPr>
          <w:i w:val="0"/>
        </w:rPr>
        <w:t>cognitive</w:t>
      </w:r>
      <w:r w:rsidR="00942E7A" w:rsidRPr="00DC7351">
        <w:rPr>
          <w:i w:val="0"/>
        </w:rPr>
        <w:t xml:space="preserve"> health Clinical Research Facility (</w:t>
      </w:r>
      <w:r w:rsidRPr="00DC7351">
        <w:rPr>
          <w:i w:val="0"/>
        </w:rPr>
        <w:t>CRF</w:t>
      </w:r>
      <w:r w:rsidR="00942E7A" w:rsidRPr="00DC7351">
        <w:rPr>
          <w:i w:val="0"/>
        </w:rPr>
        <w:t>)</w:t>
      </w:r>
      <w:bookmarkEnd w:id="11"/>
    </w:p>
    <w:p w:rsidR="00C94D8F" w:rsidRDefault="00C94D8F" w:rsidP="00C94D8F">
      <w:pPr>
        <w:pStyle w:val="Heading3"/>
      </w:pPr>
      <w:bookmarkStart w:id="12" w:name="_Toc441061195"/>
      <w:r w:rsidRPr="00C94D8F">
        <w:t>Reporting</w:t>
      </w:r>
      <w:bookmarkEnd w:id="12"/>
      <w:r w:rsidRPr="00C94D8F">
        <w:t xml:space="preserve"> </w:t>
      </w:r>
    </w:p>
    <w:p w:rsidR="00C94D8F" w:rsidRDefault="00C94D8F" w:rsidP="00C94D8F">
      <w:r>
        <w:t xml:space="preserve">From April 2015 the NIHR have requested quarterly updates on the number of studies ongoing across the </w:t>
      </w:r>
      <w:proofErr w:type="spellStart"/>
      <w:r>
        <w:t>fours</w:t>
      </w:r>
      <w:proofErr w:type="spellEnd"/>
      <w:r>
        <w:t xml:space="preserve"> sites of the CRF, including recruitment figures and publications. These reports are submitted via the OUH, where the funding is allocated.  To date two quarterly returns have been submitted with summary data show below.</w:t>
      </w:r>
    </w:p>
    <w:tbl>
      <w:tblPr>
        <w:tblStyle w:val="TableGrid"/>
        <w:tblW w:w="0" w:type="auto"/>
        <w:tblLook w:val="04A0" w:firstRow="1" w:lastRow="0" w:firstColumn="1" w:lastColumn="0" w:noHBand="0" w:noVBand="1"/>
      </w:tblPr>
      <w:tblGrid>
        <w:gridCol w:w="1242"/>
        <w:gridCol w:w="2694"/>
        <w:gridCol w:w="2976"/>
        <w:gridCol w:w="2943"/>
      </w:tblGrid>
      <w:tr w:rsidR="00C94D8F" w:rsidRPr="00C94D8F" w:rsidTr="008352CB">
        <w:tc>
          <w:tcPr>
            <w:tcW w:w="1242" w:type="dxa"/>
            <w:shd w:val="clear" w:color="auto" w:fill="C6D9F1" w:themeFill="text2" w:themeFillTint="33"/>
          </w:tcPr>
          <w:p w:rsidR="00C94D8F" w:rsidRPr="00C94D8F" w:rsidRDefault="00C94D8F" w:rsidP="00C94D8F">
            <w:pPr>
              <w:jc w:val="center"/>
              <w:rPr>
                <w:b/>
              </w:rPr>
            </w:pPr>
            <w:r w:rsidRPr="00C94D8F">
              <w:rPr>
                <w:b/>
              </w:rPr>
              <w:t>Quarter</w:t>
            </w:r>
          </w:p>
        </w:tc>
        <w:tc>
          <w:tcPr>
            <w:tcW w:w="2694" w:type="dxa"/>
            <w:shd w:val="clear" w:color="auto" w:fill="C6D9F1" w:themeFill="text2" w:themeFillTint="33"/>
          </w:tcPr>
          <w:p w:rsidR="00C94D8F" w:rsidRPr="00C94D8F" w:rsidRDefault="00C94D8F" w:rsidP="00C94D8F">
            <w:pPr>
              <w:jc w:val="center"/>
              <w:rPr>
                <w:b/>
              </w:rPr>
            </w:pPr>
            <w:r w:rsidRPr="00C94D8F">
              <w:rPr>
                <w:b/>
              </w:rPr>
              <w:t>Number of Studies</w:t>
            </w:r>
          </w:p>
        </w:tc>
        <w:tc>
          <w:tcPr>
            <w:tcW w:w="2976" w:type="dxa"/>
            <w:shd w:val="clear" w:color="auto" w:fill="C6D9F1" w:themeFill="text2" w:themeFillTint="33"/>
          </w:tcPr>
          <w:p w:rsidR="00C94D8F" w:rsidRPr="00C94D8F" w:rsidRDefault="00C94D8F" w:rsidP="00C94D8F">
            <w:pPr>
              <w:jc w:val="center"/>
              <w:rPr>
                <w:b/>
              </w:rPr>
            </w:pPr>
            <w:r w:rsidRPr="00C94D8F">
              <w:rPr>
                <w:b/>
              </w:rPr>
              <w:t>Number of Participants</w:t>
            </w:r>
          </w:p>
        </w:tc>
        <w:tc>
          <w:tcPr>
            <w:tcW w:w="2943" w:type="dxa"/>
            <w:shd w:val="clear" w:color="auto" w:fill="C6D9F1" w:themeFill="text2" w:themeFillTint="33"/>
          </w:tcPr>
          <w:p w:rsidR="00C94D8F" w:rsidRPr="00C94D8F" w:rsidRDefault="00C94D8F" w:rsidP="00C94D8F">
            <w:pPr>
              <w:jc w:val="center"/>
              <w:rPr>
                <w:b/>
              </w:rPr>
            </w:pPr>
            <w:r w:rsidRPr="00C94D8F">
              <w:rPr>
                <w:b/>
              </w:rPr>
              <w:t>Number of Publications</w:t>
            </w:r>
          </w:p>
        </w:tc>
      </w:tr>
      <w:tr w:rsidR="00C94D8F" w:rsidTr="008352CB">
        <w:tc>
          <w:tcPr>
            <w:tcW w:w="1242" w:type="dxa"/>
          </w:tcPr>
          <w:p w:rsidR="00C94D8F" w:rsidRDefault="00C94D8F" w:rsidP="00C94D8F">
            <w:pPr>
              <w:jc w:val="center"/>
            </w:pPr>
            <w:r>
              <w:t>1</w:t>
            </w:r>
          </w:p>
        </w:tc>
        <w:tc>
          <w:tcPr>
            <w:tcW w:w="2694" w:type="dxa"/>
          </w:tcPr>
          <w:p w:rsidR="00C94D8F" w:rsidRDefault="00C94D8F" w:rsidP="00C94D8F">
            <w:pPr>
              <w:jc w:val="center"/>
            </w:pPr>
            <w:r>
              <w:t>64</w:t>
            </w:r>
          </w:p>
        </w:tc>
        <w:tc>
          <w:tcPr>
            <w:tcW w:w="2976" w:type="dxa"/>
          </w:tcPr>
          <w:p w:rsidR="00C94D8F" w:rsidRDefault="00C94D8F" w:rsidP="00C94D8F">
            <w:pPr>
              <w:jc w:val="center"/>
            </w:pPr>
            <w:r>
              <w:t>916</w:t>
            </w:r>
          </w:p>
        </w:tc>
        <w:tc>
          <w:tcPr>
            <w:tcW w:w="2943" w:type="dxa"/>
          </w:tcPr>
          <w:p w:rsidR="00C94D8F" w:rsidRDefault="00C94D8F" w:rsidP="00C94D8F">
            <w:pPr>
              <w:jc w:val="center"/>
            </w:pPr>
            <w:r>
              <w:t>9</w:t>
            </w:r>
          </w:p>
        </w:tc>
      </w:tr>
      <w:tr w:rsidR="00C94D8F" w:rsidTr="008352CB">
        <w:tc>
          <w:tcPr>
            <w:tcW w:w="1242" w:type="dxa"/>
          </w:tcPr>
          <w:p w:rsidR="00C94D8F" w:rsidRDefault="00C94D8F" w:rsidP="00C94D8F">
            <w:pPr>
              <w:jc w:val="center"/>
            </w:pPr>
            <w:r>
              <w:t>2</w:t>
            </w:r>
          </w:p>
        </w:tc>
        <w:tc>
          <w:tcPr>
            <w:tcW w:w="2694" w:type="dxa"/>
          </w:tcPr>
          <w:p w:rsidR="00C94D8F" w:rsidRDefault="00C94D8F" w:rsidP="00C94D8F">
            <w:pPr>
              <w:jc w:val="center"/>
            </w:pPr>
            <w:r>
              <w:t>31</w:t>
            </w:r>
          </w:p>
        </w:tc>
        <w:tc>
          <w:tcPr>
            <w:tcW w:w="2976" w:type="dxa"/>
          </w:tcPr>
          <w:p w:rsidR="00C94D8F" w:rsidRDefault="00C94D8F" w:rsidP="00C94D8F">
            <w:pPr>
              <w:jc w:val="center"/>
            </w:pPr>
            <w:r>
              <w:t>519</w:t>
            </w:r>
          </w:p>
        </w:tc>
        <w:tc>
          <w:tcPr>
            <w:tcW w:w="2943" w:type="dxa"/>
          </w:tcPr>
          <w:p w:rsidR="00C94D8F" w:rsidRDefault="00C94D8F" w:rsidP="00C94D8F">
            <w:pPr>
              <w:jc w:val="center"/>
            </w:pPr>
            <w:r>
              <w:t>11</w:t>
            </w:r>
          </w:p>
        </w:tc>
      </w:tr>
    </w:tbl>
    <w:p w:rsidR="00C94D8F" w:rsidRDefault="008352CB" w:rsidP="00C94D8F">
      <w:r>
        <w:t>The number of studies and participants has reduced due to studies closing.</w:t>
      </w:r>
    </w:p>
    <w:p w:rsidR="00C94D8F" w:rsidRDefault="00C94D8F" w:rsidP="00C94D8F">
      <w:pPr>
        <w:pStyle w:val="Heading3"/>
      </w:pPr>
      <w:bookmarkStart w:id="13" w:name="_Toc441061196"/>
      <w:r>
        <w:t>Occupancy</w:t>
      </w:r>
      <w:bookmarkEnd w:id="13"/>
    </w:p>
    <w:p w:rsidR="00C94D8F" w:rsidRDefault="00C94D8F" w:rsidP="00C94D8F">
      <w:r w:rsidRPr="00BD2181">
        <w:t>The occupancy metrics reported in the 2014/15 annual return reflected all four sites which make up the Oxford Cognitive Health Clinical Research Facility and the data for the non-Warneford sites is only collected annually. The Warneford CRF is the largest element of the Facility and at the end of the November 2015 its year to date occupancy stood at 45% compared to 44% for the similar point last year.</w:t>
      </w:r>
    </w:p>
    <w:p w:rsidR="00C94D8F" w:rsidRPr="00BD2181" w:rsidRDefault="00C94D8F" w:rsidP="00C94D8F">
      <w:pPr>
        <w:pStyle w:val="Heading3"/>
      </w:pPr>
      <w:bookmarkStart w:id="14" w:name="_Toc441061197"/>
      <w:r>
        <w:t>Studies</w:t>
      </w:r>
      <w:bookmarkEnd w:id="14"/>
    </w:p>
    <w:p w:rsidR="00C97A4D" w:rsidRDefault="00C94D8F" w:rsidP="00C97A4D">
      <w:r w:rsidRPr="00C94D8F">
        <w:t xml:space="preserve">Over the past 6 months the </w:t>
      </w:r>
      <w:r>
        <w:t xml:space="preserve">Warneford site of the </w:t>
      </w:r>
      <w:r w:rsidRPr="00C94D8F">
        <w:t xml:space="preserve">CRF has undertaken </w:t>
      </w:r>
      <w:r>
        <w:t>a mixture of commercial and non-</w:t>
      </w:r>
      <w:r w:rsidRPr="00C94D8F">
        <w:t>commercial studies, with the majority of studies being non</w:t>
      </w:r>
      <w:r>
        <w:t>-</w:t>
      </w:r>
      <w:r w:rsidRPr="00C94D8F">
        <w:t>commercial. However the commercial studies because of their high intensity of activit</w:t>
      </w:r>
      <w:r>
        <w:t>y make up a large proportion of</w:t>
      </w:r>
      <w:r w:rsidRPr="00C94D8F">
        <w:t xml:space="preserve"> the visit numbers. Experimental medicine studies that have recently opened include </w:t>
      </w:r>
      <w:proofErr w:type="spellStart"/>
      <w:r w:rsidRPr="00C94D8F">
        <w:t>Oxlith</w:t>
      </w:r>
      <w:proofErr w:type="spellEnd"/>
      <w:r w:rsidRPr="00C94D8F">
        <w:t xml:space="preserve"> (CI John Geddes) and ‘BIODEP’ (CI Ed </w:t>
      </w:r>
      <w:proofErr w:type="spellStart"/>
      <w:r w:rsidRPr="00C94D8F">
        <w:t>Bullmore</w:t>
      </w:r>
      <w:proofErr w:type="spellEnd"/>
      <w:r w:rsidRPr="00C94D8F">
        <w:t xml:space="preserve"> Cambridge, multisite, local PI MJ </w:t>
      </w:r>
      <w:proofErr w:type="spellStart"/>
      <w:r w:rsidRPr="00C94D8F">
        <w:t>A</w:t>
      </w:r>
      <w:r>
        <w:t>ttenburrow</w:t>
      </w:r>
      <w:proofErr w:type="spellEnd"/>
      <w:r>
        <w:t xml:space="preserve">). Both require </w:t>
      </w:r>
      <w:r w:rsidRPr="00C94D8F">
        <w:t>high intensity activity and systematic coll</w:t>
      </w:r>
      <w:r>
        <w:t xml:space="preserve">aboration across organization and </w:t>
      </w:r>
      <w:r w:rsidRPr="00C94D8F">
        <w:t>are recruiting well. A further independent study ‘EULAST’ (local PI John Geddes, multisite) demonstrates a new model of CRF staff working in close collaboration with Trust clinical teams on site at team bases. This has enabled realistic recruitment which is going very well.  With close collaboration with the CRN and the Trust (Andrew Molodynski and the team of embedded RAs) have developed participant recruitment systems</w:t>
      </w:r>
      <w:r>
        <w:t xml:space="preserve"> have been developed and are</w:t>
      </w:r>
      <w:r w:rsidRPr="00C94D8F">
        <w:t xml:space="preserve"> proving effective and are showing increased engagement from trust clinicians in research.</w:t>
      </w:r>
    </w:p>
    <w:p w:rsidR="008352CB" w:rsidRDefault="008352CB" w:rsidP="008352CB">
      <w:pPr>
        <w:pStyle w:val="Heading3"/>
      </w:pPr>
      <w:bookmarkStart w:id="15" w:name="_Toc441061198"/>
      <w:r w:rsidRPr="008352CB">
        <w:t>Future studies</w:t>
      </w:r>
      <w:bookmarkEnd w:id="15"/>
      <w:r>
        <w:t xml:space="preserve"> </w:t>
      </w:r>
    </w:p>
    <w:p w:rsidR="008352CB" w:rsidRDefault="008352CB" w:rsidP="008352CB">
      <w:r>
        <w:t xml:space="preserve">Currently there are two major new commercial studies in set (Janssen, PI Rupert Mc Shane) which will open in Q1 2016.  </w:t>
      </w:r>
    </w:p>
    <w:p w:rsidR="008352CB" w:rsidRDefault="008352CB" w:rsidP="008352CB">
      <w:r>
        <w:t xml:space="preserve">In addition the Warneford site of the CRF has attracted experimental medicine studies in dementia through collaboration with Professor Simon </w:t>
      </w:r>
      <w:proofErr w:type="spellStart"/>
      <w:r>
        <w:t>Lovestone</w:t>
      </w:r>
      <w:proofErr w:type="spellEnd"/>
      <w:r>
        <w:t xml:space="preserve">. Two studies are in the </w:t>
      </w:r>
      <w:r>
        <w:lastRenderedPageBreak/>
        <w:t>set up phase one of which will need a very similar complex set up as achieved in the BIODEP study. These studies will in the first half of 2016.</w:t>
      </w:r>
    </w:p>
    <w:p w:rsidR="008352CB" w:rsidRDefault="008352CB" w:rsidP="008352CB">
      <w:r>
        <w:t xml:space="preserve">A new collaboration, with </w:t>
      </w:r>
      <w:proofErr w:type="spellStart"/>
      <w:r>
        <w:t>Dr</w:t>
      </w:r>
      <w:proofErr w:type="spellEnd"/>
      <w:r>
        <w:t xml:space="preserve"> Molly Crocket from Experimental Psychology is in the process of feasibility assessment. </w:t>
      </w:r>
    </w:p>
    <w:p w:rsidR="008352CB" w:rsidRDefault="008352CB" w:rsidP="008352CB">
      <w:r>
        <w:t>Discussions with the Sleep and Circadian Neuroscience Institute (SCNI) are also ongoing regarding the use of the sleep rooms at the Warneford CRF.</w:t>
      </w:r>
    </w:p>
    <w:p w:rsidR="008352CB" w:rsidRDefault="008352CB" w:rsidP="008352CB">
      <w:pPr>
        <w:pStyle w:val="Heading3"/>
      </w:pPr>
      <w:bookmarkStart w:id="16" w:name="_Toc441061199"/>
      <w:r>
        <w:t>Collaborations</w:t>
      </w:r>
      <w:bookmarkEnd w:id="16"/>
    </w:p>
    <w:p w:rsidR="008352CB" w:rsidRDefault="008352CB" w:rsidP="008352CB">
      <w:r>
        <w:t>The CNC lab is working with 2 gaming companies (Artic Shores and White October) to develop a new screen of social cognition using animations, and with a software company Ounce who are developing the software for the tablet version of the OCS.</w:t>
      </w:r>
    </w:p>
    <w:p w:rsidR="008352CB" w:rsidRDefault="008352CB" w:rsidP="008352CB">
      <w:r>
        <w:t xml:space="preserve">The CRF and P1Vital strategic partnership with our EU-funded Initial training </w:t>
      </w:r>
      <w:proofErr w:type="gramStart"/>
      <w:r>
        <w:t>Network,</w:t>
      </w:r>
      <w:proofErr w:type="gramEnd"/>
      <w:r>
        <w:t xml:space="preserve"> supports students on </w:t>
      </w:r>
      <w:proofErr w:type="spellStart"/>
      <w:r>
        <w:t>secondments</w:t>
      </w:r>
      <w:proofErr w:type="spellEnd"/>
      <w:r>
        <w:t xml:space="preserve"> regarding the contribution of advice on the development of clinical trials.</w:t>
      </w:r>
    </w:p>
    <w:p w:rsidR="008352CB" w:rsidRDefault="008352CB" w:rsidP="008352CB">
      <w:r>
        <w:t xml:space="preserve">There is a strategic partnership with Isis Innovations who hold the copyright for our cognitive tests and with whom we are working to either </w:t>
      </w:r>
      <w:proofErr w:type="spellStart"/>
      <w:r>
        <w:t>licence</w:t>
      </w:r>
      <w:proofErr w:type="spellEnd"/>
      <w:r>
        <w:t xml:space="preserve"> our products or to development a spin-out company to roll out the commercial versions of the tests.</w:t>
      </w:r>
    </w:p>
    <w:p w:rsidR="008352CB" w:rsidRDefault="008352CB" w:rsidP="008352CB">
      <w:r>
        <w:t>The strategic partnership with Ounce technology is to develop the software for the commercial, tablet version of the OCS (this will be part of a more general software platform called OCS-BRIDGE.</w:t>
      </w:r>
    </w:p>
    <w:p w:rsidR="005A3D89" w:rsidRDefault="005A3D89" w:rsidP="005A3D89">
      <w:pPr>
        <w:pStyle w:val="Heading3"/>
      </w:pPr>
      <w:bookmarkStart w:id="17" w:name="_Toc441061200"/>
      <w:r>
        <w:t>Renewal of CRF funding</w:t>
      </w:r>
      <w:bookmarkEnd w:id="17"/>
    </w:p>
    <w:p w:rsidR="005A3D89" w:rsidRPr="005A3D89" w:rsidRDefault="005A3D89" w:rsidP="005A3D89">
      <w:r>
        <w:t>The funding for the current CRF comes to an end in March 2017 and there is expectation that another round of funding will be announced for which there is anticipation that an application for funding will be submitted</w:t>
      </w:r>
    </w:p>
    <w:p w:rsidR="00B27ADA" w:rsidRDefault="00B27ADA" w:rsidP="00B27ADA">
      <w:pPr>
        <w:pStyle w:val="Heading2"/>
      </w:pPr>
      <w:bookmarkStart w:id="18" w:name="_Toc441061201"/>
      <w:r w:rsidRPr="008352CB">
        <w:t>NIHR BRC</w:t>
      </w:r>
      <w:bookmarkEnd w:id="18"/>
    </w:p>
    <w:p w:rsidR="005A3D89" w:rsidRDefault="005A3D89" w:rsidP="005A3D89">
      <w:r>
        <w:t xml:space="preserve">A Trust wide BRC meeting was held in July to outline the benefits to members of the Trust of applying for a BRC along with an outline of the potential application process.  A further meeting is in the planning for early 2016 with a wider group. </w:t>
      </w:r>
    </w:p>
    <w:p w:rsidR="005A3D89" w:rsidRDefault="008352CB" w:rsidP="008352CB">
      <w:r w:rsidRPr="008352CB">
        <w:t>The Trust is working collaboratively with the Univers</w:t>
      </w:r>
      <w:r>
        <w:t>i</w:t>
      </w:r>
      <w:r w:rsidRPr="008352CB">
        <w:t xml:space="preserve">ty of Oxford in developing a bid for the third round of Biomedical Research Centre funding which was announced in December 2015. </w:t>
      </w:r>
      <w:r w:rsidR="001C29FB">
        <w:t xml:space="preserve">The rules are essentially the same as the previous call with the applications being from one NHS Trust and one University. </w:t>
      </w:r>
      <w:r w:rsidR="005A3D89">
        <w:t>Key dates include</w:t>
      </w:r>
    </w:p>
    <w:p w:rsidR="005A3D89" w:rsidRDefault="005A3D89" w:rsidP="005A3D89">
      <w:pPr>
        <w:pStyle w:val="ListParagraph"/>
        <w:numPr>
          <w:ilvl w:val="0"/>
          <w:numId w:val="38"/>
        </w:numPr>
      </w:pPr>
      <w:r>
        <w:t>15 February 2016: deadline for receipt of Pre Qualifying Questionnaire</w:t>
      </w:r>
    </w:p>
    <w:p w:rsidR="005A3D89" w:rsidRDefault="005A3D89" w:rsidP="005A3D89">
      <w:pPr>
        <w:pStyle w:val="ListParagraph"/>
        <w:numPr>
          <w:ilvl w:val="0"/>
          <w:numId w:val="38"/>
        </w:numPr>
      </w:pPr>
      <w:r>
        <w:t>6 June 2016: deadline for receipt of full applications</w:t>
      </w:r>
    </w:p>
    <w:p w:rsidR="005A3D89" w:rsidRDefault="005A3D89" w:rsidP="005A3D89">
      <w:pPr>
        <w:pStyle w:val="ListParagraph"/>
        <w:numPr>
          <w:ilvl w:val="0"/>
          <w:numId w:val="38"/>
        </w:numPr>
      </w:pPr>
      <w:r>
        <w:t>July 2016: interviews</w:t>
      </w:r>
    </w:p>
    <w:p w:rsidR="005A3D89" w:rsidRDefault="005A3D89" w:rsidP="005A3D89">
      <w:pPr>
        <w:pStyle w:val="ListParagraph"/>
        <w:numPr>
          <w:ilvl w:val="0"/>
          <w:numId w:val="38"/>
        </w:numPr>
      </w:pPr>
      <w:r>
        <w:t>September 2016: confirmation of successful NIHR BRCs.</w:t>
      </w:r>
    </w:p>
    <w:p w:rsidR="005A3D89" w:rsidRDefault="005A3D89" w:rsidP="005A3D89">
      <w:pPr>
        <w:pStyle w:val="ListParagraph"/>
        <w:numPr>
          <w:ilvl w:val="0"/>
          <w:numId w:val="38"/>
        </w:numPr>
      </w:pPr>
      <w:r>
        <w:t>April 2017: Funding for selected NIHR BRCs commences</w:t>
      </w:r>
    </w:p>
    <w:p w:rsidR="008352CB" w:rsidRDefault="001C29FB" w:rsidP="008352CB">
      <w:r>
        <w:lastRenderedPageBreak/>
        <w:t>Conversations with the existing OUH/OU BRC have been very encouraging and there is collaborations planned for where themes and resources may overlap to reduce duplications.</w:t>
      </w:r>
    </w:p>
    <w:p w:rsidR="001C29FB" w:rsidRDefault="001C29FB" w:rsidP="001C29FB">
      <w:r>
        <w:t>The current strategy is to develop three age defined themes and the psychological treatments themes - and then to determine how the original cross cutting themes support them.  The themes and theme leaders are:</w:t>
      </w:r>
    </w:p>
    <w:p w:rsidR="001C29FB" w:rsidRDefault="001C29FB" w:rsidP="001C29FB">
      <w:pPr>
        <w:pStyle w:val="ListParagraph"/>
        <w:numPr>
          <w:ilvl w:val="0"/>
          <w:numId w:val="35"/>
        </w:numPr>
      </w:pPr>
      <w:r>
        <w:t>Protecting the developing brain, Professor Alan Stein</w:t>
      </w:r>
      <w:r>
        <w:tab/>
        <w:t xml:space="preserve"> </w:t>
      </w:r>
    </w:p>
    <w:p w:rsidR="001C29FB" w:rsidRDefault="001C29FB" w:rsidP="001C29FB">
      <w:pPr>
        <w:pStyle w:val="ListParagraph"/>
        <w:numPr>
          <w:ilvl w:val="0"/>
          <w:numId w:val="35"/>
        </w:numPr>
      </w:pPr>
      <w:r>
        <w:t>Early intervention in adults, Professor Paul Harrison</w:t>
      </w:r>
      <w:r>
        <w:tab/>
        <w:t xml:space="preserve"> </w:t>
      </w:r>
    </w:p>
    <w:p w:rsidR="001C29FB" w:rsidRDefault="001C29FB" w:rsidP="001C29FB">
      <w:pPr>
        <w:pStyle w:val="ListParagraph"/>
        <w:numPr>
          <w:ilvl w:val="0"/>
          <w:numId w:val="35"/>
        </w:numPr>
      </w:pPr>
      <w:r>
        <w:t xml:space="preserve">Preventing cognitive decline and dementia in older people, Professor Simon </w:t>
      </w:r>
      <w:proofErr w:type="spellStart"/>
      <w:r>
        <w:t>Lovestone</w:t>
      </w:r>
      <w:proofErr w:type="spellEnd"/>
    </w:p>
    <w:p w:rsidR="00CF076D" w:rsidRPr="00CF076D" w:rsidRDefault="001C29FB" w:rsidP="00CF076D">
      <w:pPr>
        <w:pStyle w:val="ListParagraph"/>
        <w:numPr>
          <w:ilvl w:val="0"/>
          <w:numId w:val="35"/>
        </w:numPr>
      </w:pPr>
      <w:proofErr w:type="spellStart"/>
      <w:r w:rsidRPr="00CF076D">
        <w:t>Optimising</w:t>
      </w:r>
      <w:proofErr w:type="spellEnd"/>
      <w:r w:rsidRPr="00CF076D">
        <w:t xml:space="preserve"> and implementing precision psychological treatments, Professor David Clark</w:t>
      </w:r>
      <w:r w:rsidRPr="00CF076D">
        <w:tab/>
      </w:r>
    </w:p>
    <w:p w:rsidR="00CF076D" w:rsidRPr="00ED1B8F" w:rsidRDefault="00CF076D" w:rsidP="00CF076D">
      <w:pPr>
        <w:pStyle w:val="Heading2"/>
      </w:pPr>
      <w:bookmarkStart w:id="19" w:name="_Toc441061202"/>
      <w:r w:rsidRPr="00ED1B8F">
        <w:t>NIHR CRN</w:t>
      </w:r>
      <w:bookmarkEnd w:id="19"/>
    </w:p>
    <w:p w:rsidR="00ED1B8F" w:rsidRDefault="00ED1B8F" w:rsidP="00ED1B8F">
      <w:r>
        <w:t xml:space="preserve">The NIHR CRN </w:t>
      </w:r>
      <w:proofErr w:type="gramStart"/>
      <w:r>
        <w:t>provide</w:t>
      </w:r>
      <w:proofErr w:type="gramEnd"/>
      <w:r>
        <w:t xml:space="preserve"> the Trust with funding for key positions within the Trust in addition to supporting a variety of research delivery staff employed within the </w:t>
      </w:r>
      <w:proofErr w:type="spellStart"/>
      <w:r>
        <w:t>organisations</w:t>
      </w:r>
      <w:proofErr w:type="spellEnd"/>
      <w:r>
        <w:t xml:space="preserve">.  The primary focus of the CRN is the support of research delivery for NIHR portfolio studies.  Within Oxford Health NHS FT it </w:t>
      </w:r>
      <w:proofErr w:type="spellStart"/>
      <w:r>
        <w:t>remians</w:t>
      </w:r>
      <w:proofErr w:type="spellEnd"/>
      <w:r>
        <w:t xml:space="preserve"> to be integral part of the dementia and mental health research portfolio as part of Division 4, which is thriving within the trust and continues to grow in terms of study numbers, variety and complexity.</w:t>
      </w:r>
    </w:p>
    <w:p w:rsidR="00ED1B8F" w:rsidRDefault="00ED1B8F" w:rsidP="00ED1B8F">
      <w:r>
        <w:t>There is already a wide variety of adult mental health portfolio studies running in OHFT and a number of dementia studies but areas that are being considered for growth are in Early Intervention and Childrens and Young Persons services, with additional resources being invested. The joint investment by the trust and the CRN the clinical teams research assistant posts has proved to be a success, and has enabled key recruitment support on a variety of studies, never before experienced.</w:t>
      </w:r>
    </w:p>
    <w:p w:rsidR="00ED1B8F" w:rsidRDefault="00ED1B8F" w:rsidP="00ED1B8F">
      <w:r>
        <w:t xml:space="preserve">Additional areas for growth for dementia studies remain in repurposing drugs, for use in Alzheimer's, and a focus on improving the lives of </w:t>
      </w:r>
      <w:proofErr w:type="spellStart"/>
      <w:r>
        <w:t>carers</w:t>
      </w:r>
      <w:proofErr w:type="spellEnd"/>
      <w:r>
        <w:t xml:space="preserve"> of people with dementia, as well as phase 2 studies of novel drugs for dementia management and prevention.</w:t>
      </w:r>
    </w:p>
    <w:p w:rsidR="001C29FB" w:rsidRDefault="00ED1B8F" w:rsidP="00ED1B8F">
      <w:r>
        <w:t>It is also hoped that the CRN can aid in the development and support of non-mental health research within the services provided within the older adult directorate within the Trust.</w:t>
      </w:r>
    </w:p>
    <w:p w:rsidR="00D03AD6" w:rsidRDefault="006A1A07" w:rsidP="00D03AD6">
      <w:pPr>
        <w:pStyle w:val="Heading1"/>
      </w:pPr>
      <w:bookmarkStart w:id="20" w:name="_Toc441061203"/>
      <w:r>
        <w:t>Research</w:t>
      </w:r>
      <w:r w:rsidR="00D03AD6" w:rsidRPr="006D7D89">
        <w:t xml:space="preserve"> Governance</w:t>
      </w:r>
      <w:bookmarkEnd w:id="20"/>
    </w:p>
    <w:p w:rsidR="00CF4850" w:rsidRDefault="00CF4850" w:rsidP="00CF4850">
      <w:pPr>
        <w:pStyle w:val="Heading2"/>
        <w:rPr>
          <w:i w:val="0"/>
        </w:rPr>
      </w:pPr>
      <w:bookmarkStart w:id="21" w:name="_Toc441061204"/>
      <w:r w:rsidRPr="00AB71D2">
        <w:rPr>
          <w:i w:val="0"/>
        </w:rPr>
        <w:t>R&amp;D Governance Group</w:t>
      </w:r>
      <w:bookmarkEnd w:id="21"/>
    </w:p>
    <w:p w:rsidR="00211268" w:rsidRDefault="00211268" w:rsidP="00211268">
      <w:r>
        <w:t>The R&amp;D Governance group is established with a member of each of the clinical directorates now identified and attending quarterly meetings.  The Group serves primarily as an assurance group to review research ongoing within the Trust.  The Terms of Reference and membership is due to be reviewed within the next few months to take into account the new meetings structures within R&amp;D.</w:t>
      </w:r>
    </w:p>
    <w:p w:rsidR="00211268" w:rsidRPr="00211268" w:rsidRDefault="00211268" w:rsidP="00211268">
      <w:r>
        <w:t>A summary paper of the R&amp;D Governance Group meetings are submitted to the Quality Sub Committee: Effectiveness</w:t>
      </w:r>
    </w:p>
    <w:p w:rsidR="00142326" w:rsidRDefault="00142326" w:rsidP="00142326">
      <w:pPr>
        <w:pStyle w:val="Heading2"/>
        <w:rPr>
          <w:i w:val="0"/>
        </w:rPr>
      </w:pPr>
      <w:bookmarkStart w:id="22" w:name="_Toc441061205"/>
      <w:r w:rsidRPr="00AB71D2">
        <w:rPr>
          <w:i w:val="0"/>
        </w:rPr>
        <w:lastRenderedPageBreak/>
        <w:t>Contract Review Processes</w:t>
      </w:r>
      <w:bookmarkEnd w:id="22"/>
    </w:p>
    <w:p w:rsidR="00211268" w:rsidRPr="00211268" w:rsidRDefault="00211268" w:rsidP="00211268">
      <w:r w:rsidRPr="00211268">
        <w:t xml:space="preserve">The agreement between </w:t>
      </w:r>
      <w:r>
        <w:t>OHFT</w:t>
      </w:r>
      <w:r w:rsidRPr="00211268">
        <w:t xml:space="preserve"> and </w:t>
      </w:r>
      <w:r>
        <w:t>OUH</w:t>
      </w:r>
      <w:r w:rsidRPr="00211268">
        <w:t xml:space="preserve"> to undertake the review of non-standard or modified contracts from a legal perspective to ensure the Trust obligations are appropriate </w:t>
      </w:r>
      <w:r>
        <w:t xml:space="preserve">has been </w:t>
      </w:r>
      <w:r w:rsidRPr="00211268">
        <w:t xml:space="preserve">renewed due to the effective working practices this has demonstrated.  </w:t>
      </w:r>
    </w:p>
    <w:p w:rsidR="00CF4850" w:rsidRPr="00AB71D2" w:rsidRDefault="00CF4850" w:rsidP="000B1F95">
      <w:pPr>
        <w:pStyle w:val="Heading2"/>
        <w:rPr>
          <w:i w:val="0"/>
        </w:rPr>
      </w:pPr>
      <w:bookmarkStart w:id="23" w:name="_Toc441061206"/>
      <w:r w:rsidRPr="00AB71D2">
        <w:rPr>
          <w:i w:val="0"/>
        </w:rPr>
        <w:t>R&amp;D Data Capture Mechanisms</w:t>
      </w:r>
      <w:bookmarkEnd w:id="23"/>
    </w:p>
    <w:p w:rsidR="00C24E9C" w:rsidRDefault="00CF4850" w:rsidP="00CF4850">
      <w:pPr>
        <w:pStyle w:val="Heading3"/>
      </w:pPr>
      <w:bookmarkStart w:id="24" w:name="_Toc441061207"/>
      <w:r>
        <w:t>Expressions of Interest</w:t>
      </w:r>
      <w:bookmarkEnd w:id="24"/>
    </w:p>
    <w:p w:rsidR="008D6365" w:rsidRPr="008D6365" w:rsidRDefault="008D6365" w:rsidP="008D6365">
      <w:r>
        <w:t xml:space="preserve">The Trust is regularly </w:t>
      </w:r>
      <w:r w:rsidR="009045C6">
        <w:t>receives requests to ascertain whether it is interested or has the potential capacity or clinical service to deliver a research project.  Once completed the sponsor will determine whether they want to pursue the setting up of the study within the Trust and will conduct a site visit to review facilities etc.  Once the sponsor has satisfied their requirements it may lead to the set up and conduct of the study within the Trust.  The graph below shows the number of expressions of interest for commercially and non-commercially sponsored studies that lead to study set up.</w:t>
      </w:r>
    </w:p>
    <w:p w:rsidR="008D6365" w:rsidRPr="008D6365" w:rsidRDefault="008D6365" w:rsidP="008D6365">
      <w:pPr>
        <w:jc w:val="center"/>
      </w:pPr>
      <w:r>
        <w:rPr>
          <w:noProof/>
          <w:lang w:val="en-GB" w:eastAsia="en-GB"/>
        </w:rPr>
        <w:drawing>
          <wp:inline distT="0" distB="0" distL="0" distR="0" wp14:anchorId="192228C5">
            <wp:extent cx="4579620" cy="27508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9620" cy="2750820"/>
                    </a:xfrm>
                    <a:prstGeom prst="rect">
                      <a:avLst/>
                    </a:prstGeom>
                    <a:noFill/>
                  </pic:spPr>
                </pic:pic>
              </a:graphicData>
            </a:graphic>
          </wp:inline>
        </w:drawing>
      </w:r>
    </w:p>
    <w:p w:rsidR="00C25420" w:rsidRDefault="00C25420" w:rsidP="00C25420">
      <w:pPr>
        <w:pStyle w:val="Heading3"/>
        <w:numPr>
          <w:ilvl w:val="0"/>
          <w:numId w:val="0"/>
        </w:numPr>
        <w:ind w:left="720"/>
      </w:pPr>
    </w:p>
    <w:p w:rsidR="00CF7421" w:rsidRPr="001C29FB" w:rsidRDefault="00CF4850" w:rsidP="00142326">
      <w:pPr>
        <w:pStyle w:val="Heading3"/>
      </w:pPr>
      <w:bookmarkStart w:id="25" w:name="_Toc441061208"/>
      <w:r w:rsidRPr="001C29FB">
        <w:t>Pipeline Meetings</w:t>
      </w:r>
      <w:bookmarkEnd w:id="25"/>
    </w:p>
    <w:p w:rsidR="001C29FB" w:rsidRDefault="00C25420" w:rsidP="001C29FB">
      <w:r>
        <w:t xml:space="preserve">Internal R&amp;D pipeline meetings continue to </w:t>
      </w:r>
      <w:r w:rsidR="001C29FB">
        <w:t>take place with 58 studies reviewed by pipeline group (13 commercial studies and 45 non-commercial studies) since 1</w:t>
      </w:r>
      <w:r w:rsidR="001C29FB" w:rsidRPr="001C29FB">
        <w:rPr>
          <w:vertAlign w:val="superscript"/>
        </w:rPr>
        <w:t>st</w:t>
      </w:r>
      <w:r w:rsidR="001C29FB">
        <w:t xml:space="preserve"> April 2015.  The number of studies taken from pipeline to the feasibility group was 36 (7 commercial studies and 29 non-commercial studies).  The number of studies approved by feasibility group during that period has been 29 (4 commercial studies and 25 non-commercial studies)</w:t>
      </w:r>
    </w:p>
    <w:p w:rsidR="000E64BF" w:rsidRPr="001C29FB" w:rsidRDefault="000E64BF" w:rsidP="000E64BF">
      <w:pPr>
        <w:pStyle w:val="Heading3"/>
      </w:pPr>
      <w:bookmarkStart w:id="26" w:name="_Toc441061209"/>
      <w:r w:rsidRPr="001C29FB">
        <w:t>HRA</w:t>
      </w:r>
      <w:bookmarkEnd w:id="26"/>
    </w:p>
    <w:p w:rsidR="0079073F" w:rsidRPr="0079073F" w:rsidRDefault="0079073F" w:rsidP="0079073F">
      <w:r w:rsidRPr="0079073F">
        <w:t xml:space="preserve">The HRA was established in December 2011 to protect and promote the interests of patients and the public in health research, and to streamline the regulation of research.  The HRA aims to align the Research Ethics Committee (REC) approvals process with NHS R&amp;D approvals, to reduce duplication by creating a single HRA assessment. </w:t>
      </w:r>
    </w:p>
    <w:p w:rsidR="0079073F" w:rsidRPr="0079073F" w:rsidRDefault="0079073F" w:rsidP="0079073F">
      <w:r w:rsidRPr="0079073F">
        <w:lastRenderedPageBreak/>
        <w:t>The process is being rolled out in a 5 step phase with the HRA taking responsibility for providing NHS permission for most research projects with the exception of CTIMPs and educational projects, which will be among the last to go through the new process.  The expectation is that this process will be complete by March 2016 with the HRA providing NHS permission and REC approval for all research being conducted within an NHS setting from this point onwards.  Once the process is complete individual Trusts will no longer be responsible for providing NHS permission to researchers but will instead be required to confirm capacity and capability to undertake research within their Trust for most research projects.</w:t>
      </w:r>
    </w:p>
    <w:p w:rsidR="0079073F" w:rsidRPr="0079073F" w:rsidRDefault="0079073F" w:rsidP="0079073F">
      <w:r w:rsidRPr="0079073F">
        <w:t xml:space="preserve">The HRA is working with stakeholders, including NHS Trusts, to ensure the process is collaborative and are improving and amending the process as the various phases are rolled out.  Included in the changes will be a new UK Policy Framework for Health and Social Care Research will replace the Research Governance Framework.  The new policy framework is due to be </w:t>
      </w:r>
      <w:proofErr w:type="spellStart"/>
      <w:r w:rsidRPr="0079073F">
        <w:t>finalised</w:t>
      </w:r>
      <w:proofErr w:type="spellEnd"/>
      <w:r w:rsidRPr="0079073F">
        <w:t xml:space="preserve"> and published by each of the UK health departments in 2016.  </w:t>
      </w:r>
    </w:p>
    <w:p w:rsidR="0079073F" w:rsidRPr="0079073F" w:rsidRDefault="0079073F" w:rsidP="0079073F">
      <w:pPr>
        <w:rPr>
          <w:rFonts w:eastAsiaTheme="majorEastAsia" w:cstheme="majorBidi"/>
          <w:b/>
          <w:bCs/>
        </w:rPr>
      </w:pPr>
      <w:r w:rsidRPr="0079073F">
        <w:t>The new HRA approval process will increase expectation and responsibility on sponsors of research projects to ensure high-quality research is conducted in the NHS, which will require additional resources in order to meet this expectation.  Trusts will be required to work closely with sponsors to agree capacity and capability to conduct research and to comply with NIHR contract requirements for delivering research.</w:t>
      </w:r>
    </w:p>
    <w:p w:rsidR="00D75E82" w:rsidRDefault="00D75E82" w:rsidP="0079073F">
      <w:pPr>
        <w:pStyle w:val="Heading3"/>
      </w:pPr>
      <w:bookmarkStart w:id="27" w:name="_Toc441061210"/>
      <w:r w:rsidRPr="000E64BF">
        <w:t>R&amp;D Data Capture</w:t>
      </w:r>
      <w:bookmarkEnd w:id="27"/>
    </w:p>
    <w:p w:rsidR="00155CDB" w:rsidRDefault="00155CDB" w:rsidP="00155CDB">
      <w:r>
        <w:t>Oxford University Hospitals NHS FT, supported by the NIHR CRN, developed the Research Portfolio Management System (RPMS), a database capable of monitoring the lifecycle and recruitment of a research study.  The RPMS runs on the OXNET server, a secure NHS server system.  Data migration has been completed</w:t>
      </w:r>
      <w:r w:rsidRPr="00155CDB">
        <w:t xml:space="preserve"> </w:t>
      </w:r>
      <w:r>
        <w:t>and is now fully operational within the Trust, although some data cleaning is still ongoing</w:t>
      </w:r>
    </w:p>
    <w:p w:rsidR="004516F1" w:rsidRDefault="00390CB5" w:rsidP="00390CB5">
      <w:pPr>
        <w:pStyle w:val="Heading3"/>
      </w:pPr>
      <w:bookmarkStart w:id="28" w:name="_Toc441061211"/>
      <w:r w:rsidRPr="000E64BF">
        <w:t>M</w:t>
      </w:r>
      <w:r w:rsidR="004516F1" w:rsidRPr="000E64BF">
        <w:t>onitoring and Auditing of research projects</w:t>
      </w:r>
      <w:bookmarkEnd w:id="28"/>
    </w:p>
    <w:p w:rsidR="00155CDB" w:rsidRPr="00155CDB" w:rsidRDefault="00155CDB" w:rsidP="00155CDB">
      <w:r w:rsidRPr="00155CDB">
        <w:t xml:space="preserve">Due to workload and </w:t>
      </w:r>
      <w:r>
        <w:t>very limited resource</w:t>
      </w:r>
      <w:r w:rsidRPr="00155CDB">
        <w:t xml:space="preserve"> within the R&amp;D governance team it has not been possible to focus attention to the role-out of a robust monitoring and auditing process for hosted and sponsored research within the Trust.  However, a number of studies have been identified as requiring a review of governance compliance and the hope is that the governance team will be able to commence the process of contacting and arranging visits with individual PIs within the next couple of months.  </w:t>
      </w:r>
    </w:p>
    <w:p w:rsidR="004516F1" w:rsidRDefault="00390CB5" w:rsidP="004516F1">
      <w:pPr>
        <w:pStyle w:val="Heading3"/>
      </w:pPr>
      <w:bookmarkStart w:id="29" w:name="_Toc441061212"/>
      <w:r w:rsidRPr="000E64BF">
        <w:t>S</w:t>
      </w:r>
      <w:r w:rsidR="004516F1" w:rsidRPr="000E64BF">
        <w:t>afety committee</w:t>
      </w:r>
      <w:bookmarkEnd w:id="29"/>
    </w:p>
    <w:p w:rsidR="00155CDB" w:rsidRPr="00155CDB" w:rsidRDefault="00155CDB" w:rsidP="00155CDB">
      <w:r>
        <w:t xml:space="preserve">It was agreed at the last research Governance group meeting that rather than have a separate meeting to review adverse events related to research studies that a more streamline process of requesting information from researchers on an ongoing basis for review at the research governance group meetings was preferable.  Requests for information are being included in letters informing researchers that they are able to start their studies within the Trust. </w:t>
      </w:r>
    </w:p>
    <w:p w:rsidR="00F2654F" w:rsidRDefault="006A1A07" w:rsidP="006A1A07">
      <w:pPr>
        <w:pStyle w:val="Heading2"/>
        <w:rPr>
          <w:i w:val="0"/>
        </w:rPr>
      </w:pPr>
      <w:bookmarkStart w:id="30" w:name="_Toc441061213"/>
      <w:r w:rsidRPr="00AB71D2">
        <w:rPr>
          <w:i w:val="0"/>
        </w:rPr>
        <w:t>New Meeting Structure</w:t>
      </w:r>
      <w:bookmarkEnd w:id="30"/>
    </w:p>
    <w:p w:rsidR="00155CDB" w:rsidRDefault="00155CDB" w:rsidP="00155CDB">
      <w:r>
        <w:t xml:space="preserve">The new meeting structure is working well with collective decisions on assessing the capacity and capability of the Trust in undertaking research studies.  There has been </w:t>
      </w:r>
      <w:r>
        <w:lastRenderedPageBreak/>
        <w:t xml:space="preserve">engagement from the relative stakeholders including those from the CRN who are supporting the delivery of studies.  It is hoped that these meetings will also be used to identify struggling studies therefore redirecting resource to where </w:t>
      </w:r>
      <w:proofErr w:type="gramStart"/>
      <w:r>
        <w:t>is</w:t>
      </w:r>
      <w:proofErr w:type="gramEnd"/>
      <w:r>
        <w:t xml:space="preserve"> it required.</w:t>
      </w:r>
    </w:p>
    <w:p w:rsidR="00155CDB" w:rsidRPr="00155CDB" w:rsidRDefault="00155CDB" w:rsidP="00155CDB">
      <w:r>
        <w:t>It is hoped that this may be more inclusive of Trust clinical services and directorates over the next 12 to 18 months</w:t>
      </w:r>
    </w:p>
    <w:p w:rsidR="00D03AD6" w:rsidRPr="00AB2DE4" w:rsidRDefault="009B51DB" w:rsidP="006D7D89">
      <w:pPr>
        <w:pStyle w:val="Heading1"/>
      </w:pPr>
      <w:bookmarkStart w:id="31" w:name="_Toc441061214"/>
      <w:r w:rsidRPr="00AB2DE4">
        <w:t>Studies and Participant Recruitment</w:t>
      </w:r>
      <w:bookmarkEnd w:id="31"/>
    </w:p>
    <w:p w:rsidR="00535E29" w:rsidRDefault="00535E29" w:rsidP="005A075E">
      <w:pPr>
        <w:pStyle w:val="Heading2"/>
        <w:rPr>
          <w:lang w:val="en-GB"/>
        </w:rPr>
      </w:pPr>
      <w:bookmarkStart w:id="32" w:name="_Toc441061215"/>
      <w:r>
        <w:rPr>
          <w:lang w:val="en-GB"/>
        </w:rPr>
        <w:t>Studies</w:t>
      </w:r>
      <w:bookmarkEnd w:id="32"/>
    </w:p>
    <w:p w:rsidR="00C54742" w:rsidRPr="00C54742" w:rsidRDefault="00C54742" w:rsidP="00C54742">
      <w:pPr>
        <w:rPr>
          <w:lang w:val="en-GB"/>
        </w:rPr>
      </w:pPr>
      <w:r>
        <w:rPr>
          <w:lang w:val="en-GB"/>
        </w:rPr>
        <w:t>The number of research studies ongoing within the Trust at the end of October was 90, 56 pf which are adopted onto the NIHR portfolio.  The graph below shows the increase in the number of portfolio studies over the last six years</w:t>
      </w:r>
    </w:p>
    <w:p w:rsidR="00C54742" w:rsidRPr="00C54742" w:rsidRDefault="00C54742" w:rsidP="00C54742">
      <w:pPr>
        <w:jc w:val="center"/>
        <w:rPr>
          <w:lang w:val="en-GB"/>
        </w:rPr>
      </w:pPr>
      <w:r>
        <w:rPr>
          <w:noProof/>
          <w:lang w:val="en-GB" w:eastAsia="en-GB"/>
        </w:rPr>
        <w:drawing>
          <wp:inline distT="0" distB="0" distL="0" distR="0" wp14:anchorId="7A7752B8">
            <wp:extent cx="5316279" cy="29736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23549" cy="2977671"/>
                    </a:xfrm>
                    <a:prstGeom prst="rect">
                      <a:avLst/>
                    </a:prstGeom>
                    <a:noFill/>
                  </pic:spPr>
                </pic:pic>
              </a:graphicData>
            </a:graphic>
          </wp:inline>
        </w:drawing>
      </w:r>
    </w:p>
    <w:p w:rsidR="00D06B48" w:rsidRDefault="00D06B48" w:rsidP="00D06B48">
      <w:pPr>
        <w:pStyle w:val="Heading2"/>
        <w:rPr>
          <w:lang w:val="en-GB"/>
        </w:rPr>
      </w:pPr>
      <w:bookmarkStart w:id="33" w:name="_Toc441061216"/>
      <w:r w:rsidRPr="00AB2DE4">
        <w:rPr>
          <w:lang w:val="en-GB"/>
        </w:rPr>
        <w:t>Participant Recruitment</w:t>
      </w:r>
      <w:bookmarkEnd w:id="33"/>
    </w:p>
    <w:p w:rsidR="00C54742" w:rsidRDefault="00C54742" w:rsidP="00C54742">
      <w:pPr>
        <w:rPr>
          <w:lang w:val="en-GB"/>
        </w:rPr>
      </w:pPr>
      <w:r>
        <w:rPr>
          <w:lang w:val="en-GB"/>
        </w:rPr>
        <w:t xml:space="preserve">The figure below shows the </w:t>
      </w:r>
      <w:r w:rsidR="005D3E74">
        <w:rPr>
          <w:lang w:val="en-GB"/>
        </w:rPr>
        <w:t>number of participants recruited to research studies over the past five years.  The NIHR publishes league tables on an annual basis</w:t>
      </w:r>
      <w:r w:rsidR="008D6365">
        <w:rPr>
          <w:lang w:val="en-GB"/>
        </w:rPr>
        <w:t>.  Oxford Health NHS FT was ranked first nationally for the number of participants recruited to NIHR portfolio studies during 2014/2015.</w:t>
      </w:r>
    </w:p>
    <w:p w:rsidR="008D6365" w:rsidRPr="00C54742" w:rsidRDefault="008D6365" w:rsidP="00C54742">
      <w:pPr>
        <w:rPr>
          <w:lang w:val="en-GB"/>
        </w:rPr>
      </w:pPr>
      <w:r>
        <w:rPr>
          <w:lang w:val="en-GB"/>
        </w:rPr>
        <w:t>Currently the number of participants recruited to NIHR portfolio studies for the first six months of 2015/2016 is 1115 and 253 participants into non portfolio studies.  Data collection is ongoing on a quarterly basis.</w:t>
      </w:r>
    </w:p>
    <w:p w:rsidR="00C54742" w:rsidRPr="00C54742" w:rsidRDefault="005D3E74" w:rsidP="00C54742">
      <w:pPr>
        <w:jc w:val="center"/>
        <w:rPr>
          <w:lang w:val="en-GB"/>
        </w:rPr>
      </w:pPr>
      <w:r>
        <w:rPr>
          <w:noProof/>
          <w:lang w:val="en-GB" w:eastAsia="en-GB"/>
        </w:rPr>
        <w:lastRenderedPageBreak/>
        <w:drawing>
          <wp:inline distT="0" distB="0" distL="0" distR="0" wp14:anchorId="24E84012">
            <wp:extent cx="4579620" cy="27508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9620" cy="2750820"/>
                    </a:xfrm>
                    <a:prstGeom prst="rect">
                      <a:avLst/>
                    </a:prstGeom>
                    <a:noFill/>
                  </pic:spPr>
                </pic:pic>
              </a:graphicData>
            </a:graphic>
          </wp:inline>
        </w:drawing>
      </w:r>
    </w:p>
    <w:p w:rsidR="00535E29" w:rsidRDefault="00535E29" w:rsidP="005A075E">
      <w:pPr>
        <w:pStyle w:val="Heading2"/>
        <w:rPr>
          <w:lang w:val="en-GB"/>
        </w:rPr>
      </w:pPr>
      <w:bookmarkStart w:id="34" w:name="_Toc441061217"/>
      <w:r>
        <w:rPr>
          <w:lang w:val="en-GB"/>
        </w:rPr>
        <w:t>Grant</w:t>
      </w:r>
      <w:r w:rsidR="00EC3449">
        <w:rPr>
          <w:lang w:val="en-GB"/>
        </w:rPr>
        <w:t xml:space="preserve"> applications</w:t>
      </w:r>
      <w:bookmarkEnd w:id="34"/>
    </w:p>
    <w:p w:rsidR="00BD2181" w:rsidRPr="00BD2181" w:rsidRDefault="00BD2181" w:rsidP="00BD2181">
      <w:r w:rsidRPr="00BD2181">
        <w:t xml:space="preserve">During the period April 2015 to November 2015 25 grant applications were submitted, of which 6 were successful, 9 unsuccessful and the outcome for 10 are yet to be advised. As at December 2015 a further 6 applications are being worked on for future submission. The applications submitted originated from the sources outlined in the table below. </w:t>
      </w:r>
    </w:p>
    <w:tbl>
      <w:tblPr>
        <w:tblStyle w:val="TableGrid"/>
        <w:tblW w:w="0" w:type="auto"/>
        <w:jc w:val="center"/>
        <w:tblLook w:val="04A0" w:firstRow="1" w:lastRow="0" w:firstColumn="1" w:lastColumn="0" w:noHBand="0" w:noVBand="1"/>
      </w:tblPr>
      <w:tblGrid>
        <w:gridCol w:w="4021"/>
        <w:gridCol w:w="1843"/>
      </w:tblGrid>
      <w:tr w:rsidR="00BD2181" w:rsidRPr="00BD2181" w:rsidTr="00BD2181">
        <w:trPr>
          <w:trHeight w:hRule="exact" w:val="248"/>
          <w:jc w:val="center"/>
        </w:trPr>
        <w:tc>
          <w:tcPr>
            <w:tcW w:w="5864" w:type="dxa"/>
            <w:gridSpan w:val="2"/>
            <w:shd w:val="clear" w:color="auto" w:fill="8DB3E2" w:themeFill="text2" w:themeFillTint="66"/>
          </w:tcPr>
          <w:p w:rsidR="00BD2181" w:rsidRPr="00BD2181" w:rsidRDefault="00BD2181" w:rsidP="005D3E74">
            <w:pPr>
              <w:spacing w:before="0" w:after="0"/>
              <w:jc w:val="left"/>
              <w:rPr>
                <w:rFonts w:asciiTheme="minorHAnsi" w:hAnsiTheme="minorHAnsi"/>
                <w:b/>
              </w:rPr>
            </w:pPr>
            <w:r w:rsidRPr="00BD2181">
              <w:rPr>
                <w:rFonts w:asciiTheme="minorHAnsi" w:hAnsiTheme="minorHAnsi"/>
                <w:b/>
              </w:rPr>
              <w:t>Application Source</w:t>
            </w:r>
          </w:p>
        </w:tc>
      </w:tr>
      <w:tr w:rsidR="00BD2181" w:rsidRPr="00BD2181" w:rsidTr="00BD2181">
        <w:trPr>
          <w:trHeight w:hRule="exact" w:val="327"/>
          <w:jc w:val="center"/>
        </w:trPr>
        <w:tc>
          <w:tcPr>
            <w:tcW w:w="4021" w:type="dxa"/>
          </w:tcPr>
          <w:p w:rsidR="00BD2181" w:rsidRPr="00BD2181" w:rsidRDefault="00BD2181" w:rsidP="005D3E74">
            <w:pPr>
              <w:spacing w:before="0" w:after="0"/>
              <w:rPr>
                <w:rFonts w:asciiTheme="minorHAnsi" w:hAnsiTheme="minorHAnsi"/>
                <w:sz w:val="22"/>
                <w:szCs w:val="22"/>
              </w:rPr>
            </w:pPr>
            <w:r w:rsidRPr="00BD2181">
              <w:rPr>
                <w:rFonts w:asciiTheme="minorHAnsi" w:hAnsiTheme="minorHAnsi"/>
                <w:sz w:val="22"/>
                <w:szCs w:val="22"/>
              </w:rPr>
              <w:t>Trust (direct &amp; sub-contracted)</w:t>
            </w:r>
          </w:p>
        </w:tc>
        <w:tc>
          <w:tcPr>
            <w:tcW w:w="1843" w:type="dxa"/>
          </w:tcPr>
          <w:p w:rsidR="00BD2181" w:rsidRPr="00BD2181" w:rsidRDefault="00BD2181" w:rsidP="005D3E74">
            <w:pPr>
              <w:spacing w:before="0" w:after="0"/>
              <w:jc w:val="center"/>
              <w:rPr>
                <w:rFonts w:asciiTheme="minorHAnsi" w:hAnsiTheme="minorHAnsi"/>
                <w:sz w:val="22"/>
                <w:szCs w:val="22"/>
              </w:rPr>
            </w:pPr>
            <w:r w:rsidRPr="00BD2181">
              <w:rPr>
                <w:rFonts w:asciiTheme="minorHAnsi" w:hAnsiTheme="minorHAnsi"/>
                <w:sz w:val="22"/>
                <w:szCs w:val="22"/>
              </w:rPr>
              <w:t>12</w:t>
            </w:r>
          </w:p>
        </w:tc>
      </w:tr>
      <w:tr w:rsidR="00BD2181" w:rsidRPr="00BD2181" w:rsidTr="00BD2181">
        <w:trPr>
          <w:trHeight w:hRule="exact" w:val="290"/>
          <w:jc w:val="center"/>
        </w:trPr>
        <w:tc>
          <w:tcPr>
            <w:tcW w:w="4021" w:type="dxa"/>
            <w:tcBorders>
              <w:bottom w:val="single" w:sz="4" w:space="0" w:color="auto"/>
            </w:tcBorders>
          </w:tcPr>
          <w:p w:rsidR="00BD2181" w:rsidRPr="00BD2181" w:rsidRDefault="00BD2181" w:rsidP="005D3E74">
            <w:pPr>
              <w:spacing w:before="0" w:after="0"/>
              <w:rPr>
                <w:rFonts w:asciiTheme="minorHAnsi" w:hAnsiTheme="minorHAnsi"/>
                <w:sz w:val="22"/>
                <w:szCs w:val="22"/>
              </w:rPr>
            </w:pPr>
            <w:r w:rsidRPr="00BD2181">
              <w:rPr>
                <w:rFonts w:asciiTheme="minorHAnsi" w:hAnsiTheme="minorHAnsi"/>
                <w:sz w:val="22"/>
                <w:szCs w:val="22"/>
              </w:rPr>
              <w:t>Department of Psychiatry</w:t>
            </w:r>
          </w:p>
        </w:tc>
        <w:tc>
          <w:tcPr>
            <w:tcW w:w="1843" w:type="dxa"/>
            <w:tcBorders>
              <w:bottom w:val="single" w:sz="4" w:space="0" w:color="auto"/>
            </w:tcBorders>
          </w:tcPr>
          <w:p w:rsidR="00BD2181" w:rsidRPr="00BD2181" w:rsidRDefault="00BD2181" w:rsidP="005D3E74">
            <w:pPr>
              <w:spacing w:before="0" w:after="0"/>
              <w:jc w:val="center"/>
              <w:rPr>
                <w:rFonts w:asciiTheme="minorHAnsi" w:hAnsiTheme="minorHAnsi"/>
                <w:sz w:val="22"/>
                <w:szCs w:val="22"/>
              </w:rPr>
            </w:pPr>
            <w:r w:rsidRPr="00BD2181">
              <w:rPr>
                <w:rFonts w:asciiTheme="minorHAnsi" w:hAnsiTheme="minorHAnsi"/>
                <w:sz w:val="22"/>
                <w:szCs w:val="22"/>
              </w:rPr>
              <w:t>9</w:t>
            </w:r>
          </w:p>
        </w:tc>
      </w:tr>
      <w:tr w:rsidR="00BD2181" w:rsidRPr="00BD2181" w:rsidTr="00BD2181">
        <w:trPr>
          <w:trHeight w:hRule="exact" w:val="294"/>
          <w:jc w:val="center"/>
        </w:trPr>
        <w:tc>
          <w:tcPr>
            <w:tcW w:w="4021" w:type="dxa"/>
            <w:tcBorders>
              <w:bottom w:val="single" w:sz="4" w:space="0" w:color="auto"/>
            </w:tcBorders>
          </w:tcPr>
          <w:p w:rsidR="00BD2181" w:rsidRPr="00BD2181" w:rsidRDefault="00BD2181" w:rsidP="005D3E74">
            <w:pPr>
              <w:spacing w:before="0" w:after="0"/>
              <w:rPr>
                <w:rFonts w:asciiTheme="minorHAnsi" w:hAnsiTheme="minorHAnsi"/>
                <w:sz w:val="22"/>
                <w:szCs w:val="22"/>
              </w:rPr>
            </w:pPr>
            <w:r w:rsidRPr="00BD2181">
              <w:rPr>
                <w:rFonts w:asciiTheme="minorHAnsi" w:hAnsiTheme="minorHAnsi"/>
                <w:sz w:val="22"/>
                <w:szCs w:val="22"/>
              </w:rPr>
              <w:t>Department of Primary Care</w:t>
            </w:r>
          </w:p>
        </w:tc>
        <w:tc>
          <w:tcPr>
            <w:tcW w:w="1843" w:type="dxa"/>
            <w:tcBorders>
              <w:bottom w:val="single" w:sz="4" w:space="0" w:color="auto"/>
            </w:tcBorders>
          </w:tcPr>
          <w:p w:rsidR="00BD2181" w:rsidRPr="00BD2181" w:rsidRDefault="00BD2181" w:rsidP="005D3E74">
            <w:pPr>
              <w:spacing w:before="0" w:after="0"/>
              <w:jc w:val="center"/>
              <w:rPr>
                <w:rFonts w:asciiTheme="minorHAnsi" w:hAnsiTheme="minorHAnsi"/>
                <w:sz w:val="22"/>
                <w:szCs w:val="22"/>
              </w:rPr>
            </w:pPr>
            <w:r w:rsidRPr="00BD2181">
              <w:rPr>
                <w:rFonts w:asciiTheme="minorHAnsi" w:hAnsiTheme="minorHAnsi"/>
                <w:sz w:val="22"/>
                <w:szCs w:val="22"/>
              </w:rPr>
              <w:t>2</w:t>
            </w:r>
          </w:p>
        </w:tc>
      </w:tr>
      <w:tr w:rsidR="00BD2181" w:rsidRPr="00BD2181" w:rsidTr="00BD2181">
        <w:trPr>
          <w:trHeight w:hRule="exact" w:val="284"/>
          <w:jc w:val="center"/>
        </w:trPr>
        <w:tc>
          <w:tcPr>
            <w:tcW w:w="4021" w:type="dxa"/>
            <w:tcBorders>
              <w:bottom w:val="single" w:sz="4" w:space="0" w:color="auto"/>
            </w:tcBorders>
          </w:tcPr>
          <w:p w:rsidR="00BD2181" w:rsidRPr="00BD2181" w:rsidRDefault="00BD2181" w:rsidP="005D3E74">
            <w:pPr>
              <w:spacing w:before="0" w:after="0"/>
              <w:rPr>
                <w:rFonts w:asciiTheme="minorHAnsi" w:hAnsiTheme="minorHAnsi"/>
                <w:sz w:val="22"/>
                <w:szCs w:val="22"/>
              </w:rPr>
            </w:pPr>
            <w:r w:rsidRPr="00BD2181">
              <w:rPr>
                <w:rFonts w:asciiTheme="minorHAnsi" w:hAnsiTheme="minorHAnsi"/>
                <w:sz w:val="22"/>
                <w:szCs w:val="22"/>
              </w:rPr>
              <w:t>Other</w:t>
            </w:r>
          </w:p>
        </w:tc>
        <w:tc>
          <w:tcPr>
            <w:tcW w:w="1843" w:type="dxa"/>
            <w:tcBorders>
              <w:bottom w:val="single" w:sz="4" w:space="0" w:color="auto"/>
            </w:tcBorders>
          </w:tcPr>
          <w:p w:rsidR="00BD2181" w:rsidRPr="00BD2181" w:rsidRDefault="00BD2181" w:rsidP="005D3E74">
            <w:pPr>
              <w:spacing w:before="0" w:after="0"/>
              <w:jc w:val="center"/>
              <w:rPr>
                <w:rFonts w:asciiTheme="minorHAnsi" w:hAnsiTheme="minorHAnsi"/>
                <w:sz w:val="22"/>
                <w:szCs w:val="22"/>
              </w:rPr>
            </w:pPr>
            <w:r w:rsidRPr="00BD2181">
              <w:rPr>
                <w:rFonts w:asciiTheme="minorHAnsi" w:hAnsiTheme="minorHAnsi"/>
                <w:sz w:val="22"/>
                <w:szCs w:val="22"/>
              </w:rPr>
              <w:t>2</w:t>
            </w:r>
          </w:p>
        </w:tc>
      </w:tr>
      <w:tr w:rsidR="00BD2181" w:rsidRPr="00BD2181" w:rsidTr="00BD2181">
        <w:trPr>
          <w:trHeight w:hRule="exact" w:val="367"/>
          <w:jc w:val="center"/>
        </w:trPr>
        <w:tc>
          <w:tcPr>
            <w:tcW w:w="4021" w:type="dxa"/>
            <w:tcBorders>
              <w:bottom w:val="single" w:sz="4" w:space="0" w:color="auto"/>
            </w:tcBorders>
            <w:shd w:val="clear" w:color="auto" w:fill="8DB3E2" w:themeFill="text2" w:themeFillTint="66"/>
          </w:tcPr>
          <w:p w:rsidR="00BD2181" w:rsidRPr="00BD2181" w:rsidRDefault="00BD2181" w:rsidP="005D3E74">
            <w:pPr>
              <w:spacing w:before="0" w:after="0"/>
              <w:rPr>
                <w:rFonts w:asciiTheme="minorHAnsi" w:hAnsiTheme="minorHAnsi"/>
                <w:b/>
                <w:sz w:val="22"/>
                <w:szCs w:val="22"/>
              </w:rPr>
            </w:pPr>
            <w:r w:rsidRPr="00BD2181">
              <w:rPr>
                <w:rFonts w:asciiTheme="minorHAnsi" w:hAnsiTheme="minorHAnsi"/>
                <w:b/>
                <w:sz w:val="22"/>
                <w:szCs w:val="22"/>
              </w:rPr>
              <w:t>Total</w:t>
            </w:r>
          </w:p>
        </w:tc>
        <w:tc>
          <w:tcPr>
            <w:tcW w:w="1843" w:type="dxa"/>
            <w:tcBorders>
              <w:bottom w:val="single" w:sz="4" w:space="0" w:color="auto"/>
            </w:tcBorders>
            <w:shd w:val="clear" w:color="auto" w:fill="8DB3E2" w:themeFill="text2" w:themeFillTint="66"/>
          </w:tcPr>
          <w:p w:rsidR="00BD2181" w:rsidRPr="00BD2181" w:rsidRDefault="00BD2181" w:rsidP="005D3E74">
            <w:pPr>
              <w:spacing w:before="0" w:after="0"/>
              <w:jc w:val="center"/>
              <w:rPr>
                <w:rFonts w:asciiTheme="minorHAnsi" w:hAnsiTheme="minorHAnsi"/>
                <w:b/>
                <w:sz w:val="22"/>
                <w:szCs w:val="22"/>
              </w:rPr>
            </w:pPr>
            <w:r w:rsidRPr="00BD2181">
              <w:rPr>
                <w:rFonts w:asciiTheme="minorHAnsi" w:hAnsiTheme="minorHAnsi"/>
                <w:b/>
                <w:sz w:val="22"/>
                <w:szCs w:val="22"/>
              </w:rPr>
              <w:t>25</w:t>
            </w:r>
          </w:p>
        </w:tc>
      </w:tr>
    </w:tbl>
    <w:p w:rsidR="00BD2181" w:rsidRPr="00BD2181" w:rsidRDefault="00BD2181" w:rsidP="00BD2181">
      <w:r w:rsidRPr="00BD2181">
        <w:t xml:space="preserve">Funding for these applications was sought from the </w:t>
      </w:r>
      <w:proofErr w:type="spellStart"/>
      <w:r w:rsidRPr="00BD2181">
        <w:t>organisations</w:t>
      </w:r>
      <w:proofErr w:type="spellEnd"/>
      <w:r w:rsidRPr="00BD2181">
        <w:t xml:space="preserve"> listed in the table below.</w:t>
      </w:r>
    </w:p>
    <w:tbl>
      <w:tblPr>
        <w:tblStyle w:val="TableGrid"/>
        <w:tblW w:w="0" w:type="auto"/>
        <w:jc w:val="center"/>
        <w:tblLook w:val="04A0" w:firstRow="1" w:lastRow="0" w:firstColumn="1" w:lastColumn="0" w:noHBand="0" w:noVBand="1"/>
      </w:tblPr>
      <w:tblGrid>
        <w:gridCol w:w="4021"/>
        <w:gridCol w:w="1805"/>
      </w:tblGrid>
      <w:tr w:rsidR="00BD2181" w:rsidRPr="00BD2181" w:rsidTr="00BD2181">
        <w:trPr>
          <w:trHeight w:hRule="exact" w:val="367"/>
          <w:jc w:val="center"/>
        </w:trPr>
        <w:tc>
          <w:tcPr>
            <w:tcW w:w="4021" w:type="dxa"/>
            <w:shd w:val="clear" w:color="auto" w:fill="8DB3E2" w:themeFill="text2" w:themeFillTint="66"/>
          </w:tcPr>
          <w:p w:rsidR="00BD2181" w:rsidRPr="00BD2181" w:rsidRDefault="00BD2181" w:rsidP="005D3E74">
            <w:pPr>
              <w:spacing w:before="0" w:after="0"/>
              <w:rPr>
                <w:rFonts w:asciiTheme="minorHAnsi" w:hAnsiTheme="minorHAnsi"/>
                <w:sz w:val="22"/>
                <w:szCs w:val="22"/>
              </w:rPr>
            </w:pPr>
            <w:r w:rsidRPr="00BD2181">
              <w:rPr>
                <w:rFonts w:asciiTheme="minorHAnsi" w:hAnsiTheme="minorHAnsi"/>
                <w:b/>
              </w:rPr>
              <w:t xml:space="preserve">Funding </w:t>
            </w:r>
            <w:proofErr w:type="spellStart"/>
            <w:r w:rsidRPr="00BD2181">
              <w:rPr>
                <w:rFonts w:asciiTheme="minorHAnsi" w:hAnsiTheme="minorHAnsi"/>
                <w:b/>
              </w:rPr>
              <w:t>Organisations</w:t>
            </w:r>
            <w:proofErr w:type="spellEnd"/>
            <w:r w:rsidRPr="00BD2181">
              <w:rPr>
                <w:rFonts w:asciiTheme="minorHAnsi" w:hAnsiTheme="minorHAnsi"/>
                <w:b/>
              </w:rPr>
              <w:t xml:space="preserve"> (Direct &amp; sub-contracted)</w:t>
            </w:r>
          </w:p>
        </w:tc>
        <w:tc>
          <w:tcPr>
            <w:tcW w:w="1805" w:type="dxa"/>
            <w:shd w:val="clear" w:color="auto" w:fill="8DB3E2" w:themeFill="text2" w:themeFillTint="66"/>
          </w:tcPr>
          <w:p w:rsidR="00BD2181" w:rsidRPr="00BD2181" w:rsidRDefault="00BD2181" w:rsidP="005D3E74">
            <w:pPr>
              <w:spacing w:before="0" w:after="0"/>
              <w:jc w:val="center"/>
              <w:rPr>
                <w:rFonts w:asciiTheme="minorHAnsi" w:hAnsiTheme="minorHAnsi"/>
                <w:sz w:val="22"/>
                <w:szCs w:val="22"/>
              </w:rPr>
            </w:pPr>
          </w:p>
        </w:tc>
      </w:tr>
      <w:tr w:rsidR="00BD2181" w:rsidRPr="00BD2181" w:rsidTr="00BD2181">
        <w:trPr>
          <w:trHeight w:hRule="exact" w:val="268"/>
          <w:jc w:val="center"/>
        </w:trPr>
        <w:tc>
          <w:tcPr>
            <w:tcW w:w="4021" w:type="dxa"/>
          </w:tcPr>
          <w:p w:rsidR="00BD2181" w:rsidRPr="00BD2181" w:rsidRDefault="00BD2181" w:rsidP="005D3E74">
            <w:pPr>
              <w:spacing w:before="0" w:after="0"/>
              <w:rPr>
                <w:rFonts w:asciiTheme="minorHAnsi" w:hAnsiTheme="minorHAnsi"/>
                <w:sz w:val="22"/>
                <w:szCs w:val="22"/>
              </w:rPr>
            </w:pPr>
            <w:r w:rsidRPr="00BD2181">
              <w:rPr>
                <w:rFonts w:asciiTheme="minorHAnsi" w:hAnsiTheme="minorHAnsi"/>
                <w:sz w:val="22"/>
                <w:szCs w:val="22"/>
              </w:rPr>
              <w:t>NIHR</w:t>
            </w:r>
          </w:p>
        </w:tc>
        <w:tc>
          <w:tcPr>
            <w:tcW w:w="1805" w:type="dxa"/>
          </w:tcPr>
          <w:p w:rsidR="00BD2181" w:rsidRPr="00BD2181" w:rsidRDefault="00BD2181" w:rsidP="005D3E74">
            <w:pPr>
              <w:spacing w:before="0" w:after="0"/>
              <w:jc w:val="center"/>
              <w:rPr>
                <w:rFonts w:asciiTheme="minorHAnsi" w:hAnsiTheme="minorHAnsi"/>
                <w:sz w:val="22"/>
                <w:szCs w:val="22"/>
              </w:rPr>
            </w:pPr>
            <w:r w:rsidRPr="00BD2181">
              <w:rPr>
                <w:rFonts w:asciiTheme="minorHAnsi" w:hAnsiTheme="minorHAnsi"/>
                <w:sz w:val="22"/>
                <w:szCs w:val="22"/>
              </w:rPr>
              <w:t>16</w:t>
            </w:r>
          </w:p>
        </w:tc>
      </w:tr>
      <w:tr w:rsidR="00BD2181" w:rsidRPr="00BD2181" w:rsidTr="00BD2181">
        <w:trPr>
          <w:trHeight w:hRule="exact" w:val="285"/>
          <w:jc w:val="center"/>
        </w:trPr>
        <w:tc>
          <w:tcPr>
            <w:tcW w:w="4021" w:type="dxa"/>
            <w:tcBorders>
              <w:bottom w:val="single" w:sz="4" w:space="0" w:color="auto"/>
            </w:tcBorders>
          </w:tcPr>
          <w:p w:rsidR="00BD2181" w:rsidRPr="00BD2181" w:rsidRDefault="00BD2181" w:rsidP="005D3E74">
            <w:pPr>
              <w:spacing w:before="0" w:after="0"/>
              <w:rPr>
                <w:rFonts w:asciiTheme="minorHAnsi" w:hAnsiTheme="minorHAnsi"/>
                <w:sz w:val="22"/>
                <w:szCs w:val="22"/>
              </w:rPr>
            </w:pPr>
            <w:r w:rsidRPr="00BD2181">
              <w:rPr>
                <w:rFonts w:asciiTheme="minorHAnsi" w:hAnsiTheme="minorHAnsi"/>
                <w:sz w:val="22"/>
                <w:szCs w:val="22"/>
              </w:rPr>
              <w:t xml:space="preserve">The </w:t>
            </w:r>
            <w:proofErr w:type="spellStart"/>
            <w:r w:rsidRPr="00BD2181">
              <w:rPr>
                <w:rFonts w:asciiTheme="minorHAnsi" w:hAnsiTheme="minorHAnsi"/>
                <w:sz w:val="22"/>
                <w:szCs w:val="22"/>
              </w:rPr>
              <w:t>Alzheimers</w:t>
            </w:r>
            <w:proofErr w:type="spellEnd"/>
            <w:r w:rsidRPr="00BD2181">
              <w:rPr>
                <w:rFonts w:asciiTheme="minorHAnsi" w:hAnsiTheme="minorHAnsi"/>
                <w:sz w:val="22"/>
                <w:szCs w:val="22"/>
              </w:rPr>
              <w:t xml:space="preserve"> Society</w:t>
            </w:r>
          </w:p>
        </w:tc>
        <w:tc>
          <w:tcPr>
            <w:tcW w:w="1805" w:type="dxa"/>
            <w:tcBorders>
              <w:bottom w:val="single" w:sz="4" w:space="0" w:color="auto"/>
            </w:tcBorders>
          </w:tcPr>
          <w:p w:rsidR="00BD2181" w:rsidRPr="00BD2181" w:rsidRDefault="00BD2181" w:rsidP="005D3E74">
            <w:pPr>
              <w:spacing w:before="0" w:after="0"/>
              <w:jc w:val="center"/>
              <w:rPr>
                <w:rFonts w:asciiTheme="minorHAnsi" w:hAnsiTheme="minorHAnsi"/>
                <w:sz w:val="22"/>
                <w:szCs w:val="22"/>
              </w:rPr>
            </w:pPr>
            <w:r w:rsidRPr="00BD2181">
              <w:rPr>
                <w:rFonts w:asciiTheme="minorHAnsi" w:hAnsiTheme="minorHAnsi"/>
                <w:sz w:val="22"/>
                <w:szCs w:val="22"/>
              </w:rPr>
              <w:t>3</w:t>
            </w:r>
          </w:p>
        </w:tc>
      </w:tr>
      <w:tr w:rsidR="00BD2181" w:rsidRPr="00BD2181" w:rsidTr="00BD2181">
        <w:trPr>
          <w:trHeight w:hRule="exact" w:val="235"/>
          <w:jc w:val="center"/>
        </w:trPr>
        <w:tc>
          <w:tcPr>
            <w:tcW w:w="4021" w:type="dxa"/>
            <w:tcBorders>
              <w:bottom w:val="single" w:sz="4" w:space="0" w:color="auto"/>
            </w:tcBorders>
          </w:tcPr>
          <w:p w:rsidR="00BD2181" w:rsidRPr="00BD2181" w:rsidRDefault="00BD2181" w:rsidP="005D3E74">
            <w:pPr>
              <w:spacing w:before="0" w:after="0"/>
              <w:rPr>
                <w:rFonts w:asciiTheme="minorHAnsi" w:hAnsiTheme="minorHAnsi"/>
                <w:sz w:val="22"/>
                <w:szCs w:val="22"/>
              </w:rPr>
            </w:pPr>
            <w:r w:rsidRPr="00BD2181">
              <w:rPr>
                <w:rFonts w:asciiTheme="minorHAnsi" w:hAnsiTheme="minorHAnsi"/>
                <w:sz w:val="22"/>
                <w:szCs w:val="22"/>
              </w:rPr>
              <w:t>MRC</w:t>
            </w:r>
          </w:p>
        </w:tc>
        <w:tc>
          <w:tcPr>
            <w:tcW w:w="1805" w:type="dxa"/>
            <w:tcBorders>
              <w:bottom w:val="single" w:sz="4" w:space="0" w:color="auto"/>
            </w:tcBorders>
          </w:tcPr>
          <w:p w:rsidR="00BD2181" w:rsidRPr="00BD2181" w:rsidRDefault="00BD2181" w:rsidP="005D3E74">
            <w:pPr>
              <w:spacing w:before="0" w:after="0"/>
              <w:jc w:val="center"/>
              <w:rPr>
                <w:rFonts w:asciiTheme="minorHAnsi" w:hAnsiTheme="minorHAnsi"/>
                <w:sz w:val="22"/>
                <w:szCs w:val="22"/>
              </w:rPr>
            </w:pPr>
            <w:r w:rsidRPr="00BD2181">
              <w:rPr>
                <w:rFonts w:asciiTheme="minorHAnsi" w:hAnsiTheme="minorHAnsi"/>
                <w:sz w:val="22"/>
                <w:szCs w:val="22"/>
              </w:rPr>
              <w:t>4</w:t>
            </w:r>
          </w:p>
        </w:tc>
      </w:tr>
      <w:tr w:rsidR="00BD2181" w:rsidRPr="00BD2181" w:rsidTr="00BD2181">
        <w:trPr>
          <w:trHeight w:hRule="exact" w:val="287"/>
          <w:jc w:val="center"/>
        </w:trPr>
        <w:tc>
          <w:tcPr>
            <w:tcW w:w="4021" w:type="dxa"/>
            <w:tcBorders>
              <w:bottom w:val="single" w:sz="4" w:space="0" w:color="auto"/>
            </w:tcBorders>
          </w:tcPr>
          <w:p w:rsidR="00BD2181" w:rsidRPr="00BD2181" w:rsidRDefault="00BD2181" w:rsidP="005D3E74">
            <w:pPr>
              <w:spacing w:before="0" w:after="0"/>
              <w:rPr>
                <w:rFonts w:asciiTheme="minorHAnsi" w:hAnsiTheme="minorHAnsi"/>
                <w:sz w:val="22"/>
                <w:szCs w:val="22"/>
              </w:rPr>
            </w:pPr>
            <w:r w:rsidRPr="00BD2181">
              <w:rPr>
                <w:rFonts w:asciiTheme="minorHAnsi" w:hAnsiTheme="minorHAnsi"/>
                <w:sz w:val="22"/>
                <w:szCs w:val="22"/>
              </w:rPr>
              <w:t>Other</w:t>
            </w:r>
          </w:p>
        </w:tc>
        <w:tc>
          <w:tcPr>
            <w:tcW w:w="1805" w:type="dxa"/>
            <w:tcBorders>
              <w:bottom w:val="single" w:sz="4" w:space="0" w:color="auto"/>
            </w:tcBorders>
          </w:tcPr>
          <w:p w:rsidR="00BD2181" w:rsidRPr="00BD2181" w:rsidRDefault="00BD2181" w:rsidP="005D3E74">
            <w:pPr>
              <w:spacing w:before="0" w:after="0"/>
              <w:jc w:val="center"/>
              <w:rPr>
                <w:rFonts w:asciiTheme="minorHAnsi" w:hAnsiTheme="minorHAnsi"/>
                <w:sz w:val="22"/>
                <w:szCs w:val="22"/>
              </w:rPr>
            </w:pPr>
            <w:r w:rsidRPr="00BD2181">
              <w:rPr>
                <w:rFonts w:asciiTheme="minorHAnsi" w:hAnsiTheme="minorHAnsi"/>
                <w:sz w:val="22"/>
                <w:szCs w:val="22"/>
              </w:rPr>
              <w:t>2</w:t>
            </w:r>
          </w:p>
        </w:tc>
      </w:tr>
      <w:tr w:rsidR="00BD2181" w:rsidRPr="00BD2181" w:rsidTr="00BD2181">
        <w:trPr>
          <w:trHeight w:hRule="exact" w:val="343"/>
          <w:jc w:val="center"/>
        </w:trPr>
        <w:tc>
          <w:tcPr>
            <w:tcW w:w="4021" w:type="dxa"/>
            <w:shd w:val="clear" w:color="auto" w:fill="8DB3E2" w:themeFill="text2" w:themeFillTint="66"/>
          </w:tcPr>
          <w:p w:rsidR="00BD2181" w:rsidRPr="00BD2181" w:rsidRDefault="00BD2181" w:rsidP="005D3E74">
            <w:pPr>
              <w:spacing w:before="0" w:after="0"/>
              <w:rPr>
                <w:rFonts w:asciiTheme="minorHAnsi" w:hAnsiTheme="minorHAnsi"/>
                <w:b/>
                <w:sz w:val="22"/>
                <w:szCs w:val="22"/>
              </w:rPr>
            </w:pPr>
            <w:r w:rsidRPr="00BD2181">
              <w:rPr>
                <w:rFonts w:asciiTheme="minorHAnsi" w:hAnsiTheme="minorHAnsi"/>
                <w:b/>
                <w:sz w:val="22"/>
                <w:szCs w:val="22"/>
              </w:rPr>
              <w:t>Total</w:t>
            </w:r>
          </w:p>
        </w:tc>
        <w:tc>
          <w:tcPr>
            <w:tcW w:w="1805" w:type="dxa"/>
            <w:shd w:val="clear" w:color="auto" w:fill="8DB3E2" w:themeFill="text2" w:themeFillTint="66"/>
          </w:tcPr>
          <w:p w:rsidR="00BD2181" w:rsidRPr="00BD2181" w:rsidRDefault="00BD2181" w:rsidP="005D3E74">
            <w:pPr>
              <w:spacing w:before="0" w:after="0"/>
              <w:jc w:val="center"/>
              <w:rPr>
                <w:rFonts w:asciiTheme="minorHAnsi" w:hAnsiTheme="minorHAnsi"/>
                <w:b/>
                <w:sz w:val="22"/>
                <w:szCs w:val="22"/>
              </w:rPr>
            </w:pPr>
            <w:r w:rsidRPr="00BD2181">
              <w:rPr>
                <w:rFonts w:asciiTheme="minorHAnsi" w:hAnsiTheme="minorHAnsi"/>
                <w:b/>
                <w:sz w:val="22"/>
                <w:szCs w:val="22"/>
              </w:rPr>
              <w:t>25</w:t>
            </w:r>
          </w:p>
        </w:tc>
      </w:tr>
    </w:tbl>
    <w:p w:rsidR="00BD2181" w:rsidRPr="00E332EC" w:rsidRDefault="00E332EC" w:rsidP="00E332EC">
      <w:r w:rsidRPr="00E332EC">
        <w:t xml:space="preserve">There was hope </w:t>
      </w:r>
      <w:r>
        <w:t>to appoint a grants officer to support the process of reviewing and supporting researchers with grant applications however due to funding constraints this has been put on hold.</w:t>
      </w:r>
    </w:p>
    <w:p w:rsidR="00E3381E" w:rsidRDefault="00E3381E" w:rsidP="00E3381E">
      <w:pPr>
        <w:pStyle w:val="Heading2"/>
        <w:rPr>
          <w:lang w:val="en-GB"/>
        </w:rPr>
      </w:pPr>
      <w:bookmarkStart w:id="35" w:name="_Toc441061218"/>
      <w:r>
        <w:rPr>
          <w:lang w:val="en-GB"/>
        </w:rPr>
        <w:t>NIHR Metrics and Targets</w:t>
      </w:r>
      <w:bookmarkEnd w:id="35"/>
    </w:p>
    <w:p w:rsidR="009045C6" w:rsidRPr="009045C6" w:rsidRDefault="009045C6" w:rsidP="009045C6">
      <w:pPr>
        <w:rPr>
          <w:lang w:val="en-GB"/>
        </w:rPr>
      </w:pPr>
      <w:r w:rsidRPr="009045C6">
        <w:rPr>
          <w:lang w:val="en-GB"/>
        </w:rPr>
        <w:t xml:space="preserve">NHS organisations are expected to provide the NIHR with quarterly Performance Initiation and Delivery (PID) reports, detailing the number of studies that recruit the first participant into a clinical trial within 70 days of the organisation receiving a valid research application  and the number of studies recruiting the expected number of participants (time to target).  </w:t>
      </w:r>
    </w:p>
    <w:p w:rsidR="00C25420" w:rsidRDefault="009045C6" w:rsidP="009045C6">
      <w:pPr>
        <w:rPr>
          <w:lang w:val="en-GB"/>
        </w:rPr>
      </w:pPr>
      <w:r>
        <w:rPr>
          <w:lang w:val="en-GB"/>
        </w:rPr>
        <w:lastRenderedPageBreak/>
        <w:t>The graph below details OHF</w:t>
      </w:r>
      <w:r w:rsidR="00C25420">
        <w:rPr>
          <w:lang w:val="en-GB"/>
        </w:rPr>
        <w:t>T performance in these targets demonstrating an 85% success in initiating research within 70 days from the seven trials are included in the analysis.  From the 11 trials analysed for the time to target metric only one study has met the target.  The new meeting structure is supporting struggling studies it is expected that the results will filter through in due course when the studies come to an end (potentially in 12 to 18 months).</w:t>
      </w:r>
    </w:p>
    <w:p w:rsidR="00C25420" w:rsidRDefault="00C25420" w:rsidP="009045C6">
      <w:pPr>
        <w:rPr>
          <w:lang w:val="en-GB"/>
        </w:rPr>
      </w:pPr>
      <w:r>
        <w:rPr>
          <w:lang w:val="en-GB"/>
        </w:rPr>
        <w:t>With the introduction of the HRA, the 70 day target will not be measured formally and it will be up to individual Trusts to determine and measure their own metrics.  It has been agreed that OHFT will continue to aim for 70 days from when notification and a full research document set is received.</w:t>
      </w:r>
    </w:p>
    <w:p w:rsidR="009045C6" w:rsidRDefault="009045C6" w:rsidP="009045C6">
      <w:pPr>
        <w:jc w:val="center"/>
        <w:rPr>
          <w:lang w:val="en-GB"/>
        </w:rPr>
      </w:pPr>
      <w:r>
        <w:rPr>
          <w:noProof/>
          <w:lang w:val="en-GB" w:eastAsia="en-GB"/>
        </w:rPr>
        <w:drawing>
          <wp:inline distT="0" distB="0" distL="0" distR="0" wp14:anchorId="7303826D">
            <wp:extent cx="4770120" cy="30708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70120" cy="3070860"/>
                    </a:xfrm>
                    <a:prstGeom prst="rect">
                      <a:avLst/>
                    </a:prstGeom>
                    <a:noFill/>
                  </pic:spPr>
                </pic:pic>
              </a:graphicData>
            </a:graphic>
          </wp:inline>
        </w:drawing>
      </w:r>
    </w:p>
    <w:p w:rsidR="00C25420" w:rsidRPr="00C25420" w:rsidRDefault="00C25420" w:rsidP="00C25420">
      <w:pPr>
        <w:jc w:val="left"/>
        <w:rPr>
          <w:sz w:val="18"/>
          <w:szCs w:val="18"/>
          <w:lang w:val="en-GB"/>
        </w:rPr>
      </w:pPr>
      <w:r w:rsidRPr="00C25420">
        <w:rPr>
          <w:sz w:val="18"/>
          <w:szCs w:val="18"/>
          <w:lang w:val="en-GB"/>
        </w:rPr>
        <w:t>At the time of writing this report the NIHR had not published feedback figures for Q2 2015/2016</w:t>
      </w:r>
    </w:p>
    <w:p w:rsidR="009F05D8" w:rsidRPr="004B5709" w:rsidRDefault="009F05D8" w:rsidP="009F05D8">
      <w:pPr>
        <w:pStyle w:val="Heading1"/>
      </w:pPr>
      <w:bookmarkStart w:id="36" w:name="_Toc441061219"/>
      <w:r w:rsidRPr="004B5709">
        <w:t>C</w:t>
      </w:r>
      <w:r w:rsidR="009672E7" w:rsidRPr="004B5709">
        <w:t>ase</w:t>
      </w:r>
      <w:r w:rsidRPr="004B5709">
        <w:t xml:space="preserve"> Records Interactive Search</w:t>
      </w:r>
      <w:r w:rsidR="00367C18" w:rsidRPr="004B5709">
        <w:t xml:space="preserve"> (CRIS)</w:t>
      </w:r>
      <w:bookmarkEnd w:id="36"/>
    </w:p>
    <w:p w:rsidR="004B5709" w:rsidRDefault="00367C18" w:rsidP="004B5709">
      <w:pPr>
        <w:rPr>
          <w:lang w:val="en-GB"/>
        </w:rPr>
      </w:pPr>
      <w:r w:rsidRPr="00367C18">
        <w:rPr>
          <w:lang w:val="en-GB"/>
        </w:rPr>
        <w:t xml:space="preserve">The security model and information governance assurance framework documents </w:t>
      </w:r>
      <w:r>
        <w:rPr>
          <w:lang w:val="en-GB"/>
        </w:rPr>
        <w:t xml:space="preserve">were submitted to the </w:t>
      </w:r>
      <w:r w:rsidRPr="00367C18">
        <w:rPr>
          <w:lang w:val="en-GB"/>
        </w:rPr>
        <w:t xml:space="preserve">research ethics committee (REC) and a meeting was held on 29th May 2015.  </w:t>
      </w:r>
      <w:r>
        <w:rPr>
          <w:lang w:val="en-GB"/>
        </w:rPr>
        <w:t>The Trust received approval at the beginning of July 2015.</w:t>
      </w:r>
      <w:r w:rsidR="004B5709" w:rsidRPr="004B5709">
        <w:rPr>
          <w:lang w:val="en-GB"/>
        </w:rPr>
        <w:t xml:space="preserve"> </w:t>
      </w:r>
    </w:p>
    <w:p w:rsidR="004B5709" w:rsidRPr="00367C18" w:rsidRDefault="004B5709" w:rsidP="004B5709">
      <w:pPr>
        <w:rPr>
          <w:lang w:val="en-GB"/>
        </w:rPr>
      </w:pPr>
      <w:r w:rsidRPr="00367C18">
        <w:rPr>
          <w:lang w:val="en-GB"/>
        </w:rPr>
        <w:t>Promotion and roll out of CRIS began in November 2015 with an announcement in the weekly staff update, Trust Intranet an</w:t>
      </w:r>
      <w:r>
        <w:rPr>
          <w:lang w:val="en-GB"/>
        </w:rPr>
        <w:t>d an announcement on the Univer</w:t>
      </w:r>
      <w:r w:rsidRPr="00367C18">
        <w:rPr>
          <w:lang w:val="en-GB"/>
        </w:rPr>
        <w:t>s</w:t>
      </w:r>
      <w:r>
        <w:rPr>
          <w:lang w:val="en-GB"/>
        </w:rPr>
        <w:t>i</w:t>
      </w:r>
      <w:r w:rsidRPr="00367C18">
        <w:rPr>
          <w:lang w:val="en-GB"/>
        </w:rPr>
        <w:t>ty of Oxford Department of Psychiatry Twitter page and their website.  The CRIS coordinator</w:t>
      </w:r>
      <w:r>
        <w:rPr>
          <w:lang w:val="en-GB"/>
        </w:rPr>
        <w:t xml:space="preserve"> (Tanya Smith)</w:t>
      </w:r>
      <w:r w:rsidRPr="00367C18">
        <w:rPr>
          <w:lang w:val="en-GB"/>
        </w:rPr>
        <w:t xml:space="preserve"> is currently working closely with researchers, Trust clinicians and the clinical audit team to further promote CRIS.  A visit to Camden NHS Foundation Trust is planned for January to provide ideas following their successfully CRIS roll out to Trust clinicians and the subsequently increase in the number of service evaluation searches using CRIS.  </w:t>
      </w:r>
    </w:p>
    <w:p w:rsidR="00367C18" w:rsidRPr="00367C18" w:rsidRDefault="004B5709" w:rsidP="00367C18">
      <w:pPr>
        <w:rPr>
          <w:lang w:val="en-GB"/>
        </w:rPr>
      </w:pPr>
      <w:r>
        <w:rPr>
          <w:lang w:val="en-GB"/>
        </w:rPr>
        <w:t>M</w:t>
      </w:r>
      <w:r w:rsidR="00367C18">
        <w:rPr>
          <w:lang w:val="en-GB"/>
        </w:rPr>
        <w:t>onthly CRIS oversight group meetings</w:t>
      </w:r>
      <w:r>
        <w:rPr>
          <w:lang w:val="en-GB"/>
        </w:rPr>
        <w:t xml:space="preserve"> have been established</w:t>
      </w:r>
      <w:r w:rsidR="00367C18">
        <w:rPr>
          <w:lang w:val="en-GB"/>
        </w:rPr>
        <w:t xml:space="preserve"> which are attended monthly.  The group is chaired by the Deputy Director of Nursing and </w:t>
      </w:r>
      <w:proofErr w:type="spellStart"/>
      <w:r w:rsidR="00367C18">
        <w:rPr>
          <w:lang w:val="en-GB"/>
        </w:rPr>
        <w:t>Caldicott</w:t>
      </w:r>
      <w:proofErr w:type="spellEnd"/>
      <w:r w:rsidR="00367C18">
        <w:rPr>
          <w:lang w:val="en-GB"/>
        </w:rPr>
        <w:t xml:space="preserve"> Guardian and is attended by the CRIS Coordinator, Director of IT, Head of Information Governance, Head of R&amp;D, </w:t>
      </w:r>
      <w:proofErr w:type="gramStart"/>
      <w:r>
        <w:rPr>
          <w:lang w:val="en-GB"/>
        </w:rPr>
        <w:t>two</w:t>
      </w:r>
      <w:proofErr w:type="gramEnd"/>
      <w:r>
        <w:rPr>
          <w:lang w:val="en-GB"/>
        </w:rPr>
        <w:t xml:space="preserve"> Carer/patient representatives, representatives from the trust Clinical Directorates, Trust Audit Team and University.  To date </w:t>
      </w:r>
      <w:r w:rsidR="00367C18" w:rsidRPr="00367C18">
        <w:rPr>
          <w:lang w:val="en-GB"/>
        </w:rPr>
        <w:t>4 applications</w:t>
      </w:r>
      <w:r>
        <w:rPr>
          <w:lang w:val="en-GB"/>
        </w:rPr>
        <w:t xml:space="preserve"> to use the CRIS </w:t>
      </w:r>
      <w:r>
        <w:rPr>
          <w:lang w:val="en-GB"/>
        </w:rPr>
        <w:lastRenderedPageBreak/>
        <w:t xml:space="preserve">have been presented to the Oversight Group, three of </w:t>
      </w:r>
      <w:r w:rsidR="00367C18" w:rsidRPr="00367C18">
        <w:rPr>
          <w:lang w:val="en-GB"/>
        </w:rPr>
        <w:t xml:space="preserve">which have been approved and one which is in a feasibility stage.  </w:t>
      </w:r>
      <w:r>
        <w:rPr>
          <w:lang w:val="en-GB"/>
        </w:rPr>
        <w:t xml:space="preserve">To date CRIS users have access to a static data set from five years of Rio electronic health records and work is ongoing regarding the move to a live data set via </w:t>
      </w:r>
      <w:proofErr w:type="spellStart"/>
      <w:r>
        <w:rPr>
          <w:lang w:val="en-GB"/>
        </w:rPr>
        <w:t>CareNote</w:t>
      </w:r>
      <w:proofErr w:type="spellEnd"/>
      <w:r>
        <w:rPr>
          <w:lang w:val="en-GB"/>
        </w:rPr>
        <w:t>.</w:t>
      </w:r>
    </w:p>
    <w:p w:rsidR="00367C18" w:rsidRPr="00367C18" w:rsidRDefault="00367C18" w:rsidP="00367C18">
      <w:pPr>
        <w:rPr>
          <w:lang w:val="en-GB"/>
        </w:rPr>
      </w:pPr>
      <w:r w:rsidRPr="00367C18">
        <w:rPr>
          <w:lang w:val="en-GB"/>
        </w:rPr>
        <w:t>The R&amp;D website page is now live and contains direct links to the CRIS application form and information regarding the required process for gaining access to CRIS.</w:t>
      </w:r>
    </w:p>
    <w:p w:rsidR="00367C18" w:rsidRPr="00367C18" w:rsidRDefault="00367C18" w:rsidP="00367C18">
      <w:pPr>
        <w:rPr>
          <w:lang w:val="en-GB"/>
        </w:rPr>
      </w:pPr>
      <w:r w:rsidRPr="00367C18">
        <w:rPr>
          <w:lang w:val="en-GB"/>
        </w:rPr>
        <w:t xml:space="preserve">Consent for Contact is in progress, awaiting </w:t>
      </w:r>
      <w:proofErr w:type="spellStart"/>
      <w:r w:rsidRPr="00367C18">
        <w:rPr>
          <w:lang w:val="en-GB"/>
        </w:rPr>
        <w:t>CareNotes</w:t>
      </w:r>
      <w:proofErr w:type="spellEnd"/>
      <w:r w:rsidRPr="00367C18">
        <w:rPr>
          <w:lang w:val="en-GB"/>
        </w:rPr>
        <w:t xml:space="preserve"> to be updated so that this information can be captured, in accordance with the CRIS ethics application.  The clinical teams will then be contacted regarding this process.</w:t>
      </w:r>
    </w:p>
    <w:p w:rsidR="00BD2181" w:rsidRPr="00BD2181" w:rsidRDefault="009B51DB" w:rsidP="009B51DB">
      <w:pPr>
        <w:pStyle w:val="Heading1"/>
      </w:pPr>
      <w:bookmarkStart w:id="37" w:name="_Toc441061220"/>
      <w:r w:rsidRPr="00F62EF5">
        <w:t>Finance</w:t>
      </w:r>
      <w:bookmarkEnd w:id="37"/>
      <w:r w:rsidR="00F62EF5" w:rsidRPr="00BD2181">
        <w:rPr>
          <w:i/>
        </w:rPr>
        <w:t xml:space="preserve"> </w:t>
      </w:r>
    </w:p>
    <w:p w:rsidR="00BD2181" w:rsidRPr="00BD2181" w:rsidRDefault="00BD2181" w:rsidP="00BD2181">
      <w:pPr>
        <w:rPr>
          <w:lang w:val="en-GB"/>
        </w:rPr>
      </w:pPr>
      <w:r w:rsidRPr="00BD2181">
        <w:rPr>
          <w:lang w:val="en-GB"/>
        </w:rPr>
        <w:t xml:space="preserve">The Trust receives research funding from various commercial and non-commercial sources. These funding streams are outlined in the table below along with the amounts reflected the FY16 budget. </w:t>
      </w:r>
    </w:p>
    <w:tbl>
      <w:tblPr>
        <w:tblStyle w:val="TableGrid"/>
        <w:tblpPr w:leftFromText="180" w:rightFromText="180" w:vertAnchor="text" w:horzAnchor="page" w:tblpX="1595" w:tblpY="48"/>
        <w:tblW w:w="9070" w:type="dxa"/>
        <w:tblLook w:val="04A0" w:firstRow="1" w:lastRow="0" w:firstColumn="1" w:lastColumn="0" w:noHBand="0" w:noVBand="1"/>
      </w:tblPr>
      <w:tblGrid>
        <w:gridCol w:w="1213"/>
        <w:gridCol w:w="6094"/>
        <w:gridCol w:w="1763"/>
      </w:tblGrid>
      <w:tr w:rsidR="00BD2181" w:rsidRPr="00BD2181" w:rsidTr="005D3E74">
        <w:trPr>
          <w:trHeight w:val="22"/>
        </w:trPr>
        <w:tc>
          <w:tcPr>
            <w:tcW w:w="1213" w:type="dxa"/>
            <w:shd w:val="clear" w:color="auto" w:fill="8DB3E2" w:themeFill="text2" w:themeFillTint="66"/>
          </w:tcPr>
          <w:p w:rsidR="00BD2181" w:rsidRPr="00BD2181" w:rsidRDefault="00BD2181" w:rsidP="005D3E74">
            <w:pPr>
              <w:spacing w:before="0" w:after="100" w:afterAutospacing="1"/>
              <w:rPr>
                <w:b/>
                <w:sz w:val="20"/>
                <w:szCs w:val="20"/>
              </w:rPr>
            </w:pPr>
            <w:r w:rsidRPr="00BD2181">
              <w:rPr>
                <w:b/>
                <w:sz w:val="20"/>
                <w:szCs w:val="20"/>
              </w:rPr>
              <w:t>Source</w:t>
            </w:r>
          </w:p>
        </w:tc>
        <w:tc>
          <w:tcPr>
            <w:tcW w:w="6094" w:type="dxa"/>
            <w:shd w:val="clear" w:color="auto" w:fill="8DB3E2" w:themeFill="text2" w:themeFillTint="66"/>
          </w:tcPr>
          <w:p w:rsidR="00BD2181" w:rsidRPr="00BD2181" w:rsidRDefault="00BD2181" w:rsidP="005D3E74">
            <w:pPr>
              <w:spacing w:before="0" w:after="100" w:afterAutospacing="1"/>
              <w:rPr>
                <w:b/>
                <w:sz w:val="20"/>
                <w:szCs w:val="20"/>
              </w:rPr>
            </w:pPr>
            <w:r w:rsidRPr="00BD2181">
              <w:rPr>
                <w:b/>
                <w:sz w:val="20"/>
                <w:szCs w:val="20"/>
              </w:rPr>
              <w:t>Type</w:t>
            </w:r>
          </w:p>
        </w:tc>
        <w:tc>
          <w:tcPr>
            <w:tcW w:w="1763" w:type="dxa"/>
            <w:tcBorders>
              <w:bottom w:val="single" w:sz="4" w:space="0" w:color="auto"/>
            </w:tcBorders>
            <w:shd w:val="clear" w:color="auto" w:fill="8DB3E2" w:themeFill="text2" w:themeFillTint="66"/>
          </w:tcPr>
          <w:p w:rsidR="00BD2181" w:rsidRPr="00BD2181" w:rsidRDefault="00BD2181" w:rsidP="005D3E74">
            <w:pPr>
              <w:spacing w:before="0" w:after="100" w:afterAutospacing="1"/>
              <w:jc w:val="center"/>
              <w:rPr>
                <w:rFonts w:ascii="Calibri" w:hAnsi="Calibri" w:cs="Calibri"/>
                <w:b/>
                <w:bCs/>
                <w:color w:val="000000"/>
                <w:sz w:val="20"/>
                <w:szCs w:val="20"/>
                <w:lang w:eastAsia="en-GB"/>
              </w:rPr>
            </w:pPr>
            <w:r w:rsidRPr="00BD2181">
              <w:rPr>
                <w:rFonts w:ascii="Calibri" w:hAnsi="Calibri" w:cs="Calibri"/>
                <w:b/>
                <w:bCs/>
                <w:color w:val="000000"/>
                <w:sz w:val="20"/>
                <w:szCs w:val="20"/>
                <w:lang w:eastAsia="en-GB"/>
              </w:rPr>
              <w:t>FY16</w:t>
            </w:r>
          </w:p>
        </w:tc>
      </w:tr>
      <w:tr w:rsidR="00BD2181" w:rsidRPr="00BD2181" w:rsidTr="005D3E74">
        <w:trPr>
          <w:trHeight w:val="22"/>
        </w:trPr>
        <w:tc>
          <w:tcPr>
            <w:tcW w:w="1213" w:type="dxa"/>
          </w:tcPr>
          <w:p w:rsidR="00BD2181" w:rsidRPr="00BD2181" w:rsidRDefault="00BD2181" w:rsidP="005D3E74">
            <w:pPr>
              <w:spacing w:before="0" w:after="100" w:afterAutospacing="1"/>
              <w:jc w:val="center"/>
              <w:rPr>
                <w:b/>
                <w:sz w:val="18"/>
                <w:szCs w:val="18"/>
              </w:rPr>
            </w:pPr>
            <w:r w:rsidRPr="00BD2181">
              <w:rPr>
                <w:rFonts w:ascii="Calibri" w:hAnsi="Calibri" w:cs="Calibri"/>
                <w:color w:val="000000"/>
                <w:sz w:val="18"/>
                <w:szCs w:val="18"/>
                <w:lang w:eastAsia="en-GB"/>
              </w:rPr>
              <w:t>NIHR</w:t>
            </w:r>
          </w:p>
        </w:tc>
        <w:tc>
          <w:tcPr>
            <w:tcW w:w="6094" w:type="dxa"/>
          </w:tcPr>
          <w:p w:rsidR="00BD2181" w:rsidRPr="00BD2181" w:rsidRDefault="00BD2181" w:rsidP="005D3E74">
            <w:pPr>
              <w:spacing w:before="0" w:after="100" w:afterAutospacing="1"/>
              <w:rPr>
                <w:b/>
                <w:sz w:val="18"/>
                <w:szCs w:val="18"/>
              </w:rPr>
            </w:pPr>
            <w:r w:rsidRPr="00BD2181">
              <w:rPr>
                <w:rFonts w:ascii="Calibri" w:hAnsi="Calibri" w:cs="Calibri"/>
                <w:color w:val="000000"/>
                <w:sz w:val="18"/>
                <w:szCs w:val="18"/>
                <w:lang w:eastAsia="en-GB"/>
              </w:rPr>
              <w:t>Study income Department of Psychiatry &amp; Trust</w:t>
            </w:r>
          </w:p>
        </w:tc>
        <w:tc>
          <w:tcPr>
            <w:tcW w:w="1763" w:type="dxa"/>
            <w:shd w:val="clear" w:color="auto" w:fill="auto"/>
          </w:tcPr>
          <w:p w:rsidR="00BD2181" w:rsidRPr="00BD2181" w:rsidRDefault="00BD2181" w:rsidP="005D3E74">
            <w:pPr>
              <w:spacing w:before="0" w:after="100" w:afterAutospacing="1"/>
              <w:jc w:val="center"/>
              <w:rPr>
                <w:rFonts w:ascii="Calibri" w:hAnsi="Calibri" w:cs="Calibri"/>
                <w:color w:val="000000"/>
                <w:sz w:val="18"/>
                <w:szCs w:val="18"/>
                <w:lang w:eastAsia="en-GB"/>
              </w:rPr>
            </w:pPr>
            <w:r w:rsidRPr="00BD2181">
              <w:rPr>
                <w:rFonts w:ascii="Calibri" w:hAnsi="Calibri" w:cs="Calibri"/>
                <w:color w:val="000000"/>
                <w:sz w:val="18"/>
                <w:szCs w:val="18"/>
                <w:lang w:eastAsia="en-GB"/>
              </w:rPr>
              <w:t>167</w:t>
            </w:r>
          </w:p>
        </w:tc>
      </w:tr>
      <w:tr w:rsidR="00BD2181" w:rsidRPr="00BD2181" w:rsidTr="005D3E74">
        <w:trPr>
          <w:trHeight w:val="22"/>
        </w:trPr>
        <w:tc>
          <w:tcPr>
            <w:tcW w:w="1213" w:type="dxa"/>
          </w:tcPr>
          <w:p w:rsidR="00BD2181" w:rsidRPr="00BD2181" w:rsidRDefault="00BD2181" w:rsidP="005D3E74">
            <w:pPr>
              <w:spacing w:before="0" w:after="100" w:afterAutospacing="1"/>
              <w:jc w:val="center"/>
              <w:rPr>
                <w:b/>
                <w:sz w:val="18"/>
                <w:szCs w:val="18"/>
              </w:rPr>
            </w:pPr>
            <w:r w:rsidRPr="00BD2181">
              <w:rPr>
                <w:rFonts w:ascii="Calibri" w:hAnsi="Calibri" w:cs="Calibri"/>
                <w:color w:val="000000"/>
                <w:sz w:val="18"/>
                <w:szCs w:val="18"/>
                <w:lang w:eastAsia="en-GB"/>
              </w:rPr>
              <w:t>NIHR</w:t>
            </w:r>
          </w:p>
        </w:tc>
        <w:tc>
          <w:tcPr>
            <w:tcW w:w="6094" w:type="dxa"/>
          </w:tcPr>
          <w:p w:rsidR="00BD2181" w:rsidRPr="00BD2181" w:rsidRDefault="00BD2181" w:rsidP="005D3E74">
            <w:pPr>
              <w:spacing w:before="0" w:after="100" w:afterAutospacing="1"/>
              <w:rPr>
                <w:rFonts w:ascii="Calibri" w:hAnsi="Calibri" w:cs="Calibri"/>
                <w:color w:val="000000"/>
                <w:sz w:val="18"/>
                <w:szCs w:val="18"/>
                <w:lang w:eastAsia="en-GB"/>
              </w:rPr>
            </w:pPr>
            <w:r w:rsidRPr="00BD2181">
              <w:rPr>
                <w:rFonts w:ascii="Calibri" w:hAnsi="Calibri" w:cs="Calibri"/>
                <w:color w:val="000000"/>
                <w:sz w:val="18"/>
                <w:szCs w:val="18"/>
                <w:lang w:eastAsia="en-GB"/>
              </w:rPr>
              <w:t>Study income Department of Primary Care</w:t>
            </w:r>
          </w:p>
        </w:tc>
        <w:tc>
          <w:tcPr>
            <w:tcW w:w="1763" w:type="dxa"/>
            <w:shd w:val="clear" w:color="auto" w:fill="auto"/>
          </w:tcPr>
          <w:p w:rsidR="00BD2181" w:rsidRPr="00BD2181" w:rsidRDefault="00BD2181" w:rsidP="005D3E74">
            <w:pPr>
              <w:spacing w:before="0" w:after="100" w:afterAutospacing="1"/>
              <w:jc w:val="center"/>
              <w:rPr>
                <w:rFonts w:ascii="Calibri" w:hAnsi="Calibri" w:cs="Calibri"/>
                <w:color w:val="000000"/>
                <w:sz w:val="18"/>
                <w:szCs w:val="18"/>
                <w:lang w:eastAsia="en-GB"/>
              </w:rPr>
            </w:pPr>
            <w:r w:rsidRPr="00BD2181">
              <w:rPr>
                <w:rFonts w:ascii="Calibri" w:hAnsi="Calibri" w:cs="Calibri"/>
                <w:color w:val="000000"/>
                <w:sz w:val="18"/>
                <w:szCs w:val="18"/>
                <w:lang w:eastAsia="en-GB"/>
              </w:rPr>
              <w:t>280</w:t>
            </w:r>
          </w:p>
        </w:tc>
      </w:tr>
      <w:tr w:rsidR="00BD2181" w:rsidRPr="00BD2181" w:rsidTr="005D3E74">
        <w:trPr>
          <w:trHeight w:val="22"/>
        </w:trPr>
        <w:tc>
          <w:tcPr>
            <w:tcW w:w="1213" w:type="dxa"/>
          </w:tcPr>
          <w:p w:rsidR="00BD2181" w:rsidRPr="00BD2181" w:rsidRDefault="00BD2181" w:rsidP="005D3E74">
            <w:pPr>
              <w:spacing w:before="0" w:after="100" w:afterAutospacing="1"/>
              <w:jc w:val="center"/>
              <w:rPr>
                <w:b/>
                <w:sz w:val="18"/>
                <w:szCs w:val="18"/>
              </w:rPr>
            </w:pPr>
            <w:r w:rsidRPr="00BD2181">
              <w:rPr>
                <w:rFonts w:ascii="Calibri" w:hAnsi="Calibri" w:cs="Calibri"/>
                <w:color w:val="000000"/>
                <w:sz w:val="18"/>
                <w:szCs w:val="18"/>
                <w:lang w:eastAsia="en-GB"/>
              </w:rPr>
              <w:t>NIHR</w:t>
            </w:r>
          </w:p>
        </w:tc>
        <w:tc>
          <w:tcPr>
            <w:tcW w:w="6094" w:type="dxa"/>
          </w:tcPr>
          <w:p w:rsidR="00BD2181" w:rsidRPr="00BD2181" w:rsidRDefault="00BD2181" w:rsidP="005D3E74">
            <w:pPr>
              <w:spacing w:before="0" w:after="100" w:afterAutospacing="1"/>
              <w:rPr>
                <w:rFonts w:ascii="Calibri" w:hAnsi="Calibri" w:cs="Calibri"/>
                <w:color w:val="000000"/>
                <w:sz w:val="18"/>
                <w:szCs w:val="18"/>
                <w:lang w:eastAsia="en-GB"/>
              </w:rPr>
            </w:pPr>
            <w:r w:rsidRPr="00BD2181">
              <w:rPr>
                <w:rFonts w:ascii="Calibri" w:hAnsi="Calibri" w:cs="Calibri"/>
                <w:color w:val="000000"/>
                <w:sz w:val="18"/>
                <w:szCs w:val="18"/>
                <w:lang w:eastAsia="en-GB"/>
              </w:rPr>
              <w:t>Clinical Research Facility</w:t>
            </w:r>
          </w:p>
        </w:tc>
        <w:tc>
          <w:tcPr>
            <w:tcW w:w="1763" w:type="dxa"/>
            <w:shd w:val="clear" w:color="auto" w:fill="auto"/>
          </w:tcPr>
          <w:p w:rsidR="00BD2181" w:rsidRPr="00BD2181" w:rsidRDefault="00BD2181" w:rsidP="005D3E74">
            <w:pPr>
              <w:spacing w:before="0" w:after="100" w:afterAutospacing="1"/>
              <w:jc w:val="center"/>
              <w:rPr>
                <w:rFonts w:ascii="Calibri" w:hAnsi="Calibri" w:cs="Calibri"/>
                <w:color w:val="000000"/>
                <w:sz w:val="18"/>
                <w:szCs w:val="18"/>
                <w:lang w:eastAsia="en-GB"/>
              </w:rPr>
            </w:pPr>
            <w:r w:rsidRPr="00BD2181">
              <w:rPr>
                <w:rFonts w:ascii="Calibri" w:hAnsi="Calibri" w:cs="Calibri"/>
                <w:color w:val="000000"/>
                <w:sz w:val="18"/>
                <w:szCs w:val="18"/>
                <w:lang w:eastAsia="en-GB"/>
              </w:rPr>
              <w:t>717</w:t>
            </w:r>
          </w:p>
        </w:tc>
      </w:tr>
      <w:tr w:rsidR="00BD2181" w:rsidRPr="00BD2181" w:rsidTr="005D3E74">
        <w:trPr>
          <w:trHeight w:val="22"/>
        </w:trPr>
        <w:tc>
          <w:tcPr>
            <w:tcW w:w="1213" w:type="dxa"/>
          </w:tcPr>
          <w:p w:rsidR="00BD2181" w:rsidRPr="00BD2181" w:rsidRDefault="00BD2181" w:rsidP="005D3E74">
            <w:pPr>
              <w:spacing w:before="0" w:after="100" w:afterAutospacing="1"/>
              <w:jc w:val="center"/>
              <w:rPr>
                <w:rFonts w:ascii="Calibri" w:hAnsi="Calibri" w:cs="Calibri"/>
                <w:color w:val="000000"/>
                <w:sz w:val="18"/>
                <w:szCs w:val="18"/>
                <w:lang w:eastAsia="en-GB"/>
              </w:rPr>
            </w:pPr>
            <w:r w:rsidRPr="00BD2181">
              <w:rPr>
                <w:rFonts w:ascii="Calibri" w:hAnsi="Calibri" w:cs="Calibri"/>
                <w:color w:val="000000"/>
                <w:sz w:val="18"/>
                <w:szCs w:val="18"/>
                <w:lang w:eastAsia="en-GB"/>
              </w:rPr>
              <w:t>NIHR</w:t>
            </w:r>
          </w:p>
        </w:tc>
        <w:tc>
          <w:tcPr>
            <w:tcW w:w="6094" w:type="dxa"/>
          </w:tcPr>
          <w:p w:rsidR="00BD2181" w:rsidRPr="00BD2181" w:rsidRDefault="00BD2181" w:rsidP="005D3E74">
            <w:pPr>
              <w:spacing w:before="0" w:after="100" w:afterAutospacing="1"/>
              <w:rPr>
                <w:rFonts w:ascii="Calibri" w:hAnsi="Calibri" w:cs="Calibri"/>
                <w:color w:val="000000"/>
                <w:sz w:val="18"/>
                <w:szCs w:val="18"/>
                <w:lang w:eastAsia="en-GB"/>
              </w:rPr>
            </w:pPr>
            <w:r w:rsidRPr="00BD2181">
              <w:rPr>
                <w:rFonts w:ascii="Calibri" w:hAnsi="Calibri" w:cs="Calibri"/>
                <w:color w:val="000000"/>
                <w:sz w:val="18"/>
                <w:szCs w:val="18"/>
                <w:lang w:eastAsia="en-GB"/>
              </w:rPr>
              <w:t>CLAHRC</w:t>
            </w:r>
          </w:p>
        </w:tc>
        <w:tc>
          <w:tcPr>
            <w:tcW w:w="1763" w:type="dxa"/>
            <w:shd w:val="clear" w:color="auto" w:fill="auto"/>
          </w:tcPr>
          <w:p w:rsidR="00BD2181" w:rsidRPr="00BD2181" w:rsidRDefault="00BD2181" w:rsidP="005D3E74">
            <w:pPr>
              <w:spacing w:before="0" w:after="100" w:afterAutospacing="1"/>
              <w:jc w:val="center"/>
              <w:rPr>
                <w:rFonts w:ascii="Calibri" w:hAnsi="Calibri" w:cs="Calibri"/>
                <w:color w:val="000000"/>
                <w:sz w:val="18"/>
                <w:szCs w:val="18"/>
                <w:lang w:eastAsia="en-GB"/>
              </w:rPr>
            </w:pPr>
            <w:r w:rsidRPr="00BD2181">
              <w:rPr>
                <w:rFonts w:ascii="Calibri" w:hAnsi="Calibri" w:cs="Calibri"/>
                <w:color w:val="000000"/>
                <w:sz w:val="18"/>
                <w:szCs w:val="18"/>
                <w:lang w:eastAsia="en-GB"/>
              </w:rPr>
              <w:t>2,000</w:t>
            </w:r>
          </w:p>
        </w:tc>
      </w:tr>
      <w:tr w:rsidR="00BD2181" w:rsidRPr="00BD2181" w:rsidTr="005D3E74">
        <w:trPr>
          <w:trHeight w:val="22"/>
        </w:trPr>
        <w:tc>
          <w:tcPr>
            <w:tcW w:w="1213" w:type="dxa"/>
          </w:tcPr>
          <w:p w:rsidR="00BD2181" w:rsidRPr="00BD2181" w:rsidRDefault="00BD2181" w:rsidP="005D3E74">
            <w:pPr>
              <w:spacing w:before="0" w:after="100" w:afterAutospacing="1"/>
              <w:jc w:val="center"/>
              <w:rPr>
                <w:rFonts w:ascii="Calibri" w:hAnsi="Calibri" w:cs="Calibri"/>
                <w:color w:val="000000"/>
                <w:sz w:val="18"/>
                <w:szCs w:val="18"/>
                <w:lang w:eastAsia="en-GB"/>
              </w:rPr>
            </w:pPr>
            <w:r w:rsidRPr="00BD2181">
              <w:rPr>
                <w:rFonts w:ascii="Calibri" w:hAnsi="Calibri" w:cs="Calibri"/>
                <w:color w:val="000000"/>
                <w:sz w:val="18"/>
                <w:szCs w:val="18"/>
                <w:lang w:eastAsia="en-GB"/>
              </w:rPr>
              <w:t>NIHR</w:t>
            </w:r>
          </w:p>
        </w:tc>
        <w:tc>
          <w:tcPr>
            <w:tcW w:w="6094" w:type="dxa"/>
          </w:tcPr>
          <w:p w:rsidR="00BD2181" w:rsidRPr="00BD2181" w:rsidRDefault="00BD2181" w:rsidP="005D3E74">
            <w:pPr>
              <w:spacing w:before="0" w:after="100" w:afterAutospacing="1"/>
              <w:rPr>
                <w:rFonts w:ascii="Calibri" w:hAnsi="Calibri" w:cs="Calibri"/>
                <w:color w:val="000000"/>
                <w:sz w:val="18"/>
                <w:szCs w:val="18"/>
                <w:lang w:eastAsia="en-GB"/>
              </w:rPr>
            </w:pPr>
            <w:r w:rsidRPr="00BD2181">
              <w:rPr>
                <w:rFonts w:ascii="Calibri" w:hAnsi="Calibri" w:cs="Calibri"/>
                <w:color w:val="000000"/>
                <w:sz w:val="18"/>
                <w:szCs w:val="18"/>
                <w:lang w:eastAsia="en-GB"/>
              </w:rPr>
              <w:t>RCF - Department of Psychiatry \ Trust \ CLAHRC</w:t>
            </w:r>
          </w:p>
        </w:tc>
        <w:tc>
          <w:tcPr>
            <w:tcW w:w="1763" w:type="dxa"/>
            <w:shd w:val="clear" w:color="auto" w:fill="auto"/>
          </w:tcPr>
          <w:p w:rsidR="00BD2181" w:rsidRPr="00BD2181" w:rsidRDefault="00BD2181" w:rsidP="005D3E74">
            <w:pPr>
              <w:spacing w:before="0" w:after="100" w:afterAutospacing="1"/>
              <w:jc w:val="center"/>
              <w:rPr>
                <w:rFonts w:ascii="Calibri" w:hAnsi="Calibri" w:cs="Calibri"/>
                <w:color w:val="000000"/>
                <w:sz w:val="18"/>
                <w:szCs w:val="18"/>
                <w:lang w:eastAsia="en-GB"/>
              </w:rPr>
            </w:pPr>
            <w:r w:rsidRPr="00BD2181">
              <w:rPr>
                <w:rFonts w:ascii="Calibri" w:hAnsi="Calibri" w:cs="Calibri"/>
                <w:color w:val="000000"/>
                <w:sz w:val="18"/>
                <w:szCs w:val="18"/>
                <w:lang w:eastAsia="en-GB"/>
              </w:rPr>
              <w:t>1,115</w:t>
            </w:r>
          </w:p>
        </w:tc>
      </w:tr>
      <w:tr w:rsidR="00BD2181" w:rsidRPr="00BD2181" w:rsidTr="005D3E74">
        <w:trPr>
          <w:trHeight w:val="22"/>
        </w:trPr>
        <w:tc>
          <w:tcPr>
            <w:tcW w:w="1213" w:type="dxa"/>
          </w:tcPr>
          <w:p w:rsidR="00BD2181" w:rsidRPr="00BD2181" w:rsidRDefault="00BD2181" w:rsidP="005D3E74">
            <w:pPr>
              <w:spacing w:before="0" w:after="100" w:afterAutospacing="1"/>
              <w:jc w:val="center"/>
              <w:rPr>
                <w:rFonts w:ascii="Calibri" w:hAnsi="Calibri" w:cs="Calibri"/>
                <w:color w:val="000000"/>
                <w:sz w:val="18"/>
                <w:szCs w:val="18"/>
                <w:lang w:eastAsia="en-GB"/>
              </w:rPr>
            </w:pPr>
            <w:r w:rsidRPr="00BD2181">
              <w:rPr>
                <w:rFonts w:ascii="Calibri" w:hAnsi="Calibri" w:cs="Calibri"/>
                <w:color w:val="000000"/>
                <w:sz w:val="18"/>
                <w:szCs w:val="18"/>
                <w:lang w:eastAsia="en-GB"/>
              </w:rPr>
              <w:t>NIHR</w:t>
            </w:r>
          </w:p>
        </w:tc>
        <w:tc>
          <w:tcPr>
            <w:tcW w:w="6094" w:type="dxa"/>
          </w:tcPr>
          <w:p w:rsidR="00BD2181" w:rsidRPr="00BD2181" w:rsidRDefault="00BD2181" w:rsidP="005D3E74">
            <w:pPr>
              <w:spacing w:before="0" w:after="100" w:afterAutospacing="1"/>
              <w:rPr>
                <w:rFonts w:ascii="Calibri" w:hAnsi="Calibri" w:cs="Calibri"/>
                <w:color w:val="000000"/>
                <w:sz w:val="18"/>
                <w:szCs w:val="18"/>
                <w:lang w:eastAsia="en-GB"/>
              </w:rPr>
            </w:pPr>
            <w:r w:rsidRPr="00BD2181">
              <w:rPr>
                <w:rFonts w:ascii="Calibri" w:hAnsi="Calibri" w:cs="Calibri"/>
                <w:color w:val="000000"/>
                <w:sz w:val="18"/>
                <w:szCs w:val="18"/>
                <w:lang w:eastAsia="en-GB"/>
              </w:rPr>
              <w:t xml:space="preserve">RCF - Department of Primary Care </w:t>
            </w:r>
          </w:p>
        </w:tc>
        <w:tc>
          <w:tcPr>
            <w:tcW w:w="1763" w:type="dxa"/>
            <w:shd w:val="clear" w:color="auto" w:fill="auto"/>
          </w:tcPr>
          <w:p w:rsidR="00BD2181" w:rsidRPr="00BD2181" w:rsidRDefault="00BD2181" w:rsidP="005D3E74">
            <w:pPr>
              <w:spacing w:before="0" w:after="100" w:afterAutospacing="1"/>
              <w:jc w:val="center"/>
              <w:rPr>
                <w:rFonts w:ascii="Calibri" w:hAnsi="Calibri" w:cs="Calibri"/>
                <w:color w:val="000000"/>
                <w:sz w:val="18"/>
                <w:szCs w:val="18"/>
                <w:lang w:eastAsia="en-GB"/>
              </w:rPr>
            </w:pPr>
            <w:r w:rsidRPr="00BD2181">
              <w:rPr>
                <w:rFonts w:ascii="Calibri" w:hAnsi="Calibri" w:cs="Calibri"/>
                <w:color w:val="000000"/>
                <w:sz w:val="18"/>
                <w:szCs w:val="18"/>
                <w:lang w:eastAsia="en-GB"/>
              </w:rPr>
              <w:t>295</w:t>
            </w:r>
          </w:p>
        </w:tc>
      </w:tr>
      <w:tr w:rsidR="00BD2181" w:rsidRPr="00BD2181" w:rsidTr="005D3E74">
        <w:trPr>
          <w:trHeight w:val="22"/>
        </w:trPr>
        <w:tc>
          <w:tcPr>
            <w:tcW w:w="1213" w:type="dxa"/>
            <w:shd w:val="clear" w:color="auto" w:fill="auto"/>
          </w:tcPr>
          <w:p w:rsidR="00BD2181" w:rsidRPr="00BD2181" w:rsidRDefault="00BD2181" w:rsidP="005D3E74">
            <w:pPr>
              <w:spacing w:before="0" w:after="100" w:afterAutospacing="1"/>
              <w:jc w:val="center"/>
              <w:rPr>
                <w:rFonts w:ascii="Calibri" w:hAnsi="Calibri" w:cs="Calibri"/>
                <w:color w:val="000000"/>
                <w:sz w:val="18"/>
                <w:szCs w:val="18"/>
                <w:lang w:eastAsia="en-GB"/>
              </w:rPr>
            </w:pPr>
            <w:r w:rsidRPr="00BD2181">
              <w:rPr>
                <w:rFonts w:ascii="Calibri" w:hAnsi="Calibri" w:cs="Calibri"/>
                <w:color w:val="000000"/>
                <w:sz w:val="18"/>
                <w:szCs w:val="18"/>
                <w:lang w:eastAsia="en-GB"/>
              </w:rPr>
              <w:t>NIHR</w:t>
            </w:r>
          </w:p>
        </w:tc>
        <w:tc>
          <w:tcPr>
            <w:tcW w:w="6094" w:type="dxa"/>
            <w:shd w:val="clear" w:color="auto" w:fill="auto"/>
          </w:tcPr>
          <w:p w:rsidR="00BD2181" w:rsidRPr="00BD2181" w:rsidRDefault="00BD2181" w:rsidP="005D3E74">
            <w:pPr>
              <w:spacing w:before="0" w:after="100" w:afterAutospacing="1"/>
              <w:rPr>
                <w:rFonts w:ascii="Calibri" w:hAnsi="Calibri" w:cs="Calibri"/>
                <w:color w:val="000000"/>
                <w:sz w:val="18"/>
                <w:szCs w:val="18"/>
                <w:lang w:eastAsia="en-GB"/>
              </w:rPr>
            </w:pPr>
            <w:r w:rsidRPr="00BD2181">
              <w:rPr>
                <w:rFonts w:ascii="Calibri" w:hAnsi="Calibri" w:cs="Calibri"/>
                <w:color w:val="000000"/>
                <w:sz w:val="18"/>
                <w:szCs w:val="18"/>
                <w:lang w:eastAsia="en-GB"/>
              </w:rPr>
              <w:t>RCF – OUH</w:t>
            </w:r>
          </w:p>
        </w:tc>
        <w:tc>
          <w:tcPr>
            <w:tcW w:w="1763" w:type="dxa"/>
            <w:shd w:val="clear" w:color="auto" w:fill="auto"/>
          </w:tcPr>
          <w:p w:rsidR="00BD2181" w:rsidRPr="00BD2181" w:rsidRDefault="00BD2181" w:rsidP="005D3E74">
            <w:pPr>
              <w:spacing w:before="0" w:after="100" w:afterAutospacing="1"/>
              <w:jc w:val="center"/>
              <w:rPr>
                <w:rFonts w:ascii="Calibri" w:hAnsi="Calibri" w:cs="Calibri"/>
                <w:color w:val="000000"/>
                <w:sz w:val="18"/>
                <w:szCs w:val="18"/>
                <w:lang w:eastAsia="en-GB"/>
              </w:rPr>
            </w:pPr>
            <w:r w:rsidRPr="00BD2181">
              <w:rPr>
                <w:rFonts w:ascii="Calibri" w:hAnsi="Calibri" w:cs="Calibri"/>
                <w:color w:val="000000"/>
                <w:sz w:val="18"/>
                <w:szCs w:val="18"/>
                <w:lang w:eastAsia="en-GB"/>
              </w:rPr>
              <w:t>64</w:t>
            </w:r>
          </w:p>
        </w:tc>
      </w:tr>
      <w:tr w:rsidR="00BD2181" w:rsidRPr="00BD2181" w:rsidTr="005D3E74">
        <w:trPr>
          <w:trHeight w:val="22"/>
        </w:trPr>
        <w:tc>
          <w:tcPr>
            <w:tcW w:w="1213" w:type="dxa"/>
            <w:shd w:val="clear" w:color="auto" w:fill="auto"/>
          </w:tcPr>
          <w:p w:rsidR="00BD2181" w:rsidRPr="00BD2181" w:rsidRDefault="00BD2181" w:rsidP="005D3E74">
            <w:pPr>
              <w:spacing w:before="0" w:after="100" w:afterAutospacing="1"/>
              <w:jc w:val="center"/>
              <w:rPr>
                <w:rFonts w:ascii="Calibri" w:hAnsi="Calibri" w:cs="Calibri"/>
                <w:color w:val="000000"/>
                <w:sz w:val="18"/>
                <w:szCs w:val="18"/>
                <w:lang w:eastAsia="en-GB"/>
              </w:rPr>
            </w:pPr>
            <w:r w:rsidRPr="00BD2181">
              <w:rPr>
                <w:rFonts w:ascii="Calibri" w:hAnsi="Calibri" w:cs="Calibri"/>
                <w:color w:val="000000"/>
                <w:sz w:val="18"/>
                <w:szCs w:val="18"/>
                <w:lang w:eastAsia="en-GB"/>
              </w:rPr>
              <w:t>NIHR</w:t>
            </w:r>
          </w:p>
        </w:tc>
        <w:tc>
          <w:tcPr>
            <w:tcW w:w="6094" w:type="dxa"/>
            <w:shd w:val="clear" w:color="auto" w:fill="auto"/>
          </w:tcPr>
          <w:p w:rsidR="00BD2181" w:rsidRPr="00BD2181" w:rsidRDefault="00BD2181" w:rsidP="005D3E74">
            <w:pPr>
              <w:spacing w:before="0" w:after="100" w:afterAutospacing="1"/>
              <w:rPr>
                <w:rFonts w:ascii="Calibri" w:hAnsi="Calibri" w:cs="Calibri"/>
                <w:color w:val="000000"/>
                <w:sz w:val="18"/>
                <w:szCs w:val="18"/>
                <w:lang w:eastAsia="en-GB"/>
              </w:rPr>
            </w:pPr>
            <w:r w:rsidRPr="00BD2181">
              <w:rPr>
                <w:rFonts w:ascii="Calibri" w:hAnsi="Calibri" w:cs="Calibri"/>
                <w:color w:val="000000"/>
                <w:sz w:val="18"/>
                <w:szCs w:val="18"/>
                <w:lang w:eastAsia="en-GB"/>
              </w:rPr>
              <w:t>NIHR Final Payments</w:t>
            </w:r>
          </w:p>
        </w:tc>
        <w:tc>
          <w:tcPr>
            <w:tcW w:w="1763" w:type="dxa"/>
            <w:shd w:val="clear" w:color="auto" w:fill="auto"/>
          </w:tcPr>
          <w:p w:rsidR="00BD2181" w:rsidRPr="00BD2181" w:rsidRDefault="00BD2181" w:rsidP="005D3E74">
            <w:pPr>
              <w:spacing w:before="0" w:after="100" w:afterAutospacing="1"/>
              <w:jc w:val="center"/>
              <w:rPr>
                <w:rFonts w:ascii="Calibri" w:hAnsi="Calibri" w:cs="Calibri"/>
                <w:color w:val="000000"/>
                <w:sz w:val="18"/>
                <w:szCs w:val="18"/>
                <w:lang w:eastAsia="en-GB"/>
              </w:rPr>
            </w:pPr>
            <w:r w:rsidRPr="00BD2181">
              <w:rPr>
                <w:rFonts w:ascii="Calibri" w:hAnsi="Calibri" w:cs="Calibri"/>
                <w:color w:val="000000"/>
                <w:sz w:val="18"/>
                <w:szCs w:val="18"/>
                <w:lang w:eastAsia="en-GB"/>
              </w:rPr>
              <w:t>216</w:t>
            </w:r>
          </w:p>
        </w:tc>
      </w:tr>
      <w:tr w:rsidR="00BD2181" w:rsidRPr="00BD2181" w:rsidTr="005D3E74">
        <w:trPr>
          <w:trHeight w:val="22"/>
        </w:trPr>
        <w:tc>
          <w:tcPr>
            <w:tcW w:w="1213" w:type="dxa"/>
            <w:shd w:val="pct12" w:color="auto" w:fill="auto"/>
          </w:tcPr>
          <w:p w:rsidR="00BD2181" w:rsidRPr="00BD2181" w:rsidRDefault="00BD2181" w:rsidP="005D3E74">
            <w:pPr>
              <w:spacing w:before="0" w:after="100" w:afterAutospacing="1"/>
              <w:jc w:val="center"/>
              <w:rPr>
                <w:rFonts w:ascii="Calibri" w:hAnsi="Calibri" w:cs="Calibri"/>
                <w:b/>
                <w:color w:val="000000"/>
                <w:sz w:val="18"/>
                <w:szCs w:val="18"/>
                <w:lang w:eastAsia="en-GB"/>
              </w:rPr>
            </w:pPr>
            <w:r w:rsidRPr="00BD2181">
              <w:rPr>
                <w:rFonts w:ascii="Calibri" w:hAnsi="Calibri" w:cs="Calibri"/>
                <w:b/>
                <w:color w:val="000000"/>
                <w:sz w:val="18"/>
                <w:szCs w:val="18"/>
                <w:lang w:eastAsia="en-GB"/>
              </w:rPr>
              <w:t>NIHR</w:t>
            </w:r>
          </w:p>
        </w:tc>
        <w:tc>
          <w:tcPr>
            <w:tcW w:w="6094" w:type="dxa"/>
            <w:shd w:val="pct12" w:color="auto" w:fill="auto"/>
          </w:tcPr>
          <w:p w:rsidR="00BD2181" w:rsidRPr="00BD2181" w:rsidRDefault="00BD2181" w:rsidP="005D3E74">
            <w:pPr>
              <w:spacing w:before="0" w:after="100" w:afterAutospacing="1"/>
              <w:rPr>
                <w:rFonts w:ascii="Calibri" w:hAnsi="Calibri" w:cs="Calibri"/>
                <w:b/>
                <w:color w:val="000000"/>
                <w:sz w:val="18"/>
                <w:szCs w:val="18"/>
                <w:lang w:eastAsia="en-GB"/>
              </w:rPr>
            </w:pPr>
            <w:r w:rsidRPr="00BD2181">
              <w:rPr>
                <w:rFonts w:ascii="Calibri" w:hAnsi="Calibri" w:cs="Calibri"/>
                <w:b/>
                <w:color w:val="000000"/>
                <w:sz w:val="18"/>
                <w:szCs w:val="18"/>
                <w:lang w:eastAsia="en-GB"/>
              </w:rPr>
              <w:t>Total</w:t>
            </w:r>
          </w:p>
        </w:tc>
        <w:tc>
          <w:tcPr>
            <w:tcW w:w="1763" w:type="dxa"/>
            <w:tcBorders>
              <w:bottom w:val="single" w:sz="4" w:space="0" w:color="auto"/>
            </w:tcBorders>
            <w:shd w:val="pct12" w:color="auto" w:fill="auto"/>
          </w:tcPr>
          <w:p w:rsidR="00BD2181" w:rsidRPr="00BD2181" w:rsidRDefault="00BD2181" w:rsidP="005D3E74">
            <w:pPr>
              <w:spacing w:before="0" w:after="100" w:afterAutospacing="1"/>
              <w:jc w:val="center"/>
              <w:rPr>
                <w:rFonts w:ascii="Calibri" w:hAnsi="Calibri" w:cs="Calibri"/>
                <w:b/>
                <w:color w:val="000000"/>
                <w:sz w:val="18"/>
                <w:szCs w:val="18"/>
                <w:lang w:eastAsia="en-GB"/>
              </w:rPr>
            </w:pPr>
            <w:r w:rsidRPr="00BD2181">
              <w:rPr>
                <w:rFonts w:ascii="Calibri" w:hAnsi="Calibri" w:cs="Calibri"/>
                <w:b/>
                <w:color w:val="000000"/>
                <w:sz w:val="18"/>
                <w:szCs w:val="18"/>
                <w:lang w:eastAsia="en-GB"/>
              </w:rPr>
              <w:t>4,853</w:t>
            </w:r>
          </w:p>
        </w:tc>
      </w:tr>
      <w:tr w:rsidR="00BD2181" w:rsidRPr="00BD2181" w:rsidTr="005D3E74">
        <w:trPr>
          <w:trHeight w:val="22"/>
        </w:trPr>
        <w:tc>
          <w:tcPr>
            <w:tcW w:w="1213" w:type="dxa"/>
          </w:tcPr>
          <w:p w:rsidR="00BD2181" w:rsidRPr="00BD2181" w:rsidRDefault="00BD2181" w:rsidP="005D3E74">
            <w:pPr>
              <w:spacing w:before="0" w:after="100" w:afterAutospacing="1"/>
              <w:jc w:val="center"/>
              <w:rPr>
                <w:rFonts w:ascii="Calibri" w:hAnsi="Calibri" w:cs="Calibri"/>
                <w:color w:val="000000"/>
                <w:sz w:val="18"/>
                <w:szCs w:val="18"/>
                <w:lang w:eastAsia="en-GB"/>
              </w:rPr>
            </w:pPr>
            <w:r w:rsidRPr="00BD2181">
              <w:rPr>
                <w:rFonts w:ascii="Calibri" w:hAnsi="Calibri" w:cs="Calibri"/>
                <w:color w:val="000000"/>
                <w:sz w:val="18"/>
                <w:szCs w:val="18"/>
                <w:lang w:eastAsia="en-GB"/>
              </w:rPr>
              <w:t>CRN</w:t>
            </w:r>
          </w:p>
        </w:tc>
        <w:tc>
          <w:tcPr>
            <w:tcW w:w="6094" w:type="dxa"/>
          </w:tcPr>
          <w:p w:rsidR="00BD2181" w:rsidRPr="00BD2181" w:rsidRDefault="00BD2181" w:rsidP="005D3E74">
            <w:pPr>
              <w:spacing w:before="0" w:after="100" w:afterAutospacing="1"/>
              <w:rPr>
                <w:rFonts w:ascii="Calibri" w:hAnsi="Calibri" w:cs="Calibri"/>
                <w:color w:val="000000"/>
                <w:sz w:val="18"/>
                <w:szCs w:val="18"/>
                <w:lang w:eastAsia="en-GB"/>
              </w:rPr>
            </w:pPr>
            <w:r w:rsidRPr="00BD2181">
              <w:rPr>
                <w:rFonts w:ascii="Calibri" w:hAnsi="Calibri" w:cs="Calibri"/>
                <w:color w:val="000000"/>
                <w:sz w:val="18"/>
                <w:szCs w:val="18"/>
                <w:lang w:eastAsia="en-GB"/>
              </w:rPr>
              <w:t>TVCLRN \ CRN</w:t>
            </w:r>
          </w:p>
        </w:tc>
        <w:tc>
          <w:tcPr>
            <w:tcW w:w="1763" w:type="dxa"/>
            <w:shd w:val="clear" w:color="auto" w:fill="auto"/>
          </w:tcPr>
          <w:p w:rsidR="00BD2181" w:rsidRPr="00BD2181" w:rsidRDefault="00BD2181" w:rsidP="005D3E74">
            <w:pPr>
              <w:spacing w:before="0" w:after="100" w:afterAutospacing="1"/>
              <w:jc w:val="center"/>
              <w:rPr>
                <w:rFonts w:ascii="Calibri" w:hAnsi="Calibri" w:cs="Calibri"/>
                <w:color w:val="000000"/>
                <w:sz w:val="18"/>
                <w:szCs w:val="18"/>
                <w:lang w:eastAsia="en-GB"/>
              </w:rPr>
            </w:pPr>
            <w:r w:rsidRPr="00BD2181">
              <w:rPr>
                <w:rFonts w:ascii="Calibri" w:hAnsi="Calibri" w:cs="Calibri"/>
                <w:color w:val="000000"/>
                <w:sz w:val="18"/>
                <w:szCs w:val="18"/>
                <w:lang w:eastAsia="en-GB"/>
              </w:rPr>
              <w:t>1,370</w:t>
            </w:r>
          </w:p>
        </w:tc>
      </w:tr>
      <w:tr w:rsidR="00BD2181" w:rsidRPr="00BD2181" w:rsidTr="005D3E74">
        <w:trPr>
          <w:trHeight w:val="22"/>
        </w:trPr>
        <w:tc>
          <w:tcPr>
            <w:tcW w:w="1213" w:type="dxa"/>
          </w:tcPr>
          <w:p w:rsidR="00BD2181" w:rsidRPr="00BD2181" w:rsidRDefault="00BD2181" w:rsidP="005D3E74">
            <w:pPr>
              <w:spacing w:before="0" w:after="100" w:afterAutospacing="1"/>
              <w:jc w:val="center"/>
              <w:rPr>
                <w:rFonts w:ascii="Calibri" w:hAnsi="Calibri" w:cs="Calibri"/>
                <w:color w:val="000000"/>
                <w:sz w:val="18"/>
                <w:szCs w:val="18"/>
                <w:lang w:eastAsia="en-GB"/>
              </w:rPr>
            </w:pPr>
            <w:r w:rsidRPr="00BD2181">
              <w:rPr>
                <w:rFonts w:ascii="Calibri" w:hAnsi="Calibri" w:cs="Calibri"/>
                <w:color w:val="000000"/>
                <w:sz w:val="18"/>
                <w:szCs w:val="18"/>
                <w:lang w:eastAsia="en-GB"/>
              </w:rPr>
              <w:t>Other</w:t>
            </w:r>
          </w:p>
        </w:tc>
        <w:tc>
          <w:tcPr>
            <w:tcW w:w="6094" w:type="dxa"/>
          </w:tcPr>
          <w:p w:rsidR="00BD2181" w:rsidRPr="00BD2181" w:rsidRDefault="00BD2181" w:rsidP="005D3E74">
            <w:pPr>
              <w:spacing w:before="0" w:after="100" w:afterAutospacing="1"/>
              <w:rPr>
                <w:rFonts w:ascii="Calibri" w:hAnsi="Calibri" w:cs="Calibri"/>
                <w:color w:val="000000"/>
                <w:sz w:val="18"/>
                <w:szCs w:val="18"/>
                <w:lang w:eastAsia="en-GB"/>
              </w:rPr>
            </w:pPr>
            <w:r w:rsidRPr="00BD2181">
              <w:rPr>
                <w:rFonts w:ascii="Calibri" w:hAnsi="Calibri" w:cs="Calibri"/>
                <w:color w:val="000000"/>
                <w:sz w:val="18"/>
                <w:szCs w:val="18"/>
                <w:lang w:eastAsia="en-GB"/>
              </w:rPr>
              <w:t>Commercial, NIHR sub-contracted and other income</w:t>
            </w:r>
          </w:p>
        </w:tc>
        <w:tc>
          <w:tcPr>
            <w:tcW w:w="1763" w:type="dxa"/>
            <w:shd w:val="clear" w:color="auto" w:fill="auto"/>
          </w:tcPr>
          <w:p w:rsidR="00BD2181" w:rsidRPr="00BD2181" w:rsidRDefault="00BD2181" w:rsidP="005D3E74">
            <w:pPr>
              <w:spacing w:before="0" w:after="100" w:afterAutospacing="1"/>
              <w:jc w:val="center"/>
              <w:rPr>
                <w:rFonts w:ascii="Calibri" w:hAnsi="Calibri" w:cs="Calibri"/>
                <w:color w:val="000000"/>
                <w:sz w:val="18"/>
                <w:szCs w:val="18"/>
                <w:lang w:eastAsia="en-GB"/>
              </w:rPr>
            </w:pPr>
            <w:r w:rsidRPr="00BD2181">
              <w:rPr>
                <w:rFonts w:ascii="Calibri" w:hAnsi="Calibri" w:cs="Calibri"/>
                <w:color w:val="000000"/>
                <w:sz w:val="18"/>
                <w:szCs w:val="18"/>
                <w:lang w:eastAsia="en-GB"/>
              </w:rPr>
              <w:t>515</w:t>
            </w:r>
          </w:p>
        </w:tc>
      </w:tr>
      <w:tr w:rsidR="00BD2181" w:rsidRPr="00BD2181" w:rsidTr="005D3E74">
        <w:trPr>
          <w:trHeight w:val="22"/>
        </w:trPr>
        <w:tc>
          <w:tcPr>
            <w:tcW w:w="1213" w:type="dxa"/>
            <w:shd w:val="pct12" w:color="auto" w:fill="auto"/>
          </w:tcPr>
          <w:p w:rsidR="00BD2181" w:rsidRPr="00BD2181" w:rsidRDefault="00BD2181" w:rsidP="005D3E74">
            <w:pPr>
              <w:spacing w:before="0" w:after="100" w:afterAutospacing="1"/>
              <w:jc w:val="center"/>
              <w:rPr>
                <w:rFonts w:ascii="Calibri" w:hAnsi="Calibri" w:cs="Calibri"/>
                <w:b/>
                <w:color w:val="000000"/>
                <w:sz w:val="18"/>
                <w:szCs w:val="18"/>
                <w:lang w:eastAsia="en-GB"/>
              </w:rPr>
            </w:pPr>
          </w:p>
        </w:tc>
        <w:tc>
          <w:tcPr>
            <w:tcW w:w="6094" w:type="dxa"/>
            <w:shd w:val="pct12" w:color="auto" w:fill="auto"/>
          </w:tcPr>
          <w:p w:rsidR="00BD2181" w:rsidRPr="00BD2181" w:rsidRDefault="00BD2181" w:rsidP="005D3E74">
            <w:pPr>
              <w:spacing w:before="0" w:after="100" w:afterAutospacing="1"/>
              <w:rPr>
                <w:rFonts w:ascii="Calibri" w:hAnsi="Calibri" w:cs="Calibri"/>
                <w:b/>
                <w:color w:val="000000"/>
                <w:sz w:val="18"/>
                <w:szCs w:val="18"/>
                <w:lang w:eastAsia="en-GB"/>
              </w:rPr>
            </w:pPr>
            <w:r w:rsidRPr="00BD2181">
              <w:rPr>
                <w:rFonts w:ascii="Calibri" w:hAnsi="Calibri" w:cs="Calibri"/>
                <w:b/>
                <w:color w:val="000000"/>
                <w:sz w:val="18"/>
                <w:szCs w:val="18"/>
                <w:lang w:eastAsia="en-GB"/>
              </w:rPr>
              <w:t>Total</w:t>
            </w:r>
          </w:p>
        </w:tc>
        <w:tc>
          <w:tcPr>
            <w:tcW w:w="1763" w:type="dxa"/>
            <w:shd w:val="pct12" w:color="auto" w:fill="auto"/>
          </w:tcPr>
          <w:p w:rsidR="00BD2181" w:rsidRPr="00BD2181" w:rsidRDefault="00BD2181" w:rsidP="005D3E74">
            <w:pPr>
              <w:spacing w:before="0" w:after="100" w:afterAutospacing="1"/>
              <w:jc w:val="center"/>
              <w:rPr>
                <w:rFonts w:ascii="Calibri" w:hAnsi="Calibri" w:cs="Calibri"/>
                <w:b/>
                <w:color w:val="000000"/>
                <w:sz w:val="18"/>
                <w:szCs w:val="18"/>
                <w:lang w:eastAsia="en-GB"/>
              </w:rPr>
            </w:pPr>
            <w:r w:rsidRPr="00BD2181">
              <w:rPr>
                <w:rFonts w:ascii="Calibri" w:hAnsi="Calibri" w:cs="Calibri"/>
                <w:b/>
                <w:color w:val="000000"/>
                <w:sz w:val="18"/>
                <w:szCs w:val="18"/>
                <w:lang w:eastAsia="en-GB"/>
              </w:rPr>
              <w:t>6,738</w:t>
            </w:r>
          </w:p>
        </w:tc>
      </w:tr>
    </w:tbl>
    <w:p w:rsidR="00BD2181" w:rsidRPr="00BD2181" w:rsidRDefault="00BD2181" w:rsidP="00BD2181">
      <w:pPr>
        <w:rPr>
          <w:lang w:val="en-GB"/>
        </w:rPr>
      </w:pPr>
      <w:r w:rsidRPr="00BD2181">
        <w:rPr>
          <w:lang w:val="en-GB"/>
        </w:rPr>
        <w:t>The NIHR, Department of Health and CRN require the completion of detailed quarterly and annual returns to ensure all funding is used appropriately and within the year awarded. Any unused funding would need to be returned to the relevant funding organisation.</w:t>
      </w:r>
    </w:p>
    <w:p w:rsidR="00BD2181" w:rsidRPr="00BD2181" w:rsidRDefault="00BD2181" w:rsidP="00BD2181">
      <w:pPr>
        <w:pStyle w:val="Heading2"/>
        <w:rPr>
          <w:i w:val="0"/>
          <w:lang w:val="en-GB"/>
        </w:rPr>
      </w:pPr>
      <w:bookmarkStart w:id="38" w:name="_Toc441061221"/>
      <w:r w:rsidRPr="00BD2181">
        <w:rPr>
          <w:i w:val="0"/>
          <w:lang w:val="en-GB"/>
        </w:rPr>
        <w:t>FY16 Performance</w:t>
      </w:r>
      <w:bookmarkEnd w:id="38"/>
    </w:p>
    <w:p w:rsidR="00BD2181" w:rsidRPr="00BD2181" w:rsidRDefault="00BD2181" w:rsidP="00BD2181">
      <w:pPr>
        <w:spacing w:after="0"/>
        <w:rPr>
          <w:lang w:val="en-GB"/>
        </w:rPr>
      </w:pPr>
      <w:r w:rsidRPr="00BD2181">
        <w:rPr>
          <w:lang w:val="en-GB"/>
        </w:rPr>
        <w:t xml:space="preserve">The FY16 R&amp;D performance at the end of November 2015 had generated a contribution to overheads of £74k which compared to the budgeted contribution of £47k generated a favourable variance of £26k. </w:t>
      </w:r>
    </w:p>
    <w:p w:rsidR="00BD2181" w:rsidRPr="00BD2181" w:rsidRDefault="00BD2181" w:rsidP="00BD2181">
      <w:pPr>
        <w:spacing w:after="0"/>
      </w:pPr>
      <w:r w:rsidRPr="00BD2181">
        <w:rPr>
          <w:lang w:val="en-GB"/>
        </w:rPr>
        <w:t>The R&amp;D budgets have been spread equally across the year to support Trust-wide forecasting. The effect of this on the R&amp;D performance is to cause a favourable Non-NIHR CRF income variance at month 8 (£28k) due to income from commercial studies being received earlier in the year than the equally phased budget. This variance is expected to reduce over the remaining 4 months of the year leaving R&amp;D broadly in line with its budgeted full year contribution to overheads of £74k.</w:t>
      </w:r>
      <w:r w:rsidRPr="00BD2181">
        <w:t xml:space="preserve"> </w:t>
      </w:r>
    </w:p>
    <w:p w:rsidR="00BD2181" w:rsidRPr="00BD2181" w:rsidRDefault="00BD2181" w:rsidP="00BD2181">
      <w:pPr>
        <w:pStyle w:val="Heading2"/>
        <w:rPr>
          <w:i w:val="0"/>
        </w:rPr>
      </w:pPr>
      <w:bookmarkStart w:id="39" w:name="_Toc441061222"/>
      <w:r w:rsidRPr="00BD2181">
        <w:rPr>
          <w:i w:val="0"/>
        </w:rPr>
        <w:t>Research Capability Funding (RCF)</w:t>
      </w:r>
      <w:bookmarkEnd w:id="39"/>
    </w:p>
    <w:p w:rsidR="00BD2181" w:rsidRPr="00BD2181" w:rsidRDefault="00BD2181" w:rsidP="00BD2181">
      <w:pPr>
        <w:rPr>
          <w:lang w:val="en-GB"/>
        </w:rPr>
      </w:pPr>
      <w:r w:rsidRPr="00BD2181">
        <w:rPr>
          <w:lang w:val="en-GB"/>
        </w:rPr>
        <w:t xml:space="preserve">Research active NHS organisations receive RCF to enable them to meet some, or all, of the research-related component of the salary of their researchers and research support </w:t>
      </w:r>
      <w:r w:rsidRPr="00BD2181">
        <w:rPr>
          <w:lang w:val="en-GB"/>
        </w:rPr>
        <w:lastRenderedPageBreak/>
        <w:t xml:space="preserve">staff working on clinical and applied health research, where that component is not already provided by another funding source. </w:t>
      </w:r>
    </w:p>
    <w:p w:rsidR="00BD2181" w:rsidRPr="00BD2181" w:rsidRDefault="00BD2181" w:rsidP="00BD2181">
      <w:r w:rsidRPr="00BD2181">
        <w:t xml:space="preserve">The annual RCF allocation combines a percentage of the NIHR funding received in the previous calendar year with an allowance for each Senior Investigator associated with Trust. </w:t>
      </w:r>
    </w:p>
    <w:p w:rsidR="00BD2181" w:rsidRPr="00BD2181" w:rsidRDefault="00BD2181" w:rsidP="00BD2181">
      <w:pPr>
        <w:pStyle w:val="Heading2"/>
        <w:rPr>
          <w:i w:val="0"/>
        </w:rPr>
      </w:pPr>
      <w:bookmarkStart w:id="40" w:name="_Toc441061223"/>
      <w:r w:rsidRPr="00BD2181">
        <w:rPr>
          <w:i w:val="0"/>
        </w:rPr>
        <w:t>FY16 RCF Allocation</w:t>
      </w:r>
      <w:bookmarkEnd w:id="40"/>
    </w:p>
    <w:p w:rsidR="00BD2181" w:rsidRPr="00BD2181" w:rsidRDefault="00BD2181" w:rsidP="00BD2181">
      <w:pPr>
        <w:spacing w:before="0" w:after="0"/>
      </w:pPr>
      <w:r w:rsidRPr="00BD2181">
        <w:t>The FY16 RCF allocation was £1,410k and came from activity within the Trust (including the CLHRC) and Oxford University Department of Psychiatry and the Oxford University Department of Primary Care. The breakdown is shown in the table below:</w:t>
      </w:r>
    </w:p>
    <w:p w:rsidR="00BD2181" w:rsidRPr="00BD2181" w:rsidRDefault="00BD2181" w:rsidP="00BD2181">
      <w:pPr>
        <w:spacing w:before="0" w:after="0"/>
      </w:pPr>
    </w:p>
    <w:tbl>
      <w:tblPr>
        <w:tblStyle w:val="TableGrid"/>
        <w:tblW w:w="9639" w:type="dxa"/>
        <w:tblInd w:w="108" w:type="dxa"/>
        <w:tblLook w:val="04A0" w:firstRow="1" w:lastRow="0" w:firstColumn="1" w:lastColumn="0" w:noHBand="0" w:noVBand="1"/>
      </w:tblPr>
      <w:tblGrid>
        <w:gridCol w:w="2282"/>
        <w:gridCol w:w="3388"/>
        <w:gridCol w:w="2835"/>
        <w:gridCol w:w="1134"/>
      </w:tblGrid>
      <w:tr w:rsidR="00BD2181" w:rsidRPr="00BD2181" w:rsidTr="00BD2181">
        <w:trPr>
          <w:trHeight w:val="193"/>
        </w:trPr>
        <w:tc>
          <w:tcPr>
            <w:tcW w:w="2282" w:type="dxa"/>
            <w:tcBorders>
              <w:top w:val="single" w:sz="12" w:space="0" w:color="auto"/>
              <w:left w:val="single" w:sz="12" w:space="0" w:color="auto"/>
            </w:tcBorders>
            <w:shd w:val="clear" w:color="auto" w:fill="8DB3E2" w:themeFill="text2" w:themeFillTint="66"/>
          </w:tcPr>
          <w:p w:rsidR="00BD2181" w:rsidRPr="00BD2181" w:rsidRDefault="00BD2181" w:rsidP="005D3E74">
            <w:pPr>
              <w:spacing w:before="0" w:after="0"/>
              <w:rPr>
                <w:b/>
                <w:sz w:val="18"/>
                <w:szCs w:val="18"/>
              </w:rPr>
            </w:pPr>
            <w:r w:rsidRPr="00BD2181">
              <w:rPr>
                <w:b/>
                <w:sz w:val="18"/>
                <w:szCs w:val="18"/>
              </w:rPr>
              <w:t>FY16</w:t>
            </w:r>
          </w:p>
        </w:tc>
        <w:tc>
          <w:tcPr>
            <w:tcW w:w="3388" w:type="dxa"/>
            <w:tcBorders>
              <w:top w:val="single" w:sz="12" w:space="0" w:color="auto"/>
            </w:tcBorders>
            <w:shd w:val="clear" w:color="auto" w:fill="8DB3E2" w:themeFill="text2" w:themeFillTint="66"/>
          </w:tcPr>
          <w:p w:rsidR="00BD2181" w:rsidRPr="00BD2181" w:rsidRDefault="00BD2181" w:rsidP="005D3E74">
            <w:pPr>
              <w:spacing w:before="0" w:after="0"/>
              <w:jc w:val="center"/>
              <w:rPr>
                <w:b/>
                <w:sz w:val="18"/>
                <w:szCs w:val="18"/>
              </w:rPr>
            </w:pPr>
            <w:r w:rsidRPr="00BD2181">
              <w:rPr>
                <w:b/>
                <w:sz w:val="18"/>
                <w:szCs w:val="18"/>
              </w:rPr>
              <w:t>Department of Psychiatry \ Trust \  CLAHRC</w:t>
            </w:r>
          </w:p>
        </w:tc>
        <w:tc>
          <w:tcPr>
            <w:tcW w:w="2835" w:type="dxa"/>
            <w:tcBorders>
              <w:top w:val="single" w:sz="12" w:space="0" w:color="auto"/>
            </w:tcBorders>
            <w:shd w:val="clear" w:color="auto" w:fill="8DB3E2" w:themeFill="text2" w:themeFillTint="66"/>
          </w:tcPr>
          <w:p w:rsidR="00BD2181" w:rsidRPr="00BD2181" w:rsidRDefault="00BD2181" w:rsidP="005D3E74">
            <w:pPr>
              <w:spacing w:before="0" w:after="0"/>
              <w:jc w:val="center"/>
              <w:rPr>
                <w:b/>
                <w:sz w:val="18"/>
                <w:szCs w:val="18"/>
              </w:rPr>
            </w:pPr>
            <w:r w:rsidRPr="00BD2181">
              <w:rPr>
                <w:b/>
                <w:sz w:val="18"/>
                <w:szCs w:val="18"/>
              </w:rPr>
              <w:t>Department of Primary Care</w:t>
            </w:r>
          </w:p>
        </w:tc>
        <w:tc>
          <w:tcPr>
            <w:tcW w:w="1134" w:type="dxa"/>
            <w:tcBorders>
              <w:top w:val="single" w:sz="12" w:space="0" w:color="auto"/>
              <w:left w:val="single" w:sz="12" w:space="0" w:color="auto"/>
              <w:right w:val="single" w:sz="12" w:space="0" w:color="auto"/>
            </w:tcBorders>
            <w:shd w:val="clear" w:color="auto" w:fill="8DB3E2" w:themeFill="text2" w:themeFillTint="66"/>
          </w:tcPr>
          <w:p w:rsidR="00BD2181" w:rsidRPr="00BD2181" w:rsidRDefault="00BD2181" w:rsidP="005D3E74">
            <w:pPr>
              <w:spacing w:before="0" w:after="0"/>
              <w:jc w:val="center"/>
              <w:rPr>
                <w:b/>
                <w:sz w:val="18"/>
                <w:szCs w:val="18"/>
              </w:rPr>
            </w:pPr>
            <w:r w:rsidRPr="00BD2181">
              <w:rPr>
                <w:b/>
                <w:sz w:val="18"/>
                <w:szCs w:val="18"/>
              </w:rPr>
              <w:t>Total</w:t>
            </w:r>
          </w:p>
        </w:tc>
      </w:tr>
      <w:tr w:rsidR="00BD2181" w:rsidRPr="00BD2181" w:rsidTr="00BD2181">
        <w:trPr>
          <w:trHeight w:val="156"/>
        </w:trPr>
        <w:tc>
          <w:tcPr>
            <w:tcW w:w="2282" w:type="dxa"/>
            <w:tcBorders>
              <w:left w:val="single" w:sz="12" w:space="0" w:color="auto"/>
              <w:bottom w:val="single" w:sz="4" w:space="0" w:color="auto"/>
            </w:tcBorders>
          </w:tcPr>
          <w:p w:rsidR="00BD2181" w:rsidRPr="00BD2181" w:rsidRDefault="00BD2181" w:rsidP="005D3E74">
            <w:pPr>
              <w:spacing w:before="0" w:after="100" w:afterAutospacing="1"/>
              <w:rPr>
                <w:sz w:val="18"/>
                <w:szCs w:val="18"/>
              </w:rPr>
            </w:pPr>
            <w:r w:rsidRPr="00BD2181">
              <w:rPr>
                <w:sz w:val="18"/>
                <w:szCs w:val="18"/>
              </w:rPr>
              <w:t xml:space="preserve">Senior Investigators (SI) </w:t>
            </w:r>
          </w:p>
        </w:tc>
        <w:tc>
          <w:tcPr>
            <w:tcW w:w="3388" w:type="dxa"/>
            <w:tcBorders>
              <w:bottom w:val="single" w:sz="4" w:space="0" w:color="auto"/>
            </w:tcBorders>
          </w:tcPr>
          <w:p w:rsidR="00BD2181" w:rsidRPr="00BD2181" w:rsidRDefault="00BD2181" w:rsidP="005D3E74">
            <w:pPr>
              <w:spacing w:before="0" w:after="100" w:afterAutospacing="1"/>
              <w:jc w:val="center"/>
              <w:rPr>
                <w:sz w:val="18"/>
                <w:szCs w:val="18"/>
              </w:rPr>
            </w:pPr>
            <w:r w:rsidRPr="00BD2181">
              <w:rPr>
                <w:sz w:val="18"/>
                <w:szCs w:val="18"/>
              </w:rPr>
              <w:t xml:space="preserve">Keith </w:t>
            </w:r>
            <w:proofErr w:type="spellStart"/>
            <w:r w:rsidRPr="00BD2181">
              <w:rPr>
                <w:sz w:val="18"/>
                <w:szCs w:val="18"/>
              </w:rPr>
              <w:t>Hawton</w:t>
            </w:r>
            <w:proofErr w:type="spellEnd"/>
            <w:r w:rsidRPr="00BD2181">
              <w:rPr>
                <w:sz w:val="18"/>
                <w:szCs w:val="18"/>
              </w:rPr>
              <w:t xml:space="preserve">, Guy Goodwin, John Geddes, David Clarke, Charles Vincent, Simon </w:t>
            </w:r>
            <w:proofErr w:type="spellStart"/>
            <w:r w:rsidRPr="00BD2181">
              <w:rPr>
                <w:sz w:val="18"/>
                <w:szCs w:val="18"/>
              </w:rPr>
              <w:t>Lovestone</w:t>
            </w:r>
            <w:proofErr w:type="spellEnd"/>
          </w:p>
        </w:tc>
        <w:tc>
          <w:tcPr>
            <w:tcW w:w="2835" w:type="dxa"/>
            <w:tcBorders>
              <w:bottom w:val="single" w:sz="4" w:space="0" w:color="auto"/>
            </w:tcBorders>
          </w:tcPr>
          <w:p w:rsidR="00BD2181" w:rsidRPr="00BD2181" w:rsidRDefault="00BD2181" w:rsidP="005D3E74">
            <w:pPr>
              <w:spacing w:before="0" w:after="100" w:afterAutospacing="1"/>
              <w:jc w:val="center"/>
              <w:rPr>
                <w:sz w:val="18"/>
                <w:szCs w:val="18"/>
              </w:rPr>
            </w:pPr>
            <w:r w:rsidRPr="00BD2181">
              <w:rPr>
                <w:sz w:val="18"/>
                <w:szCs w:val="18"/>
              </w:rPr>
              <w:t xml:space="preserve">Sue </w:t>
            </w:r>
            <w:proofErr w:type="spellStart"/>
            <w:r w:rsidRPr="00BD2181">
              <w:rPr>
                <w:sz w:val="18"/>
                <w:szCs w:val="18"/>
              </w:rPr>
              <w:t>Ziebland</w:t>
            </w:r>
            <w:proofErr w:type="spellEnd"/>
            <w:r w:rsidRPr="00BD2181">
              <w:rPr>
                <w:sz w:val="18"/>
                <w:szCs w:val="18"/>
              </w:rPr>
              <w:t xml:space="preserve">, David </w:t>
            </w:r>
            <w:proofErr w:type="spellStart"/>
            <w:r w:rsidRPr="00BD2181">
              <w:rPr>
                <w:sz w:val="18"/>
                <w:szCs w:val="18"/>
              </w:rPr>
              <w:t>Mant</w:t>
            </w:r>
            <w:proofErr w:type="spellEnd"/>
            <w:r w:rsidRPr="00BD2181">
              <w:rPr>
                <w:sz w:val="18"/>
                <w:szCs w:val="18"/>
              </w:rPr>
              <w:t>, Trisha Greenhalgh, Andrew Farmer</w:t>
            </w:r>
          </w:p>
        </w:tc>
        <w:tc>
          <w:tcPr>
            <w:tcW w:w="1134" w:type="dxa"/>
            <w:tcBorders>
              <w:left w:val="single" w:sz="12" w:space="0" w:color="auto"/>
              <w:bottom w:val="single" w:sz="4" w:space="0" w:color="auto"/>
              <w:right w:val="single" w:sz="12" w:space="0" w:color="auto"/>
            </w:tcBorders>
          </w:tcPr>
          <w:p w:rsidR="00BD2181" w:rsidRPr="00BD2181" w:rsidRDefault="00BD2181" w:rsidP="005D3E74">
            <w:pPr>
              <w:spacing w:before="0" w:after="100" w:afterAutospacing="1"/>
              <w:jc w:val="center"/>
              <w:rPr>
                <w:sz w:val="18"/>
                <w:szCs w:val="18"/>
              </w:rPr>
            </w:pPr>
          </w:p>
        </w:tc>
      </w:tr>
      <w:tr w:rsidR="00BD2181" w:rsidRPr="00BD2181" w:rsidTr="00BD2181">
        <w:trPr>
          <w:trHeight w:val="316"/>
        </w:trPr>
        <w:tc>
          <w:tcPr>
            <w:tcW w:w="2282" w:type="dxa"/>
            <w:tcBorders>
              <w:left w:val="single" w:sz="12" w:space="0" w:color="auto"/>
            </w:tcBorders>
            <w:shd w:val="pct12" w:color="auto" w:fill="auto"/>
          </w:tcPr>
          <w:p w:rsidR="00BD2181" w:rsidRPr="00BD2181" w:rsidRDefault="00BD2181" w:rsidP="005D3E74">
            <w:pPr>
              <w:spacing w:before="0" w:after="0"/>
              <w:rPr>
                <w:b/>
                <w:sz w:val="18"/>
                <w:szCs w:val="18"/>
              </w:rPr>
            </w:pPr>
            <w:r w:rsidRPr="00BD2181">
              <w:rPr>
                <w:b/>
                <w:sz w:val="18"/>
                <w:szCs w:val="18"/>
              </w:rPr>
              <w:t>SI Funding (£75k)</w:t>
            </w:r>
          </w:p>
        </w:tc>
        <w:tc>
          <w:tcPr>
            <w:tcW w:w="3388" w:type="dxa"/>
            <w:shd w:val="pct12" w:color="auto" w:fill="auto"/>
          </w:tcPr>
          <w:p w:rsidR="00BD2181" w:rsidRPr="00BD2181" w:rsidRDefault="00BD2181" w:rsidP="005D3E74">
            <w:pPr>
              <w:spacing w:before="0" w:after="0"/>
              <w:jc w:val="right"/>
              <w:rPr>
                <w:b/>
                <w:sz w:val="18"/>
                <w:szCs w:val="18"/>
              </w:rPr>
            </w:pPr>
            <w:r w:rsidRPr="00BD2181">
              <w:rPr>
                <w:b/>
                <w:sz w:val="18"/>
                <w:szCs w:val="18"/>
              </w:rPr>
              <w:t>£0.450m</w:t>
            </w:r>
          </w:p>
        </w:tc>
        <w:tc>
          <w:tcPr>
            <w:tcW w:w="2835" w:type="dxa"/>
            <w:shd w:val="pct12" w:color="auto" w:fill="auto"/>
          </w:tcPr>
          <w:p w:rsidR="00BD2181" w:rsidRPr="00BD2181" w:rsidRDefault="00BD2181" w:rsidP="005D3E74">
            <w:pPr>
              <w:spacing w:before="0" w:after="0"/>
              <w:jc w:val="right"/>
              <w:rPr>
                <w:b/>
                <w:sz w:val="18"/>
                <w:szCs w:val="18"/>
              </w:rPr>
            </w:pPr>
            <w:r w:rsidRPr="00BD2181">
              <w:rPr>
                <w:b/>
                <w:sz w:val="18"/>
                <w:szCs w:val="18"/>
              </w:rPr>
              <w:t>£0.300m</w:t>
            </w:r>
          </w:p>
        </w:tc>
        <w:tc>
          <w:tcPr>
            <w:tcW w:w="1134" w:type="dxa"/>
            <w:tcBorders>
              <w:left w:val="single" w:sz="12" w:space="0" w:color="auto"/>
              <w:right w:val="single" w:sz="12" w:space="0" w:color="auto"/>
            </w:tcBorders>
            <w:shd w:val="pct12" w:color="auto" w:fill="auto"/>
          </w:tcPr>
          <w:p w:rsidR="00BD2181" w:rsidRPr="00BD2181" w:rsidRDefault="00BD2181" w:rsidP="005D3E74">
            <w:pPr>
              <w:spacing w:before="0" w:after="0"/>
              <w:jc w:val="right"/>
              <w:rPr>
                <w:b/>
                <w:sz w:val="18"/>
                <w:szCs w:val="18"/>
              </w:rPr>
            </w:pPr>
            <w:r w:rsidRPr="00BD2181">
              <w:rPr>
                <w:b/>
                <w:sz w:val="18"/>
                <w:szCs w:val="18"/>
              </w:rPr>
              <w:t>£0.750m</w:t>
            </w:r>
          </w:p>
        </w:tc>
      </w:tr>
      <w:tr w:rsidR="00BD2181" w:rsidRPr="00BD2181" w:rsidTr="00BD2181">
        <w:trPr>
          <w:trHeight w:val="308"/>
        </w:trPr>
        <w:tc>
          <w:tcPr>
            <w:tcW w:w="2282" w:type="dxa"/>
            <w:tcBorders>
              <w:left w:val="single" w:sz="12" w:space="0" w:color="auto"/>
            </w:tcBorders>
          </w:tcPr>
          <w:p w:rsidR="00BD2181" w:rsidRPr="00BD2181" w:rsidRDefault="00BD2181" w:rsidP="005D3E74">
            <w:pPr>
              <w:spacing w:before="0" w:after="0"/>
              <w:rPr>
                <w:sz w:val="18"/>
                <w:szCs w:val="18"/>
              </w:rPr>
            </w:pPr>
            <w:r w:rsidRPr="00BD2181">
              <w:rPr>
                <w:sz w:val="18"/>
                <w:szCs w:val="18"/>
              </w:rPr>
              <w:t>2014 Funding</w:t>
            </w:r>
          </w:p>
        </w:tc>
        <w:tc>
          <w:tcPr>
            <w:tcW w:w="3388" w:type="dxa"/>
          </w:tcPr>
          <w:p w:rsidR="00BD2181" w:rsidRPr="00BD2181" w:rsidRDefault="00BD2181" w:rsidP="005D3E74">
            <w:pPr>
              <w:spacing w:before="0" w:after="0"/>
              <w:rPr>
                <w:sz w:val="18"/>
                <w:szCs w:val="18"/>
              </w:rPr>
            </w:pPr>
            <w:r w:rsidRPr="00BD2181">
              <w:rPr>
                <w:sz w:val="18"/>
                <w:szCs w:val="18"/>
              </w:rPr>
              <w:t>£2,271m</w:t>
            </w:r>
          </w:p>
        </w:tc>
        <w:tc>
          <w:tcPr>
            <w:tcW w:w="2835" w:type="dxa"/>
          </w:tcPr>
          <w:p w:rsidR="00BD2181" w:rsidRPr="00BD2181" w:rsidRDefault="00BD2181" w:rsidP="005D3E74">
            <w:pPr>
              <w:spacing w:before="0" w:after="0"/>
              <w:rPr>
                <w:sz w:val="18"/>
                <w:szCs w:val="18"/>
              </w:rPr>
            </w:pPr>
            <w:r w:rsidRPr="00BD2181">
              <w:rPr>
                <w:sz w:val="18"/>
                <w:szCs w:val="18"/>
              </w:rPr>
              <w:t>£.196m</w:t>
            </w:r>
          </w:p>
        </w:tc>
        <w:tc>
          <w:tcPr>
            <w:tcW w:w="1134" w:type="dxa"/>
            <w:tcBorders>
              <w:left w:val="single" w:sz="12" w:space="0" w:color="auto"/>
              <w:right w:val="single" w:sz="12" w:space="0" w:color="auto"/>
            </w:tcBorders>
          </w:tcPr>
          <w:p w:rsidR="00BD2181" w:rsidRPr="00BD2181" w:rsidRDefault="00BD2181" w:rsidP="005D3E74">
            <w:pPr>
              <w:spacing w:before="0" w:after="0"/>
              <w:rPr>
                <w:sz w:val="18"/>
                <w:szCs w:val="18"/>
              </w:rPr>
            </w:pPr>
          </w:p>
        </w:tc>
      </w:tr>
      <w:tr w:rsidR="00BD2181" w:rsidRPr="00BD2181" w:rsidTr="00BD2181">
        <w:trPr>
          <w:trHeight w:val="32"/>
        </w:trPr>
        <w:tc>
          <w:tcPr>
            <w:tcW w:w="2282" w:type="dxa"/>
            <w:tcBorders>
              <w:left w:val="single" w:sz="12" w:space="0" w:color="auto"/>
              <w:bottom w:val="single" w:sz="4" w:space="0" w:color="auto"/>
            </w:tcBorders>
            <w:shd w:val="pct12" w:color="auto" w:fill="auto"/>
          </w:tcPr>
          <w:p w:rsidR="00BD2181" w:rsidRPr="00BD2181" w:rsidRDefault="00BD2181" w:rsidP="005D3E74">
            <w:pPr>
              <w:spacing w:before="0" w:after="0"/>
              <w:rPr>
                <w:b/>
                <w:sz w:val="18"/>
                <w:szCs w:val="18"/>
              </w:rPr>
            </w:pPr>
            <w:r w:rsidRPr="00BD2181">
              <w:rPr>
                <w:b/>
                <w:sz w:val="18"/>
                <w:szCs w:val="18"/>
              </w:rPr>
              <w:t>Study Related RCF</w:t>
            </w:r>
          </w:p>
        </w:tc>
        <w:tc>
          <w:tcPr>
            <w:tcW w:w="3388" w:type="dxa"/>
            <w:tcBorders>
              <w:bottom w:val="single" w:sz="4" w:space="0" w:color="auto"/>
            </w:tcBorders>
            <w:shd w:val="pct12" w:color="auto" w:fill="auto"/>
          </w:tcPr>
          <w:p w:rsidR="00BD2181" w:rsidRPr="00BD2181" w:rsidRDefault="00BD2181" w:rsidP="005D3E74">
            <w:pPr>
              <w:spacing w:before="0" w:after="0"/>
              <w:jc w:val="right"/>
              <w:rPr>
                <w:b/>
                <w:sz w:val="18"/>
                <w:szCs w:val="18"/>
              </w:rPr>
            </w:pPr>
            <w:r w:rsidRPr="00BD2181">
              <w:rPr>
                <w:b/>
                <w:sz w:val="18"/>
                <w:szCs w:val="18"/>
              </w:rPr>
              <w:t>£0.628m</w:t>
            </w:r>
          </w:p>
        </w:tc>
        <w:tc>
          <w:tcPr>
            <w:tcW w:w="2835" w:type="dxa"/>
            <w:tcBorders>
              <w:bottom w:val="single" w:sz="4" w:space="0" w:color="auto"/>
            </w:tcBorders>
            <w:shd w:val="pct12" w:color="auto" w:fill="auto"/>
          </w:tcPr>
          <w:p w:rsidR="00BD2181" w:rsidRPr="00BD2181" w:rsidRDefault="00BD2181" w:rsidP="005D3E74">
            <w:pPr>
              <w:spacing w:before="0" w:after="0"/>
              <w:jc w:val="right"/>
              <w:rPr>
                <w:b/>
                <w:sz w:val="18"/>
                <w:szCs w:val="18"/>
              </w:rPr>
            </w:pPr>
            <w:r w:rsidRPr="00BD2181">
              <w:rPr>
                <w:b/>
                <w:sz w:val="18"/>
                <w:szCs w:val="18"/>
              </w:rPr>
              <w:t>£0.032m</w:t>
            </w:r>
          </w:p>
        </w:tc>
        <w:tc>
          <w:tcPr>
            <w:tcW w:w="1134" w:type="dxa"/>
            <w:tcBorders>
              <w:left w:val="single" w:sz="12" w:space="0" w:color="auto"/>
              <w:bottom w:val="single" w:sz="4" w:space="0" w:color="auto"/>
              <w:right w:val="single" w:sz="12" w:space="0" w:color="auto"/>
            </w:tcBorders>
            <w:shd w:val="pct12" w:color="auto" w:fill="auto"/>
          </w:tcPr>
          <w:p w:rsidR="00BD2181" w:rsidRPr="00BD2181" w:rsidRDefault="00BD2181" w:rsidP="005D3E74">
            <w:pPr>
              <w:spacing w:before="0" w:after="0"/>
              <w:jc w:val="right"/>
              <w:rPr>
                <w:b/>
                <w:sz w:val="18"/>
                <w:szCs w:val="18"/>
              </w:rPr>
            </w:pPr>
            <w:r w:rsidRPr="00BD2181">
              <w:rPr>
                <w:b/>
                <w:sz w:val="18"/>
                <w:szCs w:val="18"/>
              </w:rPr>
              <w:t>£0.660m</w:t>
            </w:r>
          </w:p>
        </w:tc>
      </w:tr>
      <w:tr w:rsidR="00BD2181" w:rsidRPr="00BD2181" w:rsidTr="00BD2181">
        <w:trPr>
          <w:trHeight w:val="35"/>
        </w:trPr>
        <w:tc>
          <w:tcPr>
            <w:tcW w:w="2282" w:type="dxa"/>
            <w:tcBorders>
              <w:left w:val="single" w:sz="12" w:space="0" w:color="auto"/>
              <w:bottom w:val="single" w:sz="12" w:space="0" w:color="auto"/>
            </w:tcBorders>
            <w:shd w:val="clear" w:color="auto" w:fill="FFFFFF" w:themeFill="background1"/>
          </w:tcPr>
          <w:p w:rsidR="00BD2181" w:rsidRPr="00BD2181" w:rsidRDefault="00BD2181" w:rsidP="005D3E74">
            <w:pPr>
              <w:spacing w:before="0" w:after="0"/>
              <w:rPr>
                <w:b/>
                <w:sz w:val="18"/>
                <w:szCs w:val="18"/>
              </w:rPr>
            </w:pPr>
            <w:r w:rsidRPr="00BD2181">
              <w:rPr>
                <w:b/>
                <w:sz w:val="18"/>
                <w:szCs w:val="18"/>
              </w:rPr>
              <w:t>Strategic contribution</w:t>
            </w:r>
          </w:p>
        </w:tc>
        <w:tc>
          <w:tcPr>
            <w:tcW w:w="3388" w:type="dxa"/>
            <w:tcBorders>
              <w:bottom w:val="single" w:sz="12" w:space="0" w:color="auto"/>
            </w:tcBorders>
            <w:shd w:val="clear" w:color="auto" w:fill="FFFFFF" w:themeFill="background1"/>
          </w:tcPr>
          <w:p w:rsidR="00BD2181" w:rsidRPr="00BD2181" w:rsidRDefault="00BD2181" w:rsidP="005D3E74">
            <w:pPr>
              <w:spacing w:before="0" w:after="0"/>
              <w:jc w:val="right"/>
              <w:rPr>
                <w:b/>
                <w:sz w:val="18"/>
                <w:szCs w:val="18"/>
              </w:rPr>
            </w:pPr>
            <w:r w:rsidRPr="00BD2181">
              <w:rPr>
                <w:b/>
                <w:sz w:val="18"/>
                <w:szCs w:val="18"/>
              </w:rPr>
              <w:t>£0.037m</w:t>
            </w:r>
          </w:p>
        </w:tc>
        <w:tc>
          <w:tcPr>
            <w:tcW w:w="2835" w:type="dxa"/>
            <w:tcBorders>
              <w:bottom w:val="single" w:sz="12" w:space="0" w:color="auto"/>
            </w:tcBorders>
            <w:shd w:val="clear" w:color="auto" w:fill="FFFFFF" w:themeFill="background1"/>
          </w:tcPr>
          <w:p w:rsidR="00BD2181" w:rsidRPr="00BD2181" w:rsidRDefault="00BD2181" w:rsidP="005D3E74">
            <w:pPr>
              <w:spacing w:before="0" w:after="0"/>
              <w:jc w:val="right"/>
              <w:rPr>
                <w:b/>
                <w:sz w:val="18"/>
                <w:szCs w:val="18"/>
              </w:rPr>
            </w:pPr>
            <w:r w:rsidRPr="00BD2181">
              <w:rPr>
                <w:b/>
                <w:sz w:val="18"/>
                <w:szCs w:val="18"/>
              </w:rPr>
              <w:t>(£0.037m)</w:t>
            </w:r>
          </w:p>
        </w:tc>
        <w:tc>
          <w:tcPr>
            <w:tcW w:w="1134" w:type="dxa"/>
            <w:tcBorders>
              <w:left w:val="single" w:sz="12" w:space="0" w:color="auto"/>
              <w:bottom w:val="single" w:sz="12" w:space="0" w:color="auto"/>
              <w:right w:val="single" w:sz="12" w:space="0" w:color="auto"/>
            </w:tcBorders>
            <w:shd w:val="clear" w:color="auto" w:fill="FFFFFF" w:themeFill="background1"/>
          </w:tcPr>
          <w:p w:rsidR="00BD2181" w:rsidRPr="00BD2181" w:rsidRDefault="00BD2181" w:rsidP="005D3E74">
            <w:pPr>
              <w:spacing w:before="0" w:after="0"/>
              <w:jc w:val="right"/>
              <w:rPr>
                <w:b/>
                <w:sz w:val="18"/>
                <w:szCs w:val="18"/>
              </w:rPr>
            </w:pPr>
            <w:r w:rsidRPr="00BD2181">
              <w:rPr>
                <w:b/>
                <w:sz w:val="18"/>
                <w:szCs w:val="18"/>
              </w:rPr>
              <w:t>-</w:t>
            </w:r>
          </w:p>
        </w:tc>
      </w:tr>
      <w:tr w:rsidR="00BD2181" w:rsidRPr="00BD2181" w:rsidTr="00BD2181">
        <w:trPr>
          <w:trHeight w:val="35"/>
        </w:trPr>
        <w:tc>
          <w:tcPr>
            <w:tcW w:w="2282" w:type="dxa"/>
            <w:tcBorders>
              <w:left w:val="single" w:sz="12" w:space="0" w:color="auto"/>
              <w:bottom w:val="single" w:sz="12" w:space="0" w:color="auto"/>
            </w:tcBorders>
            <w:shd w:val="clear" w:color="auto" w:fill="D9D9D9" w:themeFill="background1" w:themeFillShade="D9"/>
          </w:tcPr>
          <w:p w:rsidR="00BD2181" w:rsidRPr="00BD2181" w:rsidRDefault="00BD2181" w:rsidP="005D3E74">
            <w:pPr>
              <w:spacing w:before="0" w:after="0"/>
              <w:rPr>
                <w:b/>
                <w:sz w:val="18"/>
                <w:szCs w:val="18"/>
              </w:rPr>
            </w:pPr>
            <w:r w:rsidRPr="00BD2181">
              <w:rPr>
                <w:b/>
                <w:sz w:val="18"/>
                <w:szCs w:val="18"/>
              </w:rPr>
              <w:t>Total RCF</w:t>
            </w:r>
          </w:p>
        </w:tc>
        <w:tc>
          <w:tcPr>
            <w:tcW w:w="3388" w:type="dxa"/>
            <w:tcBorders>
              <w:bottom w:val="single" w:sz="12" w:space="0" w:color="auto"/>
            </w:tcBorders>
            <w:shd w:val="clear" w:color="auto" w:fill="D9D9D9" w:themeFill="background1" w:themeFillShade="D9"/>
          </w:tcPr>
          <w:p w:rsidR="00BD2181" w:rsidRPr="00BD2181" w:rsidRDefault="00BD2181" w:rsidP="005D3E74">
            <w:pPr>
              <w:spacing w:before="0" w:after="0"/>
              <w:jc w:val="right"/>
              <w:rPr>
                <w:b/>
                <w:sz w:val="18"/>
                <w:szCs w:val="18"/>
              </w:rPr>
            </w:pPr>
            <w:r w:rsidRPr="00BD2181">
              <w:rPr>
                <w:b/>
                <w:sz w:val="18"/>
                <w:szCs w:val="18"/>
              </w:rPr>
              <w:t>£1,115m</w:t>
            </w:r>
          </w:p>
        </w:tc>
        <w:tc>
          <w:tcPr>
            <w:tcW w:w="2835" w:type="dxa"/>
            <w:tcBorders>
              <w:bottom w:val="single" w:sz="12" w:space="0" w:color="auto"/>
            </w:tcBorders>
            <w:shd w:val="clear" w:color="auto" w:fill="D9D9D9" w:themeFill="background1" w:themeFillShade="D9"/>
          </w:tcPr>
          <w:p w:rsidR="00BD2181" w:rsidRPr="00BD2181" w:rsidRDefault="00BD2181" w:rsidP="005D3E74">
            <w:pPr>
              <w:spacing w:before="0" w:after="0"/>
              <w:jc w:val="right"/>
              <w:rPr>
                <w:b/>
                <w:sz w:val="18"/>
                <w:szCs w:val="18"/>
              </w:rPr>
            </w:pPr>
            <w:r w:rsidRPr="00BD2181">
              <w:rPr>
                <w:b/>
                <w:sz w:val="18"/>
                <w:szCs w:val="18"/>
              </w:rPr>
              <w:t>£0.295m</w:t>
            </w:r>
          </w:p>
        </w:tc>
        <w:tc>
          <w:tcPr>
            <w:tcW w:w="1134" w:type="dxa"/>
            <w:tcBorders>
              <w:left w:val="single" w:sz="12" w:space="0" w:color="auto"/>
              <w:bottom w:val="single" w:sz="12" w:space="0" w:color="auto"/>
              <w:right w:val="single" w:sz="12" w:space="0" w:color="auto"/>
            </w:tcBorders>
            <w:shd w:val="clear" w:color="auto" w:fill="D9D9D9" w:themeFill="background1" w:themeFillShade="D9"/>
          </w:tcPr>
          <w:p w:rsidR="00BD2181" w:rsidRPr="00BD2181" w:rsidRDefault="00BD2181" w:rsidP="005D3E74">
            <w:pPr>
              <w:spacing w:before="0" w:after="0"/>
              <w:jc w:val="right"/>
              <w:rPr>
                <w:b/>
                <w:sz w:val="18"/>
                <w:szCs w:val="18"/>
              </w:rPr>
            </w:pPr>
            <w:r w:rsidRPr="00BD2181">
              <w:rPr>
                <w:b/>
                <w:sz w:val="18"/>
                <w:szCs w:val="18"/>
              </w:rPr>
              <w:t>£1,410m</w:t>
            </w:r>
          </w:p>
        </w:tc>
      </w:tr>
    </w:tbl>
    <w:p w:rsidR="00BD2181" w:rsidRPr="00BD2181" w:rsidRDefault="00BD2181" w:rsidP="00BD2181">
      <w:pPr>
        <w:spacing w:after="0"/>
      </w:pPr>
      <w:r w:rsidRPr="00BD2181">
        <w:t xml:space="preserve">The FY16 allocation shows an increase of £208k on the amount awarded for FY15, the changes are shown in the table below: </w:t>
      </w:r>
    </w:p>
    <w:p w:rsidR="00BD2181" w:rsidRPr="00BD2181" w:rsidRDefault="00BD2181" w:rsidP="00BD2181">
      <w:pPr>
        <w:spacing w:before="0" w:after="0"/>
      </w:pPr>
    </w:p>
    <w:tbl>
      <w:tblPr>
        <w:tblStyle w:val="TableGrid"/>
        <w:tblW w:w="9639" w:type="dxa"/>
        <w:tblInd w:w="108" w:type="dxa"/>
        <w:tblBorders>
          <w:top w:val="single" w:sz="18" w:space="0" w:color="auto"/>
          <w:left w:val="single" w:sz="18" w:space="0" w:color="auto"/>
          <w:bottom w:val="single" w:sz="18" w:space="0" w:color="auto"/>
        </w:tblBorders>
        <w:tblLook w:val="04A0" w:firstRow="1" w:lastRow="0" w:firstColumn="1" w:lastColumn="0" w:noHBand="0" w:noVBand="1"/>
      </w:tblPr>
      <w:tblGrid>
        <w:gridCol w:w="1843"/>
        <w:gridCol w:w="992"/>
        <w:gridCol w:w="993"/>
        <w:gridCol w:w="992"/>
        <w:gridCol w:w="4819"/>
      </w:tblGrid>
      <w:tr w:rsidR="00BD2181" w:rsidRPr="00BD2181" w:rsidTr="00BD2181">
        <w:trPr>
          <w:trHeight w:val="308"/>
        </w:trPr>
        <w:tc>
          <w:tcPr>
            <w:tcW w:w="1843" w:type="dxa"/>
            <w:tcBorders>
              <w:top w:val="single" w:sz="18" w:space="0" w:color="auto"/>
              <w:bottom w:val="single" w:sz="4" w:space="0" w:color="auto"/>
            </w:tcBorders>
            <w:shd w:val="clear" w:color="auto" w:fill="8DB3E2" w:themeFill="text2" w:themeFillTint="66"/>
          </w:tcPr>
          <w:p w:rsidR="00BD2181" w:rsidRPr="00BD2181" w:rsidRDefault="00BD2181" w:rsidP="005D3E74">
            <w:pPr>
              <w:spacing w:before="0" w:after="0"/>
              <w:jc w:val="left"/>
              <w:rPr>
                <w:rFonts w:ascii="Calibri" w:hAnsi="Calibri" w:cs="Calibri"/>
                <w:b/>
                <w:bCs/>
                <w:sz w:val="20"/>
                <w:szCs w:val="20"/>
                <w:lang w:eastAsia="en-GB"/>
              </w:rPr>
            </w:pPr>
            <w:r w:rsidRPr="00BD2181">
              <w:rPr>
                <w:rFonts w:ascii="Calibri" w:hAnsi="Calibri" w:cs="Calibri"/>
                <w:b/>
                <w:bCs/>
                <w:sz w:val="20"/>
                <w:szCs w:val="20"/>
                <w:lang w:eastAsia="en-GB"/>
              </w:rPr>
              <w:t>Type</w:t>
            </w:r>
          </w:p>
        </w:tc>
        <w:tc>
          <w:tcPr>
            <w:tcW w:w="992" w:type="dxa"/>
            <w:tcBorders>
              <w:top w:val="single" w:sz="18" w:space="0" w:color="auto"/>
              <w:bottom w:val="single" w:sz="4" w:space="0" w:color="auto"/>
            </w:tcBorders>
            <w:shd w:val="clear" w:color="auto" w:fill="8DB3E2" w:themeFill="text2" w:themeFillTint="66"/>
          </w:tcPr>
          <w:p w:rsidR="00BD2181" w:rsidRPr="00BD2181" w:rsidRDefault="00BD2181" w:rsidP="005D3E74">
            <w:pPr>
              <w:spacing w:before="0" w:after="0"/>
              <w:jc w:val="center"/>
              <w:rPr>
                <w:rFonts w:ascii="Calibri" w:hAnsi="Calibri" w:cs="Calibri"/>
                <w:b/>
                <w:bCs/>
                <w:sz w:val="20"/>
                <w:szCs w:val="20"/>
                <w:lang w:eastAsia="en-GB"/>
              </w:rPr>
            </w:pPr>
            <w:r w:rsidRPr="00BD2181">
              <w:rPr>
                <w:rFonts w:ascii="Calibri" w:hAnsi="Calibri" w:cs="Calibri"/>
                <w:b/>
                <w:bCs/>
                <w:sz w:val="20"/>
                <w:szCs w:val="20"/>
                <w:lang w:eastAsia="en-GB"/>
              </w:rPr>
              <w:t>FY15 (£k)</w:t>
            </w:r>
          </w:p>
        </w:tc>
        <w:tc>
          <w:tcPr>
            <w:tcW w:w="993" w:type="dxa"/>
            <w:tcBorders>
              <w:top w:val="single" w:sz="18" w:space="0" w:color="auto"/>
              <w:bottom w:val="single" w:sz="4" w:space="0" w:color="auto"/>
            </w:tcBorders>
            <w:shd w:val="clear" w:color="auto" w:fill="8DB3E2" w:themeFill="text2" w:themeFillTint="66"/>
          </w:tcPr>
          <w:p w:rsidR="00BD2181" w:rsidRPr="00BD2181" w:rsidRDefault="00BD2181" w:rsidP="005D3E74">
            <w:pPr>
              <w:spacing w:before="0" w:after="0"/>
              <w:jc w:val="center"/>
              <w:rPr>
                <w:rFonts w:ascii="Calibri" w:hAnsi="Calibri" w:cs="Calibri"/>
                <w:b/>
                <w:bCs/>
                <w:sz w:val="20"/>
                <w:szCs w:val="20"/>
                <w:lang w:eastAsia="en-GB"/>
              </w:rPr>
            </w:pPr>
            <w:r w:rsidRPr="00BD2181">
              <w:rPr>
                <w:rFonts w:ascii="Calibri" w:hAnsi="Calibri" w:cs="Calibri"/>
                <w:b/>
                <w:bCs/>
                <w:sz w:val="20"/>
                <w:szCs w:val="20"/>
                <w:lang w:eastAsia="en-GB"/>
              </w:rPr>
              <w:t>FY16 (£k)</w:t>
            </w:r>
          </w:p>
        </w:tc>
        <w:tc>
          <w:tcPr>
            <w:tcW w:w="992" w:type="dxa"/>
            <w:tcBorders>
              <w:top w:val="single" w:sz="18" w:space="0" w:color="auto"/>
              <w:bottom w:val="single" w:sz="4" w:space="0" w:color="auto"/>
            </w:tcBorders>
            <w:shd w:val="clear" w:color="auto" w:fill="8DB3E2" w:themeFill="text2" w:themeFillTint="66"/>
          </w:tcPr>
          <w:p w:rsidR="00BD2181" w:rsidRPr="00BD2181" w:rsidRDefault="00BD2181" w:rsidP="005D3E74">
            <w:pPr>
              <w:spacing w:before="0" w:after="0"/>
              <w:jc w:val="center"/>
              <w:rPr>
                <w:rFonts w:ascii="Calibri" w:hAnsi="Calibri" w:cs="Calibri"/>
                <w:b/>
                <w:bCs/>
                <w:sz w:val="20"/>
                <w:szCs w:val="20"/>
                <w:lang w:eastAsia="en-GB"/>
              </w:rPr>
            </w:pPr>
            <w:proofErr w:type="spellStart"/>
            <w:r w:rsidRPr="00BD2181">
              <w:rPr>
                <w:rFonts w:ascii="Calibri" w:hAnsi="Calibri" w:cs="Calibri"/>
                <w:b/>
                <w:bCs/>
                <w:sz w:val="20"/>
                <w:szCs w:val="20"/>
                <w:lang w:eastAsia="en-GB"/>
              </w:rPr>
              <w:t>Var</w:t>
            </w:r>
            <w:proofErr w:type="spellEnd"/>
            <w:r w:rsidRPr="00BD2181">
              <w:rPr>
                <w:rFonts w:ascii="Calibri" w:hAnsi="Calibri" w:cs="Calibri"/>
                <w:b/>
                <w:bCs/>
                <w:sz w:val="20"/>
                <w:szCs w:val="20"/>
                <w:lang w:eastAsia="en-GB"/>
              </w:rPr>
              <w:t xml:space="preserve"> (£k)</w:t>
            </w:r>
          </w:p>
        </w:tc>
        <w:tc>
          <w:tcPr>
            <w:tcW w:w="4819" w:type="dxa"/>
            <w:tcBorders>
              <w:top w:val="single" w:sz="18" w:space="0" w:color="auto"/>
              <w:bottom w:val="single" w:sz="4" w:space="0" w:color="auto"/>
            </w:tcBorders>
            <w:shd w:val="clear" w:color="auto" w:fill="8DB3E2" w:themeFill="text2" w:themeFillTint="66"/>
          </w:tcPr>
          <w:p w:rsidR="00BD2181" w:rsidRPr="00BD2181" w:rsidRDefault="00BD2181" w:rsidP="005D3E74">
            <w:pPr>
              <w:spacing w:before="0" w:after="0"/>
              <w:jc w:val="center"/>
              <w:rPr>
                <w:rFonts w:ascii="Calibri" w:hAnsi="Calibri" w:cs="Calibri"/>
                <w:b/>
                <w:bCs/>
                <w:sz w:val="20"/>
                <w:szCs w:val="20"/>
                <w:lang w:eastAsia="en-GB"/>
              </w:rPr>
            </w:pPr>
            <w:r w:rsidRPr="00BD2181">
              <w:rPr>
                <w:rFonts w:ascii="Calibri" w:hAnsi="Calibri" w:cs="Calibri"/>
                <w:b/>
                <w:bCs/>
                <w:sz w:val="20"/>
                <w:szCs w:val="20"/>
                <w:lang w:eastAsia="en-GB"/>
              </w:rPr>
              <w:t>Comments</w:t>
            </w:r>
          </w:p>
        </w:tc>
      </w:tr>
      <w:tr w:rsidR="00BD2181" w:rsidRPr="00BD2181" w:rsidTr="00BD2181">
        <w:trPr>
          <w:trHeight w:val="685"/>
        </w:trPr>
        <w:tc>
          <w:tcPr>
            <w:tcW w:w="1843" w:type="dxa"/>
            <w:tcBorders>
              <w:top w:val="single" w:sz="4" w:space="0" w:color="auto"/>
            </w:tcBorders>
            <w:vAlign w:val="center"/>
          </w:tcPr>
          <w:p w:rsidR="00BD2181" w:rsidRPr="00BD2181" w:rsidRDefault="00BD2181" w:rsidP="005D3E74">
            <w:pPr>
              <w:spacing w:before="0" w:after="0"/>
              <w:rPr>
                <w:rFonts w:ascii="Calibri" w:hAnsi="Calibri" w:cs="Calibri"/>
                <w:sz w:val="20"/>
                <w:szCs w:val="20"/>
                <w:lang w:eastAsia="en-GB"/>
              </w:rPr>
            </w:pPr>
            <w:r w:rsidRPr="00BD2181">
              <w:rPr>
                <w:rFonts w:ascii="Calibri" w:hAnsi="Calibri" w:cs="Calibri"/>
                <w:sz w:val="20"/>
                <w:szCs w:val="20"/>
                <w:lang w:eastAsia="en-GB"/>
              </w:rPr>
              <w:t>Studies &amp; Infrastructure</w:t>
            </w:r>
          </w:p>
        </w:tc>
        <w:tc>
          <w:tcPr>
            <w:tcW w:w="992" w:type="dxa"/>
            <w:tcBorders>
              <w:top w:val="single" w:sz="4" w:space="0" w:color="auto"/>
            </w:tcBorders>
            <w:vAlign w:val="center"/>
          </w:tcPr>
          <w:p w:rsidR="00BD2181" w:rsidRPr="00BD2181" w:rsidRDefault="00BD2181" w:rsidP="005D3E74">
            <w:pPr>
              <w:spacing w:before="0" w:after="0"/>
              <w:jc w:val="center"/>
              <w:rPr>
                <w:rFonts w:ascii="Calibri" w:hAnsi="Calibri" w:cs="Calibri"/>
                <w:sz w:val="20"/>
                <w:szCs w:val="20"/>
                <w:lang w:eastAsia="en-GB"/>
              </w:rPr>
            </w:pPr>
            <w:r w:rsidRPr="00BD2181">
              <w:rPr>
                <w:rFonts w:ascii="Calibri" w:hAnsi="Calibri" w:cs="Calibri"/>
                <w:sz w:val="20"/>
                <w:szCs w:val="20"/>
                <w:lang w:eastAsia="en-GB"/>
              </w:rPr>
              <w:t>602</w:t>
            </w:r>
          </w:p>
        </w:tc>
        <w:tc>
          <w:tcPr>
            <w:tcW w:w="993" w:type="dxa"/>
            <w:tcBorders>
              <w:top w:val="single" w:sz="4" w:space="0" w:color="auto"/>
            </w:tcBorders>
            <w:vAlign w:val="center"/>
          </w:tcPr>
          <w:p w:rsidR="00BD2181" w:rsidRPr="00BD2181" w:rsidRDefault="00BD2181" w:rsidP="005D3E74">
            <w:pPr>
              <w:spacing w:before="0" w:after="0"/>
              <w:jc w:val="center"/>
              <w:rPr>
                <w:rFonts w:ascii="Calibri" w:hAnsi="Calibri" w:cs="Calibri"/>
                <w:sz w:val="20"/>
                <w:szCs w:val="20"/>
                <w:lang w:eastAsia="en-GB"/>
              </w:rPr>
            </w:pPr>
            <w:r w:rsidRPr="00BD2181">
              <w:rPr>
                <w:rFonts w:ascii="Calibri" w:hAnsi="Calibri" w:cs="Calibri"/>
                <w:sz w:val="20"/>
                <w:szCs w:val="20"/>
                <w:lang w:eastAsia="en-GB"/>
              </w:rPr>
              <w:t>660</w:t>
            </w:r>
          </w:p>
        </w:tc>
        <w:tc>
          <w:tcPr>
            <w:tcW w:w="992" w:type="dxa"/>
            <w:tcBorders>
              <w:top w:val="single" w:sz="4" w:space="0" w:color="auto"/>
            </w:tcBorders>
            <w:vAlign w:val="center"/>
          </w:tcPr>
          <w:p w:rsidR="00BD2181" w:rsidRPr="00BD2181" w:rsidRDefault="00BD2181" w:rsidP="005D3E74">
            <w:pPr>
              <w:spacing w:before="0" w:after="0"/>
              <w:jc w:val="center"/>
              <w:rPr>
                <w:rFonts w:ascii="Calibri" w:hAnsi="Calibri" w:cs="Calibri"/>
                <w:sz w:val="20"/>
                <w:szCs w:val="20"/>
                <w:lang w:eastAsia="en-GB"/>
              </w:rPr>
            </w:pPr>
            <w:r w:rsidRPr="00BD2181">
              <w:rPr>
                <w:rFonts w:ascii="Calibri" w:hAnsi="Calibri" w:cs="Calibri"/>
                <w:sz w:val="20"/>
                <w:szCs w:val="20"/>
                <w:lang w:eastAsia="en-GB"/>
              </w:rPr>
              <w:t>58</w:t>
            </w:r>
          </w:p>
        </w:tc>
        <w:tc>
          <w:tcPr>
            <w:tcW w:w="4819" w:type="dxa"/>
            <w:tcBorders>
              <w:top w:val="single" w:sz="4" w:space="0" w:color="auto"/>
            </w:tcBorders>
            <w:vAlign w:val="center"/>
          </w:tcPr>
          <w:p w:rsidR="00BD2181" w:rsidRPr="00BD2181" w:rsidRDefault="00BD2181" w:rsidP="005D3E74">
            <w:pPr>
              <w:spacing w:before="0" w:after="0"/>
              <w:rPr>
                <w:rFonts w:ascii="Calibri" w:hAnsi="Calibri" w:cs="Calibri"/>
                <w:sz w:val="20"/>
                <w:szCs w:val="20"/>
                <w:lang w:eastAsia="en-GB"/>
              </w:rPr>
            </w:pPr>
            <w:r w:rsidRPr="00BD2181">
              <w:rPr>
                <w:rFonts w:ascii="Calibri" w:hAnsi="Calibri" w:cs="Calibri"/>
                <w:sz w:val="20"/>
                <w:szCs w:val="20"/>
                <w:lang w:eastAsia="en-GB"/>
              </w:rPr>
              <w:t>£166k additional income related to the 2014 CLAHRC funding partly off-set by lower study income at a reduced funding rate</w:t>
            </w:r>
          </w:p>
        </w:tc>
      </w:tr>
      <w:tr w:rsidR="00BD2181" w:rsidRPr="00BD2181" w:rsidTr="00BD2181">
        <w:trPr>
          <w:trHeight w:val="245"/>
        </w:trPr>
        <w:tc>
          <w:tcPr>
            <w:tcW w:w="1843" w:type="dxa"/>
            <w:vAlign w:val="center"/>
          </w:tcPr>
          <w:p w:rsidR="00BD2181" w:rsidRPr="00BD2181" w:rsidRDefault="00BD2181" w:rsidP="005D3E74">
            <w:pPr>
              <w:spacing w:before="0" w:after="0"/>
              <w:rPr>
                <w:rFonts w:ascii="Calibri" w:hAnsi="Calibri" w:cs="Calibri"/>
                <w:sz w:val="20"/>
                <w:szCs w:val="20"/>
                <w:lang w:eastAsia="en-GB"/>
              </w:rPr>
            </w:pPr>
            <w:r w:rsidRPr="00BD2181">
              <w:rPr>
                <w:rFonts w:ascii="Calibri" w:hAnsi="Calibri" w:cs="Calibri"/>
                <w:sz w:val="20"/>
                <w:szCs w:val="20"/>
                <w:lang w:eastAsia="en-GB"/>
              </w:rPr>
              <w:t>Senior Investigators</w:t>
            </w:r>
          </w:p>
        </w:tc>
        <w:tc>
          <w:tcPr>
            <w:tcW w:w="992" w:type="dxa"/>
            <w:vAlign w:val="center"/>
          </w:tcPr>
          <w:p w:rsidR="00BD2181" w:rsidRPr="00BD2181" w:rsidRDefault="00BD2181" w:rsidP="005D3E74">
            <w:pPr>
              <w:spacing w:before="0" w:after="0"/>
              <w:jc w:val="center"/>
              <w:rPr>
                <w:rFonts w:ascii="Calibri" w:hAnsi="Calibri" w:cs="Calibri"/>
                <w:sz w:val="20"/>
                <w:szCs w:val="20"/>
                <w:lang w:eastAsia="en-GB"/>
              </w:rPr>
            </w:pPr>
            <w:r w:rsidRPr="00BD2181">
              <w:rPr>
                <w:rFonts w:ascii="Calibri" w:hAnsi="Calibri" w:cs="Calibri"/>
                <w:sz w:val="20"/>
                <w:szCs w:val="20"/>
                <w:lang w:eastAsia="en-GB"/>
              </w:rPr>
              <w:t>600</w:t>
            </w:r>
          </w:p>
        </w:tc>
        <w:tc>
          <w:tcPr>
            <w:tcW w:w="993" w:type="dxa"/>
            <w:vAlign w:val="center"/>
          </w:tcPr>
          <w:p w:rsidR="00BD2181" w:rsidRPr="00BD2181" w:rsidRDefault="00BD2181" w:rsidP="005D3E74">
            <w:pPr>
              <w:spacing w:before="0" w:after="0"/>
              <w:jc w:val="center"/>
              <w:rPr>
                <w:rFonts w:ascii="Calibri" w:hAnsi="Calibri" w:cs="Calibri"/>
                <w:sz w:val="20"/>
                <w:szCs w:val="20"/>
                <w:lang w:eastAsia="en-GB"/>
              </w:rPr>
            </w:pPr>
            <w:r w:rsidRPr="00BD2181">
              <w:rPr>
                <w:rFonts w:ascii="Calibri" w:hAnsi="Calibri" w:cs="Calibri"/>
                <w:sz w:val="20"/>
                <w:szCs w:val="20"/>
                <w:lang w:eastAsia="en-GB"/>
              </w:rPr>
              <w:t>750</w:t>
            </w:r>
          </w:p>
        </w:tc>
        <w:tc>
          <w:tcPr>
            <w:tcW w:w="992" w:type="dxa"/>
            <w:vAlign w:val="center"/>
          </w:tcPr>
          <w:p w:rsidR="00BD2181" w:rsidRPr="00BD2181" w:rsidRDefault="00BD2181" w:rsidP="005D3E74">
            <w:pPr>
              <w:spacing w:before="0" w:after="0"/>
              <w:jc w:val="center"/>
              <w:rPr>
                <w:rFonts w:ascii="Calibri" w:hAnsi="Calibri" w:cs="Calibri"/>
                <w:sz w:val="20"/>
                <w:szCs w:val="20"/>
                <w:lang w:eastAsia="en-GB"/>
              </w:rPr>
            </w:pPr>
            <w:r w:rsidRPr="00BD2181">
              <w:rPr>
                <w:rFonts w:ascii="Calibri" w:hAnsi="Calibri" w:cs="Calibri"/>
                <w:sz w:val="20"/>
                <w:szCs w:val="20"/>
                <w:lang w:eastAsia="en-GB"/>
              </w:rPr>
              <w:t>150</w:t>
            </w:r>
          </w:p>
        </w:tc>
        <w:tc>
          <w:tcPr>
            <w:tcW w:w="4819" w:type="dxa"/>
          </w:tcPr>
          <w:p w:rsidR="00BD2181" w:rsidRPr="00BD2181" w:rsidRDefault="00BD2181" w:rsidP="005D3E74">
            <w:pPr>
              <w:spacing w:before="0" w:after="0"/>
              <w:rPr>
                <w:rFonts w:ascii="Calibri" w:hAnsi="Calibri" w:cs="Calibri"/>
                <w:sz w:val="20"/>
                <w:szCs w:val="20"/>
                <w:lang w:eastAsia="en-GB"/>
              </w:rPr>
            </w:pPr>
            <w:r w:rsidRPr="00BD2181">
              <w:rPr>
                <w:sz w:val="18"/>
                <w:szCs w:val="18"/>
              </w:rPr>
              <w:t xml:space="preserve">Three new Senior Investigators (David </w:t>
            </w:r>
            <w:proofErr w:type="spellStart"/>
            <w:r w:rsidRPr="00BD2181">
              <w:rPr>
                <w:sz w:val="18"/>
                <w:szCs w:val="18"/>
              </w:rPr>
              <w:t>Mant</w:t>
            </w:r>
            <w:proofErr w:type="spellEnd"/>
            <w:r w:rsidRPr="00BD2181">
              <w:rPr>
                <w:sz w:val="18"/>
                <w:szCs w:val="18"/>
              </w:rPr>
              <w:t xml:space="preserve">, Trisha Greenhalgh, Andrew Farmer) have joined the Trust or changed their associated NHS </w:t>
            </w:r>
            <w:proofErr w:type="spellStart"/>
            <w:r w:rsidRPr="00BD2181">
              <w:rPr>
                <w:sz w:val="18"/>
                <w:szCs w:val="18"/>
              </w:rPr>
              <w:t>organisation</w:t>
            </w:r>
            <w:proofErr w:type="spellEnd"/>
            <w:r w:rsidRPr="00BD2181">
              <w:rPr>
                <w:sz w:val="18"/>
                <w:szCs w:val="18"/>
              </w:rPr>
              <w:t xml:space="preserve"> and one has been removed (Alastair Gray)</w:t>
            </w:r>
          </w:p>
        </w:tc>
      </w:tr>
      <w:tr w:rsidR="00BD2181" w:rsidRPr="00BD2181" w:rsidTr="00BD2181">
        <w:trPr>
          <w:trHeight w:val="263"/>
        </w:trPr>
        <w:tc>
          <w:tcPr>
            <w:tcW w:w="1843" w:type="dxa"/>
            <w:vAlign w:val="bottom"/>
          </w:tcPr>
          <w:p w:rsidR="00BD2181" w:rsidRPr="00BD2181" w:rsidRDefault="00BD2181" w:rsidP="005D3E74">
            <w:pPr>
              <w:spacing w:before="0" w:after="0"/>
              <w:rPr>
                <w:rFonts w:ascii="Calibri" w:hAnsi="Calibri" w:cs="Calibri"/>
                <w:b/>
                <w:bCs/>
                <w:sz w:val="20"/>
                <w:szCs w:val="20"/>
                <w:lang w:eastAsia="en-GB"/>
              </w:rPr>
            </w:pPr>
            <w:r w:rsidRPr="00BD2181">
              <w:rPr>
                <w:rFonts w:ascii="Calibri" w:hAnsi="Calibri" w:cs="Calibri"/>
                <w:b/>
                <w:bCs/>
                <w:sz w:val="20"/>
                <w:szCs w:val="20"/>
                <w:lang w:eastAsia="en-GB"/>
              </w:rPr>
              <w:t>Total</w:t>
            </w:r>
          </w:p>
        </w:tc>
        <w:tc>
          <w:tcPr>
            <w:tcW w:w="992" w:type="dxa"/>
            <w:vAlign w:val="bottom"/>
          </w:tcPr>
          <w:p w:rsidR="00BD2181" w:rsidRPr="00BD2181" w:rsidRDefault="00BD2181" w:rsidP="005D3E74">
            <w:pPr>
              <w:spacing w:before="0" w:after="0"/>
              <w:jc w:val="center"/>
              <w:rPr>
                <w:rFonts w:ascii="Calibri" w:hAnsi="Calibri" w:cs="Calibri"/>
                <w:b/>
                <w:bCs/>
                <w:sz w:val="20"/>
                <w:szCs w:val="20"/>
                <w:lang w:eastAsia="en-GB"/>
              </w:rPr>
            </w:pPr>
            <w:r w:rsidRPr="00BD2181">
              <w:rPr>
                <w:rFonts w:ascii="Calibri" w:hAnsi="Calibri" w:cs="Calibri"/>
                <w:b/>
                <w:bCs/>
                <w:sz w:val="20"/>
                <w:szCs w:val="20"/>
                <w:lang w:eastAsia="en-GB"/>
              </w:rPr>
              <w:t>1,202</w:t>
            </w:r>
          </w:p>
        </w:tc>
        <w:tc>
          <w:tcPr>
            <w:tcW w:w="993" w:type="dxa"/>
          </w:tcPr>
          <w:p w:rsidR="00BD2181" w:rsidRPr="00BD2181" w:rsidRDefault="00BD2181" w:rsidP="005D3E74">
            <w:pPr>
              <w:spacing w:before="0" w:after="0"/>
              <w:jc w:val="center"/>
              <w:rPr>
                <w:rFonts w:ascii="Calibri" w:hAnsi="Calibri" w:cs="Calibri"/>
                <w:b/>
                <w:bCs/>
                <w:sz w:val="20"/>
                <w:szCs w:val="20"/>
                <w:lang w:eastAsia="en-GB"/>
              </w:rPr>
            </w:pPr>
            <w:r w:rsidRPr="00BD2181">
              <w:rPr>
                <w:rFonts w:ascii="Calibri" w:hAnsi="Calibri" w:cs="Calibri"/>
                <w:b/>
                <w:bCs/>
                <w:sz w:val="20"/>
                <w:szCs w:val="20"/>
                <w:lang w:eastAsia="en-GB"/>
              </w:rPr>
              <w:t>1,410</w:t>
            </w:r>
          </w:p>
        </w:tc>
        <w:tc>
          <w:tcPr>
            <w:tcW w:w="992" w:type="dxa"/>
          </w:tcPr>
          <w:p w:rsidR="00BD2181" w:rsidRPr="00BD2181" w:rsidRDefault="00BD2181" w:rsidP="005D3E74">
            <w:pPr>
              <w:spacing w:before="0" w:after="0"/>
              <w:jc w:val="center"/>
              <w:rPr>
                <w:rFonts w:ascii="Calibri" w:hAnsi="Calibri" w:cs="Calibri"/>
                <w:b/>
                <w:bCs/>
                <w:sz w:val="20"/>
                <w:szCs w:val="20"/>
                <w:lang w:eastAsia="en-GB"/>
              </w:rPr>
            </w:pPr>
            <w:r w:rsidRPr="00BD2181">
              <w:rPr>
                <w:rFonts w:ascii="Calibri" w:hAnsi="Calibri" w:cs="Calibri"/>
                <w:b/>
                <w:bCs/>
                <w:sz w:val="20"/>
                <w:szCs w:val="20"/>
                <w:lang w:eastAsia="en-GB"/>
              </w:rPr>
              <w:t>208</w:t>
            </w:r>
          </w:p>
        </w:tc>
        <w:tc>
          <w:tcPr>
            <w:tcW w:w="4819" w:type="dxa"/>
          </w:tcPr>
          <w:p w:rsidR="00BD2181" w:rsidRPr="00BD2181" w:rsidRDefault="00BD2181" w:rsidP="005D3E74">
            <w:pPr>
              <w:spacing w:before="0" w:after="0"/>
              <w:jc w:val="center"/>
              <w:rPr>
                <w:rFonts w:ascii="Calibri" w:hAnsi="Calibri" w:cs="Calibri"/>
                <w:b/>
                <w:bCs/>
                <w:sz w:val="20"/>
                <w:szCs w:val="20"/>
                <w:lang w:eastAsia="en-GB"/>
              </w:rPr>
            </w:pPr>
          </w:p>
        </w:tc>
      </w:tr>
    </w:tbl>
    <w:p w:rsidR="00BD2181" w:rsidRPr="00BD2181" w:rsidRDefault="00BD2181" w:rsidP="00BD2181">
      <w:pPr>
        <w:pStyle w:val="ListParagraph"/>
        <w:spacing w:before="0" w:after="0"/>
      </w:pPr>
    </w:p>
    <w:p w:rsidR="00BD2181" w:rsidRPr="00BD2181" w:rsidRDefault="00BD2181" w:rsidP="00BD2181">
      <w:pPr>
        <w:pStyle w:val="Heading2"/>
        <w:rPr>
          <w:i w:val="0"/>
        </w:rPr>
      </w:pPr>
      <w:bookmarkStart w:id="41" w:name="_Toc441061224"/>
      <w:r w:rsidRPr="00BD2181">
        <w:rPr>
          <w:i w:val="0"/>
        </w:rPr>
        <w:t>Clinical Research Facility (CRF)</w:t>
      </w:r>
      <w:bookmarkEnd w:id="41"/>
    </w:p>
    <w:p w:rsidR="00BD2181" w:rsidRPr="00BD2181" w:rsidRDefault="00BD2181" w:rsidP="00BD2181">
      <w:pPr>
        <w:spacing w:after="0"/>
      </w:pPr>
      <w:r w:rsidRPr="00BD2181">
        <w:t>The NIHR CRF encompasses activities taking place at the Department of Experimental Psychology (</w:t>
      </w:r>
      <w:proofErr w:type="spellStart"/>
      <w:r w:rsidRPr="00BD2181">
        <w:t>OxCADAT</w:t>
      </w:r>
      <w:proofErr w:type="spellEnd"/>
      <w:r w:rsidRPr="00BD2181">
        <w:t xml:space="preserve"> and </w:t>
      </w:r>
      <w:proofErr w:type="spellStart"/>
      <w:r w:rsidRPr="00BD2181">
        <w:t>OxCNC</w:t>
      </w:r>
      <w:proofErr w:type="spellEnd"/>
      <w:r w:rsidRPr="00BD2181">
        <w:t xml:space="preserve">) and the Charles Wolfson Clinical Neuroscience Facility at the John Radcliffe Hospital as well as those on the Warneford site. The Warneford site CRF operates as one unit containing 8 clinical rooms, pharmacy, </w:t>
      </w:r>
      <w:proofErr w:type="gramStart"/>
      <w:r w:rsidRPr="00BD2181">
        <w:t>a</w:t>
      </w:r>
      <w:proofErr w:type="gramEnd"/>
      <w:r w:rsidRPr="00BD2181">
        <w:t xml:space="preserve"> meeting room and associated office space although it is funded from a combination of NIHR and non-NIHR sources as detail below. </w:t>
      </w:r>
    </w:p>
    <w:tbl>
      <w:tblPr>
        <w:tblStyle w:val="TableGrid"/>
        <w:tblpPr w:leftFromText="180" w:rightFromText="180" w:vertAnchor="text" w:horzAnchor="margin" w:tblpY="334"/>
        <w:tblW w:w="9747" w:type="dxa"/>
        <w:tblLayout w:type="fixed"/>
        <w:tblLook w:val="04A0" w:firstRow="1" w:lastRow="0" w:firstColumn="1" w:lastColumn="0" w:noHBand="0" w:noVBand="1"/>
      </w:tblPr>
      <w:tblGrid>
        <w:gridCol w:w="5495"/>
        <w:gridCol w:w="1417"/>
        <w:gridCol w:w="1560"/>
        <w:gridCol w:w="1275"/>
      </w:tblGrid>
      <w:tr w:rsidR="00BD2181" w:rsidRPr="00BD2181" w:rsidTr="00BD2181">
        <w:trPr>
          <w:trHeight w:val="272"/>
        </w:trPr>
        <w:tc>
          <w:tcPr>
            <w:tcW w:w="5495" w:type="dxa"/>
            <w:tcBorders>
              <w:bottom w:val="single" w:sz="4" w:space="0" w:color="auto"/>
            </w:tcBorders>
            <w:shd w:val="clear" w:color="auto" w:fill="8DB3E2" w:themeFill="text2" w:themeFillTint="66"/>
          </w:tcPr>
          <w:p w:rsidR="00BD2181" w:rsidRPr="00BD2181" w:rsidRDefault="00BD2181" w:rsidP="005D3E74">
            <w:pPr>
              <w:spacing w:before="100" w:beforeAutospacing="1" w:after="100" w:afterAutospacing="1"/>
              <w:jc w:val="center"/>
              <w:rPr>
                <w:b/>
                <w:sz w:val="18"/>
                <w:szCs w:val="18"/>
              </w:rPr>
            </w:pPr>
          </w:p>
        </w:tc>
        <w:tc>
          <w:tcPr>
            <w:tcW w:w="1417" w:type="dxa"/>
            <w:tcBorders>
              <w:bottom w:val="single" w:sz="4" w:space="0" w:color="auto"/>
            </w:tcBorders>
            <w:shd w:val="clear" w:color="auto" w:fill="8DB3E2" w:themeFill="text2" w:themeFillTint="66"/>
          </w:tcPr>
          <w:p w:rsidR="00BD2181" w:rsidRPr="00BD2181" w:rsidRDefault="00BD2181" w:rsidP="005D3E74">
            <w:pPr>
              <w:spacing w:before="100" w:beforeAutospacing="1" w:after="100" w:afterAutospacing="1"/>
              <w:jc w:val="center"/>
              <w:rPr>
                <w:b/>
                <w:sz w:val="20"/>
                <w:szCs w:val="20"/>
              </w:rPr>
            </w:pPr>
            <w:r w:rsidRPr="00BD2181">
              <w:rPr>
                <w:b/>
                <w:sz w:val="20"/>
                <w:szCs w:val="20"/>
              </w:rPr>
              <w:t>FY16 Budget</w:t>
            </w:r>
          </w:p>
        </w:tc>
        <w:tc>
          <w:tcPr>
            <w:tcW w:w="1560" w:type="dxa"/>
            <w:tcBorders>
              <w:bottom w:val="single" w:sz="4" w:space="0" w:color="auto"/>
            </w:tcBorders>
            <w:shd w:val="clear" w:color="auto" w:fill="8DB3E2" w:themeFill="text2" w:themeFillTint="66"/>
          </w:tcPr>
          <w:p w:rsidR="00BD2181" w:rsidRPr="00BD2181" w:rsidRDefault="00BD2181" w:rsidP="005D3E74">
            <w:pPr>
              <w:spacing w:before="100" w:beforeAutospacing="1" w:after="100" w:afterAutospacing="1"/>
              <w:jc w:val="center"/>
              <w:rPr>
                <w:b/>
                <w:sz w:val="20"/>
                <w:szCs w:val="20"/>
              </w:rPr>
            </w:pPr>
            <w:r w:rsidRPr="00BD2181">
              <w:rPr>
                <w:b/>
                <w:sz w:val="20"/>
                <w:szCs w:val="20"/>
              </w:rPr>
              <w:t>FY16 Forecast</w:t>
            </w:r>
          </w:p>
        </w:tc>
        <w:tc>
          <w:tcPr>
            <w:tcW w:w="1275" w:type="dxa"/>
            <w:tcBorders>
              <w:bottom w:val="single" w:sz="4" w:space="0" w:color="auto"/>
            </w:tcBorders>
            <w:shd w:val="clear" w:color="auto" w:fill="8DB3E2" w:themeFill="text2" w:themeFillTint="66"/>
          </w:tcPr>
          <w:p w:rsidR="00BD2181" w:rsidRPr="00BD2181" w:rsidRDefault="00BD2181" w:rsidP="005D3E74">
            <w:pPr>
              <w:spacing w:before="100" w:beforeAutospacing="1" w:after="100" w:afterAutospacing="1"/>
              <w:jc w:val="center"/>
              <w:rPr>
                <w:b/>
                <w:sz w:val="20"/>
                <w:szCs w:val="20"/>
              </w:rPr>
            </w:pPr>
            <w:r w:rsidRPr="00BD2181">
              <w:rPr>
                <w:b/>
                <w:sz w:val="20"/>
                <w:szCs w:val="20"/>
              </w:rPr>
              <w:t>Variance</w:t>
            </w:r>
          </w:p>
        </w:tc>
      </w:tr>
      <w:tr w:rsidR="00BD2181" w:rsidRPr="00BD2181" w:rsidTr="00BD2181">
        <w:trPr>
          <w:trHeight w:val="264"/>
        </w:trPr>
        <w:tc>
          <w:tcPr>
            <w:tcW w:w="5495" w:type="dxa"/>
            <w:shd w:val="clear" w:color="auto" w:fill="auto"/>
          </w:tcPr>
          <w:p w:rsidR="00BD2181" w:rsidRPr="00BD2181" w:rsidRDefault="00BD2181" w:rsidP="005D3E74">
            <w:pPr>
              <w:spacing w:before="0" w:after="100" w:afterAutospacing="1"/>
              <w:rPr>
                <w:b/>
                <w:sz w:val="20"/>
                <w:szCs w:val="20"/>
              </w:rPr>
            </w:pPr>
            <w:r w:rsidRPr="00BD2181">
              <w:rPr>
                <w:b/>
                <w:sz w:val="20"/>
                <w:szCs w:val="20"/>
              </w:rPr>
              <w:t>Expenditure</w:t>
            </w:r>
          </w:p>
        </w:tc>
        <w:tc>
          <w:tcPr>
            <w:tcW w:w="1417" w:type="dxa"/>
            <w:tcBorders>
              <w:right w:val="single" w:sz="4" w:space="0" w:color="auto"/>
            </w:tcBorders>
            <w:shd w:val="clear" w:color="auto" w:fill="auto"/>
            <w:vAlign w:val="center"/>
          </w:tcPr>
          <w:p w:rsidR="00BD2181" w:rsidRPr="00BD2181" w:rsidRDefault="00BD2181" w:rsidP="005D3E74">
            <w:pPr>
              <w:spacing w:before="0" w:after="100" w:afterAutospacing="1"/>
              <w:jc w:val="center"/>
              <w:rPr>
                <w:b/>
                <w:sz w:val="20"/>
                <w:szCs w:val="20"/>
              </w:rPr>
            </w:pPr>
            <w:r w:rsidRPr="00BD2181">
              <w:rPr>
                <w:b/>
                <w:sz w:val="20"/>
                <w:szCs w:val="20"/>
              </w:rPr>
              <w:t>(940)</w:t>
            </w:r>
          </w:p>
        </w:tc>
        <w:tc>
          <w:tcPr>
            <w:tcW w:w="1560" w:type="dxa"/>
            <w:tcBorders>
              <w:left w:val="single" w:sz="4" w:space="0" w:color="auto"/>
            </w:tcBorders>
            <w:shd w:val="clear" w:color="auto" w:fill="auto"/>
            <w:vAlign w:val="center"/>
          </w:tcPr>
          <w:p w:rsidR="00BD2181" w:rsidRPr="00BD2181" w:rsidRDefault="00BD2181" w:rsidP="005D3E74">
            <w:pPr>
              <w:spacing w:before="0" w:after="100" w:afterAutospacing="1"/>
              <w:jc w:val="center"/>
              <w:rPr>
                <w:b/>
                <w:sz w:val="20"/>
                <w:szCs w:val="20"/>
              </w:rPr>
            </w:pPr>
            <w:r w:rsidRPr="00BD2181">
              <w:rPr>
                <w:b/>
                <w:sz w:val="20"/>
                <w:szCs w:val="20"/>
              </w:rPr>
              <w:t>(940)</w:t>
            </w:r>
          </w:p>
        </w:tc>
        <w:tc>
          <w:tcPr>
            <w:tcW w:w="1275" w:type="dxa"/>
            <w:tcBorders>
              <w:left w:val="nil"/>
            </w:tcBorders>
            <w:shd w:val="clear" w:color="auto" w:fill="auto"/>
            <w:vAlign w:val="center"/>
          </w:tcPr>
          <w:p w:rsidR="00BD2181" w:rsidRPr="00BD2181" w:rsidRDefault="00BD2181" w:rsidP="005D3E74">
            <w:pPr>
              <w:spacing w:before="0" w:after="100" w:afterAutospacing="1"/>
              <w:jc w:val="center"/>
              <w:rPr>
                <w:b/>
                <w:sz w:val="20"/>
                <w:szCs w:val="20"/>
              </w:rPr>
            </w:pPr>
            <w:r w:rsidRPr="00BD2181">
              <w:rPr>
                <w:b/>
                <w:sz w:val="20"/>
                <w:szCs w:val="20"/>
              </w:rPr>
              <w:t>-</w:t>
            </w:r>
          </w:p>
        </w:tc>
      </w:tr>
      <w:tr w:rsidR="00BD2181" w:rsidRPr="00BD2181" w:rsidTr="00BD2181">
        <w:trPr>
          <w:trHeight w:val="205"/>
        </w:trPr>
        <w:tc>
          <w:tcPr>
            <w:tcW w:w="5495" w:type="dxa"/>
          </w:tcPr>
          <w:p w:rsidR="00BD2181" w:rsidRPr="00BD2181" w:rsidRDefault="00BD2181" w:rsidP="005D3E74">
            <w:pPr>
              <w:spacing w:before="0" w:after="100" w:afterAutospacing="1"/>
              <w:rPr>
                <w:sz w:val="20"/>
                <w:szCs w:val="20"/>
              </w:rPr>
            </w:pPr>
            <w:r w:rsidRPr="00BD2181">
              <w:rPr>
                <w:sz w:val="20"/>
                <w:szCs w:val="20"/>
              </w:rPr>
              <w:t>NIHR Funding (funding in place until Mar 2017)</w:t>
            </w:r>
          </w:p>
        </w:tc>
        <w:tc>
          <w:tcPr>
            <w:tcW w:w="1417" w:type="dxa"/>
            <w:tcBorders>
              <w:right w:val="single" w:sz="4" w:space="0" w:color="auto"/>
            </w:tcBorders>
            <w:vAlign w:val="center"/>
          </w:tcPr>
          <w:p w:rsidR="00BD2181" w:rsidRPr="00BD2181" w:rsidRDefault="00BD2181" w:rsidP="005D3E74">
            <w:pPr>
              <w:spacing w:before="0" w:after="100" w:afterAutospacing="1"/>
              <w:jc w:val="center"/>
              <w:rPr>
                <w:sz w:val="20"/>
                <w:szCs w:val="20"/>
              </w:rPr>
            </w:pPr>
            <w:r w:rsidRPr="00BD2181">
              <w:rPr>
                <w:sz w:val="20"/>
                <w:szCs w:val="20"/>
              </w:rPr>
              <w:t>717</w:t>
            </w:r>
          </w:p>
        </w:tc>
        <w:tc>
          <w:tcPr>
            <w:tcW w:w="1560" w:type="dxa"/>
            <w:tcBorders>
              <w:left w:val="single" w:sz="4" w:space="0" w:color="auto"/>
            </w:tcBorders>
            <w:vAlign w:val="center"/>
          </w:tcPr>
          <w:p w:rsidR="00BD2181" w:rsidRPr="00BD2181" w:rsidRDefault="00BD2181" w:rsidP="005D3E74">
            <w:pPr>
              <w:spacing w:before="0" w:after="100" w:afterAutospacing="1"/>
              <w:jc w:val="center"/>
              <w:rPr>
                <w:sz w:val="20"/>
                <w:szCs w:val="20"/>
              </w:rPr>
            </w:pPr>
            <w:r w:rsidRPr="00BD2181">
              <w:rPr>
                <w:sz w:val="20"/>
                <w:szCs w:val="20"/>
              </w:rPr>
              <w:t>717</w:t>
            </w:r>
          </w:p>
        </w:tc>
        <w:tc>
          <w:tcPr>
            <w:tcW w:w="1275" w:type="dxa"/>
            <w:tcBorders>
              <w:left w:val="nil"/>
            </w:tcBorders>
            <w:vAlign w:val="center"/>
          </w:tcPr>
          <w:p w:rsidR="00BD2181" w:rsidRPr="00BD2181" w:rsidRDefault="00BD2181" w:rsidP="005D3E74">
            <w:pPr>
              <w:spacing w:before="0" w:after="100" w:afterAutospacing="1"/>
              <w:jc w:val="center"/>
              <w:rPr>
                <w:sz w:val="20"/>
                <w:szCs w:val="20"/>
              </w:rPr>
            </w:pPr>
            <w:r w:rsidRPr="00BD2181">
              <w:rPr>
                <w:sz w:val="20"/>
                <w:szCs w:val="20"/>
              </w:rPr>
              <w:t>-</w:t>
            </w:r>
          </w:p>
        </w:tc>
      </w:tr>
      <w:tr w:rsidR="00BD2181" w:rsidRPr="00BD2181" w:rsidTr="00BD2181">
        <w:trPr>
          <w:trHeight w:val="205"/>
        </w:trPr>
        <w:tc>
          <w:tcPr>
            <w:tcW w:w="5495" w:type="dxa"/>
            <w:tcBorders>
              <w:bottom w:val="single" w:sz="4" w:space="0" w:color="auto"/>
            </w:tcBorders>
          </w:tcPr>
          <w:p w:rsidR="00BD2181" w:rsidRPr="00BD2181" w:rsidRDefault="00BD2181" w:rsidP="005D3E74">
            <w:pPr>
              <w:spacing w:before="0" w:after="100" w:afterAutospacing="1"/>
              <w:rPr>
                <w:sz w:val="20"/>
                <w:szCs w:val="20"/>
              </w:rPr>
            </w:pPr>
            <w:r w:rsidRPr="00BD2181">
              <w:rPr>
                <w:sz w:val="20"/>
                <w:szCs w:val="20"/>
              </w:rPr>
              <w:t>CRN: TV SM annual funding</w:t>
            </w:r>
          </w:p>
        </w:tc>
        <w:tc>
          <w:tcPr>
            <w:tcW w:w="1417" w:type="dxa"/>
            <w:tcBorders>
              <w:bottom w:val="single" w:sz="4" w:space="0" w:color="auto"/>
              <w:right w:val="single" w:sz="4" w:space="0" w:color="auto"/>
            </w:tcBorders>
            <w:vAlign w:val="center"/>
          </w:tcPr>
          <w:p w:rsidR="00BD2181" w:rsidRPr="00BD2181" w:rsidRDefault="00BD2181" w:rsidP="005D3E74">
            <w:pPr>
              <w:spacing w:before="0" w:after="100" w:afterAutospacing="1"/>
              <w:jc w:val="center"/>
              <w:rPr>
                <w:sz w:val="20"/>
                <w:szCs w:val="20"/>
              </w:rPr>
            </w:pPr>
            <w:r w:rsidRPr="00BD2181">
              <w:rPr>
                <w:sz w:val="20"/>
                <w:szCs w:val="20"/>
              </w:rPr>
              <w:t>204</w:t>
            </w:r>
          </w:p>
        </w:tc>
        <w:tc>
          <w:tcPr>
            <w:tcW w:w="1560" w:type="dxa"/>
            <w:tcBorders>
              <w:left w:val="single" w:sz="4" w:space="0" w:color="auto"/>
              <w:bottom w:val="single" w:sz="4" w:space="0" w:color="auto"/>
            </w:tcBorders>
            <w:vAlign w:val="center"/>
          </w:tcPr>
          <w:p w:rsidR="00BD2181" w:rsidRPr="00BD2181" w:rsidRDefault="00BD2181" w:rsidP="005D3E74">
            <w:pPr>
              <w:spacing w:before="0" w:after="100" w:afterAutospacing="1"/>
              <w:jc w:val="center"/>
              <w:rPr>
                <w:sz w:val="20"/>
                <w:szCs w:val="20"/>
              </w:rPr>
            </w:pPr>
            <w:r w:rsidRPr="00BD2181">
              <w:rPr>
                <w:sz w:val="20"/>
                <w:szCs w:val="20"/>
              </w:rPr>
              <w:t>204</w:t>
            </w:r>
          </w:p>
        </w:tc>
        <w:tc>
          <w:tcPr>
            <w:tcW w:w="1275" w:type="dxa"/>
            <w:tcBorders>
              <w:left w:val="nil"/>
              <w:bottom w:val="single" w:sz="4" w:space="0" w:color="auto"/>
            </w:tcBorders>
            <w:vAlign w:val="center"/>
          </w:tcPr>
          <w:p w:rsidR="00BD2181" w:rsidRPr="00BD2181" w:rsidRDefault="00BD2181" w:rsidP="005D3E74">
            <w:pPr>
              <w:spacing w:before="0" w:after="100" w:afterAutospacing="1"/>
              <w:jc w:val="center"/>
              <w:rPr>
                <w:sz w:val="20"/>
                <w:szCs w:val="20"/>
              </w:rPr>
            </w:pPr>
            <w:r w:rsidRPr="00BD2181">
              <w:rPr>
                <w:sz w:val="20"/>
                <w:szCs w:val="20"/>
              </w:rPr>
              <w:t>-</w:t>
            </w:r>
          </w:p>
        </w:tc>
      </w:tr>
      <w:tr w:rsidR="00BD2181" w:rsidRPr="00BD2181" w:rsidTr="00BD2181">
        <w:trPr>
          <w:trHeight w:val="70"/>
        </w:trPr>
        <w:tc>
          <w:tcPr>
            <w:tcW w:w="5495" w:type="dxa"/>
            <w:tcBorders>
              <w:top w:val="nil"/>
            </w:tcBorders>
          </w:tcPr>
          <w:p w:rsidR="00BD2181" w:rsidRPr="00BD2181" w:rsidRDefault="00BD2181" w:rsidP="005D3E74">
            <w:pPr>
              <w:spacing w:before="0" w:after="0"/>
              <w:rPr>
                <w:sz w:val="20"/>
                <w:szCs w:val="20"/>
              </w:rPr>
            </w:pPr>
            <w:r w:rsidRPr="00BD2181">
              <w:rPr>
                <w:sz w:val="20"/>
                <w:szCs w:val="20"/>
              </w:rPr>
              <w:t>Total Non-NIHR income (detailed below)</w:t>
            </w:r>
          </w:p>
        </w:tc>
        <w:tc>
          <w:tcPr>
            <w:tcW w:w="1417" w:type="dxa"/>
            <w:tcBorders>
              <w:top w:val="nil"/>
              <w:right w:val="single" w:sz="4" w:space="0" w:color="auto"/>
            </w:tcBorders>
            <w:vAlign w:val="center"/>
          </w:tcPr>
          <w:p w:rsidR="00BD2181" w:rsidRPr="00BD2181" w:rsidRDefault="00BD2181" w:rsidP="005D3E74">
            <w:pPr>
              <w:spacing w:before="0" w:after="0"/>
              <w:jc w:val="center"/>
              <w:rPr>
                <w:sz w:val="20"/>
                <w:szCs w:val="20"/>
              </w:rPr>
            </w:pPr>
            <w:r w:rsidRPr="00BD2181">
              <w:rPr>
                <w:sz w:val="20"/>
                <w:szCs w:val="20"/>
              </w:rPr>
              <w:t>84</w:t>
            </w:r>
          </w:p>
        </w:tc>
        <w:tc>
          <w:tcPr>
            <w:tcW w:w="1560" w:type="dxa"/>
            <w:tcBorders>
              <w:top w:val="nil"/>
              <w:left w:val="single" w:sz="4" w:space="0" w:color="auto"/>
            </w:tcBorders>
            <w:vAlign w:val="center"/>
          </w:tcPr>
          <w:p w:rsidR="00BD2181" w:rsidRPr="00BD2181" w:rsidRDefault="00BD2181" w:rsidP="005D3E74">
            <w:pPr>
              <w:spacing w:before="0" w:after="0"/>
              <w:jc w:val="center"/>
              <w:rPr>
                <w:sz w:val="20"/>
                <w:szCs w:val="20"/>
              </w:rPr>
            </w:pPr>
            <w:r w:rsidRPr="00BD2181">
              <w:rPr>
                <w:sz w:val="20"/>
                <w:szCs w:val="20"/>
              </w:rPr>
              <w:t>93</w:t>
            </w:r>
          </w:p>
        </w:tc>
        <w:tc>
          <w:tcPr>
            <w:tcW w:w="1275" w:type="dxa"/>
            <w:tcBorders>
              <w:top w:val="nil"/>
              <w:left w:val="nil"/>
            </w:tcBorders>
            <w:vAlign w:val="center"/>
          </w:tcPr>
          <w:p w:rsidR="00BD2181" w:rsidRPr="00BD2181" w:rsidRDefault="00BD2181" w:rsidP="005D3E74">
            <w:pPr>
              <w:spacing w:before="0" w:after="0"/>
              <w:jc w:val="center"/>
              <w:rPr>
                <w:sz w:val="20"/>
                <w:szCs w:val="20"/>
              </w:rPr>
            </w:pPr>
            <w:r w:rsidRPr="00BD2181">
              <w:rPr>
                <w:sz w:val="20"/>
                <w:szCs w:val="20"/>
              </w:rPr>
              <w:t>9</w:t>
            </w:r>
          </w:p>
        </w:tc>
      </w:tr>
      <w:tr w:rsidR="00BD2181" w:rsidRPr="00BD2181" w:rsidTr="00BD2181">
        <w:trPr>
          <w:trHeight w:val="205"/>
        </w:trPr>
        <w:tc>
          <w:tcPr>
            <w:tcW w:w="5495" w:type="dxa"/>
            <w:shd w:val="clear" w:color="auto" w:fill="8DB3E2" w:themeFill="text2" w:themeFillTint="66"/>
          </w:tcPr>
          <w:p w:rsidR="00BD2181" w:rsidRPr="00BD2181" w:rsidRDefault="00BD2181" w:rsidP="005D3E74">
            <w:pPr>
              <w:spacing w:before="0" w:after="0"/>
              <w:rPr>
                <w:b/>
                <w:sz w:val="20"/>
                <w:szCs w:val="20"/>
              </w:rPr>
            </w:pPr>
            <w:r w:rsidRPr="00BD2181">
              <w:rPr>
                <w:b/>
                <w:sz w:val="20"/>
                <w:szCs w:val="20"/>
              </w:rPr>
              <w:t>Total Income</w:t>
            </w:r>
          </w:p>
        </w:tc>
        <w:tc>
          <w:tcPr>
            <w:tcW w:w="1417" w:type="dxa"/>
            <w:tcBorders>
              <w:right w:val="single" w:sz="4" w:space="0" w:color="auto"/>
            </w:tcBorders>
            <w:shd w:val="clear" w:color="auto" w:fill="8DB3E2" w:themeFill="text2" w:themeFillTint="66"/>
            <w:vAlign w:val="center"/>
          </w:tcPr>
          <w:p w:rsidR="00BD2181" w:rsidRPr="00BD2181" w:rsidRDefault="00BD2181" w:rsidP="005D3E74">
            <w:pPr>
              <w:spacing w:before="0" w:after="0"/>
              <w:jc w:val="center"/>
              <w:rPr>
                <w:b/>
                <w:sz w:val="20"/>
                <w:szCs w:val="20"/>
              </w:rPr>
            </w:pPr>
            <w:r w:rsidRPr="00BD2181">
              <w:rPr>
                <w:b/>
                <w:sz w:val="20"/>
                <w:szCs w:val="20"/>
              </w:rPr>
              <w:t>1,005</w:t>
            </w:r>
          </w:p>
        </w:tc>
        <w:tc>
          <w:tcPr>
            <w:tcW w:w="1560" w:type="dxa"/>
            <w:tcBorders>
              <w:left w:val="single" w:sz="4" w:space="0" w:color="auto"/>
            </w:tcBorders>
            <w:shd w:val="clear" w:color="auto" w:fill="8DB3E2" w:themeFill="text2" w:themeFillTint="66"/>
            <w:vAlign w:val="center"/>
          </w:tcPr>
          <w:p w:rsidR="00BD2181" w:rsidRPr="00BD2181" w:rsidRDefault="00BD2181" w:rsidP="005D3E74">
            <w:pPr>
              <w:spacing w:before="0" w:after="0"/>
              <w:jc w:val="center"/>
              <w:rPr>
                <w:b/>
                <w:sz w:val="20"/>
                <w:szCs w:val="20"/>
              </w:rPr>
            </w:pPr>
            <w:r w:rsidRPr="00BD2181">
              <w:rPr>
                <w:b/>
                <w:sz w:val="20"/>
                <w:szCs w:val="20"/>
              </w:rPr>
              <w:t>1,014</w:t>
            </w:r>
          </w:p>
        </w:tc>
        <w:tc>
          <w:tcPr>
            <w:tcW w:w="1275" w:type="dxa"/>
            <w:tcBorders>
              <w:left w:val="nil"/>
            </w:tcBorders>
            <w:shd w:val="clear" w:color="auto" w:fill="8DB3E2" w:themeFill="text2" w:themeFillTint="66"/>
            <w:vAlign w:val="center"/>
          </w:tcPr>
          <w:p w:rsidR="00BD2181" w:rsidRPr="00BD2181" w:rsidRDefault="00BD2181" w:rsidP="005D3E74">
            <w:pPr>
              <w:spacing w:before="0" w:after="0"/>
              <w:jc w:val="center"/>
              <w:rPr>
                <w:b/>
                <w:sz w:val="20"/>
                <w:szCs w:val="20"/>
              </w:rPr>
            </w:pPr>
            <w:r w:rsidRPr="00BD2181">
              <w:rPr>
                <w:b/>
                <w:sz w:val="20"/>
                <w:szCs w:val="20"/>
              </w:rPr>
              <w:t>9</w:t>
            </w:r>
          </w:p>
        </w:tc>
      </w:tr>
      <w:tr w:rsidR="00BD2181" w:rsidRPr="00BD2181" w:rsidTr="00BD2181">
        <w:trPr>
          <w:trHeight w:val="205"/>
        </w:trPr>
        <w:tc>
          <w:tcPr>
            <w:tcW w:w="5495" w:type="dxa"/>
            <w:shd w:val="clear" w:color="auto" w:fill="8DB3E2" w:themeFill="text2" w:themeFillTint="66"/>
          </w:tcPr>
          <w:p w:rsidR="00BD2181" w:rsidRPr="00BD2181" w:rsidRDefault="00BD2181" w:rsidP="005D3E74">
            <w:pPr>
              <w:spacing w:before="0" w:after="0"/>
              <w:rPr>
                <w:b/>
                <w:sz w:val="20"/>
                <w:szCs w:val="20"/>
              </w:rPr>
            </w:pPr>
            <w:r w:rsidRPr="00BD2181">
              <w:rPr>
                <w:b/>
                <w:sz w:val="20"/>
                <w:szCs w:val="20"/>
              </w:rPr>
              <w:lastRenderedPageBreak/>
              <w:t>Contribution to overheads</w:t>
            </w:r>
          </w:p>
        </w:tc>
        <w:tc>
          <w:tcPr>
            <w:tcW w:w="1417" w:type="dxa"/>
            <w:tcBorders>
              <w:right w:val="single" w:sz="4" w:space="0" w:color="auto"/>
            </w:tcBorders>
            <w:shd w:val="clear" w:color="auto" w:fill="8DB3E2" w:themeFill="text2" w:themeFillTint="66"/>
            <w:vAlign w:val="center"/>
          </w:tcPr>
          <w:p w:rsidR="00BD2181" w:rsidRPr="00BD2181" w:rsidRDefault="00BD2181" w:rsidP="005D3E74">
            <w:pPr>
              <w:spacing w:before="0" w:after="0"/>
              <w:jc w:val="center"/>
              <w:rPr>
                <w:b/>
                <w:sz w:val="20"/>
                <w:szCs w:val="20"/>
              </w:rPr>
            </w:pPr>
            <w:r w:rsidRPr="00BD2181">
              <w:rPr>
                <w:b/>
                <w:sz w:val="20"/>
                <w:szCs w:val="20"/>
              </w:rPr>
              <w:t>65</w:t>
            </w:r>
          </w:p>
        </w:tc>
        <w:tc>
          <w:tcPr>
            <w:tcW w:w="1560" w:type="dxa"/>
            <w:tcBorders>
              <w:left w:val="single" w:sz="4" w:space="0" w:color="auto"/>
            </w:tcBorders>
            <w:shd w:val="clear" w:color="auto" w:fill="8DB3E2" w:themeFill="text2" w:themeFillTint="66"/>
            <w:vAlign w:val="center"/>
          </w:tcPr>
          <w:p w:rsidR="00BD2181" w:rsidRPr="00BD2181" w:rsidRDefault="00BD2181" w:rsidP="005D3E74">
            <w:pPr>
              <w:spacing w:before="0" w:after="0"/>
              <w:jc w:val="center"/>
              <w:rPr>
                <w:b/>
                <w:sz w:val="20"/>
                <w:szCs w:val="20"/>
              </w:rPr>
            </w:pPr>
            <w:r w:rsidRPr="00BD2181">
              <w:rPr>
                <w:b/>
                <w:sz w:val="20"/>
                <w:szCs w:val="20"/>
              </w:rPr>
              <w:t>74</w:t>
            </w:r>
          </w:p>
        </w:tc>
        <w:tc>
          <w:tcPr>
            <w:tcW w:w="1275" w:type="dxa"/>
            <w:tcBorders>
              <w:left w:val="nil"/>
            </w:tcBorders>
            <w:shd w:val="clear" w:color="auto" w:fill="8DB3E2" w:themeFill="text2" w:themeFillTint="66"/>
            <w:vAlign w:val="center"/>
          </w:tcPr>
          <w:p w:rsidR="00BD2181" w:rsidRPr="00BD2181" w:rsidRDefault="00BD2181" w:rsidP="005D3E74">
            <w:pPr>
              <w:spacing w:before="0" w:after="0"/>
              <w:jc w:val="center"/>
              <w:rPr>
                <w:b/>
                <w:sz w:val="20"/>
                <w:szCs w:val="20"/>
              </w:rPr>
            </w:pPr>
            <w:r w:rsidRPr="00BD2181">
              <w:rPr>
                <w:b/>
                <w:sz w:val="20"/>
                <w:szCs w:val="20"/>
              </w:rPr>
              <w:t>9</w:t>
            </w:r>
          </w:p>
        </w:tc>
      </w:tr>
      <w:tr w:rsidR="00BD2181" w:rsidRPr="00BD2181" w:rsidTr="00BD2181">
        <w:trPr>
          <w:trHeight w:val="205"/>
        </w:trPr>
        <w:tc>
          <w:tcPr>
            <w:tcW w:w="5495" w:type="dxa"/>
            <w:shd w:val="clear" w:color="auto" w:fill="8DB3E2" w:themeFill="text2" w:themeFillTint="66"/>
          </w:tcPr>
          <w:p w:rsidR="00BD2181" w:rsidRPr="00BD2181" w:rsidRDefault="00BD2181" w:rsidP="005D3E74">
            <w:pPr>
              <w:spacing w:before="0" w:after="0"/>
              <w:rPr>
                <w:b/>
                <w:sz w:val="20"/>
                <w:szCs w:val="20"/>
              </w:rPr>
            </w:pPr>
            <w:r w:rsidRPr="00BD2181">
              <w:rPr>
                <w:b/>
                <w:sz w:val="20"/>
                <w:szCs w:val="20"/>
              </w:rPr>
              <w:t xml:space="preserve">Margin after CRF accommodation and Finance support </w:t>
            </w:r>
          </w:p>
        </w:tc>
        <w:tc>
          <w:tcPr>
            <w:tcW w:w="1417" w:type="dxa"/>
            <w:tcBorders>
              <w:right w:val="single" w:sz="4" w:space="0" w:color="auto"/>
            </w:tcBorders>
            <w:shd w:val="clear" w:color="auto" w:fill="8DB3E2" w:themeFill="text2" w:themeFillTint="66"/>
            <w:vAlign w:val="center"/>
          </w:tcPr>
          <w:p w:rsidR="00BD2181" w:rsidRPr="00BD2181" w:rsidRDefault="00BD2181" w:rsidP="005D3E74">
            <w:pPr>
              <w:spacing w:before="0" w:after="0"/>
              <w:jc w:val="center"/>
              <w:rPr>
                <w:b/>
                <w:sz w:val="20"/>
                <w:szCs w:val="20"/>
              </w:rPr>
            </w:pPr>
            <w:r w:rsidRPr="00BD2181">
              <w:rPr>
                <w:b/>
                <w:sz w:val="20"/>
                <w:szCs w:val="20"/>
              </w:rPr>
              <w:t>6%</w:t>
            </w:r>
          </w:p>
        </w:tc>
        <w:tc>
          <w:tcPr>
            <w:tcW w:w="1560" w:type="dxa"/>
            <w:tcBorders>
              <w:left w:val="single" w:sz="4" w:space="0" w:color="auto"/>
            </w:tcBorders>
            <w:shd w:val="clear" w:color="auto" w:fill="8DB3E2" w:themeFill="text2" w:themeFillTint="66"/>
            <w:vAlign w:val="center"/>
          </w:tcPr>
          <w:p w:rsidR="00BD2181" w:rsidRPr="00BD2181" w:rsidRDefault="00BD2181" w:rsidP="005D3E74">
            <w:pPr>
              <w:spacing w:before="0" w:after="0"/>
              <w:jc w:val="center"/>
              <w:rPr>
                <w:b/>
                <w:sz w:val="20"/>
                <w:szCs w:val="20"/>
              </w:rPr>
            </w:pPr>
            <w:r w:rsidRPr="00BD2181">
              <w:rPr>
                <w:b/>
                <w:sz w:val="20"/>
                <w:szCs w:val="20"/>
              </w:rPr>
              <w:t>7%</w:t>
            </w:r>
          </w:p>
        </w:tc>
        <w:tc>
          <w:tcPr>
            <w:tcW w:w="1275" w:type="dxa"/>
            <w:tcBorders>
              <w:left w:val="nil"/>
            </w:tcBorders>
            <w:shd w:val="clear" w:color="auto" w:fill="8DB3E2" w:themeFill="text2" w:themeFillTint="66"/>
            <w:vAlign w:val="center"/>
          </w:tcPr>
          <w:p w:rsidR="00BD2181" w:rsidRPr="00BD2181" w:rsidRDefault="00BD2181" w:rsidP="005D3E74">
            <w:pPr>
              <w:spacing w:before="0" w:after="0"/>
              <w:jc w:val="center"/>
              <w:rPr>
                <w:b/>
                <w:sz w:val="20"/>
                <w:szCs w:val="20"/>
              </w:rPr>
            </w:pPr>
          </w:p>
        </w:tc>
      </w:tr>
    </w:tbl>
    <w:p w:rsidR="00BD2181" w:rsidRPr="00BD2181" w:rsidRDefault="00BD2181" w:rsidP="00BD2181">
      <w:r w:rsidRPr="00BD2181">
        <w:t>The table below details the research income received from non-NIHR studies taking place within the CRF at the end of Period 8.</w:t>
      </w:r>
      <w:r w:rsidRPr="00BD2181">
        <w:rPr>
          <w:sz w:val="22"/>
          <w:szCs w:val="22"/>
        </w:rPr>
        <w:t xml:space="preserve"> </w:t>
      </w:r>
    </w:p>
    <w:tbl>
      <w:tblPr>
        <w:tblW w:w="9781" w:type="dxa"/>
        <w:tblInd w:w="-34" w:type="dxa"/>
        <w:tblLayout w:type="fixed"/>
        <w:tblLook w:val="04A0" w:firstRow="1" w:lastRow="0" w:firstColumn="1" w:lastColumn="0" w:noHBand="0" w:noVBand="1"/>
      </w:tblPr>
      <w:tblGrid>
        <w:gridCol w:w="5954"/>
        <w:gridCol w:w="1843"/>
        <w:gridCol w:w="709"/>
        <w:gridCol w:w="1275"/>
      </w:tblGrid>
      <w:tr w:rsidR="00BD2181" w:rsidRPr="00BD2181" w:rsidTr="00BD2181">
        <w:trPr>
          <w:trHeight w:val="511"/>
        </w:trPr>
        <w:tc>
          <w:tcPr>
            <w:tcW w:w="5954"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rsidR="00BD2181" w:rsidRPr="00BD2181" w:rsidRDefault="00BD2181" w:rsidP="005D3E74">
            <w:pPr>
              <w:spacing w:before="0" w:after="0"/>
              <w:jc w:val="left"/>
              <w:rPr>
                <w:rFonts w:cs="Arial"/>
                <w:b/>
                <w:bCs/>
                <w:sz w:val="18"/>
                <w:szCs w:val="18"/>
                <w:lang w:val="en-GB" w:eastAsia="en-GB"/>
              </w:rPr>
            </w:pPr>
            <w:r w:rsidRPr="00BD2181">
              <w:rPr>
                <w:rFonts w:cs="Arial"/>
                <w:b/>
                <w:bCs/>
                <w:sz w:val="18"/>
                <w:szCs w:val="18"/>
                <w:lang w:val="en-GB" w:eastAsia="en-GB"/>
              </w:rPr>
              <w:t>Study</w:t>
            </w:r>
          </w:p>
        </w:tc>
        <w:tc>
          <w:tcPr>
            <w:tcW w:w="1843"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BD2181" w:rsidRPr="00BD2181" w:rsidRDefault="00BD2181" w:rsidP="005D3E74">
            <w:pPr>
              <w:spacing w:before="0" w:after="0"/>
              <w:jc w:val="center"/>
              <w:rPr>
                <w:rFonts w:cs="Arial"/>
                <w:b/>
                <w:bCs/>
                <w:sz w:val="18"/>
                <w:szCs w:val="18"/>
                <w:lang w:val="en-GB" w:eastAsia="en-GB"/>
              </w:rPr>
            </w:pPr>
            <w:r w:rsidRPr="00BD2181">
              <w:rPr>
                <w:rFonts w:cs="Arial"/>
                <w:b/>
                <w:bCs/>
                <w:sz w:val="18"/>
                <w:szCs w:val="18"/>
                <w:lang w:val="en-GB" w:eastAsia="en-GB"/>
              </w:rPr>
              <w:t>Sponsor/Clinical Research Organisation</w:t>
            </w:r>
          </w:p>
        </w:tc>
        <w:tc>
          <w:tcPr>
            <w:tcW w:w="709" w:type="dxa"/>
            <w:tcBorders>
              <w:top w:val="single" w:sz="4" w:space="0" w:color="auto"/>
              <w:left w:val="nil"/>
              <w:bottom w:val="single" w:sz="4" w:space="0" w:color="auto"/>
              <w:right w:val="single" w:sz="4" w:space="0" w:color="auto"/>
            </w:tcBorders>
            <w:shd w:val="clear" w:color="auto" w:fill="8DB3E2" w:themeFill="text2" w:themeFillTint="66"/>
            <w:vAlign w:val="center"/>
          </w:tcPr>
          <w:p w:rsidR="00BD2181" w:rsidRPr="00BD2181" w:rsidRDefault="00BD2181" w:rsidP="005D3E74">
            <w:pPr>
              <w:spacing w:before="0" w:after="0"/>
              <w:jc w:val="center"/>
              <w:rPr>
                <w:rFonts w:cs="Arial"/>
                <w:b/>
                <w:bCs/>
                <w:sz w:val="18"/>
                <w:szCs w:val="18"/>
                <w:lang w:val="en-GB" w:eastAsia="en-GB"/>
              </w:rPr>
            </w:pPr>
            <w:r w:rsidRPr="00BD2181">
              <w:rPr>
                <w:rFonts w:cs="Arial"/>
                <w:b/>
                <w:bCs/>
                <w:sz w:val="18"/>
                <w:szCs w:val="18"/>
                <w:lang w:val="en-GB" w:eastAsia="en-GB"/>
              </w:rPr>
              <w:t>£k</w:t>
            </w:r>
          </w:p>
        </w:tc>
        <w:tc>
          <w:tcPr>
            <w:tcW w:w="1275" w:type="dxa"/>
            <w:tcBorders>
              <w:top w:val="single" w:sz="4" w:space="0" w:color="auto"/>
              <w:left w:val="nil"/>
              <w:bottom w:val="single" w:sz="4" w:space="0" w:color="auto"/>
              <w:right w:val="single" w:sz="4" w:space="0" w:color="auto"/>
            </w:tcBorders>
            <w:shd w:val="clear" w:color="auto" w:fill="8DB3E2" w:themeFill="text2" w:themeFillTint="66"/>
            <w:vAlign w:val="center"/>
          </w:tcPr>
          <w:p w:rsidR="00BD2181" w:rsidRPr="00BD2181" w:rsidRDefault="00BD2181" w:rsidP="005D3E74">
            <w:pPr>
              <w:spacing w:before="0" w:after="0"/>
              <w:jc w:val="center"/>
              <w:rPr>
                <w:rFonts w:cs="Arial"/>
                <w:b/>
                <w:bCs/>
                <w:sz w:val="18"/>
                <w:szCs w:val="18"/>
                <w:lang w:val="en-GB" w:eastAsia="en-GB"/>
              </w:rPr>
            </w:pPr>
            <w:r w:rsidRPr="00BD2181">
              <w:rPr>
                <w:rFonts w:cs="Arial"/>
                <w:b/>
                <w:bCs/>
                <w:sz w:val="18"/>
                <w:szCs w:val="18"/>
                <w:lang w:val="en-GB" w:eastAsia="en-GB"/>
              </w:rPr>
              <w:t>Funding</w:t>
            </w:r>
          </w:p>
        </w:tc>
      </w:tr>
      <w:tr w:rsidR="00BD2181" w:rsidRPr="00BD2181" w:rsidTr="00BD2181">
        <w:trPr>
          <w:trHeight w:val="649"/>
        </w:trPr>
        <w:tc>
          <w:tcPr>
            <w:tcW w:w="5954" w:type="dxa"/>
            <w:tcBorders>
              <w:top w:val="nil"/>
              <w:left w:val="single" w:sz="4" w:space="0" w:color="auto"/>
              <w:bottom w:val="single" w:sz="4" w:space="0" w:color="auto"/>
              <w:right w:val="single" w:sz="4" w:space="0" w:color="auto"/>
            </w:tcBorders>
            <w:shd w:val="clear" w:color="auto" w:fill="auto"/>
            <w:vAlign w:val="center"/>
          </w:tcPr>
          <w:p w:rsidR="00BD2181" w:rsidRPr="00BD2181" w:rsidRDefault="00BD2181" w:rsidP="005D3E74">
            <w:pPr>
              <w:spacing w:before="0" w:after="100" w:afterAutospacing="1"/>
              <w:jc w:val="left"/>
              <w:rPr>
                <w:rFonts w:cs="Arial"/>
                <w:sz w:val="18"/>
                <w:szCs w:val="18"/>
                <w:lang w:val="en-GB" w:eastAsia="en-GB"/>
              </w:rPr>
            </w:pPr>
            <w:r w:rsidRPr="00BD2181">
              <w:rPr>
                <w:rFonts w:cs="Arial"/>
                <w:sz w:val="18"/>
                <w:szCs w:val="18"/>
              </w:rPr>
              <w:t>Stem cells for Biological Assays of Novel drugs and predictive toxicology (STEMBANCC)</w:t>
            </w:r>
          </w:p>
        </w:tc>
        <w:tc>
          <w:tcPr>
            <w:tcW w:w="1843" w:type="dxa"/>
            <w:tcBorders>
              <w:top w:val="nil"/>
              <w:left w:val="nil"/>
              <w:bottom w:val="single" w:sz="4" w:space="0" w:color="auto"/>
              <w:right w:val="single" w:sz="4" w:space="0" w:color="auto"/>
            </w:tcBorders>
            <w:shd w:val="clear" w:color="auto" w:fill="auto"/>
            <w:vAlign w:val="center"/>
          </w:tcPr>
          <w:p w:rsidR="00BD2181" w:rsidRPr="00BD2181" w:rsidRDefault="00BD2181" w:rsidP="005D3E74">
            <w:pPr>
              <w:spacing w:before="0" w:after="100" w:afterAutospacing="1"/>
              <w:jc w:val="center"/>
              <w:rPr>
                <w:rFonts w:cs="Arial"/>
                <w:sz w:val="18"/>
                <w:szCs w:val="18"/>
                <w:lang w:val="en-GB" w:eastAsia="en-GB"/>
              </w:rPr>
            </w:pPr>
            <w:r w:rsidRPr="00BD2181">
              <w:rPr>
                <w:rFonts w:cs="Arial"/>
                <w:sz w:val="18"/>
                <w:szCs w:val="18"/>
              </w:rPr>
              <w:t>University of Oxford</w:t>
            </w:r>
          </w:p>
        </w:tc>
        <w:tc>
          <w:tcPr>
            <w:tcW w:w="709" w:type="dxa"/>
            <w:tcBorders>
              <w:top w:val="single" w:sz="4" w:space="0" w:color="auto"/>
              <w:left w:val="nil"/>
              <w:bottom w:val="single" w:sz="4" w:space="0" w:color="auto"/>
              <w:right w:val="single" w:sz="4" w:space="0" w:color="auto"/>
            </w:tcBorders>
            <w:vAlign w:val="center"/>
          </w:tcPr>
          <w:p w:rsidR="00BD2181" w:rsidRPr="00BD2181" w:rsidRDefault="00BD2181" w:rsidP="005D3E74">
            <w:pPr>
              <w:spacing w:before="0" w:after="100" w:afterAutospacing="1"/>
              <w:jc w:val="center"/>
              <w:rPr>
                <w:rFonts w:cs="Arial"/>
                <w:sz w:val="18"/>
                <w:szCs w:val="18"/>
                <w:lang w:val="en-GB" w:eastAsia="en-GB"/>
              </w:rPr>
            </w:pPr>
            <w:r w:rsidRPr="00BD2181">
              <w:rPr>
                <w:rFonts w:cs="Arial"/>
                <w:sz w:val="18"/>
                <w:szCs w:val="18"/>
                <w:lang w:val="en-GB" w:eastAsia="en-GB"/>
              </w:rPr>
              <w:t>25</w:t>
            </w:r>
          </w:p>
        </w:tc>
        <w:tc>
          <w:tcPr>
            <w:tcW w:w="1275" w:type="dxa"/>
            <w:tcBorders>
              <w:top w:val="single" w:sz="4" w:space="0" w:color="auto"/>
              <w:left w:val="nil"/>
              <w:bottom w:val="single" w:sz="4" w:space="0" w:color="auto"/>
              <w:right w:val="single" w:sz="4" w:space="0" w:color="auto"/>
            </w:tcBorders>
            <w:vAlign w:val="center"/>
          </w:tcPr>
          <w:p w:rsidR="00BD2181" w:rsidRPr="00BD2181" w:rsidRDefault="00BD2181" w:rsidP="005D3E74">
            <w:pPr>
              <w:spacing w:before="0" w:after="100" w:afterAutospacing="1"/>
              <w:jc w:val="center"/>
              <w:rPr>
                <w:rFonts w:cs="Arial"/>
                <w:sz w:val="18"/>
                <w:szCs w:val="18"/>
                <w:lang w:val="en-GB" w:eastAsia="en-GB"/>
              </w:rPr>
            </w:pPr>
            <w:r w:rsidRPr="00BD2181">
              <w:rPr>
                <w:rFonts w:cs="Arial"/>
                <w:sz w:val="18"/>
                <w:szCs w:val="18"/>
                <w:lang w:val="en-GB" w:eastAsia="en-GB"/>
              </w:rPr>
              <w:t>Non-Commercial</w:t>
            </w:r>
          </w:p>
        </w:tc>
      </w:tr>
      <w:tr w:rsidR="00BD2181" w:rsidRPr="00BD2181" w:rsidTr="00BD2181">
        <w:trPr>
          <w:trHeight w:val="205"/>
        </w:trPr>
        <w:tc>
          <w:tcPr>
            <w:tcW w:w="5954" w:type="dxa"/>
            <w:tcBorders>
              <w:top w:val="nil"/>
              <w:left w:val="single" w:sz="4" w:space="0" w:color="auto"/>
              <w:bottom w:val="single" w:sz="4" w:space="0" w:color="auto"/>
              <w:right w:val="single" w:sz="4" w:space="0" w:color="auto"/>
            </w:tcBorders>
            <w:shd w:val="clear" w:color="auto" w:fill="auto"/>
            <w:vAlign w:val="center"/>
          </w:tcPr>
          <w:p w:rsidR="00BD2181" w:rsidRPr="00BD2181" w:rsidRDefault="00BD2181" w:rsidP="005D3E74">
            <w:pPr>
              <w:spacing w:before="0" w:after="0" w:line="360" w:lineRule="auto"/>
              <w:jc w:val="center"/>
              <w:rPr>
                <w:rFonts w:cs="Arial"/>
                <w:sz w:val="18"/>
                <w:szCs w:val="18"/>
              </w:rPr>
            </w:pPr>
            <w:r w:rsidRPr="00BD2181">
              <w:rPr>
                <w:rFonts w:cs="Arial"/>
                <w:sz w:val="18"/>
                <w:szCs w:val="18"/>
              </w:rPr>
              <w:t>European Long-acting Antipsychotics in Schizophrenia Trial (EULAST)</w:t>
            </w:r>
          </w:p>
        </w:tc>
        <w:tc>
          <w:tcPr>
            <w:tcW w:w="1843" w:type="dxa"/>
            <w:tcBorders>
              <w:top w:val="nil"/>
              <w:left w:val="nil"/>
              <w:bottom w:val="single" w:sz="4" w:space="0" w:color="auto"/>
              <w:right w:val="single" w:sz="4" w:space="0" w:color="auto"/>
            </w:tcBorders>
            <w:shd w:val="clear" w:color="auto" w:fill="auto"/>
            <w:vAlign w:val="center"/>
          </w:tcPr>
          <w:p w:rsidR="00BD2181" w:rsidRPr="00BD2181" w:rsidRDefault="00BD2181" w:rsidP="005D3E74">
            <w:pPr>
              <w:spacing w:before="0" w:after="0"/>
              <w:jc w:val="center"/>
              <w:rPr>
                <w:rFonts w:cs="Arial"/>
                <w:sz w:val="18"/>
                <w:szCs w:val="18"/>
              </w:rPr>
            </w:pPr>
            <w:r w:rsidRPr="00BD2181">
              <w:rPr>
                <w:rFonts w:cs="Arial"/>
                <w:sz w:val="18"/>
                <w:szCs w:val="18"/>
              </w:rPr>
              <w:t>EU</w:t>
            </w:r>
          </w:p>
        </w:tc>
        <w:tc>
          <w:tcPr>
            <w:tcW w:w="709" w:type="dxa"/>
            <w:tcBorders>
              <w:top w:val="single" w:sz="4" w:space="0" w:color="auto"/>
              <w:left w:val="nil"/>
              <w:bottom w:val="single" w:sz="4" w:space="0" w:color="auto"/>
              <w:right w:val="single" w:sz="4" w:space="0" w:color="auto"/>
            </w:tcBorders>
            <w:vAlign w:val="center"/>
          </w:tcPr>
          <w:p w:rsidR="00BD2181" w:rsidRPr="00BD2181" w:rsidRDefault="00BD2181" w:rsidP="005D3E74">
            <w:pPr>
              <w:spacing w:before="0" w:after="0"/>
              <w:jc w:val="center"/>
              <w:rPr>
                <w:rFonts w:cs="Arial"/>
                <w:sz w:val="18"/>
                <w:szCs w:val="18"/>
                <w:lang w:val="en-GB" w:eastAsia="en-GB"/>
              </w:rPr>
            </w:pPr>
            <w:r w:rsidRPr="00BD2181">
              <w:rPr>
                <w:rFonts w:cs="Arial"/>
                <w:sz w:val="18"/>
                <w:szCs w:val="18"/>
                <w:lang w:val="en-GB" w:eastAsia="en-GB"/>
              </w:rPr>
              <w:t>3</w:t>
            </w:r>
          </w:p>
        </w:tc>
        <w:tc>
          <w:tcPr>
            <w:tcW w:w="1275" w:type="dxa"/>
            <w:tcBorders>
              <w:top w:val="single" w:sz="4" w:space="0" w:color="auto"/>
              <w:left w:val="nil"/>
              <w:bottom w:val="single" w:sz="4" w:space="0" w:color="auto"/>
              <w:right w:val="single" w:sz="4" w:space="0" w:color="auto"/>
            </w:tcBorders>
            <w:vAlign w:val="center"/>
          </w:tcPr>
          <w:p w:rsidR="00BD2181" w:rsidRPr="00BD2181" w:rsidRDefault="00BD2181" w:rsidP="005D3E74">
            <w:pPr>
              <w:spacing w:before="0" w:after="0"/>
              <w:jc w:val="center"/>
              <w:rPr>
                <w:rFonts w:cs="Arial"/>
                <w:sz w:val="18"/>
                <w:szCs w:val="18"/>
              </w:rPr>
            </w:pPr>
            <w:r w:rsidRPr="00BD2181">
              <w:rPr>
                <w:rFonts w:cs="Arial"/>
                <w:sz w:val="18"/>
                <w:szCs w:val="18"/>
                <w:lang w:val="en-GB" w:eastAsia="en-GB"/>
              </w:rPr>
              <w:t>Non-Commercial</w:t>
            </w:r>
          </w:p>
        </w:tc>
      </w:tr>
      <w:tr w:rsidR="00BD2181" w:rsidRPr="00BD2181" w:rsidTr="00BD2181">
        <w:trPr>
          <w:trHeight w:val="481"/>
        </w:trPr>
        <w:tc>
          <w:tcPr>
            <w:tcW w:w="5954" w:type="dxa"/>
            <w:tcBorders>
              <w:top w:val="nil"/>
              <w:left w:val="single" w:sz="4" w:space="0" w:color="auto"/>
              <w:bottom w:val="single" w:sz="4" w:space="0" w:color="auto"/>
              <w:right w:val="single" w:sz="4" w:space="0" w:color="auto"/>
            </w:tcBorders>
            <w:shd w:val="clear" w:color="auto" w:fill="auto"/>
            <w:vAlign w:val="center"/>
          </w:tcPr>
          <w:p w:rsidR="00BD2181" w:rsidRPr="00BD2181" w:rsidRDefault="00BD2181" w:rsidP="005D3E74">
            <w:pPr>
              <w:spacing w:before="0" w:after="100" w:afterAutospacing="1"/>
              <w:jc w:val="left"/>
              <w:rPr>
                <w:rFonts w:cs="Arial"/>
                <w:sz w:val="18"/>
                <w:szCs w:val="18"/>
              </w:rPr>
            </w:pPr>
            <w:r w:rsidRPr="00BD2181">
              <w:rPr>
                <w:rFonts w:cs="Arial"/>
                <w:sz w:val="18"/>
                <w:szCs w:val="18"/>
              </w:rPr>
              <w:t xml:space="preserve">A </w:t>
            </w:r>
            <w:proofErr w:type="spellStart"/>
            <w:r w:rsidRPr="00BD2181">
              <w:rPr>
                <w:rFonts w:cs="Arial"/>
                <w:sz w:val="18"/>
                <w:szCs w:val="18"/>
              </w:rPr>
              <w:t>randomised</w:t>
            </w:r>
            <w:proofErr w:type="spellEnd"/>
            <w:r w:rsidRPr="00BD2181">
              <w:rPr>
                <w:rFonts w:cs="Arial"/>
                <w:sz w:val="18"/>
                <w:szCs w:val="18"/>
              </w:rPr>
              <w:t xml:space="preserve">, double-blind, placebo-controlled, single-dose, study of the </w:t>
            </w:r>
            <w:proofErr w:type="spellStart"/>
            <w:r w:rsidRPr="00BD2181">
              <w:rPr>
                <w:rFonts w:cs="Arial"/>
                <w:sz w:val="18"/>
                <w:szCs w:val="18"/>
              </w:rPr>
              <w:t>efects</w:t>
            </w:r>
            <w:proofErr w:type="spellEnd"/>
            <w:r w:rsidRPr="00BD2181">
              <w:rPr>
                <w:rFonts w:cs="Arial"/>
                <w:sz w:val="18"/>
                <w:szCs w:val="18"/>
              </w:rPr>
              <w:t xml:space="preserve"> of SEP 363856 and </w:t>
            </w:r>
            <w:proofErr w:type="spellStart"/>
            <w:r w:rsidRPr="00BD2181">
              <w:rPr>
                <w:rFonts w:cs="Arial"/>
                <w:sz w:val="18"/>
                <w:szCs w:val="18"/>
              </w:rPr>
              <w:t>Amisulprode</w:t>
            </w:r>
            <w:proofErr w:type="spellEnd"/>
            <w:r w:rsidRPr="00BD2181">
              <w:rPr>
                <w:rFonts w:cs="Arial"/>
                <w:sz w:val="18"/>
                <w:szCs w:val="18"/>
              </w:rPr>
              <w:t xml:space="preserve"> on bold-FMRI signal in healthy male and female volunteers with high or low </w:t>
            </w:r>
            <w:proofErr w:type="spellStart"/>
            <w:r w:rsidRPr="00BD2181">
              <w:rPr>
                <w:rFonts w:cs="Arial"/>
                <w:sz w:val="18"/>
                <w:szCs w:val="18"/>
              </w:rPr>
              <w:t>schizotype</w:t>
            </w:r>
            <w:proofErr w:type="spellEnd"/>
            <w:r w:rsidRPr="00BD2181">
              <w:rPr>
                <w:rFonts w:cs="Arial"/>
                <w:sz w:val="18"/>
                <w:szCs w:val="18"/>
              </w:rPr>
              <w:t xml:space="preserve"> characteristics</w:t>
            </w:r>
          </w:p>
        </w:tc>
        <w:tc>
          <w:tcPr>
            <w:tcW w:w="1843" w:type="dxa"/>
            <w:tcBorders>
              <w:top w:val="nil"/>
              <w:left w:val="nil"/>
              <w:bottom w:val="single" w:sz="4" w:space="0" w:color="auto"/>
              <w:right w:val="single" w:sz="4" w:space="0" w:color="auto"/>
            </w:tcBorders>
            <w:shd w:val="clear" w:color="auto" w:fill="auto"/>
            <w:vAlign w:val="center"/>
          </w:tcPr>
          <w:p w:rsidR="00BD2181" w:rsidRPr="00BD2181" w:rsidRDefault="00BD2181" w:rsidP="005D3E74">
            <w:pPr>
              <w:spacing w:before="0" w:after="100" w:afterAutospacing="1"/>
              <w:jc w:val="center"/>
              <w:rPr>
                <w:rFonts w:cs="Arial"/>
                <w:sz w:val="18"/>
                <w:szCs w:val="18"/>
              </w:rPr>
            </w:pPr>
            <w:proofErr w:type="spellStart"/>
            <w:r w:rsidRPr="00BD2181">
              <w:rPr>
                <w:rFonts w:cs="Arial"/>
                <w:sz w:val="18"/>
                <w:szCs w:val="18"/>
              </w:rPr>
              <w:t>Sunovion</w:t>
            </w:r>
            <w:proofErr w:type="spellEnd"/>
          </w:p>
        </w:tc>
        <w:tc>
          <w:tcPr>
            <w:tcW w:w="709" w:type="dxa"/>
            <w:tcBorders>
              <w:top w:val="single" w:sz="4" w:space="0" w:color="auto"/>
              <w:left w:val="nil"/>
              <w:bottom w:val="single" w:sz="4" w:space="0" w:color="auto"/>
              <w:right w:val="single" w:sz="4" w:space="0" w:color="auto"/>
            </w:tcBorders>
            <w:vAlign w:val="center"/>
          </w:tcPr>
          <w:p w:rsidR="00BD2181" w:rsidRPr="00BD2181" w:rsidRDefault="00BD2181" w:rsidP="005D3E74">
            <w:pPr>
              <w:spacing w:before="0" w:after="100" w:afterAutospacing="1"/>
              <w:jc w:val="center"/>
              <w:rPr>
                <w:rFonts w:cs="Arial"/>
                <w:sz w:val="18"/>
                <w:szCs w:val="18"/>
                <w:lang w:val="en-GB" w:eastAsia="en-GB"/>
              </w:rPr>
            </w:pPr>
            <w:r w:rsidRPr="00BD2181">
              <w:rPr>
                <w:rFonts w:cs="Arial"/>
                <w:sz w:val="18"/>
                <w:szCs w:val="18"/>
                <w:lang w:val="en-GB" w:eastAsia="en-GB"/>
              </w:rPr>
              <w:t>37</w:t>
            </w:r>
          </w:p>
        </w:tc>
        <w:tc>
          <w:tcPr>
            <w:tcW w:w="1275" w:type="dxa"/>
            <w:tcBorders>
              <w:top w:val="single" w:sz="4" w:space="0" w:color="auto"/>
              <w:left w:val="nil"/>
              <w:bottom w:val="single" w:sz="4" w:space="0" w:color="auto"/>
              <w:right w:val="single" w:sz="4" w:space="0" w:color="auto"/>
            </w:tcBorders>
            <w:vAlign w:val="center"/>
          </w:tcPr>
          <w:p w:rsidR="00BD2181" w:rsidRPr="00BD2181" w:rsidRDefault="00BD2181" w:rsidP="005D3E74">
            <w:pPr>
              <w:spacing w:before="0" w:after="100" w:afterAutospacing="1"/>
              <w:jc w:val="center"/>
              <w:rPr>
                <w:rFonts w:cs="Arial"/>
                <w:sz w:val="18"/>
                <w:szCs w:val="18"/>
              </w:rPr>
            </w:pPr>
            <w:r w:rsidRPr="00BD2181">
              <w:rPr>
                <w:rFonts w:cs="Arial"/>
                <w:sz w:val="18"/>
                <w:szCs w:val="18"/>
              </w:rPr>
              <w:t>Industry Contract</w:t>
            </w:r>
          </w:p>
        </w:tc>
      </w:tr>
      <w:tr w:rsidR="00BD2181" w:rsidRPr="00BD2181" w:rsidTr="00BD2181">
        <w:trPr>
          <w:trHeight w:val="507"/>
        </w:trPr>
        <w:tc>
          <w:tcPr>
            <w:tcW w:w="5954" w:type="dxa"/>
            <w:tcBorders>
              <w:top w:val="nil"/>
              <w:left w:val="single" w:sz="4" w:space="0" w:color="auto"/>
              <w:bottom w:val="single" w:sz="4" w:space="0" w:color="auto"/>
              <w:right w:val="single" w:sz="4" w:space="0" w:color="auto"/>
            </w:tcBorders>
            <w:shd w:val="clear" w:color="auto" w:fill="auto"/>
            <w:vAlign w:val="center"/>
          </w:tcPr>
          <w:p w:rsidR="00BD2181" w:rsidRPr="00BD2181" w:rsidRDefault="00BD2181" w:rsidP="005D3E74">
            <w:pPr>
              <w:spacing w:before="0" w:after="100" w:afterAutospacing="1"/>
              <w:jc w:val="left"/>
              <w:rPr>
                <w:rFonts w:cs="Arial"/>
                <w:sz w:val="18"/>
                <w:szCs w:val="18"/>
              </w:rPr>
            </w:pPr>
            <w:r w:rsidRPr="00BD2181">
              <w:rPr>
                <w:rFonts w:cs="Arial"/>
                <w:sz w:val="18"/>
                <w:szCs w:val="18"/>
              </w:rPr>
              <w:t>Dendron led studies</w:t>
            </w:r>
          </w:p>
        </w:tc>
        <w:tc>
          <w:tcPr>
            <w:tcW w:w="1843" w:type="dxa"/>
            <w:tcBorders>
              <w:top w:val="nil"/>
              <w:left w:val="nil"/>
              <w:bottom w:val="single" w:sz="4" w:space="0" w:color="auto"/>
              <w:right w:val="single" w:sz="4" w:space="0" w:color="auto"/>
            </w:tcBorders>
            <w:shd w:val="clear" w:color="auto" w:fill="auto"/>
            <w:vAlign w:val="center"/>
          </w:tcPr>
          <w:p w:rsidR="00BD2181" w:rsidRPr="00BD2181" w:rsidRDefault="00BD2181" w:rsidP="005D3E74">
            <w:pPr>
              <w:spacing w:before="0" w:after="100" w:afterAutospacing="1"/>
              <w:jc w:val="center"/>
              <w:rPr>
                <w:rFonts w:cs="Arial"/>
                <w:sz w:val="18"/>
                <w:szCs w:val="18"/>
              </w:rPr>
            </w:pPr>
          </w:p>
        </w:tc>
        <w:tc>
          <w:tcPr>
            <w:tcW w:w="709" w:type="dxa"/>
            <w:tcBorders>
              <w:top w:val="single" w:sz="4" w:space="0" w:color="auto"/>
              <w:left w:val="nil"/>
              <w:bottom w:val="single" w:sz="4" w:space="0" w:color="auto"/>
              <w:right w:val="single" w:sz="4" w:space="0" w:color="auto"/>
            </w:tcBorders>
            <w:vAlign w:val="center"/>
          </w:tcPr>
          <w:p w:rsidR="00BD2181" w:rsidRPr="00BD2181" w:rsidRDefault="00BD2181" w:rsidP="005D3E74">
            <w:pPr>
              <w:spacing w:before="0" w:after="100" w:afterAutospacing="1"/>
              <w:jc w:val="center"/>
              <w:rPr>
                <w:rFonts w:cs="Arial"/>
                <w:sz w:val="18"/>
                <w:szCs w:val="18"/>
                <w:lang w:val="en-GB" w:eastAsia="en-GB"/>
              </w:rPr>
            </w:pPr>
            <w:r w:rsidRPr="00BD2181">
              <w:rPr>
                <w:rFonts w:cs="Arial"/>
                <w:sz w:val="18"/>
                <w:szCs w:val="18"/>
                <w:lang w:val="en-GB" w:eastAsia="en-GB"/>
              </w:rPr>
              <w:t>20</w:t>
            </w:r>
          </w:p>
        </w:tc>
        <w:tc>
          <w:tcPr>
            <w:tcW w:w="1275" w:type="dxa"/>
            <w:tcBorders>
              <w:top w:val="single" w:sz="4" w:space="0" w:color="auto"/>
              <w:left w:val="nil"/>
              <w:bottom w:val="single" w:sz="4" w:space="0" w:color="auto"/>
              <w:right w:val="single" w:sz="4" w:space="0" w:color="auto"/>
            </w:tcBorders>
            <w:vAlign w:val="center"/>
          </w:tcPr>
          <w:p w:rsidR="00BD2181" w:rsidRPr="00BD2181" w:rsidRDefault="00BD2181" w:rsidP="005D3E74">
            <w:pPr>
              <w:spacing w:before="0" w:after="100" w:afterAutospacing="1"/>
              <w:jc w:val="center"/>
              <w:rPr>
                <w:rFonts w:cs="Arial"/>
                <w:sz w:val="18"/>
                <w:szCs w:val="18"/>
              </w:rPr>
            </w:pPr>
            <w:r w:rsidRPr="00BD2181">
              <w:rPr>
                <w:rFonts w:cs="Arial"/>
                <w:sz w:val="18"/>
                <w:szCs w:val="18"/>
              </w:rPr>
              <w:t>Industry Contract</w:t>
            </w:r>
          </w:p>
        </w:tc>
      </w:tr>
      <w:tr w:rsidR="00BD2181" w:rsidRPr="00BD2181" w:rsidTr="00BD2181">
        <w:trPr>
          <w:trHeight w:val="255"/>
        </w:trPr>
        <w:tc>
          <w:tcPr>
            <w:tcW w:w="5954" w:type="dxa"/>
            <w:tcBorders>
              <w:top w:val="nil"/>
              <w:left w:val="single" w:sz="4" w:space="0" w:color="auto"/>
              <w:bottom w:val="single" w:sz="4" w:space="0" w:color="auto"/>
              <w:right w:val="single" w:sz="4" w:space="0" w:color="auto"/>
            </w:tcBorders>
            <w:shd w:val="clear" w:color="auto" w:fill="8DB3E2" w:themeFill="text2" w:themeFillTint="66"/>
            <w:noWrap/>
            <w:vAlign w:val="bottom"/>
            <w:hideMark/>
          </w:tcPr>
          <w:p w:rsidR="00BD2181" w:rsidRPr="00BD2181" w:rsidRDefault="00BD2181" w:rsidP="005D3E74">
            <w:pPr>
              <w:spacing w:before="0" w:after="100" w:afterAutospacing="1"/>
              <w:jc w:val="left"/>
              <w:rPr>
                <w:rFonts w:cs="Arial"/>
                <w:sz w:val="18"/>
                <w:szCs w:val="18"/>
                <w:lang w:val="en-GB" w:eastAsia="en-GB"/>
              </w:rPr>
            </w:pPr>
            <w:r w:rsidRPr="00BD2181">
              <w:rPr>
                <w:rFonts w:cs="Arial"/>
                <w:sz w:val="18"/>
                <w:szCs w:val="18"/>
                <w:lang w:val="en-GB" w:eastAsia="en-GB"/>
              </w:rPr>
              <w:t> </w:t>
            </w:r>
          </w:p>
        </w:tc>
        <w:tc>
          <w:tcPr>
            <w:tcW w:w="1843" w:type="dxa"/>
            <w:tcBorders>
              <w:top w:val="nil"/>
              <w:left w:val="nil"/>
              <w:bottom w:val="single" w:sz="4" w:space="0" w:color="auto"/>
              <w:right w:val="single" w:sz="4" w:space="0" w:color="auto"/>
            </w:tcBorders>
            <w:shd w:val="clear" w:color="auto" w:fill="8DB3E2" w:themeFill="text2" w:themeFillTint="66"/>
            <w:noWrap/>
            <w:vAlign w:val="center"/>
            <w:hideMark/>
          </w:tcPr>
          <w:p w:rsidR="00BD2181" w:rsidRPr="00BD2181" w:rsidRDefault="00BD2181" w:rsidP="005D3E74">
            <w:pPr>
              <w:spacing w:before="0" w:after="100" w:afterAutospacing="1"/>
              <w:jc w:val="center"/>
              <w:rPr>
                <w:rFonts w:cs="Arial"/>
                <w:b/>
                <w:bCs/>
                <w:sz w:val="18"/>
                <w:szCs w:val="18"/>
                <w:lang w:val="en-GB" w:eastAsia="en-GB"/>
              </w:rPr>
            </w:pPr>
            <w:r w:rsidRPr="00BD2181">
              <w:rPr>
                <w:rFonts w:cs="Arial"/>
                <w:b/>
                <w:bCs/>
                <w:sz w:val="18"/>
                <w:szCs w:val="18"/>
                <w:lang w:val="en-GB" w:eastAsia="en-GB"/>
              </w:rPr>
              <w:t>TOTAL</w:t>
            </w:r>
          </w:p>
        </w:tc>
        <w:tc>
          <w:tcPr>
            <w:tcW w:w="709" w:type="dxa"/>
            <w:tcBorders>
              <w:top w:val="single" w:sz="4" w:space="0" w:color="auto"/>
              <w:left w:val="nil"/>
              <w:bottom w:val="single" w:sz="4" w:space="0" w:color="auto"/>
              <w:right w:val="single" w:sz="4" w:space="0" w:color="auto"/>
            </w:tcBorders>
            <w:shd w:val="clear" w:color="auto" w:fill="8DB3E2" w:themeFill="text2" w:themeFillTint="66"/>
          </w:tcPr>
          <w:p w:rsidR="00BD2181" w:rsidRPr="00BD2181" w:rsidRDefault="00BD2181" w:rsidP="005D3E74">
            <w:pPr>
              <w:spacing w:before="0" w:after="100" w:afterAutospacing="1"/>
              <w:jc w:val="center"/>
              <w:rPr>
                <w:rFonts w:cs="Arial"/>
                <w:b/>
                <w:bCs/>
                <w:sz w:val="18"/>
                <w:szCs w:val="18"/>
                <w:lang w:val="en-GB" w:eastAsia="en-GB"/>
              </w:rPr>
            </w:pPr>
            <w:r w:rsidRPr="00BD2181">
              <w:rPr>
                <w:rFonts w:cs="Arial"/>
                <w:b/>
                <w:bCs/>
                <w:sz w:val="18"/>
                <w:szCs w:val="18"/>
                <w:lang w:val="en-GB" w:eastAsia="en-GB"/>
              </w:rPr>
              <w:t>84</w:t>
            </w:r>
          </w:p>
        </w:tc>
        <w:tc>
          <w:tcPr>
            <w:tcW w:w="1275" w:type="dxa"/>
            <w:tcBorders>
              <w:top w:val="single" w:sz="4" w:space="0" w:color="auto"/>
              <w:left w:val="nil"/>
              <w:bottom w:val="single" w:sz="4" w:space="0" w:color="auto"/>
              <w:right w:val="single" w:sz="4" w:space="0" w:color="auto"/>
            </w:tcBorders>
            <w:shd w:val="clear" w:color="auto" w:fill="8DB3E2" w:themeFill="text2" w:themeFillTint="66"/>
          </w:tcPr>
          <w:p w:rsidR="00BD2181" w:rsidRPr="00BD2181" w:rsidRDefault="00BD2181" w:rsidP="005D3E74">
            <w:pPr>
              <w:spacing w:before="0" w:after="100" w:afterAutospacing="1"/>
              <w:jc w:val="center"/>
              <w:rPr>
                <w:rFonts w:cs="Arial"/>
                <w:b/>
                <w:bCs/>
                <w:sz w:val="18"/>
                <w:szCs w:val="18"/>
                <w:lang w:val="en-GB" w:eastAsia="en-GB"/>
              </w:rPr>
            </w:pPr>
          </w:p>
        </w:tc>
      </w:tr>
    </w:tbl>
    <w:p w:rsidR="00BD2181" w:rsidRPr="00BD2181" w:rsidRDefault="00BD2181" w:rsidP="00BD2181">
      <w:pPr>
        <w:spacing w:before="0" w:after="0"/>
        <w:rPr>
          <w:sz w:val="22"/>
          <w:szCs w:val="22"/>
        </w:rPr>
      </w:pPr>
    </w:p>
    <w:p w:rsidR="00BD2181" w:rsidRPr="00BD2181" w:rsidRDefault="00BD2181" w:rsidP="00BD2181">
      <w:pPr>
        <w:pStyle w:val="Heading2"/>
        <w:rPr>
          <w:i w:val="0"/>
        </w:rPr>
      </w:pPr>
      <w:bookmarkStart w:id="42" w:name="_Toc441061225"/>
      <w:r w:rsidRPr="00BD2181">
        <w:rPr>
          <w:i w:val="0"/>
        </w:rPr>
        <w:t>Clinical Research Network: Thames Valley and South Midlands (CRN)</w:t>
      </w:r>
      <w:bookmarkEnd w:id="42"/>
    </w:p>
    <w:p w:rsidR="00BD2181" w:rsidRPr="00BD2181" w:rsidRDefault="00BD2181" w:rsidP="00BD2181">
      <w:r w:rsidRPr="00BD2181">
        <w:t>The budgeted FY16 funding from the CRN is £1,370k and is detailed in the table below:</w:t>
      </w:r>
    </w:p>
    <w:tbl>
      <w:tblPr>
        <w:tblStyle w:val="TableGrid"/>
        <w:tblW w:w="9639" w:type="dxa"/>
        <w:tblInd w:w="108" w:type="dxa"/>
        <w:tblLayout w:type="fixed"/>
        <w:tblLook w:val="04A0" w:firstRow="1" w:lastRow="0" w:firstColumn="1" w:lastColumn="0" w:noHBand="0" w:noVBand="1"/>
      </w:tblPr>
      <w:tblGrid>
        <w:gridCol w:w="2410"/>
        <w:gridCol w:w="4961"/>
        <w:gridCol w:w="2268"/>
      </w:tblGrid>
      <w:tr w:rsidR="00BD2181" w:rsidRPr="00BD2181" w:rsidTr="005D3E74">
        <w:trPr>
          <w:trHeight w:val="397"/>
        </w:trPr>
        <w:tc>
          <w:tcPr>
            <w:tcW w:w="2410" w:type="dxa"/>
            <w:shd w:val="clear" w:color="auto" w:fill="8DB3E2" w:themeFill="text2" w:themeFillTint="66"/>
          </w:tcPr>
          <w:p w:rsidR="00BD2181" w:rsidRPr="00BD2181" w:rsidRDefault="00BD2181" w:rsidP="005D3E74">
            <w:pPr>
              <w:spacing w:before="120" w:after="0"/>
              <w:rPr>
                <w:b/>
                <w:sz w:val="18"/>
                <w:szCs w:val="18"/>
              </w:rPr>
            </w:pPr>
            <w:r w:rsidRPr="00BD2181">
              <w:rPr>
                <w:b/>
                <w:sz w:val="18"/>
                <w:szCs w:val="18"/>
              </w:rPr>
              <w:t>Division</w:t>
            </w:r>
          </w:p>
        </w:tc>
        <w:tc>
          <w:tcPr>
            <w:tcW w:w="4961" w:type="dxa"/>
            <w:shd w:val="clear" w:color="auto" w:fill="8DB3E2" w:themeFill="text2" w:themeFillTint="66"/>
          </w:tcPr>
          <w:p w:rsidR="00BD2181" w:rsidRPr="00BD2181" w:rsidRDefault="00BD2181" w:rsidP="005D3E74">
            <w:pPr>
              <w:spacing w:before="120" w:after="0"/>
              <w:jc w:val="left"/>
              <w:rPr>
                <w:b/>
                <w:sz w:val="18"/>
                <w:szCs w:val="18"/>
              </w:rPr>
            </w:pPr>
            <w:r w:rsidRPr="00BD2181">
              <w:rPr>
                <w:b/>
                <w:sz w:val="18"/>
                <w:szCs w:val="18"/>
              </w:rPr>
              <w:t>Specialty</w:t>
            </w:r>
          </w:p>
        </w:tc>
        <w:tc>
          <w:tcPr>
            <w:tcW w:w="2268" w:type="dxa"/>
            <w:shd w:val="clear" w:color="auto" w:fill="8DB3E2" w:themeFill="text2" w:themeFillTint="66"/>
          </w:tcPr>
          <w:p w:rsidR="00BD2181" w:rsidRPr="00BD2181" w:rsidRDefault="00BD2181" w:rsidP="005D3E74">
            <w:pPr>
              <w:spacing w:before="120" w:after="0"/>
              <w:jc w:val="center"/>
              <w:rPr>
                <w:b/>
                <w:sz w:val="18"/>
                <w:szCs w:val="18"/>
              </w:rPr>
            </w:pPr>
            <w:r w:rsidRPr="00BD2181">
              <w:rPr>
                <w:b/>
                <w:sz w:val="18"/>
                <w:szCs w:val="18"/>
              </w:rPr>
              <w:t>FY16 Budget (£k)</w:t>
            </w:r>
          </w:p>
        </w:tc>
      </w:tr>
      <w:tr w:rsidR="00BD2181" w:rsidRPr="00BD2181" w:rsidTr="005D3E74">
        <w:trPr>
          <w:trHeight w:val="290"/>
        </w:trPr>
        <w:tc>
          <w:tcPr>
            <w:tcW w:w="2410" w:type="dxa"/>
            <w:vAlign w:val="center"/>
          </w:tcPr>
          <w:p w:rsidR="00BD2181" w:rsidRPr="00BD2181" w:rsidRDefault="00BD2181" w:rsidP="005D3E74">
            <w:pPr>
              <w:spacing w:before="0" w:after="0"/>
              <w:jc w:val="left"/>
              <w:rPr>
                <w:sz w:val="18"/>
                <w:szCs w:val="18"/>
              </w:rPr>
            </w:pPr>
            <w:r w:rsidRPr="00BD2181">
              <w:rPr>
                <w:sz w:val="18"/>
                <w:szCs w:val="18"/>
              </w:rPr>
              <w:t>Division 4</w:t>
            </w:r>
          </w:p>
        </w:tc>
        <w:tc>
          <w:tcPr>
            <w:tcW w:w="4961" w:type="dxa"/>
            <w:vAlign w:val="center"/>
          </w:tcPr>
          <w:p w:rsidR="00BD2181" w:rsidRPr="00BD2181" w:rsidRDefault="00BD2181" w:rsidP="005D3E74">
            <w:pPr>
              <w:spacing w:before="0" w:after="0"/>
              <w:jc w:val="left"/>
              <w:rPr>
                <w:sz w:val="18"/>
                <w:szCs w:val="18"/>
              </w:rPr>
            </w:pPr>
            <w:r w:rsidRPr="00BD2181">
              <w:rPr>
                <w:sz w:val="18"/>
                <w:szCs w:val="18"/>
              </w:rPr>
              <w:t xml:space="preserve">Mental Health </w:t>
            </w:r>
          </w:p>
        </w:tc>
        <w:tc>
          <w:tcPr>
            <w:tcW w:w="2268" w:type="dxa"/>
          </w:tcPr>
          <w:p w:rsidR="00BD2181" w:rsidRPr="00BD2181" w:rsidRDefault="00BD2181" w:rsidP="005D3E74">
            <w:pPr>
              <w:spacing w:before="0" w:after="0"/>
              <w:jc w:val="center"/>
              <w:rPr>
                <w:sz w:val="18"/>
                <w:szCs w:val="18"/>
              </w:rPr>
            </w:pPr>
            <w:r w:rsidRPr="00BD2181">
              <w:rPr>
                <w:sz w:val="18"/>
                <w:szCs w:val="18"/>
              </w:rPr>
              <w:t>527</w:t>
            </w:r>
          </w:p>
        </w:tc>
      </w:tr>
      <w:tr w:rsidR="00BD2181" w:rsidRPr="00BD2181" w:rsidTr="005D3E74">
        <w:trPr>
          <w:trHeight w:val="280"/>
        </w:trPr>
        <w:tc>
          <w:tcPr>
            <w:tcW w:w="2410" w:type="dxa"/>
            <w:vAlign w:val="center"/>
          </w:tcPr>
          <w:p w:rsidR="00BD2181" w:rsidRPr="00BD2181" w:rsidRDefault="00BD2181" w:rsidP="005D3E74">
            <w:pPr>
              <w:spacing w:before="0" w:after="0"/>
              <w:jc w:val="left"/>
              <w:rPr>
                <w:rFonts w:cs="Arial"/>
                <w:sz w:val="18"/>
                <w:szCs w:val="18"/>
              </w:rPr>
            </w:pPr>
          </w:p>
        </w:tc>
        <w:tc>
          <w:tcPr>
            <w:tcW w:w="4961" w:type="dxa"/>
            <w:vAlign w:val="center"/>
          </w:tcPr>
          <w:p w:rsidR="00BD2181" w:rsidRPr="00BD2181" w:rsidRDefault="00BD2181" w:rsidP="005D3E74">
            <w:pPr>
              <w:spacing w:before="0" w:after="0"/>
              <w:jc w:val="left"/>
              <w:rPr>
                <w:rFonts w:cs="Arial"/>
                <w:sz w:val="18"/>
                <w:szCs w:val="18"/>
              </w:rPr>
            </w:pPr>
            <w:r w:rsidRPr="00BD2181">
              <w:rPr>
                <w:rFonts w:ascii="Calibri" w:hAnsi="Calibri"/>
                <w:sz w:val="22"/>
                <w:szCs w:val="22"/>
              </w:rPr>
              <w:t>Dendron and Neurological disorders (</w:t>
            </w:r>
            <w:r w:rsidRPr="00BD2181">
              <w:rPr>
                <w:rFonts w:cs="Arial"/>
                <w:sz w:val="18"/>
                <w:szCs w:val="18"/>
              </w:rPr>
              <w:t>Dendron)</w:t>
            </w:r>
          </w:p>
        </w:tc>
        <w:tc>
          <w:tcPr>
            <w:tcW w:w="2268" w:type="dxa"/>
          </w:tcPr>
          <w:p w:rsidR="00BD2181" w:rsidRPr="00BD2181" w:rsidRDefault="00BD2181" w:rsidP="005D3E74">
            <w:pPr>
              <w:spacing w:before="0" w:after="0"/>
              <w:jc w:val="center"/>
              <w:rPr>
                <w:sz w:val="18"/>
                <w:szCs w:val="18"/>
              </w:rPr>
            </w:pPr>
            <w:r w:rsidRPr="00BD2181">
              <w:rPr>
                <w:sz w:val="18"/>
                <w:szCs w:val="18"/>
              </w:rPr>
              <w:t>300</w:t>
            </w:r>
          </w:p>
        </w:tc>
      </w:tr>
      <w:tr w:rsidR="00BD2181" w:rsidRPr="00BD2181" w:rsidTr="005D3E74">
        <w:trPr>
          <w:trHeight w:val="270"/>
        </w:trPr>
        <w:tc>
          <w:tcPr>
            <w:tcW w:w="2410" w:type="dxa"/>
            <w:vAlign w:val="center"/>
          </w:tcPr>
          <w:p w:rsidR="00BD2181" w:rsidRPr="00BD2181" w:rsidRDefault="00BD2181" w:rsidP="005D3E74">
            <w:pPr>
              <w:spacing w:before="0" w:after="0"/>
              <w:jc w:val="left"/>
              <w:rPr>
                <w:sz w:val="18"/>
                <w:szCs w:val="18"/>
              </w:rPr>
            </w:pPr>
          </w:p>
        </w:tc>
        <w:tc>
          <w:tcPr>
            <w:tcW w:w="4961" w:type="dxa"/>
            <w:vAlign w:val="center"/>
          </w:tcPr>
          <w:p w:rsidR="00BD2181" w:rsidRPr="00BD2181" w:rsidRDefault="00BD2181" w:rsidP="005D3E74">
            <w:pPr>
              <w:spacing w:before="0" w:after="0"/>
              <w:jc w:val="left"/>
              <w:rPr>
                <w:sz w:val="18"/>
                <w:szCs w:val="18"/>
              </w:rPr>
            </w:pPr>
            <w:r w:rsidRPr="00BD2181">
              <w:rPr>
                <w:rFonts w:ascii="Calibri" w:hAnsi="Calibri"/>
                <w:sz w:val="22"/>
                <w:szCs w:val="22"/>
                <w:lang w:val="en-GB" w:eastAsia="en-GB"/>
              </w:rPr>
              <w:t>Division-wide (Division 4)</w:t>
            </w:r>
          </w:p>
        </w:tc>
        <w:tc>
          <w:tcPr>
            <w:tcW w:w="2268" w:type="dxa"/>
          </w:tcPr>
          <w:p w:rsidR="00BD2181" w:rsidRPr="00BD2181" w:rsidRDefault="00BD2181" w:rsidP="005D3E74">
            <w:pPr>
              <w:spacing w:before="0" w:after="0"/>
              <w:jc w:val="center"/>
              <w:rPr>
                <w:sz w:val="18"/>
                <w:szCs w:val="18"/>
              </w:rPr>
            </w:pPr>
            <w:r w:rsidRPr="00BD2181">
              <w:rPr>
                <w:sz w:val="18"/>
                <w:szCs w:val="18"/>
              </w:rPr>
              <w:t>192</w:t>
            </w:r>
          </w:p>
        </w:tc>
      </w:tr>
      <w:tr w:rsidR="00BD2181" w:rsidRPr="00BD2181" w:rsidTr="005D3E74">
        <w:trPr>
          <w:trHeight w:val="262"/>
        </w:trPr>
        <w:tc>
          <w:tcPr>
            <w:tcW w:w="2410" w:type="dxa"/>
            <w:vAlign w:val="center"/>
          </w:tcPr>
          <w:p w:rsidR="00BD2181" w:rsidRPr="00BD2181" w:rsidRDefault="00BD2181" w:rsidP="005D3E74">
            <w:pPr>
              <w:spacing w:before="0" w:after="0"/>
              <w:jc w:val="left"/>
              <w:rPr>
                <w:sz w:val="18"/>
                <w:szCs w:val="18"/>
              </w:rPr>
            </w:pPr>
            <w:r w:rsidRPr="00BD2181">
              <w:rPr>
                <w:sz w:val="18"/>
                <w:szCs w:val="18"/>
              </w:rPr>
              <w:t>Division 5</w:t>
            </w:r>
          </w:p>
        </w:tc>
        <w:tc>
          <w:tcPr>
            <w:tcW w:w="4961" w:type="dxa"/>
            <w:vAlign w:val="center"/>
          </w:tcPr>
          <w:p w:rsidR="00BD2181" w:rsidRPr="00BD2181" w:rsidRDefault="00BD2181" w:rsidP="005D3E74">
            <w:pPr>
              <w:spacing w:before="0" w:after="0"/>
              <w:jc w:val="left"/>
              <w:rPr>
                <w:sz w:val="18"/>
                <w:szCs w:val="18"/>
              </w:rPr>
            </w:pPr>
            <w:r w:rsidRPr="00BD2181">
              <w:rPr>
                <w:rFonts w:ascii="Calibri" w:hAnsi="Calibri"/>
                <w:sz w:val="22"/>
                <w:szCs w:val="22"/>
                <w:lang w:val="en-GB" w:eastAsia="en-GB"/>
              </w:rPr>
              <w:t>Primary Care and Ageing</w:t>
            </w:r>
          </w:p>
        </w:tc>
        <w:tc>
          <w:tcPr>
            <w:tcW w:w="2268" w:type="dxa"/>
          </w:tcPr>
          <w:p w:rsidR="00BD2181" w:rsidRPr="00BD2181" w:rsidRDefault="00BD2181" w:rsidP="005D3E74">
            <w:pPr>
              <w:spacing w:before="0" w:after="0"/>
              <w:jc w:val="center"/>
              <w:rPr>
                <w:sz w:val="18"/>
                <w:szCs w:val="18"/>
              </w:rPr>
            </w:pPr>
            <w:r w:rsidRPr="00BD2181">
              <w:rPr>
                <w:sz w:val="18"/>
                <w:szCs w:val="18"/>
              </w:rPr>
              <w:t>337</w:t>
            </w:r>
          </w:p>
        </w:tc>
      </w:tr>
      <w:tr w:rsidR="00BD2181" w:rsidRPr="00BD2181" w:rsidTr="005D3E74">
        <w:trPr>
          <w:trHeight w:val="340"/>
        </w:trPr>
        <w:tc>
          <w:tcPr>
            <w:tcW w:w="2410" w:type="dxa"/>
            <w:tcBorders>
              <w:bottom w:val="single" w:sz="4" w:space="0" w:color="auto"/>
            </w:tcBorders>
            <w:vAlign w:val="center"/>
          </w:tcPr>
          <w:p w:rsidR="00BD2181" w:rsidRPr="00BD2181" w:rsidRDefault="00BD2181" w:rsidP="005D3E74">
            <w:pPr>
              <w:spacing w:before="0" w:after="0"/>
              <w:jc w:val="left"/>
              <w:rPr>
                <w:sz w:val="18"/>
                <w:szCs w:val="18"/>
              </w:rPr>
            </w:pPr>
            <w:r w:rsidRPr="00BD2181">
              <w:rPr>
                <w:sz w:val="18"/>
                <w:szCs w:val="18"/>
              </w:rPr>
              <w:t>Cross-Divisional</w:t>
            </w:r>
          </w:p>
        </w:tc>
        <w:tc>
          <w:tcPr>
            <w:tcW w:w="4961" w:type="dxa"/>
            <w:tcBorders>
              <w:bottom w:val="single" w:sz="4" w:space="0" w:color="auto"/>
            </w:tcBorders>
            <w:vAlign w:val="center"/>
          </w:tcPr>
          <w:p w:rsidR="00BD2181" w:rsidRPr="00BD2181" w:rsidRDefault="00BD2181" w:rsidP="005D3E74">
            <w:pPr>
              <w:spacing w:before="0" w:after="0"/>
              <w:jc w:val="left"/>
              <w:rPr>
                <w:sz w:val="18"/>
                <w:szCs w:val="18"/>
              </w:rPr>
            </w:pPr>
          </w:p>
        </w:tc>
        <w:tc>
          <w:tcPr>
            <w:tcW w:w="2268" w:type="dxa"/>
            <w:tcBorders>
              <w:bottom w:val="single" w:sz="4" w:space="0" w:color="auto"/>
            </w:tcBorders>
          </w:tcPr>
          <w:p w:rsidR="00BD2181" w:rsidRPr="00BD2181" w:rsidRDefault="00BD2181" w:rsidP="005D3E74">
            <w:pPr>
              <w:spacing w:before="0" w:after="0"/>
              <w:jc w:val="center"/>
              <w:rPr>
                <w:sz w:val="18"/>
                <w:szCs w:val="18"/>
              </w:rPr>
            </w:pPr>
            <w:r w:rsidRPr="00BD2181">
              <w:rPr>
                <w:sz w:val="18"/>
                <w:szCs w:val="18"/>
              </w:rPr>
              <w:t>14</w:t>
            </w:r>
          </w:p>
        </w:tc>
      </w:tr>
      <w:tr w:rsidR="00BD2181" w:rsidRPr="00BD2181" w:rsidTr="005D3E74">
        <w:trPr>
          <w:trHeight w:val="275"/>
        </w:trPr>
        <w:tc>
          <w:tcPr>
            <w:tcW w:w="2410" w:type="dxa"/>
            <w:shd w:val="clear" w:color="auto" w:fill="8DB3E2" w:themeFill="text2" w:themeFillTint="66"/>
          </w:tcPr>
          <w:p w:rsidR="00BD2181" w:rsidRPr="00BD2181" w:rsidRDefault="00BD2181" w:rsidP="005D3E74">
            <w:pPr>
              <w:spacing w:before="0" w:after="0"/>
              <w:rPr>
                <w:b/>
                <w:sz w:val="18"/>
                <w:szCs w:val="18"/>
              </w:rPr>
            </w:pPr>
            <w:r w:rsidRPr="00BD2181">
              <w:rPr>
                <w:b/>
                <w:sz w:val="18"/>
                <w:szCs w:val="18"/>
              </w:rPr>
              <w:t>Total</w:t>
            </w:r>
          </w:p>
        </w:tc>
        <w:tc>
          <w:tcPr>
            <w:tcW w:w="4961" w:type="dxa"/>
            <w:shd w:val="clear" w:color="auto" w:fill="8DB3E2" w:themeFill="text2" w:themeFillTint="66"/>
          </w:tcPr>
          <w:p w:rsidR="00BD2181" w:rsidRPr="00BD2181" w:rsidRDefault="00BD2181" w:rsidP="005D3E74">
            <w:pPr>
              <w:spacing w:before="0" w:after="0"/>
              <w:jc w:val="center"/>
              <w:rPr>
                <w:b/>
                <w:sz w:val="18"/>
                <w:szCs w:val="18"/>
              </w:rPr>
            </w:pPr>
          </w:p>
        </w:tc>
        <w:tc>
          <w:tcPr>
            <w:tcW w:w="2268" w:type="dxa"/>
            <w:shd w:val="clear" w:color="auto" w:fill="8DB3E2" w:themeFill="text2" w:themeFillTint="66"/>
          </w:tcPr>
          <w:p w:rsidR="00BD2181" w:rsidRPr="00BD2181" w:rsidRDefault="00BD2181" w:rsidP="005D3E74">
            <w:pPr>
              <w:spacing w:before="0" w:after="0"/>
              <w:jc w:val="center"/>
              <w:rPr>
                <w:b/>
                <w:sz w:val="18"/>
                <w:szCs w:val="18"/>
              </w:rPr>
            </w:pPr>
            <w:r w:rsidRPr="00BD2181">
              <w:rPr>
                <w:b/>
                <w:sz w:val="18"/>
                <w:szCs w:val="18"/>
              </w:rPr>
              <w:t>1,370</w:t>
            </w:r>
          </w:p>
        </w:tc>
      </w:tr>
    </w:tbl>
    <w:p w:rsidR="00BD2181" w:rsidRPr="00BD2181" w:rsidRDefault="00BD2181" w:rsidP="00BD2181">
      <w:pPr>
        <w:pStyle w:val="Heading2"/>
        <w:rPr>
          <w:i w:val="0"/>
        </w:rPr>
      </w:pPr>
      <w:bookmarkStart w:id="43" w:name="_Toc441061226"/>
      <w:r w:rsidRPr="00BD2181">
        <w:rPr>
          <w:i w:val="0"/>
        </w:rPr>
        <w:t>Financial Risks and Issues</w:t>
      </w:r>
      <w:bookmarkEnd w:id="43"/>
    </w:p>
    <w:p w:rsidR="00BD2181" w:rsidRPr="00BD2181" w:rsidRDefault="00BD2181" w:rsidP="00BD2181">
      <w:pPr>
        <w:pStyle w:val="Heading3"/>
      </w:pPr>
      <w:bookmarkStart w:id="44" w:name="_Toc441061227"/>
      <w:r w:rsidRPr="00BD2181">
        <w:t>R&amp;D Income Summary FY17</w:t>
      </w:r>
      <w:bookmarkEnd w:id="44"/>
    </w:p>
    <w:p w:rsidR="00BD2181" w:rsidRPr="00BD2181" w:rsidRDefault="00BD2181" w:rsidP="00BD2181">
      <w:pPr>
        <w:spacing w:after="0"/>
      </w:pPr>
      <w:r w:rsidRPr="00BD2181">
        <w:t>The level of research funding is predicted to drop by £559k in FY17 mainly due to reductions in RCF (£260k) following the completion of studies and NIHR Final Payments (£164k). This will reduce the Trusts flexibility and ability to potentially pump-prime certain areas of research.</w:t>
      </w:r>
    </w:p>
    <w:p w:rsidR="00BD2181" w:rsidRPr="00BD2181" w:rsidRDefault="00BD2181" w:rsidP="00BD2181">
      <w:pPr>
        <w:spacing w:before="0" w:after="0"/>
      </w:pPr>
    </w:p>
    <w:tbl>
      <w:tblPr>
        <w:tblStyle w:val="TableGrid"/>
        <w:tblpPr w:leftFromText="180" w:rightFromText="180" w:vertAnchor="text" w:horzAnchor="margin" w:tblpX="108" w:tblpY="57"/>
        <w:tblW w:w="9639" w:type="dxa"/>
        <w:tblLook w:val="04A0" w:firstRow="1" w:lastRow="0" w:firstColumn="1" w:lastColumn="0" w:noHBand="0" w:noVBand="1"/>
      </w:tblPr>
      <w:tblGrid>
        <w:gridCol w:w="993"/>
        <w:gridCol w:w="4961"/>
        <w:gridCol w:w="1100"/>
        <w:gridCol w:w="992"/>
        <w:gridCol w:w="1593"/>
      </w:tblGrid>
      <w:tr w:rsidR="00BD2181" w:rsidRPr="00BD2181" w:rsidTr="005D3E74">
        <w:trPr>
          <w:trHeight w:val="264"/>
        </w:trPr>
        <w:tc>
          <w:tcPr>
            <w:tcW w:w="993" w:type="dxa"/>
            <w:shd w:val="clear" w:color="auto" w:fill="8DB3E2" w:themeFill="text2" w:themeFillTint="66"/>
          </w:tcPr>
          <w:p w:rsidR="00BD2181" w:rsidRPr="00BD2181" w:rsidRDefault="00BD2181" w:rsidP="005D3E74">
            <w:pPr>
              <w:spacing w:before="0" w:after="0"/>
              <w:rPr>
                <w:b/>
                <w:sz w:val="20"/>
                <w:szCs w:val="20"/>
              </w:rPr>
            </w:pPr>
            <w:r w:rsidRPr="00BD2181">
              <w:rPr>
                <w:b/>
                <w:sz w:val="20"/>
                <w:szCs w:val="20"/>
              </w:rPr>
              <w:t>Source</w:t>
            </w:r>
          </w:p>
        </w:tc>
        <w:tc>
          <w:tcPr>
            <w:tcW w:w="4961" w:type="dxa"/>
            <w:shd w:val="clear" w:color="auto" w:fill="8DB3E2" w:themeFill="text2" w:themeFillTint="66"/>
          </w:tcPr>
          <w:p w:rsidR="00BD2181" w:rsidRPr="00BD2181" w:rsidRDefault="00BD2181" w:rsidP="005D3E74">
            <w:pPr>
              <w:spacing w:before="0" w:after="0"/>
              <w:rPr>
                <w:b/>
                <w:sz w:val="20"/>
                <w:szCs w:val="20"/>
              </w:rPr>
            </w:pPr>
            <w:r w:rsidRPr="00BD2181">
              <w:rPr>
                <w:b/>
                <w:sz w:val="20"/>
                <w:szCs w:val="20"/>
              </w:rPr>
              <w:t>Type</w:t>
            </w:r>
          </w:p>
        </w:tc>
        <w:tc>
          <w:tcPr>
            <w:tcW w:w="1100" w:type="dxa"/>
            <w:tcBorders>
              <w:bottom w:val="single" w:sz="4" w:space="0" w:color="auto"/>
            </w:tcBorders>
            <w:shd w:val="clear" w:color="auto" w:fill="8DB3E2" w:themeFill="text2" w:themeFillTint="66"/>
          </w:tcPr>
          <w:p w:rsidR="00BD2181" w:rsidRPr="00BD2181" w:rsidRDefault="00BD2181" w:rsidP="005D3E74">
            <w:pPr>
              <w:spacing w:before="0" w:after="0"/>
              <w:jc w:val="center"/>
              <w:rPr>
                <w:rFonts w:ascii="Calibri" w:hAnsi="Calibri" w:cs="Calibri"/>
                <w:b/>
                <w:bCs/>
                <w:color w:val="000000"/>
                <w:sz w:val="20"/>
                <w:szCs w:val="20"/>
                <w:lang w:eastAsia="en-GB"/>
              </w:rPr>
            </w:pPr>
            <w:r w:rsidRPr="00BD2181">
              <w:rPr>
                <w:rFonts w:ascii="Calibri" w:hAnsi="Calibri" w:cs="Calibri"/>
                <w:b/>
                <w:bCs/>
                <w:color w:val="000000"/>
                <w:sz w:val="20"/>
                <w:szCs w:val="20"/>
                <w:lang w:eastAsia="en-GB"/>
              </w:rPr>
              <w:t>FY16</w:t>
            </w:r>
          </w:p>
        </w:tc>
        <w:tc>
          <w:tcPr>
            <w:tcW w:w="992" w:type="dxa"/>
            <w:shd w:val="clear" w:color="auto" w:fill="8DB3E2" w:themeFill="text2" w:themeFillTint="66"/>
          </w:tcPr>
          <w:p w:rsidR="00BD2181" w:rsidRPr="00BD2181" w:rsidRDefault="00BD2181" w:rsidP="005D3E74">
            <w:pPr>
              <w:spacing w:before="0" w:after="0"/>
              <w:jc w:val="center"/>
              <w:rPr>
                <w:rFonts w:ascii="Calibri" w:hAnsi="Calibri" w:cs="Calibri"/>
                <w:b/>
                <w:bCs/>
                <w:color w:val="000000"/>
                <w:sz w:val="20"/>
                <w:szCs w:val="20"/>
                <w:lang w:eastAsia="en-GB"/>
              </w:rPr>
            </w:pPr>
            <w:r w:rsidRPr="00BD2181">
              <w:rPr>
                <w:rFonts w:ascii="Calibri" w:hAnsi="Calibri" w:cs="Calibri"/>
                <w:b/>
                <w:bCs/>
                <w:color w:val="000000"/>
                <w:sz w:val="20"/>
                <w:szCs w:val="20"/>
                <w:lang w:eastAsia="en-GB"/>
              </w:rPr>
              <w:t>FY17</w:t>
            </w:r>
          </w:p>
        </w:tc>
        <w:tc>
          <w:tcPr>
            <w:tcW w:w="1593" w:type="dxa"/>
            <w:shd w:val="clear" w:color="auto" w:fill="8DB3E2" w:themeFill="text2" w:themeFillTint="66"/>
          </w:tcPr>
          <w:p w:rsidR="00BD2181" w:rsidRPr="00BD2181" w:rsidRDefault="00BD2181" w:rsidP="005D3E74">
            <w:pPr>
              <w:spacing w:before="0" w:after="0"/>
              <w:jc w:val="center"/>
              <w:rPr>
                <w:rFonts w:ascii="Calibri" w:hAnsi="Calibri" w:cs="Calibri"/>
                <w:b/>
                <w:bCs/>
                <w:color w:val="000000"/>
                <w:sz w:val="20"/>
                <w:szCs w:val="20"/>
                <w:lang w:eastAsia="en-GB"/>
              </w:rPr>
            </w:pPr>
            <w:r w:rsidRPr="00BD2181">
              <w:rPr>
                <w:rFonts w:ascii="Calibri" w:hAnsi="Calibri" w:cs="Calibri"/>
                <w:b/>
                <w:bCs/>
                <w:color w:val="000000"/>
                <w:sz w:val="20"/>
                <w:szCs w:val="20"/>
                <w:lang w:eastAsia="en-GB"/>
              </w:rPr>
              <w:t>Variance</w:t>
            </w:r>
          </w:p>
        </w:tc>
      </w:tr>
      <w:tr w:rsidR="00BD2181" w:rsidRPr="00BD2181" w:rsidTr="005D3E74">
        <w:trPr>
          <w:trHeight w:val="264"/>
        </w:trPr>
        <w:tc>
          <w:tcPr>
            <w:tcW w:w="993" w:type="dxa"/>
          </w:tcPr>
          <w:p w:rsidR="00BD2181" w:rsidRPr="00BD2181" w:rsidRDefault="00BD2181" w:rsidP="005D3E74">
            <w:pPr>
              <w:spacing w:before="0" w:after="0"/>
              <w:jc w:val="center"/>
              <w:rPr>
                <w:b/>
                <w:sz w:val="18"/>
                <w:szCs w:val="18"/>
              </w:rPr>
            </w:pPr>
            <w:r w:rsidRPr="00BD2181">
              <w:rPr>
                <w:rFonts w:ascii="Calibri" w:hAnsi="Calibri" w:cs="Calibri"/>
                <w:color w:val="000000"/>
                <w:sz w:val="18"/>
                <w:szCs w:val="18"/>
                <w:lang w:eastAsia="en-GB"/>
              </w:rPr>
              <w:t>NIHR</w:t>
            </w:r>
          </w:p>
        </w:tc>
        <w:tc>
          <w:tcPr>
            <w:tcW w:w="4961" w:type="dxa"/>
          </w:tcPr>
          <w:p w:rsidR="00BD2181" w:rsidRPr="00BD2181" w:rsidRDefault="00BD2181" w:rsidP="005D3E74">
            <w:pPr>
              <w:spacing w:before="0" w:after="0"/>
              <w:rPr>
                <w:b/>
                <w:sz w:val="18"/>
                <w:szCs w:val="18"/>
              </w:rPr>
            </w:pPr>
            <w:r w:rsidRPr="00BD2181">
              <w:rPr>
                <w:rFonts w:ascii="Calibri" w:hAnsi="Calibri" w:cs="Calibri"/>
                <w:color w:val="000000"/>
                <w:sz w:val="18"/>
                <w:szCs w:val="18"/>
                <w:lang w:eastAsia="en-GB"/>
              </w:rPr>
              <w:t>Study income Department of Psychiatry &amp; Trust</w:t>
            </w:r>
          </w:p>
        </w:tc>
        <w:tc>
          <w:tcPr>
            <w:tcW w:w="1100" w:type="dxa"/>
            <w:shd w:val="clear" w:color="auto" w:fill="auto"/>
          </w:tcPr>
          <w:p w:rsidR="00BD2181" w:rsidRPr="00BD2181" w:rsidRDefault="00BD2181" w:rsidP="005D3E74">
            <w:pPr>
              <w:spacing w:before="0" w:after="0"/>
              <w:jc w:val="center"/>
              <w:rPr>
                <w:rFonts w:ascii="Calibri" w:hAnsi="Calibri" w:cs="Calibri"/>
                <w:color w:val="000000"/>
                <w:sz w:val="18"/>
                <w:szCs w:val="18"/>
                <w:lang w:eastAsia="en-GB"/>
              </w:rPr>
            </w:pPr>
            <w:r w:rsidRPr="00BD2181">
              <w:rPr>
                <w:rFonts w:ascii="Calibri" w:hAnsi="Calibri" w:cs="Calibri"/>
                <w:color w:val="000000"/>
                <w:sz w:val="18"/>
                <w:szCs w:val="18"/>
                <w:lang w:eastAsia="en-GB"/>
              </w:rPr>
              <w:t>167</w:t>
            </w:r>
          </w:p>
        </w:tc>
        <w:tc>
          <w:tcPr>
            <w:tcW w:w="992" w:type="dxa"/>
          </w:tcPr>
          <w:p w:rsidR="00BD2181" w:rsidRPr="00BD2181" w:rsidRDefault="00BD2181" w:rsidP="005D3E74">
            <w:pPr>
              <w:spacing w:before="0" w:after="0"/>
              <w:jc w:val="center"/>
              <w:rPr>
                <w:rFonts w:ascii="Calibri" w:hAnsi="Calibri" w:cs="Calibri"/>
                <w:color w:val="000000"/>
                <w:sz w:val="18"/>
                <w:szCs w:val="18"/>
                <w:lang w:eastAsia="en-GB"/>
              </w:rPr>
            </w:pPr>
            <w:r w:rsidRPr="00BD2181">
              <w:rPr>
                <w:rFonts w:ascii="Calibri" w:hAnsi="Calibri" w:cs="Calibri"/>
                <w:color w:val="000000"/>
                <w:sz w:val="18"/>
                <w:szCs w:val="18"/>
                <w:lang w:eastAsia="en-GB"/>
              </w:rPr>
              <w:t>80</w:t>
            </w:r>
          </w:p>
        </w:tc>
        <w:tc>
          <w:tcPr>
            <w:tcW w:w="1593" w:type="dxa"/>
          </w:tcPr>
          <w:p w:rsidR="00BD2181" w:rsidRPr="00BD2181" w:rsidRDefault="00BD2181" w:rsidP="005D3E74">
            <w:pPr>
              <w:spacing w:before="0" w:after="0"/>
              <w:jc w:val="center"/>
              <w:rPr>
                <w:rFonts w:ascii="Calibri" w:hAnsi="Calibri" w:cs="Calibri"/>
                <w:color w:val="000000"/>
                <w:sz w:val="18"/>
                <w:szCs w:val="18"/>
                <w:lang w:eastAsia="en-GB"/>
              </w:rPr>
            </w:pPr>
            <w:r w:rsidRPr="00BD2181">
              <w:rPr>
                <w:rFonts w:ascii="Calibri" w:hAnsi="Calibri" w:cs="Calibri"/>
                <w:color w:val="000000"/>
                <w:sz w:val="18"/>
                <w:szCs w:val="18"/>
                <w:lang w:eastAsia="en-GB"/>
              </w:rPr>
              <w:t>(87)</w:t>
            </w:r>
          </w:p>
        </w:tc>
      </w:tr>
      <w:tr w:rsidR="00BD2181" w:rsidRPr="00BD2181" w:rsidTr="005D3E74">
        <w:trPr>
          <w:trHeight w:val="253"/>
        </w:trPr>
        <w:tc>
          <w:tcPr>
            <w:tcW w:w="993" w:type="dxa"/>
          </w:tcPr>
          <w:p w:rsidR="00BD2181" w:rsidRPr="00BD2181" w:rsidRDefault="00BD2181" w:rsidP="005D3E74">
            <w:pPr>
              <w:spacing w:before="0" w:after="0"/>
              <w:jc w:val="center"/>
              <w:rPr>
                <w:b/>
                <w:sz w:val="18"/>
                <w:szCs w:val="18"/>
              </w:rPr>
            </w:pPr>
            <w:r w:rsidRPr="00BD2181">
              <w:rPr>
                <w:rFonts w:ascii="Calibri" w:hAnsi="Calibri" w:cs="Calibri"/>
                <w:color w:val="000000"/>
                <w:sz w:val="18"/>
                <w:szCs w:val="18"/>
                <w:lang w:eastAsia="en-GB"/>
              </w:rPr>
              <w:t>NIHR</w:t>
            </w:r>
          </w:p>
        </w:tc>
        <w:tc>
          <w:tcPr>
            <w:tcW w:w="4961" w:type="dxa"/>
          </w:tcPr>
          <w:p w:rsidR="00BD2181" w:rsidRPr="00BD2181" w:rsidRDefault="00BD2181" w:rsidP="005D3E74">
            <w:pPr>
              <w:spacing w:before="0" w:after="0"/>
              <w:rPr>
                <w:rFonts w:ascii="Calibri" w:hAnsi="Calibri" w:cs="Calibri"/>
                <w:color w:val="000000"/>
                <w:sz w:val="18"/>
                <w:szCs w:val="18"/>
                <w:lang w:eastAsia="en-GB"/>
              </w:rPr>
            </w:pPr>
            <w:r w:rsidRPr="00BD2181">
              <w:rPr>
                <w:rFonts w:ascii="Calibri" w:hAnsi="Calibri" w:cs="Calibri"/>
                <w:color w:val="000000"/>
                <w:sz w:val="18"/>
                <w:szCs w:val="18"/>
                <w:lang w:eastAsia="en-GB"/>
              </w:rPr>
              <w:t>Study income Department of Primary Care</w:t>
            </w:r>
          </w:p>
        </w:tc>
        <w:tc>
          <w:tcPr>
            <w:tcW w:w="1100" w:type="dxa"/>
            <w:shd w:val="clear" w:color="auto" w:fill="auto"/>
          </w:tcPr>
          <w:p w:rsidR="00BD2181" w:rsidRPr="00BD2181" w:rsidRDefault="00BD2181" w:rsidP="005D3E74">
            <w:pPr>
              <w:spacing w:before="0" w:after="0"/>
              <w:jc w:val="center"/>
              <w:rPr>
                <w:rFonts w:ascii="Calibri" w:hAnsi="Calibri" w:cs="Calibri"/>
                <w:color w:val="000000"/>
                <w:sz w:val="18"/>
                <w:szCs w:val="18"/>
                <w:lang w:eastAsia="en-GB"/>
              </w:rPr>
            </w:pPr>
            <w:r w:rsidRPr="00BD2181">
              <w:rPr>
                <w:rFonts w:ascii="Calibri" w:hAnsi="Calibri" w:cs="Calibri"/>
                <w:color w:val="000000"/>
                <w:sz w:val="18"/>
                <w:szCs w:val="18"/>
                <w:lang w:eastAsia="en-GB"/>
              </w:rPr>
              <w:t>280</w:t>
            </w:r>
          </w:p>
        </w:tc>
        <w:tc>
          <w:tcPr>
            <w:tcW w:w="992" w:type="dxa"/>
          </w:tcPr>
          <w:p w:rsidR="00BD2181" w:rsidRPr="00BD2181" w:rsidRDefault="00BD2181" w:rsidP="005D3E74">
            <w:pPr>
              <w:spacing w:before="0" w:after="0"/>
              <w:jc w:val="center"/>
              <w:rPr>
                <w:rFonts w:ascii="Calibri" w:hAnsi="Calibri" w:cs="Calibri"/>
                <w:color w:val="000000"/>
                <w:sz w:val="18"/>
                <w:szCs w:val="18"/>
                <w:lang w:eastAsia="en-GB"/>
              </w:rPr>
            </w:pPr>
            <w:r w:rsidRPr="00BD2181">
              <w:rPr>
                <w:rFonts w:ascii="Calibri" w:hAnsi="Calibri" w:cs="Calibri"/>
                <w:color w:val="000000"/>
                <w:sz w:val="18"/>
                <w:szCs w:val="18"/>
                <w:lang w:eastAsia="en-GB"/>
              </w:rPr>
              <w:t>247</w:t>
            </w:r>
          </w:p>
        </w:tc>
        <w:tc>
          <w:tcPr>
            <w:tcW w:w="1593" w:type="dxa"/>
          </w:tcPr>
          <w:p w:rsidR="00BD2181" w:rsidRPr="00BD2181" w:rsidRDefault="00BD2181" w:rsidP="005D3E74">
            <w:pPr>
              <w:spacing w:before="0" w:after="0"/>
              <w:jc w:val="center"/>
              <w:rPr>
                <w:rFonts w:ascii="Calibri" w:hAnsi="Calibri" w:cs="Calibri"/>
                <w:color w:val="000000"/>
                <w:sz w:val="18"/>
                <w:szCs w:val="18"/>
                <w:lang w:eastAsia="en-GB"/>
              </w:rPr>
            </w:pPr>
            <w:r w:rsidRPr="00BD2181">
              <w:rPr>
                <w:rFonts w:ascii="Calibri" w:hAnsi="Calibri" w:cs="Calibri"/>
                <w:color w:val="000000"/>
                <w:sz w:val="18"/>
                <w:szCs w:val="18"/>
                <w:lang w:eastAsia="en-GB"/>
              </w:rPr>
              <w:t>(33)</w:t>
            </w:r>
          </w:p>
        </w:tc>
      </w:tr>
      <w:tr w:rsidR="00BD2181" w:rsidRPr="00BD2181" w:rsidTr="005D3E74">
        <w:trPr>
          <w:trHeight w:val="264"/>
        </w:trPr>
        <w:tc>
          <w:tcPr>
            <w:tcW w:w="993" w:type="dxa"/>
          </w:tcPr>
          <w:p w:rsidR="00BD2181" w:rsidRPr="00BD2181" w:rsidRDefault="00BD2181" w:rsidP="005D3E74">
            <w:pPr>
              <w:spacing w:before="0" w:after="0"/>
              <w:jc w:val="center"/>
              <w:rPr>
                <w:b/>
                <w:sz w:val="18"/>
                <w:szCs w:val="18"/>
              </w:rPr>
            </w:pPr>
            <w:r w:rsidRPr="00BD2181">
              <w:rPr>
                <w:rFonts w:ascii="Calibri" w:hAnsi="Calibri" w:cs="Calibri"/>
                <w:color w:val="000000"/>
                <w:sz w:val="18"/>
                <w:szCs w:val="18"/>
                <w:lang w:eastAsia="en-GB"/>
              </w:rPr>
              <w:t>NIHR</w:t>
            </w:r>
          </w:p>
        </w:tc>
        <w:tc>
          <w:tcPr>
            <w:tcW w:w="4961" w:type="dxa"/>
          </w:tcPr>
          <w:p w:rsidR="00BD2181" w:rsidRPr="00BD2181" w:rsidRDefault="00BD2181" w:rsidP="005D3E74">
            <w:pPr>
              <w:spacing w:before="0" w:after="0"/>
              <w:rPr>
                <w:rFonts w:ascii="Calibri" w:hAnsi="Calibri" w:cs="Calibri"/>
                <w:color w:val="000000"/>
                <w:sz w:val="18"/>
                <w:szCs w:val="18"/>
                <w:lang w:eastAsia="en-GB"/>
              </w:rPr>
            </w:pPr>
            <w:r w:rsidRPr="00BD2181">
              <w:rPr>
                <w:rFonts w:ascii="Calibri" w:hAnsi="Calibri" w:cs="Calibri"/>
                <w:color w:val="000000"/>
                <w:sz w:val="18"/>
                <w:szCs w:val="18"/>
                <w:lang w:eastAsia="en-GB"/>
              </w:rPr>
              <w:t>Clinical Research Facility</w:t>
            </w:r>
          </w:p>
        </w:tc>
        <w:tc>
          <w:tcPr>
            <w:tcW w:w="1100" w:type="dxa"/>
            <w:shd w:val="clear" w:color="auto" w:fill="auto"/>
          </w:tcPr>
          <w:p w:rsidR="00BD2181" w:rsidRPr="00BD2181" w:rsidRDefault="00BD2181" w:rsidP="005D3E74">
            <w:pPr>
              <w:spacing w:before="0" w:after="0"/>
              <w:jc w:val="center"/>
              <w:rPr>
                <w:rFonts w:ascii="Calibri" w:hAnsi="Calibri" w:cs="Calibri"/>
                <w:color w:val="000000"/>
                <w:sz w:val="18"/>
                <w:szCs w:val="18"/>
                <w:lang w:eastAsia="en-GB"/>
              </w:rPr>
            </w:pPr>
            <w:r w:rsidRPr="00BD2181">
              <w:rPr>
                <w:rFonts w:ascii="Calibri" w:hAnsi="Calibri" w:cs="Calibri"/>
                <w:color w:val="000000"/>
                <w:sz w:val="18"/>
                <w:szCs w:val="18"/>
                <w:lang w:eastAsia="en-GB"/>
              </w:rPr>
              <w:t>717</w:t>
            </w:r>
          </w:p>
        </w:tc>
        <w:tc>
          <w:tcPr>
            <w:tcW w:w="992" w:type="dxa"/>
          </w:tcPr>
          <w:p w:rsidR="00BD2181" w:rsidRPr="00BD2181" w:rsidRDefault="00BD2181" w:rsidP="005D3E74">
            <w:pPr>
              <w:spacing w:before="0" w:after="0"/>
              <w:jc w:val="center"/>
              <w:rPr>
                <w:rFonts w:ascii="Calibri" w:hAnsi="Calibri" w:cs="Calibri"/>
                <w:color w:val="000000"/>
                <w:sz w:val="18"/>
                <w:szCs w:val="18"/>
                <w:lang w:eastAsia="en-GB"/>
              </w:rPr>
            </w:pPr>
            <w:r w:rsidRPr="00BD2181">
              <w:rPr>
                <w:rFonts w:ascii="Calibri" w:hAnsi="Calibri" w:cs="Calibri"/>
                <w:color w:val="000000"/>
                <w:sz w:val="18"/>
                <w:szCs w:val="18"/>
                <w:lang w:eastAsia="en-GB"/>
              </w:rPr>
              <w:t>717</w:t>
            </w:r>
          </w:p>
        </w:tc>
        <w:tc>
          <w:tcPr>
            <w:tcW w:w="1593" w:type="dxa"/>
          </w:tcPr>
          <w:p w:rsidR="00BD2181" w:rsidRPr="00BD2181" w:rsidRDefault="00BD2181" w:rsidP="005D3E74">
            <w:pPr>
              <w:spacing w:before="0" w:after="0"/>
              <w:jc w:val="center"/>
              <w:rPr>
                <w:rFonts w:ascii="Calibri" w:hAnsi="Calibri" w:cs="Calibri"/>
                <w:color w:val="000000"/>
                <w:sz w:val="18"/>
                <w:szCs w:val="18"/>
                <w:lang w:eastAsia="en-GB"/>
              </w:rPr>
            </w:pPr>
            <w:r w:rsidRPr="00BD2181">
              <w:rPr>
                <w:rFonts w:ascii="Calibri" w:hAnsi="Calibri" w:cs="Calibri"/>
                <w:color w:val="000000"/>
                <w:sz w:val="18"/>
                <w:szCs w:val="18"/>
                <w:lang w:eastAsia="en-GB"/>
              </w:rPr>
              <w:t>-</w:t>
            </w:r>
          </w:p>
        </w:tc>
      </w:tr>
      <w:tr w:rsidR="00BD2181" w:rsidRPr="00BD2181" w:rsidTr="005D3E74">
        <w:trPr>
          <w:trHeight w:val="264"/>
        </w:trPr>
        <w:tc>
          <w:tcPr>
            <w:tcW w:w="993" w:type="dxa"/>
          </w:tcPr>
          <w:p w:rsidR="00BD2181" w:rsidRPr="00BD2181" w:rsidRDefault="00BD2181" w:rsidP="005D3E74">
            <w:pPr>
              <w:spacing w:before="0" w:after="0"/>
              <w:jc w:val="center"/>
              <w:rPr>
                <w:rFonts w:ascii="Calibri" w:hAnsi="Calibri" w:cs="Calibri"/>
                <w:color w:val="000000"/>
                <w:sz w:val="18"/>
                <w:szCs w:val="18"/>
                <w:lang w:eastAsia="en-GB"/>
              </w:rPr>
            </w:pPr>
            <w:r w:rsidRPr="00BD2181">
              <w:rPr>
                <w:rFonts w:ascii="Calibri" w:hAnsi="Calibri" w:cs="Calibri"/>
                <w:color w:val="000000"/>
                <w:sz w:val="18"/>
                <w:szCs w:val="18"/>
                <w:lang w:eastAsia="en-GB"/>
              </w:rPr>
              <w:t>NIHR</w:t>
            </w:r>
          </w:p>
        </w:tc>
        <w:tc>
          <w:tcPr>
            <w:tcW w:w="4961" w:type="dxa"/>
          </w:tcPr>
          <w:p w:rsidR="00BD2181" w:rsidRPr="00BD2181" w:rsidRDefault="00BD2181" w:rsidP="005D3E74">
            <w:pPr>
              <w:spacing w:before="0" w:after="0"/>
              <w:rPr>
                <w:rFonts w:ascii="Calibri" w:hAnsi="Calibri" w:cs="Calibri"/>
                <w:color w:val="000000"/>
                <w:sz w:val="18"/>
                <w:szCs w:val="18"/>
                <w:lang w:eastAsia="en-GB"/>
              </w:rPr>
            </w:pPr>
            <w:r w:rsidRPr="00BD2181">
              <w:rPr>
                <w:rFonts w:ascii="Calibri" w:hAnsi="Calibri" w:cs="Calibri"/>
                <w:color w:val="000000"/>
                <w:sz w:val="18"/>
                <w:szCs w:val="18"/>
                <w:lang w:eastAsia="en-GB"/>
              </w:rPr>
              <w:t>CLAHRC</w:t>
            </w:r>
          </w:p>
        </w:tc>
        <w:tc>
          <w:tcPr>
            <w:tcW w:w="1100" w:type="dxa"/>
            <w:shd w:val="clear" w:color="auto" w:fill="auto"/>
          </w:tcPr>
          <w:p w:rsidR="00BD2181" w:rsidRPr="00BD2181" w:rsidRDefault="00BD2181" w:rsidP="005D3E74">
            <w:pPr>
              <w:spacing w:before="0" w:after="0"/>
              <w:jc w:val="center"/>
              <w:rPr>
                <w:rFonts w:ascii="Calibri" w:hAnsi="Calibri" w:cs="Calibri"/>
                <w:color w:val="000000"/>
                <w:sz w:val="18"/>
                <w:szCs w:val="18"/>
                <w:lang w:eastAsia="en-GB"/>
              </w:rPr>
            </w:pPr>
            <w:r w:rsidRPr="00BD2181">
              <w:rPr>
                <w:rFonts w:ascii="Calibri" w:hAnsi="Calibri" w:cs="Calibri"/>
                <w:color w:val="000000"/>
                <w:sz w:val="18"/>
                <w:szCs w:val="18"/>
                <w:lang w:eastAsia="en-GB"/>
              </w:rPr>
              <w:t>2,000</w:t>
            </w:r>
          </w:p>
        </w:tc>
        <w:tc>
          <w:tcPr>
            <w:tcW w:w="992" w:type="dxa"/>
          </w:tcPr>
          <w:p w:rsidR="00BD2181" w:rsidRPr="00BD2181" w:rsidRDefault="00BD2181" w:rsidP="005D3E74">
            <w:pPr>
              <w:spacing w:before="0" w:after="0"/>
              <w:jc w:val="center"/>
              <w:rPr>
                <w:rFonts w:ascii="Calibri" w:hAnsi="Calibri" w:cs="Calibri"/>
                <w:color w:val="000000"/>
                <w:sz w:val="18"/>
                <w:szCs w:val="18"/>
                <w:lang w:eastAsia="en-GB"/>
              </w:rPr>
            </w:pPr>
            <w:r w:rsidRPr="00BD2181">
              <w:rPr>
                <w:rFonts w:ascii="Calibri" w:hAnsi="Calibri" w:cs="Calibri"/>
                <w:color w:val="000000"/>
                <w:sz w:val="18"/>
                <w:szCs w:val="18"/>
                <w:lang w:eastAsia="en-GB"/>
              </w:rPr>
              <w:t>2,000</w:t>
            </w:r>
          </w:p>
        </w:tc>
        <w:tc>
          <w:tcPr>
            <w:tcW w:w="1593" w:type="dxa"/>
          </w:tcPr>
          <w:p w:rsidR="00BD2181" w:rsidRPr="00BD2181" w:rsidRDefault="00BD2181" w:rsidP="005D3E74">
            <w:pPr>
              <w:spacing w:before="0" w:after="0"/>
              <w:jc w:val="center"/>
              <w:rPr>
                <w:rFonts w:ascii="Calibri" w:hAnsi="Calibri" w:cs="Calibri"/>
                <w:color w:val="000000"/>
                <w:sz w:val="18"/>
                <w:szCs w:val="18"/>
                <w:lang w:eastAsia="en-GB"/>
              </w:rPr>
            </w:pPr>
            <w:r w:rsidRPr="00BD2181">
              <w:rPr>
                <w:rFonts w:ascii="Calibri" w:hAnsi="Calibri" w:cs="Calibri"/>
                <w:color w:val="000000"/>
                <w:sz w:val="18"/>
                <w:szCs w:val="18"/>
                <w:lang w:eastAsia="en-GB"/>
              </w:rPr>
              <w:t>-</w:t>
            </w:r>
          </w:p>
        </w:tc>
      </w:tr>
      <w:tr w:rsidR="00BD2181" w:rsidRPr="00BD2181" w:rsidTr="005D3E74">
        <w:trPr>
          <w:trHeight w:val="253"/>
        </w:trPr>
        <w:tc>
          <w:tcPr>
            <w:tcW w:w="993" w:type="dxa"/>
          </w:tcPr>
          <w:p w:rsidR="00BD2181" w:rsidRPr="00BD2181" w:rsidRDefault="00BD2181" w:rsidP="005D3E74">
            <w:pPr>
              <w:spacing w:before="0" w:after="0"/>
              <w:jc w:val="center"/>
              <w:rPr>
                <w:rFonts w:ascii="Calibri" w:hAnsi="Calibri" w:cs="Calibri"/>
                <w:color w:val="000000"/>
                <w:sz w:val="18"/>
                <w:szCs w:val="18"/>
                <w:lang w:eastAsia="en-GB"/>
              </w:rPr>
            </w:pPr>
            <w:r w:rsidRPr="00BD2181">
              <w:rPr>
                <w:rFonts w:ascii="Calibri" w:hAnsi="Calibri" w:cs="Calibri"/>
                <w:color w:val="000000"/>
                <w:sz w:val="18"/>
                <w:szCs w:val="18"/>
                <w:lang w:eastAsia="en-GB"/>
              </w:rPr>
              <w:t>NIHR</w:t>
            </w:r>
          </w:p>
        </w:tc>
        <w:tc>
          <w:tcPr>
            <w:tcW w:w="4961" w:type="dxa"/>
          </w:tcPr>
          <w:p w:rsidR="00BD2181" w:rsidRPr="00BD2181" w:rsidRDefault="00BD2181" w:rsidP="005D3E74">
            <w:pPr>
              <w:spacing w:before="0" w:after="0"/>
              <w:rPr>
                <w:rFonts w:ascii="Calibri" w:hAnsi="Calibri" w:cs="Calibri"/>
                <w:color w:val="000000"/>
                <w:sz w:val="18"/>
                <w:szCs w:val="18"/>
                <w:lang w:eastAsia="en-GB"/>
              </w:rPr>
            </w:pPr>
            <w:r w:rsidRPr="00BD2181">
              <w:rPr>
                <w:rFonts w:ascii="Calibri" w:hAnsi="Calibri" w:cs="Calibri"/>
                <w:color w:val="000000"/>
                <w:sz w:val="18"/>
                <w:szCs w:val="18"/>
                <w:lang w:eastAsia="en-GB"/>
              </w:rPr>
              <w:t>RCF - Department of Psychiatry \ Trust \ CLAHRC</w:t>
            </w:r>
          </w:p>
        </w:tc>
        <w:tc>
          <w:tcPr>
            <w:tcW w:w="1100" w:type="dxa"/>
            <w:shd w:val="clear" w:color="auto" w:fill="auto"/>
          </w:tcPr>
          <w:p w:rsidR="00BD2181" w:rsidRPr="00BD2181" w:rsidRDefault="00BD2181" w:rsidP="005D3E74">
            <w:pPr>
              <w:spacing w:before="0" w:after="0"/>
              <w:jc w:val="center"/>
              <w:rPr>
                <w:rFonts w:ascii="Calibri" w:hAnsi="Calibri" w:cs="Calibri"/>
                <w:color w:val="000000"/>
                <w:sz w:val="18"/>
                <w:szCs w:val="18"/>
                <w:lang w:eastAsia="en-GB"/>
              </w:rPr>
            </w:pPr>
            <w:r w:rsidRPr="00BD2181">
              <w:rPr>
                <w:rFonts w:ascii="Calibri" w:hAnsi="Calibri" w:cs="Calibri"/>
                <w:color w:val="000000"/>
                <w:sz w:val="18"/>
                <w:szCs w:val="18"/>
                <w:lang w:eastAsia="en-GB"/>
              </w:rPr>
              <w:t>1,115</w:t>
            </w:r>
          </w:p>
        </w:tc>
        <w:tc>
          <w:tcPr>
            <w:tcW w:w="992" w:type="dxa"/>
          </w:tcPr>
          <w:p w:rsidR="00BD2181" w:rsidRPr="00BD2181" w:rsidRDefault="00BD2181" w:rsidP="005D3E74">
            <w:pPr>
              <w:spacing w:before="0" w:after="0"/>
              <w:jc w:val="center"/>
              <w:rPr>
                <w:rFonts w:ascii="Calibri" w:hAnsi="Calibri" w:cs="Calibri"/>
                <w:color w:val="000000"/>
                <w:sz w:val="18"/>
                <w:szCs w:val="18"/>
                <w:lang w:eastAsia="en-GB"/>
              </w:rPr>
            </w:pPr>
            <w:r w:rsidRPr="00BD2181">
              <w:rPr>
                <w:rFonts w:ascii="Calibri" w:hAnsi="Calibri" w:cs="Calibri"/>
                <w:color w:val="000000"/>
                <w:sz w:val="18"/>
                <w:szCs w:val="18"/>
                <w:lang w:eastAsia="en-GB"/>
              </w:rPr>
              <w:t>855</w:t>
            </w:r>
          </w:p>
        </w:tc>
        <w:tc>
          <w:tcPr>
            <w:tcW w:w="1593" w:type="dxa"/>
          </w:tcPr>
          <w:p w:rsidR="00BD2181" w:rsidRPr="00BD2181" w:rsidRDefault="00BD2181" w:rsidP="005D3E74">
            <w:pPr>
              <w:spacing w:before="0" w:after="0"/>
              <w:jc w:val="center"/>
              <w:rPr>
                <w:rFonts w:ascii="Calibri" w:hAnsi="Calibri" w:cs="Calibri"/>
                <w:color w:val="000000"/>
                <w:sz w:val="18"/>
                <w:szCs w:val="18"/>
                <w:lang w:eastAsia="en-GB"/>
              </w:rPr>
            </w:pPr>
            <w:r w:rsidRPr="00BD2181">
              <w:rPr>
                <w:rFonts w:ascii="Calibri" w:hAnsi="Calibri" w:cs="Calibri"/>
                <w:color w:val="000000"/>
                <w:sz w:val="18"/>
                <w:szCs w:val="18"/>
                <w:lang w:eastAsia="en-GB"/>
              </w:rPr>
              <w:t>(260)</w:t>
            </w:r>
          </w:p>
        </w:tc>
      </w:tr>
      <w:tr w:rsidR="00BD2181" w:rsidRPr="00BD2181" w:rsidTr="005D3E74">
        <w:trPr>
          <w:trHeight w:val="253"/>
        </w:trPr>
        <w:tc>
          <w:tcPr>
            <w:tcW w:w="993" w:type="dxa"/>
          </w:tcPr>
          <w:p w:rsidR="00BD2181" w:rsidRPr="00BD2181" w:rsidRDefault="00BD2181" w:rsidP="005D3E74">
            <w:pPr>
              <w:spacing w:before="0" w:after="0"/>
              <w:jc w:val="center"/>
              <w:rPr>
                <w:rFonts w:ascii="Calibri" w:hAnsi="Calibri" w:cs="Calibri"/>
                <w:color w:val="000000"/>
                <w:sz w:val="18"/>
                <w:szCs w:val="18"/>
                <w:lang w:eastAsia="en-GB"/>
              </w:rPr>
            </w:pPr>
            <w:r w:rsidRPr="00BD2181">
              <w:rPr>
                <w:rFonts w:ascii="Calibri" w:hAnsi="Calibri" w:cs="Calibri"/>
                <w:color w:val="000000"/>
                <w:sz w:val="18"/>
                <w:szCs w:val="18"/>
                <w:lang w:eastAsia="en-GB"/>
              </w:rPr>
              <w:t>NIHR</w:t>
            </w:r>
          </w:p>
        </w:tc>
        <w:tc>
          <w:tcPr>
            <w:tcW w:w="4961" w:type="dxa"/>
          </w:tcPr>
          <w:p w:rsidR="00BD2181" w:rsidRPr="00BD2181" w:rsidRDefault="00BD2181" w:rsidP="005D3E74">
            <w:pPr>
              <w:spacing w:before="0" w:after="0"/>
              <w:rPr>
                <w:rFonts w:ascii="Calibri" w:hAnsi="Calibri" w:cs="Calibri"/>
                <w:color w:val="000000"/>
                <w:sz w:val="18"/>
                <w:szCs w:val="18"/>
                <w:lang w:eastAsia="en-GB"/>
              </w:rPr>
            </w:pPr>
            <w:r w:rsidRPr="00BD2181">
              <w:rPr>
                <w:rFonts w:ascii="Calibri" w:hAnsi="Calibri" w:cs="Calibri"/>
                <w:color w:val="000000"/>
                <w:sz w:val="18"/>
                <w:szCs w:val="18"/>
                <w:lang w:eastAsia="en-GB"/>
              </w:rPr>
              <w:t xml:space="preserve">RCF - Department of Primary Care </w:t>
            </w:r>
          </w:p>
        </w:tc>
        <w:tc>
          <w:tcPr>
            <w:tcW w:w="1100" w:type="dxa"/>
            <w:shd w:val="clear" w:color="auto" w:fill="auto"/>
          </w:tcPr>
          <w:p w:rsidR="00BD2181" w:rsidRPr="00BD2181" w:rsidRDefault="00BD2181" w:rsidP="005D3E74">
            <w:pPr>
              <w:spacing w:before="0" w:after="0"/>
              <w:jc w:val="center"/>
              <w:rPr>
                <w:rFonts w:ascii="Calibri" w:hAnsi="Calibri" w:cs="Calibri"/>
                <w:color w:val="000000"/>
                <w:sz w:val="18"/>
                <w:szCs w:val="18"/>
                <w:lang w:eastAsia="en-GB"/>
              </w:rPr>
            </w:pPr>
            <w:r w:rsidRPr="00BD2181">
              <w:rPr>
                <w:rFonts w:ascii="Calibri" w:hAnsi="Calibri" w:cs="Calibri"/>
                <w:color w:val="000000"/>
                <w:sz w:val="18"/>
                <w:szCs w:val="18"/>
                <w:lang w:eastAsia="en-GB"/>
              </w:rPr>
              <w:t>295</w:t>
            </w:r>
          </w:p>
        </w:tc>
        <w:tc>
          <w:tcPr>
            <w:tcW w:w="992" w:type="dxa"/>
          </w:tcPr>
          <w:p w:rsidR="00BD2181" w:rsidRPr="00BD2181" w:rsidRDefault="00BD2181" w:rsidP="005D3E74">
            <w:pPr>
              <w:spacing w:before="0" w:after="0"/>
              <w:jc w:val="center"/>
              <w:rPr>
                <w:rFonts w:ascii="Calibri" w:hAnsi="Calibri" w:cs="Calibri"/>
                <w:color w:val="000000"/>
                <w:sz w:val="18"/>
                <w:szCs w:val="18"/>
                <w:lang w:eastAsia="en-GB"/>
              </w:rPr>
            </w:pPr>
            <w:r w:rsidRPr="00BD2181">
              <w:rPr>
                <w:rFonts w:ascii="Calibri" w:hAnsi="Calibri" w:cs="Calibri"/>
                <w:color w:val="000000"/>
                <w:sz w:val="18"/>
                <w:szCs w:val="18"/>
                <w:lang w:eastAsia="en-GB"/>
              </w:rPr>
              <w:t>343</w:t>
            </w:r>
          </w:p>
        </w:tc>
        <w:tc>
          <w:tcPr>
            <w:tcW w:w="1593" w:type="dxa"/>
          </w:tcPr>
          <w:p w:rsidR="00BD2181" w:rsidRPr="00BD2181" w:rsidRDefault="00BD2181" w:rsidP="005D3E74">
            <w:pPr>
              <w:spacing w:before="0" w:after="0"/>
              <w:jc w:val="center"/>
              <w:rPr>
                <w:rFonts w:ascii="Calibri" w:hAnsi="Calibri" w:cs="Calibri"/>
                <w:color w:val="000000"/>
                <w:sz w:val="18"/>
                <w:szCs w:val="18"/>
                <w:lang w:eastAsia="en-GB"/>
              </w:rPr>
            </w:pPr>
            <w:r w:rsidRPr="00BD2181">
              <w:rPr>
                <w:rFonts w:ascii="Calibri" w:hAnsi="Calibri" w:cs="Calibri"/>
                <w:color w:val="000000"/>
                <w:sz w:val="18"/>
                <w:szCs w:val="18"/>
                <w:lang w:eastAsia="en-GB"/>
              </w:rPr>
              <w:t>48</w:t>
            </w:r>
          </w:p>
        </w:tc>
      </w:tr>
      <w:tr w:rsidR="00BD2181" w:rsidRPr="00BD2181" w:rsidTr="005D3E74">
        <w:trPr>
          <w:trHeight w:val="264"/>
        </w:trPr>
        <w:tc>
          <w:tcPr>
            <w:tcW w:w="993" w:type="dxa"/>
            <w:shd w:val="clear" w:color="auto" w:fill="auto"/>
          </w:tcPr>
          <w:p w:rsidR="00BD2181" w:rsidRPr="00BD2181" w:rsidRDefault="00BD2181" w:rsidP="005D3E74">
            <w:pPr>
              <w:spacing w:before="0" w:after="0"/>
              <w:jc w:val="center"/>
              <w:rPr>
                <w:rFonts w:ascii="Calibri" w:hAnsi="Calibri" w:cs="Calibri"/>
                <w:color w:val="000000"/>
                <w:sz w:val="18"/>
                <w:szCs w:val="18"/>
                <w:lang w:eastAsia="en-GB"/>
              </w:rPr>
            </w:pPr>
            <w:r w:rsidRPr="00BD2181">
              <w:rPr>
                <w:rFonts w:ascii="Calibri" w:hAnsi="Calibri" w:cs="Calibri"/>
                <w:color w:val="000000"/>
                <w:sz w:val="18"/>
                <w:szCs w:val="18"/>
                <w:lang w:eastAsia="en-GB"/>
              </w:rPr>
              <w:t>NIHR</w:t>
            </w:r>
          </w:p>
        </w:tc>
        <w:tc>
          <w:tcPr>
            <w:tcW w:w="4961" w:type="dxa"/>
            <w:shd w:val="clear" w:color="auto" w:fill="auto"/>
          </w:tcPr>
          <w:p w:rsidR="00BD2181" w:rsidRPr="00BD2181" w:rsidRDefault="00BD2181" w:rsidP="005D3E74">
            <w:pPr>
              <w:spacing w:before="0" w:after="0"/>
              <w:rPr>
                <w:rFonts w:ascii="Calibri" w:hAnsi="Calibri" w:cs="Calibri"/>
                <w:color w:val="000000"/>
                <w:sz w:val="18"/>
                <w:szCs w:val="18"/>
                <w:lang w:eastAsia="en-GB"/>
              </w:rPr>
            </w:pPr>
            <w:r w:rsidRPr="00BD2181">
              <w:rPr>
                <w:rFonts w:ascii="Calibri" w:hAnsi="Calibri" w:cs="Calibri"/>
                <w:color w:val="000000"/>
                <w:sz w:val="18"/>
                <w:szCs w:val="18"/>
                <w:lang w:eastAsia="en-GB"/>
              </w:rPr>
              <w:t>RCF – OUH</w:t>
            </w:r>
          </w:p>
        </w:tc>
        <w:tc>
          <w:tcPr>
            <w:tcW w:w="1100" w:type="dxa"/>
            <w:shd w:val="clear" w:color="auto" w:fill="auto"/>
          </w:tcPr>
          <w:p w:rsidR="00BD2181" w:rsidRPr="00BD2181" w:rsidRDefault="00BD2181" w:rsidP="005D3E74">
            <w:pPr>
              <w:spacing w:before="0" w:after="0"/>
              <w:jc w:val="center"/>
              <w:rPr>
                <w:rFonts w:ascii="Calibri" w:hAnsi="Calibri" w:cs="Calibri"/>
                <w:color w:val="000000"/>
                <w:sz w:val="18"/>
                <w:szCs w:val="18"/>
                <w:lang w:eastAsia="en-GB"/>
              </w:rPr>
            </w:pPr>
            <w:r w:rsidRPr="00BD2181">
              <w:rPr>
                <w:rFonts w:ascii="Calibri" w:hAnsi="Calibri" w:cs="Calibri"/>
                <w:color w:val="000000"/>
                <w:sz w:val="18"/>
                <w:szCs w:val="18"/>
                <w:lang w:eastAsia="en-GB"/>
              </w:rPr>
              <w:t>64</w:t>
            </w:r>
          </w:p>
        </w:tc>
        <w:tc>
          <w:tcPr>
            <w:tcW w:w="992" w:type="dxa"/>
            <w:shd w:val="clear" w:color="auto" w:fill="auto"/>
          </w:tcPr>
          <w:p w:rsidR="00BD2181" w:rsidRPr="00BD2181" w:rsidRDefault="00BD2181" w:rsidP="005D3E74">
            <w:pPr>
              <w:spacing w:before="0" w:after="0"/>
              <w:jc w:val="center"/>
              <w:rPr>
                <w:rFonts w:ascii="Calibri" w:hAnsi="Calibri" w:cs="Calibri"/>
                <w:b/>
                <w:color w:val="000000"/>
                <w:sz w:val="18"/>
                <w:szCs w:val="18"/>
                <w:lang w:eastAsia="en-GB"/>
              </w:rPr>
            </w:pPr>
          </w:p>
        </w:tc>
        <w:tc>
          <w:tcPr>
            <w:tcW w:w="1593" w:type="dxa"/>
            <w:shd w:val="clear" w:color="auto" w:fill="auto"/>
          </w:tcPr>
          <w:p w:rsidR="00BD2181" w:rsidRPr="00BD2181" w:rsidRDefault="00BD2181" w:rsidP="005D3E74">
            <w:pPr>
              <w:spacing w:before="0" w:after="0"/>
              <w:jc w:val="center"/>
              <w:rPr>
                <w:rFonts w:ascii="Calibri" w:hAnsi="Calibri" w:cs="Calibri"/>
                <w:color w:val="000000"/>
                <w:sz w:val="18"/>
                <w:szCs w:val="18"/>
                <w:lang w:eastAsia="en-GB"/>
              </w:rPr>
            </w:pPr>
            <w:r w:rsidRPr="00BD2181">
              <w:rPr>
                <w:rFonts w:ascii="Calibri" w:hAnsi="Calibri" w:cs="Calibri"/>
                <w:color w:val="000000"/>
                <w:sz w:val="18"/>
                <w:szCs w:val="18"/>
                <w:lang w:eastAsia="en-GB"/>
              </w:rPr>
              <w:t>(64)</w:t>
            </w:r>
          </w:p>
        </w:tc>
      </w:tr>
      <w:tr w:rsidR="00BD2181" w:rsidRPr="00BD2181" w:rsidTr="005D3E74">
        <w:trPr>
          <w:trHeight w:val="264"/>
        </w:trPr>
        <w:tc>
          <w:tcPr>
            <w:tcW w:w="993" w:type="dxa"/>
            <w:shd w:val="clear" w:color="auto" w:fill="auto"/>
          </w:tcPr>
          <w:p w:rsidR="00BD2181" w:rsidRPr="00BD2181" w:rsidRDefault="00BD2181" w:rsidP="005D3E74">
            <w:pPr>
              <w:spacing w:before="0" w:after="0"/>
              <w:jc w:val="center"/>
              <w:rPr>
                <w:rFonts w:ascii="Calibri" w:hAnsi="Calibri" w:cs="Calibri"/>
                <w:color w:val="000000"/>
                <w:sz w:val="18"/>
                <w:szCs w:val="18"/>
                <w:lang w:eastAsia="en-GB"/>
              </w:rPr>
            </w:pPr>
            <w:r w:rsidRPr="00BD2181">
              <w:rPr>
                <w:rFonts w:ascii="Calibri" w:hAnsi="Calibri" w:cs="Calibri"/>
                <w:color w:val="000000"/>
                <w:sz w:val="18"/>
                <w:szCs w:val="18"/>
                <w:lang w:eastAsia="en-GB"/>
              </w:rPr>
              <w:t>NIHR</w:t>
            </w:r>
          </w:p>
        </w:tc>
        <w:tc>
          <w:tcPr>
            <w:tcW w:w="4961" w:type="dxa"/>
            <w:shd w:val="clear" w:color="auto" w:fill="auto"/>
          </w:tcPr>
          <w:p w:rsidR="00BD2181" w:rsidRPr="00BD2181" w:rsidRDefault="00BD2181" w:rsidP="005D3E74">
            <w:pPr>
              <w:spacing w:before="0" w:after="0"/>
              <w:rPr>
                <w:rFonts w:ascii="Calibri" w:hAnsi="Calibri" w:cs="Calibri"/>
                <w:color w:val="000000"/>
                <w:sz w:val="18"/>
                <w:szCs w:val="18"/>
                <w:lang w:eastAsia="en-GB"/>
              </w:rPr>
            </w:pPr>
            <w:r w:rsidRPr="00BD2181">
              <w:rPr>
                <w:rFonts w:ascii="Calibri" w:hAnsi="Calibri" w:cs="Calibri"/>
                <w:color w:val="000000"/>
                <w:sz w:val="18"/>
                <w:szCs w:val="18"/>
                <w:lang w:eastAsia="en-GB"/>
              </w:rPr>
              <w:t>NIHR Final Payments</w:t>
            </w:r>
          </w:p>
        </w:tc>
        <w:tc>
          <w:tcPr>
            <w:tcW w:w="1100" w:type="dxa"/>
            <w:shd w:val="clear" w:color="auto" w:fill="auto"/>
          </w:tcPr>
          <w:p w:rsidR="00BD2181" w:rsidRPr="00BD2181" w:rsidRDefault="00BD2181" w:rsidP="005D3E74">
            <w:pPr>
              <w:spacing w:before="0" w:after="0"/>
              <w:jc w:val="center"/>
              <w:rPr>
                <w:rFonts w:ascii="Calibri" w:hAnsi="Calibri" w:cs="Calibri"/>
                <w:color w:val="000000"/>
                <w:sz w:val="18"/>
                <w:szCs w:val="18"/>
                <w:lang w:eastAsia="en-GB"/>
              </w:rPr>
            </w:pPr>
            <w:r w:rsidRPr="00BD2181">
              <w:rPr>
                <w:rFonts w:ascii="Calibri" w:hAnsi="Calibri" w:cs="Calibri"/>
                <w:color w:val="000000"/>
                <w:sz w:val="18"/>
                <w:szCs w:val="18"/>
                <w:lang w:eastAsia="en-GB"/>
              </w:rPr>
              <w:t>216</w:t>
            </w:r>
          </w:p>
        </w:tc>
        <w:tc>
          <w:tcPr>
            <w:tcW w:w="992" w:type="dxa"/>
            <w:shd w:val="clear" w:color="auto" w:fill="auto"/>
          </w:tcPr>
          <w:p w:rsidR="00BD2181" w:rsidRPr="00BD2181" w:rsidRDefault="00BD2181" w:rsidP="005D3E74">
            <w:pPr>
              <w:spacing w:before="0" w:after="0"/>
              <w:jc w:val="center"/>
              <w:rPr>
                <w:rFonts w:ascii="Calibri" w:hAnsi="Calibri" w:cs="Calibri"/>
                <w:color w:val="000000"/>
                <w:sz w:val="18"/>
                <w:szCs w:val="18"/>
                <w:lang w:eastAsia="en-GB"/>
              </w:rPr>
            </w:pPr>
            <w:r w:rsidRPr="00BD2181">
              <w:rPr>
                <w:rFonts w:ascii="Calibri" w:hAnsi="Calibri" w:cs="Calibri"/>
                <w:color w:val="000000"/>
                <w:sz w:val="18"/>
                <w:szCs w:val="18"/>
                <w:lang w:eastAsia="en-GB"/>
              </w:rPr>
              <w:t>52</w:t>
            </w:r>
          </w:p>
        </w:tc>
        <w:tc>
          <w:tcPr>
            <w:tcW w:w="1593" w:type="dxa"/>
            <w:shd w:val="clear" w:color="auto" w:fill="auto"/>
          </w:tcPr>
          <w:p w:rsidR="00BD2181" w:rsidRPr="00BD2181" w:rsidRDefault="00BD2181" w:rsidP="005D3E74">
            <w:pPr>
              <w:spacing w:before="0" w:after="0"/>
              <w:jc w:val="center"/>
              <w:rPr>
                <w:rFonts w:ascii="Calibri" w:hAnsi="Calibri" w:cs="Calibri"/>
                <w:color w:val="000000"/>
                <w:sz w:val="18"/>
                <w:szCs w:val="18"/>
                <w:lang w:eastAsia="en-GB"/>
              </w:rPr>
            </w:pPr>
            <w:r w:rsidRPr="00BD2181">
              <w:rPr>
                <w:rFonts w:ascii="Calibri" w:hAnsi="Calibri" w:cs="Calibri"/>
                <w:color w:val="000000"/>
                <w:sz w:val="18"/>
                <w:szCs w:val="18"/>
                <w:lang w:eastAsia="en-GB"/>
              </w:rPr>
              <w:t>(164)</w:t>
            </w:r>
          </w:p>
        </w:tc>
      </w:tr>
      <w:tr w:rsidR="00BD2181" w:rsidRPr="00BD2181" w:rsidTr="005D3E74">
        <w:trPr>
          <w:trHeight w:val="264"/>
        </w:trPr>
        <w:tc>
          <w:tcPr>
            <w:tcW w:w="993" w:type="dxa"/>
            <w:shd w:val="pct12" w:color="auto" w:fill="auto"/>
          </w:tcPr>
          <w:p w:rsidR="00BD2181" w:rsidRPr="00BD2181" w:rsidRDefault="00BD2181" w:rsidP="005D3E74">
            <w:pPr>
              <w:spacing w:before="0" w:after="0"/>
              <w:jc w:val="center"/>
              <w:rPr>
                <w:rFonts w:ascii="Calibri" w:hAnsi="Calibri" w:cs="Calibri"/>
                <w:b/>
                <w:color w:val="000000"/>
                <w:sz w:val="18"/>
                <w:szCs w:val="18"/>
                <w:lang w:eastAsia="en-GB"/>
              </w:rPr>
            </w:pPr>
            <w:r w:rsidRPr="00BD2181">
              <w:rPr>
                <w:rFonts w:ascii="Calibri" w:hAnsi="Calibri" w:cs="Calibri"/>
                <w:b/>
                <w:color w:val="000000"/>
                <w:sz w:val="18"/>
                <w:szCs w:val="18"/>
                <w:lang w:eastAsia="en-GB"/>
              </w:rPr>
              <w:t>NIHR</w:t>
            </w:r>
          </w:p>
        </w:tc>
        <w:tc>
          <w:tcPr>
            <w:tcW w:w="4961" w:type="dxa"/>
            <w:shd w:val="pct12" w:color="auto" w:fill="auto"/>
          </w:tcPr>
          <w:p w:rsidR="00BD2181" w:rsidRPr="00BD2181" w:rsidRDefault="00BD2181" w:rsidP="005D3E74">
            <w:pPr>
              <w:spacing w:before="0" w:after="0"/>
              <w:rPr>
                <w:rFonts w:ascii="Calibri" w:hAnsi="Calibri" w:cs="Calibri"/>
                <w:b/>
                <w:color w:val="000000"/>
                <w:sz w:val="18"/>
                <w:szCs w:val="18"/>
                <w:lang w:eastAsia="en-GB"/>
              </w:rPr>
            </w:pPr>
            <w:r w:rsidRPr="00BD2181">
              <w:rPr>
                <w:rFonts w:ascii="Calibri" w:hAnsi="Calibri" w:cs="Calibri"/>
                <w:b/>
                <w:color w:val="000000"/>
                <w:sz w:val="18"/>
                <w:szCs w:val="18"/>
                <w:lang w:eastAsia="en-GB"/>
              </w:rPr>
              <w:t>Total</w:t>
            </w:r>
          </w:p>
        </w:tc>
        <w:tc>
          <w:tcPr>
            <w:tcW w:w="1100" w:type="dxa"/>
            <w:tcBorders>
              <w:bottom w:val="single" w:sz="4" w:space="0" w:color="auto"/>
            </w:tcBorders>
            <w:shd w:val="pct12" w:color="auto" w:fill="auto"/>
          </w:tcPr>
          <w:p w:rsidR="00BD2181" w:rsidRPr="00BD2181" w:rsidRDefault="00BD2181" w:rsidP="005D3E74">
            <w:pPr>
              <w:spacing w:before="0" w:after="0"/>
              <w:jc w:val="center"/>
              <w:rPr>
                <w:rFonts w:ascii="Calibri" w:hAnsi="Calibri" w:cs="Calibri"/>
                <w:b/>
                <w:color w:val="000000"/>
                <w:sz w:val="18"/>
                <w:szCs w:val="18"/>
                <w:lang w:eastAsia="en-GB"/>
              </w:rPr>
            </w:pPr>
            <w:r w:rsidRPr="00BD2181">
              <w:rPr>
                <w:rFonts w:ascii="Calibri" w:hAnsi="Calibri" w:cs="Calibri"/>
                <w:b/>
                <w:color w:val="000000"/>
                <w:sz w:val="18"/>
                <w:szCs w:val="18"/>
                <w:lang w:eastAsia="en-GB"/>
              </w:rPr>
              <w:t>4,853</w:t>
            </w:r>
          </w:p>
        </w:tc>
        <w:tc>
          <w:tcPr>
            <w:tcW w:w="992" w:type="dxa"/>
            <w:shd w:val="pct12" w:color="auto" w:fill="auto"/>
          </w:tcPr>
          <w:p w:rsidR="00BD2181" w:rsidRPr="00BD2181" w:rsidRDefault="00BD2181" w:rsidP="005D3E74">
            <w:pPr>
              <w:spacing w:before="0" w:after="0"/>
              <w:jc w:val="center"/>
              <w:rPr>
                <w:rFonts w:ascii="Calibri" w:hAnsi="Calibri" w:cs="Calibri"/>
                <w:b/>
                <w:color w:val="000000"/>
                <w:sz w:val="18"/>
                <w:szCs w:val="18"/>
                <w:lang w:eastAsia="en-GB"/>
              </w:rPr>
            </w:pPr>
            <w:r w:rsidRPr="00BD2181">
              <w:rPr>
                <w:rFonts w:ascii="Calibri" w:hAnsi="Calibri" w:cs="Calibri"/>
                <w:b/>
                <w:color w:val="000000"/>
                <w:sz w:val="18"/>
                <w:szCs w:val="18"/>
                <w:lang w:eastAsia="en-GB"/>
              </w:rPr>
              <w:t>4,294</w:t>
            </w:r>
          </w:p>
        </w:tc>
        <w:tc>
          <w:tcPr>
            <w:tcW w:w="1593" w:type="dxa"/>
            <w:shd w:val="pct12" w:color="auto" w:fill="auto"/>
          </w:tcPr>
          <w:p w:rsidR="00BD2181" w:rsidRPr="00BD2181" w:rsidRDefault="00BD2181" w:rsidP="005D3E74">
            <w:pPr>
              <w:spacing w:before="0" w:after="0"/>
              <w:jc w:val="center"/>
              <w:rPr>
                <w:rFonts w:ascii="Calibri" w:hAnsi="Calibri" w:cs="Calibri"/>
                <w:b/>
                <w:color w:val="000000"/>
                <w:sz w:val="18"/>
                <w:szCs w:val="18"/>
                <w:lang w:eastAsia="en-GB"/>
              </w:rPr>
            </w:pPr>
            <w:r w:rsidRPr="00BD2181">
              <w:rPr>
                <w:rFonts w:ascii="Calibri" w:hAnsi="Calibri" w:cs="Calibri"/>
                <w:b/>
                <w:color w:val="000000"/>
                <w:sz w:val="18"/>
                <w:szCs w:val="18"/>
                <w:lang w:eastAsia="en-GB"/>
              </w:rPr>
              <w:t>(559)</w:t>
            </w:r>
          </w:p>
        </w:tc>
      </w:tr>
      <w:tr w:rsidR="00BD2181" w:rsidRPr="00BD2181" w:rsidTr="005D3E74">
        <w:trPr>
          <w:trHeight w:val="264"/>
        </w:trPr>
        <w:tc>
          <w:tcPr>
            <w:tcW w:w="993" w:type="dxa"/>
          </w:tcPr>
          <w:p w:rsidR="00BD2181" w:rsidRPr="00BD2181" w:rsidRDefault="00BD2181" w:rsidP="005D3E74">
            <w:pPr>
              <w:spacing w:before="0" w:after="0"/>
              <w:jc w:val="center"/>
              <w:rPr>
                <w:rFonts w:ascii="Calibri" w:hAnsi="Calibri" w:cs="Calibri"/>
                <w:color w:val="000000"/>
                <w:sz w:val="18"/>
                <w:szCs w:val="18"/>
                <w:lang w:eastAsia="en-GB"/>
              </w:rPr>
            </w:pPr>
            <w:r w:rsidRPr="00BD2181">
              <w:rPr>
                <w:rFonts w:ascii="Calibri" w:hAnsi="Calibri" w:cs="Calibri"/>
                <w:color w:val="000000"/>
                <w:sz w:val="18"/>
                <w:szCs w:val="18"/>
                <w:lang w:eastAsia="en-GB"/>
              </w:rPr>
              <w:t>CRN</w:t>
            </w:r>
          </w:p>
        </w:tc>
        <w:tc>
          <w:tcPr>
            <w:tcW w:w="4961" w:type="dxa"/>
          </w:tcPr>
          <w:p w:rsidR="00BD2181" w:rsidRPr="00BD2181" w:rsidRDefault="00BD2181" w:rsidP="005D3E74">
            <w:pPr>
              <w:spacing w:before="0" w:after="0"/>
              <w:rPr>
                <w:rFonts w:ascii="Calibri" w:hAnsi="Calibri" w:cs="Calibri"/>
                <w:color w:val="000000"/>
                <w:sz w:val="18"/>
                <w:szCs w:val="18"/>
                <w:lang w:eastAsia="en-GB"/>
              </w:rPr>
            </w:pPr>
            <w:r w:rsidRPr="00BD2181">
              <w:rPr>
                <w:rFonts w:ascii="Calibri" w:hAnsi="Calibri" w:cs="Calibri"/>
                <w:color w:val="000000"/>
                <w:sz w:val="18"/>
                <w:szCs w:val="18"/>
                <w:lang w:eastAsia="en-GB"/>
              </w:rPr>
              <w:t>TVCLRN \ CRN</w:t>
            </w:r>
          </w:p>
        </w:tc>
        <w:tc>
          <w:tcPr>
            <w:tcW w:w="1100" w:type="dxa"/>
            <w:shd w:val="clear" w:color="auto" w:fill="auto"/>
          </w:tcPr>
          <w:p w:rsidR="00BD2181" w:rsidRPr="00BD2181" w:rsidRDefault="00BD2181" w:rsidP="005D3E74">
            <w:pPr>
              <w:spacing w:before="0" w:after="0"/>
              <w:jc w:val="center"/>
              <w:rPr>
                <w:rFonts w:ascii="Calibri" w:hAnsi="Calibri" w:cs="Calibri"/>
                <w:color w:val="000000"/>
                <w:sz w:val="18"/>
                <w:szCs w:val="18"/>
                <w:lang w:eastAsia="en-GB"/>
              </w:rPr>
            </w:pPr>
            <w:r w:rsidRPr="00BD2181">
              <w:rPr>
                <w:rFonts w:ascii="Calibri" w:hAnsi="Calibri" w:cs="Calibri"/>
                <w:color w:val="000000"/>
                <w:sz w:val="18"/>
                <w:szCs w:val="18"/>
                <w:lang w:eastAsia="en-GB"/>
              </w:rPr>
              <w:t>1,370</w:t>
            </w:r>
          </w:p>
        </w:tc>
        <w:tc>
          <w:tcPr>
            <w:tcW w:w="992" w:type="dxa"/>
          </w:tcPr>
          <w:p w:rsidR="00BD2181" w:rsidRPr="00BD2181" w:rsidRDefault="00BD2181" w:rsidP="005D3E74">
            <w:pPr>
              <w:spacing w:before="0" w:after="0"/>
              <w:jc w:val="center"/>
              <w:rPr>
                <w:rFonts w:ascii="Calibri" w:hAnsi="Calibri" w:cs="Calibri"/>
                <w:color w:val="000000"/>
                <w:sz w:val="18"/>
                <w:szCs w:val="18"/>
                <w:lang w:eastAsia="en-GB"/>
              </w:rPr>
            </w:pPr>
            <w:r w:rsidRPr="00BD2181">
              <w:rPr>
                <w:rFonts w:ascii="Calibri" w:hAnsi="Calibri" w:cs="Calibri"/>
                <w:color w:val="000000"/>
                <w:sz w:val="18"/>
                <w:szCs w:val="18"/>
                <w:lang w:eastAsia="en-GB"/>
              </w:rPr>
              <w:t>1,370</w:t>
            </w:r>
          </w:p>
        </w:tc>
        <w:tc>
          <w:tcPr>
            <w:tcW w:w="1593" w:type="dxa"/>
          </w:tcPr>
          <w:p w:rsidR="00BD2181" w:rsidRPr="00BD2181" w:rsidRDefault="00BD2181" w:rsidP="005D3E74">
            <w:pPr>
              <w:spacing w:before="0" w:after="0"/>
              <w:jc w:val="center"/>
              <w:rPr>
                <w:rFonts w:ascii="Calibri" w:hAnsi="Calibri" w:cs="Calibri"/>
                <w:color w:val="000000"/>
                <w:sz w:val="18"/>
                <w:szCs w:val="18"/>
                <w:lang w:eastAsia="en-GB"/>
              </w:rPr>
            </w:pPr>
            <w:r w:rsidRPr="00BD2181">
              <w:rPr>
                <w:rFonts w:ascii="Calibri" w:hAnsi="Calibri" w:cs="Calibri"/>
                <w:color w:val="000000"/>
                <w:sz w:val="18"/>
                <w:szCs w:val="18"/>
                <w:lang w:eastAsia="en-GB"/>
              </w:rPr>
              <w:t>-</w:t>
            </w:r>
          </w:p>
        </w:tc>
      </w:tr>
      <w:tr w:rsidR="00BD2181" w:rsidRPr="00BD2181" w:rsidTr="005D3E74">
        <w:trPr>
          <w:trHeight w:val="264"/>
        </w:trPr>
        <w:tc>
          <w:tcPr>
            <w:tcW w:w="993" w:type="dxa"/>
          </w:tcPr>
          <w:p w:rsidR="00BD2181" w:rsidRPr="00BD2181" w:rsidRDefault="00BD2181" w:rsidP="005D3E74">
            <w:pPr>
              <w:spacing w:before="0" w:after="0"/>
              <w:jc w:val="center"/>
              <w:rPr>
                <w:rFonts w:ascii="Calibri" w:hAnsi="Calibri" w:cs="Calibri"/>
                <w:color w:val="000000"/>
                <w:sz w:val="18"/>
                <w:szCs w:val="18"/>
                <w:lang w:eastAsia="en-GB"/>
              </w:rPr>
            </w:pPr>
            <w:r w:rsidRPr="00BD2181">
              <w:rPr>
                <w:rFonts w:ascii="Calibri" w:hAnsi="Calibri" w:cs="Calibri"/>
                <w:color w:val="000000"/>
                <w:sz w:val="18"/>
                <w:szCs w:val="18"/>
                <w:lang w:eastAsia="en-GB"/>
              </w:rPr>
              <w:lastRenderedPageBreak/>
              <w:t>Other</w:t>
            </w:r>
          </w:p>
        </w:tc>
        <w:tc>
          <w:tcPr>
            <w:tcW w:w="4961" w:type="dxa"/>
          </w:tcPr>
          <w:p w:rsidR="00BD2181" w:rsidRPr="00BD2181" w:rsidRDefault="00BD2181" w:rsidP="005D3E74">
            <w:pPr>
              <w:spacing w:before="0" w:after="0"/>
              <w:rPr>
                <w:rFonts w:ascii="Calibri" w:hAnsi="Calibri" w:cs="Calibri"/>
                <w:color w:val="000000"/>
                <w:sz w:val="18"/>
                <w:szCs w:val="18"/>
                <w:lang w:eastAsia="en-GB"/>
              </w:rPr>
            </w:pPr>
            <w:r w:rsidRPr="00BD2181">
              <w:rPr>
                <w:rFonts w:ascii="Calibri" w:hAnsi="Calibri" w:cs="Calibri"/>
                <w:color w:val="000000"/>
                <w:sz w:val="18"/>
                <w:szCs w:val="18"/>
                <w:lang w:eastAsia="en-GB"/>
              </w:rPr>
              <w:t>Commercial, NIHR sub-contracted and other income</w:t>
            </w:r>
          </w:p>
        </w:tc>
        <w:tc>
          <w:tcPr>
            <w:tcW w:w="1100" w:type="dxa"/>
            <w:shd w:val="clear" w:color="auto" w:fill="auto"/>
          </w:tcPr>
          <w:p w:rsidR="00BD2181" w:rsidRPr="00BD2181" w:rsidRDefault="00BD2181" w:rsidP="005D3E74">
            <w:pPr>
              <w:spacing w:before="0" w:after="0"/>
              <w:jc w:val="center"/>
              <w:rPr>
                <w:rFonts w:ascii="Calibri" w:hAnsi="Calibri" w:cs="Calibri"/>
                <w:color w:val="000000"/>
                <w:sz w:val="18"/>
                <w:szCs w:val="18"/>
                <w:lang w:eastAsia="en-GB"/>
              </w:rPr>
            </w:pPr>
            <w:r w:rsidRPr="00BD2181">
              <w:rPr>
                <w:rFonts w:ascii="Calibri" w:hAnsi="Calibri" w:cs="Calibri"/>
                <w:color w:val="000000"/>
                <w:sz w:val="18"/>
                <w:szCs w:val="18"/>
                <w:lang w:eastAsia="en-GB"/>
              </w:rPr>
              <w:t>515</w:t>
            </w:r>
          </w:p>
        </w:tc>
        <w:tc>
          <w:tcPr>
            <w:tcW w:w="992" w:type="dxa"/>
          </w:tcPr>
          <w:p w:rsidR="00BD2181" w:rsidRPr="00BD2181" w:rsidRDefault="00BD2181" w:rsidP="005D3E74">
            <w:pPr>
              <w:spacing w:before="0" w:after="0"/>
              <w:jc w:val="center"/>
              <w:rPr>
                <w:rFonts w:ascii="Calibri" w:hAnsi="Calibri" w:cs="Calibri"/>
                <w:color w:val="000000"/>
                <w:sz w:val="18"/>
                <w:szCs w:val="18"/>
                <w:lang w:eastAsia="en-GB"/>
              </w:rPr>
            </w:pPr>
            <w:r w:rsidRPr="00BD2181">
              <w:rPr>
                <w:rFonts w:ascii="Calibri" w:hAnsi="Calibri" w:cs="Calibri"/>
                <w:color w:val="000000"/>
                <w:sz w:val="18"/>
                <w:szCs w:val="18"/>
                <w:lang w:eastAsia="en-GB"/>
              </w:rPr>
              <w:t>515</w:t>
            </w:r>
          </w:p>
        </w:tc>
        <w:tc>
          <w:tcPr>
            <w:tcW w:w="1593" w:type="dxa"/>
          </w:tcPr>
          <w:p w:rsidR="00BD2181" w:rsidRPr="00BD2181" w:rsidRDefault="00BD2181" w:rsidP="005D3E74">
            <w:pPr>
              <w:spacing w:before="0" w:after="0"/>
              <w:jc w:val="center"/>
              <w:rPr>
                <w:rFonts w:ascii="Calibri" w:hAnsi="Calibri" w:cs="Calibri"/>
                <w:color w:val="000000"/>
                <w:sz w:val="18"/>
                <w:szCs w:val="18"/>
                <w:lang w:eastAsia="en-GB"/>
              </w:rPr>
            </w:pPr>
            <w:r w:rsidRPr="00BD2181">
              <w:rPr>
                <w:rFonts w:ascii="Calibri" w:hAnsi="Calibri" w:cs="Calibri"/>
                <w:color w:val="000000"/>
                <w:sz w:val="18"/>
                <w:szCs w:val="18"/>
                <w:lang w:eastAsia="en-GB"/>
              </w:rPr>
              <w:t>-</w:t>
            </w:r>
          </w:p>
        </w:tc>
      </w:tr>
      <w:tr w:rsidR="00BD2181" w:rsidRPr="00BD2181" w:rsidTr="005D3E74">
        <w:trPr>
          <w:trHeight w:val="264"/>
        </w:trPr>
        <w:tc>
          <w:tcPr>
            <w:tcW w:w="993" w:type="dxa"/>
            <w:shd w:val="pct12" w:color="auto" w:fill="auto"/>
          </w:tcPr>
          <w:p w:rsidR="00BD2181" w:rsidRPr="00BD2181" w:rsidRDefault="00BD2181" w:rsidP="005D3E74">
            <w:pPr>
              <w:spacing w:before="0" w:after="0"/>
              <w:jc w:val="center"/>
              <w:rPr>
                <w:rFonts w:ascii="Calibri" w:hAnsi="Calibri" w:cs="Calibri"/>
                <w:b/>
                <w:color w:val="000000"/>
                <w:sz w:val="18"/>
                <w:szCs w:val="18"/>
                <w:lang w:eastAsia="en-GB"/>
              </w:rPr>
            </w:pPr>
          </w:p>
        </w:tc>
        <w:tc>
          <w:tcPr>
            <w:tcW w:w="4961" w:type="dxa"/>
            <w:shd w:val="pct12" w:color="auto" w:fill="auto"/>
          </w:tcPr>
          <w:p w:rsidR="00BD2181" w:rsidRPr="00BD2181" w:rsidRDefault="00BD2181" w:rsidP="005D3E74">
            <w:pPr>
              <w:spacing w:before="0" w:after="0"/>
              <w:rPr>
                <w:rFonts w:ascii="Calibri" w:hAnsi="Calibri" w:cs="Calibri"/>
                <w:b/>
                <w:color w:val="000000"/>
                <w:sz w:val="18"/>
                <w:szCs w:val="18"/>
                <w:lang w:eastAsia="en-GB"/>
              </w:rPr>
            </w:pPr>
            <w:r w:rsidRPr="00BD2181">
              <w:rPr>
                <w:rFonts w:ascii="Calibri" w:hAnsi="Calibri" w:cs="Calibri"/>
                <w:b/>
                <w:color w:val="000000"/>
                <w:sz w:val="18"/>
                <w:szCs w:val="18"/>
                <w:lang w:eastAsia="en-GB"/>
              </w:rPr>
              <w:t>Total</w:t>
            </w:r>
          </w:p>
        </w:tc>
        <w:tc>
          <w:tcPr>
            <w:tcW w:w="1100" w:type="dxa"/>
            <w:shd w:val="pct12" w:color="auto" w:fill="auto"/>
          </w:tcPr>
          <w:p w:rsidR="00BD2181" w:rsidRPr="00BD2181" w:rsidRDefault="00BD2181" w:rsidP="005D3E74">
            <w:pPr>
              <w:spacing w:before="0" w:after="0"/>
              <w:jc w:val="center"/>
              <w:rPr>
                <w:rFonts w:ascii="Calibri" w:hAnsi="Calibri" w:cs="Calibri"/>
                <w:b/>
                <w:color w:val="000000"/>
                <w:sz w:val="18"/>
                <w:szCs w:val="18"/>
                <w:lang w:eastAsia="en-GB"/>
              </w:rPr>
            </w:pPr>
            <w:r w:rsidRPr="00BD2181">
              <w:rPr>
                <w:rFonts w:ascii="Calibri" w:hAnsi="Calibri" w:cs="Calibri"/>
                <w:b/>
                <w:color w:val="000000"/>
                <w:sz w:val="18"/>
                <w:szCs w:val="18"/>
                <w:lang w:eastAsia="en-GB"/>
              </w:rPr>
              <w:t>6,738</w:t>
            </w:r>
          </w:p>
        </w:tc>
        <w:tc>
          <w:tcPr>
            <w:tcW w:w="992" w:type="dxa"/>
            <w:shd w:val="pct12" w:color="auto" w:fill="auto"/>
          </w:tcPr>
          <w:p w:rsidR="00BD2181" w:rsidRPr="00BD2181" w:rsidRDefault="00BD2181" w:rsidP="005D3E74">
            <w:pPr>
              <w:spacing w:before="0" w:after="0"/>
              <w:jc w:val="center"/>
              <w:rPr>
                <w:rFonts w:ascii="Calibri" w:hAnsi="Calibri" w:cs="Calibri"/>
                <w:b/>
                <w:color w:val="000000"/>
                <w:sz w:val="18"/>
                <w:szCs w:val="18"/>
                <w:lang w:eastAsia="en-GB"/>
              </w:rPr>
            </w:pPr>
            <w:r w:rsidRPr="00BD2181">
              <w:rPr>
                <w:rFonts w:ascii="Calibri" w:hAnsi="Calibri" w:cs="Calibri"/>
                <w:b/>
                <w:color w:val="000000"/>
                <w:sz w:val="18"/>
                <w:szCs w:val="18"/>
                <w:lang w:eastAsia="en-GB"/>
              </w:rPr>
              <w:t>6,179</w:t>
            </w:r>
          </w:p>
        </w:tc>
        <w:tc>
          <w:tcPr>
            <w:tcW w:w="1593" w:type="dxa"/>
            <w:shd w:val="pct12" w:color="auto" w:fill="auto"/>
          </w:tcPr>
          <w:p w:rsidR="00BD2181" w:rsidRPr="00BD2181" w:rsidRDefault="00BD2181" w:rsidP="005D3E74">
            <w:pPr>
              <w:spacing w:before="0" w:after="0"/>
              <w:jc w:val="center"/>
              <w:rPr>
                <w:rFonts w:ascii="Calibri" w:hAnsi="Calibri" w:cs="Calibri"/>
                <w:b/>
                <w:color w:val="000000"/>
                <w:sz w:val="18"/>
                <w:szCs w:val="18"/>
                <w:lang w:eastAsia="en-GB"/>
              </w:rPr>
            </w:pPr>
            <w:r w:rsidRPr="00BD2181">
              <w:rPr>
                <w:rFonts w:ascii="Calibri" w:hAnsi="Calibri" w:cs="Calibri"/>
                <w:b/>
                <w:color w:val="000000"/>
                <w:sz w:val="18"/>
                <w:szCs w:val="18"/>
                <w:lang w:eastAsia="en-GB"/>
              </w:rPr>
              <w:t>(559)</w:t>
            </w:r>
          </w:p>
        </w:tc>
      </w:tr>
    </w:tbl>
    <w:p w:rsidR="00BD2181" w:rsidRPr="00BD2181" w:rsidRDefault="00BD2181" w:rsidP="00BD2181">
      <w:pPr>
        <w:spacing w:after="0"/>
        <w:rPr>
          <w:i/>
          <w:sz w:val="16"/>
          <w:szCs w:val="16"/>
        </w:rPr>
      </w:pPr>
      <w:r w:rsidRPr="00BD2181">
        <w:rPr>
          <w:i/>
          <w:sz w:val="16"/>
          <w:szCs w:val="16"/>
        </w:rPr>
        <w:t>Note: CRN &amp; Commercial, NIHR sub-contracted and other income is assumed to remain constant but will be reviewed in detail as part of the FY17 budget process.</w:t>
      </w:r>
    </w:p>
    <w:p w:rsidR="00BD2181" w:rsidRPr="00BD2181" w:rsidRDefault="00BD2181" w:rsidP="00BD2181">
      <w:pPr>
        <w:pStyle w:val="Heading2"/>
        <w:rPr>
          <w:i w:val="0"/>
        </w:rPr>
      </w:pPr>
      <w:bookmarkStart w:id="45" w:name="_Toc441061228"/>
      <w:r w:rsidRPr="00BD2181">
        <w:rPr>
          <w:i w:val="0"/>
        </w:rPr>
        <w:t>Redundancy Costs</w:t>
      </w:r>
      <w:bookmarkEnd w:id="45"/>
    </w:p>
    <w:p w:rsidR="00BD2181" w:rsidRPr="00BD2181" w:rsidRDefault="00BD2181" w:rsidP="00BD2181">
      <w:pPr>
        <w:spacing w:after="0"/>
      </w:pPr>
      <w:r w:rsidRPr="00BD2181">
        <w:t xml:space="preserve">Where staff </w:t>
      </w:r>
      <w:proofErr w:type="gramStart"/>
      <w:r w:rsidRPr="00BD2181">
        <w:t>are</w:t>
      </w:r>
      <w:proofErr w:type="gramEnd"/>
      <w:r w:rsidRPr="00BD2181">
        <w:t xml:space="preserve"> funded from time limited awards there is a potential redundancy risk. This is monitored along with HR to identify and mitigate the risk on a case-by-case basis.</w:t>
      </w:r>
    </w:p>
    <w:p w:rsidR="00BD2181" w:rsidRPr="00BD2181" w:rsidRDefault="00BD2181" w:rsidP="00BD2181">
      <w:pPr>
        <w:spacing w:after="0"/>
        <w:rPr>
          <w:b/>
        </w:rPr>
      </w:pPr>
      <w:r w:rsidRPr="00BD2181">
        <w:rPr>
          <w:b/>
        </w:rPr>
        <w:t>CRN Governance Team Funding</w:t>
      </w:r>
    </w:p>
    <w:p w:rsidR="00BD2181" w:rsidRPr="00BD2181" w:rsidRDefault="00BD2181" w:rsidP="00BD2181">
      <w:pPr>
        <w:spacing w:after="0"/>
        <w:rPr>
          <w:b/>
        </w:rPr>
      </w:pPr>
      <w:r w:rsidRPr="00BD2181">
        <w:t>There is currently some uncertainty concerning the level of future CRN funding for the Trust R&amp;D Governance Team. The CRN Chief Operating Officer has been contacted on two occasions to seek guidance on the agreement for this with no response. The Head of R&amp;D is in the process of trying to obtain clarification.</w:t>
      </w:r>
    </w:p>
    <w:p w:rsidR="00BD2181" w:rsidRPr="00BD2181" w:rsidRDefault="00BD2181" w:rsidP="00BD2181">
      <w:pPr>
        <w:pStyle w:val="Heading2"/>
        <w:rPr>
          <w:i w:val="0"/>
        </w:rPr>
      </w:pPr>
      <w:bookmarkStart w:id="46" w:name="_Toc441061229"/>
      <w:r w:rsidRPr="00BD2181">
        <w:rPr>
          <w:i w:val="0"/>
        </w:rPr>
        <w:t>Study Report and Publication dates</w:t>
      </w:r>
      <w:bookmarkEnd w:id="46"/>
      <w:r w:rsidRPr="00BD2181">
        <w:rPr>
          <w:i w:val="0"/>
        </w:rPr>
        <w:t xml:space="preserve"> </w:t>
      </w:r>
    </w:p>
    <w:p w:rsidR="00BD2181" w:rsidRPr="00BD2181" w:rsidRDefault="00BD2181" w:rsidP="00BD2181">
      <w:pPr>
        <w:spacing w:after="0"/>
      </w:pPr>
      <w:r w:rsidRPr="00BD2181">
        <w:t xml:space="preserve">A number of studies have or will come to an end between Oct 14 and Mar 16 where the NIHR contract allows the withholding of the final payments until reports have been produced and published. The effect of this is that costs will be incurred in a different financial year to that in which the income is received. Agreement was gained from the DH to fund these pressures from RCF allowing the final payment to be released in the following year on the condition that the funding is used for staff. This gave us more flexibility regarding the year in which the income was used.  </w:t>
      </w:r>
    </w:p>
    <w:p w:rsidR="00BD2181" w:rsidRPr="00BD2181" w:rsidRDefault="00BD2181" w:rsidP="00BD2181">
      <w:r w:rsidRPr="00BD2181">
        <w:t xml:space="preserve">It is planned to use these payments to support posts in the run up to the BRC application. The possibility of letting any unused funding drop to the Trust bottom line this year and the Trust setting a non-recurrent BRC Investment budget of a similar amount in FY17 to support the application has been discussed with senior members of the finance </w:t>
      </w:r>
      <w:proofErr w:type="spellStart"/>
      <w:r w:rsidRPr="00BD2181">
        <w:t>eteam</w:t>
      </w:r>
      <w:proofErr w:type="spellEnd"/>
      <w:r w:rsidRPr="00BD2181">
        <w:t>.</w:t>
      </w:r>
    </w:p>
    <w:p w:rsidR="00BD2181" w:rsidRPr="00BD2181" w:rsidRDefault="00BD2181" w:rsidP="00BD2181">
      <w:pPr>
        <w:spacing w:after="0"/>
      </w:pPr>
      <w:r w:rsidRPr="00BD2181">
        <w:t>The studies concerned are shown in the table below.</w:t>
      </w:r>
    </w:p>
    <w:tbl>
      <w:tblPr>
        <w:tblStyle w:val="TableGrid"/>
        <w:tblpPr w:leftFromText="180" w:rightFromText="180" w:vertAnchor="text" w:horzAnchor="margin" w:tblpX="357" w:tblpY="152"/>
        <w:tblW w:w="9180" w:type="dxa"/>
        <w:tblLayout w:type="fixed"/>
        <w:tblLook w:val="04A0" w:firstRow="1" w:lastRow="0" w:firstColumn="1" w:lastColumn="0" w:noHBand="0" w:noVBand="1"/>
      </w:tblPr>
      <w:tblGrid>
        <w:gridCol w:w="1101"/>
        <w:gridCol w:w="1275"/>
        <w:gridCol w:w="993"/>
        <w:gridCol w:w="992"/>
        <w:gridCol w:w="4819"/>
      </w:tblGrid>
      <w:tr w:rsidR="00BD2181" w:rsidRPr="00BD2181" w:rsidTr="005D3E74">
        <w:trPr>
          <w:trHeight w:val="256"/>
        </w:trPr>
        <w:tc>
          <w:tcPr>
            <w:tcW w:w="1101" w:type="dxa"/>
            <w:shd w:val="clear" w:color="auto" w:fill="8DB3E2" w:themeFill="text2" w:themeFillTint="66"/>
          </w:tcPr>
          <w:p w:rsidR="00BD2181" w:rsidRPr="00BD2181" w:rsidRDefault="00BD2181" w:rsidP="005D3E74">
            <w:pPr>
              <w:spacing w:before="0" w:after="0"/>
              <w:rPr>
                <w:b/>
                <w:sz w:val="20"/>
                <w:szCs w:val="20"/>
              </w:rPr>
            </w:pPr>
            <w:r w:rsidRPr="00BD2181">
              <w:rPr>
                <w:b/>
                <w:sz w:val="20"/>
                <w:szCs w:val="20"/>
              </w:rPr>
              <w:t>Study</w:t>
            </w:r>
          </w:p>
        </w:tc>
        <w:tc>
          <w:tcPr>
            <w:tcW w:w="1275" w:type="dxa"/>
            <w:shd w:val="clear" w:color="auto" w:fill="8DB3E2" w:themeFill="text2" w:themeFillTint="66"/>
          </w:tcPr>
          <w:p w:rsidR="00BD2181" w:rsidRPr="00BD2181" w:rsidRDefault="00BD2181" w:rsidP="005D3E74">
            <w:pPr>
              <w:spacing w:before="0" w:after="0"/>
              <w:rPr>
                <w:b/>
                <w:sz w:val="20"/>
                <w:szCs w:val="20"/>
              </w:rPr>
            </w:pPr>
            <w:r w:rsidRPr="00BD2181">
              <w:rPr>
                <w:b/>
                <w:sz w:val="20"/>
                <w:szCs w:val="20"/>
              </w:rPr>
              <w:t>Finishes</w:t>
            </w:r>
          </w:p>
        </w:tc>
        <w:tc>
          <w:tcPr>
            <w:tcW w:w="993" w:type="dxa"/>
            <w:shd w:val="clear" w:color="auto" w:fill="8DB3E2" w:themeFill="text2" w:themeFillTint="66"/>
          </w:tcPr>
          <w:p w:rsidR="00BD2181" w:rsidRPr="00BD2181" w:rsidRDefault="00BD2181" w:rsidP="005D3E74">
            <w:pPr>
              <w:spacing w:before="0" w:after="0"/>
              <w:jc w:val="center"/>
              <w:rPr>
                <w:b/>
                <w:sz w:val="20"/>
                <w:szCs w:val="20"/>
              </w:rPr>
            </w:pPr>
            <w:r w:rsidRPr="00BD2181">
              <w:rPr>
                <w:b/>
                <w:sz w:val="20"/>
                <w:szCs w:val="20"/>
              </w:rPr>
              <w:t>FY16 Income</w:t>
            </w:r>
          </w:p>
        </w:tc>
        <w:tc>
          <w:tcPr>
            <w:tcW w:w="992" w:type="dxa"/>
            <w:shd w:val="clear" w:color="auto" w:fill="8DB3E2" w:themeFill="text2" w:themeFillTint="66"/>
          </w:tcPr>
          <w:p w:rsidR="00BD2181" w:rsidRPr="00BD2181" w:rsidRDefault="00BD2181" w:rsidP="005D3E74">
            <w:pPr>
              <w:spacing w:before="0" w:after="0"/>
              <w:jc w:val="center"/>
              <w:rPr>
                <w:b/>
                <w:sz w:val="20"/>
                <w:szCs w:val="20"/>
              </w:rPr>
            </w:pPr>
            <w:r w:rsidRPr="00BD2181">
              <w:rPr>
                <w:b/>
                <w:sz w:val="20"/>
                <w:szCs w:val="20"/>
              </w:rPr>
              <w:t>FY17 Income</w:t>
            </w:r>
          </w:p>
        </w:tc>
        <w:tc>
          <w:tcPr>
            <w:tcW w:w="4819" w:type="dxa"/>
            <w:shd w:val="clear" w:color="auto" w:fill="8DB3E2" w:themeFill="text2" w:themeFillTint="66"/>
          </w:tcPr>
          <w:p w:rsidR="00BD2181" w:rsidRPr="00BD2181" w:rsidRDefault="00BD2181" w:rsidP="005D3E74">
            <w:pPr>
              <w:spacing w:before="0" w:after="0"/>
              <w:rPr>
                <w:b/>
                <w:sz w:val="20"/>
                <w:szCs w:val="20"/>
              </w:rPr>
            </w:pPr>
            <w:r w:rsidRPr="00BD2181">
              <w:rPr>
                <w:b/>
                <w:sz w:val="20"/>
                <w:szCs w:val="20"/>
              </w:rPr>
              <w:t>Comments</w:t>
            </w:r>
          </w:p>
        </w:tc>
      </w:tr>
      <w:tr w:rsidR="00BD2181" w:rsidRPr="00BD2181" w:rsidTr="005D3E74">
        <w:trPr>
          <w:trHeight w:val="180"/>
        </w:trPr>
        <w:tc>
          <w:tcPr>
            <w:tcW w:w="1101" w:type="dxa"/>
          </w:tcPr>
          <w:p w:rsidR="00BD2181" w:rsidRPr="00BD2181" w:rsidRDefault="00BD2181" w:rsidP="005D3E74">
            <w:pPr>
              <w:spacing w:before="0" w:after="0"/>
              <w:rPr>
                <w:sz w:val="18"/>
                <w:szCs w:val="18"/>
              </w:rPr>
            </w:pPr>
            <w:r w:rsidRPr="00BD2181">
              <w:rPr>
                <w:sz w:val="18"/>
                <w:szCs w:val="18"/>
              </w:rPr>
              <w:t>Octet</w:t>
            </w:r>
          </w:p>
        </w:tc>
        <w:tc>
          <w:tcPr>
            <w:tcW w:w="1275" w:type="dxa"/>
          </w:tcPr>
          <w:p w:rsidR="00BD2181" w:rsidRPr="00BD2181" w:rsidRDefault="00BD2181" w:rsidP="005D3E74">
            <w:pPr>
              <w:spacing w:before="0" w:after="0"/>
              <w:rPr>
                <w:sz w:val="18"/>
                <w:szCs w:val="18"/>
              </w:rPr>
            </w:pPr>
            <w:r w:rsidRPr="00BD2181">
              <w:rPr>
                <w:sz w:val="18"/>
                <w:szCs w:val="18"/>
              </w:rPr>
              <w:t>Oct 2014</w:t>
            </w:r>
          </w:p>
        </w:tc>
        <w:tc>
          <w:tcPr>
            <w:tcW w:w="993" w:type="dxa"/>
            <w:shd w:val="clear" w:color="auto" w:fill="auto"/>
          </w:tcPr>
          <w:p w:rsidR="00BD2181" w:rsidRPr="00BD2181" w:rsidRDefault="00BD2181" w:rsidP="005D3E74">
            <w:pPr>
              <w:spacing w:before="0" w:after="0"/>
              <w:jc w:val="center"/>
              <w:rPr>
                <w:sz w:val="18"/>
                <w:szCs w:val="18"/>
              </w:rPr>
            </w:pPr>
            <w:r w:rsidRPr="00BD2181">
              <w:rPr>
                <w:sz w:val="18"/>
                <w:szCs w:val="18"/>
              </w:rPr>
              <w:t>57</w:t>
            </w:r>
          </w:p>
        </w:tc>
        <w:tc>
          <w:tcPr>
            <w:tcW w:w="992" w:type="dxa"/>
          </w:tcPr>
          <w:p w:rsidR="00BD2181" w:rsidRPr="00BD2181" w:rsidRDefault="00BD2181" w:rsidP="005D3E74">
            <w:pPr>
              <w:spacing w:before="0" w:after="0"/>
              <w:jc w:val="center"/>
              <w:rPr>
                <w:sz w:val="18"/>
                <w:szCs w:val="18"/>
              </w:rPr>
            </w:pPr>
          </w:p>
        </w:tc>
        <w:tc>
          <w:tcPr>
            <w:tcW w:w="4819" w:type="dxa"/>
          </w:tcPr>
          <w:p w:rsidR="00BD2181" w:rsidRPr="00BD2181" w:rsidRDefault="00BD2181" w:rsidP="005D3E74">
            <w:pPr>
              <w:spacing w:before="0" w:after="0"/>
              <w:rPr>
                <w:sz w:val="18"/>
                <w:szCs w:val="18"/>
              </w:rPr>
            </w:pPr>
            <w:r w:rsidRPr="00BD2181">
              <w:rPr>
                <w:sz w:val="18"/>
                <w:szCs w:val="18"/>
              </w:rPr>
              <w:t>Payment received</w:t>
            </w:r>
          </w:p>
        </w:tc>
      </w:tr>
      <w:tr w:rsidR="00BD2181" w:rsidRPr="00BD2181" w:rsidTr="005D3E74">
        <w:trPr>
          <w:trHeight w:val="239"/>
        </w:trPr>
        <w:tc>
          <w:tcPr>
            <w:tcW w:w="1101" w:type="dxa"/>
          </w:tcPr>
          <w:p w:rsidR="00BD2181" w:rsidRPr="00BD2181" w:rsidRDefault="00BD2181" w:rsidP="005D3E74">
            <w:pPr>
              <w:spacing w:before="0" w:after="0"/>
              <w:rPr>
                <w:sz w:val="18"/>
                <w:szCs w:val="18"/>
              </w:rPr>
            </w:pPr>
            <w:r w:rsidRPr="00BD2181">
              <w:rPr>
                <w:sz w:val="18"/>
                <w:szCs w:val="18"/>
              </w:rPr>
              <w:t>Friends</w:t>
            </w:r>
          </w:p>
        </w:tc>
        <w:tc>
          <w:tcPr>
            <w:tcW w:w="1275" w:type="dxa"/>
          </w:tcPr>
          <w:p w:rsidR="00BD2181" w:rsidRPr="00BD2181" w:rsidRDefault="00BD2181" w:rsidP="005D3E74">
            <w:pPr>
              <w:spacing w:before="0" w:after="0"/>
              <w:rPr>
                <w:sz w:val="18"/>
                <w:szCs w:val="18"/>
              </w:rPr>
            </w:pPr>
            <w:r w:rsidRPr="00BD2181">
              <w:rPr>
                <w:sz w:val="18"/>
                <w:szCs w:val="18"/>
              </w:rPr>
              <w:t>Dec 2014</w:t>
            </w:r>
          </w:p>
        </w:tc>
        <w:tc>
          <w:tcPr>
            <w:tcW w:w="993" w:type="dxa"/>
            <w:shd w:val="clear" w:color="auto" w:fill="auto"/>
          </w:tcPr>
          <w:p w:rsidR="00BD2181" w:rsidRPr="00BD2181" w:rsidRDefault="00BD2181" w:rsidP="005D3E74">
            <w:pPr>
              <w:spacing w:before="0" w:after="0"/>
              <w:jc w:val="center"/>
              <w:rPr>
                <w:sz w:val="18"/>
                <w:szCs w:val="18"/>
              </w:rPr>
            </w:pPr>
            <w:r w:rsidRPr="00BD2181">
              <w:rPr>
                <w:sz w:val="18"/>
                <w:szCs w:val="18"/>
              </w:rPr>
              <w:t>54</w:t>
            </w:r>
          </w:p>
        </w:tc>
        <w:tc>
          <w:tcPr>
            <w:tcW w:w="992" w:type="dxa"/>
          </w:tcPr>
          <w:p w:rsidR="00BD2181" w:rsidRPr="00BD2181" w:rsidRDefault="00BD2181" w:rsidP="005D3E74">
            <w:pPr>
              <w:spacing w:before="0" w:after="0"/>
              <w:jc w:val="center"/>
              <w:rPr>
                <w:sz w:val="18"/>
                <w:szCs w:val="18"/>
              </w:rPr>
            </w:pPr>
          </w:p>
        </w:tc>
        <w:tc>
          <w:tcPr>
            <w:tcW w:w="4819" w:type="dxa"/>
          </w:tcPr>
          <w:p w:rsidR="00BD2181" w:rsidRPr="00BD2181" w:rsidRDefault="00BD2181" w:rsidP="005D3E74">
            <w:pPr>
              <w:spacing w:before="0" w:after="0"/>
              <w:rPr>
                <w:sz w:val="18"/>
                <w:szCs w:val="18"/>
              </w:rPr>
            </w:pPr>
            <w:r w:rsidRPr="00BD2181">
              <w:rPr>
                <w:sz w:val="18"/>
                <w:szCs w:val="18"/>
              </w:rPr>
              <w:t>Payment received</w:t>
            </w:r>
          </w:p>
        </w:tc>
      </w:tr>
      <w:tr w:rsidR="00BD2181" w:rsidRPr="00BD2181" w:rsidTr="005D3E74">
        <w:trPr>
          <w:trHeight w:val="137"/>
        </w:trPr>
        <w:tc>
          <w:tcPr>
            <w:tcW w:w="1101" w:type="dxa"/>
            <w:tcBorders>
              <w:bottom w:val="single" w:sz="4" w:space="0" w:color="auto"/>
            </w:tcBorders>
          </w:tcPr>
          <w:p w:rsidR="00BD2181" w:rsidRPr="00BD2181" w:rsidRDefault="00BD2181" w:rsidP="005D3E74">
            <w:pPr>
              <w:spacing w:before="0" w:after="0"/>
              <w:rPr>
                <w:sz w:val="18"/>
                <w:szCs w:val="18"/>
              </w:rPr>
            </w:pPr>
            <w:proofErr w:type="spellStart"/>
            <w:r w:rsidRPr="00BD2181">
              <w:rPr>
                <w:sz w:val="18"/>
                <w:szCs w:val="18"/>
              </w:rPr>
              <w:t>Octext</w:t>
            </w:r>
            <w:proofErr w:type="spellEnd"/>
          </w:p>
        </w:tc>
        <w:tc>
          <w:tcPr>
            <w:tcW w:w="1275" w:type="dxa"/>
            <w:tcBorders>
              <w:bottom w:val="single" w:sz="4" w:space="0" w:color="auto"/>
            </w:tcBorders>
          </w:tcPr>
          <w:p w:rsidR="00BD2181" w:rsidRPr="00BD2181" w:rsidRDefault="00BD2181" w:rsidP="005D3E74">
            <w:pPr>
              <w:spacing w:before="0" w:after="0"/>
              <w:rPr>
                <w:sz w:val="18"/>
                <w:szCs w:val="18"/>
              </w:rPr>
            </w:pPr>
            <w:r w:rsidRPr="00BD2181">
              <w:rPr>
                <w:sz w:val="18"/>
                <w:szCs w:val="18"/>
              </w:rPr>
              <w:t>Dec 2014</w:t>
            </w:r>
          </w:p>
        </w:tc>
        <w:tc>
          <w:tcPr>
            <w:tcW w:w="993" w:type="dxa"/>
            <w:tcBorders>
              <w:bottom w:val="single" w:sz="4" w:space="0" w:color="auto"/>
            </w:tcBorders>
            <w:shd w:val="clear" w:color="auto" w:fill="auto"/>
          </w:tcPr>
          <w:p w:rsidR="00BD2181" w:rsidRPr="00BD2181" w:rsidRDefault="00BD2181" w:rsidP="005D3E74">
            <w:pPr>
              <w:spacing w:before="0" w:after="0"/>
              <w:jc w:val="center"/>
              <w:rPr>
                <w:sz w:val="18"/>
                <w:szCs w:val="18"/>
              </w:rPr>
            </w:pPr>
          </w:p>
        </w:tc>
        <w:tc>
          <w:tcPr>
            <w:tcW w:w="992" w:type="dxa"/>
            <w:tcBorders>
              <w:bottom w:val="single" w:sz="4" w:space="0" w:color="auto"/>
            </w:tcBorders>
          </w:tcPr>
          <w:p w:rsidR="00BD2181" w:rsidRPr="00BD2181" w:rsidRDefault="00BD2181" w:rsidP="005D3E74">
            <w:pPr>
              <w:spacing w:before="0" w:after="0"/>
              <w:jc w:val="center"/>
              <w:rPr>
                <w:sz w:val="18"/>
                <w:szCs w:val="18"/>
              </w:rPr>
            </w:pPr>
            <w:r w:rsidRPr="00BD2181">
              <w:rPr>
                <w:sz w:val="18"/>
                <w:szCs w:val="18"/>
              </w:rPr>
              <w:t>71</w:t>
            </w:r>
          </w:p>
        </w:tc>
        <w:tc>
          <w:tcPr>
            <w:tcW w:w="4819" w:type="dxa"/>
            <w:tcBorders>
              <w:bottom w:val="single" w:sz="4" w:space="0" w:color="auto"/>
            </w:tcBorders>
          </w:tcPr>
          <w:p w:rsidR="00BD2181" w:rsidRPr="00BD2181" w:rsidRDefault="00BD2181" w:rsidP="005D3E74">
            <w:pPr>
              <w:spacing w:before="0" w:after="0"/>
              <w:rPr>
                <w:sz w:val="18"/>
                <w:szCs w:val="18"/>
              </w:rPr>
            </w:pPr>
            <w:r w:rsidRPr="00BD2181">
              <w:rPr>
                <w:sz w:val="18"/>
                <w:szCs w:val="18"/>
              </w:rPr>
              <w:t>Report submission and payment dates agreed with the study team and NIHR</w:t>
            </w:r>
          </w:p>
        </w:tc>
      </w:tr>
      <w:tr w:rsidR="00BD2181" w:rsidRPr="00BD2181" w:rsidTr="005D3E74">
        <w:trPr>
          <w:trHeight w:val="269"/>
        </w:trPr>
        <w:tc>
          <w:tcPr>
            <w:tcW w:w="1101" w:type="dxa"/>
            <w:tcBorders>
              <w:bottom w:val="single" w:sz="4" w:space="0" w:color="auto"/>
            </w:tcBorders>
          </w:tcPr>
          <w:p w:rsidR="00BD2181" w:rsidRPr="00BD2181" w:rsidRDefault="00BD2181" w:rsidP="005D3E74">
            <w:pPr>
              <w:spacing w:before="0" w:after="0"/>
              <w:rPr>
                <w:sz w:val="18"/>
                <w:szCs w:val="18"/>
              </w:rPr>
            </w:pPr>
            <w:r w:rsidRPr="00BD2181">
              <w:rPr>
                <w:sz w:val="18"/>
                <w:szCs w:val="18"/>
              </w:rPr>
              <w:t>ECT</w:t>
            </w:r>
          </w:p>
        </w:tc>
        <w:tc>
          <w:tcPr>
            <w:tcW w:w="1275" w:type="dxa"/>
            <w:tcBorders>
              <w:bottom w:val="single" w:sz="4" w:space="0" w:color="auto"/>
            </w:tcBorders>
          </w:tcPr>
          <w:p w:rsidR="00BD2181" w:rsidRPr="00BD2181" w:rsidRDefault="00BD2181" w:rsidP="005D3E74">
            <w:pPr>
              <w:spacing w:before="0" w:after="0"/>
              <w:rPr>
                <w:sz w:val="18"/>
                <w:szCs w:val="18"/>
              </w:rPr>
            </w:pPr>
          </w:p>
        </w:tc>
        <w:tc>
          <w:tcPr>
            <w:tcW w:w="993" w:type="dxa"/>
            <w:tcBorders>
              <w:bottom w:val="single" w:sz="4" w:space="0" w:color="auto"/>
            </w:tcBorders>
            <w:shd w:val="clear" w:color="auto" w:fill="auto"/>
          </w:tcPr>
          <w:p w:rsidR="00BD2181" w:rsidRPr="00BD2181" w:rsidRDefault="00BD2181" w:rsidP="005D3E74">
            <w:pPr>
              <w:spacing w:before="0" w:after="0"/>
              <w:jc w:val="center"/>
              <w:rPr>
                <w:sz w:val="18"/>
                <w:szCs w:val="18"/>
              </w:rPr>
            </w:pPr>
            <w:r w:rsidRPr="00BD2181">
              <w:rPr>
                <w:sz w:val="18"/>
                <w:szCs w:val="18"/>
              </w:rPr>
              <w:t>20</w:t>
            </w:r>
          </w:p>
        </w:tc>
        <w:tc>
          <w:tcPr>
            <w:tcW w:w="992" w:type="dxa"/>
            <w:tcBorders>
              <w:bottom w:val="single" w:sz="4" w:space="0" w:color="auto"/>
            </w:tcBorders>
          </w:tcPr>
          <w:p w:rsidR="00BD2181" w:rsidRPr="00BD2181" w:rsidRDefault="00BD2181" w:rsidP="005D3E74">
            <w:pPr>
              <w:spacing w:before="0" w:after="0"/>
              <w:jc w:val="center"/>
              <w:rPr>
                <w:sz w:val="18"/>
                <w:szCs w:val="18"/>
              </w:rPr>
            </w:pPr>
          </w:p>
        </w:tc>
        <w:tc>
          <w:tcPr>
            <w:tcW w:w="4819" w:type="dxa"/>
            <w:tcBorders>
              <w:bottom w:val="single" w:sz="4" w:space="0" w:color="auto"/>
            </w:tcBorders>
          </w:tcPr>
          <w:p w:rsidR="00BD2181" w:rsidRPr="00BD2181" w:rsidRDefault="00BD2181" w:rsidP="005D3E74">
            <w:pPr>
              <w:spacing w:before="0" w:after="0"/>
              <w:rPr>
                <w:sz w:val="18"/>
                <w:szCs w:val="18"/>
              </w:rPr>
            </w:pPr>
            <w:r w:rsidRPr="00BD2181">
              <w:rPr>
                <w:sz w:val="18"/>
                <w:szCs w:val="18"/>
              </w:rPr>
              <w:t>Payment received</w:t>
            </w:r>
          </w:p>
        </w:tc>
      </w:tr>
      <w:tr w:rsidR="00BD2181" w:rsidRPr="00BD2181" w:rsidTr="005D3E74">
        <w:trPr>
          <w:trHeight w:val="247"/>
        </w:trPr>
        <w:tc>
          <w:tcPr>
            <w:tcW w:w="1101" w:type="dxa"/>
            <w:tcBorders>
              <w:bottom w:val="single" w:sz="4" w:space="0" w:color="auto"/>
            </w:tcBorders>
          </w:tcPr>
          <w:p w:rsidR="00BD2181" w:rsidRPr="00BD2181" w:rsidRDefault="00BD2181" w:rsidP="005D3E74">
            <w:pPr>
              <w:spacing w:before="0" w:after="0"/>
              <w:rPr>
                <w:sz w:val="18"/>
                <w:szCs w:val="18"/>
              </w:rPr>
            </w:pPr>
            <w:r w:rsidRPr="00BD2181">
              <w:rPr>
                <w:sz w:val="18"/>
                <w:szCs w:val="18"/>
              </w:rPr>
              <w:t>Sleep</w:t>
            </w:r>
          </w:p>
        </w:tc>
        <w:tc>
          <w:tcPr>
            <w:tcW w:w="1275" w:type="dxa"/>
            <w:tcBorders>
              <w:bottom w:val="single" w:sz="4" w:space="0" w:color="auto"/>
            </w:tcBorders>
          </w:tcPr>
          <w:p w:rsidR="00BD2181" w:rsidRPr="00BD2181" w:rsidRDefault="00BD2181" w:rsidP="005D3E74">
            <w:pPr>
              <w:spacing w:before="0" w:after="0"/>
              <w:rPr>
                <w:sz w:val="18"/>
                <w:szCs w:val="18"/>
              </w:rPr>
            </w:pPr>
          </w:p>
        </w:tc>
        <w:tc>
          <w:tcPr>
            <w:tcW w:w="993" w:type="dxa"/>
            <w:tcBorders>
              <w:bottom w:val="single" w:sz="4" w:space="0" w:color="auto"/>
            </w:tcBorders>
            <w:shd w:val="clear" w:color="auto" w:fill="auto"/>
          </w:tcPr>
          <w:p w:rsidR="00BD2181" w:rsidRPr="00BD2181" w:rsidRDefault="00BD2181" w:rsidP="005D3E74">
            <w:pPr>
              <w:spacing w:before="0" w:after="0"/>
              <w:jc w:val="center"/>
              <w:rPr>
                <w:sz w:val="18"/>
                <w:szCs w:val="18"/>
              </w:rPr>
            </w:pPr>
            <w:r w:rsidRPr="00BD2181">
              <w:rPr>
                <w:sz w:val="18"/>
                <w:szCs w:val="18"/>
              </w:rPr>
              <w:t>17</w:t>
            </w:r>
          </w:p>
        </w:tc>
        <w:tc>
          <w:tcPr>
            <w:tcW w:w="992" w:type="dxa"/>
            <w:tcBorders>
              <w:bottom w:val="single" w:sz="4" w:space="0" w:color="auto"/>
            </w:tcBorders>
          </w:tcPr>
          <w:p w:rsidR="00BD2181" w:rsidRPr="00BD2181" w:rsidRDefault="00BD2181" w:rsidP="005D3E74">
            <w:pPr>
              <w:spacing w:before="0" w:after="0"/>
              <w:jc w:val="center"/>
              <w:rPr>
                <w:sz w:val="18"/>
                <w:szCs w:val="18"/>
              </w:rPr>
            </w:pPr>
          </w:p>
        </w:tc>
        <w:tc>
          <w:tcPr>
            <w:tcW w:w="4819" w:type="dxa"/>
            <w:tcBorders>
              <w:bottom w:val="single" w:sz="4" w:space="0" w:color="auto"/>
            </w:tcBorders>
          </w:tcPr>
          <w:p w:rsidR="00BD2181" w:rsidRPr="00BD2181" w:rsidRDefault="00BD2181" w:rsidP="005D3E74">
            <w:pPr>
              <w:spacing w:before="0" w:after="0"/>
              <w:rPr>
                <w:sz w:val="18"/>
                <w:szCs w:val="18"/>
              </w:rPr>
            </w:pPr>
            <w:r w:rsidRPr="00BD2181">
              <w:rPr>
                <w:sz w:val="18"/>
                <w:szCs w:val="18"/>
              </w:rPr>
              <w:t>Payment received</w:t>
            </w:r>
          </w:p>
        </w:tc>
      </w:tr>
      <w:tr w:rsidR="00BD2181" w:rsidRPr="00BD2181" w:rsidTr="005D3E74">
        <w:trPr>
          <w:trHeight w:val="247"/>
        </w:trPr>
        <w:tc>
          <w:tcPr>
            <w:tcW w:w="1101" w:type="dxa"/>
            <w:tcBorders>
              <w:bottom w:val="single" w:sz="4" w:space="0" w:color="auto"/>
            </w:tcBorders>
          </w:tcPr>
          <w:p w:rsidR="00BD2181" w:rsidRPr="00BD2181" w:rsidRDefault="00BD2181" w:rsidP="005D3E74">
            <w:pPr>
              <w:spacing w:before="0" w:after="0"/>
              <w:rPr>
                <w:sz w:val="18"/>
                <w:szCs w:val="18"/>
              </w:rPr>
            </w:pPr>
            <w:proofErr w:type="spellStart"/>
            <w:r w:rsidRPr="00BD2181">
              <w:rPr>
                <w:sz w:val="18"/>
                <w:szCs w:val="18"/>
              </w:rPr>
              <w:t>Wheld</w:t>
            </w:r>
            <w:proofErr w:type="spellEnd"/>
          </w:p>
        </w:tc>
        <w:tc>
          <w:tcPr>
            <w:tcW w:w="1275" w:type="dxa"/>
            <w:tcBorders>
              <w:bottom w:val="single" w:sz="4" w:space="0" w:color="auto"/>
            </w:tcBorders>
          </w:tcPr>
          <w:p w:rsidR="00BD2181" w:rsidRPr="00BD2181" w:rsidRDefault="00BD2181" w:rsidP="005D3E74">
            <w:pPr>
              <w:spacing w:before="0" w:after="0"/>
              <w:rPr>
                <w:sz w:val="18"/>
                <w:szCs w:val="18"/>
              </w:rPr>
            </w:pPr>
          </w:p>
        </w:tc>
        <w:tc>
          <w:tcPr>
            <w:tcW w:w="993" w:type="dxa"/>
            <w:tcBorders>
              <w:bottom w:val="single" w:sz="4" w:space="0" w:color="auto"/>
            </w:tcBorders>
            <w:shd w:val="clear" w:color="auto" w:fill="auto"/>
          </w:tcPr>
          <w:p w:rsidR="00BD2181" w:rsidRPr="00BD2181" w:rsidRDefault="00BD2181" w:rsidP="005D3E74">
            <w:pPr>
              <w:spacing w:before="0" w:after="0"/>
              <w:jc w:val="center"/>
              <w:rPr>
                <w:sz w:val="18"/>
                <w:szCs w:val="18"/>
              </w:rPr>
            </w:pPr>
          </w:p>
        </w:tc>
        <w:tc>
          <w:tcPr>
            <w:tcW w:w="992" w:type="dxa"/>
            <w:tcBorders>
              <w:bottom w:val="single" w:sz="4" w:space="0" w:color="auto"/>
            </w:tcBorders>
          </w:tcPr>
          <w:p w:rsidR="00BD2181" w:rsidRPr="00BD2181" w:rsidRDefault="00BD2181" w:rsidP="005D3E74">
            <w:pPr>
              <w:spacing w:before="0" w:after="0"/>
              <w:jc w:val="center"/>
              <w:rPr>
                <w:sz w:val="18"/>
                <w:szCs w:val="18"/>
              </w:rPr>
            </w:pPr>
            <w:r w:rsidRPr="00BD2181">
              <w:rPr>
                <w:sz w:val="18"/>
                <w:szCs w:val="18"/>
              </w:rPr>
              <w:t>102</w:t>
            </w:r>
          </w:p>
        </w:tc>
        <w:tc>
          <w:tcPr>
            <w:tcW w:w="4819" w:type="dxa"/>
            <w:tcBorders>
              <w:bottom w:val="single" w:sz="4" w:space="0" w:color="auto"/>
            </w:tcBorders>
          </w:tcPr>
          <w:p w:rsidR="00BD2181" w:rsidRPr="00BD2181" w:rsidRDefault="00BD2181" w:rsidP="005D3E74">
            <w:pPr>
              <w:spacing w:before="0" w:after="0"/>
              <w:rPr>
                <w:sz w:val="18"/>
                <w:szCs w:val="18"/>
              </w:rPr>
            </w:pPr>
            <w:r w:rsidRPr="00BD2181">
              <w:rPr>
                <w:sz w:val="18"/>
                <w:szCs w:val="18"/>
              </w:rPr>
              <w:t>Study finishes 31</w:t>
            </w:r>
            <w:r w:rsidRPr="00BD2181">
              <w:rPr>
                <w:sz w:val="18"/>
                <w:szCs w:val="18"/>
                <w:vertAlign w:val="superscript"/>
              </w:rPr>
              <w:t>st</w:t>
            </w:r>
            <w:r w:rsidRPr="00BD2181">
              <w:rPr>
                <w:sz w:val="18"/>
                <w:szCs w:val="18"/>
              </w:rPr>
              <w:t xml:space="preserve"> March 2016</w:t>
            </w:r>
          </w:p>
        </w:tc>
      </w:tr>
      <w:tr w:rsidR="00BD2181" w:rsidRPr="00BD2181" w:rsidTr="005D3E74">
        <w:trPr>
          <w:trHeight w:val="247"/>
        </w:trPr>
        <w:tc>
          <w:tcPr>
            <w:tcW w:w="1101" w:type="dxa"/>
            <w:tcBorders>
              <w:bottom w:val="single" w:sz="4" w:space="0" w:color="auto"/>
            </w:tcBorders>
          </w:tcPr>
          <w:p w:rsidR="00BD2181" w:rsidRPr="00BD2181" w:rsidRDefault="00BD2181" w:rsidP="005D3E74">
            <w:pPr>
              <w:spacing w:before="0" w:after="0"/>
              <w:rPr>
                <w:sz w:val="18"/>
                <w:szCs w:val="18"/>
              </w:rPr>
            </w:pPr>
            <w:r w:rsidRPr="00BD2181">
              <w:rPr>
                <w:sz w:val="18"/>
                <w:szCs w:val="18"/>
              </w:rPr>
              <w:t>Overheads</w:t>
            </w:r>
          </w:p>
        </w:tc>
        <w:tc>
          <w:tcPr>
            <w:tcW w:w="1275" w:type="dxa"/>
            <w:tcBorders>
              <w:bottom w:val="single" w:sz="4" w:space="0" w:color="auto"/>
            </w:tcBorders>
          </w:tcPr>
          <w:p w:rsidR="00BD2181" w:rsidRPr="00BD2181" w:rsidRDefault="00BD2181" w:rsidP="005D3E74">
            <w:pPr>
              <w:spacing w:before="0" w:after="0"/>
              <w:rPr>
                <w:sz w:val="18"/>
                <w:szCs w:val="18"/>
              </w:rPr>
            </w:pPr>
          </w:p>
        </w:tc>
        <w:tc>
          <w:tcPr>
            <w:tcW w:w="993" w:type="dxa"/>
            <w:tcBorders>
              <w:bottom w:val="single" w:sz="4" w:space="0" w:color="auto"/>
            </w:tcBorders>
            <w:shd w:val="clear" w:color="auto" w:fill="auto"/>
          </w:tcPr>
          <w:p w:rsidR="00BD2181" w:rsidRPr="00BD2181" w:rsidRDefault="00BD2181" w:rsidP="005D3E74">
            <w:pPr>
              <w:spacing w:before="0" w:after="0"/>
              <w:jc w:val="center"/>
              <w:rPr>
                <w:sz w:val="18"/>
                <w:szCs w:val="18"/>
              </w:rPr>
            </w:pPr>
            <w:r w:rsidRPr="00BD2181">
              <w:rPr>
                <w:sz w:val="18"/>
                <w:szCs w:val="18"/>
              </w:rPr>
              <w:t>(16)</w:t>
            </w:r>
          </w:p>
        </w:tc>
        <w:tc>
          <w:tcPr>
            <w:tcW w:w="992" w:type="dxa"/>
            <w:tcBorders>
              <w:bottom w:val="single" w:sz="4" w:space="0" w:color="auto"/>
            </w:tcBorders>
          </w:tcPr>
          <w:p w:rsidR="00BD2181" w:rsidRPr="00BD2181" w:rsidRDefault="00BD2181" w:rsidP="005D3E74">
            <w:pPr>
              <w:spacing w:before="0" w:after="0"/>
              <w:jc w:val="center"/>
              <w:rPr>
                <w:sz w:val="18"/>
                <w:szCs w:val="18"/>
              </w:rPr>
            </w:pPr>
            <w:r w:rsidRPr="00BD2181">
              <w:rPr>
                <w:sz w:val="18"/>
                <w:szCs w:val="18"/>
              </w:rPr>
              <w:t>(16)</w:t>
            </w:r>
          </w:p>
        </w:tc>
        <w:tc>
          <w:tcPr>
            <w:tcW w:w="4819" w:type="dxa"/>
            <w:tcBorders>
              <w:bottom w:val="single" w:sz="4" w:space="0" w:color="auto"/>
            </w:tcBorders>
          </w:tcPr>
          <w:p w:rsidR="00BD2181" w:rsidRPr="00BD2181" w:rsidRDefault="00BD2181" w:rsidP="005D3E74">
            <w:pPr>
              <w:spacing w:before="0" w:after="0"/>
              <w:rPr>
                <w:sz w:val="18"/>
                <w:szCs w:val="18"/>
              </w:rPr>
            </w:pPr>
          </w:p>
        </w:tc>
      </w:tr>
      <w:tr w:rsidR="00BD2181" w:rsidRPr="00BD2181" w:rsidTr="005D3E74">
        <w:trPr>
          <w:trHeight w:val="229"/>
        </w:trPr>
        <w:tc>
          <w:tcPr>
            <w:tcW w:w="1101" w:type="dxa"/>
            <w:tcBorders>
              <w:bottom w:val="single" w:sz="4" w:space="0" w:color="auto"/>
            </w:tcBorders>
            <w:shd w:val="pct20" w:color="auto" w:fill="auto"/>
          </w:tcPr>
          <w:p w:rsidR="00BD2181" w:rsidRPr="00BD2181" w:rsidRDefault="00BD2181" w:rsidP="005D3E74">
            <w:pPr>
              <w:spacing w:before="0" w:after="0"/>
              <w:rPr>
                <w:b/>
                <w:sz w:val="20"/>
                <w:szCs w:val="20"/>
              </w:rPr>
            </w:pPr>
            <w:r w:rsidRPr="00BD2181">
              <w:rPr>
                <w:b/>
                <w:sz w:val="20"/>
                <w:szCs w:val="20"/>
              </w:rPr>
              <w:t>Total</w:t>
            </w:r>
          </w:p>
        </w:tc>
        <w:tc>
          <w:tcPr>
            <w:tcW w:w="1275" w:type="dxa"/>
            <w:tcBorders>
              <w:bottom w:val="single" w:sz="4" w:space="0" w:color="auto"/>
            </w:tcBorders>
            <w:shd w:val="pct20" w:color="auto" w:fill="auto"/>
          </w:tcPr>
          <w:p w:rsidR="00BD2181" w:rsidRPr="00BD2181" w:rsidRDefault="00BD2181" w:rsidP="005D3E74">
            <w:pPr>
              <w:spacing w:before="0" w:after="0"/>
              <w:rPr>
                <w:b/>
                <w:sz w:val="20"/>
                <w:szCs w:val="20"/>
              </w:rPr>
            </w:pPr>
            <w:r w:rsidRPr="00BD2181">
              <w:rPr>
                <w:b/>
                <w:sz w:val="20"/>
                <w:szCs w:val="20"/>
              </w:rPr>
              <w:t>Income</w:t>
            </w:r>
          </w:p>
        </w:tc>
        <w:tc>
          <w:tcPr>
            <w:tcW w:w="993" w:type="dxa"/>
            <w:tcBorders>
              <w:bottom w:val="single" w:sz="4" w:space="0" w:color="auto"/>
            </w:tcBorders>
            <w:shd w:val="pct15" w:color="auto" w:fill="auto"/>
          </w:tcPr>
          <w:p w:rsidR="00BD2181" w:rsidRPr="00BD2181" w:rsidRDefault="00BD2181" w:rsidP="005D3E74">
            <w:pPr>
              <w:spacing w:before="0" w:after="0"/>
              <w:jc w:val="center"/>
              <w:rPr>
                <w:b/>
                <w:sz w:val="20"/>
                <w:szCs w:val="20"/>
              </w:rPr>
            </w:pPr>
            <w:r w:rsidRPr="00BD2181">
              <w:rPr>
                <w:b/>
                <w:sz w:val="20"/>
                <w:szCs w:val="20"/>
              </w:rPr>
              <w:t>132</w:t>
            </w:r>
          </w:p>
        </w:tc>
        <w:tc>
          <w:tcPr>
            <w:tcW w:w="992" w:type="dxa"/>
            <w:tcBorders>
              <w:bottom w:val="single" w:sz="4" w:space="0" w:color="auto"/>
            </w:tcBorders>
            <w:shd w:val="pct20" w:color="auto" w:fill="auto"/>
          </w:tcPr>
          <w:p w:rsidR="00BD2181" w:rsidRPr="00BD2181" w:rsidRDefault="00BD2181" w:rsidP="005D3E74">
            <w:pPr>
              <w:spacing w:before="0" w:after="0"/>
              <w:jc w:val="center"/>
              <w:rPr>
                <w:b/>
                <w:sz w:val="20"/>
                <w:szCs w:val="20"/>
              </w:rPr>
            </w:pPr>
            <w:r w:rsidRPr="00BD2181">
              <w:rPr>
                <w:b/>
                <w:sz w:val="20"/>
                <w:szCs w:val="20"/>
              </w:rPr>
              <w:t>158</w:t>
            </w:r>
          </w:p>
        </w:tc>
        <w:tc>
          <w:tcPr>
            <w:tcW w:w="4819" w:type="dxa"/>
            <w:tcBorders>
              <w:bottom w:val="single" w:sz="4" w:space="0" w:color="auto"/>
            </w:tcBorders>
            <w:shd w:val="pct20" w:color="auto" w:fill="auto"/>
          </w:tcPr>
          <w:p w:rsidR="00BD2181" w:rsidRPr="00BD2181" w:rsidRDefault="00BD2181" w:rsidP="005D3E74">
            <w:pPr>
              <w:spacing w:before="0" w:after="0"/>
              <w:jc w:val="center"/>
              <w:rPr>
                <w:b/>
                <w:sz w:val="20"/>
                <w:szCs w:val="20"/>
              </w:rPr>
            </w:pPr>
          </w:p>
        </w:tc>
      </w:tr>
      <w:tr w:rsidR="00BD2181" w:rsidRPr="00BD2181" w:rsidTr="005D3E74">
        <w:trPr>
          <w:trHeight w:val="229"/>
        </w:trPr>
        <w:tc>
          <w:tcPr>
            <w:tcW w:w="1101" w:type="dxa"/>
            <w:shd w:val="clear" w:color="auto" w:fill="FFFFFF" w:themeFill="background1"/>
          </w:tcPr>
          <w:p w:rsidR="00BD2181" w:rsidRPr="00BD2181" w:rsidRDefault="00BD2181" w:rsidP="005D3E74">
            <w:pPr>
              <w:spacing w:before="0" w:after="0"/>
              <w:rPr>
                <w:sz w:val="18"/>
                <w:szCs w:val="18"/>
              </w:rPr>
            </w:pPr>
            <w:r w:rsidRPr="00BD2181">
              <w:rPr>
                <w:sz w:val="18"/>
                <w:szCs w:val="18"/>
              </w:rPr>
              <w:t xml:space="preserve">BRC </w:t>
            </w:r>
          </w:p>
        </w:tc>
        <w:tc>
          <w:tcPr>
            <w:tcW w:w="1275" w:type="dxa"/>
            <w:shd w:val="clear" w:color="auto" w:fill="FFFFFF" w:themeFill="background1"/>
          </w:tcPr>
          <w:p w:rsidR="00BD2181" w:rsidRPr="00BD2181" w:rsidRDefault="00BD2181" w:rsidP="005D3E74">
            <w:pPr>
              <w:spacing w:before="0" w:after="0"/>
              <w:rPr>
                <w:sz w:val="18"/>
                <w:szCs w:val="18"/>
              </w:rPr>
            </w:pPr>
            <w:r w:rsidRPr="00BD2181">
              <w:rPr>
                <w:sz w:val="18"/>
                <w:szCs w:val="18"/>
              </w:rPr>
              <w:t>Expenditure</w:t>
            </w:r>
          </w:p>
        </w:tc>
        <w:tc>
          <w:tcPr>
            <w:tcW w:w="993" w:type="dxa"/>
            <w:shd w:val="clear" w:color="auto" w:fill="FFFFFF" w:themeFill="background1"/>
          </w:tcPr>
          <w:p w:rsidR="00BD2181" w:rsidRPr="00BD2181" w:rsidRDefault="00BD2181" w:rsidP="005D3E74">
            <w:pPr>
              <w:spacing w:before="0" w:after="0"/>
              <w:jc w:val="center"/>
              <w:rPr>
                <w:sz w:val="18"/>
                <w:szCs w:val="18"/>
              </w:rPr>
            </w:pPr>
            <w:r w:rsidRPr="00BD2181">
              <w:rPr>
                <w:sz w:val="18"/>
                <w:szCs w:val="18"/>
              </w:rPr>
              <w:t>(24)</w:t>
            </w:r>
          </w:p>
        </w:tc>
        <w:tc>
          <w:tcPr>
            <w:tcW w:w="992" w:type="dxa"/>
            <w:shd w:val="clear" w:color="auto" w:fill="FFFFFF" w:themeFill="background1"/>
          </w:tcPr>
          <w:p w:rsidR="00BD2181" w:rsidRPr="00BD2181" w:rsidRDefault="00BD2181" w:rsidP="005D3E74">
            <w:pPr>
              <w:spacing w:before="0" w:after="0"/>
              <w:jc w:val="center"/>
              <w:rPr>
                <w:sz w:val="20"/>
                <w:szCs w:val="20"/>
              </w:rPr>
            </w:pPr>
            <w:r w:rsidRPr="00BD2181">
              <w:rPr>
                <w:sz w:val="20"/>
                <w:szCs w:val="20"/>
              </w:rPr>
              <w:t>(16)</w:t>
            </w:r>
          </w:p>
        </w:tc>
        <w:tc>
          <w:tcPr>
            <w:tcW w:w="4819" w:type="dxa"/>
            <w:shd w:val="clear" w:color="auto" w:fill="FFFFFF" w:themeFill="background1"/>
          </w:tcPr>
          <w:p w:rsidR="00BD2181" w:rsidRPr="00BD2181" w:rsidRDefault="00BD2181" w:rsidP="005D3E74">
            <w:pPr>
              <w:spacing w:before="0" w:after="0"/>
              <w:jc w:val="center"/>
              <w:rPr>
                <w:b/>
                <w:sz w:val="20"/>
                <w:szCs w:val="20"/>
              </w:rPr>
            </w:pPr>
          </w:p>
        </w:tc>
      </w:tr>
      <w:tr w:rsidR="00BD2181" w:rsidRPr="00BD2181" w:rsidTr="005D3E74">
        <w:trPr>
          <w:trHeight w:val="229"/>
        </w:trPr>
        <w:tc>
          <w:tcPr>
            <w:tcW w:w="1101" w:type="dxa"/>
            <w:tcBorders>
              <w:bottom w:val="single" w:sz="4" w:space="0" w:color="auto"/>
            </w:tcBorders>
            <w:shd w:val="pct20" w:color="auto" w:fill="auto"/>
          </w:tcPr>
          <w:p w:rsidR="00BD2181" w:rsidRPr="00BD2181" w:rsidRDefault="00BD2181" w:rsidP="005D3E74">
            <w:pPr>
              <w:spacing w:before="0" w:after="0"/>
              <w:rPr>
                <w:b/>
                <w:sz w:val="20"/>
                <w:szCs w:val="20"/>
              </w:rPr>
            </w:pPr>
            <w:r w:rsidRPr="00BD2181">
              <w:rPr>
                <w:b/>
                <w:sz w:val="20"/>
                <w:szCs w:val="20"/>
              </w:rPr>
              <w:t>Net</w:t>
            </w:r>
          </w:p>
        </w:tc>
        <w:tc>
          <w:tcPr>
            <w:tcW w:w="1275" w:type="dxa"/>
            <w:tcBorders>
              <w:bottom w:val="single" w:sz="4" w:space="0" w:color="auto"/>
            </w:tcBorders>
            <w:shd w:val="pct20" w:color="auto" w:fill="auto"/>
          </w:tcPr>
          <w:p w:rsidR="00BD2181" w:rsidRPr="00BD2181" w:rsidRDefault="00BD2181" w:rsidP="005D3E74">
            <w:pPr>
              <w:spacing w:before="0" w:after="0"/>
              <w:rPr>
                <w:b/>
                <w:sz w:val="20"/>
                <w:szCs w:val="20"/>
              </w:rPr>
            </w:pPr>
          </w:p>
        </w:tc>
        <w:tc>
          <w:tcPr>
            <w:tcW w:w="993" w:type="dxa"/>
            <w:tcBorders>
              <w:bottom w:val="single" w:sz="4" w:space="0" w:color="auto"/>
            </w:tcBorders>
            <w:shd w:val="pct15" w:color="auto" w:fill="auto"/>
          </w:tcPr>
          <w:p w:rsidR="00BD2181" w:rsidRPr="00BD2181" w:rsidRDefault="00BD2181" w:rsidP="005D3E74">
            <w:pPr>
              <w:spacing w:before="0" w:after="0"/>
              <w:jc w:val="center"/>
              <w:rPr>
                <w:b/>
                <w:sz w:val="20"/>
                <w:szCs w:val="20"/>
              </w:rPr>
            </w:pPr>
            <w:r w:rsidRPr="00BD2181">
              <w:rPr>
                <w:b/>
                <w:sz w:val="20"/>
                <w:szCs w:val="20"/>
              </w:rPr>
              <w:t>108</w:t>
            </w:r>
          </w:p>
        </w:tc>
        <w:tc>
          <w:tcPr>
            <w:tcW w:w="992" w:type="dxa"/>
            <w:tcBorders>
              <w:bottom w:val="single" w:sz="4" w:space="0" w:color="auto"/>
            </w:tcBorders>
            <w:shd w:val="pct20" w:color="auto" w:fill="auto"/>
          </w:tcPr>
          <w:p w:rsidR="00BD2181" w:rsidRPr="00BD2181" w:rsidRDefault="00BD2181" w:rsidP="005D3E74">
            <w:pPr>
              <w:spacing w:before="0" w:after="0"/>
              <w:jc w:val="center"/>
              <w:rPr>
                <w:b/>
                <w:sz w:val="20"/>
                <w:szCs w:val="20"/>
              </w:rPr>
            </w:pPr>
            <w:r w:rsidRPr="00BD2181">
              <w:rPr>
                <w:b/>
                <w:sz w:val="20"/>
                <w:szCs w:val="20"/>
              </w:rPr>
              <w:t>158</w:t>
            </w:r>
          </w:p>
        </w:tc>
        <w:tc>
          <w:tcPr>
            <w:tcW w:w="4819" w:type="dxa"/>
            <w:tcBorders>
              <w:bottom w:val="single" w:sz="4" w:space="0" w:color="auto"/>
            </w:tcBorders>
            <w:shd w:val="pct20" w:color="auto" w:fill="auto"/>
          </w:tcPr>
          <w:p w:rsidR="00BD2181" w:rsidRPr="00BD2181" w:rsidRDefault="00BD2181" w:rsidP="005D3E74">
            <w:pPr>
              <w:spacing w:before="0" w:after="0"/>
              <w:jc w:val="center"/>
              <w:rPr>
                <w:b/>
                <w:sz w:val="20"/>
                <w:szCs w:val="20"/>
              </w:rPr>
            </w:pPr>
          </w:p>
        </w:tc>
      </w:tr>
    </w:tbl>
    <w:p w:rsidR="00BD2181" w:rsidRPr="00BD2181" w:rsidRDefault="00BD2181" w:rsidP="00BD2181">
      <w:pPr>
        <w:pStyle w:val="Heading2"/>
        <w:rPr>
          <w:i w:val="0"/>
        </w:rPr>
      </w:pPr>
      <w:bookmarkStart w:id="47" w:name="_Toc441061230"/>
      <w:r w:rsidRPr="00BD2181">
        <w:rPr>
          <w:i w:val="0"/>
        </w:rPr>
        <w:t>Collaboration in Leadership in Applied Health Research and Care (CLAHRC)</w:t>
      </w:r>
      <w:bookmarkEnd w:id="47"/>
    </w:p>
    <w:p w:rsidR="00BD2181" w:rsidRPr="00BD2181" w:rsidRDefault="00BD2181" w:rsidP="00BD2181">
      <w:r w:rsidRPr="00BD2181">
        <w:t xml:space="preserve">In January 2014 the Trust began receiving funding from the NIHR in relation to the CLAHRC which is led by Professor Richard Hobbs from the University of Oxford, Department of Primary Care. </w:t>
      </w:r>
    </w:p>
    <w:p w:rsidR="00BD2181" w:rsidRPr="00BD2181" w:rsidRDefault="00BD2181" w:rsidP="00BD2181">
      <w:pPr>
        <w:pStyle w:val="Heading3"/>
      </w:pPr>
      <w:bookmarkStart w:id="48" w:name="_Toc441061231"/>
      <w:r w:rsidRPr="00BD2181">
        <w:lastRenderedPageBreak/>
        <w:t>CLAHRC Budgets</w:t>
      </w:r>
      <w:bookmarkEnd w:id="48"/>
    </w:p>
    <w:p w:rsidR="00BD2181" w:rsidRPr="00BD2181" w:rsidRDefault="00BD2181" w:rsidP="00BD2181">
      <w:r w:rsidRPr="00BD2181">
        <w:t xml:space="preserve">Budgets have been approved and released to the Theme Leads for the first 2 ¼ years ending March 2016. It is planned that there will be a mid-term review by the Executive and Management Board before budgets are released for the final 2 ¾ years. </w:t>
      </w:r>
    </w:p>
    <w:p w:rsidR="00BD2181" w:rsidRPr="00BD2181" w:rsidRDefault="00BD2181" w:rsidP="00BD2181">
      <w:pPr>
        <w:pStyle w:val="Heading3"/>
      </w:pPr>
      <w:bookmarkStart w:id="49" w:name="_Toc441061232"/>
      <w:r w:rsidRPr="00BD2181">
        <w:t>Performance</w:t>
      </w:r>
      <w:bookmarkEnd w:id="49"/>
    </w:p>
    <w:p w:rsidR="00BD2181" w:rsidRPr="00BD2181" w:rsidRDefault="00BD2181" w:rsidP="00BD2181">
      <w:pPr>
        <w:spacing w:after="0"/>
      </w:pPr>
      <w:r w:rsidRPr="00BD2181">
        <w:t xml:space="preserve">The actual and budgeted expenditure is shown in the table below (£k). </w:t>
      </w:r>
    </w:p>
    <w:p w:rsidR="00BD2181" w:rsidRPr="00BD2181" w:rsidRDefault="00BD2181" w:rsidP="00BD2181">
      <w:pPr>
        <w:spacing w:after="0"/>
      </w:pPr>
    </w:p>
    <w:tbl>
      <w:tblPr>
        <w:tblStyle w:val="TableGrid"/>
        <w:tblW w:w="9792" w:type="dxa"/>
        <w:tblLayout w:type="fixed"/>
        <w:tblLook w:val="04A0" w:firstRow="1" w:lastRow="0" w:firstColumn="1" w:lastColumn="0" w:noHBand="0" w:noVBand="1"/>
      </w:tblPr>
      <w:tblGrid>
        <w:gridCol w:w="3144"/>
        <w:gridCol w:w="955"/>
        <w:gridCol w:w="954"/>
        <w:gridCol w:w="1114"/>
        <w:gridCol w:w="954"/>
        <w:gridCol w:w="955"/>
        <w:gridCol w:w="158"/>
        <w:gridCol w:w="796"/>
        <w:gridCol w:w="762"/>
      </w:tblGrid>
      <w:tr w:rsidR="00BD2181" w:rsidRPr="00BD2181" w:rsidTr="005D3E74">
        <w:trPr>
          <w:trHeight w:val="766"/>
        </w:trPr>
        <w:tc>
          <w:tcPr>
            <w:tcW w:w="3144" w:type="dxa"/>
            <w:shd w:val="clear" w:color="auto" w:fill="8DB3E2" w:themeFill="text2" w:themeFillTint="66"/>
            <w:noWrap/>
            <w:hideMark/>
          </w:tcPr>
          <w:p w:rsidR="00BD2181" w:rsidRPr="00BD2181" w:rsidRDefault="00BD2181" w:rsidP="005D3E74">
            <w:pPr>
              <w:spacing w:before="0" w:after="0"/>
              <w:rPr>
                <w:b/>
                <w:bCs/>
                <w:sz w:val="16"/>
                <w:szCs w:val="16"/>
              </w:rPr>
            </w:pPr>
            <w:r w:rsidRPr="00BD2181">
              <w:rPr>
                <w:b/>
                <w:bCs/>
                <w:sz w:val="16"/>
                <w:szCs w:val="16"/>
              </w:rPr>
              <w:t>Theme</w:t>
            </w:r>
          </w:p>
        </w:tc>
        <w:tc>
          <w:tcPr>
            <w:tcW w:w="955" w:type="dxa"/>
            <w:shd w:val="clear" w:color="auto" w:fill="8DB3E2" w:themeFill="text2" w:themeFillTint="66"/>
          </w:tcPr>
          <w:p w:rsidR="00BD2181" w:rsidRPr="00BD2181" w:rsidRDefault="00BD2181" w:rsidP="005D3E74">
            <w:pPr>
              <w:spacing w:before="0" w:after="0"/>
              <w:jc w:val="center"/>
              <w:rPr>
                <w:b/>
                <w:bCs/>
                <w:iCs/>
                <w:sz w:val="16"/>
                <w:szCs w:val="16"/>
              </w:rPr>
            </w:pPr>
            <w:r w:rsidRPr="00BD2181">
              <w:rPr>
                <w:b/>
                <w:bCs/>
                <w:iCs/>
                <w:sz w:val="16"/>
                <w:szCs w:val="16"/>
              </w:rPr>
              <w:t>2014/15 Actual</w:t>
            </w:r>
          </w:p>
        </w:tc>
        <w:tc>
          <w:tcPr>
            <w:tcW w:w="954" w:type="dxa"/>
            <w:shd w:val="clear" w:color="auto" w:fill="8DB3E2" w:themeFill="text2" w:themeFillTint="66"/>
          </w:tcPr>
          <w:p w:rsidR="00BD2181" w:rsidRPr="00BD2181" w:rsidRDefault="00BD2181" w:rsidP="005D3E74">
            <w:pPr>
              <w:spacing w:before="0" w:after="0"/>
              <w:jc w:val="center"/>
              <w:rPr>
                <w:b/>
                <w:bCs/>
                <w:iCs/>
                <w:sz w:val="16"/>
                <w:szCs w:val="16"/>
              </w:rPr>
            </w:pPr>
            <w:r w:rsidRPr="00BD2181">
              <w:rPr>
                <w:b/>
                <w:bCs/>
                <w:iCs/>
                <w:sz w:val="16"/>
                <w:szCs w:val="16"/>
              </w:rPr>
              <w:t>2014/15 Actual</w:t>
            </w:r>
          </w:p>
        </w:tc>
        <w:tc>
          <w:tcPr>
            <w:tcW w:w="1114" w:type="dxa"/>
            <w:shd w:val="clear" w:color="auto" w:fill="8DB3E2" w:themeFill="text2" w:themeFillTint="66"/>
            <w:hideMark/>
          </w:tcPr>
          <w:p w:rsidR="00BD2181" w:rsidRPr="00BD2181" w:rsidRDefault="00BD2181" w:rsidP="005D3E74">
            <w:pPr>
              <w:spacing w:before="0" w:after="0"/>
              <w:jc w:val="center"/>
              <w:rPr>
                <w:b/>
                <w:bCs/>
                <w:iCs/>
                <w:sz w:val="16"/>
                <w:szCs w:val="16"/>
              </w:rPr>
            </w:pPr>
            <w:r w:rsidRPr="00BD2181">
              <w:rPr>
                <w:b/>
                <w:bCs/>
                <w:iCs/>
                <w:sz w:val="16"/>
                <w:szCs w:val="16"/>
              </w:rPr>
              <w:t>2015/16 Forecast</w:t>
            </w:r>
          </w:p>
        </w:tc>
        <w:tc>
          <w:tcPr>
            <w:tcW w:w="954" w:type="dxa"/>
            <w:shd w:val="clear" w:color="auto" w:fill="8DB3E2" w:themeFill="text2" w:themeFillTint="66"/>
            <w:hideMark/>
          </w:tcPr>
          <w:p w:rsidR="00BD2181" w:rsidRPr="00BD2181" w:rsidRDefault="00BD2181" w:rsidP="005D3E74">
            <w:pPr>
              <w:spacing w:before="0" w:after="0"/>
              <w:jc w:val="center"/>
              <w:rPr>
                <w:b/>
                <w:bCs/>
                <w:iCs/>
                <w:sz w:val="16"/>
                <w:szCs w:val="16"/>
              </w:rPr>
            </w:pPr>
            <w:r w:rsidRPr="00BD2181">
              <w:rPr>
                <w:b/>
                <w:bCs/>
                <w:iCs/>
                <w:sz w:val="16"/>
                <w:szCs w:val="16"/>
              </w:rPr>
              <w:t>2016/17 Budget</w:t>
            </w:r>
          </w:p>
        </w:tc>
        <w:tc>
          <w:tcPr>
            <w:tcW w:w="955" w:type="dxa"/>
            <w:shd w:val="clear" w:color="auto" w:fill="8DB3E2" w:themeFill="text2" w:themeFillTint="66"/>
            <w:hideMark/>
          </w:tcPr>
          <w:p w:rsidR="00BD2181" w:rsidRPr="00BD2181" w:rsidRDefault="00BD2181" w:rsidP="005D3E74">
            <w:pPr>
              <w:spacing w:before="0" w:after="0"/>
              <w:jc w:val="center"/>
              <w:rPr>
                <w:b/>
                <w:bCs/>
                <w:iCs/>
                <w:sz w:val="16"/>
                <w:szCs w:val="16"/>
              </w:rPr>
            </w:pPr>
            <w:r w:rsidRPr="00BD2181">
              <w:rPr>
                <w:b/>
                <w:bCs/>
                <w:iCs/>
                <w:sz w:val="16"/>
                <w:szCs w:val="16"/>
              </w:rPr>
              <w:t>2017/18 Budget</w:t>
            </w:r>
          </w:p>
        </w:tc>
        <w:tc>
          <w:tcPr>
            <w:tcW w:w="954" w:type="dxa"/>
            <w:gridSpan w:val="2"/>
            <w:shd w:val="clear" w:color="auto" w:fill="8DB3E2" w:themeFill="text2" w:themeFillTint="66"/>
            <w:hideMark/>
          </w:tcPr>
          <w:p w:rsidR="00BD2181" w:rsidRPr="00BD2181" w:rsidRDefault="00BD2181" w:rsidP="005D3E74">
            <w:pPr>
              <w:spacing w:before="0" w:after="0"/>
              <w:jc w:val="center"/>
              <w:rPr>
                <w:b/>
                <w:bCs/>
                <w:iCs/>
                <w:sz w:val="16"/>
                <w:szCs w:val="16"/>
              </w:rPr>
            </w:pPr>
            <w:r w:rsidRPr="00BD2181">
              <w:rPr>
                <w:b/>
                <w:bCs/>
                <w:iCs/>
                <w:sz w:val="16"/>
                <w:szCs w:val="16"/>
              </w:rPr>
              <w:t>2018/19 Budget</w:t>
            </w:r>
          </w:p>
        </w:tc>
        <w:tc>
          <w:tcPr>
            <w:tcW w:w="762" w:type="dxa"/>
            <w:shd w:val="clear" w:color="auto" w:fill="8DB3E2" w:themeFill="text2" w:themeFillTint="66"/>
            <w:hideMark/>
          </w:tcPr>
          <w:p w:rsidR="00BD2181" w:rsidRPr="00BD2181" w:rsidRDefault="00BD2181" w:rsidP="005D3E74">
            <w:pPr>
              <w:spacing w:before="0" w:after="0"/>
              <w:jc w:val="center"/>
              <w:rPr>
                <w:b/>
                <w:bCs/>
                <w:iCs/>
                <w:sz w:val="16"/>
                <w:szCs w:val="16"/>
              </w:rPr>
            </w:pPr>
            <w:r w:rsidRPr="00BD2181">
              <w:rPr>
                <w:b/>
                <w:bCs/>
                <w:iCs/>
                <w:sz w:val="16"/>
                <w:szCs w:val="16"/>
              </w:rPr>
              <w:t>Total</w:t>
            </w:r>
          </w:p>
        </w:tc>
      </w:tr>
      <w:tr w:rsidR="00BD2181" w:rsidRPr="00BD2181" w:rsidTr="005D3E74">
        <w:trPr>
          <w:trHeight w:val="474"/>
        </w:trPr>
        <w:tc>
          <w:tcPr>
            <w:tcW w:w="3144" w:type="dxa"/>
            <w:noWrap/>
            <w:hideMark/>
          </w:tcPr>
          <w:p w:rsidR="00BD2181" w:rsidRPr="00BD2181" w:rsidRDefault="00BD2181" w:rsidP="005D3E74">
            <w:pPr>
              <w:spacing w:before="0" w:after="0"/>
              <w:rPr>
                <w:sz w:val="16"/>
                <w:szCs w:val="16"/>
              </w:rPr>
            </w:pPr>
            <w:r w:rsidRPr="00BD2181">
              <w:rPr>
                <w:sz w:val="16"/>
                <w:szCs w:val="16"/>
              </w:rPr>
              <w:t>Better Management of Psychiatric comorbidities (Lead Mike Sharpe)</w:t>
            </w:r>
          </w:p>
        </w:tc>
        <w:tc>
          <w:tcPr>
            <w:tcW w:w="955" w:type="dxa"/>
          </w:tcPr>
          <w:p w:rsidR="00BD2181" w:rsidRPr="00BD2181" w:rsidRDefault="00BD2181" w:rsidP="005D3E74">
            <w:pPr>
              <w:spacing w:before="0" w:after="0"/>
              <w:jc w:val="center"/>
              <w:rPr>
                <w:sz w:val="16"/>
                <w:szCs w:val="16"/>
              </w:rPr>
            </w:pPr>
            <w:r w:rsidRPr="00BD2181">
              <w:rPr>
                <w:sz w:val="16"/>
                <w:szCs w:val="16"/>
              </w:rPr>
              <w:t>185</w:t>
            </w:r>
          </w:p>
        </w:tc>
        <w:tc>
          <w:tcPr>
            <w:tcW w:w="954" w:type="dxa"/>
            <w:shd w:val="pct12" w:color="auto" w:fill="auto"/>
          </w:tcPr>
          <w:p w:rsidR="00BD2181" w:rsidRPr="00BD2181" w:rsidRDefault="00BD2181" w:rsidP="005D3E74">
            <w:pPr>
              <w:spacing w:before="0" w:after="0"/>
              <w:jc w:val="center"/>
              <w:rPr>
                <w:sz w:val="16"/>
                <w:szCs w:val="16"/>
              </w:rPr>
            </w:pPr>
            <w:r w:rsidRPr="00BD2181">
              <w:rPr>
                <w:sz w:val="16"/>
                <w:szCs w:val="16"/>
              </w:rPr>
              <w:t>161</w:t>
            </w:r>
          </w:p>
        </w:tc>
        <w:tc>
          <w:tcPr>
            <w:tcW w:w="1114" w:type="dxa"/>
            <w:shd w:val="pct12" w:color="auto" w:fill="auto"/>
            <w:noWrap/>
            <w:hideMark/>
          </w:tcPr>
          <w:p w:rsidR="00BD2181" w:rsidRPr="00BD2181" w:rsidRDefault="00BD2181" w:rsidP="005D3E74">
            <w:pPr>
              <w:spacing w:before="0" w:after="0"/>
              <w:jc w:val="center"/>
              <w:rPr>
                <w:sz w:val="16"/>
                <w:szCs w:val="16"/>
              </w:rPr>
            </w:pPr>
            <w:r w:rsidRPr="00BD2181">
              <w:rPr>
                <w:sz w:val="16"/>
                <w:szCs w:val="16"/>
              </w:rPr>
              <w:t>370</w:t>
            </w:r>
          </w:p>
        </w:tc>
        <w:tc>
          <w:tcPr>
            <w:tcW w:w="2863" w:type="dxa"/>
            <w:gridSpan w:val="4"/>
            <w:vMerge w:val="restart"/>
            <w:shd w:val="pct12" w:color="auto" w:fill="auto"/>
            <w:noWrap/>
            <w:vAlign w:val="center"/>
          </w:tcPr>
          <w:p w:rsidR="00BD2181" w:rsidRPr="00BD2181" w:rsidRDefault="00BD2181" w:rsidP="005D3E74">
            <w:pPr>
              <w:spacing w:before="0" w:after="0"/>
              <w:jc w:val="center"/>
              <w:rPr>
                <w:sz w:val="16"/>
                <w:szCs w:val="16"/>
              </w:rPr>
            </w:pPr>
          </w:p>
          <w:p w:rsidR="00BD2181" w:rsidRPr="00BD2181" w:rsidRDefault="00BD2181" w:rsidP="005D3E74">
            <w:pPr>
              <w:spacing w:before="0" w:after="0"/>
              <w:jc w:val="center"/>
              <w:rPr>
                <w:sz w:val="16"/>
                <w:szCs w:val="16"/>
              </w:rPr>
            </w:pPr>
            <w:r w:rsidRPr="00BD2181">
              <w:rPr>
                <w:sz w:val="16"/>
                <w:szCs w:val="16"/>
              </w:rPr>
              <w:t>Allocation subject to mid-term review process</w:t>
            </w:r>
          </w:p>
        </w:tc>
        <w:tc>
          <w:tcPr>
            <w:tcW w:w="762" w:type="dxa"/>
            <w:shd w:val="pct12" w:color="auto" w:fill="auto"/>
            <w:noWrap/>
          </w:tcPr>
          <w:p w:rsidR="00BD2181" w:rsidRPr="00BD2181" w:rsidRDefault="00BD2181" w:rsidP="005D3E74">
            <w:pPr>
              <w:spacing w:before="0" w:after="0"/>
              <w:jc w:val="center"/>
              <w:rPr>
                <w:sz w:val="16"/>
                <w:szCs w:val="16"/>
              </w:rPr>
            </w:pPr>
          </w:p>
        </w:tc>
      </w:tr>
      <w:tr w:rsidR="00BD2181" w:rsidRPr="00BD2181" w:rsidTr="005D3E74">
        <w:trPr>
          <w:trHeight w:val="484"/>
        </w:trPr>
        <w:tc>
          <w:tcPr>
            <w:tcW w:w="3144" w:type="dxa"/>
            <w:noWrap/>
            <w:hideMark/>
          </w:tcPr>
          <w:p w:rsidR="00BD2181" w:rsidRPr="00BD2181" w:rsidRDefault="00BD2181" w:rsidP="005D3E74">
            <w:pPr>
              <w:spacing w:before="0" w:after="0"/>
              <w:rPr>
                <w:sz w:val="16"/>
                <w:szCs w:val="16"/>
              </w:rPr>
            </w:pPr>
            <w:r w:rsidRPr="00BD2181">
              <w:rPr>
                <w:sz w:val="16"/>
                <w:szCs w:val="16"/>
              </w:rPr>
              <w:t>Health Behavior and Behavioral Interventions (Lead Sarah Lamb)</w:t>
            </w:r>
          </w:p>
        </w:tc>
        <w:tc>
          <w:tcPr>
            <w:tcW w:w="955" w:type="dxa"/>
          </w:tcPr>
          <w:p w:rsidR="00BD2181" w:rsidRPr="00BD2181" w:rsidRDefault="00BD2181" w:rsidP="005D3E74">
            <w:pPr>
              <w:spacing w:before="0" w:after="0"/>
              <w:jc w:val="center"/>
              <w:rPr>
                <w:sz w:val="16"/>
                <w:szCs w:val="16"/>
              </w:rPr>
            </w:pPr>
            <w:r w:rsidRPr="00BD2181">
              <w:rPr>
                <w:sz w:val="16"/>
                <w:szCs w:val="16"/>
              </w:rPr>
              <w:t>180</w:t>
            </w:r>
          </w:p>
        </w:tc>
        <w:tc>
          <w:tcPr>
            <w:tcW w:w="954" w:type="dxa"/>
            <w:shd w:val="pct12" w:color="auto" w:fill="auto"/>
          </w:tcPr>
          <w:p w:rsidR="00BD2181" w:rsidRPr="00BD2181" w:rsidRDefault="00BD2181" w:rsidP="005D3E74">
            <w:pPr>
              <w:spacing w:before="0" w:after="0"/>
              <w:jc w:val="center"/>
              <w:rPr>
                <w:sz w:val="16"/>
                <w:szCs w:val="16"/>
              </w:rPr>
            </w:pPr>
            <w:r w:rsidRPr="00BD2181">
              <w:rPr>
                <w:sz w:val="16"/>
                <w:szCs w:val="16"/>
              </w:rPr>
              <w:t>168</w:t>
            </w:r>
          </w:p>
        </w:tc>
        <w:tc>
          <w:tcPr>
            <w:tcW w:w="1114" w:type="dxa"/>
            <w:shd w:val="pct12" w:color="auto" w:fill="auto"/>
            <w:noWrap/>
            <w:hideMark/>
          </w:tcPr>
          <w:p w:rsidR="00BD2181" w:rsidRPr="00BD2181" w:rsidRDefault="00BD2181" w:rsidP="005D3E74">
            <w:pPr>
              <w:spacing w:before="0" w:after="0"/>
              <w:jc w:val="center"/>
              <w:rPr>
                <w:sz w:val="16"/>
                <w:szCs w:val="16"/>
              </w:rPr>
            </w:pPr>
            <w:r w:rsidRPr="00BD2181">
              <w:rPr>
                <w:sz w:val="16"/>
                <w:szCs w:val="16"/>
              </w:rPr>
              <w:t>336</w:t>
            </w:r>
          </w:p>
        </w:tc>
        <w:tc>
          <w:tcPr>
            <w:tcW w:w="2863" w:type="dxa"/>
            <w:gridSpan w:val="4"/>
            <w:vMerge/>
            <w:shd w:val="pct12" w:color="auto" w:fill="auto"/>
            <w:noWrap/>
          </w:tcPr>
          <w:p w:rsidR="00BD2181" w:rsidRPr="00BD2181" w:rsidRDefault="00BD2181" w:rsidP="005D3E74">
            <w:pPr>
              <w:spacing w:before="0" w:after="0"/>
              <w:jc w:val="center"/>
              <w:rPr>
                <w:sz w:val="16"/>
                <w:szCs w:val="16"/>
              </w:rPr>
            </w:pPr>
          </w:p>
        </w:tc>
        <w:tc>
          <w:tcPr>
            <w:tcW w:w="762" w:type="dxa"/>
            <w:shd w:val="pct12" w:color="auto" w:fill="auto"/>
            <w:noWrap/>
          </w:tcPr>
          <w:p w:rsidR="00BD2181" w:rsidRPr="00BD2181" w:rsidRDefault="00BD2181" w:rsidP="005D3E74">
            <w:pPr>
              <w:spacing w:before="0" w:after="0"/>
              <w:jc w:val="center"/>
              <w:rPr>
                <w:sz w:val="16"/>
                <w:szCs w:val="16"/>
              </w:rPr>
            </w:pPr>
          </w:p>
        </w:tc>
      </w:tr>
      <w:tr w:rsidR="00BD2181" w:rsidRPr="00BD2181" w:rsidTr="005D3E74">
        <w:trPr>
          <w:trHeight w:val="261"/>
        </w:trPr>
        <w:tc>
          <w:tcPr>
            <w:tcW w:w="3144" w:type="dxa"/>
            <w:noWrap/>
            <w:hideMark/>
          </w:tcPr>
          <w:p w:rsidR="00BD2181" w:rsidRPr="00BD2181" w:rsidRDefault="00BD2181" w:rsidP="005D3E74">
            <w:pPr>
              <w:spacing w:before="0" w:after="0"/>
              <w:rPr>
                <w:sz w:val="16"/>
                <w:szCs w:val="16"/>
              </w:rPr>
            </w:pPr>
            <w:r w:rsidRPr="00BD2181">
              <w:rPr>
                <w:sz w:val="16"/>
                <w:szCs w:val="16"/>
              </w:rPr>
              <w:t>Early Intervention and Service Innovation (Lead John Geddes)</w:t>
            </w:r>
          </w:p>
        </w:tc>
        <w:tc>
          <w:tcPr>
            <w:tcW w:w="955" w:type="dxa"/>
          </w:tcPr>
          <w:p w:rsidR="00BD2181" w:rsidRPr="00BD2181" w:rsidRDefault="00BD2181" w:rsidP="005D3E74">
            <w:pPr>
              <w:spacing w:before="0" w:after="0"/>
              <w:jc w:val="center"/>
              <w:rPr>
                <w:sz w:val="16"/>
                <w:szCs w:val="16"/>
              </w:rPr>
            </w:pPr>
            <w:r w:rsidRPr="00BD2181">
              <w:rPr>
                <w:sz w:val="16"/>
                <w:szCs w:val="16"/>
              </w:rPr>
              <w:t>217</w:t>
            </w:r>
          </w:p>
        </w:tc>
        <w:tc>
          <w:tcPr>
            <w:tcW w:w="954" w:type="dxa"/>
            <w:shd w:val="pct12" w:color="auto" w:fill="auto"/>
          </w:tcPr>
          <w:p w:rsidR="00BD2181" w:rsidRPr="00BD2181" w:rsidRDefault="00BD2181" w:rsidP="005D3E74">
            <w:pPr>
              <w:spacing w:before="0" w:after="0"/>
              <w:jc w:val="center"/>
              <w:rPr>
                <w:sz w:val="16"/>
                <w:szCs w:val="16"/>
              </w:rPr>
            </w:pPr>
            <w:r w:rsidRPr="00BD2181">
              <w:rPr>
                <w:sz w:val="16"/>
                <w:szCs w:val="16"/>
              </w:rPr>
              <w:t>144</w:t>
            </w:r>
          </w:p>
        </w:tc>
        <w:tc>
          <w:tcPr>
            <w:tcW w:w="1114" w:type="dxa"/>
            <w:shd w:val="pct12" w:color="auto" w:fill="auto"/>
            <w:noWrap/>
            <w:hideMark/>
          </w:tcPr>
          <w:p w:rsidR="00BD2181" w:rsidRPr="00BD2181" w:rsidRDefault="00BD2181" w:rsidP="005D3E74">
            <w:pPr>
              <w:spacing w:before="0" w:after="0"/>
              <w:jc w:val="center"/>
              <w:rPr>
                <w:sz w:val="16"/>
                <w:szCs w:val="16"/>
              </w:rPr>
            </w:pPr>
            <w:r w:rsidRPr="00BD2181">
              <w:rPr>
                <w:sz w:val="16"/>
                <w:szCs w:val="16"/>
              </w:rPr>
              <w:t>318</w:t>
            </w:r>
          </w:p>
        </w:tc>
        <w:tc>
          <w:tcPr>
            <w:tcW w:w="2863" w:type="dxa"/>
            <w:gridSpan w:val="4"/>
            <w:vMerge/>
            <w:shd w:val="pct12" w:color="auto" w:fill="auto"/>
            <w:noWrap/>
          </w:tcPr>
          <w:p w:rsidR="00BD2181" w:rsidRPr="00BD2181" w:rsidRDefault="00BD2181" w:rsidP="005D3E74">
            <w:pPr>
              <w:spacing w:before="0" w:after="0"/>
              <w:jc w:val="center"/>
              <w:rPr>
                <w:sz w:val="16"/>
                <w:szCs w:val="16"/>
              </w:rPr>
            </w:pPr>
          </w:p>
        </w:tc>
        <w:tc>
          <w:tcPr>
            <w:tcW w:w="762" w:type="dxa"/>
            <w:shd w:val="pct12" w:color="auto" w:fill="auto"/>
            <w:noWrap/>
          </w:tcPr>
          <w:p w:rsidR="00BD2181" w:rsidRPr="00BD2181" w:rsidRDefault="00BD2181" w:rsidP="005D3E74">
            <w:pPr>
              <w:spacing w:before="0" w:after="0"/>
              <w:jc w:val="center"/>
              <w:rPr>
                <w:sz w:val="16"/>
                <w:szCs w:val="16"/>
              </w:rPr>
            </w:pPr>
          </w:p>
        </w:tc>
      </w:tr>
      <w:tr w:rsidR="00BD2181" w:rsidRPr="00BD2181" w:rsidTr="005D3E74">
        <w:trPr>
          <w:trHeight w:val="261"/>
        </w:trPr>
        <w:tc>
          <w:tcPr>
            <w:tcW w:w="3144" w:type="dxa"/>
            <w:noWrap/>
            <w:hideMark/>
          </w:tcPr>
          <w:p w:rsidR="00BD2181" w:rsidRPr="00BD2181" w:rsidRDefault="00BD2181" w:rsidP="005D3E74">
            <w:pPr>
              <w:spacing w:before="0" w:after="0"/>
              <w:rPr>
                <w:sz w:val="16"/>
                <w:szCs w:val="16"/>
              </w:rPr>
            </w:pPr>
            <w:r w:rsidRPr="00BD2181">
              <w:rPr>
                <w:sz w:val="16"/>
                <w:szCs w:val="16"/>
              </w:rPr>
              <w:t xml:space="preserve">Patient Self-Management of Chronic Disease (Richard McManus) </w:t>
            </w:r>
          </w:p>
        </w:tc>
        <w:tc>
          <w:tcPr>
            <w:tcW w:w="955" w:type="dxa"/>
          </w:tcPr>
          <w:p w:rsidR="00BD2181" w:rsidRPr="00BD2181" w:rsidRDefault="00BD2181" w:rsidP="005D3E74">
            <w:pPr>
              <w:spacing w:before="0" w:after="0"/>
              <w:jc w:val="center"/>
              <w:rPr>
                <w:sz w:val="16"/>
                <w:szCs w:val="16"/>
              </w:rPr>
            </w:pPr>
            <w:r w:rsidRPr="00BD2181">
              <w:rPr>
                <w:sz w:val="16"/>
                <w:szCs w:val="16"/>
              </w:rPr>
              <w:t>295</w:t>
            </w:r>
          </w:p>
        </w:tc>
        <w:tc>
          <w:tcPr>
            <w:tcW w:w="954" w:type="dxa"/>
            <w:shd w:val="pct12" w:color="auto" w:fill="auto"/>
          </w:tcPr>
          <w:p w:rsidR="00BD2181" w:rsidRPr="00BD2181" w:rsidRDefault="00BD2181" w:rsidP="005D3E74">
            <w:pPr>
              <w:spacing w:before="0" w:after="0"/>
              <w:jc w:val="center"/>
              <w:rPr>
                <w:sz w:val="16"/>
                <w:szCs w:val="16"/>
              </w:rPr>
            </w:pPr>
            <w:r w:rsidRPr="00BD2181">
              <w:rPr>
                <w:sz w:val="16"/>
                <w:szCs w:val="16"/>
              </w:rPr>
              <w:t>226</w:t>
            </w:r>
          </w:p>
        </w:tc>
        <w:tc>
          <w:tcPr>
            <w:tcW w:w="1114" w:type="dxa"/>
            <w:shd w:val="pct12" w:color="auto" w:fill="auto"/>
            <w:noWrap/>
            <w:hideMark/>
          </w:tcPr>
          <w:p w:rsidR="00BD2181" w:rsidRPr="00BD2181" w:rsidRDefault="00BD2181" w:rsidP="005D3E74">
            <w:pPr>
              <w:spacing w:before="0" w:after="0"/>
              <w:jc w:val="center"/>
              <w:rPr>
                <w:sz w:val="16"/>
                <w:szCs w:val="16"/>
              </w:rPr>
            </w:pPr>
            <w:r w:rsidRPr="00BD2181">
              <w:rPr>
                <w:sz w:val="16"/>
                <w:szCs w:val="16"/>
              </w:rPr>
              <w:t>380</w:t>
            </w:r>
          </w:p>
        </w:tc>
        <w:tc>
          <w:tcPr>
            <w:tcW w:w="2863" w:type="dxa"/>
            <w:gridSpan w:val="4"/>
            <w:vMerge/>
            <w:shd w:val="pct12" w:color="auto" w:fill="auto"/>
            <w:noWrap/>
          </w:tcPr>
          <w:p w:rsidR="00BD2181" w:rsidRPr="00BD2181" w:rsidRDefault="00BD2181" w:rsidP="005D3E74">
            <w:pPr>
              <w:spacing w:before="0" w:after="0"/>
              <w:jc w:val="center"/>
              <w:rPr>
                <w:sz w:val="16"/>
                <w:szCs w:val="16"/>
              </w:rPr>
            </w:pPr>
          </w:p>
        </w:tc>
        <w:tc>
          <w:tcPr>
            <w:tcW w:w="762" w:type="dxa"/>
            <w:shd w:val="pct12" w:color="auto" w:fill="auto"/>
            <w:noWrap/>
          </w:tcPr>
          <w:p w:rsidR="00BD2181" w:rsidRPr="00BD2181" w:rsidRDefault="00BD2181" w:rsidP="005D3E74">
            <w:pPr>
              <w:spacing w:before="0" w:after="0"/>
              <w:jc w:val="center"/>
              <w:rPr>
                <w:sz w:val="16"/>
                <w:szCs w:val="16"/>
              </w:rPr>
            </w:pPr>
          </w:p>
        </w:tc>
      </w:tr>
      <w:tr w:rsidR="00BD2181" w:rsidRPr="00BD2181" w:rsidTr="005D3E74">
        <w:trPr>
          <w:trHeight w:val="261"/>
        </w:trPr>
        <w:tc>
          <w:tcPr>
            <w:tcW w:w="3144" w:type="dxa"/>
            <w:noWrap/>
            <w:hideMark/>
          </w:tcPr>
          <w:p w:rsidR="00BD2181" w:rsidRPr="00BD2181" w:rsidRDefault="00BD2181" w:rsidP="005D3E74">
            <w:pPr>
              <w:spacing w:before="0" w:after="0"/>
              <w:rPr>
                <w:sz w:val="16"/>
                <w:szCs w:val="16"/>
              </w:rPr>
            </w:pPr>
            <w:r w:rsidRPr="00BD2181">
              <w:rPr>
                <w:sz w:val="16"/>
                <w:szCs w:val="16"/>
              </w:rPr>
              <w:t>Patient experience and PROMS (Lead Ray Fitzpatrick)</w:t>
            </w:r>
          </w:p>
        </w:tc>
        <w:tc>
          <w:tcPr>
            <w:tcW w:w="955" w:type="dxa"/>
          </w:tcPr>
          <w:p w:rsidR="00BD2181" w:rsidRPr="00BD2181" w:rsidRDefault="00BD2181" w:rsidP="005D3E74">
            <w:pPr>
              <w:spacing w:before="0" w:after="0"/>
              <w:jc w:val="center"/>
              <w:rPr>
                <w:sz w:val="16"/>
                <w:szCs w:val="16"/>
              </w:rPr>
            </w:pPr>
            <w:r w:rsidRPr="00BD2181">
              <w:rPr>
                <w:sz w:val="16"/>
                <w:szCs w:val="16"/>
              </w:rPr>
              <w:t>216</w:t>
            </w:r>
          </w:p>
        </w:tc>
        <w:tc>
          <w:tcPr>
            <w:tcW w:w="954" w:type="dxa"/>
            <w:shd w:val="pct12" w:color="auto" w:fill="auto"/>
          </w:tcPr>
          <w:p w:rsidR="00BD2181" w:rsidRPr="00BD2181" w:rsidRDefault="00BD2181" w:rsidP="005D3E74">
            <w:pPr>
              <w:spacing w:before="0" w:after="0"/>
              <w:jc w:val="center"/>
              <w:rPr>
                <w:sz w:val="16"/>
                <w:szCs w:val="16"/>
              </w:rPr>
            </w:pPr>
            <w:r w:rsidRPr="00BD2181">
              <w:rPr>
                <w:sz w:val="16"/>
                <w:szCs w:val="16"/>
              </w:rPr>
              <w:t>187</w:t>
            </w:r>
          </w:p>
        </w:tc>
        <w:tc>
          <w:tcPr>
            <w:tcW w:w="1114" w:type="dxa"/>
            <w:shd w:val="pct12" w:color="auto" w:fill="auto"/>
            <w:noWrap/>
            <w:hideMark/>
          </w:tcPr>
          <w:p w:rsidR="00BD2181" w:rsidRPr="00BD2181" w:rsidRDefault="00BD2181" w:rsidP="005D3E74">
            <w:pPr>
              <w:spacing w:before="0" w:after="0"/>
              <w:jc w:val="center"/>
              <w:rPr>
                <w:sz w:val="16"/>
                <w:szCs w:val="16"/>
              </w:rPr>
            </w:pPr>
            <w:r w:rsidRPr="00BD2181">
              <w:rPr>
                <w:sz w:val="16"/>
                <w:szCs w:val="16"/>
              </w:rPr>
              <w:t>346</w:t>
            </w:r>
          </w:p>
        </w:tc>
        <w:tc>
          <w:tcPr>
            <w:tcW w:w="2863" w:type="dxa"/>
            <w:gridSpan w:val="4"/>
            <w:vMerge/>
            <w:shd w:val="pct12" w:color="auto" w:fill="auto"/>
            <w:noWrap/>
          </w:tcPr>
          <w:p w:rsidR="00BD2181" w:rsidRPr="00BD2181" w:rsidRDefault="00BD2181" w:rsidP="005D3E74">
            <w:pPr>
              <w:spacing w:before="0" w:after="0"/>
              <w:jc w:val="center"/>
              <w:rPr>
                <w:sz w:val="16"/>
                <w:szCs w:val="16"/>
              </w:rPr>
            </w:pPr>
          </w:p>
        </w:tc>
        <w:tc>
          <w:tcPr>
            <w:tcW w:w="762" w:type="dxa"/>
            <w:shd w:val="pct12" w:color="auto" w:fill="auto"/>
            <w:noWrap/>
          </w:tcPr>
          <w:p w:rsidR="00BD2181" w:rsidRPr="00BD2181" w:rsidRDefault="00BD2181" w:rsidP="005D3E74">
            <w:pPr>
              <w:spacing w:before="0" w:after="0"/>
              <w:jc w:val="center"/>
              <w:rPr>
                <w:sz w:val="16"/>
                <w:szCs w:val="16"/>
              </w:rPr>
            </w:pPr>
          </w:p>
        </w:tc>
      </w:tr>
      <w:tr w:rsidR="00BD2181" w:rsidRPr="00BD2181" w:rsidTr="005D3E74">
        <w:trPr>
          <w:trHeight w:val="261"/>
        </w:trPr>
        <w:tc>
          <w:tcPr>
            <w:tcW w:w="3144" w:type="dxa"/>
            <w:tcBorders>
              <w:bottom w:val="single" w:sz="4" w:space="0" w:color="auto"/>
            </w:tcBorders>
            <w:noWrap/>
            <w:hideMark/>
          </w:tcPr>
          <w:p w:rsidR="00BD2181" w:rsidRPr="00BD2181" w:rsidRDefault="00BD2181" w:rsidP="005D3E74">
            <w:pPr>
              <w:spacing w:before="0" w:after="0"/>
              <w:rPr>
                <w:sz w:val="16"/>
                <w:szCs w:val="16"/>
              </w:rPr>
            </w:pPr>
            <w:r w:rsidRPr="00BD2181">
              <w:rPr>
                <w:sz w:val="16"/>
                <w:szCs w:val="16"/>
              </w:rPr>
              <w:t>Central and Support Costs</w:t>
            </w:r>
          </w:p>
        </w:tc>
        <w:tc>
          <w:tcPr>
            <w:tcW w:w="955" w:type="dxa"/>
            <w:tcBorders>
              <w:bottom w:val="single" w:sz="4" w:space="0" w:color="auto"/>
            </w:tcBorders>
          </w:tcPr>
          <w:p w:rsidR="00BD2181" w:rsidRPr="00BD2181" w:rsidRDefault="00BD2181" w:rsidP="005D3E74">
            <w:pPr>
              <w:spacing w:before="0" w:after="0"/>
              <w:jc w:val="center"/>
              <w:rPr>
                <w:sz w:val="16"/>
                <w:szCs w:val="16"/>
              </w:rPr>
            </w:pPr>
            <w:r w:rsidRPr="00BD2181">
              <w:rPr>
                <w:sz w:val="16"/>
                <w:szCs w:val="16"/>
              </w:rPr>
              <w:t>157</w:t>
            </w:r>
          </w:p>
        </w:tc>
        <w:tc>
          <w:tcPr>
            <w:tcW w:w="954" w:type="dxa"/>
            <w:tcBorders>
              <w:bottom w:val="single" w:sz="4" w:space="0" w:color="auto"/>
            </w:tcBorders>
            <w:shd w:val="pct12" w:color="auto" w:fill="auto"/>
          </w:tcPr>
          <w:p w:rsidR="00BD2181" w:rsidRPr="00BD2181" w:rsidRDefault="00BD2181" w:rsidP="005D3E74">
            <w:pPr>
              <w:spacing w:before="0" w:after="0"/>
              <w:jc w:val="center"/>
              <w:rPr>
                <w:sz w:val="16"/>
                <w:szCs w:val="16"/>
              </w:rPr>
            </w:pPr>
            <w:r w:rsidRPr="00BD2181">
              <w:rPr>
                <w:sz w:val="16"/>
                <w:szCs w:val="16"/>
              </w:rPr>
              <w:t>364</w:t>
            </w:r>
          </w:p>
        </w:tc>
        <w:tc>
          <w:tcPr>
            <w:tcW w:w="1114" w:type="dxa"/>
            <w:tcBorders>
              <w:bottom w:val="single" w:sz="4" w:space="0" w:color="auto"/>
            </w:tcBorders>
            <w:shd w:val="pct12" w:color="auto" w:fill="auto"/>
            <w:noWrap/>
            <w:hideMark/>
          </w:tcPr>
          <w:p w:rsidR="00BD2181" w:rsidRPr="00BD2181" w:rsidRDefault="00BD2181" w:rsidP="005D3E74">
            <w:pPr>
              <w:spacing w:before="0" w:after="0"/>
              <w:jc w:val="center"/>
              <w:rPr>
                <w:sz w:val="16"/>
                <w:szCs w:val="16"/>
              </w:rPr>
            </w:pPr>
            <w:r w:rsidRPr="00BD2181">
              <w:rPr>
                <w:sz w:val="16"/>
                <w:szCs w:val="16"/>
              </w:rPr>
              <w:t>250</w:t>
            </w:r>
          </w:p>
        </w:tc>
        <w:tc>
          <w:tcPr>
            <w:tcW w:w="2863" w:type="dxa"/>
            <w:gridSpan w:val="4"/>
            <w:vMerge/>
            <w:tcBorders>
              <w:bottom w:val="single" w:sz="4" w:space="0" w:color="auto"/>
            </w:tcBorders>
            <w:shd w:val="pct12" w:color="auto" w:fill="auto"/>
            <w:noWrap/>
          </w:tcPr>
          <w:p w:rsidR="00BD2181" w:rsidRPr="00BD2181" w:rsidRDefault="00BD2181" w:rsidP="005D3E74">
            <w:pPr>
              <w:spacing w:before="0" w:after="0"/>
              <w:jc w:val="center"/>
              <w:rPr>
                <w:sz w:val="16"/>
                <w:szCs w:val="16"/>
              </w:rPr>
            </w:pPr>
          </w:p>
        </w:tc>
        <w:tc>
          <w:tcPr>
            <w:tcW w:w="762" w:type="dxa"/>
            <w:tcBorders>
              <w:bottom w:val="single" w:sz="4" w:space="0" w:color="auto"/>
            </w:tcBorders>
            <w:shd w:val="pct12" w:color="auto" w:fill="auto"/>
            <w:noWrap/>
          </w:tcPr>
          <w:p w:rsidR="00BD2181" w:rsidRPr="00BD2181" w:rsidRDefault="00BD2181" w:rsidP="005D3E74">
            <w:pPr>
              <w:spacing w:before="0" w:after="0"/>
              <w:jc w:val="center"/>
              <w:rPr>
                <w:sz w:val="16"/>
                <w:szCs w:val="16"/>
              </w:rPr>
            </w:pPr>
          </w:p>
        </w:tc>
      </w:tr>
      <w:tr w:rsidR="00BD2181" w:rsidRPr="00BD2181" w:rsidTr="005D3E74">
        <w:trPr>
          <w:trHeight w:val="275"/>
        </w:trPr>
        <w:tc>
          <w:tcPr>
            <w:tcW w:w="3144" w:type="dxa"/>
            <w:shd w:val="clear" w:color="auto" w:fill="8DB3E2" w:themeFill="text2" w:themeFillTint="66"/>
            <w:noWrap/>
            <w:hideMark/>
          </w:tcPr>
          <w:p w:rsidR="00BD2181" w:rsidRPr="00BD2181" w:rsidRDefault="00BD2181" w:rsidP="005D3E74">
            <w:pPr>
              <w:spacing w:before="0" w:after="0"/>
              <w:rPr>
                <w:b/>
                <w:sz w:val="16"/>
                <w:szCs w:val="16"/>
              </w:rPr>
            </w:pPr>
            <w:r w:rsidRPr="00BD2181">
              <w:rPr>
                <w:b/>
                <w:sz w:val="16"/>
                <w:szCs w:val="16"/>
              </w:rPr>
              <w:t>Total</w:t>
            </w:r>
          </w:p>
        </w:tc>
        <w:tc>
          <w:tcPr>
            <w:tcW w:w="955" w:type="dxa"/>
            <w:shd w:val="clear" w:color="auto" w:fill="8DB3E2" w:themeFill="text2" w:themeFillTint="66"/>
          </w:tcPr>
          <w:p w:rsidR="00BD2181" w:rsidRPr="00BD2181" w:rsidRDefault="00BD2181" w:rsidP="005D3E74">
            <w:pPr>
              <w:spacing w:before="0" w:after="0"/>
              <w:jc w:val="center"/>
              <w:rPr>
                <w:b/>
                <w:sz w:val="16"/>
                <w:szCs w:val="16"/>
              </w:rPr>
            </w:pPr>
            <w:r w:rsidRPr="00BD2181">
              <w:rPr>
                <w:b/>
                <w:sz w:val="16"/>
                <w:szCs w:val="16"/>
              </w:rPr>
              <w:t>1,250</w:t>
            </w:r>
          </w:p>
        </w:tc>
        <w:tc>
          <w:tcPr>
            <w:tcW w:w="954" w:type="dxa"/>
            <w:shd w:val="clear" w:color="auto" w:fill="8DB3E2" w:themeFill="text2" w:themeFillTint="66"/>
          </w:tcPr>
          <w:p w:rsidR="00BD2181" w:rsidRPr="00BD2181" w:rsidRDefault="00BD2181" w:rsidP="005D3E74">
            <w:pPr>
              <w:spacing w:before="0" w:after="0"/>
              <w:jc w:val="center"/>
              <w:rPr>
                <w:b/>
                <w:sz w:val="16"/>
                <w:szCs w:val="16"/>
              </w:rPr>
            </w:pPr>
            <w:r w:rsidRPr="00BD2181">
              <w:rPr>
                <w:b/>
                <w:sz w:val="16"/>
                <w:szCs w:val="16"/>
              </w:rPr>
              <w:t>1,250</w:t>
            </w:r>
          </w:p>
        </w:tc>
        <w:tc>
          <w:tcPr>
            <w:tcW w:w="1114" w:type="dxa"/>
            <w:shd w:val="clear" w:color="auto" w:fill="8DB3E2" w:themeFill="text2" w:themeFillTint="66"/>
            <w:noWrap/>
            <w:hideMark/>
          </w:tcPr>
          <w:p w:rsidR="00BD2181" w:rsidRPr="00BD2181" w:rsidRDefault="00BD2181" w:rsidP="005D3E74">
            <w:pPr>
              <w:spacing w:before="0" w:after="0"/>
              <w:jc w:val="center"/>
              <w:rPr>
                <w:b/>
                <w:sz w:val="16"/>
                <w:szCs w:val="16"/>
              </w:rPr>
            </w:pPr>
            <w:r w:rsidRPr="00BD2181">
              <w:rPr>
                <w:b/>
                <w:sz w:val="16"/>
                <w:szCs w:val="16"/>
              </w:rPr>
              <w:t>2,000</w:t>
            </w:r>
          </w:p>
        </w:tc>
        <w:tc>
          <w:tcPr>
            <w:tcW w:w="954" w:type="dxa"/>
            <w:shd w:val="clear" w:color="auto" w:fill="8DB3E2" w:themeFill="text2" w:themeFillTint="66"/>
            <w:noWrap/>
            <w:hideMark/>
          </w:tcPr>
          <w:p w:rsidR="00BD2181" w:rsidRPr="00BD2181" w:rsidRDefault="00BD2181" w:rsidP="005D3E74">
            <w:pPr>
              <w:spacing w:before="0" w:after="0"/>
              <w:jc w:val="center"/>
              <w:rPr>
                <w:b/>
                <w:sz w:val="16"/>
                <w:szCs w:val="16"/>
              </w:rPr>
            </w:pPr>
            <w:r w:rsidRPr="00BD2181">
              <w:rPr>
                <w:b/>
                <w:sz w:val="16"/>
                <w:szCs w:val="16"/>
              </w:rPr>
              <w:t>2,000</w:t>
            </w:r>
          </w:p>
        </w:tc>
        <w:tc>
          <w:tcPr>
            <w:tcW w:w="1113" w:type="dxa"/>
            <w:gridSpan w:val="2"/>
            <w:shd w:val="clear" w:color="auto" w:fill="8DB3E2" w:themeFill="text2" w:themeFillTint="66"/>
            <w:noWrap/>
            <w:hideMark/>
          </w:tcPr>
          <w:p w:rsidR="00BD2181" w:rsidRPr="00BD2181" w:rsidRDefault="00BD2181" w:rsidP="005D3E74">
            <w:pPr>
              <w:spacing w:before="0" w:after="0"/>
              <w:jc w:val="center"/>
              <w:rPr>
                <w:b/>
                <w:sz w:val="16"/>
                <w:szCs w:val="16"/>
              </w:rPr>
            </w:pPr>
            <w:r w:rsidRPr="00BD2181">
              <w:rPr>
                <w:b/>
                <w:sz w:val="16"/>
                <w:szCs w:val="16"/>
              </w:rPr>
              <w:t>2,000</w:t>
            </w:r>
          </w:p>
        </w:tc>
        <w:tc>
          <w:tcPr>
            <w:tcW w:w="796" w:type="dxa"/>
            <w:shd w:val="clear" w:color="auto" w:fill="8DB3E2" w:themeFill="text2" w:themeFillTint="66"/>
            <w:noWrap/>
            <w:hideMark/>
          </w:tcPr>
          <w:p w:rsidR="00BD2181" w:rsidRPr="00BD2181" w:rsidRDefault="00BD2181" w:rsidP="005D3E74">
            <w:pPr>
              <w:spacing w:before="0" w:after="0"/>
              <w:jc w:val="center"/>
              <w:rPr>
                <w:b/>
                <w:sz w:val="16"/>
                <w:szCs w:val="16"/>
              </w:rPr>
            </w:pPr>
            <w:r w:rsidRPr="00BD2181">
              <w:rPr>
                <w:b/>
                <w:sz w:val="16"/>
                <w:szCs w:val="16"/>
              </w:rPr>
              <w:t>1,500</w:t>
            </w:r>
          </w:p>
        </w:tc>
        <w:tc>
          <w:tcPr>
            <w:tcW w:w="762" w:type="dxa"/>
            <w:shd w:val="clear" w:color="auto" w:fill="8DB3E2" w:themeFill="text2" w:themeFillTint="66"/>
            <w:noWrap/>
            <w:hideMark/>
          </w:tcPr>
          <w:p w:rsidR="00BD2181" w:rsidRPr="00BD2181" w:rsidRDefault="00BD2181" w:rsidP="005D3E74">
            <w:pPr>
              <w:spacing w:before="0" w:after="0"/>
              <w:jc w:val="center"/>
              <w:rPr>
                <w:b/>
                <w:sz w:val="16"/>
                <w:szCs w:val="16"/>
              </w:rPr>
            </w:pPr>
            <w:r w:rsidRPr="00BD2181">
              <w:rPr>
                <w:b/>
                <w:sz w:val="16"/>
                <w:szCs w:val="16"/>
              </w:rPr>
              <w:t>9,000</w:t>
            </w:r>
          </w:p>
        </w:tc>
      </w:tr>
    </w:tbl>
    <w:p w:rsidR="00BD2181" w:rsidRPr="00BD2181" w:rsidRDefault="00BD2181" w:rsidP="00BD2181">
      <w:pPr>
        <w:spacing w:before="0" w:after="0"/>
      </w:pPr>
    </w:p>
    <w:p w:rsidR="00BD2181" w:rsidRPr="00BD2181" w:rsidRDefault="00BD2181" w:rsidP="00BD2181">
      <w:pPr>
        <w:spacing w:after="0"/>
        <w:rPr>
          <w:b/>
        </w:rPr>
      </w:pPr>
      <w:r w:rsidRPr="00BD2181">
        <w:rPr>
          <w:b/>
        </w:rPr>
        <w:t>FY16 Performance</w:t>
      </w:r>
    </w:p>
    <w:p w:rsidR="00BD2181" w:rsidRPr="00BD2181" w:rsidRDefault="00BD2181" w:rsidP="00BD2181">
      <w:pPr>
        <w:spacing w:after="0"/>
      </w:pPr>
      <w:r w:rsidRPr="00BD2181">
        <w:t>The forecast outturn position for each Theme is currently being confirmed with the lead to allow time to take any corrective action required before year end. To support this and to monitor performance monthly reports have been developed and are circulated to theme leads. There are currently no overspends forecast.</w:t>
      </w:r>
    </w:p>
    <w:p w:rsidR="00BD2181" w:rsidRPr="00BD2181" w:rsidRDefault="00BD2181" w:rsidP="00BD2181">
      <w:pPr>
        <w:spacing w:after="0"/>
        <w:rPr>
          <w:b/>
        </w:rPr>
      </w:pPr>
      <w:r w:rsidRPr="00BD2181">
        <w:rPr>
          <w:b/>
        </w:rPr>
        <w:t>Mid-Term (Phase 2) Review</w:t>
      </w:r>
    </w:p>
    <w:p w:rsidR="00BD2181" w:rsidRPr="00BD2181" w:rsidRDefault="00BD2181" w:rsidP="00BD2181">
      <w:pPr>
        <w:spacing w:after="0"/>
      </w:pPr>
      <w:r w:rsidRPr="00BD2181">
        <w:t xml:space="preserve">As part of the first stage of the mid-term review process the Management Board have approved funding for three phase 2 projects (£52k). A further 26 projects (£4.8m) will be considered by the external review panel in January 2016. </w:t>
      </w:r>
    </w:p>
    <w:p w:rsidR="00BD2181" w:rsidRPr="00BD2181" w:rsidRDefault="00BD2181" w:rsidP="00BD2181">
      <w:pPr>
        <w:spacing w:after="0"/>
        <w:rPr>
          <w:b/>
        </w:rPr>
      </w:pPr>
      <w:r w:rsidRPr="00BD2181">
        <w:rPr>
          <w:b/>
        </w:rPr>
        <w:t>Matched Funding</w:t>
      </w:r>
    </w:p>
    <w:p w:rsidR="00BD2181" w:rsidRPr="00BD2181" w:rsidRDefault="00BD2181" w:rsidP="00BD2181">
      <w:pPr>
        <w:pStyle w:val="ListParagraph"/>
        <w:ind w:left="0"/>
      </w:pPr>
      <w:r w:rsidRPr="00BD2181">
        <w:t xml:space="preserve">A fundamental requirement of the CLAHRC is the need to demonstrate matched funding committed by other </w:t>
      </w:r>
      <w:proofErr w:type="spellStart"/>
      <w:r w:rsidRPr="00BD2181">
        <w:t>organisations</w:t>
      </w:r>
      <w:proofErr w:type="spellEnd"/>
      <w:r w:rsidRPr="00BD2181">
        <w:t xml:space="preserve"> which is linked to CLAHRC activities. In total this needs to be at least to the same level as the NIHR funding. Matched funding provides resources to support the proposed themes of research, implementation or a mix of both. Identification of Matched funding is an on-going process involving the CLAHRC Manager and the Head of R&amp;D Finance. Based on current information the amounts shown in the application and the minimum required by the NIHR have been identified.</w:t>
      </w:r>
    </w:p>
    <w:tbl>
      <w:tblPr>
        <w:tblStyle w:val="TableGrid"/>
        <w:tblW w:w="9747" w:type="dxa"/>
        <w:tblLook w:val="04A0" w:firstRow="1" w:lastRow="0" w:firstColumn="1" w:lastColumn="0" w:noHBand="0" w:noVBand="1"/>
      </w:tblPr>
      <w:tblGrid>
        <w:gridCol w:w="2513"/>
        <w:gridCol w:w="1215"/>
        <w:gridCol w:w="983"/>
        <w:gridCol w:w="983"/>
        <w:gridCol w:w="1099"/>
        <w:gridCol w:w="1216"/>
        <w:gridCol w:w="939"/>
        <w:gridCol w:w="799"/>
      </w:tblGrid>
      <w:tr w:rsidR="00BD2181" w:rsidRPr="00BD2181" w:rsidTr="00BD2181">
        <w:trPr>
          <w:trHeight w:val="449"/>
        </w:trPr>
        <w:tc>
          <w:tcPr>
            <w:tcW w:w="2513" w:type="dxa"/>
            <w:shd w:val="clear" w:color="auto" w:fill="8DB3E2" w:themeFill="text2" w:themeFillTint="66"/>
          </w:tcPr>
          <w:p w:rsidR="00BD2181" w:rsidRPr="00BD2181" w:rsidRDefault="00BD2181" w:rsidP="005D3E74">
            <w:pPr>
              <w:pStyle w:val="ListParagraph"/>
              <w:spacing w:before="120" w:after="120"/>
              <w:ind w:left="0"/>
              <w:rPr>
                <w:b/>
              </w:rPr>
            </w:pPr>
            <w:r w:rsidRPr="00BD2181">
              <w:rPr>
                <w:b/>
              </w:rPr>
              <w:t>Matched Funding (£k)</w:t>
            </w:r>
          </w:p>
        </w:tc>
        <w:tc>
          <w:tcPr>
            <w:tcW w:w="1215" w:type="dxa"/>
            <w:shd w:val="clear" w:color="auto" w:fill="8DB3E2" w:themeFill="text2" w:themeFillTint="66"/>
          </w:tcPr>
          <w:p w:rsidR="00BD2181" w:rsidRPr="00BD2181" w:rsidRDefault="00BD2181" w:rsidP="005D3E74">
            <w:pPr>
              <w:pStyle w:val="ListParagraph"/>
              <w:spacing w:before="120" w:after="120"/>
              <w:ind w:left="0"/>
              <w:jc w:val="center"/>
              <w:rPr>
                <w:sz w:val="20"/>
                <w:szCs w:val="20"/>
              </w:rPr>
            </w:pPr>
            <w:r w:rsidRPr="00BD2181">
              <w:rPr>
                <w:b/>
                <w:bCs/>
                <w:iCs/>
                <w:sz w:val="20"/>
                <w:szCs w:val="20"/>
              </w:rPr>
              <w:t>2013/14</w:t>
            </w:r>
          </w:p>
        </w:tc>
        <w:tc>
          <w:tcPr>
            <w:tcW w:w="983" w:type="dxa"/>
            <w:shd w:val="clear" w:color="auto" w:fill="8DB3E2" w:themeFill="text2" w:themeFillTint="66"/>
          </w:tcPr>
          <w:p w:rsidR="00BD2181" w:rsidRPr="00BD2181" w:rsidRDefault="00BD2181" w:rsidP="005D3E74">
            <w:pPr>
              <w:pStyle w:val="ListParagraph"/>
              <w:spacing w:before="120" w:after="120"/>
              <w:ind w:left="0"/>
              <w:jc w:val="center"/>
              <w:rPr>
                <w:sz w:val="20"/>
                <w:szCs w:val="20"/>
              </w:rPr>
            </w:pPr>
            <w:r w:rsidRPr="00BD2181">
              <w:rPr>
                <w:b/>
                <w:bCs/>
                <w:iCs/>
                <w:sz w:val="20"/>
                <w:szCs w:val="20"/>
              </w:rPr>
              <w:t xml:space="preserve">2014/15 </w:t>
            </w:r>
          </w:p>
        </w:tc>
        <w:tc>
          <w:tcPr>
            <w:tcW w:w="983" w:type="dxa"/>
            <w:shd w:val="clear" w:color="auto" w:fill="8DB3E2" w:themeFill="text2" w:themeFillTint="66"/>
          </w:tcPr>
          <w:p w:rsidR="00BD2181" w:rsidRPr="00BD2181" w:rsidRDefault="00BD2181" w:rsidP="005D3E74">
            <w:pPr>
              <w:spacing w:before="120" w:after="120"/>
              <w:jc w:val="center"/>
              <w:rPr>
                <w:b/>
                <w:bCs/>
                <w:iCs/>
                <w:sz w:val="20"/>
                <w:szCs w:val="20"/>
              </w:rPr>
            </w:pPr>
            <w:r w:rsidRPr="00BD2181">
              <w:rPr>
                <w:b/>
                <w:bCs/>
                <w:iCs/>
                <w:sz w:val="20"/>
                <w:szCs w:val="20"/>
              </w:rPr>
              <w:t xml:space="preserve">2015/16 </w:t>
            </w:r>
          </w:p>
        </w:tc>
        <w:tc>
          <w:tcPr>
            <w:tcW w:w="1099" w:type="dxa"/>
            <w:shd w:val="clear" w:color="auto" w:fill="8DB3E2" w:themeFill="text2" w:themeFillTint="66"/>
          </w:tcPr>
          <w:p w:rsidR="00BD2181" w:rsidRPr="00BD2181" w:rsidRDefault="00BD2181" w:rsidP="005D3E74">
            <w:pPr>
              <w:spacing w:before="120" w:after="120"/>
              <w:jc w:val="center"/>
              <w:rPr>
                <w:b/>
                <w:bCs/>
                <w:iCs/>
                <w:sz w:val="20"/>
                <w:szCs w:val="20"/>
              </w:rPr>
            </w:pPr>
            <w:r w:rsidRPr="00BD2181">
              <w:rPr>
                <w:b/>
                <w:bCs/>
                <w:iCs/>
                <w:sz w:val="20"/>
                <w:szCs w:val="20"/>
              </w:rPr>
              <w:t>2016/17</w:t>
            </w:r>
          </w:p>
        </w:tc>
        <w:tc>
          <w:tcPr>
            <w:tcW w:w="1216" w:type="dxa"/>
            <w:shd w:val="clear" w:color="auto" w:fill="8DB3E2" w:themeFill="text2" w:themeFillTint="66"/>
          </w:tcPr>
          <w:p w:rsidR="00BD2181" w:rsidRPr="00BD2181" w:rsidRDefault="00BD2181" w:rsidP="005D3E74">
            <w:pPr>
              <w:spacing w:before="120" w:after="120"/>
              <w:jc w:val="center"/>
              <w:rPr>
                <w:b/>
                <w:bCs/>
                <w:iCs/>
                <w:sz w:val="20"/>
                <w:szCs w:val="20"/>
              </w:rPr>
            </w:pPr>
            <w:r w:rsidRPr="00BD2181">
              <w:rPr>
                <w:b/>
                <w:bCs/>
                <w:iCs/>
                <w:sz w:val="20"/>
                <w:szCs w:val="20"/>
              </w:rPr>
              <w:t>2017/18</w:t>
            </w:r>
          </w:p>
        </w:tc>
        <w:tc>
          <w:tcPr>
            <w:tcW w:w="939" w:type="dxa"/>
            <w:shd w:val="clear" w:color="auto" w:fill="8DB3E2" w:themeFill="text2" w:themeFillTint="66"/>
          </w:tcPr>
          <w:p w:rsidR="00BD2181" w:rsidRPr="00BD2181" w:rsidRDefault="00BD2181" w:rsidP="005D3E74">
            <w:pPr>
              <w:spacing w:before="120" w:after="120"/>
              <w:jc w:val="center"/>
              <w:rPr>
                <w:b/>
                <w:bCs/>
                <w:iCs/>
                <w:sz w:val="20"/>
                <w:szCs w:val="20"/>
              </w:rPr>
            </w:pPr>
            <w:r w:rsidRPr="00BD2181">
              <w:rPr>
                <w:b/>
                <w:bCs/>
                <w:iCs/>
                <w:sz w:val="20"/>
                <w:szCs w:val="20"/>
              </w:rPr>
              <w:t>2018/19</w:t>
            </w:r>
          </w:p>
        </w:tc>
        <w:tc>
          <w:tcPr>
            <w:tcW w:w="799" w:type="dxa"/>
            <w:shd w:val="clear" w:color="auto" w:fill="8DB3E2" w:themeFill="text2" w:themeFillTint="66"/>
          </w:tcPr>
          <w:p w:rsidR="00BD2181" w:rsidRPr="00BD2181" w:rsidRDefault="00BD2181" w:rsidP="005D3E74">
            <w:pPr>
              <w:spacing w:before="120" w:after="120"/>
              <w:jc w:val="center"/>
              <w:rPr>
                <w:b/>
                <w:bCs/>
                <w:iCs/>
                <w:sz w:val="20"/>
                <w:szCs w:val="20"/>
              </w:rPr>
            </w:pPr>
            <w:r w:rsidRPr="00BD2181">
              <w:rPr>
                <w:b/>
                <w:bCs/>
                <w:iCs/>
                <w:sz w:val="20"/>
                <w:szCs w:val="20"/>
              </w:rPr>
              <w:t>Total</w:t>
            </w:r>
          </w:p>
        </w:tc>
      </w:tr>
      <w:tr w:rsidR="00BD2181" w:rsidRPr="00BD2181" w:rsidTr="00BD2181">
        <w:trPr>
          <w:trHeight w:val="368"/>
        </w:trPr>
        <w:tc>
          <w:tcPr>
            <w:tcW w:w="2513" w:type="dxa"/>
          </w:tcPr>
          <w:p w:rsidR="00BD2181" w:rsidRPr="00BD2181" w:rsidRDefault="00BD2181" w:rsidP="005D3E74">
            <w:pPr>
              <w:pStyle w:val="ListParagraph"/>
              <w:spacing w:before="120" w:after="120"/>
              <w:ind w:left="0"/>
              <w:rPr>
                <w:sz w:val="18"/>
                <w:szCs w:val="18"/>
              </w:rPr>
            </w:pPr>
            <w:r w:rsidRPr="00BD2181">
              <w:rPr>
                <w:sz w:val="18"/>
                <w:szCs w:val="18"/>
              </w:rPr>
              <w:t>Matched Funding identified</w:t>
            </w:r>
          </w:p>
        </w:tc>
        <w:tc>
          <w:tcPr>
            <w:tcW w:w="1215" w:type="dxa"/>
          </w:tcPr>
          <w:p w:rsidR="00BD2181" w:rsidRPr="00BD2181" w:rsidRDefault="00BD2181" w:rsidP="005D3E74">
            <w:pPr>
              <w:pStyle w:val="ListParagraph"/>
              <w:spacing w:before="120" w:after="120"/>
              <w:ind w:left="0"/>
              <w:jc w:val="center"/>
              <w:rPr>
                <w:sz w:val="18"/>
                <w:szCs w:val="18"/>
              </w:rPr>
            </w:pPr>
            <w:r w:rsidRPr="00BD2181">
              <w:rPr>
                <w:sz w:val="18"/>
                <w:szCs w:val="18"/>
              </w:rPr>
              <w:t>525</w:t>
            </w:r>
          </w:p>
        </w:tc>
        <w:tc>
          <w:tcPr>
            <w:tcW w:w="983" w:type="dxa"/>
          </w:tcPr>
          <w:p w:rsidR="00BD2181" w:rsidRPr="00BD2181" w:rsidRDefault="00BD2181" w:rsidP="005D3E74">
            <w:pPr>
              <w:pStyle w:val="ListParagraph"/>
              <w:spacing w:before="120" w:after="120"/>
              <w:ind w:left="0"/>
              <w:jc w:val="center"/>
              <w:rPr>
                <w:sz w:val="18"/>
                <w:szCs w:val="18"/>
              </w:rPr>
            </w:pPr>
            <w:r w:rsidRPr="00BD2181">
              <w:rPr>
                <w:sz w:val="18"/>
                <w:szCs w:val="18"/>
              </w:rPr>
              <w:t>2,000</w:t>
            </w:r>
          </w:p>
        </w:tc>
        <w:tc>
          <w:tcPr>
            <w:tcW w:w="983" w:type="dxa"/>
          </w:tcPr>
          <w:p w:rsidR="00BD2181" w:rsidRPr="00BD2181" w:rsidRDefault="00BD2181" w:rsidP="005D3E74">
            <w:pPr>
              <w:pStyle w:val="ListParagraph"/>
              <w:spacing w:before="120" w:after="120"/>
              <w:ind w:left="0"/>
              <w:jc w:val="center"/>
              <w:rPr>
                <w:sz w:val="18"/>
                <w:szCs w:val="18"/>
              </w:rPr>
            </w:pPr>
            <w:r w:rsidRPr="00BD2181">
              <w:rPr>
                <w:sz w:val="18"/>
                <w:szCs w:val="18"/>
              </w:rPr>
              <w:t>3,252</w:t>
            </w:r>
          </w:p>
        </w:tc>
        <w:tc>
          <w:tcPr>
            <w:tcW w:w="3254" w:type="dxa"/>
            <w:gridSpan w:val="3"/>
            <w:vMerge w:val="restart"/>
          </w:tcPr>
          <w:p w:rsidR="00BD2181" w:rsidRPr="00BD2181" w:rsidRDefault="00BD2181" w:rsidP="005D3E74">
            <w:pPr>
              <w:pStyle w:val="ListParagraph"/>
              <w:spacing w:before="120" w:after="120"/>
              <w:ind w:left="0"/>
              <w:jc w:val="center"/>
              <w:rPr>
                <w:sz w:val="18"/>
                <w:szCs w:val="18"/>
              </w:rPr>
            </w:pPr>
          </w:p>
        </w:tc>
        <w:tc>
          <w:tcPr>
            <w:tcW w:w="799" w:type="dxa"/>
          </w:tcPr>
          <w:p w:rsidR="00BD2181" w:rsidRPr="00BD2181" w:rsidRDefault="00BD2181" w:rsidP="005D3E74">
            <w:pPr>
              <w:pStyle w:val="ListParagraph"/>
              <w:spacing w:before="120" w:after="120"/>
              <w:ind w:left="0"/>
              <w:jc w:val="center"/>
              <w:rPr>
                <w:sz w:val="18"/>
                <w:szCs w:val="18"/>
              </w:rPr>
            </w:pPr>
          </w:p>
        </w:tc>
      </w:tr>
      <w:tr w:rsidR="00BD2181" w:rsidRPr="00BD2181" w:rsidTr="00BD2181">
        <w:trPr>
          <w:trHeight w:val="473"/>
        </w:trPr>
        <w:tc>
          <w:tcPr>
            <w:tcW w:w="2513" w:type="dxa"/>
            <w:tcBorders>
              <w:bottom w:val="single" w:sz="4" w:space="0" w:color="auto"/>
            </w:tcBorders>
          </w:tcPr>
          <w:p w:rsidR="00BD2181" w:rsidRPr="00BD2181" w:rsidRDefault="00BD2181" w:rsidP="005D3E74">
            <w:pPr>
              <w:pStyle w:val="ListParagraph"/>
              <w:spacing w:before="120" w:after="120"/>
              <w:ind w:left="0"/>
              <w:rPr>
                <w:sz w:val="18"/>
                <w:szCs w:val="18"/>
              </w:rPr>
            </w:pPr>
            <w:r w:rsidRPr="00BD2181">
              <w:rPr>
                <w:sz w:val="18"/>
                <w:szCs w:val="18"/>
              </w:rPr>
              <w:lastRenderedPageBreak/>
              <w:t>Minimum required by the NIHR</w:t>
            </w:r>
          </w:p>
        </w:tc>
        <w:tc>
          <w:tcPr>
            <w:tcW w:w="1215" w:type="dxa"/>
            <w:tcBorders>
              <w:bottom w:val="single" w:sz="4" w:space="0" w:color="auto"/>
            </w:tcBorders>
          </w:tcPr>
          <w:p w:rsidR="00BD2181" w:rsidRPr="00BD2181" w:rsidRDefault="00BD2181" w:rsidP="005D3E74">
            <w:pPr>
              <w:pStyle w:val="ListParagraph"/>
              <w:spacing w:before="120" w:after="120"/>
              <w:ind w:left="0"/>
              <w:jc w:val="center"/>
              <w:rPr>
                <w:sz w:val="18"/>
                <w:szCs w:val="18"/>
              </w:rPr>
            </w:pPr>
            <w:r w:rsidRPr="00BD2181">
              <w:rPr>
                <w:sz w:val="18"/>
                <w:szCs w:val="18"/>
              </w:rPr>
              <w:t>250</w:t>
            </w:r>
          </w:p>
        </w:tc>
        <w:tc>
          <w:tcPr>
            <w:tcW w:w="983" w:type="dxa"/>
            <w:tcBorders>
              <w:bottom w:val="single" w:sz="4" w:space="0" w:color="auto"/>
            </w:tcBorders>
          </w:tcPr>
          <w:p w:rsidR="00BD2181" w:rsidRPr="00BD2181" w:rsidRDefault="00BD2181" w:rsidP="005D3E74">
            <w:pPr>
              <w:pStyle w:val="ListParagraph"/>
              <w:spacing w:before="120" w:after="120"/>
              <w:ind w:left="0"/>
              <w:jc w:val="center"/>
              <w:rPr>
                <w:sz w:val="18"/>
                <w:szCs w:val="18"/>
              </w:rPr>
            </w:pPr>
            <w:r w:rsidRPr="00BD2181">
              <w:rPr>
                <w:sz w:val="18"/>
                <w:szCs w:val="18"/>
              </w:rPr>
              <w:t>1,250</w:t>
            </w:r>
          </w:p>
        </w:tc>
        <w:tc>
          <w:tcPr>
            <w:tcW w:w="983" w:type="dxa"/>
            <w:tcBorders>
              <w:bottom w:val="single" w:sz="4" w:space="0" w:color="auto"/>
            </w:tcBorders>
          </w:tcPr>
          <w:p w:rsidR="00BD2181" w:rsidRPr="00BD2181" w:rsidRDefault="00BD2181" w:rsidP="005D3E74">
            <w:pPr>
              <w:pStyle w:val="ListParagraph"/>
              <w:spacing w:before="120" w:after="120"/>
              <w:ind w:left="0"/>
              <w:jc w:val="center"/>
              <w:rPr>
                <w:sz w:val="18"/>
                <w:szCs w:val="18"/>
              </w:rPr>
            </w:pPr>
            <w:r w:rsidRPr="00BD2181">
              <w:rPr>
                <w:sz w:val="18"/>
                <w:szCs w:val="18"/>
              </w:rPr>
              <w:t>2,000</w:t>
            </w:r>
          </w:p>
        </w:tc>
        <w:tc>
          <w:tcPr>
            <w:tcW w:w="3254" w:type="dxa"/>
            <w:gridSpan w:val="3"/>
            <w:vMerge/>
          </w:tcPr>
          <w:p w:rsidR="00BD2181" w:rsidRPr="00BD2181" w:rsidRDefault="00BD2181" w:rsidP="005D3E74">
            <w:pPr>
              <w:pStyle w:val="ListParagraph"/>
              <w:spacing w:before="120" w:after="120"/>
              <w:ind w:left="0"/>
              <w:jc w:val="center"/>
              <w:rPr>
                <w:sz w:val="18"/>
                <w:szCs w:val="18"/>
              </w:rPr>
            </w:pPr>
          </w:p>
        </w:tc>
        <w:tc>
          <w:tcPr>
            <w:tcW w:w="799" w:type="dxa"/>
            <w:tcBorders>
              <w:bottom w:val="single" w:sz="4" w:space="0" w:color="auto"/>
            </w:tcBorders>
          </w:tcPr>
          <w:p w:rsidR="00BD2181" w:rsidRPr="00BD2181" w:rsidRDefault="00BD2181" w:rsidP="005D3E74">
            <w:pPr>
              <w:pStyle w:val="ListParagraph"/>
              <w:spacing w:before="120" w:after="120"/>
              <w:ind w:left="0"/>
              <w:jc w:val="center"/>
              <w:rPr>
                <w:sz w:val="18"/>
                <w:szCs w:val="18"/>
              </w:rPr>
            </w:pPr>
            <w:r w:rsidRPr="00BD2181">
              <w:rPr>
                <w:sz w:val="18"/>
                <w:szCs w:val="18"/>
              </w:rPr>
              <w:t>9,000</w:t>
            </w:r>
          </w:p>
        </w:tc>
      </w:tr>
      <w:tr w:rsidR="00BD2181" w:rsidRPr="00BD2181" w:rsidTr="00BD2181">
        <w:trPr>
          <w:trHeight w:val="488"/>
        </w:trPr>
        <w:tc>
          <w:tcPr>
            <w:tcW w:w="2513" w:type="dxa"/>
            <w:tcBorders>
              <w:bottom w:val="single" w:sz="4" w:space="0" w:color="auto"/>
            </w:tcBorders>
          </w:tcPr>
          <w:p w:rsidR="00BD2181" w:rsidRPr="00BD2181" w:rsidRDefault="00BD2181" w:rsidP="005D3E74">
            <w:pPr>
              <w:pStyle w:val="ListParagraph"/>
              <w:spacing w:before="120" w:after="120"/>
              <w:ind w:left="0"/>
              <w:rPr>
                <w:sz w:val="18"/>
                <w:szCs w:val="18"/>
              </w:rPr>
            </w:pPr>
            <w:r w:rsidRPr="00BD2181">
              <w:rPr>
                <w:sz w:val="18"/>
                <w:szCs w:val="18"/>
              </w:rPr>
              <w:t>Included within the application</w:t>
            </w:r>
          </w:p>
        </w:tc>
        <w:tc>
          <w:tcPr>
            <w:tcW w:w="1215" w:type="dxa"/>
            <w:tcBorders>
              <w:bottom w:val="single" w:sz="4" w:space="0" w:color="auto"/>
            </w:tcBorders>
          </w:tcPr>
          <w:p w:rsidR="00BD2181" w:rsidRPr="00BD2181" w:rsidRDefault="00BD2181" w:rsidP="005D3E74">
            <w:pPr>
              <w:pStyle w:val="ListParagraph"/>
              <w:spacing w:before="120" w:after="120"/>
              <w:ind w:left="0"/>
              <w:jc w:val="center"/>
              <w:rPr>
                <w:sz w:val="18"/>
                <w:szCs w:val="18"/>
              </w:rPr>
            </w:pPr>
            <w:r w:rsidRPr="00BD2181">
              <w:rPr>
                <w:sz w:val="18"/>
                <w:szCs w:val="18"/>
              </w:rPr>
              <w:t>519</w:t>
            </w:r>
          </w:p>
        </w:tc>
        <w:tc>
          <w:tcPr>
            <w:tcW w:w="983" w:type="dxa"/>
            <w:tcBorders>
              <w:bottom w:val="single" w:sz="4" w:space="0" w:color="auto"/>
            </w:tcBorders>
          </w:tcPr>
          <w:p w:rsidR="00BD2181" w:rsidRPr="00BD2181" w:rsidRDefault="00BD2181" w:rsidP="005D3E74">
            <w:pPr>
              <w:pStyle w:val="ListParagraph"/>
              <w:spacing w:before="120" w:after="120"/>
              <w:ind w:left="0"/>
              <w:jc w:val="center"/>
              <w:rPr>
                <w:sz w:val="18"/>
                <w:szCs w:val="18"/>
              </w:rPr>
            </w:pPr>
            <w:r w:rsidRPr="00BD2181">
              <w:rPr>
                <w:sz w:val="18"/>
                <w:szCs w:val="18"/>
              </w:rPr>
              <w:t>2,075</w:t>
            </w:r>
          </w:p>
        </w:tc>
        <w:tc>
          <w:tcPr>
            <w:tcW w:w="983" w:type="dxa"/>
            <w:tcBorders>
              <w:bottom w:val="single" w:sz="4" w:space="0" w:color="auto"/>
            </w:tcBorders>
          </w:tcPr>
          <w:p w:rsidR="00BD2181" w:rsidRPr="00BD2181" w:rsidRDefault="00BD2181" w:rsidP="005D3E74">
            <w:pPr>
              <w:pStyle w:val="ListParagraph"/>
              <w:spacing w:before="120" w:after="120"/>
              <w:ind w:left="0"/>
              <w:jc w:val="center"/>
              <w:rPr>
                <w:sz w:val="18"/>
                <w:szCs w:val="18"/>
              </w:rPr>
            </w:pPr>
            <w:r w:rsidRPr="00BD2181">
              <w:rPr>
                <w:sz w:val="18"/>
                <w:szCs w:val="18"/>
              </w:rPr>
              <w:t>2,077</w:t>
            </w:r>
          </w:p>
        </w:tc>
        <w:tc>
          <w:tcPr>
            <w:tcW w:w="3254" w:type="dxa"/>
            <w:gridSpan w:val="3"/>
            <w:vMerge/>
            <w:tcBorders>
              <w:bottom w:val="single" w:sz="4" w:space="0" w:color="auto"/>
            </w:tcBorders>
          </w:tcPr>
          <w:p w:rsidR="00BD2181" w:rsidRPr="00BD2181" w:rsidRDefault="00BD2181" w:rsidP="005D3E74">
            <w:pPr>
              <w:pStyle w:val="ListParagraph"/>
              <w:spacing w:before="120" w:after="120"/>
              <w:ind w:left="0"/>
              <w:jc w:val="center"/>
              <w:rPr>
                <w:sz w:val="18"/>
                <w:szCs w:val="18"/>
              </w:rPr>
            </w:pPr>
          </w:p>
        </w:tc>
        <w:tc>
          <w:tcPr>
            <w:tcW w:w="799" w:type="dxa"/>
            <w:tcBorders>
              <w:bottom w:val="single" w:sz="4" w:space="0" w:color="auto"/>
            </w:tcBorders>
          </w:tcPr>
          <w:p w:rsidR="00BD2181" w:rsidRPr="00BD2181" w:rsidRDefault="00BD2181" w:rsidP="005D3E74">
            <w:pPr>
              <w:pStyle w:val="ListParagraph"/>
              <w:spacing w:before="120" w:after="120"/>
              <w:ind w:left="0"/>
              <w:jc w:val="center"/>
              <w:rPr>
                <w:sz w:val="18"/>
                <w:szCs w:val="18"/>
              </w:rPr>
            </w:pPr>
            <w:r w:rsidRPr="00BD2181">
              <w:rPr>
                <w:sz w:val="18"/>
                <w:szCs w:val="18"/>
              </w:rPr>
              <w:t>10,431</w:t>
            </w:r>
          </w:p>
        </w:tc>
      </w:tr>
    </w:tbl>
    <w:p w:rsidR="00BD2181" w:rsidRPr="00BD2181" w:rsidRDefault="00BD2181" w:rsidP="00BD2181">
      <w:pPr>
        <w:pStyle w:val="ListParagraph"/>
        <w:spacing w:before="0" w:after="0"/>
        <w:ind w:left="0"/>
        <w:rPr>
          <w:b/>
          <w:sz w:val="20"/>
          <w:szCs w:val="20"/>
        </w:rPr>
      </w:pPr>
    </w:p>
    <w:p w:rsidR="00BD2181" w:rsidRPr="00BD2181" w:rsidRDefault="00BD2181" w:rsidP="00BD2181">
      <w:pPr>
        <w:pStyle w:val="Heading2"/>
        <w:rPr>
          <w:i w:val="0"/>
        </w:rPr>
      </w:pPr>
      <w:bookmarkStart w:id="50" w:name="_Toc441061233"/>
      <w:r w:rsidRPr="00BD2181">
        <w:rPr>
          <w:i w:val="0"/>
        </w:rPr>
        <w:t>Oxford Academic Health Science Network (OAHSN)</w:t>
      </w:r>
      <w:bookmarkEnd w:id="50"/>
    </w:p>
    <w:p w:rsidR="00BD2181" w:rsidRPr="00BD2181" w:rsidRDefault="00BD2181" w:rsidP="00BD2181">
      <w:pPr>
        <w:spacing w:after="0"/>
      </w:pPr>
      <w:r w:rsidRPr="00BD2181">
        <w:t>Oxford Health is hosting three of the 9 OAHSN Clinical Networks. These are Dementia; Early Intervention in Mental Health; and Anxiety and Depression (detailed below).</w:t>
      </w:r>
    </w:p>
    <w:p w:rsidR="00BD2181" w:rsidRPr="00BD2181" w:rsidRDefault="00BD2181" w:rsidP="00BD2181">
      <w:pPr>
        <w:spacing w:after="0"/>
      </w:pPr>
    </w:p>
    <w:tbl>
      <w:tblPr>
        <w:tblStyle w:val="TableGrid"/>
        <w:tblW w:w="9695" w:type="dxa"/>
        <w:tblInd w:w="108" w:type="dxa"/>
        <w:tblLook w:val="04A0" w:firstRow="1" w:lastRow="0" w:firstColumn="1" w:lastColumn="0" w:noHBand="0" w:noVBand="1"/>
      </w:tblPr>
      <w:tblGrid>
        <w:gridCol w:w="2410"/>
        <w:gridCol w:w="2126"/>
        <w:gridCol w:w="3498"/>
        <w:gridCol w:w="1661"/>
      </w:tblGrid>
      <w:tr w:rsidR="00BD2181" w:rsidRPr="00BD2181" w:rsidTr="005D3E74">
        <w:trPr>
          <w:trHeight w:val="178"/>
        </w:trPr>
        <w:tc>
          <w:tcPr>
            <w:tcW w:w="2410" w:type="dxa"/>
            <w:shd w:val="clear" w:color="auto" w:fill="8DB3E2" w:themeFill="text2" w:themeFillTint="66"/>
          </w:tcPr>
          <w:p w:rsidR="00BD2181" w:rsidRPr="00BD2181" w:rsidRDefault="00BD2181" w:rsidP="005D3E74">
            <w:pPr>
              <w:spacing w:before="120" w:after="0"/>
              <w:rPr>
                <w:b/>
                <w:sz w:val="20"/>
                <w:szCs w:val="20"/>
              </w:rPr>
            </w:pPr>
            <w:r w:rsidRPr="00BD2181">
              <w:rPr>
                <w:b/>
                <w:sz w:val="20"/>
                <w:szCs w:val="20"/>
              </w:rPr>
              <w:t xml:space="preserve">Network </w:t>
            </w:r>
          </w:p>
        </w:tc>
        <w:tc>
          <w:tcPr>
            <w:tcW w:w="2126" w:type="dxa"/>
            <w:shd w:val="clear" w:color="auto" w:fill="8DB3E2" w:themeFill="text2" w:themeFillTint="66"/>
          </w:tcPr>
          <w:p w:rsidR="00BD2181" w:rsidRPr="00BD2181" w:rsidRDefault="00BD2181" w:rsidP="005D3E74">
            <w:pPr>
              <w:spacing w:before="120" w:after="0"/>
              <w:jc w:val="center"/>
              <w:rPr>
                <w:b/>
                <w:sz w:val="20"/>
                <w:szCs w:val="20"/>
              </w:rPr>
            </w:pPr>
            <w:r w:rsidRPr="00BD2181">
              <w:rPr>
                <w:b/>
                <w:sz w:val="20"/>
                <w:szCs w:val="20"/>
              </w:rPr>
              <w:t>Lead</w:t>
            </w:r>
          </w:p>
        </w:tc>
        <w:tc>
          <w:tcPr>
            <w:tcW w:w="3498" w:type="dxa"/>
            <w:shd w:val="clear" w:color="auto" w:fill="8DB3E2" w:themeFill="text2" w:themeFillTint="66"/>
          </w:tcPr>
          <w:p w:rsidR="00BD2181" w:rsidRPr="00BD2181" w:rsidRDefault="00BD2181" w:rsidP="005D3E74">
            <w:pPr>
              <w:spacing w:before="120" w:after="0"/>
              <w:jc w:val="center"/>
              <w:rPr>
                <w:b/>
                <w:sz w:val="20"/>
                <w:szCs w:val="20"/>
              </w:rPr>
            </w:pPr>
            <w:r w:rsidRPr="00BD2181">
              <w:rPr>
                <w:b/>
                <w:sz w:val="20"/>
                <w:szCs w:val="20"/>
              </w:rPr>
              <w:t>Total Award</w:t>
            </w:r>
          </w:p>
        </w:tc>
        <w:tc>
          <w:tcPr>
            <w:tcW w:w="1661" w:type="dxa"/>
            <w:shd w:val="clear" w:color="auto" w:fill="8DB3E2" w:themeFill="text2" w:themeFillTint="66"/>
          </w:tcPr>
          <w:p w:rsidR="00BD2181" w:rsidRPr="00BD2181" w:rsidRDefault="00BD2181" w:rsidP="005D3E74">
            <w:pPr>
              <w:spacing w:before="120" w:after="0"/>
              <w:jc w:val="center"/>
            </w:pPr>
            <w:r w:rsidRPr="00BD2181">
              <w:rPr>
                <w:b/>
                <w:sz w:val="20"/>
                <w:szCs w:val="20"/>
              </w:rPr>
              <w:t>End Date</w:t>
            </w:r>
          </w:p>
        </w:tc>
      </w:tr>
      <w:tr w:rsidR="00BD2181" w:rsidRPr="00BD2181" w:rsidTr="005D3E74">
        <w:trPr>
          <w:trHeight w:val="20"/>
        </w:trPr>
        <w:tc>
          <w:tcPr>
            <w:tcW w:w="2410" w:type="dxa"/>
            <w:vAlign w:val="center"/>
          </w:tcPr>
          <w:p w:rsidR="00BD2181" w:rsidRPr="00BD2181" w:rsidRDefault="00BD2181" w:rsidP="005D3E74">
            <w:pPr>
              <w:spacing w:before="0" w:after="0"/>
              <w:jc w:val="left"/>
              <w:rPr>
                <w:sz w:val="20"/>
                <w:szCs w:val="20"/>
              </w:rPr>
            </w:pPr>
            <w:r w:rsidRPr="00BD2181">
              <w:rPr>
                <w:sz w:val="20"/>
                <w:szCs w:val="20"/>
              </w:rPr>
              <w:t>Dementia</w:t>
            </w:r>
          </w:p>
        </w:tc>
        <w:tc>
          <w:tcPr>
            <w:tcW w:w="2126" w:type="dxa"/>
            <w:vAlign w:val="center"/>
          </w:tcPr>
          <w:p w:rsidR="00BD2181" w:rsidRPr="00BD2181" w:rsidRDefault="00BD2181" w:rsidP="005D3E74">
            <w:pPr>
              <w:spacing w:before="0" w:after="0"/>
              <w:jc w:val="center"/>
              <w:rPr>
                <w:sz w:val="20"/>
                <w:szCs w:val="20"/>
              </w:rPr>
            </w:pPr>
            <w:proofErr w:type="spellStart"/>
            <w:r w:rsidRPr="00BD2181">
              <w:rPr>
                <w:sz w:val="20"/>
                <w:szCs w:val="20"/>
              </w:rPr>
              <w:t>Dr</w:t>
            </w:r>
            <w:proofErr w:type="spellEnd"/>
            <w:r w:rsidRPr="00BD2181">
              <w:rPr>
                <w:sz w:val="20"/>
                <w:szCs w:val="20"/>
              </w:rPr>
              <w:t xml:space="preserve"> Rupert McShane</w:t>
            </w:r>
          </w:p>
        </w:tc>
        <w:tc>
          <w:tcPr>
            <w:tcW w:w="3498" w:type="dxa"/>
            <w:vAlign w:val="center"/>
          </w:tcPr>
          <w:p w:rsidR="00BD2181" w:rsidRPr="00BD2181" w:rsidRDefault="00BD2181" w:rsidP="005D3E74">
            <w:pPr>
              <w:spacing w:before="0" w:after="0"/>
              <w:jc w:val="left"/>
              <w:rPr>
                <w:b/>
                <w:sz w:val="20"/>
                <w:szCs w:val="20"/>
              </w:rPr>
            </w:pPr>
            <w:r w:rsidRPr="00BD2181">
              <w:rPr>
                <w:b/>
                <w:sz w:val="20"/>
                <w:szCs w:val="20"/>
              </w:rPr>
              <w:t>Total £536k</w:t>
            </w:r>
          </w:p>
          <w:p w:rsidR="00BD2181" w:rsidRPr="00BD2181" w:rsidRDefault="00BD2181" w:rsidP="005D3E74">
            <w:pPr>
              <w:spacing w:before="0" w:after="0"/>
              <w:jc w:val="left"/>
              <w:rPr>
                <w:sz w:val="20"/>
                <w:szCs w:val="20"/>
              </w:rPr>
            </w:pPr>
            <w:r w:rsidRPr="00BD2181">
              <w:rPr>
                <w:sz w:val="20"/>
                <w:szCs w:val="20"/>
              </w:rPr>
              <w:t>£336k up to 31 March 16</w:t>
            </w:r>
          </w:p>
          <w:p w:rsidR="00BD2181" w:rsidRPr="00BD2181" w:rsidRDefault="00BD2181" w:rsidP="005D3E74">
            <w:pPr>
              <w:spacing w:before="0" w:after="0"/>
              <w:jc w:val="left"/>
              <w:rPr>
                <w:sz w:val="20"/>
                <w:szCs w:val="20"/>
              </w:rPr>
            </w:pPr>
            <w:r w:rsidRPr="00BD2181">
              <w:rPr>
                <w:sz w:val="20"/>
                <w:szCs w:val="20"/>
              </w:rPr>
              <w:t>Additional £200k has been agreed to fund the network until March 18</w:t>
            </w:r>
          </w:p>
        </w:tc>
        <w:tc>
          <w:tcPr>
            <w:tcW w:w="1661" w:type="dxa"/>
            <w:vAlign w:val="center"/>
          </w:tcPr>
          <w:p w:rsidR="00BD2181" w:rsidRPr="00BD2181" w:rsidRDefault="00BD2181" w:rsidP="005D3E74">
            <w:pPr>
              <w:spacing w:before="0" w:after="0"/>
              <w:jc w:val="center"/>
              <w:rPr>
                <w:sz w:val="20"/>
                <w:szCs w:val="20"/>
              </w:rPr>
            </w:pPr>
            <w:r w:rsidRPr="00BD2181">
              <w:rPr>
                <w:sz w:val="20"/>
                <w:szCs w:val="20"/>
              </w:rPr>
              <w:t>March 2018</w:t>
            </w:r>
          </w:p>
        </w:tc>
      </w:tr>
      <w:tr w:rsidR="00BD2181" w:rsidRPr="00BD2181" w:rsidTr="005D3E74">
        <w:trPr>
          <w:trHeight w:val="20"/>
        </w:trPr>
        <w:tc>
          <w:tcPr>
            <w:tcW w:w="2410" w:type="dxa"/>
            <w:vAlign w:val="center"/>
          </w:tcPr>
          <w:p w:rsidR="00BD2181" w:rsidRPr="00BD2181" w:rsidRDefault="00BD2181" w:rsidP="005D3E74">
            <w:pPr>
              <w:spacing w:before="0" w:after="0"/>
              <w:jc w:val="left"/>
              <w:rPr>
                <w:sz w:val="20"/>
                <w:szCs w:val="20"/>
              </w:rPr>
            </w:pPr>
            <w:r w:rsidRPr="00BD2181">
              <w:rPr>
                <w:sz w:val="20"/>
                <w:szCs w:val="20"/>
              </w:rPr>
              <w:t>Early Intervention in MH</w:t>
            </w:r>
          </w:p>
        </w:tc>
        <w:tc>
          <w:tcPr>
            <w:tcW w:w="2126" w:type="dxa"/>
            <w:vAlign w:val="center"/>
          </w:tcPr>
          <w:p w:rsidR="00BD2181" w:rsidRPr="00BD2181" w:rsidRDefault="00BD2181" w:rsidP="005D3E74">
            <w:pPr>
              <w:spacing w:before="0" w:after="0"/>
              <w:jc w:val="center"/>
              <w:rPr>
                <w:sz w:val="20"/>
                <w:szCs w:val="20"/>
              </w:rPr>
            </w:pPr>
            <w:r w:rsidRPr="00BD2181">
              <w:rPr>
                <w:sz w:val="20"/>
                <w:szCs w:val="20"/>
              </w:rPr>
              <w:t>Prof Belinda Lennox</w:t>
            </w:r>
          </w:p>
        </w:tc>
        <w:tc>
          <w:tcPr>
            <w:tcW w:w="3498" w:type="dxa"/>
            <w:vAlign w:val="center"/>
          </w:tcPr>
          <w:p w:rsidR="00BD2181" w:rsidRPr="00BD2181" w:rsidRDefault="00BD2181" w:rsidP="005D3E74">
            <w:pPr>
              <w:spacing w:before="0" w:after="0"/>
              <w:jc w:val="left"/>
              <w:rPr>
                <w:b/>
                <w:sz w:val="20"/>
                <w:szCs w:val="20"/>
              </w:rPr>
            </w:pPr>
            <w:r w:rsidRPr="00BD2181">
              <w:rPr>
                <w:b/>
                <w:sz w:val="20"/>
                <w:szCs w:val="20"/>
              </w:rPr>
              <w:t>Total £433k</w:t>
            </w:r>
          </w:p>
          <w:p w:rsidR="00BD2181" w:rsidRPr="00BD2181" w:rsidRDefault="00BD2181" w:rsidP="005D3E74">
            <w:pPr>
              <w:spacing w:before="0" w:after="0"/>
              <w:jc w:val="left"/>
              <w:rPr>
                <w:sz w:val="20"/>
                <w:szCs w:val="20"/>
              </w:rPr>
            </w:pPr>
            <w:r w:rsidRPr="00BD2181">
              <w:rPr>
                <w:sz w:val="20"/>
                <w:szCs w:val="20"/>
              </w:rPr>
              <w:t>£210k up to 31 March 16</w:t>
            </w:r>
          </w:p>
          <w:p w:rsidR="00BD2181" w:rsidRPr="00BD2181" w:rsidRDefault="00BD2181" w:rsidP="005D3E74">
            <w:pPr>
              <w:spacing w:before="0" w:after="0"/>
              <w:jc w:val="left"/>
              <w:rPr>
                <w:sz w:val="20"/>
                <w:szCs w:val="20"/>
              </w:rPr>
            </w:pPr>
            <w:r w:rsidRPr="00BD2181">
              <w:rPr>
                <w:sz w:val="20"/>
                <w:szCs w:val="20"/>
              </w:rPr>
              <w:t>Additional £223k has been agreed to fund the network until March 18</w:t>
            </w:r>
          </w:p>
        </w:tc>
        <w:tc>
          <w:tcPr>
            <w:tcW w:w="1661" w:type="dxa"/>
            <w:vAlign w:val="center"/>
          </w:tcPr>
          <w:p w:rsidR="00BD2181" w:rsidRPr="00BD2181" w:rsidRDefault="00BD2181" w:rsidP="005D3E74">
            <w:pPr>
              <w:spacing w:before="0" w:after="0"/>
              <w:jc w:val="center"/>
              <w:rPr>
                <w:sz w:val="20"/>
                <w:szCs w:val="20"/>
              </w:rPr>
            </w:pPr>
            <w:r w:rsidRPr="00BD2181">
              <w:rPr>
                <w:sz w:val="20"/>
                <w:szCs w:val="20"/>
              </w:rPr>
              <w:t>March 2018</w:t>
            </w:r>
          </w:p>
        </w:tc>
      </w:tr>
      <w:tr w:rsidR="00BD2181" w:rsidRPr="00BD2181" w:rsidTr="005D3E74">
        <w:trPr>
          <w:trHeight w:val="20"/>
        </w:trPr>
        <w:tc>
          <w:tcPr>
            <w:tcW w:w="2410" w:type="dxa"/>
            <w:vAlign w:val="center"/>
          </w:tcPr>
          <w:p w:rsidR="00BD2181" w:rsidRPr="00BD2181" w:rsidRDefault="00BD2181" w:rsidP="005D3E74">
            <w:pPr>
              <w:spacing w:before="0" w:after="0"/>
              <w:jc w:val="left"/>
              <w:rPr>
                <w:sz w:val="20"/>
                <w:szCs w:val="20"/>
              </w:rPr>
            </w:pPr>
            <w:r w:rsidRPr="00BD2181">
              <w:rPr>
                <w:sz w:val="20"/>
                <w:szCs w:val="20"/>
              </w:rPr>
              <w:t>Anxiety &amp; Depression</w:t>
            </w:r>
          </w:p>
        </w:tc>
        <w:tc>
          <w:tcPr>
            <w:tcW w:w="2126" w:type="dxa"/>
            <w:vAlign w:val="center"/>
          </w:tcPr>
          <w:p w:rsidR="00BD2181" w:rsidRPr="00BD2181" w:rsidRDefault="00BD2181" w:rsidP="005D3E74">
            <w:pPr>
              <w:spacing w:before="0" w:after="0"/>
              <w:jc w:val="center"/>
              <w:rPr>
                <w:sz w:val="20"/>
                <w:szCs w:val="20"/>
              </w:rPr>
            </w:pPr>
            <w:r w:rsidRPr="00BD2181">
              <w:rPr>
                <w:sz w:val="20"/>
                <w:szCs w:val="20"/>
              </w:rPr>
              <w:t>Prof David Clark</w:t>
            </w:r>
          </w:p>
        </w:tc>
        <w:tc>
          <w:tcPr>
            <w:tcW w:w="3498" w:type="dxa"/>
            <w:vAlign w:val="center"/>
          </w:tcPr>
          <w:p w:rsidR="00BD2181" w:rsidRPr="00BD2181" w:rsidRDefault="00BD2181" w:rsidP="005D3E74">
            <w:pPr>
              <w:autoSpaceDE w:val="0"/>
              <w:autoSpaceDN w:val="0"/>
              <w:adjustRightInd w:val="0"/>
              <w:spacing w:before="0" w:after="0"/>
              <w:jc w:val="left"/>
              <w:rPr>
                <w:b/>
                <w:sz w:val="20"/>
                <w:szCs w:val="20"/>
              </w:rPr>
            </w:pPr>
            <w:r w:rsidRPr="00BD2181">
              <w:rPr>
                <w:b/>
                <w:sz w:val="20"/>
                <w:szCs w:val="20"/>
              </w:rPr>
              <w:t>Total £490k</w:t>
            </w:r>
          </w:p>
          <w:p w:rsidR="00BD2181" w:rsidRPr="00BD2181" w:rsidRDefault="00BD2181" w:rsidP="005D3E74">
            <w:pPr>
              <w:autoSpaceDE w:val="0"/>
              <w:autoSpaceDN w:val="0"/>
              <w:adjustRightInd w:val="0"/>
              <w:spacing w:before="0" w:after="0"/>
              <w:jc w:val="left"/>
              <w:rPr>
                <w:sz w:val="20"/>
                <w:szCs w:val="20"/>
              </w:rPr>
            </w:pPr>
            <w:r w:rsidRPr="00BD2181">
              <w:rPr>
                <w:sz w:val="20"/>
                <w:szCs w:val="20"/>
              </w:rPr>
              <w:t>£220k up until March 16</w:t>
            </w:r>
          </w:p>
          <w:p w:rsidR="00BD2181" w:rsidRPr="00BD2181" w:rsidRDefault="00BD2181" w:rsidP="005D3E74">
            <w:pPr>
              <w:autoSpaceDE w:val="0"/>
              <w:autoSpaceDN w:val="0"/>
              <w:adjustRightInd w:val="0"/>
              <w:spacing w:before="0" w:after="0"/>
              <w:jc w:val="left"/>
              <w:rPr>
                <w:sz w:val="20"/>
                <w:szCs w:val="20"/>
              </w:rPr>
            </w:pPr>
            <w:r w:rsidRPr="00BD2181">
              <w:rPr>
                <w:sz w:val="20"/>
                <w:szCs w:val="20"/>
              </w:rPr>
              <w:t>Additional £270k has been agreed to fund the network until March 18</w:t>
            </w:r>
          </w:p>
        </w:tc>
        <w:tc>
          <w:tcPr>
            <w:tcW w:w="1661" w:type="dxa"/>
            <w:vAlign w:val="center"/>
          </w:tcPr>
          <w:p w:rsidR="00BD2181" w:rsidRPr="00BD2181" w:rsidRDefault="00BD2181" w:rsidP="005D3E74">
            <w:pPr>
              <w:spacing w:before="0" w:after="0"/>
              <w:jc w:val="center"/>
              <w:rPr>
                <w:sz w:val="20"/>
                <w:szCs w:val="20"/>
              </w:rPr>
            </w:pPr>
            <w:r w:rsidRPr="00BD2181">
              <w:rPr>
                <w:sz w:val="20"/>
                <w:szCs w:val="20"/>
              </w:rPr>
              <w:t>March 2018</w:t>
            </w:r>
          </w:p>
        </w:tc>
      </w:tr>
    </w:tbl>
    <w:p w:rsidR="00BD2181" w:rsidRPr="00BD2181" w:rsidRDefault="00BD2181" w:rsidP="00BD2181">
      <w:pPr>
        <w:spacing w:after="0"/>
      </w:pPr>
      <w:r w:rsidRPr="00BD2181">
        <w:t>The OASHN is seen as a clinical development rather than research and is reported separately in the finance report to the Board. The three networks hosted by the Trust are budgeted and forecast to breakeven</w:t>
      </w:r>
    </w:p>
    <w:p w:rsidR="00B466A4" w:rsidRPr="006F545A" w:rsidRDefault="009B51DB" w:rsidP="009B51DB">
      <w:pPr>
        <w:pStyle w:val="Heading1"/>
      </w:pPr>
      <w:bookmarkStart w:id="51" w:name="_Toc441061234"/>
      <w:r w:rsidRPr="006F545A">
        <w:t>Estates</w:t>
      </w:r>
      <w:bookmarkEnd w:id="51"/>
    </w:p>
    <w:p w:rsidR="006F545A" w:rsidRPr="006F545A" w:rsidRDefault="006F545A" w:rsidP="006F545A">
      <w:pPr>
        <w:rPr>
          <w:highlight w:val="yellow"/>
          <w:lang w:val="en-GB"/>
        </w:rPr>
      </w:pPr>
      <w:r>
        <w:rPr>
          <w:lang w:val="en-GB"/>
        </w:rPr>
        <w:t xml:space="preserve">Following delays progress is being made to relocate a number of research staff, primarily from the CRN into </w:t>
      </w:r>
      <w:r w:rsidRPr="006F545A">
        <w:rPr>
          <w:lang w:val="en-GB"/>
        </w:rPr>
        <w:t>office space next to the R&amp;D department and a move is imminent.  This will harness closer working relationships with the CRN in research study delivery.</w:t>
      </w:r>
    </w:p>
    <w:p w:rsidR="002D020A" w:rsidRPr="006F545A" w:rsidRDefault="009B51DB" w:rsidP="00245847">
      <w:pPr>
        <w:pStyle w:val="Heading1"/>
      </w:pPr>
      <w:bookmarkStart w:id="52" w:name="_Toc441061235"/>
      <w:r w:rsidRPr="006F545A">
        <w:t>Staffing</w:t>
      </w:r>
      <w:bookmarkEnd w:id="52"/>
    </w:p>
    <w:p w:rsidR="006F545A" w:rsidRDefault="006F545A" w:rsidP="006F545A">
      <w:pPr>
        <w:rPr>
          <w:lang w:val="en-GB"/>
        </w:rPr>
      </w:pPr>
      <w:r>
        <w:rPr>
          <w:lang w:val="en-GB"/>
        </w:rPr>
        <w:t xml:space="preserve">R&amp;D struggled to </w:t>
      </w:r>
      <w:r w:rsidRPr="006F545A">
        <w:rPr>
          <w:lang w:val="en-GB"/>
        </w:rPr>
        <w:t>recruit a suitable Band 7 sister to manage the Warneford CRN</w:t>
      </w:r>
      <w:r>
        <w:rPr>
          <w:lang w:val="en-GB"/>
        </w:rPr>
        <w:t xml:space="preserve"> during which time clinical </w:t>
      </w:r>
      <w:proofErr w:type="gramStart"/>
      <w:r>
        <w:rPr>
          <w:lang w:val="en-GB"/>
        </w:rPr>
        <w:t>staff were</w:t>
      </w:r>
      <w:proofErr w:type="gramEnd"/>
      <w:r>
        <w:rPr>
          <w:lang w:val="en-GB"/>
        </w:rPr>
        <w:t xml:space="preserve"> supported by a Band 7 nurse working within the Trust for the CRN.  Following various discussions with Trust senior nurses and the R&amp;D departme</w:t>
      </w:r>
      <w:r w:rsidR="00E97EAF">
        <w:rPr>
          <w:lang w:val="en-GB"/>
        </w:rPr>
        <w:t xml:space="preserve">nt it was agreed that an experiences research practitioner would take on the role of the </w:t>
      </w:r>
      <w:r w:rsidRPr="006F545A">
        <w:rPr>
          <w:lang w:val="en-GB"/>
        </w:rPr>
        <w:t>Lead Clinical Research Practitioner</w:t>
      </w:r>
      <w:r w:rsidR="00E97EAF">
        <w:rPr>
          <w:lang w:val="en-GB"/>
        </w:rPr>
        <w:t xml:space="preserve"> within the CRN and continue to be supported by </w:t>
      </w:r>
      <w:r w:rsidR="00C26EE4">
        <w:rPr>
          <w:lang w:val="en-GB"/>
        </w:rPr>
        <w:t>the Band 7 CRN nurse.  In addition a new post in collaboration with Brookes University is to be created to support research nurses in the delivery of research in addition to developing their own research studies.</w:t>
      </w:r>
    </w:p>
    <w:p w:rsidR="00C26EE4" w:rsidRPr="006F545A" w:rsidRDefault="00C26EE4" w:rsidP="006F545A">
      <w:pPr>
        <w:rPr>
          <w:lang w:val="en-GB"/>
        </w:rPr>
      </w:pPr>
      <w:r>
        <w:rPr>
          <w:lang w:val="en-GB"/>
        </w:rPr>
        <w:t xml:space="preserve">The </w:t>
      </w:r>
      <w:r w:rsidRPr="00C26EE4">
        <w:rPr>
          <w:lang w:val="en-GB"/>
        </w:rPr>
        <w:t>Research Governance Coordinator</w:t>
      </w:r>
      <w:r>
        <w:rPr>
          <w:lang w:val="en-GB"/>
        </w:rPr>
        <w:t xml:space="preserve"> has resigned from her post to join the team of research assistants embedded within the clinical teams across the Trust.  The post has been advertised and interviews scheduled for January 2016.</w:t>
      </w:r>
    </w:p>
    <w:p w:rsidR="00DD76D3" w:rsidRPr="0003213C" w:rsidRDefault="00DD76D3" w:rsidP="00220FB1">
      <w:pPr>
        <w:pStyle w:val="Heading1"/>
      </w:pPr>
      <w:bookmarkStart w:id="53" w:name="_Toc441061236"/>
      <w:r w:rsidRPr="0003213C">
        <w:lastRenderedPageBreak/>
        <w:t>Communications</w:t>
      </w:r>
      <w:bookmarkEnd w:id="53"/>
    </w:p>
    <w:p w:rsidR="00C26EE4" w:rsidRDefault="00C26EE4" w:rsidP="00C26EE4">
      <w:pPr>
        <w:pStyle w:val="Heading2"/>
        <w:rPr>
          <w:lang w:val="en-GB"/>
        </w:rPr>
      </w:pPr>
      <w:bookmarkStart w:id="54" w:name="_Toc441061237"/>
      <w:r>
        <w:rPr>
          <w:lang w:val="en-GB"/>
        </w:rPr>
        <w:t>Trust R&amp;D Website</w:t>
      </w:r>
      <w:bookmarkEnd w:id="54"/>
    </w:p>
    <w:p w:rsidR="008F70D8" w:rsidRPr="008F70D8" w:rsidRDefault="008F70D8" w:rsidP="008F70D8">
      <w:pPr>
        <w:rPr>
          <w:lang w:val="en-GB"/>
        </w:rPr>
      </w:pPr>
      <w:r>
        <w:rPr>
          <w:lang w:val="en-GB"/>
        </w:rPr>
        <w:t xml:space="preserve">A communications officer (Ruth Abraham), jointly appointed with the University of Oxford department of Psychiatry joined the Trust in July, working within the R&amp;D department for one day per week.  </w:t>
      </w:r>
      <w:r w:rsidRPr="008F70D8">
        <w:rPr>
          <w:lang w:val="en-GB"/>
        </w:rPr>
        <w:t>The focus of the last five month’s has been creating and launching a website that covers the R&amp;D arm of the Trust for a wide audience</w:t>
      </w:r>
      <w:r w:rsidR="0003213C">
        <w:rPr>
          <w:lang w:val="en-GB"/>
        </w:rPr>
        <w:t>,</w:t>
      </w:r>
      <w:r w:rsidRPr="008F70D8">
        <w:rPr>
          <w:lang w:val="en-GB"/>
        </w:rPr>
        <w:t xml:space="preserve"> both within the Trust, for patients, carers, health care professionals, researchers and externally to collaborators and funders.</w:t>
      </w:r>
      <w:r w:rsidR="0003213C">
        <w:rPr>
          <w:lang w:val="en-GB"/>
        </w:rPr>
        <w:t xml:space="preserve"> </w:t>
      </w:r>
      <w:r w:rsidRPr="008F70D8">
        <w:rPr>
          <w:lang w:val="en-GB"/>
        </w:rPr>
        <w:t>Consultation was carried with key stakeholders within R&amp;D and with the Trust’s central Communication Team to accommodate the diverse needs and purposes of the website, and also to ensure that it was in line with the Trust’s wider communications strategy.</w:t>
      </w:r>
    </w:p>
    <w:p w:rsidR="008F70D8" w:rsidRPr="008F70D8" w:rsidRDefault="008F70D8" w:rsidP="008F70D8">
      <w:pPr>
        <w:rPr>
          <w:lang w:val="en-GB"/>
        </w:rPr>
      </w:pPr>
      <w:r w:rsidRPr="008F70D8">
        <w:rPr>
          <w:lang w:val="en-GB"/>
        </w:rPr>
        <w:t>The website has key strands: About Us, Research Themes, Making a difference, Researcher’s Toolkit, News, Participate and Our Team. These will act as a place to showcase the positive impacts of research, offer patients and carers the chance to express interest in becoming involved in future research or shaping the ways it is conducted, and offer comprehensive guidance to researchers to conducting research, and a porthole for submitting research proposals.</w:t>
      </w:r>
    </w:p>
    <w:p w:rsidR="008F70D8" w:rsidRDefault="0003213C" w:rsidP="008F70D8">
      <w:pPr>
        <w:rPr>
          <w:lang w:val="en-GB"/>
        </w:rPr>
      </w:pPr>
      <w:r>
        <w:rPr>
          <w:lang w:val="en-GB"/>
        </w:rPr>
        <w:t xml:space="preserve">The website is now live with an official launch expected in February.  </w:t>
      </w:r>
      <w:r w:rsidR="008F70D8" w:rsidRPr="008F70D8">
        <w:rPr>
          <w:lang w:val="en-GB"/>
        </w:rPr>
        <w:t xml:space="preserve">Now that this hub is established </w:t>
      </w:r>
      <w:r>
        <w:rPr>
          <w:lang w:val="en-GB"/>
        </w:rPr>
        <w:t xml:space="preserve">it can be drawn upon and used </w:t>
      </w:r>
      <w:r w:rsidR="008F70D8" w:rsidRPr="008F70D8">
        <w:rPr>
          <w:lang w:val="en-GB"/>
        </w:rPr>
        <w:t>to broaden communication to feed into the Trust’s Twitter and Facebook campaigns, internal communications, and share the research news with a broader community.</w:t>
      </w:r>
    </w:p>
    <w:p w:rsidR="00C26EE4" w:rsidRDefault="00C26EE4" w:rsidP="00C26EE4">
      <w:pPr>
        <w:pStyle w:val="Heading2"/>
        <w:rPr>
          <w:lang w:val="en-GB"/>
        </w:rPr>
      </w:pPr>
      <w:bookmarkStart w:id="55" w:name="_Toc441061238"/>
      <w:r>
        <w:rPr>
          <w:lang w:val="en-GB"/>
        </w:rPr>
        <w:t>Radio Interview</w:t>
      </w:r>
      <w:bookmarkEnd w:id="55"/>
    </w:p>
    <w:p w:rsidR="00C26EE4" w:rsidRPr="008F70D8" w:rsidRDefault="00C26EE4" w:rsidP="008F70D8">
      <w:pPr>
        <w:rPr>
          <w:highlight w:val="yellow"/>
          <w:lang w:val="en-GB"/>
        </w:rPr>
      </w:pPr>
      <w:r>
        <w:rPr>
          <w:lang w:val="en-GB"/>
        </w:rPr>
        <w:t>Dr Andrew Molodynski featured on radio Oxford in October 2015 to promote World mental Health Day and raise awareness of the need for research, highlighting the success of one particular study (COFI) that has been supported by the team of research assistants embedded in the Trust.</w:t>
      </w:r>
    </w:p>
    <w:p w:rsidR="00C26EE4" w:rsidRDefault="00C26EE4" w:rsidP="00C26EE4">
      <w:pPr>
        <w:pStyle w:val="Heading2"/>
      </w:pPr>
      <w:bookmarkStart w:id="56" w:name="_Toc441061239"/>
      <w:r>
        <w:t>Research Open Day 16th December 2015</w:t>
      </w:r>
      <w:bookmarkEnd w:id="56"/>
    </w:p>
    <w:p w:rsidR="00C26EE4" w:rsidRDefault="00C26EE4" w:rsidP="00C26EE4">
      <w:r>
        <w:t>A Research Day was held on 16</w:t>
      </w:r>
      <w:r w:rsidRPr="00C26EE4">
        <w:rPr>
          <w:vertAlign w:val="superscript"/>
        </w:rPr>
        <w:t>th</w:t>
      </w:r>
      <w:r>
        <w:t xml:space="preserve"> December 2015 and provided a platform for researchers from a range of backgrounds within OHFT to present their projects and experiences of mental health research. A variety of research topics were covered from completed research projects, to those in progress, difficult to recruit populations, clinician’s experiences of working on research projects, and developments within the wider research community. Presentations also included new initiatives such as the development of the R&amp;D website, CRIS and future plans for the BRC. These themes were supported by a mix of presentations, posters, information and networking.  </w:t>
      </w:r>
    </w:p>
    <w:p w:rsidR="00C26EE4" w:rsidRDefault="00C26EE4" w:rsidP="00C26EE4">
      <w:r>
        <w:t xml:space="preserve">The audience for the day exceeded 85 people attending either sessions or the whole day from OHFT, OUH, Oxford University, service users and the public. Initial feedback has been very positive, further feedback will be provided via the trusts survey monkey account. This will enable us to fully assess the success of the day and to plan future research events. </w:t>
      </w:r>
    </w:p>
    <w:p w:rsidR="00C26EE4" w:rsidRDefault="00C26EE4" w:rsidP="00C26EE4">
      <w:r>
        <w:t xml:space="preserve">Collaboration between the teams working within research and development, such as the clinical research facility, communications and the research assistants; working alongside </w:t>
      </w:r>
      <w:r>
        <w:lastRenderedPageBreak/>
        <w:t xml:space="preserve">the trust communications team, the department of psychiatry, OUH and the CRN are what made the day a success.   </w:t>
      </w:r>
    </w:p>
    <w:p w:rsidR="00C26EE4" w:rsidRDefault="00C26EE4" w:rsidP="00C26EE4">
      <w:r>
        <w:t xml:space="preserve">Some of the quotes received so far include: </w:t>
      </w:r>
    </w:p>
    <w:p w:rsidR="00C26EE4" w:rsidRDefault="00C26EE4" w:rsidP="00C26EE4">
      <w:pPr>
        <w:ind w:firstLine="720"/>
      </w:pPr>
      <w:r>
        <w:t>‘</w:t>
      </w:r>
      <w:proofErr w:type="gramStart"/>
      <w:r>
        <w:t>loved</w:t>
      </w:r>
      <w:proofErr w:type="gramEnd"/>
      <w:r>
        <w:t xml:space="preserve"> everyone’s enthusiasm for improving healthcare’</w:t>
      </w:r>
    </w:p>
    <w:p w:rsidR="00C26EE4" w:rsidRDefault="00C26EE4" w:rsidP="00C26EE4">
      <w:pPr>
        <w:ind w:firstLine="720"/>
      </w:pPr>
      <w:r>
        <w:t>‘</w:t>
      </w:r>
      <w:proofErr w:type="gramStart"/>
      <w:r>
        <w:t>presentation</w:t>
      </w:r>
      <w:proofErr w:type="gramEnd"/>
      <w:r>
        <w:t xml:space="preserve"> accessible to all’</w:t>
      </w:r>
    </w:p>
    <w:p w:rsidR="00C26EE4" w:rsidRDefault="00C26EE4" w:rsidP="00C26EE4">
      <w:pPr>
        <w:ind w:firstLine="720"/>
      </w:pPr>
      <w:r>
        <w:t>‘</w:t>
      </w:r>
      <w:proofErr w:type="gramStart"/>
      <w:r>
        <w:t>well</w:t>
      </w:r>
      <w:proofErr w:type="gramEnd"/>
      <w:r>
        <w:t xml:space="preserve"> </w:t>
      </w:r>
      <w:proofErr w:type="spellStart"/>
      <w:r>
        <w:t>organised</w:t>
      </w:r>
      <w:proofErr w:type="spellEnd"/>
      <w:r>
        <w:t xml:space="preserve"> and inclusive’</w:t>
      </w:r>
    </w:p>
    <w:p w:rsidR="00546E14" w:rsidRDefault="00C26EE4" w:rsidP="00C26EE4">
      <w:pPr>
        <w:ind w:firstLine="720"/>
      </w:pPr>
      <w:r>
        <w:t>‘</w:t>
      </w:r>
      <w:proofErr w:type="gramStart"/>
      <w:r>
        <w:t>a</w:t>
      </w:r>
      <w:proofErr w:type="gramEnd"/>
      <w:r>
        <w:t xml:space="preserve"> good day providing a  good update on research going on in the trust’</w:t>
      </w:r>
    </w:p>
    <w:p w:rsidR="00C26EE4" w:rsidRDefault="00C26EE4" w:rsidP="00C26EE4">
      <w:pPr>
        <w:ind w:firstLine="720"/>
      </w:pPr>
    </w:p>
    <w:p w:rsidR="00C26EE4" w:rsidRPr="009672E7" w:rsidRDefault="00C26EE4" w:rsidP="00C26EE4">
      <w:pPr>
        <w:ind w:firstLine="720"/>
      </w:pPr>
    </w:p>
    <w:p w:rsidR="0073522A" w:rsidRDefault="002619EF" w:rsidP="0073522A">
      <w:pPr>
        <w:ind w:left="1440" w:hanging="1440"/>
        <w:rPr>
          <w:rFonts w:cs="Arial"/>
        </w:rPr>
      </w:pPr>
      <w:r>
        <w:rPr>
          <w:rFonts w:cs="Arial"/>
          <w:b/>
        </w:rPr>
        <w:t>Author</w:t>
      </w:r>
      <w:r w:rsidR="00E14C2D">
        <w:rPr>
          <w:rFonts w:cs="Arial"/>
          <w:b/>
        </w:rPr>
        <w:t>s</w:t>
      </w:r>
      <w:r>
        <w:rPr>
          <w:rFonts w:cs="Arial"/>
          <w:b/>
        </w:rPr>
        <w:t xml:space="preserve"> and T</w:t>
      </w:r>
      <w:r w:rsidR="0073522A">
        <w:rPr>
          <w:rFonts w:cs="Arial"/>
          <w:b/>
        </w:rPr>
        <w:t>itle:</w:t>
      </w:r>
      <w:r w:rsidR="0073522A">
        <w:rPr>
          <w:rFonts w:cs="Arial"/>
        </w:rPr>
        <w:t xml:space="preserve"> </w:t>
      </w:r>
      <w:r w:rsidR="0073522A">
        <w:rPr>
          <w:rFonts w:cs="Arial"/>
        </w:rPr>
        <w:tab/>
      </w:r>
      <w:r w:rsidR="00AC6AE5">
        <w:rPr>
          <w:rFonts w:cs="Arial"/>
        </w:rPr>
        <w:t xml:space="preserve">Professor </w:t>
      </w:r>
      <w:r w:rsidR="00A941AF">
        <w:rPr>
          <w:rFonts w:cs="Arial"/>
        </w:rPr>
        <w:t>John Geddes</w:t>
      </w:r>
      <w:r w:rsidR="00516AE8">
        <w:rPr>
          <w:rFonts w:cs="Arial"/>
        </w:rPr>
        <w:t>,</w:t>
      </w:r>
      <w:r w:rsidR="00A941AF">
        <w:rPr>
          <w:rFonts w:cs="Arial"/>
        </w:rPr>
        <w:t xml:space="preserve"> Emma Stratful</w:t>
      </w:r>
      <w:r w:rsidR="00516AE8">
        <w:rPr>
          <w:rFonts w:cs="Arial"/>
        </w:rPr>
        <w:t xml:space="preserve"> &amp; </w:t>
      </w:r>
      <w:proofErr w:type="spellStart"/>
      <w:r w:rsidR="00516AE8">
        <w:rPr>
          <w:rFonts w:cs="Arial"/>
        </w:rPr>
        <w:t>Dr</w:t>
      </w:r>
      <w:proofErr w:type="spellEnd"/>
      <w:r w:rsidR="00516AE8">
        <w:rPr>
          <w:rFonts w:cs="Arial"/>
        </w:rPr>
        <w:t xml:space="preserve"> Clive Meux</w:t>
      </w:r>
    </w:p>
    <w:p w:rsidR="0073522A" w:rsidRDefault="0073522A" w:rsidP="0073522A">
      <w:pPr>
        <w:rPr>
          <w:rFonts w:cs="Arial"/>
          <w:b/>
        </w:rPr>
      </w:pPr>
      <w:r>
        <w:rPr>
          <w:rFonts w:cs="Arial"/>
          <w:b/>
        </w:rPr>
        <w:t>Lead Executive Director:</w:t>
      </w:r>
      <w:r>
        <w:rPr>
          <w:rFonts w:cs="Arial"/>
          <w:b/>
        </w:rPr>
        <w:tab/>
      </w:r>
      <w:proofErr w:type="spellStart"/>
      <w:r w:rsidR="00AC6AE5" w:rsidRPr="00AC6AE5">
        <w:rPr>
          <w:rFonts w:cs="Arial"/>
        </w:rPr>
        <w:t>Dr</w:t>
      </w:r>
      <w:proofErr w:type="spellEnd"/>
      <w:r w:rsidR="00AC6AE5" w:rsidRPr="00AC6AE5">
        <w:rPr>
          <w:rFonts w:cs="Arial"/>
        </w:rPr>
        <w:t xml:space="preserve"> </w:t>
      </w:r>
      <w:r w:rsidR="00A941AF" w:rsidRPr="00A941AF">
        <w:rPr>
          <w:rFonts w:cs="Arial"/>
        </w:rPr>
        <w:t>Clive Meux</w:t>
      </w:r>
    </w:p>
    <w:p w:rsidR="0069120C" w:rsidRDefault="0069120C">
      <w:pPr>
        <w:spacing w:before="0" w:after="0"/>
        <w:jc w:val="left"/>
        <w:rPr>
          <w:rFonts w:cs="Arial"/>
        </w:rPr>
      </w:pPr>
    </w:p>
    <w:p w:rsidR="004F4BBA" w:rsidRDefault="004F4BBA" w:rsidP="00765972">
      <w:pPr>
        <w:numPr>
          <w:ilvl w:val="0"/>
          <w:numId w:val="1"/>
        </w:numPr>
        <w:spacing w:before="0" w:after="0"/>
        <w:rPr>
          <w:rFonts w:cs="Arial"/>
          <w:i/>
          <w:sz w:val="20"/>
          <w:szCs w:val="20"/>
        </w:rPr>
      </w:pPr>
      <w:r w:rsidRPr="0073522A">
        <w:rPr>
          <w:rFonts w:cs="Arial"/>
          <w:i/>
          <w:sz w:val="20"/>
          <w:szCs w:val="20"/>
        </w:rPr>
        <w:t>A risk assessment has been undertaken around the legal issues that this paper presents and there are no issues that need to be r</w:t>
      </w:r>
      <w:r w:rsidR="0073522A">
        <w:rPr>
          <w:rFonts w:cs="Arial"/>
          <w:i/>
          <w:sz w:val="20"/>
          <w:szCs w:val="20"/>
        </w:rPr>
        <w:t>eferred to the Trust Solicitors.</w:t>
      </w:r>
    </w:p>
    <w:p w:rsidR="00AA0C3F" w:rsidRDefault="00AA0C3F" w:rsidP="009B51DB">
      <w:pPr>
        <w:spacing w:before="0" w:after="0"/>
        <w:rPr>
          <w:rFonts w:cs="Arial"/>
          <w:i/>
          <w:sz w:val="20"/>
          <w:szCs w:val="20"/>
        </w:rPr>
      </w:pPr>
    </w:p>
    <w:p w:rsidR="00AA0C3F" w:rsidRDefault="00781566" w:rsidP="00765972">
      <w:pPr>
        <w:numPr>
          <w:ilvl w:val="0"/>
          <w:numId w:val="1"/>
        </w:numPr>
        <w:spacing w:before="0" w:after="0"/>
        <w:rPr>
          <w:rFonts w:cs="Arial"/>
          <w:i/>
          <w:sz w:val="20"/>
          <w:szCs w:val="20"/>
        </w:rPr>
      </w:pPr>
      <w:r>
        <w:rPr>
          <w:rFonts w:cs="Arial"/>
          <w:i/>
          <w:sz w:val="20"/>
          <w:szCs w:val="20"/>
        </w:rPr>
        <w:t>This paper (including all appendices) has been assessed against the Freedom of Information Act and the following applies:</w:t>
      </w:r>
    </w:p>
    <w:p w:rsidR="00CE32B2" w:rsidRDefault="00CE32B2" w:rsidP="00CE32B2">
      <w:pPr>
        <w:pStyle w:val="ListParagraph"/>
        <w:rPr>
          <w:rFonts w:cs="Arial"/>
          <w:i/>
          <w:sz w:val="20"/>
          <w:szCs w:val="20"/>
        </w:rPr>
      </w:pPr>
    </w:p>
    <w:p w:rsidR="00781566" w:rsidRDefault="00CE32B2" w:rsidP="00765972">
      <w:pPr>
        <w:numPr>
          <w:ilvl w:val="0"/>
          <w:numId w:val="2"/>
        </w:numPr>
        <w:spacing w:before="0" w:after="0"/>
        <w:rPr>
          <w:rFonts w:cs="Arial"/>
          <w:i/>
          <w:sz w:val="20"/>
          <w:szCs w:val="20"/>
        </w:rPr>
      </w:pPr>
      <w:r>
        <w:rPr>
          <w:rFonts w:cs="Arial"/>
          <w:i/>
          <w:sz w:val="20"/>
          <w:szCs w:val="20"/>
        </w:rPr>
        <w:t>T</w:t>
      </w:r>
      <w:r w:rsidR="00781566">
        <w:rPr>
          <w:rFonts w:cs="Arial"/>
          <w:i/>
          <w:sz w:val="20"/>
          <w:szCs w:val="20"/>
        </w:rPr>
        <w:t>HIS PAPER MAY BE PUBLISHED UNDER FOI</w:t>
      </w:r>
    </w:p>
    <w:p w:rsidR="00781566" w:rsidRDefault="00781566" w:rsidP="009B51DB">
      <w:pPr>
        <w:spacing w:before="0" w:after="0"/>
        <w:rPr>
          <w:rFonts w:cs="Arial"/>
          <w:i/>
          <w:sz w:val="20"/>
          <w:szCs w:val="20"/>
        </w:rPr>
      </w:pPr>
    </w:p>
    <w:p w:rsidR="00781566" w:rsidRDefault="00781566" w:rsidP="009B51DB">
      <w:pPr>
        <w:spacing w:before="0" w:after="0"/>
        <w:ind w:left="720"/>
        <w:rPr>
          <w:rFonts w:cs="Arial"/>
          <w:i/>
          <w:sz w:val="20"/>
          <w:szCs w:val="20"/>
        </w:rPr>
      </w:pPr>
    </w:p>
    <w:p w:rsidR="00AA0C3F" w:rsidRPr="0073522A" w:rsidRDefault="00AA0C3F" w:rsidP="009B51DB">
      <w:pPr>
        <w:spacing w:before="0" w:after="0"/>
        <w:rPr>
          <w:rFonts w:cs="Arial"/>
          <w:i/>
          <w:sz w:val="20"/>
          <w:szCs w:val="20"/>
        </w:rPr>
      </w:pPr>
    </w:p>
    <w:p w:rsidR="005D3499" w:rsidRPr="00AF0562" w:rsidRDefault="004F4BBA" w:rsidP="00765972">
      <w:pPr>
        <w:numPr>
          <w:ilvl w:val="0"/>
          <w:numId w:val="1"/>
        </w:numPr>
        <w:spacing w:before="0" w:after="0"/>
        <w:rPr>
          <w:rFonts w:cs="Arial"/>
          <w:sz w:val="20"/>
          <w:szCs w:val="20"/>
        </w:rPr>
      </w:pPr>
      <w:r w:rsidRPr="0073522A">
        <w:rPr>
          <w:rFonts w:cs="Arial"/>
          <w:i/>
          <w:sz w:val="20"/>
          <w:szCs w:val="20"/>
        </w:rPr>
        <w:t xml:space="preserve">This paper provides assurance and evidence against </w:t>
      </w:r>
      <w:r w:rsidR="00CE32B2">
        <w:rPr>
          <w:rFonts w:cs="Arial"/>
          <w:i/>
          <w:sz w:val="20"/>
          <w:szCs w:val="20"/>
        </w:rPr>
        <w:t xml:space="preserve">various </w:t>
      </w:r>
      <w:r w:rsidR="00946E6E">
        <w:rPr>
          <w:rFonts w:cs="Arial"/>
          <w:i/>
          <w:sz w:val="20"/>
          <w:szCs w:val="20"/>
        </w:rPr>
        <w:t>Care Quality Commission Outcome</w:t>
      </w:r>
      <w:r w:rsidR="00CE32B2">
        <w:rPr>
          <w:rFonts w:cs="Arial"/>
          <w:i/>
          <w:sz w:val="20"/>
          <w:szCs w:val="20"/>
        </w:rPr>
        <w:t>s</w:t>
      </w:r>
    </w:p>
    <w:p w:rsidR="00441AEA" w:rsidRDefault="00441AEA">
      <w:pPr>
        <w:spacing w:before="0" w:after="0"/>
        <w:jc w:val="left"/>
        <w:rPr>
          <w:b/>
        </w:rPr>
      </w:pPr>
    </w:p>
    <w:sectPr w:rsidR="00441AEA" w:rsidSect="00F06004">
      <w:headerReference w:type="default" r:id="rId17"/>
      <w:footerReference w:type="default" r:id="rId18"/>
      <w:pgSz w:w="11907" w:h="16839"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B8F" w:rsidRDefault="00ED1B8F" w:rsidP="005B3E3C">
      <w:r>
        <w:separator/>
      </w:r>
    </w:p>
  </w:endnote>
  <w:endnote w:type="continuationSeparator" w:id="0">
    <w:p w:rsidR="00ED1B8F" w:rsidRDefault="00ED1B8F"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
    <w:altName w:val="Corbel"/>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176343232"/>
      <w:docPartObj>
        <w:docPartGallery w:val="Page Numbers (Bottom of Page)"/>
        <w:docPartUnique/>
      </w:docPartObj>
    </w:sdtPr>
    <w:sdtEndPr/>
    <w:sdtContent>
      <w:sdt>
        <w:sdtPr>
          <w:rPr>
            <w:sz w:val="20"/>
            <w:szCs w:val="20"/>
          </w:rPr>
          <w:id w:val="-1669238322"/>
          <w:docPartObj>
            <w:docPartGallery w:val="Page Numbers (Top of Page)"/>
            <w:docPartUnique/>
          </w:docPartObj>
        </w:sdtPr>
        <w:sdtEndPr/>
        <w:sdtContent>
          <w:p w:rsidR="00ED1B8F" w:rsidRPr="009E2BDF" w:rsidRDefault="00ED1B8F">
            <w:pPr>
              <w:pStyle w:val="Footer"/>
              <w:jc w:val="center"/>
              <w:rPr>
                <w:sz w:val="20"/>
                <w:szCs w:val="20"/>
              </w:rPr>
            </w:pPr>
            <w:r w:rsidRPr="009E2BDF">
              <w:rPr>
                <w:sz w:val="20"/>
                <w:szCs w:val="20"/>
              </w:rPr>
              <w:t xml:space="preserve">Page </w:t>
            </w:r>
            <w:r w:rsidRPr="009E2BDF">
              <w:rPr>
                <w:b/>
                <w:bCs/>
                <w:sz w:val="20"/>
                <w:szCs w:val="20"/>
              </w:rPr>
              <w:fldChar w:fldCharType="begin"/>
            </w:r>
            <w:r w:rsidRPr="009E2BDF">
              <w:rPr>
                <w:b/>
                <w:bCs/>
                <w:sz w:val="20"/>
                <w:szCs w:val="20"/>
              </w:rPr>
              <w:instrText xml:space="preserve"> PAGE </w:instrText>
            </w:r>
            <w:r w:rsidRPr="009E2BDF">
              <w:rPr>
                <w:b/>
                <w:bCs/>
                <w:sz w:val="20"/>
                <w:szCs w:val="20"/>
              </w:rPr>
              <w:fldChar w:fldCharType="separate"/>
            </w:r>
            <w:r w:rsidR="00F33B50">
              <w:rPr>
                <w:b/>
                <w:bCs/>
                <w:noProof/>
                <w:sz w:val="20"/>
                <w:szCs w:val="20"/>
              </w:rPr>
              <w:t>1</w:t>
            </w:r>
            <w:r w:rsidRPr="009E2BDF">
              <w:rPr>
                <w:b/>
                <w:bCs/>
                <w:sz w:val="20"/>
                <w:szCs w:val="20"/>
              </w:rPr>
              <w:fldChar w:fldCharType="end"/>
            </w:r>
            <w:r w:rsidRPr="009E2BDF">
              <w:rPr>
                <w:sz w:val="20"/>
                <w:szCs w:val="20"/>
              </w:rPr>
              <w:t xml:space="preserve"> of </w:t>
            </w:r>
            <w:r w:rsidRPr="009E2BDF">
              <w:rPr>
                <w:b/>
                <w:bCs/>
                <w:sz w:val="20"/>
                <w:szCs w:val="20"/>
              </w:rPr>
              <w:fldChar w:fldCharType="begin"/>
            </w:r>
            <w:r w:rsidRPr="009E2BDF">
              <w:rPr>
                <w:b/>
                <w:bCs/>
                <w:sz w:val="20"/>
                <w:szCs w:val="20"/>
              </w:rPr>
              <w:instrText xml:space="preserve"> NUMPAGES  </w:instrText>
            </w:r>
            <w:r w:rsidRPr="009E2BDF">
              <w:rPr>
                <w:b/>
                <w:bCs/>
                <w:sz w:val="20"/>
                <w:szCs w:val="20"/>
              </w:rPr>
              <w:fldChar w:fldCharType="separate"/>
            </w:r>
            <w:r w:rsidR="00F33B50">
              <w:rPr>
                <w:b/>
                <w:bCs/>
                <w:noProof/>
                <w:sz w:val="20"/>
                <w:szCs w:val="20"/>
              </w:rPr>
              <w:t>27</w:t>
            </w:r>
            <w:r w:rsidRPr="009E2BDF">
              <w:rPr>
                <w:b/>
                <w:bCs/>
                <w:sz w:val="20"/>
                <w:szCs w:val="20"/>
              </w:rPr>
              <w:fldChar w:fldCharType="end"/>
            </w:r>
          </w:p>
        </w:sdtContent>
      </w:sdt>
    </w:sdtContent>
  </w:sdt>
  <w:p w:rsidR="00ED1B8F" w:rsidRDefault="00ED1B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B8F" w:rsidRDefault="00ED1B8F" w:rsidP="005B3E3C">
      <w:r>
        <w:separator/>
      </w:r>
    </w:p>
  </w:footnote>
  <w:footnote w:type="continuationSeparator" w:id="0">
    <w:p w:rsidR="00ED1B8F" w:rsidRDefault="00ED1B8F" w:rsidP="005B3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B8F" w:rsidRPr="005B3E3C" w:rsidRDefault="00ED1B8F" w:rsidP="005B3E3C">
    <w:pPr>
      <w:pStyle w:val="Header"/>
      <w:jc w:val="center"/>
      <w:rPr>
        <w:rFonts w:cs="Arial"/>
      </w:rPr>
    </w:pPr>
    <w:r>
      <w:rPr>
        <w:rFonts w:cs="Arial"/>
      </w:rPr>
      <w:t>[</w:t>
    </w:r>
    <w:proofErr w:type="gramStart"/>
    <w:r>
      <w:rPr>
        <w:rFonts w:cs="Arial"/>
        <w:b/>
        <w:i/>
      </w:rPr>
      <w:t>PUBLIC</w:t>
    </w:r>
    <w:r>
      <w:rPr>
        <w:rFonts w:cs="Arial"/>
        <w:sz w:val="20"/>
        <w:szCs w:val="20"/>
      </w:rPr>
      <w:t xml:space="preserve"> </w:t>
    </w:r>
    <w:r>
      <w:rPr>
        <w:rFonts w:cs="Arial"/>
      </w:rPr>
      <w:t>]</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14DEA"/>
    <w:multiLevelType w:val="hybridMultilevel"/>
    <w:tmpl w:val="A322F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1B5834"/>
    <w:multiLevelType w:val="hybridMultilevel"/>
    <w:tmpl w:val="F2D8F2B6"/>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
    <w:nsid w:val="07267999"/>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07903DC8"/>
    <w:multiLevelType w:val="hybridMultilevel"/>
    <w:tmpl w:val="338278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117487"/>
    <w:multiLevelType w:val="hybridMultilevel"/>
    <w:tmpl w:val="6232A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157B89"/>
    <w:multiLevelType w:val="hybridMultilevel"/>
    <w:tmpl w:val="309E6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C830971"/>
    <w:multiLevelType w:val="hybridMultilevel"/>
    <w:tmpl w:val="C4905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8E2FCE"/>
    <w:multiLevelType w:val="hybridMultilevel"/>
    <w:tmpl w:val="762CDCD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8">
    <w:nsid w:val="23F22CBD"/>
    <w:multiLevelType w:val="hybridMultilevel"/>
    <w:tmpl w:val="CE902A2C"/>
    <w:lvl w:ilvl="0" w:tplc="08090001">
      <w:start w:val="1"/>
      <w:numFmt w:val="bullet"/>
      <w:lvlText w:val=""/>
      <w:lvlJc w:val="left"/>
      <w:pPr>
        <w:ind w:left="720" w:hanging="360"/>
      </w:pPr>
      <w:rPr>
        <w:rFonts w:ascii="Symbol" w:hAnsi="Symbol" w:hint="default"/>
      </w:rPr>
    </w:lvl>
    <w:lvl w:ilvl="1" w:tplc="3AB8222A">
      <w:start w:val="1"/>
      <w:numFmt w:val="bullet"/>
      <w:lvlText w:val="·"/>
      <w:lvlJc w:val="left"/>
      <w:pPr>
        <w:ind w:left="1440" w:hanging="360"/>
      </w:pPr>
      <w:rPr>
        <w:rFonts w:ascii="Arial" w:eastAsiaTheme="maj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8C0766D"/>
    <w:multiLevelType w:val="hybridMultilevel"/>
    <w:tmpl w:val="F710D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A5C3E29"/>
    <w:multiLevelType w:val="hybridMultilevel"/>
    <w:tmpl w:val="695A01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26F78CE"/>
    <w:multiLevelType w:val="hybridMultilevel"/>
    <w:tmpl w:val="80CECEC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2">
    <w:nsid w:val="38752D1E"/>
    <w:multiLevelType w:val="hybridMultilevel"/>
    <w:tmpl w:val="1E062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BAF7263"/>
    <w:multiLevelType w:val="hybridMultilevel"/>
    <w:tmpl w:val="0DE69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48442D70"/>
    <w:multiLevelType w:val="hybridMultilevel"/>
    <w:tmpl w:val="ED08D136"/>
    <w:lvl w:ilvl="0" w:tplc="08090001">
      <w:start w:val="1"/>
      <w:numFmt w:val="bullet"/>
      <w:lvlText w:val=""/>
      <w:lvlJc w:val="left"/>
      <w:pPr>
        <w:ind w:left="720" w:hanging="360"/>
      </w:pPr>
      <w:rPr>
        <w:rFonts w:ascii="Symbol" w:hAnsi="Symbol" w:hint="default"/>
      </w:rPr>
    </w:lvl>
    <w:lvl w:ilvl="1" w:tplc="832A6C32">
      <w:start w:val="1"/>
      <w:numFmt w:val="bullet"/>
      <w:lvlText w:val="-"/>
      <w:lvlJc w:val="left"/>
      <w:pPr>
        <w:ind w:left="1620" w:hanging="540"/>
      </w:pPr>
      <w:rPr>
        <w:rFonts w:ascii="Arial" w:eastAsiaTheme="maj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EBC56AC"/>
    <w:multiLevelType w:val="hybridMultilevel"/>
    <w:tmpl w:val="BB486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1683C0C"/>
    <w:multiLevelType w:val="hybridMultilevel"/>
    <w:tmpl w:val="E6D65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3187F96"/>
    <w:multiLevelType w:val="hybridMultilevel"/>
    <w:tmpl w:val="DAEC4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57E114CD"/>
    <w:multiLevelType w:val="hybridMultilevel"/>
    <w:tmpl w:val="8216F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BEC4327"/>
    <w:multiLevelType w:val="hybridMultilevel"/>
    <w:tmpl w:val="EE946C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5C794EB6"/>
    <w:multiLevelType w:val="hybridMultilevel"/>
    <w:tmpl w:val="BFB07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F9222DE"/>
    <w:multiLevelType w:val="hybridMultilevel"/>
    <w:tmpl w:val="E5B2605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4">
    <w:nsid w:val="607F2DA9"/>
    <w:multiLevelType w:val="hybridMultilevel"/>
    <w:tmpl w:val="E54C2E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894348D"/>
    <w:multiLevelType w:val="hybridMultilevel"/>
    <w:tmpl w:val="A79C8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BF57259"/>
    <w:multiLevelType w:val="hybridMultilevel"/>
    <w:tmpl w:val="287A5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D312E02"/>
    <w:multiLevelType w:val="hybridMultilevel"/>
    <w:tmpl w:val="D382B6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nsid w:val="76DC1A98"/>
    <w:multiLevelType w:val="hybridMultilevel"/>
    <w:tmpl w:val="E7809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CC435C3"/>
    <w:multiLevelType w:val="hybridMultilevel"/>
    <w:tmpl w:val="550E703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30">
    <w:nsid w:val="7D8C35AC"/>
    <w:multiLevelType w:val="hybridMultilevel"/>
    <w:tmpl w:val="6E4005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F746C2B"/>
    <w:multiLevelType w:val="hybridMultilevel"/>
    <w:tmpl w:val="EE20DC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9"/>
  </w:num>
  <w:num w:numId="3">
    <w:abstractNumId w:val="2"/>
  </w:num>
  <w:num w:numId="4">
    <w:abstractNumId w:val="30"/>
  </w:num>
  <w:num w:numId="5">
    <w:abstractNumId w:val="5"/>
  </w:num>
  <w:num w:numId="6">
    <w:abstractNumId w:val="8"/>
  </w:num>
  <w:num w:numId="7">
    <w:abstractNumId w:val="15"/>
  </w:num>
  <w:num w:numId="8">
    <w:abstractNumId w:val="3"/>
  </w:num>
  <w:num w:numId="9">
    <w:abstractNumId w:val="11"/>
  </w:num>
  <w:num w:numId="10">
    <w:abstractNumId w:val="1"/>
  </w:num>
  <w:num w:numId="11">
    <w:abstractNumId w:val="22"/>
  </w:num>
  <w:num w:numId="12">
    <w:abstractNumId w:val="20"/>
  </w:num>
  <w:num w:numId="13">
    <w:abstractNumId w:val="26"/>
  </w:num>
  <w:num w:numId="14">
    <w:abstractNumId w:val="25"/>
  </w:num>
  <w:num w:numId="15">
    <w:abstractNumId w:val="6"/>
  </w:num>
  <w:num w:numId="16">
    <w:abstractNumId w:val="18"/>
  </w:num>
  <w:num w:numId="17">
    <w:abstractNumId w:val="28"/>
  </w:num>
  <w:num w:numId="18">
    <w:abstractNumId w:val="12"/>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24"/>
  </w:num>
  <w:num w:numId="22">
    <w:abstractNumId w:val="2"/>
  </w:num>
  <w:num w:numId="23">
    <w:abstractNumId w:val="2"/>
  </w:num>
  <w:num w:numId="24">
    <w:abstractNumId w:val="2"/>
  </w:num>
  <w:num w:numId="25">
    <w:abstractNumId w:val="21"/>
  </w:num>
  <w:num w:numId="26">
    <w:abstractNumId w:val="2"/>
  </w:num>
  <w:num w:numId="27">
    <w:abstractNumId w:val="2"/>
  </w:num>
  <w:num w:numId="28">
    <w:abstractNumId w:val="2"/>
  </w:num>
  <w:num w:numId="29">
    <w:abstractNumId w:val="2"/>
  </w:num>
  <w:num w:numId="30">
    <w:abstractNumId w:val="0"/>
  </w:num>
  <w:num w:numId="31">
    <w:abstractNumId w:val="31"/>
  </w:num>
  <w:num w:numId="32">
    <w:abstractNumId w:val="10"/>
  </w:num>
  <w:num w:numId="33">
    <w:abstractNumId w:val="16"/>
  </w:num>
  <w:num w:numId="34">
    <w:abstractNumId w:val="17"/>
  </w:num>
  <w:num w:numId="35">
    <w:abstractNumId w:val="23"/>
  </w:num>
  <w:num w:numId="36">
    <w:abstractNumId w:val="9"/>
  </w:num>
  <w:num w:numId="37">
    <w:abstractNumId w:val="29"/>
  </w:num>
  <w:num w:numId="38">
    <w:abstractNumId w:val="4"/>
  </w:num>
  <w:num w:numId="39">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E8"/>
    <w:rsid w:val="00000017"/>
    <w:rsid w:val="00007921"/>
    <w:rsid w:val="00025680"/>
    <w:rsid w:val="0003213C"/>
    <w:rsid w:val="00044520"/>
    <w:rsid w:val="000447B7"/>
    <w:rsid w:val="00045FC7"/>
    <w:rsid w:val="0004717C"/>
    <w:rsid w:val="00052014"/>
    <w:rsid w:val="00053E9C"/>
    <w:rsid w:val="0007743B"/>
    <w:rsid w:val="00085200"/>
    <w:rsid w:val="00095F70"/>
    <w:rsid w:val="000963FE"/>
    <w:rsid w:val="000B1F95"/>
    <w:rsid w:val="000B3543"/>
    <w:rsid w:val="000B4BB5"/>
    <w:rsid w:val="000B504A"/>
    <w:rsid w:val="000C040F"/>
    <w:rsid w:val="000C2DF4"/>
    <w:rsid w:val="000C5599"/>
    <w:rsid w:val="000C5B15"/>
    <w:rsid w:val="000D2F38"/>
    <w:rsid w:val="000D368B"/>
    <w:rsid w:val="000D6763"/>
    <w:rsid w:val="000E3068"/>
    <w:rsid w:val="000E33E4"/>
    <w:rsid w:val="000E64BF"/>
    <w:rsid w:val="000F2D6A"/>
    <w:rsid w:val="0011026C"/>
    <w:rsid w:val="00110923"/>
    <w:rsid w:val="00112658"/>
    <w:rsid w:val="00114B10"/>
    <w:rsid w:val="001217A2"/>
    <w:rsid w:val="001303C4"/>
    <w:rsid w:val="00142326"/>
    <w:rsid w:val="00143529"/>
    <w:rsid w:val="00144009"/>
    <w:rsid w:val="0014770C"/>
    <w:rsid w:val="0015197A"/>
    <w:rsid w:val="00155CDB"/>
    <w:rsid w:val="00156834"/>
    <w:rsid w:val="00160147"/>
    <w:rsid w:val="00171EAB"/>
    <w:rsid w:val="001753B0"/>
    <w:rsid w:val="0018103A"/>
    <w:rsid w:val="00181619"/>
    <w:rsid w:val="001823C8"/>
    <w:rsid w:val="001832D9"/>
    <w:rsid w:val="00185136"/>
    <w:rsid w:val="00185CF4"/>
    <w:rsid w:val="00186E89"/>
    <w:rsid w:val="001909B9"/>
    <w:rsid w:val="001911BD"/>
    <w:rsid w:val="00193A96"/>
    <w:rsid w:val="00197F65"/>
    <w:rsid w:val="001A193F"/>
    <w:rsid w:val="001A5747"/>
    <w:rsid w:val="001C29FB"/>
    <w:rsid w:val="001E1B9C"/>
    <w:rsid w:val="001E5A95"/>
    <w:rsid w:val="001F76ED"/>
    <w:rsid w:val="00203704"/>
    <w:rsid w:val="002047A3"/>
    <w:rsid w:val="00205D05"/>
    <w:rsid w:val="00211268"/>
    <w:rsid w:val="00213AC0"/>
    <w:rsid w:val="002143B8"/>
    <w:rsid w:val="00217764"/>
    <w:rsid w:val="00220FB1"/>
    <w:rsid w:val="00227FCE"/>
    <w:rsid w:val="00231278"/>
    <w:rsid w:val="00232337"/>
    <w:rsid w:val="00236510"/>
    <w:rsid w:val="00236A0A"/>
    <w:rsid w:val="00237382"/>
    <w:rsid w:val="00245847"/>
    <w:rsid w:val="002516BA"/>
    <w:rsid w:val="0025362C"/>
    <w:rsid w:val="002619EF"/>
    <w:rsid w:val="00261D54"/>
    <w:rsid w:val="00263D1F"/>
    <w:rsid w:val="00272563"/>
    <w:rsid w:val="0028184A"/>
    <w:rsid w:val="002821F8"/>
    <w:rsid w:val="0028772A"/>
    <w:rsid w:val="00292613"/>
    <w:rsid w:val="002A07AA"/>
    <w:rsid w:val="002A1517"/>
    <w:rsid w:val="002A73E8"/>
    <w:rsid w:val="002B5507"/>
    <w:rsid w:val="002C2F97"/>
    <w:rsid w:val="002C3CD6"/>
    <w:rsid w:val="002D020A"/>
    <w:rsid w:val="002D0EB2"/>
    <w:rsid w:val="002D0EF7"/>
    <w:rsid w:val="002E1562"/>
    <w:rsid w:val="002E324D"/>
    <w:rsid w:val="002E6985"/>
    <w:rsid w:val="002E6FC6"/>
    <w:rsid w:val="002F1851"/>
    <w:rsid w:val="002F1EDB"/>
    <w:rsid w:val="002F70B5"/>
    <w:rsid w:val="00322BB7"/>
    <w:rsid w:val="0032373A"/>
    <w:rsid w:val="00331241"/>
    <w:rsid w:val="00333D76"/>
    <w:rsid w:val="00335416"/>
    <w:rsid w:val="00340A32"/>
    <w:rsid w:val="00340CE6"/>
    <w:rsid w:val="003410AF"/>
    <w:rsid w:val="00345BFA"/>
    <w:rsid w:val="0035353A"/>
    <w:rsid w:val="00361125"/>
    <w:rsid w:val="00361EDC"/>
    <w:rsid w:val="00367C18"/>
    <w:rsid w:val="00381BC8"/>
    <w:rsid w:val="00390CB5"/>
    <w:rsid w:val="003971F6"/>
    <w:rsid w:val="003A761B"/>
    <w:rsid w:val="003B7C0D"/>
    <w:rsid w:val="003C3D52"/>
    <w:rsid w:val="003E5055"/>
    <w:rsid w:val="003E6096"/>
    <w:rsid w:val="003E620B"/>
    <w:rsid w:val="003F445B"/>
    <w:rsid w:val="004028CD"/>
    <w:rsid w:val="00405246"/>
    <w:rsid w:val="00405489"/>
    <w:rsid w:val="00410BDF"/>
    <w:rsid w:val="00412500"/>
    <w:rsid w:val="004144F0"/>
    <w:rsid w:val="004326BB"/>
    <w:rsid w:val="0043292F"/>
    <w:rsid w:val="00435F92"/>
    <w:rsid w:val="00441AEA"/>
    <w:rsid w:val="004458C4"/>
    <w:rsid w:val="004516F1"/>
    <w:rsid w:val="00455012"/>
    <w:rsid w:val="00461E18"/>
    <w:rsid w:val="00481401"/>
    <w:rsid w:val="004863F4"/>
    <w:rsid w:val="004914DF"/>
    <w:rsid w:val="00492871"/>
    <w:rsid w:val="0049429A"/>
    <w:rsid w:val="004A2971"/>
    <w:rsid w:val="004B5709"/>
    <w:rsid w:val="004C0EF7"/>
    <w:rsid w:val="004C5B30"/>
    <w:rsid w:val="004C6E6A"/>
    <w:rsid w:val="004D241D"/>
    <w:rsid w:val="004E5249"/>
    <w:rsid w:val="004F1CE4"/>
    <w:rsid w:val="004F4BBA"/>
    <w:rsid w:val="00503868"/>
    <w:rsid w:val="00507A2F"/>
    <w:rsid w:val="005168CC"/>
    <w:rsid w:val="00516AE8"/>
    <w:rsid w:val="00517C55"/>
    <w:rsid w:val="005233AA"/>
    <w:rsid w:val="00525B71"/>
    <w:rsid w:val="005313FA"/>
    <w:rsid w:val="00531617"/>
    <w:rsid w:val="005331C0"/>
    <w:rsid w:val="00535AD2"/>
    <w:rsid w:val="00535E29"/>
    <w:rsid w:val="0053659B"/>
    <w:rsid w:val="0053685D"/>
    <w:rsid w:val="005462EB"/>
    <w:rsid w:val="00546E14"/>
    <w:rsid w:val="00551B0F"/>
    <w:rsid w:val="00564AD2"/>
    <w:rsid w:val="005659FB"/>
    <w:rsid w:val="00575C61"/>
    <w:rsid w:val="00581A06"/>
    <w:rsid w:val="005840C9"/>
    <w:rsid w:val="00584B23"/>
    <w:rsid w:val="00585AB7"/>
    <w:rsid w:val="005905AB"/>
    <w:rsid w:val="005911B2"/>
    <w:rsid w:val="00594DDB"/>
    <w:rsid w:val="005A075E"/>
    <w:rsid w:val="005A27CA"/>
    <w:rsid w:val="005A3D89"/>
    <w:rsid w:val="005A6E6C"/>
    <w:rsid w:val="005A71F8"/>
    <w:rsid w:val="005B2D3E"/>
    <w:rsid w:val="005B33E5"/>
    <w:rsid w:val="005B3E3C"/>
    <w:rsid w:val="005B6446"/>
    <w:rsid w:val="005C179F"/>
    <w:rsid w:val="005C39EB"/>
    <w:rsid w:val="005C3EC1"/>
    <w:rsid w:val="005C3FC1"/>
    <w:rsid w:val="005D3499"/>
    <w:rsid w:val="005D3E74"/>
    <w:rsid w:val="005E2583"/>
    <w:rsid w:val="005E4C97"/>
    <w:rsid w:val="006016E3"/>
    <w:rsid w:val="00605F5F"/>
    <w:rsid w:val="006079FC"/>
    <w:rsid w:val="006137A6"/>
    <w:rsid w:val="006141E3"/>
    <w:rsid w:val="00614F94"/>
    <w:rsid w:val="0061684E"/>
    <w:rsid w:val="0061714E"/>
    <w:rsid w:val="00621761"/>
    <w:rsid w:val="00622E28"/>
    <w:rsid w:val="00623EE6"/>
    <w:rsid w:val="00625722"/>
    <w:rsid w:val="00634A60"/>
    <w:rsid w:val="006465AF"/>
    <w:rsid w:val="00653AFF"/>
    <w:rsid w:val="00662CE0"/>
    <w:rsid w:val="006658DD"/>
    <w:rsid w:val="00675470"/>
    <w:rsid w:val="0068138D"/>
    <w:rsid w:val="006820A1"/>
    <w:rsid w:val="006821D7"/>
    <w:rsid w:val="006911D9"/>
    <w:rsid w:val="0069120C"/>
    <w:rsid w:val="00694BD4"/>
    <w:rsid w:val="006A1A07"/>
    <w:rsid w:val="006A7415"/>
    <w:rsid w:val="006B0673"/>
    <w:rsid w:val="006B546A"/>
    <w:rsid w:val="006B5777"/>
    <w:rsid w:val="006C27DA"/>
    <w:rsid w:val="006C31E0"/>
    <w:rsid w:val="006C3783"/>
    <w:rsid w:val="006D305A"/>
    <w:rsid w:val="006D47C4"/>
    <w:rsid w:val="006D7D89"/>
    <w:rsid w:val="006E23DA"/>
    <w:rsid w:val="006E39F8"/>
    <w:rsid w:val="006E74E6"/>
    <w:rsid w:val="006E7ACA"/>
    <w:rsid w:val="006F1339"/>
    <w:rsid w:val="006F1415"/>
    <w:rsid w:val="006F36A4"/>
    <w:rsid w:val="006F545A"/>
    <w:rsid w:val="00700DF1"/>
    <w:rsid w:val="00703D0E"/>
    <w:rsid w:val="00705028"/>
    <w:rsid w:val="007057D4"/>
    <w:rsid w:val="007212D6"/>
    <w:rsid w:val="00726459"/>
    <w:rsid w:val="00731D62"/>
    <w:rsid w:val="007343B4"/>
    <w:rsid w:val="00734C1D"/>
    <w:rsid w:val="0073522A"/>
    <w:rsid w:val="00745EAC"/>
    <w:rsid w:val="00746E67"/>
    <w:rsid w:val="0075403B"/>
    <w:rsid w:val="0075533D"/>
    <w:rsid w:val="007567B9"/>
    <w:rsid w:val="007579B0"/>
    <w:rsid w:val="00763247"/>
    <w:rsid w:val="00765972"/>
    <w:rsid w:val="00770F15"/>
    <w:rsid w:val="00771074"/>
    <w:rsid w:val="0077209B"/>
    <w:rsid w:val="00773C91"/>
    <w:rsid w:val="00774751"/>
    <w:rsid w:val="007769CD"/>
    <w:rsid w:val="00780029"/>
    <w:rsid w:val="0078032B"/>
    <w:rsid w:val="00781566"/>
    <w:rsid w:val="007847D4"/>
    <w:rsid w:val="00787469"/>
    <w:rsid w:val="007904D3"/>
    <w:rsid w:val="0079073F"/>
    <w:rsid w:val="007976E7"/>
    <w:rsid w:val="007A1320"/>
    <w:rsid w:val="007A1909"/>
    <w:rsid w:val="007B0EC6"/>
    <w:rsid w:val="007B1D54"/>
    <w:rsid w:val="007B2105"/>
    <w:rsid w:val="007B2344"/>
    <w:rsid w:val="007B54B0"/>
    <w:rsid w:val="007B6A0C"/>
    <w:rsid w:val="007B7252"/>
    <w:rsid w:val="007D0FA6"/>
    <w:rsid w:val="007D630D"/>
    <w:rsid w:val="007F0152"/>
    <w:rsid w:val="007F15E6"/>
    <w:rsid w:val="007F491E"/>
    <w:rsid w:val="0080148A"/>
    <w:rsid w:val="00802701"/>
    <w:rsid w:val="008038A2"/>
    <w:rsid w:val="00806F8E"/>
    <w:rsid w:val="00811FE8"/>
    <w:rsid w:val="008150D8"/>
    <w:rsid w:val="008179D6"/>
    <w:rsid w:val="008239C3"/>
    <w:rsid w:val="00826D7D"/>
    <w:rsid w:val="008352CB"/>
    <w:rsid w:val="00845594"/>
    <w:rsid w:val="0085140E"/>
    <w:rsid w:val="00852279"/>
    <w:rsid w:val="008576CD"/>
    <w:rsid w:val="008604D7"/>
    <w:rsid w:val="0086436B"/>
    <w:rsid w:val="00867CEF"/>
    <w:rsid w:val="0087117D"/>
    <w:rsid w:val="00874689"/>
    <w:rsid w:val="008877F4"/>
    <w:rsid w:val="00894B97"/>
    <w:rsid w:val="00896D17"/>
    <w:rsid w:val="00897CD9"/>
    <w:rsid w:val="008A0EE0"/>
    <w:rsid w:val="008A2B27"/>
    <w:rsid w:val="008A4267"/>
    <w:rsid w:val="008A680E"/>
    <w:rsid w:val="008A6D5A"/>
    <w:rsid w:val="008B0749"/>
    <w:rsid w:val="008B327D"/>
    <w:rsid w:val="008B3DA8"/>
    <w:rsid w:val="008C1316"/>
    <w:rsid w:val="008C2E8A"/>
    <w:rsid w:val="008C7E6B"/>
    <w:rsid w:val="008D4AC7"/>
    <w:rsid w:val="008D6365"/>
    <w:rsid w:val="008D64BD"/>
    <w:rsid w:val="008E3144"/>
    <w:rsid w:val="008E44CB"/>
    <w:rsid w:val="008E4888"/>
    <w:rsid w:val="008E4F67"/>
    <w:rsid w:val="008F094B"/>
    <w:rsid w:val="008F70D8"/>
    <w:rsid w:val="00902834"/>
    <w:rsid w:val="0090448C"/>
    <w:rsid w:val="009045C6"/>
    <w:rsid w:val="00912B88"/>
    <w:rsid w:val="009131A4"/>
    <w:rsid w:val="00927D44"/>
    <w:rsid w:val="009314B3"/>
    <w:rsid w:val="00942E7A"/>
    <w:rsid w:val="00946E6E"/>
    <w:rsid w:val="009510ED"/>
    <w:rsid w:val="00955004"/>
    <w:rsid w:val="00962811"/>
    <w:rsid w:val="00964BA8"/>
    <w:rsid w:val="0096694A"/>
    <w:rsid w:val="00967228"/>
    <w:rsid w:val="009672E7"/>
    <w:rsid w:val="00975CA3"/>
    <w:rsid w:val="00984B81"/>
    <w:rsid w:val="00986516"/>
    <w:rsid w:val="00992804"/>
    <w:rsid w:val="0099769D"/>
    <w:rsid w:val="009A591A"/>
    <w:rsid w:val="009A7B9E"/>
    <w:rsid w:val="009B0E9C"/>
    <w:rsid w:val="009B13E8"/>
    <w:rsid w:val="009B206D"/>
    <w:rsid w:val="009B4729"/>
    <w:rsid w:val="009B51DB"/>
    <w:rsid w:val="009C3118"/>
    <w:rsid w:val="009C5942"/>
    <w:rsid w:val="009C59B8"/>
    <w:rsid w:val="009C7D8C"/>
    <w:rsid w:val="009D6E3B"/>
    <w:rsid w:val="009E2BDF"/>
    <w:rsid w:val="009E475A"/>
    <w:rsid w:val="009F05D8"/>
    <w:rsid w:val="009F53CE"/>
    <w:rsid w:val="009F600E"/>
    <w:rsid w:val="00A00087"/>
    <w:rsid w:val="00A014D6"/>
    <w:rsid w:val="00A03417"/>
    <w:rsid w:val="00A13610"/>
    <w:rsid w:val="00A21890"/>
    <w:rsid w:val="00A257D0"/>
    <w:rsid w:val="00A2673C"/>
    <w:rsid w:val="00A3473B"/>
    <w:rsid w:val="00A434A2"/>
    <w:rsid w:val="00A43CDA"/>
    <w:rsid w:val="00A51501"/>
    <w:rsid w:val="00A5483D"/>
    <w:rsid w:val="00A557AC"/>
    <w:rsid w:val="00A66AD6"/>
    <w:rsid w:val="00A674FB"/>
    <w:rsid w:val="00A67D05"/>
    <w:rsid w:val="00A75A77"/>
    <w:rsid w:val="00A8383C"/>
    <w:rsid w:val="00A85311"/>
    <w:rsid w:val="00A91CA5"/>
    <w:rsid w:val="00A941AF"/>
    <w:rsid w:val="00A97883"/>
    <w:rsid w:val="00AA0C3F"/>
    <w:rsid w:val="00AA12BA"/>
    <w:rsid w:val="00AA219B"/>
    <w:rsid w:val="00AB2DE4"/>
    <w:rsid w:val="00AB5059"/>
    <w:rsid w:val="00AB71D2"/>
    <w:rsid w:val="00AC1C51"/>
    <w:rsid w:val="00AC3814"/>
    <w:rsid w:val="00AC50A3"/>
    <w:rsid w:val="00AC55C4"/>
    <w:rsid w:val="00AC5707"/>
    <w:rsid w:val="00AC6AE5"/>
    <w:rsid w:val="00AD29F6"/>
    <w:rsid w:val="00AD422C"/>
    <w:rsid w:val="00AD4E7B"/>
    <w:rsid w:val="00AE06FB"/>
    <w:rsid w:val="00AE0D75"/>
    <w:rsid w:val="00AE11DF"/>
    <w:rsid w:val="00AF0562"/>
    <w:rsid w:val="00AF083B"/>
    <w:rsid w:val="00B02568"/>
    <w:rsid w:val="00B045A3"/>
    <w:rsid w:val="00B04DA0"/>
    <w:rsid w:val="00B26E1A"/>
    <w:rsid w:val="00B274C8"/>
    <w:rsid w:val="00B27885"/>
    <w:rsid w:val="00B27ADA"/>
    <w:rsid w:val="00B366EA"/>
    <w:rsid w:val="00B40BBD"/>
    <w:rsid w:val="00B46460"/>
    <w:rsid w:val="00B466A4"/>
    <w:rsid w:val="00B46735"/>
    <w:rsid w:val="00B46C2E"/>
    <w:rsid w:val="00B50D5E"/>
    <w:rsid w:val="00B51AA2"/>
    <w:rsid w:val="00B545E8"/>
    <w:rsid w:val="00B63A0A"/>
    <w:rsid w:val="00B76764"/>
    <w:rsid w:val="00B76EED"/>
    <w:rsid w:val="00B77B83"/>
    <w:rsid w:val="00B9132C"/>
    <w:rsid w:val="00B91A88"/>
    <w:rsid w:val="00B9481B"/>
    <w:rsid w:val="00BA3B3E"/>
    <w:rsid w:val="00BB00CA"/>
    <w:rsid w:val="00BB2C81"/>
    <w:rsid w:val="00BB52A1"/>
    <w:rsid w:val="00BC0FD1"/>
    <w:rsid w:val="00BC53E4"/>
    <w:rsid w:val="00BD2181"/>
    <w:rsid w:val="00BD4A17"/>
    <w:rsid w:val="00BE1545"/>
    <w:rsid w:val="00BE3822"/>
    <w:rsid w:val="00BF3C8F"/>
    <w:rsid w:val="00BF5367"/>
    <w:rsid w:val="00C07817"/>
    <w:rsid w:val="00C11AA2"/>
    <w:rsid w:val="00C14BF2"/>
    <w:rsid w:val="00C16D52"/>
    <w:rsid w:val="00C16FB2"/>
    <w:rsid w:val="00C21B0E"/>
    <w:rsid w:val="00C2360F"/>
    <w:rsid w:val="00C24E9C"/>
    <w:rsid w:val="00C25420"/>
    <w:rsid w:val="00C25832"/>
    <w:rsid w:val="00C26EE4"/>
    <w:rsid w:val="00C371E8"/>
    <w:rsid w:val="00C4517B"/>
    <w:rsid w:val="00C51B42"/>
    <w:rsid w:val="00C54742"/>
    <w:rsid w:val="00C55135"/>
    <w:rsid w:val="00C5553A"/>
    <w:rsid w:val="00C60A2E"/>
    <w:rsid w:val="00C61CB9"/>
    <w:rsid w:val="00C620F9"/>
    <w:rsid w:val="00C642FB"/>
    <w:rsid w:val="00C65B5B"/>
    <w:rsid w:val="00C91281"/>
    <w:rsid w:val="00C91374"/>
    <w:rsid w:val="00C91DDA"/>
    <w:rsid w:val="00C93A85"/>
    <w:rsid w:val="00C94D8F"/>
    <w:rsid w:val="00C97A4D"/>
    <w:rsid w:val="00CA13FF"/>
    <w:rsid w:val="00CA1603"/>
    <w:rsid w:val="00CA19EF"/>
    <w:rsid w:val="00CA1FB0"/>
    <w:rsid w:val="00CA438C"/>
    <w:rsid w:val="00CB3F5B"/>
    <w:rsid w:val="00CD1982"/>
    <w:rsid w:val="00CD77D7"/>
    <w:rsid w:val="00CE0303"/>
    <w:rsid w:val="00CE03F9"/>
    <w:rsid w:val="00CE0BC3"/>
    <w:rsid w:val="00CE15B9"/>
    <w:rsid w:val="00CE32B2"/>
    <w:rsid w:val="00CE4B87"/>
    <w:rsid w:val="00CF076D"/>
    <w:rsid w:val="00CF13D0"/>
    <w:rsid w:val="00CF19CD"/>
    <w:rsid w:val="00CF4850"/>
    <w:rsid w:val="00CF7421"/>
    <w:rsid w:val="00CF753B"/>
    <w:rsid w:val="00D025BA"/>
    <w:rsid w:val="00D03AD6"/>
    <w:rsid w:val="00D04B31"/>
    <w:rsid w:val="00D06B48"/>
    <w:rsid w:val="00D07064"/>
    <w:rsid w:val="00D17209"/>
    <w:rsid w:val="00D279FC"/>
    <w:rsid w:val="00D425AA"/>
    <w:rsid w:val="00D42695"/>
    <w:rsid w:val="00D5029F"/>
    <w:rsid w:val="00D52121"/>
    <w:rsid w:val="00D526A6"/>
    <w:rsid w:val="00D52BB3"/>
    <w:rsid w:val="00D5454A"/>
    <w:rsid w:val="00D55ADD"/>
    <w:rsid w:val="00D6695E"/>
    <w:rsid w:val="00D67B8D"/>
    <w:rsid w:val="00D71296"/>
    <w:rsid w:val="00D71C9B"/>
    <w:rsid w:val="00D71F4D"/>
    <w:rsid w:val="00D73D56"/>
    <w:rsid w:val="00D75E82"/>
    <w:rsid w:val="00D76D0B"/>
    <w:rsid w:val="00D770F4"/>
    <w:rsid w:val="00D80471"/>
    <w:rsid w:val="00D80C7D"/>
    <w:rsid w:val="00D82FE6"/>
    <w:rsid w:val="00D82FF9"/>
    <w:rsid w:val="00D8544F"/>
    <w:rsid w:val="00D929FF"/>
    <w:rsid w:val="00D936BB"/>
    <w:rsid w:val="00DA0FA6"/>
    <w:rsid w:val="00DA106A"/>
    <w:rsid w:val="00DA7EB7"/>
    <w:rsid w:val="00DB151B"/>
    <w:rsid w:val="00DC0C7F"/>
    <w:rsid w:val="00DC3177"/>
    <w:rsid w:val="00DC7351"/>
    <w:rsid w:val="00DD33DF"/>
    <w:rsid w:val="00DD76D3"/>
    <w:rsid w:val="00DE1293"/>
    <w:rsid w:val="00DF7751"/>
    <w:rsid w:val="00E05341"/>
    <w:rsid w:val="00E1138F"/>
    <w:rsid w:val="00E13639"/>
    <w:rsid w:val="00E14C2D"/>
    <w:rsid w:val="00E20AA0"/>
    <w:rsid w:val="00E23B7A"/>
    <w:rsid w:val="00E27952"/>
    <w:rsid w:val="00E301CB"/>
    <w:rsid w:val="00E332EC"/>
    <w:rsid w:val="00E3381E"/>
    <w:rsid w:val="00E40938"/>
    <w:rsid w:val="00E41C88"/>
    <w:rsid w:val="00E51CDA"/>
    <w:rsid w:val="00E5581F"/>
    <w:rsid w:val="00E56B5A"/>
    <w:rsid w:val="00E614BE"/>
    <w:rsid w:val="00E72E7B"/>
    <w:rsid w:val="00E73385"/>
    <w:rsid w:val="00E764F2"/>
    <w:rsid w:val="00E827C5"/>
    <w:rsid w:val="00E82FCD"/>
    <w:rsid w:val="00E942B6"/>
    <w:rsid w:val="00E97EAF"/>
    <w:rsid w:val="00EA2CC9"/>
    <w:rsid w:val="00EB0402"/>
    <w:rsid w:val="00EB7B3B"/>
    <w:rsid w:val="00EC1754"/>
    <w:rsid w:val="00EC3449"/>
    <w:rsid w:val="00EC5AA6"/>
    <w:rsid w:val="00ED1B8F"/>
    <w:rsid w:val="00ED25D8"/>
    <w:rsid w:val="00ED5BB6"/>
    <w:rsid w:val="00ED5DA9"/>
    <w:rsid w:val="00EE0E1A"/>
    <w:rsid w:val="00EE615E"/>
    <w:rsid w:val="00EE7941"/>
    <w:rsid w:val="00F0323E"/>
    <w:rsid w:val="00F06004"/>
    <w:rsid w:val="00F17584"/>
    <w:rsid w:val="00F17FA6"/>
    <w:rsid w:val="00F20B96"/>
    <w:rsid w:val="00F22E3C"/>
    <w:rsid w:val="00F24EB2"/>
    <w:rsid w:val="00F2654F"/>
    <w:rsid w:val="00F3204A"/>
    <w:rsid w:val="00F33B50"/>
    <w:rsid w:val="00F36D7C"/>
    <w:rsid w:val="00F45216"/>
    <w:rsid w:val="00F45E70"/>
    <w:rsid w:val="00F50A07"/>
    <w:rsid w:val="00F552B4"/>
    <w:rsid w:val="00F57119"/>
    <w:rsid w:val="00F62972"/>
    <w:rsid w:val="00F62A65"/>
    <w:rsid w:val="00F62EF5"/>
    <w:rsid w:val="00F64089"/>
    <w:rsid w:val="00F65A6F"/>
    <w:rsid w:val="00F71E38"/>
    <w:rsid w:val="00F84563"/>
    <w:rsid w:val="00F86462"/>
    <w:rsid w:val="00F86BEF"/>
    <w:rsid w:val="00F93D0C"/>
    <w:rsid w:val="00FA777B"/>
    <w:rsid w:val="00FB0DFD"/>
    <w:rsid w:val="00FD5887"/>
    <w:rsid w:val="00FD65E3"/>
    <w:rsid w:val="00FE113A"/>
    <w:rsid w:val="00FF76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581F"/>
    <w:pPr>
      <w:spacing w:before="180" w:after="180"/>
      <w:jc w:val="both"/>
    </w:pPr>
    <w:rPr>
      <w:rFonts w:ascii="Arial" w:hAnsi="Arial"/>
      <w:sz w:val="24"/>
      <w:szCs w:val="24"/>
      <w:lang w:val="en-US" w:eastAsia="en-US"/>
    </w:rPr>
  </w:style>
  <w:style w:type="paragraph" w:styleId="Heading1">
    <w:name w:val="heading 1"/>
    <w:basedOn w:val="Normal"/>
    <w:next w:val="Normal"/>
    <w:qFormat/>
    <w:rsid w:val="00806F8E"/>
    <w:pPr>
      <w:keepNext/>
      <w:numPr>
        <w:numId w:val="3"/>
      </w:numPr>
      <w:overflowPunct w:val="0"/>
      <w:autoSpaceDE w:val="0"/>
      <w:autoSpaceDN w:val="0"/>
      <w:adjustRightInd w:val="0"/>
      <w:spacing w:before="360"/>
      <w:textAlignment w:val="baseline"/>
      <w:outlineLvl w:val="0"/>
    </w:pPr>
    <w:rPr>
      <w:b/>
      <w:sz w:val="28"/>
      <w:szCs w:val="20"/>
      <w:u w:val="single"/>
      <w:lang w:val="en-GB"/>
    </w:rPr>
  </w:style>
  <w:style w:type="paragraph" w:styleId="Heading2">
    <w:name w:val="heading 2"/>
    <w:basedOn w:val="Normal"/>
    <w:next w:val="Normal"/>
    <w:link w:val="Heading2Char"/>
    <w:unhideWhenUsed/>
    <w:qFormat/>
    <w:rsid w:val="00806F8E"/>
    <w:pPr>
      <w:keepNext/>
      <w:keepLines/>
      <w:numPr>
        <w:ilvl w:val="1"/>
        <w:numId w:val="3"/>
      </w:numPr>
      <w:spacing w:before="120"/>
      <w:outlineLvl w:val="1"/>
    </w:pPr>
    <w:rPr>
      <w:rFonts w:eastAsiaTheme="majorEastAsia" w:cstheme="majorBidi"/>
      <w:b/>
      <w:bCs/>
      <w:i/>
      <w:szCs w:val="26"/>
      <w:u w:val="single"/>
    </w:rPr>
  </w:style>
  <w:style w:type="paragraph" w:styleId="Heading3">
    <w:name w:val="heading 3"/>
    <w:basedOn w:val="Normal"/>
    <w:next w:val="Normal"/>
    <w:link w:val="Heading3Char"/>
    <w:unhideWhenUsed/>
    <w:qFormat/>
    <w:rsid w:val="00806F8E"/>
    <w:pPr>
      <w:keepNext/>
      <w:keepLines/>
      <w:numPr>
        <w:ilvl w:val="2"/>
        <w:numId w:val="3"/>
      </w:numPr>
      <w:spacing w:before="200" w:after="0"/>
      <w:outlineLvl w:val="2"/>
    </w:pPr>
    <w:rPr>
      <w:rFonts w:eastAsiaTheme="majorEastAsia" w:cstheme="majorBidi"/>
      <w:b/>
      <w:bCs/>
    </w:rPr>
  </w:style>
  <w:style w:type="paragraph" w:styleId="Heading4">
    <w:name w:val="heading 4"/>
    <w:basedOn w:val="Normal"/>
    <w:next w:val="Normal"/>
    <w:link w:val="Heading4Char"/>
    <w:unhideWhenUsed/>
    <w:qFormat/>
    <w:rsid w:val="001A5747"/>
    <w:pPr>
      <w:keepNext/>
      <w:keepLines/>
      <w:numPr>
        <w:ilvl w:val="3"/>
        <w:numId w:val="3"/>
      </w:numPr>
      <w:spacing w:before="200" w:after="240"/>
      <w:outlineLvl w:val="3"/>
    </w:pPr>
    <w:rPr>
      <w:rFonts w:eastAsiaTheme="majorEastAsia" w:cstheme="majorBidi"/>
      <w:bCs/>
      <w:iCs/>
      <w:u w:val="single"/>
    </w:rPr>
  </w:style>
  <w:style w:type="paragraph" w:styleId="Heading5">
    <w:name w:val="heading 5"/>
    <w:basedOn w:val="Normal"/>
    <w:next w:val="Normal"/>
    <w:link w:val="Heading5Char"/>
    <w:semiHidden/>
    <w:unhideWhenUsed/>
    <w:qFormat/>
    <w:rsid w:val="006D305A"/>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6D305A"/>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6D305A"/>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6D305A"/>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6D305A"/>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E113A"/>
    <w:pPr>
      <w:jc w:val="center"/>
    </w:pPr>
    <w:rPr>
      <w:rFonts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87117D"/>
    <w:pPr>
      <w:spacing w:before="0" w:after="0"/>
    </w:pPr>
    <w:rPr>
      <w:rFonts w:ascii="Tahoma" w:hAnsi="Tahoma" w:cs="Tahoma"/>
      <w:sz w:val="16"/>
      <w:szCs w:val="16"/>
    </w:rPr>
  </w:style>
  <w:style w:type="character" w:customStyle="1" w:styleId="BalloonTextChar">
    <w:name w:val="Balloon Text Char"/>
    <w:basedOn w:val="DefaultParagraphFont"/>
    <w:link w:val="BalloonText"/>
    <w:rsid w:val="0087117D"/>
    <w:rPr>
      <w:rFonts w:ascii="Tahoma" w:hAnsi="Tahoma" w:cs="Tahoma"/>
      <w:sz w:val="16"/>
      <w:szCs w:val="16"/>
      <w:lang w:val="en-US" w:eastAsia="en-US"/>
    </w:rPr>
  </w:style>
  <w:style w:type="table" w:styleId="TableGrid">
    <w:name w:val="Table Grid"/>
    <w:basedOn w:val="TableNormal"/>
    <w:uiPriority w:val="59"/>
    <w:rsid w:val="00213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806F8E"/>
    <w:rPr>
      <w:rFonts w:ascii="Arial" w:eastAsiaTheme="majorEastAsia" w:hAnsi="Arial" w:cstheme="majorBidi"/>
      <w:b/>
      <w:bCs/>
      <w:i/>
      <w:sz w:val="24"/>
      <w:szCs w:val="26"/>
      <w:u w:val="single"/>
      <w:lang w:val="en-US" w:eastAsia="en-US"/>
    </w:rPr>
  </w:style>
  <w:style w:type="character" w:customStyle="1" w:styleId="BodyTextChar">
    <w:name w:val="Body Text Char"/>
    <w:basedOn w:val="DefaultParagraphFont"/>
    <w:link w:val="BodyText"/>
    <w:rsid w:val="00A51501"/>
    <w:rPr>
      <w:rFonts w:ascii="Arial" w:hAnsi="Arial" w:cs="Arial"/>
      <w:b/>
      <w:sz w:val="24"/>
      <w:szCs w:val="24"/>
      <w:lang w:val="en-US" w:eastAsia="en-US"/>
    </w:rPr>
  </w:style>
  <w:style w:type="character" w:styleId="CommentReference">
    <w:name w:val="annotation reference"/>
    <w:basedOn w:val="DefaultParagraphFont"/>
    <w:rsid w:val="00F36D7C"/>
    <w:rPr>
      <w:sz w:val="16"/>
      <w:szCs w:val="16"/>
    </w:rPr>
  </w:style>
  <w:style w:type="paragraph" w:styleId="CommentText">
    <w:name w:val="annotation text"/>
    <w:basedOn w:val="Normal"/>
    <w:link w:val="CommentTextChar"/>
    <w:rsid w:val="00F36D7C"/>
    <w:rPr>
      <w:sz w:val="20"/>
      <w:szCs w:val="20"/>
    </w:rPr>
  </w:style>
  <w:style w:type="character" w:customStyle="1" w:styleId="CommentTextChar">
    <w:name w:val="Comment Text Char"/>
    <w:basedOn w:val="DefaultParagraphFont"/>
    <w:link w:val="CommentText"/>
    <w:rsid w:val="00F36D7C"/>
    <w:rPr>
      <w:rFonts w:ascii="Arial" w:hAnsi="Arial"/>
      <w:lang w:val="en-US" w:eastAsia="en-US"/>
    </w:rPr>
  </w:style>
  <w:style w:type="paragraph" w:styleId="CommentSubject">
    <w:name w:val="annotation subject"/>
    <w:basedOn w:val="CommentText"/>
    <w:next w:val="CommentText"/>
    <w:link w:val="CommentSubjectChar"/>
    <w:rsid w:val="00F36D7C"/>
    <w:rPr>
      <w:b/>
      <w:bCs/>
    </w:rPr>
  </w:style>
  <w:style w:type="character" w:customStyle="1" w:styleId="CommentSubjectChar">
    <w:name w:val="Comment Subject Char"/>
    <w:basedOn w:val="CommentTextChar"/>
    <w:link w:val="CommentSubject"/>
    <w:rsid w:val="00F36D7C"/>
    <w:rPr>
      <w:rFonts w:ascii="Arial" w:hAnsi="Arial"/>
      <w:b/>
      <w:bCs/>
      <w:lang w:val="en-US" w:eastAsia="en-US"/>
    </w:rPr>
  </w:style>
  <w:style w:type="paragraph" w:customStyle="1" w:styleId="Default">
    <w:name w:val="Default"/>
    <w:rsid w:val="004028CD"/>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4E5249"/>
    <w:rPr>
      <w:color w:val="0000FF" w:themeColor="hyperlink"/>
      <w:u w:val="single"/>
    </w:rPr>
  </w:style>
  <w:style w:type="paragraph" w:styleId="FootnoteText">
    <w:name w:val="footnote text"/>
    <w:basedOn w:val="Normal"/>
    <w:link w:val="FootnoteTextChar"/>
    <w:rsid w:val="007B2344"/>
    <w:pPr>
      <w:spacing w:before="0" w:after="0"/>
    </w:pPr>
    <w:rPr>
      <w:sz w:val="20"/>
      <w:szCs w:val="20"/>
    </w:rPr>
  </w:style>
  <w:style w:type="character" w:customStyle="1" w:styleId="FootnoteTextChar">
    <w:name w:val="Footnote Text Char"/>
    <w:basedOn w:val="DefaultParagraphFont"/>
    <w:link w:val="FootnoteText"/>
    <w:rsid w:val="007B2344"/>
    <w:rPr>
      <w:rFonts w:ascii="Arial" w:hAnsi="Arial"/>
      <w:lang w:val="en-US" w:eastAsia="en-US"/>
    </w:rPr>
  </w:style>
  <w:style w:type="character" w:styleId="FootnoteReference">
    <w:name w:val="footnote reference"/>
    <w:basedOn w:val="DefaultParagraphFont"/>
    <w:rsid w:val="007B2344"/>
    <w:rPr>
      <w:vertAlign w:val="superscript"/>
    </w:rPr>
  </w:style>
  <w:style w:type="paragraph" w:styleId="NormalWeb">
    <w:name w:val="Normal (Web)"/>
    <w:basedOn w:val="Normal"/>
    <w:uiPriority w:val="99"/>
    <w:unhideWhenUsed/>
    <w:rsid w:val="00B76764"/>
    <w:pPr>
      <w:spacing w:before="100" w:beforeAutospacing="1" w:after="100" w:afterAutospacing="1"/>
      <w:jc w:val="left"/>
    </w:pPr>
    <w:rPr>
      <w:rFonts w:ascii="Times New Roman" w:eastAsiaTheme="minorEastAsia" w:hAnsi="Times New Roman"/>
      <w:lang w:val="en-GB" w:eastAsia="en-GB"/>
    </w:rPr>
  </w:style>
  <w:style w:type="character" w:styleId="Strong">
    <w:name w:val="Strong"/>
    <w:basedOn w:val="DefaultParagraphFont"/>
    <w:uiPriority w:val="22"/>
    <w:qFormat/>
    <w:rsid w:val="006D305A"/>
    <w:rPr>
      <w:b/>
      <w:bCs/>
    </w:rPr>
  </w:style>
  <w:style w:type="character" w:customStyle="1" w:styleId="Heading3Char">
    <w:name w:val="Heading 3 Char"/>
    <w:basedOn w:val="DefaultParagraphFont"/>
    <w:link w:val="Heading3"/>
    <w:rsid w:val="00806F8E"/>
    <w:rPr>
      <w:rFonts w:ascii="Arial" w:eastAsiaTheme="majorEastAsia" w:hAnsi="Arial" w:cstheme="majorBidi"/>
      <w:b/>
      <w:bCs/>
      <w:sz w:val="24"/>
      <w:szCs w:val="24"/>
      <w:lang w:val="en-US" w:eastAsia="en-US"/>
    </w:rPr>
  </w:style>
  <w:style w:type="character" w:customStyle="1" w:styleId="Heading4Char">
    <w:name w:val="Heading 4 Char"/>
    <w:basedOn w:val="DefaultParagraphFont"/>
    <w:link w:val="Heading4"/>
    <w:rsid w:val="001A5747"/>
    <w:rPr>
      <w:rFonts w:ascii="Arial" w:eastAsiaTheme="majorEastAsia" w:hAnsi="Arial" w:cstheme="majorBidi"/>
      <w:bCs/>
      <w:iCs/>
      <w:sz w:val="24"/>
      <w:szCs w:val="24"/>
      <w:u w:val="single"/>
      <w:lang w:val="en-US" w:eastAsia="en-US"/>
    </w:rPr>
  </w:style>
  <w:style w:type="character" w:customStyle="1" w:styleId="Heading5Char">
    <w:name w:val="Heading 5 Char"/>
    <w:basedOn w:val="DefaultParagraphFont"/>
    <w:link w:val="Heading5"/>
    <w:semiHidden/>
    <w:rsid w:val="006D305A"/>
    <w:rPr>
      <w:rFonts w:asciiTheme="majorHAnsi" w:eastAsiaTheme="majorEastAsia" w:hAnsiTheme="majorHAnsi" w:cstheme="majorBidi"/>
      <w:color w:val="243F60" w:themeColor="accent1" w:themeShade="7F"/>
      <w:sz w:val="24"/>
      <w:szCs w:val="24"/>
      <w:lang w:val="en-US" w:eastAsia="en-US"/>
    </w:rPr>
  </w:style>
  <w:style w:type="character" w:customStyle="1" w:styleId="Heading6Char">
    <w:name w:val="Heading 6 Char"/>
    <w:basedOn w:val="DefaultParagraphFont"/>
    <w:link w:val="Heading6"/>
    <w:semiHidden/>
    <w:rsid w:val="006D305A"/>
    <w:rPr>
      <w:rFonts w:asciiTheme="majorHAnsi" w:eastAsiaTheme="majorEastAsia" w:hAnsiTheme="majorHAnsi" w:cstheme="majorBidi"/>
      <w:i/>
      <w:iCs/>
      <w:color w:val="243F60" w:themeColor="accent1" w:themeShade="7F"/>
      <w:sz w:val="24"/>
      <w:szCs w:val="24"/>
      <w:lang w:val="en-US" w:eastAsia="en-US"/>
    </w:rPr>
  </w:style>
  <w:style w:type="character" w:customStyle="1" w:styleId="Heading7Char">
    <w:name w:val="Heading 7 Char"/>
    <w:basedOn w:val="DefaultParagraphFont"/>
    <w:link w:val="Heading7"/>
    <w:semiHidden/>
    <w:rsid w:val="006D305A"/>
    <w:rPr>
      <w:rFonts w:asciiTheme="majorHAnsi" w:eastAsiaTheme="majorEastAsia" w:hAnsiTheme="majorHAnsi" w:cstheme="majorBidi"/>
      <w:i/>
      <w:iCs/>
      <w:color w:val="404040" w:themeColor="text1" w:themeTint="BF"/>
      <w:sz w:val="24"/>
      <w:szCs w:val="24"/>
      <w:lang w:val="en-US" w:eastAsia="en-US"/>
    </w:rPr>
  </w:style>
  <w:style w:type="character" w:customStyle="1" w:styleId="Heading8Char">
    <w:name w:val="Heading 8 Char"/>
    <w:basedOn w:val="DefaultParagraphFont"/>
    <w:link w:val="Heading8"/>
    <w:semiHidden/>
    <w:rsid w:val="006D305A"/>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semiHidden/>
    <w:rsid w:val="006D305A"/>
    <w:rPr>
      <w:rFonts w:asciiTheme="majorHAnsi" w:eastAsiaTheme="majorEastAsia" w:hAnsiTheme="majorHAnsi" w:cstheme="majorBidi"/>
      <w:i/>
      <w:iCs/>
      <w:color w:val="404040" w:themeColor="text1" w:themeTint="BF"/>
      <w:lang w:val="en-US" w:eastAsia="en-US"/>
    </w:rPr>
  </w:style>
  <w:style w:type="paragraph" w:styleId="TOCHeading">
    <w:name w:val="TOC Heading"/>
    <w:basedOn w:val="Heading1"/>
    <w:next w:val="Normal"/>
    <w:uiPriority w:val="39"/>
    <w:semiHidden/>
    <w:unhideWhenUsed/>
    <w:qFormat/>
    <w:rsid w:val="00361EDC"/>
    <w:pPr>
      <w:keepLines/>
      <w:numPr>
        <w:numId w:val="0"/>
      </w:numPr>
      <w:overflowPunct/>
      <w:autoSpaceDE/>
      <w:autoSpaceDN/>
      <w:adjustRightInd/>
      <w:spacing w:before="480" w:after="0" w:line="276" w:lineRule="auto"/>
      <w:jc w:val="left"/>
      <w:textAlignment w:val="auto"/>
      <w:outlineLvl w:val="9"/>
    </w:pPr>
    <w:rPr>
      <w:rFonts w:asciiTheme="majorHAnsi" w:eastAsiaTheme="majorEastAsia" w:hAnsiTheme="majorHAnsi" w:cstheme="majorBidi"/>
      <w:bCs/>
      <w:color w:val="365F91" w:themeColor="accent1" w:themeShade="BF"/>
      <w:szCs w:val="28"/>
      <w:u w:val="none"/>
      <w:lang w:val="en-US" w:eastAsia="ja-JP"/>
    </w:rPr>
  </w:style>
  <w:style w:type="paragraph" w:styleId="TOC1">
    <w:name w:val="toc 1"/>
    <w:basedOn w:val="Normal"/>
    <w:next w:val="Normal"/>
    <w:autoRedefine/>
    <w:uiPriority w:val="39"/>
    <w:rsid w:val="00361EDC"/>
    <w:pPr>
      <w:spacing w:after="100"/>
    </w:pPr>
  </w:style>
  <w:style w:type="paragraph" w:styleId="TOC2">
    <w:name w:val="toc 2"/>
    <w:basedOn w:val="Normal"/>
    <w:next w:val="Normal"/>
    <w:autoRedefine/>
    <w:uiPriority w:val="39"/>
    <w:rsid w:val="00361EDC"/>
    <w:pPr>
      <w:spacing w:after="100"/>
      <w:ind w:left="240"/>
    </w:pPr>
  </w:style>
  <w:style w:type="paragraph" w:styleId="TOC3">
    <w:name w:val="toc 3"/>
    <w:basedOn w:val="Normal"/>
    <w:next w:val="Normal"/>
    <w:autoRedefine/>
    <w:uiPriority w:val="39"/>
    <w:rsid w:val="00361EDC"/>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581F"/>
    <w:pPr>
      <w:spacing w:before="180" w:after="180"/>
      <w:jc w:val="both"/>
    </w:pPr>
    <w:rPr>
      <w:rFonts w:ascii="Arial" w:hAnsi="Arial"/>
      <w:sz w:val="24"/>
      <w:szCs w:val="24"/>
      <w:lang w:val="en-US" w:eastAsia="en-US"/>
    </w:rPr>
  </w:style>
  <w:style w:type="paragraph" w:styleId="Heading1">
    <w:name w:val="heading 1"/>
    <w:basedOn w:val="Normal"/>
    <w:next w:val="Normal"/>
    <w:qFormat/>
    <w:rsid w:val="00806F8E"/>
    <w:pPr>
      <w:keepNext/>
      <w:numPr>
        <w:numId w:val="3"/>
      </w:numPr>
      <w:overflowPunct w:val="0"/>
      <w:autoSpaceDE w:val="0"/>
      <w:autoSpaceDN w:val="0"/>
      <w:adjustRightInd w:val="0"/>
      <w:spacing w:before="360"/>
      <w:textAlignment w:val="baseline"/>
      <w:outlineLvl w:val="0"/>
    </w:pPr>
    <w:rPr>
      <w:b/>
      <w:sz w:val="28"/>
      <w:szCs w:val="20"/>
      <w:u w:val="single"/>
      <w:lang w:val="en-GB"/>
    </w:rPr>
  </w:style>
  <w:style w:type="paragraph" w:styleId="Heading2">
    <w:name w:val="heading 2"/>
    <w:basedOn w:val="Normal"/>
    <w:next w:val="Normal"/>
    <w:link w:val="Heading2Char"/>
    <w:unhideWhenUsed/>
    <w:qFormat/>
    <w:rsid w:val="00806F8E"/>
    <w:pPr>
      <w:keepNext/>
      <w:keepLines/>
      <w:numPr>
        <w:ilvl w:val="1"/>
        <w:numId w:val="3"/>
      </w:numPr>
      <w:spacing w:before="120"/>
      <w:outlineLvl w:val="1"/>
    </w:pPr>
    <w:rPr>
      <w:rFonts w:eastAsiaTheme="majorEastAsia" w:cstheme="majorBidi"/>
      <w:b/>
      <w:bCs/>
      <w:i/>
      <w:szCs w:val="26"/>
      <w:u w:val="single"/>
    </w:rPr>
  </w:style>
  <w:style w:type="paragraph" w:styleId="Heading3">
    <w:name w:val="heading 3"/>
    <w:basedOn w:val="Normal"/>
    <w:next w:val="Normal"/>
    <w:link w:val="Heading3Char"/>
    <w:unhideWhenUsed/>
    <w:qFormat/>
    <w:rsid w:val="00806F8E"/>
    <w:pPr>
      <w:keepNext/>
      <w:keepLines/>
      <w:numPr>
        <w:ilvl w:val="2"/>
        <w:numId w:val="3"/>
      </w:numPr>
      <w:spacing w:before="200" w:after="0"/>
      <w:outlineLvl w:val="2"/>
    </w:pPr>
    <w:rPr>
      <w:rFonts w:eastAsiaTheme="majorEastAsia" w:cstheme="majorBidi"/>
      <w:b/>
      <w:bCs/>
    </w:rPr>
  </w:style>
  <w:style w:type="paragraph" w:styleId="Heading4">
    <w:name w:val="heading 4"/>
    <w:basedOn w:val="Normal"/>
    <w:next w:val="Normal"/>
    <w:link w:val="Heading4Char"/>
    <w:unhideWhenUsed/>
    <w:qFormat/>
    <w:rsid w:val="001A5747"/>
    <w:pPr>
      <w:keepNext/>
      <w:keepLines/>
      <w:numPr>
        <w:ilvl w:val="3"/>
        <w:numId w:val="3"/>
      </w:numPr>
      <w:spacing w:before="200" w:after="240"/>
      <w:outlineLvl w:val="3"/>
    </w:pPr>
    <w:rPr>
      <w:rFonts w:eastAsiaTheme="majorEastAsia" w:cstheme="majorBidi"/>
      <w:bCs/>
      <w:iCs/>
      <w:u w:val="single"/>
    </w:rPr>
  </w:style>
  <w:style w:type="paragraph" w:styleId="Heading5">
    <w:name w:val="heading 5"/>
    <w:basedOn w:val="Normal"/>
    <w:next w:val="Normal"/>
    <w:link w:val="Heading5Char"/>
    <w:semiHidden/>
    <w:unhideWhenUsed/>
    <w:qFormat/>
    <w:rsid w:val="006D305A"/>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6D305A"/>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6D305A"/>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6D305A"/>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6D305A"/>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E113A"/>
    <w:pPr>
      <w:jc w:val="center"/>
    </w:pPr>
    <w:rPr>
      <w:rFonts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87117D"/>
    <w:pPr>
      <w:spacing w:before="0" w:after="0"/>
    </w:pPr>
    <w:rPr>
      <w:rFonts w:ascii="Tahoma" w:hAnsi="Tahoma" w:cs="Tahoma"/>
      <w:sz w:val="16"/>
      <w:szCs w:val="16"/>
    </w:rPr>
  </w:style>
  <w:style w:type="character" w:customStyle="1" w:styleId="BalloonTextChar">
    <w:name w:val="Balloon Text Char"/>
    <w:basedOn w:val="DefaultParagraphFont"/>
    <w:link w:val="BalloonText"/>
    <w:rsid w:val="0087117D"/>
    <w:rPr>
      <w:rFonts w:ascii="Tahoma" w:hAnsi="Tahoma" w:cs="Tahoma"/>
      <w:sz w:val="16"/>
      <w:szCs w:val="16"/>
      <w:lang w:val="en-US" w:eastAsia="en-US"/>
    </w:rPr>
  </w:style>
  <w:style w:type="table" w:styleId="TableGrid">
    <w:name w:val="Table Grid"/>
    <w:basedOn w:val="TableNormal"/>
    <w:uiPriority w:val="59"/>
    <w:rsid w:val="00213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806F8E"/>
    <w:rPr>
      <w:rFonts w:ascii="Arial" w:eastAsiaTheme="majorEastAsia" w:hAnsi="Arial" w:cstheme="majorBidi"/>
      <w:b/>
      <w:bCs/>
      <w:i/>
      <w:sz w:val="24"/>
      <w:szCs w:val="26"/>
      <w:u w:val="single"/>
      <w:lang w:val="en-US" w:eastAsia="en-US"/>
    </w:rPr>
  </w:style>
  <w:style w:type="character" w:customStyle="1" w:styleId="BodyTextChar">
    <w:name w:val="Body Text Char"/>
    <w:basedOn w:val="DefaultParagraphFont"/>
    <w:link w:val="BodyText"/>
    <w:rsid w:val="00A51501"/>
    <w:rPr>
      <w:rFonts w:ascii="Arial" w:hAnsi="Arial" w:cs="Arial"/>
      <w:b/>
      <w:sz w:val="24"/>
      <w:szCs w:val="24"/>
      <w:lang w:val="en-US" w:eastAsia="en-US"/>
    </w:rPr>
  </w:style>
  <w:style w:type="character" w:styleId="CommentReference">
    <w:name w:val="annotation reference"/>
    <w:basedOn w:val="DefaultParagraphFont"/>
    <w:rsid w:val="00F36D7C"/>
    <w:rPr>
      <w:sz w:val="16"/>
      <w:szCs w:val="16"/>
    </w:rPr>
  </w:style>
  <w:style w:type="paragraph" w:styleId="CommentText">
    <w:name w:val="annotation text"/>
    <w:basedOn w:val="Normal"/>
    <w:link w:val="CommentTextChar"/>
    <w:rsid w:val="00F36D7C"/>
    <w:rPr>
      <w:sz w:val="20"/>
      <w:szCs w:val="20"/>
    </w:rPr>
  </w:style>
  <w:style w:type="character" w:customStyle="1" w:styleId="CommentTextChar">
    <w:name w:val="Comment Text Char"/>
    <w:basedOn w:val="DefaultParagraphFont"/>
    <w:link w:val="CommentText"/>
    <w:rsid w:val="00F36D7C"/>
    <w:rPr>
      <w:rFonts w:ascii="Arial" w:hAnsi="Arial"/>
      <w:lang w:val="en-US" w:eastAsia="en-US"/>
    </w:rPr>
  </w:style>
  <w:style w:type="paragraph" w:styleId="CommentSubject">
    <w:name w:val="annotation subject"/>
    <w:basedOn w:val="CommentText"/>
    <w:next w:val="CommentText"/>
    <w:link w:val="CommentSubjectChar"/>
    <w:rsid w:val="00F36D7C"/>
    <w:rPr>
      <w:b/>
      <w:bCs/>
    </w:rPr>
  </w:style>
  <w:style w:type="character" w:customStyle="1" w:styleId="CommentSubjectChar">
    <w:name w:val="Comment Subject Char"/>
    <w:basedOn w:val="CommentTextChar"/>
    <w:link w:val="CommentSubject"/>
    <w:rsid w:val="00F36D7C"/>
    <w:rPr>
      <w:rFonts w:ascii="Arial" w:hAnsi="Arial"/>
      <w:b/>
      <w:bCs/>
      <w:lang w:val="en-US" w:eastAsia="en-US"/>
    </w:rPr>
  </w:style>
  <w:style w:type="paragraph" w:customStyle="1" w:styleId="Default">
    <w:name w:val="Default"/>
    <w:rsid w:val="004028CD"/>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4E5249"/>
    <w:rPr>
      <w:color w:val="0000FF" w:themeColor="hyperlink"/>
      <w:u w:val="single"/>
    </w:rPr>
  </w:style>
  <w:style w:type="paragraph" w:styleId="FootnoteText">
    <w:name w:val="footnote text"/>
    <w:basedOn w:val="Normal"/>
    <w:link w:val="FootnoteTextChar"/>
    <w:rsid w:val="007B2344"/>
    <w:pPr>
      <w:spacing w:before="0" w:after="0"/>
    </w:pPr>
    <w:rPr>
      <w:sz w:val="20"/>
      <w:szCs w:val="20"/>
    </w:rPr>
  </w:style>
  <w:style w:type="character" w:customStyle="1" w:styleId="FootnoteTextChar">
    <w:name w:val="Footnote Text Char"/>
    <w:basedOn w:val="DefaultParagraphFont"/>
    <w:link w:val="FootnoteText"/>
    <w:rsid w:val="007B2344"/>
    <w:rPr>
      <w:rFonts w:ascii="Arial" w:hAnsi="Arial"/>
      <w:lang w:val="en-US" w:eastAsia="en-US"/>
    </w:rPr>
  </w:style>
  <w:style w:type="character" w:styleId="FootnoteReference">
    <w:name w:val="footnote reference"/>
    <w:basedOn w:val="DefaultParagraphFont"/>
    <w:rsid w:val="007B2344"/>
    <w:rPr>
      <w:vertAlign w:val="superscript"/>
    </w:rPr>
  </w:style>
  <w:style w:type="paragraph" w:styleId="NormalWeb">
    <w:name w:val="Normal (Web)"/>
    <w:basedOn w:val="Normal"/>
    <w:uiPriority w:val="99"/>
    <w:unhideWhenUsed/>
    <w:rsid w:val="00B76764"/>
    <w:pPr>
      <w:spacing w:before="100" w:beforeAutospacing="1" w:after="100" w:afterAutospacing="1"/>
      <w:jc w:val="left"/>
    </w:pPr>
    <w:rPr>
      <w:rFonts w:ascii="Times New Roman" w:eastAsiaTheme="minorEastAsia" w:hAnsi="Times New Roman"/>
      <w:lang w:val="en-GB" w:eastAsia="en-GB"/>
    </w:rPr>
  </w:style>
  <w:style w:type="character" w:styleId="Strong">
    <w:name w:val="Strong"/>
    <w:basedOn w:val="DefaultParagraphFont"/>
    <w:uiPriority w:val="22"/>
    <w:qFormat/>
    <w:rsid w:val="006D305A"/>
    <w:rPr>
      <w:b/>
      <w:bCs/>
    </w:rPr>
  </w:style>
  <w:style w:type="character" w:customStyle="1" w:styleId="Heading3Char">
    <w:name w:val="Heading 3 Char"/>
    <w:basedOn w:val="DefaultParagraphFont"/>
    <w:link w:val="Heading3"/>
    <w:rsid w:val="00806F8E"/>
    <w:rPr>
      <w:rFonts w:ascii="Arial" w:eastAsiaTheme="majorEastAsia" w:hAnsi="Arial" w:cstheme="majorBidi"/>
      <w:b/>
      <w:bCs/>
      <w:sz w:val="24"/>
      <w:szCs w:val="24"/>
      <w:lang w:val="en-US" w:eastAsia="en-US"/>
    </w:rPr>
  </w:style>
  <w:style w:type="character" w:customStyle="1" w:styleId="Heading4Char">
    <w:name w:val="Heading 4 Char"/>
    <w:basedOn w:val="DefaultParagraphFont"/>
    <w:link w:val="Heading4"/>
    <w:rsid w:val="001A5747"/>
    <w:rPr>
      <w:rFonts w:ascii="Arial" w:eastAsiaTheme="majorEastAsia" w:hAnsi="Arial" w:cstheme="majorBidi"/>
      <w:bCs/>
      <w:iCs/>
      <w:sz w:val="24"/>
      <w:szCs w:val="24"/>
      <w:u w:val="single"/>
      <w:lang w:val="en-US" w:eastAsia="en-US"/>
    </w:rPr>
  </w:style>
  <w:style w:type="character" w:customStyle="1" w:styleId="Heading5Char">
    <w:name w:val="Heading 5 Char"/>
    <w:basedOn w:val="DefaultParagraphFont"/>
    <w:link w:val="Heading5"/>
    <w:semiHidden/>
    <w:rsid w:val="006D305A"/>
    <w:rPr>
      <w:rFonts w:asciiTheme="majorHAnsi" w:eastAsiaTheme="majorEastAsia" w:hAnsiTheme="majorHAnsi" w:cstheme="majorBidi"/>
      <w:color w:val="243F60" w:themeColor="accent1" w:themeShade="7F"/>
      <w:sz w:val="24"/>
      <w:szCs w:val="24"/>
      <w:lang w:val="en-US" w:eastAsia="en-US"/>
    </w:rPr>
  </w:style>
  <w:style w:type="character" w:customStyle="1" w:styleId="Heading6Char">
    <w:name w:val="Heading 6 Char"/>
    <w:basedOn w:val="DefaultParagraphFont"/>
    <w:link w:val="Heading6"/>
    <w:semiHidden/>
    <w:rsid w:val="006D305A"/>
    <w:rPr>
      <w:rFonts w:asciiTheme="majorHAnsi" w:eastAsiaTheme="majorEastAsia" w:hAnsiTheme="majorHAnsi" w:cstheme="majorBidi"/>
      <w:i/>
      <w:iCs/>
      <w:color w:val="243F60" w:themeColor="accent1" w:themeShade="7F"/>
      <w:sz w:val="24"/>
      <w:szCs w:val="24"/>
      <w:lang w:val="en-US" w:eastAsia="en-US"/>
    </w:rPr>
  </w:style>
  <w:style w:type="character" w:customStyle="1" w:styleId="Heading7Char">
    <w:name w:val="Heading 7 Char"/>
    <w:basedOn w:val="DefaultParagraphFont"/>
    <w:link w:val="Heading7"/>
    <w:semiHidden/>
    <w:rsid w:val="006D305A"/>
    <w:rPr>
      <w:rFonts w:asciiTheme="majorHAnsi" w:eastAsiaTheme="majorEastAsia" w:hAnsiTheme="majorHAnsi" w:cstheme="majorBidi"/>
      <w:i/>
      <w:iCs/>
      <w:color w:val="404040" w:themeColor="text1" w:themeTint="BF"/>
      <w:sz w:val="24"/>
      <w:szCs w:val="24"/>
      <w:lang w:val="en-US" w:eastAsia="en-US"/>
    </w:rPr>
  </w:style>
  <w:style w:type="character" w:customStyle="1" w:styleId="Heading8Char">
    <w:name w:val="Heading 8 Char"/>
    <w:basedOn w:val="DefaultParagraphFont"/>
    <w:link w:val="Heading8"/>
    <w:semiHidden/>
    <w:rsid w:val="006D305A"/>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semiHidden/>
    <w:rsid w:val="006D305A"/>
    <w:rPr>
      <w:rFonts w:asciiTheme="majorHAnsi" w:eastAsiaTheme="majorEastAsia" w:hAnsiTheme="majorHAnsi" w:cstheme="majorBidi"/>
      <w:i/>
      <w:iCs/>
      <w:color w:val="404040" w:themeColor="text1" w:themeTint="BF"/>
      <w:lang w:val="en-US" w:eastAsia="en-US"/>
    </w:rPr>
  </w:style>
  <w:style w:type="paragraph" w:styleId="TOCHeading">
    <w:name w:val="TOC Heading"/>
    <w:basedOn w:val="Heading1"/>
    <w:next w:val="Normal"/>
    <w:uiPriority w:val="39"/>
    <w:semiHidden/>
    <w:unhideWhenUsed/>
    <w:qFormat/>
    <w:rsid w:val="00361EDC"/>
    <w:pPr>
      <w:keepLines/>
      <w:numPr>
        <w:numId w:val="0"/>
      </w:numPr>
      <w:overflowPunct/>
      <w:autoSpaceDE/>
      <w:autoSpaceDN/>
      <w:adjustRightInd/>
      <w:spacing w:before="480" w:after="0" w:line="276" w:lineRule="auto"/>
      <w:jc w:val="left"/>
      <w:textAlignment w:val="auto"/>
      <w:outlineLvl w:val="9"/>
    </w:pPr>
    <w:rPr>
      <w:rFonts w:asciiTheme="majorHAnsi" w:eastAsiaTheme="majorEastAsia" w:hAnsiTheme="majorHAnsi" w:cstheme="majorBidi"/>
      <w:bCs/>
      <w:color w:val="365F91" w:themeColor="accent1" w:themeShade="BF"/>
      <w:szCs w:val="28"/>
      <w:u w:val="none"/>
      <w:lang w:val="en-US" w:eastAsia="ja-JP"/>
    </w:rPr>
  </w:style>
  <w:style w:type="paragraph" w:styleId="TOC1">
    <w:name w:val="toc 1"/>
    <w:basedOn w:val="Normal"/>
    <w:next w:val="Normal"/>
    <w:autoRedefine/>
    <w:uiPriority w:val="39"/>
    <w:rsid w:val="00361EDC"/>
    <w:pPr>
      <w:spacing w:after="100"/>
    </w:pPr>
  </w:style>
  <w:style w:type="paragraph" w:styleId="TOC2">
    <w:name w:val="toc 2"/>
    <w:basedOn w:val="Normal"/>
    <w:next w:val="Normal"/>
    <w:autoRedefine/>
    <w:uiPriority w:val="39"/>
    <w:rsid w:val="00361EDC"/>
    <w:pPr>
      <w:spacing w:after="100"/>
      <w:ind w:left="240"/>
    </w:pPr>
  </w:style>
  <w:style w:type="paragraph" w:styleId="TOC3">
    <w:name w:val="toc 3"/>
    <w:basedOn w:val="Normal"/>
    <w:next w:val="Normal"/>
    <w:autoRedefine/>
    <w:uiPriority w:val="39"/>
    <w:rsid w:val="00361EDC"/>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2395">
      <w:bodyDiv w:val="1"/>
      <w:marLeft w:val="0"/>
      <w:marRight w:val="0"/>
      <w:marTop w:val="0"/>
      <w:marBottom w:val="0"/>
      <w:divBdr>
        <w:top w:val="none" w:sz="0" w:space="0" w:color="auto"/>
        <w:left w:val="none" w:sz="0" w:space="0" w:color="auto"/>
        <w:bottom w:val="none" w:sz="0" w:space="0" w:color="auto"/>
        <w:right w:val="none" w:sz="0" w:space="0" w:color="auto"/>
      </w:divBdr>
    </w:div>
    <w:div w:id="30420265">
      <w:bodyDiv w:val="1"/>
      <w:marLeft w:val="0"/>
      <w:marRight w:val="0"/>
      <w:marTop w:val="0"/>
      <w:marBottom w:val="0"/>
      <w:divBdr>
        <w:top w:val="none" w:sz="0" w:space="0" w:color="auto"/>
        <w:left w:val="none" w:sz="0" w:space="0" w:color="auto"/>
        <w:bottom w:val="none" w:sz="0" w:space="0" w:color="auto"/>
        <w:right w:val="none" w:sz="0" w:space="0" w:color="auto"/>
      </w:divBdr>
    </w:div>
    <w:div w:id="49501518">
      <w:bodyDiv w:val="1"/>
      <w:marLeft w:val="0"/>
      <w:marRight w:val="0"/>
      <w:marTop w:val="0"/>
      <w:marBottom w:val="0"/>
      <w:divBdr>
        <w:top w:val="none" w:sz="0" w:space="0" w:color="auto"/>
        <w:left w:val="none" w:sz="0" w:space="0" w:color="auto"/>
        <w:bottom w:val="none" w:sz="0" w:space="0" w:color="auto"/>
        <w:right w:val="none" w:sz="0" w:space="0" w:color="auto"/>
      </w:divBdr>
    </w:div>
    <w:div w:id="61754242">
      <w:bodyDiv w:val="1"/>
      <w:marLeft w:val="0"/>
      <w:marRight w:val="0"/>
      <w:marTop w:val="0"/>
      <w:marBottom w:val="0"/>
      <w:divBdr>
        <w:top w:val="none" w:sz="0" w:space="0" w:color="auto"/>
        <w:left w:val="none" w:sz="0" w:space="0" w:color="auto"/>
        <w:bottom w:val="none" w:sz="0" w:space="0" w:color="auto"/>
        <w:right w:val="none" w:sz="0" w:space="0" w:color="auto"/>
      </w:divBdr>
    </w:div>
    <w:div w:id="73822491">
      <w:bodyDiv w:val="1"/>
      <w:marLeft w:val="0"/>
      <w:marRight w:val="0"/>
      <w:marTop w:val="0"/>
      <w:marBottom w:val="0"/>
      <w:divBdr>
        <w:top w:val="none" w:sz="0" w:space="0" w:color="auto"/>
        <w:left w:val="none" w:sz="0" w:space="0" w:color="auto"/>
        <w:bottom w:val="none" w:sz="0" w:space="0" w:color="auto"/>
        <w:right w:val="none" w:sz="0" w:space="0" w:color="auto"/>
      </w:divBdr>
    </w:div>
    <w:div w:id="119569146">
      <w:bodyDiv w:val="1"/>
      <w:marLeft w:val="0"/>
      <w:marRight w:val="0"/>
      <w:marTop w:val="0"/>
      <w:marBottom w:val="0"/>
      <w:divBdr>
        <w:top w:val="none" w:sz="0" w:space="0" w:color="auto"/>
        <w:left w:val="none" w:sz="0" w:space="0" w:color="auto"/>
        <w:bottom w:val="none" w:sz="0" w:space="0" w:color="auto"/>
        <w:right w:val="none" w:sz="0" w:space="0" w:color="auto"/>
      </w:divBdr>
    </w:div>
    <w:div w:id="145168834">
      <w:bodyDiv w:val="1"/>
      <w:marLeft w:val="0"/>
      <w:marRight w:val="0"/>
      <w:marTop w:val="0"/>
      <w:marBottom w:val="0"/>
      <w:divBdr>
        <w:top w:val="none" w:sz="0" w:space="0" w:color="auto"/>
        <w:left w:val="none" w:sz="0" w:space="0" w:color="auto"/>
        <w:bottom w:val="none" w:sz="0" w:space="0" w:color="auto"/>
        <w:right w:val="none" w:sz="0" w:space="0" w:color="auto"/>
      </w:divBdr>
    </w:div>
    <w:div w:id="166017877">
      <w:bodyDiv w:val="1"/>
      <w:marLeft w:val="0"/>
      <w:marRight w:val="0"/>
      <w:marTop w:val="0"/>
      <w:marBottom w:val="0"/>
      <w:divBdr>
        <w:top w:val="none" w:sz="0" w:space="0" w:color="auto"/>
        <w:left w:val="none" w:sz="0" w:space="0" w:color="auto"/>
        <w:bottom w:val="none" w:sz="0" w:space="0" w:color="auto"/>
        <w:right w:val="none" w:sz="0" w:space="0" w:color="auto"/>
      </w:divBdr>
    </w:div>
    <w:div w:id="196700042">
      <w:bodyDiv w:val="1"/>
      <w:marLeft w:val="0"/>
      <w:marRight w:val="0"/>
      <w:marTop w:val="0"/>
      <w:marBottom w:val="0"/>
      <w:divBdr>
        <w:top w:val="none" w:sz="0" w:space="0" w:color="auto"/>
        <w:left w:val="none" w:sz="0" w:space="0" w:color="auto"/>
        <w:bottom w:val="none" w:sz="0" w:space="0" w:color="auto"/>
        <w:right w:val="none" w:sz="0" w:space="0" w:color="auto"/>
      </w:divBdr>
    </w:div>
    <w:div w:id="210043270">
      <w:bodyDiv w:val="1"/>
      <w:marLeft w:val="0"/>
      <w:marRight w:val="0"/>
      <w:marTop w:val="0"/>
      <w:marBottom w:val="0"/>
      <w:divBdr>
        <w:top w:val="none" w:sz="0" w:space="0" w:color="auto"/>
        <w:left w:val="none" w:sz="0" w:space="0" w:color="auto"/>
        <w:bottom w:val="none" w:sz="0" w:space="0" w:color="auto"/>
        <w:right w:val="none" w:sz="0" w:space="0" w:color="auto"/>
      </w:divBdr>
    </w:div>
    <w:div w:id="224874578">
      <w:bodyDiv w:val="1"/>
      <w:marLeft w:val="0"/>
      <w:marRight w:val="0"/>
      <w:marTop w:val="0"/>
      <w:marBottom w:val="0"/>
      <w:divBdr>
        <w:top w:val="none" w:sz="0" w:space="0" w:color="auto"/>
        <w:left w:val="none" w:sz="0" w:space="0" w:color="auto"/>
        <w:bottom w:val="none" w:sz="0" w:space="0" w:color="auto"/>
        <w:right w:val="none" w:sz="0" w:space="0" w:color="auto"/>
      </w:divBdr>
    </w:div>
    <w:div w:id="266928658">
      <w:bodyDiv w:val="1"/>
      <w:marLeft w:val="0"/>
      <w:marRight w:val="0"/>
      <w:marTop w:val="0"/>
      <w:marBottom w:val="0"/>
      <w:divBdr>
        <w:top w:val="none" w:sz="0" w:space="0" w:color="auto"/>
        <w:left w:val="none" w:sz="0" w:space="0" w:color="auto"/>
        <w:bottom w:val="none" w:sz="0" w:space="0" w:color="auto"/>
        <w:right w:val="none" w:sz="0" w:space="0" w:color="auto"/>
      </w:divBdr>
    </w:div>
    <w:div w:id="330106487">
      <w:bodyDiv w:val="1"/>
      <w:marLeft w:val="0"/>
      <w:marRight w:val="0"/>
      <w:marTop w:val="0"/>
      <w:marBottom w:val="0"/>
      <w:divBdr>
        <w:top w:val="none" w:sz="0" w:space="0" w:color="auto"/>
        <w:left w:val="none" w:sz="0" w:space="0" w:color="auto"/>
        <w:bottom w:val="none" w:sz="0" w:space="0" w:color="auto"/>
        <w:right w:val="none" w:sz="0" w:space="0" w:color="auto"/>
      </w:divBdr>
    </w:div>
    <w:div w:id="343938098">
      <w:bodyDiv w:val="1"/>
      <w:marLeft w:val="0"/>
      <w:marRight w:val="0"/>
      <w:marTop w:val="0"/>
      <w:marBottom w:val="0"/>
      <w:divBdr>
        <w:top w:val="none" w:sz="0" w:space="0" w:color="auto"/>
        <w:left w:val="none" w:sz="0" w:space="0" w:color="auto"/>
        <w:bottom w:val="none" w:sz="0" w:space="0" w:color="auto"/>
        <w:right w:val="none" w:sz="0" w:space="0" w:color="auto"/>
      </w:divBdr>
    </w:div>
    <w:div w:id="355934360">
      <w:bodyDiv w:val="1"/>
      <w:marLeft w:val="0"/>
      <w:marRight w:val="0"/>
      <w:marTop w:val="0"/>
      <w:marBottom w:val="0"/>
      <w:divBdr>
        <w:top w:val="none" w:sz="0" w:space="0" w:color="auto"/>
        <w:left w:val="none" w:sz="0" w:space="0" w:color="auto"/>
        <w:bottom w:val="none" w:sz="0" w:space="0" w:color="auto"/>
        <w:right w:val="none" w:sz="0" w:space="0" w:color="auto"/>
      </w:divBdr>
    </w:div>
    <w:div w:id="363948347">
      <w:bodyDiv w:val="1"/>
      <w:marLeft w:val="0"/>
      <w:marRight w:val="0"/>
      <w:marTop w:val="0"/>
      <w:marBottom w:val="0"/>
      <w:divBdr>
        <w:top w:val="none" w:sz="0" w:space="0" w:color="auto"/>
        <w:left w:val="none" w:sz="0" w:space="0" w:color="auto"/>
        <w:bottom w:val="none" w:sz="0" w:space="0" w:color="auto"/>
        <w:right w:val="none" w:sz="0" w:space="0" w:color="auto"/>
      </w:divBdr>
    </w:div>
    <w:div w:id="404105945">
      <w:bodyDiv w:val="1"/>
      <w:marLeft w:val="0"/>
      <w:marRight w:val="0"/>
      <w:marTop w:val="0"/>
      <w:marBottom w:val="0"/>
      <w:divBdr>
        <w:top w:val="none" w:sz="0" w:space="0" w:color="auto"/>
        <w:left w:val="none" w:sz="0" w:space="0" w:color="auto"/>
        <w:bottom w:val="none" w:sz="0" w:space="0" w:color="auto"/>
        <w:right w:val="none" w:sz="0" w:space="0" w:color="auto"/>
      </w:divBdr>
    </w:div>
    <w:div w:id="457801718">
      <w:bodyDiv w:val="1"/>
      <w:marLeft w:val="0"/>
      <w:marRight w:val="0"/>
      <w:marTop w:val="0"/>
      <w:marBottom w:val="0"/>
      <w:divBdr>
        <w:top w:val="none" w:sz="0" w:space="0" w:color="auto"/>
        <w:left w:val="none" w:sz="0" w:space="0" w:color="auto"/>
        <w:bottom w:val="none" w:sz="0" w:space="0" w:color="auto"/>
        <w:right w:val="none" w:sz="0" w:space="0" w:color="auto"/>
      </w:divBdr>
    </w:div>
    <w:div w:id="594023888">
      <w:bodyDiv w:val="1"/>
      <w:marLeft w:val="0"/>
      <w:marRight w:val="0"/>
      <w:marTop w:val="0"/>
      <w:marBottom w:val="0"/>
      <w:divBdr>
        <w:top w:val="none" w:sz="0" w:space="0" w:color="auto"/>
        <w:left w:val="none" w:sz="0" w:space="0" w:color="auto"/>
        <w:bottom w:val="none" w:sz="0" w:space="0" w:color="auto"/>
        <w:right w:val="none" w:sz="0" w:space="0" w:color="auto"/>
      </w:divBdr>
    </w:div>
    <w:div w:id="603347840">
      <w:bodyDiv w:val="1"/>
      <w:marLeft w:val="0"/>
      <w:marRight w:val="0"/>
      <w:marTop w:val="0"/>
      <w:marBottom w:val="0"/>
      <w:divBdr>
        <w:top w:val="none" w:sz="0" w:space="0" w:color="auto"/>
        <w:left w:val="none" w:sz="0" w:space="0" w:color="auto"/>
        <w:bottom w:val="none" w:sz="0" w:space="0" w:color="auto"/>
        <w:right w:val="none" w:sz="0" w:space="0" w:color="auto"/>
      </w:divBdr>
    </w:div>
    <w:div w:id="669215357">
      <w:bodyDiv w:val="1"/>
      <w:marLeft w:val="0"/>
      <w:marRight w:val="0"/>
      <w:marTop w:val="0"/>
      <w:marBottom w:val="0"/>
      <w:divBdr>
        <w:top w:val="none" w:sz="0" w:space="0" w:color="auto"/>
        <w:left w:val="none" w:sz="0" w:space="0" w:color="auto"/>
        <w:bottom w:val="none" w:sz="0" w:space="0" w:color="auto"/>
        <w:right w:val="none" w:sz="0" w:space="0" w:color="auto"/>
      </w:divBdr>
    </w:div>
    <w:div w:id="681127169">
      <w:bodyDiv w:val="1"/>
      <w:marLeft w:val="0"/>
      <w:marRight w:val="0"/>
      <w:marTop w:val="0"/>
      <w:marBottom w:val="0"/>
      <w:divBdr>
        <w:top w:val="none" w:sz="0" w:space="0" w:color="auto"/>
        <w:left w:val="none" w:sz="0" w:space="0" w:color="auto"/>
        <w:bottom w:val="none" w:sz="0" w:space="0" w:color="auto"/>
        <w:right w:val="none" w:sz="0" w:space="0" w:color="auto"/>
      </w:divBdr>
    </w:div>
    <w:div w:id="682169513">
      <w:bodyDiv w:val="1"/>
      <w:marLeft w:val="0"/>
      <w:marRight w:val="0"/>
      <w:marTop w:val="0"/>
      <w:marBottom w:val="0"/>
      <w:divBdr>
        <w:top w:val="none" w:sz="0" w:space="0" w:color="auto"/>
        <w:left w:val="none" w:sz="0" w:space="0" w:color="auto"/>
        <w:bottom w:val="none" w:sz="0" w:space="0" w:color="auto"/>
        <w:right w:val="none" w:sz="0" w:space="0" w:color="auto"/>
      </w:divBdr>
    </w:div>
    <w:div w:id="688340655">
      <w:bodyDiv w:val="1"/>
      <w:marLeft w:val="0"/>
      <w:marRight w:val="0"/>
      <w:marTop w:val="0"/>
      <w:marBottom w:val="0"/>
      <w:divBdr>
        <w:top w:val="none" w:sz="0" w:space="0" w:color="auto"/>
        <w:left w:val="none" w:sz="0" w:space="0" w:color="auto"/>
        <w:bottom w:val="none" w:sz="0" w:space="0" w:color="auto"/>
        <w:right w:val="none" w:sz="0" w:space="0" w:color="auto"/>
      </w:divBdr>
    </w:div>
    <w:div w:id="786579527">
      <w:bodyDiv w:val="1"/>
      <w:marLeft w:val="0"/>
      <w:marRight w:val="0"/>
      <w:marTop w:val="0"/>
      <w:marBottom w:val="0"/>
      <w:divBdr>
        <w:top w:val="none" w:sz="0" w:space="0" w:color="auto"/>
        <w:left w:val="none" w:sz="0" w:space="0" w:color="auto"/>
        <w:bottom w:val="none" w:sz="0" w:space="0" w:color="auto"/>
        <w:right w:val="none" w:sz="0" w:space="0" w:color="auto"/>
      </w:divBdr>
    </w:div>
    <w:div w:id="787628162">
      <w:bodyDiv w:val="1"/>
      <w:marLeft w:val="0"/>
      <w:marRight w:val="0"/>
      <w:marTop w:val="0"/>
      <w:marBottom w:val="0"/>
      <w:divBdr>
        <w:top w:val="none" w:sz="0" w:space="0" w:color="auto"/>
        <w:left w:val="none" w:sz="0" w:space="0" w:color="auto"/>
        <w:bottom w:val="none" w:sz="0" w:space="0" w:color="auto"/>
        <w:right w:val="none" w:sz="0" w:space="0" w:color="auto"/>
      </w:divBdr>
    </w:div>
    <w:div w:id="807627528">
      <w:bodyDiv w:val="1"/>
      <w:marLeft w:val="0"/>
      <w:marRight w:val="0"/>
      <w:marTop w:val="0"/>
      <w:marBottom w:val="0"/>
      <w:divBdr>
        <w:top w:val="none" w:sz="0" w:space="0" w:color="auto"/>
        <w:left w:val="none" w:sz="0" w:space="0" w:color="auto"/>
        <w:bottom w:val="none" w:sz="0" w:space="0" w:color="auto"/>
        <w:right w:val="none" w:sz="0" w:space="0" w:color="auto"/>
      </w:divBdr>
    </w:div>
    <w:div w:id="856507881">
      <w:bodyDiv w:val="1"/>
      <w:marLeft w:val="0"/>
      <w:marRight w:val="0"/>
      <w:marTop w:val="0"/>
      <w:marBottom w:val="0"/>
      <w:divBdr>
        <w:top w:val="none" w:sz="0" w:space="0" w:color="auto"/>
        <w:left w:val="none" w:sz="0" w:space="0" w:color="auto"/>
        <w:bottom w:val="none" w:sz="0" w:space="0" w:color="auto"/>
        <w:right w:val="none" w:sz="0" w:space="0" w:color="auto"/>
      </w:divBdr>
    </w:div>
    <w:div w:id="946158069">
      <w:bodyDiv w:val="1"/>
      <w:marLeft w:val="0"/>
      <w:marRight w:val="0"/>
      <w:marTop w:val="0"/>
      <w:marBottom w:val="0"/>
      <w:divBdr>
        <w:top w:val="none" w:sz="0" w:space="0" w:color="auto"/>
        <w:left w:val="none" w:sz="0" w:space="0" w:color="auto"/>
        <w:bottom w:val="none" w:sz="0" w:space="0" w:color="auto"/>
        <w:right w:val="none" w:sz="0" w:space="0" w:color="auto"/>
      </w:divBdr>
    </w:div>
    <w:div w:id="1094013595">
      <w:bodyDiv w:val="1"/>
      <w:marLeft w:val="0"/>
      <w:marRight w:val="0"/>
      <w:marTop w:val="0"/>
      <w:marBottom w:val="0"/>
      <w:divBdr>
        <w:top w:val="none" w:sz="0" w:space="0" w:color="auto"/>
        <w:left w:val="none" w:sz="0" w:space="0" w:color="auto"/>
        <w:bottom w:val="none" w:sz="0" w:space="0" w:color="auto"/>
        <w:right w:val="none" w:sz="0" w:space="0" w:color="auto"/>
      </w:divBdr>
      <w:divsChild>
        <w:div w:id="610551478">
          <w:marLeft w:val="167"/>
          <w:marRight w:val="167"/>
          <w:marTop w:val="0"/>
          <w:marBottom w:val="0"/>
          <w:divBdr>
            <w:top w:val="none" w:sz="0" w:space="0" w:color="auto"/>
            <w:left w:val="none" w:sz="0" w:space="0" w:color="auto"/>
            <w:bottom w:val="none" w:sz="0" w:space="0" w:color="auto"/>
            <w:right w:val="none" w:sz="0" w:space="0" w:color="auto"/>
          </w:divBdr>
          <w:divsChild>
            <w:div w:id="46538295">
              <w:marLeft w:val="0"/>
              <w:marRight w:val="0"/>
              <w:marTop w:val="0"/>
              <w:marBottom w:val="0"/>
              <w:divBdr>
                <w:top w:val="none" w:sz="0" w:space="0" w:color="auto"/>
                <w:left w:val="none" w:sz="0" w:space="0" w:color="auto"/>
                <w:bottom w:val="none" w:sz="0" w:space="0" w:color="auto"/>
                <w:right w:val="none" w:sz="0" w:space="0" w:color="auto"/>
              </w:divBdr>
              <w:divsChild>
                <w:div w:id="90167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307601">
      <w:bodyDiv w:val="1"/>
      <w:marLeft w:val="0"/>
      <w:marRight w:val="0"/>
      <w:marTop w:val="0"/>
      <w:marBottom w:val="0"/>
      <w:divBdr>
        <w:top w:val="none" w:sz="0" w:space="0" w:color="auto"/>
        <w:left w:val="none" w:sz="0" w:space="0" w:color="auto"/>
        <w:bottom w:val="none" w:sz="0" w:space="0" w:color="auto"/>
        <w:right w:val="none" w:sz="0" w:space="0" w:color="auto"/>
      </w:divBdr>
    </w:div>
    <w:div w:id="1162740266">
      <w:bodyDiv w:val="1"/>
      <w:marLeft w:val="0"/>
      <w:marRight w:val="0"/>
      <w:marTop w:val="0"/>
      <w:marBottom w:val="0"/>
      <w:divBdr>
        <w:top w:val="none" w:sz="0" w:space="0" w:color="auto"/>
        <w:left w:val="none" w:sz="0" w:space="0" w:color="auto"/>
        <w:bottom w:val="none" w:sz="0" w:space="0" w:color="auto"/>
        <w:right w:val="none" w:sz="0" w:space="0" w:color="auto"/>
      </w:divBdr>
    </w:div>
    <w:div w:id="1169713938">
      <w:bodyDiv w:val="1"/>
      <w:marLeft w:val="0"/>
      <w:marRight w:val="0"/>
      <w:marTop w:val="0"/>
      <w:marBottom w:val="0"/>
      <w:divBdr>
        <w:top w:val="none" w:sz="0" w:space="0" w:color="auto"/>
        <w:left w:val="none" w:sz="0" w:space="0" w:color="auto"/>
        <w:bottom w:val="none" w:sz="0" w:space="0" w:color="auto"/>
        <w:right w:val="none" w:sz="0" w:space="0" w:color="auto"/>
      </w:divBdr>
      <w:divsChild>
        <w:div w:id="1299725938">
          <w:marLeft w:val="547"/>
          <w:marRight w:val="0"/>
          <w:marTop w:val="134"/>
          <w:marBottom w:val="0"/>
          <w:divBdr>
            <w:top w:val="none" w:sz="0" w:space="0" w:color="auto"/>
            <w:left w:val="none" w:sz="0" w:space="0" w:color="auto"/>
            <w:bottom w:val="none" w:sz="0" w:space="0" w:color="auto"/>
            <w:right w:val="none" w:sz="0" w:space="0" w:color="auto"/>
          </w:divBdr>
        </w:div>
      </w:divsChild>
    </w:div>
    <w:div w:id="1177305720">
      <w:bodyDiv w:val="1"/>
      <w:marLeft w:val="0"/>
      <w:marRight w:val="0"/>
      <w:marTop w:val="0"/>
      <w:marBottom w:val="0"/>
      <w:divBdr>
        <w:top w:val="none" w:sz="0" w:space="0" w:color="auto"/>
        <w:left w:val="none" w:sz="0" w:space="0" w:color="auto"/>
        <w:bottom w:val="none" w:sz="0" w:space="0" w:color="auto"/>
        <w:right w:val="none" w:sz="0" w:space="0" w:color="auto"/>
      </w:divBdr>
    </w:div>
    <w:div w:id="1182163666">
      <w:bodyDiv w:val="1"/>
      <w:marLeft w:val="0"/>
      <w:marRight w:val="0"/>
      <w:marTop w:val="0"/>
      <w:marBottom w:val="0"/>
      <w:divBdr>
        <w:top w:val="none" w:sz="0" w:space="0" w:color="auto"/>
        <w:left w:val="none" w:sz="0" w:space="0" w:color="auto"/>
        <w:bottom w:val="none" w:sz="0" w:space="0" w:color="auto"/>
        <w:right w:val="none" w:sz="0" w:space="0" w:color="auto"/>
      </w:divBdr>
    </w:div>
    <w:div w:id="1183006964">
      <w:bodyDiv w:val="1"/>
      <w:marLeft w:val="0"/>
      <w:marRight w:val="0"/>
      <w:marTop w:val="0"/>
      <w:marBottom w:val="0"/>
      <w:divBdr>
        <w:top w:val="none" w:sz="0" w:space="0" w:color="auto"/>
        <w:left w:val="none" w:sz="0" w:space="0" w:color="auto"/>
        <w:bottom w:val="none" w:sz="0" w:space="0" w:color="auto"/>
        <w:right w:val="none" w:sz="0" w:space="0" w:color="auto"/>
      </w:divBdr>
    </w:div>
    <w:div w:id="1252203459">
      <w:bodyDiv w:val="1"/>
      <w:marLeft w:val="0"/>
      <w:marRight w:val="0"/>
      <w:marTop w:val="0"/>
      <w:marBottom w:val="0"/>
      <w:divBdr>
        <w:top w:val="none" w:sz="0" w:space="0" w:color="auto"/>
        <w:left w:val="none" w:sz="0" w:space="0" w:color="auto"/>
        <w:bottom w:val="none" w:sz="0" w:space="0" w:color="auto"/>
        <w:right w:val="none" w:sz="0" w:space="0" w:color="auto"/>
      </w:divBdr>
    </w:div>
    <w:div w:id="1266496799">
      <w:bodyDiv w:val="1"/>
      <w:marLeft w:val="0"/>
      <w:marRight w:val="0"/>
      <w:marTop w:val="0"/>
      <w:marBottom w:val="0"/>
      <w:divBdr>
        <w:top w:val="none" w:sz="0" w:space="0" w:color="auto"/>
        <w:left w:val="none" w:sz="0" w:space="0" w:color="auto"/>
        <w:bottom w:val="none" w:sz="0" w:space="0" w:color="auto"/>
        <w:right w:val="none" w:sz="0" w:space="0" w:color="auto"/>
      </w:divBdr>
    </w:div>
    <w:div w:id="1303191856">
      <w:bodyDiv w:val="1"/>
      <w:marLeft w:val="0"/>
      <w:marRight w:val="0"/>
      <w:marTop w:val="0"/>
      <w:marBottom w:val="0"/>
      <w:divBdr>
        <w:top w:val="none" w:sz="0" w:space="0" w:color="auto"/>
        <w:left w:val="none" w:sz="0" w:space="0" w:color="auto"/>
        <w:bottom w:val="none" w:sz="0" w:space="0" w:color="auto"/>
        <w:right w:val="none" w:sz="0" w:space="0" w:color="auto"/>
      </w:divBdr>
    </w:div>
    <w:div w:id="1306933246">
      <w:bodyDiv w:val="1"/>
      <w:marLeft w:val="0"/>
      <w:marRight w:val="0"/>
      <w:marTop w:val="0"/>
      <w:marBottom w:val="0"/>
      <w:divBdr>
        <w:top w:val="none" w:sz="0" w:space="0" w:color="auto"/>
        <w:left w:val="none" w:sz="0" w:space="0" w:color="auto"/>
        <w:bottom w:val="none" w:sz="0" w:space="0" w:color="auto"/>
        <w:right w:val="none" w:sz="0" w:space="0" w:color="auto"/>
      </w:divBdr>
    </w:div>
    <w:div w:id="1332566858">
      <w:bodyDiv w:val="1"/>
      <w:marLeft w:val="0"/>
      <w:marRight w:val="0"/>
      <w:marTop w:val="0"/>
      <w:marBottom w:val="0"/>
      <w:divBdr>
        <w:top w:val="none" w:sz="0" w:space="0" w:color="auto"/>
        <w:left w:val="none" w:sz="0" w:space="0" w:color="auto"/>
        <w:bottom w:val="none" w:sz="0" w:space="0" w:color="auto"/>
        <w:right w:val="none" w:sz="0" w:space="0" w:color="auto"/>
      </w:divBdr>
    </w:div>
    <w:div w:id="1439180087">
      <w:bodyDiv w:val="1"/>
      <w:marLeft w:val="0"/>
      <w:marRight w:val="0"/>
      <w:marTop w:val="0"/>
      <w:marBottom w:val="0"/>
      <w:divBdr>
        <w:top w:val="none" w:sz="0" w:space="0" w:color="auto"/>
        <w:left w:val="none" w:sz="0" w:space="0" w:color="auto"/>
        <w:bottom w:val="none" w:sz="0" w:space="0" w:color="auto"/>
        <w:right w:val="none" w:sz="0" w:space="0" w:color="auto"/>
      </w:divBdr>
    </w:div>
    <w:div w:id="1489057254">
      <w:bodyDiv w:val="1"/>
      <w:marLeft w:val="0"/>
      <w:marRight w:val="0"/>
      <w:marTop w:val="0"/>
      <w:marBottom w:val="0"/>
      <w:divBdr>
        <w:top w:val="none" w:sz="0" w:space="0" w:color="auto"/>
        <w:left w:val="none" w:sz="0" w:space="0" w:color="auto"/>
        <w:bottom w:val="none" w:sz="0" w:space="0" w:color="auto"/>
        <w:right w:val="none" w:sz="0" w:space="0" w:color="auto"/>
      </w:divBdr>
    </w:div>
    <w:div w:id="1509756418">
      <w:bodyDiv w:val="1"/>
      <w:marLeft w:val="0"/>
      <w:marRight w:val="0"/>
      <w:marTop w:val="0"/>
      <w:marBottom w:val="0"/>
      <w:divBdr>
        <w:top w:val="none" w:sz="0" w:space="0" w:color="auto"/>
        <w:left w:val="none" w:sz="0" w:space="0" w:color="auto"/>
        <w:bottom w:val="none" w:sz="0" w:space="0" w:color="auto"/>
        <w:right w:val="none" w:sz="0" w:space="0" w:color="auto"/>
      </w:divBdr>
    </w:div>
    <w:div w:id="1595894185">
      <w:bodyDiv w:val="1"/>
      <w:marLeft w:val="0"/>
      <w:marRight w:val="0"/>
      <w:marTop w:val="0"/>
      <w:marBottom w:val="0"/>
      <w:divBdr>
        <w:top w:val="none" w:sz="0" w:space="0" w:color="auto"/>
        <w:left w:val="none" w:sz="0" w:space="0" w:color="auto"/>
        <w:bottom w:val="none" w:sz="0" w:space="0" w:color="auto"/>
        <w:right w:val="none" w:sz="0" w:space="0" w:color="auto"/>
      </w:divBdr>
    </w:div>
    <w:div w:id="1711493336">
      <w:bodyDiv w:val="1"/>
      <w:marLeft w:val="0"/>
      <w:marRight w:val="0"/>
      <w:marTop w:val="0"/>
      <w:marBottom w:val="0"/>
      <w:divBdr>
        <w:top w:val="none" w:sz="0" w:space="0" w:color="auto"/>
        <w:left w:val="none" w:sz="0" w:space="0" w:color="auto"/>
        <w:bottom w:val="none" w:sz="0" w:space="0" w:color="auto"/>
        <w:right w:val="none" w:sz="0" w:space="0" w:color="auto"/>
      </w:divBdr>
    </w:div>
    <w:div w:id="1752045865">
      <w:bodyDiv w:val="1"/>
      <w:marLeft w:val="0"/>
      <w:marRight w:val="0"/>
      <w:marTop w:val="0"/>
      <w:marBottom w:val="0"/>
      <w:divBdr>
        <w:top w:val="none" w:sz="0" w:space="0" w:color="auto"/>
        <w:left w:val="none" w:sz="0" w:space="0" w:color="auto"/>
        <w:bottom w:val="none" w:sz="0" w:space="0" w:color="auto"/>
        <w:right w:val="none" w:sz="0" w:space="0" w:color="auto"/>
      </w:divBdr>
    </w:div>
    <w:div w:id="1764063786">
      <w:bodyDiv w:val="1"/>
      <w:marLeft w:val="0"/>
      <w:marRight w:val="0"/>
      <w:marTop w:val="0"/>
      <w:marBottom w:val="0"/>
      <w:divBdr>
        <w:top w:val="none" w:sz="0" w:space="0" w:color="auto"/>
        <w:left w:val="none" w:sz="0" w:space="0" w:color="auto"/>
        <w:bottom w:val="none" w:sz="0" w:space="0" w:color="auto"/>
        <w:right w:val="none" w:sz="0" w:space="0" w:color="auto"/>
      </w:divBdr>
    </w:div>
    <w:div w:id="1815373957">
      <w:bodyDiv w:val="1"/>
      <w:marLeft w:val="0"/>
      <w:marRight w:val="0"/>
      <w:marTop w:val="0"/>
      <w:marBottom w:val="0"/>
      <w:divBdr>
        <w:top w:val="none" w:sz="0" w:space="0" w:color="auto"/>
        <w:left w:val="none" w:sz="0" w:space="0" w:color="auto"/>
        <w:bottom w:val="none" w:sz="0" w:space="0" w:color="auto"/>
        <w:right w:val="none" w:sz="0" w:space="0" w:color="auto"/>
      </w:divBdr>
    </w:div>
    <w:div w:id="1823035536">
      <w:bodyDiv w:val="1"/>
      <w:marLeft w:val="0"/>
      <w:marRight w:val="0"/>
      <w:marTop w:val="0"/>
      <w:marBottom w:val="0"/>
      <w:divBdr>
        <w:top w:val="none" w:sz="0" w:space="0" w:color="auto"/>
        <w:left w:val="none" w:sz="0" w:space="0" w:color="auto"/>
        <w:bottom w:val="none" w:sz="0" w:space="0" w:color="auto"/>
        <w:right w:val="none" w:sz="0" w:space="0" w:color="auto"/>
      </w:divBdr>
    </w:div>
    <w:div w:id="1834947332">
      <w:bodyDiv w:val="1"/>
      <w:marLeft w:val="0"/>
      <w:marRight w:val="0"/>
      <w:marTop w:val="0"/>
      <w:marBottom w:val="0"/>
      <w:divBdr>
        <w:top w:val="none" w:sz="0" w:space="0" w:color="auto"/>
        <w:left w:val="none" w:sz="0" w:space="0" w:color="auto"/>
        <w:bottom w:val="none" w:sz="0" w:space="0" w:color="auto"/>
        <w:right w:val="none" w:sz="0" w:space="0" w:color="auto"/>
      </w:divBdr>
    </w:div>
    <w:div w:id="1853647412">
      <w:bodyDiv w:val="1"/>
      <w:marLeft w:val="0"/>
      <w:marRight w:val="0"/>
      <w:marTop w:val="0"/>
      <w:marBottom w:val="0"/>
      <w:divBdr>
        <w:top w:val="none" w:sz="0" w:space="0" w:color="auto"/>
        <w:left w:val="none" w:sz="0" w:space="0" w:color="auto"/>
        <w:bottom w:val="none" w:sz="0" w:space="0" w:color="auto"/>
        <w:right w:val="none" w:sz="0" w:space="0" w:color="auto"/>
      </w:divBdr>
    </w:div>
    <w:div w:id="1865509672">
      <w:bodyDiv w:val="1"/>
      <w:marLeft w:val="0"/>
      <w:marRight w:val="0"/>
      <w:marTop w:val="0"/>
      <w:marBottom w:val="0"/>
      <w:divBdr>
        <w:top w:val="none" w:sz="0" w:space="0" w:color="auto"/>
        <w:left w:val="none" w:sz="0" w:space="0" w:color="auto"/>
        <w:bottom w:val="none" w:sz="0" w:space="0" w:color="auto"/>
        <w:right w:val="none" w:sz="0" w:space="0" w:color="auto"/>
      </w:divBdr>
    </w:div>
    <w:div w:id="1891065030">
      <w:bodyDiv w:val="1"/>
      <w:marLeft w:val="0"/>
      <w:marRight w:val="0"/>
      <w:marTop w:val="0"/>
      <w:marBottom w:val="0"/>
      <w:divBdr>
        <w:top w:val="none" w:sz="0" w:space="0" w:color="auto"/>
        <w:left w:val="none" w:sz="0" w:space="0" w:color="auto"/>
        <w:bottom w:val="none" w:sz="0" w:space="0" w:color="auto"/>
        <w:right w:val="none" w:sz="0" w:space="0" w:color="auto"/>
      </w:divBdr>
    </w:div>
    <w:div w:id="1922792506">
      <w:bodyDiv w:val="1"/>
      <w:marLeft w:val="0"/>
      <w:marRight w:val="0"/>
      <w:marTop w:val="0"/>
      <w:marBottom w:val="0"/>
      <w:divBdr>
        <w:top w:val="none" w:sz="0" w:space="0" w:color="auto"/>
        <w:left w:val="none" w:sz="0" w:space="0" w:color="auto"/>
        <w:bottom w:val="none" w:sz="0" w:space="0" w:color="auto"/>
        <w:right w:val="none" w:sz="0" w:space="0" w:color="auto"/>
      </w:divBdr>
    </w:div>
    <w:div w:id="1923054976">
      <w:bodyDiv w:val="1"/>
      <w:marLeft w:val="0"/>
      <w:marRight w:val="0"/>
      <w:marTop w:val="0"/>
      <w:marBottom w:val="0"/>
      <w:divBdr>
        <w:top w:val="none" w:sz="0" w:space="0" w:color="auto"/>
        <w:left w:val="none" w:sz="0" w:space="0" w:color="auto"/>
        <w:bottom w:val="none" w:sz="0" w:space="0" w:color="auto"/>
        <w:right w:val="none" w:sz="0" w:space="0" w:color="auto"/>
      </w:divBdr>
    </w:div>
    <w:div w:id="1928541091">
      <w:bodyDiv w:val="1"/>
      <w:marLeft w:val="0"/>
      <w:marRight w:val="0"/>
      <w:marTop w:val="0"/>
      <w:marBottom w:val="0"/>
      <w:divBdr>
        <w:top w:val="none" w:sz="0" w:space="0" w:color="auto"/>
        <w:left w:val="none" w:sz="0" w:space="0" w:color="auto"/>
        <w:bottom w:val="none" w:sz="0" w:space="0" w:color="auto"/>
        <w:right w:val="none" w:sz="0" w:space="0" w:color="auto"/>
      </w:divBdr>
    </w:div>
    <w:div w:id="1949198135">
      <w:bodyDiv w:val="1"/>
      <w:marLeft w:val="0"/>
      <w:marRight w:val="0"/>
      <w:marTop w:val="0"/>
      <w:marBottom w:val="0"/>
      <w:divBdr>
        <w:top w:val="none" w:sz="0" w:space="0" w:color="auto"/>
        <w:left w:val="none" w:sz="0" w:space="0" w:color="auto"/>
        <w:bottom w:val="none" w:sz="0" w:space="0" w:color="auto"/>
        <w:right w:val="none" w:sz="0" w:space="0" w:color="auto"/>
      </w:divBdr>
    </w:div>
    <w:div w:id="1953584983">
      <w:bodyDiv w:val="1"/>
      <w:marLeft w:val="0"/>
      <w:marRight w:val="0"/>
      <w:marTop w:val="0"/>
      <w:marBottom w:val="0"/>
      <w:divBdr>
        <w:top w:val="none" w:sz="0" w:space="0" w:color="auto"/>
        <w:left w:val="none" w:sz="0" w:space="0" w:color="auto"/>
        <w:bottom w:val="none" w:sz="0" w:space="0" w:color="auto"/>
        <w:right w:val="none" w:sz="0" w:space="0" w:color="auto"/>
      </w:divBdr>
    </w:div>
    <w:div w:id="1990329747">
      <w:bodyDiv w:val="1"/>
      <w:marLeft w:val="0"/>
      <w:marRight w:val="0"/>
      <w:marTop w:val="0"/>
      <w:marBottom w:val="0"/>
      <w:divBdr>
        <w:top w:val="none" w:sz="0" w:space="0" w:color="auto"/>
        <w:left w:val="none" w:sz="0" w:space="0" w:color="auto"/>
        <w:bottom w:val="none" w:sz="0" w:space="0" w:color="auto"/>
        <w:right w:val="none" w:sz="0" w:space="0" w:color="auto"/>
      </w:divBdr>
    </w:div>
    <w:div w:id="2026011604">
      <w:bodyDiv w:val="1"/>
      <w:marLeft w:val="0"/>
      <w:marRight w:val="0"/>
      <w:marTop w:val="0"/>
      <w:marBottom w:val="0"/>
      <w:divBdr>
        <w:top w:val="none" w:sz="0" w:space="0" w:color="auto"/>
        <w:left w:val="none" w:sz="0" w:space="0" w:color="auto"/>
        <w:bottom w:val="none" w:sz="0" w:space="0" w:color="auto"/>
        <w:right w:val="none" w:sz="0" w:space="0" w:color="auto"/>
      </w:divBdr>
    </w:div>
    <w:div w:id="2048682411">
      <w:bodyDiv w:val="1"/>
      <w:marLeft w:val="0"/>
      <w:marRight w:val="0"/>
      <w:marTop w:val="0"/>
      <w:marBottom w:val="0"/>
      <w:divBdr>
        <w:top w:val="none" w:sz="0" w:space="0" w:color="auto"/>
        <w:left w:val="none" w:sz="0" w:space="0" w:color="auto"/>
        <w:bottom w:val="none" w:sz="0" w:space="0" w:color="auto"/>
        <w:right w:val="none" w:sz="0" w:space="0" w:color="auto"/>
      </w:divBdr>
    </w:div>
    <w:div w:id="2061440373">
      <w:bodyDiv w:val="1"/>
      <w:marLeft w:val="0"/>
      <w:marRight w:val="0"/>
      <w:marTop w:val="0"/>
      <w:marBottom w:val="0"/>
      <w:divBdr>
        <w:top w:val="none" w:sz="0" w:space="0" w:color="auto"/>
        <w:left w:val="none" w:sz="0" w:space="0" w:color="auto"/>
        <w:bottom w:val="none" w:sz="0" w:space="0" w:color="auto"/>
        <w:right w:val="none" w:sz="0" w:space="0" w:color="auto"/>
      </w:divBdr>
    </w:div>
    <w:div w:id="2062047357">
      <w:bodyDiv w:val="1"/>
      <w:marLeft w:val="0"/>
      <w:marRight w:val="0"/>
      <w:marTop w:val="0"/>
      <w:marBottom w:val="0"/>
      <w:divBdr>
        <w:top w:val="none" w:sz="0" w:space="0" w:color="auto"/>
        <w:left w:val="none" w:sz="0" w:space="0" w:color="auto"/>
        <w:bottom w:val="none" w:sz="0" w:space="0" w:color="auto"/>
        <w:right w:val="none" w:sz="0" w:space="0" w:color="auto"/>
      </w:divBdr>
    </w:div>
    <w:div w:id="210449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time4recovery.com/eip-matri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ime4recovery.com" TargetMode="External"/><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11998-F773-4099-9DB6-4666EE6A5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9236</Words>
  <Characters>52911</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62023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Smith Hannah (RNU) Oxford Health</cp:lastModifiedBy>
  <cp:revision>3</cp:revision>
  <cp:lastPrinted>2015-06-09T11:03:00Z</cp:lastPrinted>
  <dcterms:created xsi:type="dcterms:W3CDTF">2016-01-20T14:01:00Z</dcterms:created>
  <dcterms:modified xsi:type="dcterms:W3CDTF">2016-01-20T14:04:00Z</dcterms:modified>
</cp:coreProperties>
</file>