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9CD3D" w14:textId="77777777" w:rsidR="005D3499" w:rsidRPr="0049715F" w:rsidRDefault="005D3499" w:rsidP="006E2EAE">
      <w:pPr>
        <w:jc w:val="both"/>
        <w:rPr>
          <w:rFonts w:ascii="Arial" w:hAnsi="Arial" w:cs="Arial"/>
        </w:rPr>
      </w:pPr>
    </w:p>
    <w:p w14:paraId="5C49CD3E" w14:textId="77777777" w:rsidR="005D3499" w:rsidRPr="0049715F" w:rsidRDefault="0036675B" w:rsidP="006E2EAE">
      <w:pPr>
        <w:jc w:val="both"/>
        <w:rPr>
          <w:rFonts w:ascii="Arial" w:hAnsi="Arial" w:cs="Arial"/>
        </w:rPr>
      </w:pPr>
      <w:r w:rsidRPr="004971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9CD6A" wp14:editId="0BC8906A">
                <wp:simplePos x="0" y="0"/>
                <wp:positionH relativeFrom="column">
                  <wp:posOffset>4117769</wp:posOffset>
                </wp:positionH>
                <wp:positionV relativeFrom="paragraph">
                  <wp:posOffset>50372</wp:posOffset>
                </wp:positionV>
                <wp:extent cx="1372234" cy="605642"/>
                <wp:effectExtent l="0" t="0" r="19050" b="2349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4" cy="605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CD73" w14:textId="77777777" w:rsidR="00AE2CE1" w:rsidRDefault="00AE2CE1" w:rsidP="00A74FA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97C345D" w14:textId="47E8682A" w:rsidR="00A74FA1" w:rsidRDefault="00A74FA1" w:rsidP="00A74FA1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BOD 15/2016</w:t>
                            </w:r>
                          </w:p>
                          <w:p w14:paraId="39F0F26B" w14:textId="32E2A37C" w:rsidR="00A74FA1" w:rsidRPr="00A74FA1" w:rsidRDefault="00A74FA1" w:rsidP="00A74FA1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item: 18)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.25pt;margin-top:3.95pt;width:108.0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">
                <v:textbox inset="0,0,0,0">
                  <w:txbxContent>
                    <w:p w14:paraId="5C49CD73" w14:textId="77777777" w:rsidR="00AE2CE1" w:rsidRDefault="00AE2CE1" w:rsidP="00A74FA1">
                      <w:pPr>
                        <w:jc w:val="center"/>
                        <w:rPr>
                          <w:b/>
                        </w:rPr>
                      </w:pPr>
                    </w:p>
                    <w:p w14:paraId="597C345D" w14:textId="47E8682A" w:rsidR="00A74FA1" w:rsidRDefault="00A74FA1" w:rsidP="00A74FA1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BOD 15/2016</w:t>
                      </w:r>
                    </w:p>
                    <w:p w14:paraId="39F0F26B" w14:textId="32E2A37C" w:rsidR="00A74FA1" w:rsidRPr="00A74FA1" w:rsidRDefault="00A74FA1" w:rsidP="00A74FA1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item: 18)</w:t>
                      </w:r>
                    </w:p>
                  </w:txbxContent>
                </v:textbox>
              </v:rect>
            </w:pict>
          </mc:Fallback>
        </mc:AlternateContent>
      </w:r>
    </w:p>
    <w:p w14:paraId="5C49CD3F" w14:textId="77777777" w:rsidR="005D3499" w:rsidRPr="0049715F" w:rsidRDefault="005D3499" w:rsidP="006E2EAE">
      <w:pPr>
        <w:pStyle w:val="Heading1"/>
        <w:jc w:val="both"/>
        <w:rPr>
          <w:rFonts w:cs="Arial"/>
          <w:sz w:val="24"/>
          <w:szCs w:val="24"/>
        </w:rPr>
      </w:pPr>
    </w:p>
    <w:p w14:paraId="5C49CD40" w14:textId="77777777" w:rsidR="005D3499" w:rsidRPr="0049715F" w:rsidRDefault="005D3499" w:rsidP="006E2EAE">
      <w:pPr>
        <w:pStyle w:val="Heading1"/>
        <w:jc w:val="both"/>
        <w:rPr>
          <w:rFonts w:cs="Arial"/>
          <w:sz w:val="24"/>
          <w:szCs w:val="24"/>
        </w:rPr>
      </w:pPr>
    </w:p>
    <w:p w14:paraId="5C49CD41" w14:textId="77777777" w:rsidR="005D3499" w:rsidRPr="0049715F" w:rsidRDefault="005D3499" w:rsidP="006E2EAE">
      <w:pPr>
        <w:pStyle w:val="Heading1"/>
        <w:jc w:val="both"/>
        <w:rPr>
          <w:rFonts w:cs="Arial"/>
          <w:sz w:val="24"/>
          <w:szCs w:val="24"/>
        </w:rPr>
      </w:pPr>
    </w:p>
    <w:p w14:paraId="1F9528A7" w14:textId="77777777" w:rsidR="0049715F" w:rsidRPr="005010D7" w:rsidRDefault="0049715F" w:rsidP="006E2EAE">
      <w:pPr>
        <w:pStyle w:val="Heading1"/>
        <w:jc w:val="both"/>
        <w:rPr>
          <w:rFonts w:ascii="Segoe UI" w:hAnsi="Segoe UI" w:cs="Segoe UI"/>
          <w:sz w:val="24"/>
          <w:szCs w:val="24"/>
          <w:u w:val="none"/>
        </w:rPr>
      </w:pPr>
    </w:p>
    <w:p w14:paraId="69676E82" w14:textId="0AFBCDCC" w:rsidR="00A87746" w:rsidRPr="005010D7" w:rsidRDefault="005D3499" w:rsidP="00C23D8D">
      <w:pPr>
        <w:pStyle w:val="Heading1"/>
        <w:jc w:val="center"/>
        <w:rPr>
          <w:rFonts w:ascii="Segoe UI" w:hAnsi="Segoe UI" w:cs="Segoe UI"/>
          <w:sz w:val="24"/>
          <w:szCs w:val="24"/>
          <w:u w:val="none"/>
        </w:rPr>
      </w:pPr>
      <w:r w:rsidRPr="005010D7">
        <w:rPr>
          <w:rFonts w:ascii="Segoe UI" w:hAnsi="Segoe UI" w:cs="Segoe UI"/>
          <w:sz w:val="24"/>
          <w:szCs w:val="24"/>
          <w:u w:val="none"/>
        </w:rPr>
        <w:t xml:space="preserve">Report to the Meeting </w:t>
      </w:r>
      <w:r w:rsidR="00B50D5E" w:rsidRPr="005010D7">
        <w:rPr>
          <w:rFonts w:ascii="Segoe UI" w:hAnsi="Segoe UI" w:cs="Segoe UI"/>
          <w:sz w:val="24"/>
          <w:szCs w:val="24"/>
          <w:u w:val="none"/>
        </w:rPr>
        <w:t xml:space="preserve">of the Oxford Health NHS </w:t>
      </w:r>
      <w:r w:rsidR="002821F8" w:rsidRPr="005010D7">
        <w:rPr>
          <w:rFonts w:ascii="Segoe UI" w:hAnsi="Segoe UI" w:cs="Segoe UI"/>
          <w:sz w:val="24"/>
          <w:szCs w:val="24"/>
          <w:u w:val="none"/>
        </w:rPr>
        <w:t xml:space="preserve">Foundation Trust </w:t>
      </w:r>
      <w:r w:rsidRPr="005010D7">
        <w:rPr>
          <w:rFonts w:ascii="Segoe UI" w:hAnsi="Segoe UI" w:cs="Segoe UI"/>
          <w:sz w:val="24"/>
          <w:szCs w:val="24"/>
          <w:u w:val="none"/>
        </w:rPr>
        <w:t>Board</w:t>
      </w:r>
      <w:r w:rsidR="002821F8" w:rsidRPr="005010D7">
        <w:rPr>
          <w:rFonts w:ascii="Segoe UI" w:hAnsi="Segoe UI" w:cs="Segoe UI"/>
          <w:sz w:val="24"/>
          <w:szCs w:val="24"/>
          <w:u w:val="none"/>
        </w:rPr>
        <w:t xml:space="preserve"> of </w:t>
      </w:r>
      <w:bookmarkStart w:id="0" w:name="_GoBack"/>
      <w:bookmarkEnd w:id="0"/>
      <w:r w:rsidR="002821F8" w:rsidRPr="005010D7">
        <w:rPr>
          <w:rFonts w:ascii="Segoe UI" w:hAnsi="Segoe UI" w:cs="Segoe UI"/>
          <w:sz w:val="24"/>
          <w:szCs w:val="24"/>
          <w:u w:val="none"/>
        </w:rPr>
        <w:t>Directors</w:t>
      </w:r>
    </w:p>
    <w:p w14:paraId="786C3C92" w14:textId="77777777" w:rsidR="00A87746" w:rsidRPr="005010D7" w:rsidRDefault="00A87746" w:rsidP="00C23D8D">
      <w:pPr>
        <w:pStyle w:val="Heading1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5C49CD45" w14:textId="0008D2A6" w:rsidR="005D3499" w:rsidRPr="005010D7" w:rsidRDefault="00B25679" w:rsidP="00C23D8D">
      <w:pPr>
        <w:pStyle w:val="Heading1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27</w:t>
      </w:r>
      <w:r w:rsidRPr="00B25679">
        <w:rPr>
          <w:rFonts w:ascii="Segoe UI" w:hAnsi="Segoe UI" w:cs="Segoe UI"/>
          <w:sz w:val="24"/>
          <w:szCs w:val="24"/>
          <w:u w:val="none"/>
          <w:vertAlign w:val="superscript"/>
        </w:rPr>
        <w:t>th</w:t>
      </w:r>
      <w:r>
        <w:rPr>
          <w:rFonts w:ascii="Segoe UI" w:hAnsi="Segoe UI" w:cs="Segoe UI"/>
          <w:sz w:val="24"/>
          <w:szCs w:val="24"/>
          <w:u w:val="none"/>
        </w:rPr>
        <w:t xml:space="preserve"> January 2016</w:t>
      </w:r>
    </w:p>
    <w:p w14:paraId="5C49CD46" w14:textId="77777777" w:rsidR="005D3499" w:rsidRPr="005010D7" w:rsidRDefault="005D3499" w:rsidP="00C23D8D">
      <w:pPr>
        <w:jc w:val="center"/>
        <w:rPr>
          <w:rFonts w:ascii="Segoe UI" w:hAnsi="Segoe UI" w:cs="Segoe UI"/>
          <w:b/>
        </w:rPr>
      </w:pPr>
    </w:p>
    <w:p w14:paraId="5C49CD49" w14:textId="350F1D95" w:rsidR="005D3499" w:rsidRPr="005010D7" w:rsidRDefault="00644870" w:rsidP="00C23D8D">
      <w:pPr>
        <w:jc w:val="center"/>
        <w:rPr>
          <w:rFonts w:ascii="Segoe UI" w:hAnsi="Segoe UI" w:cs="Segoe UI"/>
          <w:b/>
        </w:rPr>
      </w:pPr>
      <w:r w:rsidRPr="005010D7">
        <w:rPr>
          <w:rFonts w:ascii="Segoe UI" w:hAnsi="Segoe UI" w:cs="Segoe UI"/>
          <w:b/>
        </w:rPr>
        <w:t>Delivering the OHFT Strategy</w:t>
      </w:r>
    </w:p>
    <w:p w14:paraId="38455B9F" w14:textId="77777777" w:rsidR="0049715F" w:rsidRPr="005010D7" w:rsidRDefault="0049715F" w:rsidP="006E2EAE">
      <w:pPr>
        <w:jc w:val="both"/>
        <w:rPr>
          <w:rFonts w:ascii="Segoe UI" w:hAnsi="Segoe UI" w:cs="Segoe UI"/>
          <w:b/>
          <w:u w:val="single"/>
        </w:rPr>
      </w:pPr>
    </w:p>
    <w:p w14:paraId="5C49CD4C" w14:textId="06906E37" w:rsidR="00292613" w:rsidRPr="005010D7" w:rsidRDefault="00292613" w:rsidP="006E2EAE">
      <w:pPr>
        <w:jc w:val="both"/>
        <w:rPr>
          <w:rFonts w:ascii="Segoe UI" w:hAnsi="Segoe UI" w:cs="Segoe UI"/>
        </w:rPr>
      </w:pPr>
      <w:r w:rsidRPr="005010D7">
        <w:rPr>
          <w:rFonts w:ascii="Segoe UI" w:hAnsi="Segoe UI" w:cs="Segoe UI"/>
          <w:b/>
          <w:u w:val="single"/>
        </w:rPr>
        <w:t>For:</w:t>
      </w:r>
      <w:r w:rsidR="00BD5243" w:rsidRPr="005010D7">
        <w:rPr>
          <w:rFonts w:ascii="Segoe UI" w:hAnsi="Segoe UI" w:cs="Segoe UI"/>
          <w:b/>
          <w:u w:val="single"/>
        </w:rPr>
        <w:t xml:space="preserve"> </w:t>
      </w:r>
      <w:r w:rsidR="00644870" w:rsidRPr="005010D7">
        <w:rPr>
          <w:rFonts w:ascii="Segoe UI" w:hAnsi="Segoe UI" w:cs="Segoe UI"/>
          <w:b/>
          <w:u w:val="single"/>
        </w:rPr>
        <w:t>Information</w:t>
      </w:r>
    </w:p>
    <w:p w14:paraId="5C49CD4E" w14:textId="77777777" w:rsidR="00F232D8" w:rsidRPr="005010D7" w:rsidRDefault="00F232D8" w:rsidP="006E2EAE">
      <w:pPr>
        <w:jc w:val="both"/>
        <w:rPr>
          <w:rFonts w:ascii="Segoe UI" w:hAnsi="Segoe UI" w:cs="Segoe UI"/>
        </w:rPr>
      </w:pPr>
    </w:p>
    <w:p w14:paraId="4AB4DAFF" w14:textId="6A5044E6" w:rsidR="00B25679" w:rsidRPr="00B25679" w:rsidRDefault="00B25679" w:rsidP="00B25679">
      <w:pPr>
        <w:jc w:val="both"/>
        <w:rPr>
          <w:rFonts w:ascii="Arial" w:hAnsi="Arial" w:cs="Arial"/>
        </w:rPr>
      </w:pPr>
      <w:r w:rsidRPr="00B25679">
        <w:rPr>
          <w:rFonts w:ascii="Arial" w:hAnsi="Arial" w:cs="Arial"/>
        </w:rPr>
        <w:t>On 25</w:t>
      </w:r>
      <w:r w:rsidRPr="00B25679">
        <w:rPr>
          <w:rFonts w:ascii="Arial" w:hAnsi="Arial" w:cs="Arial"/>
          <w:vertAlign w:val="superscript"/>
        </w:rPr>
        <w:t>th</w:t>
      </w:r>
      <w:r w:rsidRPr="00B25679">
        <w:rPr>
          <w:rFonts w:ascii="Arial" w:hAnsi="Arial" w:cs="Arial"/>
        </w:rPr>
        <w:t xml:space="preserve"> October 2014 the Board of Directors approved a proposal submitted by the Medical Director to facilitate a 2 hour specific agenda item added to the confidential Board of Directors meeting, for detailed and targeted discussion of strategic issues. The most recent of these meetings took place on </w:t>
      </w:r>
      <w:r>
        <w:rPr>
          <w:rFonts w:ascii="Arial" w:hAnsi="Arial" w:cs="Arial"/>
        </w:rPr>
        <w:t>25</w:t>
      </w:r>
      <w:r w:rsidRPr="00B2567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  <w:r w:rsidRPr="00B256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2015 and </w:t>
      </w:r>
      <w:r w:rsidRPr="00B25679">
        <w:rPr>
          <w:rFonts w:ascii="Arial" w:hAnsi="Arial" w:cs="Arial"/>
        </w:rPr>
        <w:t xml:space="preserve">focussed on </w:t>
      </w:r>
      <w:r>
        <w:rPr>
          <w:rFonts w:ascii="Arial" w:hAnsi="Arial" w:cs="Arial"/>
        </w:rPr>
        <w:t xml:space="preserve">reviewing the OHFT five year </w:t>
      </w:r>
      <w:proofErr w:type="gramStart"/>
      <w:r>
        <w:rPr>
          <w:rFonts w:ascii="Arial" w:hAnsi="Arial" w:cs="Arial"/>
        </w:rPr>
        <w:t>strategy</w:t>
      </w:r>
      <w:proofErr w:type="gramEnd"/>
      <w:r>
        <w:rPr>
          <w:rFonts w:ascii="Arial" w:hAnsi="Arial" w:cs="Arial"/>
        </w:rPr>
        <w:t xml:space="preserve"> and beginning to agree priorities to support the development of the OHFT operational plan. </w:t>
      </w:r>
      <w:r w:rsidRPr="00B25679">
        <w:rPr>
          <w:rFonts w:ascii="Arial" w:hAnsi="Arial" w:cs="Arial"/>
        </w:rPr>
        <w:t xml:space="preserve">This report provides formal feedback to the Public Board following the meeting. </w:t>
      </w:r>
    </w:p>
    <w:p w14:paraId="3D23B97E" w14:textId="77777777" w:rsidR="00B25679" w:rsidRDefault="00B25679" w:rsidP="006E2EAE">
      <w:pPr>
        <w:jc w:val="both"/>
        <w:rPr>
          <w:rFonts w:ascii="Arial" w:hAnsi="Arial" w:cs="Arial"/>
        </w:rPr>
      </w:pPr>
    </w:p>
    <w:p w14:paraId="4C268C08" w14:textId="2F1A44B5" w:rsidR="00DC1E13" w:rsidRDefault="00AC19CA" w:rsidP="006E2E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purpose of the upcoming Board of Directors strategy session is:</w:t>
      </w:r>
    </w:p>
    <w:p w14:paraId="3B971C02" w14:textId="77777777" w:rsidR="00AC19CA" w:rsidRDefault="00AC19CA" w:rsidP="006E2EAE">
      <w:pPr>
        <w:jc w:val="both"/>
        <w:rPr>
          <w:rFonts w:ascii="Arial" w:hAnsi="Arial" w:cs="Arial"/>
        </w:rPr>
      </w:pPr>
    </w:p>
    <w:p w14:paraId="1DCA8E46" w14:textId="1EC0FE4D" w:rsidR="00AC19CA" w:rsidRDefault="00AC19CA" w:rsidP="00AC19C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re-commit to the OHFT strategy</w:t>
      </w:r>
    </w:p>
    <w:p w14:paraId="01A7D5C8" w14:textId="7CF21C32" w:rsidR="00AC19CA" w:rsidRDefault="00AC19CA" w:rsidP="00AC19C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agree the Trust’s priorities for 2016 – 2017</w:t>
      </w:r>
    </w:p>
    <w:p w14:paraId="0580295F" w14:textId="6F30A81E" w:rsidR="00AC19CA" w:rsidRDefault="00AC19CA" w:rsidP="00AC19C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what we need to do to deliver our plans</w:t>
      </w:r>
    </w:p>
    <w:p w14:paraId="4FE18C77" w14:textId="77777777" w:rsidR="00AC19CA" w:rsidRDefault="00AC19CA" w:rsidP="00AC19CA">
      <w:pPr>
        <w:jc w:val="both"/>
        <w:rPr>
          <w:rFonts w:ascii="Arial" w:hAnsi="Arial" w:cs="Arial"/>
        </w:rPr>
      </w:pPr>
    </w:p>
    <w:p w14:paraId="40741A1F" w14:textId="77777777" w:rsidR="006B4B91" w:rsidRDefault="00B25679" w:rsidP="00914F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were asked to consider </w:t>
      </w:r>
      <w:r w:rsidR="00914F75">
        <w:rPr>
          <w:rFonts w:ascii="Arial" w:hAnsi="Arial" w:cs="Arial"/>
        </w:rPr>
        <w:t>“If our strategy’s underpinning assumptions are still accurate and implementation is on track, you will want to recommit to the strategy. This means briefly revisiting its delivering and ongoing development.” (</w:t>
      </w:r>
      <w:hyperlink r:id="rId11" w:history="1">
        <w:r w:rsidR="00914F75" w:rsidRPr="00914F75">
          <w:rPr>
            <w:rStyle w:val="Hyperlink"/>
            <w:rFonts w:ascii="Arial" w:hAnsi="Arial" w:cs="Arial"/>
          </w:rPr>
          <w:t>Monitor: Developing strategy: What every trust board member should know</w:t>
        </w:r>
      </w:hyperlink>
      <w:r w:rsidR="00914F7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42CE168A" w14:textId="77777777" w:rsidR="006B4B91" w:rsidRDefault="006B4B91" w:rsidP="00914F75">
      <w:pPr>
        <w:jc w:val="both"/>
        <w:rPr>
          <w:rFonts w:ascii="Arial" w:hAnsi="Arial" w:cs="Arial"/>
        </w:rPr>
      </w:pPr>
    </w:p>
    <w:p w14:paraId="790DD6C2" w14:textId="411AF8F8" w:rsidR="00457DB1" w:rsidRPr="00914F75" w:rsidRDefault="00B25679" w:rsidP="00914F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was broad agreement that the vision, values and strategy are beginning to be embedded throughout the organisation. It was also agreed that the strategy wheel is a useful, simple way of describing our strategy and is not the strategy itself. It was recommended that the strategy document is updated </w:t>
      </w:r>
      <w:proofErr w:type="spellStart"/>
      <w:r>
        <w:rPr>
          <w:rFonts w:ascii="Arial" w:hAnsi="Arial" w:cs="Arial"/>
        </w:rPr>
        <w:t>inline</w:t>
      </w:r>
      <w:proofErr w:type="spellEnd"/>
      <w:r>
        <w:rPr>
          <w:rFonts w:ascii="Arial" w:hAnsi="Arial" w:cs="Arial"/>
        </w:rPr>
        <w:t xml:space="preserve"> with national timeframes and that top-down and bottom-up planning processes ensure delivery of key objectives.</w:t>
      </w:r>
    </w:p>
    <w:p w14:paraId="01D3AF14" w14:textId="77777777" w:rsidR="00B25679" w:rsidRDefault="00B25679" w:rsidP="00B25679">
      <w:pPr>
        <w:jc w:val="both"/>
        <w:rPr>
          <w:rFonts w:ascii="Arial" w:hAnsi="Arial" w:cs="Arial"/>
        </w:rPr>
      </w:pPr>
    </w:p>
    <w:p w14:paraId="5D64DF34" w14:textId="0C2ED506" w:rsidR="00B25679" w:rsidRDefault="00B25679" w:rsidP="00B25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re-committed to the OHFT strategy and requested some minor amendments to the wording and alignment of the strategy wheel and it is summarised below:</w:t>
      </w:r>
    </w:p>
    <w:p w14:paraId="0FF9EDFC" w14:textId="77777777" w:rsidR="00457DB1" w:rsidRDefault="00457DB1" w:rsidP="00457DB1">
      <w:pPr>
        <w:jc w:val="both"/>
        <w:rPr>
          <w:rFonts w:ascii="Arial" w:hAnsi="Arial" w:cs="Arial"/>
        </w:rPr>
      </w:pPr>
    </w:p>
    <w:p w14:paraId="7BAF0837" w14:textId="77777777" w:rsidR="00B25679" w:rsidRDefault="00B25679" w:rsidP="00457DB1">
      <w:pPr>
        <w:jc w:val="both"/>
        <w:rPr>
          <w:rFonts w:ascii="Arial" w:hAnsi="Arial" w:cs="Arial"/>
        </w:rPr>
      </w:pPr>
    </w:p>
    <w:p w14:paraId="04DB194D" w14:textId="77777777" w:rsidR="00B25679" w:rsidRDefault="00B25679" w:rsidP="00457DB1">
      <w:pPr>
        <w:jc w:val="both"/>
        <w:rPr>
          <w:rFonts w:ascii="Arial" w:hAnsi="Arial" w:cs="Arial"/>
        </w:rPr>
      </w:pPr>
    </w:p>
    <w:p w14:paraId="3113FD68" w14:textId="77777777" w:rsidR="006B4B91" w:rsidRDefault="006B4B91" w:rsidP="00457DB1">
      <w:pPr>
        <w:jc w:val="both"/>
        <w:rPr>
          <w:rFonts w:ascii="Arial" w:hAnsi="Arial" w:cs="Arial"/>
        </w:rPr>
      </w:pPr>
    </w:p>
    <w:p w14:paraId="64664110" w14:textId="77777777" w:rsidR="00B25679" w:rsidRDefault="00B25679" w:rsidP="00457DB1">
      <w:pPr>
        <w:jc w:val="both"/>
        <w:rPr>
          <w:rFonts w:ascii="Arial" w:hAnsi="Arial" w:cs="Arial"/>
        </w:rPr>
      </w:pPr>
    </w:p>
    <w:p w14:paraId="08073989" w14:textId="77777777" w:rsidR="00B25679" w:rsidRDefault="00B25679" w:rsidP="00457DB1">
      <w:pPr>
        <w:jc w:val="both"/>
        <w:rPr>
          <w:rFonts w:ascii="Arial" w:hAnsi="Arial" w:cs="Arial"/>
        </w:rPr>
      </w:pPr>
    </w:p>
    <w:p w14:paraId="183700CF" w14:textId="01807753" w:rsidR="00B25679" w:rsidRDefault="00B25679" w:rsidP="006B4B91">
      <w:pPr>
        <w:jc w:val="center"/>
        <w:rPr>
          <w:rFonts w:ascii="Arial" w:hAnsi="Arial" w:cs="Arial"/>
        </w:rPr>
      </w:pPr>
      <w:r w:rsidRPr="00B25679">
        <w:rPr>
          <w:noProof/>
          <w:lang w:eastAsia="en-GB"/>
        </w:rPr>
        <w:drawing>
          <wp:inline distT="0" distB="0" distL="0" distR="0" wp14:anchorId="7258E7BC" wp14:editId="1F6C3EF4">
            <wp:extent cx="5486400" cy="307699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B5FB" w14:textId="77777777" w:rsidR="00B25679" w:rsidRDefault="00B25679" w:rsidP="00457DB1">
      <w:pPr>
        <w:jc w:val="both"/>
        <w:rPr>
          <w:rFonts w:ascii="Arial" w:hAnsi="Arial" w:cs="Arial"/>
        </w:rPr>
      </w:pPr>
    </w:p>
    <w:p w14:paraId="52AB5D6F" w14:textId="77777777" w:rsidR="006B4B91" w:rsidRDefault="00457DB1" w:rsidP="00457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second part of the session </w:t>
      </w:r>
      <w:r w:rsidR="006B4B91">
        <w:rPr>
          <w:rFonts w:ascii="Arial" w:hAnsi="Arial" w:cs="Arial"/>
        </w:rPr>
        <w:t>focussed</w:t>
      </w:r>
      <w:r>
        <w:rPr>
          <w:rFonts w:ascii="Arial" w:hAnsi="Arial" w:cs="Arial"/>
        </w:rPr>
        <w:t xml:space="preserve"> on agreeing </w:t>
      </w:r>
      <w:r w:rsidR="006B4B9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small number of priorities for 2016 – 2017. These </w:t>
      </w:r>
      <w:r w:rsidR="006B4B91">
        <w:rPr>
          <w:rFonts w:ascii="Arial" w:hAnsi="Arial" w:cs="Arial"/>
        </w:rPr>
        <w:t>will form the</w:t>
      </w:r>
      <w:r>
        <w:rPr>
          <w:rFonts w:ascii="Arial" w:hAnsi="Arial" w:cs="Arial"/>
        </w:rPr>
        <w:t xml:space="preserve"> key areas of work central to our strategy that require focus and attention and clear structures and accountability to ensure that they will be delivered.</w:t>
      </w:r>
      <w:r w:rsidR="006B4B91">
        <w:rPr>
          <w:rFonts w:ascii="Arial" w:hAnsi="Arial" w:cs="Arial"/>
        </w:rPr>
        <w:t xml:space="preserve"> The final priorities will be approved as part of the operational plan and the draft priorities are as follows:</w:t>
      </w:r>
    </w:p>
    <w:p w14:paraId="274343F5" w14:textId="77777777" w:rsidR="006B4B91" w:rsidRDefault="006B4B91" w:rsidP="00457DB1">
      <w:pPr>
        <w:jc w:val="both"/>
        <w:rPr>
          <w:rFonts w:ascii="Arial" w:hAnsi="Arial" w:cs="Arial"/>
        </w:rPr>
      </w:pPr>
    </w:p>
    <w:p w14:paraId="6ACAFA34" w14:textId="77437ACE" w:rsidR="00457DB1" w:rsidRDefault="006B4B91" w:rsidP="006B4B91">
      <w:pPr>
        <w:jc w:val="center"/>
        <w:rPr>
          <w:rFonts w:ascii="Arial" w:hAnsi="Arial" w:cs="Arial"/>
        </w:rPr>
      </w:pPr>
      <w:r w:rsidRPr="006B4B91">
        <w:rPr>
          <w:noProof/>
          <w:lang w:eastAsia="en-GB"/>
        </w:rPr>
        <w:drawing>
          <wp:inline distT="0" distB="0" distL="0" distR="0" wp14:anchorId="631E6594" wp14:editId="4457661B">
            <wp:extent cx="5486400" cy="37579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5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727DC" w14:textId="77777777" w:rsidR="006B4B91" w:rsidRDefault="006B4B91" w:rsidP="00457DB1">
      <w:pPr>
        <w:jc w:val="both"/>
        <w:rPr>
          <w:rFonts w:ascii="Arial" w:hAnsi="Arial" w:cs="Arial"/>
        </w:rPr>
      </w:pPr>
    </w:p>
    <w:p w14:paraId="329B9D31" w14:textId="2AA614AE" w:rsidR="00457DB1" w:rsidRDefault="006B4B91" w:rsidP="00457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Work is underway to develop the OHFT operational plan with final sign-off and submission planned for March 2016.</w:t>
      </w:r>
    </w:p>
    <w:p w14:paraId="5C49CD59" w14:textId="77777777" w:rsidR="0073522A" w:rsidRPr="0049715F" w:rsidRDefault="0073522A" w:rsidP="006E2EAE">
      <w:pPr>
        <w:jc w:val="both"/>
        <w:rPr>
          <w:rFonts w:ascii="Arial" w:hAnsi="Arial" w:cs="Arial"/>
          <w:b/>
        </w:rPr>
      </w:pPr>
      <w:r w:rsidRPr="0049715F">
        <w:rPr>
          <w:rFonts w:ascii="Arial" w:hAnsi="Arial" w:cs="Arial"/>
          <w:b/>
        </w:rPr>
        <w:lastRenderedPageBreak/>
        <w:t>Recommendation</w:t>
      </w:r>
    </w:p>
    <w:p w14:paraId="5C49CD5A" w14:textId="77777777" w:rsidR="0073522A" w:rsidRPr="0049715F" w:rsidRDefault="0073522A" w:rsidP="006E2EAE">
      <w:pPr>
        <w:jc w:val="both"/>
        <w:rPr>
          <w:rFonts w:ascii="Arial" w:hAnsi="Arial" w:cs="Arial"/>
        </w:rPr>
      </w:pPr>
    </w:p>
    <w:p w14:paraId="5C49CD5B" w14:textId="37EFCFE4" w:rsidR="00F232D8" w:rsidRPr="0049715F" w:rsidRDefault="006513EC" w:rsidP="006E2EAE">
      <w:pPr>
        <w:jc w:val="both"/>
        <w:rPr>
          <w:rFonts w:ascii="Arial" w:hAnsi="Arial" w:cs="Arial"/>
        </w:rPr>
      </w:pPr>
      <w:r w:rsidRPr="0049715F">
        <w:rPr>
          <w:rFonts w:ascii="Arial" w:hAnsi="Arial" w:cs="Arial"/>
        </w:rPr>
        <w:t xml:space="preserve">The Board of Directors is asked to </w:t>
      </w:r>
      <w:r w:rsidR="003A19DA" w:rsidRPr="0049715F">
        <w:rPr>
          <w:rFonts w:ascii="Arial" w:hAnsi="Arial" w:cs="Arial"/>
        </w:rPr>
        <w:t xml:space="preserve">note the </w:t>
      </w:r>
      <w:r w:rsidR="006B4B91">
        <w:rPr>
          <w:rFonts w:ascii="Arial" w:hAnsi="Arial" w:cs="Arial"/>
        </w:rPr>
        <w:t>progress and agreements from the previous strategy session of the Board.</w:t>
      </w:r>
    </w:p>
    <w:p w14:paraId="5C49CD5C" w14:textId="77777777" w:rsidR="005D3499" w:rsidRPr="0049715F" w:rsidRDefault="005D3499" w:rsidP="006E2EAE">
      <w:pPr>
        <w:jc w:val="both"/>
        <w:rPr>
          <w:rFonts w:ascii="Arial" w:hAnsi="Arial" w:cs="Arial"/>
          <w:b/>
        </w:rPr>
      </w:pPr>
    </w:p>
    <w:p w14:paraId="5C49CD5D" w14:textId="1EDE6EB6" w:rsidR="0073522A" w:rsidRPr="0049715F" w:rsidRDefault="002619EF" w:rsidP="006E2EAE">
      <w:pPr>
        <w:ind w:left="1440" w:hanging="1440"/>
        <w:jc w:val="both"/>
        <w:rPr>
          <w:rFonts w:ascii="Arial" w:hAnsi="Arial" w:cs="Arial"/>
        </w:rPr>
      </w:pPr>
      <w:r w:rsidRPr="0049715F">
        <w:rPr>
          <w:rFonts w:ascii="Arial" w:hAnsi="Arial" w:cs="Arial"/>
          <w:b/>
        </w:rPr>
        <w:t>Author and T</w:t>
      </w:r>
      <w:r w:rsidR="0073522A" w:rsidRPr="0049715F">
        <w:rPr>
          <w:rFonts w:ascii="Arial" w:hAnsi="Arial" w:cs="Arial"/>
          <w:b/>
        </w:rPr>
        <w:t>itle:</w:t>
      </w:r>
      <w:r w:rsidR="0073522A" w:rsidRPr="0049715F">
        <w:rPr>
          <w:rFonts w:ascii="Arial" w:hAnsi="Arial" w:cs="Arial"/>
        </w:rPr>
        <w:t xml:space="preserve"> </w:t>
      </w:r>
      <w:r w:rsidR="006513EC" w:rsidRPr="0049715F">
        <w:rPr>
          <w:rFonts w:ascii="Arial" w:hAnsi="Arial" w:cs="Arial"/>
        </w:rPr>
        <w:tab/>
      </w:r>
      <w:r w:rsidR="006513EC" w:rsidRPr="0049715F">
        <w:rPr>
          <w:rFonts w:ascii="Arial" w:hAnsi="Arial" w:cs="Arial"/>
        </w:rPr>
        <w:tab/>
        <w:t>Daniel Leveson, Head of Strategy &amp; Programmes</w:t>
      </w:r>
      <w:r w:rsidR="0073522A" w:rsidRPr="0049715F">
        <w:rPr>
          <w:rFonts w:ascii="Arial" w:hAnsi="Arial" w:cs="Arial"/>
        </w:rPr>
        <w:tab/>
      </w:r>
    </w:p>
    <w:p w14:paraId="5C49CD5E" w14:textId="7FF36540" w:rsidR="005A3143" w:rsidRPr="0049715F" w:rsidRDefault="0073522A" w:rsidP="006E2EAE">
      <w:pPr>
        <w:ind w:left="2880" w:hanging="2880"/>
        <w:jc w:val="both"/>
        <w:rPr>
          <w:rFonts w:ascii="Arial" w:hAnsi="Arial" w:cs="Arial"/>
        </w:rPr>
      </w:pPr>
      <w:r w:rsidRPr="0049715F">
        <w:rPr>
          <w:rFonts w:ascii="Arial" w:hAnsi="Arial" w:cs="Arial"/>
          <w:b/>
        </w:rPr>
        <w:t>Lead Executive Director:</w:t>
      </w:r>
      <w:r w:rsidRPr="0049715F">
        <w:rPr>
          <w:rFonts w:ascii="Arial" w:hAnsi="Arial" w:cs="Arial"/>
          <w:b/>
        </w:rPr>
        <w:tab/>
      </w:r>
      <w:r w:rsidR="006513EC" w:rsidRPr="0049715F">
        <w:rPr>
          <w:rFonts w:ascii="Arial" w:hAnsi="Arial" w:cs="Arial"/>
        </w:rPr>
        <w:t>Dr. Clive Meux, Medical Director &amp; Director of Strategy</w:t>
      </w:r>
    </w:p>
    <w:p w14:paraId="5C49CD5F" w14:textId="77777777" w:rsidR="0073522A" w:rsidRPr="0049715F" w:rsidRDefault="0073522A" w:rsidP="006E2EAE">
      <w:pPr>
        <w:jc w:val="both"/>
        <w:rPr>
          <w:rFonts w:ascii="Arial" w:hAnsi="Arial" w:cs="Arial"/>
          <w:b/>
        </w:rPr>
      </w:pPr>
    </w:p>
    <w:p w14:paraId="5C49CD60" w14:textId="77777777" w:rsidR="0073522A" w:rsidRPr="0049715F" w:rsidRDefault="0073522A" w:rsidP="006E2EAE">
      <w:pPr>
        <w:jc w:val="both"/>
        <w:rPr>
          <w:rFonts w:ascii="Arial" w:hAnsi="Arial" w:cs="Arial"/>
          <w:b/>
        </w:rPr>
      </w:pPr>
    </w:p>
    <w:p w14:paraId="5C49CD61" w14:textId="77777777" w:rsidR="004F4BBA" w:rsidRPr="0049715F" w:rsidRDefault="004F4BBA" w:rsidP="006E2EAE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49715F">
        <w:rPr>
          <w:rFonts w:ascii="Arial" w:hAnsi="Arial" w:cs="Arial"/>
          <w:i/>
        </w:rPr>
        <w:t>A risk assessment has been undertaken around the legal issues that this paper presents and there are no issues that need to be r</w:t>
      </w:r>
      <w:r w:rsidR="0073522A" w:rsidRPr="0049715F">
        <w:rPr>
          <w:rFonts w:ascii="Arial" w:hAnsi="Arial" w:cs="Arial"/>
          <w:i/>
        </w:rPr>
        <w:t>eferred to the Trust Solicitors.</w:t>
      </w:r>
    </w:p>
    <w:p w14:paraId="5C49CD62" w14:textId="77777777" w:rsidR="00AA0C3F" w:rsidRPr="0049715F" w:rsidRDefault="00AA0C3F" w:rsidP="006E2EAE">
      <w:pPr>
        <w:jc w:val="both"/>
        <w:rPr>
          <w:rFonts w:ascii="Arial" w:hAnsi="Arial" w:cs="Arial"/>
          <w:i/>
        </w:rPr>
      </w:pPr>
    </w:p>
    <w:p w14:paraId="5FAC2512" w14:textId="77777777" w:rsidR="00895200" w:rsidRPr="0049715F" w:rsidRDefault="00895200" w:rsidP="006E2EAE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49715F">
        <w:rPr>
          <w:rFonts w:ascii="Arial" w:hAnsi="Arial" w:cs="Arial"/>
          <w:i/>
        </w:rPr>
        <w:t>This paper (including all appendices) has been assessed against the Freedom of Information Act and the following applies: [</w:t>
      </w:r>
      <w:r w:rsidRPr="0049715F">
        <w:rPr>
          <w:rFonts w:ascii="Arial" w:hAnsi="Arial" w:cs="Arial"/>
          <w:i/>
          <w:u w:val="single"/>
        </w:rPr>
        <w:t>delete as appropriate</w:t>
      </w:r>
      <w:r w:rsidRPr="0049715F">
        <w:rPr>
          <w:rFonts w:ascii="Arial" w:hAnsi="Arial" w:cs="Arial"/>
          <w:i/>
        </w:rPr>
        <w:t>]</w:t>
      </w:r>
    </w:p>
    <w:p w14:paraId="0EC6E6A1" w14:textId="77777777" w:rsidR="00895200" w:rsidRPr="0049715F" w:rsidRDefault="00895200" w:rsidP="006E2EAE">
      <w:pPr>
        <w:jc w:val="both"/>
        <w:rPr>
          <w:rFonts w:ascii="Arial" w:hAnsi="Arial" w:cs="Arial"/>
          <w:i/>
        </w:rPr>
      </w:pPr>
    </w:p>
    <w:p w14:paraId="6859605A" w14:textId="16E68BE5" w:rsidR="00B62EA4" w:rsidRPr="0049715F" w:rsidRDefault="009A1595" w:rsidP="006E2EAE">
      <w:pPr>
        <w:numPr>
          <w:ilvl w:val="0"/>
          <w:numId w:val="3"/>
        </w:numPr>
        <w:jc w:val="both"/>
        <w:rPr>
          <w:rFonts w:ascii="Arial" w:hAnsi="Arial" w:cs="Arial"/>
          <w:i/>
          <w:color w:val="000000" w:themeColor="text1"/>
          <w:lang w:eastAsia="en-GB"/>
        </w:rPr>
      </w:pPr>
      <w:r w:rsidRPr="0049715F">
        <w:rPr>
          <w:rFonts w:ascii="Arial" w:hAnsi="Arial" w:cs="Arial"/>
          <w:i/>
        </w:rPr>
        <w:t>THIS PAPER</w:t>
      </w:r>
      <w:r w:rsidR="00147D8A" w:rsidRPr="0049715F">
        <w:rPr>
          <w:rFonts w:ascii="Arial" w:hAnsi="Arial" w:cs="Arial"/>
          <w:i/>
          <w:color w:val="000000" w:themeColor="text1"/>
          <w:lang w:eastAsia="en-GB"/>
        </w:rPr>
        <w:t xml:space="preserve"> MAY BE PUBLISHED UNDER FOI</w:t>
      </w:r>
    </w:p>
    <w:sectPr w:rsidR="00B62EA4" w:rsidRPr="0049715F" w:rsidSect="00CD6D54">
      <w:headerReference w:type="default" r:id="rId14"/>
      <w:footerReference w:type="default" r:id="rId15"/>
      <w:type w:val="continuous"/>
      <w:pgSz w:w="12240" w:h="15840"/>
      <w:pgMar w:top="1135" w:right="1800" w:bottom="709" w:left="1800" w:header="284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3C7DA" w14:textId="77777777" w:rsidR="00AA7AC5" w:rsidRDefault="00AA7AC5" w:rsidP="005B3E3C">
      <w:r>
        <w:separator/>
      </w:r>
    </w:p>
  </w:endnote>
  <w:endnote w:type="continuationSeparator" w:id="0">
    <w:p w14:paraId="0B0490A8" w14:textId="77777777" w:rsidR="00AA7AC5" w:rsidRDefault="00AA7AC5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153451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20"/>
      </w:rPr>
    </w:sdtEndPr>
    <w:sdtContent>
      <w:p w14:paraId="1AC25D75" w14:textId="59A93B06" w:rsidR="00AE2CE1" w:rsidRPr="00950009" w:rsidRDefault="00AE2CE1">
        <w:pPr>
          <w:pStyle w:val="Footer"/>
          <w:jc w:val="right"/>
          <w:rPr>
            <w:rFonts w:ascii="Segoe UI" w:hAnsi="Segoe UI" w:cs="Segoe UI"/>
            <w:sz w:val="20"/>
          </w:rPr>
        </w:pPr>
        <w:r w:rsidRPr="00950009">
          <w:rPr>
            <w:rFonts w:ascii="Segoe UI" w:hAnsi="Segoe UI" w:cs="Segoe UI"/>
            <w:sz w:val="20"/>
          </w:rPr>
          <w:fldChar w:fldCharType="begin"/>
        </w:r>
        <w:r w:rsidRPr="00950009">
          <w:rPr>
            <w:rFonts w:ascii="Segoe UI" w:hAnsi="Segoe UI" w:cs="Segoe UI"/>
            <w:sz w:val="20"/>
          </w:rPr>
          <w:instrText xml:space="preserve"> PAGE   \* MERGEFORMAT </w:instrText>
        </w:r>
        <w:r w:rsidRPr="00950009">
          <w:rPr>
            <w:rFonts w:ascii="Segoe UI" w:hAnsi="Segoe UI" w:cs="Segoe UI"/>
            <w:sz w:val="20"/>
          </w:rPr>
          <w:fldChar w:fldCharType="separate"/>
        </w:r>
        <w:r w:rsidR="00A74FA1">
          <w:rPr>
            <w:rFonts w:ascii="Segoe UI" w:hAnsi="Segoe UI" w:cs="Segoe UI"/>
            <w:noProof/>
            <w:sz w:val="20"/>
          </w:rPr>
          <w:t>1</w:t>
        </w:r>
        <w:r w:rsidRPr="00950009">
          <w:rPr>
            <w:rFonts w:ascii="Segoe UI" w:hAnsi="Segoe UI" w:cs="Segoe UI"/>
            <w:noProof/>
            <w:sz w:val="20"/>
          </w:rPr>
          <w:fldChar w:fldCharType="end"/>
        </w:r>
      </w:p>
    </w:sdtContent>
  </w:sdt>
  <w:p w14:paraId="20107996" w14:textId="77777777" w:rsidR="00AE2CE1" w:rsidRDefault="00AE2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34AE3" w14:textId="77777777" w:rsidR="00AA7AC5" w:rsidRDefault="00AA7AC5" w:rsidP="005B3E3C">
      <w:r>
        <w:separator/>
      </w:r>
    </w:p>
  </w:footnote>
  <w:footnote w:type="continuationSeparator" w:id="0">
    <w:p w14:paraId="5FEF855E" w14:textId="77777777" w:rsidR="00AA7AC5" w:rsidRDefault="00AA7AC5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9CD70" w14:textId="38760ECF" w:rsidR="00AE2CE1" w:rsidRPr="00155969" w:rsidRDefault="00AE2CE1" w:rsidP="0056541B">
    <w:pPr>
      <w:pStyle w:val="Header"/>
      <w:ind w:right="-999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noProof/>
        <w:sz w:val="20"/>
        <w:szCs w:val="20"/>
        <w:lang w:eastAsia="en-GB"/>
      </w:rPr>
      <w:t xml:space="preserve">          </w:t>
    </w:r>
    <w:r w:rsidRPr="00C22F24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15861C77" wp14:editId="6BCDD60C">
          <wp:extent cx="2552700" cy="50482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FE9"/>
    <w:multiLevelType w:val="hybridMultilevel"/>
    <w:tmpl w:val="DA74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7694"/>
    <w:multiLevelType w:val="hybridMultilevel"/>
    <w:tmpl w:val="BB66E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DC0"/>
    <w:multiLevelType w:val="hybridMultilevel"/>
    <w:tmpl w:val="AB44F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D4840"/>
    <w:multiLevelType w:val="hybridMultilevel"/>
    <w:tmpl w:val="24925F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6B4128"/>
    <w:multiLevelType w:val="hybridMultilevel"/>
    <w:tmpl w:val="91422326"/>
    <w:lvl w:ilvl="0" w:tplc="1534AC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D41"/>
    <w:multiLevelType w:val="hybridMultilevel"/>
    <w:tmpl w:val="1B72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E1A2C"/>
    <w:multiLevelType w:val="hybridMultilevel"/>
    <w:tmpl w:val="80A8151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BD5DD6"/>
    <w:multiLevelType w:val="hybridMultilevel"/>
    <w:tmpl w:val="3F7E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74622"/>
    <w:multiLevelType w:val="hybridMultilevel"/>
    <w:tmpl w:val="B006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B5716"/>
    <w:multiLevelType w:val="multilevel"/>
    <w:tmpl w:val="424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177ED"/>
    <w:multiLevelType w:val="hybridMultilevel"/>
    <w:tmpl w:val="53CC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DB085C"/>
    <w:multiLevelType w:val="hybridMultilevel"/>
    <w:tmpl w:val="EA52CFC8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1E5132"/>
    <w:multiLevelType w:val="hybridMultilevel"/>
    <w:tmpl w:val="894E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533E4"/>
    <w:multiLevelType w:val="hybridMultilevel"/>
    <w:tmpl w:val="01F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B3717"/>
    <w:multiLevelType w:val="hybridMultilevel"/>
    <w:tmpl w:val="37B6C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1149E"/>
    <w:multiLevelType w:val="hybridMultilevel"/>
    <w:tmpl w:val="4C96A44E"/>
    <w:lvl w:ilvl="0" w:tplc="2DF45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F498E"/>
    <w:multiLevelType w:val="hybridMultilevel"/>
    <w:tmpl w:val="28DCD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04443"/>
    <w:rsid w:val="0002182C"/>
    <w:rsid w:val="00022A10"/>
    <w:rsid w:val="0005793C"/>
    <w:rsid w:val="000E265C"/>
    <w:rsid w:val="00147D8A"/>
    <w:rsid w:val="0015320A"/>
    <w:rsid w:val="00155969"/>
    <w:rsid w:val="00156217"/>
    <w:rsid w:val="001625BD"/>
    <w:rsid w:val="001643E7"/>
    <w:rsid w:val="001922EA"/>
    <w:rsid w:val="001F27FE"/>
    <w:rsid w:val="001F76ED"/>
    <w:rsid w:val="00227FCE"/>
    <w:rsid w:val="00261229"/>
    <w:rsid w:val="002619EF"/>
    <w:rsid w:val="002821F8"/>
    <w:rsid w:val="00292613"/>
    <w:rsid w:val="002A73E8"/>
    <w:rsid w:val="002C2F97"/>
    <w:rsid w:val="002E6FC6"/>
    <w:rsid w:val="00344C8D"/>
    <w:rsid w:val="0036675B"/>
    <w:rsid w:val="003971F6"/>
    <w:rsid w:val="003A19DA"/>
    <w:rsid w:val="003C6689"/>
    <w:rsid w:val="003D6333"/>
    <w:rsid w:val="00410D14"/>
    <w:rsid w:val="004326BB"/>
    <w:rsid w:val="004344E8"/>
    <w:rsid w:val="004400EA"/>
    <w:rsid w:val="00457DB1"/>
    <w:rsid w:val="00496382"/>
    <w:rsid w:val="0049715F"/>
    <w:rsid w:val="004C4B67"/>
    <w:rsid w:val="004D4ABF"/>
    <w:rsid w:val="004F4BBA"/>
    <w:rsid w:val="005010D7"/>
    <w:rsid w:val="0050442C"/>
    <w:rsid w:val="00520F1A"/>
    <w:rsid w:val="005233AA"/>
    <w:rsid w:val="00551B0F"/>
    <w:rsid w:val="0055671F"/>
    <w:rsid w:val="0056304A"/>
    <w:rsid w:val="0056541B"/>
    <w:rsid w:val="005659FB"/>
    <w:rsid w:val="00572D70"/>
    <w:rsid w:val="005A3143"/>
    <w:rsid w:val="005B3E3C"/>
    <w:rsid w:val="005C3FC1"/>
    <w:rsid w:val="005D3499"/>
    <w:rsid w:val="005E2583"/>
    <w:rsid w:val="005E7457"/>
    <w:rsid w:val="006158A3"/>
    <w:rsid w:val="0061684E"/>
    <w:rsid w:val="00644870"/>
    <w:rsid w:val="006513EC"/>
    <w:rsid w:val="006B38E0"/>
    <w:rsid w:val="006B4B91"/>
    <w:rsid w:val="006C5F6A"/>
    <w:rsid w:val="006E0686"/>
    <w:rsid w:val="006E2EAE"/>
    <w:rsid w:val="006F4069"/>
    <w:rsid w:val="0073522A"/>
    <w:rsid w:val="0075263F"/>
    <w:rsid w:val="007769CD"/>
    <w:rsid w:val="0078032B"/>
    <w:rsid w:val="00781566"/>
    <w:rsid w:val="007976E7"/>
    <w:rsid w:val="007B6D77"/>
    <w:rsid w:val="007D666E"/>
    <w:rsid w:val="007F1DC9"/>
    <w:rsid w:val="00802701"/>
    <w:rsid w:val="008038A2"/>
    <w:rsid w:val="00811FE8"/>
    <w:rsid w:val="00856A23"/>
    <w:rsid w:val="0086436B"/>
    <w:rsid w:val="00894B97"/>
    <w:rsid w:val="00895200"/>
    <w:rsid w:val="008B6080"/>
    <w:rsid w:val="008F331C"/>
    <w:rsid w:val="00914F75"/>
    <w:rsid w:val="00946E6E"/>
    <w:rsid w:val="00950009"/>
    <w:rsid w:val="00971014"/>
    <w:rsid w:val="009962C9"/>
    <w:rsid w:val="009A1595"/>
    <w:rsid w:val="009B3644"/>
    <w:rsid w:val="00A27540"/>
    <w:rsid w:val="00A4207C"/>
    <w:rsid w:val="00A47B8F"/>
    <w:rsid w:val="00A516DE"/>
    <w:rsid w:val="00A674FB"/>
    <w:rsid w:val="00A74FA1"/>
    <w:rsid w:val="00A85311"/>
    <w:rsid w:val="00A87746"/>
    <w:rsid w:val="00AA0C3F"/>
    <w:rsid w:val="00AA7AC5"/>
    <w:rsid w:val="00AC19CA"/>
    <w:rsid w:val="00AC3814"/>
    <w:rsid w:val="00AE2CE1"/>
    <w:rsid w:val="00AE4631"/>
    <w:rsid w:val="00AF0562"/>
    <w:rsid w:val="00B0130F"/>
    <w:rsid w:val="00B1686F"/>
    <w:rsid w:val="00B25679"/>
    <w:rsid w:val="00B26E1A"/>
    <w:rsid w:val="00B26F2C"/>
    <w:rsid w:val="00B50D5E"/>
    <w:rsid w:val="00B62EA4"/>
    <w:rsid w:val="00B92C5A"/>
    <w:rsid w:val="00BA3B3E"/>
    <w:rsid w:val="00BD314E"/>
    <w:rsid w:val="00BD5243"/>
    <w:rsid w:val="00BF5367"/>
    <w:rsid w:val="00C07817"/>
    <w:rsid w:val="00C11AA2"/>
    <w:rsid w:val="00C21CDC"/>
    <w:rsid w:val="00C22F24"/>
    <w:rsid w:val="00C23D8D"/>
    <w:rsid w:val="00C74BF9"/>
    <w:rsid w:val="00CB10B1"/>
    <w:rsid w:val="00CD0DBB"/>
    <w:rsid w:val="00CD6D54"/>
    <w:rsid w:val="00CF0053"/>
    <w:rsid w:val="00D07064"/>
    <w:rsid w:val="00D279FC"/>
    <w:rsid w:val="00D43BA2"/>
    <w:rsid w:val="00D55ADD"/>
    <w:rsid w:val="00D8544F"/>
    <w:rsid w:val="00DA0FA6"/>
    <w:rsid w:val="00DC1E13"/>
    <w:rsid w:val="00DD33DF"/>
    <w:rsid w:val="00DE1293"/>
    <w:rsid w:val="00E2029D"/>
    <w:rsid w:val="00E33E7F"/>
    <w:rsid w:val="00E827C5"/>
    <w:rsid w:val="00ED6DC2"/>
    <w:rsid w:val="00F232D8"/>
    <w:rsid w:val="00F24EB2"/>
    <w:rsid w:val="00F50A07"/>
    <w:rsid w:val="00F57119"/>
    <w:rsid w:val="00F943E0"/>
    <w:rsid w:val="00FA0563"/>
    <w:rsid w:val="00FB5200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49C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66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675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5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4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66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675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5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4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ov.uk/government/uploads/system/uploads/attachment_data/file/363273/Monitor_-_Developing_Strategy_-_a_guide_for_board_member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BF53A5021644181EBA228C2C98EC7" ma:contentTypeVersion="1" ma:contentTypeDescription="Create a new document." ma:contentTypeScope="" ma:versionID="a61ca44c80f2b388af1405bff4762692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b0a3d5715061b54bb984c6ea018806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FC86BE-AD45-4560-9B31-1EFC60C84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FFEA0-EA01-41B2-AA51-0BE802629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E899F2-01B8-453B-9318-B94E9022068B}">
  <ds:schemaRefs>
    <ds:schemaRef ds:uri="http://schemas.microsoft.com/office/2006/metadata/propertie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471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Smith Hannah (RNU) Oxford Health</cp:lastModifiedBy>
  <cp:revision>4</cp:revision>
  <cp:lastPrinted>2014-02-19T08:40:00Z</cp:lastPrinted>
  <dcterms:created xsi:type="dcterms:W3CDTF">2016-01-20T11:14:00Z</dcterms:created>
  <dcterms:modified xsi:type="dcterms:W3CDTF">2016-01-20T12:22:00Z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0x010100B10BF53A5021644181EBA228C2C98EC7</vt:lpwstr>
  </property>
</Properties>
</file>