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5C" w:rsidRPr="00C268F5" w:rsidRDefault="002445BC" w:rsidP="00FF075C">
      <w:pPr>
        <w:ind w:right="-48"/>
        <w:jc w:val="right"/>
        <w:rPr>
          <w:rFonts w:cs="Arial"/>
        </w:rPr>
      </w:pPr>
      <w:r w:rsidRPr="00C268F5">
        <w:rPr>
          <w:rFonts w:cs="Arial"/>
          <w:noProof/>
          <w:lang w:eastAsia="en-GB"/>
        </w:rPr>
        <w:drawing>
          <wp:inline distT="0" distB="0" distL="0" distR="0" wp14:anchorId="5C60BEA1" wp14:editId="067E1ADB">
            <wp:extent cx="2544445" cy="508635"/>
            <wp:effectExtent l="19050" t="0" r="825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44445" cy="508635"/>
                    </a:xfrm>
                    <a:prstGeom prst="rect">
                      <a:avLst/>
                    </a:prstGeom>
                    <a:noFill/>
                    <a:ln w="9525">
                      <a:noFill/>
                      <a:miter lim="800000"/>
                      <a:headEnd/>
                      <a:tailEnd/>
                    </a:ln>
                  </pic:spPr>
                </pic:pic>
              </a:graphicData>
            </a:graphic>
          </wp:inline>
        </w:drawing>
      </w:r>
    </w:p>
    <w:p w:rsidR="00FF075C" w:rsidRPr="00C268F5" w:rsidRDefault="00FF075C" w:rsidP="00FF075C">
      <w:pPr>
        <w:pStyle w:val="Title"/>
        <w:spacing w:before="100" w:beforeAutospacing="1"/>
        <w:jc w:val="center"/>
        <w:rPr>
          <w:rFonts w:ascii="Arial" w:hAnsi="Arial" w:cs="Arial"/>
          <w:b w:val="0"/>
          <w:sz w:val="24"/>
          <w:szCs w:val="24"/>
        </w:rPr>
      </w:pPr>
    </w:p>
    <w:p w:rsidR="00FF075C" w:rsidRPr="00C268F5" w:rsidRDefault="00FF075C" w:rsidP="00FF075C">
      <w:pPr>
        <w:pStyle w:val="Title"/>
        <w:spacing w:before="100" w:beforeAutospacing="1"/>
        <w:jc w:val="center"/>
        <w:rPr>
          <w:rFonts w:ascii="Arial" w:hAnsi="Arial" w:cs="Arial"/>
          <w:sz w:val="24"/>
          <w:szCs w:val="24"/>
        </w:rPr>
      </w:pPr>
      <w:r w:rsidRPr="00C268F5">
        <w:rPr>
          <w:rFonts w:ascii="Arial" w:hAnsi="Arial" w:cs="Arial"/>
          <w:sz w:val="24"/>
          <w:szCs w:val="24"/>
        </w:rPr>
        <w:t>POLICY CONTROL DOCUMENT - 1</w:t>
      </w:r>
    </w:p>
    <w:p w:rsidR="00FF075C" w:rsidRPr="00C268F5" w:rsidRDefault="00FF075C" w:rsidP="00FF075C">
      <w:pPr>
        <w:jc w:val="center"/>
        <w:rPr>
          <w:rFonts w:cs="Arial"/>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5717"/>
      </w:tblGrid>
      <w:tr w:rsidR="00FF075C" w:rsidRPr="00C268F5">
        <w:tc>
          <w:tcPr>
            <w:tcW w:w="2628" w:type="dxa"/>
          </w:tcPr>
          <w:p w:rsidR="00FF075C" w:rsidRPr="00C268F5" w:rsidRDefault="00FF075C" w:rsidP="00FF075C">
            <w:pPr>
              <w:rPr>
                <w:rFonts w:cs="Arial"/>
                <w:b/>
                <w:bCs/>
              </w:rPr>
            </w:pPr>
            <w:r w:rsidRPr="00C268F5">
              <w:rPr>
                <w:rFonts w:cs="Arial"/>
                <w:b/>
                <w:bCs/>
              </w:rPr>
              <w:t>POLICY TITLE</w:t>
            </w:r>
          </w:p>
          <w:p w:rsidR="00FF075C" w:rsidRPr="00C268F5" w:rsidRDefault="00FF075C" w:rsidP="00FF075C">
            <w:pPr>
              <w:rPr>
                <w:rFonts w:cs="Arial"/>
                <w:b/>
                <w:bCs/>
              </w:rPr>
            </w:pPr>
          </w:p>
        </w:tc>
        <w:tc>
          <w:tcPr>
            <w:tcW w:w="5894" w:type="dxa"/>
          </w:tcPr>
          <w:p w:rsidR="007F2AD9" w:rsidRPr="00C268F5" w:rsidRDefault="00073679" w:rsidP="007F2AD9">
            <w:pPr>
              <w:jc w:val="center"/>
              <w:rPr>
                <w:rFonts w:cs="Arial"/>
                <w:b/>
                <w:bCs/>
              </w:rPr>
            </w:pPr>
            <w:r>
              <w:rPr>
                <w:rFonts w:cs="Arial"/>
                <w:b/>
                <w:bCs/>
              </w:rPr>
              <w:t>Counter Fraud and Corruption Policy and Response Plan</w:t>
            </w:r>
          </w:p>
          <w:p w:rsidR="00FF075C" w:rsidRPr="00C268F5" w:rsidRDefault="00FF075C" w:rsidP="00334DAD">
            <w:pPr>
              <w:jc w:val="center"/>
              <w:rPr>
                <w:rFonts w:cs="Arial"/>
                <w:b/>
                <w:bCs/>
              </w:rPr>
            </w:pPr>
          </w:p>
        </w:tc>
      </w:tr>
      <w:tr w:rsidR="00FF075C" w:rsidRPr="00C268F5" w:rsidTr="00334DAD">
        <w:tc>
          <w:tcPr>
            <w:tcW w:w="2628" w:type="dxa"/>
          </w:tcPr>
          <w:p w:rsidR="00FF075C" w:rsidRPr="00C268F5" w:rsidRDefault="00FF075C" w:rsidP="00FF075C">
            <w:pPr>
              <w:rPr>
                <w:rFonts w:cs="Arial"/>
                <w:b/>
                <w:bCs/>
              </w:rPr>
            </w:pPr>
            <w:r w:rsidRPr="00C268F5">
              <w:rPr>
                <w:rFonts w:cs="Arial"/>
                <w:b/>
                <w:bCs/>
              </w:rPr>
              <w:t>POLICY CODE</w:t>
            </w:r>
          </w:p>
          <w:p w:rsidR="00FF075C" w:rsidRPr="00C268F5" w:rsidRDefault="00FF075C" w:rsidP="00FF075C">
            <w:pPr>
              <w:rPr>
                <w:rFonts w:cs="Arial"/>
                <w:b/>
                <w:bCs/>
              </w:rPr>
            </w:pPr>
          </w:p>
        </w:tc>
        <w:tc>
          <w:tcPr>
            <w:tcW w:w="5894" w:type="dxa"/>
            <w:vAlign w:val="center"/>
          </w:tcPr>
          <w:p w:rsidR="00FF075C" w:rsidRPr="00C268F5" w:rsidRDefault="00073679" w:rsidP="00334DAD">
            <w:pPr>
              <w:jc w:val="center"/>
              <w:rPr>
                <w:rFonts w:cs="Arial"/>
                <w:b/>
                <w:bCs/>
              </w:rPr>
            </w:pPr>
            <w:r>
              <w:rPr>
                <w:rFonts w:cs="Arial"/>
                <w:b/>
                <w:bCs/>
              </w:rPr>
              <w:t>CORP 11</w:t>
            </w:r>
          </w:p>
        </w:tc>
      </w:tr>
      <w:tr w:rsidR="00FF075C" w:rsidRPr="00C268F5">
        <w:tc>
          <w:tcPr>
            <w:tcW w:w="2628" w:type="dxa"/>
          </w:tcPr>
          <w:p w:rsidR="00FF075C" w:rsidRPr="00C268F5" w:rsidRDefault="00FF075C" w:rsidP="00FF075C">
            <w:pPr>
              <w:rPr>
                <w:rFonts w:cs="Arial"/>
                <w:b/>
                <w:bCs/>
              </w:rPr>
            </w:pPr>
            <w:r w:rsidRPr="00C268F5">
              <w:rPr>
                <w:rFonts w:cs="Arial"/>
                <w:b/>
                <w:bCs/>
              </w:rPr>
              <w:t xml:space="preserve">REPLACES POLICY CODE </w:t>
            </w:r>
            <w:r w:rsidRPr="00C268F5">
              <w:rPr>
                <w:rFonts w:cs="Arial"/>
                <w:b/>
                <w:bCs/>
                <w:sz w:val="20"/>
              </w:rPr>
              <w:t>(IF APPLICABLE)</w:t>
            </w:r>
          </w:p>
        </w:tc>
        <w:tc>
          <w:tcPr>
            <w:tcW w:w="5894" w:type="dxa"/>
          </w:tcPr>
          <w:p w:rsidR="00FF075C" w:rsidRPr="00C268F5" w:rsidRDefault="00FF075C" w:rsidP="00FF075C">
            <w:pPr>
              <w:jc w:val="center"/>
              <w:rPr>
                <w:rFonts w:cs="Arial"/>
                <w:b/>
                <w:bCs/>
              </w:rPr>
            </w:pPr>
          </w:p>
        </w:tc>
      </w:tr>
      <w:tr w:rsidR="00FF075C" w:rsidRPr="00C268F5">
        <w:tc>
          <w:tcPr>
            <w:tcW w:w="2628" w:type="dxa"/>
          </w:tcPr>
          <w:p w:rsidR="00FF075C" w:rsidRPr="00C268F5" w:rsidRDefault="00FF075C" w:rsidP="00FF075C">
            <w:pPr>
              <w:rPr>
                <w:rFonts w:cs="Arial"/>
                <w:b/>
                <w:bCs/>
              </w:rPr>
            </w:pPr>
            <w:r w:rsidRPr="00C268F5">
              <w:rPr>
                <w:rFonts w:cs="Arial"/>
                <w:b/>
                <w:bCs/>
              </w:rPr>
              <w:t>AUTHOR</w:t>
            </w:r>
          </w:p>
          <w:p w:rsidR="00FF075C" w:rsidRPr="00C268F5" w:rsidRDefault="00FF075C" w:rsidP="00FF075C">
            <w:pPr>
              <w:rPr>
                <w:rFonts w:cs="Arial"/>
                <w:b/>
                <w:bCs/>
                <w:sz w:val="20"/>
              </w:rPr>
            </w:pPr>
            <w:r w:rsidRPr="00C268F5">
              <w:rPr>
                <w:rFonts w:cs="Arial"/>
                <w:b/>
                <w:bCs/>
                <w:sz w:val="20"/>
              </w:rPr>
              <w:t>(Name and title/role)</w:t>
            </w:r>
          </w:p>
        </w:tc>
        <w:tc>
          <w:tcPr>
            <w:tcW w:w="5894" w:type="dxa"/>
          </w:tcPr>
          <w:p w:rsidR="00CF39D0" w:rsidRDefault="00073679" w:rsidP="00CF39D0">
            <w:pPr>
              <w:jc w:val="center"/>
              <w:rPr>
                <w:rFonts w:cs="Arial"/>
                <w:b/>
                <w:bCs/>
              </w:rPr>
            </w:pPr>
            <w:r>
              <w:rPr>
                <w:rFonts w:cs="Arial"/>
                <w:b/>
                <w:bCs/>
              </w:rPr>
              <w:t>Gareth Robins, Local Counter Fraud Specialist;</w:t>
            </w:r>
          </w:p>
          <w:p w:rsidR="00073679" w:rsidRPr="00C268F5" w:rsidRDefault="00073679" w:rsidP="00073679">
            <w:pPr>
              <w:jc w:val="center"/>
              <w:rPr>
                <w:rFonts w:cs="Arial"/>
                <w:b/>
                <w:bCs/>
              </w:rPr>
            </w:pPr>
            <w:r>
              <w:rPr>
                <w:rFonts w:cs="Arial"/>
                <w:b/>
                <w:bCs/>
              </w:rPr>
              <w:t>Mike McEnaney, Director of Finance</w:t>
            </w:r>
          </w:p>
        </w:tc>
      </w:tr>
    </w:tbl>
    <w:p w:rsidR="00FF075C" w:rsidRPr="00C268F5" w:rsidRDefault="00073679" w:rsidP="00FF075C">
      <w:pPr>
        <w:rPr>
          <w:rFonts w:cs="Arial"/>
        </w:rPr>
      </w:pPr>
      <w:r>
        <w:rPr>
          <w:rFont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3293"/>
      </w:tblGrid>
      <w:tr w:rsidR="00FF075C" w:rsidRPr="00C268F5">
        <w:trPr>
          <w:cantSplit/>
        </w:trPr>
        <w:tc>
          <w:tcPr>
            <w:tcW w:w="8522" w:type="dxa"/>
            <w:gridSpan w:val="2"/>
          </w:tcPr>
          <w:p w:rsidR="00FF075C" w:rsidRPr="00C268F5" w:rsidRDefault="00315857" w:rsidP="00FF075C">
            <w:pPr>
              <w:pStyle w:val="Heading1"/>
              <w:rPr>
                <w:rFonts w:cs="Arial"/>
                <w:bCs w:val="0"/>
                <w:sz w:val="24"/>
              </w:rPr>
            </w:pPr>
            <w:r w:rsidRPr="00C268F5">
              <w:rPr>
                <w:rFonts w:cs="Arial"/>
                <w:bCs w:val="0"/>
                <w:sz w:val="24"/>
              </w:rPr>
              <w:t>TRUST BOARD SUB-</w:t>
            </w:r>
            <w:r w:rsidR="00FF075C" w:rsidRPr="00C268F5">
              <w:rPr>
                <w:rFonts w:cs="Arial"/>
                <w:bCs w:val="0"/>
                <w:sz w:val="24"/>
              </w:rPr>
              <w:t>COMMITTEE WHICH APPROVED ORIGINAL VERSION</w:t>
            </w:r>
          </w:p>
        </w:tc>
      </w:tr>
      <w:tr w:rsidR="00FF075C" w:rsidRPr="00C268F5" w:rsidTr="00334DAD">
        <w:trPr>
          <w:cantSplit/>
        </w:trPr>
        <w:tc>
          <w:tcPr>
            <w:tcW w:w="5148" w:type="dxa"/>
          </w:tcPr>
          <w:p w:rsidR="00FF075C" w:rsidRPr="00C268F5" w:rsidRDefault="00FF075C" w:rsidP="00FF075C">
            <w:pPr>
              <w:jc w:val="both"/>
              <w:rPr>
                <w:rFonts w:cs="Arial"/>
                <w:b/>
                <w:bCs/>
                <w:sz w:val="16"/>
              </w:rPr>
            </w:pPr>
            <w:r w:rsidRPr="00C268F5">
              <w:rPr>
                <w:rFonts w:cs="Arial"/>
                <w:b/>
                <w:bCs/>
                <w:sz w:val="16"/>
              </w:rPr>
              <w:t>(Name of Committee)</w:t>
            </w:r>
          </w:p>
          <w:p w:rsidR="00FF075C" w:rsidRPr="00C268F5" w:rsidRDefault="004361B5" w:rsidP="00FF075C">
            <w:pPr>
              <w:jc w:val="both"/>
              <w:rPr>
                <w:rFonts w:cs="Arial"/>
                <w:b/>
                <w:bCs/>
              </w:rPr>
            </w:pPr>
            <w:r>
              <w:rPr>
                <w:rFonts w:cs="Arial"/>
                <w:b/>
                <w:bCs/>
              </w:rPr>
              <w:t>Trust Board</w:t>
            </w:r>
          </w:p>
        </w:tc>
        <w:tc>
          <w:tcPr>
            <w:tcW w:w="3374" w:type="dxa"/>
            <w:vAlign w:val="center"/>
          </w:tcPr>
          <w:p w:rsidR="00FF075C" w:rsidRPr="00C268F5" w:rsidRDefault="00FF075C" w:rsidP="00334DAD">
            <w:pPr>
              <w:jc w:val="center"/>
              <w:rPr>
                <w:rFonts w:cs="Arial"/>
                <w:b/>
                <w:bCs/>
                <w:sz w:val="16"/>
              </w:rPr>
            </w:pPr>
            <w:r w:rsidRPr="00C268F5">
              <w:rPr>
                <w:rFonts w:cs="Arial"/>
                <w:b/>
                <w:bCs/>
                <w:sz w:val="16"/>
              </w:rPr>
              <w:t>(Date of approval)</w:t>
            </w:r>
          </w:p>
          <w:p w:rsidR="00FF075C" w:rsidRPr="00C268F5" w:rsidRDefault="004361B5" w:rsidP="00334DAD">
            <w:pPr>
              <w:jc w:val="center"/>
              <w:rPr>
                <w:rFonts w:cs="Arial"/>
                <w:b/>
                <w:bCs/>
              </w:rPr>
            </w:pPr>
            <w:r>
              <w:rPr>
                <w:rFonts w:cs="Arial"/>
                <w:b/>
                <w:bCs/>
              </w:rPr>
              <w:t>June 2006</w:t>
            </w:r>
          </w:p>
        </w:tc>
      </w:tr>
      <w:tr w:rsidR="00FF075C" w:rsidRPr="00C268F5" w:rsidTr="00334DAD">
        <w:tc>
          <w:tcPr>
            <w:tcW w:w="5148" w:type="dxa"/>
          </w:tcPr>
          <w:p w:rsidR="00FF075C" w:rsidRPr="00C268F5" w:rsidRDefault="00FF075C" w:rsidP="00FF075C">
            <w:pPr>
              <w:rPr>
                <w:rFonts w:cs="Arial"/>
                <w:b/>
                <w:bCs/>
              </w:rPr>
            </w:pPr>
            <w:r w:rsidRPr="00C268F5">
              <w:rPr>
                <w:rFonts w:cs="Arial"/>
                <w:b/>
                <w:bCs/>
              </w:rPr>
              <w:t>DATE OF NEXT REVIEW</w:t>
            </w:r>
          </w:p>
          <w:p w:rsidR="00FF075C" w:rsidRPr="00C268F5" w:rsidRDefault="00FF075C" w:rsidP="00FF075C">
            <w:pPr>
              <w:rPr>
                <w:rFonts w:cs="Arial"/>
                <w:b/>
                <w:bCs/>
              </w:rPr>
            </w:pPr>
          </w:p>
        </w:tc>
        <w:tc>
          <w:tcPr>
            <w:tcW w:w="3374" w:type="dxa"/>
            <w:vAlign w:val="center"/>
          </w:tcPr>
          <w:p w:rsidR="00FF075C" w:rsidRPr="00C268F5" w:rsidRDefault="00735DA4" w:rsidP="00073679">
            <w:pPr>
              <w:pStyle w:val="Heading3"/>
              <w:jc w:val="center"/>
              <w:rPr>
                <w:rFonts w:cs="Arial"/>
                <w:bCs w:val="0"/>
              </w:rPr>
            </w:pPr>
            <w:r w:rsidRPr="00C268F5">
              <w:rPr>
                <w:rFonts w:cs="Arial"/>
                <w:bCs w:val="0"/>
              </w:rPr>
              <w:t>Q2 FY</w:t>
            </w:r>
            <w:r w:rsidR="00073679">
              <w:rPr>
                <w:rFonts w:cs="Arial"/>
                <w:bCs w:val="0"/>
              </w:rPr>
              <w:t>18</w:t>
            </w:r>
            <w:r w:rsidR="00E46821" w:rsidRPr="00C268F5">
              <w:rPr>
                <w:rFonts w:cs="Arial"/>
                <w:bCs w:val="0"/>
              </w:rPr>
              <w:t>/1</w:t>
            </w:r>
            <w:r w:rsidR="00073679">
              <w:rPr>
                <w:rFonts w:cs="Arial"/>
                <w:bCs w:val="0"/>
              </w:rPr>
              <w:t>9</w:t>
            </w:r>
          </w:p>
        </w:tc>
      </w:tr>
    </w:tbl>
    <w:p w:rsidR="00FF075C" w:rsidRPr="00C268F5" w:rsidRDefault="00FF075C" w:rsidP="00FF075C">
      <w:pPr>
        <w:rPr>
          <w:rFonts w:cs="Arial"/>
          <w:b/>
          <w:bCs/>
        </w:rPr>
      </w:pPr>
    </w:p>
    <w:p w:rsidR="00FF075C" w:rsidRPr="00C268F5" w:rsidRDefault="00FF075C" w:rsidP="00FF075C">
      <w:pPr>
        <w:rPr>
          <w:rFonts w:cs="Arial"/>
          <w:b/>
          <w:bCs/>
        </w:rPr>
      </w:pPr>
      <w:r w:rsidRPr="00C268F5">
        <w:rPr>
          <w:rFonts w:cs="Arial"/>
          <w:b/>
          <w:bCs/>
        </w:rPr>
        <w:t>REVIEW HISTORY</w:t>
      </w:r>
    </w:p>
    <w:p w:rsidR="00FF075C" w:rsidRPr="00C268F5" w:rsidRDefault="00FF075C" w:rsidP="00FF075C">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3293"/>
      </w:tblGrid>
      <w:tr w:rsidR="00FF075C" w:rsidRPr="00C268F5">
        <w:trPr>
          <w:cantSplit/>
        </w:trPr>
        <w:tc>
          <w:tcPr>
            <w:tcW w:w="8522" w:type="dxa"/>
            <w:gridSpan w:val="2"/>
          </w:tcPr>
          <w:p w:rsidR="00FF075C" w:rsidRPr="00C268F5" w:rsidRDefault="00FF075C" w:rsidP="00FF075C">
            <w:pPr>
              <w:pStyle w:val="Heading3"/>
              <w:rPr>
                <w:rFonts w:cs="Arial"/>
                <w:bCs w:val="0"/>
              </w:rPr>
            </w:pPr>
            <w:r w:rsidRPr="00C268F5">
              <w:rPr>
                <w:rFonts w:cs="Arial"/>
                <w:bCs w:val="0"/>
              </w:rPr>
              <w:t>COMMITTEE WHICH APPROVED REVISED VERSION</w:t>
            </w:r>
          </w:p>
        </w:tc>
      </w:tr>
      <w:tr w:rsidR="00FF075C" w:rsidRPr="00C268F5">
        <w:trPr>
          <w:cantSplit/>
        </w:trPr>
        <w:tc>
          <w:tcPr>
            <w:tcW w:w="5148" w:type="dxa"/>
          </w:tcPr>
          <w:p w:rsidR="00FF075C" w:rsidRPr="00C268F5" w:rsidRDefault="004361B5" w:rsidP="00FF075C">
            <w:pPr>
              <w:pStyle w:val="Heading3"/>
              <w:rPr>
                <w:rFonts w:cs="Arial"/>
                <w:b w:val="0"/>
                <w:bCs w:val="0"/>
              </w:rPr>
            </w:pPr>
            <w:r>
              <w:rPr>
                <w:rFonts w:cs="Arial"/>
                <w:b w:val="0"/>
                <w:bCs w:val="0"/>
              </w:rPr>
              <w:t>Integrated Governance Committee (confirmed re-approval of existing policy)</w:t>
            </w:r>
          </w:p>
        </w:tc>
        <w:tc>
          <w:tcPr>
            <w:tcW w:w="3374" w:type="dxa"/>
          </w:tcPr>
          <w:p w:rsidR="00FF075C" w:rsidRPr="00C268F5" w:rsidRDefault="00FF075C" w:rsidP="00073679">
            <w:pPr>
              <w:pStyle w:val="Heading3"/>
              <w:rPr>
                <w:rFonts w:cs="Arial"/>
                <w:bCs w:val="0"/>
              </w:rPr>
            </w:pPr>
            <w:r w:rsidRPr="00C268F5">
              <w:rPr>
                <w:rFonts w:cs="Arial"/>
                <w:bCs w:val="0"/>
              </w:rPr>
              <w:t>DATE</w:t>
            </w:r>
            <w:r w:rsidR="00081D85" w:rsidRPr="00C268F5">
              <w:rPr>
                <w:rFonts w:cs="Arial"/>
                <w:bCs w:val="0"/>
              </w:rPr>
              <w:t xml:space="preserve"> </w:t>
            </w:r>
            <w:r w:rsidR="004361B5" w:rsidRPr="004361B5">
              <w:rPr>
                <w:rFonts w:cs="Arial"/>
                <w:b w:val="0"/>
                <w:bCs w:val="0"/>
              </w:rPr>
              <w:t>Approved out of session and ratified 07 November 2007</w:t>
            </w:r>
          </w:p>
        </w:tc>
      </w:tr>
      <w:tr w:rsidR="00FF075C" w:rsidRPr="00C268F5">
        <w:trPr>
          <w:cantSplit/>
        </w:trPr>
        <w:tc>
          <w:tcPr>
            <w:tcW w:w="5148" w:type="dxa"/>
          </w:tcPr>
          <w:p w:rsidR="00FF075C" w:rsidRPr="00C268F5" w:rsidRDefault="004361B5" w:rsidP="00FF075C">
            <w:pPr>
              <w:pStyle w:val="Heading3"/>
              <w:rPr>
                <w:rFonts w:cs="Arial"/>
                <w:b w:val="0"/>
                <w:bCs w:val="0"/>
              </w:rPr>
            </w:pPr>
            <w:r>
              <w:rPr>
                <w:rFonts w:cs="Arial"/>
                <w:b w:val="0"/>
                <w:bCs w:val="0"/>
              </w:rPr>
              <w:t xml:space="preserve">Integrated Governance Committee </w:t>
            </w:r>
          </w:p>
        </w:tc>
        <w:tc>
          <w:tcPr>
            <w:tcW w:w="3374" w:type="dxa"/>
          </w:tcPr>
          <w:p w:rsidR="00FF075C" w:rsidRPr="00C268F5" w:rsidRDefault="004361B5" w:rsidP="00FF075C">
            <w:pPr>
              <w:pStyle w:val="Heading3"/>
              <w:rPr>
                <w:rFonts w:cs="Arial"/>
                <w:bCs w:val="0"/>
              </w:rPr>
            </w:pPr>
            <w:r>
              <w:rPr>
                <w:rFonts w:cs="Arial"/>
                <w:bCs w:val="0"/>
              </w:rPr>
              <w:t xml:space="preserve">DATE </w:t>
            </w:r>
            <w:r w:rsidRPr="004361B5">
              <w:rPr>
                <w:rFonts w:cs="Arial"/>
                <w:b w:val="0"/>
                <w:bCs w:val="0"/>
              </w:rPr>
              <w:t>Approved out of session; ratified</w:t>
            </w:r>
            <w:r>
              <w:rPr>
                <w:rFonts w:cs="Arial"/>
                <w:bCs w:val="0"/>
              </w:rPr>
              <w:t xml:space="preserve"> </w:t>
            </w:r>
            <w:r w:rsidRPr="004361B5">
              <w:rPr>
                <w:rFonts w:cs="Arial"/>
                <w:b w:val="0"/>
                <w:bCs w:val="0"/>
              </w:rPr>
              <w:t>at meeting 10 July 2009</w:t>
            </w:r>
          </w:p>
        </w:tc>
      </w:tr>
      <w:tr w:rsidR="00FF075C" w:rsidRPr="00C268F5">
        <w:trPr>
          <w:cantSplit/>
        </w:trPr>
        <w:tc>
          <w:tcPr>
            <w:tcW w:w="5148" w:type="dxa"/>
          </w:tcPr>
          <w:p w:rsidR="00FF075C" w:rsidRPr="00C268F5" w:rsidRDefault="004361B5" w:rsidP="00FF075C">
            <w:pPr>
              <w:pStyle w:val="Heading3"/>
              <w:rPr>
                <w:rFonts w:cs="Arial"/>
                <w:b w:val="0"/>
                <w:bCs w:val="0"/>
              </w:rPr>
            </w:pPr>
            <w:r>
              <w:rPr>
                <w:rFonts w:cs="Arial"/>
                <w:b w:val="0"/>
                <w:bCs w:val="0"/>
              </w:rPr>
              <w:t>Trust Board</w:t>
            </w:r>
          </w:p>
        </w:tc>
        <w:tc>
          <w:tcPr>
            <w:tcW w:w="3374" w:type="dxa"/>
          </w:tcPr>
          <w:p w:rsidR="00FF075C" w:rsidRPr="00C268F5" w:rsidRDefault="004361B5" w:rsidP="00FF075C">
            <w:pPr>
              <w:pStyle w:val="Heading3"/>
              <w:rPr>
                <w:rFonts w:cs="Arial"/>
                <w:bCs w:val="0"/>
              </w:rPr>
            </w:pPr>
            <w:r>
              <w:rPr>
                <w:rFonts w:cs="Arial"/>
                <w:bCs w:val="0"/>
              </w:rPr>
              <w:t xml:space="preserve">DATE </w:t>
            </w:r>
            <w:r w:rsidRPr="004361B5">
              <w:rPr>
                <w:rFonts w:cs="Arial"/>
                <w:b w:val="0"/>
                <w:bCs w:val="0"/>
              </w:rPr>
              <w:t>Approved of out session April 2012</w:t>
            </w:r>
          </w:p>
        </w:tc>
      </w:tr>
      <w:tr w:rsidR="00FF075C" w:rsidRPr="00C268F5">
        <w:trPr>
          <w:cantSplit/>
        </w:trPr>
        <w:tc>
          <w:tcPr>
            <w:tcW w:w="5148" w:type="dxa"/>
          </w:tcPr>
          <w:p w:rsidR="00FF075C" w:rsidRPr="00C268F5" w:rsidRDefault="004361B5" w:rsidP="00FF075C">
            <w:pPr>
              <w:pStyle w:val="Heading3"/>
              <w:rPr>
                <w:rFonts w:cs="Arial"/>
                <w:b w:val="0"/>
                <w:bCs w:val="0"/>
              </w:rPr>
            </w:pPr>
            <w:r>
              <w:rPr>
                <w:rFonts w:cs="Arial"/>
                <w:b w:val="0"/>
                <w:bCs w:val="0"/>
              </w:rPr>
              <w:t>Audit Committee</w:t>
            </w:r>
          </w:p>
        </w:tc>
        <w:tc>
          <w:tcPr>
            <w:tcW w:w="3374" w:type="dxa"/>
          </w:tcPr>
          <w:p w:rsidR="00FF075C" w:rsidRPr="004361B5" w:rsidRDefault="004361B5" w:rsidP="00FF075C">
            <w:pPr>
              <w:pStyle w:val="Heading3"/>
              <w:rPr>
                <w:rFonts w:cs="Arial"/>
                <w:b w:val="0"/>
                <w:bCs w:val="0"/>
              </w:rPr>
            </w:pPr>
            <w:r>
              <w:rPr>
                <w:rFonts w:cs="Arial"/>
                <w:bCs w:val="0"/>
              </w:rPr>
              <w:t xml:space="preserve">DATE </w:t>
            </w:r>
            <w:r>
              <w:rPr>
                <w:rFonts w:cs="Arial"/>
                <w:b w:val="0"/>
                <w:bCs w:val="0"/>
              </w:rPr>
              <w:t>03 December 2015</w:t>
            </w:r>
          </w:p>
        </w:tc>
      </w:tr>
      <w:tr w:rsidR="004361B5" w:rsidRPr="00C268F5">
        <w:trPr>
          <w:cantSplit/>
        </w:trPr>
        <w:tc>
          <w:tcPr>
            <w:tcW w:w="5148" w:type="dxa"/>
          </w:tcPr>
          <w:p w:rsidR="004361B5" w:rsidRDefault="004361B5" w:rsidP="00FF075C">
            <w:pPr>
              <w:pStyle w:val="Heading3"/>
              <w:rPr>
                <w:rFonts w:cs="Arial"/>
                <w:b w:val="0"/>
                <w:bCs w:val="0"/>
              </w:rPr>
            </w:pPr>
            <w:r>
              <w:rPr>
                <w:rFonts w:cs="Arial"/>
                <w:b w:val="0"/>
                <w:bCs w:val="0"/>
              </w:rPr>
              <w:t>Trust Board</w:t>
            </w:r>
          </w:p>
        </w:tc>
        <w:tc>
          <w:tcPr>
            <w:tcW w:w="3374" w:type="dxa"/>
          </w:tcPr>
          <w:p w:rsidR="004361B5" w:rsidRPr="004361B5" w:rsidRDefault="004361B5" w:rsidP="00FF075C">
            <w:pPr>
              <w:pStyle w:val="Heading3"/>
              <w:rPr>
                <w:rFonts w:cs="Arial"/>
                <w:b w:val="0"/>
                <w:bCs w:val="0"/>
              </w:rPr>
            </w:pPr>
            <w:r>
              <w:rPr>
                <w:rFonts w:cs="Arial"/>
                <w:bCs w:val="0"/>
              </w:rPr>
              <w:t xml:space="preserve">DATE </w:t>
            </w:r>
            <w:r>
              <w:rPr>
                <w:rFonts w:cs="Arial"/>
                <w:b w:val="0"/>
                <w:bCs w:val="0"/>
              </w:rPr>
              <w:t>27 January 2016</w:t>
            </w:r>
            <w:bookmarkStart w:id="0" w:name="_GoBack"/>
            <w:bookmarkEnd w:id="0"/>
          </w:p>
        </w:tc>
      </w:tr>
    </w:tbl>
    <w:p w:rsidR="00FF075C" w:rsidRPr="00C268F5" w:rsidRDefault="00FF075C" w:rsidP="00FF075C">
      <w:pPr>
        <w:rPr>
          <w:rFonts w:cs="Arial"/>
        </w:rPr>
      </w:pPr>
    </w:p>
    <w:p w:rsidR="00FF075C" w:rsidRPr="00C268F5" w:rsidRDefault="00FF075C" w:rsidP="00FF075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3286"/>
      </w:tblGrid>
      <w:tr w:rsidR="00FF075C" w:rsidRPr="00C268F5">
        <w:tc>
          <w:tcPr>
            <w:tcW w:w="5148" w:type="dxa"/>
          </w:tcPr>
          <w:p w:rsidR="00FF075C" w:rsidRPr="00C268F5" w:rsidRDefault="00FF075C" w:rsidP="00FF075C">
            <w:pPr>
              <w:pStyle w:val="Heading3"/>
              <w:rPr>
                <w:rFonts w:cs="Arial"/>
                <w:bCs w:val="0"/>
              </w:rPr>
            </w:pPr>
            <w:r w:rsidRPr="00C268F5">
              <w:rPr>
                <w:rFonts w:cs="Arial"/>
                <w:bCs w:val="0"/>
              </w:rPr>
              <w:t>CURRENT VERSION PLACED ON INTRANET</w:t>
            </w:r>
          </w:p>
        </w:tc>
        <w:tc>
          <w:tcPr>
            <w:tcW w:w="3374" w:type="dxa"/>
          </w:tcPr>
          <w:p w:rsidR="00FF075C" w:rsidRPr="00C268F5" w:rsidRDefault="00FF075C" w:rsidP="00FF075C">
            <w:pPr>
              <w:pStyle w:val="Heading3"/>
              <w:rPr>
                <w:rFonts w:cs="Arial"/>
                <w:bCs w:val="0"/>
              </w:rPr>
            </w:pPr>
            <w:r w:rsidRPr="00C268F5">
              <w:rPr>
                <w:rFonts w:cs="Arial"/>
                <w:bCs w:val="0"/>
              </w:rPr>
              <w:t>DATE</w:t>
            </w:r>
          </w:p>
          <w:p w:rsidR="00FF075C" w:rsidRPr="00C268F5" w:rsidRDefault="00FF075C" w:rsidP="00FF075C">
            <w:pPr>
              <w:rPr>
                <w:rFonts w:cs="Arial"/>
                <w:b/>
                <w:bCs/>
              </w:rPr>
            </w:pPr>
          </w:p>
        </w:tc>
      </w:tr>
    </w:tbl>
    <w:p w:rsidR="00FF075C" w:rsidRPr="00C268F5" w:rsidRDefault="00FF075C" w:rsidP="00FF075C">
      <w:pPr>
        <w:jc w:val="both"/>
        <w:rPr>
          <w:rFonts w:cs="Arial"/>
        </w:rPr>
      </w:pPr>
    </w:p>
    <w:p w:rsidR="0080779B" w:rsidRPr="00C268F5" w:rsidRDefault="0080779B" w:rsidP="00FF075C">
      <w:pPr>
        <w:jc w:val="both"/>
        <w:rPr>
          <w:rFonts w:cs="Arial"/>
        </w:rPr>
      </w:pPr>
    </w:p>
    <w:p w:rsidR="0080779B" w:rsidRPr="00C268F5" w:rsidRDefault="0080779B" w:rsidP="00FF075C">
      <w:pPr>
        <w:jc w:val="both"/>
        <w:rPr>
          <w:rFonts w:cs="Arial"/>
        </w:rPr>
      </w:pPr>
    </w:p>
    <w:p w:rsidR="00FF075C" w:rsidRPr="00C268F5" w:rsidRDefault="00FF075C" w:rsidP="00FF075C">
      <w:pPr>
        <w:jc w:val="both"/>
        <w:rPr>
          <w:rFonts w:cs="Arial"/>
          <w:b/>
          <w:bCs/>
        </w:rPr>
      </w:pPr>
      <w:r w:rsidRPr="00C268F5">
        <w:rPr>
          <w:rFonts w:cs="Arial"/>
          <w:b/>
          <w:bCs/>
        </w:rPr>
        <w:t>CHAIR(S) OF APPROVING COMMITTEE</w:t>
      </w:r>
    </w:p>
    <w:p w:rsidR="00FF075C" w:rsidRPr="00C268F5" w:rsidRDefault="00FF075C" w:rsidP="00FF075C">
      <w:pPr>
        <w:jc w:val="both"/>
        <w:rPr>
          <w:rFonts w:cs="Arial"/>
          <w:b/>
          <w:bCs/>
        </w:rPr>
      </w:pPr>
    </w:p>
    <w:p w:rsidR="00FF075C" w:rsidRPr="00C268F5" w:rsidRDefault="00FF075C" w:rsidP="00FF075C">
      <w:pPr>
        <w:jc w:val="both"/>
        <w:rPr>
          <w:rFonts w:cs="Arial"/>
          <w:b/>
          <w:bCs/>
        </w:rPr>
      </w:pPr>
      <w:r w:rsidRPr="00C268F5">
        <w:rPr>
          <w:rFonts w:cs="Arial"/>
          <w:b/>
          <w:bCs/>
        </w:rPr>
        <w:t>SIGNATURE(S).........................................................................</w:t>
      </w:r>
    </w:p>
    <w:p w:rsidR="00FF075C" w:rsidRPr="00C268F5" w:rsidRDefault="00FF075C" w:rsidP="00FF075C">
      <w:pPr>
        <w:jc w:val="both"/>
        <w:rPr>
          <w:rFonts w:cs="Arial"/>
          <w:b/>
          <w:bCs/>
        </w:rPr>
      </w:pPr>
    </w:p>
    <w:p w:rsidR="00FF075C" w:rsidRPr="00C268F5" w:rsidRDefault="00FF075C" w:rsidP="00FF075C">
      <w:pPr>
        <w:jc w:val="both"/>
        <w:rPr>
          <w:rFonts w:cs="Arial"/>
          <w:b/>
          <w:bCs/>
        </w:rPr>
      </w:pPr>
      <w:r w:rsidRPr="00C268F5">
        <w:rPr>
          <w:rFonts w:cs="Arial"/>
          <w:b/>
          <w:bCs/>
        </w:rPr>
        <w:t>TITLE(S)   .</w:t>
      </w:r>
      <w:r w:rsidR="00A754DF" w:rsidRPr="00C268F5">
        <w:rPr>
          <w:rFonts w:cs="Arial"/>
          <w:b/>
          <w:bCs/>
        </w:rPr>
        <w:t>........</w:t>
      </w:r>
      <w:r w:rsidRPr="00C268F5">
        <w:rPr>
          <w:rFonts w:cs="Arial"/>
          <w:b/>
          <w:bCs/>
        </w:rPr>
        <w:t>..........................................................</w:t>
      </w:r>
    </w:p>
    <w:p w:rsidR="00FF075C" w:rsidRPr="00C268F5" w:rsidRDefault="00FF075C" w:rsidP="00FF075C">
      <w:pPr>
        <w:jc w:val="both"/>
        <w:rPr>
          <w:rFonts w:cs="Arial"/>
          <w:b/>
          <w:bCs/>
        </w:rPr>
      </w:pPr>
    </w:p>
    <w:p w:rsidR="00FF075C" w:rsidRPr="00C268F5" w:rsidRDefault="00FF075C" w:rsidP="00FF075C">
      <w:pPr>
        <w:jc w:val="both"/>
        <w:rPr>
          <w:rFonts w:cs="Arial"/>
          <w:b/>
          <w:bCs/>
        </w:rPr>
      </w:pPr>
      <w:r w:rsidRPr="00C268F5">
        <w:rPr>
          <w:rFonts w:cs="Arial"/>
          <w:b/>
          <w:bCs/>
        </w:rPr>
        <w:t>DATE            ...........................................................................</w:t>
      </w:r>
    </w:p>
    <w:p w:rsidR="00852E30" w:rsidRPr="00C268F5" w:rsidRDefault="00852E30" w:rsidP="00852E30">
      <w:pPr>
        <w:rPr>
          <w:rFonts w:cs="Arial"/>
        </w:rPr>
      </w:pPr>
    </w:p>
    <w:p w:rsidR="00FF075C" w:rsidRPr="000E34F4" w:rsidRDefault="00FF075C" w:rsidP="000E34F4">
      <w:pPr>
        <w:pStyle w:val="Title"/>
        <w:pBdr>
          <w:top w:val="single" w:sz="4" w:space="1" w:color="auto"/>
        </w:pBdr>
        <w:spacing w:before="100" w:beforeAutospacing="1"/>
        <w:jc w:val="center"/>
        <w:rPr>
          <w:rFonts w:ascii="Arial" w:hAnsi="Arial" w:cs="Arial"/>
          <w:b w:val="0"/>
          <w:sz w:val="24"/>
          <w:szCs w:val="24"/>
        </w:rPr>
      </w:pPr>
      <w:r w:rsidRPr="00C268F5">
        <w:rPr>
          <w:rFonts w:ascii="Arial" w:hAnsi="Arial" w:cs="Arial"/>
          <w:b w:val="0"/>
          <w:sz w:val="24"/>
          <w:szCs w:val="24"/>
        </w:rPr>
        <w:lastRenderedPageBreak/>
        <w:t>POLICY CONTROL DOCUMENT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8"/>
        <w:gridCol w:w="2925"/>
      </w:tblGrid>
      <w:tr w:rsidR="00FF075C" w:rsidRPr="00C268F5">
        <w:tc>
          <w:tcPr>
            <w:tcW w:w="5508" w:type="dxa"/>
          </w:tcPr>
          <w:p w:rsidR="00FF075C" w:rsidRPr="00C268F5" w:rsidRDefault="00FF075C" w:rsidP="00FF075C">
            <w:pPr>
              <w:pStyle w:val="Heading3"/>
              <w:rPr>
                <w:rFonts w:cs="Arial"/>
                <w:bCs w:val="0"/>
              </w:rPr>
            </w:pPr>
            <w:r w:rsidRPr="00C268F5">
              <w:rPr>
                <w:rFonts w:cs="Arial"/>
                <w:bCs w:val="0"/>
              </w:rPr>
              <w:t>NUMBER OF PAGES (EXCLUDING APPENDICES)</w:t>
            </w:r>
          </w:p>
        </w:tc>
        <w:tc>
          <w:tcPr>
            <w:tcW w:w="3014" w:type="dxa"/>
          </w:tcPr>
          <w:p w:rsidR="00FF075C" w:rsidRPr="00C268F5" w:rsidRDefault="007440EA" w:rsidP="00FF075C">
            <w:pPr>
              <w:rPr>
                <w:rFonts w:cs="Arial"/>
                <w:b/>
                <w:bCs/>
              </w:rPr>
            </w:pPr>
            <w:r>
              <w:rPr>
                <w:rFonts w:cs="Arial"/>
                <w:b/>
                <w:bCs/>
              </w:rPr>
              <w:t>6</w:t>
            </w:r>
          </w:p>
        </w:tc>
      </w:tr>
      <w:tr w:rsidR="00FF075C" w:rsidRPr="00C268F5">
        <w:trPr>
          <w:cantSplit/>
        </w:trPr>
        <w:tc>
          <w:tcPr>
            <w:tcW w:w="8522" w:type="dxa"/>
            <w:gridSpan w:val="2"/>
          </w:tcPr>
          <w:p w:rsidR="00783A12" w:rsidRPr="00C268F5" w:rsidRDefault="00FF075C" w:rsidP="00C97142">
            <w:pPr>
              <w:rPr>
                <w:rFonts w:cs="Arial"/>
                <w:b/>
                <w:bCs/>
              </w:rPr>
            </w:pPr>
            <w:r w:rsidRPr="00C268F5">
              <w:rPr>
                <w:rFonts w:cs="Arial"/>
                <w:b/>
                <w:bCs/>
              </w:rPr>
              <w:t>SUMMARY OF REVISIONS:</w:t>
            </w:r>
          </w:p>
          <w:p w:rsidR="00783A12" w:rsidRPr="00C268F5" w:rsidRDefault="00D54F8B" w:rsidP="00783A12">
            <w:pPr>
              <w:numPr>
                <w:ilvl w:val="0"/>
                <w:numId w:val="10"/>
              </w:numPr>
              <w:rPr>
                <w:rFonts w:cs="Arial"/>
                <w:b/>
                <w:bCs/>
              </w:rPr>
            </w:pPr>
            <w:r w:rsidRPr="00C268F5">
              <w:rPr>
                <w:rFonts w:cs="Arial"/>
                <w:bCs/>
              </w:rPr>
              <w:t>Minor revisions</w:t>
            </w:r>
            <w:r w:rsidR="000743D2" w:rsidRPr="00C268F5">
              <w:rPr>
                <w:rFonts w:cs="Arial"/>
                <w:bCs/>
              </w:rPr>
              <w:t xml:space="preserve"> and updates</w:t>
            </w:r>
          </w:p>
          <w:p w:rsidR="00D27F27" w:rsidRPr="00D27F27" w:rsidRDefault="00D54F8B" w:rsidP="00D27F27">
            <w:pPr>
              <w:numPr>
                <w:ilvl w:val="0"/>
                <w:numId w:val="10"/>
              </w:numPr>
              <w:rPr>
                <w:rFonts w:cs="Arial"/>
                <w:b/>
                <w:bCs/>
              </w:rPr>
            </w:pPr>
            <w:r w:rsidRPr="00C268F5">
              <w:rPr>
                <w:rFonts w:cs="Arial"/>
                <w:bCs/>
              </w:rPr>
              <w:t xml:space="preserve">Updated </w:t>
            </w:r>
            <w:r w:rsidR="00D27F27">
              <w:rPr>
                <w:rFonts w:cs="Arial"/>
                <w:bCs/>
              </w:rPr>
              <w:t>to include an ‘Aims and Objectives’ section</w:t>
            </w:r>
          </w:p>
          <w:p w:rsidR="00D27F27" w:rsidRPr="00D27F27" w:rsidRDefault="00D27F27" w:rsidP="00D27F27">
            <w:pPr>
              <w:numPr>
                <w:ilvl w:val="0"/>
                <w:numId w:val="10"/>
              </w:numPr>
              <w:rPr>
                <w:rFonts w:cs="Arial"/>
                <w:b/>
                <w:bCs/>
              </w:rPr>
            </w:pPr>
            <w:r>
              <w:rPr>
                <w:rFonts w:cs="Arial"/>
                <w:bCs/>
              </w:rPr>
              <w:t>Inclusion of clear reporting lines</w:t>
            </w:r>
          </w:p>
          <w:p w:rsidR="00D27F27" w:rsidRPr="00D27F27" w:rsidRDefault="00D27F27" w:rsidP="00D27F27">
            <w:pPr>
              <w:numPr>
                <w:ilvl w:val="0"/>
                <w:numId w:val="10"/>
              </w:numPr>
              <w:rPr>
                <w:rFonts w:cs="Arial"/>
                <w:b/>
                <w:bCs/>
              </w:rPr>
            </w:pPr>
            <w:r>
              <w:rPr>
                <w:rFonts w:cs="Arial"/>
                <w:bCs/>
              </w:rPr>
              <w:t xml:space="preserve">Flow </w:t>
            </w:r>
          </w:p>
          <w:p w:rsidR="00270F4C" w:rsidRPr="00C268F5" w:rsidRDefault="00270F4C" w:rsidP="00D27F27">
            <w:pPr>
              <w:numPr>
                <w:ilvl w:val="0"/>
                <w:numId w:val="10"/>
              </w:numPr>
              <w:rPr>
                <w:rFonts w:cs="Arial"/>
                <w:b/>
                <w:bCs/>
              </w:rPr>
            </w:pPr>
          </w:p>
        </w:tc>
      </w:tr>
    </w:tbl>
    <w:p w:rsidR="00FF075C" w:rsidRPr="00C268F5" w:rsidRDefault="00FF075C" w:rsidP="00FF075C">
      <w:pPr>
        <w:jc w:val="both"/>
        <w:rPr>
          <w:rFonts w:cs="Arial"/>
          <w:b/>
          <w:bCs/>
        </w:rPr>
      </w:pPr>
    </w:p>
    <w:p w:rsidR="002063DE" w:rsidRPr="00C268F5" w:rsidRDefault="002063DE" w:rsidP="002063DE">
      <w:pPr>
        <w:jc w:val="both"/>
        <w:rPr>
          <w:rFonts w:cs="Arial"/>
          <w:b/>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1"/>
        <w:gridCol w:w="4302"/>
      </w:tblGrid>
      <w:tr w:rsidR="002063DE" w:rsidRPr="00C268F5" w:rsidTr="00A813B2">
        <w:tc>
          <w:tcPr>
            <w:tcW w:w="4077" w:type="dxa"/>
          </w:tcPr>
          <w:p w:rsidR="002063DE" w:rsidRPr="00C268F5" w:rsidRDefault="002063DE" w:rsidP="00F87A1F">
            <w:pPr>
              <w:jc w:val="both"/>
              <w:rPr>
                <w:rFonts w:cs="Arial"/>
                <w:b/>
                <w:bCs/>
              </w:rPr>
            </w:pPr>
            <w:r w:rsidRPr="00C268F5">
              <w:rPr>
                <w:rFonts w:cs="Arial"/>
                <w:b/>
                <w:bCs/>
              </w:rPr>
              <w:t>Approval Checklist</w:t>
            </w:r>
          </w:p>
        </w:tc>
        <w:tc>
          <w:tcPr>
            <w:tcW w:w="4395" w:type="dxa"/>
          </w:tcPr>
          <w:p w:rsidR="002063DE" w:rsidRPr="00C268F5" w:rsidRDefault="002063DE" w:rsidP="00F87A1F">
            <w:pPr>
              <w:jc w:val="center"/>
              <w:rPr>
                <w:rFonts w:cs="Arial"/>
                <w:b/>
                <w:bCs/>
              </w:rPr>
            </w:pPr>
          </w:p>
        </w:tc>
      </w:tr>
      <w:tr w:rsidR="002063DE" w:rsidRPr="00C268F5" w:rsidTr="00A813B2">
        <w:tc>
          <w:tcPr>
            <w:tcW w:w="4077" w:type="dxa"/>
          </w:tcPr>
          <w:p w:rsidR="002063DE" w:rsidRPr="00C268F5" w:rsidRDefault="006D4332" w:rsidP="006D4332">
            <w:pPr>
              <w:rPr>
                <w:rFonts w:cs="Arial"/>
                <w:b/>
                <w:bCs/>
              </w:rPr>
            </w:pPr>
            <w:r w:rsidRPr="00C268F5">
              <w:rPr>
                <w:rFonts w:cs="Arial"/>
                <w:b/>
                <w:bCs/>
              </w:rPr>
              <w:t xml:space="preserve">CQC Regulation/NHSLA Standard </w:t>
            </w:r>
            <w:r w:rsidR="002063DE" w:rsidRPr="00C268F5">
              <w:rPr>
                <w:rFonts w:cs="Arial"/>
                <w:b/>
                <w:bCs/>
              </w:rPr>
              <w:t>identified and how the policy meets the standard stated</w:t>
            </w:r>
          </w:p>
        </w:tc>
        <w:tc>
          <w:tcPr>
            <w:tcW w:w="4395" w:type="dxa"/>
            <w:vAlign w:val="center"/>
          </w:tcPr>
          <w:p w:rsidR="00A813B2" w:rsidRPr="00C268F5" w:rsidRDefault="00D27F27" w:rsidP="00D27F27">
            <w:pPr>
              <w:numPr>
                <w:ilvl w:val="0"/>
                <w:numId w:val="21"/>
              </w:numPr>
              <w:rPr>
                <w:rFonts w:cs="Arial"/>
                <w:bCs/>
              </w:rPr>
            </w:pPr>
            <w:r>
              <w:rPr>
                <w:rFonts w:cs="Arial"/>
                <w:bCs/>
              </w:rPr>
              <w:t>N/A</w:t>
            </w:r>
            <w:r w:rsidR="0072141A" w:rsidRPr="00C268F5">
              <w:rPr>
                <w:rFonts w:cs="Arial"/>
                <w:bCs/>
              </w:rPr>
              <w:t xml:space="preserve"> </w:t>
            </w:r>
          </w:p>
        </w:tc>
      </w:tr>
      <w:tr w:rsidR="002063DE" w:rsidRPr="00C268F5" w:rsidTr="0066476B">
        <w:tc>
          <w:tcPr>
            <w:tcW w:w="4077" w:type="dxa"/>
          </w:tcPr>
          <w:p w:rsidR="002063DE" w:rsidRPr="00C268F5" w:rsidRDefault="002063DE" w:rsidP="00F87A1F">
            <w:pPr>
              <w:jc w:val="both"/>
              <w:rPr>
                <w:rFonts w:cs="Arial"/>
                <w:b/>
                <w:bCs/>
              </w:rPr>
            </w:pPr>
            <w:r w:rsidRPr="00C268F5">
              <w:rPr>
                <w:rFonts w:cs="Arial"/>
                <w:b/>
                <w:bCs/>
              </w:rPr>
              <w:t>Consultation process undertaken</w:t>
            </w:r>
          </w:p>
          <w:p w:rsidR="002063DE" w:rsidRPr="00C268F5" w:rsidRDefault="002063DE" w:rsidP="00F87A1F">
            <w:pPr>
              <w:jc w:val="both"/>
              <w:rPr>
                <w:rFonts w:cs="Arial"/>
                <w:b/>
                <w:bCs/>
                <w:sz w:val="16"/>
                <w:szCs w:val="16"/>
              </w:rPr>
            </w:pPr>
            <w:r w:rsidRPr="00C268F5">
              <w:rPr>
                <w:rFonts w:cs="Arial"/>
                <w:b/>
                <w:bCs/>
                <w:sz w:val="16"/>
                <w:szCs w:val="16"/>
              </w:rPr>
              <w:t>Outline with whom</w:t>
            </w:r>
          </w:p>
          <w:p w:rsidR="002063DE" w:rsidRPr="00C268F5" w:rsidRDefault="002063DE" w:rsidP="00F87A1F">
            <w:pPr>
              <w:jc w:val="both"/>
              <w:rPr>
                <w:rFonts w:cs="Arial"/>
                <w:b/>
                <w:bCs/>
                <w:sz w:val="16"/>
                <w:szCs w:val="16"/>
              </w:rPr>
            </w:pPr>
          </w:p>
          <w:p w:rsidR="002063DE" w:rsidRPr="00C268F5" w:rsidRDefault="002063DE" w:rsidP="00F87A1F">
            <w:pPr>
              <w:jc w:val="both"/>
              <w:rPr>
                <w:rFonts w:cs="Arial"/>
                <w:b/>
                <w:bCs/>
                <w:sz w:val="16"/>
                <w:szCs w:val="16"/>
              </w:rPr>
            </w:pPr>
          </w:p>
          <w:p w:rsidR="002063DE" w:rsidRPr="00C268F5" w:rsidRDefault="002063DE" w:rsidP="00F87A1F">
            <w:pPr>
              <w:jc w:val="both"/>
              <w:rPr>
                <w:rFonts w:cs="Arial"/>
                <w:b/>
                <w:bCs/>
                <w:sz w:val="16"/>
                <w:szCs w:val="16"/>
              </w:rPr>
            </w:pPr>
          </w:p>
          <w:p w:rsidR="002063DE" w:rsidRPr="00C268F5" w:rsidRDefault="002063DE" w:rsidP="00F87A1F">
            <w:pPr>
              <w:jc w:val="both"/>
              <w:rPr>
                <w:rFonts w:cs="Arial"/>
                <w:b/>
                <w:bCs/>
                <w:sz w:val="16"/>
                <w:szCs w:val="16"/>
              </w:rPr>
            </w:pPr>
          </w:p>
        </w:tc>
        <w:tc>
          <w:tcPr>
            <w:tcW w:w="4395" w:type="dxa"/>
          </w:tcPr>
          <w:p w:rsidR="00D27F27" w:rsidRDefault="00D27F27" w:rsidP="005C69EE">
            <w:pPr>
              <w:pStyle w:val="ListParagraph"/>
              <w:numPr>
                <w:ilvl w:val="0"/>
                <w:numId w:val="24"/>
              </w:numPr>
              <w:rPr>
                <w:rFonts w:cs="Arial"/>
                <w:bCs/>
              </w:rPr>
            </w:pPr>
            <w:r>
              <w:rPr>
                <w:rFonts w:cs="Arial"/>
                <w:bCs/>
              </w:rPr>
              <w:t xml:space="preserve">Finance </w:t>
            </w:r>
          </w:p>
          <w:p w:rsidR="00D27F27" w:rsidRDefault="00D27F27" w:rsidP="005C69EE">
            <w:pPr>
              <w:pStyle w:val="ListParagraph"/>
              <w:numPr>
                <w:ilvl w:val="0"/>
                <w:numId w:val="24"/>
              </w:numPr>
              <w:rPr>
                <w:rFonts w:cs="Arial"/>
                <w:bCs/>
              </w:rPr>
            </w:pPr>
            <w:r>
              <w:rPr>
                <w:rFonts w:cs="Arial"/>
                <w:bCs/>
              </w:rPr>
              <w:t>HR</w:t>
            </w:r>
          </w:p>
          <w:p w:rsidR="00022628" w:rsidRPr="005C69EE" w:rsidRDefault="00D27F27" w:rsidP="005C69EE">
            <w:pPr>
              <w:pStyle w:val="ListParagraph"/>
              <w:numPr>
                <w:ilvl w:val="0"/>
                <w:numId w:val="24"/>
              </w:numPr>
              <w:rPr>
                <w:rFonts w:cs="Arial"/>
                <w:bCs/>
              </w:rPr>
            </w:pPr>
            <w:r>
              <w:rPr>
                <w:rFonts w:cs="Arial"/>
                <w:bCs/>
              </w:rPr>
              <w:t>Audit Committee</w:t>
            </w:r>
            <w:r w:rsidR="00022628">
              <w:rPr>
                <w:rFonts w:cs="Arial"/>
                <w:bCs/>
              </w:rPr>
              <w:t xml:space="preserve">. </w:t>
            </w:r>
          </w:p>
        </w:tc>
      </w:tr>
      <w:tr w:rsidR="002063DE" w:rsidRPr="00C268F5" w:rsidTr="00A813B2">
        <w:tc>
          <w:tcPr>
            <w:tcW w:w="4077" w:type="dxa"/>
          </w:tcPr>
          <w:p w:rsidR="002063DE" w:rsidRPr="00C268F5" w:rsidRDefault="002063DE" w:rsidP="00F87A1F">
            <w:pPr>
              <w:jc w:val="both"/>
              <w:rPr>
                <w:rFonts w:cs="Arial"/>
                <w:b/>
                <w:bCs/>
              </w:rPr>
            </w:pPr>
            <w:r w:rsidRPr="00C268F5">
              <w:rPr>
                <w:rFonts w:cs="Arial"/>
                <w:b/>
                <w:bCs/>
              </w:rPr>
              <w:t>Equality Impact Assessment completed</w:t>
            </w:r>
          </w:p>
        </w:tc>
        <w:tc>
          <w:tcPr>
            <w:tcW w:w="4395" w:type="dxa"/>
            <w:vAlign w:val="center"/>
          </w:tcPr>
          <w:p w:rsidR="002063DE" w:rsidRPr="00C268F5" w:rsidRDefault="00783A12" w:rsidP="0066476B">
            <w:pPr>
              <w:rPr>
                <w:rFonts w:cs="Arial"/>
                <w:bCs/>
              </w:rPr>
            </w:pPr>
            <w:r w:rsidRPr="00C268F5">
              <w:rPr>
                <w:rFonts w:cs="Arial"/>
                <w:bCs/>
              </w:rPr>
              <w:t>Attached</w:t>
            </w:r>
          </w:p>
        </w:tc>
      </w:tr>
      <w:tr w:rsidR="002063DE" w:rsidRPr="00C268F5" w:rsidTr="00A813B2">
        <w:tc>
          <w:tcPr>
            <w:tcW w:w="4077" w:type="dxa"/>
            <w:tcBorders>
              <w:bottom w:val="single" w:sz="4" w:space="0" w:color="auto"/>
            </w:tcBorders>
          </w:tcPr>
          <w:p w:rsidR="002063DE" w:rsidRPr="00C268F5" w:rsidRDefault="002063DE" w:rsidP="006D4332">
            <w:pPr>
              <w:rPr>
                <w:rFonts w:cs="Arial"/>
                <w:b/>
                <w:bCs/>
              </w:rPr>
            </w:pPr>
            <w:r w:rsidRPr="00C268F5">
              <w:rPr>
                <w:rFonts w:cs="Arial"/>
                <w:b/>
                <w:bCs/>
              </w:rPr>
              <w:t>Has the potential for an impact on a person’s human rights been considered</w:t>
            </w:r>
          </w:p>
        </w:tc>
        <w:tc>
          <w:tcPr>
            <w:tcW w:w="4395" w:type="dxa"/>
            <w:tcBorders>
              <w:bottom w:val="single" w:sz="4" w:space="0" w:color="auto"/>
            </w:tcBorders>
            <w:vAlign w:val="center"/>
          </w:tcPr>
          <w:p w:rsidR="002063DE" w:rsidRPr="00C268F5" w:rsidRDefault="0072141A" w:rsidP="0066476B">
            <w:pPr>
              <w:rPr>
                <w:rFonts w:cs="Arial"/>
                <w:bCs/>
              </w:rPr>
            </w:pPr>
            <w:r w:rsidRPr="00C268F5">
              <w:rPr>
                <w:rFonts w:cs="Arial"/>
                <w:bCs/>
              </w:rPr>
              <w:t xml:space="preserve">Considered – </w:t>
            </w:r>
            <w:r w:rsidR="002F72C3" w:rsidRPr="00C268F5">
              <w:rPr>
                <w:rFonts w:cs="Arial"/>
                <w:bCs/>
              </w:rPr>
              <w:t xml:space="preserve">no significant negative or positive impact. </w:t>
            </w:r>
          </w:p>
        </w:tc>
      </w:tr>
      <w:tr w:rsidR="002063DE" w:rsidRPr="00C268F5" w:rsidTr="00A813B2">
        <w:tc>
          <w:tcPr>
            <w:tcW w:w="4077" w:type="dxa"/>
            <w:tcBorders>
              <w:bottom w:val="nil"/>
            </w:tcBorders>
          </w:tcPr>
          <w:p w:rsidR="002063DE" w:rsidRPr="00C268F5" w:rsidRDefault="002063DE" w:rsidP="006D4332">
            <w:pPr>
              <w:rPr>
                <w:rFonts w:cs="Arial"/>
                <w:b/>
                <w:bCs/>
              </w:rPr>
            </w:pPr>
            <w:r w:rsidRPr="00C268F5">
              <w:rPr>
                <w:rFonts w:cs="Arial"/>
                <w:b/>
                <w:bCs/>
              </w:rPr>
              <w:t>Training implications assessed and agreed where relevant with Learning Advisory Committee</w:t>
            </w:r>
          </w:p>
        </w:tc>
        <w:tc>
          <w:tcPr>
            <w:tcW w:w="4395" w:type="dxa"/>
            <w:tcBorders>
              <w:bottom w:val="nil"/>
            </w:tcBorders>
            <w:vAlign w:val="center"/>
          </w:tcPr>
          <w:p w:rsidR="002063DE" w:rsidRPr="00C268F5" w:rsidRDefault="00D27F27" w:rsidP="00783A12">
            <w:pPr>
              <w:rPr>
                <w:rFonts w:cs="Arial"/>
                <w:bCs/>
              </w:rPr>
            </w:pPr>
            <w:r>
              <w:rPr>
                <w:rFonts w:cs="Arial"/>
                <w:bCs/>
              </w:rPr>
              <w:t>None</w:t>
            </w:r>
          </w:p>
        </w:tc>
      </w:tr>
      <w:tr w:rsidR="00366786" w:rsidRPr="00C268F5" w:rsidTr="00A813B2">
        <w:tblPrEx>
          <w:tblBorders>
            <w:bottom w:val="none" w:sz="0" w:space="0" w:color="auto"/>
          </w:tblBorders>
        </w:tblPrEx>
        <w:tc>
          <w:tcPr>
            <w:tcW w:w="4077" w:type="dxa"/>
          </w:tcPr>
          <w:p w:rsidR="00366786" w:rsidRPr="00C268F5" w:rsidRDefault="00366786" w:rsidP="006D4332">
            <w:pPr>
              <w:rPr>
                <w:rFonts w:cs="Arial"/>
                <w:b/>
                <w:bCs/>
              </w:rPr>
            </w:pPr>
            <w:r w:rsidRPr="00C268F5">
              <w:rPr>
                <w:rFonts w:cs="Arial"/>
                <w:b/>
                <w:bCs/>
              </w:rPr>
              <w:t>Any resource implications for operational services discussed with the Chief Operating Officer</w:t>
            </w:r>
          </w:p>
        </w:tc>
        <w:tc>
          <w:tcPr>
            <w:tcW w:w="4395" w:type="dxa"/>
          </w:tcPr>
          <w:p w:rsidR="00334DAD" w:rsidRPr="00C268F5" w:rsidRDefault="00334DAD" w:rsidP="00366786">
            <w:pPr>
              <w:jc w:val="center"/>
              <w:rPr>
                <w:rFonts w:cs="Arial"/>
                <w:bCs/>
              </w:rPr>
            </w:pPr>
          </w:p>
          <w:p w:rsidR="00366786" w:rsidRPr="00C268F5" w:rsidRDefault="00334DAD" w:rsidP="00366786">
            <w:pPr>
              <w:jc w:val="center"/>
              <w:rPr>
                <w:rFonts w:cs="Arial"/>
                <w:bCs/>
              </w:rPr>
            </w:pPr>
            <w:r w:rsidRPr="00C268F5">
              <w:rPr>
                <w:rFonts w:cs="Arial"/>
                <w:bCs/>
              </w:rPr>
              <w:t>n/a</w:t>
            </w:r>
          </w:p>
        </w:tc>
      </w:tr>
      <w:tr w:rsidR="002063DE" w:rsidRPr="00C268F5" w:rsidTr="00A813B2">
        <w:tc>
          <w:tcPr>
            <w:tcW w:w="4077" w:type="dxa"/>
          </w:tcPr>
          <w:p w:rsidR="002063DE" w:rsidRPr="00C268F5" w:rsidRDefault="002063DE" w:rsidP="00F87A1F">
            <w:pPr>
              <w:jc w:val="both"/>
              <w:rPr>
                <w:rFonts w:cs="Arial"/>
                <w:b/>
                <w:bCs/>
              </w:rPr>
            </w:pPr>
            <w:r w:rsidRPr="00C268F5">
              <w:rPr>
                <w:rFonts w:cs="Arial"/>
                <w:b/>
                <w:bCs/>
              </w:rPr>
              <w:t>Monitoring/audit arrangements included</w:t>
            </w:r>
          </w:p>
        </w:tc>
        <w:tc>
          <w:tcPr>
            <w:tcW w:w="4395" w:type="dxa"/>
            <w:vAlign w:val="center"/>
          </w:tcPr>
          <w:p w:rsidR="002063DE" w:rsidRPr="00C268F5" w:rsidRDefault="00BF6294" w:rsidP="00F87A1F">
            <w:pPr>
              <w:jc w:val="center"/>
              <w:rPr>
                <w:rFonts w:cs="Arial"/>
                <w:bCs/>
              </w:rPr>
            </w:pPr>
            <w:r w:rsidRPr="00C268F5">
              <w:rPr>
                <w:rFonts w:cs="Arial"/>
                <w:bCs/>
              </w:rPr>
              <w:t>See section 7</w:t>
            </w:r>
          </w:p>
        </w:tc>
      </w:tr>
    </w:tbl>
    <w:p w:rsidR="00FF075C" w:rsidRPr="00C268F5" w:rsidRDefault="00FF075C" w:rsidP="00FF075C">
      <w:pPr>
        <w:jc w:val="both"/>
        <w:rPr>
          <w:rFonts w:cs="Arial"/>
          <w:b/>
          <w:bCs/>
        </w:rPr>
      </w:pPr>
    </w:p>
    <w:p w:rsidR="002063DE" w:rsidRPr="00C268F5" w:rsidRDefault="00FF075C" w:rsidP="002063DE">
      <w:pPr>
        <w:jc w:val="both"/>
        <w:rPr>
          <w:rFonts w:cs="Arial"/>
          <w:b/>
          <w:bCs/>
        </w:rPr>
        <w:sectPr w:rsidR="002063DE" w:rsidRPr="00C268F5" w:rsidSect="00C64C27">
          <w:footerReference w:type="even" r:id="rId9"/>
          <w:type w:val="oddPage"/>
          <w:pgSz w:w="11907" w:h="16840" w:code="9"/>
          <w:pgMar w:top="1440" w:right="1797" w:bottom="1440" w:left="1797" w:header="720" w:footer="720" w:gutter="0"/>
          <w:cols w:space="720"/>
          <w:noEndnote/>
          <w:docGrid w:linePitch="326"/>
        </w:sectPr>
      </w:pPr>
      <w:r w:rsidRPr="00C268F5">
        <w:rPr>
          <w:rFonts w:cs="Arial"/>
          <w:b/>
          <w:bCs/>
        </w:rPr>
        <w:t>All policies are copy controlled. When a revision is issued previous versions will be withdrawn. Uncontrolled copies are available but will not be updated on issue of a revision. An electronic copy wi</w:t>
      </w:r>
      <w:r w:rsidR="00BF6294" w:rsidRPr="00C268F5">
        <w:rPr>
          <w:rFonts w:cs="Arial"/>
          <w:b/>
          <w:bCs/>
        </w:rPr>
        <w:t>ll</w:t>
      </w:r>
      <w:r w:rsidRPr="00C268F5">
        <w:rPr>
          <w:rFonts w:cs="Arial"/>
          <w:b/>
          <w:bCs/>
        </w:rPr>
        <w:t xml:space="preserve"> be posted on the Trust Intranet for information.</w:t>
      </w:r>
    </w:p>
    <w:p w:rsidR="00315857" w:rsidRPr="00C268F5" w:rsidRDefault="00315857" w:rsidP="002063DE">
      <w:pPr>
        <w:jc w:val="both"/>
        <w:rPr>
          <w:rFonts w:cs="Arial"/>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37"/>
        <w:gridCol w:w="337"/>
        <w:gridCol w:w="337"/>
        <w:gridCol w:w="337"/>
        <w:gridCol w:w="337"/>
        <w:gridCol w:w="337"/>
        <w:gridCol w:w="337"/>
        <w:gridCol w:w="337"/>
        <w:gridCol w:w="337"/>
        <w:gridCol w:w="337"/>
        <w:gridCol w:w="336"/>
        <w:gridCol w:w="336"/>
        <w:gridCol w:w="336"/>
        <w:gridCol w:w="336"/>
        <w:gridCol w:w="336"/>
        <w:gridCol w:w="336"/>
        <w:gridCol w:w="336"/>
        <w:gridCol w:w="336"/>
        <w:gridCol w:w="336"/>
        <w:gridCol w:w="222"/>
        <w:gridCol w:w="222"/>
        <w:gridCol w:w="339"/>
        <w:gridCol w:w="338"/>
        <w:gridCol w:w="223"/>
        <w:gridCol w:w="565"/>
      </w:tblGrid>
      <w:tr w:rsidR="00315857" w:rsidRPr="00C268F5" w:rsidTr="009C42E3">
        <w:trPr>
          <w:cantSplit/>
        </w:trPr>
        <w:tc>
          <w:tcPr>
            <w:tcW w:w="3567" w:type="pct"/>
            <w:gridSpan w:val="19"/>
            <w:vMerge w:val="restart"/>
          </w:tcPr>
          <w:p w:rsidR="00315857" w:rsidRPr="00C268F5" w:rsidRDefault="00315857" w:rsidP="00330006">
            <w:pPr>
              <w:pStyle w:val="Header"/>
              <w:jc w:val="right"/>
              <w:rPr>
                <w:rFonts w:cs="Arial"/>
                <w:b/>
                <w:color w:val="FF0000"/>
                <w:sz w:val="36"/>
              </w:rPr>
            </w:pPr>
            <w:r w:rsidRPr="00C268F5">
              <w:rPr>
                <w:rFonts w:cs="Arial"/>
                <w:sz w:val="20"/>
              </w:rPr>
              <w:tab/>
            </w:r>
            <w:r w:rsidR="002445BC" w:rsidRPr="00C268F5">
              <w:rPr>
                <w:rFonts w:cs="Arial"/>
                <w:noProof/>
                <w:lang w:eastAsia="en-GB"/>
              </w:rPr>
              <w:drawing>
                <wp:inline distT="0" distB="0" distL="0" distR="0" wp14:anchorId="052C215F" wp14:editId="0908F622">
                  <wp:extent cx="2544445" cy="508635"/>
                  <wp:effectExtent l="19050" t="0" r="825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544445" cy="508635"/>
                          </a:xfrm>
                          <a:prstGeom prst="rect">
                            <a:avLst/>
                          </a:prstGeom>
                          <a:noFill/>
                          <a:ln w="9525">
                            <a:noFill/>
                            <a:miter lim="800000"/>
                            <a:headEnd/>
                            <a:tailEnd/>
                          </a:ln>
                        </pic:spPr>
                      </pic:pic>
                    </a:graphicData>
                  </a:graphic>
                </wp:inline>
              </w:drawing>
            </w:r>
          </w:p>
        </w:tc>
        <w:tc>
          <w:tcPr>
            <w:tcW w:w="188" w:type="pct"/>
          </w:tcPr>
          <w:p w:rsidR="00315857" w:rsidRPr="00C268F5" w:rsidRDefault="00315857" w:rsidP="00977106">
            <w:pPr>
              <w:pStyle w:val="Header"/>
              <w:rPr>
                <w:rFonts w:cs="Arial"/>
                <w:sz w:val="16"/>
              </w:rPr>
            </w:pPr>
          </w:p>
        </w:tc>
        <w:tc>
          <w:tcPr>
            <w:tcW w:w="188" w:type="pct"/>
            <w:tcBorders>
              <w:right w:val="single" w:sz="4" w:space="0" w:color="000000"/>
            </w:tcBorders>
          </w:tcPr>
          <w:p w:rsidR="00315857" w:rsidRPr="00C268F5" w:rsidRDefault="00315857" w:rsidP="00977106">
            <w:pPr>
              <w:pStyle w:val="Header"/>
              <w:rPr>
                <w:rFonts w:cs="Arial"/>
                <w:sz w:val="16"/>
              </w:rPr>
            </w:pPr>
          </w:p>
        </w:tc>
        <w:tc>
          <w:tcPr>
            <w:tcW w:w="375" w:type="pct"/>
            <w:gridSpan w:val="2"/>
            <w:tcBorders>
              <w:top w:val="single" w:sz="4" w:space="0" w:color="000000"/>
              <w:left w:val="single" w:sz="4" w:space="0" w:color="000000"/>
              <w:bottom w:val="single" w:sz="4" w:space="0" w:color="000000"/>
              <w:right w:val="single" w:sz="4" w:space="0" w:color="000000"/>
            </w:tcBorders>
          </w:tcPr>
          <w:p w:rsidR="00315857" w:rsidRPr="00C268F5" w:rsidRDefault="00315857" w:rsidP="00977106">
            <w:pPr>
              <w:pStyle w:val="Header"/>
              <w:jc w:val="center"/>
              <w:rPr>
                <w:rFonts w:cs="Arial"/>
                <w:position w:val="-2"/>
                <w:sz w:val="18"/>
              </w:rPr>
            </w:pPr>
            <w:r w:rsidRPr="00C268F5">
              <w:rPr>
                <w:rFonts w:cs="Arial"/>
                <w:position w:val="-2"/>
                <w:sz w:val="18"/>
              </w:rPr>
              <w:t>policy</w:t>
            </w:r>
          </w:p>
        </w:tc>
        <w:tc>
          <w:tcPr>
            <w:tcW w:w="682" w:type="pct"/>
            <w:gridSpan w:val="2"/>
            <w:tcBorders>
              <w:top w:val="single" w:sz="4" w:space="0" w:color="000000"/>
              <w:left w:val="single" w:sz="4" w:space="0" w:color="000000"/>
              <w:bottom w:val="single" w:sz="4" w:space="0" w:color="000000"/>
              <w:right w:val="single" w:sz="4" w:space="0" w:color="000000"/>
            </w:tcBorders>
            <w:shd w:val="solid" w:color="auto" w:fill="auto"/>
            <w:vAlign w:val="center"/>
          </w:tcPr>
          <w:p w:rsidR="00315857" w:rsidRPr="00C268F5" w:rsidRDefault="0008149E" w:rsidP="00142136">
            <w:pPr>
              <w:pStyle w:val="Header"/>
              <w:jc w:val="center"/>
              <w:rPr>
                <w:rFonts w:cs="Arial"/>
                <w:b/>
                <w:color w:val="FFFFFF"/>
              </w:rPr>
            </w:pPr>
            <w:r w:rsidRPr="00C268F5">
              <w:rPr>
                <w:rFonts w:cs="Arial"/>
                <w:b/>
                <w:color w:val="FFFFFF"/>
              </w:rPr>
              <w:t xml:space="preserve">Corp </w:t>
            </w:r>
            <w:r w:rsidR="00142136">
              <w:rPr>
                <w:rFonts w:cs="Arial"/>
                <w:b/>
                <w:color w:val="FFFFFF"/>
              </w:rPr>
              <w:t>11</w:t>
            </w:r>
          </w:p>
        </w:tc>
      </w:tr>
      <w:tr w:rsidR="00315857" w:rsidRPr="00C268F5" w:rsidTr="009C42E3">
        <w:trPr>
          <w:cantSplit/>
        </w:trPr>
        <w:tc>
          <w:tcPr>
            <w:tcW w:w="3567" w:type="pct"/>
            <w:gridSpan w:val="19"/>
            <w:vMerge/>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Borders>
              <w:right w:val="single" w:sz="4" w:space="0" w:color="000000"/>
            </w:tcBorders>
          </w:tcPr>
          <w:p w:rsidR="00315857" w:rsidRPr="00C268F5" w:rsidRDefault="00315857" w:rsidP="00977106">
            <w:pPr>
              <w:pStyle w:val="Header"/>
              <w:rPr>
                <w:rFonts w:cs="Arial"/>
              </w:rPr>
            </w:pPr>
          </w:p>
        </w:tc>
        <w:tc>
          <w:tcPr>
            <w:tcW w:w="1058" w:type="pct"/>
            <w:gridSpan w:val="4"/>
            <w:tcBorders>
              <w:top w:val="single" w:sz="4" w:space="0" w:color="000000"/>
              <w:left w:val="single" w:sz="4" w:space="0" w:color="000000"/>
              <w:bottom w:val="single" w:sz="4" w:space="0" w:color="000000"/>
              <w:right w:val="single" w:sz="4" w:space="0" w:color="000000"/>
            </w:tcBorders>
          </w:tcPr>
          <w:p w:rsidR="00366786" w:rsidRPr="00C268F5" w:rsidRDefault="00315857" w:rsidP="00977106">
            <w:pPr>
              <w:pStyle w:val="Header"/>
              <w:rPr>
                <w:rFonts w:cs="Arial"/>
                <w:position w:val="-4"/>
                <w:sz w:val="18"/>
              </w:rPr>
            </w:pPr>
            <w:r w:rsidRPr="00C268F5">
              <w:rPr>
                <w:rFonts w:cs="Arial"/>
                <w:position w:val="-4"/>
                <w:sz w:val="18"/>
              </w:rPr>
              <w:t xml:space="preserve">review      </w:t>
            </w:r>
          </w:p>
          <w:p w:rsidR="00366786" w:rsidRPr="00C268F5" w:rsidRDefault="00735DA4" w:rsidP="00142136">
            <w:pPr>
              <w:pStyle w:val="Header"/>
              <w:jc w:val="center"/>
              <w:rPr>
                <w:rFonts w:cs="Arial"/>
                <w:position w:val="-4"/>
                <w:sz w:val="18"/>
              </w:rPr>
            </w:pPr>
            <w:r w:rsidRPr="00C268F5">
              <w:rPr>
                <w:rFonts w:cs="Arial"/>
                <w:position w:val="-4"/>
                <w:sz w:val="18"/>
              </w:rPr>
              <w:t>Q2 FY</w:t>
            </w:r>
            <w:r w:rsidR="0008149E" w:rsidRPr="00C268F5">
              <w:rPr>
                <w:rFonts w:cs="Arial"/>
                <w:position w:val="-4"/>
                <w:sz w:val="18"/>
              </w:rPr>
              <w:t>1</w:t>
            </w:r>
            <w:r w:rsidR="00142136">
              <w:rPr>
                <w:rFonts w:cs="Arial"/>
                <w:position w:val="-4"/>
                <w:sz w:val="18"/>
              </w:rPr>
              <w:t>8</w:t>
            </w:r>
            <w:r w:rsidR="008D3604" w:rsidRPr="00C268F5">
              <w:rPr>
                <w:rFonts w:cs="Arial"/>
                <w:position w:val="-4"/>
                <w:sz w:val="18"/>
              </w:rPr>
              <w:t>/1</w:t>
            </w:r>
            <w:r w:rsidR="00142136">
              <w:rPr>
                <w:rFonts w:cs="Arial"/>
                <w:position w:val="-4"/>
                <w:sz w:val="18"/>
              </w:rPr>
              <w:t>9</w:t>
            </w:r>
          </w:p>
        </w:tc>
      </w:tr>
      <w:tr w:rsidR="00315857" w:rsidRPr="00C268F5" w:rsidTr="009C42E3">
        <w:trPr>
          <w:trHeight w:hRule="exact" w:val="160"/>
        </w:trPr>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Borders>
              <w:top w:val="single" w:sz="4" w:space="0" w:color="000000"/>
            </w:tcBorders>
          </w:tcPr>
          <w:p w:rsidR="00315857" w:rsidRPr="00C268F5" w:rsidRDefault="00315857" w:rsidP="00977106">
            <w:pPr>
              <w:pStyle w:val="Header"/>
              <w:rPr>
                <w:rFonts w:cs="Arial"/>
              </w:rPr>
            </w:pPr>
          </w:p>
        </w:tc>
        <w:tc>
          <w:tcPr>
            <w:tcW w:w="188" w:type="pct"/>
            <w:tcBorders>
              <w:top w:val="single" w:sz="4" w:space="0" w:color="000000"/>
            </w:tcBorders>
          </w:tcPr>
          <w:p w:rsidR="00315857" w:rsidRPr="00C268F5" w:rsidRDefault="00315857" w:rsidP="00977106">
            <w:pPr>
              <w:pStyle w:val="Header"/>
              <w:rPr>
                <w:rFonts w:cs="Arial"/>
              </w:rPr>
            </w:pPr>
          </w:p>
        </w:tc>
        <w:tc>
          <w:tcPr>
            <w:tcW w:w="188" w:type="pct"/>
            <w:tcBorders>
              <w:top w:val="single" w:sz="4" w:space="0" w:color="000000"/>
            </w:tcBorders>
          </w:tcPr>
          <w:p w:rsidR="00315857" w:rsidRPr="00C268F5" w:rsidRDefault="00315857" w:rsidP="00977106">
            <w:pPr>
              <w:pStyle w:val="Header"/>
              <w:rPr>
                <w:rFonts w:cs="Arial"/>
              </w:rPr>
            </w:pPr>
          </w:p>
        </w:tc>
        <w:tc>
          <w:tcPr>
            <w:tcW w:w="494" w:type="pct"/>
            <w:tcBorders>
              <w:top w:val="single" w:sz="4" w:space="0" w:color="000000"/>
            </w:tcBorders>
          </w:tcPr>
          <w:p w:rsidR="00315857" w:rsidRPr="00C268F5" w:rsidRDefault="00315857" w:rsidP="00977106">
            <w:pPr>
              <w:pStyle w:val="Header"/>
              <w:rPr>
                <w:rFonts w:cs="Arial"/>
              </w:rPr>
            </w:pPr>
          </w:p>
        </w:tc>
      </w:tr>
      <w:tr w:rsidR="00315857" w:rsidRPr="00C268F5" w:rsidTr="009C42E3">
        <w:trPr>
          <w:trHeight w:hRule="exact" w:val="160"/>
        </w:trPr>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188" w:type="pct"/>
          </w:tcPr>
          <w:p w:rsidR="00315857" w:rsidRPr="00C268F5" w:rsidRDefault="00315857" w:rsidP="00977106">
            <w:pPr>
              <w:pStyle w:val="Header"/>
              <w:rPr>
                <w:rFonts w:cs="Arial"/>
              </w:rPr>
            </w:pPr>
          </w:p>
        </w:tc>
        <w:tc>
          <w:tcPr>
            <w:tcW w:w="494" w:type="pct"/>
          </w:tcPr>
          <w:p w:rsidR="00315857" w:rsidRPr="00C268F5" w:rsidRDefault="00315857" w:rsidP="00977106">
            <w:pPr>
              <w:pStyle w:val="Header"/>
              <w:rPr>
                <w:rFonts w:cs="Arial"/>
              </w:rPr>
            </w:pPr>
          </w:p>
        </w:tc>
      </w:tr>
      <w:tr w:rsidR="00315857" w:rsidRPr="00C268F5" w:rsidTr="009C42E3">
        <w:trPr>
          <w:trHeight w:hRule="exact" w:val="245"/>
        </w:trPr>
        <w:tc>
          <w:tcPr>
            <w:tcW w:w="1126" w:type="pct"/>
            <w:gridSpan w:val="6"/>
            <w:shd w:val="clear" w:color="008080" w:fill="auto"/>
          </w:tcPr>
          <w:p w:rsidR="00315857" w:rsidRPr="00C268F5" w:rsidRDefault="00315857" w:rsidP="00977106">
            <w:pPr>
              <w:pStyle w:val="Header"/>
              <w:rPr>
                <w:rFonts w:cs="Arial"/>
                <w:b/>
                <w:position w:val="-2"/>
                <w:sz w:val="18"/>
              </w:rPr>
            </w:pPr>
            <w:r w:rsidRPr="00C268F5">
              <w:rPr>
                <w:rFonts w:cs="Arial"/>
                <w:color w:val="000000"/>
                <w:sz w:val="18"/>
              </w:rPr>
              <w:t>Policy applicable to -</w:t>
            </w: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126" w:type="pct"/>
            <w:gridSpan w:val="6"/>
            <w:shd w:val="pct50" w:color="00FFFF" w:fill="auto"/>
          </w:tcPr>
          <w:p w:rsidR="00315857" w:rsidRPr="00C268F5" w:rsidRDefault="00315857" w:rsidP="00977106">
            <w:pPr>
              <w:pStyle w:val="Header"/>
              <w:rPr>
                <w:rFonts w:cs="Arial"/>
                <w:b/>
                <w:position w:val="-2"/>
                <w:sz w:val="16"/>
              </w:rPr>
            </w:pPr>
            <w:r w:rsidRPr="00C268F5">
              <w:rPr>
                <w:rFonts w:cs="Arial"/>
                <w:b/>
                <w:position w:val="-2"/>
                <w:sz w:val="16"/>
              </w:rPr>
              <w:t>All areas</w:t>
            </w:r>
            <w:r w:rsidR="0008149E" w:rsidRPr="00C268F5">
              <w:rPr>
                <w:rFonts w:cs="Arial"/>
                <w:b/>
                <w:position w:val="-2"/>
                <w:sz w:val="16"/>
              </w:rPr>
              <w:t xml:space="preserve">     Yes</w:t>
            </w: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126" w:type="pct"/>
            <w:gridSpan w:val="6"/>
            <w:shd w:val="pct50" w:color="00FFFF" w:fill="auto"/>
          </w:tcPr>
          <w:p w:rsidR="00315857" w:rsidRPr="00C268F5" w:rsidRDefault="00315857" w:rsidP="00977106">
            <w:pPr>
              <w:pStyle w:val="Header"/>
              <w:rPr>
                <w:rFonts w:cs="Arial"/>
                <w:position w:val="-2"/>
              </w:rPr>
            </w:pPr>
            <w:r w:rsidRPr="00C268F5">
              <w:rPr>
                <w:rFonts w:cs="Arial"/>
                <w:position w:val="-2"/>
                <w:sz w:val="16"/>
              </w:rPr>
              <w:t>Specific Areas</w:t>
            </w:r>
          </w:p>
        </w:tc>
        <w:tc>
          <w:tcPr>
            <w:tcW w:w="494" w:type="pct"/>
          </w:tcPr>
          <w:p w:rsidR="00315857" w:rsidRPr="00C268F5" w:rsidRDefault="00315857" w:rsidP="00977106">
            <w:pPr>
              <w:pStyle w:val="Header"/>
              <w:rPr>
                <w:rFonts w:cs="Arial"/>
                <w:position w:val="-2"/>
              </w:rPr>
            </w:pPr>
          </w:p>
        </w:tc>
      </w:tr>
      <w:tr w:rsidR="00315857" w:rsidRPr="00C268F5" w:rsidTr="009C42E3">
        <w:trPr>
          <w:trHeight w:hRule="exact" w:val="226"/>
        </w:trPr>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188" w:type="pct"/>
          </w:tcPr>
          <w:p w:rsidR="00315857" w:rsidRPr="00C268F5" w:rsidRDefault="00315857" w:rsidP="00977106">
            <w:pPr>
              <w:pStyle w:val="Header"/>
              <w:rPr>
                <w:rFonts w:cs="Arial"/>
                <w:position w:val="-2"/>
              </w:rPr>
            </w:pPr>
          </w:p>
        </w:tc>
        <w:tc>
          <w:tcPr>
            <w:tcW w:w="494" w:type="pct"/>
          </w:tcPr>
          <w:p w:rsidR="00315857" w:rsidRPr="00C268F5" w:rsidRDefault="00315857" w:rsidP="00977106">
            <w:pPr>
              <w:pStyle w:val="Header"/>
              <w:rPr>
                <w:rFonts w:cs="Arial"/>
                <w:position w:val="-2"/>
              </w:rPr>
            </w:pPr>
          </w:p>
        </w:tc>
      </w:tr>
      <w:tr w:rsidR="00315857" w:rsidRPr="00C268F5" w:rsidTr="009C42E3">
        <w:trPr>
          <w:cantSplit/>
        </w:trPr>
        <w:tc>
          <w:tcPr>
            <w:tcW w:w="1126" w:type="pct"/>
            <w:gridSpan w:val="6"/>
          </w:tcPr>
          <w:p w:rsidR="00315857" w:rsidRPr="00C268F5" w:rsidRDefault="00315857" w:rsidP="00977106">
            <w:pPr>
              <w:pStyle w:val="Header"/>
              <w:rPr>
                <w:rFonts w:cs="Arial"/>
                <w:b/>
                <w:position w:val="-2"/>
                <w:sz w:val="16"/>
              </w:rPr>
            </w:pPr>
          </w:p>
        </w:tc>
        <w:tc>
          <w:tcPr>
            <w:tcW w:w="3874" w:type="pct"/>
            <w:gridSpan w:val="19"/>
          </w:tcPr>
          <w:p w:rsidR="00315857" w:rsidRPr="00C268F5" w:rsidRDefault="00315857" w:rsidP="00977106">
            <w:pPr>
              <w:pStyle w:val="Header"/>
              <w:rPr>
                <w:rFonts w:cs="Arial"/>
                <w:position w:val="-2"/>
              </w:rPr>
            </w:pPr>
          </w:p>
        </w:tc>
      </w:tr>
      <w:tr w:rsidR="00315857" w:rsidRPr="00C268F5" w:rsidTr="009C42E3">
        <w:tblPrEx>
          <w:tblBorders>
            <w:top w:val="single" w:sz="6" w:space="0" w:color="008080"/>
            <w:left w:val="single" w:sz="6" w:space="0" w:color="008080"/>
            <w:bottom w:val="single" w:sz="6" w:space="0" w:color="008080"/>
            <w:right w:val="single" w:sz="6" w:space="0" w:color="008080"/>
            <w:insideH w:val="none" w:sz="0" w:space="0" w:color="auto"/>
            <w:insideV w:val="none" w:sz="0" w:space="0" w:color="auto"/>
          </w:tblBorders>
        </w:tblPrEx>
        <w:trPr>
          <w:trHeight w:hRule="exact" w:val="778"/>
        </w:trPr>
        <w:tc>
          <w:tcPr>
            <w:tcW w:w="5000" w:type="pct"/>
            <w:gridSpan w:val="25"/>
            <w:tcBorders>
              <w:top w:val="nil"/>
              <w:left w:val="nil"/>
              <w:bottom w:val="nil"/>
              <w:right w:val="nil"/>
            </w:tcBorders>
            <w:shd w:val="solid" w:color="0000FF" w:fill="auto"/>
            <w:vAlign w:val="center"/>
          </w:tcPr>
          <w:p w:rsidR="008E2A16" w:rsidRPr="00C268F5" w:rsidRDefault="00D27F27" w:rsidP="008E2A16">
            <w:pPr>
              <w:pStyle w:val="Header"/>
              <w:jc w:val="center"/>
              <w:rPr>
                <w:rFonts w:cs="Arial"/>
                <w:b/>
                <w:color w:val="FFFFFF"/>
                <w:sz w:val="28"/>
              </w:rPr>
            </w:pPr>
            <w:r>
              <w:rPr>
                <w:rFonts w:cs="Arial"/>
                <w:b/>
                <w:color w:val="FFFFFF"/>
                <w:sz w:val="28"/>
              </w:rPr>
              <w:t>Counter Fraud and Corruption</w:t>
            </w:r>
            <w:r w:rsidR="008E2A16" w:rsidRPr="00C268F5">
              <w:rPr>
                <w:rFonts w:cs="Arial"/>
                <w:b/>
                <w:color w:val="FFFFFF"/>
                <w:sz w:val="28"/>
              </w:rPr>
              <w:t xml:space="preserve"> </w:t>
            </w:r>
            <w:r w:rsidR="0008149E" w:rsidRPr="00C268F5">
              <w:rPr>
                <w:rFonts w:cs="Arial"/>
                <w:b/>
                <w:color w:val="FFFFFF"/>
                <w:sz w:val="28"/>
              </w:rPr>
              <w:t xml:space="preserve">Policy </w:t>
            </w:r>
          </w:p>
          <w:p w:rsidR="00315857" w:rsidRPr="00C268F5" w:rsidRDefault="00315857" w:rsidP="0008149E">
            <w:pPr>
              <w:pStyle w:val="Header"/>
              <w:jc w:val="center"/>
              <w:rPr>
                <w:rFonts w:cs="Arial"/>
                <w:b/>
                <w:color w:val="FFFFFF"/>
                <w:sz w:val="28"/>
              </w:rPr>
            </w:pPr>
          </w:p>
        </w:tc>
      </w:tr>
    </w:tbl>
    <w:p w:rsidR="00315857" w:rsidRPr="00C268F5" w:rsidRDefault="00315857" w:rsidP="00315857">
      <w:pPr>
        <w:rPr>
          <w:rFonts w:cs="Arial"/>
        </w:rPr>
      </w:pPr>
    </w:p>
    <w:p w:rsidR="00315857" w:rsidRPr="00C268F5" w:rsidRDefault="00315857" w:rsidP="00315857">
      <w:pPr>
        <w:rPr>
          <w:rFonts w:cs="Arial"/>
          <w:b/>
          <w:sz w:val="24"/>
          <w:szCs w:val="24"/>
        </w:rPr>
      </w:pPr>
    </w:p>
    <w:tbl>
      <w:tblPr>
        <w:tblW w:w="5000" w:type="pct"/>
        <w:tblLook w:val="0000" w:firstRow="0" w:lastRow="0" w:firstColumn="0" w:lastColumn="0" w:noHBand="0" w:noVBand="0"/>
      </w:tblPr>
      <w:tblGrid>
        <w:gridCol w:w="627"/>
        <w:gridCol w:w="7686"/>
      </w:tblGrid>
      <w:tr w:rsidR="00315857" w:rsidRPr="00C268F5" w:rsidTr="009C42E3">
        <w:tc>
          <w:tcPr>
            <w:tcW w:w="5000" w:type="pct"/>
            <w:gridSpan w:val="2"/>
            <w:shd w:val="clear" w:color="auto" w:fill="0000FF"/>
          </w:tcPr>
          <w:p w:rsidR="00315857" w:rsidRPr="00C268F5" w:rsidRDefault="00977106" w:rsidP="00977106">
            <w:pPr>
              <w:jc w:val="both"/>
              <w:rPr>
                <w:rFonts w:cs="Arial"/>
                <w:b/>
                <w:sz w:val="24"/>
                <w:szCs w:val="24"/>
              </w:rPr>
            </w:pPr>
            <w:r w:rsidRPr="00C268F5">
              <w:rPr>
                <w:rFonts w:cs="Arial"/>
                <w:b/>
              </w:rPr>
              <w:t xml:space="preserve">1         </w:t>
            </w:r>
            <w:r w:rsidR="00315857" w:rsidRPr="00C268F5">
              <w:rPr>
                <w:rFonts w:cs="Arial"/>
                <w:b/>
              </w:rPr>
              <w:t>Aim of Policy</w:t>
            </w:r>
          </w:p>
        </w:tc>
      </w:tr>
      <w:tr w:rsidR="00315857" w:rsidRPr="00C268F5" w:rsidTr="009C42E3">
        <w:tc>
          <w:tcPr>
            <w:tcW w:w="377" w:type="pct"/>
            <w:shd w:val="clear" w:color="auto" w:fill="auto"/>
          </w:tcPr>
          <w:p w:rsidR="00315857" w:rsidRPr="00C268F5" w:rsidRDefault="00315857" w:rsidP="00977106">
            <w:pPr>
              <w:rPr>
                <w:rFonts w:cs="Arial"/>
                <w:sz w:val="20"/>
              </w:rPr>
            </w:pPr>
          </w:p>
        </w:tc>
        <w:tc>
          <w:tcPr>
            <w:tcW w:w="4623" w:type="pct"/>
            <w:shd w:val="clear" w:color="auto" w:fill="auto"/>
          </w:tcPr>
          <w:p w:rsidR="00315857" w:rsidRPr="00C268F5" w:rsidRDefault="00315857" w:rsidP="00330006">
            <w:pPr>
              <w:pStyle w:val="BodyText3"/>
              <w:numPr>
                <w:ilvl w:val="0"/>
                <w:numId w:val="0"/>
              </w:numPr>
              <w:tabs>
                <w:tab w:val="clear" w:pos="90"/>
              </w:tabs>
              <w:ind w:left="252"/>
              <w:rPr>
                <w:rFonts w:cs="Arial"/>
              </w:rPr>
            </w:pPr>
          </w:p>
        </w:tc>
      </w:tr>
      <w:tr w:rsidR="00315857" w:rsidRPr="00C268F5" w:rsidTr="009C42E3">
        <w:tc>
          <w:tcPr>
            <w:tcW w:w="377" w:type="pct"/>
          </w:tcPr>
          <w:p w:rsidR="00315857" w:rsidRPr="00C268F5" w:rsidRDefault="0008149E" w:rsidP="00977106">
            <w:pPr>
              <w:rPr>
                <w:rFonts w:cs="Arial"/>
                <w:sz w:val="20"/>
              </w:rPr>
            </w:pPr>
            <w:r w:rsidRPr="00C268F5">
              <w:rPr>
                <w:rFonts w:cs="Arial"/>
                <w:sz w:val="20"/>
              </w:rPr>
              <w:t>1.1</w:t>
            </w:r>
          </w:p>
        </w:tc>
        <w:tc>
          <w:tcPr>
            <w:tcW w:w="4623" w:type="pct"/>
          </w:tcPr>
          <w:p w:rsidR="00A17D33" w:rsidRPr="00A17D33" w:rsidRDefault="00B509A1" w:rsidP="00A17D33">
            <w:pPr>
              <w:jc w:val="both"/>
              <w:rPr>
                <w:rFonts w:cs="Arial"/>
                <w:sz w:val="20"/>
              </w:rPr>
            </w:pPr>
            <w:r w:rsidRPr="00C268F5">
              <w:rPr>
                <w:rFonts w:cs="Arial"/>
                <w:sz w:val="20"/>
              </w:rPr>
              <w:t>Oxford</w:t>
            </w:r>
            <w:r w:rsidR="0008149E" w:rsidRPr="00C268F5">
              <w:rPr>
                <w:rFonts w:cs="Arial"/>
                <w:sz w:val="20"/>
              </w:rPr>
              <w:t xml:space="preserve"> Health NHS Foundation Trust </w:t>
            </w:r>
            <w:r w:rsidR="00A17D33" w:rsidRPr="00A17D33">
              <w:rPr>
                <w:rFonts w:cs="Arial"/>
                <w:sz w:val="20"/>
              </w:rPr>
              <w:t>(hereinafter referred to as “the Trust”) is committed to ensuring that fraud, bribery or corruption is reduced to the lowest level of risk.   However, where fraud, bribery or corruption does occur the Trust will deal with it in a firm and controlled manner by rigorous investigation of such cases.  An important part of this approach has been the introduction of a Counter Fraud, corruption &amp; Response Plan.</w:t>
            </w:r>
          </w:p>
          <w:p w:rsidR="0008149E" w:rsidRPr="00C268F5" w:rsidRDefault="0008149E" w:rsidP="0008149E">
            <w:pPr>
              <w:jc w:val="both"/>
              <w:rPr>
                <w:rFonts w:cs="Arial"/>
                <w:sz w:val="20"/>
              </w:rPr>
            </w:pPr>
          </w:p>
          <w:p w:rsidR="00315857" w:rsidRPr="00C268F5" w:rsidRDefault="00315857" w:rsidP="00977106">
            <w:pPr>
              <w:ind w:left="72"/>
              <w:jc w:val="both"/>
              <w:rPr>
                <w:rFonts w:cs="Arial"/>
                <w:sz w:val="20"/>
              </w:rPr>
            </w:pPr>
          </w:p>
        </w:tc>
      </w:tr>
      <w:tr w:rsidR="0008149E" w:rsidRPr="00C268F5" w:rsidTr="009C42E3">
        <w:tc>
          <w:tcPr>
            <w:tcW w:w="377" w:type="pct"/>
          </w:tcPr>
          <w:p w:rsidR="0008149E" w:rsidRPr="00C268F5" w:rsidRDefault="0008149E" w:rsidP="00977106">
            <w:pPr>
              <w:rPr>
                <w:rFonts w:cs="Arial"/>
                <w:sz w:val="20"/>
              </w:rPr>
            </w:pPr>
            <w:r w:rsidRPr="00C268F5">
              <w:rPr>
                <w:rFonts w:cs="Arial"/>
                <w:sz w:val="20"/>
              </w:rPr>
              <w:t>1.2</w:t>
            </w:r>
          </w:p>
        </w:tc>
        <w:tc>
          <w:tcPr>
            <w:tcW w:w="4623" w:type="pct"/>
          </w:tcPr>
          <w:p w:rsidR="0008149E" w:rsidRPr="00C268F5" w:rsidRDefault="0008149E" w:rsidP="0008149E">
            <w:pPr>
              <w:jc w:val="both"/>
              <w:rPr>
                <w:rFonts w:cs="Arial"/>
                <w:sz w:val="20"/>
              </w:rPr>
            </w:pPr>
            <w:r w:rsidRPr="00C268F5">
              <w:rPr>
                <w:rFonts w:cs="Arial"/>
                <w:sz w:val="20"/>
              </w:rPr>
              <w:t>Th</w:t>
            </w:r>
            <w:r w:rsidR="00A17D33">
              <w:rPr>
                <w:rFonts w:cs="Arial"/>
                <w:sz w:val="20"/>
              </w:rPr>
              <w:t>e</w:t>
            </w:r>
            <w:r w:rsidR="00A17D33" w:rsidRPr="00A17D33">
              <w:rPr>
                <w:rFonts w:cs="Arial"/>
                <w:sz w:val="20"/>
              </w:rPr>
              <w:t xml:space="preserve"> Trust  is  committed  to  protecting  the  public  money  it  looks  after  and  this  means preventing fraud so that more money goes into health services. This policy applies to all employees  and  may  also  be  used  by  locum,  agency  staff,  contractors  or  suppliers  to report any concerns they may have and where fraud, bribery or corruption does occur the Trust will deal with it in a firm and controlled manner by rigorous investigation of such cases.</w:t>
            </w:r>
          </w:p>
          <w:p w:rsidR="0008149E" w:rsidRPr="00C268F5" w:rsidRDefault="0008149E" w:rsidP="00977106">
            <w:pPr>
              <w:ind w:left="72"/>
              <w:jc w:val="both"/>
              <w:rPr>
                <w:rFonts w:cs="Arial"/>
                <w:sz w:val="20"/>
              </w:rPr>
            </w:pPr>
          </w:p>
        </w:tc>
      </w:tr>
      <w:tr w:rsidR="0008149E" w:rsidRPr="00C268F5" w:rsidTr="009C42E3">
        <w:tc>
          <w:tcPr>
            <w:tcW w:w="377" w:type="pct"/>
          </w:tcPr>
          <w:p w:rsidR="0008149E" w:rsidRPr="00C268F5" w:rsidRDefault="0008149E" w:rsidP="00977106">
            <w:pPr>
              <w:rPr>
                <w:rFonts w:cs="Arial"/>
                <w:sz w:val="20"/>
              </w:rPr>
            </w:pPr>
            <w:r w:rsidRPr="00C268F5">
              <w:rPr>
                <w:rFonts w:cs="Arial"/>
                <w:sz w:val="20"/>
              </w:rPr>
              <w:t>1.3</w:t>
            </w:r>
          </w:p>
        </w:tc>
        <w:tc>
          <w:tcPr>
            <w:tcW w:w="4623" w:type="pct"/>
          </w:tcPr>
          <w:p w:rsidR="0008149E" w:rsidRPr="00C268F5" w:rsidRDefault="0008149E" w:rsidP="0008149E">
            <w:pPr>
              <w:jc w:val="both"/>
              <w:rPr>
                <w:rFonts w:cs="Arial"/>
                <w:sz w:val="20"/>
              </w:rPr>
            </w:pPr>
            <w:r w:rsidRPr="00C268F5">
              <w:rPr>
                <w:rFonts w:cs="Arial"/>
                <w:sz w:val="20"/>
              </w:rPr>
              <w:t xml:space="preserve">The Trust </w:t>
            </w:r>
            <w:r w:rsidR="00A17D33" w:rsidRPr="00A17D33">
              <w:rPr>
                <w:rFonts w:cs="Arial"/>
                <w:sz w:val="20"/>
              </w:rPr>
              <w:t>endorses the NHS National Counter Fraud Strategy and has complied with Directions contained within the National Standard Commissioning Contract by nominating a Local Counter Fraud Specialist (LCFS).</w:t>
            </w:r>
          </w:p>
          <w:p w:rsidR="0008149E" w:rsidRPr="00C268F5" w:rsidRDefault="0008149E" w:rsidP="00977106">
            <w:pPr>
              <w:ind w:left="72"/>
              <w:jc w:val="both"/>
              <w:rPr>
                <w:rFonts w:cs="Arial"/>
                <w:sz w:val="20"/>
              </w:rPr>
            </w:pPr>
          </w:p>
        </w:tc>
      </w:tr>
      <w:tr w:rsidR="0008149E" w:rsidRPr="00C268F5" w:rsidTr="009C42E3">
        <w:tc>
          <w:tcPr>
            <w:tcW w:w="377" w:type="pct"/>
          </w:tcPr>
          <w:p w:rsidR="0008149E" w:rsidRPr="00C268F5" w:rsidRDefault="0008149E" w:rsidP="00A17D33">
            <w:pPr>
              <w:rPr>
                <w:rFonts w:cs="Arial"/>
                <w:sz w:val="20"/>
              </w:rPr>
            </w:pPr>
            <w:r w:rsidRPr="00C268F5">
              <w:rPr>
                <w:rFonts w:cs="Arial"/>
                <w:sz w:val="20"/>
              </w:rPr>
              <w:t>1.</w:t>
            </w:r>
            <w:r w:rsidR="00A17D33">
              <w:rPr>
                <w:rFonts w:cs="Arial"/>
                <w:sz w:val="20"/>
              </w:rPr>
              <w:t>4</w:t>
            </w:r>
          </w:p>
        </w:tc>
        <w:tc>
          <w:tcPr>
            <w:tcW w:w="4623" w:type="pct"/>
          </w:tcPr>
          <w:p w:rsidR="0008149E" w:rsidRPr="00C268F5" w:rsidRDefault="0008149E" w:rsidP="0008149E">
            <w:pPr>
              <w:overflowPunct/>
              <w:autoSpaceDE/>
              <w:autoSpaceDN/>
              <w:adjustRightInd/>
              <w:jc w:val="both"/>
              <w:textAlignment w:val="auto"/>
              <w:rPr>
                <w:rFonts w:cs="Arial"/>
                <w:sz w:val="20"/>
              </w:rPr>
            </w:pPr>
            <w:r w:rsidRPr="00C268F5">
              <w:rPr>
                <w:rFonts w:cs="Arial"/>
                <w:sz w:val="20"/>
              </w:rPr>
              <w:t>The aims and objectives of this policy are:</w:t>
            </w:r>
          </w:p>
          <w:p w:rsidR="009C42E3" w:rsidRDefault="00A17D33" w:rsidP="00A17D33">
            <w:pPr>
              <w:numPr>
                <w:ilvl w:val="0"/>
                <w:numId w:val="3"/>
              </w:numPr>
              <w:tabs>
                <w:tab w:val="clear" w:pos="720"/>
                <w:tab w:val="num" w:pos="252"/>
              </w:tabs>
              <w:overflowPunct/>
              <w:autoSpaceDE/>
              <w:autoSpaceDN/>
              <w:adjustRightInd/>
              <w:ind w:left="252" w:hanging="240"/>
              <w:jc w:val="both"/>
              <w:textAlignment w:val="auto"/>
              <w:rPr>
                <w:rFonts w:cs="Arial"/>
                <w:sz w:val="20"/>
              </w:rPr>
            </w:pPr>
            <w:r>
              <w:rPr>
                <w:rFonts w:cs="Arial"/>
                <w:sz w:val="20"/>
              </w:rPr>
              <w:t>the policy applies to all employees, locum and agency staff and contractors</w:t>
            </w:r>
          </w:p>
          <w:p w:rsidR="00A17D33" w:rsidRPr="00C268F5" w:rsidRDefault="00A17D33" w:rsidP="00A17D33">
            <w:pPr>
              <w:numPr>
                <w:ilvl w:val="0"/>
                <w:numId w:val="3"/>
              </w:numPr>
              <w:tabs>
                <w:tab w:val="clear" w:pos="720"/>
                <w:tab w:val="num" w:pos="252"/>
              </w:tabs>
              <w:overflowPunct/>
              <w:autoSpaceDE/>
              <w:autoSpaceDN/>
              <w:adjustRightInd/>
              <w:ind w:left="252" w:hanging="240"/>
              <w:jc w:val="both"/>
              <w:textAlignment w:val="auto"/>
              <w:rPr>
                <w:rFonts w:cs="Arial"/>
                <w:sz w:val="20"/>
              </w:rPr>
            </w:pPr>
          </w:p>
        </w:tc>
      </w:tr>
      <w:tr w:rsidR="00315857" w:rsidRPr="00C268F5" w:rsidTr="009C42E3">
        <w:tc>
          <w:tcPr>
            <w:tcW w:w="377" w:type="pct"/>
          </w:tcPr>
          <w:p w:rsidR="00315857" w:rsidRPr="00C268F5" w:rsidRDefault="00315857" w:rsidP="00977106">
            <w:pPr>
              <w:rPr>
                <w:rFonts w:cs="Arial"/>
                <w:sz w:val="20"/>
              </w:rPr>
            </w:pPr>
          </w:p>
        </w:tc>
        <w:tc>
          <w:tcPr>
            <w:tcW w:w="4623" w:type="pct"/>
          </w:tcPr>
          <w:p w:rsidR="00315857" w:rsidRPr="00C268F5" w:rsidRDefault="00315857" w:rsidP="00977106">
            <w:pPr>
              <w:jc w:val="both"/>
              <w:rPr>
                <w:rFonts w:cs="Arial"/>
                <w:sz w:val="20"/>
              </w:rPr>
            </w:pPr>
          </w:p>
        </w:tc>
      </w:tr>
      <w:tr w:rsidR="00315857" w:rsidRPr="00C268F5" w:rsidTr="009C42E3">
        <w:trPr>
          <w:cantSplit/>
          <w:trHeight w:hRule="exact" w:val="360"/>
        </w:trPr>
        <w:tc>
          <w:tcPr>
            <w:tcW w:w="5000" w:type="pct"/>
            <w:gridSpan w:val="2"/>
            <w:shd w:val="pct20" w:color="0000FF" w:fill="0000FF"/>
            <w:vAlign w:val="center"/>
          </w:tcPr>
          <w:p w:rsidR="00315857" w:rsidRPr="00C268F5" w:rsidRDefault="00315857" w:rsidP="00A17D33">
            <w:pPr>
              <w:jc w:val="both"/>
              <w:rPr>
                <w:rFonts w:cs="Arial"/>
                <w:b/>
              </w:rPr>
            </w:pPr>
            <w:r w:rsidRPr="00C268F5">
              <w:rPr>
                <w:rFonts w:cs="Arial"/>
                <w:b/>
              </w:rPr>
              <w:t>2</w:t>
            </w:r>
            <w:r w:rsidRPr="00C268F5">
              <w:rPr>
                <w:rFonts w:cs="Arial"/>
                <w:b/>
              </w:rPr>
              <w:tab/>
            </w:r>
            <w:r w:rsidR="00A17D33">
              <w:rPr>
                <w:rFonts w:cs="Arial"/>
                <w:b/>
              </w:rPr>
              <w:t>Definitions</w:t>
            </w:r>
          </w:p>
        </w:tc>
      </w:tr>
      <w:tr w:rsidR="00315857" w:rsidRPr="00C268F5" w:rsidTr="009C42E3">
        <w:tc>
          <w:tcPr>
            <w:tcW w:w="377" w:type="pct"/>
          </w:tcPr>
          <w:p w:rsidR="009C42E3" w:rsidRPr="00C268F5" w:rsidRDefault="009C42E3" w:rsidP="00977106">
            <w:pPr>
              <w:rPr>
                <w:rFonts w:cs="Arial"/>
                <w:sz w:val="20"/>
              </w:rPr>
            </w:pPr>
          </w:p>
          <w:p w:rsidR="00315857" w:rsidRPr="00C268F5" w:rsidRDefault="00D526C2" w:rsidP="00977106">
            <w:pPr>
              <w:rPr>
                <w:rFonts w:cs="Arial"/>
                <w:sz w:val="20"/>
              </w:rPr>
            </w:pPr>
            <w:r w:rsidRPr="00C268F5">
              <w:rPr>
                <w:rFonts w:cs="Arial"/>
                <w:sz w:val="20"/>
              </w:rPr>
              <w:t>2.1</w:t>
            </w:r>
          </w:p>
        </w:tc>
        <w:tc>
          <w:tcPr>
            <w:tcW w:w="4623" w:type="pct"/>
          </w:tcPr>
          <w:p w:rsidR="009C42E3" w:rsidRPr="00C268F5" w:rsidRDefault="009C42E3" w:rsidP="00D526C2">
            <w:pPr>
              <w:jc w:val="both"/>
              <w:rPr>
                <w:rFonts w:cs="Arial"/>
                <w:sz w:val="20"/>
              </w:rPr>
            </w:pPr>
          </w:p>
          <w:p w:rsidR="009C42E3" w:rsidRDefault="00DC088D" w:rsidP="00DC088D">
            <w:pPr>
              <w:jc w:val="both"/>
              <w:rPr>
                <w:rFonts w:cs="Arial"/>
                <w:sz w:val="20"/>
              </w:rPr>
            </w:pPr>
            <w:r>
              <w:rPr>
                <w:rFonts w:cs="Arial"/>
                <w:sz w:val="20"/>
              </w:rPr>
              <w:t>Fraud;</w:t>
            </w:r>
          </w:p>
          <w:p w:rsidR="00DC088D" w:rsidRPr="00DC088D" w:rsidRDefault="00DC088D" w:rsidP="00DC088D">
            <w:pPr>
              <w:jc w:val="both"/>
              <w:rPr>
                <w:rFonts w:cs="Arial"/>
                <w:sz w:val="20"/>
              </w:rPr>
            </w:pPr>
            <w:r w:rsidRPr="00DC088D">
              <w:rPr>
                <w:rFonts w:cs="Arial"/>
                <w:sz w:val="20"/>
              </w:rPr>
              <w:t>Fraud can be defined as a dishonest act to cause or attempt to cause a loss, or expose to a risk of loss, or gain for themselves, or another, by, either:</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 xml:space="preserve"> (1) Making a false statement;</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 xml:space="preserve"> (2) Failing to disclose information; or;</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 xml:space="preserve"> (3) Abusing ones position.</w:t>
            </w:r>
          </w:p>
          <w:p w:rsidR="00DC088D" w:rsidRPr="00DC088D" w:rsidRDefault="00DC088D" w:rsidP="00DC088D">
            <w:pPr>
              <w:jc w:val="both"/>
              <w:rPr>
                <w:rFonts w:cs="Arial"/>
                <w:sz w:val="20"/>
              </w:rPr>
            </w:pP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The Fraud Act 2006 (</w:t>
            </w:r>
            <w:r w:rsidRPr="00DC088D">
              <w:rPr>
                <w:rFonts w:cs="Arial"/>
                <w:i/>
                <w:sz w:val="20"/>
              </w:rPr>
              <w:t>see Appendix 3</w:t>
            </w:r>
            <w:r w:rsidRPr="00DC088D">
              <w:rPr>
                <w:rFonts w:cs="Arial"/>
                <w:sz w:val="20"/>
              </w:rPr>
              <w:t>) came into force on the 15 January 2007 and, therefore, is applicable for offences occurring on or after that date.</w:t>
            </w:r>
          </w:p>
          <w:p w:rsidR="00DC088D" w:rsidRPr="00DC088D" w:rsidRDefault="00DC088D" w:rsidP="00DC088D">
            <w:pPr>
              <w:jc w:val="both"/>
              <w:rPr>
                <w:rFonts w:cs="Arial"/>
                <w:sz w:val="20"/>
              </w:rPr>
            </w:pPr>
          </w:p>
          <w:p w:rsidR="00DC088D" w:rsidRDefault="00DC088D" w:rsidP="00DC088D">
            <w:pPr>
              <w:jc w:val="both"/>
              <w:rPr>
                <w:rFonts w:cs="Arial"/>
                <w:sz w:val="20"/>
              </w:rPr>
            </w:pPr>
            <w:r w:rsidRPr="00DC088D">
              <w:rPr>
                <w:rFonts w:cs="Arial"/>
                <w:sz w:val="20"/>
              </w:rPr>
              <w:t xml:space="preserve">As  the  Fraud  Act  2006  became  law  on  15  January  2007,  previous  legislation must still be applied to offences occurring before this date. Before, the Fraud Act, </w:t>
            </w:r>
            <w:r w:rsidRPr="00DC088D">
              <w:rPr>
                <w:rFonts w:cs="Arial"/>
                <w:sz w:val="20"/>
              </w:rPr>
              <w:lastRenderedPageBreak/>
              <w:t>there was no legal definition of fraud, but the generally held view was that fraud before this date is:</w:t>
            </w:r>
          </w:p>
          <w:p w:rsidR="00DC088D" w:rsidRPr="00DC088D" w:rsidRDefault="00DC088D" w:rsidP="00DC088D">
            <w:pPr>
              <w:jc w:val="both"/>
              <w:rPr>
                <w:rFonts w:cs="Arial"/>
                <w:sz w:val="20"/>
              </w:rPr>
            </w:pPr>
            <w:r w:rsidRPr="00DC088D">
              <w:rPr>
                <w:rFonts w:cs="Arial"/>
                <w:sz w:val="20"/>
              </w:rPr>
              <w:t>Fraud can be defined as a dishonest act to cause or attempt to cause a loss, or expose to a risk of loss, or gain for themselves, or another, by, either:</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 xml:space="preserve"> (1) Making a false statement;</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 xml:space="preserve"> (2) Failing to disclose information; or;</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 xml:space="preserve"> (3) Abusing ones position.</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The Fraud Act 2006 (see Appendix 3) came into force on the 15 January 2007 and, therefore, is applicable for offences occurring on or after that date.</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As  the  Fraud  Act  2006  became  law  on  15  January  2007,  previous  legislation must still be applied to offences occurring before this date. Before, the Fraud Act, there was no legal definition of fraud, but the generally held view was that fraud before this date is:</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‘Causing  loss  or  making  a  gain  at  the  expense  of  someone  by  deception  and dishonest means’ (Fraud Review 2005:23).</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As  there  was  no  specific  law  for  fraud,  fraudulent behaviour  encompasses  a variety  of  offences  contrary to numerous  legislation  which  can  be  used  to prosecute fraud, such</w:t>
            </w:r>
            <w:r w:rsidRPr="00DC088D">
              <w:rPr>
                <w:rFonts w:cs="Arial"/>
                <w:sz w:val="20"/>
              </w:rPr>
              <w:tab/>
              <w:t xml:space="preserve"> as: Theft Acts 1968, 1978, 1996; Forgery and Counterfeiting Act 1981; Criminal Attempts Act 1981; Conspiracy to defraud etc.</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Fraud is also a civil law violation known as tort (a civil wrong for which the law provides a remedy). A  civil  fraud  typically  involves  the  act  of  making  a  false representation of a fact susceptible of actual knowledge which is relied upon by another person, to that person's detriment.</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There is no one type of NHS fraud – there is in fact an enormous variation in the types of fraud that are committed, as there are in the people who commit them. Among the more recurrent kinds of fraud are:</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w:t>
            </w:r>
            <w:r w:rsidRPr="00DC088D">
              <w:rPr>
                <w:rFonts w:cs="Arial"/>
                <w:sz w:val="20"/>
              </w:rPr>
              <w:tab/>
              <w:t>Timesheet fraud (e.g. staff and professionals claiming money for shifts they have not worked).</w:t>
            </w:r>
          </w:p>
          <w:p w:rsidR="00DC088D" w:rsidRPr="00DC088D" w:rsidRDefault="00DC088D" w:rsidP="00DC088D">
            <w:pPr>
              <w:jc w:val="both"/>
              <w:rPr>
                <w:rFonts w:cs="Arial"/>
                <w:sz w:val="20"/>
              </w:rPr>
            </w:pPr>
            <w:r w:rsidRPr="00DC088D">
              <w:rPr>
                <w:rFonts w:cs="Arial"/>
                <w:sz w:val="20"/>
              </w:rPr>
              <w:t>•</w:t>
            </w:r>
            <w:r w:rsidRPr="00DC088D">
              <w:rPr>
                <w:rFonts w:cs="Arial"/>
                <w:sz w:val="20"/>
              </w:rPr>
              <w:tab/>
              <w:t>False expense claims (e.g. false travel or subsistence claims).</w:t>
            </w:r>
          </w:p>
          <w:p w:rsidR="00DC088D" w:rsidRPr="00DC088D" w:rsidRDefault="00DC088D" w:rsidP="00DC088D">
            <w:pPr>
              <w:jc w:val="both"/>
              <w:rPr>
                <w:rFonts w:cs="Arial"/>
                <w:sz w:val="20"/>
              </w:rPr>
            </w:pPr>
            <w:r w:rsidRPr="00DC088D">
              <w:rPr>
                <w:rFonts w:cs="Arial"/>
                <w:sz w:val="20"/>
              </w:rPr>
              <w:t>•</w:t>
            </w:r>
            <w:r w:rsidRPr="00DC088D">
              <w:rPr>
                <w:rFonts w:cs="Arial"/>
                <w:sz w:val="20"/>
              </w:rPr>
              <w:tab/>
              <w:t>Fraudulent job applications, (e.g. false qualifications or immigration status).</w:t>
            </w:r>
          </w:p>
          <w:p w:rsidR="00DC088D" w:rsidRPr="00DC088D" w:rsidRDefault="00DC088D" w:rsidP="00DC088D">
            <w:pPr>
              <w:jc w:val="both"/>
              <w:rPr>
                <w:rFonts w:cs="Arial"/>
                <w:sz w:val="20"/>
              </w:rPr>
            </w:pPr>
            <w:r w:rsidRPr="00DC088D">
              <w:rPr>
                <w:rFonts w:cs="Arial"/>
                <w:sz w:val="20"/>
              </w:rPr>
              <w:t>•</w:t>
            </w:r>
            <w:r w:rsidRPr="00DC088D">
              <w:rPr>
                <w:rFonts w:cs="Arial"/>
                <w:sz w:val="20"/>
              </w:rPr>
              <w:tab/>
              <w:t>Working whilst sick (e.g. usually working for another organisation without informing the Trust).</w:t>
            </w:r>
          </w:p>
          <w:p w:rsidR="00DC088D" w:rsidRPr="00DC088D" w:rsidRDefault="00DC088D" w:rsidP="00DC088D">
            <w:pPr>
              <w:jc w:val="both"/>
              <w:rPr>
                <w:rFonts w:cs="Arial"/>
                <w:sz w:val="20"/>
              </w:rPr>
            </w:pPr>
            <w:r w:rsidRPr="00DC088D">
              <w:rPr>
                <w:rFonts w:cs="Arial"/>
                <w:sz w:val="20"/>
              </w:rPr>
              <w:t>•</w:t>
            </w:r>
            <w:r w:rsidRPr="00DC088D">
              <w:rPr>
                <w:rFonts w:cs="Arial"/>
                <w:sz w:val="20"/>
              </w:rPr>
              <w:tab/>
              <w:t>Procurement Fraud (e.g. bid rigging/splitting; false invoices from bogus suppliers for non-existent services; collusion between suppliers; purchase order and contract variation orders).</w:t>
            </w:r>
          </w:p>
          <w:p w:rsidR="00DC088D" w:rsidRPr="00DC088D" w:rsidRDefault="00DC088D" w:rsidP="00DC088D">
            <w:pPr>
              <w:jc w:val="both"/>
              <w:rPr>
                <w:rFonts w:cs="Arial"/>
                <w:sz w:val="20"/>
              </w:rPr>
            </w:pPr>
            <w:r w:rsidRPr="00DC088D">
              <w:rPr>
                <w:rFonts w:cs="Arial"/>
                <w:sz w:val="20"/>
              </w:rPr>
              <w:t>•</w:t>
            </w:r>
            <w:r w:rsidRPr="00DC088D">
              <w:rPr>
                <w:rFonts w:cs="Arial"/>
                <w:sz w:val="20"/>
              </w:rPr>
              <w:tab/>
              <w:t>Patient Fraud (e.g. false travel claims; fraudulently claiming exemptions for pharmaceutical charges).</w:t>
            </w:r>
          </w:p>
          <w:p w:rsidR="00DC088D" w:rsidRPr="00DC088D" w:rsidRDefault="00DC088D" w:rsidP="00DC088D">
            <w:pPr>
              <w:jc w:val="both"/>
              <w:rPr>
                <w:rFonts w:cs="Arial"/>
                <w:sz w:val="20"/>
              </w:rPr>
            </w:pPr>
            <w:r w:rsidRPr="00DC088D">
              <w:rPr>
                <w:rFonts w:cs="Arial"/>
                <w:sz w:val="20"/>
              </w:rPr>
              <w:t>•</w:t>
            </w:r>
            <w:r w:rsidRPr="00DC088D">
              <w:rPr>
                <w:rFonts w:cs="Arial"/>
                <w:sz w:val="20"/>
              </w:rPr>
              <w:tab/>
              <w:t>Unauthorised use of NHS facilities or equipment, e.g. use of Trust-issued Mobile Phones for personal calls, use of clinic facilities for private practice.</w:t>
            </w:r>
          </w:p>
          <w:p w:rsidR="00DC088D" w:rsidRPr="00DC088D" w:rsidRDefault="00DC088D" w:rsidP="00DC088D">
            <w:pPr>
              <w:jc w:val="both"/>
              <w:rPr>
                <w:rFonts w:cs="Arial"/>
                <w:sz w:val="20"/>
              </w:rPr>
            </w:pPr>
            <w:r w:rsidRPr="00DC088D">
              <w:rPr>
                <w:rFonts w:cs="Arial"/>
                <w:sz w:val="20"/>
              </w:rPr>
              <w:t>•</w:t>
            </w:r>
            <w:r w:rsidRPr="00DC088D">
              <w:rPr>
                <w:rFonts w:cs="Arial"/>
                <w:sz w:val="20"/>
              </w:rPr>
              <w:tab/>
              <w:t>Advertising scams (e.g. false invoices for placing adverts in publications).</w:t>
            </w:r>
          </w:p>
          <w:p w:rsidR="00DC088D" w:rsidRPr="00DC088D" w:rsidRDefault="00DC088D" w:rsidP="00DC088D">
            <w:pPr>
              <w:jc w:val="both"/>
              <w:rPr>
                <w:rFonts w:cs="Arial"/>
                <w:sz w:val="20"/>
              </w:rPr>
            </w:pPr>
          </w:p>
          <w:p w:rsidR="00DC088D" w:rsidRPr="00C268F5" w:rsidRDefault="00DC088D" w:rsidP="00DC088D">
            <w:pPr>
              <w:jc w:val="both"/>
              <w:rPr>
                <w:rFonts w:cs="Arial"/>
                <w:sz w:val="20"/>
              </w:rPr>
            </w:pPr>
          </w:p>
        </w:tc>
      </w:tr>
      <w:tr w:rsidR="00DC088D" w:rsidRPr="00C268F5" w:rsidTr="009C42E3">
        <w:tc>
          <w:tcPr>
            <w:tcW w:w="377" w:type="pct"/>
          </w:tcPr>
          <w:p w:rsidR="00DC088D" w:rsidRPr="00C268F5" w:rsidRDefault="00DC088D" w:rsidP="00977106">
            <w:pPr>
              <w:rPr>
                <w:rFonts w:cs="Arial"/>
                <w:sz w:val="20"/>
              </w:rPr>
            </w:pPr>
            <w:r>
              <w:rPr>
                <w:rFonts w:cs="Arial"/>
                <w:sz w:val="20"/>
              </w:rPr>
              <w:lastRenderedPageBreak/>
              <w:t>2.2</w:t>
            </w:r>
          </w:p>
        </w:tc>
        <w:tc>
          <w:tcPr>
            <w:tcW w:w="4623" w:type="pct"/>
          </w:tcPr>
          <w:p w:rsidR="00DC088D" w:rsidRPr="00DC088D" w:rsidRDefault="00DC088D" w:rsidP="00DC088D">
            <w:pPr>
              <w:jc w:val="both"/>
              <w:rPr>
                <w:rFonts w:cs="Arial"/>
                <w:b/>
                <w:sz w:val="20"/>
              </w:rPr>
            </w:pPr>
            <w:r w:rsidRPr="00DC088D">
              <w:rPr>
                <w:rFonts w:cs="Arial"/>
                <w:b/>
                <w:sz w:val="20"/>
              </w:rPr>
              <w:t xml:space="preserve">Bribery &amp; Corruption </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The Bribery Act 2010 (</w:t>
            </w:r>
            <w:r w:rsidRPr="00DC088D">
              <w:rPr>
                <w:rFonts w:cs="Arial"/>
                <w:i/>
                <w:sz w:val="20"/>
              </w:rPr>
              <w:t>see Appendix 3</w:t>
            </w:r>
            <w:r w:rsidRPr="00DC088D">
              <w:rPr>
                <w:rFonts w:cs="Arial"/>
                <w:sz w:val="20"/>
              </w:rPr>
              <w:t>) replaces the fragmented and complex offences at common law and in the Prevention of Corruption Acts 1889-1916.</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The Act creates four categories of offence, which address the following:</w:t>
            </w:r>
          </w:p>
          <w:p w:rsidR="00DC088D" w:rsidRPr="00DC088D" w:rsidRDefault="00DC088D" w:rsidP="00DC088D">
            <w:pPr>
              <w:jc w:val="both"/>
              <w:rPr>
                <w:rFonts w:cs="Arial"/>
                <w:sz w:val="20"/>
              </w:rPr>
            </w:pPr>
          </w:p>
          <w:p w:rsidR="00DC088D" w:rsidRPr="00DC088D" w:rsidRDefault="00DC088D" w:rsidP="00DC088D">
            <w:pPr>
              <w:numPr>
                <w:ilvl w:val="1"/>
                <w:numId w:val="33"/>
              </w:numPr>
              <w:jc w:val="both"/>
              <w:rPr>
                <w:rFonts w:cs="Arial"/>
                <w:sz w:val="20"/>
              </w:rPr>
            </w:pPr>
            <w:r w:rsidRPr="00DC088D">
              <w:rPr>
                <w:rFonts w:cs="Arial"/>
                <w:sz w:val="20"/>
              </w:rPr>
              <w:t>Offering, promising or giving a bribe to another person;</w:t>
            </w:r>
          </w:p>
          <w:p w:rsidR="00DC088D" w:rsidRPr="00DC088D" w:rsidRDefault="00DC088D" w:rsidP="00DC088D">
            <w:pPr>
              <w:numPr>
                <w:ilvl w:val="1"/>
                <w:numId w:val="33"/>
              </w:numPr>
              <w:jc w:val="both"/>
              <w:rPr>
                <w:rFonts w:cs="Arial"/>
                <w:sz w:val="20"/>
              </w:rPr>
            </w:pPr>
            <w:r w:rsidRPr="00DC088D">
              <w:rPr>
                <w:rFonts w:cs="Arial"/>
                <w:sz w:val="20"/>
              </w:rPr>
              <w:lastRenderedPageBreak/>
              <w:t>Requesting, agreeing to receive or accepting a bribe from another person;</w:t>
            </w:r>
          </w:p>
          <w:p w:rsidR="00DC088D" w:rsidRPr="00DC088D" w:rsidRDefault="00DC088D" w:rsidP="00DC088D">
            <w:pPr>
              <w:numPr>
                <w:ilvl w:val="1"/>
                <w:numId w:val="33"/>
              </w:numPr>
              <w:jc w:val="both"/>
              <w:rPr>
                <w:rFonts w:cs="Arial"/>
                <w:sz w:val="20"/>
              </w:rPr>
            </w:pPr>
            <w:r w:rsidRPr="00DC088D">
              <w:rPr>
                <w:rFonts w:cs="Arial"/>
                <w:sz w:val="20"/>
              </w:rPr>
              <w:t>Bribing a foreign official; and</w:t>
            </w:r>
          </w:p>
          <w:p w:rsidR="00DC088D" w:rsidRPr="00DC088D" w:rsidRDefault="00DC088D" w:rsidP="00DC088D">
            <w:pPr>
              <w:numPr>
                <w:ilvl w:val="1"/>
                <w:numId w:val="33"/>
              </w:numPr>
              <w:jc w:val="both"/>
              <w:rPr>
                <w:rFonts w:cs="Arial"/>
                <w:sz w:val="20"/>
              </w:rPr>
            </w:pPr>
            <w:r w:rsidRPr="00DC088D">
              <w:rPr>
                <w:rFonts w:cs="Arial"/>
                <w:sz w:val="20"/>
              </w:rPr>
              <w:t>A corporate offence of failing to prevent bribery.</w:t>
            </w:r>
          </w:p>
          <w:p w:rsidR="00DC088D" w:rsidRPr="00DC088D" w:rsidRDefault="00DC088D" w:rsidP="00DC088D">
            <w:pPr>
              <w:jc w:val="both"/>
              <w:rPr>
                <w:rFonts w:cs="Arial"/>
                <w:sz w:val="20"/>
              </w:rPr>
            </w:pPr>
          </w:p>
          <w:p w:rsidR="00DC088D" w:rsidRPr="00DC088D" w:rsidRDefault="00DC088D" w:rsidP="00DC088D">
            <w:pPr>
              <w:jc w:val="both"/>
              <w:rPr>
                <w:rFonts w:cs="Arial"/>
                <w:sz w:val="20"/>
              </w:rPr>
            </w:pPr>
            <w:r w:rsidRPr="00DC088D">
              <w:rPr>
                <w:rFonts w:cs="Arial"/>
                <w:sz w:val="20"/>
              </w:rPr>
              <w:t>Under   the   new corporate   offence,   a   commercial organisation (including a Foundation Trust) is now liable for the activities of associated third parties as well as its own staff, and corporate ignorance offers no protection from prosecution. The  only  defence  is  that  it  ‘had  in  place  adequate  procedures  designed  to prevent a person associated with it from undertaking such conduct’.</w:t>
            </w:r>
          </w:p>
          <w:p w:rsidR="00DC088D" w:rsidRPr="00C268F5" w:rsidRDefault="00DC088D" w:rsidP="00D526C2">
            <w:pPr>
              <w:jc w:val="both"/>
              <w:rPr>
                <w:rFonts w:cs="Arial"/>
                <w:sz w:val="20"/>
              </w:rPr>
            </w:pPr>
          </w:p>
        </w:tc>
      </w:tr>
      <w:tr w:rsidR="00315857" w:rsidRPr="00C268F5" w:rsidTr="009C42E3">
        <w:trPr>
          <w:cantSplit/>
          <w:trHeight w:hRule="exact" w:val="360"/>
        </w:trPr>
        <w:tc>
          <w:tcPr>
            <w:tcW w:w="5000" w:type="pct"/>
            <w:gridSpan w:val="2"/>
            <w:shd w:val="pct20" w:color="0000FF" w:fill="0000FF"/>
            <w:vAlign w:val="center"/>
          </w:tcPr>
          <w:p w:rsidR="00315857" w:rsidRPr="00C268F5" w:rsidRDefault="00315857" w:rsidP="00AF05C9">
            <w:pPr>
              <w:jc w:val="both"/>
              <w:rPr>
                <w:rFonts w:cs="Arial"/>
                <w:b/>
              </w:rPr>
            </w:pPr>
            <w:r w:rsidRPr="00C268F5">
              <w:rPr>
                <w:rFonts w:cs="Arial"/>
                <w:b/>
              </w:rPr>
              <w:lastRenderedPageBreak/>
              <w:t>3</w:t>
            </w:r>
            <w:r w:rsidRPr="00C268F5">
              <w:rPr>
                <w:rFonts w:cs="Arial"/>
                <w:b/>
              </w:rPr>
              <w:tab/>
            </w:r>
            <w:r w:rsidR="00AF05C9">
              <w:rPr>
                <w:rFonts w:cs="Arial"/>
                <w:b/>
              </w:rPr>
              <w:t>Roles and Responsibilities</w:t>
            </w:r>
          </w:p>
        </w:tc>
      </w:tr>
      <w:tr w:rsidR="00315857" w:rsidRPr="00C268F5" w:rsidTr="009C42E3">
        <w:tc>
          <w:tcPr>
            <w:tcW w:w="377" w:type="pct"/>
          </w:tcPr>
          <w:p w:rsidR="009C42E3" w:rsidRPr="00C268F5" w:rsidRDefault="009C42E3" w:rsidP="00977106">
            <w:pPr>
              <w:rPr>
                <w:rFonts w:cs="Arial"/>
                <w:sz w:val="20"/>
              </w:rPr>
            </w:pPr>
          </w:p>
          <w:p w:rsidR="00315857" w:rsidRPr="00C268F5" w:rsidRDefault="0008149E" w:rsidP="00977106">
            <w:pPr>
              <w:rPr>
                <w:rFonts w:cs="Arial"/>
                <w:sz w:val="20"/>
              </w:rPr>
            </w:pPr>
            <w:r w:rsidRPr="00C268F5">
              <w:rPr>
                <w:rFonts w:cs="Arial"/>
                <w:sz w:val="20"/>
              </w:rPr>
              <w:t>3.1</w:t>
            </w:r>
          </w:p>
        </w:tc>
        <w:tc>
          <w:tcPr>
            <w:tcW w:w="4623" w:type="pct"/>
          </w:tcPr>
          <w:p w:rsidR="00AF05C9" w:rsidRPr="00AF05C9" w:rsidRDefault="00AF05C9" w:rsidP="00AF05C9">
            <w:pPr>
              <w:jc w:val="both"/>
              <w:rPr>
                <w:rFonts w:cs="Arial"/>
                <w:sz w:val="20"/>
              </w:rPr>
            </w:pPr>
            <w:r w:rsidRPr="00AF05C9">
              <w:rPr>
                <w:rFonts w:cs="Arial"/>
                <w:sz w:val="20"/>
              </w:rPr>
              <w:t>This section states the roles and responsibilities of the Trust’s employees and other relevant parties in reporting fraud or other irregularities.</w:t>
            </w:r>
          </w:p>
          <w:p w:rsidR="00315857" w:rsidRPr="00C268F5" w:rsidRDefault="00315857" w:rsidP="00AF05C9">
            <w:pPr>
              <w:jc w:val="both"/>
              <w:rPr>
                <w:rFonts w:cs="Arial"/>
                <w:sz w:val="20"/>
              </w:rPr>
            </w:pPr>
          </w:p>
        </w:tc>
      </w:tr>
      <w:tr w:rsidR="00315857" w:rsidRPr="00C268F5" w:rsidTr="009C42E3">
        <w:tc>
          <w:tcPr>
            <w:tcW w:w="377" w:type="pct"/>
          </w:tcPr>
          <w:p w:rsidR="00315857" w:rsidRPr="00C268F5" w:rsidRDefault="0008149E" w:rsidP="00977106">
            <w:pPr>
              <w:rPr>
                <w:rFonts w:cs="Arial"/>
                <w:sz w:val="20"/>
              </w:rPr>
            </w:pPr>
            <w:r w:rsidRPr="00C268F5">
              <w:rPr>
                <w:rFonts w:cs="Arial"/>
                <w:sz w:val="20"/>
              </w:rPr>
              <w:t>3.2</w:t>
            </w:r>
          </w:p>
        </w:tc>
        <w:tc>
          <w:tcPr>
            <w:tcW w:w="4623" w:type="pct"/>
          </w:tcPr>
          <w:p w:rsidR="00AF05C9" w:rsidRDefault="00AF05C9" w:rsidP="00AF05C9">
            <w:pPr>
              <w:pStyle w:val="BodyText3"/>
              <w:tabs>
                <w:tab w:val="left" w:pos="567"/>
              </w:tabs>
              <w:rPr>
                <w:rFonts w:cs="Arial"/>
                <w:b/>
              </w:rPr>
            </w:pPr>
            <w:r w:rsidRPr="00AF05C9">
              <w:rPr>
                <w:rFonts w:cs="Arial"/>
                <w:b/>
              </w:rPr>
              <w:t>Investigations with Clinical Implications</w:t>
            </w:r>
            <w:r>
              <w:rPr>
                <w:rFonts w:cs="Arial"/>
                <w:b/>
              </w:rPr>
              <w:t>:</w:t>
            </w:r>
          </w:p>
          <w:p w:rsidR="00AF05C9" w:rsidRPr="00AF05C9" w:rsidRDefault="00AF05C9" w:rsidP="00AF05C9">
            <w:pPr>
              <w:pStyle w:val="BodyText3"/>
              <w:tabs>
                <w:tab w:val="left" w:pos="567"/>
              </w:tabs>
              <w:rPr>
                <w:rFonts w:cs="Arial"/>
              </w:rPr>
            </w:pPr>
            <w:r w:rsidRPr="00AF05C9">
              <w:rPr>
                <w:rFonts w:cs="Arial"/>
              </w:rPr>
              <w:t xml:space="preserve">When investigating suspicions of fraud, corruption/bribery it is important that consideration is given to whether there may be any clinical or health and safety implications, which could have an adverse impact on the organisation. An example of this would be an individual who is working with patients or vulnerable people and is suspected to be using a false name/identity. In such cases the overriding consideration must be one of patient care. Where there are clinical implications, guidance is set out at Appendix 4, but it must be appreciated that every case is different and it is therefore impossible to provide definitive guidance. </w:t>
            </w:r>
          </w:p>
          <w:p w:rsidR="00315857" w:rsidRPr="00C268F5" w:rsidRDefault="00315857" w:rsidP="00977106">
            <w:pPr>
              <w:pStyle w:val="BodyText3"/>
              <w:numPr>
                <w:ilvl w:val="0"/>
                <w:numId w:val="0"/>
              </w:numPr>
              <w:tabs>
                <w:tab w:val="clear" w:pos="90"/>
                <w:tab w:val="left" w:pos="567"/>
              </w:tabs>
              <w:rPr>
                <w:rFonts w:cs="Arial"/>
              </w:rPr>
            </w:pPr>
          </w:p>
        </w:tc>
      </w:tr>
      <w:tr w:rsidR="00315857" w:rsidRPr="00C268F5" w:rsidTr="009C42E3">
        <w:tc>
          <w:tcPr>
            <w:tcW w:w="377" w:type="pct"/>
          </w:tcPr>
          <w:p w:rsidR="00315857" w:rsidRPr="00C268F5" w:rsidRDefault="0008149E" w:rsidP="00977106">
            <w:pPr>
              <w:rPr>
                <w:rFonts w:cs="Arial"/>
                <w:sz w:val="20"/>
              </w:rPr>
            </w:pPr>
            <w:r w:rsidRPr="00C268F5">
              <w:rPr>
                <w:rFonts w:cs="Arial"/>
                <w:sz w:val="20"/>
              </w:rPr>
              <w:t>3.3</w:t>
            </w:r>
          </w:p>
        </w:tc>
        <w:tc>
          <w:tcPr>
            <w:tcW w:w="4623" w:type="pct"/>
          </w:tcPr>
          <w:p w:rsidR="00AF05C9" w:rsidRPr="00AF05C9" w:rsidRDefault="00AF05C9" w:rsidP="00AF05C9">
            <w:pPr>
              <w:pStyle w:val="BodyText3"/>
              <w:tabs>
                <w:tab w:val="left" w:pos="567"/>
              </w:tabs>
              <w:rPr>
                <w:rFonts w:cs="Arial"/>
                <w:b/>
              </w:rPr>
            </w:pPr>
            <w:r w:rsidRPr="00AF05C9">
              <w:rPr>
                <w:rFonts w:cs="Arial"/>
                <w:b/>
              </w:rPr>
              <w:t>Director of Finance</w:t>
            </w:r>
            <w:r>
              <w:rPr>
                <w:rFonts w:cs="Arial"/>
                <w:b/>
              </w:rPr>
              <w:t>:</w:t>
            </w:r>
          </w:p>
          <w:p w:rsidR="00AF05C9" w:rsidRPr="00AF05C9" w:rsidRDefault="00AF05C9" w:rsidP="00AF05C9">
            <w:pPr>
              <w:pStyle w:val="BodyText3"/>
              <w:tabs>
                <w:tab w:val="left" w:pos="567"/>
              </w:tabs>
              <w:rPr>
                <w:rFonts w:cs="Arial"/>
              </w:rPr>
            </w:pPr>
            <w:r w:rsidRPr="00AF05C9">
              <w:rPr>
                <w:rFonts w:cs="Arial"/>
              </w:rPr>
              <w:t>The  Director  of  Finance  has  a  legal  responsibility  to  make  sure  fraud, bribery  or corruption  are  prevented,  detected  and  investigated.  Combating  fraud  and corruption  requires  an  understanding  of  how  and  why  it  happens,  the  ways  in which it can be minimized and how to professionally investigate it; therefore the Director of Finance nominates a LCFS to tackle fraud and corruption within the Trust.</w:t>
            </w:r>
          </w:p>
          <w:p w:rsidR="00315857" w:rsidRPr="00C268F5" w:rsidRDefault="00315857" w:rsidP="00977106">
            <w:pPr>
              <w:pStyle w:val="BodyText3"/>
              <w:numPr>
                <w:ilvl w:val="0"/>
                <w:numId w:val="0"/>
              </w:numPr>
              <w:tabs>
                <w:tab w:val="clear" w:pos="90"/>
                <w:tab w:val="left" w:pos="567"/>
              </w:tabs>
              <w:rPr>
                <w:rFonts w:cs="Arial"/>
              </w:rPr>
            </w:pPr>
          </w:p>
        </w:tc>
      </w:tr>
      <w:tr w:rsidR="00AF05C9" w:rsidRPr="00C268F5" w:rsidTr="00B469B1">
        <w:tc>
          <w:tcPr>
            <w:tcW w:w="377" w:type="pct"/>
          </w:tcPr>
          <w:p w:rsidR="00AF05C9" w:rsidRPr="00C268F5" w:rsidRDefault="00AF05C9" w:rsidP="00AF05C9">
            <w:pPr>
              <w:rPr>
                <w:rFonts w:cs="Arial"/>
                <w:sz w:val="20"/>
              </w:rPr>
            </w:pPr>
            <w:r w:rsidRPr="00C268F5">
              <w:rPr>
                <w:rFonts w:cs="Arial"/>
                <w:sz w:val="20"/>
              </w:rPr>
              <w:t>3.5</w:t>
            </w:r>
          </w:p>
        </w:tc>
        <w:tc>
          <w:tcPr>
            <w:tcW w:w="4623" w:type="pct"/>
            <w:shd w:val="clear" w:color="auto" w:fill="auto"/>
          </w:tcPr>
          <w:p w:rsidR="00AF05C9" w:rsidRPr="00AF05C9" w:rsidRDefault="00AF05C9" w:rsidP="00AF05C9">
            <w:pPr>
              <w:jc w:val="both"/>
              <w:rPr>
                <w:rFonts w:cs="Arial"/>
                <w:b/>
                <w:sz w:val="20"/>
                <w:lang w:val="en-US"/>
              </w:rPr>
            </w:pPr>
            <w:r w:rsidRPr="00AF05C9">
              <w:rPr>
                <w:rFonts w:cs="Arial"/>
                <w:b/>
                <w:sz w:val="20"/>
                <w:lang w:val="en-US"/>
              </w:rPr>
              <w:t>Local Counter Fraud Specilaist:</w:t>
            </w:r>
          </w:p>
          <w:p w:rsidR="00AF05C9" w:rsidRPr="00AF05C9" w:rsidRDefault="00AF05C9" w:rsidP="00AF05C9">
            <w:pPr>
              <w:jc w:val="both"/>
              <w:rPr>
                <w:rFonts w:cs="Arial"/>
                <w:sz w:val="20"/>
                <w:lang w:val="en-US"/>
              </w:rPr>
            </w:pPr>
            <w:r w:rsidRPr="00AF05C9">
              <w:rPr>
                <w:rFonts w:cs="Arial"/>
                <w:sz w:val="20"/>
                <w:lang w:val="en-US"/>
              </w:rPr>
              <w:t>The LCFS is an experienced and accredited (professionally qualified) counter fraud specialist.  In essence, the role of the LCFS is to respond to and proactively tackle risks and occurrences of fraud and corruption at the Trust by providing a robust and effective prevention, detection and investigation function. The LCFS is responsible for ensuring the Trust achieves the four specific objectives of the National Counter Fraud Strategy at the Trust:</w:t>
            </w:r>
          </w:p>
          <w:p w:rsidR="00AF05C9" w:rsidRPr="00AF05C9" w:rsidRDefault="00AF05C9" w:rsidP="00AF05C9">
            <w:pPr>
              <w:numPr>
                <w:ilvl w:val="0"/>
                <w:numId w:val="34"/>
              </w:numPr>
              <w:tabs>
                <w:tab w:val="clear" w:pos="1440"/>
              </w:tabs>
              <w:overflowPunct/>
              <w:autoSpaceDE/>
              <w:autoSpaceDN/>
              <w:adjustRightInd/>
              <w:spacing w:before="200" w:after="120"/>
              <w:ind w:left="745"/>
              <w:jc w:val="both"/>
              <w:textAlignment w:val="auto"/>
              <w:rPr>
                <w:rFonts w:cs="Arial"/>
                <w:sz w:val="20"/>
                <w:lang w:val="en-US"/>
              </w:rPr>
            </w:pPr>
            <w:r w:rsidRPr="00AF05C9">
              <w:rPr>
                <w:rFonts w:cs="Arial"/>
                <w:sz w:val="20"/>
                <w:lang w:val="en-US"/>
              </w:rPr>
              <w:t>Strategic Governance - This section sets out the standards in relation to the organisation’s strategic governance arrangements. The aim is to ensure that anti-crime measures are embedded at all levels across the organisation.</w:t>
            </w:r>
          </w:p>
          <w:p w:rsidR="00AF05C9" w:rsidRPr="00AF05C9" w:rsidRDefault="00AF05C9" w:rsidP="00AF05C9">
            <w:pPr>
              <w:numPr>
                <w:ilvl w:val="0"/>
                <w:numId w:val="34"/>
              </w:numPr>
              <w:tabs>
                <w:tab w:val="clear" w:pos="1440"/>
              </w:tabs>
              <w:overflowPunct/>
              <w:autoSpaceDE/>
              <w:autoSpaceDN/>
              <w:adjustRightInd/>
              <w:spacing w:before="200" w:after="120"/>
              <w:ind w:left="745"/>
              <w:jc w:val="both"/>
              <w:textAlignment w:val="auto"/>
              <w:rPr>
                <w:rFonts w:cs="Arial"/>
                <w:sz w:val="20"/>
                <w:lang w:val="en-US"/>
              </w:rPr>
            </w:pPr>
            <w:r w:rsidRPr="00AF05C9">
              <w:rPr>
                <w:rFonts w:cs="Arial"/>
                <w:sz w:val="20"/>
                <w:lang w:val="en-US"/>
              </w:rPr>
              <w:t>Inform and Involve - This section sets out the requirements in relation to raising awareness of crime risks against the NHS and working with NHS staff, stakeholders and the public to highlight the risks and consequences of crime.</w:t>
            </w:r>
          </w:p>
          <w:p w:rsidR="00AF05C9" w:rsidRPr="00AF05C9" w:rsidRDefault="00AF05C9" w:rsidP="00AF05C9">
            <w:pPr>
              <w:numPr>
                <w:ilvl w:val="0"/>
                <w:numId w:val="34"/>
              </w:numPr>
              <w:tabs>
                <w:tab w:val="clear" w:pos="1440"/>
              </w:tabs>
              <w:overflowPunct/>
              <w:autoSpaceDE/>
              <w:autoSpaceDN/>
              <w:adjustRightInd/>
              <w:spacing w:before="200" w:after="120"/>
              <w:ind w:left="745"/>
              <w:jc w:val="both"/>
              <w:textAlignment w:val="auto"/>
              <w:rPr>
                <w:rFonts w:cs="Arial"/>
                <w:sz w:val="20"/>
                <w:lang w:val="en-US"/>
              </w:rPr>
            </w:pPr>
            <w:r w:rsidRPr="00AF05C9">
              <w:rPr>
                <w:rFonts w:cs="Arial"/>
                <w:sz w:val="20"/>
                <w:lang w:val="en-US"/>
              </w:rPr>
              <w:t>Prevent and Deter - This section sets out the requirements in relation to discouraging individuals who may be tempted to commit crimes against the NHS and ensuring that opportunities for crime to occur are minimised.</w:t>
            </w:r>
          </w:p>
          <w:p w:rsidR="00AF05C9" w:rsidRPr="00AF05C9" w:rsidRDefault="00AF05C9" w:rsidP="00AF05C9">
            <w:pPr>
              <w:numPr>
                <w:ilvl w:val="0"/>
                <w:numId w:val="34"/>
              </w:numPr>
              <w:tabs>
                <w:tab w:val="clear" w:pos="1440"/>
              </w:tabs>
              <w:overflowPunct/>
              <w:autoSpaceDE/>
              <w:autoSpaceDN/>
              <w:adjustRightInd/>
              <w:spacing w:before="200" w:after="120"/>
              <w:ind w:left="745"/>
              <w:jc w:val="both"/>
              <w:textAlignment w:val="auto"/>
              <w:rPr>
                <w:rFonts w:cs="Arial"/>
                <w:sz w:val="20"/>
                <w:lang w:val="en-US"/>
              </w:rPr>
            </w:pPr>
            <w:r w:rsidRPr="00AF05C9">
              <w:rPr>
                <w:rFonts w:cs="Arial"/>
                <w:sz w:val="20"/>
                <w:lang w:val="en-US"/>
              </w:rPr>
              <w:t>Hold to Account - This section sets out the requirements in relation to detecting and investigating crime, prosecuting those who have committed crimes and seeking redress.</w:t>
            </w:r>
          </w:p>
          <w:p w:rsidR="00AF05C9" w:rsidRPr="00AF05C9" w:rsidRDefault="00AF05C9" w:rsidP="00AF05C9">
            <w:pPr>
              <w:widowControl w:val="0"/>
              <w:spacing w:line="258" w:lineRule="exact"/>
              <w:rPr>
                <w:rFonts w:cs="Arial"/>
                <w:sz w:val="20"/>
                <w:lang w:val="en-US"/>
              </w:rPr>
            </w:pPr>
          </w:p>
          <w:p w:rsidR="00AF05C9" w:rsidRPr="00AF05C9" w:rsidRDefault="00AF05C9" w:rsidP="00AF05C9">
            <w:pPr>
              <w:jc w:val="both"/>
              <w:rPr>
                <w:rFonts w:cs="Arial"/>
                <w:sz w:val="20"/>
                <w:lang w:val="en-US"/>
              </w:rPr>
            </w:pPr>
            <w:r w:rsidRPr="00AF05C9">
              <w:rPr>
                <w:rFonts w:cs="Arial"/>
                <w:sz w:val="20"/>
                <w:lang w:val="en-US"/>
              </w:rPr>
              <w:t xml:space="preserve">The LCFS reports to the Director of Finance, but any member of the Trust staff can speak to and ask for advice from the LCFS. The  LCFS  is  authorised  to receive  reports  of  suspected  fraud  from  anyone,  whether  an  employee  of  the Trust, </w:t>
            </w:r>
            <w:r w:rsidRPr="00AF05C9">
              <w:rPr>
                <w:rFonts w:cs="Arial"/>
                <w:sz w:val="20"/>
                <w:lang w:val="en-US"/>
              </w:rPr>
              <w:lastRenderedPageBreak/>
              <w:t>independent contractors, patients and other third parties, and staff have a responsibility to the Trust to raise their genuine concerns. Under the National Standard Commissioning Contract   Directions   and   the   Trust’s   Standing   Orders   and   Standing   Financial Instructions,  the  LCFS  is  responsible  for  investigating  allegations  of  fraud, bribery  and corruption at the Trust.</w:t>
            </w:r>
          </w:p>
          <w:p w:rsidR="00AF05C9" w:rsidRPr="00AF05C9" w:rsidRDefault="00AF05C9" w:rsidP="00AF05C9">
            <w:pPr>
              <w:jc w:val="both"/>
              <w:rPr>
                <w:rFonts w:cs="Arial"/>
                <w:sz w:val="20"/>
                <w:lang w:val="en-US"/>
              </w:rPr>
            </w:pPr>
          </w:p>
          <w:p w:rsidR="00AF05C9" w:rsidRPr="00AF05C9" w:rsidRDefault="00AF05C9" w:rsidP="00AF05C9">
            <w:pPr>
              <w:jc w:val="both"/>
              <w:rPr>
                <w:rFonts w:cs="Arial"/>
                <w:sz w:val="20"/>
                <w:lang w:val="en-US"/>
              </w:rPr>
            </w:pPr>
            <w:r w:rsidRPr="00AF05C9">
              <w:rPr>
                <w:rFonts w:cs="Arial"/>
                <w:sz w:val="20"/>
                <w:lang w:val="en-US"/>
              </w:rPr>
              <w:t>The  LCFS  employs  a  risk-based  methodology  to  enable  the  Trust  to  target resources  at  high  risk  areas  and  throughout  the  year  undertakes  proactive reviews  in  these  areas  which  can  detect  fraud.  Such  reviews,  together  with investigations, ensure the LCFS identifies and counters vulnerabilities within the Trust’s  systems  by  implementing  effective  prevention,  detection  and  corrective controls to reduce the likelihood of fraud.</w:t>
            </w:r>
          </w:p>
          <w:p w:rsidR="00AF05C9" w:rsidRPr="00AF05C9" w:rsidRDefault="00AF05C9" w:rsidP="00AF05C9">
            <w:pPr>
              <w:rPr>
                <w:rFonts w:cs="Arial"/>
                <w:sz w:val="20"/>
                <w:lang w:val="en-US"/>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lastRenderedPageBreak/>
              <w:t>3.6</w:t>
            </w:r>
          </w:p>
        </w:tc>
        <w:tc>
          <w:tcPr>
            <w:tcW w:w="4623" w:type="pct"/>
          </w:tcPr>
          <w:p w:rsidR="007307B1" w:rsidRDefault="00AF05C9" w:rsidP="007307B1">
            <w:pPr>
              <w:rPr>
                <w:rFonts w:cs="Arial"/>
                <w:szCs w:val="24"/>
                <w:lang w:val="en-US" w:eastAsia="en-GB"/>
              </w:rPr>
            </w:pPr>
            <w:r w:rsidRPr="00AF05C9">
              <w:rPr>
                <w:rFonts w:cs="Arial"/>
                <w:b/>
                <w:sz w:val="20"/>
              </w:rPr>
              <w:t>Audit Committee:</w:t>
            </w:r>
            <w:r w:rsidR="007307B1" w:rsidRPr="007307B1">
              <w:rPr>
                <w:rFonts w:cs="Arial"/>
                <w:szCs w:val="24"/>
                <w:lang w:val="en-US" w:eastAsia="en-GB"/>
              </w:rPr>
              <w:t xml:space="preserve"> </w:t>
            </w:r>
          </w:p>
          <w:p w:rsidR="00AF05C9" w:rsidRDefault="007307B1" w:rsidP="007307B1">
            <w:pPr>
              <w:rPr>
                <w:rFonts w:cs="Arial"/>
                <w:sz w:val="20"/>
                <w:lang w:val="en-US"/>
              </w:rPr>
            </w:pPr>
            <w:r w:rsidRPr="007307B1">
              <w:rPr>
                <w:rFonts w:cs="Arial"/>
                <w:sz w:val="20"/>
                <w:lang w:val="en-US"/>
              </w:rPr>
              <w:t>The purpose of the Audit Committee is to provide an independent check on the financial   management   of   the   Trust.   The   Committee   meets,   receives and considers reports by the internal and external auditors on all aspects of financial processes and procedures.  Both the LCFS and Director of Finance attend the Committee and the LCFS presents Progress Reports on the counter fraud work undertaken at the Trust. The Audit Committee can question and ask for further explanations in relation to any aspect of the counter fraud work.</w:t>
            </w:r>
          </w:p>
          <w:p w:rsidR="00142136" w:rsidRPr="00C268F5" w:rsidRDefault="00142136" w:rsidP="007307B1">
            <w:pPr>
              <w:rPr>
                <w:rFonts w:cs="Arial"/>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t>3.7</w:t>
            </w:r>
          </w:p>
        </w:tc>
        <w:tc>
          <w:tcPr>
            <w:tcW w:w="4623" w:type="pct"/>
          </w:tcPr>
          <w:p w:rsidR="007307B1" w:rsidRDefault="007307B1" w:rsidP="007307B1">
            <w:pPr>
              <w:jc w:val="both"/>
              <w:rPr>
                <w:rFonts w:cs="Arial"/>
                <w:b/>
                <w:bCs/>
                <w:sz w:val="20"/>
              </w:rPr>
            </w:pPr>
            <w:r w:rsidRPr="007307B1">
              <w:rPr>
                <w:rFonts w:cs="Arial"/>
                <w:b/>
                <w:bCs/>
                <w:sz w:val="20"/>
              </w:rPr>
              <w:t>Employees and Contractors</w:t>
            </w:r>
            <w:r>
              <w:rPr>
                <w:rFonts w:cs="Arial"/>
                <w:b/>
                <w:bCs/>
                <w:sz w:val="20"/>
              </w:rPr>
              <w:t>:</w:t>
            </w:r>
          </w:p>
          <w:p w:rsidR="007307B1" w:rsidRPr="007307B1" w:rsidRDefault="007307B1" w:rsidP="007307B1">
            <w:pPr>
              <w:jc w:val="both"/>
              <w:rPr>
                <w:rFonts w:cs="Arial"/>
                <w:bCs/>
                <w:sz w:val="20"/>
              </w:rPr>
            </w:pPr>
            <w:r w:rsidRPr="007307B1">
              <w:rPr>
                <w:rFonts w:cs="Arial"/>
                <w:bCs/>
                <w:sz w:val="20"/>
              </w:rPr>
              <w:t>For  the  purposes  of  this  policy,  ‘Employees’  includes  the  Trust’s  staff, Board,  Executive  and  Non-Executive  Members  (including  Co-Opted  Members) and Honorary Members to the Board.</w:t>
            </w:r>
          </w:p>
          <w:p w:rsidR="007307B1" w:rsidRPr="007307B1" w:rsidRDefault="007307B1" w:rsidP="007307B1">
            <w:pPr>
              <w:jc w:val="both"/>
              <w:rPr>
                <w:rFonts w:cs="Arial"/>
                <w:bCs/>
                <w:sz w:val="20"/>
              </w:rPr>
            </w:pPr>
          </w:p>
          <w:p w:rsidR="007307B1" w:rsidRPr="007307B1" w:rsidRDefault="007307B1" w:rsidP="007307B1">
            <w:pPr>
              <w:jc w:val="both"/>
              <w:rPr>
                <w:rFonts w:cs="Arial"/>
                <w:bCs/>
                <w:sz w:val="20"/>
              </w:rPr>
            </w:pPr>
            <w:r w:rsidRPr="007307B1">
              <w:rPr>
                <w:rFonts w:cs="Arial"/>
                <w:bCs/>
                <w:sz w:val="20"/>
              </w:rPr>
              <w:t>All employees and contractors of the Trust are individually responsible for:</w:t>
            </w:r>
          </w:p>
          <w:p w:rsidR="007307B1" w:rsidRPr="007307B1" w:rsidRDefault="007307B1" w:rsidP="007307B1">
            <w:pPr>
              <w:jc w:val="both"/>
              <w:rPr>
                <w:rFonts w:cs="Arial"/>
                <w:bCs/>
                <w:sz w:val="20"/>
              </w:rPr>
            </w:pPr>
            <w:r w:rsidRPr="007307B1">
              <w:rPr>
                <w:rFonts w:cs="Arial"/>
                <w:bCs/>
                <w:sz w:val="20"/>
              </w:rPr>
              <w:t>•</w:t>
            </w:r>
            <w:r w:rsidRPr="007307B1">
              <w:rPr>
                <w:rFonts w:cs="Arial"/>
                <w:bCs/>
                <w:sz w:val="20"/>
              </w:rPr>
              <w:tab/>
              <w:t>Securing the property of the Trust;</w:t>
            </w:r>
          </w:p>
          <w:p w:rsidR="007307B1" w:rsidRPr="007307B1" w:rsidRDefault="007307B1" w:rsidP="007307B1">
            <w:pPr>
              <w:jc w:val="both"/>
              <w:rPr>
                <w:rFonts w:cs="Arial"/>
                <w:bCs/>
                <w:sz w:val="20"/>
              </w:rPr>
            </w:pPr>
            <w:r w:rsidRPr="007307B1">
              <w:rPr>
                <w:rFonts w:cs="Arial"/>
                <w:bCs/>
                <w:sz w:val="20"/>
              </w:rPr>
              <w:t>•</w:t>
            </w:r>
            <w:r w:rsidRPr="007307B1">
              <w:rPr>
                <w:rFonts w:cs="Arial"/>
                <w:bCs/>
                <w:sz w:val="20"/>
              </w:rPr>
              <w:tab/>
              <w:t>Avoiding loss;</w:t>
            </w:r>
          </w:p>
          <w:p w:rsidR="007307B1" w:rsidRPr="007307B1" w:rsidRDefault="007307B1" w:rsidP="007307B1">
            <w:pPr>
              <w:jc w:val="both"/>
              <w:rPr>
                <w:rFonts w:cs="Arial"/>
                <w:bCs/>
                <w:sz w:val="20"/>
              </w:rPr>
            </w:pPr>
            <w:r w:rsidRPr="007307B1">
              <w:rPr>
                <w:rFonts w:cs="Arial"/>
                <w:bCs/>
                <w:sz w:val="20"/>
              </w:rPr>
              <w:t>•</w:t>
            </w:r>
            <w:r w:rsidRPr="007307B1">
              <w:rPr>
                <w:rFonts w:cs="Arial"/>
                <w:bCs/>
                <w:sz w:val="20"/>
              </w:rPr>
              <w:tab/>
              <w:t>Conforming  with  the  rules  and  regulations  contained  in  the  Trust’s Policies &amp; Procedures.</w:t>
            </w:r>
          </w:p>
          <w:p w:rsidR="007307B1" w:rsidRPr="007307B1" w:rsidRDefault="007307B1" w:rsidP="007307B1">
            <w:pPr>
              <w:jc w:val="both"/>
              <w:rPr>
                <w:rFonts w:cs="Arial"/>
                <w:bCs/>
                <w:sz w:val="20"/>
              </w:rPr>
            </w:pPr>
          </w:p>
          <w:p w:rsidR="007307B1" w:rsidRPr="007307B1" w:rsidRDefault="007307B1" w:rsidP="007307B1">
            <w:pPr>
              <w:jc w:val="both"/>
              <w:rPr>
                <w:rFonts w:cs="Arial"/>
                <w:bCs/>
                <w:sz w:val="20"/>
              </w:rPr>
            </w:pPr>
            <w:r w:rsidRPr="007307B1">
              <w:rPr>
                <w:rFonts w:cs="Arial"/>
                <w:bCs/>
                <w:sz w:val="20"/>
              </w:rPr>
              <w:t>Trust  employees  are  required  to  follow  any  Code  of  Conduct  related  to  their personal professional qualifications.</w:t>
            </w:r>
          </w:p>
          <w:p w:rsidR="007307B1" w:rsidRPr="007307B1" w:rsidRDefault="007307B1" w:rsidP="007307B1">
            <w:pPr>
              <w:jc w:val="both"/>
              <w:rPr>
                <w:rFonts w:cs="Arial"/>
                <w:bCs/>
                <w:sz w:val="20"/>
              </w:rPr>
            </w:pPr>
          </w:p>
          <w:p w:rsidR="007307B1" w:rsidRPr="007307B1" w:rsidRDefault="007307B1" w:rsidP="007307B1">
            <w:pPr>
              <w:jc w:val="both"/>
              <w:rPr>
                <w:rFonts w:cs="Arial"/>
                <w:bCs/>
                <w:sz w:val="20"/>
              </w:rPr>
            </w:pPr>
            <w:r w:rsidRPr="007307B1">
              <w:rPr>
                <w:rFonts w:cs="Arial"/>
                <w:bCs/>
                <w:sz w:val="20"/>
              </w:rPr>
              <w:t>Any offers of gifts or hospitality, which are in any way related to their Trust duties, must be discussed by the employee with their line manager and acceptance of offers  of  gifts  or  hospitality  may  be  required  to  be  registered  in  line  with the Trust’s Code of Conduct and associated guidance on Gifts and Hospitality..</w:t>
            </w:r>
          </w:p>
          <w:p w:rsidR="007307B1" w:rsidRPr="007307B1" w:rsidRDefault="007307B1" w:rsidP="007307B1">
            <w:pPr>
              <w:jc w:val="both"/>
              <w:rPr>
                <w:rFonts w:cs="Arial"/>
                <w:bCs/>
                <w:sz w:val="20"/>
              </w:rPr>
            </w:pPr>
          </w:p>
          <w:p w:rsidR="007307B1" w:rsidRPr="007307B1" w:rsidRDefault="007307B1" w:rsidP="007307B1">
            <w:pPr>
              <w:jc w:val="both"/>
              <w:rPr>
                <w:rFonts w:cs="Arial"/>
                <w:bCs/>
                <w:sz w:val="20"/>
              </w:rPr>
            </w:pPr>
            <w:r w:rsidRPr="007307B1">
              <w:rPr>
                <w:rFonts w:cs="Arial"/>
                <w:bCs/>
                <w:sz w:val="20"/>
              </w:rPr>
              <w:t>Trust employees must declare any possible conflicts of interest which they may have in contracts entered into by the Trust and these must be noted in a register maintained for that purpose.</w:t>
            </w:r>
          </w:p>
          <w:p w:rsidR="007307B1" w:rsidRPr="007307B1" w:rsidRDefault="007307B1" w:rsidP="007307B1">
            <w:pPr>
              <w:jc w:val="both"/>
              <w:rPr>
                <w:rFonts w:cs="Arial"/>
                <w:bCs/>
                <w:sz w:val="20"/>
              </w:rPr>
            </w:pPr>
          </w:p>
          <w:p w:rsidR="007307B1" w:rsidRPr="007307B1" w:rsidRDefault="007307B1" w:rsidP="007307B1">
            <w:pPr>
              <w:jc w:val="both"/>
              <w:rPr>
                <w:rFonts w:cs="Arial"/>
                <w:bCs/>
                <w:sz w:val="20"/>
              </w:rPr>
            </w:pPr>
            <w:r w:rsidRPr="007307B1">
              <w:rPr>
                <w:rFonts w:cs="Arial"/>
                <w:bCs/>
                <w:sz w:val="20"/>
              </w:rPr>
              <w:t>All non executives have to register potential conflicts between their duties and personal or professional lives.</w:t>
            </w:r>
          </w:p>
          <w:p w:rsidR="007307B1" w:rsidRPr="007307B1" w:rsidRDefault="007307B1" w:rsidP="007307B1">
            <w:pPr>
              <w:jc w:val="both"/>
              <w:rPr>
                <w:rFonts w:cs="Arial"/>
                <w:bCs/>
                <w:sz w:val="20"/>
              </w:rPr>
            </w:pPr>
          </w:p>
          <w:p w:rsidR="007307B1" w:rsidRPr="007307B1" w:rsidRDefault="007307B1" w:rsidP="007307B1">
            <w:pPr>
              <w:jc w:val="both"/>
              <w:rPr>
                <w:rFonts w:cs="Arial"/>
                <w:bCs/>
                <w:sz w:val="20"/>
              </w:rPr>
            </w:pPr>
            <w:r w:rsidRPr="007307B1">
              <w:rPr>
                <w:rFonts w:cs="Arial"/>
                <w:bCs/>
                <w:sz w:val="20"/>
              </w:rPr>
              <w:t>Please refer to the Trust’s Code of  Conduct for more guidance on the standards of business conduct expected of all employees.</w:t>
            </w:r>
          </w:p>
          <w:p w:rsidR="007307B1" w:rsidRPr="007307B1" w:rsidRDefault="007307B1" w:rsidP="007307B1">
            <w:pPr>
              <w:jc w:val="both"/>
              <w:rPr>
                <w:rFonts w:cs="Arial"/>
                <w:bCs/>
                <w:sz w:val="20"/>
              </w:rPr>
            </w:pPr>
          </w:p>
          <w:p w:rsidR="007307B1" w:rsidRPr="007307B1" w:rsidRDefault="007307B1" w:rsidP="007307B1">
            <w:pPr>
              <w:jc w:val="both"/>
              <w:rPr>
                <w:rFonts w:cs="Arial"/>
                <w:bCs/>
                <w:sz w:val="20"/>
              </w:rPr>
            </w:pPr>
            <w:r w:rsidRPr="007307B1">
              <w:rPr>
                <w:rFonts w:cs="Arial"/>
                <w:bCs/>
                <w:sz w:val="20"/>
              </w:rPr>
              <w:t xml:space="preserve">When an employee suspects that there has been fraud or corruption, they must report the matter to the nominated LCFS or Director of Finance, immediately.  </w:t>
            </w:r>
          </w:p>
          <w:p w:rsidR="007307B1" w:rsidRPr="007307B1" w:rsidRDefault="007307B1" w:rsidP="007307B1">
            <w:pPr>
              <w:jc w:val="both"/>
              <w:rPr>
                <w:rFonts w:cs="Arial"/>
                <w:bCs/>
                <w:sz w:val="20"/>
              </w:rPr>
            </w:pPr>
          </w:p>
          <w:p w:rsidR="00AF05C9" w:rsidRDefault="007307B1" w:rsidP="007307B1">
            <w:pPr>
              <w:jc w:val="both"/>
              <w:rPr>
                <w:rFonts w:cs="Arial"/>
                <w:b/>
                <w:bCs/>
                <w:sz w:val="20"/>
              </w:rPr>
            </w:pPr>
            <w:r w:rsidRPr="007307B1">
              <w:rPr>
                <w:rFonts w:cs="Arial"/>
                <w:b/>
                <w:bCs/>
                <w:sz w:val="20"/>
              </w:rPr>
              <w:t>Any employee in breach of these regulations may be liable to disciplinary action including summary dismissal and a criminal investigation by the Local Counter Fraud Specialist.</w:t>
            </w:r>
          </w:p>
          <w:p w:rsidR="00142136" w:rsidRPr="00C268F5" w:rsidRDefault="00142136" w:rsidP="007307B1">
            <w:pPr>
              <w:jc w:val="both"/>
              <w:rPr>
                <w:rFonts w:cs="Arial"/>
                <w:sz w:val="20"/>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t>3.8</w:t>
            </w:r>
          </w:p>
        </w:tc>
        <w:tc>
          <w:tcPr>
            <w:tcW w:w="4623" w:type="pct"/>
          </w:tcPr>
          <w:p w:rsidR="007307B1" w:rsidRDefault="007307B1" w:rsidP="007307B1">
            <w:pPr>
              <w:pStyle w:val="BodyTextIndent"/>
              <w:tabs>
                <w:tab w:val="clear" w:pos="567"/>
              </w:tabs>
              <w:rPr>
                <w:rFonts w:cs="Arial"/>
                <w:b/>
                <w:bCs/>
              </w:rPr>
            </w:pPr>
            <w:r>
              <w:rPr>
                <w:rFonts w:cs="Arial"/>
                <w:b/>
                <w:bCs/>
              </w:rPr>
              <w:t>I</w:t>
            </w:r>
            <w:r w:rsidRPr="007307B1">
              <w:rPr>
                <w:rFonts w:cs="Arial"/>
                <w:b/>
                <w:bCs/>
              </w:rPr>
              <w:t>nternal and External Audit</w:t>
            </w:r>
            <w:r>
              <w:rPr>
                <w:rFonts w:cs="Arial"/>
                <w:b/>
                <w:bCs/>
              </w:rPr>
              <w:t xml:space="preserve">: </w:t>
            </w:r>
          </w:p>
          <w:p w:rsidR="007307B1" w:rsidRPr="007307B1" w:rsidRDefault="007307B1" w:rsidP="007307B1">
            <w:pPr>
              <w:pStyle w:val="BodyTextIndent"/>
              <w:tabs>
                <w:tab w:val="clear" w:pos="567"/>
              </w:tabs>
              <w:ind w:left="0" w:firstLine="0"/>
              <w:rPr>
                <w:rFonts w:cs="Arial"/>
              </w:rPr>
            </w:pPr>
            <w:r w:rsidRPr="007307B1">
              <w:rPr>
                <w:rFonts w:cs="Arial"/>
              </w:rPr>
              <w:lastRenderedPageBreak/>
              <w:t>Any incident or suspicion that comes to Internal or Ext</w:t>
            </w:r>
            <w:r>
              <w:rPr>
                <w:rFonts w:cs="Arial"/>
              </w:rPr>
              <w:t xml:space="preserve">ernal Audit’s attention will be </w:t>
            </w:r>
            <w:r w:rsidRPr="007307B1">
              <w:rPr>
                <w:rFonts w:cs="Arial"/>
              </w:rPr>
              <w:t>passed immediately to the Trust’s LCFS.</w:t>
            </w:r>
          </w:p>
          <w:p w:rsidR="007307B1" w:rsidRPr="007307B1" w:rsidRDefault="007307B1" w:rsidP="007307B1">
            <w:pPr>
              <w:pStyle w:val="BodyTextIndent"/>
              <w:rPr>
                <w:rFonts w:cs="Arial"/>
              </w:rPr>
            </w:pPr>
          </w:p>
          <w:p w:rsidR="007307B1" w:rsidRDefault="007307B1" w:rsidP="007307B1">
            <w:pPr>
              <w:pStyle w:val="BodyTextIndent"/>
              <w:tabs>
                <w:tab w:val="clear" w:pos="567"/>
              </w:tabs>
              <w:rPr>
                <w:rFonts w:cs="Arial"/>
              </w:rPr>
            </w:pPr>
            <w:r w:rsidRPr="007307B1">
              <w:rPr>
                <w:rFonts w:cs="Arial"/>
              </w:rPr>
              <w:t>Auditors perform thorough checks on systems which detect any anomalies.</w:t>
            </w:r>
          </w:p>
          <w:p w:rsidR="00142136" w:rsidRPr="00C268F5" w:rsidRDefault="00142136" w:rsidP="007307B1">
            <w:pPr>
              <w:pStyle w:val="BodyTextIndent"/>
              <w:tabs>
                <w:tab w:val="clear" w:pos="567"/>
              </w:tabs>
              <w:rPr>
                <w:rFonts w:cs="Arial"/>
              </w:rPr>
            </w:pPr>
          </w:p>
        </w:tc>
      </w:tr>
      <w:tr w:rsidR="00AF05C9" w:rsidRPr="00C268F5" w:rsidTr="009C42E3">
        <w:trPr>
          <w:cantSplit/>
          <w:trHeight w:hRule="exact" w:val="360"/>
        </w:trPr>
        <w:tc>
          <w:tcPr>
            <w:tcW w:w="5000" w:type="pct"/>
            <w:gridSpan w:val="2"/>
            <w:shd w:val="pct20" w:color="0000FF" w:fill="0000FF"/>
            <w:vAlign w:val="center"/>
          </w:tcPr>
          <w:p w:rsidR="00AF05C9" w:rsidRPr="00C268F5" w:rsidRDefault="00AF05C9" w:rsidP="007307B1">
            <w:pPr>
              <w:rPr>
                <w:rFonts w:cs="Arial"/>
                <w:b/>
              </w:rPr>
            </w:pPr>
            <w:r w:rsidRPr="00C268F5">
              <w:rPr>
                <w:rFonts w:cs="Arial"/>
                <w:b/>
              </w:rPr>
              <w:lastRenderedPageBreak/>
              <w:t>4</w:t>
            </w:r>
            <w:r w:rsidRPr="00C268F5">
              <w:rPr>
                <w:rFonts w:cs="Arial"/>
                <w:b/>
              </w:rPr>
              <w:tab/>
            </w:r>
            <w:r w:rsidR="007307B1">
              <w:rPr>
                <w:rFonts w:cs="Arial"/>
                <w:b/>
              </w:rPr>
              <w:t>Fraud Response Plan (Reporting Fraud and Investigation Procedure)</w:t>
            </w:r>
          </w:p>
        </w:tc>
      </w:tr>
      <w:tr w:rsidR="00AF05C9" w:rsidRPr="00C268F5" w:rsidTr="009C42E3">
        <w:tc>
          <w:tcPr>
            <w:tcW w:w="377" w:type="pct"/>
          </w:tcPr>
          <w:p w:rsidR="00AF05C9" w:rsidRPr="00C268F5" w:rsidRDefault="00AF05C9" w:rsidP="00AF05C9">
            <w:pPr>
              <w:rPr>
                <w:rFonts w:cs="Arial"/>
                <w:sz w:val="20"/>
              </w:rPr>
            </w:pPr>
          </w:p>
          <w:p w:rsidR="00AF05C9" w:rsidRPr="00C268F5" w:rsidRDefault="00AF05C9" w:rsidP="00AF05C9">
            <w:pPr>
              <w:rPr>
                <w:rFonts w:cs="Arial"/>
                <w:sz w:val="20"/>
              </w:rPr>
            </w:pPr>
            <w:r w:rsidRPr="00C268F5">
              <w:rPr>
                <w:rFonts w:cs="Arial"/>
                <w:sz w:val="20"/>
              </w:rPr>
              <w:t>4.1</w:t>
            </w:r>
          </w:p>
        </w:tc>
        <w:tc>
          <w:tcPr>
            <w:tcW w:w="4623" w:type="pct"/>
          </w:tcPr>
          <w:p w:rsidR="00AF05C9" w:rsidRPr="00C268F5" w:rsidRDefault="00AF05C9" w:rsidP="00AF05C9">
            <w:pPr>
              <w:jc w:val="both"/>
              <w:rPr>
                <w:rFonts w:cs="Arial"/>
                <w:b/>
                <w:bCs/>
                <w:sz w:val="20"/>
              </w:rPr>
            </w:pPr>
          </w:p>
          <w:p w:rsidR="007307B1" w:rsidRDefault="007307B1" w:rsidP="007307B1">
            <w:pPr>
              <w:jc w:val="both"/>
              <w:rPr>
                <w:rFonts w:cs="Arial"/>
                <w:sz w:val="20"/>
                <w:lang w:val="en-US"/>
              </w:rPr>
            </w:pPr>
            <w:r w:rsidRPr="007307B1">
              <w:rPr>
                <w:rFonts w:cs="Arial"/>
                <w:sz w:val="20"/>
                <w:lang w:val="en-US"/>
              </w:rPr>
              <w:t>The Trust is committed to tackling fraud and corruption. When fraud is discovered there is a need for clear, prompt and appropriate action.   Therefore, having  a  Fraud  Response  plan  increases  the  likelihood  that  the  crisis  will  be managed effectively. The response will be effective and organised and will rely on the principles contained within this section.</w:t>
            </w:r>
          </w:p>
          <w:p w:rsidR="007307B1" w:rsidRDefault="007307B1" w:rsidP="007307B1">
            <w:pPr>
              <w:jc w:val="both"/>
              <w:rPr>
                <w:rFonts w:cs="Arial"/>
                <w:sz w:val="20"/>
                <w:lang w:val="en-US"/>
              </w:rPr>
            </w:pPr>
          </w:p>
          <w:p w:rsidR="00AF05C9" w:rsidRDefault="007307B1" w:rsidP="007307B1">
            <w:pPr>
              <w:jc w:val="both"/>
              <w:rPr>
                <w:rFonts w:cs="Arial"/>
                <w:sz w:val="20"/>
                <w:lang w:val="en-US"/>
              </w:rPr>
            </w:pPr>
            <w:r w:rsidRPr="007307B1">
              <w:rPr>
                <w:rFonts w:cs="Arial"/>
                <w:sz w:val="20"/>
                <w:lang w:val="en-US"/>
              </w:rPr>
              <w:t>The Trust will be robust in dealing with any fraud, and can be expected to deal timely and thoroughly with any person who attempts to defraud the Trust or who engages  in  corrupt  practices,  whether  they  are  non  executives,  employees, suppliers,  patients  or  unrelated third  parties.</w:t>
            </w:r>
          </w:p>
          <w:p w:rsidR="00142136" w:rsidRPr="00C268F5" w:rsidRDefault="00142136" w:rsidP="007307B1">
            <w:pPr>
              <w:jc w:val="both"/>
              <w:rPr>
                <w:rFonts w:cs="Arial"/>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t>4.2</w:t>
            </w:r>
          </w:p>
        </w:tc>
        <w:tc>
          <w:tcPr>
            <w:tcW w:w="4623" w:type="pct"/>
          </w:tcPr>
          <w:p w:rsidR="007307B1" w:rsidRDefault="007307B1" w:rsidP="007307B1">
            <w:pPr>
              <w:pStyle w:val="BodyText3"/>
              <w:ind w:left="72"/>
              <w:rPr>
                <w:rFonts w:cs="Arial"/>
                <w:b/>
                <w:lang w:val="en-US"/>
              </w:rPr>
            </w:pPr>
            <w:r w:rsidRPr="007307B1">
              <w:rPr>
                <w:rFonts w:cs="Arial"/>
                <w:b/>
                <w:lang w:val="en-US"/>
              </w:rPr>
              <w:t>REPORTING FRAUD</w:t>
            </w:r>
            <w:r>
              <w:rPr>
                <w:rFonts w:cs="Arial"/>
                <w:b/>
                <w:lang w:val="en-US"/>
              </w:rPr>
              <w:t>:</w:t>
            </w:r>
          </w:p>
          <w:p w:rsidR="007307B1" w:rsidRPr="007307B1" w:rsidRDefault="007307B1" w:rsidP="007307B1">
            <w:pPr>
              <w:pStyle w:val="BodyText3"/>
              <w:ind w:left="72"/>
              <w:rPr>
                <w:rFonts w:cs="Arial"/>
                <w:lang w:val="en-US"/>
              </w:rPr>
            </w:pPr>
            <w:r w:rsidRPr="007307B1">
              <w:rPr>
                <w:rFonts w:cs="Arial"/>
                <w:lang w:val="en-US"/>
              </w:rPr>
              <w:t>What to do if you suspect a fraud:</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If  you  discover  or  suspect  a  colleague,  patient  or  other  person  of  committing fraud you must:</w:t>
            </w:r>
          </w:p>
          <w:p w:rsidR="007307B1" w:rsidRPr="007307B1" w:rsidRDefault="007307B1" w:rsidP="007307B1">
            <w:pPr>
              <w:pStyle w:val="BodyText3"/>
              <w:ind w:left="72"/>
              <w:rPr>
                <w:rFonts w:cs="Arial"/>
                <w:lang w:val="en-US"/>
              </w:rPr>
            </w:pPr>
          </w:p>
          <w:p w:rsidR="007307B1" w:rsidRPr="007307B1" w:rsidRDefault="007307B1" w:rsidP="007307B1">
            <w:pPr>
              <w:pStyle w:val="BodyText3"/>
              <w:numPr>
                <w:ilvl w:val="1"/>
                <w:numId w:val="33"/>
              </w:numPr>
              <w:rPr>
                <w:rFonts w:cs="Arial"/>
                <w:lang w:val="en-US"/>
              </w:rPr>
            </w:pPr>
            <w:r w:rsidRPr="007307B1">
              <w:rPr>
                <w:rFonts w:cs="Arial"/>
                <w:lang w:val="en-US"/>
              </w:rPr>
              <w:t>Immediately tell the ‘nominated officers’: Director of Finance or LCFS;</w:t>
            </w:r>
          </w:p>
          <w:p w:rsidR="007307B1" w:rsidRPr="007307B1" w:rsidRDefault="007307B1" w:rsidP="007307B1">
            <w:pPr>
              <w:pStyle w:val="BodyText3"/>
              <w:numPr>
                <w:ilvl w:val="1"/>
                <w:numId w:val="33"/>
              </w:numPr>
              <w:rPr>
                <w:rFonts w:cs="Arial"/>
                <w:lang w:val="en-US"/>
              </w:rPr>
            </w:pPr>
            <w:r w:rsidRPr="007307B1">
              <w:rPr>
                <w:rFonts w:cs="Arial"/>
                <w:lang w:val="en-US"/>
              </w:rPr>
              <w:tab/>
              <w:t>Secure records in your possession;</w:t>
            </w:r>
          </w:p>
          <w:p w:rsidR="007307B1" w:rsidRPr="007307B1" w:rsidRDefault="007307B1" w:rsidP="007307B1">
            <w:pPr>
              <w:pStyle w:val="BodyText3"/>
              <w:numPr>
                <w:ilvl w:val="1"/>
                <w:numId w:val="33"/>
              </w:numPr>
              <w:rPr>
                <w:rFonts w:cs="Arial"/>
                <w:lang w:val="en-US"/>
              </w:rPr>
            </w:pPr>
            <w:r w:rsidRPr="007307B1">
              <w:rPr>
                <w:rFonts w:cs="Arial"/>
                <w:lang w:val="en-US"/>
              </w:rPr>
              <w:tab/>
              <w:t>Record details of relevant events;</w:t>
            </w:r>
          </w:p>
          <w:p w:rsidR="007307B1" w:rsidRPr="007307B1" w:rsidRDefault="007307B1" w:rsidP="007307B1">
            <w:pPr>
              <w:pStyle w:val="BodyText3"/>
              <w:numPr>
                <w:ilvl w:val="1"/>
                <w:numId w:val="33"/>
              </w:numPr>
              <w:rPr>
                <w:rFonts w:cs="Arial"/>
                <w:lang w:val="en-US"/>
              </w:rPr>
            </w:pPr>
            <w:r w:rsidRPr="007307B1">
              <w:rPr>
                <w:rFonts w:cs="Arial"/>
                <w:lang w:val="en-US"/>
              </w:rPr>
              <w:tab/>
              <w:t>Await further advice (the nominated officers will decide on the next course of action and advise you accordingly).</w:t>
            </w:r>
          </w:p>
          <w:p w:rsidR="007307B1" w:rsidRPr="007307B1" w:rsidRDefault="007307B1" w:rsidP="007307B1">
            <w:pPr>
              <w:pStyle w:val="BodyText3"/>
              <w:ind w:left="72"/>
              <w:rPr>
                <w:rFonts w:cs="Arial"/>
                <w:b/>
                <w:lang w:val="en-US"/>
              </w:rPr>
            </w:pPr>
          </w:p>
          <w:p w:rsidR="007307B1" w:rsidRPr="007307B1" w:rsidRDefault="007307B1" w:rsidP="007307B1">
            <w:pPr>
              <w:pStyle w:val="BodyText3"/>
              <w:ind w:left="72"/>
              <w:rPr>
                <w:rFonts w:cs="Arial"/>
                <w:b/>
              </w:rPr>
            </w:pPr>
            <w:r w:rsidRPr="007307B1">
              <w:rPr>
                <w:rFonts w:cs="Arial"/>
              </w:rPr>
              <w:t>Contacting the LCFS: Gareth Robins on office 020 3313 2828; mobile 07825 450259 or</w:t>
            </w:r>
            <w:r w:rsidRPr="007307B1">
              <w:rPr>
                <w:rFonts w:cs="Arial"/>
                <w:b/>
              </w:rPr>
              <w:t xml:space="preserve"> </w:t>
            </w:r>
            <w:hyperlink r:id="rId10" w:history="1">
              <w:r w:rsidRPr="007307B1">
                <w:rPr>
                  <w:rStyle w:val="Hyperlink"/>
                  <w:rFonts w:cs="Arial"/>
                  <w:b/>
                </w:rPr>
                <w:t>mailto:gareth.robins@tiaa.co.uk</w:t>
              </w:r>
            </w:hyperlink>
          </w:p>
          <w:p w:rsidR="007307B1" w:rsidRPr="007307B1" w:rsidRDefault="007307B1" w:rsidP="007307B1">
            <w:pPr>
              <w:pStyle w:val="BodyText3"/>
              <w:ind w:left="72"/>
              <w:rPr>
                <w:rFonts w:cs="Arial"/>
                <w:b/>
              </w:rPr>
            </w:pPr>
          </w:p>
          <w:p w:rsidR="007307B1" w:rsidRPr="007307B1" w:rsidRDefault="007307B1" w:rsidP="007307B1">
            <w:pPr>
              <w:pStyle w:val="BodyText3"/>
              <w:ind w:left="72"/>
              <w:rPr>
                <w:rFonts w:cs="Arial"/>
                <w:b/>
              </w:rPr>
            </w:pPr>
            <w:r w:rsidRPr="007307B1">
              <w:rPr>
                <w:rFonts w:cs="Arial"/>
              </w:rPr>
              <w:t xml:space="preserve">Contacting the Director of Finance: Mike McEnaney on 01865 782020 or </w:t>
            </w:r>
            <w:hyperlink r:id="rId11" w:history="1">
              <w:r w:rsidRPr="007307B1">
                <w:rPr>
                  <w:rStyle w:val="Hyperlink"/>
                  <w:rFonts w:cs="Arial"/>
                  <w:b/>
                </w:rPr>
                <w:t>mailto:mike.mcenaney@oxfordhealth.nhs.uk</w:t>
              </w:r>
            </w:hyperlink>
          </w:p>
          <w:p w:rsidR="007307B1" w:rsidRPr="007307B1" w:rsidRDefault="007307B1" w:rsidP="007307B1">
            <w:pPr>
              <w:pStyle w:val="BodyText3"/>
              <w:ind w:left="72"/>
              <w:rPr>
                <w:rFonts w:cs="Arial"/>
                <w:b/>
                <w:lang w:val="en-US"/>
              </w:rPr>
            </w:pPr>
          </w:p>
          <w:p w:rsidR="007307B1" w:rsidRPr="007307B1" w:rsidRDefault="007307B1" w:rsidP="007307B1">
            <w:pPr>
              <w:pStyle w:val="BodyText3"/>
              <w:ind w:left="72"/>
              <w:rPr>
                <w:rFonts w:cs="Arial"/>
                <w:lang w:val="en-US"/>
              </w:rPr>
            </w:pPr>
            <w:r w:rsidRPr="007307B1">
              <w:rPr>
                <w:rFonts w:cs="Arial"/>
                <w:lang w:val="en-US"/>
              </w:rPr>
              <w:t>If the concern or query involves an Executive Director, the matter should be reported to the Audit Committee Chair in confidence.</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Time  may  be  of  the  utmost  importance  to  prevent  further  loss  to  the  Trust. Staff/contractors  should  report  their  first  suspicions  and  not  undertake  lengthy consideration  of  alternative  explanations  –  be  assured  that  any  subsequent investigation will be of the highest professional standard.</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In  addition,  everything  reported  to  the  ‘nominated  officers’  is  treated  in  the strictest confidence and an employee can request to remain anonymous. Well-intentioned employees making a referral will be protected from any unacceptable behaviour from the subject of the referral or anyone else.</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b/>
                <w:lang w:val="en-US"/>
              </w:rPr>
            </w:pPr>
            <w:r w:rsidRPr="007307B1">
              <w:rPr>
                <w:rFonts w:cs="Arial"/>
                <w:b/>
                <w:lang w:val="en-US"/>
              </w:rPr>
              <w:t>What not to do?</w:t>
            </w:r>
          </w:p>
          <w:p w:rsidR="007307B1" w:rsidRPr="007307B1" w:rsidRDefault="007307B1" w:rsidP="007307B1">
            <w:pPr>
              <w:pStyle w:val="BodyText3"/>
              <w:numPr>
                <w:ilvl w:val="1"/>
                <w:numId w:val="33"/>
              </w:numPr>
              <w:rPr>
                <w:rFonts w:cs="Arial"/>
                <w:lang w:val="en-US"/>
              </w:rPr>
            </w:pPr>
            <w:r w:rsidRPr="007307B1">
              <w:rPr>
                <w:rFonts w:cs="Arial"/>
                <w:lang w:val="en-US"/>
              </w:rPr>
              <w:t>Do not confront the ‘suspect’;</w:t>
            </w:r>
          </w:p>
          <w:p w:rsidR="007307B1" w:rsidRPr="007307B1" w:rsidRDefault="007307B1" w:rsidP="007307B1">
            <w:pPr>
              <w:pStyle w:val="BodyText3"/>
              <w:numPr>
                <w:ilvl w:val="1"/>
                <w:numId w:val="33"/>
              </w:numPr>
              <w:rPr>
                <w:rFonts w:cs="Arial"/>
                <w:lang w:val="en-US"/>
              </w:rPr>
            </w:pPr>
            <w:r w:rsidRPr="007307B1">
              <w:rPr>
                <w:rFonts w:cs="Arial"/>
                <w:lang w:val="en-US"/>
              </w:rPr>
              <w:t>Do not assume only one person is involved;</w:t>
            </w:r>
          </w:p>
          <w:p w:rsidR="007307B1" w:rsidRPr="007307B1" w:rsidRDefault="007307B1" w:rsidP="007307B1">
            <w:pPr>
              <w:pStyle w:val="BodyText3"/>
              <w:numPr>
                <w:ilvl w:val="1"/>
                <w:numId w:val="33"/>
              </w:numPr>
              <w:rPr>
                <w:rFonts w:cs="Arial"/>
                <w:lang w:val="en-US"/>
              </w:rPr>
            </w:pPr>
            <w:r w:rsidRPr="007307B1">
              <w:rPr>
                <w:rFonts w:cs="Arial"/>
                <w:lang w:val="en-US"/>
              </w:rPr>
              <w:t>Do not talk about your suspicions, concerns or queries;</w:t>
            </w:r>
          </w:p>
          <w:p w:rsidR="007307B1" w:rsidRPr="007307B1" w:rsidRDefault="007307B1" w:rsidP="007307B1">
            <w:pPr>
              <w:pStyle w:val="BodyText3"/>
              <w:numPr>
                <w:ilvl w:val="1"/>
                <w:numId w:val="33"/>
              </w:numPr>
              <w:rPr>
                <w:rFonts w:cs="Arial"/>
                <w:lang w:val="en-US"/>
              </w:rPr>
            </w:pPr>
            <w:r w:rsidRPr="007307B1">
              <w:rPr>
                <w:rFonts w:cs="Arial"/>
                <w:lang w:val="en-US"/>
              </w:rPr>
              <w:t>Do not contact any external organisation (only the Director of Finance or the LCFS are permitted to make such contact).</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b/>
                <w:lang w:val="en-US"/>
              </w:rPr>
            </w:pPr>
            <w:r w:rsidRPr="007307B1">
              <w:rPr>
                <w:rFonts w:cs="Arial"/>
                <w:b/>
                <w:lang w:val="en-US"/>
              </w:rPr>
              <w:lastRenderedPageBreak/>
              <w:t>The reason for the above is twofold:</w:t>
            </w:r>
          </w:p>
          <w:p w:rsidR="007307B1" w:rsidRPr="007307B1" w:rsidRDefault="007307B1" w:rsidP="007307B1">
            <w:pPr>
              <w:pStyle w:val="BodyText3"/>
              <w:numPr>
                <w:ilvl w:val="1"/>
                <w:numId w:val="33"/>
              </w:numPr>
              <w:rPr>
                <w:rFonts w:cs="Arial"/>
                <w:lang w:val="en-US"/>
              </w:rPr>
            </w:pPr>
            <w:r w:rsidRPr="007307B1">
              <w:rPr>
                <w:rFonts w:cs="Arial"/>
                <w:lang w:val="en-US"/>
              </w:rPr>
              <w:t>to ensure evidence is secured against loss, destruction and contamination</w:t>
            </w:r>
          </w:p>
          <w:p w:rsidR="007307B1" w:rsidRPr="007307B1" w:rsidRDefault="007307B1" w:rsidP="007307B1">
            <w:pPr>
              <w:pStyle w:val="BodyText3"/>
              <w:numPr>
                <w:ilvl w:val="1"/>
                <w:numId w:val="33"/>
              </w:numPr>
              <w:rPr>
                <w:rFonts w:cs="Arial"/>
                <w:lang w:val="en-US"/>
              </w:rPr>
            </w:pPr>
            <w:r w:rsidRPr="007307B1">
              <w:rPr>
                <w:rFonts w:cs="Arial"/>
                <w:lang w:val="en-US"/>
              </w:rPr>
              <w:t>to ensure that nothing is done that could give rise to an action for slander or libel</w:t>
            </w:r>
          </w:p>
          <w:p w:rsidR="007307B1" w:rsidRPr="007307B1" w:rsidRDefault="007307B1" w:rsidP="007307B1">
            <w:pPr>
              <w:pStyle w:val="BodyText3"/>
              <w:ind w:left="72"/>
              <w:rPr>
                <w:rFonts w:cs="Arial"/>
                <w:b/>
                <w:lang w:val="en-US"/>
              </w:rPr>
            </w:pPr>
          </w:p>
          <w:p w:rsidR="007307B1" w:rsidRPr="007307B1" w:rsidRDefault="007307B1" w:rsidP="007307B1">
            <w:pPr>
              <w:pStyle w:val="BodyText3"/>
              <w:ind w:left="72"/>
              <w:rPr>
                <w:rFonts w:cs="Arial"/>
                <w:b/>
                <w:lang w:val="en-US"/>
              </w:rPr>
            </w:pPr>
            <w:r w:rsidRPr="007307B1">
              <w:rPr>
                <w:rFonts w:cs="Arial"/>
                <w:b/>
                <w:lang w:val="en-US"/>
              </w:rPr>
              <w:t>MOST IMPORTANTLY: Do not worry about being mistaken and do not do nothing!</w:t>
            </w:r>
          </w:p>
          <w:p w:rsidR="00AF05C9" w:rsidRPr="00C268F5" w:rsidRDefault="00AF05C9" w:rsidP="00AF05C9">
            <w:pPr>
              <w:pStyle w:val="BodyText3"/>
              <w:numPr>
                <w:ilvl w:val="0"/>
                <w:numId w:val="0"/>
              </w:numPr>
              <w:tabs>
                <w:tab w:val="clear" w:pos="90"/>
              </w:tabs>
              <w:ind w:left="72"/>
              <w:rPr>
                <w:rFonts w:cs="Arial"/>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lastRenderedPageBreak/>
              <w:t>4.3</w:t>
            </w:r>
          </w:p>
        </w:tc>
        <w:tc>
          <w:tcPr>
            <w:tcW w:w="4623" w:type="pct"/>
          </w:tcPr>
          <w:p w:rsidR="007307B1" w:rsidRDefault="007307B1" w:rsidP="007307B1">
            <w:pPr>
              <w:pStyle w:val="BodyText3"/>
              <w:ind w:left="72"/>
              <w:rPr>
                <w:rFonts w:cs="Arial"/>
                <w:b/>
                <w:lang w:val="en-US"/>
              </w:rPr>
            </w:pPr>
            <w:r w:rsidRPr="007307B1">
              <w:rPr>
                <w:rFonts w:cs="Arial"/>
                <w:b/>
                <w:lang w:val="en-US"/>
              </w:rPr>
              <w:t>Whistleblowing/ Public Interests Disclosure Act 1998</w:t>
            </w:r>
            <w:r>
              <w:rPr>
                <w:rFonts w:cs="Arial"/>
                <w:b/>
                <w:lang w:val="en-US"/>
              </w:rPr>
              <w:t>:</w:t>
            </w:r>
          </w:p>
          <w:p w:rsidR="007307B1" w:rsidRPr="007307B1" w:rsidRDefault="007307B1" w:rsidP="007307B1">
            <w:pPr>
              <w:pStyle w:val="BodyText3"/>
              <w:ind w:left="72"/>
              <w:rPr>
                <w:rFonts w:cs="Arial"/>
                <w:lang w:val="en-US"/>
              </w:rPr>
            </w:pPr>
            <w:r w:rsidRPr="007307B1">
              <w:rPr>
                <w:rFonts w:cs="Arial"/>
                <w:lang w:val="en-US"/>
              </w:rPr>
              <w:t>Whistleblowing   is   when   an   employee   notifies   their   employer,   professional regulator, customers, the police or the media about a dangerous or illegal activity in their workplace. Examples of such activities include: unlawful conduct, financial malpractice, breaches of codes of conduct, ill-treatment of patients/clients, and disregard for health and safety rules, dangers to the public or the environment or any other similar matter.</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Often it is only through whistleblowing that this information comes to light and can be addressed before real damage is done. Whistleblowing is a valuable activity which can positively influence all of our lives.  The  Trust  fully  endorses  the provisions  of  the Public Interest  Disclosure Act 1998  and  wishes  to  encourage anyone  having  reasonable  suspicions  of  fraud  to  report  them. The  Trust’s Management of Concerns (Whistleblowing)  Policy,  which  will  be  rigorously  enforced,  is  that  no  employee should   suffer   because   of   reporting   reasonably   held   suspicions   under   the provisions of the Act.</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NHS Fraud and Corruption Reporting Line (FCRL)</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 xml:space="preserve">If unable to talk to anyone within the Trust or the LCFS then staff/contractors </w:t>
            </w:r>
            <w:r w:rsidRPr="007307B1">
              <w:rPr>
                <w:rFonts w:cs="Arial"/>
                <w:b/>
                <w:lang w:val="en-US"/>
              </w:rPr>
              <w:t xml:space="preserve">can </w:t>
            </w:r>
            <w:r w:rsidRPr="007307B1">
              <w:rPr>
                <w:rFonts w:cs="Arial"/>
                <w:lang w:val="en-US"/>
              </w:rPr>
              <w:t>contact the</w:t>
            </w:r>
            <w:r w:rsidRPr="007307B1">
              <w:rPr>
                <w:rFonts w:cs="Arial"/>
                <w:b/>
                <w:lang w:val="en-US"/>
              </w:rPr>
              <w:t xml:space="preserve"> </w:t>
            </w:r>
            <w:hyperlink r:id="rId12" w:history="1">
              <w:r w:rsidRPr="007307B1">
                <w:rPr>
                  <w:rStyle w:val="Hyperlink"/>
                  <w:rFonts w:cs="Arial"/>
                  <w:b/>
                  <w:lang w:val="en-US"/>
                </w:rPr>
                <w:t xml:space="preserve">FCRL </w:t>
              </w:r>
            </w:hyperlink>
            <w:r w:rsidRPr="007307B1">
              <w:rPr>
                <w:rFonts w:cs="Arial"/>
                <w:lang w:val="en-US"/>
              </w:rPr>
              <w:t>website,</w:t>
            </w:r>
            <w:r w:rsidRPr="007307B1">
              <w:rPr>
                <w:rFonts w:cs="Arial"/>
                <w:b/>
                <w:lang w:val="en-US"/>
              </w:rPr>
              <w:t xml:space="preserve"> </w:t>
            </w:r>
            <w:hyperlink r:id="rId13" w:history="1">
              <w:r w:rsidRPr="007307B1">
                <w:rPr>
                  <w:rStyle w:val="Hyperlink"/>
                  <w:rFonts w:cs="Arial"/>
                  <w:b/>
                  <w:lang w:val="en-US"/>
                </w:rPr>
                <w:t>www.reportnhsfraud.nhs.uk</w:t>
              </w:r>
            </w:hyperlink>
            <w:r w:rsidRPr="007307B1">
              <w:rPr>
                <w:rFonts w:cs="Arial"/>
                <w:b/>
                <w:lang w:val="en-US"/>
              </w:rPr>
              <w:t xml:space="preserve">  </w:t>
            </w:r>
            <w:r w:rsidRPr="007307B1">
              <w:rPr>
                <w:rFonts w:cs="Arial"/>
                <w:lang w:val="en-US"/>
              </w:rPr>
              <w:t xml:space="preserve">or by telephoning </w:t>
            </w:r>
            <w:r w:rsidRPr="007307B1">
              <w:rPr>
                <w:rFonts w:cs="Arial"/>
                <w:b/>
                <w:lang w:val="en-US"/>
              </w:rPr>
              <w:t xml:space="preserve">0800 028 40 60.  </w:t>
            </w:r>
            <w:r w:rsidRPr="007307B1">
              <w:rPr>
                <w:rFonts w:cs="Arial"/>
                <w:lang w:val="en-US"/>
              </w:rPr>
              <w:t>Your call will be treated in confidence and you can remain anonymous.</w:t>
            </w:r>
          </w:p>
          <w:p w:rsidR="007307B1" w:rsidRPr="007307B1" w:rsidRDefault="007307B1" w:rsidP="007307B1">
            <w:pPr>
              <w:pStyle w:val="BodyText3"/>
              <w:ind w:left="72"/>
              <w:rPr>
                <w:rFonts w:cs="Arial"/>
                <w:b/>
                <w:lang w:val="en-US"/>
              </w:rPr>
            </w:pPr>
          </w:p>
          <w:p w:rsidR="007307B1" w:rsidRPr="007307B1" w:rsidRDefault="007307B1" w:rsidP="007307B1">
            <w:pPr>
              <w:pStyle w:val="BodyText3"/>
              <w:ind w:left="72"/>
              <w:rPr>
                <w:rFonts w:cs="Arial"/>
                <w:b/>
                <w:lang w:val="en-US"/>
              </w:rPr>
            </w:pPr>
            <w:r w:rsidRPr="007307B1">
              <w:rPr>
                <w:rFonts w:cs="Arial"/>
                <w:b/>
                <w:lang w:val="en-US"/>
              </w:rPr>
              <w:t>Independent Advice</w:t>
            </w:r>
          </w:p>
          <w:p w:rsidR="007307B1" w:rsidRPr="007307B1" w:rsidRDefault="007307B1" w:rsidP="007307B1">
            <w:pPr>
              <w:pStyle w:val="BodyText3"/>
              <w:ind w:left="72"/>
              <w:rPr>
                <w:rFonts w:cs="Arial"/>
                <w:b/>
                <w:lang w:val="en-US"/>
              </w:rPr>
            </w:pPr>
          </w:p>
          <w:p w:rsidR="007307B1" w:rsidRPr="007307B1" w:rsidRDefault="007307B1" w:rsidP="007307B1">
            <w:pPr>
              <w:pStyle w:val="BodyText3"/>
              <w:ind w:left="72"/>
              <w:rPr>
                <w:rFonts w:cs="Arial"/>
                <w:b/>
                <w:lang w:val="en-US"/>
              </w:rPr>
            </w:pPr>
            <w:r w:rsidRPr="007307B1">
              <w:rPr>
                <w:rFonts w:cs="Arial"/>
                <w:b/>
                <w:lang w:val="en-US"/>
              </w:rPr>
              <w:t xml:space="preserve">Public Concern at Work </w:t>
            </w:r>
            <w:r w:rsidRPr="007307B1">
              <w:rPr>
                <w:rFonts w:cs="Arial"/>
                <w:lang w:val="en-US"/>
              </w:rPr>
              <w:t>is an independent charity and legal advice centre which provides free  confidential  advice to  people concerned  about wrongdoing  in the workplace  but  who  are  unsure  whether  or  how  to  raise  the  matter. Further information can be found at</w:t>
            </w:r>
            <w:r w:rsidRPr="007307B1">
              <w:rPr>
                <w:rFonts w:cs="Arial"/>
                <w:b/>
                <w:lang w:val="en-US"/>
              </w:rPr>
              <w:t xml:space="preserve"> </w:t>
            </w:r>
            <w:hyperlink r:id="rId14" w:history="1">
              <w:r w:rsidRPr="007307B1">
                <w:rPr>
                  <w:rStyle w:val="Hyperlink"/>
                  <w:rFonts w:cs="Arial"/>
                  <w:b/>
                  <w:lang w:val="en-US"/>
                </w:rPr>
                <w:t>Public Concern at Work</w:t>
              </w:r>
            </w:hyperlink>
            <w:r w:rsidRPr="007307B1">
              <w:rPr>
                <w:rFonts w:cs="Arial"/>
                <w:b/>
                <w:lang w:val="en-US"/>
              </w:rPr>
              <w:t xml:space="preserve"> - Making Whistleblowing Work - 0207 404 6609</w:t>
            </w:r>
          </w:p>
          <w:p w:rsidR="00AF05C9" w:rsidRPr="00C268F5" w:rsidRDefault="00AF05C9" w:rsidP="00AF05C9">
            <w:pPr>
              <w:pStyle w:val="BodyText3"/>
              <w:numPr>
                <w:ilvl w:val="0"/>
                <w:numId w:val="0"/>
              </w:numPr>
              <w:tabs>
                <w:tab w:val="clear" w:pos="90"/>
              </w:tabs>
              <w:ind w:left="72"/>
              <w:rPr>
                <w:rFonts w:cs="Arial"/>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t>4.4</w:t>
            </w:r>
          </w:p>
        </w:tc>
        <w:tc>
          <w:tcPr>
            <w:tcW w:w="4623" w:type="pct"/>
          </w:tcPr>
          <w:p w:rsidR="007307B1" w:rsidRDefault="007307B1" w:rsidP="007307B1">
            <w:pPr>
              <w:pStyle w:val="BodyText3"/>
              <w:ind w:left="72"/>
              <w:rPr>
                <w:rFonts w:cs="Arial"/>
                <w:b/>
                <w:lang w:val="en-US"/>
              </w:rPr>
            </w:pPr>
            <w:r w:rsidRPr="007307B1">
              <w:rPr>
                <w:rFonts w:cs="Arial"/>
                <w:b/>
                <w:lang w:val="en-US"/>
              </w:rPr>
              <w:t>INVESTIGATION OF FRAUD</w:t>
            </w:r>
            <w:r>
              <w:rPr>
                <w:rFonts w:cs="Arial"/>
                <w:b/>
                <w:lang w:val="en-US"/>
              </w:rPr>
              <w:t>:</w:t>
            </w:r>
          </w:p>
          <w:p w:rsidR="007307B1" w:rsidRPr="007307B1" w:rsidRDefault="007307B1" w:rsidP="007307B1">
            <w:pPr>
              <w:pStyle w:val="BodyText3"/>
              <w:ind w:left="72"/>
              <w:rPr>
                <w:rFonts w:cs="Arial"/>
                <w:lang w:val="en-US"/>
              </w:rPr>
            </w:pPr>
            <w:r w:rsidRPr="007307B1">
              <w:rPr>
                <w:rFonts w:cs="Arial"/>
                <w:lang w:val="en-US"/>
              </w:rPr>
              <w:t>Where a referral concerning fraud, corruption or bribery has been made to the Director of Finance, the Director shall inform the LCFS at the first opportunity.  There is a protocol   for   the   referral,   acknowledgement,   investigation   and   reporting   of allegations.</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On receipt of a referral/ allegation of suspected fraud, the LCFS will assess the allegation to determine a course of action. This may involve making preliminary inquires such as obtaining information from the Trust systems.</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Where appropriate, the LCFS will seek agreement from the Director of Finance to carry out an investigation.</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The LCFS is responsible for investigating all instances of fraud in the Trust on behalf of the Director of Finance.</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The LCFS will regularly report to the Director of Finance on all fraud cases they investigate and at particular stages of individual investigations. In addition, the LCFS   will   provide   the   Audit   committee   with   quarterly   updates   as   to   the progression of investigations.</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Depending upon the nature of the investigation, the LCFS will normally work closely with management and other agencies such as the Police, to ensure that all matters are properly investigated and reported upon. Basically, the circumstances of each case will dictate who will be involved and when.</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The  detailed  arrangements  for  the  investigations  of  any  suspected  fraud  or corruption are contained in the NHS Counter Fraud and Corruption Manual, and within Trust’s  policies  e.g.  Disciplinary, Standing Financial Instructions. The  LCFS  will record   the   progress   of   the   investigation   and   conduct   the   investigation   in accordance with the legal codes of practices (Police and Criminal Evidence Act 1994,  Regulation  of  Investigatory  Powers  Act  2000,  Criminal  Procedures  and Investigation Act 1996. and other legislative requirements (e.g. Data Protection Act 1998).</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On  the  conclusion  of  the  investigation  the  LCFS  will  report  their  findings  and recommendations to the Director of Finance. The Director of Finance is the sole person who can determine whether or not any formal action is justified and what form  such  action  takes;  however,  guidance  can  be  sought  from  the  Chief Executive and the LCFS.</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If  the  Director of  Finance  decides that formal  action is  to  be taken  against  the subject(s)  of  an  investigation,  the  LCFS  will  comply  with   NHS Protect’s ‘Applying Appropriate Sanctions Consistently Policy’. This will involve using an appropriate combination of the sanctions described below:</w:t>
            </w:r>
          </w:p>
          <w:p w:rsidR="007307B1" w:rsidRPr="007307B1" w:rsidRDefault="007307B1" w:rsidP="007307B1">
            <w:pPr>
              <w:pStyle w:val="BodyText3"/>
              <w:ind w:left="72"/>
              <w:rPr>
                <w:rFonts w:cs="Arial"/>
                <w:lang w:val="en-US"/>
              </w:rPr>
            </w:pPr>
          </w:p>
          <w:p w:rsidR="007307B1" w:rsidRPr="007307B1" w:rsidRDefault="007307B1" w:rsidP="007307B1">
            <w:pPr>
              <w:pStyle w:val="BodyText3"/>
              <w:numPr>
                <w:ilvl w:val="1"/>
                <w:numId w:val="33"/>
              </w:numPr>
              <w:rPr>
                <w:rFonts w:cs="Arial"/>
                <w:lang w:val="en-US"/>
              </w:rPr>
            </w:pPr>
            <w:r w:rsidRPr="007307B1">
              <w:rPr>
                <w:rFonts w:cs="Arial"/>
                <w:lang w:val="en-US"/>
              </w:rPr>
              <w:t>Disciplinary action - Trust and/or professional regulatory body (warning, dismissal etc);</w:t>
            </w:r>
          </w:p>
          <w:p w:rsidR="007307B1" w:rsidRPr="007307B1" w:rsidRDefault="007307B1" w:rsidP="007307B1">
            <w:pPr>
              <w:pStyle w:val="BodyText3"/>
              <w:numPr>
                <w:ilvl w:val="1"/>
                <w:numId w:val="33"/>
              </w:numPr>
              <w:rPr>
                <w:rFonts w:cs="Arial"/>
                <w:lang w:val="en-US"/>
              </w:rPr>
            </w:pPr>
            <w:r w:rsidRPr="007307B1">
              <w:rPr>
                <w:rFonts w:cs="Arial"/>
                <w:lang w:val="en-US"/>
              </w:rPr>
              <w:t>Civil remedy – recover money, interest and costs;</w:t>
            </w:r>
          </w:p>
          <w:p w:rsidR="007307B1" w:rsidRPr="007307B1" w:rsidRDefault="007307B1" w:rsidP="007307B1">
            <w:pPr>
              <w:pStyle w:val="BodyText3"/>
              <w:numPr>
                <w:ilvl w:val="1"/>
                <w:numId w:val="33"/>
              </w:numPr>
              <w:rPr>
                <w:rFonts w:cs="Arial"/>
                <w:lang w:val="en-US"/>
              </w:rPr>
            </w:pPr>
            <w:r w:rsidRPr="007307B1">
              <w:rPr>
                <w:rFonts w:cs="Arial"/>
                <w:lang w:val="en-US"/>
              </w:rPr>
              <w:t>Criminal prosecution – which may result in imprisonment, community penalty, a fine, confiscation or compensation.</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The use of parallel sanctions or ‘triple-track’ approach helps to maximise the recovery of NHS funds and assets while minimising duplication of work.</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The Trust’s Disciplinary Procedures will be used where the outcome of the investigation indicates improper behaviour on part of employees. The LCFS shall liaise with the Director of Human Resources in providing evidence for Disciplinary Hearings.</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Where financial loss has been suffered through fraudulent activity, the Trust will pursue the perpetrator for recovery, including taking appropriate legal action where appropriate. The LCFS shall liaise with legal representatives and attend court as required.</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The LCFS will seek authorisation from the Director of Finance if a matter is to be reported to the Police.  The LCFS shall liaise with the police by providing a MG (Prosecution) File and participate in interviews, searches etc.  The LCFS shall attend court to give evidence and liaise with the Crown Prosecution Service as required.</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The LCFS acts on behalf of the Trust in the event of any formal action and must ensure there is co-ordination between the various parties involved such as where external legal advisors are used.</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When a fraud, bribery or corruption has occurred at the Trust, the LCFS will strengthen the   control   environment   in   which   the   event   occurred   by   identifying   and addressing  any  system  weaknesses  to  reduce  the  risk  of  any  such  an  event happening again.</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lastRenderedPageBreak/>
              <w:t>The   LCFS   is   required   to   advise NHS Protect of every investigation and refer appropriate matters to them.</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The Director of Finance shall maintain a record to contain:</w:t>
            </w:r>
          </w:p>
          <w:p w:rsidR="007307B1" w:rsidRPr="007307B1" w:rsidRDefault="007307B1" w:rsidP="007307B1">
            <w:pPr>
              <w:pStyle w:val="BodyText3"/>
              <w:ind w:left="72"/>
              <w:rPr>
                <w:rFonts w:cs="Arial"/>
                <w:lang w:val="en-US"/>
              </w:rPr>
            </w:pPr>
          </w:p>
          <w:p w:rsidR="007307B1" w:rsidRPr="007307B1" w:rsidRDefault="007307B1" w:rsidP="007307B1">
            <w:pPr>
              <w:pStyle w:val="BodyText3"/>
              <w:numPr>
                <w:ilvl w:val="1"/>
                <w:numId w:val="33"/>
              </w:numPr>
              <w:rPr>
                <w:rFonts w:cs="Arial"/>
                <w:lang w:val="en-US"/>
              </w:rPr>
            </w:pPr>
            <w:r w:rsidRPr="007307B1">
              <w:rPr>
                <w:rFonts w:cs="Arial"/>
                <w:lang w:val="en-US"/>
              </w:rPr>
              <w:t>details of all reported suspicions;</w:t>
            </w:r>
          </w:p>
          <w:p w:rsidR="007307B1" w:rsidRPr="007307B1" w:rsidRDefault="007307B1" w:rsidP="007307B1">
            <w:pPr>
              <w:pStyle w:val="BodyText3"/>
              <w:numPr>
                <w:ilvl w:val="1"/>
                <w:numId w:val="33"/>
              </w:numPr>
              <w:rPr>
                <w:rFonts w:cs="Arial"/>
                <w:lang w:val="en-US"/>
              </w:rPr>
            </w:pPr>
            <w:r w:rsidRPr="007307B1">
              <w:rPr>
                <w:rFonts w:cs="Arial"/>
                <w:lang w:val="en-US"/>
              </w:rPr>
              <w:t>details of subsequent actions taken and conclusions reached.</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lang w:val="en-US"/>
              </w:rPr>
            </w:pPr>
            <w:r w:rsidRPr="007307B1">
              <w:rPr>
                <w:rFonts w:cs="Arial"/>
                <w:lang w:val="en-US"/>
              </w:rPr>
              <w:t>This record will be reviewed by the Audit Committee at least once a year and any significant matters will be reported to the Trust Board.  The LCFS will have open access to the record. The record will be a confidential document and accessible only by authorised officers. The record is subject to the Data Protection Act 1998 particularly in relation to the retention and destruction of personal data.</w:t>
            </w:r>
          </w:p>
          <w:p w:rsidR="007307B1" w:rsidRPr="007307B1" w:rsidRDefault="007307B1" w:rsidP="007307B1">
            <w:pPr>
              <w:pStyle w:val="BodyText3"/>
              <w:ind w:left="72"/>
              <w:rPr>
                <w:rFonts w:cs="Arial"/>
                <w:lang w:val="en-US"/>
              </w:rPr>
            </w:pPr>
          </w:p>
          <w:p w:rsidR="007307B1" w:rsidRPr="007307B1" w:rsidRDefault="007307B1" w:rsidP="007307B1">
            <w:pPr>
              <w:pStyle w:val="BodyText3"/>
              <w:ind w:left="72"/>
              <w:rPr>
                <w:rFonts w:cs="Arial"/>
                <w:b/>
                <w:lang w:val="en-US"/>
              </w:rPr>
            </w:pPr>
            <w:r w:rsidRPr="007307B1">
              <w:rPr>
                <w:rFonts w:cs="Arial"/>
                <w:lang w:val="en-US"/>
              </w:rPr>
              <w:t>The Director of Finance is responsible for the smooth running of this protocol and where clarification is required his or her decision will be final.</w:t>
            </w:r>
          </w:p>
          <w:p w:rsidR="00AF05C9" w:rsidRPr="00C268F5" w:rsidRDefault="00AF05C9" w:rsidP="00AF05C9">
            <w:pPr>
              <w:pStyle w:val="BodyText3"/>
              <w:numPr>
                <w:ilvl w:val="0"/>
                <w:numId w:val="0"/>
              </w:numPr>
              <w:tabs>
                <w:tab w:val="clear" w:pos="90"/>
              </w:tabs>
              <w:ind w:left="72"/>
              <w:rPr>
                <w:rFonts w:cs="Arial"/>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lastRenderedPageBreak/>
              <w:t>4.5</w:t>
            </w:r>
          </w:p>
        </w:tc>
        <w:tc>
          <w:tcPr>
            <w:tcW w:w="4623" w:type="pct"/>
          </w:tcPr>
          <w:p w:rsidR="00AF05C9" w:rsidRDefault="00C73041" w:rsidP="00C73041">
            <w:pPr>
              <w:pStyle w:val="BodyText3"/>
              <w:numPr>
                <w:ilvl w:val="0"/>
                <w:numId w:val="0"/>
              </w:numPr>
              <w:tabs>
                <w:tab w:val="clear" w:pos="90"/>
              </w:tabs>
              <w:rPr>
                <w:rFonts w:cs="Arial"/>
                <w:b/>
              </w:rPr>
            </w:pPr>
            <w:r w:rsidRPr="00C73041">
              <w:rPr>
                <w:rFonts w:cs="Arial"/>
                <w:b/>
              </w:rPr>
              <w:t>Review:</w:t>
            </w:r>
          </w:p>
          <w:p w:rsidR="00C73041" w:rsidRDefault="00142136" w:rsidP="00C73041">
            <w:pPr>
              <w:pStyle w:val="BodyText3"/>
              <w:numPr>
                <w:ilvl w:val="0"/>
                <w:numId w:val="0"/>
              </w:numPr>
              <w:tabs>
                <w:tab w:val="clear" w:pos="90"/>
              </w:tabs>
              <w:rPr>
                <w:rFonts w:cs="Arial"/>
              </w:rPr>
            </w:pPr>
            <w:r>
              <w:rPr>
                <w:rFonts w:cs="Arial"/>
              </w:rPr>
              <w:t>T</w:t>
            </w:r>
            <w:r w:rsidR="00C73041">
              <w:rPr>
                <w:rFonts w:cs="Arial"/>
              </w:rPr>
              <w:t>his policy will be subject to review every three years.</w:t>
            </w:r>
          </w:p>
          <w:p w:rsidR="00142136" w:rsidRPr="00C73041" w:rsidRDefault="00142136" w:rsidP="00C73041">
            <w:pPr>
              <w:pStyle w:val="BodyText3"/>
              <w:numPr>
                <w:ilvl w:val="0"/>
                <w:numId w:val="0"/>
              </w:numPr>
              <w:tabs>
                <w:tab w:val="clear" w:pos="90"/>
              </w:tabs>
              <w:rPr>
                <w:rFonts w:cs="Arial"/>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t>4.6</w:t>
            </w:r>
          </w:p>
        </w:tc>
        <w:tc>
          <w:tcPr>
            <w:tcW w:w="4623" w:type="pct"/>
          </w:tcPr>
          <w:p w:rsidR="00AF05C9" w:rsidRDefault="00C73041" w:rsidP="00AF05C9">
            <w:pPr>
              <w:jc w:val="both"/>
              <w:rPr>
                <w:rFonts w:cs="Arial"/>
                <w:b/>
                <w:sz w:val="20"/>
              </w:rPr>
            </w:pPr>
            <w:r w:rsidRPr="00C73041">
              <w:rPr>
                <w:rFonts w:cs="Arial"/>
                <w:b/>
                <w:sz w:val="20"/>
              </w:rPr>
              <w:t>Implementation Process:</w:t>
            </w:r>
          </w:p>
          <w:p w:rsidR="00C73041" w:rsidRDefault="00C73041" w:rsidP="00C73041">
            <w:pPr>
              <w:jc w:val="both"/>
              <w:rPr>
                <w:rFonts w:cs="Arial"/>
                <w:sz w:val="20"/>
              </w:rPr>
            </w:pPr>
            <w:r w:rsidRPr="00C73041">
              <w:rPr>
                <w:rFonts w:cs="Arial"/>
                <w:sz w:val="20"/>
              </w:rPr>
              <w:t xml:space="preserve">The policy will be published on the Trust website </w:t>
            </w:r>
            <w:r>
              <w:rPr>
                <w:rFonts w:cs="Arial"/>
                <w:sz w:val="20"/>
              </w:rPr>
              <w:t xml:space="preserve">and intranet </w:t>
            </w:r>
            <w:r w:rsidRPr="00C73041">
              <w:rPr>
                <w:rFonts w:cs="Arial"/>
                <w:sz w:val="20"/>
              </w:rPr>
              <w:t xml:space="preserve">and all staff will be made aware of it via the Trust weekly bulletin. New staff joining the Trust will be informed of the policy via the counter fraud induction </w:t>
            </w:r>
            <w:r>
              <w:rPr>
                <w:rFonts w:cs="Arial"/>
                <w:sz w:val="20"/>
              </w:rPr>
              <w:t>training session and e-learning module.</w:t>
            </w:r>
          </w:p>
          <w:p w:rsidR="00142136" w:rsidRPr="00C73041" w:rsidRDefault="00142136" w:rsidP="00C73041">
            <w:pPr>
              <w:jc w:val="both"/>
              <w:rPr>
                <w:rFonts w:cs="Arial"/>
                <w:b/>
                <w:sz w:val="20"/>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t>4.7</w:t>
            </w:r>
          </w:p>
        </w:tc>
        <w:tc>
          <w:tcPr>
            <w:tcW w:w="4623" w:type="pct"/>
          </w:tcPr>
          <w:p w:rsidR="00AF05C9" w:rsidRDefault="00C73041" w:rsidP="00AF05C9">
            <w:pPr>
              <w:jc w:val="both"/>
              <w:rPr>
                <w:rFonts w:cs="Arial"/>
                <w:b/>
                <w:sz w:val="20"/>
              </w:rPr>
            </w:pPr>
            <w:r>
              <w:rPr>
                <w:rFonts w:cs="Arial"/>
                <w:b/>
                <w:sz w:val="20"/>
              </w:rPr>
              <w:t>Monitoring Arrangements:</w:t>
            </w:r>
          </w:p>
          <w:p w:rsidR="00C73041" w:rsidRDefault="00C73041" w:rsidP="00C73041">
            <w:pPr>
              <w:rPr>
                <w:rFonts w:cs="Arial"/>
                <w:sz w:val="20"/>
              </w:rPr>
            </w:pPr>
            <w:r w:rsidRPr="00C73041">
              <w:rPr>
                <w:rFonts w:cs="Arial"/>
                <w:sz w:val="20"/>
              </w:rPr>
              <w:t>Regular  audits  will  be  carried  out  to  ensure  that  staff  have  adhered  to  the principles of this policy and reported to the relevant forum.</w:t>
            </w:r>
          </w:p>
          <w:p w:rsidR="00142136" w:rsidRPr="00C268F5" w:rsidDel="00F66B66" w:rsidRDefault="00142136" w:rsidP="00C73041">
            <w:pPr>
              <w:rPr>
                <w:rFonts w:cs="Arial"/>
                <w:b/>
                <w:sz w:val="20"/>
              </w:rPr>
            </w:pPr>
          </w:p>
        </w:tc>
      </w:tr>
      <w:tr w:rsidR="00AF05C9" w:rsidRPr="00C268F5" w:rsidTr="009C42E3">
        <w:tc>
          <w:tcPr>
            <w:tcW w:w="377" w:type="pct"/>
          </w:tcPr>
          <w:p w:rsidR="00AF05C9" w:rsidRPr="00C268F5" w:rsidRDefault="00AF05C9" w:rsidP="00AF05C9">
            <w:pPr>
              <w:rPr>
                <w:rFonts w:cs="Arial"/>
                <w:sz w:val="20"/>
              </w:rPr>
            </w:pPr>
            <w:r w:rsidRPr="00C268F5">
              <w:rPr>
                <w:rFonts w:cs="Arial"/>
                <w:sz w:val="20"/>
              </w:rPr>
              <w:t>4.8</w:t>
            </w:r>
          </w:p>
        </w:tc>
        <w:tc>
          <w:tcPr>
            <w:tcW w:w="4623" w:type="pct"/>
          </w:tcPr>
          <w:p w:rsidR="00AF05C9" w:rsidRDefault="00C73041" w:rsidP="00AF05C9">
            <w:pPr>
              <w:jc w:val="both"/>
              <w:rPr>
                <w:rFonts w:cs="Arial"/>
                <w:b/>
                <w:sz w:val="20"/>
              </w:rPr>
            </w:pPr>
            <w:r w:rsidRPr="00C73041">
              <w:rPr>
                <w:rFonts w:cs="Arial"/>
                <w:b/>
                <w:sz w:val="20"/>
              </w:rPr>
              <w:t>Equality Statement:</w:t>
            </w:r>
          </w:p>
          <w:p w:rsidR="00634701" w:rsidRPr="00634701" w:rsidRDefault="00634701" w:rsidP="00634701">
            <w:pPr>
              <w:jc w:val="both"/>
              <w:rPr>
                <w:rFonts w:cs="Arial"/>
                <w:sz w:val="20"/>
              </w:rPr>
            </w:pPr>
            <w:r w:rsidRPr="00634701">
              <w:rPr>
                <w:rFonts w:cs="Arial"/>
                <w:sz w:val="20"/>
              </w:rPr>
              <w:t xml:space="preserve">This policy reflects the </w:t>
            </w:r>
            <w:r>
              <w:rPr>
                <w:rFonts w:cs="Arial"/>
                <w:sz w:val="20"/>
              </w:rPr>
              <w:t>Trust</w:t>
            </w:r>
            <w:r w:rsidRPr="00634701">
              <w:rPr>
                <w:rFonts w:cs="Arial"/>
                <w:sz w:val="20"/>
              </w:rPr>
              <w:t xml:space="preserve">’s determination to ensure that all parts of our community have equality of access to services and that everyone receives a high standard of service as a service user, a carer or employee.  This policy anticipates and encompasses the Trust’s commitment to prevent discrimination on any illegal or inappropriate basis and recognise and respond to the needs of individuals based on good communication and best practice.  We recognise that some groups of the population are more at risk of discrimination or less able to access services than others and that services can often unintentionally put barriers in place that can limit or prevent access.  The organisation is continually working to prevent this from happening. </w:t>
            </w:r>
          </w:p>
          <w:p w:rsidR="00C73041" w:rsidRDefault="00634701" w:rsidP="00811687">
            <w:pPr>
              <w:jc w:val="both"/>
              <w:rPr>
                <w:rFonts w:cs="Arial"/>
                <w:sz w:val="20"/>
              </w:rPr>
            </w:pPr>
            <w:r w:rsidRPr="00634701">
              <w:rPr>
                <w:rFonts w:cs="Arial"/>
                <w:sz w:val="20"/>
              </w:rPr>
              <w:t>The Trust’s vision and mission is to ensure that everyone lives the life they want, and  that  no  individual  member  of  staff,  service  users/carers  and  visitors,  is treated  unfairly  regardless  of  their  race,  gender,  disability,  religion  or  belief system, age or sexual orientation.</w:t>
            </w:r>
          </w:p>
          <w:p w:rsidR="00142136" w:rsidRPr="00C73041" w:rsidRDefault="00142136" w:rsidP="00811687">
            <w:pPr>
              <w:jc w:val="both"/>
              <w:rPr>
                <w:rFonts w:cs="Arial"/>
                <w:b/>
                <w:sz w:val="20"/>
              </w:rPr>
            </w:pPr>
          </w:p>
        </w:tc>
      </w:tr>
      <w:tr w:rsidR="00AF05C9" w:rsidRPr="00C268F5" w:rsidTr="009C42E3">
        <w:trPr>
          <w:cantSplit/>
          <w:trHeight w:hRule="exact" w:val="360"/>
        </w:trPr>
        <w:tc>
          <w:tcPr>
            <w:tcW w:w="5000" w:type="pct"/>
            <w:gridSpan w:val="2"/>
            <w:shd w:val="pct20" w:color="0000FF" w:fill="0000FF"/>
            <w:vAlign w:val="center"/>
          </w:tcPr>
          <w:p w:rsidR="00AF05C9" w:rsidRPr="00C268F5" w:rsidRDefault="00AF05C9" w:rsidP="00AF05C9">
            <w:pPr>
              <w:rPr>
                <w:rFonts w:cs="Arial"/>
                <w:b/>
              </w:rPr>
            </w:pPr>
            <w:r w:rsidRPr="00C268F5">
              <w:rPr>
                <w:rFonts w:cs="Arial"/>
                <w:b/>
              </w:rPr>
              <w:t xml:space="preserve">5         Training </w:t>
            </w:r>
          </w:p>
        </w:tc>
      </w:tr>
      <w:tr w:rsidR="00AF05C9" w:rsidRPr="00C268F5" w:rsidTr="009C42E3">
        <w:tc>
          <w:tcPr>
            <w:tcW w:w="377" w:type="pct"/>
          </w:tcPr>
          <w:p w:rsidR="00AF05C9" w:rsidRPr="00C268F5" w:rsidRDefault="00AF05C9" w:rsidP="00AF05C9">
            <w:pPr>
              <w:rPr>
                <w:rFonts w:cs="Arial"/>
                <w:sz w:val="20"/>
              </w:rPr>
            </w:pPr>
          </w:p>
          <w:p w:rsidR="00AF05C9" w:rsidRPr="00C268F5" w:rsidRDefault="00AF05C9" w:rsidP="00AF05C9">
            <w:pPr>
              <w:rPr>
                <w:rFonts w:cs="Arial"/>
                <w:sz w:val="20"/>
              </w:rPr>
            </w:pPr>
            <w:r w:rsidRPr="00C268F5">
              <w:rPr>
                <w:rFonts w:cs="Arial"/>
                <w:sz w:val="20"/>
              </w:rPr>
              <w:t>5.1</w:t>
            </w:r>
          </w:p>
        </w:tc>
        <w:tc>
          <w:tcPr>
            <w:tcW w:w="4623" w:type="pct"/>
          </w:tcPr>
          <w:p w:rsidR="00AF05C9" w:rsidRPr="00C268F5" w:rsidRDefault="00AF05C9" w:rsidP="00AF05C9">
            <w:pPr>
              <w:pStyle w:val="BodyText3"/>
              <w:tabs>
                <w:tab w:val="clear" w:pos="90"/>
                <w:tab w:val="left" w:pos="12"/>
              </w:tabs>
              <w:ind w:left="12"/>
              <w:rPr>
                <w:rFonts w:cs="Arial"/>
              </w:rPr>
            </w:pPr>
          </w:p>
          <w:p w:rsidR="00AF05C9" w:rsidRDefault="00811687" w:rsidP="00811687">
            <w:pPr>
              <w:pStyle w:val="BodyText3"/>
              <w:tabs>
                <w:tab w:val="clear" w:pos="90"/>
                <w:tab w:val="left" w:pos="12"/>
              </w:tabs>
              <w:ind w:left="12"/>
              <w:rPr>
                <w:rFonts w:cs="Arial"/>
                <w:bCs/>
              </w:rPr>
            </w:pPr>
            <w:r w:rsidRPr="00811687">
              <w:rPr>
                <w:rFonts w:cs="Arial"/>
                <w:bCs/>
              </w:rPr>
              <w:t>Counter Fraud will be covered in the induction programme for all new staff. Additional bespoke awareness sessions are available to staff/wards/departments/teams at any time during the year on request to the Local Counter Fraud Specialist</w:t>
            </w:r>
            <w:r>
              <w:rPr>
                <w:rFonts w:cs="Arial"/>
                <w:bCs/>
              </w:rPr>
              <w:t>.</w:t>
            </w:r>
          </w:p>
          <w:p w:rsidR="00142136" w:rsidRPr="00C268F5" w:rsidRDefault="00142136" w:rsidP="00811687">
            <w:pPr>
              <w:pStyle w:val="BodyText3"/>
              <w:tabs>
                <w:tab w:val="clear" w:pos="90"/>
                <w:tab w:val="left" w:pos="12"/>
              </w:tabs>
              <w:ind w:left="12"/>
              <w:rPr>
                <w:rFonts w:cs="Arial"/>
              </w:rPr>
            </w:pPr>
          </w:p>
        </w:tc>
      </w:tr>
      <w:tr w:rsidR="00AF05C9" w:rsidRPr="00C268F5" w:rsidTr="009C42E3">
        <w:tc>
          <w:tcPr>
            <w:tcW w:w="377" w:type="pct"/>
          </w:tcPr>
          <w:p w:rsidR="00AF05C9" w:rsidRPr="00C268F5" w:rsidRDefault="00AF05C9" w:rsidP="00AF05C9">
            <w:pPr>
              <w:jc w:val="both"/>
              <w:rPr>
                <w:rFonts w:cs="Arial"/>
                <w:sz w:val="20"/>
              </w:rPr>
            </w:pPr>
            <w:r w:rsidRPr="00C268F5">
              <w:rPr>
                <w:rFonts w:cs="Arial"/>
                <w:sz w:val="20"/>
              </w:rPr>
              <w:t>5.2</w:t>
            </w:r>
          </w:p>
        </w:tc>
        <w:tc>
          <w:tcPr>
            <w:tcW w:w="4623" w:type="pct"/>
          </w:tcPr>
          <w:p w:rsidR="00AF05C9" w:rsidRDefault="00AF05C9" w:rsidP="00811687">
            <w:pPr>
              <w:pStyle w:val="PlainText"/>
              <w:jc w:val="both"/>
              <w:rPr>
                <w:rFonts w:ascii="Arial" w:eastAsia="MS Mincho" w:hAnsi="Arial" w:cs="Arial"/>
              </w:rPr>
            </w:pPr>
            <w:r w:rsidRPr="00C268F5">
              <w:rPr>
                <w:rFonts w:ascii="Arial" w:eastAsia="MS Mincho" w:hAnsi="Arial" w:cs="Arial"/>
              </w:rPr>
              <w:t xml:space="preserve">Further information, guidance or assistance in relation to this policy and procedures can be sought from the </w:t>
            </w:r>
            <w:r w:rsidR="00811687">
              <w:rPr>
                <w:rFonts w:ascii="Arial" w:eastAsia="MS Mincho" w:hAnsi="Arial" w:cs="Arial"/>
              </w:rPr>
              <w:t>Local Counter Fraud Specialist</w:t>
            </w:r>
            <w:r w:rsidRPr="00C268F5">
              <w:rPr>
                <w:rFonts w:ascii="Arial" w:eastAsia="MS Mincho" w:hAnsi="Arial" w:cs="Arial"/>
              </w:rPr>
              <w:t>.</w:t>
            </w:r>
          </w:p>
          <w:p w:rsidR="00142136" w:rsidRPr="00C268F5" w:rsidRDefault="00142136" w:rsidP="00811687">
            <w:pPr>
              <w:pStyle w:val="PlainText"/>
              <w:jc w:val="both"/>
              <w:rPr>
                <w:rFonts w:cs="Arial"/>
              </w:rPr>
            </w:pPr>
          </w:p>
        </w:tc>
      </w:tr>
      <w:tr w:rsidR="00AF05C9" w:rsidRPr="00C268F5" w:rsidTr="009C42E3">
        <w:trPr>
          <w:cantSplit/>
          <w:trHeight w:hRule="exact" w:val="360"/>
        </w:trPr>
        <w:tc>
          <w:tcPr>
            <w:tcW w:w="5000" w:type="pct"/>
            <w:gridSpan w:val="2"/>
            <w:shd w:val="pct20" w:color="0000FF" w:fill="0000FF"/>
            <w:vAlign w:val="center"/>
          </w:tcPr>
          <w:p w:rsidR="00AF05C9" w:rsidRPr="00C268F5" w:rsidRDefault="00AF05C9" w:rsidP="00811687">
            <w:pPr>
              <w:rPr>
                <w:rFonts w:cs="Arial"/>
                <w:b/>
              </w:rPr>
            </w:pPr>
            <w:r w:rsidRPr="00C268F5">
              <w:rPr>
                <w:rFonts w:cs="Arial"/>
                <w:b/>
              </w:rPr>
              <w:t>6</w:t>
            </w:r>
            <w:r w:rsidRPr="00C268F5">
              <w:rPr>
                <w:rFonts w:cs="Arial"/>
                <w:b/>
              </w:rPr>
              <w:tab/>
            </w:r>
            <w:r w:rsidR="00811687">
              <w:rPr>
                <w:rFonts w:cs="Arial"/>
                <w:b/>
              </w:rPr>
              <w:t>External References</w:t>
            </w:r>
          </w:p>
        </w:tc>
      </w:tr>
      <w:tr w:rsidR="00AF05C9" w:rsidRPr="00C268F5" w:rsidTr="009C42E3">
        <w:tc>
          <w:tcPr>
            <w:tcW w:w="377" w:type="pct"/>
          </w:tcPr>
          <w:p w:rsidR="00AF05C9" w:rsidRPr="00C268F5" w:rsidRDefault="00AF05C9" w:rsidP="00AF05C9">
            <w:pPr>
              <w:rPr>
                <w:rFonts w:cs="Arial"/>
                <w:sz w:val="20"/>
              </w:rPr>
            </w:pPr>
          </w:p>
          <w:p w:rsidR="00AF05C9" w:rsidRPr="00C268F5" w:rsidRDefault="00AF05C9" w:rsidP="00AF05C9">
            <w:pPr>
              <w:rPr>
                <w:rFonts w:cs="Arial"/>
                <w:sz w:val="20"/>
              </w:rPr>
            </w:pPr>
            <w:r w:rsidRPr="00C268F5">
              <w:rPr>
                <w:rFonts w:cs="Arial"/>
                <w:sz w:val="20"/>
              </w:rPr>
              <w:t>6.1</w:t>
            </w:r>
          </w:p>
        </w:tc>
        <w:tc>
          <w:tcPr>
            <w:tcW w:w="4623" w:type="pct"/>
          </w:tcPr>
          <w:p w:rsidR="00AF05C9" w:rsidRPr="00C268F5" w:rsidRDefault="00AF05C9" w:rsidP="00AF05C9">
            <w:pPr>
              <w:ind w:left="720"/>
              <w:jc w:val="both"/>
              <w:rPr>
                <w:rFonts w:cs="Arial"/>
                <w:sz w:val="20"/>
              </w:rPr>
            </w:pPr>
          </w:p>
          <w:p w:rsidR="00811687" w:rsidRPr="00811687" w:rsidRDefault="004361B5" w:rsidP="00811687">
            <w:pPr>
              <w:pStyle w:val="ListParagraph"/>
              <w:numPr>
                <w:ilvl w:val="0"/>
                <w:numId w:val="35"/>
              </w:numPr>
              <w:rPr>
                <w:rFonts w:cs="Arial"/>
                <w:bCs/>
                <w:sz w:val="20"/>
              </w:rPr>
            </w:pPr>
            <w:hyperlink r:id="rId15" w:history="1">
              <w:r w:rsidR="00811687" w:rsidRPr="00811687">
                <w:rPr>
                  <w:rStyle w:val="Hyperlink"/>
                  <w:rFonts w:cs="Arial"/>
                  <w:bCs/>
                  <w:sz w:val="20"/>
                </w:rPr>
                <w:t>Fraud Act 2006</w:t>
              </w:r>
            </w:hyperlink>
          </w:p>
          <w:p w:rsidR="00811687" w:rsidRPr="00811687" w:rsidRDefault="004361B5" w:rsidP="00811687">
            <w:pPr>
              <w:pStyle w:val="ListParagraph"/>
              <w:numPr>
                <w:ilvl w:val="0"/>
                <w:numId w:val="35"/>
              </w:numPr>
              <w:rPr>
                <w:rFonts w:cs="Arial"/>
                <w:bCs/>
                <w:sz w:val="20"/>
              </w:rPr>
            </w:pPr>
            <w:hyperlink r:id="rId16" w:history="1">
              <w:r w:rsidR="00811687" w:rsidRPr="00811687">
                <w:rPr>
                  <w:rStyle w:val="Hyperlink"/>
                  <w:rFonts w:cs="Arial"/>
                  <w:bCs/>
                  <w:sz w:val="20"/>
                </w:rPr>
                <w:t>Bribery Act 2010</w:t>
              </w:r>
            </w:hyperlink>
          </w:p>
          <w:p w:rsidR="00811687" w:rsidRPr="00811687" w:rsidRDefault="004361B5" w:rsidP="00811687">
            <w:pPr>
              <w:pStyle w:val="ListParagraph"/>
              <w:numPr>
                <w:ilvl w:val="0"/>
                <w:numId w:val="35"/>
              </w:numPr>
              <w:rPr>
                <w:rFonts w:cs="Arial"/>
                <w:bCs/>
                <w:sz w:val="20"/>
              </w:rPr>
            </w:pPr>
            <w:hyperlink r:id="rId17" w:history="1">
              <w:r w:rsidR="00811687" w:rsidRPr="00811687">
                <w:rPr>
                  <w:rStyle w:val="Hyperlink"/>
                  <w:rFonts w:cs="Arial"/>
                  <w:bCs/>
                  <w:sz w:val="20"/>
                </w:rPr>
                <w:t xml:space="preserve">NHS Protect </w:t>
              </w:r>
            </w:hyperlink>
          </w:p>
          <w:p w:rsidR="00811687" w:rsidRPr="00811687" w:rsidRDefault="00811687" w:rsidP="00811687">
            <w:pPr>
              <w:pStyle w:val="ListParagraph"/>
              <w:numPr>
                <w:ilvl w:val="0"/>
                <w:numId w:val="35"/>
              </w:numPr>
              <w:rPr>
                <w:rFonts w:cs="Arial"/>
                <w:sz w:val="20"/>
              </w:rPr>
            </w:pPr>
            <w:r>
              <w:rPr>
                <w:rFonts w:cs="Arial"/>
                <w:sz w:val="20"/>
              </w:rPr>
              <w:t>Management of Concern</w:t>
            </w:r>
            <w:r w:rsidRPr="00811687">
              <w:rPr>
                <w:rFonts w:cs="Arial"/>
                <w:sz w:val="20"/>
              </w:rPr>
              <w:t>s (Whistleblowing) Policy</w:t>
            </w:r>
          </w:p>
          <w:p w:rsidR="00811687" w:rsidRPr="00811687" w:rsidRDefault="00811687" w:rsidP="00811687">
            <w:pPr>
              <w:pStyle w:val="ListParagraph"/>
              <w:numPr>
                <w:ilvl w:val="0"/>
                <w:numId w:val="35"/>
              </w:numPr>
              <w:rPr>
                <w:rFonts w:cs="Arial"/>
                <w:sz w:val="20"/>
              </w:rPr>
            </w:pPr>
            <w:r w:rsidRPr="00811687">
              <w:rPr>
                <w:rFonts w:cs="Arial"/>
                <w:sz w:val="20"/>
              </w:rPr>
              <w:t>Code of Conduct</w:t>
            </w:r>
          </w:p>
          <w:p w:rsidR="00AF05C9" w:rsidRPr="00142136" w:rsidRDefault="00811687" w:rsidP="00962808">
            <w:pPr>
              <w:pStyle w:val="ListParagraph"/>
              <w:numPr>
                <w:ilvl w:val="0"/>
                <w:numId w:val="35"/>
              </w:numPr>
              <w:rPr>
                <w:rFonts w:cs="Arial"/>
                <w:sz w:val="20"/>
              </w:rPr>
            </w:pPr>
            <w:r w:rsidRPr="00142136">
              <w:rPr>
                <w:rFonts w:cs="Arial"/>
                <w:sz w:val="20"/>
              </w:rPr>
              <w:t>Disciplinary Policy</w:t>
            </w:r>
          </w:p>
          <w:p w:rsidR="00AF05C9" w:rsidRPr="00C268F5" w:rsidRDefault="00AF05C9" w:rsidP="00AF05C9">
            <w:pPr>
              <w:ind w:left="720"/>
              <w:jc w:val="both"/>
              <w:rPr>
                <w:rFonts w:cs="Arial"/>
                <w:sz w:val="20"/>
              </w:rPr>
            </w:pPr>
          </w:p>
        </w:tc>
      </w:tr>
    </w:tbl>
    <w:p w:rsidR="002063DE" w:rsidRPr="00C268F5" w:rsidRDefault="002063DE">
      <w:pPr>
        <w:rPr>
          <w:rFonts w:cs="Arial"/>
        </w:rPr>
        <w:sectPr w:rsidR="002063DE" w:rsidRPr="00C268F5" w:rsidSect="00C64C27">
          <w:headerReference w:type="default" r:id="rId18"/>
          <w:footerReference w:type="default" r:id="rId19"/>
          <w:type w:val="oddPage"/>
          <w:pgSz w:w="11907" w:h="16840" w:code="9"/>
          <w:pgMar w:top="1440" w:right="1797" w:bottom="1440" w:left="1797" w:header="720" w:footer="720" w:gutter="0"/>
          <w:pgNumType w:start="1"/>
          <w:cols w:space="720"/>
          <w:noEndnote/>
          <w:docGrid w:linePitch="326"/>
        </w:sectPr>
      </w:pPr>
    </w:p>
    <w:p w:rsidR="002063DE" w:rsidRPr="00C268F5" w:rsidRDefault="002063DE">
      <w:pPr>
        <w:rPr>
          <w:rFonts w:cs="Arial"/>
        </w:rPr>
      </w:pPr>
    </w:p>
    <w:tbl>
      <w:tblPr>
        <w:tblW w:w="13200" w:type="dxa"/>
        <w:tblInd w:w="-12" w:type="dxa"/>
        <w:tblLayout w:type="fixed"/>
        <w:tblLook w:val="0000" w:firstRow="0" w:lastRow="0" w:firstColumn="0" w:lastColumn="0" w:noHBand="0" w:noVBand="0"/>
      </w:tblPr>
      <w:tblGrid>
        <w:gridCol w:w="13200"/>
      </w:tblGrid>
      <w:tr w:rsidR="00315857" w:rsidRPr="00C268F5" w:rsidTr="002063DE">
        <w:trPr>
          <w:cantSplit/>
          <w:trHeight w:hRule="exact" w:val="360"/>
        </w:trPr>
        <w:tc>
          <w:tcPr>
            <w:tcW w:w="13200" w:type="dxa"/>
            <w:shd w:val="pct20" w:color="0000FF" w:fill="0000FF"/>
            <w:vAlign w:val="center"/>
          </w:tcPr>
          <w:p w:rsidR="00315857" w:rsidRPr="00C268F5" w:rsidRDefault="002063DE" w:rsidP="00977106">
            <w:pPr>
              <w:rPr>
                <w:rFonts w:cs="Arial"/>
                <w:b/>
              </w:rPr>
            </w:pPr>
            <w:r w:rsidRPr="00C268F5">
              <w:rPr>
                <w:rFonts w:cs="Arial"/>
              </w:rPr>
              <w:br w:type="page"/>
            </w:r>
            <w:r w:rsidRPr="00C268F5">
              <w:rPr>
                <w:rFonts w:cs="Arial"/>
                <w:b/>
              </w:rPr>
              <w:t>7</w:t>
            </w:r>
            <w:r w:rsidR="00315857" w:rsidRPr="00C268F5">
              <w:rPr>
                <w:rFonts w:cs="Arial"/>
                <w:b/>
              </w:rPr>
              <w:tab/>
              <w:t>Monitoring and evaluation</w:t>
            </w:r>
          </w:p>
        </w:tc>
      </w:tr>
    </w:tbl>
    <w:p w:rsidR="00315857" w:rsidRPr="00C268F5" w:rsidRDefault="00315857" w:rsidP="00315857">
      <w:pPr>
        <w:rPr>
          <w:rFonts w:cs="Arial"/>
        </w:rPr>
      </w:pPr>
    </w:p>
    <w:p w:rsidR="002063DE" w:rsidRPr="00C268F5" w:rsidRDefault="002063DE" w:rsidP="002063D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2002"/>
        <w:gridCol w:w="2099"/>
        <w:gridCol w:w="1948"/>
        <w:gridCol w:w="1966"/>
        <w:gridCol w:w="1645"/>
        <w:gridCol w:w="1353"/>
      </w:tblGrid>
      <w:tr w:rsidR="002063DE" w:rsidRPr="00C268F5" w:rsidTr="00C242D2">
        <w:tc>
          <w:tcPr>
            <w:tcW w:w="2163" w:type="dxa"/>
          </w:tcPr>
          <w:p w:rsidR="002063DE" w:rsidRPr="00C268F5" w:rsidRDefault="002063DE" w:rsidP="00362E82">
            <w:pPr>
              <w:rPr>
                <w:rFonts w:cs="Arial"/>
              </w:rPr>
            </w:pPr>
            <w:r w:rsidRPr="00C268F5">
              <w:rPr>
                <w:rFonts w:cs="Arial"/>
              </w:rPr>
              <w:t xml:space="preserve">Criteria </w:t>
            </w:r>
          </w:p>
        </w:tc>
        <w:tc>
          <w:tcPr>
            <w:tcW w:w="2002" w:type="dxa"/>
          </w:tcPr>
          <w:p w:rsidR="002063DE" w:rsidRPr="00C268F5" w:rsidRDefault="002063DE" w:rsidP="00362E82">
            <w:pPr>
              <w:rPr>
                <w:rFonts w:cs="Arial"/>
              </w:rPr>
            </w:pPr>
            <w:r w:rsidRPr="00C268F5">
              <w:rPr>
                <w:rFonts w:cs="Arial"/>
              </w:rPr>
              <w:t>Measurable</w:t>
            </w:r>
          </w:p>
          <w:p w:rsidR="002063DE" w:rsidRPr="00C268F5" w:rsidRDefault="002063DE" w:rsidP="00362E82">
            <w:pPr>
              <w:rPr>
                <w:rFonts w:cs="Arial"/>
              </w:rPr>
            </w:pPr>
          </w:p>
        </w:tc>
        <w:tc>
          <w:tcPr>
            <w:tcW w:w="2099" w:type="dxa"/>
          </w:tcPr>
          <w:p w:rsidR="002063DE" w:rsidRPr="00C268F5" w:rsidRDefault="002063DE" w:rsidP="00362E82">
            <w:pPr>
              <w:rPr>
                <w:rFonts w:cs="Arial"/>
              </w:rPr>
            </w:pPr>
            <w:r w:rsidRPr="00C268F5">
              <w:rPr>
                <w:rFonts w:cs="Arial"/>
              </w:rPr>
              <w:t xml:space="preserve">Lead person/group </w:t>
            </w:r>
          </w:p>
          <w:p w:rsidR="002063DE" w:rsidRPr="00C268F5" w:rsidRDefault="002063DE" w:rsidP="00362E82">
            <w:pPr>
              <w:rPr>
                <w:rFonts w:cs="Arial"/>
              </w:rPr>
            </w:pPr>
          </w:p>
        </w:tc>
        <w:tc>
          <w:tcPr>
            <w:tcW w:w="1948" w:type="dxa"/>
          </w:tcPr>
          <w:p w:rsidR="002063DE" w:rsidRPr="00C268F5" w:rsidRDefault="002063DE" w:rsidP="00362E82">
            <w:pPr>
              <w:rPr>
                <w:rFonts w:cs="Arial"/>
              </w:rPr>
            </w:pPr>
            <w:r w:rsidRPr="00C268F5">
              <w:rPr>
                <w:rFonts w:cs="Arial"/>
              </w:rPr>
              <w:t>Frequency</w:t>
            </w:r>
          </w:p>
          <w:p w:rsidR="002063DE" w:rsidRPr="00C268F5" w:rsidRDefault="002063DE" w:rsidP="00362E82">
            <w:pPr>
              <w:rPr>
                <w:rFonts w:cs="Arial"/>
              </w:rPr>
            </w:pPr>
          </w:p>
        </w:tc>
        <w:tc>
          <w:tcPr>
            <w:tcW w:w="1966" w:type="dxa"/>
          </w:tcPr>
          <w:p w:rsidR="002063DE" w:rsidRPr="00C268F5" w:rsidRDefault="002063DE" w:rsidP="00362E82">
            <w:pPr>
              <w:rPr>
                <w:rFonts w:cs="Arial"/>
              </w:rPr>
            </w:pPr>
            <w:r w:rsidRPr="00C268F5">
              <w:rPr>
                <w:rFonts w:cs="Arial"/>
              </w:rPr>
              <w:t>Reported to</w:t>
            </w:r>
          </w:p>
          <w:p w:rsidR="002063DE" w:rsidRPr="00C268F5" w:rsidRDefault="002063DE" w:rsidP="00362E82">
            <w:pPr>
              <w:rPr>
                <w:rFonts w:cs="Arial"/>
              </w:rPr>
            </w:pPr>
          </w:p>
        </w:tc>
        <w:tc>
          <w:tcPr>
            <w:tcW w:w="1645" w:type="dxa"/>
          </w:tcPr>
          <w:p w:rsidR="002063DE" w:rsidRPr="00C268F5" w:rsidRDefault="002063DE" w:rsidP="00362E82">
            <w:pPr>
              <w:rPr>
                <w:rFonts w:cs="Arial"/>
              </w:rPr>
            </w:pPr>
            <w:r w:rsidRPr="00C268F5">
              <w:rPr>
                <w:rFonts w:cs="Arial"/>
              </w:rPr>
              <w:t>Monitored by</w:t>
            </w:r>
          </w:p>
        </w:tc>
        <w:tc>
          <w:tcPr>
            <w:tcW w:w="1353" w:type="dxa"/>
          </w:tcPr>
          <w:p w:rsidR="002063DE" w:rsidRPr="00C268F5" w:rsidRDefault="002063DE" w:rsidP="00362E82">
            <w:pPr>
              <w:rPr>
                <w:rFonts w:cs="Arial"/>
              </w:rPr>
            </w:pPr>
            <w:r w:rsidRPr="00C268F5">
              <w:rPr>
                <w:rFonts w:cs="Arial"/>
              </w:rPr>
              <w:t>Frequency</w:t>
            </w:r>
          </w:p>
        </w:tc>
      </w:tr>
      <w:tr w:rsidR="00C242D2" w:rsidRPr="00C268F5" w:rsidTr="00C242D2">
        <w:tc>
          <w:tcPr>
            <w:tcW w:w="2163" w:type="dxa"/>
          </w:tcPr>
          <w:p w:rsidR="00C242D2" w:rsidRPr="00C268F5" w:rsidRDefault="00C242D2" w:rsidP="00811687">
            <w:pPr>
              <w:rPr>
                <w:rFonts w:cs="Arial"/>
                <w:szCs w:val="22"/>
              </w:rPr>
            </w:pPr>
            <w:r w:rsidRPr="00C268F5">
              <w:rPr>
                <w:rFonts w:cs="Arial"/>
                <w:szCs w:val="22"/>
              </w:rPr>
              <w:t xml:space="preserve">System in place to monitor </w:t>
            </w:r>
            <w:r w:rsidR="00811687">
              <w:rPr>
                <w:rFonts w:cs="Arial"/>
                <w:szCs w:val="22"/>
              </w:rPr>
              <w:t>investigations</w:t>
            </w:r>
            <w:r w:rsidR="00F66B66" w:rsidRPr="00C268F5">
              <w:rPr>
                <w:rFonts w:cs="Arial"/>
                <w:szCs w:val="22"/>
              </w:rPr>
              <w:t xml:space="preserve"> and </w:t>
            </w:r>
            <w:r w:rsidRPr="00C268F5">
              <w:rPr>
                <w:rFonts w:cs="Arial"/>
                <w:szCs w:val="22"/>
              </w:rPr>
              <w:t>outcomes of claims and any identified learning</w:t>
            </w:r>
          </w:p>
        </w:tc>
        <w:tc>
          <w:tcPr>
            <w:tcW w:w="2002" w:type="dxa"/>
          </w:tcPr>
          <w:p w:rsidR="00C242D2" w:rsidRPr="00C268F5" w:rsidRDefault="00811687" w:rsidP="0029525B">
            <w:pPr>
              <w:rPr>
                <w:rFonts w:cs="Arial"/>
              </w:rPr>
            </w:pPr>
            <w:r>
              <w:rPr>
                <w:rFonts w:cs="Arial"/>
              </w:rPr>
              <w:t xml:space="preserve">Investigations </w:t>
            </w:r>
            <w:r w:rsidR="00C242D2" w:rsidRPr="00C268F5">
              <w:rPr>
                <w:rFonts w:cs="Arial"/>
              </w:rPr>
              <w:t>activity, themes, trends, learning</w:t>
            </w:r>
          </w:p>
        </w:tc>
        <w:tc>
          <w:tcPr>
            <w:tcW w:w="2099" w:type="dxa"/>
          </w:tcPr>
          <w:p w:rsidR="00C242D2" w:rsidRPr="00C268F5" w:rsidRDefault="00811687" w:rsidP="0029525B">
            <w:pPr>
              <w:rPr>
                <w:rFonts w:cs="Arial"/>
                <w:szCs w:val="22"/>
              </w:rPr>
            </w:pPr>
            <w:r>
              <w:rPr>
                <w:rFonts w:cs="Arial"/>
                <w:szCs w:val="22"/>
              </w:rPr>
              <w:t>Local Counter Fraud Specialist</w:t>
            </w:r>
          </w:p>
        </w:tc>
        <w:tc>
          <w:tcPr>
            <w:tcW w:w="1948" w:type="dxa"/>
          </w:tcPr>
          <w:p w:rsidR="00C242D2" w:rsidRPr="00C268F5" w:rsidRDefault="00811687" w:rsidP="0029525B">
            <w:pPr>
              <w:rPr>
                <w:rFonts w:cs="Arial"/>
                <w:szCs w:val="22"/>
              </w:rPr>
            </w:pPr>
            <w:r>
              <w:rPr>
                <w:rFonts w:cs="Arial"/>
                <w:szCs w:val="22"/>
              </w:rPr>
              <w:t>Quarterly</w:t>
            </w:r>
          </w:p>
        </w:tc>
        <w:tc>
          <w:tcPr>
            <w:tcW w:w="1966" w:type="dxa"/>
          </w:tcPr>
          <w:p w:rsidR="00C242D2" w:rsidRPr="00C268F5" w:rsidRDefault="00811687" w:rsidP="0029525B">
            <w:pPr>
              <w:rPr>
                <w:rFonts w:cs="Arial"/>
                <w:szCs w:val="22"/>
              </w:rPr>
            </w:pPr>
            <w:r>
              <w:rPr>
                <w:rFonts w:cs="Arial"/>
                <w:szCs w:val="22"/>
              </w:rPr>
              <w:t>Audit Committee</w:t>
            </w:r>
          </w:p>
        </w:tc>
        <w:tc>
          <w:tcPr>
            <w:tcW w:w="1645" w:type="dxa"/>
          </w:tcPr>
          <w:p w:rsidR="00C242D2" w:rsidRPr="00C268F5" w:rsidRDefault="00811687" w:rsidP="00375DEA">
            <w:pPr>
              <w:rPr>
                <w:rFonts w:cs="Arial"/>
                <w:szCs w:val="22"/>
              </w:rPr>
            </w:pPr>
            <w:r>
              <w:rPr>
                <w:rFonts w:cs="Arial"/>
                <w:szCs w:val="22"/>
              </w:rPr>
              <w:t>Director of Finance</w:t>
            </w:r>
          </w:p>
        </w:tc>
        <w:tc>
          <w:tcPr>
            <w:tcW w:w="1353" w:type="dxa"/>
          </w:tcPr>
          <w:p w:rsidR="00C242D2" w:rsidRPr="00C268F5" w:rsidRDefault="00811687" w:rsidP="0029525B">
            <w:pPr>
              <w:rPr>
                <w:rFonts w:cs="Arial"/>
                <w:szCs w:val="22"/>
              </w:rPr>
            </w:pPr>
            <w:r>
              <w:rPr>
                <w:rFonts w:cs="Arial"/>
                <w:szCs w:val="22"/>
              </w:rPr>
              <w:t>Monthly</w:t>
            </w:r>
          </w:p>
        </w:tc>
      </w:tr>
      <w:tr w:rsidR="00C242D2" w:rsidRPr="00C268F5" w:rsidTr="00C242D2">
        <w:tc>
          <w:tcPr>
            <w:tcW w:w="2163" w:type="dxa"/>
          </w:tcPr>
          <w:p w:rsidR="00C242D2" w:rsidRPr="00C268F5" w:rsidRDefault="00C242D2" w:rsidP="0029525B">
            <w:pPr>
              <w:rPr>
                <w:rFonts w:cs="Arial"/>
                <w:sz w:val="20"/>
              </w:rPr>
            </w:pPr>
            <w:r w:rsidRPr="00C268F5">
              <w:rPr>
                <w:rFonts w:cs="Arial"/>
                <w:szCs w:val="22"/>
              </w:rPr>
              <w:t xml:space="preserve">System in place to monitor outcomes of </w:t>
            </w:r>
            <w:r w:rsidR="00811687">
              <w:rPr>
                <w:rFonts w:cs="Arial"/>
                <w:szCs w:val="22"/>
              </w:rPr>
              <w:t>investigations</w:t>
            </w:r>
            <w:r w:rsidRPr="00C268F5">
              <w:rPr>
                <w:rFonts w:cs="Arial"/>
                <w:szCs w:val="22"/>
              </w:rPr>
              <w:t xml:space="preserve"> and any identified </w:t>
            </w:r>
            <w:r w:rsidR="00D343D9" w:rsidRPr="00C268F5">
              <w:rPr>
                <w:rFonts w:cs="Arial"/>
                <w:szCs w:val="22"/>
              </w:rPr>
              <w:t>lessons</w:t>
            </w:r>
            <w:r w:rsidRPr="00C268F5">
              <w:rPr>
                <w:rFonts w:cs="Arial"/>
                <w:szCs w:val="22"/>
              </w:rPr>
              <w:t xml:space="preserve">; dissemination of identified </w:t>
            </w:r>
            <w:r w:rsidR="00D343D9" w:rsidRPr="00C268F5">
              <w:rPr>
                <w:rFonts w:cs="Arial"/>
                <w:szCs w:val="22"/>
              </w:rPr>
              <w:t>lessons</w:t>
            </w:r>
            <w:r w:rsidRPr="00C268F5">
              <w:rPr>
                <w:rFonts w:cs="Arial"/>
                <w:szCs w:val="22"/>
              </w:rPr>
              <w:t xml:space="preserve"> and associated actions to internal and external stakeholders; monitoring arrangements for identified actions.</w:t>
            </w:r>
          </w:p>
          <w:p w:rsidR="00C242D2" w:rsidRPr="00C268F5" w:rsidRDefault="00C242D2" w:rsidP="0029525B">
            <w:pPr>
              <w:rPr>
                <w:rFonts w:cs="Arial"/>
                <w:szCs w:val="22"/>
              </w:rPr>
            </w:pPr>
          </w:p>
        </w:tc>
        <w:tc>
          <w:tcPr>
            <w:tcW w:w="2002" w:type="dxa"/>
          </w:tcPr>
          <w:p w:rsidR="00C242D2" w:rsidRPr="00C268F5" w:rsidRDefault="00811687" w:rsidP="00811687">
            <w:pPr>
              <w:rPr>
                <w:rFonts w:cs="Arial"/>
                <w:szCs w:val="22"/>
              </w:rPr>
            </w:pPr>
            <w:r>
              <w:rPr>
                <w:rFonts w:cs="Arial"/>
              </w:rPr>
              <w:t xml:space="preserve">Investigations </w:t>
            </w:r>
            <w:r w:rsidR="00C242D2" w:rsidRPr="00C268F5">
              <w:rPr>
                <w:rFonts w:cs="Arial"/>
              </w:rPr>
              <w:t>activity, themes, trends</w:t>
            </w:r>
            <w:r>
              <w:rPr>
                <w:rFonts w:cs="Arial"/>
              </w:rPr>
              <w:t xml:space="preserve"> and necessary recommendations made following these</w:t>
            </w:r>
          </w:p>
        </w:tc>
        <w:tc>
          <w:tcPr>
            <w:tcW w:w="2099" w:type="dxa"/>
          </w:tcPr>
          <w:p w:rsidR="00C242D2" w:rsidRPr="00C268F5" w:rsidRDefault="00811687" w:rsidP="0029525B">
            <w:pPr>
              <w:rPr>
                <w:rFonts w:cs="Arial"/>
                <w:szCs w:val="22"/>
              </w:rPr>
            </w:pPr>
            <w:r>
              <w:rPr>
                <w:rFonts w:cs="Arial"/>
                <w:szCs w:val="22"/>
              </w:rPr>
              <w:t>Local Counter Fraud Specialist</w:t>
            </w:r>
          </w:p>
        </w:tc>
        <w:tc>
          <w:tcPr>
            <w:tcW w:w="1948" w:type="dxa"/>
          </w:tcPr>
          <w:p w:rsidR="00C242D2" w:rsidRPr="00C268F5" w:rsidRDefault="00811687" w:rsidP="0029525B">
            <w:pPr>
              <w:rPr>
                <w:rFonts w:cs="Arial"/>
                <w:szCs w:val="22"/>
              </w:rPr>
            </w:pPr>
            <w:r>
              <w:rPr>
                <w:rFonts w:cs="Arial"/>
                <w:szCs w:val="22"/>
              </w:rPr>
              <w:t>Quarterly</w:t>
            </w:r>
          </w:p>
        </w:tc>
        <w:tc>
          <w:tcPr>
            <w:tcW w:w="1966" w:type="dxa"/>
          </w:tcPr>
          <w:p w:rsidR="00C242D2" w:rsidRPr="00C268F5" w:rsidRDefault="00811687" w:rsidP="0029525B">
            <w:pPr>
              <w:rPr>
                <w:rFonts w:cs="Arial"/>
                <w:szCs w:val="22"/>
              </w:rPr>
            </w:pPr>
            <w:r>
              <w:rPr>
                <w:rFonts w:cs="Arial"/>
                <w:szCs w:val="22"/>
              </w:rPr>
              <w:t>Audit Committee</w:t>
            </w:r>
          </w:p>
        </w:tc>
        <w:tc>
          <w:tcPr>
            <w:tcW w:w="1645" w:type="dxa"/>
          </w:tcPr>
          <w:p w:rsidR="00C242D2" w:rsidRPr="00C268F5" w:rsidRDefault="00811687" w:rsidP="00830196">
            <w:pPr>
              <w:rPr>
                <w:rFonts w:cs="Arial"/>
                <w:szCs w:val="22"/>
              </w:rPr>
            </w:pPr>
            <w:r>
              <w:rPr>
                <w:rFonts w:cs="Arial"/>
                <w:szCs w:val="22"/>
              </w:rPr>
              <w:t>Director of Finance</w:t>
            </w:r>
          </w:p>
        </w:tc>
        <w:tc>
          <w:tcPr>
            <w:tcW w:w="1353" w:type="dxa"/>
          </w:tcPr>
          <w:p w:rsidR="00C242D2" w:rsidRPr="00C268F5" w:rsidRDefault="00811687" w:rsidP="0029525B">
            <w:pPr>
              <w:rPr>
                <w:rFonts w:cs="Arial"/>
                <w:szCs w:val="22"/>
              </w:rPr>
            </w:pPr>
            <w:r>
              <w:rPr>
                <w:rFonts w:cs="Arial"/>
                <w:szCs w:val="22"/>
              </w:rPr>
              <w:t>Monthly</w:t>
            </w:r>
          </w:p>
        </w:tc>
      </w:tr>
      <w:tr w:rsidR="00C242D2" w:rsidRPr="00C268F5" w:rsidTr="00C242D2">
        <w:tc>
          <w:tcPr>
            <w:tcW w:w="2163" w:type="dxa"/>
          </w:tcPr>
          <w:p w:rsidR="00C242D2" w:rsidRPr="00C268F5" w:rsidRDefault="00C242D2" w:rsidP="00811687">
            <w:pPr>
              <w:rPr>
                <w:rFonts w:cs="Arial"/>
                <w:szCs w:val="22"/>
              </w:rPr>
            </w:pPr>
            <w:r w:rsidRPr="00C268F5">
              <w:rPr>
                <w:rFonts w:cs="Arial"/>
                <w:szCs w:val="22"/>
              </w:rPr>
              <w:t>System in place to monitor training activity</w:t>
            </w:r>
            <w:r w:rsidR="00851E79" w:rsidRPr="00C268F5">
              <w:rPr>
                <w:rFonts w:cs="Arial"/>
                <w:szCs w:val="22"/>
              </w:rPr>
              <w:t xml:space="preserve"> </w:t>
            </w:r>
            <w:r w:rsidR="00811687">
              <w:rPr>
                <w:rFonts w:cs="Arial"/>
                <w:szCs w:val="22"/>
              </w:rPr>
              <w:t xml:space="preserve">for fraud </w:t>
            </w:r>
          </w:p>
        </w:tc>
        <w:tc>
          <w:tcPr>
            <w:tcW w:w="2002" w:type="dxa"/>
          </w:tcPr>
          <w:p w:rsidR="00C242D2" w:rsidRDefault="00E3102D" w:rsidP="0029525B">
            <w:pPr>
              <w:rPr>
                <w:rFonts w:cs="Arial"/>
                <w:szCs w:val="22"/>
              </w:rPr>
            </w:pPr>
            <w:r>
              <w:rPr>
                <w:rFonts w:cs="Arial"/>
                <w:szCs w:val="22"/>
              </w:rPr>
              <w:t>Annual fraud awareness survey</w:t>
            </w:r>
          </w:p>
          <w:p w:rsidR="00E3102D" w:rsidRPr="00C268F5" w:rsidRDefault="00E3102D" w:rsidP="0029525B">
            <w:pPr>
              <w:rPr>
                <w:rFonts w:cs="Arial"/>
                <w:szCs w:val="22"/>
              </w:rPr>
            </w:pPr>
            <w:r>
              <w:rPr>
                <w:rFonts w:cs="Arial"/>
                <w:szCs w:val="22"/>
              </w:rPr>
              <w:t>Records maintained by LCFS</w:t>
            </w:r>
          </w:p>
        </w:tc>
        <w:tc>
          <w:tcPr>
            <w:tcW w:w="2099" w:type="dxa"/>
          </w:tcPr>
          <w:p w:rsidR="00C242D2" w:rsidRPr="00C268F5" w:rsidRDefault="00E3102D" w:rsidP="0029525B">
            <w:pPr>
              <w:rPr>
                <w:rFonts w:cs="Arial"/>
                <w:szCs w:val="22"/>
              </w:rPr>
            </w:pPr>
            <w:r>
              <w:rPr>
                <w:rFonts w:cs="Arial"/>
                <w:szCs w:val="22"/>
              </w:rPr>
              <w:t>Local Counter Fraud Specialist</w:t>
            </w:r>
          </w:p>
        </w:tc>
        <w:tc>
          <w:tcPr>
            <w:tcW w:w="1948" w:type="dxa"/>
          </w:tcPr>
          <w:p w:rsidR="00C242D2" w:rsidRPr="00C268F5" w:rsidRDefault="00C242D2" w:rsidP="0029525B">
            <w:pPr>
              <w:rPr>
                <w:rFonts w:cs="Arial"/>
                <w:szCs w:val="22"/>
              </w:rPr>
            </w:pPr>
            <w:r w:rsidRPr="00C268F5">
              <w:rPr>
                <w:rFonts w:cs="Arial"/>
                <w:szCs w:val="22"/>
              </w:rPr>
              <w:t>Monthly</w:t>
            </w:r>
          </w:p>
        </w:tc>
        <w:tc>
          <w:tcPr>
            <w:tcW w:w="1966" w:type="dxa"/>
          </w:tcPr>
          <w:p w:rsidR="00C242D2" w:rsidRPr="00C268F5" w:rsidRDefault="00E3102D" w:rsidP="0029525B">
            <w:pPr>
              <w:rPr>
                <w:rFonts w:cs="Arial"/>
                <w:szCs w:val="22"/>
              </w:rPr>
            </w:pPr>
            <w:r>
              <w:rPr>
                <w:rFonts w:cs="Arial"/>
                <w:szCs w:val="22"/>
              </w:rPr>
              <w:t>Director of Finance</w:t>
            </w:r>
          </w:p>
        </w:tc>
        <w:tc>
          <w:tcPr>
            <w:tcW w:w="1645" w:type="dxa"/>
          </w:tcPr>
          <w:p w:rsidR="00C242D2" w:rsidRPr="00C268F5" w:rsidRDefault="00E3102D" w:rsidP="0029525B">
            <w:pPr>
              <w:rPr>
                <w:rFonts w:cs="Arial"/>
                <w:szCs w:val="22"/>
              </w:rPr>
            </w:pPr>
            <w:r>
              <w:rPr>
                <w:rFonts w:cs="Arial"/>
                <w:szCs w:val="22"/>
              </w:rPr>
              <w:t>Director of Finance</w:t>
            </w:r>
          </w:p>
        </w:tc>
        <w:tc>
          <w:tcPr>
            <w:tcW w:w="1353" w:type="dxa"/>
          </w:tcPr>
          <w:p w:rsidR="00C242D2" w:rsidRPr="00C268F5" w:rsidRDefault="00E3102D" w:rsidP="0029525B">
            <w:pPr>
              <w:rPr>
                <w:rFonts w:cs="Arial"/>
                <w:szCs w:val="22"/>
              </w:rPr>
            </w:pPr>
            <w:r>
              <w:rPr>
                <w:rFonts w:cs="Arial"/>
                <w:szCs w:val="22"/>
              </w:rPr>
              <w:t>Annually</w:t>
            </w:r>
          </w:p>
        </w:tc>
      </w:tr>
    </w:tbl>
    <w:p w:rsidR="002063DE" w:rsidRPr="00C268F5" w:rsidRDefault="002063DE" w:rsidP="002063DE">
      <w:pPr>
        <w:rPr>
          <w:rFonts w:cs="Arial"/>
        </w:rPr>
      </w:pPr>
    </w:p>
    <w:p w:rsidR="002063DE" w:rsidRPr="00C268F5" w:rsidRDefault="002063DE" w:rsidP="002063DE">
      <w:pPr>
        <w:rPr>
          <w:rFonts w:cs="Arial"/>
        </w:rPr>
      </w:pPr>
    </w:p>
    <w:p w:rsidR="002063DE" w:rsidRPr="00C268F5" w:rsidRDefault="002063DE" w:rsidP="00315857">
      <w:pPr>
        <w:rPr>
          <w:rFonts w:cs="Arial"/>
        </w:rPr>
        <w:sectPr w:rsidR="002063DE" w:rsidRPr="00C268F5" w:rsidSect="00C64C27">
          <w:pgSz w:w="16840" w:h="11907" w:orient="landscape" w:code="9"/>
          <w:pgMar w:top="1797" w:right="1440" w:bottom="1797" w:left="1440" w:header="720" w:footer="720" w:gutter="0"/>
          <w:cols w:space="720"/>
          <w:noEndnote/>
          <w:docGrid w:linePitch="326"/>
        </w:sectPr>
      </w:pPr>
    </w:p>
    <w:tbl>
      <w:tblPr>
        <w:tblW w:w="5000" w:type="pct"/>
        <w:tblLook w:val="0000" w:firstRow="0" w:lastRow="0" w:firstColumn="0" w:lastColumn="0" w:noHBand="0" w:noVBand="0"/>
      </w:tblPr>
      <w:tblGrid>
        <w:gridCol w:w="686"/>
        <w:gridCol w:w="8408"/>
      </w:tblGrid>
      <w:tr w:rsidR="00315857" w:rsidRPr="00C268F5" w:rsidTr="00662046">
        <w:trPr>
          <w:cantSplit/>
          <w:trHeight w:hRule="exact" w:val="367"/>
        </w:trPr>
        <w:tc>
          <w:tcPr>
            <w:tcW w:w="5000" w:type="pct"/>
            <w:gridSpan w:val="2"/>
            <w:shd w:val="pct20" w:color="0000FF" w:fill="0000FF"/>
            <w:vAlign w:val="center"/>
          </w:tcPr>
          <w:p w:rsidR="00315857" w:rsidRPr="00C268F5" w:rsidRDefault="00315857" w:rsidP="00977106">
            <w:pPr>
              <w:rPr>
                <w:rFonts w:cs="Arial"/>
                <w:b/>
              </w:rPr>
            </w:pPr>
            <w:r w:rsidRPr="00C268F5">
              <w:rPr>
                <w:rFonts w:cs="Arial"/>
                <w:b/>
              </w:rPr>
              <w:lastRenderedPageBreak/>
              <w:t>Appendices/Procedure notes</w:t>
            </w:r>
          </w:p>
        </w:tc>
      </w:tr>
      <w:tr w:rsidR="00315857" w:rsidRPr="00C268F5" w:rsidTr="00662046">
        <w:trPr>
          <w:trHeight w:val="4221"/>
        </w:trPr>
        <w:tc>
          <w:tcPr>
            <w:tcW w:w="377" w:type="pct"/>
          </w:tcPr>
          <w:p w:rsidR="00315857" w:rsidRPr="00C268F5" w:rsidRDefault="00315857" w:rsidP="00977106">
            <w:pPr>
              <w:rPr>
                <w:rFonts w:cs="Arial"/>
                <w:sz w:val="20"/>
              </w:rPr>
            </w:pPr>
          </w:p>
        </w:tc>
        <w:tc>
          <w:tcPr>
            <w:tcW w:w="4623" w:type="pct"/>
          </w:tcPr>
          <w:p w:rsidR="0049517C" w:rsidRPr="00C268F5" w:rsidRDefault="0049517C" w:rsidP="00F87952">
            <w:pPr>
              <w:jc w:val="both"/>
              <w:rPr>
                <w:rFonts w:cs="Arial"/>
                <w:b/>
                <w:sz w:val="20"/>
              </w:rPr>
            </w:pPr>
          </w:p>
          <w:p w:rsidR="00F87952" w:rsidRPr="00C268F5" w:rsidRDefault="00F87952" w:rsidP="00F87952">
            <w:pPr>
              <w:jc w:val="both"/>
              <w:rPr>
                <w:rFonts w:cs="Arial"/>
                <w:b/>
                <w:sz w:val="20"/>
              </w:rPr>
            </w:pPr>
            <w:r w:rsidRPr="00C268F5">
              <w:rPr>
                <w:rFonts w:cs="Arial"/>
                <w:b/>
                <w:sz w:val="20"/>
              </w:rPr>
              <w:t>Appendices</w:t>
            </w:r>
          </w:p>
          <w:p w:rsidR="00E3102D" w:rsidRDefault="00E3102D" w:rsidP="00384F5E">
            <w:pPr>
              <w:numPr>
                <w:ilvl w:val="0"/>
                <w:numId w:val="9"/>
              </w:numPr>
              <w:jc w:val="both"/>
              <w:rPr>
                <w:rFonts w:cs="Arial"/>
                <w:sz w:val="20"/>
              </w:rPr>
            </w:pPr>
            <w:r>
              <w:rPr>
                <w:rFonts w:cs="Arial"/>
                <w:sz w:val="20"/>
              </w:rPr>
              <w:t>Flow Chart for reporting</w:t>
            </w:r>
          </w:p>
          <w:p w:rsidR="00F87952" w:rsidRDefault="00E3102D" w:rsidP="00384F5E">
            <w:pPr>
              <w:numPr>
                <w:ilvl w:val="0"/>
                <w:numId w:val="9"/>
              </w:numPr>
              <w:jc w:val="both"/>
              <w:rPr>
                <w:rFonts w:cs="Arial"/>
                <w:sz w:val="20"/>
              </w:rPr>
            </w:pPr>
            <w:r>
              <w:rPr>
                <w:rFonts w:cs="Arial"/>
                <w:sz w:val="20"/>
              </w:rPr>
              <w:t>Fraud Act 2006</w:t>
            </w:r>
          </w:p>
          <w:p w:rsidR="00950C77" w:rsidRPr="00C268F5" w:rsidRDefault="00950C77" w:rsidP="00384F5E">
            <w:pPr>
              <w:numPr>
                <w:ilvl w:val="0"/>
                <w:numId w:val="9"/>
              </w:numPr>
              <w:jc w:val="both"/>
              <w:rPr>
                <w:rFonts w:cs="Arial"/>
                <w:sz w:val="20"/>
              </w:rPr>
            </w:pPr>
            <w:r>
              <w:rPr>
                <w:rFonts w:cs="Arial"/>
                <w:sz w:val="20"/>
              </w:rPr>
              <w:t>Bribery Act 2010</w:t>
            </w:r>
          </w:p>
          <w:p w:rsidR="00315857" w:rsidRPr="00C268F5" w:rsidRDefault="00E3102D" w:rsidP="00E3102D">
            <w:pPr>
              <w:numPr>
                <w:ilvl w:val="0"/>
                <w:numId w:val="9"/>
              </w:numPr>
              <w:jc w:val="both"/>
              <w:rPr>
                <w:rFonts w:cs="Arial"/>
              </w:rPr>
            </w:pPr>
            <w:r>
              <w:rPr>
                <w:rFonts w:cs="Arial"/>
                <w:sz w:val="20"/>
              </w:rPr>
              <w:t>Fraud investigations with clinical implications</w:t>
            </w:r>
          </w:p>
        </w:tc>
      </w:tr>
      <w:tr w:rsidR="00315857" w:rsidRPr="00C268F5" w:rsidTr="00662046">
        <w:trPr>
          <w:trHeight w:val="2346"/>
        </w:trPr>
        <w:tc>
          <w:tcPr>
            <w:tcW w:w="377" w:type="pct"/>
          </w:tcPr>
          <w:p w:rsidR="00315857" w:rsidRPr="00C268F5" w:rsidRDefault="00315857" w:rsidP="00977106">
            <w:pPr>
              <w:rPr>
                <w:rFonts w:cs="Arial"/>
                <w:sz w:val="20"/>
              </w:rPr>
            </w:pPr>
          </w:p>
        </w:tc>
        <w:tc>
          <w:tcPr>
            <w:tcW w:w="4623" w:type="pct"/>
          </w:tcPr>
          <w:p w:rsidR="00315857" w:rsidRPr="00C268F5" w:rsidRDefault="00F87952" w:rsidP="00F87952">
            <w:pPr>
              <w:pStyle w:val="BodyText3"/>
              <w:numPr>
                <w:ilvl w:val="0"/>
                <w:numId w:val="0"/>
              </w:numPr>
              <w:tabs>
                <w:tab w:val="clear" w:pos="90"/>
              </w:tabs>
              <w:jc w:val="left"/>
              <w:rPr>
                <w:rFonts w:cs="Arial"/>
                <w:b/>
              </w:rPr>
            </w:pPr>
            <w:r w:rsidRPr="00C268F5">
              <w:rPr>
                <w:rFonts w:cs="Arial"/>
                <w:b/>
              </w:rPr>
              <w:t>References</w:t>
            </w:r>
          </w:p>
          <w:p w:rsidR="00F87952" w:rsidRPr="00C268F5" w:rsidRDefault="00E3102D" w:rsidP="00F87952">
            <w:pPr>
              <w:jc w:val="both"/>
              <w:rPr>
                <w:rFonts w:cs="Arial"/>
                <w:sz w:val="20"/>
              </w:rPr>
            </w:pPr>
            <w:r>
              <w:rPr>
                <w:rFonts w:cs="Arial"/>
                <w:sz w:val="20"/>
              </w:rPr>
              <w:t>Fraud Act</w:t>
            </w:r>
            <w:r w:rsidR="00950C77">
              <w:rPr>
                <w:rFonts w:cs="Arial"/>
                <w:sz w:val="20"/>
              </w:rPr>
              <w:t xml:space="preserve"> 2006; Bribery Act 2010</w:t>
            </w:r>
            <w:r>
              <w:rPr>
                <w:rFonts w:cs="Arial"/>
                <w:sz w:val="20"/>
              </w:rPr>
              <w:t>; NHS Protect; Standards for Providers</w:t>
            </w:r>
          </w:p>
          <w:p w:rsidR="00F87952" w:rsidRPr="00C268F5" w:rsidRDefault="00F87952" w:rsidP="00F87952">
            <w:pPr>
              <w:jc w:val="both"/>
              <w:rPr>
                <w:rFonts w:cs="Arial"/>
                <w:sz w:val="20"/>
              </w:rPr>
            </w:pPr>
          </w:p>
          <w:p w:rsidR="00F87952" w:rsidRPr="00C268F5" w:rsidRDefault="00F87952" w:rsidP="00F87952">
            <w:pPr>
              <w:pStyle w:val="BodyText3"/>
              <w:numPr>
                <w:ilvl w:val="0"/>
                <w:numId w:val="0"/>
              </w:numPr>
              <w:tabs>
                <w:tab w:val="clear" w:pos="90"/>
              </w:tabs>
              <w:ind w:left="72"/>
              <w:jc w:val="left"/>
              <w:rPr>
                <w:rFonts w:cs="Arial"/>
                <w:b/>
              </w:rPr>
            </w:pPr>
          </w:p>
        </w:tc>
      </w:tr>
    </w:tbl>
    <w:p w:rsidR="00BB3305" w:rsidRPr="00C268F5" w:rsidRDefault="00BB3305" w:rsidP="00D552AB">
      <w:pPr>
        <w:jc w:val="both"/>
        <w:rPr>
          <w:rFonts w:cs="Arial"/>
        </w:rPr>
      </w:pPr>
    </w:p>
    <w:p w:rsidR="00BB3305" w:rsidRPr="00C268F5" w:rsidRDefault="00BB3305" w:rsidP="00BB3305">
      <w:pPr>
        <w:jc w:val="both"/>
        <w:rPr>
          <w:rFonts w:cs="Arial"/>
        </w:rPr>
      </w:pPr>
      <w:r w:rsidRPr="00C268F5">
        <w:rPr>
          <w:rFonts w:cs="Arial"/>
        </w:rPr>
        <w:br w:type="page"/>
      </w:r>
      <w:r w:rsidRPr="00C268F5">
        <w:rPr>
          <w:rFonts w:cs="Arial"/>
        </w:rPr>
        <w:lastRenderedPageBreak/>
        <w:t>(Appendix</w:t>
      </w:r>
      <w:r w:rsidR="005423E3" w:rsidRPr="00C268F5">
        <w:rPr>
          <w:rFonts w:cs="Arial"/>
        </w:rPr>
        <w:t xml:space="preserve"> 1</w:t>
      </w:r>
      <w:r w:rsidRPr="00C268F5">
        <w:rPr>
          <w:rFonts w:cs="Arial"/>
        </w:rPr>
        <w:t>)</w:t>
      </w:r>
    </w:p>
    <w:p w:rsidR="0026015B" w:rsidRPr="00C268F5" w:rsidRDefault="0026015B" w:rsidP="00BB3305">
      <w:pPr>
        <w:jc w:val="both"/>
        <w:rPr>
          <w:rFonts w:cs="Arial"/>
        </w:rPr>
      </w:pPr>
    </w:p>
    <w:tbl>
      <w:tblPr>
        <w:tblW w:w="8364" w:type="dxa"/>
        <w:tblInd w:w="108" w:type="dxa"/>
        <w:tblLayout w:type="fixed"/>
        <w:tblLook w:val="0000" w:firstRow="0" w:lastRow="0" w:firstColumn="0" w:lastColumn="0" w:noHBand="0" w:noVBand="0"/>
      </w:tblPr>
      <w:tblGrid>
        <w:gridCol w:w="8364"/>
      </w:tblGrid>
      <w:tr w:rsidR="0026015B" w:rsidRPr="00C268F5" w:rsidTr="00225E57">
        <w:trPr>
          <w:cantSplit/>
          <w:trHeight w:hRule="exact" w:val="360"/>
        </w:trPr>
        <w:tc>
          <w:tcPr>
            <w:tcW w:w="8364" w:type="dxa"/>
            <w:shd w:val="pct20" w:color="0000FF" w:fill="0000FF"/>
            <w:vAlign w:val="center"/>
          </w:tcPr>
          <w:p w:rsidR="0026015B" w:rsidRPr="00C268F5" w:rsidRDefault="00E3102D" w:rsidP="0026015B">
            <w:pPr>
              <w:rPr>
                <w:rFonts w:cs="Arial"/>
                <w:b/>
              </w:rPr>
            </w:pPr>
            <w:r>
              <w:rPr>
                <w:rFonts w:cs="Arial"/>
                <w:b/>
              </w:rPr>
              <w:t>Fraud Response Plan – A Simple Overview</w:t>
            </w:r>
          </w:p>
        </w:tc>
      </w:tr>
    </w:tbl>
    <w:p w:rsidR="0026015B" w:rsidRPr="00C268F5" w:rsidRDefault="0026015B" w:rsidP="00BB3305">
      <w:pPr>
        <w:jc w:val="both"/>
        <w:rPr>
          <w:rFonts w:cs="Arial"/>
        </w:rPr>
      </w:pPr>
    </w:p>
    <w:p w:rsidR="00BB3305" w:rsidRPr="00C268F5" w:rsidRDefault="00F8794A" w:rsidP="0026015B">
      <w:pPr>
        <w:rPr>
          <w:rFonts w:cs="Arial"/>
        </w:rPr>
      </w:pPr>
      <w:r>
        <w:rPr>
          <w:rFonts w:cs="Arial"/>
          <w:noProof/>
          <w:lang w:eastAsia="en-GB"/>
        </w:rPr>
        <w:drawing>
          <wp:inline distT="0" distB="0" distL="0" distR="0">
            <wp:extent cx="5279390" cy="6249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9390" cy="6249670"/>
                    </a:xfrm>
                    <a:prstGeom prst="rect">
                      <a:avLst/>
                    </a:prstGeom>
                    <a:noFill/>
                    <a:ln>
                      <a:noFill/>
                    </a:ln>
                  </pic:spPr>
                </pic:pic>
              </a:graphicData>
            </a:graphic>
          </wp:inline>
        </w:drawing>
      </w:r>
    </w:p>
    <w:p w:rsidR="00BB3305" w:rsidRPr="00C268F5" w:rsidRDefault="00BB3305" w:rsidP="00BB3305">
      <w:pPr>
        <w:rPr>
          <w:rFonts w:cs="Arial"/>
        </w:rPr>
      </w:pPr>
    </w:p>
    <w:p w:rsidR="00BB3305" w:rsidRPr="00C268F5" w:rsidRDefault="00BB3305" w:rsidP="00BB3305">
      <w:pPr>
        <w:rPr>
          <w:rFonts w:cs="Arial"/>
        </w:rPr>
      </w:pPr>
      <w:r w:rsidRPr="00C268F5">
        <w:rPr>
          <w:rFonts w:cs="Arial"/>
        </w:rPr>
        <w:br w:type="page"/>
      </w:r>
      <w:r w:rsidRPr="00C268F5">
        <w:rPr>
          <w:rFonts w:cs="Arial"/>
        </w:rPr>
        <w:lastRenderedPageBreak/>
        <w:t xml:space="preserve">(Appendix </w:t>
      </w:r>
      <w:r w:rsidR="005423E3" w:rsidRPr="00C268F5">
        <w:rPr>
          <w:rFonts w:cs="Arial"/>
        </w:rPr>
        <w:t>2</w:t>
      </w:r>
      <w:r w:rsidRPr="00C268F5">
        <w:rPr>
          <w:rFonts w:cs="Arial"/>
        </w:rPr>
        <w:t xml:space="preserve">) </w:t>
      </w:r>
    </w:p>
    <w:p w:rsidR="00BB3305" w:rsidRPr="00C268F5" w:rsidRDefault="00BB3305" w:rsidP="00BB3305">
      <w:pPr>
        <w:ind w:left="-720"/>
        <w:rPr>
          <w:rFonts w:cs="Arial"/>
        </w:rPr>
      </w:pPr>
    </w:p>
    <w:tbl>
      <w:tblPr>
        <w:tblW w:w="8400" w:type="dxa"/>
        <w:tblInd w:w="108" w:type="dxa"/>
        <w:tblLayout w:type="fixed"/>
        <w:tblLook w:val="0000" w:firstRow="0" w:lastRow="0" w:firstColumn="0" w:lastColumn="0" w:noHBand="0" w:noVBand="0"/>
      </w:tblPr>
      <w:tblGrid>
        <w:gridCol w:w="8400"/>
      </w:tblGrid>
      <w:tr w:rsidR="00BB3305" w:rsidRPr="00C268F5" w:rsidTr="00A8260F">
        <w:trPr>
          <w:cantSplit/>
          <w:trHeight w:hRule="exact" w:val="490"/>
        </w:trPr>
        <w:tc>
          <w:tcPr>
            <w:tcW w:w="8400" w:type="dxa"/>
            <w:shd w:val="pct20" w:color="0000FF" w:fill="0000FF"/>
            <w:vAlign w:val="center"/>
          </w:tcPr>
          <w:p w:rsidR="00BB3305" w:rsidRPr="00C268F5" w:rsidRDefault="005138D8" w:rsidP="00920C5B">
            <w:pPr>
              <w:rPr>
                <w:rFonts w:cs="Arial"/>
                <w:b/>
              </w:rPr>
            </w:pPr>
            <w:r>
              <w:rPr>
                <w:rFonts w:cs="Arial"/>
                <w:b/>
              </w:rPr>
              <w:t>Fraud Act 2006</w:t>
            </w:r>
          </w:p>
        </w:tc>
      </w:tr>
    </w:tbl>
    <w:p w:rsidR="00BB3305" w:rsidRPr="00C268F5" w:rsidRDefault="00BB3305" w:rsidP="00BB3305">
      <w:pPr>
        <w:ind w:left="-720"/>
        <w:rPr>
          <w:rFonts w:cs="Arial"/>
        </w:rPr>
      </w:pPr>
    </w:p>
    <w:p w:rsidR="005138D8" w:rsidRPr="005138D8" w:rsidRDefault="005138D8" w:rsidP="005138D8">
      <w:pPr>
        <w:rPr>
          <w:rFonts w:cs="Arial"/>
          <w:sz w:val="20"/>
        </w:rPr>
      </w:pPr>
      <w:r w:rsidRPr="005138D8">
        <w:rPr>
          <w:rFonts w:cs="Arial"/>
          <w:sz w:val="20"/>
        </w:rPr>
        <w:t xml:space="preserve">A person is guilty of fraud if he is in breach of any of the sections listed below </w:t>
      </w:r>
      <w:r w:rsidRPr="005138D8">
        <w:rPr>
          <w:rFonts w:cs="Arial"/>
          <w:i/>
          <w:iCs/>
          <w:sz w:val="20"/>
        </w:rPr>
        <w:t>(which provide for different ways of committing the offence).</w:t>
      </w:r>
    </w:p>
    <w:p w:rsidR="005138D8" w:rsidRPr="005138D8" w:rsidRDefault="005138D8" w:rsidP="005138D8">
      <w:pPr>
        <w:numPr>
          <w:ilvl w:val="0"/>
          <w:numId w:val="36"/>
        </w:numPr>
        <w:rPr>
          <w:rFonts w:cs="Arial"/>
          <w:sz w:val="20"/>
        </w:rPr>
      </w:pPr>
      <w:r w:rsidRPr="005138D8">
        <w:rPr>
          <w:rFonts w:cs="Arial"/>
          <w:sz w:val="20"/>
        </w:rPr>
        <w:t>section 2 (fraud by false representation)</w:t>
      </w:r>
    </w:p>
    <w:p w:rsidR="005138D8" w:rsidRPr="005138D8" w:rsidRDefault="005138D8" w:rsidP="005138D8">
      <w:pPr>
        <w:numPr>
          <w:ilvl w:val="0"/>
          <w:numId w:val="36"/>
        </w:numPr>
        <w:rPr>
          <w:rFonts w:cs="Arial"/>
          <w:sz w:val="20"/>
        </w:rPr>
      </w:pPr>
      <w:r w:rsidRPr="005138D8">
        <w:rPr>
          <w:rFonts w:cs="Arial"/>
          <w:sz w:val="20"/>
        </w:rPr>
        <w:t>section 3 (fraud by failing to disclose information)</w:t>
      </w:r>
    </w:p>
    <w:p w:rsidR="005138D8" w:rsidRPr="005138D8" w:rsidRDefault="005138D8" w:rsidP="005138D8">
      <w:pPr>
        <w:numPr>
          <w:ilvl w:val="0"/>
          <w:numId w:val="36"/>
        </w:numPr>
        <w:rPr>
          <w:rFonts w:cs="Arial"/>
          <w:sz w:val="20"/>
        </w:rPr>
      </w:pPr>
      <w:r w:rsidRPr="005138D8">
        <w:rPr>
          <w:rFonts w:cs="Arial"/>
          <w:sz w:val="20"/>
        </w:rPr>
        <w:t>section 4 (fraud by abuse of position).</w:t>
      </w:r>
    </w:p>
    <w:p w:rsidR="005138D8" w:rsidRPr="005138D8" w:rsidRDefault="005138D8" w:rsidP="005138D8">
      <w:pPr>
        <w:rPr>
          <w:rFonts w:cs="Arial"/>
          <w:sz w:val="20"/>
        </w:rPr>
      </w:pPr>
    </w:p>
    <w:p w:rsidR="005138D8" w:rsidRPr="005138D8" w:rsidRDefault="005138D8" w:rsidP="005138D8">
      <w:pPr>
        <w:rPr>
          <w:rFonts w:cs="Arial"/>
          <w:sz w:val="20"/>
        </w:rPr>
      </w:pPr>
      <w:r w:rsidRPr="005138D8">
        <w:rPr>
          <w:rFonts w:cs="Arial"/>
          <w:sz w:val="20"/>
        </w:rPr>
        <w:t>A person who is guilty of fraud is liable:</w:t>
      </w:r>
    </w:p>
    <w:p w:rsidR="005138D8" w:rsidRPr="005138D8" w:rsidRDefault="005138D8" w:rsidP="005138D8">
      <w:pPr>
        <w:numPr>
          <w:ilvl w:val="0"/>
          <w:numId w:val="37"/>
        </w:numPr>
        <w:rPr>
          <w:rFonts w:cs="Arial"/>
          <w:sz w:val="20"/>
        </w:rPr>
      </w:pPr>
      <w:r w:rsidRPr="005138D8">
        <w:rPr>
          <w:rFonts w:cs="Arial"/>
          <w:sz w:val="20"/>
        </w:rPr>
        <w:t>on summary conviction, to imprisonment for a term not exceeding 12 months or to a fine not exceeding the statutory maximum (or to both);</w:t>
      </w:r>
    </w:p>
    <w:p w:rsidR="005138D8" w:rsidRPr="005138D8" w:rsidRDefault="005138D8" w:rsidP="005138D8">
      <w:pPr>
        <w:numPr>
          <w:ilvl w:val="0"/>
          <w:numId w:val="37"/>
        </w:numPr>
        <w:rPr>
          <w:rFonts w:cs="Arial"/>
          <w:sz w:val="20"/>
        </w:rPr>
      </w:pPr>
      <w:r w:rsidRPr="005138D8">
        <w:rPr>
          <w:rFonts w:cs="Arial"/>
          <w:sz w:val="20"/>
        </w:rPr>
        <w:t>on conviction on indictment, to imprisonment for a term not exceeding 10 years or to a fine (or to both).</w:t>
      </w:r>
    </w:p>
    <w:p w:rsidR="005138D8" w:rsidRPr="005138D8" w:rsidRDefault="005138D8" w:rsidP="005138D8">
      <w:pPr>
        <w:rPr>
          <w:rFonts w:cs="Arial"/>
          <w:sz w:val="20"/>
        </w:rPr>
      </w:pPr>
    </w:p>
    <w:p w:rsidR="005138D8" w:rsidRPr="005138D8" w:rsidRDefault="005138D8" w:rsidP="005138D8">
      <w:pPr>
        <w:rPr>
          <w:rFonts w:cs="Arial"/>
          <w:sz w:val="20"/>
        </w:rPr>
      </w:pPr>
      <w:r w:rsidRPr="005138D8">
        <w:rPr>
          <w:rFonts w:cs="Arial"/>
          <w:b/>
          <w:bCs/>
          <w:sz w:val="20"/>
        </w:rPr>
        <w:t>2: Fraud by false representation</w:t>
      </w:r>
    </w:p>
    <w:p w:rsidR="005138D8" w:rsidRPr="005138D8" w:rsidRDefault="005138D8" w:rsidP="005138D8">
      <w:pPr>
        <w:numPr>
          <w:ilvl w:val="0"/>
          <w:numId w:val="38"/>
        </w:numPr>
        <w:rPr>
          <w:rFonts w:cs="Arial"/>
          <w:sz w:val="20"/>
        </w:rPr>
      </w:pPr>
      <w:r w:rsidRPr="005138D8">
        <w:rPr>
          <w:rFonts w:cs="Arial"/>
          <w:sz w:val="20"/>
        </w:rPr>
        <w:t>A person is in breach of this section if he/she:</w:t>
      </w:r>
    </w:p>
    <w:p w:rsidR="005138D8" w:rsidRPr="005138D8" w:rsidRDefault="005138D8" w:rsidP="005138D8">
      <w:pPr>
        <w:numPr>
          <w:ilvl w:val="2"/>
          <w:numId w:val="38"/>
        </w:numPr>
        <w:rPr>
          <w:rFonts w:cs="Arial"/>
          <w:sz w:val="20"/>
        </w:rPr>
      </w:pPr>
      <w:r w:rsidRPr="005138D8">
        <w:rPr>
          <w:rFonts w:cs="Arial"/>
          <w:sz w:val="20"/>
        </w:rPr>
        <w:t>dishonestly makes a false representation, and</w:t>
      </w:r>
    </w:p>
    <w:p w:rsidR="005138D8" w:rsidRPr="005138D8" w:rsidRDefault="005138D8" w:rsidP="005138D8">
      <w:pPr>
        <w:numPr>
          <w:ilvl w:val="2"/>
          <w:numId w:val="38"/>
        </w:numPr>
        <w:rPr>
          <w:rFonts w:cs="Arial"/>
          <w:sz w:val="20"/>
        </w:rPr>
      </w:pPr>
      <w:r w:rsidRPr="005138D8">
        <w:rPr>
          <w:rFonts w:cs="Arial"/>
          <w:sz w:val="20"/>
        </w:rPr>
        <w:t>intends, by making the representation:</w:t>
      </w:r>
    </w:p>
    <w:p w:rsidR="005138D8" w:rsidRPr="005138D8" w:rsidRDefault="005138D8" w:rsidP="005138D8">
      <w:pPr>
        <w:rPr>
          <w:rFonts w:cs="Arial"/>
          <w:sz w:val="20"/>
        </w:rPr>
      </w:pPr>
      <w:r w:rsidRPr="005138D8">
        <w:rPr>
          <w:rFonts w:cs="Arial"/>
          <w:sz w:val="20"/>
        </w:rPr>
        <w:t>(i) to make a gain for himself or another, or</w:t>
      </w:r>
    </w:p>
    <w:p w:rsidR="005138D8" w:rsidRPr="005138D8" w:rsidRDefault="005138D8" w:rsidP="005138D8">
      <w:pPr>
        <w:rPr>
          <w:rFonts w:cs="Arial"/>
          <w:sz w:val="20"/>
        </w:rPr>
      </w:pPr>
      <w:r w:rsidRPr="005138D8">
        <w:rPr>
          <w:rFonts w:cs="Arial"/>
          <w:sz w:val="20"/>
        </w:rPr>
        <w:t>(ii) to cause loss to another or to expose another to a risk of loss.</w:t>
      </w:r>
    </w:p>
    <w:p w:rsidR="005138D8" w:rsidRPr="005138D8" w:rsidRDefault="005138D8" w:rsidP="005138D8">
      <w:pPr>
        <w:numPr>
          <w:ilvl w:val="0"/>
          <w:numId w:val="38"/>
        </w:numPr>
        <w:rPr>
          <w:rFonts w:cs="Arial"/>
          <w:sz w:val="20"/>
        </w:rPr>
      </w:pPr>
      <w:r w:rsidRPr="005138D8">
        <w:rPr>
          <w:rFonts w:cs="Arial"/>
          <w:sz w:val="20"/>
        </w:rPr>
        <w:t>A representation is false if:</w:t>
      </w:r>
    </w:p>
    <w:p w:rsidR="005138D8" w:rsidRPr="005138D8" w:rsidRDefault="005138D8" w:rsidP="005138D8">
      <w:pPr>
        <w:numPr>
          <w:ilvl w:val="2"/>
          <w:numId w:val="38"/>
        </w:numPr>
        <w:rPr>
          <w:rFonts w:cs="Arial"/>
          <w:sz w:val="20"/>
        </w:rPr>
      </w:pPr>
      <w:r w:rsidRPr="005138D8">
        <w:rPr>
          <w:rFonts w:cs="Arial"/>
          <w:sz w:val="20"/>
        </w:rPr>
        <w:t>it is untrue or misleading, and</w:t>
      </w:r>
    </w:p>
    <w:p w:rsidR="005138D8" w:rsidRPr="005138D8" w:rsidRDefault="005138D8" w:rsidP="005138D8">
      <w:pPr>
        <w:numPr>
          <w:ilvl w:val="2"/>
          <w:numId w:val="38"/>
        </w:numPr>
        <w:tabs>
          <w:tab w:val="clear" w:pos="2638"/>
          <w:tab w:val="num" w:pos="-1800"/>
        </w:tabs>
        <w:rPr>
          <w:rFonts w:cs="Arial"/>
          <w:sz w:val="20"/>
        </w:rPr>
      </w:pPr>
      <w:r w:rsidRPr="005138D8">
        <w:rPr>
          <w:rFonts w:cs="Arial"/>
          <w:sz w:val="20"/>
        </w:rPr>
        <w:t>the person making it knows that it is, or might be, untrue or misleading.</w:t>
      </w:r>
    </w:p>
    <w:p w:rsidR="005138D8" w:rsidRPr="005138D8" w:rsidRDefault="005138D8" w:rsidP="005138D8">
      <w:pPr>
        <w:numPr>
          <w:ilvl w:val="2"/>
          <w:numId w:val="42"/>
        </w:numPr>
        <w:rPr>
          <w:rFonts w:cs="Arial"/>
          <w:sz w:val="20"/>
        </w:rPr>
      </w:pPr>
      <w:r w:rsidRPr="005138D8">
        <w:rPr>
          <w:rFonts w:cs="Arial"/>
          <w:sz w:val="20"/>
        </w:rPr>
        <w:t xml:space="preserve">“Representation” means any representation as to fact or law, </w:t>
      </w:r>
      <w:r w:rsidRPr="005138D8">
        <w:rPr>
          <w:rFonts w:cs="Arial"/>
          <w:sz w:val="20"/>
        </w:rPr>
        <w:tab/>
        <w:t>including a representation as to the state of mind of:</w:t>
      </w:r>
    </w:p>
    <w:p w:rsidR="005138D8" w:rsidRPr="005138D8" w:rsidRDefault="005138D8" w:rsidP="005138D8">
      <w:pPr>
        <w:numPr>
          <w:ilvl w:val="0"/>
          <w:numId w:val="40"/>
        </w:numPr>
        <w:rPr>
          <w:rFonts w:cs="Arial"/>
          <w:sz w:val="20"/>
        </w:rPr>
      </w:pPr>
      <w:r w:rsidRPr="005138D8">
        <w:rPr>
          <w:rFonts w:cs="Arial"/>
          <w:sz w:val="20"/>
        </w:rPr>
        <w:t>the person making the representation, or</w:t>
      </w:r>
    </w:p>
    <w:p w:rsidR="005138D8" w:rsidRPr="005138D8" w:rsidRDefault="005138D8" w:rsidP="005138D8">
      <w:pPr>
        <w:numPr>
          <w:ilvl w:val="0"/>
          <w:numId w:val="40"/>
        </w:numPr>
        <w:rPr>
          <w:rFonts w:cs="Arial"/>
          <w:sz w:val="20"/>
        </w:rPr>
      </w:pPr>
      <w:r w:rsidRPr="005138D8">
        <w:rPr>
          <w:rFonts w:cs="Arial"/>
          <w:sz w:val="20"/>
        </w:rPr>
        <w:t>any other person.</w:t>
      </w:r>
    </w:p>
    <w:p w:rsidR="005138D8" w:rsidRPr="005138D8" w:rsidRDefault="005138D8" w:rsidP="005138D8">
      <w:pPr>
        <w:numPr>
          <w:ilvl w:val="0"/>
          <w:numId w:val="39"/>
        </w:numPr>
        <w:rPr>
          <w:rFonts w:cs="Arial"/>
          <w:sz w:val="20"/>
        </w:rPr>
      </w:pPr>
      <w:r w:rsidRPr="005138D8">
        <w:rPr>
          <w:rFonts w:cs="Arial"/>
          <w:sz w:val="20"/>
        </w:rPr>
        <w:t>A representation may be express or implied.</w:t>
      </w:r>
    </w:p>
    <w:p w:rsidR="005138D8" w:rsidRPr="005138D8" w:rsidRDefault="005138D8" w:rsidP="005138D8">
      <w:pPr>
        <w:numPr>
          <w:ilvl w:val="0"/>
          <w:numId w:val="39"/>
        </w:numPr>
        <w:rPr>
          <w:rFonts w:cs="Arial"/>
          <w:sz w:val="20"/>
        </w:rPr>
      </w:pPr>
      <w:r w:rsidRPr="005138D8">
        <w:rPr>
          <w:rFonts w:cs="Arial"/>
          <w:sz w:val="20"/>
        </w:rPr>
        <w:t>For the purposes of this section a representation may be regarded as made if it (or anything implying it) is submitted in any form to any system or device designed to receive, convey or respond to communications (with or without human intervention).</w:t>
      </w:r>
    </w:p>
    <w:p w:rsidR="005138D8" w:rsidRPr="005138D8" w:rsidRDefault="005138D8" w:rsidP="005138D8">
      <w:pPr>
        <w:rPr>
          <w:rFonts w:cs="Arial"/>
          <w:sz w:val="20"/>
        </w:rPr>
      </w:pPr>
    </w:p>
    <w:p w:rsidR="005138D8" w:rsidRPr="005138D8" w:rsidRDefault="005138D8" w:rsidP="005138D8">
      <w:pPr>
        <w:rPr>
          <w:rFonts w:cs="Arial"/>
          <w:sz w:val="20"/>
        </w:rPr>
      </w:pPr>
      <w:r w:rsidRPr="005138D8">
        <w:rPr>
          <w:rFonts w:cs="Arial"/>
          <w:b/>
          <w:bCs/>
          <w:sz w:val="20"/>
        </w:rPr>
        <w:t>3: Fraud by failing to disclose information</w:t>
      </w:r>
    </w:p>
    <w:p w:rsidR="005138D8" w:rsidRPr="005138D8" w:rsidRDefault="005138D8" w:rsidP="005138D8">
      <w:pPr>
        <w:numPr>
          <w:ilvl w:val="0"/>
          <w:numId w:val="41"/>
        </w:numPr>
        <w:rPr>
          <w:rFonts w:cs="Arial"/>
          <w:sz w:val="20"/>
        </w:rPr>
      </w:pPr>
      <w:r w:rsidRPr="005138D8">
        <w:rPr>
          <w:rFonts w:cs="Arial"/>
          <w:sz w:val="20"/>
        </w:rPr>
        <w:t>A person is in breach of this section if he/ she:</w:t>
      </w:r>
    </w:p>
    <w:p w:rsidR="005138D8" w:rsidRPr="005138D8" w:rsidRDefault="005138D8" w:rsidP="005138D8">
      <w:pPr>
        <w:numPr>
          <w:ilvl w:val="1"/>
          <w:numId w:val="41"/>
        </w:numPr>
        <w:rPr>
          <w:rFonts w:cs="Arial"/>
          <w:sz w:val="20"/>
        </w:rPr>
      </w:pPr>
      <w:r w:rsidRPr="005138D8">
        <w:rPr>
          <w:rFonts w:cs="Arial"/>
          <w:sz w:val="20"/>
        </w:rPr>
        <w:t>dishonestly fails to disclose to another person information which he is</w:t>
      </w:r>
    </w:p>
    <w:p w:rsidR="005138D8" w:rsidRPr="005138D8" w:rsidRDefault="005138D8" w:rsidP="005138D8">
      <w:pPr>
        <w:rPr>
          <w:rFonts w:cs="Arial"/>
          <w:sz w:val="20"/>
        </w:rPr>
      </w:pPr>
      <w:r w:rsidRPr="005138D8">
        <w:rPr>
          <w:rFonts w:cs="Arial"/>
          <w:sz w:val="20"/>
        </w:rPr>
        <w:t xml:space="preserve">                 under a legal duty to disclose, and</w:t>
      </w:r>
    </w:p>
    <w:p w:rsidR="005138D8" w:rsidRPr="005138D8" w:rsidRDefault="005138D8" w:rsidP="005138D8">
      <w:pPr>
        <w:numPr>
          <w:ilvl w:val="1"/>
          <w:numId w:val="41"/>
        </w:numPr>
        <w:rPr>
          <w:rFonts w:cs="Arial"/>
          <w:sz w:val="20"/>
        </w:rPr>
      </w:pPr>
      <w:r w:rsidRPr="005138D8">
        <w:rPr>
          <w:rFonts w:cs="Arial"/>
          <w:sz w:val="20"/>
        </w:rPr>
        <w:t>intends, by failing to disclose the information:</w:t>
      </w:r>
    </w:p>
    <w:p w:rsidR="005138D8" w:rsidRPr="005138D8" w:rsidRDefault="005138D8" w:rsidP="005138D8">
      <w:pPr>
        <w:rPr>
          <w:rFonts w:cs="Arial"/>
          <w:sz w:val="20"/>
        </w:rPr>
      </w:pPr>
      <w:r w:rsidRPr="005138D8">
        <w:rPr>
          <w:rFonts w:cs="Arial"/>
          <w:sz w:val="20"/>
        </w:rPr>
        <w:t>(i) to make a gain for himself or another, or</w:t>
      </w:r>
    </w:p>
    <w:p w:rsidR="005138D8" w:rsidRPr="005138D8" w:rsidRDefault="005138D8" w:rsidP="005138D8">
      <w:pPr>
        <w:rPr>
          <w:rFonts w:cs="Arial"/>
          <w:sz w:val="20"/>
        </w:rPr>
      </w:pPr>
      <w:r w:rsidRPr="005138D8">
        <w:rPr>
          <w:rFonts w:cs="Arial"/>
          <w:sz w:val="20"/>
        </w:rPr>
        <w:t>(ii) to cause loss to another or to expose another to a risk of loss.</w:t>
      </w:r>
    </w:p>
    <w:p w:rsidR="005138D8" w:rsidRPr="005138D8" w:rsidRDefault="005138D8" w:rsidP="005138D8">
      <w:pPr>
        <w:rPr>
          <w:rFonts w:cs="Arial"/>
          <w:sz w:val="20"/>
        </w:rPr>
      </w:pPr>
    </w:p>
    <w:p w:rsidR="005138D8" w:rsidRPr="005138D8" w:rsidRDefault="005138D8" w:rsidP="005138D8">
      <w:pPr>
        <w:rPr>
          <w:rFonts w:cs="Arial"/>
          <w:sz w:val="20"/>
        </w:rPr>
      </w:pPr>
      <w:r w:rsidRPr="005138D8">
        <w:rPr>
          <w:rFonts w:cs="Arial"/>
          <w:b/>
          <w:bCs/>
          <w:sz w:val="20"/>
        </w:rPr>
        <w:t>4: Fraud by abuse of position</w:t>
      </w:r>
    </w:p>
    <w:p w:rsidR="005138D8" w:rsidRPr="005138D8" w:rsidRDefault="005138D8" w:rsidP="005138D8">
      <w:pPr>
        <w:numPr>
          <w:ilvl w:val="0"/>
          <w:numId w:val="41"/>
        </w:numPr>
        <w:rPr>
          <w:rFonts w:cs="Arial"/>
          <w:sz w:val="20"/>
        </w:rPr>
      </w:pPr>
      <w:r w:rsidRPr="005138D8">
        <w:rPr>
          <w:rFonts w:cs="Arial"/>
          <w:sz w:val="20"/>
        </w:rPr>
        <w:t>A person is in breach of this section if he/she:</w:t>
      </w:r>
    </w:p>
    <w:p w:rsidR="005138D8" w:rsidRPr="005138D8" w:rsidRDefault="005138D8" w:rsidP="005138D8">
      <w:pPr>
        <w:numPr>
          <w:ilvl w:val="1"/>
          <w:numId w:val="41"/>
        </w:numPr>
        <w:rPr>
          <w:rFonts w:cs="Arial"/>
          <w:sz w:val="20"/>
        </w:rPr>
      </w:pPr>
      <w:r w:rsidRPr="005138D8">
        <w:rPr>
          <w:rFonts w:cs="Arial"/>
          <w:sz w:val="20"/>
        </w:rPr>
        <w:t>occupies a position in which he is expected to safeguard, or not to act against, the financial interests of another person,</w:t>
      </w:r>
    </w:p>
    <w:p w:rsidR="005138D8" w:rsidRPr="005138D8" w:rsidRDefault="005138D8" w:rsidP="005138D8">
      <w:pPr>
        <w:numPr>
          <w:ilvl w:val="1"/>
          <w:numId w:val="41"/>
        </w:numPr>
        <w:rPr>
          <w:rFonts w:cs="Arial"/>
          <w:sz w:val="20"/>
        </w:rPr>
      </w:pPr>
      <w:r w:rsidRPr="005138D8">
        <w:rPr>
          <w:rFonts w:cs="Arial"/>
          <w:sz w:val="20"/>
        </w:rPr>
        <w:t>dishonestly abuses that position, and</w:t>
      </w:r>
    </w:p>
    <w:p w:rsidR="005138D8" w:rsidRPr="005138D8" w:rsidRDefault="005138D8" w:rsidP="005138D8">
      <w:pPr>
        <w:numPr>
          <w:ilvl w:val="1"/>
          <w:numId w:val="41"/>
        </w:numPr>
        <w:rPr>
          <w:rFonts w:cs="Arial"/>
          <w:sz w:val="20"/>
        </w:rPr>
      </w:pPr>
      <w:r w:rsidRPr="005138D8">
        <w:rPr>
          <w:rFonts w:cs="Arial"/>
          <w:sz w:val="20"/>
        </w:rPr>
        <w:t>intends, by means of the abuse of that position:</w:t>
      </w:r>
    </w:p>
    <w:p w:rsidR="005138D8" w:rsidRPr="005138D8" w:rsidRDefault="005138D8" w:rsidP="005138D8">
      <w:pPr>
        <w:rPr>
          <w:rFonts w:cs="Arial"/>
          <w:sz w:val="20"/>
        </w:rPr>
      </w:pPr>
      <w:r w:rsidRPr="005138D8">
        <w:rPr>
          <w:rFonts w:cs="Arial"/>
          <w:sz w:val="20"/>
        </w:rPr>
        <w:t>(i) to make a gain for himself or another, or</w:t>
      </w:r>
    </w:p>
    <w:p w:rsidR="005138D8" w:rsidRPr="005138D8" w:rsidRDefault="005138D8" w:rsidP="005138D8">
      <w:pPr>
        <w:rPr>
          <w:rFonts w:cs="Arial"/>
          <w:sz w:val="20"/>
        </w:rPr>
      </w:pPr>
      <w:r w:rsidRPr="005138D8">
        <w:rPr>
          <w:rFonts w:cs="Arial"/>
          <w:sz w:val="20"/>
        </w:rPr>
        <w:t>(ii) to cause loss to another or to expose another to a risk of loss.</w:t>
      </w:r>
    </w:p>
    <w:p w:rsidR="005138D8" w:rsidRPr="005138D8" w:rsidRDefault="005138D8" w:rsidP="005138D8">
      <w:pPr>
        <w:numPr>
          <w:ilvl w:val="0"/>
          <w:numId w:val="41"/>
        </w:numPr>
        <w:rPr>
          <w:rFonts w:cs="Arial"/>
          <w:sz w:val="20"/>
        </w:rPr>
      </w:pPr>
      <w:r w:rsidRPr="005138D8">
        <w:rPr>
          <w:rFonts w:cs="Arial"/>
          <w:sz w:val="20"/>
        </w:rPr>
        <w:t>A person may be regarded as having abused his position even though his conduct consisted of an omission rather than an act.</w:t>
      </w:r>
    </w:p>
    <w:p w:rsidR="005138D8" w:rsidRPr="005138D8" w:rsidRDefault="005138D8" w:rsidP="005138D8">
      <w:pPr>
        <w:rPr>
          <w:rFonts w:cs="Arial"/>
          <w:szCs w:val="22"/>
        </w:rPr>
      </w:pPr>
    </w:p>
    <w:p w:rsidR="005138D8" w:rsidRDefault="005138D8" w:rsidP="00BB3305">
      <w:pPr>
        <w:rPr>
          <w:rFonts w:cs="Arial"/>
          <w:szCs w:val="22"/>
        </w:rPr>
      </w:pPr>
    </w:p>
    <w:p w:rsidR="005138D8" w:rsidRDefault="005138D8" w:rsidP="00BB3305">
      <w:pPr>
        <w:rPr>
          <w:rFonts w:cs="Arial"/>
          <w:szCs w:val="22"/>
        </w:rPr>
      </w:pPr>
    </w:p>
    <w:p w:rsidR="005138D8" w:rsidRDefault="005138D8" w:rsidP="00BB3305">
      <w:pPr>
        <w:rPr>
          <w:rFonts w:cs="Arial"/>
          <w:szCs w:val="22"/>
        </w:rPr>
      </w:pPr>
    </w:p>
    <w:p w:rsidR="00BB3305" w:rsidRPr="00C268F5" w:rsidRDefault="005138D8" w:rsidP="00BB3305">
      <w:pPr>
        <w:rPr>
          <w:rFonts w:cs="Arial"/>
          <w:szCs w:val="22"/>
        </w:rPr>
      </w:pPr>
      <w:r w:rsidRPr="00C268F5">
        <w:rPr>
          <w:rFonts w:cs="Arial"/>
          <w:szCs w:val="22"/>
        </w:rPr>
        <w:t xml:space="preserve"> </w:t>
      </w:r>
      <w:r w:rsidR="00BB3305" w:rsidRPr="00C268F5">
        <w:rPr>
          <w:rFonts w:cs="Arial"/>
          <w:szCs w:val="22"/>
        </w:rPr>
        <w:t xml:space="preserve">(Appendix </w:t>
      </w:r>
      <w:r w:rsidR="005423E3" w:rsidRPr="00C268F5">
        <w:rPr>
          <w:rFonts w:cs="Arial"/>
          <w:szCs w:val="22"/>
        </w:rPr>
        <w:t>3</w:t>
      </w:r>
      <w:r w:rsidR="00BB3305" w:rsidRPr="00C268F5">
        <w:rPr>
          <w:rFonts w:cs="Arial"/>
          <w:szCs w:val="22"/>
        </w:rPr>
        <w:t>)</w:t>
      </w:r>
    </w:p>
    <w:p w:rsidR="00BB3305" w:rsidRPr="00C268F5" w:rsidRDefault="00BB3305" w:rsidP="00BB3305">
      <w:pPr>
        <w:ind w:left="-720"/>
        <w:rPr>
          <w:rFonts w:cs="Arial"/>
          <w:szCs w:val="22"/>
        </w:rPr>
      </w:pPr>
    </w:p>
    <w:tbl>
      <w:tblPr>
        <w:tblW w:w="8389" w:type="dxa"/>
        <w:tblInd w:w="108" w:type="dxa"/>
        <w:tblLayout w:type="fixed"/>
        <w:tblLook w:val="0000" w:firstRow="0" w:lastRow="0" w:firstColumn="0" w:lastColumn="0" w:noHBand="0" w:noVBand="0"/>
      </w:tblPr>
      <w:tblGrid>
        <w:gridCol w:w="8389"/>
      </w:tblGrid>
      <w:tr w:rsidR="00CD1C96" w:rsidRPr="00C268F5" w:rsidTr="00225E57">
        <w:trPr>
          <w:cantSplit/>
          <w:trHeight w:hRule="exact" w:val="643"/>
        </w:trPr>
        <w:tc>
          <w:tcPr>
            <w:tcW w:w="8389" w:type="dxa"/>
            <w:shd w:val="pct20" w:color="0000FF" w:fill="0000FF"/>
            <w:vAlign w:val="center"/>
          </w:tcPr>
          <w:p w:rsidR="00CD1C96" w:rsidRPr="00C268F5" w:rsidRDefault="00950C77" w:rsidP="00CD1C96">
            <w:pPr>
              <w:jc w:val="both"/>
              <w:rPr>
                <w:rFonts w:cs="Arial"/>
                <w:szCs w:val="22"/>
              </w:rPr>
            </w:pPr>
            <w:r>
              <w:rPr>
                <w:rFonts w:cs="Arial"/>
                <w:b/>
                <w:szCs w:val="22"/>
              </w:rPr>
              <w:t>Bribery Act 2010</w:t>
            </w:r>
          </w:p>
        </w:tc>
      </w:tr>
    </w:tbl>
    <w:p w:rsidR="00CD1C96" w:rsidRPr="00C268F5" w:rsidRDefault="00CD1C96" w:rsidP="00BB3305">
      <w:pPr>
        <w:ind w:left="-720"/>
        <w:rPr>
          <w:rFonts w:cs="Arial"/>
          <w:sz w:val="20"/>
        </w:rPr>
      </w:pPr>
    </w:p>
    <w:p w:rsidR="00950C77" w:rsidRDefault="00950C77" w:rsidP="004622D1">
      <w:pPr>
        <w:rPr>
          <w:rFonts w:cs="Arial"/>
          <w:sz w:val="20"/>
        </w:rPr>
      </w:pPr>
      <w:r w:rsidRPr="00950C77">
        <w:rPr>
          <w:rFonts w:cs="Arial"/>
          <w:sz w:val="20"/>
        </w:rPr>
        <w:t xml:space="preserve">The laws dealing with corrupt activity in the UK were to be found in the common law offence of bribery and in three Acts of Parliament, namely the Public Bodies Corrupt Practices Act 1889 and the Prevention of Corruption Acts of 1906 and 1916.  </w:t>
      </w:r>
      <w:r w:rsidRPr="00950C77">
        <w:rPr>
          <w:rFonts w:cs="Arial"/>
          <w:sz w:val="20"/>
        </w:rPr>
        <w:br/>
      </w:r>
      <w:r w:rsidRPr="00950C77">
        <w:rPr>
          <w:rFonts w:cs="Arial"/>
          <w:sz w:val="20"/>
        </w:rPr>
        <w:br/>
        <w:t xml:space="preserve">The Bribery Act 2010 replaces the fragmented and complex offences at common law and the Prevention of Corruption Acts 1889-1916. </w:t>
      </w:r>
      <w:r w:rsidRPr="00950C77">
        <w:rPr>
          <w:rFonts w:cs="Arial"/>
          <w:sz w:val="20"/>
        </w:rPr>
        <w:br/>
      </w:r>
      <w:r w:rsidRPr="00950C77">
        <w:rPr>
          <w:rFonts w:cs="Arial"/>
          <w:sz w:val="20"/>
        </w:rPr>
        <w:br/>
      </w:r>
      <w:r w:rsidRPr="00950C77">
        <w:rPr>
          <w:rFonts w:cs="Arial"/>
          <w:b/>
          <w:sz w:val="20"/>
        </w:rPr>
        <w:t>Examples of Bribery</w:t>
      </w:r>
      <w:r w:rsidRPr="00950C77">
        <w:rPr>
          <w:rFonts w:cs="Arial"/>
          <w:b/>
          <w:sz w:val="20"/>
        </w:rPr>
        <w:br/>
      </w:r>
      <w:r w:rsidRPr="00950C77">
        <w:rPr>
          <w:rFonts w:cs="Arial"/>
          <w:b/>
          <w:sz w:val="20"/>
        </w:rPr>
        <w:br/>
      </w:r>
      <w:r w:rsidRPr="00950C77">
        <w:rPr>
          <w:rFonts w:cs="Arial"/>
          <w:sz w:val="20"/>
        </w:rPr>
        <w:t>In the Act the offence of bribery is outlined as the receipt or acceptance of a bribe, or the offer to, promise or giving of a bribe, which assists in obtaining/ retaining business or financial advantage, or the inducement or reward of someone for the “improper performance” of a relevant function.</w:t>
      </w:r>
      <w:r w:rsidRPr="00950C77">
        <w:rPr>
          <w:rFonts w:cs="Arial"/>
          <w:sz w:val="20"/>
        </w:rPr>
        <w:br/>
      </w:r>
      <w:r w:rsidRPr="00950C77">
        <w:rPr>
          <w:rFonts w:cs="Arial"/>
          <w:sz w:val="20"/>
        </w:rPr>
        <w:br/>
        <w:t>The Act creates four categories of offence, which address the following:</w:t>
      </w:r>
      <w:r w:rsidRPr="00950C77">
        <w:rPr>
          <w:rFonts w:cs="Arial"/>
          <w:sz w:val="20"/>
        </w:rPr>
        <w:br/>
        <w:t xml:space="preserve"> </w:t>
      </w:r>
      <w:r w:rsidRPr="00950C77">
        <w:rPr>
          <w:rFonts w:cs="Arial"/>
          <w:sz w:val="20"/>
        </w:rPr>
        <w:br/>
        <w:t xml:space="preserve">• Offering, promising or giving a bribe to another person; </w:t>
      </w:r>
      <w:r w:rsidRPr="00950C77">
        <w:rPr>
          <w:rFonts w:cs="Arial"/>
          <w:sz w:val="20"/>
        </w:rPr>
        <w:br/>
      </w:r>
      <w:r w:rsidRPr="00950C77">
        <w:rPr>
          <w:rFonts w:cs="Arial"/>
          <w:sz w:val="20"/>
        </w:rPr>
        <w:br/>
        <w:t xml:space="preserve">• Requesting, agreeing to receive or accepting a bribe from another person; </w:t>
      </w:r>
      <w:r w:rsidRPr="00950C77">
        <w:rPr>
          <w:rFonts w:cs="Arial"/>
          <w:sz w:val="20"/>
        </w:rPr>
        <w:br/>
      </w:r>
      <w:r w:rsidRPr="00950C77">
        <w:rPr>
          <w:rFonts w:cs="Arial"/>
          <w:sz w:val="20"/>
        </w:rPr>
        <w:br/>
        <w:t xml:space="preserve">• Bribing a foreign official; and </w:t>
      </w:r>
      <w:r w:rsidRPr="00950C77">
        <w:rPr>
          <w:rFonts w:cs="Arial"/>
          <w:sz w:val="20"/>
        </w:rPr>
        <w:br/>
      </w:r>
      <w:r w:rsidRPr="00950C77">
        <w:rPr>
          <w:rFonts w:cs="Arial"/>
          <w:sz w:val="20"/>
        </w:rPr>
        <w:br/>
        <w:t xml:space="preserve">• A corporate offence of failing to prevent bribery. </w:t>
      </w:r>
      <w:r w:rsidRPr="00950C77">
        <w:rPr>
          <w:rFonts w:cs="Arial"/>
          <w:sz w:val="20"/>
        </w:rPr>
        <w:br/>
      </w:r>
      <w:r w:rsidRPr="00950C77">
        <w:rPr>
          <w:rFonts w:cs="Arial"/>
          <w:sz w:val="20"/>
        </w:rPr>
        <w:br/>
        <w:t xml:space="preserve">Under the new corporate offence, a commercial organisation (including a Foundation Trust) is now liable for the activities of associated third parties as well as its own staff, and corporate ignorance offers no protection from prosecution. </w:t>
      </w:r>
      <w:r w:rsidRPr="00950C77">
        <w:rPr>
          <w:rFonts w:cs="Arial"/>
          <w:sz w:val="20"/>
        </w:rPr>
        <w:br/>
      </w:r>
      <w:r w:rsidRPr="00950C77">
        <w:rPr>
          <w:rFonts w:cs="Arial"/>
          <w:sz w:val="20"/>
        </w:rPr>
        <w:br/>
        <w:t>The Trust could potentially be liable if an associated person intending to retain or obtain business pays a bribe, and the Trust failed to have in place “adequate procedures” to prevent bribery.  Senior Management, directors and officers, including non-board level managers could also be held personally liable for a commercial organisation’s bribery offences.</w:t>
      </w:r>
      <w:r w:rsidRPr="00950C77">
        <w:rPr>
          <w:rFonts w:cs="Arial"/>
          <w:sz w:val="20"/>
        </w:rPr>
        <w:br/>
      </w:r>
      <w:r w:rsidRPr="00950C77">
        <w:rPr>
          <w:rFonts w:cs="Arial"/>
          <w:sz w:val="20"/>
        </w:rPr>
        <w:br/>
        <w:t xml:space="preserve">The only defence available to the Trust would be therefore to prove that they ‘had in place adequate procedures designed to prevent a person associated with it from undertaking such conduct’. </w:t>
      </w:r>
      <w:r w:rsidRPr="00950C77">
        <w:rPr>
          <w:rFonts w:cs="Arial"/>
          <w:sz w:val="20"/>
        </w:rPr>
        <w:br/>
      </w:r>
      <w:r w:rsidRPr="00950C77">
        <w:rPr>
          <w:rFonts w:cs="Arial"/>
          <w:sz w:val="20"/>
        </w:rPr>
        <w:br/>
        <w:t>The Act provides for unlimited fines and individuals are liable to a prison sentence of up to ten years. A director convicted of a bribery offence is also likely to be disqualified from holding a director position for up to 15 years.  The Act is not retrospective.</w:t>
      </w:r>
      <w:r w:rsidRPr="00950C77">
        <w:rPr>
          <w:rFonts w:cs="Arial"/>
          <w:sz w:val="20"/>
        </w:rPr>
        <w:br/>
      </w:r>
      <w:r w:rsidRPr="00950C77">
        <w:rPr>
          <w:rFonts w:cs="Arial"/>
          <w:sz w:val="20"/>
        </w:rPr>
        <w:br/>
        <w:t>The offences under the Act are known as strict liability offences meaning there is no need to prove intention, dishonesty or recklessness.  This means it is not necessary for the prosecution to prove that the Trust intended to make the bribe in bad faith, or that it was negligent as to whether any bribery activity took place.</w:t>
      </w:r>
      <w:r w:rsidRPr="00950C77">
        <w:rPr>
          <w:rFonts w:cs="Arial"/>
          <w:sz w:val="20"/>
        </w:rPr>
        <w:br/>
      </w:r>
      <w:r w:rsidRPr="00950C77">
        <w:rPr>
          <w:rFonts w:cs="Arial"/>
          <w:sz w:val="20"/>
        </w:rPr>
        <w:br/>
        <w:t>Under the Bribery Act a person is considered to be associated with a commercial organisation if they perform services for it and on its behalf.  It does not matter in what capacity they do this.  This definition therefore includes employees, agents and contractors.</w:t>
      </w:r>
    </w:p>
    <w:p w:rsidR="00950C77" w:rsidRDefault="00950C77" w:rsidP="004622D1">
      <w:pPr>
        <w:rPr>
          <w:rFonts w:cs="Arial"/>
          <w:sz w:val="20"/>
        </w:rPr>
      </w:pPr>
    </w:p>
    <w:p w:rsidR="00950C77" w:rsidRPr="00950C77" w:rsidRDefault="00950C77" w:rsidP="004622D1">
      <w:pPr>
        <w:rPr>
          <w:rFonts w:cs="Arial"/>
          <w:sz w:val="20"/>
        </w:rPr>
      </w:pPr>
      <w:r w:rsidRPr="00950C77">
        <w:rPr>
          <w:rFonts w:cs="Arial"/>
          <w:sz w:val="20"/>
          <w:lang w:eastAsia="en-GB"/>
        </w:rPr>
        <w:t xml:space="preserve">Any member of staff, including Board members and senior staff, who are involved in the decision making regarding the allocation of contracts, Trust funds, and business are potentially vulnerable to the risk of being offered bribes to influence their decision making. </w:t>
      </w:r>
      <w:r w:rsidRPr="00950C77">
        <w:rPr>
          <w:rFonts w:cs="Arial"/>
          <w:sz w:val="20"/>
          <w:lang w:eastAsia="en-GB"/>
        </w:rPr>
        <w:br/>
      </w:r>
      <w:r w:rsidRPr="00950C77">
        <w:rPr>
          <w:rFonts w:cs="Arial"/>
          <w:sz w:val="20"/>
          <w:lang w:eastAsia="en-GB"/>
        </w:rPr>
        <w:br/>
        <w:t>This risk also extends to any partner organisations, limited companies or charitable organisations connected to the Trust, and subcontractors building on the Trust’s behalf, bribing other sub-contractors. </w:t>
      </w:r>
      <w:r w:rsidRPr="00950C77">
        <w:rPr>
          <w:rFonts w:cs="Arial"/>
          <w:sz w:val="20"/>
        </w:rPr>
        <w:br/>
      </w:r>
    </w:p>
    <w:p w:rsidR="00950C77" w:rsidRDefault="00950C77" w:rsidP="004622D1">
      <w:pPr>
        <w:rPr>
          <w:rFonts w:cs="Arial"/>
        </w:rPr>
      </w:pPr>
    </w:p>
    <w:p w:rsidR="00FE38F2" w:rsidRPr="00C268F5" w:rsidRDefault="00BB3305" w:rsidP="004622D1">
      <w:pPr>
        <w:rPr>
          <w:rFonts w:cs="Arial"/>
        </w:rPr>
      </w:pPr>
      <w:r w:rsidRPr="00C268F5">
        <w:rPr>
          <w:rFonts w:cs="Arial"/>
        </w:rPr>
        <w:br w:type="page"/>
      </w:r>
      <w:r w:rsidR="005423E3" w:rsidRPr="00C268F5">
        <w:rPr>
          <w:rFonts w:cs="Arial"/>
        </w:rPr>
        <w:lastRenderedPageBreak/>
        <w:t>(Appendix 4</w:t>
      </w:r>
      <w:r w:rsidR="00FE38F2" w:rsidRPr="00C268F5">
        <w:rPr>
          <w:rFonts w:cs="Arial"/>
        </w:rPr>
        <w:t>)</w:t>
      </w:r>
      <w:r w:rsidRPr="00C268F5">
        <w:rPr>
          <w:rFonts w:cs="Arial"/>
        </w:rPr>
        <w:tab/>
      </w:r>
    </w:p>
    <w:p w:rsidR="00FE38F2" w:rsidRPr="00C268F5" w:rsidRDefault="00FE38F2" w:rsidP="004622D1">
      <w:pPr>
        <w:rPr>
          <w:rFonts w:cs="Arial"/>
        </w:rPr>
      </w:pPr>
    </w:p>
    <w:tbl>
      <w:tblPr>
        <w:tblW w:w="8364" w:type="dxa"/>
        <w:tblInd w:w="108" w:type="dxa"/>
        <w:tblLayout w:type="fixed"/>
        <w:tblLook w:val="0000" w:firstRow="0" w:lastRow="0" w:firstColumn="0" w:lastColumn="0" w:noHBand="0" w:noVBand="0"/>
      </w:tblPr>
      <w:tblGrid>
        <w:gridCol w:w="8364"/>
      </w:tblGrid>
      <w:tr w:rsidR="00FE38F2" w:rsidRPr="00C268F5" w:rsidTr="00225E57">
        <w:trPr>
          <w:cantSplit/>
          <w:trHeight w:hRule="exact" w:val="360"/>
        </w:trPr>
        <w:tc>
          <w:tcPr>
            <w:tcW w:w="8364" w:type="dxa"/>
            <w:shd w:val="pct20" w:color="0000FF" w:fill="0000FF"/>
            <w:vAlign w:val="center"/>
          </w:tcPr>
          <w:p w:rsidR="00FE38F2" w:rsidRPr="00C268F5" w:rsidRDefault="00950C77" w:rsidP="00FE38F2">
            <w:pPr>
              <w:jc w:val="both"/>
              <w:rPr>
                <w:rFonts w:cs="Arial"/>
              </w:rPr>
            </w:pPr>
            <w:r>
              <w:rPr>
                <w:rFonts w:cs="Arial"/>
                <w:b/>
              </w:rPr>
              <w:t>Investigations with Clinical Implications</w:t>
            </w:r>
          </w:p>
        </w:tc>
      </w:tr>
    </w:tbl>
    <w:p w:rsidR="00FE38F2" w:rsidRPr="00C268F5" w:rsidRDefault="00FE38F2" w:rsidP="004622D1">
      <w:pPr>
        <w:rPr>
          <w:rFonts w:cs="Arial"/>
        </w:rPr>
      </w:pPr>
    </w:p>
    <w:p w:rsidR="00950C77" w:rsidRPr="00C268F5" w:rsidRDefault="00950C77" w:rsidP="00950C77">
      <w:pPr>
        <w:pStyle w:val="PlainText"/>
        <w:jc w:val="both"/>
        <w:rPr>
          <w:rFonts w:cs="Arial"/>
        </w:rPr>
      </w:pPr>
    </w:p>
    <w:p w:rsidR="00950C77" w:rsidRPr="00950C77" w:rsidRDefault="00950C77" w:rsidP="00950C77">
      <w:pPr>
        <w:overflowPunct/>
        <w:autoSpaceDE/>
        <w:autoSpaceDN/>
        <w:adjustRightInd/>
        <w:jc w:val="both"/>
        <w:textAlignment w:val="auto"/>
        <w:rPr>
          <w:rFonts w:cs="Arial"/>
          <w:iCs/>
          <w:sz w:val="20"/>
          <w:lang w:eastAsia="en-GB"/>
        </w:rPr>
      </w:pPr>
      <w:r w:rsidRPr="00950C77">
        <w:rPr>
          <w:rFonts w:cs="Arial"/>
          <w:iCs/>
          <w:sz w:val="20"/>
          <w:lang w:eastAsia="en-GB"/>
        </w:rPr>
        <w:t>In such an instance, the LCFS is responsible for ensuring that the Director of Finance is informed of the potential risk at the earliest opportunity. The Director of Finance or designated deputy will decide which of his/her senior colleagues should be informed and consulted with before reaching a decision. Any appropriate professional body may also be notified. It is essential that this happens to ensure that the Director of Finance’s decision can take account of the full consideration of the clinical and non-clinical risks facing the organisation. To ensure that the investigation is not compromised however, it is vital that the number of people aware of the investigation is kept to an absolute minimum. If in any doubt, advice should be ought from the Area Anti-Fraud Specialist (AAFS), or the NHS Protect Legal Services Unit.</w:t>
      </w:r>
    </w:p>
    <w:p w:rsidR="00950C77" w:rsidRPr="00950C77" w:rsidRDefault="00950C77" w:rsidP="00950C77">
      <w:pPr>
        <w:overflowPunct/>
        <w:autoSpaceDE/>
        <w:autoSpaceDN/>
        <w:adjustRightInd/>
        <w:jc w:val="both"/>
        <w:textAlignment w:val="auto"/>
        <w:rPr>
          <w:rFonts w:cs="Arial"/>
          <w:iCs/>
          <w:sz w:val="20"/>
          <w:lang w:eastAsia="en-GB"/>
        </w:rPr>
      </w:pPr>
    </w:p>
    <w:p w:rsidR="00950C77" w:rsidRPr="00950C77" w:rsidRDefault="00950C77" w:rsidP="00950C77">
      <w:pPr>
        <w:overflowPunct/>
        <w:autoSpaceDE/>
        <w:autoSpaceDN/>
        <w:adjustRightInd/>
        <w:jc w:val="both"/>
        <w:textAlignment w:val="auto"/>
        <w:rPr>
          <w:rFonts w:cs="Arial"/>
          <w:iCs/>
          <w:sz w:val="20"/>
          <w:lang w:eastAsia="en-GB"/>
        </w:rPr>
      </w:pPr>
      <w:r w:rsidRPr="00950C77">
        <w:rPr>
          <w:rFonts w:cs="Arial"/>
          <w:iCs/>
          <w:sz w:val="20"/>
          <w:lang w:eastAsia="en-GB"/>
        </w:rPr>
        <w:t>It may be appropriate or necessary for immediate action to be taken. All previously agreed parties should be involved in the process, and should be kept informed of any action taken and the outcomes. Any decision to contact or suspend the individual(s) under suspicion must involve the Director of Finance and the LCFS.</w:t>
      </w:r>
    </w:p>
    <w:p w:rsidR="00950C77" w:rsidRPr="00950C77" w:rsidRDefault="00950C77" w:rsidP="00950C77">
      <w:pPr>
        <w:overflowPunct/>
        <w:autoSpaceDE/>
        <w:autoSpaceDN/>
        <w:adjustRightInd/>
        <w:jc w:val="both"/>
        <w:textAlignment w:val="auto"/>
        <w:rPr>
          <w:rFonts w:cs="Arial"/>
          <w:iCs/>
          <w:sz w:val="20"/>
          <w:lang w:eastAsia="en-GB"/>
        </w:rPr>
      </w:pPr>
    </w:p>
    <w:p w:rsidR="00950C77" w:rsidRPr="00950C77" w:rsidRDefault="00950C77" w:rsidP="00950C77">
      <w:pPr>
        <w:overflowPunct/>
        <w:autoSpaceDE/>
        <w:autoSpaceDN/>
        <w:adjustRightInd/>
        <w:jc w:val="both"/>
        <w:textAlignment w:val="auto"/>
        <w:rPr>
          <w:rFonts w:cs="Arial"/>
          <w:iCs/>
          <w:sz w:val="20"/>
          <w:lang w:eastAsia="en-GB"/>
        </w:rPr>
      </w:pPr>
      <w:r w:rsidRPr="00950C77">
        <w:rPr>
          <w:rFonts w:cs="Arial"/>
          <w:iCs/>
          <w:sz w:val="20"/>
          <w:lang w:eastAsia="en-GB"/>
        </w:rPr>
        <w:t>It should be noted that if it is decided to contact or suspend the individual(s), there is a risk that they may not attend any internal disciplinary hearings/meetings, or be traceable/contactable during the investigation by the LCFS or other body. There is also a significant risk that evidence may be destroyed, and that the individual(s) may also, at a later date, re-appear within the NHS and be undetected.</w:t>
      </w:r>
    </w:p>
    <w:p w:rsidR="00950C77" w:rsidRPr="00950C77" w:rsidRDefault="00950C77" w:rsidP="00950C77">
      <w:pPr>
        <w:overflowPunct/>
        <w:autoSpaceDE/>
        <w:autoSpaceDN/>
        <w:adjustRightInd/>
        <w:jc w:val="both"/>
        <w:textAlignment w:val="auto"/>
        <w:rPr>
          <w:rFonts w:cs="Arial"/>
          <w:iCs/>
          <w:sz w:val="20"/>
          <w:lang w:eastAsia="en-GB"/>
        </w:rPr>
      </w:pPr>
    </w:p>
    <w:p w:rsidR="00950C77" w:rsidRPr="00950C77" w:rsidRDefault="00950C77" w:rsidP="00950C77">
      <w:pPr>
        <w:overflowPunct/>
        <w:autoSpaceDE/>
        <w:autoSpaceDN/>
        <w:adjustRightInd/>
        <w:jc w:val="both"/>
        <w:textAlignment w:val="auto"/>
        <w:rPr>
          <w:rFonts w:cs="Arial"/>
          <w:iCs/>
          <w:sz w:val="20"/>
          <w:lang w:eastAsia="en-GB"/>
        </w:rPr>
      </w:pPr>
      <w:r w:rsidRPr="00950C77">
        <w:rPr>
          <w:rFonts w:cs="Arial"/>
          <w:iCs/>
          <w:sz w:val="20"/>
          <w:lang w:eastAsia="en-GB"/>
        </w:rPr>
        <w:t>Police co-operation may be sought by asking them to arrest the individual(s). We are not able to influence their prioritising process, and therefore this may have an impact on the speed with which the matter is progressed and brought to conclusion.</w:t>
      </w:r>
    </w:p>
    <w:p w:rsidR="00950C77" w:rsidRPr="00950C77" w:rsidRDefault="00950C77" w:rsidP="00950C77">
      <w:pPr>
        <w:overflowPunct/>
        <w:autoSpaceDE/>
        <w:autoSpaceDN/>
        <w:adjustRightInd/>
        <w:jc w:val="both"/>
        <w:textAlignment w:val="auto"/>
        <w:rPr>
          <w:rFonts w:cs="Arial"/>
          <w:iCs/>
          <w:sz w:val="20"/>
          <w:lang w:eastAsia="en-GB"/>
        </w:rPr>
      </w:pPr>
    </w:p>
    <w:p w:rsidR="00D16F6E" w:rsidRPr="00D16F6E" w:rsidRDefault="00950C77" w:rsidP="00D16F6E">
      <w:pPr>
        <w:pStyle w:val="Header"/>
        <w:rPr>
          <w:rFonts w:ascii="Segoe UI" w:eastAsia="Calibri" w:hAnsi="Segoe UI" w:cs="Segoe UI"/>
          <w:b/>
          <w:bCs/>
        </w:rPr>
      </w:pPr>
      <w:r w:rsidRPr="00950C77">
        <w:rPr>
          <w:rFonts w:cs="Arial"/>
          <w:b/>
          <w:iCs/>
          <w:u w:val="single"/>
          <w:lang w:eastAsia="en-GB"/>
        </w:rPr>
        <w:t>Under no circumstances will issues of fraud take priority over patient care.</w:t>
      </w:r>
      <w:r w:rsidR="00FE38F2" w:rsidRPr="00950C77">
        <w:rPr>
          <w:rFonts w:cs="Arial"/>
        </w:rPr>
        <w:br w:type="page"/>
      </w:r>
      <w:r w:rsidR="00D16F6E" w:rsidRPr="00D16F6E">
        <w:rPr>
          <w:rFonts w:ascii="Segoe UI" w:eastAsia="Calibri" w:hAnsi="Segoe UI" w:cs="Segoe UI"/>
          <w:b/>
          <w:bCs/>
        </w:rPr>
        <w:lastRenderedPageBreak/>
        <w:t>Full Equality Impact Assessment Form</w:t>
      </w:r>
    </w:p>
    <w:p w:rsidR="00D16F6E" w:rsidRPr="00D16F6E" w:rsidRDefault="00D16F6E" w:rsidP="00D16F6E">
      <w:pPr>
        <w:tabs>
          <w:tab w:val="center" w:pos="4513"/>
          <w:tab w:val="right" w:pos="9026"/>
        </w:tabs>
        <w:overflowPunct/>
        <w:autoSpaceDE/>
        <w:autoSpaceDN/>
        <w:adjustRightInd/>
        <w:textAlignment w:val="auto"/>
        <w:rPr>
          <w:rFonts w:ascii="Segoe UI" w:eastAsia="Calibri" w:hAnsi="Segoe UI" w:cs="Segoe UI"/>
          <w:bCs/>
          <w:sz w:val="20"/>
        </w:rPr>
      </w:pPr>
      <w:r w:rsidRPr="00D16F6E">
        <w:rPr>
          <w:rFonts w:ascii="Segoe UI" w:eastAsia="Calibri" w:hAnsi="Segoe UI" w:cs="Segoe UI"/>
          <w:bCs/>
          <w:sz w:val="20"/>
        </w:rPr>
        <w:t>This form is an Equality Impact Assessment Form. It is used to review services and policies to ensure fair and consistent services for staff, service users and carers. It is a legal duty to prevent discrimination.</w:t>
      </w:r>
    </w:p>
    <w:p w:rsidR="00D16F6E" w:rsidRPr="00D16F6E" w:rsidRDefault="00D16F6E" w:rsidP="00D16F6E">
      <w:pPr>
        <w:tabs>
          <w:tab w:val="center" w:pos="4513"/>
          <w:tab w:val="right" w:pos="9026"/>
        </w:tabs>
        <w:overflowPunct/>
        <w:autoSpaceDE/>
        <w:autoSpaceDN/>
        <w:adjustRightInd/>
        <w:textAlignment w:val="auto"/>
        <w:rPr>
          <w:rFonts w:ascii="Segoe UI" w:eastAsia="Calibri" w:hAnsi="Segoe UI" w:cs="Segoe UI"/>
          <w:bCs/>
          <w:sz w:val="16"/>
          <w:szCs w:val="16"/>
        </w:rPr>
      </w:pPr>
    </w:p>
    <w:p w:rsidR="00D16F6E" w:rsidRPr="00D16F6E" w:rsidRDefault="00D16F6E" w:rsidP="00D16F6E">
      <w:pPr>
        <w:tabs>
          <w:tab w:val="center" w:pos="4513"/>
          <w:tab w:val="right" w:pos="9026"/>
        </w:tabs>
        <w:overflowPunct/>
        <w:autoSpaceDE/>
        <w:autoSpaceDN/>
        <w:adjustRightInd/>
        <w:textAlignment w:val="auto"/>
        <w:rPr>
          <w:rFonts w:ascii="Segoe UI" w:eastAsia="Calibri" w:hAnsi="Segoe UI" w:cs="Segoe UI"/>
          <w:bCs/>
          <w:sz w:val="20"/>
        </w:rPr>
      </w:pPr>
      <w:r w:rsidRPr="00D16F6E">
        <w:rPr>
          <w:rFonts w:ascii="Segoe UI" w:eastAsia="Calibri" w:hAnsi="Segoe UI" w:cs="Segoe UI"/>
          <w:bCs/>
          <w:sz w:val="20"/>
        </w:rPr>
        <w:t>The form consists of two parts. Part 1 is screening to see if the Procedural Document or service requires a full assessment. It is through this screening process that you can find out whether the Procedural Document or service requires a Part 2.</w:t>
      </w:r>
    </w:p>
    <w:p w:rsidR="00D16F6E" w:rsidRPr="00D16F6E" w:rsidRDefault="00D16F6E" w:rsidP="00D16F6E">
      <w:pPr>
        <w:tabs>
          <w:tab w:val="center" w:pos="4513"/>
          <w:tab w:val="right" w:pos="9026"/>
        </w:tabs>
        <w:overflowPunct/>
        <w:autoSpaceDE/>
        <w:autoSpaceDN/>
        <w:adjustRightInd/>
        <w:textAlignment w:val="auto"/>
        <w:rPr>
          <w:rFonts w:ascii="Segoe UI" w:eastAsia="Calibri" w:hAnsi="Segoe UI" w:cs="Segoe UI"/>
          <w:bCs/>
          <w:sz w:val="16"/>
          <w:szCs w:val="16"/>
        </w:rPr>
      </w:pPr>
    </w:p>
    <w:p w:rsidR="00D16F6E" w:rsidRPr="00D16F6E" w:rsidRDefault="00D16F6E" w:rsidP="00D16F6E">
      <w:pPr>
        <w:tabs>
          <w:tab w:val="center" w:pos="4513"/>
          <w:tab w:val="right" w:pos="9026"/>
        </w:tabs>
        <w:overflowPunct/>
        <w:autoSpaceDE/>
        <w:autoSpaceDN/>
        <w:adjustRightInd/>
        <w:textAlignment w:val="auto"/>
        <w:rPr>
          <w:rFonts w:ascii="Segoe UI" w:eastAsia="Calibri" w:hAnsi="Segoe UI" w:cs="Segoe UI"/>
          <w:bCs/>
          <w:sz w:val="20"/>
        </w:rPr>
      </w:pPr>
      <w:r w:rsidRPr="00D16F6E">
        <w:rPr>
          <w:rFonts w:ascii="Segoe UI" w:eastAsia="Calibri" w:hAnsi="Segoe UI" w:cs="Segoe UI"/>
          <w:bCs/>
          <w:sz w:val="20"/>
        </w:rPr>
        <w:t>Part 1</w:t>
      </w:r>
    </w:p>
    <w:p w:rsidR="00D16F6E" w:rsidRPr="00D16F6E" w:rsidRDefault="00D16F6E" w:rsidP="00D16F6E">
      <w:pPr>
        <w:pBdr>
          <w:top w:val="single" w:sz="4" w:space="1" w:color="auto"/>
          <w:left w:val="single" w:sz="4" w:space="4" w:color="auto"/>
          <w:bottom w:val="single" w:sz="4" w:space="1" w:color="auto"/>
          <w:right w:val="single" w:sz="4" w:space="3" w:color="auto"/>
        </w:pBdr>
        <w:shd w:val="clear" w:color="auto" w:fill="339966"/>
        <w:overflowPunct/>
        <w:autoSpaceDE/>
        <w:autoSpaceDN/>
        <w:adjustRightInd/>
        <w:jc w:val="center"/>
        <w:textAlignment w:val="auto"/>
        <w:rPr>
          <w:rFonts w:ascii="Segoe UI" w:hAnsi="Segoe UI" w:cs="Segoe UI"/>
          <w:sz w:val="20"/>
        </w:rPr>
      </w:pPr>
      <w:r w:rsidRPr="00D16F6E">
        <w:rPr>
          <w:rFonts w:ascii="Segoe UI" w:hAnsi="Segoe UI" w:cs="Segoe UI"/>
          <w:sz w:val="20"/>
        </w:rPr>
        <w:t>Equality Impact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5"/>
        <w:gridCol w:w="4889"/>
      </w:tblGrid>
      <w:tr w:rsidR="00D16F6E" w:rsidRPr="00D16F6E" w:rsidTr="00AA6462">
        <w:trPr>
          <w:trHeight w:val="376"/>
        </w:trPr>
        <w:tc>
          <w:tcPr>
            <w:tcW w:w="4264" w:type="dxa"/>
          </w:tcPr>
          <w:p w:rsidR="00D16F6E" w:rsidRPr="00D16F6E" w:rsidRDefault="00D16F6E" w:rsidP="00D16F6E">
            <w:pPr>
              <w:overflowPunct/>
              <w:autoSpaceDE/>
              <w:autoSpaceDN/>
              <w:adjustRightInd/>
              <w:textAlignment w:val="auto"/>
              <w:rPr>
                <w:rFonts w:ascii="Segoe UI" w:eastAsia="Calibri" w:hAnsi="Segoe UI" w:cs="Segoe UI"/>
                <w:b/>
                <w:bCs/>
                <w:sz w:val="20"/>
              </w:rPr>
            </w:pPr>
            <w:r w:rsidRPr="00D16F6E">
              <w:rPr>
                <w:rFonts w:ascii="Segoe UI" w:eastAsia="Calibri" w:hAnsi="Segoe UI" w:cs="Segoe UI"/>
                <w:b/>
                <w:bCs/>
                <w:sz w:val="20"/>
              </w:rPr>
              <w:t>Service Area</w:t>
            </w:r>
          </w:p>
          <w:p w:rsidR="00D16F6E" w:rsidRPr="00D16F6E" w:rsidRDefault="00D16F6E" w:rsidP="00D16F6E">
            <w:pPr>
              <w:overflowPunct/>
              <w:autoSpaceDE/>
              <w:autoSpaceDN/>
              <w:adjustRightInd/>
              <w:textAlignment w:val="auto"/>
              <w:rPr>
                <w:rFonts w:ascii="Segoe UI" w:eastAsia="Calibri" w:hAnsi="Segoe UI" w:cs="Segoe UI"/>
                <w:b/>
                <w:bCs/>
                <w:sz w:val="20"/>
              </w:rPr>
            </w:pPr>
            <w:r w:rsidRPr="00D16F6E">
              <w:rPr>
                <w:rFonts w:ascii="Segoe UI" w:eastAsia="Calibri" w:hAnsi="Segoe UI" w:cs="Segoe UI"/>
                <w:b/>
                <w:bCs/>
                <w:sz w:val="20"/>
              </w:rPr>
              <w:t>All</w:t>
            </w:r>
          </w:p>
        </w:tc>
        <w:tc>
          <w:tcPr>
            <w:tcW w:w="4974" w:type="dxa"/>
          </w:tcPr>
          <w:p w:rsidR="00D16F6E" w:rsidRPr="00D16F6E" w:rsidRDefault="00D16F6E" w:rsidP="00D16F6E">
            <w:pPr>
              <w:overflowPunct/>
              <w:autoSpaceDE/>
              <w:autoSpaceDN/>
              <w:adjustRightInd/>
              <w:textAlignment w:val="auto"/>
              <w:rPr>
                <w:rFonts w:ascii="Segoe UI" w:eastAsia="Calibri" w:hAnsi="Segoe UI" w:cs="Segoe UI"/>
                <w:b/>
                <w:bCs/>
                <w:sz w:val="20"/>
              </w:rPr>
            </w:pPr>
            <w:r w:rsidRPr="00D16F6E">
              <w:rPr>
                <w:rFonts w:ascii="Segoe UI" w:eastAsia="Calibri" w:hAnsi="Segoe UI" w:cs="Segoe UI"/>
                <w:b/>
                <w:bCs/>
                <w:sz w:val="20"/>
              </w:rPr>
              <w:t>Date:</w:t>
            </w:r>
          </w:p>
          <w:p w:rsidR="00D16F6E" w:rsidRPr="00D16F6E" w:rsidRDefault="00D16F6E" w:rsidP="00D16F6E">
            <w:pPr>
              <w:overflowPunct/>
              <w:autoSpaceDE/>
              <w:autoSpaceDN/>
              <w:adjustRightInd/>
              <w:textAlignment w:val="auto"/>
              <w:rPr>
                <w:rFonts w:ascii="Segoe UI" w:eastAsia="Calibri" w:hAnsi="Segoe UI" w:cs="Segoe UI"/>
                <w:b/>
                <w:bCs/>
                <w:sz w:val="20"/>
              </w:rPr>
            </w:pPr>
            <w:r w:rsidRPr="00D16F6E">
              <w:rPr>
                <w:rFonts w:ascii="Segoe UI" w:eastAsia="Calibri" w:hAnsi="Segoe UI" w:cs="Segoe UI"/>
                <w:b/>
                <w:bCs/>
                <w:sz w:val="20"/>
              </w:rPr>
              <w:t>J</w:t>
            </w:r>
            <w:r>
              <w:rPr>
                <w:rFonts w:ascii="Segoe UI" w:eastAsia="Calibri" w:hAnsi="Segoe UI" w:cs="Segoe UI"/>
                <w:b/>
                <w:bCs/>
                <w:sz w:val="20"/>
              </w:rPr>
              <w:t xml:space="preserve">anuary </w:t>
            </w:r>
            <w:r w:rsidRPr="00D16F6E">
              <w:rPr>
                <w:rFonts w:ascii="Segoe UI" w:eastAsia="Calibri" w:hAnsi="Segoe UI" w:cs="Segoe UI"/>
                <w:b/>
                <w:bCs/>
                <w:sz w:val="20"/>
              </w:rPr>
              <w:t>201</w:t>
            </w:r>
            <w:r>
              <w:rPr>
                <w:rFonts w:ascii="Segoe UI" w:eastAsia="Calibri" w:hAnsi="Segoe UI" w:cs="Segoe UI"/>
                <w:b/>
                <w:bCs/>
                <w:sz w:val="20"/>
              </w:rPr>
              <w:t>6</w:t>
            </w:r>
          </w:p>
        </w:tc>
      </w:tr>
      <w:tr w:rsidR="00D16F6E" w:rsidRPr="00D16F6E" w:rsidTr="00AA6462">
        <w:trPr>
          <w:cantSplit/>
        </w:trPr>
        <w:tc>
          <w:tcPr>
            <w:tcW w:w="9238" w:type="dxa"/>
            <w:gridSpan w:val="2"/>
          </w:tcPr>
          <w:p w:rsidR="00D16F6E" w:rsidRPr="00D16F6E" w:rsidRDefault="00D16F6E" w:rsidP="00D16F6E">
            <w:pPr>
              <w:overflowPunct/>
              <w:ind w:right="871"/>
              <w:jc w:val="both"/>
              <w:textAlignment w:val="auto"/>
              <w:rPr>
                <w:rFonts w:ascii="Segoe UI" w:eastAsia="Calibri" w:hAnsi="Segoe UI" w:cs="Segoe UI"/>
                <w:b/>
                <w:bCs/>
                <w:color w:val="000000"/>
                <w:sz w:val="20"/>
              </w:rPr>
            </w:pPr>
            <w:r w:rsidRPr="00D16F6E">
              <w:rPr>
                <w:rFonts w:ascii="Segoe UI" w:eastAsia="Calibri" w:hAnsi="Segoe UI" w:cs="Segoe UI"/>
                <w:b/>
                <w:bCs/>
                <w:color w:val="000000"/>
                <w:sz w:val="20"/>
              </w:rPr>
              <w:t>Trust handbook for the production and management of policies, procedures, guidelines and protocols</w:t>
            </w:r>
          </w:p>
        </w:tc>
      </w:tr>
    </w:tbl>
    <w:p w:rsidR="00D16F6E" w:rsidRPr="00D16F6E" w:rsidRDefault="00D16F6E" w:rsidP="00D16F6E">
      <w:pPr>
        <w:overflowPunct/>
        <w:autoSpaceDE/>
        <w:autoSpaceDN/>
        <w:adjustRightInd/>
        <w:textAlignment w:val="auto"/>
        <w:rPr>
          <w:rFonts w:ascii="Segoe UI" w:eastAsia="Calibri" w:hAnsi="Segoe UI" w:cs="Segoe UI"/>
          <w:sz w:val="16"/>
          <w:szCs w:val="16"/>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8"/>
      </w:tblGrid>
      <w:tr w:rsidR="00D16F6E" w:rsidRPr="00D16F6E" w:rsidTr="00AA6462">
        <w:tc>
          <w:tcPr>
            <w:tcW w:w="9238" w:type="dxa"/>
          </w:tcPr>
          <w:p w:rsidR="00D16F6E" w:rsidRPr="00D16F6E" w:rsidRDefault="00D16F6E" w:rsidP="00D16F6E">
            <w:pPr>
              <w:widowControl w:val="0"/>
              <w:overflowPunct/>
              <w:autoSpaceDE/>
              <w:autoSpaceDN/>
              <w:adjustRightInd/>
              <w:textAlignment w:val="auto"/>
              <w:rPr>
                <w:rFonts w:ascii="Segoe UI" w:eastAsia="Arial" w:hAnsi="Segoe UI" w:cs="Segoe UI"/>
                <w:bCs/>
                <w:sz w:val="20"/>
                <w:lang w:val="en-US"/>
              </w:rPr>
            </w:pPr>
            <w:r w:rsidRPr="00D16F6E">
              <w:rPr>
                <w:rFonts w:ascii="Segoe UI" w:eastAsia="Arial" w:hAnsi="Segoe UI" w:cs="Segoe UI"/>
                <w:b/>
                <w:bCs/>
                <w:sz w:val="20"/>
                <w:lang w:val="en-US"/>
              </w:rPr>
              <w:t>Purpose of policy: To provide a framework for developing and approving Trust procedural documents</w:t>
            </w:r>
          </w:p>
          <w:p w:rsidR="00D16F6E" w:rsidRPr="00D16F6E" w:rsidRDefault="00D16F6E" w:rsidP="00D16F6E">
            <w:pPr>
              <w:widowControl w:val="0"/>
              <w:overflowPunct/>
              <w:autoSpaceDE/>
              <w:autoSpaceDN/>
              <w:adjustRightInd/>
              <w:textAlignment w:val="auto"/>
              <w:rPr>
                <w:rFonts w:ascii="Segoe UI" w:eastAsia="Arial" w:hAnsi="Segoe UI" w:cs="Segoe UI"/>
                <w:b/>
                <w:bCs/>
                <w:sz w:val="8"/>
                <w:szCs w:val="8"/>
                <w:lang w:val="en-US"/>
              </w:rPr>
            </w:pPr>
          </w:p>
        </w:tc>
      </w:tr>
    </w:tbl>
    <w:p w:rsidR="00D16F6E" w:rsidRPr="00D16F6E" w:rsidRDefault="00D16F6E" w:rsidP="00D16F6E">
      <w:pPr>
        <w:overflowPunct/>
        <w:autoSpaceDE/>
        <w:autoSpaceDN/>
        <w:adjustRightInd/>
        <w:textAlignment w:val="auto"/>
        <w:rPr>
          <w:rFonts w:ascii="Segoe UI" w:eastAsia="Calibri" w:hAnsi="Segoe UI" w:cs="Segoe U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4"/>
      </w:tblGrid>
      <w:tr w:rsidR="00D16F6E" w:rsidRPr="00D16F6E" w:rsidTr="00AA6462">
        <w:trPr>
          <w:cantSplit/>
        </w:trPr>
        <w:tc>
          <w:tcPr>
            <w:tcW w:w="9238" w:type="dxa"/>
          </w:tcPr>
          <w:p w:rsidR="00D16F6E" w:rsidRPr="00D16F6E" w:rsidRDefault="00D16F6E" w:rsidP="00D16F6E">
            <w:pPr>
              <w:overflowPunct/>
              <w:autoSpaceDE/>
              <w:autoSpaceDN/>
              <w:adjustRightInd/>
              <w:spacing w:after="200"/>
              <w:jc w:val="both"/>
              <w:textAlignment w:val="auto"/>
              <w:rPr>
                <w:rFonts w:ascii="Segoe UI" w:eastAsia="Calibri" w:hAnsi="Segoe UI" w:cs="Segoe UI"/>
                <w:b/>
                <w:bCs/>
                <w:sz w:val="20"/>
              </w:rPr>
            </w:pPr>
            <w:r w:rsidRPr="00D16F6E">
              <w:rPr>
                <w:rFonts w:ascii="Segoe UI" w:eastAsia="Calibri" w:hAnsi="Segoe UI" w:cs="Segoe UI"/>
                <w:b/>
                <w:bCs/>
                <w:sz w:val="20"/>
              </w:rPr>
              <w:t xml:space="preserve">What is the likely positive or negative impact on people in the following groups? </w:t>
            </w:r>
          </w:p>
        </w:tc>
      </w:tr>
      <w:tr w:rsidR="00D16F6E" w:rsidRPr="00D16F6E" w:rsidTr="00AA6462">
        <w:trPr>
          <w:cantSplit/>
        </w:trPr>
        <w:tc>
          <w:tcPr>
            <w:tcW w:w="9238" w:type="dxa"/>
          </w:tcPr>
          <w:p w:rsidR="00D16F6E" w:rsidRPr="00D16F6E" w:rsidRDefault="00D16F6E" w:rsidP="00D16F6E">
            <w:pPr>
              <w:widowControl w:val="0"/>
              <w:overflowPunct/>
              <w:autoSpaceDE/>
              <w:autoSpaceDN/>
              <w:adjustRightInd/>
              <w:textAlignment w:val="auto"/>
              <w:outlineLvl w:val="2"/>
              <w:rPr>
                <w:rFonts w:ascii="Segoe UI" w:eastAsia="Arial" w:hAnsi="Segoe UI" w:cs="Segoe UI"/>
                <w:bCs/>
                <w:sz w:val="20"/>
                <w:lang w:val="en-US"/>
              </w:rPr>
            </w:pPr>
            <w:r w:rsidRPr="00D16F6E">
              <w:rPr>
                <w:rFonts w:ascii="Segoe UI" w:eastAsia="Arial" w:hAnsi="Segoe UI" w:cs="Segoe UI"/>
                <w:bCs/>
                <w:sz w:val="20"/>
                <w:lang w:val="en-US"/>
              </w:rPr>
              <w:t xml:space="preserve">Older or younger people none </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People with disabilities - ensuring procedural documents are in an accessible format</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People from different ethnic/cultural backgrounds (including those who do not speak English as a first language) - Ensuring procedural documents are clear and easy to use</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 xml:space="preserve">Men, women or transgender people </w:t>
            </w:r>
            <w:r>
              <w:rPr>
                <w:rFonts w:ascii="Segoe UI" w:eastAsia="Calibri" w:hAnsi="Segoe UI" w:cs="Segoe UI"/>
                <w:sz w:val="20"/>
              </w:rPr>
              <w:t xml:space="preserve">- </w:t>
            </w:r>
            <w:r w:rsidRPr="00D16F6E">
              <w:rPr>
                <w:rFonts w:ascii="Segoe UI" w:eastAsia="Calibri" w:hAnsi="Segoe UI" w:cs="Segoe UI"/>
                <w:sz w:val="20"/>
              </w:rPr>
              <w:t>none</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People with different religious beliefs or no religious beliefs</w:t>
            </w:r>
            <w:r>
              <w:rPr>
                <w:rFonts w:ascii="Segoe UI" w:eastAsia="Calibri" w:hAnsi="Segoe UI" w:cs="Segoe UI"/>
                <w:sz w:val="20"/>
              </w:rPr>
              <w:t xml:space="preserve"> -</w:t>
            </w:r>
            <w:r w:rsidRPr="00D16F6E">
              <w:rPr>
                <w:rFonts w:ascii="Segoe UI" w:eastAsia="Calibri" w:hAnsi="Segoe UI" w:cs="Segoe UI"/>
                <w:sz w:val="20"/>
              </w:rPr>
              <w:t xml:space="preserve"> none</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Gay, lesbian, bisexual or heterosexual people</w:t>
            </w:r>
            <w:r>
              <w:rPr>
                <w:rFonts w:ascii="Segoe UI" w:eastAsia="Calibri" w:hAnsi="Segoe UI" w:cs="Segoe UI"/>
                <w:sz w:val="20"/>
              </w:rPr>
              <w:t xml:space="preserve"> -</w:t>
            </w:r>
            <w:r w:rsidRPr="00D16F6E">
              <w:rPr>
                <w:rFonts w:ascii="Segoe UI" w:eastAsia="Calibri" w:hAnsi="Segoe UI" w:cs="Segoe UI"/>
                <w:sz w:val="20"/>
              </w:rPr>
              <w:t xml:space="preserve"> none</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People from a different socio-economic background</w:t>
            </w:r>
            <w:r>
              <w:rPr>
                <w:rFonts w:ascii="Segoe UI" w:eastAsia="Calibri" w:hAnsi="Segoe UI" w:cs="Segoe UI"/>
                <w:sz w:val="20"/>
              </w:rPr>
              <w:t xml:space="preserve"> - </w:t>
            </w:r>
            <w:r w:rsidRPr="00D16F6E">
              <w:rPr>
                <w:rFonts w:ascii="Segoe UI" w:eastAsia="Calibri" w:hAnsi="Segoe UI" w:cs="Segoe UI"/>
                <w:sz w:val="20"/>
              </w:rPr>
              <w:t>none</w:t>
            </w:r>
          </w:p>
        </w:tc>
      </w:tr>
    </w:tbl>
    <w:p w:rsidR="00D16F6E" w:rsidRPr="00D16F6E" w:rsidRDefault="00D16F6E" w:rsidP="00D16F6E">
      <w:pPr>
        <w:overflowPunct/>
        <w:autoSpaceDE/>
        <w:autoSpaceDN/>
        <w:adjustRightInd/>
        <w:textAlignment w:val="auto"/>
        <w:rPr>
          <w:rFonts w:ascii="Segoe UI" w:eastAsia="Calibri" w:hAnsi="Segoe UI" w:cs="Segoe U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4"/>
      </w:tblGrid>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b/>
                <w:bCs/>
                <w:sz w:val="20"/>
              </w:rPr>
            </w:pPr>
            <w:r w:rsidRPr="00D16F6E">
              <w:rPr>
                <w:rFonts w:ascii="Segoe UI" w:eastAsia="Calibri" w:hAnsi="Segoe UI" w:cs="Segoe UI"/>
                <w:b/>
                <w:bCs/>
                <w:sz w:val="20"/>
              </w:rPr>
              <w:t>Evidence</w:t>
            </w:r>
          </w:p>
        </w:tc>
      </w:tr>
      <w:tr w:rsidR="00D16F6E" w:rsidRPr="00D16F6E" w:rsidTr="00AA6462">
        <w:trPr>
          <w:cantSplit/>
        </w:trPr>
        <w:tc>
          <w:tcPr>
            <w:tcW w:w="9238" w:type="dxa"/>
          </w:tcPr>
          <w:p w:rsidR="00D16F6E" w:rsidRPr="00D16F6E" w:rsidRDefault="00D16F6E" w:rsidP="00D16F6E">
            <w:pPr>
              <w:widowControl w:val="0"/>
              <w:overflowPunct/>
              <w:autoSpaceDE/>
              <w:autoSpaceDN/>
              <w:adjustRightInd/>
              <w:spacing w:before="69"/>
              <w:textAlignment w:val="auto"/>
              <w:outlineLvl w:val="1"/>
              <w:rPr>
                <w:rFonts w:ascii="Segoe UI" w:eastAsia="Arial" w:hAnsi="Segoe UI" w:cs="Segoe UI"/>
                <w:b/>
                <w:bCs/>
                <w:sz w:val="20"/>
                <w:lang w:val="en-US"/>
              </w:rPr>
            </w:pPr>
            <w:r w:rsidRPr="00D16F6E">
              <w:rPr>
                <w:rFonts w:ascii="Segoe UI" w:eastAsia="Arial" w:hAnsi="Segoe UI" w:cs="Segoe UI"/>
                <w:bCs/>
                <w:sz w:val="20"/>
                <w:lang w:val="en-US"/>
              </w:rPr>
              <w:t>What is the evidence for your answers above? n/a</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What does available research say? n/a</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 xml:space="preserve">What further research would be needed to fill the gaps in understanding the potential difficulties or known effects of the Procedural Document? </w:t>
            </w:r>
            <w:r>
              <w:rPr>
                <w:rFonts w:ascii="Segoe UI" w:eastAsia="Calibri" w:hAnsi="Segoe UI" w:cs="Segoe UI"/>
                <w:sz w:val="20"/>
              </w:rPr>
              <w:t>None</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Have you thought about consulting/researching this gap? What would you need? n/a</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 xml:space="preserve">Does the Procedural Document need a Full Equality Impact Assessment? </w:t>
            </w:r>
            <w:r>
              <w:rPr>
                <w:rFonts w:ascii="Segoe UI" w:eastAsia="Calibri" w:hAnsi="Segoe UI" w:cs="Segoe UI"/>
                <w:sz w:val="20"/>
              </w:rPr>
              <w:t>No</w:t>
            </w:r>
          </w:p>
        </w:tc>
      </w:tr>
    </w:tbl>
    <w:p w:rsidR="00D16F6E" w:rsidRPr="00D16F6E" w:rsidRDefault="00D16F6E" w:rsidP="00D16F6E">
      <w:pPr>
        <w:overflowPunct/>
        <w:autoSpaceDE/>
        <w:autoSpaceDN/>
        <w:adjustRightInd/>
        <w:textAlignment w:val="auto"/>
        <w:rPr>
          <w:rFonts w:ascii="Segoe UI" w:eastAsia="Calibri" w:hAnsi="Segoe UI" w:cs="Segoe UI"/>
          <w:sz w:val="8"/>
          <w:szCs w:val="8"/>
        </w:rPr>
      </w:pPr>
    </w:p>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Part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4"/>
      </w:tblGrid>
      <w:tr w:rsidR="00D16F6E" w:rsidRPr="00D16F6E" w:rsidTr="00AA6462">
        <w:trPr>
          <w:cantSplit/>
        </w:trPr>
        <w:tc>
          <w:tcPr>
            <w:tcW w:w="9238" w:type="dxa"/>
          </w:tcPr>
          <w:p w:rsidR="00D16F6E" w:rsidRPr="00D16F6E" w:rsidRDefault="00D16F6E" w:rsidP="00D16F6E">
            <w:pPr>
              <w:overflowPunct/>
              <w:autoSpaceDE/>
              <w:autoSpaceDN/>
              <w:adjustRightInd/>
              <w:jc w:val="both"/>
              <w:textAlignment w:val="auto"/>
              <w:rPr>
                <w:rFonts w:ascii="Segoe UI" w:eastAsia="Calibri" w:hAnsi="Segoe UI" w:cs="Segoe UI"/>
                <w:b/>
                <w:bCs/>
                <w:sz w:val="20"/>
              </w:rPr>
            </w:pPr>
            <w:r w:rsidRPr="00D16F6E">
              <w:rPr>
                <w:rFonts w:ascii="Segoe UI" w:eastAsia="Calibri" w:hAnsi="Segoe UI" w:cs="Segoe UI"/>
                <w:b/>
                <w:bCs/>
                <w:sz w:val="20"/>
              </w:rPr>
              <w:t>Evidence – please give evidence on how the Procedural Document or service is likely to have a significant impact (either or positive or negative) on the below.</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Race &amp; ethnicity n/a</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Gender n/a</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Age n/a</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Disability - Clear and accessible procedural documents</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Sexual orientation n/a</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Religion or belief n/a</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Other n/a</w:t>
            </w:r>
          </w:p>
        </w:tc>
      </w:tr>
    </w:tbl>
    <w:p w:rsidR="00D16F6E" w:rsidRPr="00D16F6E" w:rsidRDefault="00D16F6E" w:rsidP="00D16F6E">
      <w:pPr>
        <w:overflowPunct/>
        <w:autoSpaceDE/>
        <w:autoSpaceDN/>
        <w:adjustRightInd/>
        <w:textAlignment w:val="auto"/>
        <w:rPr>
          <w:rFonts w:ascii="Segoe UI" w:eastAsia="Calibri" w:hAnsi="Segoe UI" w:cs="Segoe U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4"/>
      </w:tblGrid>
      <w:tr w:rsidR="00D16F6E" w:rsidRPr="00D16F6E" w:rsidTr="00AA6462">
        <w:trPr>
          <w:cantSplit/>
        </w:trPr>
        <w:tc>
          <w:tcPr>
            <w:tcW w:w="9238" w:type="dxa"/>
          </w:tcPr>
          <w:p w:rsidR="00D16F6E" w:rsidRPr="00D16F6E" w:rsidRDefault="00D16F6E" w:rsidP="00D16F6E">
            <w:pPr>
              <w:widowControl w:val="0"/>
              <w:overflowPunct/>
              <w:autoSpaceDE/>
              <w:autoSpaceDN/>
              <w:adjustRightInd/>
              <w:ind w:left="117"/>
              <w:textAlignment w:val="auto"/>
              <w:outlineLvl w:val="1"/>
              <w:rPr>
                <w:rFonts w:ascii="Segoe UI" w:eastAsia="Arial" w:hAnsi="Segoe UI" w:cs="Segoe UI"/>
                <w:b/>
                <w:bCs/>
                <w:sz w:val="20"/>
                <w:lang w:val="en-US"/>
              </w:rPr>
            </w:pPr>
            <w:r w:rsidRPr="00D16F6E">
              <w:rPr>
                <w:rFonts w:ascii="Segoe UI" w:eastAsia="Arial" w:hAnsi="Segoe UI" w:cs="Segoe UI"/>
                <w:b/>
                <w:bCs/>
                <w:sz w:val="20"/>
                <w:lang w:val="en-US"/>
              </w:rPr>
              <w:t xml:space="preserve">Consult Formally </w:t>
            </w:r>
          </w:p>
        </w:tc>
      </w:tr>
      <w:tr w:rsidR="00D16F6E" w:rsidRPr="00D16F6E" w:rsidTr="00AA6462">
        <w:trPr>
          <w:cantSplit/>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Who needs to be consulted  Not required</w:t>
            </w:r>
          </w:p>
        </w:tc>
      </w:tr>
      <w:tr w:rsidR="00D16F6E" w:rsidRPr="00D16F6E" w:rsidTr="00AA6462">
        <w:trPr>
          <w:cantSplit/>
          <w:trHeight w:val="333"/>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Has there been a consultation which would give the information needed? Not required</w:t>
            </w:r>
          </w:p>
        </w:tc>
      </w:tr>
      <w:tr w:rsidR="00D16F6E" w:rsidRPr="00D16F6E" w:rsidTr="00AA6462">
        <w:trPr>
          <w:cantSplit/>
          <w:trHeight w:val="410"/>
        </w:trPr>
        <w:tc>
          <w:tcPr>
            <w:tcW w:w="9238" w:type="dxa"/>
          </w:tcPr>
          <w:p w:rsidR="00D16F6E" w:rsidRPr="00D16F6E" w:rsidRDefault="00D16F6E" w:rsidP="00D16F6E">
            <w:pPr>
              <w:overflowPunct/>
              <w:autoSpaceDE/>
              <w:autoSpaceDN/>
              <w:adjustRightInd/>
              <w:textAlignment w:val="auto"/>
              <w:rPr>
                <w:rFonts w:ascii="Segoe UI" w:eastAsia="Calibri" w:hAnsi="Segoe UI" w:cs="Segoe UI"/>
                <w:sz w:val="20"/>
              </w:rPr>
            </w:pPr>
            <w:r w:rsidRPr="00D16F6E">
              <w:rPr>
                <w:rFonts w:ascii="Segoe UI" w:eastAsia="Calibri" w:hAnsi="Segoe UI" w:cs="Segoe UI"/>
                <w:sz w:val="20"/>
              </w:rPr>
              <w:t>Which types of evidence have been gained (qualitative/quantitative) Not required</w:t>
            </w:r>
          </w:p>
        </w:tc>
      </w:tr>
    </w:tbl>
    <w:p w:rsidR="00D16F6E" w:rsidRPr="00D16F6E" w:rsidRDefault="00D16F6E" w:rsidP="00D16F6E">
      <w:pPr>
        <w:overflowPunct/>
        <w:autoSpaceDE/>
        <w:autoSpaceDN/>
        <w:adjustRightInd/>
        <w:spacing w:after="200" w:line="200" w:lineRule="exact"/>
        <w:jc w:val="center"/>
        <w:textAlignment w:val="auto"/>
        <w:rPr>
          <w:rFonts w:ascii="Segoe UI" w:eastAsia="Calibri" w:hAnsi="Segoe UI" w:cs="Segoe UI"/>
          <w:b/>
          <w:szCs w:val="22"/>
        </w:rPr>
        <w:sectPr w:rsidR="00D16F6E" w:rsidRPr="00D16F6E" w:rsidSect="00BD6738">
          <w:pgSz w:w="11906" w:h="16840"/>
          <w:pgMar w:top="958" w:right="1134" w:bottom="941" w:left="1678" w:header="748" w:footer="743" w:gutter="0"/>
          <w:cols w:space="720"/>
        </w:sectPr>
      </w:pPr>
    </w:p>
    <w:p w:rsidR="0061044D" w:rsidRPr="00C268F5" w:rsidRDefault="0061044D" w:rsidP="00672F4D">
      <w:pPr>
        <w:pStyle w:val="PlainText"/>
        <w:jc w:val="both"/>
        <w:rPr>
          <w:rFonts w:cs="Arial"/>
          <w:szCs w:val="22"/>
        </w:rPr>
      </w:pPr>
    </w:p>
    <w:sectPr w:rsidR="0061044D" w:rsidRPr="00C268F5" w:rsidSect="00C64C27">
      <w:pgSz w:w="11907" w:h="16840" w:code="9"/>
      <w:pgMar w:top="1440" w:right="1797" w:bottom="1440" w:left="179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CFF" w:rsidRDefault="00763CFF">
      <w:r>
        <w:separator/>
      </w:r>
    </w:p>
  </w:endnote>
  <w:endnote w:type="continuationSeparator" w:id="0">
    <w:p w:rsidR="00763CFF" w:rsidRDefault="0076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79" w:rsidRDefault="00073679" w:rsidP="00090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3679" w:rsidRDefault="00073679" w:rsidP="002063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79" w:rsidRDefault="00073679" w:rsidP="00362E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1B5">
      <w:rPr>
        <w:rStyle w:val="PageNumber"/>
        <w:noProof/>
      </w:rPr>
      <w:t>18</w:t>
    </w:r>
    <w:r>
      <w:rPr>
        <w:rStyle w:val="PageNumber"/>
      </w:rPr>
      <w:fldChar w:fldCharType="end"/>
    </w:r>
  </w:p>
  <w:p w:rsidR="00073679" w:rsidRPr="00A047E2" w:rsidRDefault="00073679" w:rsidP="002063DE">
    <w:pPr>
      <w:pStyle w:val="Footer"/>
      <w:ind w:right="360"/>
      <w:jc w:val="right"/>
      <w:rPr>
        <w:sz w:val="16"/>
        <w:szCs w:val="16"/>
      </w:rPr>
    </w:pPr>
  </w:p>
  <w:p w:rsidR="00073679" w:rsidRDefault="00073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CFF" w:rsidRDefault="00763CFF">
      <w:r>
        <w:separator/>
      </w:r>
    </w:p>
  </w:footnote>
  <w:footnote w:type="continuationSeparator" w:id="0">
    <w:p w:rsidR="00763CFF" w:rsidRDefault="0076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79" w:rsidRDefault="00073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BF3"/>
    <w:multiLevelType w:val="hybridMultilevel"/>
    <w:tmpl w:val="6E6A47EA"/>
    <w:lvl w:ilvl="0" w:tplc="5C188C2E">
      <w:start w:val="1"/>
      <w:numFmt w:val="bullet"/>
      <w:lvlText w:val="□"/>
      <w:lvlJc w:val="left"/>
      <w:pPr>
        <w:tabs>
          <w:tab w:val="num" w:pos="720"/>
        </w:tabs>
        <w:ind w:left="720" w:hanging="360"/>
      </w:pPr>
      <w:rPr>
        <w:rFonts w:ascii="Courier New" w:hAnsi="Courier New" w:hint="default"/>
        <w:b/>
        <w:i w:val="0"/>
        <w:color w:val="auto"/>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829F8"/>
    <w:multiLevelType w:val="hybridMultilevel"/>
    <w:tmpl w:val="7EAA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D2F72"/>
    <w:multiLevelType w:val="hybridMultilevel"/>
    <w:tmpl w:val="77C08E9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11274894"/>
    <w:multiLevelType w:val="hybridMultilevel"/>
    <w:tmpl w:val="3924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939CF"/>
    <w:multiLevelType w:val="hybridMultilevel"/>
    <w:tmpl w:val="DC0EA23A"/>
    <w:lvl w:ilvl="0" w:tplc="A0AC8456">
      <w:start w:val="1"/>
      <w:numFmt w:val="decimal"/>
      <w:lvlText w:val="%1."/>
      <w:lvlJc w:val="left"/>
      <w:pPr>
        <w:ind w:left="-698" w:hanging="360"/>
      </w:pPr>
      <w:rPr>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15:restartNumberingAfterBreak="0">
    <w:nsid w:val="19174A3D"/>
    <w:multiLevelType w:val="hybridMultilevel"/>
    <w:tmpl w:val="76E4AECC"/>
    <w:lvl w:ilvl="0" w:tplc="CD642D4C">
      <w:start w:val="1"/>
      <w:numFmt w:val="bullet"/>
      <w:lvlText w:val=""/>
      <w:lvlJc w:val="left"/>
      <w:pPr>
        <w:tabs>
          <w:tab w:val="num" w:pos="1918"/>
        </w:tabs>
        <w:ind w:left="1918" w:hanging="360"/>
      </w:pPr>
      <w:rPr>
        <w:rFonts w:ascii="Symbol" w:hAnsi="Symbol" w:hint="default"/>
      </w:rPr>
    </w:lvl>
    <w:lvl w:ilvl="1" w:tplc="04090003" w:tentative="1">
      <w:start w:val="1"/>
      <w:numFmt w:val="bullet"/>
      <w:lvlText w:val="o"/>
      <w:lvlJc w:val="left"/>
      <w:pPr>
        <w:tabs>
          <w:tab w:val="num" w:pos="1918"/>
        </w:tabs>
        <w:ind w:left="1918" w:hanging="360"/>
      </w:pPr>
      <w:rPr>
        <w:rFonts w:ascii="Courier New" w:hAnsi="Courier New" w:cs="Courier New" w:hint="default"/>
      </w:rPr>
    </w:lvl>
    <w:lvl w:ilvl="2" w:tplc="04090005" w:tentative="1">
      <w:start w:val="1"/>
      <w:numFmt w:val="bullet"/>
      <w:lvlText w:val=""/>
      <w:lvlJc w:val="left"/>
      <w:pPr>
        <w:tabs>
          <w:tab w:val="num" w:pos="2638"/>
        </w:tabs>
        <w:ind w:left="2638" w:hanging="360"/>
      </w:pPr>
      <w:rPr>
        <w:rFonts w:ascii="Wingdings" w:hAnsi="Wingdings" w:hint="default"/>
      </w:rPr>
    </w:lvl>
    <w:lvl w:ilvl="3" w:tplc="04090001" w:tentative="1">
      <w:start w:val="1"/>
      <w:numFmt w:val="bullet"/>
      <w:lvlText w:val=""/>
      <w:lvlJc w:val="left"/>
      <w:pPr>
        <w:tabs>
          <w:tab w:val="num" w:pos="3358"/>
        </w:tabs>
        <w:ind w:left="3358" w:hanging="360"/>
      </w:pPr>
      <w:rPr>
        <w:rFonts w:ascii="Symbol" w:hAnsi="Symbol" w:hint="default"/>
      </w:rPr>
    </w:lvl>
    <w:lvl w:ilvl="4" w:tplc="04090003" w:tentative="1">
      <w:start w:val="1"/>
      <w:numFmt w:val="bullet"/>
      <w:lvlText w:val="o"/>
      <w:lvlJc w:val="left"/>
      <w:pPr>
        <w:tabs>
          <w:tab w:val="num" w:pos="4078"/>
        </w:tabs>
        <w:ind w:left="4078" w:hanging="360"/>
      </w:pPr>
      <w:rPr>
        <w:rFonts w:ascii="Courier New" w:hAnsi="Courier New" w:cs="Courier New" w:hint="default"/>
      </w:rPr>
    </w:lvl>
    <w:lvl w:ilvl="5" w:tplc="04090005" w:tentative="1">
      <w:start w:val="1"/>
      <w:numFmt w:val="bullet"/>
      <w:lvlText w:val=""/>
      <w:lvlJc w:val="left"/>
      <w:pPr>
        <w:tabs>
          <w:tab w:val="num" w:pos="4798"/>
        </w:tabs>
        <w:ind w:left="4798" w:hanging="360"/>
      </w:pPr>
      <w:rPr>
        <w:rFonts w:ascii="Wingdings" w:hAnsi="Wingdings" w:hint="default"/>
      </w:rPr>
    </w:lvl>
    <w:lvl w:ilvl="6" w:tplc="04090001" w:tentative="1">
      <w:start w:val="1"/>
      <w:numFmt w:val="bullet"/>
      <w:lvlText w:val=""/>
      <w:lvlJc w:val="left"/>
      <w:pPr>
        <w:tabs>
          <w:tab w:val="num" w:pos="5518"/>
        </w:tabs>
        <w:ind w:left="5518" w:hanging="360"/>
      </w:pPr>
      <w:rPr>
        <w:rFonts w:ascii="Symbol" w:hAnsi="Symbol" w:hint="default"/>
      </w:rPr>
    </w:lvl>
    <w:lvl w:ilvl="7" w:tplc="04090003" w:tentative="1">
      <w:start w:val="1"/>
      <w:numFmt w:val="bullet"/>
      <w:lvlText w:val="o"/>
      <w:lvlJc w:val="left"/>
      <w:pPr>
        <w:tabs>
          <w:tab w:val="num" w:pos="6238"/>
        </w:tabs>
        <w:ind w:left="6238" w:hanging="360"/>
      </w:pPr>
      <w:rPr>
        <w:rFonts w:ascii="Courier New" w:hAnsi="Courier New" w:cs="Courier New" w:hint="default"/>
      </w:rPr>
    </w:lvl>
    <w:lvl w:ilvl="8" w:tplc="04090005" w:tentative="1">
      <w:start w:val="1"/>
      <w:numFmt w:val="bullet"/>
      <w:lvlText w:val=""/>
      <w:lvlJc w:val="left"/>
      <w:pPr>
        <w:tabs>
          <w:tab w:val="num" w:pos="6958"/>
        </w:tabs>
        <w:ind w:left="6958" w:hanging="360"/>
      </w:pPr>
      <w:rPr>
        <w:rFonts w:ascii="Wingdings" w:hAnsi="Wingdings" w:hint="default"/>
      </w:rPr>
    </w:lvl>
  </w:abstractNum>
  <w:abstractNum w:abstractNumId="6" w15:restartNumberingAfterBreak="0">
    <w:nsid w:val="1AA42BA1"/>
    <w:multiLevelType w:val="hybridMultilevel"/>
    <w:tmpl w:val="1944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63032"/>
    <w:multiLevelType w:val="hybridMultilevel"/>
    <w:tmpl w:val="08727D98"/>
    <w:lvl w:ilvl="0" w:tplc="6D9EC35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B17646"/>
    <w:multiLevelType w:val="hybridMultilevel"/>
    <w:tmpl w:val="26C47D6A"/>
    <w:lvl w:ilvl="0" w:tplc="CD642D4C">
      <w:start w:val="1"/>
      <w:numFmt w:val="bullet"/>
      <w:lvlText w:val=""/>
      <w:lvlJc w:val="left"/>
      <w:pPr>
        <w:tabs>
          <w:tab w:val="num" w:pos="1918"/>
        </w:tabs>
        <w:ind w:left="1918" w:hanging="360"/>
      </w:pPr>
      <w:rPr>
        <w:rFonts w:ascii="Symbol" w:hAnsi="Symbol" w:hint="default"/>
      </w:rPr>
    </w:lvl>
    <w:lvl w:ilvl="1" w:tplc="6E4CB216">
      <w:start w:val="1"/>
      <w:numFmt w:val="lowerLetter"/>
      <w:lvlText w:val="(%2)"/>
      <w:lvlJc w:val="left"/>
      <w:pPr>
        <w:tabs>
          <w:tab w:val="num" w:pos="1918"/>
        </w:tabs>
        <w:ind w:left="1918" w:hanging="360"/>
      </w:pPr>
      <w:rPr>
        <w:rFonts w:hint="default"/>
        <w:w w:val="99"/>
      </w:rPr>
    </w:lvl>
    <w:lvl w:ilvl="2" w:tplc="0409000F">
      <w:start w:val="1"/>
      <w:numFmt w:val="decimal"/>
      <w:lvlText w:val="%3."/>
      <w:lvlJc w:val="left"/>
      <w:pPr>
        <w:tabs>
          <w:tab w:val="num" w:pos="2638"/>
        </w:tabs>
        <w:ind w:left="2638" w:hanging="360"/>
      </w:pPr>
      <w:rPr>
        <w:rFonts w:hint="default"/>
      </w:rPr>
    </w:lvl>
    <w:lvl w:ilvl="3" w:tplc="04090001" w:tentative="1">
      <w:start w:val="1"/>
      <w:numFmt w:val="bullet"/>
      <w:lvlText w:val=""/>
      <w:lvlJc w:val="left"/>
      <w:pPr>
        <w:tabs>
          <w:tab w:val="num" w:pos="3358"/>
        </w:tabs>
        <w:ind w:left="3358" w:hanging="360"/>
      </w:pPr>
      <w:rPr>
        <w:rFonts w:ascii="Symbol" w:hAnsi="Symbol" w:hint="default"/>
      </w:rPr>
    </w:lvl>
    <w:lvl w:ilvl="4" w:tplc="04090003" w:tentative="1">
      <w:start w:val="1"/>
      <w:numFmt w:val="bullet"/>
      <w:lvlText w:val="o"/>
      <w:lvlJc w:val="left"/>
      <w:pPr>
        <w:tabs>
          <w:tab w:val="num" w:pos="4078"/>
        </w:tabs>
        <w:ind w:left="4078" w:hanging="360"/>
      </w:pPr>
      <w:rPr>
        <w:rFonts w:ascii="Courier New" w:hAnsi="Courier New" w:cs="Courier New" w:hint="default"/>
      </w:rPr>
    </w:lvl>
    <w:lvl w:ilvl="5" w:tplc="04090005" w:tentative="1">
      <w:start w:val="1"/>
      <w:numFmt w:val="bullet"/>
      <w:lvlText w:val=""/>
      <w:lvlJc w:val="left"/>
      <w:pPr>
        <w:tabs>
          <w:tab w:val="num" w:pos="4798"/>
        </w:tabs>
        <w:ind w:left="4798" w:hanging="360"/>
      </w:pPr>
      <w:rPr>
        <w:rFonts w:ascii="Wingdings" w:hAnsi="Wingdings" w:hint="default"/>
      </w:rPr>
    </w:lvl>
    <w:lvl w:ilvl="6" w:tplc="04090001" w:tentative="1">
      <w:start w:val="1"/>
      <w:numFmt w:val="bullet"/>
      <w:lvlText w:val=""/>
      <w:lvlJc w:val="left"/>
      <w:pPr>
        <w:tabs>
          <w:tab w:val="num" w:pos="5518"/>
        </w:tabs>
        <w:ind w:left="5518" w:hanging="360"/>
      </w:pPr>
      <w:rPr>
        <w:rFonts w:ascii="Symbol" w:hAnsi="Symbol" w:hint="default"/>
      </w:rPr>
    </w:lvl>
    <w:lvl w:ilvl="7" w:tplc="04090003" w:tentative="1">
      <w:start w:val="1"/>
      <w:numFmt w:val="bullet"/>
      <w:lvlText w:val="o"/>
      <w:lvlJc w:val="left"/>
      <w:pPr>
        <w:tabs>
          <w:tab w:val="num" w:pos="6238"/>
        </w:tabs>
        <w:ind w:left="6238" w:hanging="360"/>
      </w:pPr>
      <w:rPr>
        <w:rFonts w:ascii="Courier New" w:hAnsi="Courier New" w:cs="Courier New" w:hint="default"/>
      </w:rPr>
    </w:lvl>
    <w:lvl w:ilvl="8" w:tplc="04090005" w:tentative="1">
      <w:start w:val="1"/>
      <w:numFmt w:val="bullet"/>
      <w:lvlText w:val=""/>
      <w:lvlJc w:val="left"/>
      <w:pPr>
        <w:tabs>
          <w:tab w:val="num" w:pos="6958"/>
        </w:tabs>
        <w:ind w:left="6958" w:hanging="360"/>
      </w:pPr>
      <w:rPr>
        <w:rFonts w:ascii="Wingdings" w:hAnsi="Wingdings" w:hint="default"/>
      </w:rPr>
    </w:lvl>
  </w:abstractNum>
  <w:abstractNum w:abstractNumId="9" w15:restartNumberingAfterBreak="0">
    <w:nsid w:val="205C27EF"/>
    <w:multiLevelType w:val="hybridMultilevel"/>
    <w:tmpl w:val="47E6C0B2"/>
    <w:lvl w:ilvl="0" w:tplc="0809000F">
      <w:start w:val="1"/>
      <w:numFmt w:val="decimal"/>
      <w:lvlText w:val="%1."/>
      <w:lvlJc w:val="left"/>
      <w:pPr>
        <w:ind w:left="-338" w:hanging="360"/>
      </w:pPr>
    </w:lvl>
    <w:lvl w:ilvl="1" w:tplc="08090019" w:tentative="1">
      <w:start w:val="1"/>
      <w:numFmt w:val="lowerLetter"/>
      <w:lvlText w:val="%2."/>
      <w:lvlJc w:val="left"/>
      <w:pPr>
        <w:ind w:left="382" w:hanging="360"/>
      </w:pPr>
    </w:lvl>
    <w:lvl w:ilvl="2" w:tplc="0809001B" w:tentative="1">
      <w:start w:val="1"/>
      <w:numFmt w:val="lowerRoman"/>
      <w:lvlText w:val="%3."/>
      <w:lvlJc w:val="right"/>
      <w:pPr>
        <w:ind w:left="1102" w:hanging="180"/>
      </w:p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10" w15:restartNumberingAfterBreak="0">
    <w:nsid w:val="23095A17"/>
    <w:multiLevelType w:val="hybridMultilevel"/>
    <w:tmpl w:val="3F7027CA"/>
    <w:lvl w:ilvl="0" w:tplc="CD642D4C">
      <w:start w:val="1"/>
      <w:numFmt w:val="bullet"/>
      <w:lvlText w:val=""/>
      <w:lvlJc w:val="left"/>
      <w:pPr>
        <w:tabs>
          <w:tab w:val="num" w:pos="1918"/>
        </w:tabs>
        <w:ind w:left="1918" w:hanging="360"/>
      </w:pPr>
      <w:rPr>
        <w:rFonts w:ascii="Symbol" w:hAnsi="Symbol" w:hint="default"/>
      </w:rPr>
    </w:lvl>
    <w:lvl w:ilvl="1" w:tplc="04090003" w:tentative="1">
      <w:start w:val="1"/>
      <w:numFmt w:val="bullet"/>
      <w:lvlText w:val="o"/>
      <w:lvlJc w:val="left"/>
      <w:pPr>
        <w:tabs>
          <w:tab w:val="num" w:pos="1918"/>
        </w:tabs>
        <w:ind w:left="1918" w:hanging="360"/>
      </w:pPr>
      <w:rPr>
        <w:rFonts w:ascii="Courier New" w:hAnsi="Courier New" w:cs="Courier New" w:hint="default"/>
      </w:rPr>
    </w:lvl>
    <w:lvl w:ilvl="2" w:tplc="04090005" w:tentative="1">
      <w:start w:val="1"/>
      <w:numFmt w:val="bullet"/>
      <w:lvlText w:val=""/>
      <w:lvlJc w:val="left"/>
      <w:pPr>
        <w:tabs>
          <w:tab w:val="num" w:pos="2638"/>
        </w:tabs>
        <w:ind w:left="2638" w:hanging="360"/>
      </w:pPr>
      <w:rPr>
        <w:rFonts w:ascii="Wingdings" w:hAnsi="Wingdings" w:hint="default"/>
      </w:rPr>
    </w:lvl>
    <w:lvl w:ilvl="3" w:tplc="04090001" w:tentative="1">
      <w:start w:val="1"/>
      <w:numFmt w:val="bullet"/>
      <w:lvlText w:val=""/>
      <w:lvlJc w:val="left"/>
      <w:pPr>
        <w:tabs>
          <w:tab w:val="num" w:pos="3358"/>
        </w:tabs>
        <w:ind w:left="3358" w:hanging="360"/>
      </w:pPr>
      <w:rPr>
        <w:rFonts w:ascii="Symbol" w:hAnsi="Symbol" w:hint="default"/>
      </w:rPr>
    </w:lvl>
    <w:lvl w:ilvl="4" w:tplc="04090003" w:tentative="1">
      <w:start w:val="1"/>
      <w:numFmt w:val="bullet"/>
      <w:lvlText w:val="o"/>
      <w:lvlJc w:val="left"/>
      <w:pPr>
        <w:tabs>
          <w:tab w:val="num" w:pos="4078"/>
        </w:tabs>
        <w:ind w:left="4078" w:hanging="360"/>
      </w:pPr>
      <w:rPr>
        <w:rFonts w:ascii="Courier New" w:hAnsi="Courier New" w:cs="Courier New" w:hint="default"/>
      </w:rPr>
    </w:lvl>
    <w:lvl w:ilvl="5" w:tplc="04090005" w:tentative="1">
      <w:start w:val="1"/>
      <w:numFmt w:val="bullet"/>
      <w:lvlText w:val=""/>
      <w:lvlJc w:val="left"/>
      <w:pPr>
        <w:tabs>
          <w:tab w:val="num" w:pos="4798"/>
        </w:tabs>
        <w:ind w:left="4798" w:hanging="360"/>
      </w:pPr>
      <w:rPr>
        <w:rFonts w:ascii="Wingdings" w:hAnsi="Wingdings" w:hint="default"/>
      </w:rPr>
    </w:lvl>
    <w:lvl w:ilvl="6" w:tplc="04090001" w:tentative="1">
      <w:start w:val="1"/>
      <w:numFmt w:val="bullet"/>
      <w:lvlText w:val=""/>
      <w:lvlJc w:val="left"/>
      <w:pPr>
        <w:tabs>
          <w:tab w:val="num" w:pos="5518"/>
        </w:tabs>
        <w:ind w:left="5518" w:hanging="360"/>
      </w:pPr>
      <w:rPr>
        <w:rFonts w:ascii="Symbol" w:hAnsi="Symbol" w:hint="default"/>
      </w:rPr>
    </w:lvl>
    <w:lvl w:ilvl="7" w:tplc="04090003" w:tentative="1">
      <w:start w:val="1"/>
      <w:numFmt w:val="bullet"/>
      <w:lvlText w:val="o"/>
      <w:lvlJc w:val="left"/>
      <w:pPr>
        <w:tabs>
          <w:tab w:val="num" w:pos="6238"/>
        </w:tabs>
        <w:ind w:left="6238" w:hanging="360"/>
      </w:pPr>
      <w:rPr>
        <w:rFonts w:ascii="Courier New" w:hAnsi="Courier New" w:cs="Courier New" w:hint="default"/>
      </w:rPr>
    </w:lvl>
    <w:lvl w:ilvl="8" w:tplc="04090005" w:tentative="1">
      <w:start w:val="1"/>
      <w:numFmt w:val="bullet"/>
      <w:lvlText w:val=""/>
      <w:lvlJc w:val="left"/>
      <w:pPr>
        <w:tabs>
          <w:tab w:val="num" w:pos="6958"/>
        </w:tabs>
        <w:ind w:left="6958" w:hanging="360"/>
      </w:pPr>
      <w:rPr>
        <w:rFonts w:ascii="Wingdings" w:hAnsi="Wingdings" w:hint="default"/>
      </w:rPr>
    </w:lvl>
  </w:abstractNum>
  <w:abstractNum w:abstractNumId="11" w15:restartNumberingAfterBreak="0">
    <w:nsid w:val="278724D3"/>
    <w:multiLevelType w:val="hybridMultilevel"/>
    <w:tmpl w:val="252C76EC"/>
    <w:lvl w:ilvl="0" w:tplc="4FCA788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A9279B"/>
    <w:multiLevelType w:val="hybridMultilevel"/>
    <w:tmpl w:val="589CE69C"/>
    <w:lvl w:ilvl="0" w:tplc="CD642D4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B49D9"/>
    <w:multiLevelType w:val="hybridMultilevel"/>
    <w:tmpl w:val="A888E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66645E"/>
    <w:multiLevelType w:val="hybridMultilevel"/>
    <w:tmpl w:val="5DACEC2C"/>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2E5438B"/>
    <w:multiLevelType w:val="hybridMultilevel"/>
    <w:tmpl w:val="E33C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64FA1"/>
    <w:multiLevelType w:val="hybridMultilevel"/>
    <w:tmpl w:val="0F3CC6E0"/>
    <w:lvl w:ilvl="0" w:tplc="CD642D4C">
      <w:start w:val="1"/>
      <w:numFmt w:val="bullet"/>
      <w:lvlText w:val=""/>
      <w:lvlJc w:val="left"/>
      <w:pPr>
        <w:tabs>
          <w:tab w:val="num" w:pos="1918"/>
        </w:tabs>
        <w:ind w:left="1918" w:hanging="360"/>
      </w:pPr>
      <w:rPr>
        <w:rFonts w:ascii="Symbol" w:hAnsi="Symbol" w:hint="default"/>
      </w:rPr>
    </w:lvl>
    <w:lvl w:ilvl="1" w:tplc="0409000F">
      <w:start w:val="1"/>
      <w:numFmt w:val="decimal"/>
      <w:lvlText w:val="%2."/>
      <w:lvlJc w:val="left"/>
      <w:pPr>
        <w:tabs>
          <w:tab w:val="num" w:pos="1918"/>
        </w:tabs>
        <w:ind w:left="1918" w:hanging="360"/>
      </w:pPr>
      <w:rPr>
        <w:rFonts w:hint="default"/>
      </w:rPr>
    </w:lvl>
    <w:lvl w:ilvl="2" w:tplc="CD642D4C">
      <w:start w:val="1"/>
      <w:numFmt w:val="bullet"/>
      <w:lvlText w:val=""/>
      <w:lvlJc w:val="left"/>
      <w:pPr>
        <w:tabs>
          <w:tab w:val="num" w:pos="2638"/>
        </w:tabs>
        <w:ind w:left="2638" w:hanging="360"/>
      </w:pPr>
      <w:rPr>
        <w:rFonts w:ascii="Symbol" w:hAnsi="Symbol" w:hint="default"/>
      </w:rPr>
    </w:lvl>
    <w:lvl w:ilvl="3" w:tplc="CD642D4C">
      <w:start w:val="1"/>
      <w:numFmt w:val="bullet"/>
      <w:lvlText w:val=""/>
      <w:lvlJc w:val="left"/>
      <w:pPr>
        <w:tabs>
          <w:tab w:val="num" w:pos="3358"/>
        </w:tabs>
        <w:ind w:left="3358" w:hanging="360"/>
      </w:pPr>
      <w:rPr>
        <w:rFonts w:ascii="Symbol" w:hAnsi="Symbol" w:hint="default"/>
      </w:rPr>
    </w:lvl>
    <w:lvl w:ilvl="4" w:tplc="04090003" w:tentative="1">
      <w:start w:val="1"/>
      <w:numFmt w:val="bullet"/>
      <w:lvlText w:val="o"/>
      <w:lvlJc w:val="left"/>
      <w:pPr>
        <w:tabs>
          <w:tab w:val="num" w:pos="4078"/>
        </w:tabs>
        <w:ind w:left="4078" w:hanging="360"/>
      </w:pPr>
      <w:rPr>
        <w:rFonts w:ascii="Courier New" w:hAnsi="Courier New" w:cs="Courier New" w:hint="default"/>
      </w:rPr>
    </w:lvl>
    <w:lvl w:ilvl="5" w:tplc="04090005" w:tentative="1">
      <w:start w:val="1"/>
      <w:numFmt w:val="bullet"/>
      <w:lvlText w:val=""/>
      <w:lvlJc w:val="left"/>
      <w:pPr>
        <w:tabs>
          <w:tab w:val="num" w:pos="4798"/>
        </w:tabs>
        <w:ind w:left="4798" w:hanging="360"/>
      </w:pPr>
      <w:rPr>
        <w:rFonts w:ascii="Wingdings" w:hAnsi="Wingdings" w:hint="default"/>
      </w:rPr>
    </w:lvl>
    <w:lvl w:ilvl="6" w:tplc="04090001" w:tentative="1">
      <w:start w:val="1"/>
      <w:numFmt w:val="bullet"/>
      <w:lvlText w:val=""/>
      <w:lvlJc w:val="left"/>
      <w:pPr>
        <w:tabs>
          <w:tab w:val="num" w:pos="5518"/>
        </w:tabs>
        <w:ind w:left="5518" w:hanging="360"/>
      </w:pPr>
      <w:rPr>
        <w:rFonts w:ascii="Symbol" w:hAnsi="Symbol" w:hint="default"/>
      </w:rPr>
    </w:lvl>
    <w:lvl w:ilvl="7" w:tplc="04090003" w:tentative="1">
      <w:start w:val="1"/>
      <w:numFmt w:val="bullet"/>
      <w:lvlText w:val="o"/>
      <w:lvlJc w:val="left"/>
      <w:pPr>
        <w:tabs>
          <w:tab w:val="num" w:pos="6238"/>
        </w:tabs>
        <w:ind w:left="6238" w:hanging="360"/>
      </w:pPr>
      <w:rPr>
        <w:rFonts w:ascii="Courier New" w:hAnsi="Courier New" w:cs="Courier New" w:hint="default"/>
      </w:rPr>
    </w:lvl>
    <w:lvl w:ilvl="8" w:tplc="04090005" w:tentative="1">
      <w:start w:val="1"/>
      <w:numFmt w:val="bullet"/>
      <w:lvlText w:val=""/>
      <w:lvlJc w:val="left"/>
      <w:pPr>
        <w:tabs>
          <w:tab w:val="num" w:pos="6958"/>
        </w:tabs>
        <w:ind w:left="6958" w:hanging="360"/>
      </w:pPr>
      <w:rPr>
        <w:rFonts w:ascii="Wingdings" w:hAnsi="Wingdings" w:hint="default"/>
      </w:rPr>
    </w:lvl>
  </w:abstractNum>
  <w:abstractNum w:abstractNumId="17" w15:restartNumberingAfterBreak="0">
    <w:nsid w:val="34C8104D"/>
    <w:multiLevelType w:val="hybridMultilevel"/>
    <w:tmpl w:val="2970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63690"/>
    <w:multiLevelType w:val="hybridMultilevel"/>
    <w:tmpl w:val="430A5F34"/>
    <w:lvl w:ilvl="0" w:tplc="FFFFFFFF">
      <w:start w:val="1"/>
      <w:numFmt w:val="bullet"/>
      <w:lvlText w:val=""/>
      <w:legacy w:legacy="1" w:legacySpace="0" w:legacyIndent="283"/>
      <w:lvlJc w:val="left"/>
      <w:pPr>
        <w:ind w:left="64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AA63F3"/>
    <w:multiLevelType w:val="hybridMultilevel"/>
    <w:tmpl w:val="10FA8396"/>
    <w:lvl w:ilvl="0" w:tplc="6D9EC35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6967B9"/>
    <w:multiLevelType w:val="hybridMultilevel"/>
    <w:tmpl w:val="F440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93FDD"/>
    <w:multiLevelType w:val="hybridMultilevel"/>
    <w:tmpl w:val="6AF24E10"/>
    <w:lvl w:ilvl="0" w:tplc="6E4CB216">
      <w:start w:val="1"/>
      <w:numFmt w:val="lowerLetter"/>
      <w:lvlText w:val="(%1)"/>
      <w:lvlJc w:val="left"/>
      <w:pPr>
        <w:tabs>
          <w:tab w:val="num" w:pos="1918"/>
        </w:tabs>
        <w:ind w:left="1918" w:hanging="360"/>
      </w:pPr>
      <w:rPr>
        <w:rFonts w:hint="default"/>
        <w:w w:val="99"/>
      </w:rPr>
    </w:lvl>
    <w:lvl w:ilvl="1" w:tplc="04090019" w:tentative="1">
      <w:start w:val="1"/>
      <w:numFmt w:val="lowerLetter"/>
      <w:lvlText w:val="%2."/>
      <w:lvlJc w:val="left"/>
      <w:pPr>
        <w:tabs>
          <w:tab w:val="num" w:pos="2638"/>
        </w:tabs>
        <w:ind w:left="2638" w:hanging="360"/>
      </w:pPr>
    </w:lvl>
    <w:lvl w:ilvl="2" w:tplc="0409001B" w:tentative="1">
      <w:start w:val="1"/>
      <w:numFmt w:val="lowerRoman"/>
      <w:lvlText w:val="%3."/>
      <w:lvlJc w:val="right"/>
      <w:pPr>
        <w:tabs>
          <w:tab w:val="num" w:pos="3358"/>
        </w:tabs>
        <w:ind w:left="3358" w:hanging="180"/>
      </w:pPr>
    </w:lvl>
    <w:lvl w:ilvl="3" w:tplc="0409000F" w:tentative="1">
      <w:start w:val="1"/>
      <w:numFmt w:val="decimal"/>
      <w:lvlText w:val="%4."/>
      <w:lvlJc w:val="left"/>
      <w:pPr>
        <w:tabs>
          <w:tab w:val="num" w:pos="4078"/>
        </w:tabs>
        <w:ind w:left="4078" w:hanging="360"/>
      </w:pPr>
    </w:lvl>
    <w:lvl w:ilvl="4" w:tplc="04090019" w:tentative="1">
      <w:start w:val="1"/>
      <w:numFmt w:val="lowerLetter"/>
      <w:lvlText w:val="%5."/>
      <w:lvlJc w:val="left"/>
      <w:pPr>
        <w:tabs>
          <w:tab w:val="num" w:pos="4798"/>
        </w:tabs>
        <w:ind w:left="4798" w:hanging="360"/>
      </w:pPr>
    </w:lvl>
    <w:lvl w:ilvl="5" w:tplc="0409001B" w:tentative="1">
      <w:start w:val="1"/>
      <w:numFmt w:val="lowerRoman"/>
      <w:lvlText w:val="%6."/>
      <w:lvlJc w:val="right"/>
      <w:pPr>
        <w:tabs>
          <w:tab w:val="num" w:pos="5518"/>
        </w:tabs>
        <w:ind w:left="5518" w:hanging="180"/>
      </w:pPr>
    </w:lvl>
    <w:lvl w:ilvl="6" w:tplc="0409000F" w:tentative="1">
      <w:start w:val="1"/>
      <w:numFmt w:val="decimal"/>
      <w:lvlText w:val="%7."/>
      <w:lvlJc w:val="left"/>
      <w:pPr>
        <w:tabs>
          <w:tab w:val="num" w:pos="6238"/>
        </w:tabs>
        <w:ind w:left="6238" w:hanging="360"/>
      </w:pPr>
    </w:lvl>
    <w:lvl w:ilvl="7" w:tplc="04090019" w:tentative="1">
      <w:start w:val="1"/>
      <w:numFmt w:val="lowerLetter"/>
      <w:lvlText w:val="%8."/>
      <w:lvlJc w:val="left"/>
      <w:pPr>
        <w:tabs>
          <w:tab w:val="num" w:pos="6958"/>
        </w:tabs>
        <w:ind w:left="6958" w:hanging="360"/>
      </w:pPr>
    </w:lvl>
    <w:lvl w:ilvl="8" w:tplc="0409001B" w:tentative="1">
      <w:start w:val="1"/>
      <w:numFmt w:val="lowerRoman"/>
      <w:lvlText w:val="%9."/>
      <w:lvlJc w:val="right"/>
      <w:pPr>
        <w:tabs>
          <w:tab w:val="num" w:pos="7678"/>
        </w:tabs>
        <w:ind w:left="7678" w:hanging="180"/>
      </w:pPr>
    </w:lvl>
  </w:abstractNum>
  <w:abstractNum w:abstractNumId="22" w15:restartNumberingAfterBreak="0">
    <w:nsid w:val="43DA3FBA"/>
    <w:multiLevelType w:val="hybridMultilevel"/>
    <w:tmpl w:val="7E365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6C3AC3"/>
    <w:multiLevelType w:val="hybridMultilevel"/>
    <w:tmpl w:val="33D6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A68F6"/>
    <w:multiLevelType w:val="hybridMultilevel"/>
    <w:tmpl w:val="FC64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69A"/>
    <w:multiLevelType w:val="hybridMultilevel"/>
    <w:tmpl w:val="496063E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6" w15:restartNumberingAfterBreak="0">
    <w:nsid w:val="4EA715E3"/>
    <w:multiLevelType w:val="hybridMultilevel"/>
    <w:tmpl w:val="9A16E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50480"/>
    <w:multiLevelType w:val="hybridMultilevel"/>
    <w:tmpl w:val="719E4B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3AD64E7"/>
    <w:multiLevelType w:val="hybridMultilevel"/>
    <w:tmpl w:val="6E124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43EB0"/>
    <w:multiLevelType w:val="hybridMultilevel"/>
    <w:tmpl w:val="A662B0BC"/>
    <w:lvl w:ilvl="0" w:tplc="6D9EC35A">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FC3897"/>
    <w:multiLevelType w:val="hybridMultilevel"/>
    <w:tmpl w:val="9436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51E7B"/>
    <w:multiLevelType w:val="hybridMultilevel"/>
    <w:tmpl w:val="C442D4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C8798B"/>
    <w:multiLevelType w:val="hybridMultilevel"/>
    <w:tmpl w:val="240673C4"/>
    <w:lvl w:ilvl="0" w:tplc="CD642D4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F12AF"/>
    <w:multiLevelType w:val="hybridMultilevel"/>
    <w:tmpl w:val="00C4A7BE"/>
    <w:lvl w:ilvl="0" w:tplc="CD642D4C">
      <w:start w:val="1"/>
      <w:numFmt w:val="bullet"/>
      <w:lvlText w:val=""/>
      <w:lvlJc w:val="left"/>
      <w:pPr>
        <w:tabs>
          <w:tab w:val="num" w:pos="2520"/>
        </w:tabs>
        <w:ind w:left="2520" w:hanging="360"/>
      </w:pPr>
      <w:rPr>
        <w:rFonts w:ascii="Symbol" w:hAnsi="Symbol" w:hint="default"/>
      </w:rPr>
    </w:lvl>
    <w:lvl w:ilvl="1" w:tplc="CD642D4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D331B37"/>
    <w:multiLevelType w:val="hybridMultilevel"/>
    <w:tmpl w:val="AC9095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5" w15:restartNumberingAfterBreak="0">
    <w:nsid w:val="705E24CC"/>
    <w:multiLevelType w:val="hybridMultilevel"/>
    <w:tmpl w:val="A3849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1C1C6D"/>
    <w:multiLevelType w:val="hybridMultilevel"/>
    <w:tmpl w:val="27740398"/>
    <w:lvl w:ilvl="0" w:tplc="CD642D4C">
      <w:start w:val="1"/>
      <w:numFmt w:val="bullet"/>
      <w:lvlText w:val=""/>
      <w:lvlJc w:val="left"/>
      <w:pPr>
        <w:tabs>
          <w:tab w:val="num" w:pos="1918"/>
        </w:tabs>
        <w:ind w:left="1918" w:hanging="360"/>
      </w:pPr>
      <w:rPr>
        <w:rFonts w:ascii="Symbol" w:hAnsi="Symbol" w:hint="default"/>
      </w:rPr>
    </w:lvl>
    <w:lvl w:ilvl="1" w:tplc="0409000F">
      <w:start w:val="1"/>
      <w:numFmt w:val="decimal"/>
      <w:lvlText w:val="%2."/>
      <w:lvlJc w:val="left"/>
      <w:pPr>
        <w:tabs>
          <w:tab w:val="num" w:pos="1918"/>
        </w:tabs>
        <w:ind w:left="1918" w:hanging="360"/>
      </w:pPr>
      <w:rPr>
        <w:rFonts w:hint="default"/>
      </w:rPr>
    </w:lvl>
    <w:lvl w:ilvl="2" w:tplc="1DD038BA">
      <w:start w:val="1"/>
      <w:numFmt w:val="lowerLetter"/>
      <w:lvlText w:val="(%3)"/>
      <w:lvlJc w:val="left"/>
      <w:pPr>
        <w:tabs>
          <w:tab w:val="num" w:pos="2638"/>
        </w:tabs>
        <w:ind w:left="2638" w:hanging="360"/>
      </w:pPr>
      <w:rPr>
        <w:rFonts w:hint="default"/>
        <w:w w:val="99"/>
      </w:rPr>
    </w:lvl>
    <w:lvl w:ilvl="3" w:tplc="CD642D4C">
      <w:start w:val="1"/>
      <w:numFmt w:val="bullet"/>
      <w:lvlText w:val=""/>
      <w:lvlJc w:val="left"/>
      <w:pPr>
        <w:tabs>
          <w:tab w:val="num" w:pos="3358"/>
        </w:tabs>
        <w:ind w:left="3358" w:hanging="360"/>
      </w:pPr>
      <w:rPr>
        <w:rFonts w:ascii="Symbol" w:hAnsi="Symbol" w:hint="default"/>
      </w:rPr>
    </w:lvl>
    <w:lvl w:ilvl="4" w:tplc="04090003" w:tentative="1">
      <w:start w:val="1"/>
      <w:numFmt w:val="bullet"/>
      <w:lvlText w:val="o"/>
      <w:lvlJc w:val="left"/>
      <w:pPr>
        <w:tabs>
          <w:tab w:val="num" w:pos="4078"/>
        </w:tabs>
        <w:ind w:left="4078" w:hanging="360"/>
      </w:pPr>
      <w:rPr>
        <w:rFonts w:ascii="Courier New" w:hAnsi="Courier New" w:cs="Courier New" w:hint="default"/>
      </w:rPr>
    </w:lvl>
    <w:lvl w:ilvl="5" w:tplc="04090005" w:tentative="1">
      <w:start w:val="1"/>
      <w:numFmt w:val="bullet"/>
      <w:lvlText w:val=""/>
      <w:lvlJc w:val="left"/>
      <w:pPr>
        <w:tabs>
          <w:tab w:val="num" w:pos="4798"/>
        </w:tabs>
        <w:ind w:left="4798" w:hanging="360"/>
      </w:pPr>
      <w:rPr>
        <w:rFonts w:ascii="Wingdings" w:hAnsi="Wingdings" w:hint="default"/>
      </w:rPr>
    </w:lvl>
    <w:lvl w:ilvl="6" w:tplc="04090001" w:tentative="1">
      <w:start w:val="1"/>
      <w:numFmt w:val="bullet"/>
      <w:lvlText w:val=""/>
      <w:lvlJc w:val="left"/>
      <w:pPr>
        <w:tabs>
          <w:tab w:val="num" w:pos="5518"/>
        </w:tabs>
        <w:ind w:left="5518" w:hanging="360"/>
      </w:pPr>
      <w:rPr>
        <w:rFonts w:ascii="Symbol" w:hAnsi="Symbol" w:hint="default"/>
      </w:rPr>
    </w:lvl>
    <w:lvl w:ilvl="7" w:tplc="04090003" w:tentative="1">
      <w:start w:val="1"/>
      <w:numFmt w:val="bullet"/>
      <w:lvlText w:val="o"/>
      <w:lvlJc w:val="left"/>
      <w:pPr>
        <w:tabs>
          <w:tab w:val="num" w:pos="6238"/>
        </w:tabs>
        <w:ind w:left="6238" w:hanging="360"/>
      </w:pPr>
      <w:rPr>
        <w:rFonts w:ascii="Courier New" w:hAnsi="Courier New" w:cs="Courier New" w:hint="default"/>
      </w:rPr>
    </w:lvl>
    <w:lvl w:ilvl="8" w:tplc="04090005" w:tentative="1">
      <w:start w:val="1"/>
      <w:numFmt w:val="bullet"/>
      <w:lvlText w:val=""/>
      <w:lvlJc w:val="left"/>
      <w:pPr>
        <w:tabs>
          <w:tab w:val="num" w:pos="6958"/>
        </w:tabs>
        <w:ind w:left="6958" w:hanging="360"/>
      </w:pPr>
      <w:rPr>
        <w:rFonts w:ascii="Wingdings" w:hAnsi="Wingdings" w:hint="default"/>
      </w:rPr>
    </w:lvl>
  </w:abstractNum>
  <w:abstractNum w:abstractNumId="37" w15:restartNumberingAfterBreak="0">
    <w:nsid w:val="79267520"/>
    <w:multiLevelType w:val="hybridMultilevel"/>
    <w:tmpl w:val="4734F0B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A5A1FB8"/>
    <w:multiLevelType w:val="hybridMultilevel"/>
    <w:tmpl w:val="1276B7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9" w15:restartNumberingAfterBreak="0">
    <w:nsid w:val="7C470B73"/>
    <w:multiLevelType w:val="hybridMultilevel"/>
    <w:tmpl w:val="FE48C992"/>
    <w:lvl w:ilvl="0" w:tplc="A0AC8456">
      <w:start w:val="1"/>
      <w:numFmt w:val="decimal"/>
      <w:lvlText w:val="%1."/>
      <w:lvlJc w:val="left"/>
      <w:pPr>
        <w:ind w:left="11" w:hanging="360"/>
      </w:pPr>
      <w:rPr>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40" w15:restartNumberingAfterBreak="0">
    <w:nsid w:val="7E4A37CF"/>
    <w:multiLevelType w:val="hybridMultilevel"/>
    <w:tmpl w:val="5BB8048E"/>
    <w:lvl w:ilvl="0" w:tplc="E69A38B8">
      <w:start w:val="1"/>
      <w:numFmt w:val="bullet"/>
      <w:lvlText w:val=""/>
      <w:lvlJc w:val="left"/>
      <w:pPr>
        <w:tabs>
          <w:tab w:val="num" w:pos="432"/>
        </w:tabs>
        <w:ind w:left="432" w:hanging="360"/>
      </w:pPr>
      <w:rPr>
        <w:rFonts w:ascii="Symbol" w:hAnsi="Symbol" w:hint="default"/>
        <w:color w:val="auto"/>
        <w:sz w:val="20"/>
        <w:szCs w:val="20"/>
      </w:rPr>
    </w:lvl>
    <w:lvl w:ilvl="1" w:tplc="08090003" w:tentative="1">
      <w:start w:val="1"/>
      <w:numFmt w:val="bullet"/>
      <w:lvlText w:val="o"/>
      <w:lvlJc w:val="left"/>
      <w:pPr>
        <w:tabs>
          <w:tab w:val="num" w:pos="792"/>
        </w:tabs>
        <w:ind w:left="792" w:hanging="360"/>
      </w:pPr>
      <w:rPr>
        <w:rFonts w:ascii="Courier New" w:hAnsi="Courier New" w:cs="Courier New" w:hint="default"/>
      </w:rPr>
    </w:lvl>
    <w:lvl w:ilvl="2" w:tplc="08090005" w:tentative="1">
      <w:start w:val="1"/>
      <w:numFmt w:val="bullet"/>
      <w:lvlText w:val=""/>
      <w:lvlJc w:val="left"/>
      <w:pPr>
        <w:tabs>
          <w:tab w:val="num" w:pos="1512"/>
        </w:tabs>
        <w:ind w:left="1512" w:hanging="360"/>
      </w:pPr>
      <w:rPr>
        <w:rFonts w:ascii="Wingdings" w:hAnsi="Wingdings" w:hint="default"/>
      </w:rPr>
    </w:lvl>
    <w:lvl w:ilvl="3" w:tplc="08090001" w:tentative="1">
      <w:start w:val="1"/>
      <w:numFmt w:val="bullet"/>
      <w:lvlText w:val=""/>
      <w:lvlJc w:val="left"/>
      <w:pPr>
        <w:tabs>
          <w:tab w:val="num" w:pos="2232"/>
        </w:tabs>
        <w:ind w:left="2232" w:hanging="360"/>
      </w:pPr>
      <w:rPr>
        <w:rFonts w:ascii="Symbol" w:hAnsi="Symbol" w:hint="default"/>
      </w:rPr>
    </w:lvl>
    <w:lvl w:ilvl="4" w:tplc="08090003" w:tentative="1">
      <w:start w:val="1"/>
      <w:numFmt w:val="bullet"/>
      <w:lvlText w:val="o"/>
      <w:lvlJc w:val="left"/>
      <w:pPr>
        <w:tabs>
          <w:tab w:val="num" w:pos="2952"/>
        </w:tabs>
        <w:ind w:left="2952" w:hanging="360"/>
      </w:pPr>
      <w:rPr>
        <w:rFonts w:ascii="Courier New" w:hAnsi="Courier New" w:cs="Courier New" w:hint="default"/>
      </w:rPr>
    </w:lvl>
    <w:lvl w:ilvl="5" w:tplc="08090005" w:tentative="1">
      <w:start w:val="1"/>
      <w:numFmt w:val="bullet"/>
      <w:lvlText w:val=""/>
      <w:lvlJc w:val="left"/>
      <w:pPr>
        <w:tabs>
          <w:tab w:val="num" w:pos="3672"/>
        </w:tabs>
        <w:ind w:left="3672" w:hanging="360"/>
      </w:pPr>
      <w:rPr>
        <w:rFonts w:ascii="Wingdings" w:hAnsi="Wingdings" w:hint="default"/>
      </w:rPr>
    </w:lvl>
    <w:lvl w:ilvl="6" w:tplc="08090001" w:tentative="1">
      <w:start w:val="1"/>
      <w:numFmt w:val="bullet"/>
      <w:lvlText w:val=""/>
      <w:lvlJc w:val="left"/>
      <w:pPr>
        <w:tabs>
          <w:tab w:val="num" w:pos="4392"/>
        </w:tabs>
        <w:ind w:left="4392" w:hanging="360"/>
      </w:pPr>
      <w:rPr>
        <w:rFonts w:ascii="Symbol" w:hAnsi="Symbol" w:hint="default"/>
      </w:rPr>
    </w:lvl>
    <w:lvl w:ilvl="7" w:tplc="08090003" w:tentative="1">
      <w:start w:val="1"/>
      <w:numFmt w:val="bullet"/>
      <w:lvlText w:val="o"/>
      <w:lvlJc w:val="left"/>
      <w:pPr>
        <w:tabs>
          <w:tab w:val="num" w:pos="5112"/>
        </w:tabs>
        <w:ind w:left="5112" w:hanging="360"/>
      </w:pPr>
      <w:rPr>
        <w:rFonts w:ascii="Courier New" w:hAnsi="Courier New" w:cs="Courier New" w:hint="default"/>
      </w:rPr>
    </w:lvl>
    <w:lvl w:ilvl="8" w:tplc="08090005" w:tentative="1">
      <w:start w:val="1"/>
      <w:numFmt w:val="bullet"/>
      <w:lvlText w:val=""/>
      <w:lvlJc w:val="left"/>
      <w:pPr>
        <w:tabs>
          <w:tab w:val="num" w:pos="5832"/>
        </w:tabs>
        <w:ind w:left="5832" w:hanging="360"/>
      </w:pPr>
      <w:rPr>
        <w:rFonts w:ascii="Wingdings" w:hAnsi="Wingdings" w:hint="default"/>
      </w:rPr>
    </w:lvl>
  </w:abstractNum>
  <w:abstractNum w:abstractNumId="41" w15:restartNumberingAfterBreak="0">
    <w:nsid w:val="7FA651DF"/>
    <w:multiLevelType w:val="hybridMultilevel"/>
    <w:tmpl w:val="DFC0515A"/>
    <w:lvl w:ilvl="0" w:tplc="08090017">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num w:numId="1">
    <w:abstractNumId w:val="40"/>
  </w:num>
  <w:num w:numId="2">
    <w:abstractNumId w:val="11"/>
  </w:num>
  <w:num w:numId="3">
    <w:abstractNumId w:val="28"/>
  </w:num>
  <w:num w:numId="4">
    <w:abstractNumId w:val="18"/>
  </w:num>
  <w:num w:numId="5">
    <w:abstractNumId w:val="14"/>
  </w:num>
  <w:num w:numId="6">
    <w:abstractNumId w:val="37"/>
  </w:num>
  <w:num w:numId="7">
    <w:abstractNumId w:val="25"/>
  </w:num>
  <w:num w:numId="8">
    <w:abstractNumId w:val="0"/>
  </w:num>
  <w:num w:numId="9">
    <w:abstractNumId w:val="35"/>
  </w:num>
  <w:num w:numId="10">
    <w:abstractNumId w:val="23"/>
  </w:num>
  <w:num w:numId="11">
    <w:abstractNumId w:val="29"/>
  </w:num>
  <w:num w:numId="12">
    <w:abstractNumId w:val="31"/>
  </w:num>
  <w:num w:numId="13">
    <w:abstractNumId w:val="27"/>
  </w:num>
  <w:num w:numId="14">
    <w:abstractNumId w:val="19"/>
  </w:num>
  <w:num w:numId="15">
    <w:abstractNumId w:val="7"/>
  </w:num>
  <w:num w:numId="16">
    <w:abstractNumId w:val="13"/>
  </w:num>
  <w:num w:numId="17">
    <w:abstractNumId w:val="24"/>
  </w:num>
  <w:num w:numId="18">
    <w:abstractNumId w:val="6"/>
  </w:num>
  <w:num w:numId="19">
    <w:abstractNumId w:val="26"/>
  </w:num>
  <w:num w:numId="20">
    <w:abstractNumId w:val="17"/>
  </w:num>
  <w:num w:numId="21">
    <w:abstractNumId w:val="30"/>
  </w:num>
  <w:num w:numId="22">
    <w:abstractNumId w:val="15"/>
  </w:num>
  <w:num w:numId="23">
    <w:abstractNumId w:val="3"/>
  </w:num>
  <w:num w:numId="24">
    <w:abstractNumId w:val="1"/>
  </w:num>
  <w:num w:numId="25">
    <w:abstractNumId w:val="20"/>
  </w:num>
  <w:num w:numId="26">
    <w:abstractNumId w:val="38"/>
  </w:num>
  <w:num w:numId="27">
    <w:abstractNumId w:val="34"/>
  </w:num>
  <w:num w:numId="28">
    <w:abstractNumId w:val="2"/>
  </w:num>
  <w:num w:numId="29">
    <w:abstractNumId w:val="39"/>
  </w:num>
  <w:num w:numId="30">
    <w:abstractNumId w:val="41"/>
  </w:num>
  <w:num w:numId="31">
    <w:abstractNumId w:val="4"/>
  </w:num>
  <w:num w:numId="32">
    <w:abstractNumId w:val="9"/>
  </w:num>
  <w:num w:numId="33">
    <w:abstractNumId w:val="33"/>
  </w:num>
  <w:num w:numId="34">
    <w:abstractNumId w:val="32"/>
  </w:num>
  <w:num w:numId="35">
    <w:abstractNumId w:val="22"/>
  </w:num>
  <w:num w:numId="36">
    <w:abstractNumId w:val="5"/>
  </w:num>
  <w:num w:numId="37">
    <w:abstractNumId w:val="10"/>
  </w:num>
  <w:num w:numId="38">
    <w:abstractNumId w:val="36"/>
  </w:num>
  <w:num w:numId="39">
    <w:abstractNumId w:val="12"/>
  </w:num>
  <w:num w:numId="40">
    <w:abstractNumId w:val="21"/>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5C"/>
    <w:rsid w:val="00007D48"/>
    <w:rsid w:val="00012C54"/>
    <w:rsid w:val="00017941"/>
    <w:rsid w:val="00022628"/>
    <w:rsid w:val="000252A6"/>
    <w:rsid w:val="00035CA6"/>
    <w:rsid w:val="0003749E"/>
    <w:rsid w:val="00051653"/>
    <w:rsid w:val="00057E5E"/>
    <w:rsid w:val="00070588"/>
    <w:rsid w:val="00071631"/>
    <w:rsid w:val="00073679"/>
    <w:rsid w:val="000743D2"/>
    <w:rsid w:val="0007554C"/>
    <w:rsid w:val="0008149E"/>
    <w:rsid w:val="00081D85"/>
    <w:rsid w:val="00082FA1"/>
    <w:rsid w:val="000909B0"/>
    <w:rsid w:val="0009393D"/>
    <w:rsid w:val="00096DF0"/>
    <w:rsid w:val="000A6B89"/>
    <w:rsid w:val="000B364D"/>
    <w:rsid w:val="000B4147"/>
    <w:rsid w:val="000C1781"/>
    <w:rsid w:val="000C5BD8"/>
    <w:rsid w:val="000D060F"/>
    <w:rsid w:val="000E0654"/>
    <w:rsid w:val="000E34F4"/>
    <w:rsid w:val="000F5890"/>
    <w:rsid w:val="000F6942"/>
    <w:rsid w:val="000F6D48"/>
    <w:rsid w:val="00101ABB"/>
    <w:rsid w:val="00105100"/>
    <w:rsid w:val="00107555"/>
    <w:rsid w:val="001220C9"/>
    <w:rsid w:val="0012247B"/>
    <w:rsid w:val="001237CA"/>
    <w:rsid w:val="00123E77"/>
    <w:rsid w:val="00125C14"/>
    <w:rsid w:val="001276E2"/>
    <w:rsid w:val="00130DE4"/>
    <w:rsid w:val="001355C0"/>
    <w:rsid w:val="00142136"/>
    <w:rsid w:val="0015257F"/>
    <w:rsid w:val="001533E6"/>
    <w:rsid w:val="00156483"/>
    <w:rsid w:val="00157F8F"/>
    <w:rsid w:val="00176ACB"/>
    <w:rsid w:val="00184706"/>
    <w:rsid w:val="001D1BE6"/>
    <w:rsid w:val="001D5ADC"/>
    <w:rsid w:val="001D624E"/>
    <w:rsid w:val="001D7C1B"/>
    <w:rsid w:val="001E153C"/>
    <w:rsid w:val="001E2CBC"/>
    <w:rsid w:val="001E7765"/>
    <w:rsid w:val="00205A1A"/>
    <w:rsid w:val="002063DE"/>
    <w:rsid w:val="00225E57"/>
    <w:rsid w:val="00235C39"/>
    <w:rsid w:val="00243D30"/>
    <w:rsid w:val="002445BC"/>
    <w:rsid w:val="00246741"/>
    <w:rsid w:val="002551C0"/>
    <w:rsid w:val="0026015B"/>
    <w:rsid w:val="00270F4C"/>
    <w:rsid w:val="00277D2E"/>
    <w:rsid w:val="00291EF7"/>
    <w:rsid w:val="0029525B"/>
    <w:rsid w:val="002959EE"/>
    <w:rsid w:val="002A2CBF"/>
    <w:rsid w:val="002A67FE"/>
    <w:rsid w:val="002B1306"/>
    <w:rsid w:val="002B3E29"/>
    <w:rsid w:val="002C2211"/>
    <w:rsid w:val="002C3090"/>
    <w:rsid w:val="002C72A6"/>
    <w:rsid w:val="002D4C53"/>
    <w:rsid w:val="002F5D9A"/>
    <w:rsid w:val="002F72C3"/>
    <w:rsid w:val="00300F50"/>
    <w:rsid w:val="00304B13"/>
    <w:rsid w:val="003124AC"/>
    <w:rsid w:val="00315857"/>
    <w:rsid w:val="00315E54"/>
    <w:rsid w:val="003164F4"/>
    <w:rsid w:val="00320FDD"/>
    <w:rsid w:val="0032566C"/>
    <w:rsid w:val="00330006"/>
    <w:rsid w:val="00330A55"/>
    <w:rsid w:val="00334DAD"/>
    <w:rsid w:val="003366F1"/>
    <w:rsid w:val="00336A4A"/>
    <w:rsid w:val="00343D20"/>
    <w:rsid w:val="0034736F"/>
    <w:rsid w:val="00355DBC"/>
    <w:rsid w:val="003602BE"/>
    <w:rsid w:val="00362ADA"/>
    <w:rsid w:val="00362E82"/>
    <w:rsid w:val="00363D08"/>
    <w:rsid w:val="00366786"/>
    <w:rsid w:val="00375DEA"/>
    <w:rsid w:val="00384F5E"/>
    <w:rsid w:val="00385EE6"/>
    <w:rsid w:val="003A6F75"/>
    <w:rsid w:val="003C5311"/>
    <w:rsid w:val="003C5D2A"/>
    <w:rsid w:val="003D6C81"/>
    <w:rsid w:val="003E386F"/>
    <w:rsid w:val="003F3E40"/>
    <w:rsid w:val="003F7023"/>
    <w:rsid w:val="00405E7E"/>
    <w:rsid w:val="00410EAB"/>
    <w:rsid w:val="00411FF8"/>
    <w:rsid w:val="004149BB"/>
    <w:rsid w:val="0041658A"/>
    <w:rsid w:val="00420334"/>
    <w:rsid w:val="00420C9E"/>
    <w:rsid w:val="004212D5"/>
    <w:rsid w:val="00422D57"/>
    <w:rsid w:val="00423C63"/>
    <w:rsid w:val="00427238"/>
    <w:rsid w:val="00431F10"/>
    <w:rsid w:val="004361B5"/>
    <w:rsid w:val="00442A47"/>
    <w:rsid w:val="00460A37"/>
    <w:rsid w:val="004622D1"/>
    <w:rsid w:val="00466317"/>
    <w:rsid w:val="004671DB"/>
    <w:rsid w:val="0047122D"/>
    <w:rsid w:val="00477BC4"/>
    <w:rsid w:val="00481775"/>
    <w:rsid w:val="00483742"/>
    <w:rsid w:val="0048424A"/>
    <w:rsid w:val="0049517C"/>
    <w:rsid w:val="00497D50"/>
    <w:rsid w:val="004A0B3D"/>
    <w:rsid w:val="004A2297"/>
    <w:rsid w:val="004B504B"/>
    <w:rsid w:val="004C2C2C"/>
    <w:rsid w:val="004D308E"/>
    <w:rsid w:val="004D4D39"/>
    <w:rsid w:val="004D72D3"/>
    <w:rsid w:val="004E17B0"/>
    <w:rsid w:val="004F220B"/>
    <w:rsid w:val="004F31EE"/>
    <w:rsid w:val="00502B10"/>
    <w:rsid w:val="005138D8"/>
    <w:rsid w:val="0052542F"/>
    <w:rsid w:val="00527B40"/>
    <w:rsid w:val="00527C5D"/>
    <w:rsid w:val="005423E3"/>
    <w:rsid w:val="005538F6"/>
    <w:rsid w:val="00565AF5"/>
    <w:rsid w:val="00585E3A"/>
    <w:rsid w:val="00597BEA"/>
    <w:rsid w:val="005B3FA3"/>
    <w:rsid w:val="005C69EE"/>
    <w:rsid w:val="005D5D49"/>
    <w:rsid w:val="005F559E"/>
    <w:rsid w:val="005F7B82"/>
    <w:rsid w:val="006015D3"/>
    <w:rsid w:val="006048E5"/>
    <w:rsid w:val="0061044D"/>
    <w:rsid w:val="00634701"/>
    <w:rsid w:val="006349AA"/>
    <w:rsid w:val="00657B34"/>
    <w:rsid w:val="00662046"/>
    <w:rsid w:val="0066476B"/>
    <w:rsid w:val="00672F4D"/>
    <w:rsid w:val="006811C2"/>
    <w:rsid w:val="00686860"/>
    <w:rsid w:val="006A6946"/>
    <w:rsid w:val="006A7663"/>
    <w:rsid w:val="006B0558"/>
    <w:rsid w:val="006B5AB5"/>
    <w:rsid w:val="006B610C"/>
    <w:rsid w:val="006D4332"/>
    <w:rsid w:val="006F171C"/>
    <w:rsid w:val="006F58B2"/>
    <w:rsid w:val="006F7A42"/>
    <w:rsid w:val="00707778"/>
    <w:rsid w:val="007107D7"/>
    <w:rsid w:val="00716794"/>
    <w:rsid w:val="0072141A"/>
    <w:rsid w:val="007253D5"/>
    <w:rsid w:val="007277BB"/>
    <w:rsid w:val="007307B1"/>
    <w:rsid w:val="00731CF8"/>
    <w:rsid w:val="00735DA4"/>
    <w:rsid w:val="00740842"/>
    <w:rsid w:val="00742B8F"/>
    <w:rsid w:val="007440EA"/>
    <w:rsid w:val="00744843"/>
    <w:rsid w:val="00763CFF"/>
    <w:rsid w:val="007641B6"/>
    <w:rsid w:val="007673BD"/>
    <w:rsid w:val="00781639"/>
    <w:rsid w:val="00783A12"/>
    <w:rsid w:val="007857EF"/>
    <w:rsid w:val="00793C5D"/>
    <w:rsid w:val="007C658E"/>
    <w:rsid w:val="007C72F6"/>
    <w:rsid w:val="007D1FAA"/>
    <w:rsid w:val="007D7055"/>
    <w:rsid w:val="007E22AA"/>
    <w:rsid w:val="007E5B27"/>
    <w:rsid w:val="007F03E5"/>
    <w:rsid w:val="007F0E00"/>
    <w:rsid w:val="007F0F95"/>
    <w:rsid w:val="007F2AD9"/>
    <w:rsid w:val="007F46C3"/>
    <w:rsid w:val="00802F9F"/>
    <w:rsid w:val="00804301"/>
    <w:rsid w:val="0080779B"/>
    <w:rsid w:val="00807AEC"/>
    <w:rsid w:val="00811687"/>
    <w:rsid w:val="00811F94"/>
    <w:rsid w:val="0081421B"/>
    <w:rsid w:val="008260CF"/>
    <w:rsid w:val="00830196"/>
    <w:rsid w:val="0083463B"/>
    <w:rsid w:val="00834E43"/>
    <w:rsid w:val="00840944"/>
    <w:rsid w:val="00850B5A"/>
    <w:rsid w:val="00851E79"/>
    <w:rsid w:val="00852E30"/>
    <w:rsid w:val="0086240B"/>
    <w:rsid w:val="00893807"/>
    <w:rsid w:val="00896BC1"/>
    <w:rsid w:val="008A6193"/>
    <w:rsid w:val="008C6A42"/>
    <w:rsid w:val="008D3604"/>
    <w:rsid w:val="008E156C"/>
    <w:rsid w:val="008E2A16"/>
    <w:rsid w:val="008E726C"/>
    <w:rsid w:val="008F132F"/>
    <w:rsid w:val="008F3A23"/>
    <w:rsid w:val="00904D9F"/>
    <w:rsid w:val="00907D03"/>
    <w:rsid w:val="00920C5B"/>
    <w:rsid w:val="00924629"/>
    <w:rsid w:val="009333D8"/>
    <w:rsid w:val="00950C77"/>
    <w:rsid w:val="0097264B"/>
    <w:rsid w:val="00972A9F"/>
    <w:rsid w:val="00977106"/>
    <w:rsid w:val="009802C3"/>
    <w:rsid w:val="00982109"/>
    <w:rsid w:val="0099194B"/>
    <w:rsid w:val="00993876"/>
    <w:rsid w:val="009A54F0"/>
    <w:rsid w:val="009A6D0A"/>
    <w:rsid w:val="009B703B"/>
    <w:rsid w:val="009C0840"/>
    <w:rsid w:val="009C42E3"/>
    <w:rsid w:val="009D2587"/>
    <w:rsid w:val="009D40AD"/>
    <w:rsid w:val="009D415E"/>
    <w:rsid w:val="009E744B"/>
    <w:rsid w:val="009F4CFA"/>
    <w:rsid w:val="00A045F5"/>
    <w:rsid w:val="00A05394"/>
    <w:rsid w:val="00A0730B"/>
    <w:rsid w:val="00A1517B"/>
    <w:rsid w:val="00A16654"/>
    <w:rsid w:val="00A16B7C"/>
    <w:rsid w:val="00A17D33"/>
    <w:rsid w:val="00A207D6"/>
    <w:rsid w:val="00A24143"/>
    <w:rsid w:val="00A2497B"/>
    <w:rsid w:val="00A26504"/>
    <w:rsid w:val="00A47C0B"/>
    <w:rsid w:val="00A47E06"/>
    <w:rsid w:val="00A5731D"/>
    <w:rsid w:val="00A61C56"/>
    <w:rsid w:val="00A7480D"/>
    <w:rsid w:val="00A754DF"/>
    <w:rsid w:val="00A813B2"/>
    <w:rsid w:val="00A8260F"/>
    <w:rsid w:val="00A86E17"/>
    <w:rsid w:val="00A92A6C"/>
    <w:rsid w:val="00A974E0"/>
    <w:rsid w:val="00AB349B"/>
    <w:rsid w:val="00AC1E6C"/>
    <w:rsid w:val="00AC4AB9"/>
    <w:rsid w:val="00AE457A"/>
    <w:rsid w:val="00AF05C9"/>
    <w:rsid w:val="00B0757F"/>
    <w:rsid w:val="00B149A1"/>
    <w:rsid w:val="00B17683"/>
    <w:rsid w:val="00B33528"/>
    <w:rsid w:val="00B42701"/>
    <w:rsid w:val="00B44621"/>
    <w:rsid w:val="00B509A1"/>
    <w:rsid w:val="00B57059"/>
    <w:rsid w:val="00B64929"/>
    <w:rsid w:val="00B76679"/>
    <w:rsid w:val="00B77349"/>
    <w:rsid w:val="00B81CF0"/>
    <w:rsid w:val="00B97901"/>
    <w:rsid w:val="00B97DD3"/>
    <w:rsid w:val="00BB3305"/>
    <w:rsid w:val="00BB4724"/>
    <w:rsid w:val="00BC7BF6"/>
    <w:rsid w:val="00BE0F7A"/>
    <w:rsid w:val="00BF6294"/>
    <w:rsid w:val="00BF777F"/>
    <w:rsid w:val="00C1008E"/>
    <w:rsid w:val="00C1459D"/>
    <w:rsid w:val="00C14FC4"/>
    <w:rsid w:val="00C17C6B"/>
    <w:rsid w:val="00C2088C"/>
    <w:rsid w:val="00C242D2"/>
    <w:rsid w:val="00C268F5"/>
    <w:rsid w:val="00C27F8A"/>
    <w:rsid w:val="00C30ADD"/>
    <w:rsid w:val="00C30B32"/>
    <w:rsid w:val="00C625F2"/>
    <w:rsid w:val="00C64C27"/>
    <w:rsid w:val="00C656D5"/>
    <w:rsid w:val="00C65AAC"/>
    <w:rsid w:val="00C73041"/>
    <w:rsid w:val="00C76A20"/>
    <w:rsid w:val="00C77300"/>
    <w:rsid w:val="00C8165E"/>
    <w:rsid w:val="00C835C7"/>
    <w:rsid w:val="00C97142"/>
    <w:rsid w:val="00CA31ED"/>
    <w:rsid w:val="00CA4A7F"/>
    <w:rsid w:val="00CD1C96"/>
    <w:rsid w:val="00CF228E"/>
    <w:rsid w:val="00CF39D0"/>
    <w:rsid w:val="00D00663"/>
    <w:rsid w:val="00D01B56"/>
    <w:rsid w:val="00D028F4"/>
    <w:rsid w:val="00D03081"/>
    <w:rsid w:val="00D064B5"/>
    <w:rsid w:val="00D16F6E"/>
    <w:rsid w:val="00D27F27"/>
    <w:rsid w:val="00D31898"/>
    <w:rsid w:val="00D33E80"/>
    <w:rsid w:val="00D343D9"/>
    <w:rsid w:val="00D405E5"/>
    <w:rsid w:val="00D42609"/>
    <w:rsid w:val="00D526C2"/>
    <w:rsid w:val="00D54F8B"/>
    <w:rsid w:val="00D552AB"/>
    <w:rsid w:val="00D55767"/>
    <w:rsid w:val="00D57F38"/>
    <w:rsid w:val="00D643EC"/>
    <w:rsid w:val="00D77B9F"/>
    <w:rsid w:val="00D90103"/>
    <w:rsid w:val="00D93ABD"/>
    <w:rsid w:val="00D96530"/>
    <w:rsid w:val="00DB0D21"/>
    <w:rsid w:val="00DB59F5"/>
    <w:rsid w:val="00DC088D"/>
    <w:rsid w:val="00DC2AA4"/>
    <w:rsid w:val="00DE3756"/>
    <w:rsid w:val="00DE3B60"/>
    <w:rsid w:val="00DF0DD8"/>
    <w:rsid w:val="00DF164A"/>
    <w:rsid w:val="00E020B4"/>
    <w:rsid w:val="00E058E8"/>
    <w:rsid w:val="00E059E8"/>
    <w:rsid w:val="00E11801"/>
    <w:rsid w:val="00E3102D"/>
    <w:rsid w:val="00E319A6"/>
    <w:rsid w:val="00E41F86"/>
    <w:rsid w:val="00E42484"/>
    <w:rsid w:val="00E46821"/>
    <w:rsid w:val="00E60FEF"/>
    <w:rsid w:val="00E6752D"/>
    <w:rsid w:val="00E676C4"/>
    <w:rsid w:val="00E67757"/>
    <w:rsid w:val="00E757C9"/>
    <w:rsid w:val="00E83750"/>
    <w:rsid w:val="00E843F1"/>
    <w:rsid w:val="00E86DA5"/>
    <w:rsid w:val="00E94646"/>
    <w:rsid w:val="00EB4797"/>
    <w:rsid w:val="00EB6932"/>
    <w:rsid w:val="00EB7A97"/>
    <w:rsid w:val="00EC7122"/>
    <w:rsid w:val="00ED42AE"/>
    <w:rsid w:val="00EE3342"/>
    <w:rsid w:val="00EF6549"/>
    <w:rsid w:val="00EF6DCE"/>
    <w:rsid w:val="00F105EC"/>
    <w:rsid w:val="00F229DC"/>
    <w:rsid w:val="00F26879"/>
    <w:rsid w:val="00F276CA"/>
    <w:rsid w:val="00F306C4"/>
    <w:rsid w:val="00F31455"/>
    <w:rsid w:val="00F37DD5"/>
    <w:rsid w:val="00F56C32"/>
    <w:rsid w:val="00F57D32"/>
    <w:rsid w:val="00F66B66"/>
    <w:rsid w:val="00F766AC"/>
    <w:rsid w:val="00F777C2"/>
    <w:rsid w:val="00F8794A"/>
    <w:rsid w:val="00F87952"/>
    <w:rsid w:val="00F87A1F"/>
    <w:rsid w:val="00F96518"/>
    <w:rsid w:val="00FA1C30"/>
    <w:rsid w:val="00FA4A21"/>
    <w:rsid w:val="00FB42A2"/>
    <w:rsid w:val="00FC5871"/>
    <w:rsid w:val="00FD187A"/>
    <w:rsid w:val="00FD4189"/>
    <w:rsid w:val="00FE38F2"/>
    <w:rsid w:val="00FE787B"/>
    <w:rsid w:val="00FF075C"/>
    <w:rsid w:val="00FF13D1"/>
    <w:rsid w:val="00FF4463"/>
    <w:rsid w:val="00FF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8C9744-905E-4ABD-9B10-63BC80DF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5C"/>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FF075C"/>
    <w:pPr>
      <w:keepNext/>
      <w:jc w:val="center"/>
      <w:outlineLvl w:val="0"/>
    </w:pPr>
    <w:rPr>
      <w:b/>
      <w:bCs/>
      <w:iCs/>
    </w:rPr>
  </w:style>
  <w:style w:type="paragraph" w:styleId="Heading2">
    <w:name w:val="heading 2"/>
    <w:basedOn w:val="Normal"/>
    <w:next w:val="Normal"/>
    <w:link w:val="Heading2Char"/>
    <w:qFormat/>
    <w:rsid w:val="0041658A"/>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F075C"/>
    <w:pPr>
      <w:keepNext/>
      <w:outlineLvl w:val="2"/>
    </w:pPr>
    <w:rPr>
      <w:b/>
      <w:bCs/>
      <w:sz w:val="20"/>
    </w:rPr>
  </w:style>
  <w:style w:type="paragraph" w:styleId="Heading4">
    <w:name w:val="heading 4"/>
    <w:basedOn w:val="Normal"/>
    <w:next w:val="Normal"/>
    <w:link w:val="Heading4Char"/>
    <w:qFormat/>
    <w:rsid w:val="0041658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158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FF075C"/>
    <w:pPr>
      <w:keepNext w:val="0"/>
      <w:pBdr>
        <w:top w:val="single" w:sz="30" w:space="1" w:color="auto"/>
      </w:pBdr>
      <w:overflowPunct/>
      <w:autoSpaceDE/>
      <w:autoSpaceDN/>
      <w:adjustRightInd/>
      <w:spacing w:before="3840" w:after="240"/>
      <w:jc w:val="right"/>
      <w:textAlignment w:val="auto"/>
    </w:pPr>
    <w:rPr>
      <w:rFonts w:ascii="Helv" w:hAnsi="Helv"/>
      <w:bCs w:val="0"/>
      <w:iCs w:val="0"/>
      <w:sz w:val="60"/>
    </w:rPr>
  </w:style>
  <w:style w:type="table" w:styleId="TableGrid">
    <w:name w:val="Table Grid"/>
    <w:basedOn w:val="TableNormal"/>
    <w:rsid w:val="0031585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15857"/>
    <w:pPr>
      <w:numPr>
        <w:ilvl w:val="12"/>
      </w:numPr>
      <w:tabs>
        <w:tab w:val="left" w:pos="90"/>
      </w:tabs>
      <w:overflowPunct/>
      <w:autoSpaceDE/>
      <w:autoSpaceDN/>
      <w:adjustRightInd/>
      <w:jc w:val="both"/>
      <w:textAlignment w:val="auto"/>
    </w:pPr>
    <w:rPr>
      <w:sz w:val="20"/>
    </w:rPr>
  </w:style>
  <w:style w:type="paragraph" w:styleId="Header">
    <w:name w:val="header"/>
    <w:basedOn w:val="Normal"/>
    <w:rsid w:val="00315857"/>
    <w:pPr>
      <w:tabs>
        <w:tab w:val="center" w:pos="4153"/>
        <w:tab w:val="right" w:pos="8306"/>
      </w:tabs>
      <w:overflowPunct/>
      <w:autoSpaceDE/>
      <w:autoSpaceDN/>
      <w:adjustRightInd/>
      <w:textAlignment w:val="auto"/>
    </w:pPr>
  </w:style>
  <w:style w:type="paragraph" w:styleId="BodyTextIndent">
    <w:name w:val="Body Text Indent"/>
    <w:basedOn w:val="Normal"/>
    <w:rsid w:val="00315857"/>
    <w:pPr>
      <w:tabs>
        <w:tab w:val="left" w:pos="567"/>
      </w:tabs>
      <w:overflowPunct/>
      <w:autoSpaceDE/>
      <w:autoSpaceDN/>
      <w:adjustRightInd/>
      <w:ind w:left="1418" w:hanging="1418"/>
      <w:jc w:val="both"/>
      <w:textAlignment w:val="auto"/>
    </w:pPr>
    <w:rPr>
      <w:sz w:val="20"/>
    </w:rPr>
  </w:style>
  <w:style w:type="paragraph" w:styleId="Footer">
    <w:name w:val="footer"/>
    <w:basedOn w:val="Normal"/>
    <w:link w:val="FooterChar"/>
    <w:uiPriority w:val="99"/>
    <w:rsid w:val="002063DE"/>
    <w:pPr>
      <w:tabs>
        <w:tab w:val="center" w:pos="4153"/>
        <w:tab w:val="right" w:pos="8306"/>
      </w:tabs>
    </w:pPr>
  </w:style>
  <w:style w:type="character" w:styleId="PageNumber">
    <w:name w:val="page number"/>
    <w:basedOn w:val="DefaultParagraphFont"/>
    <w:rsid w:val="002063DE"/>
  </w:style>
  <w:style w:type="paragraph" w:styleId="PlainText">
    <w:name w:val="Plain Text"/>
    <w:basedOn w:val="Normal"/>
    <w:link w:val="PlainTextChar"/>
    <w:rsid w:val="00F87952"/>
    <w:pPr>
      <w:overflowPunct/>
      <w:autoSpaceDE/>
      <w:autoSpaceDN/>
      <w:adjustRightInd/>
      <w:textAlignment w:val="auto"/>
    </w:pPr>
    <w:rPr>
      <w:rFonts w:ascii="Courier New" w:hAnsi="Courier New" w:cs="Courier New"/>
      <w:sz w:val="20"/>
    </w:rPr>
  </w:style>
  <w:style w:type="character" w:customStyle="1" w:styleId="PlainTextChar">
    <w:name w:val="Plain Text Char"/>
    <w:basedOn w:val="DefaultParagraphFont"/>
    <w:link w:val="PlainText"/>
    <w:rsid w:val="00F87952"/>
    <w:rPr>
      <w:rFonts w:ascii="Courier New" w:hAnsi="Courier New" w:cs="Courier New"/>
      <w:lang w:eastAsia="en-US"/>
    </w:rPr>
  </w:style>
  <w:style w:type="character" w:styleId="Hyperlink">
    <w:name w:val="Hyperlink"/>
    <w:basedOn w:val="DefaultParagraphFont"/>
    <w:rsid w:val="00F87952"/>
    <w:rPr>
      <w:color w:val="0000FF"/>
      <w:u w:val="single"/>
    </w:rPr>
  </w:style>
  <w:style w:type="paragraph" w:styleId="NormalWeb">
    <w:name w:val="Normal (Web)"/>
    <w:basedOn w:val="Normal"/>
    <w:rsid w:val="0029525B"/>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styleId="BodyTextIndent2">
    <w:name w:val="Body Text Indent 2"/>
    <w:basedOn w:val="Normal"/>
    <w:link w:val="BodyTextIndent2Char"/>
    <w:rsid w:val="0029525B"/>
    <w:pPr>
      <w:spacing w:after="120" w:line="480" w:lineRule="auto"/>
      <w:ind w:left="283"/>
    </w:pPr>
  </w:style>
  <w:style w:type="character" w:customStyle="1" w:styleId="BodyTextIndent2Char">
    <w:name w:val="Body Text Indent 2 Char"/>
    <w:basedOn w:val="DefaultParagraphFont"/>
    <w:link w:val="BodyTextIndent2"/>
    <w:rsid w:val="0029525B"/>
    <w:rPr>
      <w:rFonts w:ascii="Arial" w:hAnsi="Arial"/>
      <w:sz w:val="22"/>
      <w:lang w:eastAsia="en-US"/>
    </w:rPr>
  </w:style>
  <w:style w:type="character" w:customStyle="1" w:styleId="Heading2Char">
    <w:name w:val="Heading 2 Char"/>
    <w:basedOn w:val="DefaultParagraphFont"/>
    <w:link w:val="Heading2"/>
    <w:rsid w:val="0041658A"/>
    <w:rPr>
      <w:rFonts w:ascii="Arial" w:hAnsi="Arial" w:cs="Arial"/>
      <w:b/>
      <w:bCs/>
      <w:i/>
      <w:iCs/>
      <w:sz w:val="28"/>
      <w:szCs w:val="28"/>
      <w:lang w:eastAsia="en-US"/>
    </w:rPr>
  </w:style>
  <w:style w:type="character" w:customStyle="1" w:styleId="Heading4Char">
    <w:name w:val="Heading 4 Char"/>
    <w:basedOn w:val="DefaultParagraphFont"/>
    <w:link w:val="Heading4"/>
    <w:rsid w:val="0041658A"/>
    <w:rPr>
      <w:b/>
      <w:bCs/>
      <w:sz w:val="28"/>
      <w:szCs w:val="28"/>
      <w:lang w:eastAsia="en-US"/>
    </w:rPr>
  </w:style>
  <w:style w:type="paragraph" w:styleId="BodyText">
    <w:name w:val="Body Text"/>
    <w:basedOn w:val="Normal"/>
    <w:link w:val="BodyTextChar"/>
    <w:rsid w:val="0041658A"/>
    <w:pPr>
      <w:spacing w:after="120"/>
    </w:pPr>
  </w:style>
  <w:style w:type="character" w:customStyle="1" w:styleId="BodyTextChar">
    <w:name w:val="Body Text Char"/>
    <w:basedOn w:val="DefaultParagraphFont"/>
    <w:link w:val="BodyText"/>
    <w:rsid w:val="0041658A"/>
    <w:rPr>
      <w:rFonts w:ascii="Arial" w:hAnsi="Arial"/>
      <w:sz w:val="22"/>
      <w:lang w:eastAsia="en-US"/>
    </w:rPr>
  </w:style>
  <w:style w:type="character" w:customStyle="1" w:styleId="FooterChar">
    <w:name w:val="Footer Char"/>
    <w:basedOn w:val="DefaultParagraphFont"/>
    <w:link w:val="Footer"/>
    <w:uiPriority w:val="99"/>
    <w:rsid w:val="00735DA4"/>
    <w:rPr>
      <w:rFonts w:ascii="Arial" w:hAnsi="Arial"/>
      <w:sz w:val="22"/>
      <w:lang w:eastAsia="en-US"/>
    </w:rPr>
  </w:style>
  <w:style w:type="character" w:customStyle="1" w:styleId="Heading1Char">
    <w:name w:val="Heading 1 Char"/>
    <w:basedOn w:val="DefaultParagraphFont"/>
    <w:link w:val="Heading1"/>
    <w:rsid w:val="00246741"/>
    <w:rPr>
      <w:rFonts w:ascii="Arial" w:hAnsi="Arial"/>
      <w:b/>
      <w:bCs/>
      <w:iCs/>
      <w:sz w:val="22"/>
      <w:lang w:eastAsia="en-US"/>
    </w:rPr>
  </w:style>
  <w:style w:type="character" w:customStyle="1" w:styleId="Heading3Char">
    <w:name w:val="Heading 3 Char"/>
    <w:basedOn w:val="DefaultParagraphFont"/>
    <w:link w:val="Heading3"/>
    <w:rsid w:val="00246741"/>
    <w:rPr>
      <w:rFonts w:ascii="Arial" w:hAnsi="Arial"/>
      <w:b/>
      <w:bCs/>
      <w:lang w:eastAsia="en-US"/>
    </w:rPr>
  </w:style>
  <w:style w:type="paragraph" w:styleId="BalloonText">
    <w:name w:val="Balloon Text"/>
    <w:basedOn w:val="Normal"/>
    <w:link w:val="BalloonTextChar"/>
    <w:rsid w:val="007F2AD9"/>
    <w:rPr>
      <w:rFonts w:ascii="Tahoma" w:hAnsi="Tahoma" w:cs="Tahoma"/>
      <w:sz w:val="16"/>
      <w:szCs w:val="16"/>
    </w:rPr>
  </w:style>
  <w:style w:type="character" w:customStyle="1" w:styleId="BalloonTextChar">
    <w:name w:val="Balloon Text Char"/>
    <w:basedOn w:val="DefaultParagraphFont"/>
    <w:link w:val="BalloonText"/>
    <w:rsid w:val="007F2AD9"/>
    <w:rPr>
      <w:rFonts w:ascii="Tahoma" w:hAnsi="Tahoma" w:cs="Tahoma"/>
      <w:sz w:val="16"/>
      <w:szCs w:val="16"/>
      <w:lang w:eastAsia="en-US"/>
    </w:rPr>
  </w:style>
  <w:style w:type="character" w:styleId="CommentReference">
    <w:name w:val="annotation reference"/>
    <w:basedOn w:val="DefaultParagraphFont"/>
    <w:rsid w:val="003F3E40"/>
    <w:rPr>
      <w:sz w:val="16"/>
      <w:szCs w:val="16"/>
    </w:rPr>
  </w:style>
  <w:style w:type="paragraph" w:styleId="CommentText">
    <w:name w:val="annotation text"/>
    <w:basedOn w:val="Normal"/>
    <w:link w:val="CommentTextChar"/>
    <w:rsid w:val="003F3E40"/>
    <w:rPr>
      <w:sz w:val="20"/>
    </w:rPr>
  </w:style>
  <w:style w:type="character" w:customStyle="1" w:styleId="CommentTextChar">
    <w:name w:val="Comment Text Char"/>
    <w:basedOn w:val="DefaultParagraphFont"/>
    <w:link w:val="CommentText"/>
    <w:rsid w:val="003F3E40"/>
    <w:rPr>
      <w:rFonts w:ascii="Arial" w:hAnsi="Arial"/>
      <w:lang w:eastAsia="en-US"/>
    </w:rPr>
  </w:style>
  <w:style w:type="paragraph" w:styleId="CommentSubject">
    <w:name w:val="annotation subject"/>
    <w:basedOn w:val="CommentText"/>
    <w:next w:val="CommentText"/>
    <w:link w:val="CommentSubjectChar"/>
    <w:rsid w:val="003F3E40"/>
    <w:rPr>
      <w:b/>
      <w:bCs/>
    </w:rPr>
  </w:style>
  <w:style w:type="character" w:customStyle="1" w:styleId="CommentSubjectChar">
    <w:name w:val="Comment Subject Char"/>
    <w:basedOn w:val="CommentTextChar"/>
    <w:link w:val="CommentSubject"/>
    <w:rsid w:val="003F3E40"/>
    <w:rPr>
      <w:rFonts w:ascii="Arial" w:hAnsi="Arial"/>
      <w:b/>
      <w:bCs/>
      <w:lang w:eastAsia="en-US"/>
    </w:rPr>
  </w:style>
  <w:style w:type="paragraph" w:styleId="ListParagraph">
    <w:name w:val="List Paragraph"/>
    <w:basedOn w:val="Normal"/>
    <w:uiPriority w:val="34"/>
    <w:qFormat/>
    <w:rsid w:val="00F777C2"/>
    <w:pPr>
      <w:ind w:left="720"/>
    </w:pPr>
  </w:style>
  <w:style w:type="character" w:styleId="FollowedHyperlink">
    <w:name w:val="FollowedHyperlink"/>
    <w:basedOn w:val="DefaultParagraphFont"/>
    <w:rsid w:val="00497D50"/>
    <w:rPr>
      <w:color w:val="800080"/>
      <w:u w:val="single"/>
    </w:rPr>
  </w:style>
  <w:style w:type="paragraph" w:styleId="Subtitle">
    <w:name w:val="Subtitle"/>
    <w:basedOn w:val="Normal"/>
    <w:link w:val="SubtitleChar"/>
    <w:qFormat/>
    <w:rsid w:val="0061044D"/>
    <w:pPr>
      <w:pBdr>
        <w:top w:val="single" w:sz="4" w:space="1" w:color="auto"/>
        <w:left w:val="single" w:sz="4" w:space="4" w:color="auto"/>
        <w:bottom w:val="single" w:sz="4" w:space="1" w:color="auto"/>
        <w:right w:val="single" w:sz="4" w:space="0" w:color="auto"/>
      </w:pBdr>
      <w:shd w:val="clear" w:color="auto" w:fill="339966"/>
      <w:overflowPunct/>
      <w:autoSpaceDE/>
      <w:autoSpaceDN/>
      <w:adjustRightInd/>
      <w:jc w:val="center"/>
      <w:textAlignment w:val="auto"/>
    </w:pPr>
    <w:rPr>
      <w:rFonts w:ascii="Comic Sans MS" w:hAnsi="Comic Sans MS"/>
      <w:sz w:val="28"/>
    </w:rPr>
  </w:style>
  <w:style w:type="character" w:customStyle="1" w:styleId="SubtitleChar">
    <w:name w:val="Subtitle Char"/>
    <w:basedOn w:val="DefaultParagraphFont"/>
    <w:link w:val="Subtitle"/>
    <w:rsid w:val="0061044D"/>
    <w:rPr>
      <w:rFonts w:ascii="Comic Sans MS" w:hAnsi="Comic Sans MS"/>
      <w:sz w:val="28"/>
      <w:shd w:val="clear" w:color="auto" w:fill="339966"/>
      <w:lang w:eastAsia="en-US"/>
    </w:rPr>
  </w:style>
  <w:style w:type="paragraph" w:styleId="FootnoteText">
    <w:name w:val="footnote text"/>
    <w:basedOn w:val="Normal"/>
    <w:link w:val="FootnoteTextChar"/>
    <w:rsid w:val="00405E7E"/>
    <w:rPr>
      <w:sz w:val="20"/>
    </w:rPr>
  </w:style>
  <w:style w:type="character" w:customStyle="1" w:styleId="FootnoteTextChar">
    <w:name w:val="Footnote Text Char"/>
    <w:basedOn w:val="DefaultParagraphFont"/>
    <w:link w:val="FootnoteText"/>
    <w:rsid w:val="00405E7E"/>
    <w:rPr>
      <w:rFonts w:ascii="Arial" w:hAnsi="Arial"/>
      <w:lang w:eastAsia="en-US"/>
    </w:rPr>
  </w:style>
  <w:style w:type="character" w:styleId="FootnoteReference">
    <w:name w:val="footnote reference"/>
    <w:basedOn w:val="DefaultParagraphFont"/>
    <w:rsid w:val="00405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portnhsfraud.nhs.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portnhsfraud.nhs.uk/favicon.ico" TargetMode="External"/><Relationship Id="rId17" Type="http://schemas.openxmlformats.org/officeDocument/2006/relationships/hyperlink" Target="http://www.nhsbsa.nhs.uk/Protect.aspx" TargetMode="External"/><Relationship Id="rId2" Type="http://schemas.openxmlformats.org/officeDocument/2006/relationships/numbering" Target="numbering.xml"/><Relationship Id="rId16" Type="http://schemas.openxmlformats.org/officeDocument/2006/relationships/hyperlink" Target="http://www.legislation.gov.uk/ukpga/2010/23/content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mcenaney@oxfordhealth.nhs.uk" TargetMode="External"/><Relationship Id="rId5" Type="http://schemas.openxmlformats.org/officeDocument/2006/relationships/webSettings" Target="webSettings.xml"/><Relationship Id="rId15" Type="http://schemas.openxmlformats.org/officeDocument/2006/relationships/hyperlink" Target="http://www.legislation.gov.uk/ukpga/2006/35/contents" TargetMode="External"/><Relationship Id="rId10" Type="http://schemas.openxmlformats.org/officeDocument/2006/relationships/hyperlink" Target="mailto:gareth.robins@tiaa.co.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caw.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6D49-53E7-4361-8EAD-9B8DD1CC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5637</Words>
  <Characters>32019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37581</CharactersWithSpaces>
  <SharedDoc>false</SharedDoc>
  <HLinks>
    <vt:vector size="30" baseType="variant">
      <vt:variant>
        <vt:i4>2949135</vt:i4>
      </vt:variant>
      <vt:variant>
        <vt:i4>12</vt:i4>
      </vt:variant>
      <vt:variant>
        <vt:i4>0</vt:i4>
      </vt:variant>
      <vt:variant>
        <vt:i4>5</vt:i4>
      </vt:variant>
      <vt:variant>
        <vt:lpwstr>mailto:eva.ferlez@oxfordhealth.nhs.uk</vt:lpwstr>
      </vt:variant>
      <vt:variant>
        <vt:lpwstr/>
      </vt:variant>
      <vt:variant>
        <vt:i4>7864378</vt:i4>
      </vt:variant>
      <vt:variant>
        <vt:i4>9</vt:i4>
      </vt:variant>
      <vt:variant>
        <vt:i4>0</vt:i4>
      </vt:variant>
      <vt:variant>
        <vt:i4>5</vt:i4>
      </vt:variant>
      <vt:variant>
        <vt:lpwstr>http://www.hmcourts-service.gov.uk/</vt:lpwstr>
      </vt:variant>
      <vt:variant>
        <vt:lpwstr/>
      </vt:variant>
      <vt:variant>
        <vt:i4>7667766</vt:i4>
      </vt:variant>
      <vt:variant>
        <vt:i4>6</vt:i4>
      </vt:variant>
      <vt:variant>
        <vt:i4>0</vt:i4>
      </vt:variant>
      <vt:variant>
        <vt:i4>5</vt:i4>
      </vt:variant>
      <vt:variant>
        <vt:lpwstr>http://www.justice.gov.uk/</vt:lpwstr>
      </vt:variant>
      <vt:variant>
        <vt:lpwstr/>
      </vt:variant>
      <vt:variant>
        <vt:i4>5832725</vt:i4>
      </vt:variant>
      <vt:variant>
        <vt:i4>3</vt:i4>
      </vt:variant>
      <vt:variant>
        <vt:i4>0</vt:i4>
      </vt:variant>
      <vt:variant>
        <vt:i4>5</vt:i4>
      </vt:variant>
      <vt:variant>
        <vt:lpwstr>http://www.nhsla.com/</vt:lpwstr>
      </vt:variant>
      <vt:variant>
        <vt:lpwstr/>
      </vt:variant>
      <vt:variant>
        <vt:i4>5832725</vt:i4>
      </vt:variant>
      <vt:variant>
        <vt:i4>0</vt:i4>
      </vt:variant>
      <vt:variant>
        <vt:i4>0</vt:i4>
      </vt:variant>
      <vt:variant>
        <vt:i4>5</vt:i4>
      </vt:variant>
      <vt:variant>
        <vt:lpwstr>http://www.nhsla.com/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amanda.freed</dc:creator>
  <cp:lastModifiedBy>Gareth Robins</cp:lastModifiedBy>
  <cp:revision>5</cp:revision>
  <cp:lastPrinted>2011-10-27T17:36:00Z</cp:lastPrinted>
  <dcterms:created xsi:type="dcterms:W3CDTF">2016-01-15T15:55:00Z</dcterms:created>
  <dcterms:modified xsi:type="dcterms:W3CDTF">2016-01-18T19:00:00Z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InSummaryView">
    <vt:lpwstr>Yes</vt:lpwstr>
  </property>
  <property fmtid="{D5CDD505-2E9C-101B-9397-08002B2CF9AE}" pid="3" name="OrgVersion">
    <vt:lpwstr>01/2010</vt:lpwstr>
  </property>
  <property fmtid="{D5CDD505-2E9C-101B-9397-08002B2CF9AE}" pid="4" name="DocumentStatus">
    <vt:lpwstr>Published</vt:lpwstr>
  </property>
  <property fmtid="{D5CDD505-2E9C-101B-9397-08002B2CF9AE}" pid="5" name="DocAuthor">
    <vt:lpwstr>Helen Millar</vt:lpwstr>
  </property>
  <property fmtid="{D5CDD505-2E9C-101B-9397-08002B2CF9AE}" pid="6" name="DocReviewDate">
    <vt:lpwstr/>
  </property>
  <property fmtid="{D5CDD505-2E9C-101B-9397-08002B2CF9AE}" pid="7" name="ReasonForModification">
    <vt:lpwstr>revised version</vt:lpwstr>
  </property>
  <property fmtid="{D5CDD505-2E9C-101B-9397-08002B2CF9AE}" pid="8" name="DocAuthorEmail">
    <vt:lpwstr/>
  </property>
  <property fmtid="{D5CDD505-2E9C-101B-9397-08002B2CF9AE}" pid="9" name="Archive">
    <vt:lpwstr>0</vt:lpwstr>
  </property>
  <property fmtid="{D5CDD505-2E9C-101B-9397-08002B2CF9AE}" pid="10" name="ContentType">
    <vt:lpwstr>Document</vt:lpwstr>
  </property>
  <property fmtid="{D5CDD505-2E9C-101B-9397-08002B2CF9AE}" pid="11" name="PublishingExpirationDate">
    <vt:lpwstr/>
  </property>
  <property fmtid="{D5CDD505-2E9C-101B-9397-08002B2CF9AE}" pid="12" name="PublishingStartDate">
    <vt:lpwstr/>
  </property>
</Properties>
</file>