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121633">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Pr="00967283" w:rsidRDefault="00967283">
                            <w:pPr>
                              <w:jc w:val="center"/>
                              <w:rPr>
                                <w:rFonts w:ascii="Arial" w:hAnsi="Arial" w:cs="Arial"/>
                                <w:b/>
                              </w:rPr>
                            </w:pPr>
                            <w:r w:rsidRPr="00967283">
                              <w:rPr>
                                <w:rFonts w:ascii="Arial" w:hAnsi="Arial" w:cs="Arial"/>
                                <w:b/>
                              </w:rPr>
                              <w:t>Appendix</w:t>
                            </w:r>
                            <w:r w:rsidR="001B3CC2">
                              <w:rPr>
                                <w:rFonts w:ascii="Arial" w:hAnsi="Arial" w:cs="Arial"/>
                                <w:b/>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Pr="00967283" w:rsidRDefault="00967283">
                      <w:pPr>
                        <w:jc w:val="center"/>
                        <w:rPr>
                          <w:rFonts w:ascii="Arial" w:hAnsi="Arial" w:cs="Arial"/>
                          <w:b/>
                        </w:rPr>
                      </w:pPr>
                      <w:r w:rsidRPr="00967283">
                        <w:rPr>
                          <w:rFonts w:ascii="Arial" w:hAnsi="Arial" w:cs="Arial"/>
                          <w:b/>
                        </w:rPr>
                        <w:t>Appendix</w:t>
                      </w:r>
                      <w:r w:rsidR="001B3CC2">
                        <w:rPr>
                          <w:rFonts w:ascii="Arial" w:hAnsi="Arial" w:cs="Arial"/>
                          <w:b/>
                        </w:rPr>
                        <w:t xml:space="preserve"> 1</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C7658D">
      <w:pPr>
        <w:jc w:val="center"/>
        <w:rPr>
          <w:rFonts w:ascii="Arial" w:hAnsi="Arial" w:cs="Arial"/>
          <w:b/>
        </w:rPr>
      </w:pPr>
      <w:r>
        <w:rPr>
          <w:rFonts w:ascii="Arial" w:hAnsi="Arial" w:cs="Arial"/>
          <w:b/>
        </w:rPr>
        <w:t>2</w:t>
      </w:r>
      <w:r w:rsidR="009536C9">
        <w:rPr>
          <w:rFonts w:ascii="Arial" w:hAnsi="Arial" w:cs="Arial"/>
          <w:b/>
        </w:rPr>
        <w:t>3</w:t>
      </w:r>
      <w:r w:rsidR="009536C9" w:rsidRPr="009536C9">
        <w:rPr>
          <w:rFonts w:ascii="Arial" w:hAnsi="Arial" w:cs="Arial"/>
          <w:b/>
          <w:vertAlign w:val="superscript"/>
        </w:rPr>
        <w:t>rd</w:t>
      </w:r>
      <w:r w:rsidR="009536C9">
        <w:rPr>
          <w:rFonts w:ascii="Arial" w:hAnsi="Arial" w:cs="Arial"/>
          <w:b/>
        </w:rPr>
        <w:t xml:space="preserve"> March</w:t>
      </w:r>
      <w:r w:rsidR="008A65DF">
        <w:rPr>
          <w:rFonts w:ascii="Arial" w:hAnsi="Arial" w:cs="Arial"/>
          <w:b/>
        </w:rPr>
        <w:t xml:space="preserve"> 2016</w:t>
      </w:r>
    </w:p>
    <w:p w:rsidR="005D3499" w:rsidRDefault="005D3499">
      <w:pPr>
        <w:jc w:val="center"/>
        <w:rPr>
          <w:rFonts w:ascii="Arial" w:hAnsi="Arial" w:cs="Arial"/>
          <w:b/>
        </w:rPr>
      </w:pPr>
    </w:p>
    <w:p w:rsidR="005D3499" w:rsidRDefault="008A65DF" w:rsidP="00FD2279">
      <w:pPr>
        <w:jc w:val="center"/>
        <w:rPr>
          <w:rFonts w:ascii="Arial" w:hAnsi="Arial" w:cs="Arial"/>
          <w:b/>
        </w:rPr>
      </w:pPr>
      <w:r>
        <w:rPr>
          <w:rFonts w:ascii="Arial" w:hAnsi="Arial" w:cs="Arial"/>
          <w:b/>
        </w:rPr>
        <w:t>Legal</w:t>
      </w:r>
      <w:r w:rsidR="00CF47D9">
        <w:rPr>
          <w:rFonts w:ascii="Arial" w:hAnsi="Arial" w:cs="Arial"/>
          <w:b/>
        </w:rPr>
        <w:t>, Regulatory</w:t>
      </w:r>
      <w:r>
        <w:rPr>
          <w:rFonts w:ascii="Arial" w:hAnsi="Arial" w:cs="Arial"/>
          <w:b/>
        </w:rPr>
        <w:t xml:space="preserve"> and Policy Update</w:t>
      </w:r>
    </w:p>
    <w:p w:rsidR="005D3499" w:rsidRDefault="005D3499">
      <w:pPr>
        <w:rPr>
          <w:rFonts w:ascii="Arial" w:hAnsi="Arial" w:cs="Arial"/>
          <w:b/>
        </w:rPr>
      </w:pPr>
    </w:p>
    <w:p w:rsidR="00292613" w:rsidRPr="00D22BC8" w:rsidRDefault="00292613" w:rsidP="00292613">
      <w:pPr>
        <w:rPr>
          <w:rFonts w:ascii="Arial" w:hAnsi="Arial" w:cs="Arial"/>
          <w:b/>
          <w:sz w:val="20"/>
          <w:szCs w:val="20"/>
          <w:u w:val="single"/>
        </w:rPr>
      </w:pPr>
      <w:r w:rsidRPr="00D22BC8">
        <w:rPr>
          <w:rFonts w:ascii="Arial" w:hAnsi="Arial" w:cs="Arial"/>
          <w:b/>
          <w:sz w:val="20"/>
          <w:szCs w:val="20"/>
          <w:u w:val="single"/>
        </w:rPr>
        <w:t>For:</w:t>
      </w:r>
      <w:r w:rsidR="008A65DF" w:rsidRPr="00D22BC8">
        <w:rPr>
          <w:rFonts w:ascii="Arial" w:hAnsi="Arial" w:cs="Arial"/>
          <w:b/>
          <w:sz w:val="20"/>
          <w:szCs w:val="20"/>
          <w:u w:val="single"/>
        </w:rPr>
        <w:t xml:space="preserve"> </w:t>
      </w:r>
      <w:r w:rsidRPr="00D22BC8">
        <w:rPr>
          <w:rFonts w:ascii="Arial" w:hAnsi="Arial" w:cs="Arial"/>
          <w:b/>
          <w:sz w:val="20"/>
          <w:szCs w:val="20"/>
          <w:u w:val="single"/>
        </w:rPr>
        <w:t>Information</w:t>
      </w:r>
    </w:p>
    <w:p w:rsidR="00292613" w:rsidRPr="00D22BC8" w:rsidRDefault="00292613">
      <w:pPr>
        <w:rPr>
          <w:rFonts w:ascii="Arial" w:hAnsi="Arial" w:cs="Arial"/>
          <w:b/>
          <w:sz w:val="20"/>
          <w:szCs w:val="20"/>
        </w:rPr>
      </w:pPr>
    </w:p>
    <w:p w:rsidR="007A2CF0" w:rsidRPr="00D22BC8" w:rsidRDefault="007A2CF0" w:rsidP="007A2CF0">
      <w:pPr>
        <w:jc w:val="both"/>
        <w:rPr>
          <w:rFonts w:ascii="Arial" w:hAnsi="Arial" w:cs="Arial"/>
          <w:b/>
          <w:sz w:val="20"/>
          <w:szCs w:val="20"/>
        </w:rPr>
      </w:pPr>
      <w:r w:rsidRPr="00D22BC8">
        <w:rPr>
          <w:rFonts w:ascii="Arial" w:hAnsi="Arial" w:cs="Arial"/>
          <w:b/>
          <w:sz w:val="20"/>
          <w:szCs w:val="20"/>
        </w:rPr>
        <w:t>Executive Summary</w:t>
      </w:r>
    </w:p>
    <w:p w:rsidR="008A65DF" w:rsidRPr="00D22BC8" w:rsidRDefault="008A65DF" w:rsidP="008A65DF">
      <w:pPr>
        <w:jc w:val="both"/>
        <w:rPr>
          <w:rFonts w:ascii="Arial" w:hAnsi="Arial" w:cs="Arial"/>
          <w:b/>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 xml:space="preserve">This is the monthly report to inform the Board of Directors on recent regulation and compliance guidance issued by bodies such as Monitor, the Care Quality Commission, </w:t>
      </w:r>
      <w:r w:rsidR="006E06A9" w:rsidRPr="00D22BC8">
        <w:rPr>
          <w:rFonts w:ascii="Arial" w:hAnsi="Arial" w:cs="Arial"/>
          <w:sz w:val="20"/>
          <w:szCs w:val="20"/>
        </w:rPr>
        <w:t>NHS England</w:t>
      </w:r>
      <w:r w:rsidR="006E06A9">
        <w:rPr>
          <w:rFonts w:ascii="Arial" w:hAnsi="Arial" w:cs="Arial"/>
          <w:sz w:val="20"/>
          <w:szCs w:val="20"/>
        </w:rPr>
        <w:t>,</w:t>
      </w:r>
      <w:r w:rsidR="006E06A9" w:rsidRPr="00D22BC8">
        <w:rPr>
          <w:rFonts w:ascii="Arial" w:hAnsi="Arial" w:cs="Arial"/>
          <w:sz w:val="20"/>
          <w:szCs w:val="20"/>
        </w:rPr>
        <w:t xml:space="preserve"> </w:t>
      </w:r>
      <w:r w:rsidRPr="00D22BC8">
        <w:rPr>
          <w:rFonts w:ascii="Arial" w:hAnsi="Arial" w:cs="Arial"/>
          <w:sz w:val="20"/>
          <w:szCs w:val="20"/>
        </w:rPr>
        <w:t xml:space="preserve">NHS </w:t>
      </w:r>
      <w:r w:rsidR="002A5307">
        <w:rPr>
          <w:rFonts w:ascii="Arial" w:hAnsi="Arial" w:cs="Arial"/>
          <w:sz w:val="20"/>
          <w:szCs w:val="20"/>
        </w:rPr>
        <w:t xml:space="preserve">Trust </w:t>
      </w:r>
      <w:r w:rsidRPr="00D22BC8">
        <w:rPr>
          <w:rFonts w:ascii="Arial" w:hAnsi="Arial" w:cs="Arial"/>
          <w:sz w:val="20"/>
          <w:szCs w:val="20"/>
        </w:rPr>
        <w:t>Development Authority and other relevant bodies where their actions have a consequential impact on the Trust or an awareness of the change/impending change is relevant</w:t>
      </w:r>
      <w:r w:rsidR="0096117D">
        <w:rPr>
          <w:rFonts w:ascii="Arial" w:hAnsi="Arial" w:cs="Arial"/>
          <w:sz w:val="20"/>
          <w:szCs w:val="20"/>
        </w:rPr>
        <w:t xml:space="preserve"> to the Board of Directors.  This</w:t>
      </w:r>
      <w:r w:rsidRPr="00D22BC8">
        <w:rPr>
          <w:rFonts w:ascii="Arial" w:hAnsi="Arial" w:cs="Arial"/>
          <w:sz w:val="20"/>
          <w:szCs w:val="20"/>
        </w:rPr>
        <w:t xml:space="preserve"> report covers the period </w:t>
      </w:r>
      <w:r w:rsidR="00FC72E4">
        <w:rPr>
          <w:rFonts w:ascii="Arial" w:hAnsi="Arial" w:cs="Arial"/>
          <w:sz w:val="20"/>
          <w:szCs w:val="20"/>
        </w:rPr>
        <w:t xml:space="preserve">from </w:t>
      </w:r>
      <w:r w:rsidR="0096117D">
        <w:rPr>
          <w:rFonts w:ascii="Arial" w:hAnsi="Arial" w:cs="Arial"/>
          <w:sz w:val="20"/>
          <w:szCs w:val="20"/>
        </w:rPr>
        <w:t>mid-February 2016</w:t>
      </w:r>
      <w:r w:rsidR="009536C9">
        <w:rPr>
          <w:rFonts w:ascii="Arial" w:hAnsi="Arial" w:cs="Arial"/>
          <w:sz w:val="20"/>
          <w:szCs w:val="20"/>
        </w:rPr>
        <w:t xml:space="preserve"> to mid-March 2016.</w:t>
      </w:r>
    </w:p>
    <w:p w:rsidR="008A65DF" w:rsidRPr="00D22BC8" w:rsidRDefault="008A65DF" w:rsidP="006E06A9">
      <w:pPr>
        <w:jc w:val="both"/>
        <w:rPr>
          <w:rFonts w:ascii="Arial" w:hAnsi="Arial" w:cs="Arial"/>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 xml:space="preserve">The Update Report is designed to reflect changes in legislation, guidance, the structure of the NHS, and government policy and direction on health and social care. A summation of the change is provided as a summary for each item. The Board of Directors is asked to consider and note the content of the report and where relevant, members should each be satisfied of their individual and collective assurances that the internal controls in place to deliver compliance against the Trust’s obligations are effective.  Chairs of Board Committees should consider whether more detailed assurances relevant to their committees, </w:t>
      </w:r>
      <w:r w:rsidR="002A5307">
        <w:rPr>
          <w:rFonts w:ascii="Arial" w:hAnsi="Arial" w:cs="Arial"/>
          <w:sz w:val="20"/>
          <w:szCs w:val="20"/>
        </w:rPr>
        <w:t>are</w:t>
      </w:r>
      <w:r w:rsidR="002A5307" w:rsidRPr="00D22BC8">
        <w:rPr>
          <w:rFonts w:ascii="Arial" w:hAnsi="Arial" w:cs="Arial"/>
          <w:sz w:val="20"/>
          <w:szCs w:val="20"/>
        </w:rPr>
        <w:t xml:space="preserve"> </w:t>
      </w:r>
      <w:r w:rsidRPr="00D22BC8">
        <w:rPr>
          <w:rFonts w:ascii="Arial" w:hAnsi="Arial" w:cs="Arial"/>
          <w:sz w:val="20"/>
          <w:szCs w:val="20"/>
        </w:rPr>
        <w:t xml:space="preserve">necessary, </w:t>
      </w:r>
      <w:proofErr w:type="spellStart"/>
      <w:r w:rsidRPr="00D22BC8">
        <w:rPr>
          <w:rFonts w:ascii="Arial" w:hAnsi="Arial" w:cs="Arial"/>
          <w:sz w:val="20"/>
          <w:szCs w:val="20"/>
        </w:rPr>
        <w:t>utilising</w:t>
      </w:r>
      <w:proofErr w:type="spellEnd"/>
      <w:r w:rsidRPr="00D22BC8">
        <w:rPr>
          <w:rFonts w:ascii="Arial" w:hAnsi="Arial" w:cs="Arial"/>
          <w:sz w:val="20"/>
          <w:szCs w:val="20"/>
        </w:rPr>
        <w:t xml:space="preserve"> this report as a constructive stimulant to inform the c</w:t>
      </w:r>
      <w:r w:rsidR="001B3CC2">
        <w:rPr>
          <w:rFonts w:ascii="Arial" w:hAnsi="Arial" w:cs="Arial"/>
          <w:sz w:val="20"/>
          <w:szCs w:val="20"/>
        </w:rPr>
        <w:t>omposition</w:t>
      </w:r>
      <w:r w:rsidRPr="00D22BC8">
        <w:rPr>
          <w:rFonts w:ascii="Arial" w:hAnsi="Arial" w:cs="Arial"/>
          <w:sz w:val="20"/>
          <w:szCs w:val="20"/>
        </w:rPr>
        <w:t xml:space="preserve"> of meeting agendas and reporting focus as necessary or appropriate.</w:t>
      </w:r>
    </w:p>
    <w:p w:rsidR="008A65DF" w:rsidRPr="00D22BC8" w:rsidRDefault="008A65DF" w:rsidP="006E06A9">
      <w:pPr>
        <w:jc w:val="both"/>
        <w:rPr>
          <w:rFonts w:ascii="Arial" w:hAnsi="Arial" w:cs="Arial"/>
          <w:sz w:val="20"/>
          <w:szCs w:val="20"/>
        </w:rPr>
      </w:pPr>
    </w:p>
    <w:p w:rsidR="008A65DF" w:rsidRPr="00D22BC8" w:rsidRDefault="00241272" w:rsidP="006E06A9">
      <w:pPr>
        <w:jc w:val="both"/>
        <w:rPr>
          <w:rFonts w:ascii="Arial" w:hAnsi="Arial" w:cs="Arial"/>
          <w:sz w:val="20"/>
          <w:szCs w:val="20"/>
        </w:rPr>
      </w:pPr>
      <w:r>
        <w:rPr>
          <w:rFonts w:ascii="Arial" w:hAnsi="Arial" w:cs="Arial"/>
          <w:sz w:val="20"/>
          <w:szCs w:val="20"/>
        </w:rPr>
        <w:t xml:space="preserve">As Chief Executive I will make certain </w:t>
      </w:r>
      <w:r w:rsidR="008A65DF" w:rsidRPr="00D22BC8">
        <w:rPr>
          <w:rFonts w:ascii="Arial" w:hAnsi="Arial" w:cs="Arial"/>
          <w:sz w:val="20"/>
          <w:szCs w:val="20"/>
        </w:rPr>
        <w:t>Executive Directors</w:t>
      </w:r>
      <w:r>
        <w:rPr>
          <w:rFonts w:ascii="Arial" w:hAnsi="Arial" w:cs="Arial"/>
          <w:sz w:val="20"/>
          <w:szCs w:val="20"/>
        </w:rPr>
        <w:t xml:space="preserve"> are aware of the changes relevant to their portfolios and</w:t>
      </w:r>
      <w:r w:rsidR="008A65DF" w:rsidRPr="00D22BC8">
        <w:rPr>
          <w:rFonts w:ascii="Arial" w:hAnsi="Arial" w:cs="Arial"/>
          <w:sz w:val="20"/>
          <w:szCs w:val="20"/>
        </w:rPr>
        <w:t xml:space="preserve"> will </w:t>
      </w:r>
      <w:r>
        <w:rPr>
          <w:rFonts w:ascii="Arial" w:hAnsi="Arial" w:cs="Arial"/>
          <w:sz w:val="20"/>
          <w:szCs w:val="20"/>
        </w:rPr>
        <w:t>take</w:t>
      </w:r>
      <w:r w:rsidR="008A65DF" w:rsidRPr="00D22BC8">
        <w:rPr>
          <w:rFonts w:ascii="Arial" w:hAnsi="Arial" w:cs="Arial"/>
          <w:sz w:val="20"/>
          <w:szCs w:val="20"/>
        </w:rPr>
        <w:t xml:space="preserve"> forward any key actions arising from the Legal</w:t>
      </w:r>
      <w:r w:rsidR="00CF47D9">
        <w:rPr>
          <w:rFonts w:ascii="Arial" w:hAnsi="Arial" w:cs="Arial"/>
          <w:sz w:val="20"/>
          <w:szCs w:val="20"/>
        </w:rPr>
        <w:t>, Regulatory</w:t>
      </w:r>
      <w:r w:rsidR="008A65DF" w:rsidRPr="00D22BC8">
        <w:rPr>
          <w:rFonts w:ascii="Arial" w:hAnsi="Arial" w:cs="Arial"/>
          <w:sz w:val="20"/>
          <w:szCs w:val="20"/>
        </w:rPr>
        <w:t xml:space="preserve"> </w:t>
      </w:r>
      <w:r w:rsidR="00CF47D9">
        <w:rPr>
          <w:rFonts w:ascii="Arial" w:hAnsi="Arial" w:cs="Arial"/>
          <w:sz w:val="20"/>
          <w:szCs w:val="20"/>
        </w:rPr>
        <w:t>and</w:t>
      </w:r>
      <w:r w:rsidR="008A65DF" w:rsidRPr="00D22BC8">
        <w:rPr>
          <w:rFonts w:ascii="Arial" w:hAnsi="Arial" w:cs="Arial"/>
          <w:sz w:val="20"/>
          <w:szCs w:val="20"/>
        </w:rPr>
        <w:t xml:space="preserve"> Policy Updates</w:t>
      </w:r>
      <w:r>
        <w:rPr>
          <w:rFonts w:ascii="Arial" w:hAnsi="Arial" w:cs="Arial"/>
          <w:sz w:val="20"/>
          <w:szCs w:val="20"/>
        </w:rPr>
        <w:t>.</w:t>
      </w:r>
      <w:r w:rsidR="00EE3E09" w:rsidRPr="00D22BC8">
        <w:rPr>
          <w:rFonts w:ascii="Arial" w:hAnsi="Arial" w:cs="Arial"/>
          <w:sz w:val="20"/>
          <w:szCs w:val="20"/>
        </w:rPr>
        <w:t xml:space="preserve"> </w:t>
      </w:r>
      <w:r>
        <w:rPr>
          <w:rFonts w:ascii="Arial" w:hAnsi="Arial" w:cs="Arial"/>
          <w:sz w:val="20"/>
          <w:szCs w:val="20"/>
        </w:rPr>
        <w:t>P</w:t>
      </w:r>
      <w:r w:rsidR="008A65DF" w:rsidRPr="00D22BC8">
        <w:rPr>
          <w:rFonts w:ascii="Arial" w:hAnsi="Arial" w:cs="Arial"/>
          <w:sz w:val="20"/>
          <w:szCs w:val="20"/>
        </w:rPr>
        <w:t>rogress updates on any relevant actions will be reported to the Board of Directors, as pertinent and appropriate.</w:t>
      </w:r>
    </w:p>
    <w:p w:rsidR="008A65DF" w:rsidRPr="00D22BC8" w:rsidRDefault="008A65DF" w:rsidP="006E06A9">
      <w:pPr>
        <w:jc w:val="both"/>
        <w:rPr>
          <w:rFonts w:ascii="Arial" w:hAnsi="Arial" w:cs="Arial"/>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The Director of Corporate Affairs will continue to develop or enhance internal control mechanisms to support the Trust in complying and being able to evidence compliance with relevant mandatory frameworks/obligations.</w:t>
      </w:r>
    </w:p>
    <w:p w:rsidR="008A65DF" w:rsidRDefault="008A65DF" w:rsidP="008A65DF">
      <w:pPr>
        <w:jc w:val="both"/>
        <w:rPr>
          <w:rFonts w:ascii="Arial" w:hAnsi="Arial" w:cs="Arial"/>
          <w:sz w:val="20"/>
          <w:szCs w:val="20"/>
        </w:rPr>
      </w:pPr>
    </w:p>
    <w:p w:rsidR="00270459" w:rsidRPr="00D22BC8" w:rsidRDefault="00270459" w:rsidP="008A65DF">
      <w:pPr>
        <w:jc w:val="both"/>
        <w:rPr>
          <w:rFonts w:ascii="Arial" w:hAnsi="Arial" w:cs="Arial"/>
          <w:sz w:val="20"/>
          <w:szCs w:val="20"/>
        </w:rPr>
      </w:pPr>
    </w:p>
    <w:p w:rsidR="005D3499" w:rsidRPr="00D22BC8" w:rsidRDefault="005D3499">
      <w:pPr>
        <w:jc w:val="both"/>
        <w:rPr>
          <w:rFonts w:ascii="Arial" w:hAnsi="Arial" w:cs="Arial"/>
          <w:b/>
          <w:sz w:val="20"/>
          <w:szCs w:val="20"/>
        </w:rPr>
      </w:pPr>
    </w:p>
    <w:p w:rsidR="007A1BDD" w:rsidRDefault="007A1BDD"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241272">
      <w:pPr>
        <w:ind w:left="720"/>
        <w:jc w:val="right"/>
        <w:rPr>
          <w:rFonts w:ascii="Arial" w:hAnsi="Arial" w:cs="Arial"/>
          <w:b/>
          <w:sz w:val="20"/>
          <w:szCs w:val="20"/>
        </w:rPr>
      </w:pPr>
      <w:r>
        <w:rPr>
          <w:rFonts w:ascii="Arial" w:hAnsi="Arial" w:cs="Arial"/>
          <w:b/>
          <w:sz w:val="20"/>
          <w:szCs w:val="20"/>
        </w:rPr>
        <w:lastRenderedPageBreak/>
        <w:t>ADDENDUM TO CHIEF EXECUTIVE REPORT</w:t>
      </w:r>
    </w:p>
    <w:p w:rsidR="00241272" w:rsidRDefault="00241272" w:rsidP="00DD7BCE">
      <w:pPr>
        <w:ind w:left="720"/>
        <w:jc w:val="both"/>
        <w:rPr>
          <w:rFonts w:ascii="Arial" w:hAnsi="Arial" w:cs="Arial"/>
          <w:b/>
          <w:sz w:val="20"/>
          <w:szCs w:val="20"/>
        </w:rPr>
      </w:pPr>
    </w:p>
    <w:p w:rsidR="00DD7BCE" w:rsidRPr="005B3548" w:rsidRDefault="00DD7BCE" w:rsidP="00241272">
      <w:pPr>
        <w:ind w:left="720"/>
        <w:jc w:val="center"/>
        <w:rPr>
          <w:rFonts w:ascii="Arial" w:hAnsi="Arial" w:cs="Arial"/>
          <w:b/>
          <w:sz w:val="20"/>
          <w:szCs w:val="20"/>
        </w:rPr>
      </w:pPr>
      <w:r w:rsidRPr="005B3548">
        <w:rPr>
          <w:rFonts w:ascii="Arial" w:hAnsi="Arial" w:cs="Arial"/>
          <w:b/>
          <w:sz w:val="20"/>
          <w:szCs w:val="20"/>
        </w:rPr>
        <w:t>LEGAL, REGULATORY AND POLICY UPDATE REPORT</w:t>
      </w:r>
    </w:p>
    <w:p w:rsidR="005B3548" w:rsidRPr="00DD7BCE" w:rsidRDefault="005B3548" w:rsidP="00DD7BCE">
      <w:pPr>
        <w:ind w:left="720"/>
        <w:jc w:val="both"/>
        <w:rPr>
          <w:rFonts w:ascii="Arial" w:hAnsi="Arial" w:cs="Arial"/>
          <w:sz w:val="20"/>
          <w:szCs w:val="20"/>
        </w:rPr>
      </w:pPr>
    </w:p>
    <w:p w:rsidR="00DD7BCE" w:rsidRPr="00A015A5" w:rsidRDefault="00DD7BCE" w:rsidP="00DD7BCE">
      <w:pPr>
        <w:ind w:left="720"/>
        <w:jc w:val="both"/>
        <w:rPr>
          <w:rFonts w:asciiTheme="minorHAnsi" w:hAnsiTheme="minorHAnsi" w:cs="Arial"/>
          <w:b/>
          <w:sz w:val="22"/>
          <w:szCs w:val="22"/>
        </w:rPr>
      </w:pPr>
      <w:r w:rsidRPr="00A015A5">
        <w:rPr>
          <w:rFonts w:asciiTheme="minorHAnsi" w:hAnsiTheme="minorHAnsi" w:cs="Arial"/>
          <w:b/>
          <w:sz w:val="22"/>
          <w:szCs w:val="22"/>
        </w:rPr>
        <w:t>1 PURPOSE OF REPORT</w:t>
      </w:r>
    </w:p>
    <w:p w:rsidR="00DD7BCE" w:rsidRPr="00A015A5" w:rsidRDefault="00DD7BCE" w:rsidP="00DD7BCE">
      <w:pPr>
        <w:ind w:left="720"/>
        <w:jc w:val="both"/>
        <w:rPr>
          <w:rFonts w:asciiTheme="minorHAnsi" w:hAnsiTheme="minorHAnsi" w:cs="Arial"/>
          <w:sz w:val="22"/>
          <w:szCs w:val="22"/>
        </w:rPr>
      </w:pPr>
      <w:r w:rsidRPr="00A015A5">
        <w:rPr>
          <w:rFonts w:asciiTheme="minorHAnsi" w:hAnsiTheme="minorHAnsi" w:cs="Arial"/>
          <w:sz w:val="22"/>
          <w:szCs w:val="22"/>
        </w:rPr>
        <w:t xml:space="preserve">This report provides an update to inform the Board of Directors on recent regulation and compliance guidance issued by such as Monitor, NHS England, the Care Quality Commission, NHS </w:t>
      </w:r>
      <w:r w:rsidR="00CF47D9" w:rsidRPr="00A015A5">
        <w:rPr>
          <w:rFonts w:asciiTheme="minorHAnsi" w:hAnsiTheme="minorHAnsi" w:cs="Arial"/>
          <w:sz w:val="22"/>
          <w:szCs w:val="22"/>
        </w:rPr>
        <w:t xml:space="preserve">Trust </w:t>
      </w:r>
      <w:r w:rsidRPr="00A015A5">
        <w:rPr>
          <w:rFonts w:asciiTheme="minorHAnsi" w:hAnsiTheme="minorHAnsi" w:cs="Arial"/>
          <w:sz w:val="22"/>
          <w:szCs w:val="22"/>
        </w:rPr>
        <w:t>Development Authority and other relevant bodies where their actions have a consequential impact on the Trust or an awareness of the change/impending change is relevant to the Board of Directors.</w:t>
      </w:r>
    </w:p>
    <w:p w:rsidR="00DD7BCE" w:rsidRPr="00A015A5" w:rsidRDefault="00DD7BCE" w:rsidP="00DD7BCE">
      <w:pPr>
        <w:ind w:left="720"/>
        <w:jc w:val="both"/>
        <w:rPr>
          <w:rFonts w:asciiTheme="minorHAnsi" w:hAnsiTheme="minorHAnsi" w:cs="Arial"/>
          <w:sz w:val="22"/>
          <w:szCs w:val="22"/>
        </w:rPr>
      </w:pPr>
    </w:p>
    <w:p w:rsidR="00DD7BCE" w:rsidRPr="00A015A5" w:rsidRDefault="001B3CC2" w:rsidP="00DD7BCE">
      <w:pPr>
        <w:ind w:left="720"/>
        <w:jc w:val="both"/>
        <w:rPr>
          <w:rFonts w:asciiTheme="minorHAnsi" w:hAnsiTheme="minorHAnsi" w:cs="Arial"/>
          <w:sz w:val="22"/>
          <w:szCs w:val="22"/>
        </w:rPr>
      </w:pPr>
      <w:r>
        <w:rPr>
          <w:rFonts w:asciiTheme="minorHAnsi" w:hAnsiTheme="minorHAnsi" w:cs="Arial"/>
          <w:sz w:val="22"/>
          <w:szCs w:val="22"/>
        </w:rPr>
        <w:t>Proposals regarding any matters arising out of the</w:t>
      </w:r>
      <w:r w:rsidR="00DD7BCE" w:rsidRPr="00A015A5">
        <w:rPr>
          <w:rFonts w:asciiTheme="minorHAnsi" w:hAnsiTheme="minorHAnsi" w:cs="Arial"/>
          <w:sz w:val="22"/>
          <w:szCs w:val="22"/>
        </w:rPr>
        <w:t xml:space="preserve"> regular Legal &amp; Regulatory Update report will be received by the Executive Team Meeting to ensure that the Trust is updated in a timely fashion, to enable the Trust to respond as necessary or helpful to consultations and to ensure preparedness for the implications of, and compliance with changes in mandatory frameworks.  </w:t>
      </w:r>
    </w:p>
    <w:p w:rsidR="00DD7BCE" w:rsidRPr="00A015A5" w:rsidRDefault="00DD7BCE" w:rsidP="00DD7BCE">
      <w:pPr>
        <w:ind w:left="720"/>
        <w:jc w:val="both"/>
        <w:rPr>
          <w:rFonts w:asciiTheme="minorHAnsi" w:hAnsiTheme="minorHAnsi" w:cs="Arial"/>
          <w:sz w:val="22"/>
          <w:szCs w:val="22"/>
        </w:rPr>
      </w:pPr>
    </w:p>
    <w:p w:rsidR="00DD7BCE" w:rsidRPr="00A015A5" w:rsidRDefault="00DD7BCE" w:rsidP="00DD7BCE">
      <w:pPr>
        <w:ind w:left="720"/>
        <w:jc w:val="both"/>
        <w:rPr>
          <w:rFonts w:asciiTheme="minorHAnsi" w:hAnsiTheme="minorHAnsi" w:cs="Arial"/>
          <w:b/>
          <w:sz w:val="22"/>
          <w:szCs w:val="22"/>
        </w:rPr>
      </w:pPr>
      <w:r w:rsidRPr="00A015A5">
        <w:rPr>
          <w:rFonts w:asciiTheme="minorHAnsi" w:hAnsiTheme="minorHAnsi" w:cs="Arial"/>
          <w:b/>
          <w:sz w:val="22"/>
          <w:szCs w:val="22"/>
        </w:rPr>
        <w:t>2 LEGAL/POLICY UPDATES</w:t>
      </w:r>
    </w:p>
    <w:p w:rsidR="00675C69" w:rsidRPr="003017B7" w:rsidRDefault="00DD7BCE" w:rsidP="003017B7">
      <w:pPr>
        <w:autoSpaceDE w:val="0"/>
        <w:autoSpaceDN w:val="0"/>
        <w:adjustRightInd w:val="0"/>
        <w:ind w:left="720"/>
        <w:rPr>
          <w:rFonts w:asciiTheme="minorHAnsi" w:hAnsiTheme="minorHAnsi" w:cs="Arial"/>
          <w:color w:val="0000FF"/>
          <w:sz w:val="22"/>
          <w:szCs w:val="22"/>
          <w:lang w:val="en-GB" w:eastAsia="en-GB"/>
        </w:rPr>
      </w:pPr>
      <w:r w:rsidRPr="00A015A5">
        <w:rPr>
          <w:rFonts w:asciiTheme="minorHAnsi" w:hAnsiTheme="minorHAnsi" w:cs="Arial"/>
          <w:b/>
          <w:sz w:val="22"/>
          <w:szCs w:val="22"/>
        </w:rPr>
        <w:t>2.1</w:t>
      </w:r>
      <w:r w:rsidR="00020D1E" w:rsidRPr="00A015A5">
        <w:rPr>
          <w:rFonts w:asciiTheme="minorHAnsi" w:hAnsiTheme="minorHAnsi" w:cs="Arial"/>
          <w:b/>
          <w:bCs/>
          <w:color w:val="000000"/>
          <w:sz w:val="22"/>
          <w:szCs w:val="22"/>
          <w:lang w:val="en-GB" w:eastAsia="en-GB"/>
        </w:rPr>
        <w:t xml:space="preserve"> </w:t>
      </w:r>
      <w:r w:rsidR="0069085D" w:rsidRPr="0069085D">
        <w:rPr>
          <w:rFonts w:asciiTheme="minorHAnsi" w:hAnsiTheme="minorHAnsi" w:cs="Arial"/>
          <w:b/>
          <w:bCs/>
          <w:sz w:val="22"/>
          <w:szCs w:val="22"/>
          <w:lang w:val="en-GB"/>
        </w:rPr>
        <w:t>Improving quality in the English NHS: a str</w:t>
      </w:r>
      <w:r w:rsidR="0069085D">
        <w:rPr>
          <w:rFonts w:asciiTheme="minorHAnsi" w:hAnsiTheme="minorHAnsi" w:cs="Arial"/>
          <w:b/>
          <w:bCs/>
          <w:sz w:val="22"/>
          <w:szCs w:val="22"/>
          <w:lang w:val="en-GB"/>
        </w:rPr>
        <w:t>ategy for action</w:t>
      </w:r>
    </w:p>
    <w:p w:rsidR="00086EB2" w:rsidRDefault="00675C69" w:rsidP="00675C69">
      <w:pPr>
        <w:ind w:left="720"/>
        <w:jc w:val="both"/>
        <w:rPr>
          <w:rFonts w:asciiTheme="minorHAnsi" w:hAnsiTheme="minorHAnsi" w:cs="Arial"/>
          <w:bCs/>
          <w:sz w:val="22"/>
          <w:szCs w:val="22"/>
          <w:lang w:val="en-GB"/>
        </w:rPr>
      </w:pPr>
      <w:r w:rsidRPr="00675C69">
        <w:rPr>
          <w:rFonts w:asciiTheme="minorHAnsi" w:hAnsiTheme="minorHAnsi" w:cs="Arial"/>
          <w:bCs/>
          <w:sz w:val="22"/>
          <w:szCs w:val="22"/>
          <w:lang w:val="en-GB"/>
        </w:rPr>
        <w:t>A new repo</w:t>
      </w:r>
      <w:r>
        <w:rPr>
          <w:rFonts w:asciiTheme="minorHAnsi" w:hAnsiTheme="minorHAnsi" w:cs="Arial"/>
          <w:bCs/>
          <w:sz w:val="22"/>
          <w:szCs w:val="22"/>
          <w:lang w:val="en-GB"/>
        </w:rPr>
        <w:t>rt from The King’s Fund says a national centre of expertise</w:t>
      </w:r>
      <w:r w:rsidRPr="00675C69">
        <w:rPr>
          <w:rFonts w:asciiTheme="minorHAnsi" w:hAnsiTheme="minorHAnsi" w:cs="Arial"/>
          <w:bCs/>
          <w:sz w:val="22"/>
          <w:szCs w:val="22"/>
          <w:lang w:val="en-GB"/>
        </w:rPr>
        <w:t xml:space="preserve"> for quality improvement should be created to bring togeth</w:t>
      </w:r>
      <w:r>
        <w:rPr>
          <w:rFonts w:asciiTheme="minorHAnsi" w:hAnsiTheme="minorHAnsi" w:cs="Arial"/>
          <w:bCs/>
          <w:sz w:val="22"/>
          <w:szCs w:val="22"/>
          <w:lang w:val="en-GB"/>
        </w:rPr>
        <w:t>er an</w:t>
      </w:r>
      <w:r w:rsidRPr="00675C69">
        <w:rPr>
          <w:rFonts w:asciiTheme="minorHAnsi" w:hAnsiTheme="minorHAnsi" w:cs="Arial"/>
          <w:bCs/>
          <w:sz w:val="22"/>
          <w:szCs w:val="22"/>
          <w:lang w:val="en-GB"/>
        </w:rPr>
        <w:t xml:space="preserve"> arra</w:t>
      </w:r>
      <w:r>
        <w:rPr>
          <w:rFonts w:asciiTheme="minorHAnsi" w:hAnsiTheme="minorHAnsi" w:cs="Arial"/>
          <w:bCs/>
          <w:sz w:val="22"/>
          <w:szCs w:val="22"/>
          <w:lang w:val="en-GB"/>
        </w:rPr>
        <w:t xml:space="preserve">y of NHS agencies. </w:t>
      </w:r>
      <w:r w:rsidRPr="00675C69">
        <w:rPr>
          <w:rFonts w:asciiTheme="minorHAnsi" w:hAnsiTheme="minorHAnsi" w:cs="Arial"/>
          <w:bCs/>
          <w:sz w:val="22"/>
          <w:szCs w:val="22"/>
          <w:lang w:val="en-GB"/>
        </w:rPr>
        <w:t>The report sets out recommendations for a new NHS strategy for quality improvement – which it defines as designing and redesigning processes and systems to deliver better healthcare outcomes at lower cost. The report calls for expertise in quality improvement and leadership development to be brought together in a single centre which could also provide advice on the implementation of the Carter review of NHS</w:t>
      </w:r>
      <w:r>
        <w:rPr>
          <w:rFonts w:asciiTheme="minorHAnsi" w:hAnsiTheme="minorHAnsi" w:cs="Arial"/>
          <w:bCs/>
          <w:sz w:val="22"/>
          <w:szCs w:val="22"/>
          <w:lang w:val="en-GB"/>
        </w:rPr>
        <w:t xml:space="preserve"> productivity, adding that the logical place</w:t>
      </w:r>
      <w:r w:rsidRPr="00675C69">
        <w:rPr>
          <w:rFonts w:asciiTheme="minorHAnsi" w:hAnsiTheme="minorHAnsi" w:cs="Arial"/>
          <w:bCs/>
          <w:sz w:val="22"/>
          <w:szCs w:val="22"/>
          <w:lang w:val="en-GB"/>
        </w:rPr>
        <w:t xml:space="preserve"> to put the new centre would be within NHS Improvement</w:t>
      </w:r>
      <w:r>
        <w:rPr>
          <w:rFonts w:asciiTheme="minorHAnsi" w:hAnsiTheme="minorHAnsi" w:cs="Arial"/>
          <w:bCs/>
          <w:sz w:val="22"/>
          <w:szCs w:val="22"/>
          <w:lang w:val="en-GB"/>
        </w:rPr>
        <w:t>.</w:t>
      </w:r>
    </w:p>
    <w:p w:rsidR="0069085D" w:rsidRDefault="00F31371" w:rsidP="00675C69">
      <w:pPr>
        <w:ind w:left="720"/>
        <w:jc w:val="both"/>
        <w:rPr>
          <w:rFonts w:asciiTheme="minorHAnsi" w:hAnsiTheme="minorHAnsi" w:cs="Arial"/>
          <w:bCs/>
          <w:sz w:val="22"/>
          <w:szCs w:val="22"/>
          <w:lang w:val="en-GB"/>
        </w:rPr>
      </w:pPr>
      <w:hyperlink r:id="rId9" w:history="1">
        <w:r w:rsidR="0069085D" w:rsidRPr="0074107C">
          <w:rPr>
            <w:rStyle w:val="Hyperlink"/>
            <w:rFonts w:asciiTheme="minorHAnsi" w:hAnsiTheme="minorHAnsi" w:cs="Arial"/>
            <w:bCs/>
            <w:sz w:val="22"/>
            <w:szCs w:val="22"/>
            <w:lang w:val="en-GB"/>
          </w:rPr>
          <w:t>http://www.kingsfund.org.uk/publications/quality-improvement</w:t>
        </w:r>
      </w:hyperlink>
    </w:p>
    <w:p w:rsidR="00675C69" w:rsidRDefault="00675C69" w:rsidP="00675C69">
      <w:pPr>
        <w:ind w:left="720"/>
        <w:jc w:val="both"/>
        <w:rPr>
          <w:rFonts w:asciiTheme="minorHAnsi" w:hAnsiTheme="minorHAnsi" w:cs="Arial"/>
          <w:bCs/>
          <w:sz w:val="22"/>
          <w:szCs w:val="22"/>
          <w:lang w:val="en-GB"/>
        </w:rPr>
      </w:pPr>
    </w:p>
    <w:p w:rsidR="00675C69" w:rsidRPr="00675C69" w:rsidRDefault="003017B7" w:rsidP="00675C69">
      <w:pPr>
        <w:ind w:left="720"/>
        <w:jc w:val="both"/>
        <w:rPr>
          <w:rFonts w:asciiTheme="minorHAnsi" w:hAnsiTheme="minorHAnsi" w:cs="Arial"/>
          <w:b/>
          <w:bCs/>
          <w:sz w:val="22"/>
          <w:szCs w:val="22"/>
          <w:lang w:val="en-GB"/>
        </w:rPr>
      </w:pPr>
      <w:r>
        <w:rPr>
          <w:rFonts w:asciiTheme="minorHAnsi" w:hAnsiTheme="minorHAnsi" w:cs="Arial"/>
          <w:b/>
          <w:bCs/>
          <w:sz w:val="22"/>
          <w:szCs w:val="22"/>
          <w:lang w:val="en-GB"/>
        </w:rPr>
        <w:t xml:space="preserve">2.2 </w:t>
      </w:r>
      <w:r w:rsidR="00675C69" w:rsidRPr="00675C69">
        <w:rPr>
          <w:rFonts w:asciiTheme="minorHAnsi" w:hAnsiTheme="minorHAnsi" w:cs="Arial"/>
          <w:b/>
          <w:bCs/>
          <w:sz w:val="22"/>
          <w:szCs w:val="22"/>
          <w:lang w:val="en-GB"/>
        </w:rPr>
        <w:t>NHS staff survey results revealed</w:t>
      </w:r>
    </w:p>
    <w:p w:rsidR="0069085D" w:rsidRDefault="00675C69" w:rsidP="00675C69">
      <w:pPr>
        <w:ind w:left="720"/>
        <w:jc w:val="both"/>
        <w:rPr>
          <w:rFonts w:asciiTheme="minorHAnsi" w:hAnsiTheme="minorHAnsi" w:cs="Arial"/>
          <w:bCs/>
          <w:sz w:val="22"/>
          <w:szCs w:val="22"/>
          <w:lang w:val="en-GB"/>
        </w:rPr>
      </w:pPr>
      <w:r>
        <w:rPr>
          <w:rFonts w:asciiTheme="minorHAnsi" w:hAnsiTheme="minorHAnsi" w:cs="Arial"/>
          <w:bCs/>
          <w:sz w:val="22"/>
          <w:szCs w:val="22"/>
          <w:lang w:val="en-GB"/>
        </w:rPr>
        <w:t>T</w:t>
      </w:r>
      <w:r w:rsidRPr="00675C69">
        <w:rPr>
          <w:rFonts w:asciiTheme="minorHAnsi" w:hAnsiTheme="minorHAnsi" w:cs="Arial"/>
          <w:bCs/>
          <w:sz w:val="22"/>
          <w:szCs w:val="22"/>
          <w:lang w:val="en-GB"/>
        </w:rPr>
        <w:t xml:space="preserve">he results of the 2015 NHS staff survey have been published. Headline findings suggest: improvements in motivation and engagement; apparent increase in bullying; apparent increase in stress; and apparent increase in concern about staff numbers. The number of staff recommending their organisation as a place to work has increased since 2014, following a generally improving trend since 2011. The proportion of staff reporting that they have witnessed errors and incidents is the lowest it has been since 2011 – however a quarter of staff witnessed an error that could have harmed patients or service users, and only 39% of staff agreed that they felt satisfied with the quality of care they provide to patients. </w:t>
      </w:r>
    </w:p>
    <w:p w:rsidR="00675C69" w:rsidRDefault="00F31371" w:rsidP="00675C69">
      <w:pPr>
        <w:ind w:left="720"/>
        <w:jc w:val="both"/>
        <w:rPr>
          <w:rFonts w:asciiTheme="minorHAnsi" w:hAnsiTheme="minorHAnsi" w:cs="Arial"/>
          <w:bCs/>
          <w:sz w:val="22"/>
          <w:szCs w:val="22"/>
          <w:lang w:val="en-GB"/>
        </w:rPr>
      </w:pPr>
      <w:hyperlink r:id="rId10" w:history="1">
        <w:r w:rsidR="00675C69" w:rsidRPr="0074107C">
          <w:rPr>
            <w:rStyle w:val="Hyperlink"/>
            <w:rFonts w:asciiTheme="minorHAnsi" w:hAnsiTheme="minorHAnsi" w:cs="Arial"/>
            <w:bCs/>
            <w:sz w:val="22"/>
            <w:szCs w:val="22"/>
            <w:lang w:val="en-GB"/>
          </w:rPr>
          <w:t>http://www.nhsstaffsurveys.com/Page/1010/Home/NHS-Staff-Survey-2015/</w:t>
        </w:r>
      </w:hyperlink>
    </w:p>
    <w:p w:rsidR="00675C69" w:rsidRDefault="00675C69" w:rsidP="00675C69">
      <w:pPr>
        <w:ind w:left="720"/>
        <w:jc w:val="both"/>
        <w:rPr>
          <w:rFonts w:asciiTheme="minorHAnsi" w:hAnsiTheme="minorHAnsi" w:cs="Arial"/>
          <w:bCs/>
          <w:sz w:val="22"/>
          <w:szCs w:val="22"/>
          <w:lang w:val="en-GB"/>
        </w:rPr>
      </w:pPr>
    </w:p>
    <w:p w:rsidR="0069085D" w:rsidRDefault="003017B7" w:rsidP="0069085D">
      <w:pPr>
        <w:ind w:left="720"/>
        <w:jc w:val="both"/>
        <w:rPr>
          <w:rFonts w:asciiTheme="minorHAnsi" w:hAnsiTheme="minorHAnsi" w:cs="Arial"/>
          <w:bCs/>
          <w:sz w:val="22"/>
          <w:szCs w:val="22"/>
          <w:lang w:val="en-GB"/>
        </w:rPr>
      </w:pPr>
      <w:r>
        <w:rPr>
          <w:rFonts w:asciiTheme="minorHAnsi" w:hAnsiTheme="minorHAnsi" w:cs="Arial"/>
          <w:b/>
          <w:bCs/>
          <w:sz w:val="22"/>
          <w:szCs w:val="22"/>
          <w:lang w:val="en-GB"/>
        </w:rPr>
        <w:t xml:space="preserve">2.3 </w:t>
      </w:r>
      <w:r w:rsidR="0069085D" w:rsidRPr="0069085D">
        <w:rPr>
          <w:rFonts w:asciiTheme="minorHAnsi" w:hAnsiTheme="minorHAnsi" w:cs="Arial"/>
          <w:b/>
          <w:bCs/>
          <w:sz w:val="22"/>
          <w:szCs w:val="22"/>
          <w:lang w:val="en-GB"/>
        </w:rPr>
        <w:t>Health and wellbeing boards (HWBs)</w:t>
      </w:r>
      <w:r w:rsidR="0069085D" w:rsidRPr="0069085D">
        <w:rPr>
          <w:rFonts w:asciiTheme="minorHAnsi" w:hAnsiTheme="minorHAnsi" w:cs="Arial"/>
          <w:bCs/>
          <w:sz w:val="22"/>
          <w:szCs w:val="22"/>
          <w:lang w:val="en-GB"/>
        </w:rPr>
        <w:t xml:space="preserve"> </w:t>
      </w:r>
      <w:r w:rsidR="0069085D">
        <w:rPr>
          <w:rFonts w:asciiTheme="minorHAnsi" w:hAnsiTheme="minorHAnsi" w:cs="Arial"/>
          <w:bCs/>
          <w:sz w:val="22"/>
          <w:szCs w:val="22"/>
          <w:lang w:val="en-GB"/>
        </w:rPr>
        <w:t>–</w:t>
      </w:r>
      <w:r>
        <w:rPr>
          <w:rFonts w:asciiTheme="minorHAnsi" w:hAnsiTheme="minorHAnsi" w:cs="Arial"/>
          <w:bCs/>
          <w:sz w:val="22"/>
          <w:szCs w:val="22"/>
          <w:lang w:val="en-GB"/>
        </w:rPr>
        <w:t xml:space="preserve"> E</w:t>
      </w:r>
      <w:r w:rsidR="0069085D">
        <w:rPr>
          <w:rFonts w:asciiTheme="minorHAnsi" w:hAnsiTheme="minorHAnsi" w:cs="Arial"/>
          <w:bCs/>
          <w:sz w:val="22"/>
          <w:szCs w:val="22"/>
          <w:lang w:val="en-GB"/>
        </w:rPr>
        <w:t>ngaging effectively with providers</w:t>
      </w:r>
    </w:p>
    <w:p w:rsidR="0069085D" w:rsidRPr="0069085D" w:rsidRDefault="003017B7" w:rsidP="00227160">
      <w:pPr>
        <w:ind w:left="720"/>
        <w:jc w:val="both"/>
        <w:rPr>
          <w:rFonts w:asciiTheme="minorHAnsi" w:hAnsiTheme="minorHAnsi" w:cs="Arial"/>
          <w:bCs/>
          <w:sz w:val="22"/>
          <w:szCs w:val="22"/>
          <w:lang w:val="en-GB"/>
        </w:rPr>
      </w:pPr>
      <w:r>
        <w:rPr>
          <w:rFonts w:asciiTheme="minorHAnsi" w:hAnsiTheme="minorHAnsi" w:cs="Arial"/>
          <w:bCs/>
          <w:sz w:val="22"/>
          <w:szCs w:val="22"/>
          <w:lang w:val="en-GB"/>
        </w:rPr>
        <w:t xml:space="preserve">HWB’s </w:t>
      </w:r>
      <w:r w:rsidR="0069085D" w:rsidRPr="0069085D">
        <w:rPr>
          <w:rFonts w:asciiTheme="minorHAnsi" w:hAnsiTheme="minorHAnsi" w:cs="Arial"/>
          <w:bCs/>
          <w:sz w:val="22"/>
          <w:szCs w:val="22"/>
          <w:lang w:val="en-GB"/>
        </w:rPr>
        <w:t>have an important role to play in</w:t>
      </w:r>
      <w:r w:rsidR="00227160">
        <w:rPr>
          <w:rFonts w:asciiTheme="minorHAnsi" w:hAnsiTheme="minorHAnsi" w:cs="Arial"/>
          <w:bCs/>
          <w:sz w:val="22"/>
          <w:szCs w:val="22"/>
          <w:lang w:val="en-GB"/>
        </w:rPr>
        <w:t xml:space="preserve"> </w:t>
      </w:r>
      <w:r w:rsidR="0069085D" w:rsidRPr="0069085D">
        <w:rPr>
          <w:rFonts w:asciiTheme="minorHAnsi" w:hAnsiTheme="minorHAnsi" w:cs="Arial"/>
          <w:bCs/>
          <w:sz w:val="22"/>
          <w:szCs w:val="22"/>
          <w:lang w:val="en-GB"/>
        </w:rPr>
        <w:t>bringing together all the partners in the local health and care economy to</w:t>
      </w:r>
      <w:r w:rsidR="00227160">
        <w:rPr>
          <w:rFonts w:asciiTheme="minorHAnsi" w:hAnsiTheme="minorHAnsi" w:cs="Arial"/>
          <w:bCs/>
          <w:sz w:val="22"/>
          <w:szCs w:val="22"/>
          <w:lang w:val="en-GB"/>
        </w:rPr>
        <w:t xml:space="preserve"> </w:t>
      </w:r>
      <w:r w:rsidR="0069085D" w:rsidRPr="0069085D">
        <w:rPr>
          <w:rFonts w:asciiTheme="minorHAnsi" w:hAnsiTheme="minorHAnsi" w:cs="Arial"/>
          <w:bCs/>
          <w:sz w:val="22"/>
          <w:szCs w:val="22"/>
          <w:lang w:val="en-GB"/>
        </w:rPr>
        <w:t>focus on strategic priorities to improve health outcomes. NHS providers</w:t>
      </w:r>
      <w:r w:rsidR="00227160">
        <w:rPr>
          <w:rFonts w:asciiTheme="minorHAnsi" w:hAnsiTheme="minorHAnsi" w:cs="Arial"/>
          <w:bCs/>
          <w:sz w:val="22"/>
          <w:szCs w:val="22"/>
          <w:lang w:val="en-GB"/>
        </w:rPr>
        <w:t xml:space="preserve"> </w:t>
      </w:r>
      <w:r w:rsidR="0069085D" w:rsidRPr="0069085D">
        <w:rPr>
          <w:rFonts w:asciiTheme="minorHAnsi" w:hAnsiTheme="minorHAnsi" w:cs="Arial"/>
          <w:bCs/>
          <w:sz w:val="22"/>
          <w:szCs w:val="22"/>
          <w:lang w:val="en-GB"/>
        </w:rPr>
        <w:t>have a wealth of experience and expertise to offer in reshaping care.</w:t>
      </w:r>
    </w:p>
    <w:p w:rsidR="0069085D" w:rsidRPr="0069085D" w:rsidRDefault="0069085D" w:rsidP="00227160">
      <w:pPr>
        <w:ind w:left="720"/>
        <w:jc w:val="both"/>
        <w:rPr>
          <w:rFonts w:asciiTheme="minorHAnsi" w:hAnsiTheme="minorHAnsi" w:cs="Arial"/>
          <w:bCs/>
          <w:sz w:val="22"/>
          <w:szCs w:val="22"/>
          <w:lang w:val="en-GB"/>
        </w:rPr>
      </w:pPr>
      <w:r w:rsidRPr="0069085D">
        <w:rPr>
          <w:rFonts w:asciiTheme="minorHAnsi" w:hAnsiTheme="minorHAnsi" w:cs="Arial"/>
          <w:bCs/>
          <w:sz w:val="22"/>
          <w:szCs w:val="22"/>
          <w:lang w:val="en-GB"/>
        </w:rPr>
        <w:t>If HWBs wish to transform, reconfigure and integrate their local health</w:t>
      </w:r>
      <w:r w:rsidR="00227160">
        <w:rPr>
          <w:rFonts w:asciiTheme="minorHAnsi" w:hAnsiTheme="minorHAnsi" w:cs="Arial"/>
          <w:bCs/>
          <w:sz w:val="22"/>
          <w:szCs w:val="22"/>
          <w:lang w:val="en-GB"/>
        </w:rPr>
        <w:t xml:space="preserve"> </w:t>
      </w:r>
      <w:r w:rsidRPr="0069085D">
        <w:rPr>
          <w:rFonts w:asciiTheme="minorHAnsi" w:hAnsiTheme="minorHAnsi" w:cs="Arial"/>
          <w:bCs/>
          <w:sz w:val="22"/>
          <w:szCs w:val="22"/>
          <w:lang w:val="en-GB"/>
        </w:rPr>
        <w:t>and social care services to improve local population health and wellbeing,</w:t>
      </w:r>
      <w:r w:rsidR="00227160">
        <w:rPr>
          <w:rFonts w:asciiTheme="minorHAnsi" w:hAnsiTheme="minorHAnsi" w:cs="Arial"/>
          <w:bCs/>
          <w:sz w:val="22"/>
          <w:szCs w:val="22"/>
          <w:lang w:val="en-GB"/>
        </w:rPr>
        <w:t xml:space="preserve"> </w:t>
      </w:r>
      <w:r w:rsidRPr="0069085D">
        <w:rPr>
          <w:rFonts w:asciiTheme="minorHAnsi" w:hAnsiTheme="minorHAnsi" w:cs="Arial"/>
          <w:bCs/>
          <w:sz w:val="22"/>
          <w:szCs w:val="22"/>
          <w:lang w:val="en-GB"/>
        </w:rPr>
        <w:t>the evidence to date clearly shows</w:t>
      </w:r>
      <w:r w:rsidR="00227160">
        <w:rPr>
          <w:rFonts w:asciiTheme="minorHAnsi" w:hAnsiTheme="minorHAnsi" w:cs="Arial"/>
          <w:bCs/>
          <w:sz w:val="22"/>
          <w:szCs w:val="22"/>
          <w:lang w:val="en-GB"/>
        </w:rPr>
        <w:t xml:space="preserve"> that meaningful engagement with </w:t>
      </w:r>
      <w:r w:rsidRPr="0069085D">
        <w:rPr>
          <w:rFonts w:asciiTheme="minorHAnsi" w:hAnsiTheme="minorHAnsi" w:cs="Arial"/>
          <w:bCs/>
          <w:sz w:val="22"/>
          <w:szCs w:val="22"/>
          <w:lang w:val="en-GB"/>
        </w:rPr>
        <w:t>providers is essential.</w:t>
      </w:r>
    </w:p>
    <w:p w:rsidR="0069085D" w:rsidRDefault="0069085D" w:rsidP="00227160">
      <w:pPr>
        <w:ind w:left="720"/>
        <w:jc w:val="both"/>
        <w:rPr>
          <w:rFonts w:asciiTheme="minorHAnsi" w:hAnsiTheme="minorHAnsi" w:cs="Arial"/>
          <w:bCs/>
          <w:sz w:val="22"/>
          <w:szCs w:val="22"/>
          <w:lang w:val="en-GB"/>
        </w:rPr>
      </w:pPr>
      <w:r w:rsidRPr="0069085D">
        <w:rPr>
          <w:rFonts w:asciiTheme="minorHAnsi" w:hAnsiTheme="minorHAnsi" w:cs="Arial"/>
          <w:bCs/>
          <w:sz w:val="22"/>
          <w:szCs w:val="22"/>
          <w:lang w:val="en-GB"/>
        </w:rPr>
        <w:lastRenderedPageBreak/>
        <w:t>This briefing, co-produced by the Local Government Association (LGA), NHS Providers and</w:t>
      </w:r>
      <w:r w:rsidR="00227160">
        <w:rPr>
          <w:rFonts w:asciiTheme="minorHAnsi" w:hAnsiTheme="minorHAnsi" w:cs="Arial"/>
          <w:bCs/>
          <w:sz w:val="22"/>
          <w:szCs w:val="22"/>
          <w:lang w:val="en-GB"/>
        </w:rPr>
        <w:t xml:space="preserve"> </w:t>
      </w:r>
      <w:r w:rsidRPr="0069085D">
        <w:rPr>
          <w:rFonts w:asciiTheme="minorHAnsi" w:hAnsiTheme="minorHAnsi" w:cs="Arial"/>
          <w:bCs/>
          <w:sz w:val="22"/>
          <w:szCs w:val="22"/>
          <w:lang w:val="en-GB"/>
        </w:rPr>
        <w:t>Monitor, highlights some of the methods that HWBs are using to systematically and effectively</w:t>
      </w:r>
      <w:r w:rsidR="00227160">
        <w:rPr>
          <w:rFonts w:asciiTheme="minorHAnsi" w:hAnsiTheme="minorHAnsi" w:cs="Arial"/>
          <w:bCs/>
          <w:sz w:val="22"/>
          <w:szCs w:val="22"/>
          <w:lang w:val="en-GB"/>
        </w:rPr>
        <w:t xml:space="preserve"> </w:t>
      </w:r>
      <w:r w:rsidRPr="0069085D">
        <w:rPr>
          <w:rFonts w:asciiTheme="minorHAnsi" w:hAnsiTheme="minorHAnsi" w:cs="Arial"/>
          <w:bCs/>
          <w:sz w:val="22"/>
          <w:szCs w:val="22"/>
          <w:lang w:val="en-GB"/>
        </w:rPr>
        <w:t>engage with NHS providers and the wider provider community, and also presents some</w:t>
      </w:r>
      <w:r w:rsidR="00227160">
        <w:rPr>
          <w:rFonts w:asciiTheme="minorHAnsi" w:hAnsiTheme="minorHAnsi" w:cs="Arial"/>
          <w:bCs/>
          <w:sz w:val="22"/>
          <w:szCs w:val="22"/>
          <w:lang w:val="en-GB"/>
        </w:rPr>
        <w:t xml:space="preserve"> </w:t>
      </w:r>
      <w:r w:rsidRPr="0069085D">
        <w:rPr>
          <w:rFonts w:asciiTheme="minorHAnsi" w:hAnsiTheme="minorHAnsi" w:cs="Arial"/>
          <w:bCs/>
          <w:sz w:val="22"/>
          <w:szCs w:val="22"/>
          <w:lang w:val="en-GB"/>
        </w:rPr>
        <w:t>key learning from areas where engagement and genuine partnership working is leading to</w:t>
      </w:r>
      <w:r w:rsidR="00227160">
        <w:rPr>
          <w:rFonts w:asciiTheme="minorHAnsi" w:hAnsiTheme="minorHAnsi" w:cs="Arial"/>
          <w:bCs/>
          <w:sz w:val="22"/>
          <w:szCs w:val="22"/>
          <w:lang w:val="en-GB"/>
        </w:rPr>
        <w:t xml:space="preserve"> </w:t>
      </w:r>
      <w:r w:rsidRPr="0069085D">
        <w:rPr>
          <w:rFonts w:asciiTheme="minorHAnsi" w:hAnsiTheme="minorHAnsi" w:cs="Arial"/>
          <w:bCs/>
          <w:sz w:val="22"/>
          <w:szCs w:val="22"/>
          <w:lang w:val="en-GB"/>
        </w:rPr>
        <w:t>improved health outcomes in local areas.</w:t>
      </w:r>
    </w:p>
    <w:p w:rsidR="00227160" w:rsidRDefault="00F31371" w:rsidP="00227160">
      <w:pPr>
        <w:ind w:left="720"/>
        <w:jc w:val="both"/>
        <w:rPr>
          <w:rFonts w:asciiTheme="minorHAnsi" w:hAnsiTheme="minorHAnsi" w:cs="Arial"/>
          <w:bCs/>
          <w:sz w:val="22"/>
          <w:szCs w:val="22"/>
          <w:lang w:val="en-GB"/>
        </w:rPr>
      </w:pPr>
      <w:hyperlink r:id="rId11" w:history="1">
        <w:r w:rsidR="00227160" w:rsidRPr="0074107C">
          <w:rPr>
            <w:rStyle w:val="Hyperlink"/>
            <w:rFonts w:asciiTheme="minorHAnsi" w:hAnsiTheme="minorHAnsi" w:cs="Arial"/>
            <w:bCs/>
            <w:sz w:val="22"/>
            <w:szCs w:val="22"/>
            <w:lang w:val="en-GB"/>
          </w:rPr>
          <w:t>http://www.local.gov.uk/documents/10180/7632544/L16-5+HWBs+engaging+effectively+with+providers/5faeded5-feb8-4af9-86a6-b0dc4cb5ef9b</w:t>
        </w:r>
      </w:hyperlink>
    </w:p>
    <w:p w:rsidR="00646489" w:rsidRDefault="00646489" w:rsidP="00265222">
      <w:pPr>
        <w:jc w:val="both"/>
        <w:rPr>
          <w:rFonts w:asciiTheme="minorHAnsi" w:hAnsiTheme="minorHAnsi" w:cs="Arial"/>
          <w:bCs/>
          <w:sz w:val="22"/>
          <w:szCs w:val="22"/>
          <w:lang w:val="en-GB"/>
        </w:rPr>
      </w:pPr>
    </w:p>
    <w:p w:rsidR="00646489" w:rsidRPr="00646489" w:rsidRDefault="003017B7" w:rsidP="00646489">
      <w:pPr>
        <w:ind w:left="720"/>
        <w:jc w:val="both"/>
        <w:rPr>
          <w:rFonts w:asciiTheme="minorHAnsi" w:hAnsiTheme="minorHAnsi" w:cs="Arial"/>
          <w:bCs/>
          <w:sz w:val="22"/>
          <w:szCs w:val="22"/>
          <w:lang w:val="en-GB"/>
        </w:rPr>
      </w:pPr>
      <w:r>
        <w:rPr>
          <w:rFonts w:asciiTheme="minorHAnsi" w:hAnsiTheme="minorHAnsi" w:cs="Arial"/>
          <w:b/>
          <w:bCs/>
          <w:sz w:val="22"/>
          <w:szCs w:val="22"/>
          <w:lang w:val="en-GB"/>
        </w:rPr>
        <w:t xml:space="preserve">2.4 </w:t>
      </w:r>
      <w:r w:rsidR="00227160" w:rsidRPr="00227160">
        <w:rPr>
          <w:rFonts w:asciiTheme="minorHAnsi" w:hAnsiTheme="minorHAnsi" w:cs="Arial"/>
          <w:b/>
          <w:bCs/>
          <w:sz w:val="22"/>
          <w:szCs w:val="22"/>
          <w:lang w:val="en-GB"/>
        </w:rPr>
        <w:t>Never events</w:t>
      </w:r>
      <w:r w:rsidR="00CC7C1A">
        <w:rPr>
          <w:rFonts w:asciiTheme="minorHAnsi" w:hAnsiTheme="minorHAnsi" w:cs="Arial"/>
          <w:b/>
          <w:bCs/>
          <w:sz w:val="22"/>
          <w:szCs w:val="22"/>
          <w:lang w:val="en-GB"/>
        </w:rPr>
        <w:t xml:space="preserve">.  </w:t>
      </w:r>
      <w:r w:rsidR="00646489" w:rsidRPr="00646489">
        <w:rPr>
          <w:rFonts w:asciiTheme="minorHAnsi" w:hAnsiTheme="minorHAnsi" w:cs="Arial"/>
          <w:bCs/>
          <w:sz w:val="22"/>
          <w:szCs w:val="22"/>
          <w:lang w:val="en-GB"/>
        </w:rPr>
        <w:t>More than 1,000 NHS patients in England in the past four years have suffered from medical mistakes so serious they should never happen, according to analysis by the Press Association.</w:t>
      </w:r>
      <w:r w:rsidR="00227160">
        <w:rPr>
          <w:rFonts w:asciiTheme="minorHAnsi" w:hAnsiTheme="minorHAnsi" w:cs="Arial"/>
          <w:bCs/>
          <w:sz w:val="22"/>
          <w:szCs w:val="22"/>
          <w:lang w:val="en-GB"/>
        </w:rPr>
        <w:t xml:space="preserve"> </w:t>
      </w:r>
      <w:r w:rsidR="00646489" w:rsidRPr="00646489">
        <w:rPr>
          <w:rFonts w:asciiTheme="minorHAnsi" w:hAnsiTheme="minorHAnsi" w:cs="Arial"/>
          <w:bCs/>
          <w:sz w:val="22"/>
          <w:szCs w:val="22"/>
          <w:lang w:val="en-GB"/>
        </w:rPr>
        <w:t xml:space="preserve">The analysis showed there were: </w:t>
      </w:r>
    </w:p>
    <w:p w:rsidR="00646489" w:rsidRPr="00227160" w:rsidRDefault="00646489" w:rsidP="00227160">
      <w:pPr>
        <w:pStyle w:val="ListParagraph"/>
        <w:numPr>
          <w:ilvl w:val="0"/>
          <w:numId w:val="12"/>
        </w:numPr>
        <w:jc w:val="both"/>
        <w:rPr>
          <w:rFonts w:asciiTheme="minorHAnsi" w:hAnsiTheme="minorHAnsi" w:cs="Arial"/>
          <w:bCs/>
          <w:sz w:val="22"/>
          <w:szCs w:val="22"/>
          <w:lang w:val="en-GB"/>
        </w:rPr>
      </w:pPr>
      <w:r w:rsidRPr="00227160">
        <w:rPr>
          <w:rFonts w:asciiTheme="minorHAnsi" w:hAnsiTheme="minorHAnsi" w:cs="Arial"/>
          <w:bCs/>
          <w:sz w:val="22"/>
          <w:szCs w:val="22"/>
          <w:lang w:val="en-GB"/>
        </w:rPr>
        <w:t>254 never events from April 2015 to the end of December 2015</w:t>
      </w:r>
    </w:p>
    <w:p w:rsidR="00646489" w:rsidRPr="00227160" w:rsidRDefault="00646489" w:rsidP="00227160">
      <w:pPr>
        <w:pStyle w:val="ListParagraph"/>
        <w:numPr>
          <w:ilvl w:val="0"/>
          <w:numId w:val="12"/>
        </w:numPr>
        <w:jc w:val="both"/>
        <w:rPr>
          <w:rFonts w:asciiTheme="minorHAnsi" w:hAnsiTheme="minorHAnsi" w:cs="Arial"/>
          <w:bCs/>
          <w:sz w:val="22"/>
          <w:szCs w:val="22"/>
          <w:lang w:val="en-GB"/>
        </w:rPr>
      </w:pPr>
      <w:r w:rsidRPr="00227160">
        <w:rPr>
          <w:rFonts w:asciiTheme="minorHAnsi" w:hAnsiTheme="minorHAnsi" w:cs="Arial"/>
          <w:bCs/>
          <w:sz w:val="22"/>
          <w:szCs w:val="22"/>
          <w:lang w:val="en-GB"/>
        </w:rPr>
        <w:t>306 never events from April 2014 to March 2015</w:t>
      </w:r>
    </w:p>
    <w:p w:rsidR="00646489" w:rsidRPr="00227160" w:rsidRDefault="00646489" w:rsidP="00227160">
      <w:pPr>
        <w:pStyle w:val="ListParagraph"/>
        <w:numPr>
          <w:ilvl w:val="0"/>
          <w:numId w:val="12"/>
        </w:numPr>
        <w:jc w:val="both"/>
        <w:rPr>
          <w:rFonts w:asciiTheme="minorHAnsi" w:hAnsiTheme="minorHAnsi" w:cs="Arial"/>
          <w:bCs/>
          <w:sz w:val="22"/>
          <w:szCs w:val="22"/>
          <w:lang w:val="en-GB"/>
        </w:rPr>
      </w:pPr>
      <w:r w:rsidRPr="00227160">
        <w:rPr>
          <w:rFonts w:asciiTheme="minorHAnsi" w:hAnsiTheme="minorHAnsi" w:cs="Arial"/>
          <w:bCs/>
          <w:sz w:val="22"/>
          <w:szCs w:val="22"/>
          <w:lang w:val="en-GB"/>
        </w:rPr>
        <w:t>338 never events from April 2013 to March 2014</w:t>
      </w:r>
    </w:p>
    <w:p w:rsidR="00646489" w:rsidRPr="00227160" w:rsidRDefault="00646489" w:rsidP="00227160">
      <w:pPr>
        <w:pStyle w:val="ListParagraph"/>
        <w:numPr>
          <w:ilvl w:val="0"/>
          <w:numId w:val="12"/>
        </w:numPr>
        <w:jc w:val="both"/>
        <w:rPr>
          <w:rFonts w:asciiTheme="minorHAnsi" w:hAnsiTheme="minorHAnsi" w:cs="Arial"/>
          <w:bCs/>
          <w:sz w:val="22"/>
          <w:szCs w:val="22"/>
          <w:lang w:val="en-GB"/>
        </w:rPr>
      </w:pPr>
      <w:r w:rsidRPr="00227160">
        <w:rPr>
          <w:rFonts w:asciiTheme="minorHAnsi" w:hAnsiTheme="minorHAnsi" w:cs="Arial"/>
          <w:bCs/>
          <w:sz w:val="22"/>
          <w:szCs w:val="22"/>
          <w:lang w:val="en-GB"/>
        </w:rPr>
        <w:t>290 never events from April 2012 to March 2013</w:t>
      </w:r>
    </w:p>
    <w:p w:rsidR="00646489" w:rsidRPr="00646489" w:rsidRDefault="00646489" w:rsidP="00227160">
      <w:pPr>
        <w:jc w:val="both"/>
        <w:rPr>
          <w:rFonts w:asciiTheme="minorHAnsi" w:hAnsiTheme="minorHAnsi" w:cs="Arial"/>
          <w:bCs/>
          <w:sz w:val="22"/>
          <w:szCs w:val="22"/>
          <w:lang w:val="en-GB"/>
        </w:rPr>
      </w:pPr>
    </w:p>
    <w:p w:rsidR="00646489" w:rsidRPr="00646489" w:rsidRDefault="00646489" w:rsidP="00646489">
      <w:pPr>
        <w:ind w:left="720"/>
        <w:jc w:val="both"/>
        <w:rPr>
          <w:rFonts w:asciiTheme="minorHAnsi" w:hAnsiTheme="minorHAnsi" w:cs="Arial"/>
          <w:bCs/>
          <w:sz w:val="22"/>
          <w:szCs w:val="22"/>
          <w:lang w:val="en-GB"/>
        </w:rPr>
      </w:pPr>
      <w:r w:rsidRPr="00646489">
        <w:rPr>
          <w:rFonts w:asciiTheme="minorHAnsi" w:hAnsiTheme="minorHAnsi" w:cs="Arial"/>
          <w:bCs/>
          <w:sz w:val="22"/>
          <w:szCs w:val="22"/>
          <w:lang w:val="en-GB"/>
        </w:rPr>
        <w:t>NHS England insisted never events were rare - affecting one in every 20,000 procedures - and that the majority of the 4.6 million hospital operations each year were safe.</w:t>
      </w:r>
    </w:p>
    <w:p w:rsidR="00227160" w:rsidRDefault="00646489" w:rsidP="0069085D">
      <w:pPr>
        <w:ind w:left="720"/>
        <w:jc w:val="both"/>
        <w:rPr>
          <w:rFonts w:asciiTheme="minorHAnsi" w:hAnsiTheme="minorHAnsi" w:cs="Arial"/>
          <w:bCs/>
          <w:sz w:val="22"/>
          <w:szCs w:val="22"/>
          <w:lang w:val="en-GB"/>
        </w:rPr>
      </w:pPr>
      <w:r w:rsidRPr="00646489">
        <w:rPr>
          <w:rFonts w:asciiTheme="minorHAnsi" w:hAnsiTheme="minorHAnsi" w:cs="Arial"/>
          <w:bCs/>
          <w:sz w:val="22"/>
          <w:szCs w:val="22"/>
          <w:lang w:val="en-GB"/>
        </w:rPr>
        <w:t>"Any organisation that reports a serious incident is also expected to conduct its own investigation so it can learn and take action to prevent similar incidents from being repeated."</w:t>
      </w:r>
    </w:p>
    <w:p w:rsidR="00646489" w:rsidRDefault="00F31371" w:rsidP="0069085D">
      <w:pPr>
        <w:ind w:left="720"/>
        <w:jc w:val="both"/>
        <w:rPr>
          <w:rFonts w:asciiTheme="minorHAnsi" w:hAnsiTheme="minorHAnsi" w:cs="Arial"/>
          <w:bCs/>
          <w:sz w:val="22"/>
          <w:szCs w:val="22"/>
          <w:lang w:val="en-GB"/>
        </w:rPr>
      </w:pPr>
      <w:hyperlink r:id="rId12" w:history="1">
        <w:r w:rsidR="00646489" w:rsidRPr="0074107C">
          <w:rPr>
            <w:rStyle w:val="Hyperlink"/>
            <w:rFonts w:asciiTheme="minorHAnsi" w:hAnsiTheme="minorHAnsi" w:cs="Arial"/>
            <w:bCs/>
            <w:sz w:val="22"/>
            <w:szCs w:val="22"/>
            <w:lang w:val="en-GB"/>
          </w:rPr>
          <w:t>http://www.bbc.co.uk/news/health-35597244</w:t>
        </w:r>
      </w:hyperlink>
    </w:p>
    <w:p w:rsidR="00646489" w:rsidRDefault="00646489" w:rsidP="0069085D">
      <w:pPr>
        <w:ind w:left="720"/>
        <w:jc w:val="both"/>
        <w:rPr>
          <w:rFonts w:asciiTheme="minorHAnsi" w:hAnsiTheme="minorHAnsi" w:cs="Arial"/>
          <w:bCs/>
          <w:sz w:val="22"/>
          <w:szCs w:val="22"/>
          <w:lang w:val="en-GB"/>
        </w:rPr>
      </w:pPr>
    </w:p>
    <w:p w:rsidR="00646489" w:rsidRDefault="003017B7" w:rsidP="00646489">
      <w:pPr>
        <w:ind w:left="720"/>
        <w:jc w:val="both"/>
        <w:rPr>
          <w:rFonts w:asciiTheme="minorHAnsi" w:hAnsiTheme="minorHAnsi" w:cs="Arial"/>
          <w:bCs/>
          <w:sz w:val="22"/>
          <w:szCs w:val="22"/>
          <w:lang w:val="en-GB"/>
        </w:rPr>
      </w:pPr>
      <w:r w:rsidRPr="00CC7C1A">
        <w:rPr>
          <w:rFonts w:asciiTheme="minorHAnsi" w:hAnsiTheme="minorHAnsi" w:cs="Arial"/>
          <w:b/>
          <w:bCs/>
          <w:sz w:val="22"/>
          <w:szCs w:val="22"/>
          <w:lang w:val="en-GB"/>
        </w:rPr>
        <w:t xml:space="preserve">2.5 </w:t>
      </w:r>
      <w:r w:rsidR="00646489" w:rsidRPr="00CC7C1A">
        <w:rPr>
          <w:rFonts w:asciiTheme="minorHAnsi" w:hAnsiTheme="minorHAnsi" w:cs="Arial"/>
          <w:b/>
          <w:bCs/>
          <w:sz w:val="22"/>
          <w:szCs w:val="22"/>
          <w:lang w:val="en-GB"/>
        </w:rPr>
        <w:t>2016/17 NHS standard contract</w:t>
      </w:r>
      <w:r w:rsidR="00CC7C1A">
        <w:rPr>
          <w:rFonts w:asciiTheme="minorHAnsi" w:hAnsiTheme="minorHAnsi" w:cs="Arial"/>
          <w:b/>
          <w:bCs/>
          <w:sz w:val="22"/>
          <w:szCs w:val="22"/>
          <w:lang w:val="en-GB"/>
        </w:rPr>
        <w:t xml:space="preserve">.  </w:t>
      </w:r>
      <w:r w:rsidR="00646489" w:rsidRPr="00646489">
        <w:rPr>
          <w:rFonts w:asciiTheme="minorHAnsi" w:hAnsiTheme="minorHAnsi" w:cs="Arial"/>
          <w:bCs/>
          <w:sz w:val="22"/>
          <w:szCs w:val="22"/>
          <w:lang w:val="en-GB"/>
        </w:rPr>
        <w:t>The NHS standard contract is mandated by NHS England for use by NHS commissioners to contract with providers of all healthcare services other than primary care. NHS England has now published the draft contract for 2016/17, which will be under consultation until 16 March 2016. It outlines significant proposed changes to how financial sanctions are applied to core access standards, as well as several modifications made in order to ensure that the contract is consistent with changes to national legislation.</w:t>
      </w:r>
    </w:p>
    <w:p w:rsidR="00646489" w:rsidRDefault="00F31371" w:rsidP="00646489">
      <w:pPr>
        <w:ind w:left="720"/>
        <w:jc w:val="both"/>
        <w:rPr>
          <w:rFonts w:asciiTheme="minorHAnsi" w:hAnsiTheme="minorHAnsi" w:cs="Arial"/>
          <w:bCs/>
          <w:sz w:val="22"/>
          <w:szCs w:val="22"/>
          <w:lang w:val="en-GB"/>
        </w:rPr>
      </w:pPr>
      <w:hyperlink r:id="rId13" w:history="1">
        <w:r w:rsidR="00646489" w:rsidRPr="0074107C">
          <w:rPr>
            <w:rStyle w:val="Hyperlink"/>
            <w:rFonts w:asciiTheme="minorHAnsi" w:hAnsiTheme="minorHAnsi" w:cs="Arial"/>
            <w:bCs/>
            <w:sz w:val="22"/>
            <w:szCs w:val="22"/>
            <w:lang w:val="en-GB"/>
          </w:rPr>
          <w:t>https://www.england.nhs.uk/nhs-standard-contract/16-17/</w:t>
        </w:r>
      </w:hyperlink>
    </w:p>
    <w:p w:rsidR="00646489" w:rsidRDefault="00646489" w:rsidP="00646489">
      <w:pPr>
        <w:ind w:left="720"/>
        <w:jc w:val="both"/>
        <w:rPr>
          <w:rFonts w:asciiTheme="minorHAnsi" w:hAnsiTheme="minorHAnsi" w:cs="Arial"/>
          <w:bCs/>
          <w:sz w:val="22"/>
          <w:szCs w:val="22"/>
          <w:lang w:val="en-GB"/>
        </w:rPr>
      </w:pPr>
    </w:p>
    <w:p w:rsidR="0042097D" w:rsidRDefault="003017B7" w:rsidP="00646489">
      <w:pPr>
        <w:ind w:left="720"/>
        <w:jc w:val="both"/>
        <w:rPr>
          <w:rFonts w:asciiTheme="minorHAnsi" w:hAnsiTheme="minorHAnsi" w:cs="Arial"/>
          <w:bCs/>
          <w:sz w:val="22"/>
          <w:szCs w:val="22"/>
          <w:lang w:val="en-GB"/>
        </w:rPr>
      </w:pPr>
      <w:r w:rsidRPr="003017B7">
        <w:rPr>
          <w:rFonts w:asciiTheme="minorHAnsi" w:hAnsiTheme="minorHAnsi" w:cs="Arial"/>
          <w:b/>
          <w:bCs/>
          <w:sz w:val="22"/>
          <w:szCs w:val="22"/>
          <w:lang w:val="en-GB"/>
        </w:rPr>
        <w:t xml:space="preserve">2.6 </w:t>
      </w:r>
      <w:r w:rsidR="0042097D" w:rsidRPr="003017B7">
        <w:rPr>
          <w:rFonts w:asciiTheme="minorHAnsi" w:hAnsiTheme="minorHAnsi" w:cs="Arial"/>
          <w:b/>
          <w:bCs/>
          <w:sz w:val="22"/>
          <w:szCs w:val="22"/>
          <w:lang w:val="en-GB"/>
        </w:rPr>
        <w:t>Agency working</w:t>
      </w:r>
      <w:r w:rsidR="00CC7C1A">
        <w:rPr>
          <w:rFonts w:asciiTheme="minorHAnsi" w:hAnsiTheme="minorHAnsi" w:cs="Arial"/>
          <w:b/>
          <w:bCs/>
          <w:sz w:val="22"/>
          <w:szCs w:val="22"/>
          <w:lang w:val="en-GB"/>
        </w:rPr>
        <w:t xml:space="preserve">.  </w:t>
      </w:r>
      <w:r w:rsidR="0042097D" w:rsidRPr="0042097D">
        <w:rPr>
          <w:rFonts w:asciiTheme="minorHAnsi" w:hAnsiTheme="minorHAnsi" w:cs="Arial"/>
          <w:bCs/>
          <w:sz w:val="22"/>
          <w:szCs w:val="22"/>
          <w:lang w:val="en-GB"/>
        </w:rPr>
        <w:t xml:space="preserve">From 1 April 2016, all trusts in scope of the agency rules will be required to use Monitor/TDA approved frameworks for the procurement of all agency staff (nurses, doctors, </w:t>
      </w:r>
      <w:proofErr w:type="gramStart"/>
      <w:r w:rsidR="0042097D" w:rsidRPr="0042097D">
        <w:rPr>
          <w:rFonts w:asciiTheme="minorHAnsi" w:hAnsiTheme="minorHAnsi" w:cs="Arial"/>
          <w:bCs/>
          <w:sz w:val="22"/>
          <w:szCs w:val="22"/>
          <w:lang w:val="en-GB"/>
        </w:rPr>
        <w:t>other</w:t>
      </w:r>
      <w:proofErr w:type="gramEnd"/>
      <w:r w:rsidR="0042097D" w:rsidRPr="0042097D">
        <w:rPr>
          <w:rFonts w:asciiTheme="minorHAnsi" w:hAnsiTheme="minorHAnsi" w:cs="Arial"/>
          <w:bCs/>
          <w:sz w:val="22"/>
          <w:szCs w:val="22"/>
          <w:lang w:val="en-GB"/>
        </w:rPr>
        <w:t xml:space="preserve"> clinical and non-clinical staff). This is an extension of the existing requirement to procure all nursing staff via approved framework agreements.</w:t>
      </w:r>
    </w:p>
    <w:p w:rsidR="0042097D" w:rsidRDefault="0042097D" w:rsidP="00646489">
      <w:pPr>
        <w:ind w:left="720"/>
        <w:jc w:val="both"/>
        <w:rPr>
          <w:rFonts w:asciiTheme="minorHAnsi" w:hAnsiTheme="minorHAnsi" w:cs="Arial"/>
          <w:bCs/>
          <w:sz w:val="22"/>
          <w:szCs w:val="22"/>
          <w:lang w:val="en-GB"/>
        </w:rPr>
      </w:pPr>
    </w:p>
    <w:p w:rsidR="0042097D" w:rsidRPr="0042097D" w:rsidRDefault="00227160" w:rsidP="0042097D">
      <w:pPr>
        <w:ind w:left="720"/>
        <w:jc w:val="both"/>
        <w:rPr>
          <w:rFonts w:asciiTheme="minorHAnsi" w:hAnsiTheme="minorHAnsi" w:cs="Arial"/>
          <w:bCs/>
          <w:sz w:val="22"/>
          <w:szCs w:val="22"/>
          <w:lang w:val="en-GB"/>
        </w:rPr>
      </w:pPr>
      <w:r>
        <w:rPr>
          <w:rFonts w:asciiTheme="minorHAnsi" w:hAnsiTheme="minorHAnsi" w:cs="Arial"/>
          <w:bCs/>
          <w:sz w:val="22"/>
          <w:szCs w:val="22"/>
          <w:lang w:val="en-GB"/>
        </w:rPr>
        <w:t>G</w:t>
      </w:r>
      <w:r w:rsidR="0042097D" w:rsidRPr="0042097D">
        <w:rPr>
          <w:rFonts w:asciiTheme="minorHAnsi" w:hAnsiTheme="minorHAnsi" w:cs="Arial"/>
          <w:bCs/>
          <w:sz w:val="22"/>
          <w:szCs w:val="22"/>
          <w:lang w:val="en-GB"/>
        </w:rPr>
        <w:t>uidance for framework operators, setting out the measures they need to put in place, now and in the future, to s</w:t>
      </w:r>
      <w:r>
        <w:rPr>
          <w:rFonts w:asciiTheme="minorHAnsi" w:hAnsiTheme="minorHAnsi" w:cs="Arial"/>
          <w:bCs/>
          <w:sz w:val="22"/>
          <w:szCs w:val="22"/>
          <w:lang w:val="en-GB"/>
        </w:rPr>
        <w:t>ecure approval from Monitor/TDA have been published.</w:t>
      </w:r>
    </w:p>
    <w:p w:rsidR="0042097D" w:rsidRDefault="0042097D" w:rsidP="00227160">
      <w:pPr>
        <w:ind w:left="720"/>
        <w:jc w:val="both"/>
        <w:rPr>
          <w:rFonts w:asciiTheme="minorHAnsi" w:hAnsiTheme="minorHAnsi" w:cs="Arial"/>
          <w:bCs/>
          <w:sz w:val="22"/>
          <w:szCs w:val="22"/>
          <w:lang w:val="en-GB"/>
        </w:rPr>
      </w:pPr>
      <w:r w:rsidRPr="0042097D">
        <w:rPr>
          <w:rFonts w:asciiTheme="minorHAnsi" w:hAnsiTheme="minorHAnsi" w:cs="Arial"/>
          <w:bCs/>
          <w:sz w:val="22"/>
          <w:szCs w:val="22"/>
          <w:lang w:val="en-GB"/>
        </w:rPr>
        <w:t>In particular, they must commit to delivering as soon as possible (and by 1 November at the very latest) frameworks that fully embed the price caps, and maximum pay rates for the worker in line with standard NHS rates.</w:t>
      </w:r>
    </w:p>
    <w:p w:rsidR="0042097D" w:rsidRDefault="00F31371" w:rsidP="00646489">
      <w:pPr>
        <w:ind w:left="720"/>
        <w:jc w:val="both"/>
        <w:rPr>
          <w:rFonts w:asciiTheme="minorHAnsi" w:hAnsiTheme="minorHAnsi" w:cs="Arial"/>
          <w:bCs/>
          <w:sz w:val="22"/>
          <w:szCs w:val="22"/>
          <w:lang w:val="en-GB"/>
        </w:rPr>
      </w:pPr>
      <w:hyperlink r:id="rId14" w:anchor="agency-price-caps-update-new-framework-arrangements" w:history="1">
        <w:r w:rsidR="0042097D" w:rsidRPr="0074107C">
          <w:rPr>
            <w:rStyle w:val="Hyperlink"/>
            <w:rFonts w:asciiTheme="minorHAnsi" w:hAnsiTheme="minorHAnsi" w:cs="Arial"/>
            <w:bCs/>
            <w:sz w:val="22"/>
            <w:szCs w:val="22"/>
            <w:lang w:val="en-GB"/>
          </w:rPr>
          <w:t>https://www.gov.uk/guidance/rules-for-all-agency-staff-working-in-the-nhs#agency-price-caps-update-new-framework-arrangements</w:t>
        </w:r>
      </w:hyperlink>
    </w:p>
    <w:p w:rsidR="00C06C6E" w:rsidRDefault="00C06C6E" w:rsidP="00265222">
      <w:pPr>
        <w:jc w:val="both"/>
        <w:rPr>
          <w:rFonts w:asciiTheme="minorHAnsi" w:hAnsiTheme="minorHAnsi" w:cs="Arial"/>
          <w:bCs/>
          <w:sz w:val="22"/>
          <w:szCs w:val="22"/>
          <w:lang w:val="en-GB"/>
        </w:rPr>
      </w:pPr>
    </w:p>
    <w:p w:rsidR="00C06C6E" w:rsidRPr="00C06C6E" w:rsidRDefault="00C06C6E" w:rsidP="00C06C6E">
      <w:pPr>
        <w:ind w:left="720"/>
        <w:jc w:val="both"/>
        <w:rPr>
          <w:rFonts w:asciiTheme="minorHAnsi" w:hAnsiTheme="minorHAnsi" w:cs="Arial"/>
          <w:bCs/>
          <w:sz w:val="22"/>
          <w:szCs w:val="22"/>
          <w:lang w:val="en-GB"/>
        </w:rPr>
      </w:pPr>
    </w:p>
    <w:p w:rsidR="00C06C6E" w:rsidRPr="00C06C6E" w:rsidRDefault="00165B7B" w:rsidP="00C06C6E">
      <w:pPr>
        <w:ind w:left="720"/>
        <w:jc w:val="both"/>
        <w:rPr>
          <w:rFonts w:asciiTheme="minorHAnsi" w:hAnsiTheme="minorHAnsi" w:cs="Arial"/>
          <w:bCs/>
          <w:sz w:val="22"/>
          <w:szCs w:val="22"/>
          <w:lang w:val="en-GB"/>
        </w:rPr>
      </w:pPr>
      <w:r>
        <w:rPr>
          <w:rFonts w:asciiTheme="minorHAnsi" w:hAnsiTheme="minorHAnsi" w:cs="Arial"/>
          <w:b/>
          <w:bCs/>
          <w:sz w:val="22"/>
          <w:szCs w:val="22"/>
          <w:lang w:val="en-GB"/>
        </w:rPr>
        <w:t xml:space="preserve">2.7 </w:t>
      </w:r>
      <w:r w:rsidR="00C06C6E" w:rsidRPr="00C06C6E">
        <w:rPr>
          <w:rFonts w:asciiTheme="minorHAnsi" w:hAnsiTheme="minorHAnsi" w:cs="Arial"/>
          <w:b/>
          <w:bCs/>
          <w:sz w:val="22"/>
          <w:szCs w:val="22"/>
          <w:lang w:val="en-GB"/>
        </w:rPr>
        <w:t>NHS Shared Planning Guidance</w:t>
      </w:r>
      <w:r w:rsidR="00CC7C1A">
        <w:rPr>
          <w:rFonts w:asciiTheme="minorHAnsi" w:hAnsiTheme="minorHAnsi" w:cs="Arial"/>
          <w:b/>
          <w:bCs/>
          <w:sz w:val="22"/>
          <w:szCs w:val="22"/>
          <w:lang w:val="en-GB"/>
        </w:rPr>
        <w:t xml:space="preserve">.  </w:t>
      </w:r>
      <w:r w:rsidR="00C06C6E" w:rsidRPr="00C06C6E">
        <w:rPr>
          <w:rFonts w:asciiTheme="minorHAnsi" w:hAnsiTheme="minorHAnsi" w:cs="Arial"/>
          <w:bCs/>
          <w:sz w:val="22"/>
          <w:szCs w:val="22"/>
          <w:lang w:val="en-GB"/>
        </w:rPr>
        <w:t xml:space="preserve">The leading national health and care bodies in England have come together to publish ‘Delivering the Forward View: NHS Shared </w:t>
      </w:r>
      <w:r w:rsidR="00C06C6E" w:rsidRPr="00C06C6E">
        <w:rPr>
          <w:rFonts w:asciiTheme="minorHAnsi" w:hAnsiTheme="minorHAnsi" w:cs="Arial"/>
          <w:bCs/>
          <w:sz w:val="22"/>
          <w:szCs w:val="22"/>
          <w:lang w:val="en-GB"/>
        </w:rPr>
        <w:lastRenderedPageBreak/>
        <w:t>Planning Guidance 2016/17 – 2020/21’, setting out the steps to help local organisations deliver a sustainable, transformed health service and improve the quality of care, wellbeing and NHS finances.</w:t>
      </w:r>
    </w:p>
    <w:p w:rsidR="00C06C6E" w:rsidRPr="00C06C6E" w:rsidRDefault="00C06C6E" w:rsidP="00C06C6E">
      <w:pPr>
        <w:ind w:left="720"/>
        <w:jc w:val="both"/>
        <w:rPr>
          <w:rFonts w:asciiTheme="minorHAnsi" w:hAnsiTheme="minorHAnsi" w:cs="Arial"/>
          <w:bCs/>
          <w:sz w:val="22"/>
          <w:szCs w:val="22"/>
          <w:lang w:val="en-GB"/>
        </w:rPr>
      </w:pPr>
    </w:p>
    <w:p w:rsidR="00C06C6E" w:rsidRPr="00C06C6E" w:rsidRDefault="00C06C6E" w:rsidP="00C06C6E">
      <w:pPr>
        <w:ind w:left="720"/>
        <w:jc w:val="both"/>
        <w:rPr>
          <w:rFonts w:asciiTheme="minorHAnsi" w:hAnsiTheme="minorHAnsi" w:cs="Arial"/>
          <w:bCs/>
          <w:sz w:val="22"/>
          <w:szCs w:val="22"/>
          <w:lang w:val="en-GB"/>
        </w:rPr>
      </w:pPr>
      <w:r w:rsidRPr="00C06C6E">
        <w:rPr>
          <w:rFonts w:asciiTheme="minorHAnsi" w:hAnsiTheme="minorHAnsi" w:cs="Arial"/>
          <w:bCs/>
          <w:sz w:val="22"/>
          <w:szCs w:val="22"/>
          <w:lang w:val="en-GB"/>
        </w:rPr>
        <w:t>It is published by NHS England, NHS Improvement (the new body which will bring together Monitor and the NHS Trust Development Authority), the Care Quality Commission, Public Health England, Health Education England and NICE – the bodies which developed the Five Year Forward View in October 2014.</w:t>
      </w:r>
    </w:p>
    <w:p w:rsidR="00C06C6E" w:rsidRPr="00C06C6E" w:rsidRDefault="00C06C6E" w:rsidP="00C06C6E">
      <w:pPr>
        <w:ind w:left="720"/>
        <w:jc w:val="both"/>
        <w:rPr>
          <w:rFonts w:asciiTheme="minorHAnsi" w:hAnsiTheme="minorHAnsi" w:cs="Arial"/>
          <w:bCs/>
          <w:sz w:val="22"/>
          <w:szCs w:val="22"/>
          <w:lang w:val="en-GB"/>
        </w:rPr>
      </w:pPr>
    </w:p>
    <w:p w:rsidR="00C06C6E" w:rsidRDefault="00C06C6E" w:rsidP="00C06C6E">
      <w:pPr>
        <w:ind w:left="720"/>
        <w:jc w:val="both"/>
        <w:rPr>
          <w:rFonts w:asciiTheme="minorHAnsi" w:hAnsiTheme="minorHAnsi" w:cs="Arial"/>
          <w:bCs/>
          <w:sz w:val="22"/>
          <w:szCs w:val="22"/>
          <w:lang w:val="en-GB"/>
        </w:rPr>
      </w:pPr>
      <w:r w:rsidRPr="00C06C6E">
        <w:rPr>
          <w:rFonts w:asciiTheme="minorHAnsi" w:hAnsiTheme="minorHAnsi" w:cs="Arial"/>
          <w:bCs/>
          <w:sz w:val="22"/>
          <w:szCs w:val="22"/>
          <w:lang w:val="en-GB"/>
        </w:rPr>
        <w:t>The planning guidance is backed up by £560 billion of NHS funding, including a new Sustainability and Transformation Fund which will support financial balance, the delivery of the Five Year Forward View, and enable new investment in key priorities</w:t>
      </w:r>
    </w:p>
    <w:p w:rsidR="00C06C6E" w:rsidRDefault="00F31371" w:rsidP="00C06C6E">
      <w:pPr>
        <w:ind w:left="720"/>
        <w:jc w:val="both"/>
        <w:rPr>
          <w:rFonts w:asciiTheme="minorHAnsi" w:hAnsiTheme="minorHAnsi" w:cs="Arial"/>
          <w:bCs/>
          <w:sz w:val="22"/>
          <w:szCs w:val="22"/>
          <w:lang w:val="en-GB"/>
        </w:rPr>
      </w:pPr>
      <w:hyperlink r:id="rId15" w:history="1">
        <w:r w:rsidR="00C06C6E" w:rsidRPr="00983368">
          <w:rPr>
            <w:rStyle w:val="Hyperlink"/>
            <w:rFonts w:asciiTheme="minorHAnsi" w:hAnsiTheme="minorHAnsi" w:cs="Arial"/>
            <w:bCs/>
            <w:sz w:val="22"/>
            <w:szCs w:val="22"/>
            <w:lang w:val="en-GB"/>
          </w:rPr>
          <w:t>https://www.england.nhs.uk/ourwork/futurenhs/deliver-forward-view/</w:t>
        </w:r>
      </w:hyperlink>
    </w:p>
    <w:p w:rsidR="00C06C6E" w:rsidRDefault="00C06C6E" w:rsidP="00C06C6E">
      <w:pPr>
        <w:ind w:left="720"/>
        <w:jc w:val="both"/>
        <w:rPr>
          <w:rFonts w:asciiTheme="minorHAnsi" w:hAnsiTheme="minorHAnsi" w:cs="Arial"/>
          <w:bCs/>
          <w:sz w:val="22"/>
          <w:szCs w:val="22"/>
          <w:lang w:val="en-GB"/>
        </w:rPr>
      </w:pPr>
    </w:p>
    <w:p w:rsidR="00165B7B" w:rsidRPr="00165B7B" w:rsidRDefault="00165B7B" w:rsidP="00165B7B">
      <w:pPr>
        <w:ind w:left="720"/>
        <w:jc w:val="both"/>
        <w:rPr>
          <w:rFonts w:asciiTheme="minorHAnsi" w:hAnsiTheme="minorHAnsi" w:cs="Arial"/>
          <w:bCs/>
          <w:sz w:val="22"/>
          <w:szCs w:val="22"/>
          <w:lang w:val="en-GB"/>
        </w:rPr>
      </w:pPr>
      <w:r>
        <w:rPr>
          <w:rFonts w:asciiTheme="minorHAnsi" w:hAnsiTheme="minorHAnsi" w:cs="Arial"/>
          <w:b/>
          <w:bCs/>
          <w:sz w:val="22"/>
          <w:szCs w:val="22"/>
          <w:lang w:val="en-GB"/>
        </w:rPr>
        <w:t xml:space="preserve">2.8 </w:t>
      </w:r>
      <w:r w:rsidRPr="00165B7B">
        <w:rPr>
          <w:rFonts w:asciiTheme="minorHAnsi" w:hAnsiTheme="minorHAnsi" w:cs="Arial"/>
          <w:b/>
          <w:bCs/>
          <w:sz w:val="22"/>
          <w:szCs w:val="22"/>
          <w:lang w:val="en-GB"/>
        </w:rPr>
        <w:t>Clinical Negligence Scheme for Trusts Consultation</w:t>
      </w:r>
      <w:r w:rsidR="00CC7C1A" w:rsidRPr="00CC7C1A">
        <w:rPr>
          <w:rFonts w:asciiTheme="minorHAnsi" w:hAnsiTheme="minorHAnsi" w:cs="Arial"/>
          <w:b/>
          <w:bCs/>
          <w:sz w:val="22"/>
          <w:szCs w:val="22"/>
          <w:lang w:val="en-GB"/>
        </w:rPr>
        <w:t xml:space="preserve">.  </w:t>
      </w:r>
      <w:r w:rsidRPr="00CC7C1A">
        <w:rPr>
          <w:rFonts w:asciiTheme="minorHAnsi" w:hAnsiTheme="minorHAnsi" w:cs="Arial"/>
          <w:bCs/>
          <w:sz w:val="22"/>
          <w:szCs w:val="22"/>
          <w:lang w:val="en-GB"/>
        </w:rPr>
        <w:t>The Clinical Negligence Scheme for Trusts Consultation</w:t>
      </w:r>
      <w:r>
        <w:rPr>
          <w:rFonts w:asciiTheme="minorHAnsi" w:hAnsiTheme="minorHAnsi" w:cs="Arial"/>
          <w:bCs/>
          <w:sz w:val="22"/>
          <w:szCs w:val="22"/>
          <w:lang w:val="en-GB"/>
        </w:rPr>
        <w:t xml:space="preserve"> document is now available for consideration. It </w:t>
      </w:r>
      <w:r w:rsidRPr="00165B7B">
        <w:rPr>
          <w:rFonts w:asciiTheme="minorHAnsi" w:hAnsiTheme="minorHAnsi" w:cs="Arial"/>
          <w:bCs/>
          <w:sz w:val="22"/>
          <w:szCs w:val="22"/>
          <w:lang w:val="en-GB"/>
        </w:rPr>
        <w:t>sets out potential approaches to setting contributions for Members fr</w:t>
      </w:r>
      <w:r>
        <w:rPr>
          <w:rFonts w:asciiTheme="minorHAnsi" w:hAnsiTheme="minorHAnsi" w:cs="Arial"/>
          <w:bCs/>
          <w:sz w:val="22"/>
          <w:szCs w:val="22"/>
          <w:lang w:val="en-GB"/>
        </w:rPr>
        <w:t>om April 2017. The</w:t>
      </w:r>
      <w:r w:rsidRPr="00165B7B">
        <w:rPr>
          <w:rFonts w:asciiTheme="minorHAnsi" w:hAnsiTheme="minorHAnsi" w:cs="Arial"/>
          <w:bCs/>
          <w:sz w:val="22"/>
          <w:szCs w:val="22"/>
          <w:lang w:val="en-GB"/>
        </w:rPr>
        <w:t xml:space="preserve"> Consultation </w:t>
      </w:r>
      <w:r>
        <w:rPr>
          <w:rFonts w:asciiTheme="minorHAnsi" w:hAnsiTheme="minorHAnsi" w:cs="Arial"/>
          <w:bCs/>
          <w:sz w:val="22"/>
          <w:szCs w:val="22"/>
          <w:lang w:val="en-GB"/>
        </w:rPr>
        <w:t>is designed to reflect the concerns of</w:t>
      </w:r>
      <w:r w:rsidRPr="00165B7B">
        <w:rPr>
          <w:rFonts w:asciiTheme="minorHAnsi" w:hAnsiTheme="minorHAnsi" w:cs="Arial"/>
          <w:bCs/>
          <w:sz w:val="22"/>
          <w:szCs w:val="22"/>
          <w:lang w:val="en-GB"/>
        </w:rPr>
        <w:t xml:space="preserve"> Members and provides the n</w:t>
      </w:r>
      <w:r>
        <w:rPr>
          <w:rFonts w:asciiTheme="minorHAnsi" w:hAnsiTheme="minorHAnsi" w:cs="Arial"/>
          <w:bCs/>
          <w:sz w:val="22"/>
          <w:szCs w:val="22"/>
          <w:lang w:val="en-GB"/>
        </w:rPr>
        <w:t>ecessary prompts to help lead</w:t>
      </w:r>
      <w:r w:rsidRPr="00165B7B">
        <w:rPr>
          <w:rFonts w:asciiTheme="minorHAnsi" w:hAnsiTheme="minorHAnsi" w:cs="Arial"/>
          <w:bCs/>
          <w:sz w:val="22"/>
          <w:szCs w:val="22"/>
          <w:lang w:val="en-GB"/>
        </w:rPr>
        <w:t xml:space="preserve"> to an effective set of principles for operating a scheme which supports the provision of clinical services across the NHS.</w:t>
      </w:r>
    </w:p>
    <w:p w:rsidR="00165B7B" w:rsidRPr="00165B7B" w:rsidRDefault="00165B7B" w:rsidP="00165B7B">
      <w:pPr>
        <w:ind w:left="720"/>
        <w:jc w:val="both"/>
        <w:rPr>
          <w:rFonts w:asciiTheme="minorHAnsi" w:hAnsiTheme="minorHAnsi" w:cs="Arial"/>
          <w:bCs/>
          <w:sz w:val="22"/>
          <w:szCs w:val="22"/>
          <w:lang w:val="en-GB"/>
        </w:rPr>
      </w:pPr>
    </w:p>
    <w:p w:rsidR="00897FF9" w:rsidRPr="00165B7B" w:rsidRDefault="00165B7B" w:rsidP="00165B7B">
      <w:pPr>
        <w:ind w:left="720"/>
        <w:jc w:val="both"/>
        <w:rPr>
          <w:rFonts w:asciiTheme="minorHAnsi" w:hAnsiTheme="minorHAnsi" w:cs="Arial"/>
          <w:bCs/>
          <w:sz w:val="22"/>
          <w:szCs w:val="22"/>
          <w:lang w:val="en-GB"/>
        </w:rPr>
      </w:pPr>
      <w:r w:rsidRPr="00165B7B">
        <w:rPr>
          <w:rFonts w:asciiTheme="minorHAnsi" w:hAnsiTheme="minorHAnsi" w:cs="Arial"/>
          <w:bCs/>
          <w:sz w:val="22"/>
          <w:szCs w:val="22"/>
          <w:lang w:val="en-GB"/>
        </w:rPr>
        <w:t xml:space="preserve">Consultation responses </w:t>
      </w:r>
      <w:r>
        <w:rPr>
          <w:rFonts w:asciiTheme="minorHAnsi" w:hAnsiTheme="minorHAnsi" w:cs="Arial"/>
          <w:bCs/>
          <w:sz w:val="22"/>
          <w:szCs w:val="22"/>
          <w:lang w:val="en-GB"/>
        </w:rPr>
        <w:t xml:space="preserve">should be submitted </w:t>
      </w:r>
      <w:r w:rsidRPr="00165B7B">
        <w:rPr>
          <w:rFonts w:asciiTheme="minorHAnsi" w:hAnsiTheme="minorHAnsi" w:cs="Arial"/>
          <w:bCs/>
          <w:sz w:val="22"/>
          <w:szCs w:val="22"/>
          <w:lang w:val="en-GB"/>
        </w:rPr>
        <w:t>by noon on 17th May 2016</w:t>
      </w:r>
      <w:r w:rsidR="00CC7C1A">
        <w:rPr>
          <w:rFonts w:asciiTheme="minorHAnsi" w:hAnsiTheme="minorHAnsi" w:cs="Arial"/>
          <w:bCs/>
          <w:sz w:val="22"/>
          <w:szCs w:val="22"/>
          <w:lang w:val="en-GB"/>
        </w:rPr>
        <w:t xml:space="preserve"> and t</w:t>
      </w:r>
      <w:r w:rsidRPr="00165B7B">
        <w:rPr>
          <w:rFonts w:asciiTheme="minorHAnsi" w:hAnsiTheme="minorHAnsi" w:cs="Arial"/>
          <w:bCs/>
          <w:sz w:val="22"/>
          <w:szCs w:val="22"/>
          <w:lang w:val="en-GB"/>
        </w:rPr>
        <w:t>he results will be analysed in May and the final proposals will be subject to Department of Health review and modelling in J</w:t>
      </w:r>
      <w:r>
        <w:rPr>
          <w:rFonts w:asciiTheme="minorHAnsi" w:hAnsiTheme="minorHAnsi" w:cs="Arial"/>
          <w:bCs/>
          <w:sz w:val="22"/>
          <w:szCs w:val="22"/>
          <w:lang w:val="en-GB"/>
        </w:rPr>
        <w:t>une-July. A formal response to the</w:t>
      </w:r>
      <w:r w:rsidRPr="00165B7B">
        <w:rPr>
          <w:rFonts w:asciiTheme="minorHAnsi" w:hAnsiTheme="minorHAnsi" w:cs="Arial"/>
          <w:bCs/>
          <w:sz w:val="22"/>
          <w:szCs w:val="22"/>
          <w:lang w:val="en-GB"/>
        </w:rPr>
        <w:t xml:space="preserve"> Consultation</w:t>
      </w:r>
      <w:r>
        <w:rPr>
          <w:rFonts w:asciiTheme="minorHAnsi" w:hAnsiTheme="minorHAnsi" w:cs="Arial"/>
          <w:bCs/>
          <w:sz w:val="22"/>
          <w:szCs w:val="22"/>
          <w:lang w:val="en-GB"/>
        </w:rPr>
        <w:t xml:space="preserve"> will be published</w:t>
      </w:r>
      <w:r w:rsidRPr="00165B7B">
        <w:rPr>
          <w:rFonts w:asciiTheme="minorHAnsi" w:hAnsiTheme="minorHAnsi" w:cs="Arial"/>
          <w:bCs/>
          <w:sz w:val="22"/>
          <w:szCs w:val="22"/>
          <w:lang w:val="en-GB"/>
        </w:rPr>
        <w:t xml:space="preserve"> later in the year.</w:t>
      </w:r>
    </w:p>
    <w:p w:rsidR="00165B7B" w:rsidRDefault="00F31371" w:rsidP="00165B7B">
      <w:pPr>
        <w:ind w:left="720"/>
        <w:jc w:val="both"/>
        <w:rPr>
          <w:rFonts w:asciiTheme="minorHAnsi" w:hAnsiTheme="minorHAnsi" w:cs="Arial"/>
          <w:bCs/>
          <w:sz w:val="22"/>
          <w:szCs w:val="22"/>
          <w:lang w:val="en-GB"/>
        </w:rPr>
      </w:pPr>
      <w:hyperlink r:id="rId16" w:history="1">
        <w:r w:rsidR="00897FF9" w:rsidRPr="00034529">
          <w:rPr>
            <w:rStyle w:val="Hyperlink"/>
            <w:rFonts w:asciiTheme="minorHAnsi" w:hAnsiTheme="minorHAnsi" w:cs="Arial"/>
            <w:bCs/>
            <w:sz w:val="22"/>
            <w:szCs w:val="22"/>
            <w:lang w:val="en-GB"/>
          </w:rPr>
          <w:t>http://www.nhsla.com/CurrentActivity/Pages/News.aspx</w:t>
        </w:r>
      </w:hyperlink>
    </w:p>
    <w:p w:rsidR="00254F05" w:rsidRDefault="00254F05" w:rsidP="00165B7B">
      <w:pPr>
        <w:ind w:left="720"/>
        <w:jc w:val="both"/>
        <w:rPr>
          <w:rFonts w:asciiTheme="minorHAnsi" w:hAnsiTheme="minorHAnsi" w:cs="Arial"/>
          <w:bCs/>
          <w:sz w:val="22"/>
          <w:szCs w:val="22"/>
          <w:lang w:val="en-GB"/>
        </w:rPr>
      </w:pPr>
    </w:p>
    <w:p w:rsidR="00254F05" w:rsidRDefault="00265222" w:rsidP="00165B7B">
      <w:pPr>
        <w:ind w:left="720"/>
        <w:jc w:val="both"/>
        <w:rPr>
          <w:rFonts w:asciiTheme="minorHAnsi" w:hAnsiTheme="minorHAnsi" w:cs="Arial"/>
          <w:bCs/>
          <w:sz w:val="22"/>
          <w:szCs w:val="22"/>
          <w:lang w:val="en-GB"/>
        </w:rPr>
      </w:pPr>
      <w:r>
        <w:rPr>
          <w:rFonts w:asciiTheme="minorHAnsi" w:hAnsiTheme="minorHAnsi" w:cs="Arial"/>
          <w:b/>
          <w:bCs/>
          <w:sz w:val="22"/>
          <w:szCs w:val="22"/>
          <w:lang w:val="en-GB"/>
        </w:rPr>
        <w:t xml:space="preserve">2.9 </w:t>
      </w:r>
      <w:r w:rsidR="00254F05" w:rsidRPr="002C7C26">
        <w:rPr>
          <w:rFonts w:asciiTheme="minorHAnsi" w:hAnsiTheme="minorHAnsi" w:cs="Arial"/>
          <w:b/>
          <w:bCs/>
          <w:sz w:val="22"/>
          <w:szCs w:val="22"/>
          <w:lang w:val="en-GB"/>
        </w:rPr>
        <w:t>Old problems, new solutions: improving acute psychiatric care for adults in England:</w:t>
      </w:r>
      <w:r w:rsidR="00254F05" w:rsidRPr="00254F05">
        <w:rPr>
          <w:rFonts w:asciiTheme="minorHAnsi" w:hAnsiTheme="minorHAnsi" w:cs="Arial"/>
          <w:bCs/>
          <w:sz w:val="22"/>
          <w:szCs w:val="22"/>
          <w:lang w:val="en-GB"/>
        </w:rPr>
        <w:t xml:space="preserve"> </w:t>
      </w:r>
      <w:r w:rsidR="00254F05" w:rsidRPr="002C7C26">
        <w:rPr>
          <w:rFonts w:asciiTheme="minorHAnsi" w:hAnsiTheme="minorHAnsi" w:cs="Arial"/>
          <w:b/>
          <w:bCs/>
          <w:sz w:val="22"/>
          <w:szCs w:val="22"/>
          <w:lang w:val="en-GB"/>
        </w:rPr>
        <w:t>final report.</w:t>
      </w:r>
      <w:r w:rsidR="00254F05" w:rsidRPr="00254F05">
        <w:rPr>
          <w:rFonts w:asciiTheme="minorHAnsi" w:hAnsiTheme="minorHAnsi" w:cs="Arial"/>
          <w:bCs/>
          <w:sz w:val="22"/>
          <w:szCs w:val="22"/>
          <w:lang w:val="en-GB"/>
        </w:rPr>
        <w:t xml:space="preserve"> This report, from an independent commission, highlights system-wide problems in mental healthcare in England including variable quality of care on inpatient units, inadequate availability of inpatient care or alternatives to inpatient admission, and patients remaining in hospital for longer than necessary due to inadequate residential provision. It recommends significant changes to how services are commissioned, organised and monitored across the whole mental health system. It also calls for faster access to acute care and an end to sending severely-ill mental health patients long distances for treatment.</w:t>
      </w:r>
    </w:p>
    <w:p w:rsidR="002C7C26" w:rsidRDefault="00F31371" w:rsidP="00165B7B">
      <w:pPr>
        <w:ind w:left="720"/>
        <w:jc w:val="both"/>
        <w:rPr>
          <w:rFonts w:asciiTheme="minorHAnsi" w:hAnsiTheme="minorHAnsi" w:cs="Arial"/>
          <w:bCs/>
          <w:sz w:val="22"/>
          <w:szCs w:val="22"/>
          <w:lang w:val="en-GB"/>
        </w:rPr>
      </w:pPr>
      <w:hyperlink r:id="rId17" w:history="1">
        <w:r w:rsidR="002C7C26" w:rsidRPr="00034529">
          <w:rPr>
            <w:rStyle w:val="Hyperlink"/>
            <w:rFonts w:asciiTheme="minorHAnsi" w:hAnsiTheme="minorHAnsi" w:cs="Arial"/>
            <w:bCs/>
            <w:sz w:val="22"/>
            <w:szCs w:val="22"/>
            <w:lang w:val="en-GB"/>
          </w:rPr>
          <w:t>http://media.wix.com/ugd/0e662e_6f7ebeffbf5e45dbbefacd0f0dcffb71.pdf</w:t>
        </w:r>
      </w:hyperlink>
    </w:p>
    <w:p w:rsidR="002C7C26" w:rsidRDefault="002C7C26" w:rsidP="00165B7B">
      <w:pPr>
        <w:ind w:left="720"/>
        <w:jc w:val="both"/>
        <w:rPr>
          <w:rFonts w:asciiTheme="minorHAnsi" w:hAnsiTheme="minorHAnsi" w:cs="Arial"/>
          <w:bCs/>
          <w:sz w:val="22"/>
          <w:szCs w:val="22"/>
          <w:lang w:val="en-GB"/>
        </w:rPr>
      </w:pPr>
    </w:p>
    <w:p w:rsidR="002C7C26" w:rsidRDefault="002C7C26" w:rsidP="00165B7B">
      <w:pPr>
        <w:ind w:left="720"/>
        <w:jc w:val="both"/>
        <w:rPr>
          <w:rFonts w:asciiTheme="minorHAnsi" w:hAnsiTheme="minorHAnsi" w:cs="Arial"/>
          <w:bCs/>
          <w:sz w:val="22"/>
          <w:szCs w:val="22"/>
          <w:lang w:val="en-GB"/>
        </w:rPr>
      </w:pPr>
    </w:p>
    <w:p w:rsidR="002C7C26" w:rsidRDefault="00265222" w:rsidP="00165B7B">
      <w:pPr>
        <w:ind w:left="720"/>
        <w:jc w:val="both"/>
        <w:rPr>
          <w:rFonts w:asciiTheme="minorHAnsi" w:hAnsiTheme="minorHAnsi" w:cs="Arial"/>
          <w:bCs/>
          <w:sz w:val="22"/>
          <w:szCs w:val="22"/>
          <w:lang w:val="en-GB"/>
        </w:rPr>
      </w:pPr>
      <w:r>
        <w:rPr>
          <w:rFonts w:asciiTheme="minorHAnsi" w:hAnsiTheme="minorHAnsi" w:cs="Arial"/>
          <w:b/>
          <w:bCs/>
          <w:sz w:val="22"/>
          <w:szCs w:val="22"/>
          <w:lang w:val="en-GB"/>
        </w:rPr>
        <w:t xml:space="preserve">2.10 </w:t>
      </w:r>
      <w:r w:rsidR="002C7C26" w:rsidRPr="002C7C26">
        <w:rPr>
          <w:rFonts w:asciiTheme="minorHAnsi" w:hAnsiTheme="minorHAnsi" w:cs="Arial"/>
          <w:b/>
          <w:bCs/>
          <w:sz w:val="22"/>
          <w:szCs w:val="22"/>
          <w:lang w:val="en-GB"/>
        </w:rPr>
        <w:t>Quarterly report on the performance of the NHS foundation trusts and NHS trusts: 9 months ended 31 December 2015</w:t>
      </w:r>
      <w:r w:rsidR="002C7C26" w:rsidRPr="002C7C26">
        <w:rPr>
          <w:rFonts w:asciiTheme="minorHAnsi" w:hAnsiTheme="minorHAnsi" w:cs="Arial"/>
          <w:bCs/>
          <w:sz w:val="22"/>
          <w:szCs w:val="22"/>
          <w:lang w:val="en-GB"/>
        </w:rPr>
        <w:t>. This analysis of NHS providers' operational and financial performance shows the sector as a whole made £741 million in efficiency savings between April and December 2015. However, the report finds that NHS providers are under sustained pressure from an increase in demand for care, issues with discharging medically fit patients, and high costs. As a result, many providers missed several national waiting times standards, such as the A&amp;E performance measure, in the last 3 months of 2015. In addition, the sector as a whole reported a deficit of £2.26 billion in the 9 months to the end of December 2015</w:t>
      </w:r>
    </w:p>
    <w:p w:rsidR="002C7C26" w:rsidRDefault="00F31371" w:rsidP="00165B7B">
      <w:pPr>
        <w:ind w:left="720"/>
        <w:jc w:val="both"/>
        <w:rPr>
          <w:rFonts w:asciiTheme="minorHAnsi" w:hAnsiTheme="minorHAnsi" w:cs="Arial"/>
          <w:bCs/>
          <w:sz w:val="22"/>
          <w:szCs w:val="22"/>
          <w:lang w:val="en-GB"/>
        </w:rPr>
      </w:pPr>
      <w:hyperlink r:id="rId18" w:history="1">
        <w:r w:rsidR="002C7C26" w:rsidRPr="00034529">
          <w:rPr>
            <w:rStyle w:val="Hyperlink"/>
            <w:rFonts w:asciiTheme="minorHAnsi" w:hAnsiTheme="minorHAnsi" w:cs="Arial"/>
            <w:bCs/>
            <w:sz w:val="22"/>
            <w:szCs w:val="22"/>
            <w:lang w:val="en-GB"/>
          </w:rPr>
          <w:t>https://www.gov.uk/government/publications/nhs-foundation-trusts-quarterly-performance-report-quarter-3-201415</w:t>
        </w:r>
      </w:hyperlink>
    </w:p>
    <w:p w:rsidR="002C7C26" w:rsidRDefault="002C7C26" w:rsidP="00165B7B">
      <w:pPr>
        <w:ind w:left="720"/>
        <w:jc w:val="both"/>
        <w:rPr>
          <w:rFonts w:asciiTheme="minorHAnsi" w:hAnsiTheme="minorHAnsi" w:cs="Arial"/>
          <w:bCs/>
          <w:sz w:val="22"/>
          <w:szCs w:val="22"/>
          <w:lang w:val="en-GB"/>
        </w:rPr>
      </w:pPr>
    </w:p>
    <w:p w:rsidR="002C7C26" w:rsidRDefault="00265222" w:rsidP="00165B7B">
      <w:pPr>
        <w:ind w:left="720"/>
        <w:jc w:val="both"/>
        <w:rPr>
          <w:rFonts w:asciiTheme="minorHAnsi" w:hAnsiTheme="minorHAnsi" w:cs="Arial"/>
          <w:bCs/>
          <w:sz w:val="22"/>
          <w:szCs w:val="22"/>
          <w:lang w:val="en-GB"/>
        </w:rPr>
      </w:pPr>
      <w:r>
        <w:rPr>
          <w:rFonts w:asciiTheme="minorHAnsi" w:hAnsiTheme="minorHAnsi" w:cs="Arial"/>
          <w:b/>
          <w:bCs/>
          <w:sz w:val="22"/>
          <w:szCs w:val="22"/>
          <w:lang w:val="en-GB"/>
        </w:rPr>
        <w:t xml:space="preserve">2.11 </w:t>
      </w:r>
      <w:r w:rsidR="002C7C26" w:rsidRPr="002C7C26">
        <w:rPr>
          <w:rFonts w:asciiTheme="minorHAnsi" w:hAnsiTheme="minorHAnsi" w:cs="Arial"/>
          <w:b/>
          <w:bCs/>
          <w:sz w:val="22"/>
          <w:szCs w:val="22"/>
          <w:lang w:val="en-GB"/>
        </w:rPr>
        <w:t>Summary of 2016/17 GMS contract negotiations.</w:t>
      </w:r>
      <w:r w:rsidR="002C7C26" w:rsidRPr="002C7C26">
        <w:rPr>
          <w:rFonts w:asciiTheme="minorHAnsi" w:hAnsiTheme="minorHAnsi" w:cs="Arial"/>
          <w:bCs/>
          <w:sz w:val="22"/>
          <w:szCs w:val="22"/>
          <w:lang w:val="en-GB"/>
        </w:rPr>
        <w:t xml:space="preserve"> The Government, NHS England and the BMA’s General Practitioners Committee have agreed changes to the GP contract in England. The new contract will see an investment of £220m for 2016 to 2017, part of which will provide a pay uplift of 1% for GPs. This note sets out a summary of the key changes to the General Medical Service (GMS) contract in England for 2016/17</w:t>
      </w:r>
    </w:p>
    <w:p w:rsidR="002C7C26" w:rsidRDefault="00F31371" w:rsidP="00165B7B">
      <w:pPr>
        <w:ind w:left="720"/>
        <w:jc w:val="both"/>
        <w:rPr>
          <w:rFonts w:asciiTheme="minorHAnsi" w:hAnsiTheme="minorHAnsi" w:cs="Arial"/>
          <w:bCs/>
          <w:sz w:val="22"/>
          <w:szCs w:val="22"/>
          <w:lang w:val="en-GB"/>
        </w:rPr>
      </w:pPr>
      <w:hyperlink r:id="rId19" w:history="1">
        <w:r w:rsidR="002C7C26" w:rsidRPr="00034529">
          <w:rPr>
            <w:rStyle w:val="Hyperlink"/>
            <w:rFonts w:asciiTheme="minorHAnsi" w:hAnsiTheme="minorHAnsi" w:cs="Arial"/>
            <w:bCs/>
            <w:sz w:val="22"/>
            <w:szCs w:val="22"/>
            <w:lang w:val="en-GB"/>
          </w:rPr>
          <w:t>http://www.nhsemployers.org/~/media/Employers/Documents/Primary%20care%20contracts/GMS/Summary%20GMS%20contract_Le1361_1.pdf</w:t>
        </w:r>
      </w:hyperlink>
    </w:p>
    <w:p w:rsidR="002C7C26" w:rsidRDefault="002C7C26" w:rsidP="00165B7B">
      <w:pPr>
        <w:ind w:left="720"/>
        <w:jc w:val="both"/>
        <w:rPr>
          <w:rFonts w:asciiTheme="minorHAnsi" w:hAnsiTheme="minorHAnsi" w:cs="Arial"/>
          <w:bCs/>
          <w:sz w:val="22"/>
          <w:szCs w:val="22"/>
          <w:lang w:val="en-GB"/>
        </w:rPr>
      </w:pPr>
    </w:p>
    <w:p w:rsidR="002C7C26" w:rsidRDefault="00265222" w:rsidP="00CC7C1A">
      <w:pPr>
        <w:ind w:left="720"/>
        <w:jc w:val="both"/>
        <w:rPr>
          <w:rFonts w:asciiTheme="minorHAnsi" w:hAnsiTheme="minorHAnsi" w:cs="Arial"/>
          <w:bCs/>
          <w:sz w:val="22"/>
          <w:szCs w:val="22"/>
          <w:lang w:val="en-GB"/>
        </w:rPr>
      </w:pPr>
      <w:r>
        <w:rPr>
          <w:rFonts w:asciiTheme="minorHAnsi" w:hAnsiTheme="minorHAnsi" w:cs="Arial"/>
          <w:b/>
          <w:bCs/>
          <w:sz w:val="22"/>
          <w:szCs w:val="22"/>
          <w:lang w:val="en-GB"/>
        </w:rPr>
        <w:t xml:space="preserve">2.12 </w:t>
      </w:r>
      <w:r w:rsidR="002C7C26" w:rsidRPr="00265222">
        <w:rPr>
          <w:rFonts w:asciiTheme="minorHAnsi" w:hAnsiTheme="minorHAnsi" w:cs="Arial"/>
          <w:b/>
          <w:bCs/>
          <w:sz w:val="22"/>
          <w:szCs w:val="22"/>
          <w:lang w:val="en-GB"/>
        </w:rPr>
        <w:t>Implementing the Forward View: Supporting providers to deliver.</w:t>
      </w:r>
      <w:r w:rsidR="002C7C26" w:rsidRPr="002C7C26">
        <w:rPr>
          <w:rFonts w:asciiTheme="minorHAnsi" w:hAnsiTheme="minorHAnsi" w:cs="Arial"/>
          <w:bCs/>
          <w:sz w:val="22"/>
          <w:szCs w:val="22"/>
          <w:lang w:val="en-GB"/>
        </w:rPr>
        <w:t xml:space="preserve"> A joint report outlines key priorities for NHS provider organisations in delivering high quality health and care in 2016 and beyond. The report: outlines the challenges and changes ahead; describes a coherent set of activities for NHS providers in the coming years; shows how providers across the country are beginning to deliver these; and outlines the support providers can expect from NHS Improvement.</w:t>
      </w:r>
    </w:p>
    <w:p w:rsidR="002C7C26" w:rsidRDefault="00F31371" w:rsidP="00165B7B">
      <w:pPr>
        <w:ind w:left="720"/>
        <w:jc w:val="both"/>
        <w:rPr>
          <w:rStyle w:val="Hyperlink"/>
          <w:rFonts w:asciiTheme="minorHAnsi" w:hAnsiTheme="minorHAnsi" w:cs="Arial"/>
          <w:bCs/>
          <w:sz w:val="22"/>
          <w:szCs w:val="22"/>
          <w:lang w:val="en-GB"/>
        </w:rPr>
      </w:pPr>
      <w:hyperlink r:id="rId20" w:history="1">
        <w:r w:rsidR="002C7C26" w:rsidRPr="00034529">
          <w:rPr>
            <w:rStyle w:val="Hyperlink"/>
            <w:rFonts w:asciiTheme="minorHAnsi" w:hAnsiTheme="minorHAnsi" w:cs="Arial"/>
            <w:bCs/>
            <w:sz w:val="22"/>
            <w:szCs w:val="22"/>
            <w:lang w:val="en-GB"/>
          </w:rPr>
          <w:t>https://www.gov.uk/government/publications/implementing-the-forward-view-supporting-providers-to-deliver</w:t>
        </w:r>
      </w:hyperlink>
    </w:p>
    <w:p w:rsidR="00CC7C1A" w:rsidRDefault="00CC7C1A" w:rsidP="00165B7B">
      <w:pPr>
        <w:ind w:left="720"/>
        <w:jc w:val="both"/>
        <w:rPr>
          <w:rFonts w:asciiTheme="minorHAnsi" w:hAnsiTheme="minorHAnsi" w:cs="Arial"/>
          <w:bCs/>
          <w:sz w:val="22"/>
          <w:szCs w:val="22"/>
          <w:lang w:val="en-GB"/>
        </w:rPr>
      </w:pPr>
    </w:p>
    <w:p w:rsidR="002C7C26" w:rsidRPr="00265222" w:rsidRDefault="00265222" w:rsidP="00165B7B">
      <w:pPr>
        <w:ind w:left="720"/>
        <w:jc w:val="both"/>
        <w:rPr>
          <w:rFonts w:asciiTheme="minorHAnsi" w:hAnsiTheme="minorHAnsi" w:cs="Arial"/>
          <w:sz w:val="22"/>
          <w:szCs w:val="22"/>
          <w:lang w:val="en"/>
        </w:rPr>
      </w:pPr>
      <w:r w:rsidRPr="00265222">
        <w:rPr>
          <w:rFonts w:asciiTheme="minorHAnsi" w:hAnsiTheme="minorHAnsi" w:cs="Arial"/>
          <w:b/>
          <w:sz w:val="22"/>
          <w:szCs w:val="22"/>
          <w:lang w:val="en"/>
        </w:rPr>
        <w:t>2.13</w:t>
      </w:r>
      <w:r w:rsidRPr="00265222">
        <w:rPr>
          <w:rFonts w:asciiTheme="minorHAnsi" w:hAnsiTheme="minorHAnsi" w:cs="Arial"/>
          <w:sz w:val="22"/>
          <w:szCs w:val="22"/>
          <w:lang w:val="en"/>
        </w:rPr>
        <w:t xml:space="preserve"> </w:t>
      </w:r>
      <w:hyperlink r:id="rId21" w:tgtFrame="_blank" w:history="1">
        <w:r w:rsidRPr="00265222">
          <w:rPr>
            <w:rStyle w:val="Strong"/>
            <w:rFonts w:asciiTheme="minorHAnsi" w:hAnsiTheme="minorHAnsi" w:cs="Arial"/>
            <w:sz w:val="22"/>
            <w:szCs w:val="22"/>
            <w:lang w:val="en"/>
          </w:rPr>
          <w:t>What the planning guidance means for the NHS: 2016/17 and beyond</w:t>
        </w:r>
      </w:hyperlink>
      <w:r w:rsidRPr="00265222">
        <w:rPr>
          <w:rFonts w:asciiTheme="minorHAnsi" w:hAnsiTheme="minorHAnsi" w:cs="Arial"/>
          <w:sz w:val="22"/>
          <w:szCs w:val="22"/>
          <w:lang w:val="en"/>
        </w:rPr>
        <w:t>. At a time when the NHS is planning for 2016/17 and beyond, this King's Fund briefing considers some of the key publications and policy announcements that have come out in the wake of the 2015 Spending Review and offers a commentary on what they might mean for the future landscape of the NHS.</w:t>
      </w:r>
    </w:p>
    <w:p w:rsidR="00265222" w:rsidRDefault="00F31371" w:rsidP="00165B7B">
      <w:pPr>
        <w:ind w:left="720"/>
        <w:jc w:val="both"/>
        <w:rPr>
          <w:rFonts w:asciiTheme="minorHAnsi" w:hAnsiTheme="minorHAnsi" w:cs="Arial"/>
          <w:bCs/>
          <w:sz w:val="22"/>
          <w:szCs w:val="22"/>
          <w:lang w:val="en-GB"/>
        </w:rPr>
      </w:pPr>
      <w:hyperlink r:id="rId22" w:history="1">
        <w:r w:rsidR="00265222" w:rsidRPr="00034529">
          <w:rPr>
            <w:rStyle w:val="Hyperlink"/>
            <w:rFonts w:asciiTheme="minorHAnsi" w:hAnsiTheme="minorHAnsi" w:cs="Arial"/>
            <w:bCs/>
            <w:sz w:val="22"/>
            <w:szCs w:val="22"/>
            <w:lang w:val="en-GB"/>
          </w:rPr>
          <w:t>http://www.kingsfund.org.uk/sites/files/kf/field/field_publication_file/Planning-guidance-briefing-Kings-Fund-February-2016.pdf</w:t>
        </w:r>
      </w:hyperlink>
    </w:p>
    <w:p w:rsidR="00265222" w:rsidRDefault="00265222" w:rsidP="00165B7B">
      <w:pPr>
        <w:ind w:left="720"/>
        <w:jc w:val="both"/>
        <w:rPr>
          <w:rFonts w:asciiTheme="minorHAnsi" w:hAnsiTheme="minorHAnsi" w:cs="Arial"/>
          <w:bCs/>
          <w:sz w:val="22"/>
          <w:szCs w:val="22"/>
          <w:lang w:val="en-GB"/>
        </w:rPr>
      </w:pPr>
    </w:p>
    <w:p w:rsidR="00CC7C1A" w:rsidRDefault="00CC7C1A" w:rsidP="00165B7B">
      <w:pPr>
        <w:ind w:left="720"/>
        <w:jc w:val="both"/>
        <w:rPr>
          <w:rFonts w:asciiTheme="minorHAnsi" w:hAnsiTheme="minorHAnsi" w:cs="Arial"/>
          <w:bCs/>
          <w:sz w:val="22"/>
          <w:szCs w:val="22"/>
          <w:lang w:val="en-GB"/>
        </w:rPr>
      </w:pPr>
      <w:r w:rsidRPr="00265222">
        <w:rPr>
          <w:rFonts w:asciiTheme="minorHAnsi" w:hAnsiTheme="minorHAnsi" w:cs="Arial"/>
          <w:b/>
          <w:sz w:val="22"/>
          <w:szCs w:val="22"/>
          <w:lang w:val="en"/>
        </w:rPr>
        <w:t>2.1</w:t>
      </w:r>
      <w:r>
        <w:rPr>
          <w:rFonts w:asciiTheme="minorHAnsi" w:hAnsiTheme="minorHAnsi" w:cs="Arial"/>
          <w:b/>
          <w:sz w:val="22"/>
          <w:szCs w:val="22"/>
          <w:lang w:val="en"/>
        </w:rPr>
        <w:t>4</w:t>
      </w:r>
      <w:r>
        <w:rPr>
          <w:rFonts w:asciiTheme="minorHAnsi" w:hAnsiTheme="minorHAnsi" w:cs="Arial"/>
          <w:sz w:val="22"/>
          <w:szCs w:val="22"/>
          <w:lang w:val="en"/>
        </w:rPr>
        <w:t xml:space="preserve"> </w:t>
      </w:r>
      <w:r w:rsidRPr="00CC7C1A">
        <w:rPr>
          <w:rFonts w:asciiTheme="minorHAnsi" w:hAnsiTheme="minorHAnsi" w:cs="Arial"/>
          <w:b/>
          <w:sz w:val="22"/>
          <w:szCs w:val="22"/>
          <w:lang w:val="en"/>
        </w:rPr>
        <w:t>Time for change, the challenge ahead.</w:t>
      </w:r>
      <w:r w:rsidRPr="00CC7C1A">
        <w:rPr>
          <w:rFonts w:asciiTheme="minorHAnsi" w:hAnsiTheme="minorHAnsi" w:cs="Arial"/>
          <w:sz w:val="22"/>
          <w:szCs w:val="22"/>
          <w:lang w:val="en"/>
        </w:rPr>
        <w:t xml:space="preserve">  </w:t>
      </w:r>
      <w:r w:rsidRPr="00CC7C1A">
        <w:rPr>
          <w:rFonts w:asciiTheme="minorHAnsi" w:hAnsiTheme="minorHAnsi"/>
          <w:sz w:val="22"/>
          <w:szCs w:val="22"/>
          <w:lang w:val="en"/>
        </w:rPr>
        <w:t xml:space="preserve">This report by Sir Stephen </w:t>
      </w:r>
      <w:proofErr w:type="spellStart"/>
      <w:r w:rsidRPr="00CC7C1A">
        <w:rPr>
          <w:rFonts w:asciiTheme="minorHAnsi" w:hAnsiTheme="minorHAnsi"/>
          <w:sz w:val="22"/>
          <w:szCs w:val="22"/>
          <w:lang w:val="en"/>
        </w:rPr>
        <w:t>Bubb</w:t>
      </w:r>
      <w:proofErr w:type="spellEnd"/>
      <w:r w:rsidRPr="00CC7C1A">
        <w:rPr>
          <w:rFonts w:asciiTheme="minorHAnsi" w:hAnsiTheme="minorHAnsi"/>
          <w:sz w:val="22"/>
          <w:szCs w:val="22"/>
          <w:lang w:val="en"/>
        </w:rPr>
        <w:t xml:space="preserve"> follows on from his original report into the Winterbourne View scandal. His recommendations included radical changes to the way the nation treats people with learning disabilities. He now concludes that subsequent proposals to deliver these changes are based on over-optimistic assumptions and he demands the appointment of a Learning Disabilities Commissioner who would have a statutory duty to promote, enhance, and protect the rights of people with learning disabilities and their families in England and ensure the delivery of the reforms.</w:t>
      </w:r>
    </w:p>
    <w:p w:rsidR="00265222" w:rsidRDefault="00CC7C1A" w:rsidP="00165B7B">
      <w:pPr>
        <w:ind w:left="720"/>
        <w:jc w:val="both"/>
        <w:rPr>
          <w:rFonts w:asciiTheme="minorHAnsi" w:hAnsiTheme="minorHAnsi" w:cs="Arial"/>
          <w:bCs/>
          <w:sz w:val="22"/>
          <w:szCs w:val="22"/>
          <w:lang w:val="en-GB"/>
        </w:rPr>
      </w:pPr>
      <w:hyperlink r:id="rId23" w:history="1">
        <w:r w:rsidRPr="00EC4780">
          <w:rPr>
            <w:rStyle w:val="Hyperlink"/>
            <w:rFonts w:asciiTheme="minorHAnsi" w:hAnsiTheme="minorHAnsi" w:cs="Arial"/>
            <w:bCs/>
            <w:sz w:val="22"/>
            <w:szCs w:val="22"/>
            <w:lang w:val="en-GB"/>
          </w:rPr>
          <w:t>https://www.acevo.org.uk/sites/default/files/ACEVO_report_TCA_final_web.pdf</w:t>
        </w:r>
      </w:hyperlink>
      <w:r>
        <w:rPr>
          <w:rFonts w:asciiTheme="minorHAnsi" w:hAnsiTheme="minorHAnsi" w:cs="Arial"/>
          <w:bCs/>
          <w:sz w:val="22"/>
          <w:szCs w:val="22"/>
          <w:lang w:val="en-GB"/>
        </w:rPr>
        <w:t xml:space="preserve"> </w:t>
      </w:r>
    </w:p>
    <w:p w:rsidR="002C7C26" w:rsidRPr="00165B7B" w:rsidRDefault="002C7C26" w:rsidP="00165B7B">
      <w:pPr>
        <w:ind w:left="720"/>
        <w:jc w:val="both"/>
        <w:rPr>
          <w:rFonts w:asciiTheme="minorHAnsi" w:hAnsiTheme="minorHAnsi" w:cs="Arial"/>
          <w:bCs/>
          <w:sz w:val="22"/>
          <w:szCs w:val="22"/>
          <w:lang w:val="en-GB"/>
        </w:rPr>
      </w:pPr>
    </w:p>
    <w:p w:rsidR="00165B7B" w:rsidRDefault="00165B7B" w:rsidP="00C06C6E">
      <w:pPr>
        <w:ind w:left="720"/>
        <w:jc w:val="both"/>
        <w:rPr>
          <w:rFonts w:asciiTheme="minorHAnsi" w:hAnsiTheme="minorHAnsi" w:cs="Arial"/>
          <w:bCs/>
          <w:sz w:val="22"/>
          <w:szCs w:val="22"/>
          <w:lang w:val="en-GB"/>
        </w:rPr>
      </w:pPr>
    </w:p>
    <w:p w:rsidR="00897FF9" w:rsidRDefault="00897FF9" w:rsidP="00C06C6E">
      <w:pPr>
        <w:ind w:left="720"/>
        <w:jc w:val="both"/>
        <w:rPr>
          <w:rFonts w:asciiTheme="minorHAnsi" w:hAnsiTheme="minorHAnsi" w:cs="Arial"/>
          <w:bCs/>
          <w:sz w:val="22"/>
          <w:szCs w:val="22"/>
          <w:lang w:val="en-GB"/>
        </w:rPr>
      </w:pPr>
    </w:p>
    <w:p w:rsidR="00897FF9" w:rsidRDefault="00897FF9" w:rsidP="00254F05">
      <w:pPr>
        <w:jc w:val="both"/>
        <w:rPr>
          <w:rFonts w:asciiTheme="minorHAnsi" w:hAnsiTheme="minorHAnsi" w:cs="Arial"/>
          <w:bCs/>
          <w:sz w:val="22"/>
          <w:szCs w:val="22"/>
          <w:lang w:val="en-GB"/>
        </w:rPr>
      </w:pPr>
    </w:p>
    <w:p w:rsidR="00897FF9" w:rsidRPr="00675C69" w:rsidRDefault="00897FF9" w:rsidP="00C06C6E">
      <w:pPr>
        <w:ind w:left="720"/>
        <w:jc w:val="both"/>
        <w:rPr>
          <w:rFonts w:asciiTheme="minorHAnsi" w:hAnsiTheme="minorHAnsi" w:cs="Arial"/>
          <w:bCs/>
          <w:sz w:val="22"/>
          <w:szCs w:val="22"/>
          <w:lang w:val="en-GB"/>
        </w:rPr>
      </w:pPr>
      <w:bookmarkStart w:id="0" w:name="_GoBack"/>
      <w:bookmarkEnd w:id="0"/>
    </w:p>
    <w:sectPr w:rsidR="00897FF9" w:rsidRPr="00675C69" w:rsidSect="00FE113A">
      <w:headerReference w:type="default" r:id="rId2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37" w:rsidRDefault="00611537" w:rsidP="005B3E3C">
      <w:r>
        <w:separator/>
      </w:r>
    </w:p>
  </w:endnote>
  <w:endnote w:type="continuationSeparator" w:id="0">
    <w:p w:rsidR="00611537" w:rsidRDefault="00611537"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00"/>
    <w:family w:val="roman"/>
    <w:notTrueType/>
    <w:pitch w:val="default"/>
    <w:sig w:usb0="00000001" w:usb1="08080000" w:usb2="00000010" w:usb3="00000000" w:csb0="001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37" w:rsidRDefault="00611537" w:rsidP="005B3E3C">
      <w:r>
        <w:separator/>
      </w:r>
    </w:p>
  </w:footnote>
  <w:footnote w:type="continuationSeparator" w:id="0">
    <w:p w:rsidR="00611537" w:rsidRDefault="00611537"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65C"/>
    <w:multiLevelType w:val="hybridMultilevel"/>
    <w:tmpl w:val="D8E8C0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E4D52DD"/>
    <w:multiLevelType w:val="hybridMultilevel"/>
    <w:tmpl w:val="D03C41BC"/>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4411855"/>
    <w:multiLevelType w:val="hybridMultilevel"/>
    <w:tmpl w:val="E19841B8"/>
    <w:lvl w:ilvl="0" w:tplc="2F94A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B1681C"/>
    <w:multiLevelType w:val="hybridMultilevel"/>
    <w:tmpl w:val="8F2E4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94A56FA"/>
    <w:multiLevelType w:val="multilevel"/>
    <w:tmpl w:val="0C2E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AE664D"/>
    <w:multiLevelType w:val="hybridMultilevel"/>
    <w:tmpl w:val="BFF6EB20"/>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2175132"/>
    <w:multiLevelType w:val="hybridMultilevel"/>
    <w:tmpl w:val="4B4895A4"/>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6CF9512B"/>
    <w:multiLevelType w:val="hybridMultilevel"/>
    <w:tmpl w:val="243A3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785BCE"/>
    <w:multiLevelType w:val="hybridMultilevel"/>
    <w:tmpl w:val="9022E486"/>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4"/>
  </w:num>
  <w:num w:numId="3">
    <w:abstractNumId w:val="7"/>
  </w:num>
  <w:num w:numId="4">
    <w:abstractNumId w:val="2"/>
  </w:num>
  <w:num w:numId="5">
    <w:abstractNumId w:val="0"/>
  </w:num>
  <w:num w:numId="6">
    <w:abstractNumId w:val="1"/>
  </w:num>
  <w:num w:numId="7">
    <w:abstractNumId w:val="8"/>
  </w:num>
  <w:num w:numId="8">
    <w:abstractNumId w:val="11"/>
  </w:num>
  <w:num w:numId="9">
    <w:abstractNumId w:val="6"/>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20D1E"/>
    <w:rsid w:val="00032845"/>
    <w:rsid w:val="00086EB2"/>
    <w:rsid w:val="000B0343"/>
    <w:rsid w:val="000E317C"/>
    <w:rsid w:val="000E6029"/>
    <w:rsid w:val="00121633"/>
    <w:rsid w:val="00165B7B"/>
    <w:rsid w:val="0018063B"/>
    <w:rsid w:val="001B3CC2"/>
    <w:rsid w:val="001D7431"/>
    <w:rsid w:val="001F76ED"/>
    <w:rsid w:val="00201D0F"/>
    <w:rsid w:val="00226D07"/>
    <w:rsid w:val="00227160"/>
    <w:rsid w:val="00227FCE"/>
    <w:rsid w:val="00241272"/>
    <w:rsid w:val="00250DF0"/>
    <w:rsid w:val="00254F05"/>
    <w:rsid w:val="002619EF"/>
    <w:rsid w:val="00265222"/>
    <w:rsid w:val="00270459"/>
    <w:rsid w:val="002821F8"/>
    <w:rsid w:val="00292613"/>
    <w:rsid w:val="002A5307"/>
    <w:rsid w:val="002A73E8"/>
    <w:rsid w:val="002C2F97"/>
    <w:rsid w:val="002C7C26"/>
    <w:rsid w:val="002E1577"/>
    <w:rsid w:val="002E6FC6"/>
    <w:rsid w:val="003017B7"/>
    <w:rsid w:val="00363C79"/>
    <w:rsid w:val="003971F6"/>
    <w:rsid w:val="003F7366"/>
    <w:rsid w:val="0042097D"/>
    <w:rsid w:val="00430677"/>
    <w:rsid w:val="004326BB"/>
    <w:rsid w:val="004A4775"/>
    <w:rsid w:val="004F4BBA"/>
    <w:rsid w:val="005233AA"/>
    <w:rsid w:val="00551B0F"/>
    <w:rsid w:val="005659FB"/>
    <w:rsid w:val="005B3548"/>
    <w:rsid w:val="005B3E3C"/>
    <w:rsid w:val="005C3FC1"/>
    <w:rsid w:val="005D3499"/>
    <w:rsid w:val="005E2583"/>
    <w:rsid w:val="00605AF3"/>
    <w:rsid w:val="00611537"/>
    <w:rsid w:val="0061684E"/>
    <w:rsid w:val="00646489"/>
    <w:rsid w:val="00675C69"/>
    <w:rsid w:val="0069085D"/>
    <w:rsid w:val="006E06A9"/>
    <w:rsid w:val="006E3C3E"/>
    <w:rsid w:val="0073522A"/>
    <w:rsid w:val="00765093"/>
    <w:rsid w:val="007769CD"/>
    <w:rsid w:val="0078032B"/>
    <w:rsid w:val="00781566"/>
    <w:rsid w:val="007976E7"/>
    <w:rsid w:val="007A1BDD"/>
    <w:rsid w:val="007A2CF0"/>
    <w:rsid w:val="007B6D77"/>
    <w:rsid w:val="007D5D69"/>
    <w:rsid w:val="00802701"/>
    <w:rsid w:val="008038A2"/>
    <w:rsid w:val="00811FE8"/>
    <w:rsid w:val="0086436B"/>
    <w:rsid w:val="00894B97"/>
    <w:rsid w:val="00897FF9"/>
    <w:rsid w:val="008A65DF"/>
    <w:rsid w:val="0090126E"/>
    <w:rsid w:val="00946E6E"/>
    <w:rsid w:val="009536C9"/>
    <w:rsid w:val="0096117D"/>
    <w:rsid w:val="00967283"/>
    <w:rsid w:val="009869DE"/>
    <w:rsid w:val="00A015A5"/>
    <w:rsid w:val="00A122E3"/>
    <w:rsid w:val="00A65B94"/>
    <w:rsid w:val="00A674FB"/>
    <w:rsid w:val="00A85311"/>
    <w:rsid w:val="00AA0C3F"/>
    <w:rsid w:val="00AC3814"/>
    <w:rsid w:val="00AD63A2"/>
    <w:rsid w:val="00AF0562"/>
    <w:rsid w:val="00B26E1A"/>
    <w:rsid w:val="00B26F2C"/>
    <w:rsid w:val="00B50D5E"/>
    <w:rsid w:val="00BA3B3E"/>
    <w:rsid w:val="00BF5367"/>
    <w:rsid w:val="00C02F68"/>
    <w:rsid w:val="00C06C6E"/>
    <w:rsid w:val="00C07817"/>
    <w:rsid w:val="00C11AA2"/>
    <w:rsid w:val="00C71D95"/>
    <w:rsid w:val="00C7658D"/>
    <w:rsid w:val="00CC7C1A"/>
    <w:rsid w:val="00CF47D9"/>
    <w:rsid w:val="00D07064"/>
    <w:rsid w:val="00D20BA1"/>
    <w:rsid w:val="00D22BC8"/>
    <w:rsid w:val="00D279FC"/>
    <w:rsid w:val="00D55ADD"/>
    <w:rsid w:val="00D8544F"/>
    <w:rsid w:val="00DA0FA6"/>
    <w:rsid w:val="00DC60A7"/>
    <w:rsid w:val="00DD33DF"/>
    <w:rsid w:val="00DD7BCE"/>
    <w:rsid w:val="00DE1293"/>
    <w:rsid w:val="00DE5FBB"/>
    <w:rsid w:val="00E36F67"/>
    <w:rsid w:val="00E456A0"/>
    <w:rsid w:val="00E827C5"/>
    <w:rsid w:val="00EE3E09"/>
    <w:rsid w:val="00F24EB2"/>
    <w:rsid w:val="00F31371"/>
    <w:rsid w:val="00F50A07"/>
    <w:rsid w:val="00F57119"/>
    <w:rsid w:val="00F77C13"/>
    <w:rsid w:val="00FC72E4"/>
    <w:rsid w:val="00FD2279"/>
    <w:rsid w:val="00FE09FF"/>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18908">
      <w:bodyDiv w:val="1"/>
      <w:marLeft w:val="0"/>
      <w:marRight w:val="0"/>
      <w:marTop w:val="0"/>
      <w:marBottom w:val="0"/>
      <w:divBdr>
        <w:top w:val="none" w:sz="0" w:space="0" w:color="auto"/>
        <w:left w:val="none" w:sz="0" w:space="0" w:color="auto"/>
        <w:bottom w:val="none" w:sz="0" w:space="0" w:color="auto"/>
        <w:right w:val="none" w:sz="0" w:space="0" w:color="auto"/>
      </w:divBdr>
      <w:divsChild>
        <w:div w:id="99930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gland.nhs.uk/nhs-standard-contract/16-17/" TargetMode="External"/><Relationship Id="rId18" Type="http://schemas.openxmlformats.org/officeDocument/2006/relationships/hyperlink" Target="https://www.gov.uk/government/publications/nhs-foundation-trusts-quarterly-performance-report-quarter-3-20141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kingsfund.org.uk/sites/files/kf/field/field_publication_file/Planning-guidance-briefing-Kings-Fund-February-2016.pdf" TargetMode="External"/><Relationship Id="rId7" Type="http://schemas.openxmlformats.org/officeDocument/2006/relationships/endnotes" Target="endnotes.xml"/><Relationship Id="rId12" Type="http://schemas.openxmlformats.org/officeDocument/2006/relationships/hyperlink" Target="http://www.bbc.co.uk/news/health-35597244" TargetMode="External"/><Relationship Id="rId17" Type="http://schemas.openxmlformats.org/officeDocument/2006/relationships/hyperlink" Target="http://media.wix.com/ugd/0e662e_6f7ebeffbf5e45dbbefacd0f0dcffb7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hsla.com/CurrentActivity/Pages/News.aspx" TargetMode="External"/><Relationship Id="rId20" Type="http://schemas.openxmlformats.org/officeDocument/2006/relationships/hyperlink" Target="https://www.gov.uk/government/publications/implementing-the-forward-view-supporting-providers-to-deliv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cal.gov.uk/documents/10180/7632544/L16-5+HWBs+engaging+effectively+with+providers/5faeded5-feb8-4af9-86a6-b0dc4cb5ef9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ngland.nhs.uk/ourwork/futurenhs/deliver-forward-view/" TargetMode="External"/><Relationship Id="rId23" Type="http://schemas.openxmlformats.org/officeDocument/2006/relationships/hyperlink" Target="https://www.acevo.org.uk/sites/default/files/ACEVO_report_TCA_final_web.pdf" TargetMode="External"/><Relationship Id="rId10" Type="http://schemas.openxmlformats.org/officeDocument/2006/relationships/hyperlink" Target="http://www.nhsstaffsurveys.com/Page/1010/Home/NHS-Staff-Survey-2015/" TargetMode="External"/><Relationship Id="rId19" Type="http://schemas.openxmlformats.org/officeDocument/2006/relationships/hyperlink" Target="http://www.nhsemployers.org/~/media/Employers/Documents/Primary%20care%20contracts/GMS/Summary%20GMS%20contract_Le1361_1.pdf" TargetMode="External"/><Relationship Id="rId4" Type="http://schemas.openxmlformats.org/officeDocument/2006/relationships/settings" Target="settings.xml"/><Relationship Id="rId9" Type="http://schemas.openxmlformats.org/officeDocument/2006/relationships/hyperlink" Target="http://www.kingsfund.org.uk/publications/quality-improvement" TargetMode="External"/><Relationship Id="rId14" Type="http://schemas.openxmlformats.org/officeDocument/2006/relationships/hyperlink" Target="https://www.gov.uk/guidance/rules-for-all-agency-staff-working-in-the-nhs" TargetMode="External"/><Relationship Id="rId22" Type="http://schemas.openxmlformats.org/officeDocument/2006/relationships/hyperlink" Target="http://www.kingsfund.org.uk/sites/files/kf/field/field_publication_file/Planning-guidance-briefing-Kings-Fund-Februar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1955</Words>
  <Characters>13248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Rogers Kerry (RNU) Oxford Health</cp:lastModifiedBy>
  <cp:revision>3</cp:revision>
  <cp:lastPrinted>2016-01-19T10:22:00Z</cp:lastPrinted>
  <dcterms:created xsi:type="dcterms:W3CDTF">2016-03-16T19:33:00Z</dcterms:created>
  <dcterms:modified xsi:type="dcterms:W3CDTF">2016-03-16T19:46:00Z</dcterms:modified>
</cp:coreProperties>
</file>