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44" w:rsidRPr="00056CE8" w:rsidRDefault="00837044" w:rsidP="00454528">
      <w:pPr>
        <w:ind w:right="-900"/>
        <w:jc w:val="right"/>
        <w:rPr>
          <w:rFonts w:ascii="Segoe UI" w:hAnsi="Segoe UI" w:cs="Segoe UI"/>
          <w:lang w:val="en-GB"/>
        </w:rPr>
      </w:pPr>
      <w:r w:rsidRPr="00056CE8">
        <w:rPr>
          <w:rFonts w:ascii="Segoe UI" w:hAnsi="Segoe UI" w:cs="Segoe UI"/>
          <w:noProof/>
          <w:lang w:val="en-GB" w:eastAsia="en-GB"/>
        </w:rPr>
        <w:drawing>
          <wp:inline distT="0" distB="0" distL="0" distR="0" wp14:anchorId="65099D2E" wp14:editId="3CDFD41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837044" w:rsidRPr="00056CE8" w:rsidRDefault="00837044" w:rsidP="00454528">
      <w:pPr>
        <w:rPr>
          <w:rFonts w:ascii="Segoe UI" w:hAnsi="Segoe UI" w:cs="Segoe UI"/>
        </w:rPr>
      </w:pPr>
    </w:p>
    <w:p w:rsidR="00837044" w:rsidRPr="00056CE8" w:rsidRDefault="00837044" w:rsidP="00454528">
      <w:pPr>
        <w:jc w:val="center"/>
        <w:rPr>
          <w:rFonts w:ascii="Segoe UI" w:hAnsi="Segoe UI" w:cs="Segoe UI"/>
        </w:rPr>
      </w:pPr>
      <w:bookmarkStart w:id="0" w:name="_GoBack"/>
      <w:bookmarkEnd w:id="0"/>
      <w:r w:rsidRPr="00056CE8">
        <w:rPr>
          <w:rFonts w:ascii="Segoe UI" w:hAnsi="Segoe UI" w:cs="Segoe UI"/>
          <w:noProof/>
          <w:lang w:val="en-GB" w:eastAsia="en-GB"/>
        </w:rPr>
        <mc:AlternateContent>
          <mc:Choice Requires="wps">
            <w:drawing>
              <wp:anchor distT="0" distB="0" distL="114300" distR="114300" simplePos="0" relativeHeight="251659264" behindDoc="0" locked="0" layoutInCell="1" allowOverlap="1" wp14:anchorId="71D7484B" wp14:editId="6AFD6752">
                <wp:simplePos x="0" y="0"/>
                <wp:positionH relativeFrom="column">
                  <wp:posOffset>4114800</wp:posOffset>
                </wp:positionH>
                <wp:positionV relativeFrom="paragraph">
                  <wp:posOffset>51435</wp:posOffset>
                </wp:positionV>
                <wp:extent cx="1371600" cy="5715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B1A36" w:rsidRDefault="00310BA8" w:rsidP="00837044">
                            <w:pPr>
                              <w:jc w:val="center"/>
                              <w:rPr>
                                <w:rFonts w:ascii="Arial" w:hAnsi="Arial" w:cs="Arial"/>
                              </w:rPr>
                            </w:pPr>
                            <w:r>
                              <w:rPr>
                                <w:rFonts w:ascii="Arial" w:hAnsi="Arial" w:cs="Arial"/>
                                <w:b/>
                              </w:rPr>
                              <w:br/>
                              <w:t>BOD 34/2016</w:t>
                            </w:r>
                          </w:p>
                          <w:p w:rsidR="00310BA8" w:rsidRPr="00310BA8" w:rsidRDefault="00310BA8" w:rsidP="00837044">
                            <w:pPr>
                              <w:jc w:val="center"/>
                              <w:rPr>
                                <w:rFonts w:ascii="Arial" w:hAnsi="Arial" w:cs="Arial"/>
                                <w:sz w:val="22"/>
                                <w:szCs w:val="22"/>
                              </w:rPr>
                            </w:pPr>
                            <w:r>
                              <w:rPr>
                                <w:rFonts w:ascii="Arial" w:hAnsi="Arial" w:cs="Arial"/>
                                <w:sz w:val="22"/>
                                <w:szCs w:val="22"/>
                              </w:rPr>
                              <w:t>(Agenda item: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4pt;margin-top:4.0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AIKtOeGwIAADcEAAAOAAAAAAAAAAAAAAAAAC4CAABkcnMvZTJvRG9jLnhtbFBLAQIt&#10;ABQABgAIAAAAIQAEtrzh3wAAAAgBAAAPAAAAAAAAAAAAAAAAAHUEAABkcnMvZG93bnJldi54bWxQ&#10;SwUGAAAAAAQABADzAAAAgQUAAAAA&#10;">
                <v:textbox inset="0,0,0,0">
                  <w:txbxContent>
                    <w:p w:rsidR="00CB1A36" w:rsidRDefault="00310BA8" w:rsidP="00837044">
                      <w:pPr>
                        <w:jc w:val="center"/>
                        <w:rPr>
                          <w:rFonts w:ascii="Arial" w:hAnsi="Arial" w:cs="Arial"/>
                        </w:rPr>
                      </w:pPr>
                      <w:r>
                        <w:rPr>
                          <w:rFonts w:ascii="Arial" w:hAnsi="Arial" w:cs="Arial"/>
                          <w:b/>
                        </w:rPr>
                        <w:br/>
                        <w:t>BOD 34/2016</w:t>
                      </w:r>
                    </w:p>
                    <w:p w:rsidR="00310BA8" w:rsidRPr="00310BA8" w:rsidRDefault="00310BA8" w:rsidP="00837044">
                      <w:pPr>
                        <w:jc w:val="center"/>
                        <w:rPr>
                          <w:rFonts w:ascii="Arial" w:hAnsi="Arial" w:cs="Arial"/>
                          <w:sz w:val="22"/>
                          <w:szCs w:val="22"/>
                        </w:rPr>
                      </w:pPr>
                      <w:r>
                        <w:rPr>
                          <w:rFonts w:ascii="Arial" w:hAnsi="Arial" w:cs="Arial"/>
                          <w:sz w:val="22"/>
                          <w:szCs w:val="22"/>
                        </w:rPr>
                        <w:t>(Agenda item: 8)</w:t>
                      </w:r>
                    </w:p>
                  </w:txbxContent>
                </v:textbox>
              </v:rect>
            </w:pict>
          </mc:Fallback>
        </mc:AlternateContent>
      </w:r>
    </w:p>
    <w:p w:rsidR="00837044" w:rsidRPr="00056CE8" w:rsidRDefault="00837044" w:rsidP="00454528">
      <w:pPr>
        <w:pStyle w:val="Heading1"/>
        <w:rPr>
          <w:rFonts w:ascii="Segoe UI" w:hAnsi="Segoe UI" w:cs="Segoe UI"/>
          <w:sz w:val="24"/>
          <w:szCs w:val="24"/>
          <w:u w:val="none"/>
        </w:rPr>
      </w:pPr>
    </w:p>
    <w:p w:rsidR="00837044" w:rsidRPr="00056CE8" w:rsidRDefault="00837044" w:rsidP="00454528">
      <w:pPr>
        <w:pStyle w:val="Heading1"/>
        <w:rPr>
          <w:rFonts w:ascii="Segoe UI" w:hAnsi="Segoe UI" w:cs="Segoe UI"/>
          <w:sz w:val="24"/>
          <w:szCs w:val="24"/>
          <w:u w:val="none"/>
        </w:rPr>
      </w:pPr>
    </w:p>
    <w:p w:rsidR="00837044" w:rsidRPr="00056CE8" w:rsidRDefault="00837044" w:rsidP="00454528">
      <w:pPr>
        <w:pStyle w:val="Heading1"/>
        <w:jc w:val="center"/>
        <w:rPr>
          <w:rFonts w:ascii="Segoe UI" w:hAnsi="Segoe UI" w:cs="Segoe UI"/>
          <w:sz w:val="24"/>
          <w:szCs w:val="24"/>
          <w:u w:val="none"/>
        </w:rPr>
      </w:pPr>
    </w:p>
    <w:p w:rsidR="00837044" w:rsidRPr="00056CE8" w:rsidRDefault="00837044" w:rsidP="00454528">
      <w:pPr>
        <w:pStyle w:val="Heading1"/>
        <w:jc w:val="center"/>
        <w:rPr>
          <w:rFonts w:ascii="Segoe UI" w:hAnsi="Segoe UI" w:cs="Segoe UI"/>
          <w:sz w:val="24"/>
          <w:szCs w:val="24"/>
          <w:u w:val="none"/>
        </w:rPr>
      </w:pPr>
    </w:p>
    <w:p w:rsidR="00837044" w:rsidRPr="00056CE8" w:rsidRDefault="00837044" w:rsidP="00454528">
      <w:pPr>
        <w:pStyle w:val="Heading1"/>
        <w:jc w:val="center"/>
        <w:rPr>
          <w:rFonts w:ascii="Segoe UI" w:hAnsi="Segoe UI" w:cs="Segoe UI"/>
          <w:sz w:val="24"/>
          <w:szCs w:val="24"/>
          <w:u w:val="none"/>
        </w:rPr>
      </w:pPr>
      <w:r w:rsidRPr="00056CE8">
        <w:rPr>
          <w:rFonts w:ascii="Segoe UI" w:hAnsi="Segoe UI" w:cs="Segoe UI"/>
          <w:sz w:val="24"/>
          <w:szCs w:val="24"/>
          <w:u w:val="none"/>
        </w:rPr>
        <w:t xml:space="preserve">Report to the Meeting of the </w:t>
      </w:r>
    </w:p>
    <w:p w:rsidR="00837044" w:rsidRPr="00056CE8" w:rsidRDefault="00837044" w:rsidP="00454528">
      <w:pPr>
        <w:pStyle w:val="Heading1"/>
        <w:jc w:val="center"/>
        <w:rPr>
          <w:rFonts w:ascii="Segoe UI" w:hAnsi="Segoe UI" w:cs="Segoe UI"/>
          <w:sz w:val="24"/>
          <w:szCs w:val="24"/>
          <w:u w:val="none"/>
        </w:rPr>
      </w:pPr>
      <w:r w:rsidRPr="00056CE8">
        <w:rPr>
          <w:rFonts w:ascii="Segoe UI" w:hAnsi="Segoe UI" w:cs="Segoe UI"/>
          <w:sz w:val="24"/>
          <w:szCs w:val="24"/>
          <w:u w:val="none"/>
        </w:rPr>
        <w:t xml:space="preserve">Oxford Health NHS Foundation Trust </w:t>
      </w:r>
    </w:p>
    <w:p w:rsidR="00837044" w:rsidRPr="00056CE8" w:rsidRDefault="00837044" w:rsidP="00454528">
      <w:pPr>
        <w:pStyle w:val="Heading1"/>
        <w:jc w:val="center"/>
        <w:rPr>
          <w:rFonts w:ascii="Segoe UI" w:hAnsi="Segoe UI" w:cs="Segoe UI"/>
          <w:sz w:val="24"/>
          <w:szCs w:val="24"/>
          <w:u w:val="none"/>
        </w:rPr>
      </w:pPr>
      <w:r w:rsidRPr="00056CE8">
        <w:rPr>
          <w:rFonts w:ascii="Segoe UI" w:hAnsi="Segoe UI" w:cs="Segoe UI"/>
          <w:sz w:val="24"/>
          <w:szCs w:val="24"/>
          <w:u w:val="none"/>
        </w:rPr>
        <w:t>Board of Directors</w:t>
      </w:r>
    </w:p>
    <w:p w:rsidR="00837044" w:rsidRPr="00056CE8" w:rsidRDefault="00837044" w:rsidP="00454528">
      <w:pPr>
        <w:rPr>
          <w:rFonts w:ascii="Segoe UI" w:hAnsi="Segoe UI" w:cs="Segoe UI"/>
          <w:b/>
        </w:rPr>
      </w:pPr>
    </w:p>
    <w:p w:rsidR="00837044" w:rsidRPr="00056CE8" w:rsidRDefault="00747A06" w:rsidP="00454528">
      <w:pPr>
        <w:jc w:val="center"/>
        <w:rPr>
          <w:rFonts w:ascii="Segoe UI" w:hAnsi="Segoe UI" w:cs="Segoe UI"/>
          <w:b/>
        </w:rPr>
      </w:pPr>
      <w:r w:rsidRPr="00056CE8">
        <w:rPr>
          <w:rFonts w:ascii="Segoe UI" w:hAnsi="Segoe UI" w:cs="Segoe UI"/>
          <w:b/>
        </w:rPr>
        <w:t>23</w:t>
      </w:r>
      <w:r w:rsidRPr="00056CE8">
        <w:rPr>
          <w:rFonts w:ascii="Segoe UI" w:hAnsi="Segoe UI" w:cs="Segoe UI"/>
          <w:b/>
          <w:vertAlign w:val="superscript"/>
        </w:rPr>
        <w:t>rd</w:t>
      </w:r>
      <w:r w:rsidRPr="00056CE8">
        <w:rPr>
          <w:rFonts w:ascii="Segoe UI" w:hAnsi="Segoe UI" w:cs="Segoe UI"/>
          <w:b/>
        </w:rPr>
        <w:t xml:space="preserve"> </w:t>
      </w:r>
      <w:r w:rsidR="00CB1A36" w:rsidRPr="00056CE8">
        <w:rPr>
          <w:rFonts w:ascii="Segoe UI" w:hAnsi="Segoe UI" w:cs="Segoe UI"/>
          <w:b/>
        </w:rPr>
        <w:t>March 2016</w:t>
      </w:r>
    </w:p>
    <w:p w:rsidR="00837044" w:rsidRPr="00056CE8" w:rsidRDefault="00837044" w:rsidP="00454528">
      <w:pPr>
        <w:jc w:val="center"/>
        <w:rPr>
          <w:rFonts w:ascii="Segoe UI" w:hAnsi="Segoe UI" w:cs="Segoe UI"/>
          <w:b/>
        </w:rPr>
      </w:pPr>
    </w:p>
    <w:p w:rsidR="000743E7" w:rsidRPr="00056CE8" w:rsidRDefault="000743E7" w:rsidP="000743E7">
      <w:pPr>
        <w:jc w:val="center"/>
        <w:rPr>
          <w:rFonts w:ascii="Segoe UI" w:hAnsi="Segoe UI" w:cs="Segoe UI"/>
          <w:b/>
          <w:u w:val="single"/>
          <w:lang w:val="en-GB" w:eastAsia="en-GB"/>
        </w:rPr>
      </w:pPr>
      <w:r w:rsidRPr="00056CE8">
        <w:rPr>
          <w:rFonts w:ascii="Segoe UI" w:hAnsi="Segoe UI" w:cs="Segoe UI"/>
          <w:b/>
          <w:u w:val="single"/>
          <w:lang w:val="en-GB" w:eastAsia="en-GB"/>
        </w:rPr>
        <w:t>Quarter 3</w:t>
      </w:r>
      <w:r w:rsidR="001438A2" w:rsidRPr="00056CE8">
        <w:rPr>
          <w:rFonts w:ascii="Segoe UI" w:hAnsi="Segoe UI" w:cs="Segoe UI"/>
          <w:b/>
          <w:u w:val="single"/>
          <w:lang w:val="en-GB" w:eastAsia="en-GB"/>
        </w:rPr>
        <w:t xml:space="preserve"> 2015/16 Quality Report -Safety</w:t>
      </w:r>
    </w:p>
    <w:p w:rsidR="00837044" w:rsidRPr="00056CE8" w:rsidRDefault="00837044" w:rsidP="00454528">
      <w:pPr>
        <w:rPr>
          <w:rFonts w:ascii="Segoe UI" w:hAnsi="Segoe UI" w:cs="Segoe UI"/>
          <w:b/>
        </w:rPr>
      </w:pPr>
    </w:p>
    <w:p w:rsidR="00837044" w:rsidRPr="00056CE8" w:rsidRDefault="00837044" w:rsidP="00454528">
      <w:pPr>
        <w:jc w:val="both"/>
        <w:rPr>
          <w:rFonts w:ascii="Segoe UI" w:hAnsi="Segoe UI" w:cs="Segoe UI"/>
          <w:b/>
        </w:rPr>
      </w:pPr>
      <w:r w:rsidRPr="00056CE8">
        <w:rPr>
          <w:rFonts w:ascii="Segoe UI" w:hAnsi="Segoe UI" w:cs="Segoe UI"/>
          <w:b/>
        </w:rPr>
        <w:t>Executive Summary</w:t>
      </w:r>
    </w:p>
    <w:p w:rsidR="00CB1A36" w:rsidRPr="00056CE8" w:rsidRDefault="00CB1A36" w:rsidP="00454528">
      <w:pPr>
        <w:jc w:val="both"/>
        <w:rPr>
          <w:rFonts w:ascii="Segoe UI" w:hAnsi="Segoe UI" w:cs="Segoe UI"/>
        </w:rPr>
      </w:pPr>
    </w:p>
    <w:p w:rsidR="00CD4279" w:rsidRDefault="00CD4279" w:rsidP="00CD4279">
      <w:pPr>
        <w:pStyle w:val="PlainText"/>
        <w:jc w:val="both"/>
        <w:rPr>
          <w:rFonts w:ascii="Segoe UI" w:hAnsi="Segoe UI" w:cs="Segoe UI"/>
          <w:sz w:val="24"/>
        </w:rPr>
      </w:pPr>
      <w:r w:rsidRPr="00CD4279">
        <w:rPr>
          <w:rFonts w:ascii="Segoe UI" w:hAnsi="Segoe UI" w:cs="Segoe UI"/>
          <w:sz w:val="24"/>
        </w:rPr>
        <w:t>The Quality Report for February provides a summary on progress made during the month completing the CQC improvement plans and initiating our internal process to ensure we are completing the agreed actions on time with oversight from OCCG.</w:t>
      </w:r>
    </w:p>
    <w:p w:rsidR="00CD4279" w:rsidRPr="00CD4279" w:rsidRDefault="00CD4279" w:rsidP="00CD4279">
      <w:pPr>
        <w:pStyle w:val="PlainText"/>
        <w:jc w:val="both"/>
        <w:rPr>
          <w:rFonts w:ascii="Segoe UI" w:hAnsi="Segoe UI" w:cs="Segoe UI"/>
          <w:sz w:val="24"/>
        </w:rPr>
      </w:pPr>
    </w:p>
    <w:p w:rsidR="00CD4279" w:rsidRPr="00CD4279" w:rsidRDefault="00CD4279" w:rsidP="00CD4279">
      <w:pPr>
        <w:pStyle w:val="PlainText"/>
        <w:jc w:val="both"/>
        <w:rPr>
          <w:rFonts w:ascii="Segoe UI" w:hAnsi="Segoe UI" w:cs="Segoe UI"/>
          <w:sz w:val="24"/>
        </w:rPr>
      </w:pPr>
      <w:r w:rsidRPr="00CD4279">
        <w:rPr>
          <w:rFonts w:ascii="Segoe UI" w:hAnsi="Segoe UI" w:cs="Segoe UI"/>
          <w:sz w:val="24"/>
        </w:rPr>
        <w:t>In our regular meeting with the CQC we discussed the scope and timing for the re</w:t>
      </w:r>
      <w:r>
        <w:rPr>
          <w:rFonts w:ascii="Segoe UI" w:hAnsi="Segoe UI" w:cs="Segoe UI"/>
          <w:sz w:val="24"/>
        </w:rPr>
        <w:t>-</w:t>
      </w:r>
      <w:r w:rsidRPr="00CD4279">
        <w:rPr>
          <w:rFonts w:ascii="Segoe UI" w:hAnsi="Segoe UI" w:cs="Segoe UI"/>
          <w:sz w:val="24"/>
        </w:rPr>
        <w:t>inspection of the four core services which 'Require Improvement'. The timing is likely to be slightly earlier and take place late May or early</w:t>
      </w:r>
      <w:r>
        <w:rPr>
          <w:rFonts w:ascii="Segoe UI" w:hAnsi="Segoe UI" w:cs="Segoe UI"/>
          <w:sz w:val="24"/>
        </w:rPr>
        <w:t xml:space="preserve"> </w:t>
      </w:r>
      <w:r w:rsidRPr="00CD4279">
        <w:rPr>
          <w:rFonts w:ascii="Segoe UI" w:hAnsi="Segoe UI" w:cs="Segoe UI"/>
          <w:sz w:val="24"/>
        </w:rPr>
        <w:t>June. The inspection will focus three mental health core services as the CQC community services team lack capacity to re inspect within this timescale.</w:t>
      </w:r>
      <w:r>
        <w:rPr>
          <w:rFonts w:ascii="Segoe UI" w:hAnsi="Segoe UI" w:cs="Segoe UI"/>
          <w:sz w:val="24"/>
        </w:rPr>
        <w:t xml:space="preserve"> </w:t>
      </w:r>
      <w:r w:rsidRPr="00CD4279">
        <w:rPr>
          <w:rFonts w:ascii="Segoe UI" w:hAnsi="Segoe UI" w:cs="Segoe UI"/>
          <w:sz w:val="24"/>
        </w:rPr>
        <w:t xml:space="preserve">We have established weekly 'gold command' meetings to ensure we support the necessary </w:t>
      </w:r>
      <w:r w:rsidR="00982D39" w:rsidRPr="00CD4279">
        <w:rPr>
          <w:rFonts w:ascii="Segoe UI" w:hAnsi="Segoe UI" w:cs="Segoe UI"/>
          <w:sz w:val="24"/>
        </w:rPr>
        <w:t>improv</w:t>
      </w:r>
      <w:r w:rsidR="00982D39">
        <w:rPr>
          <w:rFonts w:ascii="Segoe UI" w:hAnsi="Segoe UI" w:cs="Segoe UI"/>
          <w:sz w:val="24"/>
        </w:rPr>
        <w:t>ements</w:t>
      </w:r>
      <w:r>
        <w:rPr>
          <w:rFonts w:ascii="Segoe UI" w:hAnsi="Segoe UI" w:cs="Segoe UI"/>
          <w:sz w:val="24"/>
        </w:rPr>
        <w:t xml:space="preserve"> and developments</w:t>
      </w:r>
      <w:r w:rsidRPr="00CD4279">
        <w:rPr>
          <w:rFonts w:ascii="Segoe UI" w:hAnsi="Segoe UI" w:cs="Segoe UI"/>
          <w:sz w:val="24"/>
        </w:rPr>
        <w:t>.</w:t>
      </w:r>
    </w:p>
    <w:p w:rsidR="00CD4279" w:rsidRPr="00CD4279" w:rsidRDefault="00CD4279" w:rsidP="00CD4279">
      <w:pPr>
        <w:pStyle w:val="PlainText"/>
        <w:jc w:val="both"/>
        <w:rPr>
          <w:rFonts w:ascii="Segoe UI" w:hAnsi="Segoe UI" w:cs="Segoe UI"/>
          <w:sz w:val="24"/>
        </w:rPr>
      </w:pPr>
    </w:p>
    <w:p w:rsidR="00CD4279" w:rsidRPr="00CD4279" w:rsidRDefault="00CD4279" w:rsidP="00CD4279">
      <w:pPr>
        <w:pStyle w:val="PlainText"/>
        <w:jc w:val="both"/>
        <w:rPr>
          <w:rFonts w:ascii="Segoe UI" w:hAnsi="Segoe UI" w:cs="Segoe UI"/>
          <w:sz w:val="24"/>
        </w:rPr>
      </w:pPr>
      <w:r w:rsidRPr="00CD4279">
        <w:rPr>
          <w:rFonts w:ascii="Segoe UI" w:hAnsi="Segoe UI" w:cs="Segoe UI"/>
          <w:sz w:val="24"/>
        </w:rPr>
        <w:t>Sign up to Safety Campaign</w:t>
      </w:r>
      <w:r>
        <w:rPr>
          <w:rFonts w:ascii="Segoe UI" w:hAnsi="Segoe UI" w:cs="Segoe UI"/>
          <w:sz w:val="24"/>
        </w:rPr>
        <w:t xml:space="preserve"> – </w:t>
      </w:r>
      <w:r w:rsidRPr="00CD4279">
        <w:rPr>
          <w:rFonts w:ascii="Segoe UI" w:hAnsi="Segoe UI" w:cs="Segoe UI"/>
          <w:sz w:val="24"/>
        </w:rPr>
        <w:t>Following the Safer Care Conference in Septemb</w:t>
      </w:r>
      <w:r>
        <w:rPr>
          <w:rFonts w:ascii="Segoe UI" w:hAnsi="Segoe UI" w:cs="Segoe UI"/>
          <w:sz w:val="24"/>
        </w:rPr>
        <w:t>er, we are ready to pledge to si</w:t>
      </w:r>
      <w:r w:rsidRPr="00CD4279">
        <w:rPr>
          <w:rFonts w:ascii="Segoe UI" w:hAnsi="Segoe UI" w:cs="Segoe UI"/>
          <w:sz w:val="24"/>
        </w:rPr>
        <w:t>gn up to Safety as an organisation. Our objectives will be aligned to the harm free objectives set out in our Quality Account.</w:t>
      </w:r>
    </w:p>
    <w:p w:rsidR="00CD4279" w:rsidRPr="00CD4279" w:rsidRDefault="00CD4279" w:rsidP="00CD4279">
      <w:pPr>
        <w:pStyle w:val="PlainText"/>
        <w:jc w:val="both"/>
        <w:rPr>
          <w:rFonts w:ascii="Segoe UI" w:hAnsi="Segoe UI" w:cs="Segoe UI"/>
          <w:sz w:val="24"/>
        </w:rPr>
      </w:pPr>
    </w:p>
    <w:p w:rsidR="00CD4279" w:rsidRDefault="00CD4279" w:rsidP="00CD4279">
      <w:pPr>
        <w:pStyle w:val="PlainText"/>
        <w:jc w:val="both"/>
        <w:rPr>
          <w:rFonts w:ascii="Segoe UI" w:hAnsi="Segoe UI" w:cs="Segoe UI"/>
          <w:sz w:val="24"/>
        </w:rPr>
      </w:pPr>
      <w:r w:rsidRPr="00CD4279">
        <w:rPr>
          <w:rFonts w:ascii="Segoe UI" w:hAnsi="Segoe UI" w:cs="Segoe UI"/>
          <w:sz w:val="24"/>
        </w:rPr>
        <w:t xml:space="preserve">MONITOR and TDA </w:t>
      </w:r>
      <w:r>
        <w:rPr>
          <w:rFonts w:ascii="Segoe UI" w:hAnsi="Segoe UI" w:cs="Segoe UI"/>
          <w:sz w:val="24"/>
        </w:rPr>
        <w:t xml:space="preserve">– </w:t>
      </w:r>
      <w:r w:rsidRPr="00CD4279">
        <w:rPr>
          <w:rFonts w:ascii="Segoe UI" w:hAnsi="Segoe UI" w:cs="Segoe UI"/>
          <w:sz w:val="24"/>
        </w:rPr>
        <w:t>A joint publication of an</w:t>
      </w:r>
      <w:r>
        <w:rPr>
          <w:rFonts w:ascii="Segoe UI" w:hAnsi="Segoe UI" w:cs="Segoe UI"/>
          <w:sz w:val="24"/>
        </w:rPr>
        <w:t xml:space="preserve"> 'annual learning from mistakes' </w:t>
      </w:r>
      <w:r w:rsidRPr="00CD4279">
        <w:rPr>
          <w:rFonts w:ascii="Segoe UI" w:hAnsi="Segoe UI" w:cs="Segoe UI"/>
          <w:sz w:val="24"/>
        </w:rPr>
        <w:t>league table has been published drawing in data from the National Staff Survey 2015 and NRLS patient safety data, ahead of the Global Patient safety summit in March .</w:t>
      </w:r>
      <w:r>
        <w:rPr>
          <w:rFonts w:ascii="Segoe UI" w:hAnsi="Segoe UI" w:cs="Segoe UI"/>
          <w:sz w:val="24"/>
        </w:rPr>
        <w:t xml:space="preserve"> </w:t>
      </w:r>
      <w:r w:rsidRPr="00CD4279">
        <w:rPr>
          <w:rFonts w:ascii="Segoe UI" w:hAnsi="Segoe UI" w:cs="Segoe UI"/>
          <w:sz w:val="24"/>
        </w:rPr>
        <w:t>We were amongst the 120 organisations</w:t>
      </w:r>
      <w:r w:rsidR="00E7419A">
        <w:rPr>
          <w:rFonts w:ascii="Segoe UI" w:hAnsi="Segoe UI" w:cs="Segoe UI"/>
          <w:sz w:val="24"/>
        </w:rPr>
        <w:t xml:space="preserve"> rated as outstanding or good a</w:t>
      </w:r>
      <w:r w:rsidRPr="00CD4279">
        <w:rPr>
          <w:rFonts w:ascii="Segoe UI" w:hAnsi="Segoe UI" w:cs="Segoe UI"/>
          <w:sz w:val="24"/>
        </w:rPr>
        <w:t xml:space="preserve">nd rated 52 out of 120. </w:t>
      </w:r>
      <w:r>
        <w:rPr>
          <w:rFonts w:ascii="Segoe UI" w:hAnsi="Segoe UI" w:cs="Segoe UI"/>
          <w:sz w:val="24"/>
        </w:rPr>
        <w:t>78</w:t>
      </w:r>
      <w:r w:rsidRPr="00CD4279">
        <w:rPr>
          <w:rFonts w:ascii="Segoe UI" w:hAnsi="Segoe UI" w:cs="Segoe UI"/>
          <w:sz w:val="24"/>
        </w:rPr>
        <w:t xml:space="preserve"> organisations had significant concerns and 32 poor reporting cultures.</w:t>
      </w:r>
    </w:p>
    <w:p w:rsidR="00E7419A" w:rsidRPr="00CD4279" w:rsidRDefault="00E7419A" w:rsidP="00CD4279">
      <w:pPr>
        <w:pStyle w:val="PlainText"/>
        <w:jc w:val="both"/>
        <w:rPr>
          <w:rFonts w:ascii="Segoe UI" w:hAnsi="Segoe UI" w:cs="Segoe UI"/>
          <w:sz w:val="24"/>
        </w:rPr>
      </w:pPr>
    </w:p>
    <w:p w:rsidR="00CD4279" w:rsidRPr="00CD4279" w:rsidRDefault="00CD4279" w:rsidP="00CD4279">
      <w:pPr>
        <w:pStyle w:val="PlainText"/>
        <w:jc w:val="both"/>
        <w:rPr>
          <w:rFonts w:ascii="Segoe UI" w:hAnsi="Segoe UI" w:cs="Segoe UI"/>
          <w:sz w:val="24"/>
        </w:rPr>
      </w:pPr>
      <w:r w:rsidRPr="00CD4279">
        <w:rPr>
          <w:rFonts w:ascii="Segoe UI" w:hAnsi="Segoe UI" w:cs="Segoe UI"/>
          <w:sz w:val="24"/>
        </w:rPr>
        <w:lastRenderedPageBreak/>
        <w:t>In the forthcoming year there will be an expectation on FT's to publish a charter for openness and transparency so staff have clear expectations of how they will be treated if they witness clinical errors.</w:t>
      </w:r>
    </w:p>
    <w:p w:rsidR="00CD4279" w:rsidRPr="00CD4279" w:rsidRDefault="00CD4279" w:rsidP="00CD4279">
      <w:pPr>
        <w:pStyle w:val="PlainText"/>
        <w:jc w:val="both"/>
        <w:rPr>
          <w:rFonts w:ascii="Segoe UI" w:hAnsi="Segoe UI" w:cs="Segoe UI"/>
          <w:sz w:val="24"/>
        </w:rPr>
      </w:pPr>
    </w:p>
    <w:p w:rsidR="00CD4279" w:rsidRPr="00CD4279" w:rsidRDefault="00CD4279" w:rsidP="00CD4279">
      <w:pPr>
        <w:pStyle w:val="PlainText"/>
        <w:jc w:val="both"/>
        <w:rPr>
          <w:rFonts w:ascii="Segoe UI" w:hAnsi="Segoe UI" w:cs="Segoe UI"/>
          <w:sz w:val="24"/>
        </w:rPr>
      </w:pPr>
      <w:r w:rsidRPr="00CD4279">
        <w:rPr>
          <w:rFonts w:ascii="Segoe UI" w:hAnsi="Segoe UI" w:cs="Segoe UI"/>
          <w:sz w:val="24"/>
        </w:rPr>
        <w:t xml:space="preserve">The quarterly safety report summarises the significant types and trends of </w:t>
      </w:r>
      <w:r>
        <w:rPr>
          <w:rFonts w:ascii="Segoe UI" w:hAnsi="Segoe UI" w:cs="Segoe UI"/>
          <w:sz w:val="24"/>
        </w:rPr>
        <w:t>incidents and serious incidents</w:t>
      </w:r>
      <w:r w:rsidRPr="00CD4279">
        <w:rPr>
          <w:rFonts w:ascii="Segoe UI" w:hAnsi="Segoe UI" w:cs="Segoe UI"/>
          <w:sz w:val="24"/>
        </w:rPr>
        <w:t xml:space="preserve">, including what we are doing to address and reduce harm through our Safer Care work. </w:t>
      </w:r>
    </w:p>
    <w:p w:rsidR="000743E7" w:rsidRPr="00056CE8" w:rsidRDefault="000743E7" w:rsidP="00454528">
      <w:pPr>
        <w:jc w:val="both"/>
        <w:rPr>
          <w:rFonts w:ascii="Segoe UI" w:hAnsi="Segoe UI" w:cs="Segoe UI"/>
          <w:b/>
        </w:rPr>
      </w:pPr>
    </w:p>
    <w:p w:rsidR="00CB1A36" w:rsidRPr="00056CE8" w:rsidRDefault="00CB1A36" w:rsidP="00454528">
      <w:pPr>
        <w:jc w:val="both"/>
        <w:rPr>
          <w:rFonts w:ascii="Segoe UI" w:hAnsi="Segoe UI" w:cs="Segoe UI"/>
          <w:b/>
        </w:rPr>
      </w:pPr>
      <w:r w:rsidRPr="00056CE8">
        <w:rPr>
          <w:rFonts w:ascii="Segoe UI" w:hAnsi="Segoe UI" w:cs="Segoe UI"/>
          <w:b/>
        </w:rPr>
        <w:t>Governance Route/Approval Process</w:t>
      </w:r>
    </w:p>
    <w:p w:rsidR="00837044" w:rsidRPr="00056CE8" w:rsidRDefault="00CB1A36" w:rsidP="00454528">
      <w:pPr>
        <w:jc w:val="both"/>
        <w:rPr>
          <w:rFonts w:ascii="Segoe UI" w:hAnsi="Segoe UI" w:cs="Segoe UI"/>
        </w:rPr>
      </w:pPr>
      <w:r w:rsidRPr="00056CE8">
        <w:rPr>
          <w:rFonts w:ascii="Segoe UI" w:hAnsi="Segoe UI" w:cs="Segoe UI"/>
        </w:rPr>
        <w:t>This repor</w:t>
      </w:r>
      <w:r w:rsidR="00670315" w:rsidRPr="00056CE8">
        <w:rPr>
          <w:rFonts w:ascii="Segoe UI" w:hAnsi="Segoe UI" w:cs="Segoe UI"/>
        </w:rPr>
        <w:t>t was considered by the Safety Q</w:t>
      </w:r>
      <w:r w:rsidRPr="00056CE8">
        <w:rPr>
          <w:rFonts w:ascii="Segoe UI" w:hAnsi="Segoe UI" w:cs="Segoe UI"/>
        </w:rPr>
        <w:t xml:space="preserve">uality sub-committee at its meeting on 27th January 2016 and </w:t>
      </w:r>
      <w:r w:rsidR="000743E7" w:rsidRPr="00056CE8">
        <w:rPr>
          <w:rFonts w:ascii="Segoe UI" w:hAnsi="Segoe UI" w:cs="Segoe UI"/>
        </w:rPr>
        <w:t>the Quality Committee on 18</w:t>
      </w:r>
      <w:r w:rsidR="000743E7" w:rsidRPr="00056CE8">
        <w:rPr>
          <w:rFonts w:ascii="Segoe UI" w:hAnsi="Segoe UI" w:cs="Segoe UI"/>
          <w:vertAlign w:val="superscript"/>
        </w:rPr>
        <w:t>th</w:t>
      </w:r>
      <w:r w:rsidR="000743E7" w:rsidRPr="00056CE8">
        <w:rPr>
          <w:rFonts w:ascii="Segoe UI" w:hAnsi="Segoe UI" w:cs="Segoe UI"/>
        </w:rPr>
        <w:t xml:space="preserve"> February 2016.</w:t>
      </w:r>
    </w:p>
    <w:p w:rsidR="00CB1A36" w:rsidRPr="00056CE8" w:rsidRDefault="00CB1A36" w:rsidP="00454528">
      <w:pPr>
        <w:jc w:val="both"/>
        <w:rPr>
          <w:rFonts w:ascii="Segoe UI" w:hAnsi="Segoe UI" w:cs="Segoe UI"/>
        </w:rPr>
      </w:pPr>
    </w:p>
    <w:p w:rsidR="00837044" w:rsidRPr="00056CE8" w:rsidRDefault="00837044" w:rsidP="00454528">
      <w:pPr>
        <w:jc w:val="both"/>
        <w:rPr>
          <w:rFonts w:ascii="Segoe UI" w:hAnsi="Segoe UI" w:cs="Segoe UI"/>
          <w:b/>
        </w:rPr>
      </w:pPr>
      <w:r w:rsidRPr="00056CE8">
        <w:rPr>
          <w:rFonts w:ascii="Segoe UI" w:hAnsi="Segoe UI" w:cs="Segoe UI"/>
          <w:b/>
        </w:rPr>
        <w:t>Recommendation</w:t>
      </w:r>
    </w:p>
    <w:p w:rsidR="00837044" w:rsidRPr="00056CE8" w:rsidRDefault="00CB1A36" w:rsidP="00454528">
      <w:pPr>
        <w:jc w:val="both"/>
        <w:rPr>
          <w:rFonts w:ascii="Segoe UI" w:hAnsi="Segoe UI" w:cs="Segoe UI"/>
        </w:rPr>
      </w:pPr>
      <w:r w:rsidRPr="00056CE8">
        <w:rPr>
          <w:rFonts w:ascii="Segoe UI" w:hAnsi="Segoe UI" w:cs="Segoe UI"/>
        </w:rPr>
        <w:t>The Board is asked to note the report</w:t>
      </w:r>
      <w:r w:rsidR="000743E7" w:rsidRPr="00056CE8">
        <w:rPr>
          <w:rFonts w:ascii="Segoe UI" w:hAnsi="Segoe UI" w:cs="Segoe UI"/>
        </w:rPr>
        <w:t>.</w:t>
      </w:r>
    </w:p>
    <w:p w:rsidR="00837044" w:rsidRPr="00056CE8" w:rsidRDefault="00837044" w:rsidP="00454528">
      <w:pPr>
        <w:jc w:val="both"/>
        <w:rPr>
          <w:rFonts w:ascii="Segoe UI" w:hAnsi="Segoe UI" w:cs="Segoe UI"/>
          <w:b/>
        </w:rPr>
      </w:pPr>
    </w:p>
    <w:p w:rsidR="00837044" w:rsidRPr="00056CE8" w:rsidRDefault="00837044" w:rsidP="00454528">
      <w:pPr>
        <w:ind w:left="1440" w:hanging="1440"/>
        <w:jc w:val="both"/>
        <w:rPr>
          <w:rFonts w:ascii="Segoe UI" w:hAnsi="Segoe UI" w:cs="Segoe UI"/>
        </w:rPr>
      </w:pPr>
      <w:r w:rsidRPr="00056CE8">
        <w:rPr>
          <w:rFonts w:ascii="Segoe UI" w:hAnsi="Segoe UI" w:cs="Segoe UI"/>
          <w:b/>
        </w:rPr>
        <w:t>Author and Title:</w:t>
      </w:r>
      <w:r w:rsidRPr="00056CE8">
        <w:rPr>
          <w:rFonts w:ascii="Segoe UI" w:hAnsi="Segoe UI" w:cs="Segoe UI"/>
        </w:rPr>
        <w:t xml:space="preserve"> </w:t>
      </w:r>
      <w:r w:rsidRPr="00056CE8">
        <w:rPr>
          <w:rFonts w:ascii="Segoe UI" w:hAnsi="Segoe UI" w:cs="Segoe UI"/>
        </w:rPr>
        <w:tab/>
      </w:r>
      <w:r w:rsidR="000743E7" w:rsidRPr="00056CE8">
        <w:rPr>
          <w:rFonts w:ascii="Segoe UI" w:hAnsi="Segoe UI" w:cs="Segoe UI"/>
        </w:rPr>
        <w:tab/>
      </w:r>
      <w:r w:rsidR="00CB1A36" w:rsidRPr="00056CE8">
        <w:rPr>
          <w:rFonts w:ascii="Segoe UI" w:hAnsi="Segoe UI" w:cs="Segoe UI"/>
        </w:rPr>
        <w:t>Paul Butler McLees, Patient Safety Lead.</w:t>
      </w:r>
    </w:p>
    <w:p w:rsidR="00CB1A36" w:rsidRPr="00056CE8" w:rsidRDefault="00CB1A36" w:rsidP="000743E7">
      <w:pPr>
        <w:ind w:left="2160" w:firstLine="720"/>
        <w:jc w:val="both"/>
        <w:rPr>
          <w:rFonts w:ascii="Segoe UI" w:hAnsi="Segoe UI" w:cs="Segoe UI"/>
        </w:rPr>
      </w:pPr>
      <w:r w:rsidRPr="00056CE8">
        <w:rPr>
          <w:rFonts w:ascii="Segoe UI" w:hAnsi="Segoe UI" w:cs="Segoe UI"/>
        </w:rPr>
        <w:t>Jane Kershaw, Acting Head of Quality and Safety</w:t>
      </w:r>
    </w:p>
    <w:p w:rsidR="00CB1A36" w:rsidRPr="00056CE8" w:rsidRDefault="00CB1A36" w:rsidP="00454528">
      <w:pPr>
        <w:ind w:left="1440" w:firstLine="720"/>
        <w:jc w:val="both"/>
        <w:rPr>
          <w:rFonts w:ascii="Segoe UI" w:hAnsi="Segoe UI" w:cs="Segoe UI"/>
        </w:rPr>
      </w:pPr>
    </w:p>
    <w:p w:rsidR="00837044" w:rsidRPr="00056CE8" w:rsidRDefault="00837044" w:rsidP="00454528">
      <w:pPr>
        <w:jc w:val="both"/>
        <w:rPr>
          <w:rFonts w:ascii="Segoe UI" w:hAnsi="Segoe UI" w:cs="Segoe UI"/>
          <w:b/>
        </w:rPr>
      </w:pPr>
      <w:r w:rsidRPr="00056CE8">
        <w:rPr>
          <w:rFonts w:ascii="Segoe UI" w:hAnsi="Segoe UI" w:cs="Segoe UI"/>
          <w:b/>
        </w:rPr>
        <w:t>Lead Executive Director:</w:t>
      </w:r>
      <w:r w:rsidRPr="00056CE8">
        <w:rPr>
          <w:rFonts w:ascii="Segoe UI" w:hAnsi="Segoe UI" w:cs="Segoe UI"/>
          <w:b/>
        </w:rPr>
        <w:tab/>
      </w:r>
      <w:r w:rsidR="00670315" w:rsidRPr="00056CE8">
        <w:rPr>
          <w:rFonts w:ascii="Segoe UI" w:hAnsi="Segoe UI" w:cs="Segoe UI"/>
        </w:rPr>
        <w:t xml:space="preserve">Ros Alstead, </w:t>
      </w:r>
      <w:r w:rsidR="00CB1A36" w:rsidRPr="00056CE8">
        <w:rPr>
          <w:rFonts w:ascii="Segoe UI" w:hAnsi="Segoe UI" w:cs="Segoe UI"/>
        </w:rPr>
        <w:t>Director of Nursing and Clinical Standards</w:t>
      </w:r>
    </w:p>
    <w:p w:rsidR="00837044" w:rsidRPr="00056CE8" w:rsidRDefault="00837044" w:rsidP="00454528">
      <w:pPr>
        <w:jc w:val="both"/>
        <w:rPr>
          <w:rFonts w:ascii="Segoe UI" w:hAnsi="Segoe UI" w:cs="Segoe UI"/>
          <w:b/>
        </w:rPr>
      </w:pPr>
    </w:p>
    <w:p w:rsidR="00837044" w:rsidRPr="00056CE8" w:rsidRDefault="00837044" w:rsidP="00454528">
      <w:pPr>
        <w:jc w:val="both"/>
        <w:rPr>
          <w:rFonts w:ascii="Segoe UI" w:hAnsi="Segoe UI" w:cs="Segoe UI"/>
          <w:b/>
        </w:rPr>
      </w:pPr>
    </w:p>
    <w:p w:rsidR="00837044" w:rsidRPr="00056CE8" w:rsidRDefault="00837044" w:rsidP="00454528">
      <w:pPr>
        <w:jc w:val="both"/>
        <w:rPr>
          <w:rFonts w:ascii="Segoe UI" w:hAnsi="Segoe UI" w:cs="Segoe UI"/>
          <w:b/>
        </w:rPr>
      </w:pPr>
    </w:p>
    <w:p w:rsidR="00837044" w:rsidRPr="00056CE8" w:rsidRDefault="00837044"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CB4CA6" w:rsidRPr="00056CE8" w:rsidRDefault="00CB4CA6" w:rsidP="00454528">
      <w:pPr>
        <w:jc w:val="both"/>
        <w:rPr>
          <w:rFonts w:ascii="Segoe UI" w:hAnsi="Segoe UI" w:cs="Segoe UI"/>
          <w:b/>
        </w:rPr>
      </w:pPr>
    </w:p>
    <w:p w:rsidR="005270EB" w:rsidRPr="00056CE8" w:rsidRDefault="005270EB">
      <w:pPr>
        <w:spacing w:after="200" w:line="276" w:lineRule="auto"/>
        <w:rPr>
          <w:rFonts w:ascii="Segoe UI" w:hAnsi="Segoe UI" w:cs="Segoe UI"/>
          <w:b/>
          <w:lang w:val="en-GB" w:eastAsia="en-GB"/>
        </w:rPr>
      </w:pPr>
      <w:r w:rsidRPr="00056CE8">
        <w:rPr>
          <w:rFonts w:ascii="Segoe UI" w:hAnsi="Segoe UI" w:cs="Segoe UI"/>
          <w:b/>
          <w:lang w:val="en-GB" w:eastAsia="en-GB"/>
        </w:rPr>
        <w:br w:type="page"/>
      </w:r>
    </w:p>
    <w:p w:rsidR="00837044" w:rsidRPr="00056CE8" w:rsidRDefault="00670315" w:rsidP="00454528">
      <w:pPr>
        <w:jc w:val="center"/>
        <w:rPr>
          <w:rFonts w:ascii="Segoe UI" w:hAnsi="Segoe UI" w:cs="Segoe UI"/>
          <w:b/>
          <w:u w:val="single"/>
          <w:lang w:val="en-GB" w:eastAsia="en-GB"/>
        </w:rPr>
      </w:pPr>
      <w:r w:rsidRPr="00056CE8">
        <w:rPr>
          <w:rFonts w:ascii="Segoe UI" w:hAnsi="Segoe UI" w:cs="Segoe UI"/>
          <w:b/>
          <w:u w:val="single"/>
          <w:lang w:val="en-GB" w:eastAsia="en-GB"/>
        </w:rPr>
        <w:lastRenderedPageBreak/>
        <w:t>Quarter 3</w:t>
      </w:r>
      <w:r w:rsidR="001438A2" w:rsidRPr="00056CE8">
        <w:rPr>
          <w:rFonts w:ascii="Segoe UI" w:hAnsi="Segoe UI" w:cs="Segoe UI"/>
          <w:b/>
          <w:u w:val="single"/>
          <w:lang w:val="en-GB" w:eastAsia="en-GB"/>
        </w:rPr>
        <w:t xml:space="preserve"> 2015/16 Quality Report -Safety</w:t>
      </w:r>
    </w:p>
    <w:p w:rsidR="00550558" w:rsidRPr="00056CE8" w:rsidRDefault="00550558" w:rsidP="00454528">
      <w:pPr>
        <w:contextualSpacing/>
        <w:jc w:val="both"/>
        <w:rPr>
          <w:rFonts w:ascii="Segoe UI" w:eastAsia="Calibri" w:hAnsi="Segoe UI" w:cs="Segoe UI"/>
          <w:b/>
          <w:lang w:val="en-GB"/>
        </w:rPr>
      </w:pPr>
    </w:p>
    <w:p w:rsidR="00343F8E" w:rsidRPr="00056CE8" w:rsidRDefault="00343F8E" w:rsidP="00343F8E">
      <w:pPr>
        <w:jc w:val="both"/>
        <w:rPr>
          <w:rFonts w:ascii="Segoe UI" w:hAnsi="Segoe UI" w:cs="Segoe UI"/>
          <w:b/>
          <w:lang w:eastAsia="en-GB"/>
        </w:rPr>
      </w:pPr>
      <w:r w:rsidRPr="00056CE8">
        <w:rPr>
          <w:rFonts w:ascii="Segoe UI" w:hAnsi="Segoe UI" w:cs="Segoe UI"/>
          <w:b/>
          <w:lang w:eastAsia="en-GB"/>
        </w:rPr>
        <w:t>1. CQC Inspection and Improvement Plans</w:t>
      </w:r>
    </w:p>
    <w:p w:rsidR="00343F8E" w:rsidRPr="00056CE8" w:rsidRDefault="00343F8E" w:rsidP="00343F8E">
      <w:pPr>
        <w:rPr>
          <w:rFonts w:ascii="Segoe UI" w:hAnsi="Segoe UI" w:cs="Segoe UI"/>
          <w:lang w:eastAsia="en-GB"/>
        </w:rPr>
      </w:pPr>
      <w:r w:rsidRPr="00056CE8">
        <w:rPr>
          <w:rFonts w:ascii="Segoe UI" w:hAnsi="Segoe UI" w:cs="Segoe UI"/>
          <w:lang w:eastAsia="en-GB"/>
        </w:rPr>
        <w:t>Following previous updates, the improvement plans to address the findings from the CQC inspection in September/ October 2015 have been consulted on, finalised and shared with the CQC, Monitor, our commissioners, our council of governors and external partners which were involved in the quality summit on 29</w:t>
      </w:r>
      <w:r w:rsidRPr="00056CE8">
        <w:rPr>
          <w:rFonts w:ascii="Segoe UI" w:hAnsi="Segoe UI" w:cs="Segoe UI"/>
          <w:vertAlign w:val="superscript"/>
          <w:lang w:eastAsia="en-GB"/>
        </w:rPr>
        <w:t>th</w:t>
      </w:r>
      <w:r w:rsidRPr="00056CE8">
        <w:rPr>
          <w:rFonts w:ascii="Segoe UI" w:hAnsi="Segoe UI" w:cs="Segoe UI"/>
          <w:lang w:eastAsia="en-GB"/>
        </w:rPr>
        <w:t xml:space="preserve"> January 2016. The full detail of the plans will be shared with all staff through a briefing from the IC:5 campaign in March/ April 2016. </w:t>
      </w:r>
      <w:r w:rsidRPr="00056CE8">
        <w:rPr>
          <w:rFonts w:ascii="Segoe UI" w:eastAsiaTheme="minorHAnsi" w:hAnsi="Segoe UI" w:cs="Segoe UI"/>
          <w:lang w:val="en-GB"/>
        </w:rPr>
        <w:t>A key priority across the plans is around improving how we work in partnership with patients to ensure care is coordinated, enabling and personalised to meet the needs of each person.</w:t>
      </w:r>
    </w:p>
    <w:p w:rsidR="00343F8E" w:rsidRPr="00056CE8" w:rsidRDefault="00343F8E" w:rsidP="00343F8E">
      <w:pPr>
        <w:rPr>
          <w:rFonts w:ascii="Segoe UI" w:hAnsi="Segoe UI" w:cs="Segoe UI"/>
          <w:lang w:eastAsia="en-GB"/>
        </w:rPr>
      </w:pPr>
    </w:p>
    <w:p w:rsidR="00343F8E" w:rsidRPr="00056CE8" w:rsidRDefault="00343F8E" w:rsidP="00343F8E">
      <w:pPr>
        <w:rPr>
          <w:rFonts w:ascii="Segoe UI" w:hAnsi="Segoe UI" w:cs="Segoe UI"/>
        </w:rPr>
      </w:pPr>
      <w:r w:rsidRPr="00056CE8">
        <w:rPr>
          <w:rFonts w:ascii="Segoe UI" w:hAnsi="Segoe UI" w:cs="Segoe UI"/>
        </w:rPr>
        <w:t>The Oxfordshire CCG is the lead commissioner to sign off the completion of actions across all three improvement plans through the existing quality review meetings, on a quarterly basis.</w:t>
      </w:r>
      <w:r w:rsidRPr="00056CE8">
        <w:rPr>
          <w:rFonts w:ascii="Segoe UI" w:eastAsiaTheme="minorHAnsi" w:hAnsi="Segoe UI" w:cs="Segoe UI"/>
          <w:lang w:val="en-GB"/>
        </w:rPr>
        <w:t xml:space="preserve"> The CQC will monitor progress with actions through the existing routine relationship meetings held quarterly. Internally the improvement plans will be fed into the Trusts ongoing quality improvement work to align priorities and ensure sustainability. Internally progress with the plans will be monitored through an action plan review group which will include testing the completion of actions through post inspection reviews. The action plan review group will report monthly </w:t>
      </w:r>
      <w:r w:rsidRPr="00056CE8">
        <w:rPr>
          <w:rFonts w:ascii="Segoe UI" w:hAnsi="Segoe UI" w:cs="Segoe UI"/>
        </w:rPr>
        <w:t>to the Extended Executive Team Meeting starting in March 2016.</w:t>
      </w:r>
    </w:p>
    <w:p w:rsidR="00343F8E" w:rsidRPr="00056CE8" w:rsidRDefault="00343F8E" w:rsidP="00343F8E">
      <w:pPr>
        <w:rPr>
          <w:rFonts w:ascii="Segoe UI" w:hAnsi="Segoe UI" w:cs="Segoe UI"/>
        </w:rPr>
      </w:pPr>
    </w:p>
    <w:p w:rsidR="00343F8E" w:rsidRPr="00056CE8" w:rsidRDefault="00343F8E" w:rsidP="00343F8E">
      <w:pPr>
        <w:rPr>
          <w:rFonts w:ascii="Segoe UI" w:hAnsi="Segoe UI" w:cs="Segoe UI"/>
        </w:rPr>
      </w:pPr>
      <w:r w:rsidRPr="00056CE8">
        <w:rPr>
          <w:rFonts w:ascii="Segoe UI" w:hAnsi="Segoe UI" w:cs="Segoe UI"/>
        </w:rPr>
        <w:t>The CQC has offered the Trust the opportunity for some of the core services rated as ‘Requiring Improvement’ and Luther Street GP Practice to be re-inspected and re-rated within the next few months (May/ June 2016) if the areas for improvement have been addressed. The re-inspection of the services rated as ‘Requiring Improvement’ will involve a visit to the ward/ team for about a day reviewing the quality of care against all of the five quality standards and not just the areas identified for improvements. Further details of the timescale for a likely re-inspection have been requested from the CQC.</w:t>
      </w:r>
    </w:p>
    <w:p w:rsidR="00ED7A9A" w:rsidRPr="00056CE8" w:rsidRDefault="00ED7A9A" w:rsidP="00343F8E">
      <w:pPr>
        <w:rPr>
          <w:rFonts w:ascii="Segoe UI" w:eastAsiaTheme="minorHAnsi" w:hAnsi="Segoe UI" w:cs="Segoe UI"/>
          <w:lang w:val="en-GB"/>
        </w:rPr>
      </w:pPr>
    </w:p>
    <w:p w:rsidR="00343F8E" w:rsidRPr="00056CE8" w:rsidRDefault="00ED7A9A" w:rsidP="00343F8E">
      <w:pPr>
        <w:rPr>
          <w:rFonts w:ascii="Segoe UI" w:eastAsiaTheme="minorHAnsi" w:hAnsi="Segoe UI" w:cs="Segoe UI"/>
          <w:b/>
        </w:rPr>
      </w:pPr>
      <w:r w:rsidRPr="00056CE8">
        <w:rPr>
          <w:rFonts w:ascii="Segoe UI" w:eastAsiaTheme="minorHAnsi" w:hAnsi="Segoe UI" w:cs="Segoe UI"/>
          <w:b/>
        </w:rPr>
        <w:t>2</w:t>
      </w:r>
      <w:r w:rsidR="00343F8E" w:rsidRPr="00056CE8">
        <w:rPr>
          <w:rFonts w:ascii="Segoe UI" w:eastAsiaTheme="minorHAnsi" w:hAnsi="Segoe UI" w:cs="Segoe UI"/>
          <w:b/>
        </w:rPr>
        <w:t xml:space="preserve">. National initiative- Sign up to safety </w:t>
      </w:r>
    </w:p>
    <w:p w:rsidR="00343F8E" w:rsidRPr="00056CE8" w:rsidRDefault="00343F8E" w:rsidP="00343F8E">
      <w:pPr>
        <w:rPr>
          <w:rFonts w:ascii="Segoe UI" w:eastAsiaTheme="minorHAnsi" w:hAnsi="Segoe UI" w:cs="Segoe UI"/>
          <w:lang w:val="en-GB"/>
        </w:rPr>
      </w:pPr>
      <w:r w:rsidRPr="00056CE8">
        <w:rPr>
          <w:rFonts w:ascii="Segoe UI" w:eastAsiaTheme="minorHAnsi" w:hAnsi="Segoe UI" w:cs="Segoe UI"/>
          <w:lang w:val="en-GB"/>
        </w:rPr>
        <w:t xml:space="preserve">Sign up to Safety is a national initiative developed by NHS England to help NHS organisations and staff to develop a patient safety improvement approach and a positive and strong safety culture through sharing and celebrating progress and providing practical support. For more information go to </w:t>
      </w:r>
      <w:hyperlink r:id="rId10" w:history="1">
        <w:r w:rsidRPr="00056CE8">
          <w:rPr>
            <w:rStyle w:val="Hyperlink"/>
            <w:rFonts w:ascii="Segoe UI" w:eastAsiaTheme="minorHAnsi" w:hAnsi="Segoe UI" w:cs="Segoe UI"/>
            <w:lang w:val="en-GB"/>
          </w:rPr>
          <w:t>https://www.england.nhs.uk/signuptosafety/</w:t>
        </w:r>
      </w:hyperlink>
    </w:p>
    <w:p w:rsidR="00343F8E" w:rsidRPr="00056CE8" w:rsidRDefault="00343F8E" w:rsidP="00343F8E">
      <w:pPr>
        <w:rPr>
          <w:rFonts w:ascii="Segoe UI" w:eastAsiaTheme="minorHAnsi" w:hAnsi="Segoe UI" w:cs="Segoe UI"/>
          <w:lang w:val="en-GB"/>
        </w:rPr>
      </w:pPr>
    </w:p>
    <w:p w:rsidR="00343F8E" w:rsidRPr="00056CE8" w:rsidRDefault="00343F8E" w:rsidP="00343F8E">
      <w:pPr>
        <w:rPr>
          <w:rFonts w:ascii="Segoe UI" w:eastAsiaTheme="minorHAnsi" w:hAnsi="Segoe UI" w:cs="Segoe UI"/>
          <w:lang w:val="en-GB"/>
        </w:rPr>
      </w:pPr>
      <w:r w:rsidRPr="00056CE8">
        <w:rPr>
          <w:rFonts w:ascii="Segoe UI" w:eastAsiaTheme="minorHAnsi" w:hAnsi="Segoe UI" w:cs="Segoe UI"/>
          <w:lang w:val="en-GB"/>
        </w:rPr>
        <w:t xml:space="preserve">Following the safety conference in September 2015 and further work to develop our 2016/17 quality objectives the trust will be applying to the Sign up to Safety national campaign. The pledges and actions we identify will be aligned to the objectives under the quality priority of increasing harm free care (one of our trusts Quality Account priorities for 2015/16 and 2016/17). </w:t>
      </w:r>
    </w:p>
    <w:p w:rsidR="00343F8E" w:rsidRPr="00056CE8" w:rsidRDefault="00343F8E" w:rsidP="00343F8E">
      <w:pPr>
        <w:ind w:left="360"/>
        <w:contextualSpacing/>
        <w:jc w:val="both"/>
        <w:rPr>
          <w:rFonts w:ascii="Segoe UI" w:eastAsia="Calibri" w:hAnsi="Segoe UI" w:cs="Segoe UI"/>
          <w:b/>
          <w:lang w:val="en-GB"/>
        </w:rPr>
      </w:pPr>
    </w:p>
    <w:p w:rsidR="00343F8E" w:rsidRPr="00056CE8" w:rsidRDefault="00ED7A9A" w:rsidP="00343F8E">
      <w:pPr>
        <w:contextualSpacing/>
        <w:jc w:val="both"/>
        <w:rPr>
          <w:rFonts w:ascii="Segoe UI" w:eastAsia="Calibri" w:hAnsi="Segoe UI" w:cs="Segoe UI"/>
          <w:b/>
        </w:rPr>
      </w:pPr>
      <w:r w:rsidRPr="00056CE8">
        <w:rPr>
          <w:rFonts w:ascii="Segoe UI" w:hAnsi="Segoe UI" w:cs="Segoe UI"/>
          <w:b/>
        </w:rPr>
        <w:t>3</w:t>
      </w:r>
      <w:r w:rsidR="00343F8E" w:rsidRPr="00056CE8">
        <w:rPr>
          <w:rFonts w:ascii="Segoe UI" w:hAnsi="Segoe UI" w:cs="Segoe UI"/>
          <w:b/>
        </w:rPr>
        <w:t>. Global Patient Safety Summit March 2016</w:t>
      </w:r>
    </w:p>
    <w:p w:rsidR="00343F8E" w:rsidRPr="00056CE8" w:rsidRDefault="00343F8E" w:rsidP="00343F8E">
      <w:pPr>
        <w:contextualSpacing/>
        <w:jc w:val="both"/>
        <w:rPr>
          <w:rFonts w:ascii="Segoe UI" w:eastAsia="Calibri" w:hAnsi="Segoe UI" w:cs="Segoe UI"/>
          <w:lang w:val="en-GB"/>
        </w:rPr>
      </w:pPr>
      <w:r w:rsidRPr="00056CE8">
        <w:rPr>
          <w:rFonts w:ascii="Segoe UI" w:eastAsia="Calibri" w:hAnsi="Segoe UI" w:cs="Segoe UI"/>
          <w:lang w:val="en-GB"/>
        </w:rPr>
        <w:t>Ahead of the global patient safety summit on 9</w:t>
      </w:r>
      <w:r w:rsidRPr="00056CE8">
        <w:rPr>
          <w:rFonts w:ascii="Segoe UI" w:eastAsia="Calibri" w:hAnsi="Segoe UI" w:cs="Segoe UI"/>
          <w:vertAlign w:val="superscript"/>
          <w:lang w:val="en-GB"/>
        </w:rPr>
        <w:t>th</w:t>
      </w:r>
      <w:r w:rsidRPr="00056CE8">
        <w:rPr>
          <w:rFonts w:ascii="Segoe UI" w:eastAsia="Calibri" w:hAnsi="Segoe UI" w:cs="Segoe UI"/>
          <w:lang w:val="en-GB"/>
        </w:rPr>
        <w:t xml:space="preserve"> March 2016 Monitor and the NHS TDA published the first annual ‘learning from mistakes’ league table drawing on data from the 2015 national staff survey and the incident information submitted to the national reporting and learning system (NRLS), to identify the level of openness and transparency by NHS organisation. This year the league shows 120 organisations were rated as outstanding or good, 78 had significant concerns and 32 had a poor reporting culture. We were rated good, with a rank of 52 out of 230 organisations. In 2016/17 NHS Improvement (Monitor and NHS TDA) will be asking all trusts to publish a charter for openness and transparency so staff have clear expectations of how they will be treated it they witness clinical errors.</w:t>
      </w:r>
    </w:p>
    <w:p w:rsidR="00343F8E" w:rsidRPr="00056CE8" w:rsidRDefault="00343F8E" w:rsidP="00454528">
      <w:pPr>
        <w:contextualSpacing/>
        <w:jc w:val="both"/>
        <w:rPr>
          <w:rFonts w:ascii="Segoe UI" w:eastAsia="Calibri" w:hAnsi="Segoe UI" w:cs="Segoe UI"/>
          <w:b/>
          <w:lang w:val="en-GB"/>
        </w:rPr>
      </w:pPr>
    </w:p>
    <w:p w:rsidR="00343F8E" w:rsidRPr="00056CE8" w:rsidRDefault="00343F8E" w:rsidP="00454528">
      <w:pPr>
        <w:contextualSpacing/>
        <w:jc w:val="both"/>
        <w:rPr>
          <w:rFonts w:ascii="Segoe UI" w:eastAsia="Calibri" w:hAnsi="Segoe UI" w:cs="Segoe UI"/>
          <w:b/>
          <w:lang w:val="en-GB"/>
        </w:rPr>
      </w:pPr>
    </w:p>
    <w:p w:rsidR="00343F8E" w:rsidRPr="00056CE8" w:rsidRDefault="00343F8E" w:rsidP="00454528">
      <w:pPr>
        <w:contextualSpacing/>
        <w:jc w:val="both"/>
        <w:rPr>
          <w:rFonts w:ascii="Segoe UI" w:eastAsia="Calibri" w:hAnsi="Segoe UI" w:cs="Segoe UI"/>
          <w:b/>
          <w:lang w:val="en-GB"/>
        </w:rPr>
      </w:pPr>
    </w:p>
    <w:p w:rsidR="00837044" w:rsidRPr="00056CE8" w:rsidRDefault="00ED7A9A" w:rsidP="00454528">
      <w:pPr>
        <w:contextualSpacing/>
        <w:jc w:val="both"/>
        <w:rPr>
          <w:rFonts w:ascii="Segoe UI" w:eastAsia="Calibri" w:hAnsi="Segoe UI" w:cs="Segoe UI"/>
          <w:b/>
          <w:lang w:val="en-GB"/>
        </w:rPr>
      </w:pPr>
      <w:r w:rsidRPr="00056CE8">
        <w:rPr>
          <w:rFonts w:ascii="Segoe UI" w:eastAsia="Calibri" w:hAnsi="Segoe UI" w:cs="Segoe UI"/>
          <w:b/>
          <w:lang w:val="en-GB"/>
        </w:rPr>
        <w:t xml:space="preserve">4. </w:t>
      </w:r>
      <w:r w:rsidR="00C14C96" w:rsidRPr="00056CE8">
        <w:rPr>
          <w:rFonts w:ascii="Segoe UI" w:eastAsia="Calibri" w:hAnsi="Segoe UI" w:cs="Segoe UI"/>
          <w:b/>
          <w:lang w:val="en-GB"/>
        </w:rPr>
        <w:t>I</w:t>
      </w:r>
      <w:r w:rsidR="00837044" w:rsidRPr="00056CE8">
        <w:rPr>
          <w:rFonts w:ascii="Segoe UI" w:eastAsia="Calibri" w:hAnsi="Segoe UI" w:cs="Segoe UI"/>
          <w:b/>
          <w:lang w:val="en-GB"/>
        </w:rPr>
        <w:t>ncidents</w:t>
      </w:r>
    </w:p>
    <w:p w:rsidR="00837044" w:rsidRPr="00056CE8" w:rsidRDefault="00837044" w:rsidP="00ED7A9A">
      <w:pPr>
        <w:pStyle w:val="ListParagraph"/>
        <w:numPr>
          <w:ilvl w:val="1"/>
          <w:numId w:val="21"/>
        </w:numPr>
        <w:contextualSpacing/>
        <w:jc w:val="both"/>
        <w:rPr>
          <w:rFonts w:ascii="Segoe UI" w:eastAsia="Calibri" w:hAnsi="Segoe UI" w:cs="Segoe UI"/>
          <w:b/>
        </w:rPr>
      </w:pPr>
      <w:r w:rsidRPr="00056CE8">
        <w:rPr>
          <w:rFonts w:ascii="Segoe UI" w:eastAsia="Calibri" w:hAnsi="Segoe UI" w:cs="Segoe UI"/>
          <w:b/>
        </w:rPr>
        <w:t>Total number of incidents by quarter</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lang w:val="en-GB"/>
        </w:rPr>
        <w:t>The level of incident reporting has increased in Q3.  It is now at the highest level in the last three years</w:t>
      </w:r>
      <w:r w:rsidR="000C72D8" w:rsidRPr="00056CE8">
        <w:rPr>
          <w:rFonts w:ascii="Segoe UI" w:eastAsia="Calibri" w:hAnsi="Segoe UI" w:cs="Segoe UI"/>
          <w:lang w:val="en-GB"/>
        </w:rPr>
        <w:t>. Organisations reporting higher levels of incidents are generally considered within the NHS to be organisations with stronger safety cultures. Incident analysis by type and team is reported in detail to teams. This report identifies areas of strategic importance or exception.</w:t>
      </w:r>
    </w:p>
    <w:p w:rsidR="00CB4CA6" w:rsidRPr="00056CE8" w:rsidRDefault="00CB4CA6" w:rsidP="00454528">
      <w:pPr>
        <w:jc w:val="both"/>
        <w:rPr>
          <w:rFonts w:ascii="Segoe UI" w:eastAsia="Calibri" w:hAnsi="Segoe UI" w:cs="Segoe UI"/>
          <w:lang w:val="en-GB"/>
        </w:rPr>
      </w:pPr>
    </w:p>
    <w:tbl>
      <w:tblPr>
        <w:tblW w:w="3419" w:type="pct"/>
        <w:tblInd w:w="955" w:type="dxa"/>
        <w:tblLook w:val="04A0" w:firstRow="1" w:lastRow="0" w:firstColumn="1" w:lastColumn="0" w:noHBand="0" w:noVBand="1"/>
      </w:tblPr>
      <w:tblGrid>
        <w:gridCol w:w="1086"/>
        <w:gridCol w:w="1086"/>
        <w:gridCol w:w="1086"/>
        <w:gridCol w:w="1086"/>
        <w:gridCol w:w="1086"/>
        <w:gridCol w:w="1086"/>
        <w:gridCol w:w="1086"/>
      </w:tblGrid>
      <w:tr w:rsidR="00454528" w:rsidRPr="00056CE8" w:rsidTr="00CB4CA6">
        <w:trPr>
          <w:trHeight w:val="480"/>
        </w:trPr>
        <w:tc>
          <w:tcPr>
            <w:tcW w:w="187" w:type="pct"/>
            <w:tcBorders>
              <w:top w:val="single" w:sz="4" w:space="0" w:color="auto"/>
              <w:left w:val="single" w:sz="4" w:space="0" w:color="auto"/>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2014/15 [Q1]</w:t>
            </w:r>
          </w:p>
        </w:tc>
        <w:tc>
          <w:tcPr>
            <w:tcW w:w="802" w:type="pct"/>
            <w:tcBorders>
              <w:top w:val="single" w:sz="4" w:space="0" w:color="auto"/>
              <w:left w:val="nil"/>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2014/15 [Q2]</w:t>
            </w:r>
          </w:p>
        </w:tc>
        <w:tc>
          <w:tcPr>
            <w:tcW w:w="802" w:type="pct"/>
            <w:tcBorders>
              <w:top w:val="single" w:sz="4" w:space="0" w:color="auto"/>
              <w:left w:val="nil"/>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2014/15 [Q3]</w:t>
            </w:r>
          </w:p>
        </w:tc>
        <w:tc>
          <w:tcPr>
            <w:tcW w:w="802" w:type="pct"/>
            <w:tcBorders>
              <w:top w:val="single" w:sz="4" w:space="0" w:color="auto"/>
              <w:left w:val="nil"/>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2014/15 [Q4]</w:t>
            </w:r>
          </w:p>
        </w:tc>
        <w:tc>
          <w:tcPr>
            <w:tcW w:w="802" w:type="pct"/>
            <w:tcBorders>
              <w:top w:val="single" w:sz="4" w:space="0" w:color="auto"/>
              <w:left w:val="nil"/>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2015/16 [Q1]</w:t>
            </w:r>
          </w:p>
        </w:tc>
        <w:tc>
          <w:tcPr>
            <w:tcW w:w="802" w:type="pct"/>
            <w:tcBorders>
              <w:top w:val="single" w:sz="4" w:space="0" w:color="auto"/>
              <w:left w:val="nil"/>
              <w:bottom w:val="single" w:sz="4" w:space="0" w:color="auto"/>
              <w:right w:val="single" w:sz="4" w:space="0" w:color="auto"/>
            </w:tcBorders>
            <w:shd w:val="clear" w:color="auto" w:fill="BFBFBF"/>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2015/16 [Q2]</w:t>
            </w:r>
          </w:p>
        </w:tc>
        <w:tc>
          <w:tcPr>
            <w:tcW w:w="802" w:type="pct"/>
            <w:tcBorders>
              <w:top w:val="single" w:sz="4" w:space="0" w:color="auto"/>
              <w:left w:val="nil"/>
              <w:bottom w:val="single" w:sz="4" w:space="0" w:color="auto"/>
              <w:right w:val="single" w:sz="4" w:space="0" w:color="auto"/>
            </w:tcBorders>
            <w:shd w:val="clear" w:color="auto" w:fill="BFBFBF"/>
            <w:vAlign w:val="bottom"/>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2015/16 [Q3]</w:t>
            </w:r>
          </w:p>
        </w:tc>
      </w:tr>
      <w:tr w:rsidR="00CB4CA6" w:rsidRPr="00056CE8" w:rsidTr="00CB4CA6">
        <w:trPr>
          <w:trHeight w:val="480"/>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3032</w:t>
            </w:r>
          </w:p>
        </w:tc>
        <w:tc>
          <w:tcPr>
            <w:tcW w:w="802" w:type="pct"/>
            <w:tcBorders>
              <w:top w:val="nil"/>
              <w:left w:val="nil"/>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2848</w:t>
            </w:r>
          </w:p>
        </w:tc>
        <w:tc>
          <w:tcPr>
            <w:tcW w:w="802" w:type="pct"/>
            <w:tcBorders>
              <w:top w:val="nil"/>
              <w:left w:val="nil"/>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2963</w:t>
            </w:r>
          </w:p>
        </w:tc>
        <w:tc>
          <w:tcPr>
            <w:tcW w:w="802" w:type="pct"/>
            <w:tcBorders>
              <w:top w:val="nil"/>
              <w:left w:val="nil"/>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3165</w:t>
            </w:r>
          </w:p>
        </w:tc>
        <w:tc>
          <w:tcPr>
            <w:tcW w:w="802" w:type="pct"/>
            <w:tcBorders>
              <w:top w:val="nil"/>
              <w:left w:val="nil"/>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3207</w:t>
            </w:r>
          </w:p>
        </w:tc>
        <w:tc>
          <w:tcPr>
            <w:tcW w:w="802" w:type="pct"/>
            <w:tcBorders>
              <w:top w:val="nil"/>
              <w:left w:val="nil"/>
              <w:bottom w:val="single" w:sz="4" w:space="0" w:color="auto"/>
              <w:right w:val="single" w:sz="4" w:space="0" w:color="auto"/>
            </w:tcBorders>
            <w:shd w:val="clear" w:color="auto" w:fill="auto"/>
            <w:noWrap/>
            <w:vAlign w:val="bottom"/>
            <w:hideMark/>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3118</w:t>
            </w:r>
          </w:p>
        </w:tc>
        <w:tc>
          <w:tcPr>
            <w:tcW w:w="802" w:type="pct"/>
            <w:tcBorders>
              <w:top w:val="single" w:sz="4" w:space="0" w:color="auto"/>
              <w:left w:val="nil"/>
              <w:bottom w:val="single" w:sz="4" w:space="0" w:color="auto"/>
              <w:right w:val="single" w:sz="4" w:space="0" w:color="auto"/>
            </w:tcBorders>
            <w:vAlign w:val="bottom"/>
          </w:tcPr>
          <w:p w:rsidR="00CB4CA6" w:rsidRPr="00056CE8" w:rsidRDefault="00CB4CA6" w:rsidP="00454528">
            <w:pPr>
              <w:jc w:val="both"/>
              <w:rPr>
                <w:rFonts w:ascii="Segoe UI" w:hAnsi="Segoe UI" w:cs="Segoe UI"/>
                <w:lang w:val="en-GB" w:eastAsia="en-GB"/>
              </w:rPr>
            </w:pPr>
            <w:r w:rsidRPr="00056CE8">
              <w:rPr>
                <w:rFonts w:ascii="Segoe UI" w:hAnsi="Segoe UI" w:cs="Segoe UI"/>
                <w:lang w:val="en-GB" w:eastAsia="en-GB"/>
              </w:rPr>
              <w:t>3338</w:t>
            </w:r>
          </w:p>
        </w:tc>
      </w:tr>
    </w:tbl>
    <w:p w:rsidR="00837044" w:rsidRPr="00056CE8" w:rsidRDefault="000743E7" w:rsidP="00454528">
      <w:pPr>
        <w:jc w:val="both"/>
        <w:rPr>
          <w:rFonts w:ascii="Segoe UI" w:eastAsia="Calibri" w:hAnsi="Segoe UI" w:cs="Segoe UI"/>
          <w:i/>
          <w:noProof/>
          <w:lang w:val="en-GB" w:eastAsia="en-GB"/>
        </w:rPr>
      </w:pPr>
      <w:r w:rsidRPr="00056CE8">
        <w:rPr>
          <w:rFonts w:ascii="Segoe UI" w:eastAsia="Calibri" w:hAnsi="Segoe UI" w:cs="Segoe UI"/>
          <w:i/>
          <w:noProof/>
          <w:lang w:val="en-GB" w:eastAsia="en-GB"/>
        </w:rPr>
        <w:t>Table 1.</w:t>
      </w:r>
    </w:p>
    <w:p w:rsidR="00837044" w:rsidRPr="00056CE8" w:rsidRDefault="00837044" w:rsidP="00454528">
      <w:pPr>
        <w:ind w:left="142"/>
        <w:contextualSpacing/>
        <w:jc w:val="both"/>
        <w:rPr>
          <w:rFonts w:ascii="Segoe UI" w:eastAsia="Calibri" w:hAnsi="Segoe UI" w:cs="Segoe UI"/>
          <w:b/>
          <w:lang w:val="en-GB"/>
        </w:rPr>
      </w:pPr>
    </w:p>
    <w:p w:rsidR="00837044" w:rsidRPr="00056CE8" w:rsidRDefault="00837044" w:rsidP="00ED7A9A">
      <w:pPr>
        <w:pStyle w:val="ListParagraph"/>
        <w:numPr>
          <w:ilvl w:val="1"/>
          <w:numId w:val="21"/>
        </w:numPr>
        <w:contextualSpacing/>
        <w:jc w:val="both"/>
        <w:rPr>
          <w:rFonts w:ascii="Segoe UI" w:eastAsia="Calibri" w:hAnsi="Segoe UI" w:cs="Segoe UI"/>
          <w:b/>
        </w:rPr>
      </w:pPr>
      <w:r w:rsidRPr="00056CE8">
        <w:rPr>
          <w:rFonts w:ascii="Segoe UI" w:eastAsia="Calibri" w:hAnsi="Segoe UI" w:cs="Segoe UI"/>
          <w:b/>
        </w:rPr>
        <w:t>Incidents by actual impact</w:t>
      </w:r>
    </w:p>
    <w:p w:rsidR="00837044" w:rsidRPr="00056CE8" w:rsidRDefault="00837044" w:rsidP="00454528">
      <w:pPr>
        <w:jc w:val="both"/>
        <w:rPr>
          <w:rFonts w:ascii="Segoe UI" w:hAnsi="Segoe UI" w:cs="Segoe UI"/>
          <w:lang w:val="en-GB" w:eastAsia="en-GB"/>
        </w:rPr>
      </w:pPr>
      <w:r w:rsidRPr="00056CE8">
        <w:rPr>
          <w:rFonts w:ascii="Segoe UI" w:hAnsi="Segoe UI" w:cs="Segoe UI"/>
          <w:lang w:val="en-GB" w:eastAsia="en-GB"/>
        </w:rPr>
        <w:t>The numbers of reported green and yellow incidents (low/minor injury or property damage) continues to represent the highest proportion of total reported incidents and have increased compared with Q1 and Q2 15/16</w:t>
      </w:r>
      <w:r w:rsidR="00C14C96" w:rsidRPr="00056CE8">
        <w:rPr>
          <w:rFonts w:ascii="Segoe UI" w:hAnsi="Segoe UI" w:cs="Segoe UI"/>
          <w:lang w:val="en-GB" w:eastAsia="en-GB"/>
        </w:rPr>
        <w:t xml:space="preserve">.  </w:t>
      </w:r>
    </w:p>
    <w:p w:rsidR="00837044" w:rsidRPr="00056CE8" w:rsidRDefault="00837044" w:rsidP="00454528">
      <w:pPr>
        <w:jc w:val="both"/>
        <w:rPr>
          <w:rFonts w:ascii="Segoe UI" w:hAnsi="Segoe UI" w:cs="Segoe UI"/>
          <w:lang w:val="en-GB" w:eastAsia="en-GB"/>
        </w:rPr>
      </w:pPr>
    </w:p>
    <w:p w:rsidR="000C72D8" w:rsidRPr="00056CE8" w:rsidRDefault="00837044" w:rsidP="00454528">
      <w:pPr>
        <w:jc w:val="both"/>
        <w:rPr>
          <w:rFonts w:ascii="Segoe UI" w:hAnsi="Segoe UI" w:cs="Segoe UI"/>
          <w:lang w:val="en-GB" w:eastAsia="en-GB"/>
        </w:rPr>
      </w:pPr>
      <w:r w:rsidRPr="00056CE8">
        <w:rPr>
          <w:rFonts w:ascii="Segoe UI" w:hAnsi="Segoe UI" w:cs="Segoe UI"/>
          <w:lang w:val="en-GB" w:eastAsia="en-GB"/>
        </w:rPr>
        <w:t>Death and major injury/pr</w:t>
      </w:r>
      <w:r w:rsidR="00670315" w:rsidRPr="00056CE8">
        <w:rPr>
          <w:rFonts w:ascii="Segoe UI" w:hAnsi="Segoe UI" w:cs="Segoe UI"/>
          <w:lang w:val="en-GB" w:eastAsia="en-GB"/>
        </w:rPr>
        <w:t>operty damage have seen a marginal</w:t>
      </w:r>
      <w:r w:rsidRPr="00056CE8">
        <w:rPr>
          <w:rFonts w:ascii="Segoe UI" w:hAnsi="Segoe UI" w:cs="Segoe UI"/>
          <w:lang w:val="en-GB" w:eastAsia="en-GB"/>
        </w:rPr>
        <w:t xml:space="preserve"> increase in numbers reported to Q2 but less than Q1 and less than the last two quarters in 2014/15.</w:t>
      </w:r>
    </w:p>
    <w:p w:rsidR="00056CE8" w:rsidRDefault="00837044" w:rsidP="00454528">
      <w:pPr>
        <w:jc w:val="both"/>
        <w:rPr>
          <w:rFonts w:ascii="Segoe UI" w:hAnsi="Segoe UI" w:cs="Segoe UI"/>
          <w:lang w:val="en-GB" w:eastAsia="en-GB"/>
        </w:rPr>
      </w:pPr>
      <w:r w:rsidRPr="00056CE8">
        <w:rPr>
          <w:rFonts w:ascii="Segoe UI" w:hAnsi="Segoe UI" w:cs="Segoe UI"/>
          <w:lang w:val="en-GB" w:eastAsia="en-GB"/>
        </w:rPr>
        <w:t xml:space="preserve">There have been 37 deaths reported this quarter compared with 31 in Q2 and 49 in Q1.  </w:t>
      </w:r>
    </w:p>
    <w:p w:rsidR="00056CE8" w:rsidRDefault="00056CE8">
      <w:pPr>
        <w:spacing w:after="200" w:line="276" w:lineRule="auto"/>
        <w:rPr>
          <w:rFonts w:ascii="Segoe UI" w:hAnsi="Segoe UI" w:cs="Segoe UI"/>
          <w:lang w:val="en-GB" w:eastAsia="en-GB"/>
        </w:rPr>
      </w:pPr>
      <w:r>
        <w:rPr>
          <w:rFonts w:ascii="Segoe UI" w:hAnsi="Segoe UI" w:cs="Segoe UI"/>
          <w:lang w:val="en-GB" w:eastAsia="en-GB"/>
        </w:rPr>
        <w:br w:type="page"/>
      </w:r>
    </w:p>
    <w:p w:rsidR="009D2254" w:rsidRPr="00056CE8" w:rsidRDefault="00C14C96" w:rsidP="00E77E26">
      <w:pPr>
        <w:pStyle w:val="ListParagraph"/>
        <w:numPr>
          <w:ilvl w:val="1"/>
          <w:numId w:val="21"/>
        </w:numPr>
        <w:jc w:val="both"/>
        <w:rPr>
          <w:rFonts w:ascii="Segoe UI" w:eastAsia="Calibri" w:hAnsi="Segoe UI" w:cs="Segoe UI"/>
          <w:u w:val="single"/>
        </w:rPr>
      </w:pPr>
      <w:r w:rsidRPr="00056CE8">
        <w:rPr>
          <w:rFonts w:ascii="Segoe UI" w:hAnsi="Segoe UI" w:cs="Segoe UI"/>
          <w:b/>
        </w:rPr>
        <w:lastRenderedPageBreak/>
        <w:t>Incidents by type</w:t>
      </w:r>
    </w:p>
    <w:p w:rsidR="00E77E26" w:rsidRPr="00056CE8" w:rsidRDefault="00E77E26" w:rsidP="00E77E26">
      <w:pPr>
        <w:jc w:val="both"/>
        <w:rPr>
          <w:rFonts w:ascii="Segoe UI" w:eastAsia="Calibri" w:hAnsi="Segoe UI" w:cs="Segoe UI"/>
          <w:u w:val="single"/>
          <w:lang w:val="en-GB"/>
        </w:rPr>
      </w:pPr>
      <w:r w:rsidRPr="00056CE8">
        <w:rPr>
          <w:rFonts w:ascii="Segoe UI" w:eastAsia="Calibri" w:hAnsi="Segoe UI" w:cs="Segoe UI"/>
          <w:u w:val="single"/>
          <w:lang w:val="en-GB"/>
        </w:rPr>
        <w:t>Top three groups by quarter</w:t>
      </w:r>
    </w:p>
    <w:p w:rsidR="00E77E26" w:rsidRPr="00056CE8" w:rsidRDefault="00E77E26" w:rsidP="00E77E26">
      <w:pPr>
        <w:numPr>
          <w:ilvl w:val="0"/>
          <w:numId w:val="5"/>
        </w:numPr>
        <w:jc w:val="both"/>
        <w:rPr>
          <w:rFonts w:ascii="Segoe UI" w:hAnsi="Segoe UI" w:cs="Segoe UI"/>
          <w:lang w:val="en-GB" w:eastAsia="x-none"/>
        </w:rPr>
      </w:pPr>
      <w:r w:rsidRPr="00056CE8">
        <w:rPr>
          <w:rFonts w:ascii="Segoe UI" w:hAnsi="Segoe UI" w:cs="Segoe UI"/>
          <w:lang w:val="en-GB" w:eastAsia="x-none"/>
        </w:rPr>
        <w:t>Health (of which 79% of incidents relate to pressure ulcers)</w:t>
      </w:r>
    </w:p>
    <w:p w:rsidR="00E77E26" w:rsidRPr="00056CE8" w:rsidRDefault="00E77E26" w:rsidP="00E77E26">
      <w:pPr>
        <w:numPr>
          <w:ilvl w:val="0"/>
          <w:numId w:val="5"/>
        </w:numPr>
        <w:jc w:val="both"/>
        <w:rPr>
          <w:rFonts w:ascii="Segoe UI" w:hAnsi="Segoe UI" w:cs="Segoe UI"/>
          <w:lang w:val="en-GB" w:eastAsia="x-none"/>
        </w:rPr>
      </w:pPr>
      <w:r w:rsidRPr="00056CE8">
        <w:rPr>
          <w:rFonts w:ascii="Segoe UI" w:hAnsi="Segoe UI" w:cs="Segoe UI"/>
          <w:lang w:val="en-GB" w:eastAsia="x-none"/>
        </w:rPr>
        <w:t xml:space="preserve">Violence and aggression (mostly with no jury or damage, and by patients on staff. The highest reporters were Sandford ward, Cherwell ward and Kestrel ward) </w:t>
      </w:r>
    </w:p>
    <w:p w:rsidR="00E77E26" w:rsidRPr="00056CE8" w:rsidRDefault="00E77E26" w:rsidP="00E77E26">
      <w:pPr>
        <w:numPr>
          <w:ilvl w:val="0"/>
          <w:numId w:val="5"/>
        </w:numPr>
        <w:jc w:val="both"/>
        <w:rPr>
          <w:rFonts w:ascii="Segoe UI" w:hAnsi="Segoe UI" w:cs="Segoe UI"/>
          <w:lang w:val="en-GB" w:eastAsia="x-none"/>
        </w:rPr>
      </w:pPr>
      <w:r w:rsidRPr="00056CE8">
        <w:rPr>
          <w:rFonts w:ascii="Segoe UI" w:hAnsi="Segoe UI" w:cs="Segoe UI"/>
          <w:lang w:val="en-GB" w:eastAsia="x-none"/>
        </w:rPr>
        <w:t>Self-harm (there has been an increase in Q3 this relates to an increase in incidents on two wards; Highfield ward and Ruby ward)</w:t>
      </w:r>
    </w:p>
    <w:p w:rsidR="00E77E26" w:rsidRPr="00056CE8" w:rsidRDefault="009D2254" w:rsidP="00454528">
      <w:pPr>
        <w:jc w:val="both"/>
        <w:rPr>
          <w:rFonts w:ascii="Segoe UI" w:hAnsi="Segoe UI" w:cs="Segoe UI"/>
        </w:rPr>
      </w:pPr>
      <w:r w:rsidRPr="00056CE8">
        <w:rPr>
          <w:rFonts w:ascii="Segoe UI" w:hAnsi="Segoe UI" w:cs="Segoe UI"/>
        </w:rPr>
        <w:t>Further</w:t>
      </w:r>
      <w:r w:rsidR="00E77E26" w:rsidRPr="00056CE8">
        <w:rPr>
          <w:rFonts w:ascii="Segoe UI" w:hAnsi="Segoe UI" w:cs="Segoe UI"/>
        </w:rPr>
        <w:t xml:space="preserve"> detail by type/ cause group is below.</w:t>
      </w:r>
    </w:p>
    <w:p w:rsidR="000743E7" w:rsidRPr="00056CE8" w:rsidRDefault="000743E7" w:rsidP="00454528">
      <w:pPr>
        <w:jc w:val="both"/>
        <w:rPr>
          <w:rFonts w:ascii="Segoe UI" w:hAnsi="Segoe UI" w:cs="Segoe UI"/>
          <w:b/>
        </w:rPr>
      </w:pPr>
    </w:p>
    <w:p w:rsidR="00C14C96" w:rsidRPr="00056CE8" w:rsidRDefault="00ED7A9A" w:rsidP="00454528">
      <w:pPr>
        <w:jc w:val="both"/>
        <w:rPr>
          <w:rFonts w:ascii="Segoe UI" w:hAnsi="Segoe UI" w:cs="Segoe UI"/>
          <w:b/>
          <w:lang w:val="en-GB" w:eastAsia="en-GB"/>
        </w:rPr>
      </w:pPr>
      <w:r w:rsidRPr="00056CE8">
        <w:rPr>
          <w:rFonts w:ascii="Segoe UI" w:hAnsi="Segoe UI" w:cs="Segoe UI"/>
          <w:b/>
          <w:lang w:val="en-GB" w:eastAsia="en-GB"/>
        </w:rPr>
        <w:t>4</w:t>
      </w:r>
      <w:r w:rsidR="00EE56F7" w:rsidRPr="00056CE8">
        <w:rPr>
          <w:rFonts w:ascii="Segoe UI" w:hAnsi="Segoe UI" w:cs="Segoe UI"/>
          <w:b/>
          <w:lang w:val="en-GB" w:eastAsia="en-GB"/>
        </w:rPr>
        <w:t xml:space="preserve">.3.1 </w:t>
      </w:r>
      <w:r w:rsidR="00C14C96" w:rsidRPr="00056CE8">
        <w:rPr>
          <w:rFonts w:ascii="Segoe UI" w:hAnsi="Segoe UI" w:cs="Segoe UI"/>
          <w:b/>
          <w:lang w:val="en-GB" w:eastAsia="en-GB"/>
        </w:rPr>
        <w:t>Health</w:t>
      </w:r>
      <w:r w:rsidR="00EE56F7" w:rsidRPr="00056CE8">
        <w:rPr>
          <w:rFonts w:ascii="Segoe UI" w:hAnsi="Segoe UI" w:cs="Segoe UI"/>
          <w:b/>
          <w:lang w:val="en-GB" w:eastAsia="en-GB"/>
        </w:rPr>
        <w:t xml:space="preserve"> related</w:t>
      </w:r>
    </w:p>
    <w:p w:rsidR="009D2254" w:rsidRPr="00056CE8" w:rsidRDefault="00C14C96" w:rsidP="00454528">
      <w:pPr>
        <w:jc w:val="both"/>
        <w:rPr>
          <w:rFonts w:ascii="Segoe UI" w:hAnsi="Segoe UI" w:cs="Segoe UI"/>
          <w:lang w:val="en-GB" w:eastAsia="en-GB"/>
        </w:rPr>
      </w:pPr>
      <w:r w:rsidRPr="00056CE8">
        <w:rPr>
          <w:rFonts w:ascii="Segoe UI" w:hAnsi="Segoe UI" w:cs="Segoe UI"/>
          <w:lang w:val="en-GB" w:eastAsia="en-GB"/>
        </w:rPr>
        <w:t>Health was the most commonly reported incident in Q3.  This cause group is used primarily for reporting pressure ulcers. There were 601 health related incidents, of which 475 concerned pressure ulcers.  This is slightly lower than the previous three quarters.</w:t>
      </w:r>
    </w:p>
    <w:p w:rsidR="009D2254" w:rsidRPr="00056CE8" w:rsidRDefault="009D2254" w:rsidP="00454528">
      <w:pPr>
        <w:jc w:val="both"/>
        <w:rPr>
          <w:rFonts w:ascii="Segoe UI" w:hAnsi="Segoe UI" w:cs="Segoe UI"/>
          <w:lang w:val="en-GB" w:eastAsia="en-GB"/>
        </w:rPr>
      </w:pPr>
    </w:p>
    <w:p w:rsidR="00056CE8" w:rsidRDefault="00056CE8" w:rsidP="003B628C">
      <w:pPr>
        <w:rPr>
          <w:rFonts w:ascii="Segoe UI" w:hAnsi="Segoe UI" w:cs="Segoe UI"/>
          <w:b/>
          <w:lang w:val="en-GB" w:eastAsia="en-GB"/>
        </w:rPr>
      </w:pPr>
      <w:r>
        <w:rPr>
          <w:rFonts w:ascii="Segoe UI" w:hAnsi="Segoe UI" w:cs="Segoe UI"/>
          <w:b/>
          <w:lang w:val="en-GB" w:eastAsia="en-GB"/>
        </w:rPr>
        <w:t>Pressure ulcers</w:t>
      </w:r>
    </w:p>
    <w:p w:rsidR="003B628C" w:rsidRPr="00056CE8" w:rsidRDefault="00C14C96" w:rsidP="003B628C">
      <w:pPr>
        <w:rPr>
          <w:rFonts w:ascii="Segoe UI" w:hAnsi="Segoe UI" w:cs="Segoe UI"/>
          <w:lang w:val="en-GB" w:eastAsia="en-GB"/>
        </w:rPr>
      </w:pPr>
      <w:r w:rsidRPr="00056CE8">
        <w:rPr>
          <w:rFonts w:ascii="Segoe UI" w:hAnsi="Segoe UI" w:cs="Segoe UI"/>
          <w:lang w:val="en-GB" w:eastAsia="en-GB"/>
        </w:rPr>
        <w:t xml:space="preserve"> In Q2 79% of health related incident were attributable to pressure ulcers compared with 61% in Q3.</w:t>
      </w:r>
      <w:r w:rsidR="0065316E" w:rsidRPr="00056CE8">
        <w:rPr>
          <w:rFonts w:ascii="Segoe UI" w:hAnsi="Segoe UI" w:cs="Segoe UI"/>
          <w:lang w:val="en-GB" w:eastAsia="en-GB"/>
        </w:rPr>
        <w:t xml:space="preserve"> In February 2016 Oxfordshire CCG supported the trust to develop an action plan to </w:t>
      </w:r>
      <w:r w:rsidR="00127CB1" w:rsidRPr="00056CE8">
        <w:rPr>
          <w:rFonts w:ascii="Segoe UI" w:hAnsi="Segoe UI" w:cs="Segoe UI"/>
          <w:lang w:val="en-GB" w:eastAsia="en-GB"/>
        </w:rPr>
        <w:t>identify how to</w:t>
      </w:r>
      <w:r w:rsidR="009D2254" w:rsidRPr="00056CE8">
        <w:rPr>
          <w:rFonts w:ascii="Segoe UI" w:hAnsi="Segoe UI" w:cs="Segoe UI"/>
          <w:lang w:val="en-GB" w:eastAsia="en-GB"/>
        </w:rPr>
        <w:t xml:space="preserve"> systematically</w:t>
      </w:r>
      <w:r w:rsidR="00127CB1" w:rsidRPr="00056CE8">
        <w:rPr>
          <w:rFonts w:ascii="Segoe UI" w:hAnsi="Segoe UI" w:cs="Segoe UI"/>
          <w:lang w:val="en-GB" w:eastAsia="en-GB"/>
        </w:rPr>
        <w:t xml:space="preserve"> reduce </w:t>
      </w:r>
      <w:r w:rsidR="0065316E" w:rsidRPr="00056CE8">
        <w:rPr>
          <w:rFonts w:ascii="Segoe UI" w:hAnsi="Segoe UI" w:cs="Segoe UI"/>
          <w:lang w:val="en-GB" w:eastAsia="en-GB"/>
        </w:rPr>
        <w:t>pressure ulcer</w:t>
      </w:r>
      <w:r w:rsidR="00127CB1" w:rsidRPr="00056CE8">
        <w:rPr>
          <w:rFonts w:ascii="Segoe UI" w:hAnsi="Segoe UI" w:cs="Segoe UI"/>
          <w:lang w:val="en-GB" w:eastAsia="en-GB"/>
        </w:rPr>
        <w:t>s in the commun</w:t>
      </w:r>
      <w:r w:rsidR="009D2254" w:rsidRPr="00056CE8">
        <w:rPr>
          <w:rFonts w:ascii="Segoe UI" w:hAnsi="Segoe UI" w:cs="Segoe UI"/>
          <w:lang w:val="en-GB" w:eastAsia="en-GB"/>
        </w:rPr>
        <w:t>ity, the plan has been</w:t>
      </w:r>
      <w:r w:rsidR="00127CB1" w:rsidRPr="00056CE8">
        <w:rPr>
          <w:rFonts w:ascii="Segoe UI" w:hAnsi="Segoe UI" w:cs="Segoe UI"/>
          <w:lang w:val="en-GB" w:eastAsia="en-GB"/>
        </w:rPr>
        <w:t xml:space="preserve"> finalised and is proposing to use </w:t>
      </w:r>
      <w:r w:rsidR="009D2254" w:rsidRPr="00056CE8">
        <w:rPr>
          <w:rFonts w:ascii="Segoe UI" w:hAnsi="Segoe UI" w:cs="Segoe UI"/>
          <w:lang w:val="en-GB" w:eastAsia="en-GB"/>
        </w:rPr>
        <w:t xml:space="preserve">improvement methodology within an agreed number teams </w:t>
      </w:r>
      <w:r w:rsidR="00127CB1" w:rsidRPr="00056CE8">
        <w:rPr>
          <w:rFonts w:ascii="Segoe UI" w:hAnsi="Segoe UI" w:cs="Segoe UI"/>
          <w:lang w:val="en-GB" w:eastAsia="en-GB"/>
        </w:rPr>
        <w:t xml:space="preserve"> across the District Nurse Services.</w:t>
      </w:r>
      <w:r w:rsidR="009D2254" w:rsidRPr="00056CE8">
        <w:rPr>
          <w:rFonts w:ascii="Segoe UI" w:hAnsi="Segoe UI" w:cs="Segoe UI"/>
          <w:lang w:val="en-GB" w:eastAsia="en-GB"/>
        </w:rPr>
        <w:t xml:space="preserve"> The speed of working within all the 43 District nursing teams is limited by the improvement capacity to support this work at team level.</w:t>
      </w:r>
    </w:p>
    <w:p w:rsidR="003B628C" w:rsidRPr="00056CE8" w:rsidRDefault="003B628C" w:rsidP="003B628C">
      <w:pPr>
        <w:rPr>
          <w:rFonts w:ascii="Segoe UI" w:eastAsiaTheme="minorHAnsi" w:hAnsi="Segoe UI" w:cs="Segoe UI"/>
          <w:i/>
          <w:noProof/>
          <w:lang w:val="en-GB" w:eastAsia="en-GB"/>
        </w:rPr>
      </w:pPr>
      <w:r w:rsidRPr="00056CE8">
        <w:rPr>
          <w:rFonts w:ascii="Segoe UI" w:eastAsiaTheme="minorHAnsi" w:hAnsi="Segoe UI" w:cs="Segoe UI"/>
          <w:i/>
          <w:noProof/>
          <w:lang w:val="en-GB" w:eastAsia="en-GB"/>
        </w:rPr>
        <w:t xml:space="preserve"> Reduction in pressure ulcers safer care </w:t>
      </w:r>
      <w:r w:rsidRPr="00056CE8">
        <w:rPr>
          <w:rFonts w:ascii="Segoe UI" w:eastAsiaTheme="minorHAnsi" w:hAnsi="Segoe UI" w:cs="Segoe UI"/>
          <w:noProof/>
          <w:lang w:val="en-GB" w:eastAsia="en-GB"/>
        </w:rPr>
        <w:t xml:space="preserve">Project with Henley District Nurses aims to reduce the number of acquired pressure ulcers, work underway with aim, driver diagram and meetings in place. </w:t>
      </w:r>
    </w:p>
    <w:p w:rsidR="00EE56F7" w:rsidRPr="00056CE8" w:rsidRDefault="00EE56F7" w:rsidP="00454528">
      <w:pPr>
        <w:contextualSpacing/>
        <w:jc w:val="both"/>
        <w:rPr>
          <w:rFonts w:ascii="Segoe UI" w:eastAsia="Calibri" w:hAnsi="Segoe UI" w:cs="Segoe UI"/>
          <w:lang w:val="en-GB"/>
        </w:rPr>
      </w:pPr>
    </w:p>
    <w:p w:rsidR="00056CE8" w:rsidRDefault="009D2254" w:rsidP="00454528">
      <w:pPr>
        <w:contextualSpacing/>
        <w:jc w:val="both"/>
        <w:rPr>
          <w:rFonts w:ascii="Segoe UI" w:eastAsia="Calibri" w:hAnsi="Segoe UI" w:cs="Segoe UI"/>
          <w:lang w:val="en-GB"/>
        </w:rPr>
      </w:pPr>
      <w:r w:rsidRPr="00056CE8">
        <w:rPr>
          <w:rFonts w:ascii="Segoe UI" w:eastAsia="Calibri" w:hAnsi="Segoe UI" w:cs="Segoe UI"/>
          <w:b/>
          <w:lang w:val="en-GB"/>
        </w:rPr>
        <w:t>VTE</w:t>
      </w:r>
    </w:p>
    <w:p w:rsidR="00C14C96" w:rsidRPr="00056CE8" w:rsidRDefault="00C14C96" w:rsidP="00454528">
      <w:pPr>
        <w:contextualSpacing/>
        <w:jc w:val="both"/>
        <w:rPr>
          <w:rFonts w:ascii="Segoe UI" w:eastAsia="Calibri" w:hAnsi="Segoe UI" w:cs="Segoe UI"/>
          <w:lang w:val="en-GB"/>
        </w:rPr>
      </w:pPr>
      <w:r w:rsidRPr="00056CE8">
        <w:rPr>
          <w:rFonts w:ascii="Segoe UI" w:eastAsia="Calibri" w:hAnsi="Segoe UI" w:cs="Segoe UI"/>
          <w:lang w:val="en-GB"/>
        </w:rPr>
        <w:t xml:space="preserve">There were no reported incidents of a VTE/DVT reported in Q3. </w:t>
      </w:r>
    </w:p>
    <w:p w:rsidR="00C14C96" w:rsidRPr="00056CE8" w:rsidRDefault="00C14C96" w:rsidP="00454528">
      <w:pPr>
        <w:contextualSpacing/>
        <w:jc w:val="both"/>
        <w:rPr>
          <w:rFonts w:ascii="Segoe UI" w:eastAsia="Calibri" w:hAnsi="Segoe UI" w:cs="Segoe UI"/>
          <w:lang w:val="en-GB"/>
        </w:rPr>
      </w:pPr>
    </w:p>
    <w:p w:rsidR="00056CE8" w:rsidRDefault="00056CE8" w:rsidP="00454528">
      <w:pPr>
        <w:jc w:val="both"/>
        <w:rPr>
          <w:rFonts w:ascii="Segoe UI" w:hAnsi="Segoe UI" w:cs="Segoe UI"/>
          <w:b/>
          <w:lang w:val="en-GB" w:eastAsia="en-GB"/>
        </w:rPr>
      </w:pPr>
      <w:r>
        <w:rPr>
          <w:rFonts w:ascii="Segoe UI" w:hAnsi="Segoe UI" w:cs="Segoe UI"/>
          <w:b/>
          <w:lang w:val="en-GB" w:eastAsia="en-GB"/>
        </w:rPr>
        <w:t>Sudden deterioration</w:t>
      </w:r>
    </w:p>
    <w:p w:rsidR="00C14C96" w:rsidRPr="00056CE8" w:rsidRDefault="009D2254" w:rsidP="00454528">
      <w:pPr>
        <w:jc w:val="both"/>
        <w:rPr>
          <w:rFonts w:ascii="Segoe UI" w:eastAsia="Calibri" w:hAnsi="Segoe UI" w:cs="Segoe UI"/>
          <w:lang w:val="en-GB"/>
        </w:rPr>
      </w:pPr>
      <w:r w:rsidRPr="00056CE8">
        <w:rPr>
          <w:rFonts w:ascii="Segoe UI" w:hAnsi="Segoe UI" w:cs="Segoe UI"/>
          <w:lang w:val="en-GB" w:eastAsia="en-GB"/>
        </w:rPr>
        <w:t xml:space="preserve"> </w:t>
      </w:r>
      <w:r w:rsidR="00C14C96" w:rsidRPr="00056CE8">
        <w:rPr>
          <w:rFonts w:ascii="Segoe UI" w:hAnsi="Segoe UI" w:cs="Segoe UI"/>
          <w:lang w:val="en-GB" w:eastAsia="en-GB"/>
        </w:rPr>
        <w:t xml:space="preserve">On one of the wards at Witney </w:t>
      </w:r>
      <w:r w:rsidR="00C14C96" w:rsidRPr="00056CE8">
        <w:rPr>
          <w:rFonts w:ascii="Segoe UI" w:eastAsia="Calibri" w:hAnsi="Segoe UI" w:cs="Segoe UI"/>
          <w:lang w:val="en-GB"/>
        </w:rPr>
        <w:t>a safer care project is underway</w:t>
      </w:r>
      <w:r w:rsidR="00127CB1" w:rsidRPr="00056CE8">
        <w:rPr>
          <w:rFonts w:ascii="Segoe UI" w:eastAsia="Calibri" w:hAnsi="Segoe UI" w:cs="Segoe UI"/>
          <w:lang w:val="en-GB"/>
        </w:rPr>
        <w:t xml:space="preserve"> to ensure the recognition </w:t>
      </w:r>
      <w:r w:rsidR="000743E7" w:rsidRPr="00056CE8">
        <w:rPr>
          <w:rFonts w:ascii="Segoe UI" w:eastAsia="Calibri" w:hAnsi="Segoe UI" w:cs="Segoe UI"/>
          <w:lang w:val="en-GB"/>
        </w:rPr>
        <w:t>of and</w:t>
      </w:r>
      <w:r w:rsidR="00C14C96" w:rsidRPr="00056CE8">
        <w:rPr>
          <w:rFonts w:ascii="Segoe UI" w:eastAsia="Calibri" w:hAnsi="Segoe UI" w:cs="Segoe UI"/>
          <w:lang w:val="en-GB"/>
        </w:rPr>
        <w:t xml:space="preserve"> rescue of the deteriorating patient. A test of change is being set up with the MEWS Track and Trigger Tool. This particular issue has been raised as part of findings from more than one serious incident</w:t>
      </w:r>
      <w:r w:rsidR="00747A06" w:rsidRPr="00056CE8">
        <w:rPr>
          <w:rFonts w:ascii="Segoe UI" w:eastAsia="Calibri" w:hAnsi="Segoe UI" w:cs="Segoe UI"/>
          <w:lang w:val="en-GB"/>
        </w:rPr>
        <w:t xml:space="preserve"> (SI)</w:t>
      </w:r>
      <w:r w:rsidR="00C14C96" w:rsidRPr="00056CE8">
        <w:rPr>
          <w:rFonts w:ascii="Segoe UI" w:eastAsia="Calibri" w:hAnsi="Segoe UI" w:cs="Segoe UI"/>
          <w:lang w:val="en-GB"/>
        </w:rPr>
        <w:t>.</w:t>
      </w:r>
    </w:p>
    <w:p w:rsidR="00056CE8" w:rsidRDefault="00341D03" w:rsidP="00341D03">
      <w:pPr>
        <w:rPr>
          <w:rFonts w:ascii="Segoe UI" w:eastAsiaTheme="minorHAnsi" w:hAnsi="Segoe UI" w:cs="Segoe UI"/>
          <w:noProof/>
          <w:lang w:val="en-GB" w:eastAsia="en-GB"/>
        </w:rPr>
      </w:pPr>
      <w:r w:rsidRPr="00056CE8">
        <w:rPr>
          <w:rFonts w:ascii="Segoe UI" w:eastAsiaTheme="minorHAnsi" w:hAnsi="Segoe UI" w:cs="Segoe UI"/>
          <w:noProof/>
          <w:lang w:val="en-GB" w:eastAsia="en-GB"/>
        </w:rPr>
        <w:t>Opal Ward are in the very early stages of beginning an additional piece of work which concerns improving the physical health of their patients.</w:t>
      </w:r>
    </w:p>
    <w:p w:rsidR="00056CE8" w:rsidRDefault="00056CE8">
      <w:pPr>
        <w:spacing w:after="200" w:line="276" w:lineRule="auto"/>
        <w:rPr>
          <w:rFonts w:ascii="Segoe UI" w:eastAsiaTheme="minorHAnsi" w:hAnsi="Segoe UI" w:cs="Segoe UI"/>
          <w:noProof/>
          <w:lang w:val="en-GB" w:eastAsia="en-GB"/>
        </w:rPr>
      </w:pPr>
      <w:r>
        <w:rPr>
          <w:rFonts w:ascii="Segoe UI" w:eastAsiaTheme="minorHAnsi" w:hAnsi="Segoe UI" w:cs="Segoe UI"/>
          <w:noProof/>
          <w:lang w:val="en-GB" w:eastAsia="en-GB"/>
        </w:rPr>
        <w:br w:type="page"/>
      </w:r>
    </w:p>
    <w:p w:rsidR="003B628C" w:rsidRPr="00056CE8" w:rsidRDefault="00341D03" w:rsidP="00341D03">
      <w:pPr>
        <w:rPr>
          <w:rFonts w:ascii="Segoe UI" w:eastAsiaTheme="minorHAnsi" w:hAnsi="Segoe UI" w:cs="Segoe UI"/>
          <w:b/>
          <w:noProof/>
          <w:lang w:val="en-GB" w:eastAsia="en-GB"/>
        </w:rPr>
      </w:pPr>
      <w:r w:rsidRPr="00056CE8">
        <w:rPr>
          <w:rFonts w:ascii="Segoe UI" w:eastAsiaTheme="minorHAnsi" w:hAnsi="Segoe UI" w:cs="Segoe UI"/>
          <w:b/>
          <w:noProof/>
          <w:lang w:val="en-GB" w:eastAsia="en-GB"/>
        </w:rPr>
        <w:lastRenderedPageBreak/>
        <w:t>Other Safer care work in teams t</w:t>
      </w:r>
      <w:r w:rsidR="003B628C" w:rsidRPr="00056CE8">
        <w:rPr>
          <w:rFonts w:ascii="Segoe UI" w:eastAsiaTheme="minorHAnsi" w:hAnsi="Segoe UI" w:cs="Segoe UI"/>
          <w:b/>
          <w:noProof/>
          <w:lang w:val="en-GB" w:eastAsia="en-GB"/>
        </w:rPr>
        <w:t>o reduce harm related to poor health and self harm</w:t>
      </w:r>
    </w:p>
    <w:p w:rsidR="00341D03" w:rsidRPr="00056CE8" w:rsidRDefault="00341D03" w:rsidP="00341D03">
      <w:pPr>
        <w:rPr>
          <w:rFonts w:ascii="Segoe UI" w:eastAsiaTheme="minorHAnsi" w:hAnsi="Segoe UI" w:cs="Segoe UI"/>
          <w:i/>
          <w:noProof/>
          <w:lang w:val="en-GB" w:eastAsia="en-GB"/>
        </w:rPr>
      </w:pPr>
      <w:r w:rsidRPr="00056CE8">
        <w:rPr>
          <w:rFonts w:ascii="Segoe UI" w:eastAsiaTheme="minorHAnsi" w:hAnsi="Segoe UI" w:cs="Segoe UI"/>
          <w:i/>
          <w:noProof/>
          <w:lang w:val="en-GB" w:eastAsia="en-GB"/>
        </w:rPr>
        <w:t>Reliable and safe referrals</w:t>
      </w:r>
    </w:p>
    <w:p w:rsidR="00341D03" w:rsidRDefault="00341D03" w:rsidP="00341D03">
      <w:pPr>
        <w:rPr>
          <w:rFonts w:ascii="Segoe UI" w:eastAsiaTheme="minorHAnsi" w:hAnsi="Segoe UI" w:cs="Segoe UI"/>
          <w:noProof/>
          <w:lang w:val="en-GB" w:eastAsia="en-GB"/>
        </w:rPr>
      </w:pPr>
      <w:r w:rsidRPr="00056CE8">
        <w:rPr>
          <w:rFonts w:ascii="Segoe UI" w:eastAsiaTheme="minorHAnsi" w:hAnsi="Segoe UI" w:cs="Segoe UI"/>
          <w:noProof/>
          <w:lang w:val="en-GB" w:eastAsia="en-GB"/>
        </w:rPr>
        <w:t xml:space="preserve">The </w:t>
      </w:r>
      <w:r w:rsidRPr="00056CE8">
        <w:rPr>
          <w:rFonts w:ascii="Segoe UI" w:eastAsiaTheme="minorHAnsi" w:hAnsi="Segoe UI" w:cs="Segoe UI"/>
          <w:i/>
          <w:noProof/>
          <w:lang w:val="en-GB" w:eastAsia="en-GB"/>
        </w:rPr>
        <w:t>Day Hospital</w:t>
      </w:r>
      <w:r w:rsidRPr="00056CE8">
        <w:rPr>
          <w:rFonts w:ascii="Segoe UI" w:eastAsiaTheme="minorHAnsi" w:hAnsi="Segoe UI" w:cs="Segoe UI"/>
          <w:noProof/>
          <w:lang w:val="en-GB" w:eastAsia="en-GB"/>
        </w:rPr>
        <w:t xml:space="preserve"> has begun a project which aims to ensure the safe referral of patients into their service. Current focus is on a reliable process for referrals to be made to the team with a particular focus on the role of the shift- co-ordinator.</w:t>
      </w:r>
    </w:p>
    <w:p w:rsidR="00056CE8" w:rsidRPr="00056CE8" w:rsidRDefault="00056CE8" w:rsidP="00341D03">
      <w:pPr>
        <w:rPr>
          <w:rFonts w:ascii="Segoe UI" w:eastAsiaTheme="minorHAnsi" w:hAnsi="Segoe UI" w:cs="Segoe UI"/>
          <w:b/>
          <w:noProof/>
          <w:lang w:val="en-GB" w:eastAsia="en-GB"/>
        </w:rPr>
      </w:pPr>
    </w:p>
    <w:p w:rsidR="00341D03" w:rsidRPr="00056CE8" w:rsidRDefault="00341D03" w:rsidP="00341D03">
      <w:pPr>
        <w:rPr>
          <w:rFonts w:ascii="Segoe UI" w:eastAsiaTheme="minorHAnsi" w:hAnsi="Segoe UI" w:cs="Segoe UI"/>
          <w:i/>
          <w:noProof/>
          <w:lang w:val="en-GB" w:eastAsia="en-GB"/>
        </w:rPr>
      </w:pPr>
      <w:r w:rsidRPr="00056CE8">
        <w:rPr>
          <w:rFonts w:ascii="Segoe UI" w:eastAsiaTheme="minorHAnsi" w:hAnsi="Segoe UI" w:cs="Segoe UI"/>
          <w:i/>
          <w:noProof/>
          <w:lang w:val="en-GB" w:eastAsia="en-GB"/>
        </w:rPr>
        <w:t>Holistic assessments</w:t>
      </w:r>
    </w:p>
    <w:p w:rsidR="00EE56F7" w:rsidRPr="00056CE8" w:rsidRDefault="00341D03" w:rsidP="00056CE8">
      <w:pPr>
        <w:rPr>
          <w:rFonts w:ascii="Segoe UI" w:eastAsiaTheme="minorHAnsi" w:hAnsi="Segoe UI" w:cs="Segoe UI"/>
          <w:noProof/>
          <w:lang w:val="en-GB" w:eastAsia="en-GB"/>
        </w:rPr>
      </w:pPr>
      <w:r w:rsidRPr="00056CE8">
        <w:rPr>
          <w:rFonts w:ascii="Segoe UI" w:eastAsiaTheme="minorHAnsi" w:hAnsi="Segoe UI" w:cs="Segoe UI"/>
          <w:noProof/>
          <w:lang w:val="en-GB" w:eastAsia="en-GB"/>
        </w:rPr>
        <w:t>Oxfordshire Emeregcy Department Pshciatric Service (EDPS) work focusses on ensuring that 100% of all patients, where appropriate, have a full drug and alcohol assessment undertaken at first assessment and an appropriate plan for treatment in place.</w:t>
      </w:r>
    </w:p>
    <w:p w:rsidR="00341D03" w:rsidRPr="00056CE8" w:rsidRDefault="00341D03" w:rsidP="00454528">
      <w:pPr>
        <w:jc w:val="both"/>
        <w:rPr>
          <w:rFonts w:ascii="Segoe UI" w:eastAsia="Calibri" w:hAnsi="Segoe UI" w:cs="Segoe UI"/>
          <w:lang w:val="en-GB"/>
        </w:rPr>
      </w:pPr>
    </w:p>
    <w:p w:rsidR="00C14C96" w:rsidRPr="00056CE8" w:rsidRDefault="00ED7A9A" w:rsidP="00454528">
      <w:pPr>
        <w:jc w:val="both"/>
        <w:rPr>
          <w:rFonts w:ascii="Segoe UI" w:eastAsia="Calibri" w:hAnsi="Segoe UI" w:cs="Segoe UI"/>
          <w:b/>
          <w:lang w:val="en-GB"/>
        </w:rPr>
      </w:pPr>
      <w:r w:rsidRPr="00056CE8">
        <w:rPr>
          <w:rFonts w:ascii="Segoe UI" w:eastAsia="Calibri" w:hAnsi="Segoe UI" w:cs="Segoe UI"/>
          <w:b/>
          <w:lang w:val="en-GB"/>
        </w:rPr>
        <w:t>4</w:t>
      </w:r>
      <w:r w:rsidR="00EE56F7" w:rsidRPr="00056CE8">
        <w:rPr>
          <w:rFonts w:ascii="Segoe UI" w:eastAsia="Calibri" w:hAnsi="Segoe UI" w:cs="Segoe UI"/>
          <w:b/>
          <w:lang w:val="en-GB"/>
        </w:rPr>
        <w:t xml:space="preserve">.3.2 </w:t>
      </w:r>
      <w:r w:rsidR="00C14C96" w:rsidRPr="00056CE8">
        <w:rPr>
          <w:rFonts w:ascii="Segoe UI" w:eastAsia="Calibri" w:hAnsi="Segoe UI" w:cs="Segoe UI"/>
          <w:b/>
          <w:lang w:val="en-GB"/>
        </w:rPr>
        <w:t>Violence and aggression</w:t>
      </w:r>
    </w:p>
    <w:p w:rsidR="00C14C96" w:rsidRPr="00056CE8" w:rsidRDefault="00C14C96" w:rsidP="00454528">
      <w:pPr>
        <w:jc w:val="both"/>
        <w:rPr>
          <w:rFonts w:ascii="Segoe UI" w:eastAsia="Calibri" w:hAnsi="Segoe UI" w:cs="Segoe UI"/>
          <w:lang w:val="en-GB"/>
        </w:rPr>
      </w:pPr>
      <w:r w:rsidRPr="00056CE8">
        <w:rPr>
          <w:rFonts w:ascii="Segoe UI" w:eastAsia="Calibri" w:hAnsi="Segoe UI" w:cs="Segoe UI"/>
          <w:lang w:val="en-GB"/>
        </w:rPr>
        <w:t xml:space="preserve">Violence and aggression remains the second highest incident reported in Q3. The number of violence and aggression incidents however has reduced slightly for the third quarter with 557 incidents reported. </w:t>
      </w:r>
    </w:p>
    <w:p w:rsidR="009D2254" w:rsidRPr="00056CE8" w:rsidRDefault="009D2254" w:rsidP="009D2254">
      <w:pPr>
        <w:jc w:val="both"/>
        <w:rPr>
          <w:rFonts w:ascii="Segoe UI" w:hAnsi="Segoe UI" w:cs="Segoe UI"/>
          <w:lang w:val="en-GB" w:eastAsia="x-none"/>
        </w:rPr>
      </w:pPr>
    </w:p>
    <w:p w:rsidR="009D2254" w:rsidRPr="00056CE8" w:rsidRDefault="009D2254" w:rsidP="009D2254">
      <w:pPr>
        <w:jc w:val="both"/>
        <w:rPr>
          <w:rFonts w:ascii="Segoe UI" w:eastAsia="Calibri" w:hAnsi="Segoe UI" w:cs="Segoe UI"/>
          <w:lang w:val="en-GB"/>
        </w:rPr>
      </w:pPr>
      <w:r w:rsidRPr="00056CE8">
        <w:rPr>
          <w:rFonts w:ascii="Segoe UI" w:eastAsia="Calibri" w:hAnsi="Segoe UI" w:cs="Segoe UI"/>
          <w:lang w:val="en-GB"/>
        </w:rPr>
        <w:t>There were two serious violence and aggression incidents resulting in death and the details are below;</w:t>
      </w:r>
    </w:p>
    <w:p w:rsidR="009D2254" w:rsidRPr="00056CE8" w:rsidRDefault="009D2254" w:rsidP="009D2254">
      <w:pPr>
        <w:jc w:val="both"/>
        <w:rPr>
          <w:rFonts w:ascii="Segoe UI" w:eastAsia="Calibri" w:hAnsi="Segoe UI" w:cs="Segoe UI"/>
          <w:lang w:val="en-GB"/>
        </w:rPr>
      </w:pPr>
    </w:p>
    <w:p w:rsidR="009D2254" w:rsidRPr="00056CE8" w:rsidRDefault="009D2254" w:rsidP="009D2254">
      <w:pPr>
        <w:pStyle w:val="ListParagraph"/>
        <w:numPr>
          <w:ilvl w:val="0"/>
          <w:numId w:val="10"/>
        </w:numPr>
        <w:autoSpaceDE w:val="0"/>
        <w:autoSpaceDN w:val="0"/>
        <w:adjustRightInd w:val="0"/>
        <w:jc w:val="both"/>
        <w:rPr>
          <w:rFonts w:ascii="Segoe UI" w:hAnsi="Segoe UI" w:cs="Segoe UI"/>
        </w:rPr>
      </w:pPr>
      <w:r w:rsidRPr="00056CE8">
        <w:rPr>
          <w:rFonts w:ascii="Segoe UI" w:hAnsi="Segoe UI" w:cs="Segoe UI"/>
        </w:rPr>
        <w:t>The first incident was an alleged homicide. This was following the death of a member of the public in South Oxfordshire. The man arrested was a patient under the care an AMHT in Oxfordshire. A full internal RCA investigation is being currently undertaken and we would anticipate that this will be subject to an independent mental homicide review by NHS England.</w:t>
      </w:r>
    </w:p>
    <w:p w:rsidR="009D2254" w:rsidRPr="00056CE8" w:rsidRDefault="009D2254" w:rsidP="009D2254">
      <w:pPr>
        <w:autoSpaceDE w:val="0"/>
        <w:autoSpaceDN w:val="0"/>
        <w:adjustRightInd w:val="0"/>
        <w:jc w:val="both"/>
        <w:rPr>
          <w:rFonts w:ascii="Segoe UI" w:hAnsi="Segoe UI" w:cs="Segoe UI"/>
          <w:lang w:val="en-GB" w:eastAsia="en-GB"/>
        </w:rPr>
      </w:pPr>
    </w:p>
    <w:p w:rsidR="009D2254" w:rsidRPr="00056CE8" w:rsidRDefault="009D2254" w:rsidP="009D2254">
      <w:pPr>
        <w:autoSpaceDE w:val="0"/>
        <w:autoSpaceDN w:val="0"/>
        <w:adjustRightInd w:val="0"/>
        <w:jc w:val="both"/>
        <w:rPr>
          <w:rFonts w:ascii="Segoe UI" w:hAnsi="Segoe UI" w:cs="Segoe UI"/>
          <w:lang w:val="en-GB" w:eastAsia="en-GB"/>
        </w:rPr>
      </w:pPr>
    </w:p>
    <w:p w:rsidR="009D2254" w:rsidRPr="00056CE8" w:rsidRDefault="009D2254" w:rsidP="009D2254">
      <w:pPr>
        <w:pStyle w:val="ListParagraph"/>
        <w:numPr>
          <w:ilvl w:val="0"/>
          <w:numId w:val="10"/>
        </w:numPr>
        <w:jc w:val="both"/>
        <w:rPr>
          <w:rFonts w:ascii="Segoe UI" w:hAnsi="Segoe UI" w:cs="Segoe UI"/>
        </w:rPr>
      </w:pPr>
      <w:r w:rsidRPr="00056CE8">
        <w:rPr>
          <w:rFonts w:ascii="Segoe UI" w:hAnsi="Segoe UI" w:cs="Segoe UI"/>
        </w:rPr>
        <w:t>A second serious safeguarding incident was reported by the Witney Minor Injury unit. This is also being investigated.</w:t>
      </w:r>
    </w:p>
    <w:p w:rsidR="00EE56F7" w:rsidRPr="00056CE8" w:rsidRDefault="00EE56F7" w:rsidP="00454528">
      <w:pPr>
        <w:jc w:val="both"/>
        <w:rPr>
          <w:rFonts w:ascii="Segoe UI" w:eastAsia="Calibri" w:hAnsi="Segoe UI" w:cs="Segoe UI"/>
          <w:lang w:val="en-GB"/>
        </w:rPr>
      </w:pPr>
    </w:p>
    <w:p w:rsidR="00C14C96" w:rsidRPr="00056CE8" w:rsidRDefault="00C14C96" w:rsidP="00454528">
      <w:pPr>
        <w:jc w:val="both"/>
        <w:rPr>
          <w:rFonts w:ascii="Segoe UI" w:eastAsia="Calibri" w:hAnsi="Segoe UI" w:cs="Segoe UI"/>
          <w:lang w:val="en-GB"/>
        </w:rPr>
      </w:pPr>
      <w:r w:rsidRPr="00056CE8">
        <w:rPr>
          <w:rFonts w:ascii="Segoe UI" w:eastAsia="Calibri" w:hAnsi="Segoe UI" w:cs="Segoe UI"/>
          <w:lang w:val="en-GB"/>
        </w:rPr>
        <w:t>Sandford ward remains the highest reporter of violence and aggression for the third quarter although numbers have fallen from 96 in Q2 to 66 in Q3. It is of note that both Cherwell and Sandford wards are both older adult wards and are reporting two out of three of the highest number of incidents of violence and aggression in the Trust. As is commonly found many of the inciden</w:t>
      </w:r>
      <w:r w:rsidR="005234DF" w:rsidRPr="00056CE8">
        <w:rPr>
          <w:rFonts w:ascii="Segoe UI" w:eastAsia="Calibri" w:hAnsi="Segoe UI" w:cs="Segoe UI"/>
          <w:lang w:val="en-GB"/>
        </w:rPr>
        <w:t xml:space="preserve">ts involve single patients and risk of harm </w:t>
      </w:r>
      <w:r w:rsidR="00056CE8" w:rsidRPr="00056CE8">
        <w:rPr>
          <w:rFonts w:ascii="Segoe UI" w:eastAsia="Calibri" w:hAnsi="Segoe UI" w:cs="Segoe UI"/>
          <w:lang w:val="en-GB"/>
        </w:rPr>
        <w:t>is managed</w:t>
      </w:r>
      <w:r w:rsidR="005234DF" w:rsidRPr="00056CE8">
        <w:rPr>
          <w:rFonts w:ascii="Segoe UI" w:eastAsia="Calibri" w:hAnsi="Segoe UI" w:cs="Segoe UI"/>
          <w:lang w:val="en-GB"/>
        </w:rPr>
        <w:t xml:space="preserve"> through multidisciplinary care planning.</w:t>
      </w:r>
    </w:p>
    <w:p w:rsidR="00670315" w:rsidRPr="00056CE8" w:rsidRDefault="00670315" w:rsidP="00454528">
      <w:pPr>
        <w:jc w:val="both"/>
        <w:rPr>
          <w:rFonts w:ascii="Segoe UI" w:hAnsi="Segoe UI" w:cs="Segoe UI"/>
          <w:b/>
          <w:lang w:val="en-GB" w:eastAsia="en-GB"/>
        </w:rPr>
      </w:pPr>
    </w:p>
    <w:p w:rsidR="00341D03" w:rsidRPr="00056CE8" w:rsidRDefault="00341D03" w:rsidP="00341D03">
      <w:pPr>
        <w:rPr>
          <w:rFonts w:ascii="Segoe UI" w:eastAsiaTheme="minorHAnsi" w:hAnsi="Segoe UI" w:cs="Segoe UI"/>
          <w:noProof/>
          <w:lang w:val="en-GB" w:eastAsia="en-GB"/>
        </w:rPr>
      </w:pPr>
      <w:r w:rsidRPr="00056CE8">
        <w:rPr>
          <w:rFonts w:ascii="Segoe UI" w:eastAsiaTheme="minorHAnsi" w:hAnsi="Segoe UI" w:cs="Segoe UI"/>
          <w:noProof/>
          <w:lang w:val="en-GB" w:eastAsia="en-GB"/>
        </w:rPr>
        <w:t>Having sustained the improvement Phoenix Ward are commencing work on reducing incidents of violence and aggression. This work is currently in the diagnostic stage and they are forming a working group. They will continue to collect AWOL data at a reduced frequency thereby being assured that the improvement continues to be sustained.</w:t>
      </w:r>
    </w:p>
    <w:p w:rsidR="00341D03" w:rsidRPr="00056CE8" w:rsidRDefault="00341D03" w:rsidP="00454528">
      <w:pPr>
        <w:jc w:val="both"/>
        <w:rPr>
          <w:rFonts w:ascii="Segoe UI" w:hAnsi="Segoe UI" w:cs="Segoe UI"/>
          <w:b/>
          <w:lang w:val="en-GB" w:eastAsia="en-GB"/>
        </w:rPr>
      </w:pPr>
    </w:p>
    <w:p w:rsidR="00341D03" w:rsidRPr="00056CE8" w:rsidRDefault="00341D03" w:rsidP="00454528">
      <w:pPr>
        <w:jc w:val="both"/>
        <w:rPr>
          <w:rFonts w:ascii="Segoe UI" w:hAnsi="Segoe UI" w:cs="Segoe UI"/>
          <w:b/>
          <w:lang w:val="en-GB" w:eastAsia="en-GB"/>
        </w:rPr>
      </w:pPr>
    </w:p>
    <w:p w:rsidR="009869D4" w:rsidRPr="00056CE8" w:rsidRDefault="00ED7A9A" w:rsidP="00454528">
      <w:pPr>
        <w:jc w:val="both"/>
        <w:rPr>
          <w:rFonts w:ascii="Segoe UI" w:hAnsi="Segoe UI" w:cs="Segoe UI"/>
          <w:b/>
          <w:lang w:val="en-GB" w:eastAsia="en-GB"/>
        </w:rPr>
      </w:pPr>
      <w:r w:rsidRPr="00056CE8">
        <w:rPr>
          <w:rFonts w:ascii="Segoe UI" w:hAnsi="Segoe UI" w:cs="Segoe UI"/>
          <w:b/>
          <w:lang w:val="en-GB" w:eastAsia="en-GB"/>
        </w:rPr>
        <w:t>4</w:t>
      </w:r>
      <w:r w:rsidR="00EE56F7" w:rsidRPr="00056CE8">
        <w:rPr>
          <w:rFonts w:ascii="Segoe UI" w:hAnsi="Segoe UI" w:cs="Segoe UI"/>
          <w:b/>
          <w:lang w:val="en-GB" w:eastAsia="en-GB"/>
        </w:rPr>
        <w:t xml:space="preserve">.3.3 </w:t>
      </w:r>
      <w:r w:rsidR="000743E7" w:rsidRPr="00056CE8">
        <w:rPr>
          <w:rFonts w:ascii="Segoe UI" w:hAnsi="Segoe UI" w:cs="Segoe UI"/>
          <w:b/>
          <w:lang w:val="en-GB" w:eastAsia="en-GB"/>
        </w:rPr>
        <w:t>Self-Harm</w:t>
      </w: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Self-harm was the third highest type of incident reported in Q3 and has seen a sharp rise in numbers reported compared with Q2.  There were 516 incidents reported compared with 319 in Q2 and 407 in Q1. A significant number of increases in incidents were reported by two wards which will in part account for this overall increase in Q3.</w:t>
      </w:r>
    </w:p>
    <w:p w:rsidR="00C14C96" w:rsidRPr="00056CE8" w:rsidRDefault="00C14C96" w:rsidP="00454528">
      <w:pPr>
        <w:jc w:val="both"/>
        <w:rPr>
          <w:rFonts w:ascii="Segoe UI" w:hAnsi="Segoe UI" w:cs="Segoe UI"/>
          <w:lang w:val="en-GB" w:eastAsia="en-GB"/>
        </w:rPr>
      </w:pP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 xml:space="preserve">The most common type of self-injurious behaviour was “cutting” followed by “Other” and “ligature”.  “Other” consists primarily of activity such as head banging/deliberate injury to self, hair pulling, inserting sharp objects and trying to swallow objects. </w:t>
      </w:r>
    </w:p>
    <w:p w:rsidR="00C14C96" w:rsidRPr="00056CE8" w:rsidRDefault="00C14C96" w:rsidP="00454528">
      <w:pPr>
        <w:jc w:val="both"/>
        <w:rPr>
          <w:rFonts w:ascii="Segoe UI" w:hAnsi="Segoe UI" w:cs="Segoe UI"/>
          <w:lang w:val="en-GB" w:eastAsia="en-GB"/>
        </w:rPr>
      </w:pP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There were no incidents reported in Q3 that resulted in major injury:</w:t>
      </w:r>
    </w:p>
    <w:p w:rsidR="003B628C" w:rsidRPr="00056CE8" w:rsidRDefault="003B628C" w:rsidP="00454528">
      <w:pPr>
        <w:jc w:val="both"/>
        <w:rPr>
          <w:rFonts w:ascii="Segoe UI" w:hAnsi="Segoe UI" w:cs="Segoe UI"/>
          <w:lang w:val="en-GB" w:eastAsia="en-GB"/>
        </w:rPr>
      </w:pPr>
    </w:p>
    <w:p w:rsidR="00E77E26" w:rsidRPr="00056CE8" w:rsidRDefault="00C14C96" w:rsidP="00454528">
      <w:pPr>
        <w:jc w:val="both"/>
        <w:rPr>
          <w:rFonts w:ascii="Segoe UI" w:hAnsi="Segoe UI" w:cs="Segoe UI"/>
          <w:lang w:val="en-GB" w:eastAsia="en-GB"/>
        </w:rPr>
      </w:pPr>
      <w:r w:rsidRPr="00056CE8">
        <w:rPr>
          <w:rFonts w:ascii="Segoe UI" w:hAnsi="Segoe UI" w:cs="Segoe UI"/>
          <w:lang w:val="en-GB" w:eastAsia="en-GB"/>
        </w:rPr>
        <w:t xml:space="preserve">Highfield was the highest reporter in Q3. </w:t>
      </w:r>
      <w:r w:rsidR="009869D4" w:rsidRPr="00056CE8">
        <w:rPr>
          <w:rFonts w:ascii="Segoe UI" w:hAnsi="Segoe UI" w:cs="Segoe UI"/>
          <w:lang w:val="en-GB" w:eastAsia="en-GB"/>
        </w:rPr>
        <w:t>Learning form the work in Marlborough Hose Swindon,</w:t>
      </w:r>
      <w:r w:rsidRPr="00056CE8">
        <w:rPr>
          <w:rFonts w:ascii="Segoe UI" w:hAnsi="Segoe UI" w:cs="Segoe UI"/>
          <w:lang w:val="en-GB" w:eastAsia="en-GB"/>
        </w:rPr>
        <w:t xml:space="preserve"> Highfield are undertaking a safer care initiate using the PDSA cycle to reduce self-harm incidents between 8.30 and midnight which is when incidents tend to peak. </w:t>
      </w:r>
    </w:p>
    <w:p w:rsidR="003B628C" w:rsidRPr="00056CE8" w:rsidRDefault="003B628C" w:rsidP="003B628C">
      <w:pPr>
        <w:ind w:left="3"/>
        <w:rPr>
          <w:rFonts w:ascii="Segoe UI" w:eastAsiaTheme="minorHAnsi" w:hAnsi="Segoe UI" w:cs="Segoe UI"/>
          <w:i/>
          <w:lang w:val="en-GB"/>
        </w:rPr>
      </w:pPr>
    </w:p>
    <w:p w:rsidR="003B628C" w:rsidRPr="00056CE8" w:rsidRDefault="003B628C" w:rsidP="003B628C">
      <w:pPr>
        <w:ind w:left="3"/>
        <w:rPr>
          <w:rFonts w:ascii="Segoe UI" w:eastAsiaTheme="minorHAnsi" w:hAnsi="Segoe UI" w:cs="Segoe UI"/>
          <w:lang w:val="en-GB"/>
        </w:rPr>
      </w:pPr>
      <w:r w:rsidRPr="00056CE8">
        <w:rPr>
          <w:rFonts w:ascii="Segoe UI" w:eastAsiaTheme="minorHAnsi" w:hAnsi="Segoe UI" w:cs="Segoe UI"/>
          <w:lang w:val="en-GB"/>
        </w:rPr>
        <w:t xml:space="preserve">The specific aim of the project at the CAMHS unit at Marlborough House Swindon, was to reduce incidents of deliberate self-harm (DSH) requiring nursing intervention by 50% by the end of June 2015; they have in fact reduced the incidents by 85% in the year June 2014 – June 2015 when compared with the number in the previous year. </w:t>
      </w:r>
      <w:r w:rsidRPr="00056CE8">
        <w:rPr>
          <w:rFonts w:ascii="Segoe UI" w:eastAsiaTheme="minorHAnsi" w:hAnsi="Segoe UI" w:cs="Segoe UI"/>
          <w:noProof/>
          <w:lang w:val="en-GB" w:eastAsia="en-GB"/>
        </w:rPr>
        <w:t>Improvement has been sustained.</w:t>
      </w:r>
    </w:p>
    <w:p w:rsidR="003B628C" w:rsidRPr="00056CE8" w:rsidRDefault="003B628C" w:rsidP="00454528">
      <w:pPr>
        <w:jc w:val="both"/>
        <w:rPr>
          <w:rFonts w:ascii="Segoe UI" w:hAnsi="Segoe UI" w:cs="Segoe UI"/>
          <w:lang w:val="en-GB" w:eastAsia="en-GB"/>
        </w:rPr>
      </w:pPr>
    </w:p>
    <w:p w:rsidR="00341D03" w:rsidRPr="00056CE8" w:rsidRDefault="00341D03" w:rsidP="00341D03">
      <w:pPr>
        <w:rPr>
          <w:rFonts w:ascii="Segoe UI" w:eastAsiaTheme="minorHAnsi" w:hAnsi="Segoe UI" w:cs="Segoe UI"/>
          <w:i/>
          <w:noProof/>
          <w:lang w:val="en-GB" w:eastAsia="en-GB"/>
        </w:rPr>
      </w:pPr>
      <w:r w:rsidRPr="00056CE8">
        <w:rPr>
          <w:rFonts w:ascii="Segoe UI" w:eastAsiaTheme="minorHAnsi" w:hAnsi="Segoe UI" w:cs="Segoe UI"/>
          <w:i/>
          <w:noProof/>
          <w:lang w:val="en-GB" w:eastAsia="en-GB"/>
        </w:rPr>
        <w:t>Always events in the assessment function of the AMHTs</w:t>
      </w:r>
    </w:p>
    <w:p w:rsidR="00341D03" w:rsidRPr="00056CE8" w:rsidRDefault="00341D03" w:rsidP="00341D03">
      <w:pPr>
        <w:ind w:left="3"/>
        <w:rPr>
          <w:rFonts w:ascii="Segoe UI" w:eastAsiaTheme="minorHAnsi" w:hAnsi="Segoe UI" w:cs="Segoe UI"/>
          <w:noProof/>
          <w:lang w:val="en-GB" w:eastAsia="en-GB"/>
        </w:rPr>
      </w:pPr>
      <w:r w:rsidRPr="00056CE8">
        <w:rPr>
          <w:rFonts w:ascii="Segoe UI" w:eastAsiaTheme="minorHAnsi" w:hAnsi="Segoe UI" w:cs="Segoe UI"/>
          <w:noProof/>
          <w:lang w:val="en-GB" w:eastAsia="en-GB"/>
        </w:rPr>
        <w:t>Each of the five AMHTs has begun work to adapt the ‘Always Events’ work undertaken in the former Crisis Teams. Current work focuses on the reliable management of Emergency and Urgent referrals and communication with the GP/referrer. Baseline process measures have been collected.</w:t>
      </w:r>
    </w:p>
    <w:p w:rsidR="00341D03" w:rsidRPr="00056CE8" w:rsidRDefault="00341D03" w:rsidP="00341D03">
      <w:pPr>
        <w:ind w:left="3"/>
        <w:rPr>
          <w:rFonts w:ascii="Segoe UI" w:eastAsiaTheme="minorHAnsi" w:hAnsi="Segoe UI" w:cs="Segoe UI"/>
          <w:noProof/>
          <w:lang w:val="en-GB" w:eastAsia="en-GB"/>
        </w:rPr>
      </w:pPr>
    </w:p>
    <w:p w:rsidR="00341D03" w:rsidRPr="00056CE8" w:rsidRDefault="00341D03" w:rsidP="00341D03">
      <w:pPr>
        <w:ind w:left="3"/>
        <w:rPr>
          <w:rFonts w:ascii="Segoe UI" w:eastAsiaTheme="minorHAnsi" w:hAnsi="Segoe UI" w:cs="Segoe UI"/>
          <w:noProof/>
          <w:lang w:val="en-GB" w:eastAsia="en-GB"/>
        </w:rPr>
      </w:pPr>
      <w:r w:rsidRPr="00056CE8">
        <w:rPr>
          <w:rFonts w:ascii="Segoe UI" w:eastAsiaTheme="minorHAnsi" w:hAnsi="Segoe UI" w:cs="Segoe UI"/>
          <w:noProof/>
          <w:lang w:val="en-GB" w:eastAsia="en-GB"/>
        </w:rPr>
        <w:t>The data collection from all teams indicates that the first two measures, the entry of the referral in the electronic health record and the recording of the triage decision in electronnic health record are completed reliably. The data indicate that the communication of the triage decision to the GP/referrer in Urgent referrals should be made more reliable. Tests of change will therefore focus upon this area.</w:t>
      </w:r>
    </w:p>
    <w:p w:rsidR="00341D03" w:rsidRPr="00056CE8" w:rsidRDefault="00341D03" w:rsidP="00454528">
      <w:pPr>
        <w:jc w:val="both"/>
        <w:rPr>
          <w:rFonts w:ascii="Segoe UI" w:hAnsi="Segoe UI" w:cs="Segoe UI"/>
          <w:lang w:val="en-GB" w:eastAsia="en-GB"/>
        </w:rPr>
      </w:pPr>
    </w:p>
    <w:p w:rsidR="003B628C" w:rsidRPr="00056CE8" w:rsidRDefault="003B628C" w:rsidP="003B628C">
      <w:pPr>
        <w:rPr>
          <w:rFonts w:ascii="Segoe UI" w:eastAsiaTheme="minorHAnsi" w:hAnsi="Segoe UI" w:cs="Segoe UI"/>
          <w:i/>
          <w:lang w:val="en-GB"/>
        </w:rPr>
      </w:pPr>
      <w:r w:rsidRPr="00056CE8">
        <w:rPr>
          <w:rFonts w:ascii="Segoe UI" w:eastAsiaTheme="minorHAnsi" w:hAnsi="Segoe UI" w:cs="Segoe UI"/>
          <w:i/>
          <w:lang w:val="en-GB"/>
        </w:rPr>
        <w:t>Safe management of referrals</w:t>
      </w:r>
    </w:p>
    <w:p w:rsidR="003B628C" w:rsidRPr="00056CE8" w:rsidRDefault="003B628C" w:rsidP="003B628C">
      <w:pPr>
        <w:rPr>
          <w:rFonts w:ascii="Segoe UI" w:eastAsiaTheme="minorHAnsi" w:hAnsi="Segoe UI" w:cs="Segoe UI"/>
          <w:lang w:val="en-GB"/>
        </w:rPr>
      </w:pPr>
      <w:r w:rsidRPr="00056CE8">
        <w:rPr>
          <w:rFonts w:ascii="Segoe UI" w:eastAsiaTheme="minorHAnsi" w:hAnsi="Segoe UI" w:cs="Segoe UI"/>
          <w:lang w:val="en-GB"/>
        </w:rPr>
        <w:t>Work in progress to put reliable systems in place for the safe management of referrals in the new single point of access for the Buckinghamshire CAMHS service.</w:t>
      </w:r>
    </w:p>
    <w:p w:rsidR="003B628C" w:rsidRPr="00056CE8" w:rsidRDefault="003B628C" w:rsidP="003B628C">
      <w:pPr>
        <w:rPr>
          <w:rFonts w:ascii="Segoe UI" w:eastAsiaTheme="minorHAnsi" w:hAnsi="Segoe UI" w:cs="Segoe UI"/>
          <w:b/>
          <w:lang w:val="en-GB"/>
        </w:rPr>
      </w:pPr>
    </w:p>
    <w:p w:rsidR="003B628C" w:rsidRPr="00056CE8" w:rsidRDefault="003B628C" w:rsidP="003B628C">
      <w:pPr>
        <w:rPr>
          <w:rFonts w:ascii="Segoe UI" w:eastAsiaTheme="minorHAnsi" w:hAnsi="Segoe UI" w:cs="Segoe UI"/>
          <w:i/>
          <w:lang w:val="en-GB"/>
        </w:rPr>
      </w:pPr>
      <w:r w:rsidRPr="00056CE8">
        <w:rPr>
          <w:rFonts w:ascii="Segoe UI" w:eastAsiaTheme="minorHAnsi" w:hAnsi="Segoe UI" w:cs="Segoe UI"/>
          <w:i/>
          <w:lang w:val="en-GB"/>
        </w:rPr>
        <w:t>Support for patients at risk of serious self-harm</w:t>
      </w:r>
    </w:p>
    <w:p w:rsidR="003B628C" w:rsidRPr="00056CE8" w:rsidRDefault="003B628C" w:rsidP="003B628C">
      <w:pPr>
        <w:rPr>
          <w:rFonts w:ascii="Segoe UI" w:eastAsiaTheme="minorHAnsi" w:hAnsi="Segoe UI" w:cs="Segoe UI"/>
          <w:lang w:val="en-GB"/>
        </w:rPr>
      </w:pPr>
      <w:r w:rsidRPr="00056CE8">
        <w:rPr>
          <w:rFonts w:ascii="Segoe UI" w:eastAsiaTheme="minorHAnsi" w:hAnsi="Segoe UI" w:cs="Segoe UI"/>
          <w:lang w:val="en-GB"/>
        </w:rPr>
        <w:t>The Oxfordshire OSCA developed a project with safer care to support seriously unwell patients with the aim of providing clearer cover to those at high risk of serious self-</w:t>
      </w:r>
      <w:r w:rsidRPr="00056CE8">
        <w:rPr>
          <w:rFonts w:ascii="Segoe UI" w:eastAsiaTheme="minorHAnsi" w:hAnsi="Segoe UI" w:cs="Segoe UI"/>
          <w:lang w:val="en-GB"/>
        </w:rPr>
        <w:lastRenderedPageBreak/>
        <w:t>harm, and a smoother transition from Tier 3 to OSCA or T4 to avoid crisis referrals. The work has been completed and the new policy and procedures reflect the changes made to the service.</w:t>
      </w:r>
    </w:p>
    <w:p w:rsidR="000743E7" w:rsidRPr="00056CE8" w:rsidRDefault="000743E7" w:rsidP="00454528">
      <w:pPr>
        <w:jc w:val="both"/>
        <w:rPr>
          <w:rFonts w:ascii="Segoe UI" w:hAnsi="Segoe UI" w:cs="Segoe UI"/>
          <w:lang w:val="en-GB" w:eastAsia="en-GB"/>
        </w:rPr>
      </w:pPr>
    </w:p>
    <w:p w:rsidR="009869D4" w:rsidRPr="00056CE8" w:rsidRDefault="00ED7A9A" w:rsidP="00454528">
      <w:pPr>
        <w:jc w:val="both"/>
        <w:rPr>
          <w:rFonts w:ascii="Segoe UI" w:hAnsi="Segoe UI" w:cs="Segoe UI"/>
          <w:lang w:val="en-GB" w:eastAsia="en-GB"/>
        </w:rPr>
      </w:pPr>
      <w:r w:rsidRPr="00056CE8">
        <w:rPr>
          <w:rFonts w:ascii="Segoe UI" w:hAnsi="Segoe UI" w:cs="Segoe UI"/>
          <w:b/>
          <w:lang w:val="en-GB" w:eastAsia="en-GB"/>
        </w:rPr>
        <w:t>4</w:t>
      </w:r>
      <w:r w:rsidR="00EE56F7" w:rsidRPr="00056CE8">
        <w:rPr>
          <w:rFonts w:ascii="Segoe UI" w:hAnsi="Segoe UI" w:cs="Segoe UI"/>
          <w:b/>
          <w:lang w:val="en-GB" w:eastAsia="en-GB"/>
        </w:rPr>
        <w:t xml:space="preserve">.3.4 </w:t>
      </w:r>
      <w:r w:rsidR="00C14C96" w:rsidRPr="00056CE8">
        <w:rPr>
          <w:rFonts w:ascii="Segoe UI" w:hAnsi="Segoe UI" w:cs="Segoe UI"/>
          <w:b/>
          <w:lang w:val="en-GB" w:eastAsia="en-GB"/>
        </w:rPr>
        <w:t>Communication/Confidentiality</w:t>
      </w: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Communication/confidentiality incidents</w:t>
      </w:r>
      <w:r w:rsidRPr="00056CE8">
        <w:rPr>
          <w:rFonts w:ascii="Segoe UI" w:hAnsi="Segoe UI" w:cs="Segoe UI"/>
          <w:b/>
          <w:lang w:val="en-GB" w:eastAsia="en-GB"/>
        </w:rPr>
        <w:t xml:space="preserve"> </w:t>
      </w:r>
      <w:r w:rsidRPr="00056CE8">
        <w:rPr>
          <w:rFonts w:ascii="Segoe UI" w:hAnsi="Segoe UI" w:cs="Segoe UI"/>
          <w:lang w:val="en-GB" w:eastAsia="en-GB"/>
        </w:rPr>
        <w:t>have remained the fourth most commonly reported types of incidents in Q3. There continues to be a gradual rise in incidents reported over the last six quarters.</w:t>
      </w:r>
    </w:p>
    <w:p w:rsidR="00C14C96" w:rsidRPr="00056CE8" w:rsidRDefault="00C14C96" w:rsidP="00454528">
      <w:pPr>
        <w:jc w:val="both"/>
        <w:rPr>
          <w:rFonts w:ascii="Segoe UI" w:hAnsi="Segoe UI" w:cs="Segoe UI"/>
          <w:lang w:val="en-GB" w:eastAsia="en-GB"/>
        </w:rPr>
      </w:pPr>
    </w:p>
    <w:p w:rsidR="00C14C96" w:rsidRPr="00056CE8" w:rsidRDefault="00C14C96" w:rsidP="00454528">
      <w:pPr>
        <w:jc w:val="both"/>
        <w:rPr>
          <w:rFonts w:ascii="Segoe UI" w:eastAsia="Calibri" w:hAnsi="Segoe UI" w:cs="Segoe UI"/>
          <w:lang w:val="en-GB"/>
        </w:rPr>
      </w:pPr>
      <w:r w:rsidRPr="00056CE8">
        <w:rPr>
          <w:rFonts w:ascii="Segoe UI" w:hAnsi="Segoe UI" w:cs="Segoe UI"/>
          <w:lang w:val="en-GB" w:eastAsia="en-GB"/>
        </w:rPr>
        <w:t>A total of 299 incidents were reported in Q3 compared with 279 in Q2.  Incidents reported were broadly spread out across services.</w:t>
      </w:r>
      <w:r w:rsidRPr="00056CE8">
        <w:rPr>
          <w:rFonts w:ascii="Segoe UI" w:eastAsia="Calibri" w:hAnsi="Segoe UI" w:cs="Segoe UI"/>
          <w:lang w:val="en-GB"/>
        </w:rPr>
        <w:t xml:space="preserve"> These types of incidents relate to a range of issues including poor communication, IT failure/overload/outage, breach of confidentiality, record keeping, and admission and discharge problems.  </w:t>
      </w:r>
    </w:p>
    <w:p w:rsidR="00C14C96" w:rsidRPr="00056CE8" w:rsidRDefault="00C14C96" w:rsidP="00454528">
      <w:pPr>
        <w:jc w:val="both"/>
        <w:rPr>
          <w:rFonts w:ascii="Segoe UI" w:eastAsia="Calibri" w:hAnsi="Segoe UI" w:cs="Segoe UI"/>
          <w:lang w:val="en-GB"/>
        </w:rPr>
      </w:pPr>
    </w:p>
    <w:p w:rsidR="00C14C96" w:rsidRPr="00056CE8" w:rsidRDefault="00C14C96" w:rsidP="00454528">
      <w:pPr>
        <w:jc w:val="both"/>
        <w:rPr>
          <w:rFonts w:ascii="Segoe UI" w:hAnsi="Segoe UI" w:cs="Segoe UI"/>
          <w:lang w:val="en-GB" w:eastAsia="en-GB"/>
        </w:rPr>
      </w:pPr>
      <w:r w:rsidRPr="00056CE8">
        <w:rPr>
          <w:rFonts w:ascii="Segoe UI" w:eastAsia="Calibri" w:hAnsi="Segoe UI" w:cs="Segoe UI"/>
          <w:lang w:val="en-GB"/>
        </w:rPr>
        <w:t>There are consistent themes relating to usability an</w:t>
      </w:r>
      <w:r w:rsidR="009869D4" w:rsidRPr="00056CE8">
        <w:rPr>
          <w:rFonts w:ascii="Segoe UI" w:eastAsia="Calibri" w:hAnsi="Segoe UI" w:cs="Segoe UI"/>
          <w:lang w:val="en-GB"/>
        </w:rPr>
        <w:t xml:space="preserve">d functionality of care notes. These themes are being feedback for resolution to the Care notes Project Board. The pace of improvement is slower than anticipated. </w:t>
      </w:r>
    </w:p>
    <w:p w:rsidR="00C14C96" w:rsidRPr="00056CE8" w:rsidRDefault="00C14C96" w:rsidP="00454528">
      <w:pPr>
        <w:jc w:val="both"/>
        <w:rPr>
          <w:rFonts w:ascii="Segoe UI" w:hAnsi="Segoe UI" w:cs="Segoe UI"/>
          <w:lang w:val="en-GB" w:eastAsia="en-GB"/>
        </w:rPr>
      </w:pPr>
    </w:p>
    <w:p w:rsidR="009869D4" w:rsidRPr="00056CE8" w:rsidRDefault="00ED7A9A" w:rsidP="00454528">
      <w:pPr>
        <w:jc w:val="both"/>
        <w:rPr>
          <w:rFonts w:ascii="Segoe UI" w:eastAsia="Calibri" w:hAnsi="Segoe UI" w:cs="Segoe UI"/>
          <w:lang w:val="en-GB"/>
        </w:rPr>
      </w:pPr>
      <w:r w:rsidRPr="00056CE8">
        <w:rPr>
          <w:rFonts w:ascii="Segoe UI" w:hAnsi="Segoe UI" w:cs="Segoe UI"/>
          <w:b/>
          <w:lang w:val="en-GB" w:eastAsia="en-GB"/>
        </w:rPr>
        <w:t>4</w:t>
      </w:r>
      <w:r w:rsidR="00EE56F7" w:rsidRPr="00056CE8">
        <w:rPr>
          <w:rFonts w:ascii="Segoe UI" w:hAnsi="Segoe UI" w:cs="Segoe UI"/>
          <w:b/>
          <w:lang w:val="en-GB" w:eastAsia="en-GB"/>
        </w:rPr>
        <w:t xml:space="preserve">.3.5 </w:t>
      </w:r>
      <w:r w:rsidR="00C14C96" w:rsidRPr="00056CE8">
        <w:rPr>
          <w:rFonts w:ascii="Segoe UI" w:hAnsi="Segoe UI" w:cs="Segoe UI"/>
          <w:b/>
          <w:lang w:val="en-GB" w:eastAsia="en-GB"/>
        </w:rPr>
        <w:t>Medication incidents</w:t>
      </w:r>
    </w:p>
    <w:p w:rsidR="00C14C96" w:rsidRPr="00056CE8" w:rsidRDefault="00C14C96" w:rsidP="00454528">
      <w:pPr>
        <w:jc w:val="both"/>
        <w:rPr>
          <w:rFonts w:ascii="Segoe UI" w:eastAsia="Calibri" w:hAnsi="Segoe UI" w:cs="Segoe UI"/>
          <w:lang w:val="en-GB"/>
        </w:rPr>
      </w:pPr>
      <w:r w:rsidRPr="00056CE8">
        <w:rPr>
          <w:rFonts w:ascii="Segoe UI" w:eastAsia="Calibri" w:hAnsi="Segoe UI" w:cs="Segoe UI"/>
          <w:lang w:val="en-GB"/>
        </w:rPr>
        <w:t xml:space="preserve">Medication related incidents were the fifth highest type of reported incident again in Q3. There are no obvious trends to reporting noted. The types of medication error cover a wide range of types of incidents with 27 possible cause options.  It covers the medication process from prescribing through to administration. </w:t>
      </w:r>
    </w:p>
    <w:p w:rsidR="00C14C96" w:rsidRPr="00056CE8" w:rsidRDefault="00C14C96" w:rsidP="00454528">
      <w:pPr>
        <w:jc w:val="both"/>
        <w:rPr>
          <w:rFonts w:ascii="Segoe UI" w:eastAsia="Calibri" w:hAnsi="Segoe UI" w:cs="Segoe UI"/>
          <w:lang w:val="en-GB"/>
        </w:rPr>
      </w:pPr>
    </w:p>
    <w:p w:rsidR="00C14C96" w:rsidRPr="00056CE8" w:rsidRDefault="00C14C96" w:rsidP="00454528">
      <w:pPr>
        <w:jc w:val="both"/>
        <w:rPr>
          <w:rFonts w:ascii="Segoe UI" w:eastAsia="Calibri" w:hAnsi="Segoe UI" w:cs="Segoe UI"/>
          <w:lang w:val="en-GB"/>
        </w:rPr>
      </w:pPr>
      <w:r w:rsidRPr="00056CE8">
        <w:rPr>
          <w:rFonts w:ascii="Segoe UI" w:eastAsia="Calibri" w:hAnsi="Segoe UI" w:cs="Segoe UI"/>
          <w:lang w:val="en-GB"/>
        </w:rPr>
        <w:t xml:space="preserve">There were 264 incidents reported in Q3. Two of these are considered as near miss incidents which could have had more serious outcomes so are being managed as SIs.  These are reported in the SI section below.  Fortunately in both cases the error did not result in significant harm. </w:t>
      </w:r>
    </w:p>
    <w:p w:rsidR="00C14C96" w:rsidRPr="00056CE8" w:rsidRDefault="00C14C96" w:rsidP="00454528">
      <w:pPr>
        <w:jc w:val="both"/>
        <w:rPr>
          <w:rFonts w:ascii="Segoe UI" w:eastAsia="Calibri" w:hAnsi="Segoe UI" w:cs="Segoe UI"/>
          <w:lang w:val="en-GB"/>
        </w:rPr>
      </w:pPr>
    </w:p>
    <w:p w:rsidR="003D4998" w:rsidRPr="00056CE8" w:rsidRDefault="00C14C96" w:rsidP="00454528">
      <w:pPr>
        <w:jc w:val="both"/>
        <w:rPr>
          <w:rFonts w:ascii="Segoe UI" w:eastAsia="Calibri" w:hAnsi="Segoe UI" w:cs="Segoe UI"/>
          <w:lang w:val="en-GB"/>
        </w:rPr>
      </w:pPr>
      <w:r w:rsidRPr="00056CE8">
        <w:rPr>
          <w:rFonts w:ascii="Segoe UI" w:hAnsi="Segoe UI" w:cs="Segoe UI"/>
          <w:lang w:val="en-GB" w:eastAsia="en-GB"/>
        </w:rPr>
        <w:t xml:space="preserve">As previously reported there is work underway to </w:t>
      </w:r>
      <w:r w:rsidRPr="00056CE8">
        <w:rPr>
          <w:rFonts w:ascii="Segoe UI" w:hAnsi="Segoe UI" w:cs="Segoe UI"/>
          <w:kern w:val="24"/>
          <w:lang w:val="en-GB" w:eastAsia="en-GB"/>
        </w:rPr>
        <w:t xml:space="preserve">improve the process for reporting medication incidents on Ulysses.  </w:t>
      </w:r>
    </w:p>
    <w:p w:rsidR="00C14C96" w:rsidRPr="00056CE8" w:rsidRDefault="00C14C96" w:rsidP="00454528">
      <w:pPr>
        <w:jc w:val="both"/>
        <w:rPr>
          <w:rFonts w:ascii="Segoe UI" w:hAnsi="Segoe UI" w:cs="Segoe UI"/>
          <w:lang w:val="en-GB" w:eastAsia="en-GB"/>
        </w:rPr>
      </w:pPr>
    </w:p>
    <w:p w:rsidR="009869D4" w:rsidRPr="00056CE8" w:rsidRDefault="00ED7A9A" w:rsidP="00454528">
      <w:pPr>
        <w:jc w:val="both"/>
        <w:rPr>
          <w:rFonts w:ascii="Segoe UI" w:hAnsi="Segoe UI" w:cs="Segoe UI"/>
          <w:lang w:val="en-GB" w:eastAsia="en-GB"/>
        </w:rPr>
      </w:pPr>
      <w:r w:rsidRPr="00056CE8">
        <w:rPr>
          <w:rFonts w:ascii="Segoe UI" w:eastAsia="Calibri" w:hAnsi="Segoe UI" w:cs="Segoe UI"/>
          <w:b/>
          <w:lang w:val="en-GB"/>
        </w:rPr>
        <w:t>4</w:t>
      </w:r>
      <w:r w:rsidR="00EE56F7" w:rsidRPr="00056CE8">
        <w:rPr>
          <w:rFonts w:ascii="Segoe UI" w:eastAsia="Calibri" w:hAnsi="Segoe UI" w:cs="Segoe UI"/>
          <w:b/>
          <w:lang w:val="en-GB"/>
        </w:rPr>
        <w:t xml:space="preserve">.3.6 </w:t>
      </w:r>
      <w:r w:rsidR="00C14C96" w:rsidRPr="00056CE8">
        <w:rPr>
          <w:rFonts w:ascii="Segoe UI" w:eastAsia="Calibri" w:hAnsi="Segoe UI" w:cs="Segoe UI"/>
          <w:b/>
          <w:lang w:val="en-GB"/>
        </w:rPr>
        <w:t>Fall Related</w:t>
      </w: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Fall related incidents</w:t>
      </w:r>
      <w:r w:rsidRPr="00056CE8">
        <w:rPr>
          <w:rFonts w:ascii="Segoe UI" w:hAnsi="Segoe UI" w:cs="Segoe UI"/>
          <w:b/>
          <w:lang w:val="en-GB" w:eastAsia="en-GB"/>
        </w:rPr>
        <w:t xml:space="preserve"> </w:t>
      </w:r>
      <w:r w:rsidRPr="00056CE8">
        <w:rPr>
          <w:rFonts w:ascii="Segoe UI" w:hAnsi="Segoe UI" w:cs="Segoe UI"/>
          <w:lang w:val="en-GB" w:eastAsia="en-GB"/>
        </w:rPr>
        <w:t>were the sixth most commonly reported type of incident in Q2 with 292 incidents reported. The numbers of reported falls have risen slightly from Q2 14-15 (Chart 8).</w:t>
      </w:r>
    </w:p>
    <w:p w:rsidR="00C14C96" w:rsidRPr="00056CE8" w:rsidRDefault="00C14C96" w:rsidP="00454528">
      <w:pPr>
        <w:jc w:val="both"/>
        <w:rPr>
          <w:rFonts w:ascii="Segoe UI" w:hAnsi="Segoe UI" w:cs="Segoe UI"/>
          <w:lang w:val="en-GB" w:eastAsia="en-GB"/>
        </w:rPr>
      </w:pP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 xml:space="preserve">Falls in this cause group range from slips and trips; falls from bed/commode/wheelchair; being found on the floor and falling from a height.  Most commonly, falls are reported which were unwitnessed.   </w:t>
      </w:r>
    </w:p>
    <w:p w:rsidR="00C14C96" w:rsidRPr="00056CE8" w:rsidRDefault="00C14C96" w:rsidP="00454528">
      <w:pPr>
        <w:jc w:val="both"/>
        <w:rPr>
          <w:rFonts w:ascii="Segoe UI" w:hAnsi="Segoe UI" w:cs="Segoe UI"/>
          <w:lang w:val="en-GB" w:eastAsia="en-GB"/>
        </w:rPr>
      </w:pPr>
    </w:p>
    <w:p w:rsidR="00C14C96" w:rsidRPr="00056CE8" w:rsidRDefault="00C14C96" w:rsidP="00056CE8">
      <w:pPr>
        <w:rPr>
          <w:rFonts w:ascii="Segoe UI" w:hAnsi="Segoe UI" w:cs="Segoe UI"/>
          <w:lang w:val="en-GB" w:eastAsia="en-GB"/>
        </w:rPr>
      </w:pPr>
      <w:r w:rsidRPr="00056CE8">
        <w:rPr>
          <w:rFonts w:ascii="Segoe UI" w:hAnsi="Segoe UI" w:cs="Segoe UI"/>
          <w:lang w:val="en-GB" w:eastAsia="en-GB"/>
        </w:rPr>
        <w:lastRenderedPageBreak/>
        <w:t>The top reporters of falls in Q3 were Amber, Cherwell and Sandford Ward reporting 34, 32 and 18 respectively.  There was one incident where a patient slipped and fractured their hip on Cherwell ward.  This is being managed as an SI.</w:t>
      </w:r>
    </w:p>
    <w:p w:rsidR="00C14C96" w:rsidRPr="00056CE8" w:rsidRDefault="00C14C96" w:rsidP="00454528">
      <w:pPr>
        <w:jc w:val="both"/>
        <w:rPr>
          <w:rFonts w:ascii="Segoe UI" w:hAnsi="Segoe UI" w:cs="Segoe UI"/>
          <w:lang w:val="en-GB" w:eastAsia="en-GB"/>
        </w:rPr>
      </w:pPr>
    </w:p>
    <w:p w:rsidR="009869D4" w:rsidRPr="00056CE8" w:rsidRDefault="00ED7A9A" w:rsidP="00454528">
      <w:pPr>
        <w:jc w:val="both"/>
        <w:rPr>
          <w:rFonts w:ascii="Segoe UI" w:hAnsi="Segoe UI" w:cs="Segoe UI"/>
          <w:lang w:val="en-GB" w:eastAsia="en-GB"/>
        </w:rPr>
      </w:pPr>
      <w:r w:rsidRPr="00056CE8">
        <w:rPr>
          <w:rFonts w:ascii="Segoe UI" w:hAnsi="Segoe UI" w:cs="Segoe UI"/>
          <w:b/>
          <w:lang w:val="en-GB" w:eastAsia="en-GB"/>
        </w:rPr>
        <w:t>4</w:t>
      </w:r>
      <w:r w:rsidR="00EE56F7" w:rsidRPr="00056CE8">
        <w:rPr>
          <w:rFonts w:ascii="Segoe UI" w:hAnsi="Segoe UI" w:cs="Segoe UI"/>
          <w:b/>
          <w:lang w:val="en-GB" w:eastAsia="en-GB"/>
        </w:rPr>
        <w:t xml:space="preserve">.3.7 </w:t>
      </w:r>
      <w:r w:rsidR="00C14C96" w:rsidRPr="00056CE8">
        <w:rPr>
          <w:rFonts w:ascii="Segoe UI" w:hAnsi="Segoe UI" w:cs="Segoe UI"/>
          <w:b/>
          <w:lang w:val="en-GB" w:eastAsia="en-GB"/>
        </w:rPr>
        <w:t>Security</w:t>
      </w:r>
    </w:p>
    <w:p w:rsidR="00C14C96" w:rsidRPr="00056CE8" w:rsidRDefault="00C14C96" w:rsidP="00454528">
      <w:pPr>
        <w:jc w:val="both"/>
        <w:rPr>
          <w:rFonts w:ascii="Segoe UI" w:hAnsi="Segoe UI" w:cs="Segoe UI"/>
          <w:lang w:val="en-GB" w:eastAsia="en-GB"/>
        </w:rPr>
      </w:pPr>
      <w:r w:rsidRPr="00056CE8">
        <w:rPr>
          <w:rFonts w:ascii="Segoe UI" w:hAnsi="Segoe UI" w:cs="Segoe UI"/>
          <w:lang w:val="en-GB" w:eastAsia="en-GB"/>
        </w:rPr>
        <w:t>Security related incidents</w:t>
      </w:r>
      <w:r w:rsidRPr="00056CE8">
        <w:rPr>
          <w:rFonts w:ascii="Segoe UI" w:hAnsi="Segoe UI" w:cs="Segoe UI"/>
          <w:b/>
          <w:lang w:val="en-GB" w:eastAsia="en-GB"/>
        </w:rPr>
        <w:t xml:space="preserve"> </w:t>
      </w:r>
      <w:r w:rsidRPr="00056CE8">
        <w:rPr>
          <w:rFonts w:ascii="Segoe UI" w:hAnsi="Segoe UI" w:cs="Segoe UI"/>
          <w:lang w:val="en-GB" w:eastAsia="en-GB"/>
        </w:rPr>
        <w:t>were the seventh most commonly reported type of incident again in Q3. Reported incidents have risen slightly since Q2 15-16. A total of 231 incidents were reported, of which 102 related to incidents involving AWOLs or patients failing to return/going missing.  This is a further reduction in percentage terms compared with Q2.</w:t>
      </w:r>
      <w:r w:rsidR="003D6B49" w:rsidRPr="00056CE8">
        <w:rPr>
          <w:rFonts w:ascii="Segoe UI" w:hAnsi="Segoe UI" w:cs="Segoe UI"/>
          <w:lang w:val="en-GB" w:eastAsia="en-GB"/>
        </w:rPr>
        <w:t xml:space="preserve">  </w:t>
      </w:r>
      <w:r w:rsidRPr="00056CE8">
        <w:rPr>
          <w:rFonts w:ascii="Segoe UI" w:hAnsi="Segoe UI" w:cs="Segoe UI"/>
          <w:lang w:val="en-GB" w:eastAsia="en-GB"/>
        </w:rPr>
        <w:t>There were no serious security related incidents that occurred in Q3 that require management through the SI process.</w:t>
      </w:r>
    </w:p>
    <w:p w:rsidR="00341D03" w:rsidRPr="00056CE8" w:rsidRDefault="00341D03" w:rsidP="00454528">
      <w:pPr>
        <w:jc w:val="both"/>
        <w:rPr>
          <w:rFonts w:ascii="Segoe UI" w:hAnsi="Segoe UI" w:cs="Segoe UI"/>
          <w:lang w:val="en-GB" w:eastAsia="en-GB"/>
        </w:rPr>
      </w:pPr>
    </w:p>
    <w:p w:rsidR="00341D03" w:rsidRPr="00056CE8" w:rsidRDefault="00341D03" w:rsidP="00341D03">
      <w:pPr>
        <w:rPr>
          <w:rFonts w:ascii="Segoe UI" w:eastAsiaTheme="minorHAnsi" w:hAnsi="Segoe UI" w:cs="Segoe UI"/>
          <w:i/>
          <w:lang w:val="en-GB"/>
        </w:rPr>
      </w:pPr>
      <w:r w:rsidRPr="00056CE8">
        <w:rPr>
          <w:rFonts w:ascii="Segoe UI" w:eastAsiaTheme="minorHAnsi" w:hAnsi="Segoe UI" w:cs="Segoe UI"/>
          <w:i/>
          <w:lang w:val="en-GB"/>
        </w:rPr>
        <w:t>Patients missing from mental health inpatient wards – failure to return from leave</w:t>
      </w:r>
    </w:p>
    <w:p w:rsidR="00341D03" w:rsidRPr="00056CE8" w:rsidRDefault="00341D03" w:rsidP="00454528">
      <w:pPr>
        <w:rPr>
          <w:rFonts w:ascii="Segoe UI" w:eastAsia="Calibri" w:hAnsi="Segoe UI" w:cs="Segoe UI"/>
          <w:b/>
          <w:lang w:val="en-GB"/>
        </w:rPr>
      </w:pPr>
    </w:p>
    <w:p w:rsidR="00341D03" w:rsidRPr="00056CE8" w:rsidRDefault="00341D03" w:rsidP="00341D03">
      <w:pPr>
        <w:ind w:left="3"/>
        <w:rPr>
          <w:rFonts w:ascii="Segoe UI" w:eastAsiaTheme="minorHAnsi" w:hAnsi="Segoe UI" w:cs="Segoe UI"/>
          <w:noProof/>
          <w:lang w:val="en-GB" w:eastAsia="en-GB"/>
        </w:rPr>
      </w:pPr>
      <w:r w:rsidRPr="00056CE8">
        <w:rPr>
          <w:rFonts w:ascii="Segoe UI" w:eastAsiaTheme="minorHAnsi" w:hAnsi="Segoe UI" w:cs="Segoe UI"/>
          <w:noProof/>
          <w:lang w:val="en-GB" w:eastAsia="en-GB"/>
        </w:rPr>
        <w:t xml:space="preserve">The Safer Care work relating to patients who fail to return on time from leave and time away from the ward which was tested on Phoenix Ward project includes all adult acute and rehabilitation wards in the Trust. The focus of the work is to ensure that a philosophy of care and safety underpins the leave and time away process, rather than a security focused process. </w:t>
      </w:r>
    </w:p>
    <w:p w:rsidR="00341D03" w:rsidRPr="00056CE8" w:rsidRDefault="00341D03" w:rsidP="00341D03">
      <w:pPr>
        <w:ind w:left="3"/>
        <w:rPr>
          <w:rFonts w:ascii="Segoe UI" w:eastAsiaTheme="minorHAnsi" w:hAnsi="Segoe UI" w:cs="Segoe UI"/>
          <w:noProof/>
          <w:lang w:val="en-GB" w:eastAsia="en-GB"/>
        </w:rPr>
      </w:pPr>
    </w:p>
    <w:p w:rsidR="00341D03" w:rsidRPr="00056CE8" w:rsidRDefault="00341D03" w:rsidP="00341D03">
      <w:pPr>
        <w:ind w:left="3"/>
        <w:rPr>
          <w:rFonts w:ascii="Segoe UI" w:eastAsiaTheme="minorHAnsi" w:hAnsi="Segoe UI" w:cs="Segoe UI"/>
          <w:noProof/>
          <w:lang w:val="en-GB" w:eastAsia="en-GB"/>
        </w:rPr>
      </w:pPr>
      <w:r w:rsidRPr="00056CE8">
        <w:rPr>
          <w:rFonts w:ascii="Segoe UI" w:eastAsiaTheme="minorHAnsi" w:hAnsi="Segoe UI" w:cs="Segoe UI"/>
          <w:noProof/>
          <w:lang w:val="en-GB" w:eastAsia="en-GB"/>
        </w:rPr>
        <w:t>The aim of the work is to reduce the number of times patients fail to return on time to the ward by 50% by 1</w:t>
      </w:r>
      <w:r w:rsidRPr="00056CE8">
        <w:rPr>
          <w:rFonts w:ascii="Segoe UI" w:eastAsiaTheme="minorHAnsi" w:hAnsi="Segoe UI" w:cs="Segoe UI"/>
          <w:noProof/>
          <w:vertAlign w:val="superscript"/>
          <w:lang w:val="en-GB" w:eastAsia="en-GB"/>
        </w:rPr>
        <w:t>st</w:t>
      </w:r>
      <w:r w:rsidRPr="00056CE8">
        <w:rPr>
          <w:rFonts w:ascii="Segoe UI" w:eastAsiaTheme="minorHAnsi" w:hAnsi="Segoe UI" w:cs="Segoe UI"/>
          <w:noProof/>
          <w:lang w:val="en-GB" w:eastAsia="en-GB"/>
        </w:rPr>
        <w:t xml:space="preserve"> April 2015. Six wards have achieved this aim, Allen Ward patients return on time median 90% of the time, Phoenix Ward 90%, Vaughn Thomas 91%, Opal 96%, Wintle 87%. Sapphire (75%) and Ruby (68%) have made significant reductions and are continuing to work towards the 50% reduction.</w:t>
      </w:r>
    </w:p>
    <w:p w:rsidR="000743E7" w:rsidRPr="00056CE8" w:rsidRDefault="000743E7" w:rsidP="00454528">
      <w:pPr>
        <w:rPr>
          <w:rFonts w:ascii="Segoe UI" w:eastAsia="Calibri" w:hAnsi="Segoe UI" w:cs="Segoe UI"/>
          <w:b/>
          <w:lang w:val="en-GB"/>
        </w:rPr>
      </w:pPr>
    </w:p>
    <w:p w:rsidR="00837044" w:rsidRPr="00056CE8" w:rsidRDefault="00ED7A9A" w:rsidP="00E77E26">
      <w:pPr>
        <w:jc w:val="both"/>
        <w:rPr>
          <w:rFonts w:ascii="Segoe UI" w:eastAsia="Calibri" w:hAnsi="Segoe UI" w:cs="Segoe UI"/>
          <w:b/>
        </w:rPr>
      </w:pPr>
      <w:r w:rsidRPr="00056CE8">
        <w:rPr>
          <w:rFonts w:ascii="Segoe UI" w:eastAsia="Calibri" w:hAnsi="Segoe UI" w:cs="Segoe UI"/>
          <w:b/>
        </w:rPr>
        <w:t>4</w:t>
      </w:r>
      <w:r w:rsidR="00E77E26" w:rsidRPr="00056CE8">
        <w:rPr>
          <w:rFonts w:ascii="Segoe UI" w:eastAsia="Calibri" w:hAnsi="Segoe UI" w:cs="Segoe UI"/>
          <w:b/>
        </w:rPr>
        <w:t xml:space="preserve">.4 </w:t>
      </w:r>
      <w:r w:rsidR="00837044" w:rsidRPr="00056CE8">
        <w:rPr>
          <w:rFonts w:ascii="Segoe UI" w:eastAsia="Calibri" w:hAnsi="Segoe UI" w:cs="Segoe UI"/>
          <w:b/>
        </w:rPr>
        <w:t>Incidents by Directorate</w:t>
      </w:r>
    </w:p>
    <w:p w:rsidR="00837044" w:rsidRPr="00056CE8" w:rsidRDefault="00837044" w:rsidP="00454528">
      <w:pPr>
        <w:jc w:val="both"/>
        <w:rPr>
          <w:rFonts w:ascii="Segoe UI" w:eastAsia="Calibri" w:hAnsi="Segoe UI" w:cs="Segoe UI"/>
          <w:b/>
          <w:lang w:val="en-GB"/>
        </w:rPr>
      </w:pPr>
      <w:r w:rsidRPr="00056CE8">
        <w:rPr>
          <w:rFonts w:ascii="Segoe UI" w:eastAsia="Calibri" w:hAnsi="Segoe UI" w:cs="Segoe UI"/>
          <w:lang w:val="en-GB"/>
        </w:rPr>
        <w:t xml:space="preserve">Chart 6 gives the number of incidents reported over the last four quarters by </w:t>
      </w:r>
      <w:r w:rsidR="000743E7" w:rsidRPr="00056CE8">
        <w:rPr>
          <w:rFonts w:ascii="Segoe UI" w:eastAsia="Calibri" w:hAnsi="Segoe UI" w:cs="Segoe UI"/>
          <w:lang w:val="en-GB"/>
        </w:rPr>
        <w:t>the Directorates</w:t>
      </w:r>
      <w:r w:rsidRPr="00056CE8">
        <w:rPr>
          <w:rFonts w:ascii="Segoe UI" w:eastAsia="Calibri" w:hAnsi="Segoe UI" w:cs="Segoe UI"/>
          <w:lang w:val="en-GB"/>
        </w:rPr>
        <w:t>. The picture remains broadly similar with the older people’s directorate reporting significantly more incidents than the adult directorate and both of these reporting much more than the two remaining directorates. It would be expected that corporate services would report the smallest number of patient safety incidents.</w:t>
      </w:r>
    </w:p>
    <w:p w:rsidR="00837044" w:rsidRPr="00056CE8" w:rsidRDefault="00837044" w:rsidP="00454528">
      <w:pPr>
        <w:jc w:val="both"/>
        <w:rPr>
          <w:rFonts w:ascii="Segoe UI" w:eastAsia="Calibri" w:hAnsi="Segoe UI" w:cs="Segoe UI"/>
          <w:b/>
          <w:lang w:val="en-GB"/>
        </w:rPr>
      </w:pPr>
    </w:p>
    <w:p w:rsidR="00837044" w:rsidRPr="00056CE8" w:rsidRDefault="00837044" w:rsidP="00454528">
      <w:pPr>
        <w:jc w:val="both"/>
        <w:rPr>
          <w:rFonts w:ascii="Segoe UI" w:eastAsia="Calibri" w:hAnsi="Segoe UI" w:cs="Segoe UI"/>
          <w:b/>
          <w:lang w:val="en-GB"/>
        </w:rPr>
      </w:pPr>
      <w:r w:rsidRPr="00056CE8">
        <w:rPr>
          <w:rFonts w:ascii="Segoe UI" w:hAnsi="Segoe UI" w:cs="Segoe UI"/>
          <w:noProof/>
          <w:lang w:val="en-GB" w:eastAsia="en-GB"/>
        </w:rPr>
        <w:lastRenderedPageBreak/>
        <w:drawing>
          <wp:inline distT="0" distB="0" distL="0" distR="0" wp14:anchorId="16719B38" wp14:editId="1F5C7283">
            <wp:extent cx="5309870" cy="2446020"/>
            <wp:effectExtent l="0" t="0" r="24130" b="1143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7044" w:rsidRPr="00056CE8" w:rsidRDefault="00837044" w:rsidP="00454528">
      <w:pPr>
        <w:jc w:val="both"/>
        <w:rPr>
          <w:rFonts w:ascii="Segoe UI" w:eastAsia="Calibri" w:hAnsi="Segoe UI" w:cs="Segoe UI"/>
          <w:i/>
          <w:lang w:val="en-GB"/>
        </w:rPr>
      </w:pPr>
      <w:r w:rsidRPr="00056CE8">
        <w:rPr>
          <w:rFonts w:ascii="Segoe UI" w:eastAsia="Calibri" w:hAnsi="Segoe UI" w:cs="Segoe UI"/>
          <w:i/>
          <w:lang w:val="en-GB"/>
        </w:rPr>
        <w:t>Chart</w:t>
      </w:r>
      <w:r w:rsidR="00C14C96" w:rsidRPr="00056CE8">
        <w:rPr>
          <w:rFonts w:ascii="Segoe UI" w:eastAsia="Calibri" w:hAnsi="Segoe UI" w:cs="Segoe UI"/>
          <w:i/>
          <w:lang w:val="en-GB"/>
        </w:rPr>
        <w:t xml:space="preserve"> 1</w:t>
      </w:r>
      <w:r w:rsidRPr="00056CE8">
        <w:rPr>
          <w:rFonts w:ascii="Segoe UI" w:eastAsia="Calibri" w:hAnsi="Segoe UI" w:cs="Segoe UI"/>
          <w:i/>
          <w:lang w:val="en-GB"/>
        </w:rPr>
        <w:t>:  Incidents by Directorate</w:t>
      </w:r>
    </w:p>
    <w:p w:rsidR="00837044" w:rsidRPr="00056CE8" w:rsidRDefault="00837044" w:rsidP="00454528">
      <w:pPr>
        <w:rPr>
          <w:rFonts w:ascii="Segoe UI" w:eastAsia="Calibri" w:hAnsi="Segoe UI" w:cs="Segoe UI"/>
          <w:b/>
          <w:lang w:val="en-GB"/>
        </w:rPr>
      </w:pPr>
    </w:p>
    <w:p w:rsidR="00E77E26" w:rsidRPr="00056CE8" w:rsidRDefault="00ED7A9A" w:rsidP="00C9694A">
      <w:pPr>
        <w:jc w:val="both"/>
        <w:rPr>
          <w:rFonts w:ascii="Segoe UI" w:hAnsi="Segoe UI" w:cs="Segoe UI"/>
          <w:b/>
          <w:lang w:eastAsia="en-GB"/>
        </w:rPr>
      </w:pPr>
      <w:r w:rsidRPr="00056CE8">
        <w:rPr>
          <w:rFonts w:ascii="Segoe UI" w:hAnsi="Segoe UI" w:cs="Segoe UI"/>
          <w:b/>
          <w:lang w:eastAsia="en-GB"/>
        </w:rPr>
        <w:t>5</w:t>
      </w:r>
      <w:r w:rsidR="00C9694A" w:rsidRPr="00056CE8">
        <w:rPr>
          <w:rFonts w:ascii="Segoe UI" w:hAnsi="Segoe UI" w:cs="Segoe UI"/>
          <w:b/>
          <w:lang w:eastAsia="en-GB"/>
        </w:rPr>
        <w:t xml:space="preserve">. </w:t>
      </w:r>
      <w:r w:rsidR="00E77E26" w:rsidRPr="00056CE8">
        <w:rPr>
          <w:rFonts w:ascii="Segoe UI" w:hAnsi="Segoe UI" w:cs="Segoe UI"/>
          <w:b/>
          <w:lang w:eastAsia="en-GB"/>
        </w:rPr>
        <w:t>Analysis of restraints</w:t>
      </w:r>
    </w:p>
    <w:p w:rsidR="00C9694A" w:rsidRPr="00056CE8" w:rsidRDefault="00C9694A" w:rsidP="00C9694A">
      <w:pPr>
        <w:jc w:val="both"/>
        <w:rPr>
          <w:rFonts w:ascii="Segoe UI" w:eastAsia="Calibri" w:hAnsi="Segoe UI" w:cs="Segoe UI"/>
          <w:lang w:val="en-GB"/>
        </w:rPr>
      </w:pPr>
      <w:r w:rsidRPr="00056CE8">
        <w:rPr>
          <w:rFonts w:ascii="Segoe UI" w:eastAsia="Calibri" w:hAnsi="Segoe UI" w:cs="Segoe UI"/>
          <w:lang w:val="en-GB"/>
        </w:rPr>
        <w:t>Previous reports have provided analyses of the physical restraint of patients and the use of seclusion from January 2011 to September of 2015. This report provides another three months of data. Particular attention is drawn to:</w:t>
      </w:r>
    </w:p>
    <w:p w:rsidR="00C9694A" w:rsidRPr="00056CE8" w:rsidRDefault="00C9694A" w:rsidP="00C9694A">
      <w:pPr>
        <w:numPr>
          <w:ilvl w:val="0"/>
          <w:numId w:val="7"/>
        </w:numPr>
        <w:rPr>
          <w:rFonts w:ascii="Segoe UI" w:eastAsia="Calibri" w:hAnsi="Segoe UI" w:cs="Segoe UI"/>
          <w:lang w:val="en-GB"/>
        </w:rPr>
      </w:pPr>
      <w:r w:rsidRPr="00056CE8">
        <w:rPr>
          <w:rFonts w:ascii="Segoe UI" w:eastAsia="Calibri" w:hAnsi="Segoe UI" w:cs="Segoe UI"/>
          <w:lang w:val="en-GB"/>
        </w:rPr>
        <w:t xml:space="preserve">A rise in the number of restraints in November 2015 and therefore the quarter due to </w:t>
      </w:r>
      <w:r w:rsidR="009869D4" w:rsidRPr="00056CE8">
        <w:rPr>
          <w:rFonts w:ascii="Segoe UI" w:eastAsia="Calibri" w:hAnsi="Segoe UI" w:cs="Segoe UI"/>
          <w:lang w:val="en-GB"/>
        </w:rPr>
        <w:t>therapeutic holds</w:t>
      </w:r>
      <w:r w:rsidRPr="00056CE8">
        <w:rPr>
          <w:rFonts w:ascii="Segoe UI" w:eastAsia="Calibri" w:hAnsi="Segoe UI" w:cs="Segoe UI"/>
          <w:lang w:val="en-GB"/>
        </w:rPr>
        <w:t xml:space="preserve"> being </w:t>
      </w:r>
      <w:r w:rsidR="009869D4" w:rsidRPr="00056CE8">
        <w:rPr>
          <w:rFonts w:ascii="Segoe UI" w:eastAsia="Calibri" w:hAnsi="Segoe UI" w:cs="Segoe UI"/>
          <w:lang w:val="en-GB"/>
        </w:rPr>
        <w:t xml:space="preserve">used to </w:t>
      </w:r>
      <w:r w:rsidRPr="00056CE8">
        <w:rPr>
          <w:rFonts w:ascii="Segoe UI" w:eastAsia="Calibri" w:hAnsi="Segoe UI" w:cs="Segoe UI"/>
          <w:lang w:val="en-GB"/>
        </w:rPr>
        <w:t>fe</w:t>
      </w:r>
      <w:r w:rsidR="009869D4" w:rsidRPr="00056CE8">
        <w:rPr>
          <w:rFonts w:ascii="Segoe UI" w:eastAsia="Calibri" w:hAnsi="Segoe UI" w:cs="Segoe UI"/>
          <w:lang w:val="en-GB"/>
        </w:rPr>
        <w:t>e</w:t>
      </w:r>
      <w:r w:rsidRPr="00056CE8">
        <w:rPr>
          <w:rFonts w:ascii="Segoe UI" w:eastAsia="Calibri" w:hAnsi="Segoe UI" w:cs="Segoe UI"/>
          <w:lang w:val="en-GB"/>
        </w:rPr>
        <w:t>d</w:t>
      </w:r>
      <w:r w:rsidR="009869D4" w:rsidRPr="00056CE8">
        <w:rPr>
          <w:rFonts w:ascii="Segoe UI" w:eastAsia="Calibri" w:hAnsi="Segoe UI" w:cs="Segoe UI"/>
          <w:lang w:val="en-GB"/>
        </w:rPr>
        <w:t xml:space="preserve"> patients</w:t>
      </w:r>
      <w:r w:rsidRPr="00056CE8">
        <w:rPr>
          <w:rFonts w:ascii="Segoe UI" w:eastAsia="Calibri" w:hAnsi="Segoe UI" w:cs="Segoe UI"/>
          <w:lang w:val="en-GB"/>
        </w:rPr>
        <w:t xml:space="preserve"> by naso-gastric tube.</w:t>
      </w:r>
    </w:p>
    <w:p w:rsidR="00C9694A" w:rsidRPr="00056CE8" w:rsidRDefault="00C9694A" w:rsidP="00C9694A">
      <w:pPr>
        <w:numPr>
          <w:ilvl w:val="0"/>
          <w:numId w:val="7"/>
        </w:numPr>
        <w:rPr>
          <w:rFonts w:ascii="Segoe UI" w:eastAsia="Calibri" w:hAnsi="Segoe UI" w:cs="Segoe UI"/>
          <w:lang w:val="en-GB"/>
        </w:rPr>
      </w:pPr>
      <w:r w:rsidRPr="00056CE8">
        <w:rPr>
          <w:rFonts w:ascii="Segoe UI" w:eastAsia="Calibri" w:hAnsi="Segoe UI" w:cs="Segoe UI"/>
          <w:lang w:val="en-GB"/>
        </w:rPr>
        <w:t>A rise in prone restraints when looked at as a total rather than a percentage of all restraints.</w:t>
      </w:r>
      <w:r w:rsidR="009869D4" w:rsidRPr="00056CE8">
        <w:rPr>
          <w:rFonts w:ascii="Segoe UI" w:eastAsia="Calibri" w:hAnsi="Segoe UI" w:cs="Segoe UI"/>
          <w:lang w:val="en-GB"/>
        </w:rPr>
        <w:t xml:space="preserve"> This is disappointing. Systems remain in place to review individual incidents and report use on a weekly basis and by exception.  </w:t>
      </w:r>
    </w:p>
    <w:p w:rsidR="00C9694A" w:rsidRPr="00056CE8" w:rsidRDefault="00C9694A" w:rsidP="00C9694A">
      <w:pPr>
        <w:numPr>
          <w:ilvl w:val="0"/>
          <w:numId w:val="7"/>
        </w:numPr>
        <w:rPr>
          <w:rFonts w:ascii="Segoe UI" w:eastAsia="Calibri" w:hAnsi="Segoe UI" w:cs="Segoe UI"/>
          <w:lang w:val="en-GB"/>
        </w:rPr>
      </w:pPr>
      <w:r w:rsidRPr="00056CE8">
        <w:rPr>
          <w:rFonts w:ascii="Segoe UI" w:eastAsia="Calibri" w:hAnsi="Segoe UI" w:cs="Segoe UI"/>
          <w:lang w:val="en-GB"/>
        </w:rPr>
        <w:t>An update on the third round of national benchmarking of</w:t>
      </w:r>
      <w:r w:rsidR="009869D4" w:rsidRPr="00056CE8">
        <w:rPr>
          <w:rFonts w:ascii="Segoe UI" w:eastAsia="Calibri" w:hAnsi="Segoe UI" w:cs="Segoe UI"/>
          <w:lang w:val="en-GB"/>
        </w:rPr>
        <w:t xml:space="preserve"> use of restraint and seclusion has taken place and </w:t>
      </w:r>
    </w:p>
    <w:p w:rsidR="00C9694A" w:rsidRPr="00056CE8" w:rsidRDefault="00C9694A" w:rsidP="00C9694A">
      <w:pPr>
        <w:numPr>
          <w:ilvl w:val="0"/>
          <w:numId w:val="8"/>
        </w:numPr>
        <w:rPr>
          <w:rFonts w:ascii="Segoe UI" w:eastAsia="Calibri" w:hAnsi="Segoe UI" w:cs="Segoe UI"/>
          <w:lang w:val="en-GB"/>
        </w:rPr>
      </w:pPr>
      <w:r w:rsidRPr="00056CE8">
        <w:rPr>
          <w:rFonts w:ascii="Segoe UI" w:eastAsia="Calibri" w:hAnsi="Segoe UI" w:cs="Segoe UI"/>
          <w:lang w:val="en-GB"/>
        </w:rPr>
        <w:t>An update on the change from PMVA to PEACE training.</w:t>
      </w:r>
    </w:p>
    <w:p w:rsidR="00C9694A" w:rsidRPr="00056CE8" w:rsidRDefault="00C9694A" w:rsidP="00C9694A">
      <w:pPr>
        <w:numPr>
          <w:ilvl w:val="0"/>
          <w:numId w:val="8"/>
        </w:numPr>
        <w:rPr>
          <w:rFonts w:ascii="Segoe UI" w:eastAsia="Calibri" w:hAnsi="Segoe UI" w:cs="Segoe UI"/>
          <w:lang w:val="en-GB"/>
        </w:rPr>
      </w:pPr>
      <w:r w:rsidRPr="00056CE8">
        <w:rPr>
          <w:rFonts w:ascii="Segoe UI" w:eastAsia="Calibri" w:hAnsi="Segoe UI" w:cs="Segoe UI"/>
          <w:lang w:val="en-GB"/>
        </w:rPr>
        <w:t>The second quarterly breakdown of use of long term segregation and handcuffs.</w:t>
      </w:r>
    </w:p>
    <w:p w:rsidR="00C9694A" w:rsidRPr="00056CE8" w:rsidRDefault="00C9694A" w:rsidP="00C9694A">
      <w:pPr>
        <w:ind w:left="720"/>
        <w:rPr>
          <w:rFonts w:ascii="Segoe UI" w:eastAsia="Calibri" w:hAnsi="Segoe UI" w:cs="Segoe UI"/>
          <w:lang w:val="en-GB"/>
        </w:rPr>
      </w:pPr>
    </w:p>
    <w:p w:rsidR="00C9694A" w:rsidRPr="00056CE8" w:rsidRDefault="00ED7A9A" w:rsidP="00C9694A">
      <w:pPr>
        <w:rPr>
          <w:rFonts w:ascii="Segoe UI" w:eastAsia="Calibri" w:hAnsi="Segoe UI" w:cs="Segoe UI"/>
          <w:b/>
          <w:lang w:val="en-GB"/>
        </w:rPr>
      </w:pPr>
      <w:r w:rsidRPr="00056CE8">
        <w:rPr>
          <w:rFonts w:ascii="Segoe UI" w:eastAsia="Calibri" w:hAnsi="Segoe UI" w:cs="Segoe UI"/>
          <w:b/>
          <w:lang w:val="en-GB"/>
        </w:rPr>
        <w:t>5</w:t>
      </w:r>
      <w:r w:rsidR="00C9694A" w:rsidRPr="00056CE8">
        <w:rPr>
          <w:rFonts w:ascii="Segoe UI" w:eastAsia="Calibri" w:hAnsi="Segoe UI" w:cs="Segoe UI"/>
          <w:b/>
          <w:lang w:val="en-GB"/>
        </w:rPr>
        <w:t xml:space="preserve">.1 </w:t>
      </w:r>
      <w:r w:rsidR="00E77E26" w:rsidRPr="00056CE8">
        <w:rPr>
          <w:rFonts w:ascii="Segoe UI" w:eastAsia="Calibri" w:hAnsi="Segoe UI" w:cs="Segoe UI"/>
          <w:b/>
          <w:lang w:val="en-GB"/>
        </w:rPr>
        <w:t>Number of restraints</w:t>
      </w: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 xml:space="preserve">There were 549 reported incidents of physical restraint in quarter one. </w:t>
      </w:r>
    </w:p>
    <w:p w:rsidR="00E77E26" w:rsidRPr="00056CE8" w:rsidRDefault="00E77E26" w:rsidP="00C9694A">
      <w:pPr>
        <w:rPr>
          <w:rFonts w:ascii="Segoe UI" w:eastAsia="Calibri" w:hAnsi="Segoe UI" w:cs="Segoe UI"/>
          <w:lang w:val="en-GB"/>
        </w:rPr>
      </w:pP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 xml:space="preserve">The gender of restrained patients has been a consistent finding with around 65% involving female patients. This figure had risen during 2014 to 75%, partly due to the repeated restraint of a small number of female patients. </w:t>
      </w: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The number of patients restrained five times or m</w:t>
      </w:r>
      <w:r w:rsidR="009869D4" w:rsidRPr="00056CE8">
        <w:rPr>
          <w:rFonts w:ascii="Segoe UI" w:eastAsia="Calibri" w:hAnsi="Segoe UI" w:cs="Segoe UI"/>
          <w:lang w:val="en-GB"/>
        </w:rPr>
        <w:t>ore is 24 this quarter (marginally</w:t>
      </w:r>
      <w:r w:rsidRPr="00056CE8">
        <w:rPr>
          <w:rFonts w:ascii="Segoe UI" w:eastAsia="Calibri" w:hAnsi="Segoe UI" w:cs="Segoe UI"/>
          <w:lang w:val="en-GB"/>
        </w:rPr>
        <w:t xml:space="preserve"> higher than typically found for a three month period). </w:t>
      </w:r>
    </w:p>
    <w:p w:rsidR="00C9694A" w:rsidRPr="00056CE8" w:rsidRDefault="00C9694A" w:rsidP="00C9694A">
      <w:pPr>
        <w:rPr>
          <w:rFonts w:ascii="Segoe UI" w:eastAsia="Calibri" w:hAnsi="Segoe UI" w:cs="Segoe UI"/>
          <w:lang w:val="en-GB"/>
        </w:rPr>
      </w:pP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The PEACE training team have reviewed the incident data relating t</w:t>
      </w:r>
      <w:r w:rsidR="009869D4" w:rsidRPr="00056CE8">
        <w:rPr>
          <w:rFonts w:ascii="Segoe UI" w:eastAsia="Calibri" w:hAnsi="Segoe UI" w:cs="Segoe UI"/>
          <w:lang w:val="en-GB"/>
        </w:rPr>
        <w:t xml:space="preserve">o the Highfield patient and the persons </w:t>
      </w:r>
      <w:r w:rsidRPr="00056CE8">
        <w:rPr>
          <w:rFonts w:ascii="Segoe UI" w:eastAsia="Calibri" w:hAnsi="Segoe UI" w:cs="Segoe UI"/>
          <w:lang w:val="en-GB"/>
        </w:rPr>
        <w:t xml:space="preserve">care plan as well as discussing the level and frequency of the intervention and the confidence of staff currently administering these interventions with senior clinical leads. The existing NPSA and NHS England guidance is clear that where nasogastric feeding is considered necessary that physical restraint or sedation may be </w:t>
      </w:r>
      <w:r w:rsidRPr="00056CE8">
        <w:rPr>
          <w:rFonts w:ascii="Segoe UI" w:eastAsia="Calibri" w:hAnsi="Segoe UI" w:cs="Segoe UI"/>
          <w:lang w:val="en-GB"/>
        </w:rPr>
        <w:lastRenderedPageBreak/>
        <w:t>needed. Mental health nurses trained in ‘safe control and restraint techniques’ can use these interventions to manage administration of the nasogastric tube, supported by the appropriate legal framework (</w:t>
      </w:r>
      <w:r w:rsidR="00056CE8" w:rsidRPr="00056CE8">
        <w:rPr>
          <w:rFonts w:ascii="Segoe UI" w:eastAsia="Calibri" w:hAnsi="Segoe UI" w:cs="Segoe UI"/>
          <w:lang w:val="en-GB"/>
        </w:rPr>
        <w:t>it’s</w:t>
      </w:r>
      <w:r w:rsidRPr="00056CE8">
        <w:rPr>
          <w:rFonts w:ascii="Segoe UI" w:eastAsia="Calibri" w:hAnsi="Segoe UI" w:cs="Segoe UI"/>
          <w:lang w:val="en-GB"/>
        </w:rPr>
        <w:t xml:space="preserve"> notable that there is no specific guidance on the level or types of holds that can or should be used). </w:t>
      </w:r>
    </w:p>
    <w:p w:rsidR="009869D4" w:rsidRPr="00056CE8" w:rsidRDefault="009869D4" w:rsidP="00C9694A">
      <w:pPr>
        <w:rPr>
          <w:rFonts w:ascii="Segoe UI" w:eastAsia="Calibri" w:hAnsi="Segoe UI" w:cs="Segoe UI"/>
          <w:lang w:val="en-GB"/>
        </w:rPr>
      </w:pPr>
    </w:p>
    <w:p w:rsidR="00C9694A" w:rsidRPr="00056CE8" w:rsidRDefault="00ED7A9A" w:rsidP="00C9694A">
      <w:pPr>
        <w:rPr>
          <w:rFonts w:ascii="Segoe UI" w:eastAsia="Calibri" w:hAnsi="Segoe UI" w:cs="Segoe UI"/>
          <w:b/>
          <w:lang w:val="en-GB"/>
        </w:rPr>
      </w:pPr>
      <w:r w:rsidRPr="00056CE8">
        <w:rPr>
          <w:rFonts w:ascii="Segoe UI" w:eastAsia="Calibri" w:hAnsi="Segoe UI" w:cs="Segoe UI"/>
          <w:b/>
          <w:lang w:val="en-GB"/>
        </w:rPr>
        <w:t>5</w:t>
      </w:r>
      <w:r w:rsidR="00C9694A" w:rsidRPr="00056CE8">
        <w:rPr>
          <w:rFonts w:ascii="Segoe UI" w:eastAsia="Calibri" w:hAnsi="Segoe UI" w:cs="Segoe UI"/>
          <w:b/>
          <w:lang w:val="en-GB"/>
        </w:rPr>
        <w:t>.2 Restraints by Ward</w:t>
      </w: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The five wards with the highest number of restraints are Highfield, Kestrel, Sandford, Kingfisher and Ruby. In the previous three quarters, Ashurst had a higher number of incidents than Ruby.  All restraints are discussed weekly in the governance team’s meeting and the need for follow up of incidents identified. Debriefing inci</w:t>
      </w:r>
      <w:r w:rsidR="009869D4" w:rsidRPr="00056CE8">
        <w:rPr>
          <w:rFonts w:ascii="Segoe UI" w:eastAsia="Calibri" w:hAnsi="Segoe UI" w:cs="Segoe UI"/>
          <w:lang w:val="en-GB"/>
        </w:rPr>
        <w:t>dents is a key part of our</w:t>
      </w:r>
      <w:r w:rsidRPr="00056CE8">
        <w:rPr>
          <w:rFonts w:ascii="Segoe UI" w:eastAsia="Calibri" w:hAnsi="Segoe UI" w:cs="Segoe UI"/>
          <w:lang w:val="en-GB"/>
        </w:rPr>
        <w:t xml:space="preserve"> approach to the Trust’s overview of restrictive interventions and is available from matrons or the chaplaincy service. The PMVA/Peace team regularly attend areas experiencing an increase in the level of restraints to help with individual patients’ care plans or the team’s overall resilience and training needs.</w:t>
      </w:r>
    </w:p>
    <w:p w:rsidR="00C9694A" w:rsidRPr="00056CE8" w:rsidRDefault="00C9694A" w:rsidP="00C9694A">
      <w:pPr>
        <w:rPr>
          <w:rFonts w:ascii="Segoe UI" w:eastAsia="Calibri" w:hAnsi="Segoe UI" w:cs="Segoe UI"/>
          <w:b/>
          <w:lang w:val="en-GB"/>
        </w:rPr>
      </w:pPr>
    </w:p>
    <w:p w:rsidR="00C9694A" w:rsidRPr="00056CE8" w:rsidRDefault="00ED7A9A" w:rsidP="00C9694A">
      <w:pPr>
        <w:rPr>
          <w:rFonts w:ascii="Segoe UI" w:eastAsia="Calibri" w:hAnsi="Segoe UI" w:cs="Segoe UI"/>
          <w:b/>
          <w:lang w:val="en-GB"/>
        </w:rPr>
      </w:pPr>
      <w:r w:rsidRPr="00056CE8">
        <w:rPr>
          <w:rFonts w:ascii="Segoe UI" w:eastAsia="Calibri" w:hAnsi="Segoe UI" w:cs="Segoe UI"/>
          <w:b/>
          <w:lang w:val="en-GB"/>
        </w:rPr>
        <w:t>5</w:t>
      </w:r>
      <w:r w:rsidR="00C9694A" w:rsidRPr="00056CE8">
        <w:rPr>
          <w:rFonts w:ascii="Segoe UI" w:eastAsia="Calibri" w:hAnsi="Segoe UI" w:cs="Segoe UI"/>
          <w:b/>
          <w:lang w:val="en-GB"/>
        </w:rPr>
        <w:t>.3 Reasons and Causes</w:t>
      </w:r>
    </w:p>
    <w:p w:rsidR="00C9694A" w:rsidRPr="00056CE8" w:rsidRDefault="00C9694A" w:rsidP="00C9694A">
      <w:pPr>
        <w:rPr>
          <w:rFonts w:ascii="Segoe UI" w:eastAsia="Calibri" w:hAnsi="Segoe UI" w:cs="Segoe UI"/>
          <w:noProof/>
          <w:lang w:val="en-GB" w:eastAsia="en-GB"/>
        </w:rPr>
      </w:pPr>
      <w:r w:rsidRPr="00056CE8">
        <w:rPr>
          <w:rFonts w:ascii="Segoe UI" w:eastAsia="Calibri" w:hAnsi="Segoe UI" w:cs="Segoe UI"/>
          <w:lang w:val="en-GB"/>
        </w:rPr>
        <w:t xml:space="preserve">The incident form requires a ‘cause group’ to be selected for each incident.  Many different types of cause group were selected but </w:t>
      </w:r>
      <w:r w:rsidRPr="00056CE8">
        <w:rPr>
          <w:rFonts w:ascii="Segoe UI" w:eastAsia="Calibri" w:hAnsi="Segoe UI" w:cs="Segoe UI"/>
          <w:noProof/>
          <w:lang w:val="en-GB" w:eastAsia="en-GB"/>
        </w:rPr>
        <w:t xml:space="preserve">violence and aggression (42% of all incidents) followed by self harm (25%) remain the main reasons for restraint. The third highest cause this quarter was ‘helath’ at 22.5%, reflecting restraint for NG tube feeding. The other causes relate to restraints for administering medication and to prevent absconding. </w:t>
      </w:r>
    </w:p>
    <w:p w:rsidR="00C9694A" w:rsidRPr="00056CE8" w:rsidRDefault="00C9694A" w:rsidP="00C9694A">
      <w:pPr>
        <w:rPr>
          <w:rFonts w:ascii="Segoe UI" w:eastAsia="Calibri" w:hAnsi="Segoe UI" w:cs="Segoe UI"/>
          <w:noProof/>
          <w:lang w:val="en-GB" w:eastAsia="en-GB"/>
        </w:rPr>
      </w:pPr>
    </w:p>
    <w:p w:rsidR="00C9694A" w:rsidRPr="00056CE8" w:rsidRDefault="00C9694A" w:rsidP="00C9694A">
      <w:pPr>
        <w:rPr>
          <w:rFonts w:ascii="Segoe UI" w:eastAsia="Calibri" w:hAnsi="Segoe UI" w:cs="Segoe UI"/>
          <w:noProof/>
          <w:lang w:val="en-GB" w:eastAsia="en-GB"/>
        </w:rPr>
      </w:pPr>
      <w:r w:rsidRPr="00056CE8">
        <w:rPr>
          <w:rFonts w:ascii="Segoe UI" w:eastAsia="Calibri" w:hAnsi="Segoe UI" w:cs="Segoe UI"/>
          <w:noProof/>
          <w:lang w:val="en-GB" w:eastAsia="en-GB"/>
        </w:rPr>
        <w:t>Each quarter we report both the number of prone restraints and the percentage of all restraints that are prone.   This does show a rise in this quarter that will need to be examined next quarter to see if the number of prone restraint is rising to previous levels and if so, why.</w:t>
      </w:r>
    </w:p>
    <w:p w:rsidR="00C9694A" w:rsidRPr="00056CE8" w:rsidRDefault="00C9694A" w:rsidP="00C9694A">
      <w:pPr>
        <w:rPr>
          <w:rFonts w:ascii="Segoe UI" w:eastAsia="Calibri" w:hAnsi="Segoe UI" w:cs="Segoe UI"/>
          <w:noProof/>
          <w:lang w:val="en-GB" w:eastAsia="en-GB"/>
        </w:rPr>
      </w:pPr>
      <w:r w:rsidRPr="00056CE8">
        <w:rPr>
          <w:rFonts w:ascii="Segoe UI" w:eastAsia="Calibri" w:hAnsi="Segoe UI" w:cs="Segoe UI"/>
          <w:noProof/>
          <w:lang w:val="en-GB" w:eastAsia="en-GB"/>
        </w:rPr>
        <w:t xml:space="preserve">In quarter four, the recorded duration of restraint ranged from 1 minute to 24 minutes. No restraints lasted longer (compared to 2.9% -13% being an hour or more in previous reports). </w:t>
      </w:r>
    </w:p>
    <w:p w:rsidR="00E77E26" w:rsidRPr="00056CE8" w:rsidRDefault="00E77E26" w:rsidP="00C9694A">
      <w:pPr>
        <w:rPr>
          <w:rFonts w:ascii="Segoe UI" w:eastAsia="Calibri" w:hAnsi="Segoe UI" w:cs="Segoe UI"/>
          <w:b/>
          <w:noProof/>
          <w:lang w:val="en-GB" w:eastAsia="en-GB"/>
        </w:rPr>
      </w:pPr>
    </w:p>
    <w:p w:rsidR="003B628C" w:rsidRPr="00056CE8" w:rsidRDefault="003B628C" w:rsidP="00C9694A">
      <w:pPr>
        <w:rPr>
          <w:rFonts w:ascii="Segoe UI" w:eastAsia="Calibri" w:hAnsi="Segoe UI" w:cs="Segoe UI"/>
          <w:b/>
          <w:noProof/>
          <w:lang w:val="en-GB" w:eastAsia="en-GB"/>
        </w:rPr>
      </w:pPr>
    </w:p>
    <w:p w:rsidR="003B628C" w:rsidRPr="00056CE8" w:rsidRDefault="003B628C" w:rsidP="003B628C">
      <w:pPr>
        <w:rPr>
          <w:rFonts w:ascii="Segoe UI" w:eastAsiaTheme="minorHAnsi" w:hAnsi="Segoe UI" w:cs="Segoe UI"/>
          <w:i/>
          <w:noProof/>
          <w:lang w:val="en-GB" w:eastAsia="en-GB"/>
        </w:rPr>
      </w:pPr>
      <w:r w:rsidRPr="00056CE8">
        <w:rPr>
          <w:rFonts w:ascii="Segoe UI" w:eastAsiaTheme="minorHAnsi" w:hAnsi="Segoe UI" w:cs="Segoe UI"/>
          <w:i/>
          <w:noProof/>
          <w:lang w:val="en-GB" w:eastAsia="en-GB"/>
        </w:rPr>
        <w:t>Reduction of restraint</w:t>
      </w:r>
    </w:p>
    <w:p w:rsidR="003B628C" w:rsidRPr="00056CE8" w:rsidRDefault="003B628C" w:rsidP="003B628C">
      <w:pPr>
        <w:rPr>
          <w:rFonts w:ascii="Segoe UI" w:eastAsiaTheme="minorHAnsi" w:hAnsi="Segoe UI" w:cs="Segoe UI"/>
          <w:lang w:val="en-GB"/>
        </w:rPr>
      </w:pPr>
      <w:r w:rsidRPr="00056CE8">
        <w:rPr>
          <w:rFonts w:ascii="Segoe UI" w:eastAsiaTheme="minorHAnsi" w:hAnsi="Segoe UI" w:cs="Segoe UI"/>
          <w:noProof/>
          <w:lang w:val="en-GB" w:eastAsia="en-GB"/>
        </w:rPr>
        <w:t>On the Highfield unit work is focussed on 50% reduction of restraint and is close to being achieved. Current focus is to reduce incidents of self harm which are a frequent precipitant of retraint. Examination of incident data informed the current test of change which consists of bringing forward evening break and night staff providing structured activities after the break.</w:t>
      </w:r>
    </w:p>
    <w:p w:rsidR="003B628C" w:rsidRPr="00056CE8" w:rsidRDefault="003B628C" w:rsidP="003B628C">
      <w:pPr>
        <w:rPr>
          <w:rFonts w:ascii="Segoe UI" w:eastAsiaTheme="minorHAnsi" w:hAnsi="Segoe UI" w:cs="Segoe UI"/>
          <w:noProof/>
          <w:lang w:val="en-GB" w:eastAsia="en-GB"/>
        </w:rPr>
      </w:pPr>
    </w:p>
    <w:p w:rsidR="00056CE8" w:rsidRDefault="00056CE8">
      <w:pPr>
        <w:spacing w:after="200" w:line="276" w:lineRule="auto"/>
        <w:rPr>
          <w:rFonts w:ascii="Segoe UI" w:eastAsia="Calibri" w:hAnsi="Segoe UI" w:cs="Segoe UI"/>
          <w:b/>
          <w:noProof/>
          <w:lang w:val="en-GB" w:eastAsia="en-GB"/>
        </w:rPr>
      </w:pPr>
      <w:r>
        <w:rPr>
          <w:rFonts w:ascii="Segoe UI" w:eastAsia="Calibri" w:hAnsi="Segoe UI" w:cs="Segoe UI"/>
          <w:b/>
          <w:noProof/>
          <w:lang w:val="en-GB" w:eastAsia="en-GB"/>
        </w:rPr>
        <w:br w:type="page"/>
      </w:r>
    </w:p>
    <w:p w:rsidR="00C9694A" w:rsidRPr="00056CE8" w:rsidRDefault="00ED7A9A" w:rsidP="00C9694A">
      <w:pPr>
        <w:rPr>
          <w:rFonts w:ascii="Segoe UI" w:eastAsia="Calibri" w:hAnsi="Segoe UI" w:cs="Segoe UI"/>
          <w:b/>
          <w:noProof/>
          <w:lang w:val="en-GB" w:eastAsia="en-GB"/>
        </w:rPr>
      </w:pPr>
      <w:r w:rsidRPr="00056CE8">
        <w:rPr>
          <w:rFonts w:ascii="Segoe UI" w:eastAsia="Calibri" w:hAnsi="Segoe UI" w:cs="Segoe UI"/>
          <w:b/>
          <w:noProof/>
          <w:lang w:val="en-GB" w:eastAsia="en-GB"/>
        </w:rPr>
        <w:lastRenderedPageBreak/>
        <w:t>6</w:t>
      </w:r>
      <w:r w:rsidR="00C9694A" w:rsidRPr="00056CE8">
        <w:rPr>
          <w:rFonts w:ascii="Segoe UI" w:eastAsia="Calibri" w:hAnsi="Segoe UI" w:cs="Segoe UI"/>
          <w:b/>
          <w:noProof/>
          <w:lang w:val="en-GB" w:eastAsia="en-GB"/>
        </w:rPr>
        <w:t>. Use of Seclusion</w:t>
      </w: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 xml:space="preserve">The total number of reported seclusions in Quarter 3 was 78 compared to an average of 99.5 incidents over the previous eight quarters. The previous three quarters have had higher numbers of seclusions due to the care plan of a young man on the Highfield unit. </w:t>
      </w:r>
    </w:p>
    <w:p w:rsidR="00C9694A" w:rsidRPr="00056CE8" w:rsidRDefault="00C9694A" w:rsidP="00C9694A">
      <w:pPr>
        <w:rPr>
          <w:rFonts w:ascii="Segoe UI" w:eastAsia="Calibri" w:hAnsi="Segoe UI" w:cs="Segoe UI"/>
          <w:lang w:val="en-GB"/>
        </w:rPr>
      </w:pPr>
      <w:r w:rsidRPr="00056CE8">
        <w:rPr>
          <w:rFonts w:ascii="Segoe UI" w:eastAsia="Calibri" w:hAnsi="Segoe UI" w:cs="Segoe UI"/>
          <w:lang w:val="en-GB"/>
        </w:rPr>
        <w:t xml:space="preserve">In the past, the highest reporting ward has consistently been Ashurst with Ruby and Kestrel often following.  Highfield Oxon had the highest number of seclusions for the last four quarters but with the discharge of the young man cared for in their ICA have not been using seclusion at all. </w:t>
      </w:r>
    </w:p>
    <w:p w:rsidR="00C9694A" w:rsidRPr="00056CE8" w:rsidRDefault="00C9694A" w:rsidP="00C9694A">
      <w:pPr>
        <w:rPr>
          <w:rFonts w:ascii="Segoe UI" w:eastAsia="Calibri" w:hAnsi="Segoe UI" w:cs="Segoe UI"/>
          <w:b/>
          <w:lang w:val="en-GB"/>
        </w:rPr>
      </w:pPr>
    </w:p>
    <w:p w:rsidR="00C9694A" w:rsidRPr="00056CE8" w:rsidRDefault="00ED7A9A" w:rsidP="00C9694A">
      <w:pPr>
        <w:rPr>
          <w:rFonts w:ascii="Segoe UI" w:eastAsia="Calibri" w:hAnsi="Segoe UI" w:cs="Segoe UI"/>
          <w:lang w:val="en-GB"/>
        </w:rPr>
      </w:pPr>
      <w:r w:rsidRPr="00056CE8">
        <w:rPr>
          <w:rFonts w:ascii="Segoe UI" w:eastAsia="Calibri" w:hAnsi="Segoe UI" w:cs="Segoe UI"/>
          <w:b/>
          <w:lang w:val="en-GB"/>
        </w:rPr>
        <w:t>6</w:t>
      </w:r>
      <w:r w:rsidR="00C9694A" w:rsidRPr="00056CE8">
        <w:rPr>
          <w:rFonts w:ascii="Segoe UI" w:eastAsia="Calibri" w:hAnsi="Segoe UI" w:cs="Segoe UI"/>
          <w:b/>
          <w:lang w:val="en-GB"/>
        </w:rPr>
        <w:t>.1 Time in seclusion</w:t>
      </w:r>
      <w:r w:rsidR="00C9694A" w:rsidRPr="00056CE8">
        <w:rPr>
          <w:rFonts w:ascii="Segoe UI" w:eastAsia="Calibri" w:hAnsi="Segoe UI" w:cs="Segoe UI"/>
          <w:lang w:val="en-GB"/>
        </w:rPr>
        <w:t xml:space="preserve"> </w:t>
      </w:r>
    </w:p>
    <w:p w:rsidR="00C9694A" w:rsidRPr="00056CE8" w:rsidRDefault="00C9694A" w:rsidP="00C9694A">
      <w:pPr>
        <w:rPr>
          <w:rFonts w:ascii="Segoe UI" w:eastAsia="Calibri" w:hAnsi="Segoe UI" w:cs="Segoe UI"/>
          <w:b/>
          <w:lang w:val="en-GB"/>
        </w:rPr>
      </w:pPr>
      <w:r w:rsidRPr="00056CE8">
        <w:rPr>
          <w:rFonts w:ascii="Segoe UI" w:eastAsia="Calibri" w:hAnsi="Segoe UI" w:cs="Segoe UI"/>
          <w:lang w:val="en-GB"/>
        </w:rPr>
        <w:t>The recorded duration, according to the incident form r</w:t>
      </w:r>
      <w:r w:rsidR="00E77E26" w:rsidRPr="00056CE8">
        <w:rPr>
          <w:rFonts w:ascii="Segoe UI" w:eastAsia="Calibri" w:hAnsi="Segoe UI" w:cs="Segoe UI"/>
          <w:lang w:val="en-GB"/>
        </w:rPr>
        <w:t>anged from 20 minutes to 8 days</w:t>
      </w:r>
      <w:r w:rsidRPr="00056CE8">
        <w:rPr>
          <w:rFonts w:ascii="Segoe UI" w:eastAsia="Calibri" w:hAnsi="Segoe UI" w:cs="Segoe UI"/>
          <w:lang w:val="en-GB"/>
        </w:rPr>
        <w:t>. The patient on Kestrel with 12 seclusions has spent several days in seclusion on more than one occasion.</w:t>
      </w:r>
      <w:r w:rsidR="009869D4" w:rsidRPr="00056CE8">
        <w:rPr>
          <w:rFonts w:ascii="Segoe UI" w:eastAsia="Calibri" w:hAnsi="Segoe UI" w:cs="Segoe UI"/>
          <w:lang w:val="en-GB"/>
        </w:rPr>
        <w:t xml:space="preserve"> The persons</w:t>
      </w:r>
      <w:r w:rsidRPr="00056CE8">
        <w:rPr>
          <w:rFonts w:ascii="Segoe UI" w:eastAsia="Calibri" w:hAnsi="Segoe UI" w:cs="Segoe UI"/>
          <w:lang w:val="en-GB"/>
        </w:rPr>
        <w:t xml:space="preserve"> care and care plan has been reviewed with the CQC on their two recent visits and confirmed as appropriate.</w:t>
      </w:r>
    </w:p>
    <w:p w:rsidR="00C9694A" w:rsidRPr="00056CE8" w:rsidRDefault="00C9694A" w:rsidP="00C9694A">
      <w:pPr>
        <w:rPr>
          <w:rFonts w:ascii="Segoe UI" w:eastAsia="Calibri" w:hAnsi="Segoe UI" w:cs="Segoe UI"/>
          <w:b/>
          <w:lang w:val="en-GB"/>
        </w:rPr>
      </w:pPr>
    </w:p>
    <w:p w:rsidR="00C9694A" w:rsidRPr="00056CE8" w:rsidRDefault="00ED7A9A" w:rsidP="00C9694A">
      <w:pPr>
        <w:rPr>
          <w:rFonts w:ascii="Segoe UI" w:eastAsia="Calibri" w:hAnsi="Segoe UI" w:cs="Segoe UI"/>
          <w:b/>
          <w:lang w:val="en-GB"/>
        </w:rPr>
      </w:pPr>
      <w:r w:rsidRPr="00056CE8">
        <w:rPr>
          <w:rFonts w:ascii="Segoe UI" w:eastAsia="Calibri" w:hAnsi="Segoe UI" w:cs="Segoe UI"/>
          <w:b/>
          <w:lang w:val="en-GB"/>
        </w:rPr>
        <w:t>7</w:t>
      </w:r>
      <w:r w:rsidR="00341D03" w:rsidRPr="00056CE8">
        <w:rPr>
          <w:rFonts w:ascii="Segoe UI" w:eastAsia="Calibri" w:hAnsi="Segoe UI" w:cs="Segoe UI"/>
          <w:b/>
          <w:lang w:val="en-GB"/>
        </w:rPr>
        <w:t>.  Reduction in restrictive practice</w:t>
      </w:r>
      <w:r w:rsidR="00C9694A" w:rsidRPr="00056CE8">
        <w:rPr>
          <w:rFonts w:ascii="Segoe UI" w:eastAsia="Calibri" w:hAnsi="Segoe UI" w:cs="Segoe UI"/>
          <w:b/>
          <w:lang w:val="en-GB"/>
        </w:rPr>
        <w:t xml:space="preserve"> and Practice in Oxford Health</w:t>
      </w:r>
      <w:r w:rsidR="00341D03" w:rsidRPr="00056CE8">
        <w:rPr>
          <w:rFonts w:ascii="Segoe UI" w:eastAsia="Calibri" w:hAnsi="Segoe UI" w:cs="Segoe UI"/>
          <w:b/>
          <w:lang w:val="en-GB"/>
        </w:rPr>
        <w:t xml:space="preserve">- PEACE education </w:t>
      </w:r>
    </w:p>
    <w:p w:rsidR="00C9694A" w:rsidRPr="00056CE8" w:rsidRDefault="00341D03" w:rsidP="00C9694A">
      <w:pPr>
        <w:rPr>
          <w:rFonts w:ascii="Segoe UI" w:hAnsi="Segoe UI" w:cs="Segoe UI"/>
        </w:rPr>
      </w:pPr>
      <w:r w:rsidRPr="00056CE8">
        <w:rPr>
          <w:rFonts w:ascii="Segoe UI" w:eastAsia="Calibri" w:hAnsi="Segoe UI" w:cs="Segoe UI"/>
          <w:lang w:val="en-GB"/>
        </w:rPr>
        <w:t xml:space="preserve">Our </w:t>
      </w:r>
      <w:r w:rsidR="00C9694A" w:rsidRPr="00056CE8">
        <w:rPr>
          <w:rFonts w:ascii="Segoe UI" w:eastAsia="Calibri" w:hAnsi="Segoe UI" w:cs="Segoe UI"/>
          <w:lang w:val="en-GB"/>
        </w:rPr>
        <w:t>review of our Trust’s training and practice around the physical restraint of patients has been reported on in previous reports. After a successful pilot of training for the Highfield team, a timetable to roll out PEACE training by grouped teams</w:t>
      </w:r>
      <w:r w:rsidRPr="00056CE8">
        <w:rPr>
          <w:rFonts w:ascii="Segoe UI" w:eastAsia="Calibri" w:hAnsi="Segoe UI" w:cs="Segoe UI"/>
          <w:lang w:val="en-GB"/>
        </w:rPr>
        <w:t xml:space="preserve"> during 2016 has been agreed with teams.</w:t>
      </w:r>
    </w:p>
    <w:p w:rsidR="00341D03" w:rsidRPr="00056CE8" w:rsidRDefault="00341D03" w:rsidP="00454528">
      <w:pPr>
        <w:rPr>
          <w:rFonts w:ascii="Segoe UI" w:eastAsia="Calibri" w:hAnsi="Segoe UI" w:cs="Segoe UI"/>
          <w:b/>
          <w:lang w:val="en-GB"/>
        </w:rPr>
      </w:pPr>
    </w:p>
    <w:p w:rsidR="00E77E26" w:rsidRPr="00056CE8" w:rsidRDefault="00ED7A9A" w:rsidP="00E77E26">
      <w:pPr>
        <w:jc w:val="both"/>
        <w:rPr>
          <w:rFonts w:ascii="Segoe UI" w:eastAsia="Calibri" w:hAnsi="Segoe UI" w:cs="Segoe UI"/>
          <w:b/>
          <w:lang w:val="en-GB"/>
        </w:rPr>
      </w:pPr>
      <w:r w:rsidRPr="00056CE8">
        <w:rPr>
          <w:rFonts w:ascii="Segoe UI" w:eastAsia="Calibri" w:hAnsi="Segoe UI" w:cs="Segoe UI"/>
          <w:b/>
          <w:lang w:val="en-GB"/>
        </w:rPr>
        <w:t>8</w:t>
      </w:r>
      <w:r w:rsidR="00E77E26" w:rsidRPr="00056CE8">
        <w:rPr>
          <w:rFonts w:ascii="Segoe UI" w:eastAsia="Calibri" w:hAnsi="Segoe UI" w:cs="Segoe UI"/>
          <w:b/>
          <w:lang w:val="en-GB"/>
        </w:rPr>
        <w:t>. Analysis of deaths</w:t>
      </w:r>
    </w:p>
    <w:p w:rsidR="00E77E26" w:rsidRPr="00056CE8" w:rsidRDefault="00341D03" w:rsidP="00E77E26">
      <w:pPr>
        <w:jc w:val="both"/>
        <w:rPr>
          <w:rFonts w:ascii="Segoe UI" w:eastAsia="Calibri" w:hAnsi="Segoe UI" w:cs="Segoe UI"/>
          <w:lang w:val="en-GB"/>
        </w:rPr>
      </w:pPr>
      <w:r w:rsidRPr="00056CE8">
        <w:rPr>
          <w:rFonts w:ascii="Segoe UI" w:eastAsia="Calibri" w:hAnsi="Segoe UI" w:cs="Segoe UI"/>
          <w:lang w:val="en-GB"/>
        </w:rPr>
        <w:t>Our</w:t>
      </w:r>
      <w:r w:rsidR="00E77E26" w:rsidRPr="00056CE8">
        <w:rPr>
          <w:rFonts w:ascii="Segoe UI" w:eastAsia="Calibri" w:hAnsi="Segoe UI" w:cs="Segoe UI"/>
          <w:lang w:val="en-GB"/>
        </w:rPr>
        <w:t xml:space="preserve"> Trust assesses expected and unexpected deaths through the weekly clinical review meeting which is informed of all new deaths, the group reviews whether the death is a SI and as appropriate will review the initial incident reports (IIR) on these and determine which cases need to go to further RCA investigation. In Q3 overall there were 37 deaths reported (expected and unexpected, as well as those in our care and recently discharged). Detail of all deaths was provided to the Quality Committee in February 2016.</w:t>
      </w:r>
    </w:p>
    <w:p w:rsidR="00E77E26" w:rsidRPr="00056CE8" w:rsidRDefault="00E77E26" w:rsidP="00E77E26">
      <w:pPr>
        <w:jc w:val="both"/>
        <w:rPr>
          <w:rFonts w:ascii="Segoe UI" w:eastAsia="Calibri" w:hAnsi="Segoe UI" w:cs="Segoe UI"/>
          <w:lang w:val="en-GB"/>
        </w:rPr>
      </w:pPr>
    </w:p>
    <w:p w:rsidR="00E77E26" w:rsidRPr="00056CE8" w:rsidRDefault="00E77E26" w:rsidP="00E77E26">
      <w:pPr>
        <w:rPr>
          <w:rFonts w:ascii="Segoe UI" w:hAnsi="Segoe UI" w:cs="Segoe UI"/>
          <w:lang w:val="en-GB" w:eastAsia="en-GB"/>
        </w:rPr>
      </w:pPr>
      <w:r w:rsidRPr="00056CE8">
        <w:rPr>
          <w:rFonts w:ascii="Segoe UI" w:hAnsi="Segoe UI" w:cs="Segoe UI"/>
          <w:shd w:val="clear" w:color="auto" w:fill="FFFFFF"/>
        </w:rPr>
        <w:t xml:space="preserve">In December 2015 NHS England published a report into the deaths of people with a learning disability or mental health problems at Southern Health NHS Foundation Trust.  A gap analysis is being done to review and improve our </w:t>
      </w:r>
      <w:r w:rsidRPr="00056CE8">
        <w:rPr>
          <w:rFonts w:ascii="Segoe UI" w:hAnsi="Segoe UI" w:cs="Segoe UI"/>
          <w:lang w:val="en-GB" w:eastAsia="en-GB"/>
        </w:rPr>
        <w:t xml:space="preserve">processes and procedures around investigating deaths (expected and unexpected), the outcome of the gap analysis will be reported to the Board of Directors in April 2016. The analysis is considering the extent of board leadership and scrutiny, quality of reporting and investigations, information management and involvement of families and other agencies involved in the patient’s care. </w:t>
      </w:r>
    </w:p>
    <w:p w:rsidR="00E77E26" w:rsidRPr="00056CE8" w:rsidRDefault="00E77E26" w:rsidP="00E77E26">
      <w:pPr>
        <w:rPr>
          <w:rFonts w:ascii="Segoe UI" w:hAnsi="Segoe UI" w:cs="Segoe UI"/>
          <w:lang w:val="en-GB" w:eastAsia="en-GB"/>
        </w:rPr>
      </w:pPr>
    </w:p>
    <w:p w:rsidR="00E77E26" w:rsidRPr="00056CE8" w:rsidRDefault="00E77E26" w:rsidP="00E77E26">
      <w:pPr>
        <w:rPr>
          <w:rFonts w:ascii="Segoe UI" w:hAnsi="Segoe UI" w:cs="Segoe UI"/>
          <w:lang w:val="en-GB" w:eastAsia="en-GB"/>
        </w:rPr>
      </w:pPr>
      <w:r w:rsidRPr="00056CE8">
        <w:rPr>
          <w:rFonts w:ascii="Segoe UI" w:hAnsi="Segoe UI" w:cs="Segoe UI"/>
          <w:lang w:val="en-GB" w:eastAsia="en-GB"/>
        </w:rPr>
        <w:t xml:space="preserve">In January 2016 NHS England also asked all NHS organisations to submit information on the number of deaths and those deaths which were found to be potentially preventable </w:t>
      </w:r>
      <w:r w:rsidRPr="00056CE8">
        <w:rPr>
          <w:rFonts w:ascii="Segoe UI" w:hAnsi="Segoe UI" w:cs="Segoe UI"/>
          <w:lang w:val="en-GB" w:eastAsia="en-GB"/>
        </w:rPr>
        <w:lastRenderedPageBreak/>
        <w:t>over a 12 month period. Alongside our data submission we provided accompanying notes to explain the definitions and business rules used as very limited national instructions were provided and from conversations with three other providers information was being reported differently. The information on avoidable mortality rates is likely to be published identifying NHS organisations.</w:t>
      </w:r>
    </w:p>
    <w:p w:rsidR="000B5FB3" w:rsidRPr="00056CE8" w:rsidRDefault="000B5FB3" w:rsidP="00454528">
      <w:pPr>
        <w:rPr>
          <w:rFonts w:ascii="Segoe UI" w:eastAsiaTheme="minorHAnsi" w:hAnsi="Segoe UI" w:cs="Segoe UI"/>
          <w:b/>
          <w:lang w:val="en-GB"/>
        </w:rPr>
      </w:pPr>
    </w:p>
    <w:p w:rsidR="00837044" w:rsidRPr="00056CE8" w:rsidRDefault="00ED7A9A" w:rsidP="00747A06">
      <w:pPr>
        <w:contextualSpacing/>
        <w:jc w:val="both"/>
        <w:rPr>
          <w:rFonts w:ascii="Segoe UI" w:eastAsia="Calibri" w:hAnsi="Segoe UI" w:cs="Segoe UI"/>
          <w:b/>
          <w:lang w:val="en-GB"/>
        </w:rPr>
      </w:pPr>
      <w:r w:rsidRPr="00056CE8">
        <w:rPr>
          <w:rFonts w:ascii="Segoe UI" w:eastAsia="Calibri" w:hAnsi="Segoe UI" w:cs="Segoe UI"/>
          <w:b/>
          <w:lang w:val="en-GB"/>
        </w:rPr>
        <w:t>9</w:t>
      </w:r>
      <w:r w:rsidR="00747A06" w:rsidRPr="00056CE8">
        <w:rPr>
          <w:rFonts w:ascii="Segoe UI" w:eastAsia="Calibri" w:hAnsi="Segoe UI" w:cs="Segoe UI"/>
          <w:b/>
          <w:lang w:val="en-GB"/>
        </w:rPr>
        <w:t xml:space="preserve">. Serious Incidents </w:t>
      </w:r>
      <w:r w:rsidR="00837044" w:rsidRPr="00056CE8">
        <w:rPr>
          <w:rFonts w:ascii="Segoe UI" w:eastAsia="Calibri" w:hAnsi="Segoe UI" w:cs="Segoe UI"/>
          <w:b/>
          <w:lang w:val="en-GB"/>
        </w:rPr>
        <w:t>(SI)</w:t>
      </w:r>
    </w:p>
    <w:p w:rsidR="00837044" w:rsidRPr="00056CE8" w:rsidRDefault="00837044" w:rsidP="00454528">
      <w:pPr>
        <w:jc w:val="both"/>
        <w:rPr>
          <w:rFonts w:ascii="Segoe UI" w:eastAsia="Calibri" w:hAnsi="Segoe UI" w:cs="Segoe UI"/>
          <w:lang w:val="en-GB" w:eastAsia="en-GB"/>
        </w:rPr>
      </w:pPr>
      <w:r w:rsidRPr="00056CE8">
        <w:rPr>
          <w:rFonts w:ascii="Segoe UI" w:eastAsia="Calibri" w:hAnsi="Segoe UI" w:cs="Segoe UI"/>
          <w:lang w:val="en-GB" w:eastAsia="en-GB"/>
        </w:rPr>
        <w:t>The total number of SI</w:t>
      </w:r>
      <w:r w:rsidR="00C14C96" w:rsidRPr="00056CE8">
        <w:rPr>
          <w:rFonts w:ascii="Segoe UI" w:eastAsia="Calibri" w:hAnsi="Segoe UI" w:cs="Segoe UI"/>
          <w:lang w:val="en-GB" w:eastAsia="en-GB"/>
        </w:rPr>
        <w:t>’</w:t>
      </w:r>
      <w:r w:rsidRPr="00056CE8">
        <w:rPr>
          <w:rFonts w:ascii="Segoe UI" w:eastAsia="Calibri" w:hAnsi="Segoe UI" w:cs="Segoe UI"/>
          <w:lang w:val="en-GB" w:eastAsia="en-GB"/>
        </w:rPr>
        <w:t xml:space="preserve">s in Q2 was 31 and the number in Q3 currently </w:t>
      </w:r>
      <w:r w:rsidR="00C14C96" w:rsidRPr="00056CE8">
        <w:rPr>
          <w:rFonts w:ascii="Segoe UI" w:eastAsia="Calibri" w:hAnsi="Segoe UI" w:cs="Segoe UI"/>
          <w:lang w:val="en-GB" w:eastAsia="en-GB"/>
        </w:rPr>
        <w:t xml:space="preserve">was </w:t>
      </w:r>
      <w:r w:rsidRPr="00056CE8">
        <w:rPr>
          <w:rFonts w:ascii="Segoe UI" w:eastAsia="Calibri" w:hAnsi="Segoe UI" w:cs="Segoe UI"/>
          <w:lang w:val="en-GB" w:eastAsia="en-GB"/>
        </w:rPr>
        <w:t xml:space="preserve">23.  This represents a further quarterly reduction following the peak seen in Q1 of </w:t>
      </w:r>
      <w:r w:rsidR="00C14C96" w:rsidRPr="00056CE8">
        <w:rPr>
          <w:rFonts w:ascii="Segoe UI" w:eastAsia="Calibri" w:hAnsi="Segoe UI" w:cs="Segoe UI"/>
          <w:lang w:val="en-GB" w:eastAsia="en-GB"/>
        </w:rPr>
        <w:t>2015.</w:t>
      </w:r>
    </w:p>
    <w:p w:rsidR="00837044" w:rsidRPr="00056CE8" w:rsidRDefault="00837044" w:rsidP="00454528">
      <w:pPr>
        <w:jc w:val="both"/>
        <w:rPr>
          <w:rFonts w:ascii="Segoe UI" w:eastAsia="Calibri" w:hAnsi="Segoe UI" w:cs="Segoe UI"/>
          <w:lang w:val="en-GB"/>
        </w:rPr>
      </w:pPr>
    </w:p>
    <w:p w:rsidR="00C14C96" w:rsidRPr="00056CE8" w:rsidRDefault="00837044" w:rsidP="00454528">
      <w:pPr>
        <w:jc w:val="both"/>
        <w:rPr>
          <w:rFonts w:ascii="Segoe UI" w:eastAsia="Calibri" w:hAnsi="Segoe UI" w:cs="Segoe UI"/>
          <w:lang w:val="en-GB" w:eastAsia="en-GB"/>
        </w:rPr>
      </w:pPr>
      <w:r w:rsidRPr="00056CE8">
        <w:rPr>
          <w:rFonts w:ascii="Segoe UI" w:eastAsia="Calibri" w:hAnsi="Segoe UI" w:cs="Segoe UI"/>
          <w:lang w:val="en-GB" w:eastAsia="en-GB"/>
        </w:rPr>
        <w:t xml:space="preserve">As previously reported, as part of the new SI framework introduced from April 2015 the Trust is reporting more incidents at an earlier stage and then, and when more information becomes available requesting downgrades.  </w:t>
      </w:r>
    </w:p>
    <w:p w:rsidR="00C14C96" w:rsidRPr="00056CE8" w:rsidRDefault="00C14C96" w:rsidP="00454528">
      <w:pPr>
        <w:jc w:val="both"/>
        <w:rPr>
          <w:rFonts w:ascii="Segoe UI" w:eastAsia="Calibri" w:hAnsi="Segoe UI" w:cs="Segoe UI"/>
          <w:lang w:val="en-GB" w:eastAsia="en-GB"/>
        </w:rPr>
      </w:pPr>
    </w:p>
    <w:p w:rsidR="00837044" w:rsidRPr="00056CE8" w:rsidRDefault="00ED7A9A" w:rsidP="00ED7A9A">
      <w:pPr>
        <w:contextualSpacing/>
        <w:jc w:val="both"/>
        <w:rPr>
          <w:rFonts w:ascii="Segoe UI" w:eastAsia="Calibri" w:hAnsi="Segoe UI" w:cs="Segoe UI"/>
          <w:b/>
        </w:rPr>
      </w:pPr>
      <w:r w:rsidRPr="00056CE8">
        <w:rPr>
          <w:rFonts w:ascii="Segoe UI" w:eastAsia="Calibri" w:hAnsi="Segoe UI" w:cs="Segoe UI"/>
          <w:b/>
        </w:rPr>
        <w:t xml:space="preserve">10. </w:t>
      </w:r>
      <w:r w:rsidR="00837044" w:rsidRPr="00056CE8">
        <w:rPr>
          <w:rFonts w:ascii="Segoe UI" w:eastAsia="Calibri" w:hAnsi="Segoe UI" w:cs="Segoe UI"/>
          <w:b/>
        </w:rPr>
        <w:t>Suspected and confirmed suicides by quarter</w:t>
      </w:r>
    </w:p>
    <w:p w:rsidR="00837044" w:rsidRPr="00056CE8" w:rsidRDefault="00837044" w:rsidP="00454528">
      <w:pPr>
        <w:contextualSpacing/>
        <w:jc w:val="both"/>
        <w:rPr>
          <w:rFonts w:ascii="Segoe UI" w:eastAsia="Calibri" w:hAnsi="Segoe UI" w:cs="Segoe UI"/>
          <w:lang w:val="en-GB"/>
        </w:rPr>
      </w:pPr>
      <w:r w:rsidRPr="00056CE8">
        <w:rPr>
          <w:rFonts w:ascii="Segoe UI" w:eastAsia="Calibri" w:hAnsi="Segoe UI" w:cs="Segoe UI"/>
          <w:lang w:val="en-GB"/>
        </w:rPr>
        <w:t>The number of suspected suicides in Q3 has fallen further to five.  Of these five, three are being managed as SI</w:t>
      </w:r>
      <w:r w:rsidR="00C14C96" w:rsidRPr="00056CE8">
        <w:rPr>
          <w:rFonts w:ascii="Segoe UI" w:eastAsia="Calibri" w:hAnsi="Segoe UI" w:cs="Segoe UI"/>
          <w:lang w:val="en-GB"/>
        </w:rPr>
        <w:t>’</w:t>
      </w:r>
      <w:r w:rsidRPr="00056CE8">
        <w:rPr>
          <w:rFonts w:ascii="Segoe UI" w:eastAsia="Calibri" w:hAnsi="Segoe UI" w:cs="Segoe UI"/>
          <w:lang w:val="en-GB"/>
        </w:rPr>
        <w:t xml:space="preserve">s and two are currently not. </w:t>
      </w:r>
      <w:r w:rsidR="00C14C96" w:rsidRPr="00056CE8">
        <w:rPr>
          <w:rFonts w:ascii="Segoe UI" w:eastAsia="Calibri" w:hAnsi="Segoe UI" w:cs="Segoe UI"/>
          <w:lang w:val="en-GB"/>
        </w:rPr>
        <w:t xml:space="preserve"> </w:t>
      </w:r>
      <w:r w:rsidRPr="00056CE8">
        <w:rPr>
          <w:rFonts w:ascii="Segoe UI" w:eastAsia="Calibri" w:hAnsi="Segoe UI" w:cs="Segoe UI"/>
          <w:lang w:val="en-GB"/>
        </w:rPr>
        <w:t>The trend continues downwards. If the trajectory remains the same there will be a year on year reduction in the number of suspected suicides over the last five years</w:t>
      </w:r>
      <w:r w:rsidR="00C14C96" w:rsidRPr="00056CE8">
        <w:rPr>
          <w:rFonts w:ascii="Segoe UI" w:eastAsia="Calibri" w:hAnsi="Segoe UI" w:cs="Segoe UI"/>
          <w:lang w:val="en-GB"/>
        </w:rPr>
        <w:t>.</w:t>
      </w:r>
      <w:r w:rsidRPr="00056CE8">
        <w:rPr>
          <w:rFonts w:ascii="Segoe UI" w:eastAsia="Calibri" w:hAnsi="Segoe UI" w:cs="Segoe UI"/>
          <w:lang w:val="en-GB"/>
        </w:rPr>
        <w:t xml:space="preserve"> </w:t>
      </w:r>
      <w:r w:rsidR="00C14C96" w:rsidRPr="00056CE8">
        <w:rPr>
          <w:rFonts w:ascii="Segoe UI" w:eastAsia="Calibri" w:hAnsi="Segoe UI" w:cs="Segoe UI"/>
          <w:lang w:val="en-GB"/>
        </w:rPr>
        <w:t xml:space="preserve"> </w:t>
      </w:r>
      <w:r w:rsidRPr="00056CE8">
        <w:rPr>
          <w:rFonts w:ascii="Segoe UI" w:eastAsia="Calibri" w:hAnsi="Segoe UI" w:cs="Segoe UI"/>
          <w:lang w:val="en-GB"/>
        </w:rPr>
        <w:t xml:space="preserve">All of the reported suspected suicides reported as SIs in Q3 occurred in the community in the following teams: </w:t>
      </w:r>
      <w:r w:rsidRPr="00056CE8">
        <w:rPr>
          <w:rFonts w:ascii="Segoe UI" w:hAnsi="Segoe UI" w:cs="Segoe UI"/>
          <w:lang w:val="en-GB" w:eastAsia="en-GB"/>
        </w:rPr>
        <w:t>South Oxon AMHT</w:t>
      </w:r>
      <w:r w:rsidRPr="00056CE8">
        <w:rPr>
          <w:rFonts w:ascii="Segoe UI" w:eastAsia="Calibri" w:hAnsi="Segoe UI" w:cs="Segoe UI"/>
          <w:bCs/>
          <w:lang w:val="en-GB"/>
        </w:rPr>
        <w:t xml:space="preserve">, </w:t>
      </w:r>
      <w:r w:rsidRPr="00056CE8">
        <w:rPr>
          <w:rFonts w:ascii="Segoe UI" w:hAnsi="Segoe UI" w:cs="Segoe UI"/>
          <w:lang w:val="en-GB" w:eastAsia="en-GB"/>
        </w:rPr>
        <w:t>Prison Service Woodhill</w:t>
      </w:r>
      <w:r w:rsidRPr="00056CE8">
        <w:rPr>
          <w:rFonts w:ascii="Segoe UI" w:eastAsia="Calibri" w:hAnsi="Segoe UI" w:cs="Segoe UI"/>
          <w:bCs/>
          <w:lang w:val="en-GB"/>
        </w:rPr>
        <w:t xml:space="preserve"> and </w:t>
      </w:r>
      <w:r w:rsidRPr="00056CE8">
        <w:rPr>
          <w:rFonts w:ascii="Segoe UI" w:hAnsi="Segoe UI" w:cs="Segoe UI"/>
          <w:lang w:val="en-GB" w:eastAsia="en-GB"/>
        </w:rPr>
        <w:t>CAMHS South.</w:t>
      </w:r>
    </w:p>
    <w:p w:rsidR="00837044" w:rsidRPr="00056CE8" w:rsidRDefault="00837044" w:rsidP="00454528">
      <w:pPr>
        <w:contextualSpacing/>
        <w:jc w:val="both"/>
        <w:rPr>
          <w:rFonts w:ascii="Segoe UI" w:eastAsia="Calibri" w:hAnsi="Segoe UI" w:cs="Segoe UI"/>
          <w:lang w:val="en-GB"/>
        </w:rPr>
      </w:pPr>
    </w:p>
    <w:p w:rsidR="003D4998" w:rsidRPr="00056CE8" w:rsidRDefault="00ED7A9A" w:rsidP="00454528">
      <w:pPr>
        <w:jc w:val="both"/>
        <w:rPr>
          <w:rFonts w:ascii="Segoe UI" w:eastAsia="Calibri" w:hAnsi="Segoe UI" w:cs="Segoe UI"/>
          <w:b/>
        </w:rPr>
      </w:pPr>
      <w:r w:rsidRPr="00056CE8">
        <w:rPr>
          <w:rFonts w:ascii="Segoe UI" w:eastAsia="Calibri" w:hAnsi="Segoe UI" w:cs="Segoe UI"/>
          <w:b/>
        </w:rPr>
        <w:t>11</w:t>
      </w:r>
      <w:r w:rsidR="00747A06" w:rsidRPr="00056CE8">
        <w:rPr>
          <w:rFonts w:ascii="Segoe UI" w:eastAsia="Calibri" w:hAnsi="Segoe UI" w:cs="Segoe UI"/>
          <w:b/>
        </w:rPr>
        <w:t>.</w:t>
      </w:r>
      <w:r w:rsidR="000B5FB3" w:rsidRPr="00056CE8">
        <w:rPr>
          <w:rFonts w:ascii="Segoe UI" w:eastAsia="Calibri" w:hAnsi="Segoe UI" w:cs="Segoe UI"/>
          <w:b/>
        </w:rPr>
        <w:t xml:space="preserve"> </w:t>
      </w:r>
      <w:r w:rsidR="00837044" w:rsidRPr="00056CE8">
        <w:rPr>
          <w:rFonts w:ascii="Segoe UI" w:eastAsia="Calibri" w:hAnsi="Segoe UI" w:cs="Segoe UI"/>
          <w:b/>
        </w:rPr>
        <w:t>Never Events</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lang w:val="en-GB"/>
        </w:rPr>
        <w:t>There have been no incidents meeting the never events criteria for three years.</w:t>
      </w:r>
    </w:p>
    <w:p w:rsidR="00837044" w:rsidRPr="00056CE8" w:rsidRDefault="00837044" w:rsidP="00454528">
      <w:pPr>
        <w:ind w:firstLine="450"/>
        <w:jc w:val="both"/>
        <w:rPr>
          <w:rFonts w:ascii="Segoe UI" w:eastAsia="Calibri" w:hAnsi="Segoe UI" w:cs="Segoe UI"/>
          <w:lang w:val="en-GB"/>
        </w:rPr>
      </w:pPr>
    </w:p>
    <w:p w:rsidR="003D6B49" w:rsidRPr="00056CE8" w:rsidRDefault="00ED7A9A" w:rsidP="00454528">
      <w:pPr>
        <w:jc w:val="both"/>
        <w:rPr>
          <w:rFonts w:ascii="Segoe UI" w:eastAsia="Calibri" w:hAnsi="Segoe UI" w:cs="Segoe UI"/>
          <w:b/>
        </w:rPr>
      </w:pPr>
      <w:r w:rsidRPr="00056CE8">
        <w:rPr>
          <w:rFonts w:ascii="Segoe UI" w:eastAsia="Calibri" w:hAnsi="Segoe UI" w:cs="Segoe UI"/>
          <w:b/>
        </w:rPr>
        <w:t>12</w:t>
      </w:r>
      <w:r w:rsidR="00747A06" w:rsidRPr="00056CE8">
        <w:rPr>
          <w:rFonts w:ascii="Segoe UI" w:eastAsia="Calibri" w:hAnsi="Segoe UI" w:cs="Segoe UI"/>
          <w:b/>
        </w:rPr>
        <w:t>. Summary of h</w:t>
      </w:r>
      <w:r w:rsidR="00837044" w:rsidRPr="00056CE8">
        <w:rPr>
          <w:rFonts w:ascii="Segoe UI" w:eastAsia="Calibri" w:hAnsi="Segoe UI" w:cs="Segoe UI"/>
          <w:b/>
        </w:rPr>
        <w:t>omicide investigations</w:t>
      </w:r>
    </w:p>
    <w:p w:rsidR="00837044" w:rsidRPr="00056CE8" w:rsidRDefault="00747A06" w:rsidP="00454528">
      <w:pPr>
        <w:numPr>
          <w:ilvl w:val="2"/>
          <w:numId w:val="6"/>
        </w:numPr>
        <w:ind w:left="1276" w:hanging="425"/>
        <w:jc w:val="both"/>
        <w:rPr>
          <w:rFonts w:ascii="Segoe UI" w:eastAsia="Calibri" w:hAnsi="Segoe UI" w:cs="Segoe UI"/>
          <w:lang w:val="en-GB"/>
        </w:rPr>
      </w:pPr>
      <w:r w:rsidRPr="00056CE8">
        <w:rPr>
          <w:rFonts w:ascii="Segoe UI" w:eastAsia="Calibri" w:hAnsi="Segoe UI" w:cs="Segoe UI"/>
          <w:lang w:val="en-GB"/>
        </w:rPr>
        <w:t>In Q3 one</w:t>
      </w:r>
      <w:r w:rsidR="00837044" w:rsidRPr="00056CE8">
        <w:rPr>
          <w:rFonts w:ascii="Segoe UI" w:eastAsia="Calibri" w:hAnsi="Segoe UI" w:cs="Segoe UI"/>
          <w:lang w:val="en-GB"/>
        </w:rPr>
        <w:t xml:space="preserve"> new homicide was reported. </w:t>
      </w:r>
    </w:p>
    <w:p w:rsidR="00837044" w:rsidRPr="00056CE8" w:rsidRDefault="00837044" w:rsidP="00454528">
      <w:pPr>
        <w:numPr>
          <w:ilvl w:val="2"/>
          <w:numId w:val="6"/>
        </w:numPr>
        <w:ind w:left="1276" w:hanging="425"/>
        <w:jc w:val="both"/>
        <w:rPr>
          <w:rFonts w:ascii="Segoe UI" w:eastAsia="Calibri" w:hAnsi="Segoe UI" w:cs="Segoe UI"/>
          <w:lang w:val="en-GB"/>
        </w:rPr>
      </w:pPr>
      <w:r w:rsidRPr="00056CE8">
        <w:rPr>
          <w:rFonts w:ascii="Segoe UI" w:eastAsia="Calibri" w:hAnsi="Segoe UI" w:cs="Segoe UI"/>
          <w:lang w:val="en-GB"/>
        </w:rPr>
        <w:t xml:space="preserve">In Q2 a historical external homicide review was reported which had been subject to an external review of the impact of service remodelling has been completed and the draft follow up report is completed.  </w:t>
      </w:r>
    </w:p>
    <w:p w:rsidR="00837044" w:rsidRPr="00056CE8" w:rsidRDefault="00837044" w:rsidP="00454528">
      <w:pPr>
        <w:numPr>
          <w:ilvl w:val="2"/>
          <w:numId w:val="6"/>
        </w:numPr>
        <w:ind w:left="1276" w:hanging="425"/>
        <w:jc w:val="both"/>
        <w:rPr>
          <w:rFonts w:ascii="Segoe UI" w:eastAsia="Calibri" w:hAnsi="Segoe UI" w:cs="Segoe UI"/>
          <w:lang w:val="en-GB"/>
        </w:rPr>
      </w:pPr>
      <w:r w:rsidRPr="00056CE8">
        <w:rPr>
          <w:rFonts w:ascii="Segoe UI" w:hAnsi="Segoe UI" w:cs="Segoe UI"/>
          <w:lang w:val="en-GB"/>
        </w:rPr>
        <w:t xml:space="preserve">A </w:t>
      </w:r>
      <w:r w:rsidR="000743E7" w:rsidRPr="00056CE8">
        <w:rPr>
          <w:rFonts w:ascii="Segoe UI" w:hAnsi="Segoe UI" w:cs="Segoe UI"/>
          <w:lang w:val="en-GB"/>
        </w:rPr>
        <w:t>Domestic Homicide Review (</w:t>
      </w:r>
      <w:r w:rsidRPr="00056CE8">
        <w:rPr>
          <w:rFonts w:ascii="Segoe UI" w:hAnsi="Segoe UI" w:cs="Segoe UI"/>
          <w:lang w:val="en-GB"/>
        </w:rPr>
        <w:t>DHR</w:t>
      </w:r>
      <w:r w:rsidR="000743E7" w:rsidRPr="00056CE8">
        <w:rPr>
          <w:rFonts w:ascii="Segoe UI" w:hAnsi="Segoe UI" w:cs="Segoe UI"/>
          <w:lang w:val="en-GB"/>
        </w:rPr>
        <w:t>)</w:t>
      </w:r>
      <w:r w:rsidRPr="00056CE8">
        <w:rPr>
          <w:rFonts w:ascii="Segoe UI" w:hAnsi="Segoe UI" w:cs="Segoe UI"/>
          <w:lang w:val="en-GB"/>
        </w:rPr>
        <w:t xml:space="preserve"> has been commissioned into the homicide of a man who had been known to our services. A male unknown to our services has been charged with murder, and his ex-partner and another woman have been charged with conspiracy to commit murder.  </w:t>
      </w:r>
    </w:p>
    <w:p w:rsidR="00837044" w:rsidRPr="00056CE8" w:rsidRDefault="00837044" w:rsidP="00454528">
      <w:pPr>
        <w:numPr>
          <w:ilvl w:val="2"/>
          <w:numId w:val="6"/>
        </w:numPr>
        <w:ind w:left="1276" w:hanging="425"/>
        <w:jc w:val="both"/>
        <w:rPr>
          <w:rFonts w:ascii="Segoe UI" w:hAnsi="Segoe UI" w:cs="Segoe UI"/>
          <w:lang w:val="en-GB"/>
        </w:rPr>
      </w:pPr>
      <w:r w:rsidRPr="00056CE8">
        <w:rPr>
          <w:rFonts w:ascii="Segoe UI" w:hAnsi="Segoe UI" w:cs="Segoe UI"/>
          <w:lang w:val="en-GB"/>
        </w:rPr>
        <w:t>A</w:t>
      </w:r>
      <w:r w:rsidR="005D6416" w:rsidRPr="00056CE8">
        <w:rPr>
          <w:rFonts w:ascii="Segoe UI" w:hAnsi="Segoe UI" w:cs="Segoe UI"/>
          <w:lang w:val="en-GB"/>
        </w:rPr>
        <w:t xml:space="preserve"> DHR was commissioned </w:t>
      </w:r>
      <w:r w:rsidRPr="00056CE8">
        <w:rPr>
          <w:rFonts w:ascii="Segoe UI" w:hAnsi="Segoe UI" w:cs="Segoe UI"/>
          <w:lang w:val="en-GB"/>
        </w:rPr>
        <w:t xml:space="preserve">into a triple homicide that took place in May 2015.  A man killed three </w:t>
      </w:r>
      <w:r w:rsidR="005D6416" w:rsidRPr="00056CE8">
        <w:rPr>
          <w:rFonts w:ascii="Segoe UI" w:hAnsi="Segoe UI" w:cs="Segoe UI"/>
          <w:lang w:val="en-GB"/>
        </w:rPr>
        <w:t xml:space="preserve">members of his family then died by suicide </w:t>
      </w:r>
      <w:r w:rsidRPr="00056CE8">
        <w:rPr>
          <w:rFonts w:ascii="Segoe UI" w:hAnsi="Segoe UI" w:cs="Segoe UI"/>
          <w:lang w:val="en-GB"/>
        </w:rPr>
        <w:t>before he could be located by police. Oxford Health is contributing to the DHR as there had been brief historic contact with both the alleged perpetrato</w:t>
      </w:r>
      <w:r w:rsidR="005D6416" w:rsidRPr="00056CE8">
        <w:rPr>
          <w:rFonts w:ascii="Segoe UI" w:hAnsi="Segoe UI" w:cs="Segoe UI"/>
          <w:lang w:val="en-GB"/>
        </w:rPr>
        <w:t>r. The process is ongoing. Our involvement was reviewed and was historical, did</w:t>
      </w:r>
      <w:r w:rsidRPr="00056CE8">
        <w:rPr>
          <w:rFonts w:ascii="Segoe UI" w:hAnsi="Segoe UI" w:cs="Segoe UI"/>
          <w:lang w:val="en-GB"/>
        </w:rPr>
        <w:t xml:space="preserve"> not me</w:t>
      </w:r>
      <w:r w:rsidR="005D6416" w:rsidRPr="00056CE8">
        <w:rPr>
          <w:rFonts w:ascii="Segoe UI" w:hAnsi="Segoe UI" w:cs="Segoe UI"/>
          <w:lang w:val="en-GB"/>
        </w:rPr>
        <w:t>et the SI criteria and therefore has not been</w:t>
      </w:r>
      <w:r w:rsidRPr="00056CE8">
        <w:rPr>
          <w:rFonts w:ascii="Segoe UI" w:hAnsi="Segoe UI" w:cs="Segoe UI"/>
          <w:lang w:val="en-GB"/>
        </w:rPr>
        <w:t xml:space="preserve"> included in the SI data.</w:t>
      </w:r>
    </w:p>
    <w:p w:rsidR="00837044" w:rsidRPr="00056CE8" w:rsidRDefault="00837044" w:rsidP="00454528">
      <w:pPr>
        <w:ind w:left="1004"/>
        <w:jc w:val="both"/>
        <w:rPr>
          <w:rFonts w:ascii="Segoe UI" w:hAnsi="Segoe UI" w:cs="Segoe UI"/>
          <w:lang w:val="en-GB"/>
        </w:rPr>
      </w:pPr>
    </w:p>
    <w:p w:rsidR="00056CE8" w:rsidRDefault="00056CE8" w:rsidP="00454528">
      <w:pPr>
        <w:jc w:val="both"/>
        <w:rPr>
          <w:rFonts w:ascii="Segoe UI" w:hAnsi="Segoe UI" w:cs="Segoe UI"/>
          <w:b/>
          <w:lang w:val="en-GB"/>
        </w:rPr>
      </w:pPr>
    </w:p>
    <w:p w:rsidR="005D2927" w:rsidRPr="00056CE8" w:rsidRDefault="00747A06" w:rsidP="00454528">
      <w:pPr>
        <w:jc w:val="both"/>
        <w:rPr>
          <w:rFonts w:ascii="Segoe UI" w:hAnsi="Segoe UI" w:cs="Segoe UI"/>
          <w:b/>
          <w:lang w:val="en-GB"/>
        </w:rPr>
      </w:pPr>
      <w:r w:rsidRPr="00056CE8">
        <w:rPr>
          <w:rFonts w:ascii="Segoe UI" w:hAnsi="Segoe UI" w:cs="Segoe UI"/>
          <w:b/>
          <w:lang w:val="en-GB"/>
        </w:rPr>
        <w:lastRenderedPageBreak/>
        <w:t>1</w:t>
      </w:r>
      <w:r w:rsidR="00ED7A9A" w:rsidRPr="00056CE8">
        <w:rPr>
          <w:rFonts w:ascii="Segoe UI" w:hAnsi="Segoe UI" w:cs="Segoe UI"/>
          <w:b/>
          <w:lang w:val="en-GB"/>
        </w:rPr>
        <w:t>3</w:t>
      </w:r>
      <w:r w:rsidR="005D2927" w:rsidRPr="00056CE8">
        <w:rPr>
          <w:rFonts w:ascii="Segoe UI" w:hAnsi="Segoe UI" w:cs="Segoe UI"/>
          <w:b/>
          <w:lang w:val="en-GB"/>
        </w:rPr>
        <w:t>. Fire Safety</w:t>
      </w:r>
    </w:p>
    <w:p w:rsidR="005D2927" w:rsidRPr="00056CE8" w:rsidRDefault="005D2927" w:rsidP="00454528">
      <w:pPr>
        <w:jc w:val="both"/>
        <w:rPr>
          <w:rFonts w:ascii="Segoe UI" w:eastAsia="Calibri" w:hAnsi="Segoe UI" w:cs="Segoe UI"/>
          <w:lang w:val="en-GB"/>
        </w:rPr>
      </w:pPr>
      <w:r w:rsidRPr="00056CE8">
        <w:rPr>
          <w:rFonts w:ascii="Segoe UI" w:eastAsia="Calibri" w:hAnsi="Segoe UI" w:cs="Segoe UI"/>
          <w:lang w:val="en-GB"/>
        </w:rPr>
        <w:t>In the last three months (up to FY15 Q3) there have been 94 reported incidents relating to fire safety, broken down into the below types.</w:t>
      </w:r>
      <w:r w:rsidR="00D204C2" w:rsidRPr="00056CE8">
        <w:rPr>
          <w:rFonts w:ascii="Segoe UI" w:eastAsia="Calibri" w:hAnsi="Segoe UI" w:cs="Segoe UI"/>
          <w:lang w:val="en-GB"/>
        </w:rPr>
        <w:t xml:space="preserve">25 out of 94 incidents in total were smoking related. The Smoke Free Programme Group has met in February and the need to increase the work in AMHTs to promote smoking cessation out of hospital and ensure </w:t>
      </w:r>
      <w:r w:rsidR="00056CE8" w:rsidRPr="00056CE8">
        <w:rPr>
          <w:rFonts w:ascii="Segoe UI" w:eastAsia="Calibri" w:hAnsi="Segoe UI" w:cs="Segoe UI"/>
          <w:lang w:val="en-GB"/>
        </w:rPr>
        <w:t>staff remains</w:t>
      </w:r>
      <w:r w:rsidR="00D204C2" w:rsidRPr="00056CE8">
        <w:rPr>
          <w:rFonts w:ascii="Segoe UI" w:eastAsia="Calibri" w:hAnsi="Segoe UI" w:cs="Segoe UI"/>
          <w:lang w:val="en-GB"/>
        </w:rPr>
        <w:t xml:space="preserve"> confident and actively to educate patients throughout their admission has been identified as areas </w:t>
      </w:r>
      <w:r w:rsidR="00056CE8" w:rsidRPr="00056CE8">
        <w:rPr>
          <w:rFonts w:ascii="Segoe UI" w:eastAsia="Calibri" w:hAnsi="Segoe UI" w:cs="Segoe UI"/>
          <w:lang w:val="en-GB"/>
        </w:rPr>
        <w:t>to improve</w:t>
      </w:r>
      <w:r w:rsidR="00D204C2" w:rsidRPr="00056CE8">
        <w:rPr>
          <w:rFonts w:ascii="Segoe UI" w:eastAsia="Calibri" w:hAnsi="Segoe UI" w:cs="Segoe UI"/>
          <w:lang w:val="en-GB"/>
        </w:rPr>
        <w:t>.</w:t>
      </w:r>
    </w:p>
    <w:p w:rsidR="00747A06" w:rsidRPr="00056CE8" w:rsidRDefault="00747A06" w:rsidP="00454528">
      <w:pPr>
        <w:jc w:val="both"/>
        <w:rPr>
          <w:rFonts w:ascii="Segoe UI" w:eastAsia="Calibri" w:hAnsi="Segoe UI" w:cs="Segoe UI"/>
          <w:i/>
          <w:lang w:val="en-GB"/>
        </w:rPr>
      </w:pPr>
    </w:p>
    <w:p w:rsidR="005D2927" w:rsidRPr="00056CE8" w:rsidRDefault="005D2927" w:rsidP="00454528">
      <w:pPr>
        <w:jc w:val="both"/>
        <w:rPr>
          <w:rFonts w:ascii="Segoe UI" w:eastAsia="Calibri" w:hAnsi="Segoe UI" w:cs="Segoe UI"/>
          <w:lang w:val="en-GB"/>
        </w:rPr>
      </w:pPr>
      <w:r w:rsidRPr="00056CE8">
        <w:rPr>
          <w:rFonts w:ascii="Segoe UI" w:eastAsia="Calibri" w:hAnsi="Segoe UI" w:cs="Segoe UI"/>
          <w:lang w:val="en-GB"/>
        </w:rPr>
        <w:t xml:space="preserve">The majority of the incidents relate to inpatients smoking indoors. </w:t>
      </w:r>
      <w:r w:rsidRPr="00056CE8">
        <w:rPr>
          <w:rFonts w:ascii="Segoe UI" w:eastAsia="Calibri" w:hAnsi="Segoe UI" w:cs="Segoe UI"/>
        </w:rPr>
        <w:t>Over the last 12 months the wards reporting the highest number of smoking related incidents are; Sapphire Ward (19), Lambourn House (21), Phoenix Ward (29) and Watling Ward (86).</w:t>
      </w:r>
      <w:r w:rsidRPr="00056CE8">
        <w:rPr>
          <w:rFonts w:ascii="Segoe UI" w:eastAsia="Calibri" w:hAnsi="Segoe UI" w:cs="Segoe UI"/>
          <w:lang w:val="en-GB"/>
        </w:rPr>
        <w:t xml:space="preserve"> Smoking related detected incidents are down from 53 (Q2) to 25 this quarter; however this is believed to be due to two main reasons; under-reporting of incidents, and patients are smoking in areas that are not covered by smoke detectors e.g. bathrooms and shower rooms (wet areas) and therefore not a</w:t>
      </w:r>
      <w:r w:rsidR="00D204C2" w:rsidRPr="00056CE8">
        <w:rPr>
          <w:rFonts w:ascii="Segoe UI" w:eastAsia="Calibri" w:hAnsi="Segoe UI" w:cs="Segoe UI"/>
          <w:lang w:val="en-GB"/>
        </w:rPr>
        <w:t>ctivating the fire alarm system.</w:t>
      </w:r>
    </w:p>
    <w:p w:rsidR="005D2927" w:rsidRPr="00056CE8" w:rsidRDefault="005D2927" w:rsidP="00454528">
      <w:pPr>
        <w:jc w:val="both"/>
        <w:rPr>
          <w:rFonts w:ascii="Segoe UI" w:hAnsi="Segoe UI" w:cs="Segoe UI"/>
          <w:lang w:val="en-GB"/>
        </w:rPr>
      </w:pPr>
    </w:p>
    <w:p w:rsidR="005D2927" w:rsidRPr="00056CE8" w:rsidRDefault="005D2927" w:rsidP="00454528">
      <w:pPr>
        <w:jc w:val="both"/>
        <w:rPr>
          <w:rFonts w:ascii="Segoe UI" w:eastAsia="Calibri" w:hAnsi="Segoe UI" w:cs="Segoe UI"/>
        </w:rPr>
      </w:pPr>
      <w:r w:rsidRPr="00056CE8">
        <w:rPr>
          <w:rFonts w:ascii="Segoe UI" w:eastAsia="Calibri" w:hAnsi="Segoe UI" w:cs="Segoe UI"/>
        </w:rPr>
        <w:t>In the last quarter (Q3) there has been a reduction of fire incidents.  Only 1 incident has been recorded, which occurred on Ruby ward Aylesbury as a result of arson b</w:t>
      </w:r>
      <w:r w:rsidR="00D204C2" w:rsidRPr="00056CE8">
        <w:rPr>
          <w:rFonts w:ascii="Segoe UI" w:eastAsia="Calibri" w:hAnsi="Segoe UI" w:cs="Segoe UI"/>
        </w:rPr>
        <w:t>ecause a patient became distressed</w:t>
      </w:r>
      <w:r w:rsidRPr="00056CE8">
        <w:rPr>
          <w:rFonts w:ascii="Segoe UI" w:eastAsia="Calibri" w:hAnsi="Segoe UI" w:cs="Segoe UI"/>
        </w:rPr>
        <w:t xml:space="preserve"> and set light to a towel which was extinguished by ward staff.</w:t>
      </w:r>
    </w:p>
    <w:p w:rsidR="005D2927" w:rsidRPr="00056CE8" w:rsidRDefault="005D2927" w:rsidP="00454528">
      <w:pPr>
        <w:jc w:val="both"/>
        <w:rPr>
          <w:rFonts w:ascii="Segoe UI" w:eastAsia="Calibri" w:hAnsi="Segoe UI" w:cs="Segoe UI"/>
        </w:rPr>
      </w:pPr>
    </w:p>
    <w:p w:rsidR="005D2927" w:rsidRPr="00056CE8" w:rsidRDefault="005D2927" w:rsidP="00454528">
      <w:pPr>
        <w:jc w:val="both"/>
        <w:rPr>
          <w:rFonts w:ascii="Segoe UI" w:eastAsia="Calibri" w:hAnsi="Segoe UI" w:cs="Segoe UI"/>
          <w:lang w:val="en-GB"/>
        </w:rPr>
      </w:pPr>
      <w:r w:rsidRPr="00056CE8">
        <w:rPr>
          <w:rFonts w:ascii="Segoe UI" w:eastAsia="Calibri" w:hAnsi="Segoe UI" w:cs="Segoe UI"/>
          <w:lang w:val="en-GB"/>
        </w:rPr>
        <w:t>The trust was issued with a notice to take action relating to Phoenix Ward and the main admin building at Littlemore on 15</w:t>
      </w:r>
      <w:r w:rsidRPr="00056CE8">
        <w:rPr>
          <w:rFonts w:ascii="Segoe UI" w:eastAsia="Calibri" w:hAnsi="Segoe UI" w:cs="Segoe UI"/>
          <w:vertAlign w:val="superscript"/>
          <w:lang w:val="en-GB"/>
        </w:rPr>
        <w:t>th</w:t>
      </w:r>
      <w:r w:rsidRPr="00056CE8">
        <w:rPr>
          <w:rFonts w:ascii="Segoe UI" w:eastAsia="Calibri" w:hAnsi="Segoe UI" w:cs="Segoe UI"/>
          <w:lang w:val="en-GB"/>
        </w:rPr>
        <w:t xml:space="preserve"> December 2016 due to an increase in false alarms, contractors not following fire safety regulations during the refurbishments, an issue with the air lock downstairs when the fire alarms were activated and how the trust has acted on advice previously given.</w:t>
      </w:r>
    </w:p>
    <w:p w:rsidR="005D2927" w:rsidRPr="00056CE8" w:rsidRDefault="005D2927" w:rsidP="00454528">
      <w:pPr>
        <w:ind w:left="360"/>
        <w:jc w:val="both"/>
        <w:rPr>
          <w:rFonts w:ascii="Segoe UI" w:eastAsia="Calibri" w:hAnsi="Segoe UI" w:cs="Segoe UI"/>
          <w:lang w:val="en-GB"/>
        </w:rPr>
      </w:pPr>
    </w:p>
    <w:p w:rsidR="005D2927" w:rsidRPr="00056CE8" w:rsidRDefault="005D2927" w:rsidP="00454528">
      <w:pPr>
        <w:jc w:val="both"/>
        <w:rPr>
          <w:rFonts w:ascii="Segoe UI" w:eastAsia="Calibri" w:hAnsi="Segoe UI" w:cs="Segoe UI"/>
          <w:lang w:val="en-GB"/>
        </w:rPr>
      </w:pPr>
      <w:r w:rsidRPr="00056CE8">
        <w:rPr>
          <w:rFonts w:ascii="Segoe UI" w:eastAsia="Calibri" w:hAnsi="Segoe UI" w:cs="Segoe UI"/>
          <w:lang w:val="en-GB"/>
        </w:rPr>
        <w:t>Following an increase of false alarms, mostly from the Littlemore site, the Oxfordshire Fire and Rescue Service have attended over a number of quarters.  The Trust met with the Fire Service in January 2016 to provide reassurance that appropriate management is in place and that actions are being taken particularly around the number of unwanted fire signals they are attending. The reasons for the increased unwanted fire signals relates to a number of factors including a number outside the control of the trust, all of which have now been resolved. The issue surrounding how we manage unwanted fire signals has become problematic over the past few years, however with the re-introduction of site managers (previously called building managers) with clearer responsibilities, closer working between the estates and facilities team and the fire advisors through weekly meetings and a planned change to the membership of the fire safety group to include more senior managers, the monitoring and response to issues is improving.</w:t>
      </w:r>
    </w:p>
    <w:p w:rsidR="00454528" w:rsidRPr="00056CE8" w:rsidRDefault="00454528" w:rsidP="00454528">
      <w:pPr>
        <w:jc w:val="both"/>
        <w:rPr>
          <w:rFonts w:ascii="Segoe UI" w:eastAsia="Calibri" w:hAnsi="Segoe UI" w:cs="Segoe UI"/>
          <w:lang w:val="en-GB"/>
        </w:rPr>
      </w:pPr>
    </w:p>
    <w:p w:rsidR="000743E7" w:rsidRPr="00056CE8" w:rsidRDefault="000743E7" w:rsidP="00454528">
      <w:pPr>
        <w:jc w:val="both"/>
        <w:rPr>
          <w:rFonts w:ascii="Segoe UI" w:eastAsia="Calibri" w:hAnsi="Segoe UI" w:cs="Segoe UI"/>
          <w:b/>
          <w:lang w:val="en-GB"/>
        </w:rPr>
      </w:pPr>
    </w:p>
    <w:p w:rsidR="00056CE8" w:rsidRDefault="00056CE8" w:rsidP="00454528">
      <w:pPr>
        <w:jc w:val="both"/>
        <w:rPr>
          <w:rFonts w:ascii="Segoe UI" w:eastAsia="Calibri" w:hAnsi="Segoe UI" w:cs="Segoe UI"/>
          <w:b/>
          <w:lang w:val="en-GB"/>
        </w:rPr>
      </w:pPr>
    </w:p>
    <w:p w:rsidR="003D6B49" w:rsidRPr="00056CE8" w:rsidRDefault="00747A06" w:rsidP="00454528">
      <w:pPr>
        <w:jc w:val="both"/>
        <w:rPr>
          <w:rFonts w:ascii="Segoe UI" w:eastAsia="Calibri" w:hAnsi="Segoe UI" w:cs="Segoe UI"/>
          <w:b/>
          <w:lang w:val="en-GB"/>
        </w:rPr>
      </w:pPr>
      <w:r w:rsidRPr="00056CE8">
        <w:rPr>
          <w:rFonts w:ascii="Segoe UI" w:eastAsia="Calibri" w:hAnsi="Segoe UI" w:cs="Segoe UI"/>
          <w:b/>
          <w:lang w:val="en-GB"/>
        </w:rPr>
        <w:lastRenderedPageBreak/>
        <w:t>1</w:t>
      </w:r>
      <w:r w:rsidR="00ED7A9A" w:rsidRPr="00056CE8">
        <w:rPr>
          <w:rFonts w:ascii="Segoe UI" w:eastAsia="Calibri" w:hAnsi="Segoe UI" w:cs="Segoe UI"/>
          <w:b/>
          <w:lang w:val="en-GB"/>
        </w:rPr>
        <w:t>4</w:t>
      </w:r>
      <w:r w:rsidR="000B5FB3" w:rsidRPr="00056CE8">
        <w:rPr>
          <w:rFonts w:ascii="Segoe UI" w:eastAsia="Calibri" w:hAnsi="Segoe UI" w:cs="Segoe UI"/>
          <w:b/>
          <w:lang w:val="en-GB"/>
        </w:rPr>
        <w:t xml:space="preserve">. </w:t>
      </w:r>
      <w:r w:rsidR="00837044" w:rsidRPr="00056CE8">
        <w:rPr>
          <w:rFonts w:ascii="Segoe UI" w:eastAsia="Calibri" w:hAnsi="Segoe UI" w:cs="Segoe UI"/>
          <w:b/>
          <w:lang w:val="en-GB"/>
        </w:rPr>
        <w:t>Duty of candour ‘being open’</w:t>
      </w:r>
    </w:p>
    <w:p w:rsidR="00837044" w:rsidRPr="00056CE8" w:rsidRDefault="00837044" w:rsidP="00454528">
      <w:pPr>
        <w:widowControl w:val="0"/>
        <w:ind w:right="147"/>
        <w:jc w:val="both"/>
        <w:rPr>
          <w:rFonts w:ascii="Segoe UI" w:eastAsia="Segoe UI" w:hAnsi="Segoe UI" w:cs="Segoe UI"/>
        </w:rPr>
      </w:pPr>
      <w:r w:rsidRPr="00056CE8">
        <w:rPr>
          <w:rFonts w:ascii="Segoe UI" w:eastAsia="Segoe UI" w:hAnsi="Segoe UI" w:cs="Segoe UI"/>
        </w:rPr>
        <w:t xml:space="preserve">In Q3 2015-16 there were </w:t>
      </w:r>
      <w:r w:rsidRPr="00056CE8">
        <w:rPr>
          <w:rFonts w:ascii="Segoe UI" w:eastAsia="Calibri" w:hAnsi="Segoe UI" w:cs="Segoe UI"/>
          <w:lang w:val="en-GB"/>
        </w:rPr>
        <w:t>36 SI investigation reports reviewed at 34 SI panels</w:t>
      </w:r>
      <w:r w:rsidRPr="00056CE8">
        <w:rPr>
          <w:rFonts w:ascii="Segoe UI" w:eastAsia="Segoe UI" w:hAnsi="Segoe UI" w:cs="Segoe UI"/>
        </w:rPr>
        <w:t>.  The increase in the number of panels being scheduled is as a consequence of the peak in SI reporting in Q1 and Q2 this year.</w:t>
      </w:r>
    </w:p>
    <w:p w:rsidR="00837044" w:rsidRPr="00056CE8" w:rsidRDefault="00837044" w:rsidP="00454528">
      <w:pPr>
        <w:widowControl w:val="0"/>
        <w:ind w:right="147"/>
        <w:jc w:val="both"/>
        <w:rPr>
          <w:rFonts w:ascii="Segoe UI" w:eastAsia="Segoe UI" w:hAnsi="Segoe UI" w:cs="Segoe UI"/>
        </w:rPr>
      </w:pPr>
    </w:p>
    <w:p w:rsidR="00837044" w:rsidRPr="00056CE8" w:rsidRDefault="00837044" w:rsidP="00454528">
      <w:pPr>
        <w:pStyle w:val="ListParagraph"/>
        <w:widowControl w:val="0"/>
        <w:numPr>
          <w:ilvl w:val="0"/>
          <w:numId w:val="11"/>
        </w:numPr>
        <w:ind w:right="147"/>
        <w:jc w:val="both"/>
        <w:rPr>
          <w:rFonts w:ascii="Segoe UI" w:eastAsia="Segoe UI" w:hAnsi="Segoe UI" w:cs="Segoe UI"/>
        </w:rPr>
      </w:pPr>
      <w:r w:rsidRPr="00056CE8">
        <w:rPr>
          <w:rFonts w:ascii="Segoe UI" w:eastAsia="Segoe UI" w:hAnsi="Segoe UI" w:cs="Segoe UI"/>
        </w:rPr>
        <w:t>For 27 of the SIs contact was made with the patients/families.</w:t>
      </w:r>
    </w:p>
    <w:p w:rsidR="00837044" w:rsidRPr="00056CE8" w:rsidRDefault="00837044" w:rsidP="00454528">
      <w:pPr>
        <w:pStyle w:val="ListParagraph"/>
        <w:widowControl w:val="0"/>
        <w:numPr>
          <w:ilvl w:val="0"/>
          <w:numId w:val="11"/>
        </w:numPr>
        <w:ind w:right="147"/>
        <w:jc w:val="both"/>
        <w:rPr>
          <w:rFonts w:ascii="Segoe UI" w:eastAsia="Segoe UI" w:hAnsi="Segoe UI" w:cs="Segoe UI"/>
        </w:rPr>
      </w:pPr>
      <w:r w:rsidRPr="00056CE8">
        <w:rPr>
          <w:rFonts w:ascii="Segoe UI" w:eastAsia="Segoe UI" w:hAnsi="Segoe UI" w:cs="Segoe UI"/>
        </w:rPr>
        <w:t>In 20 cases the patient and/or family contributed to the investigation.</w:t>
      </w:r>
    </w:p>
    <w:p w:rsidR="00837044" w:rsidRPr="00056CE8" w:rsidRDefault="00837044" w:rsidP="00454528">
      <w:pPr>
        <w:pStyle w:val="ListParagraph"/>
        <w:widowControl w:val="0"/>
        <w:numPr>
          <w:ilvl w:val="0"/>
          <w:numId w:val="11"/>
        </w:numPr>
        <w:ind w:right="147"/>
        <w:jc w:val="both"/>
        <w:rPr>
          <w:rFonts w:ascii="Segoe UI" w:eastAsia="Segoe UI" w:hAnsi="Segoe UI" w:cs="Segoe UI"/>
        </w:rPr>
      </w:pPr>
      <w:r w:rsidRPr="00056CE8">
        <w:rPr>
          <w:rFonts w:ascii="Segoe UI" w:eastAsia="Segoe UI" w:hAnsi="Segoe UI" w:cs="Segoe UI"/>
        </w:rPr>
        <w:t xml:space="preserve">In 14 cases the patient and/or family did want feedback after the investigation.  In the remaining cases there were a number who did not want feedback as they had no concerns about the care and a number who had been contacted but not responded  so it was unknown whether they wanted feedback or not. It is our routine practice to write again at the end of the investigation to </w:t>
      </w:r>
      <w:r w:rsidR="000743E7" w:rsidRPr="00056CE8">
        <w:rPr>
          <w:rFonts w:ascii="Segoe UI" w:eastAsia="Segoe UI" w:hAnsi="Segoe UI" w:cs="Segoe UI"/>
        </w:rPr>
        <w:t>advice</w:t>
      </w:r>
      <w:r w:rsidRPr="00056CE8">
        <w:rPr>
          <w:rFonts w:ascii="Segoe UI" w:eastAsia="Segoe UI" w:hAnsi="Segoe UI" w:cs="Segoe UI"/>
        </w:rPr>
        <w:t xml:space="preserve"> that the investigation is complete.</w:t>
      </w:r>
    </w:p>
    <w:p w:rsidR="00837044" w:rsidRPr="00056CE8" w:rsidRDefault="00837044" w:rsidP="00454528">
      <w:pPr>
        <w:pStyle w:val="ListParagraph"/>
        <w:widowControl w:val="0"/>
        <w:numPr>
          <w:ilvl w:val="0"/>
          <w:numId w:val="11"/>
        </w:numPr>
        <w:ind w:right="147"/>
        <w:jc w:val="both"/>
        <w:rPr>
          <w:rFonts w:ascii="Segoe UI" w:eastAsia="Segoe UI" w:hAnsi="Segoe UI" w:cs="Segoe UI"/>
        </w:rPr>
      </w:pPr>
      <w:r w:rsidRPr="00056CE8">
        <w:rPr>
          <w:rFonts w:ascii="Segoe UI" w:eastAsia="Segoe UI" w:hAnsi="Segoe UI" w:cs="Segoe UI"/>
        </w:rPr>
        <w:t>In three cases no contact was made, either because the incident did not directly and significantly harm a patient or the incident was found not to meet the criteria for an SI and no harm was sustained.</w:t>
      </w:r>
      <w:r w:rsidR="005D6416" w:rsidRPr="00056CE8">
        <w:rPr>
          <w:rFonts w:ascii="Segoe UI" w:eastAsia="Segoe UI" w:hAnsi="Segoe UI" w:cs="Segoe UI"/>
        </w:rPr>
        <w:t xml:space="preserve"> These decisions are made by Directors at the panel and the rationale recorded.</w:t>
      </w:r>
    </w:p>
    <w:p w:rsidR="00837044" w:rsidRPr="00056CE8" w:rsidRDefault="00837044" w:rsidP="00454528">
      <w:pPr>
        <w:widowControl w:val="0"/>
        <w:ind w:right="145"/>
        <w:jc w:val="both"/>
        <w:rPr>
          <w:rFonts w:ascii="Segoe UI" w:eastAsia="Segoe UI" w:hAnsi="Segoe UI" w:cs="Segoe UI"/>
        </w:rPr>
      </w:pPr>
    </w:p>
    <w:p w:rsidR="003D6B49" w:rsidRPr="00056CE8" w:rsidRDefault="00747A06" w:rsidP="00454528">
      <w:pPr>
        <w:jc w:val="both"/>
        <w:rPr>
          <w:rFonts w:ascii="Segoe UI" w:eastAsia="Calibri" w:hAnsi="Segoe UI" w:cs="Segoe UI"/>
          <w:b/>
          <w:lang w:val="en-GB"/>
        </w:rPr>
      </w:pPr>
      <w:r w:rsidRPr="00056CE8">
        <w:rPr>
          <w:rFonts w:ascii="Segoe UI" w:eastAsia="Calibri" w:hAnsi="Segoe UI" w:cs="Segoe UI"/>
          <w:b/>
          <w:lang w:val="en-GB"/>
        </w:rPr>
        <w:t>1</w:t>
      </w:r>
      <w:r w:rsidR="00ED7A9A" w:rsidRPr="00056CE8">
        <w:rPr>
          <w:rFonts w:ascii="Segoe UI" w:eastAsia="Calibri" w:hAnsi="Segoe UI" w:cs="Segoe UI"/>
          <w:b/>
          <w:lang w:val="en-GB"/>
        </w:rPr>
        <w:t>5</w:t>
      </w:r>
      <w:r w:rsidR="000B5FB3" w:rsidRPr="00056CE8">
        <w:rPr>
          <w:rFonts w:ascii="Segoe UI" w:eastAsia="Calibri" w:hAnsi="Segoe UI" w:cs="Segoe UI"/>
          <w:b/>
          <w:lang w:val="en-GB"/>
        </w:rPr>
        <w:t xml:space="preserve">. </w:t>
      </w:r>
      <w:r w:rsidR="00837044" w:rsidRPr="00056CE8">
        <w:rPr>
          <w:rFonts w:ascii="Segoe UI" w:eastAsia="Calibri" w:hAnsi="Segoe UI" w:cs="Segoe UI"/>
          <w:b/>
          <w:lang w:val="en-GB"/>
        </w:rPr>
        <w:t>Themes from serious incident investigations and panel activity</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lang w:val="en-GB"/>
        </w:rPr>
        <w:t xml:space="preserve">Of the 36 SI investigated the themes by directorate are shown below. Of the 36 SI reports reviewed in Q3, 4 have been downgraded by CCG’s and a further review is being considered for downgrade by NHS England (relating to </w:t>
      </w:r>
      <w:r w:rsidR="005D6416" w:rsidRPr="00056CE8">
        <w:rPr>
          <w:rFonts w:ascii="Segoe UI" w:eastAsia="Calibri" w:hAnsi="Segoe UI" w:cs="Segoe UI"/>
          <w:lang w:val="en-GB"/>
        </w:rPr>
        <w:t xml:space="preserve">and SI of </w:t>
      </w:r>
      <w:r w:rsidRPr="00056CE8">
        <w:rPr>
          <w:rFonts w:ascii="Segoe UI" w:eastAsia="Calibri" w:hAnsi="Segoe UI" w:cs="Segoe UI"/>
          <w:lang w:val="en-GB"/>
        </w:rPr>
        <w:t>serious self-harm in HMP Huntercombe). This accounts for 14% o</w:t>
      </w:r>
      <w:r w:rsidR="00747A06" w:rsidRPr="00056CE8">
        <w:rPr>
          <w:rFonts w:ascii="Segoe UI" w:eastAsia="Calibri" w:hAnsi="Segoe UI" w:cs="Segoe UI"/>
          <w:lang w:val="en-GB"/>
        </w:rPr>
        <w:t>f all of the reviewed reports, which has been a consequent of the introduction of the new national SI framework introduced in April 2015.</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b/>
          <w:lang w:val="en-GB"/>
        </w:rPr>
        <w:t xml:space="preserve">   </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lang w:val="en-GB"/>
        </w:rPr>
        <w:t>The themes from the SI investigation reports are detailed below</w:t>
      </w:r>
      <w:r w:rsidR="003D4998" w:rsidRPr="00056CE8">
        <w:rPr>
          <w:rFonts w:ascii="Segoe UI" w:eastAsia="Calibri" w:hAnsi="Segoe UI" w:cs="Segoe UI"/>
          <w:lang w:val="en-GB"/>
        </w:rPr>
        <w:t>.</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Communication and handover</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Risk assessment at the point of a change in patient condition and care planning</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Management of diabetes</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 xml:space="preserve">Management of the deteriorating patient </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Clinical leadership and oversight of caseload</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Training attendance and competence assessments</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Lack of a holistic approach to care</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Documentation e.g. incomplete care plans, missing assessments, not copying letters to GPs</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Effect of the migration of electronic patient records to Care notes</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Patients leaving the Emergency Department</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Referral for specialist advice e.g. tissue viability service</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Care coordination</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Gap in provision for people with a hearing deficit or who are deaf</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lastRenderedPageBreak/>
        <w:t>Staff work pressure, fatigue and capacity</w:t>
      </w:r>
    </w:p>
    <w:p w:rsidR="00837044"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Fire system design and wider fire management concerns</w:t>
      </w:r>
      <w:r w:rsidR="005D2927" w:rsidRPr="00056CE8">
        <w:rPr>
          <w:rFonts w:ascii="Segoe UI" w:eastAsia="Calibri" w:hAnsi="Segoe UI" w:cs="Segoe UI"/>
        </w:rPr>
        <w:t xml:space="preserve"> (see 4. Fire safety)</w:t>
      </w:r>
    </w:p>
    <w:p w:rsidR="000743E7" w:rsidRPr="00056CE8" w:rsidRDefault="00837044" w:rsidP="00454528">
      <w:pPr>
        <w:pStyle w:val="ListParagraph"/>
        <w:numPr>
          <w:ilvl w:val="0"/>
          <w:numId w:val="9"/>
        </w:numPr>
        <w:jc w:val="both"/>
        <w:rPr>
          <w:rFonts w:ascii="Segoe UI" w:eastAsia="Calibri" w:hAnsi="Segoe UI" w:cs="Segoe UI"/>
        </w:rPr>
      </w:pPr>
      <w:r w:rsidRPr="00056CE8">
        <w:rPr>
          <w:rFonts w:ascii="Segoe UI" w:eastAsia="Calibri" w:hAnsi="Segoe UI" w:cs="Segoe UI"/>
        </w:rPr>
        <w:t>PMVA and staff security</w:t>
      </w:r>
    </w:p>
    <w:p w:rsidR="000743E7" w:rsidRPr="00056CE8" w:rsidRDefault="000743E7" w:rsidP="00454528">
      <w:pPr>
        <w:jc w:val="both"/>
        <w:rPr>
          <w:rFonts w:ascii="Segoe UI" w:eastAsia="Calibri" w:hAnsi="Segoe UI" w:cs="Segoe UI"/>
        </w:rPr>
      </w:pPr>
    </w:p>
    <w:p w:rsidR="000458DB" w:rsidRPr="00056CE8" w:rsidRDefault="00747A06" w:rsidP="00454528">
      <w:pPr>
        <w:jc w:val="both"/>
        <w:rPr>
          <w:rFonts w:ascii="Segoe UI" w:eastAsia="Calibri" w:hAnsi="Segoe UI" w:cs="Segoe UI"/>
          <w:b/>
          <w:lang w:val="en-GB"/>
        </w:rPr>
      </w:pPr>
      <w:r w:rsidRPr="00056CE8">
        <w:rPr>
          <w:rFonts w:ascii="Segoe UI" w:eastAsia="Calibri" w:hAnsi="Segoe UI" w:cs="Segoe UI"/>
          <w:b/>
          <w:lang w:val="en-GB"/>
        </w:rPr>
        <w:t>1</w:t>
      </w:r>
      <w:r w:rsidR="00ED7A9A" w:rsidRPr="00056CE8">
        <w:rPr>
          <w:rFonts w:ascii="Segoe UI" w:eastAsia="Calibri" w:hAnsi="Segoe UI" w:cs="Segoe UI"/>
          <w:b/>
          <w:lang w:val="en-GB"/>
        </w:rPr>
        <w:t>6</w:t>
      </w:r>
      <w:r w:rsidR="000458DB" w:rsidRPr="00056CE8">
        <w:rPr>
          <w:rFonts w:ascii="Segoe UI" w:eastAsia="Calibri" w:hAnsi="Segoe UI" w:cs="Segoe UI"/>
          <w:b/>
          <w:lang w:val="en-GB"/>
        </w:rPr>
        <w:t xml:space="preserve">. </w:t>
      </w:r>
      <w:r w:rsidR="00837044" w:rsidRPr="00056CE8">
        <w:rPr>
          <w:rFonts w:ascii="Segoe UI" w:eastAsia="Calibri" w:hAnsi="Segoe UI" w:cs="Segoe UI"/>
          <w:b/>
          <w:lang w:val="en-GB"/>
        </w:rPr>
        <w:t xml:space="preserve">Engagement with </w:t>
      </w:r>
      <w:r w:rsidR="00454528" w:rsidRPr="00056CE8">
        <w:rPr>
          <w:rFonts w:ascii="Segoe UI" w:eastAsia="Calibri" w:hAnsi="Segoe UI" w:cs="Segoe UI"/>
          <w:b/>
          <w:lang w:val="en-GB"/>
        </w:rPr>
        <w:t xml:space="preserve">the </w:t>
      </w:r>
      <w:r w:rsidR="00837044" w:rsidRPr="00056CE8">
        <w:rPr>
          <w:rFonts w:ascii="Segoe UI" w:eastAsia="Calibri" w:hAnsi="Segoe UI" w:cs="Segoe UI"/>
          <w:b/>
          <w:lang w:val="en-GB"/>
        </w:rPr>
        <w:t>SI process</w:t>
      </w:r>
      <w:r w:rsidR="005D6416" w:rsidRPr="00056CE8">
        <w:rPr>
          <w:rFonts w:ascii="Segoe UI" w:eastAsia="Calibri" w:hAnsi="Segoe UI" w:cs="Segoe UI"/>
          <w:b/>
          <w:lang w:val="en-GB"/>
        </w:rPr>
        <w:t xml:space="preserve"> </w:t>
      </w:r>
    </w:p>
    <w:p w:rsidR="00837044" w:rsidRPr="00056CE8" w:rsidRDefault="00837044" w:rsidP="00454528">
      <w:pPr>
        <w:jc w:val="both"/>
        <w:rPr>
          <w:rFonts w:ascii="Segoe UI" w:eastAsia="Calibri" w:hAnsi="Segoe UI" w:cs="Segoe UI"/>
          <w:lang w:val="en-GB"/>
        </w:rPr>
      </w:pPr>
      <w:r w:rsidRPr="00056CE8">
        <w:rPr>
          <w:rFonts w:ascii="Segoe UI" w:eastAsia="Calibri" w:hAnsi="Segoe UI" w:cs="Segoe UI"/>
          <w:lang w:val="en-GB"/>
        </w:rPr>
        <w:t xml:space="preserve">Of note is the continued good level of engagement that SI reviewers report from clinical teams across all specialities.  Additionally, the engagement of subject experts across the Trust has supplemented the quality of reports and the emerging learning.  Developing the skills of reviewers in utilising internal and external experts will continue through 2016 alongside enhanced and consistent contact with families during and after the RCA process which will be monitored through a quality audit applied to all RCA investigations. </w:t>
      </w:r>
    </w:p>
    <w:p w:rsidR="00454528" w:rsidRPr="00056CE8" w:rsidRDefault="00454528" w:rsidP="00454528">
      <w:pPr>
        <w:jc w:val="both"/>
        <w:rPr>
          <w:rFonts w:ascii="Segoe UI" w:eastAsia="Calibri" w:hAnsi="Segoe UI" w:cs="Segoe UI"/>
          <w:lang w:val="en-GB"/>
        </w:rPr>
      </w:pPr>
    </w:p>
    <w:p w:rsidR="00454528" w:rsidRPr="00056CE8" w:rsidRDefault="00454528" w:rsidP="00454528">
      <w:pPr>
        <w:jc w:val="both"/>
        <w:rPr>
          <w:rFonts w:ascii="Segoe UI" w:eastAsia="Calibri" w:hAnsi="Segoe UI" w:cs="Segoe UI"/>
          <w:lang w:val="en-GB"/>
        </w:rPr>
      </w:pPr>
      <w:r w:rsidRPr="00056CE8">
        <w:rPr>
          <w:rFonts w:ascii="Segoe UI" w:eastAsia="Calibri" w:hAnsi="Segoe UI" w:cs="Segoe UI"/>
          <w:lang w:val="en-GB"/>
        </w:rPr>
        <w:t>Over the next few months actions are being taken to improve the timeliness and quality of investigation reports and to review the effectiveness of SI panels.</w:t>
      </w:r>
    </w:p>
    <w:p w:rsidR="00CB4CA6" w:rsidRPr="00056CE8" w:rsidRDefault="00CB4CA6" w:rsidP="00454528">
      <w:pPr>
        <w:jc w:val="both"/>
        <w:rPr>
          <w:rFonts w:ascii="Segoe UI" w:hAnsi="Segoe UI" w:cs="Segoe UI"/>
          <w:b/>
          <w:lang w:eastAsia="en-GB"/>
        </w:rPr>
      </w:pPr>
    </w:p>
    <w:p w:rsidR="00C9694A" w:rsidRPr="00056CE8" w:rsidRDefault="00C9694A" w:rsidP="00454528">
      <w:pPr>
        <w:jc w:val="both"/>
        <w:rPr>
          <w:rFonts w:ascii="Segoe UI" w:hAnsi="Segoe UI" w:cs="Segoe UI"/>
          <w:b/>
          <w:lang w:eastAsia="en-GB"/>
        </w:rPr>
      </w:pPr>
    </w:p>
    <w:p w:rsidR="00343F8E" w:rsidRPr="00056CE8" w:rsidRDefault="00343F8E" w:rsidP="00ED7A9A">
      <w:pPr>
        <w:jc w:val="both"/>
        <w:rPr>
          <w:rFonts w:ascii="Segoe UI" w:hAnsi="Segoe UI" w:cs="Segoe UI"/>
          <w:b/>
        </w:rPr>
      </w:pPr>
      <w:r w:rsidRPr="00056CE8">
        <w:rPr>
          <w:rFonts w:ascii="Segoe UI" w:hAnsi="Segoe UI" w:cs="Segoe UI"/>
          <w:b/>
        </w:rPr>
        <w:t>1</w:t>
      </w:r>
      <w:r w:rsidR="00ED7A9A" w:rsidRPr="00056CE8">
        <w:rPr>
          <w:rFonts w:ascii="Segoe UI" w:hAnsi="Segoe UI" w:cs="Segoe UI"/>
          <w:b/>
        </w:rPr>
        <w:t>7</w:t>
      </w:r>
      <w:r w:rsidRPr="00056CE8">
        <w:rPr>
          <w:rFonts w:ascii="Segoe UI" w:hAnsi="Segoe UI" w:cs="Segoe UI"/>
          <w:b/>
        </w:rPr>
        <w:t>.</w:t>
      </w:r>
      <w:r w:rsidR="00ED7A9A" w:rsidRPr="00056CE8">
        <w:rPr>
          <w:rFonts w:ascii="Segoe UI" w:hAnsi="Segoe UI" w:cs="Segoe UI"/>
          <w:b/>
        </w:rPr>
        <w:t xml:space="preserve"> </w:t>
      </w:r>
      <w:r w:rsidRPr="00056CE8">
        <w:rPr>
          <w:rFonts w:ascii="Segoe UI" w:hAnsi="Segoe UI" w:cs="Segoe UI"/>
          <w:b/>
        </w:rPr>
        <w:t>Infection Prevention and Control</w:t>
      </w:r>
      <w:r w:rsidR="00056CE8" w:rsidRPr="00056CE8">
        <w:rPr>
          <w:rFonts w:ascii="Segoe UI" w:hAnsi="Segoe UI" w:cs="Segoe UI"/>
          <w:b/>
        </w:rPr>
        <w:t xml:space="preserve"> February 2016</w:t>
      </w:r>
    </w:p>
    <w:p w:rsidR="00056CE8" w:rsidRPr="00056CE8" w:rsidRDefault="00056CE8" w:rsidP="00056CE8">
      <w:pPr>
        <w:jc w:val="both"/>
        <w:rPr>
          <w:rFonts w:ascii="Segoe UI" w:hAnsi="Segoe UI" w:cs="Segoe UI"/>
          <w:b/>
          <w:bCs/>
        </w:rPr>
      </w:pPr>
      <w:r w:rsidRPr="00056CE8">
        <w:rPr>
          <w:rFonts w:ascii="Segoe UI" w:hAnsi="Segoe UI" w:cs="Segoe UI"/>
          <w:b/>
          <w:bCs/>
        </w:rPr>
        <w:t>Community health services</w:t>
      </w:r>
    </w:p>
    <w:p w:rsidR="00056CE8" w:rsidRPr="00056CE8" w:rsidRDefault="00056CE8" w:rsidP="00056CE8">
      <w:pPr>
        <w:jc w:val="both"/>
        <w:rPr>
          <w:rFonts w:ascii="Segoe UI" w:hAnsi="Segoe UI" w:cs="Segoe UI"/>
          <w:bCs/>
        </w:rPr>
      </w:pPr>
      <w:r w:rsidRPr="00056CE8">
        <w:rPr>
          <w:rFonts w:ascii="Segoe UI" w:hAnsi="Segoe UI" w:cs="Segoe UI"/>
          <w:bCs/>
        </w:rPr>
        <w:t xml:space="preserve">There have been no cases of </w:t>
      </w:r>
      <w:r w:rsidRPr="00056CE8">
        <w:rPr>
          <w:rFonts w:ascii="Segoe UI" w:hAnsi="Segoe UI" w:cs="Segoe UI"/>
          <w:bCs/>
          <w:i/>
        </w:rPr>
        <w:t>Clostridium difficile</w:t>
      </w:r>
      <w:r w:rsidRPr="00056CE8">
        <w:rPr>
          <w:rFonts w:ascii="Segoe UI" w:hAnsi="Segoe UI" w:cs="Segoe UI"/>
          <w:bCs/>
        </w:rPr>
        <w:t xml:space="preserve"> infection (CDI) in February. </w:t>
      </w:r>
    </w:p>
    <w:p w:rsidR="00056CE8" w:rsidRPr="00056CE8" w:rsidRDefault="00056CE8" w:rsidP="00056CE8">
      <w:pPr>
        <w:shd w:val="clear" w:color="auto" w:fill="FFFFFF"/>
        <w:jc w:val="both"/>
        <w:rPr>
          <w:rFonts w:ascii="Segoe UI" w:hAnsi="Segoe UI" w:cs="Segoe UI"/>
          <w:bCs/>
        </w:rPr>
      </w:pPr>
      <w:r w:rsidRPr="00056CE8">
        <w:rPr>
          <w:rFonts w:ascii="Segoe UI" w:hAnsi="Segoe UI" w:cs="Segoe UI"/>
          <w:bCs/>
        </w:rPr>
        <w:t xml:space="preserve">The health economy review meetings are held on the 2nd Monday of every month and will continue to review all cases for avoidablitity. </w:t>
      </w:r>
    </w:p>
    <w:p w:rsidR="00056CE8" w:rsidRPr="00056CE8" w:rsidRDefault="00056CE8" w:rsidP="00056CE8">
      <w:pPr>
        <w:shd w:val="clear" w:color="auto" w:fill="FFFFFF"/>
        <w:jc w:val="both"/>
        <w:rPr>
          <w:rFonts w:ascii="Segoe UI" w:hAnsi="Segoe UI" w:cs="Segoe UI"/>
          <w:bCs/>
        </w:rPr>
      </w:pPr>
      <w:r w:rsidRPr="00056CE8">
        <w:rPr>
          <w:rFonts w:ascii="Segoe UI" w:hAnsi="Segoe UI" w:cs="Segoe UI"/>
          <w:bCs/>
        </w:rPr>
        <w:t>Below is a summary of the review meetings for the cases.</w:t>
      </w:r>
    </w:p>
    <w:p w:rsidR="00056CE8" w:rsidRPr="00056CE8" w:rsidRDefault="00056CE8" w:rsidP="00056CE8">
      <w:pPr>
        <w:shd w:val="clear" w:color="auto" w:fill="FFFFFF"/>
        <w:jc w:val="both"/>
        <w:rPr>
          <w:rFonts w:ascii="Segoe UI" w:hAnsi="Segoe UI" w:cs="Segoe UI"/>
          <w:bC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559"/>
        <w:gridCol w:w="2410"/>
        <w:gridCol w:w="1418"/>
      </w:tblGrid>
      <w:tr w:rsidR="00056CE8" w:rsidRPr="00056CE8" w:rsidTr="00255BC6">
        <w:trPr>
          <w:trHeight w:val="844"/>
        </w:trPr>
        <w:tc>
          <w:tcPr>
            <w:tcW w:w="1276" w:type="dxa"/>
            <w:shd w:val="clear" w:color="auto" w:fill="FABF8F"/>
          </w:tcPr>
          <w:p w:rsidR="00056CE8" w:rsidRPr="00056CE8" w:rsidRDefault="00056CE8" w:rsidP="00255BC6">
            <w:pPr>
              <w:jc w:val="both"/>
              <w:rPr>
                <w:rFonts w:ascii="Segoe UI" w:hAnsi="Segoe UI" w:cs="Segoe UI"/>
                <w:bCs/>
              </w:rPr>
            </w:pPr>
            <w:r w:rsidRPr="00056CE8">
              <w:rPr>
                <w:rFonts w:ascii="Segoe UI" w:hAnsi="Segoe UI" w:cs="Segoe UI"/>
                <w:bCs/>
              </w:rPr>
              <w:t>Month</w:t>
            </w:r>
          </w:p>
        </w:tc>
        <w:tc>
          <w:tcPr>
            <w:tcW w:w="1701" w:type="dxa"/>
            <w:shd w:val="clear" w:color="auto" w:fill="FABF8F"/>
          </w:tcPr>
          <w:p w:rsidR="00056CE8" w:rsidRPr="00056CE8" w:rsidRDefault="00056CE8" w:rsidP="00255BC6">
            <w:pPr>
              <w:jc w:val="both"/>
              <w:rPr>
                <w:rFonts w:ascii="Segoe UI" w:hAnsi="Segoe UI" w:cs="Segoe UI"/>
                <w:bCs/>
              </w:rPr>
            </w:pPr>
            <w:r w:rsidRPr="00056CE8">
              <w:rPr>
                <w:rFonts w:ascii="Segoe UI" w:hAnsi="Segoe UI" w:cs="Segoe UI"/>
                <w:bCs/>
              </w:rPr>
              <w:t xml:space="preserve">Location </w:t>
            </w:r>
          </w:p>
        </w:tc>
        <w:tc>
          <w:tcPr>
            <w:tcW w:w="1559" w:type="dxa"/>
            <w:shd w:val="clear" w:color="auto" w:fill="FABF8F"/>
          </w:tcPr>
          <w:p w:rsidR="00056CE8" w:rsidRPr="00056CE8" w:rsidRDefault="00056CE8" w:rsidP="00255BC6">
            <w:pPr>
              <w:rPr>
                <w:rFonts w:ascii="Segoe UI" w:hAnsi="Segoe UI" w:cs="Segoe UI"/>
                <w:bCs/>
              </w:rPr>
            </w:pPr>
            <w:r w:rsidRPr="00056CE8">
              <w:rPr>
                <w:rFonts w:ascii="Segoe UI" w:hAnsi="Segoe UI" w:cs="Segoe UI"/>
                <w:bCs/>
              </w:rPr>
              <w:t>Running total of cases</w:t>
            </w:r>
          </w:p>
        </w:tc>
        <w:tc>
          <w:tcPr>
            <w:tcW w:w="2410" w:type="dxa"/>
            <w:shd w:val="clear" w:color="auto" w:fill="FABF8F"/>
          </w:tcPr>
          <w:p w:rsidR="00056CE8" w:rsidRPr="00056CE8" w:rsidRDefault="00056CE8" w:rsidP="00255BC6">
            <w:pPr>
              <w:jc w:val="both"/>
              <w:rPr>
                <w:rFonts w:ascii="Segoe UI" w:hAnsi="Segoe UI" w:cs="Segoe UI"/>
                <w:bCs/>
              </w:rPr>
            </w:pPr>
            <w:r w:rsidRPr="00056CE8">
              <w:rPr>
                <w:rFonts w:ascii="Segoe UI" w:hAnsi="Segoe UI" w:cs="Segoe UI"/>
                <w:bCs/>
              </w:rPr>
              <w:t>Avoidable/Unavoidable</w:t>
            </w:r>
          </w:p>
        </w:tc>
        <w:tc>
          <w:tcPr>
            <w:tcW w:w="1418" w:type="dxa"/>
            <w:shd w:val="clear" w:color="auto" w:fill="FABF8F"/>
          </w:tcPr>
          <w:p w:rsidR="00056CE8" w:rsidRPr="00056CE8" w:rsidRDefault="00056CE8" w:rsidP="00255BC6">
            <w:pPr>
              <w:rPr>
                <w:rFonts w:ascii="Segoe UI" w:hAnsi="Segoe UI" w:cs="Segoe UI"/>
                <w:bCs/>
              </w:rPr>
            </w:pPr>
            <w:r w:rsidRPr="00056CE8">
              <w:rPr>
                <w:rFonts w:ascii="Segoe UI" w:hAnsi="Segoe UI" w:cs="Segoe UI"/>
                <w:bCs/>
              </w:rPr>
              <w:t>Running total of avoidable</w:t>
            </w:r>
          </w:p>
        </w:tc>
      </w:tr>
      <w:tr w:rsidR="00056CE8" w:rsidRPr="00056CE8" w:rsidTr="00255BC6">
        <w:trPr>
          <w:trHeight w:val="229"/>
        </w:trPr>
        <w:tc>
          <w:tcPr>
            <w:tcW w:w="1276"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November 2015</w:t>
            </w:r>
          </w:p>
        </w:tc>
        <w:tc>
          <w:tcPr>
            <w:tcW w:w="1701" w:type="dxa"/>
            <w:shd w:val="clear" w:color="auto" w:fill="auto"/>
          </w:tcPr>
          <w:p w:rsidR="00056CE8" w:rsidRPr="00056CE8" w:rsidRDefault="00056CE8" w:rsidP="00255BC6">
            <w:pPr>
              <w:rPr>
                <w:rFonts w:ascii="Segoe UI" w:hAnsi="Segoe UI" w:cs="Segoe UI"/>
                <w:bCs/>
              </w:rPr>
            </w:pPr>
            <w:r w:rsidRPr="00056CE8">
              <w:rPr>
                <w:rFonts w:ascii="Segoe UI" w:hAnsi="Segoe UI" w:cs="Segoe UI"/>
                <w:bCs/>
              </w:rPr>
              <w:t>City</w:t>
            </w:r>
          </w:p>
        </w:tc>
        <w:tc>
          <w:tcPr>
            <w:tcW w:w="1559"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6</w:t>
            </w:r>
          </w:p>
        </w:tc>
        <w:tc>
          <w:tcPr>
            <w:tcW w:w="2410" w:type="dxa"/>
            <w:shd w:val="clear" w:color="auto" w:fill="FF0000"/>
          </w:tcPr>
          <w:p w:rsidR="00056CE8" w:rsidRPr="00056CE8" w:rsidRDefault="00056CE8" w:rsidP="00255BC6">
            <w:pPr>
              <w:jc w:val="both"/>
              <w:rPr>
                <w:rFonts w:ascii="Segoe UI" w:hAnsi="Segoe UI" w:cs="Segoe UI"/>
                <w:bCs/>
              </w:rPr>
            </w:pPr>
            <w:r w:rsidRPr="00056CE8">
              <w:rPr>
                <w:rFonts w:ascii="Segoe UI" w:hAnsi="Segoe UI" w:cs="Segoe UI"/>
                <w:bCs/>
              </w:rPr>
              <w:t>Avoidable-restested known positive</w:t>
            </w:r>
          </w:p>
        </w:tc>
        <w:tc>
          <w:tcPr>
            <w:tcW w:w="1418"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1</w:t>
            </w:r>
          </w:p>
        </w:tc>
      </w:tr>
      <w:tr w:rsidR="00056CE8" w:rsidRPr="00056CE8" w:rsidTr="00255BC6">
        <w:trPr>
          <w:trHeight w:val="229"/>
        </w:trPr>
        <w:tc>
          <w:tcPr>
            <w:tcW w:w="1276"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December 2015</w:t>
            </w:r>
          </w:p>
        </w:tc>
        <w:tc>
          <w:tcPr>
            <w:tcW w:w="1701" w:type="dxa"/>
            <w:shd w:val="clear" w:color="auto" w:fill="auto"/>
          </w:tcPr>
          <w:p w:rsidR="00056CE8" w:rsidRPr="00056CE8" w:rsidRDefault="00056CE8" w:rsidP="00255BC6">
            <w:pPr>
              <w:rPr>
                <w:rFonts w:ascii="Segoe UI" w:hAnsi="Segoe UI" w:cs="Segoe UI"/>
                <w:bCs/>
              </w:rPr>
            </w:pPr>
            <w:r w:rsidRPr="00056CE8">
              <w:rPr>
                <w:rFonts w:ascii="Segoe UI" w:hAnsi="Segoe UI" w:cs="Segoe UI"/>
                <w:bCs/>
              </w:rPr>
              <w:t>Linfoot ward, Witney</w:t>
            </w:r>
          </w:p>
          <w:p w:rsidR="00056CE8" w:rsidRPr="00056CE8" w:rsidRDefault="00056CE8" w:rsidP="00255BC6">
            <w:pPr>
              <w:rPr>
                <w:rFonts w:ascii="Segoe UI" w:hAnsi="Segoe UI" w:cs="Segoe UI"/>
                <w:bCs/>
              </w:rPr>
            </w:pPr>
          </w:p>
        </w:tc>
        <w:tc>
          <w:tcPr>
            <w:tcW w:w="1559"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7</w:t>
            </w:r>
          </w:p>
        </w:tc>
        <w:tc>
          <w:tcPr>
            <w:tcW w:w="2410" w:type="dxa"/>
            <w:shd w:val="clear" w:color="auto" w:fill="9BBB59"/>
          </w:tcPr>
          <w:p w:rsidR="00056CE8" w:rsidRPr="00056CE8" w:rsidRDefault="00056CE8" w:rsidP="00255BC6">
            <w:pPr>
              <w:jc w:val="both"/>
              <w:rPr>
                <w:rFonts w:ascii="Segoe UI" w:hAnsi="Segoe UI" w:cs="Segoe UI"/>
                <w:bCs/>
              </w:rPr>
            </w:pPr>
            <w:r w:rsidRPr="00056CE8">
              <w:rPr>
                <w:rFonts w:ascii="Segoe UI" w:hAnsi="Segoe UI" w:cs="Segoe UI"/>
                <w:bCs/>
              </w:rPr>
              <w:t>Unavoidable</w:t>
            </w:r>
          </w:p>
        </w:tc>
        <w:tc>
          <w:tcPr>
            <w:tcW w:w="1418"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1</w:t>
            </w:r>
          </w:p>
        </w:tc>
      </w:tr>
      <w:tr w:rsidR="00056CE8" w:rsidRPr="00056CE8" w:rsidTr="00255BC6">
        <w:trPr>
          <w:trHeight w:val="229"/>
        </w:trPr>
        <w:tc>
          <w:tcPr>
            <w:tcW w:w="1276"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January 2016</w:t>
            </w:r>
          </w:p>
        </w:tc>
        <w:tc>
          <w:tcPr>
            <w:tcW w:w="1701" w:type="dxa"/>
            <w:shd w:val="clear" w:color="auto" w:fill="auto"/>
          </w:tcPr>
          <w:p w:rsidR="00056CE8" w:rsidRPr="00056CE8" w:rsidRDefault="00056CE8" w:rsidP="00255BC6">
            <w:pPr>
              <w:rPr>
                <w:rFonts w:ascii="Segoe UI" w:hAnsi="Segoe UI" w:cs="Segoe UI"/>
                <w:bCs/>
              </w:rPr>
            </w:pPr>
            <w:r w:rsidRPr="00056CE8">
              <w:rPr>
                <w:rFonts w:ascii="Segoe UI" w:hAnsi="Segoe UI" w:cs="Segoe UI"/>
                <w:bCs/>
              </w:rPr>
              <w:t>No cases</w:t>
            </w:r>
          </w:p>
        </w:tc>
        <w:tc>
          <w:tcPr>
            <w:tcW w:w="1559"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7</w:t>
            </w:r>
          </w:p>
        </w:tc>
        <w:tc>
          <w:tcPr>
            <w:tcW w:w="2410" w:type="dxa"/>
            <w:shd w:val="clear" w:color="auto" w:fill="9BBB59"/>
          </w:tcPr>
          <w:p w:rsidR="00056CE8" w:rsidRPr="00056CE8" w:rsidRDefault="00056CE8" w:rsidP="00255BC6">
            <w:pPr>
              <w:jc w:val="both"/>
              <w:rPr>
                <w:rFonts w:ascii="Segoe UI" w:hAnsi="Segoe UI" w:cs="Segoe UI"/>
                <w:bCs/>
              </w:rPr>
            </w:pPr>
            <w:r w:rsidRPr="00056CE8">
              <w:rPr>
                <w:rFonts w:ascii="Segoe UI" w:hAnsi="Segoe UI" w:cs="Segoe UI"/>
                <w:bCs/>
              </w:rPr>
              <w:t>N/A</w:t>
            </w:r>
          </w:p>
        </w:tc>
        <w:tc>
          <w:tcPr>
            <w:tcW w:w="1418"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1</w:t>
            </w:r>
          </w:p>
        </w:tc>
      </w:tr>
      <w:tr w:rsidR="00056CE8" w:rsidRPr="00056CE8" w:rsidTr="00255BC6">
        <w:trPr>
          <w:trHeight w:val="229"/>
        </w:trPr>
        <w:tc>
          <w:tcPr>
            <w:tcW w:w="1276"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February 2016</w:t>
            </w:r>
          </w:p>
        </w:tc>
        <w:tc>
          <w:tcPr>
            <w:tcW w:w="1701" w:type="dxa"/>
            <w:shd w:val="clear" w:color="auto" w:fill="auto"/>
          </w:tcPr>
          <w:p w:rsidR="00056CE8" w:rsidRPr="00056CE8" w:rsidRDefault="00056CE8" w:rsidP="00255BC6">
            <w:pPr>
              <w:rPr>
                <w:rFonts w:ascii="Segoe UI" w:hAnsi="Segoe UI" w:cs="Segoe UI"/>
                <w:bCs/>
              </w:rPr>
            </w:pPr>
            <w:r w:rsidRPr="00056CE8">
              <w:rPr>
                <w:rFonts w:ascii="Segoe UI" w:hAnsi="Segoe UI" w:cs="Segoe UI"/>
                <w:bCs/>
              </w:rPr>
              <w:t>No cases</w:t>
            </w:r>
          </w:p>
        </w:tc>
        <w:tc>
          <w:tcPr>
            <w:tcW w:w="1559"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7</w:t>
            </w:r>
          </w:p>
        </w:tc>
        <w:tc>
          <w:tcPr>
            <w:tcW w:w="2410" w:type="dxa"/>
            <w:shd w:val="clear" w:color="auto" w:fill="9BBB59"/>
          </w:tcPr>
          <w:p w:rsidR="00056CE8" w:rsidRPr="00056CE8" w:rsidRDefault="00056CE8" w:rsidP="00255BC6">
            <w:pPr>
              <w:jc w:val="both"/>
              <w:rPr>
                <w:rFonts w:ascii="Segoe UI" w:hAnsi="Segoe UI" w:cs="Segoe UI"/>
                <w:bCs/>
              </w:rPr>
            </w:pPr>
            <w:r w:rsidRPr="00056CE8">
              <w:rPr>
                <w:rFonts w:ascii="Segoe UI" w:hAnsi="Segoe UI" w:cs="Segoe UI"/>
                <w:bCs/>
              </w:rPr>
              <w:t>N/A</w:t>
            </w:r>
          </w:p>
        </w:tc>
        <w:tc>
          <w:tcPr>
            <w:tcW w:w="1418" w:type="dxa"/>
            <w:shd w:val="clear" w:color="auto" w:fill="auto"/>
          </w:tcPr>
          <w:p w:rsidR="00056CE8" w:rsidRPr="00056CE8" w:rsidRDefault="00056CE8" w:rsidP="00255BC6">
            <w:pPr>
              <w:jc w:val="both"/>
              <w:rPr>
                <w:rFonts w:ascii="Segoe UI" w:hAnsi="Segoe UI" w:cs="Segoe UI"/>
                <w:bCs/>
              </w:rPr>
            </w:pPr>
            <w:r w:rsidRPr="00056CE8">
              <w:rPr>
                <w:rFonts w:ascii="Segoe UI" w:hAnsi="Segoe UI" w:cs="Segoe UI"/>
                <w:bCs/>
              </w:rPr>
              <w:t>1</w:t>
            </w:r>
          </w:p>
        </w:tc>
      </w:tr>
    </w:tbl>
    <w:p w:rsidR="00056CE8" w:rsidRPr="00056CE8" w:rsidRDefault="00056CE8" w:rsidP="00056CE8">
      <w:pPr>
        <w:shd w:val="clear" w:color="auto" w:fill="FFFFFF"/>
        <w:jc w:val="both"/>
        <w:rPr>
          <w:rFonts w:ascii="Segoe UI" w:hAnsi="Segoe UI" w:cs="Segoe UI"/>
          <w:b/>
          <w:bCs/>
        </w:rPr>
      </w:pPr>
    </w:p>
    <w:p w:rsidR="00056CE8" w:rsidRPr="00056CE8" w:rsidRDefault="00056CE8" w:rsidP="00056CE8">
      <w:pPr>
        <w:shd w:val="clear" w:color="auto" w:fill="FFFFFF"/>
        <w:jc w:val="both"/>
        <w:rPr>
          <w:rFonts w:ascii="Segoe UI" w:hAnsi="Segoe UI" w:cs="Segoe UI"/>
          <w:b/>
          <w:bCs/>
        </w:rPr>
      </w:pPr>
      <w:r w:rsidRPr="00056CE8">
        <w:rPr>
          <w:rFonts w:ascii="Segoe UI" w:hAnsi="Segoe UI" w:cs="Segoe UI"/>
          <w:b/>
          <w:bCs/>
        </w:rPr>
        <w:t>MRSA bacteraemia/MSSA bacteraemia</w:t>
      </w:r>
    </w:p>
    <w:p w:rsidR="00056CE8" w:rsidRPr="00056CE8" w:rsidRDefault="00056CE8" w:rsidP="00056CE8">
      <w:pPr>
        <w:shd w:val="clear" w:color="auto" w:fill="FFFFFF"/>
        <w:jc w:val="both"/>
        <w:rPr>
          <w:rFonts w:ascii="Segoe UI" w:hAnsi="Segoe UI" w:cs="Segoe UI"/>
          <w:b/>
          <w:bCs/>
        </w:rPr>
      </w:pPr>
      <w:r w:rsidRPr="00056CE8">
        <w:rPr>
          <w:rFonts w:ascii="Segoe UI" w:hAnsi="Segoe UI" w:cs="Segoe UI"/>
          <w:bCs/>
        </w:rPr>
        <w:t>There have been no Trust attributable MRSA or MSSA bacteraemia cases in February.</w:t>
      </w:r>
    </w:p>
    <w:p w:rsidR="00056CE8" w:rsidRPr="00056CE8" w:rsidRDefault="00056CE8" w:rsidP="00056CE8">
      <w:pPr>
        <w:jc w:val="both"/>
        <w:rPr>
          <w:rFonts w:ascii="Segoe UI" w:hAnsi="Segoe UI" w:cs="Segoe UI"/>
          <w:b/>
          <w:bCs/>
        </w:rPr>
      </w:pPr>
    </w:p>
    <w:p w:rsidR="00056CE8" w:rsidRPr="00056CE8" w:rsidRDefault="00056CE8" w:rsidP="00056CE8">
      <w:pPr>
        <w:jc w:val="both"/>
        <w:rPr>
          <w:rFonts w:ascii="Segoe UI" w:hAnsi="Segoe UI" w:cs="Segoe UI"/>
          <w:b/>
          <w:bCs/>
        </w:rPr>
      </w:pPr>
      <w:r w:rsidRPr="00056CE8">
        <w:rPr>
          <w:rFonts w:ascii="Segoe UI" w:hAnsi="Segoe UI" w:cs="Segoe UI"/>
          <w:b/>
          <w:bCs/>
        </w:rPr>
        <w:t>E.Coli bacteremia</w:t>
      </w:r>
    </w:p>
    <w:p w:rsidR="00056CE8" w:rsidRPr="00056CE8" w:rsidRDefault="00056CE8" w:rsidP="00056CE8">
      <w:pPr>
        <w:jc w:val="both"/>
        <w:rPr>
          <w:rFonts w:ascii="Segoe UI" w:hAnsi="Segoe UI" w:cs="Segoe UI"/>
          <w:bCs/>
        </w:rPr>
      </w:pPr>
      <w:r w:rsidRPr="00056CE8">
        <w:rPr>
          <w:rFonts w:ascii="Segoe UI" w:hAnsi="Segoe UI" w:cs="Segoe UI"/>
          <w:bCs/>
        </w:rPr>
        <w:t>There have been no E.Coli bacteremia’s identified.</w:t>
      </w:r>
    </w:p>
    <w:p w:rsidR="00056CE8" w:rsidRPr="00056CE8" w:rsidRDefault="00056CE8" w:rsidP="00056CE8">
      <w:pPr>
        <w:shd w:val="clear" w:color="auto" w:fill="FFFFFF"/>
        <w:jc w:val="both"/>
        <w:rPr>
          <w:rFonts w:ascii="Segoe UI" w:hAnsi="Segoe UI" w:cs="Segoe UI"/>
          <w:b/>
        </w:rPr>
      </w:pPr>
    </w:p>
    <w:p w:rsidR="00056CE8" w:rsidRPr="00056CE8" w:rsidRDefault="00056CE8" w:rsidP="00056CE8">
      <w:pPr>
        <w:shd w:val="clear" w:color="auto" w:fill="FFFFFF"/>
        <w:jc w:val="both"/>
        <w:rPr>
          <w:rFonts w:ascii="Segoe UI" w:hAnsi="Segoe UI" w:cs="Segoe UI"/>
          <w:bCs/>
        </w:rPr>
      </w:pPr>
      <w:r w:rsidRPr="00056CE8">
        <w:rPr>
          <w:rFonts w:ascii="Segoe UI" w:hAnsi="Segoe UI" w:cs="Segoe UI"/>
          <w:b/>
        </w:rPr>
        <w:t xml:space="preserve">Outbreaks </w:t>
      </w:r>
    </w:p>
    <w:p w:rsidR="00056CE8" w:rsidRPr="00056CE8" w:rsidRDefault="00056CE8" w:rsidP="00056CE8">
      <w:pPr>
        <w:jc w:val="both"/>
        <w:rPr>
          <w:rFonts w:ascii="Segoe UI" w:hAnsi="Segoe UI" w:cs="Segoe UI"/>
        </w:rPr>
      </w:pPr>
      <w:r w:rsidRPr="00056CE8">
        <w:rPr>
          <w:rFonts w:ascii="Segoe UI" w:hAnsi="Segoe UI" w:cs="Segoe UI"/>
        </w:rPr>
        <w:t>There has been confirmed norovirus outbreak on Ward 1, Abingdon hospital affecting 14 patients and 4 staff. The whole ward was closed from 20</w:t>
      </w:r>
      <w:r w:rsidRPr="00056CE8">
        <w:rPr>
          <w:rFonts w:ascii="Segoe UI" w:hAnsi="Segoe UI" w:cs="Segoe UI"/>
          <w:vertAlign w:val="superscript"/>
        </w:rPr>
        <w:t>th</w:t>
      </w:r>
      <w:r w:rsidRPr="00056CE8">
        <w:rPr>
          <w:rFonts w:ascii="Segoe UI" w:hAnsi="Segoe UI" w:cs="Segoe UI"/>
        </w:rPr>
        <w:t>-25</w:t>
      </w:r>
      <w:r w:rsidRPr="00056CE8">
        <w:rPr>
          <w:rFonts w:ascii="Segoe UI" w:hAnsi="Segoe UI" w:cs="Segoe UI"/>
          <w:vertAlign w:val="superscript"/>
        </w:rPr>
        <w:t>th</w:t>
      </w:r>
      <w:r w:rsidRPr="00056CE8">
        <w:rPr>
          <w:rFonts w:ascii="Segoe UI" w:hAnsi="Segoe UI" w:cs="Segoe UI"/>
        </w:rPr>
        <w:t xml:space="preserve"> February and then began a phased reopening following a full terminal cleans of affected bays. The entire ward was open and operating normally on 7</w:t>
      </w:r>
      <w:r w:rsidRPr="00056CE8">
        <w:rPr>
          <w:rFonts w:ascii="Segoe UI" w:hAnsi="Segoe UI" w:cs="Segoe UI"/>
          <w:vertAlign w:val="superscript"/>
        </w:rPr>
        <w:t>th</w:t>
      </w:r>
      <w:r w:rsidRPr="00056CE8">
        <w:rPr>
          <w:rFonts w:ascii="Segoe UI" w:hAnsi="Segoe UI" w:cs="Segoe UI"/>
        </w:rPr>
        <w:t xml:space="preserve"> March. </w:t>
      </w:r>
    </w:p>
    <w:p w:rsidR="00343F8E" w:rsidRPr="00056CE8" w:rsidRDefault="00343F8E" w:rsidP="00343F8E">
      <w:pPr>
        <w:ind w:left="360"/>
        <w:jc w:val="both"/>
        <w:rPr>
          <w:rFonts w:ascii="Segoe UI" w:hAnsi="Segoe UI" w:cs="Segoe UI"/>
        </w:rPr>
      </w:pPr>
    </w:p>
    <w:p w:rsidR="00343F8E" w:rsidRPr="00056CE8" w:rsidRDefault="00343F8E" w:rsidP="00343F8E">
      <w:pPr>
        <w:ind w:left="360"/>
        <w:jc w:val="both"/>
        <w:rPr>
          <w:rFonts w:ascii="Segoe UI" w:hAnsi="Segoe UI" w:cs="Segoe UI"/>
          <w:b/>
        </w:rPr>
      </w:pPr>
    </w:p>
    <w:p w:rsidR="005270EB" w:rsidRPr="00056CE8" w:rsidRDefault="005270EB" w:rsidP="00454528">
      <w:pPr>
        <w:jc w:val="both"/>
        <w:rPr>
          <w:rFonts w:ascii="Segoe UI" w:hAnsi="Segoe UI" w:cs="Segoe UI"/>
          <w:lang w:eastAsia="en-GB"/>
        </w:rPr>
      </w:pPr>
    </w:p>
    <w:sectPr w:rsidR="005270EB" w:rsidRPr="00056CE8" w:rsidSect="000743E7">
      <w:headerReference w:type="default" r:id="rId12"/>
      <w:footerReference w:type="default" r:id="rId13"/>
      <w:pgSz w:w="12240" w:h="15840"/>
      <w:pgMar w:top="1440" w:right="1467" w:bottom="709" w:left="1418"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2A" w:rsidRDefault="006B702A" w:rsidP="00837044">
      <w:r>
        <w:separator/>
      </w:r>
    </w:p>
  </w:endnote>
  <w:endnote w:type="continuationSeparator" w:id="0">
    <w:p w:rsidR="006B702A" w:rsidRDefault="006B702A" w:rsidP="0083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64885"/>
      <w:docPartObj>
        <w:docPartGallery w:val="Page Numbers (Bottom of Page)"/>
        <w:docPartUnique/>
      </w:docPartObj>
    </w:sdtPr>
    <w:sdtEndPr>
      <w:rPr>
        <w:noProof/>
      </w:rPr>
    </w:sdtEndPr>
    <w:sdtContent>
      <w:p w:rsidR="003D6B49" w:rsidRDefault="003D6B49">
        <w:pPr>
          <w:pStyle w:val="Footer"/>
          <w:jc w:val="right"/>
        </w:pPr>
        <w:r w:rsidRPr="003D6B49">
          <w:rPr>
            <w:rFonts w:ascii="Segoe UI" w:hAnsi="Segoe UI" w:cs="Segoe UI"/>
          </w:rPr>
          <w:fldChar w:fldCharType="begin"/>
        </w:r>
        <w:r w:rsidRPr="003D6B49">
          <w:rPr>
            <w:rFonts w:ascii="Segoe UI" w:hAnsi="Segoe UI" w:cs="Segoe UI"/>
          </w:rPr>
          <w:instrText xml:space="preserve"> PAGE   \* MERGEFORMAT </w:instrText>
        </w:r>
        <w:r w:rsidRPr="003D6B49">
          <w:rPr>
            <w:rFonts w:ascii="Segoe UI" w:hAnsi="Segoe UI" w:cs="Segoe UI"/>
          </w:rPr>
          <w:fldChar w:fldCharType="separate"/>
        </w:r>
        <w:r w:rsidR="00310BA8">
          <w:rPr>
            <w:rFonts w:ascii="Segoe UI" w:hAnsi="Segoe UI" w:cs="Segoe UI"/>
            <w:noProof/>
          </w:rPr>
          <w:t>1</w:t>
        </w:r>
        <w:r w:rsidRPr="003D6B49">
          <w:rPr>
            <w:rFonts w:ascii="Segoe UI" w:hAnsi="Segoe UI" w:cs="Segoe UI"/>
            <w:noProof/>
          </w:rPr>
          <w:fldChar w:fldCharType="end"/>
        </w:r>
      </w:p>
    </w:sdtContent>
  </w:sdt>
  <w:p w:rsidR="003D6B49" w:rsidRPr="003D6B49" w:rsidRDefault="003D6B49">
    <w:pPr>
      <w:pStyle w:val="Footer"/>
      <w:rPr>
        <w:rFonts w:ascii="Segoe UI" w:hAnsi="Segoe UI" w:cs="Segoe U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2A" w:rsidRDefault="006B702A" w:rsidP="00837044">
      <w:r>
        <w:separator/>
      </w:r>
    </w:p>
  </w:footnote>
  <w:footnote w:type="continuationSeparator" w:id="0">
    <w:p w:rsidR="006B702A" w:rsidRDefault="006B702A" w:rsidP="0083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6" w:rsidRPr="005B3E3C" w:rsidRDefault="00CB1A36" w:rsidP="00837044">
    <w:pPr>
      <w:pStyle w:val="Header"/>
      <w:jc w:val="center"/>
      <w:rPr>
        <w:rFonts w:ascii="Arial" w:hAnsi="Arial" w:cs="Arial"/>
      </w:rPr>
    </w:pPr>
    <w:r w:rsidRPr="006E3C3E">
      <w:rPr>
        <w:rFonts w:ascii="Arial" w:hAnsi="Arial" w:cs="Arial"/>
        <w:b/>
        <w:i/>
      </w:rPr>
      <w:t>PUBLIC</w:t>
    </w:r>
  </w:p>
  <w:p w:rsidR="00CB1A36" w:rsidRDefault="00CB1A36">
    <w:pPr>
      <w:pStyle w:val="Header"/>
    </w:pPr>
  </w:p>
  <w:p w:rsidR="00CB1A36" w:rsidRPr="005B3E3C" w:rsidRDefault="00CB1A36" w:rsidP="00CB1A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A8"/>
    <w:multiLevelType w:val="hybridMultilevel"/>
    <w:tmpl w:val="761C6BE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nsid w:val="01217DFF"/>
    <w:multiLevelType w:val="multilevel"/>
    <w:tmpl w:val="075A6B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007AB7"/>
    <w:multiLevelType w:val="multilevel"/>
    <w:tmpl w:val="280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F72FD6"/>
    <w:multiLevelType w:val="multilevel"/>
    <w:tmpl w:val="A68AAA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C50D3F"/>
    <w:multiLevelType w:val="hybridMultilevel"/>
    <w:tmpl w:val="A190BE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35665697"/>
    <w:multiLevelType w:val="hybridMultilevel"/>
    <w:tmpl w:val="4B88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AE0A28"/>
    <w:multiLevelType w:val="hybridMultilevel"/>
    <w:tmpl w:val="482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52951"/>
    <w:multiLevelType w:val="hybridMultilevel"/>
    <w:tmpl w:val="877E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BF3192"/>
    <w:multiLevelType w:val="multilevel"/>
    <w:tmpl w:val="C7767C3C"/>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4B617AB1"/>
    <w:multiLevelType w:val="multilevel"/>
    <w:tmpl w:val="A8067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AA6539"/>
    <w:multiLevelType w:val="hybridMultilevel"/>
    <w:tmpl w:val="11CE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63F43"/>
    <w:multiLevelType w:val="hybridMultilevel"/>
    <w:tmpl w:val="69E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A2DC6"/>
    <w:multiLevelType w:val="hybridMultilevel"/>
    <w:tmpl w:val="5F162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028F3"/>
    <w:multiLevelType w:val="hybridMultilevel"/>
    <w:tmpl w:val="6400D6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C239F4"/>
    <w:multiLevelType w:val="multilevel"/>
    <w:tmpl w:val="18E20616"/>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61845AED"/>
    <w:multiLevelType w:val="hybridMultilevel"/>
    <w:tmpl w:val="1454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27BCB"/>
    <w:multiLevelType w:val="multilevel"/>
    <w:tmpl w:val="839C94E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1E2354A"/>
    <w:multiLevelType w:val="hybridMultilevel"/>
    <w:tmpl w:val="8BC47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D26156"/>
    <w:multiLevelType w:val="hybridMultilevel"/>
    <w:tmpl w:val="0284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6B16A7"/>
    <w:multiLevelType w:val="hybridMultilevel"/>
    <w:tmpl w:val="8BA01A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E3916"/>
    <w:multiLevelType w:val="multilevel"/>
    <w:tmpl w:val="8D100DE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6"/>
  </w:num>
  <w:num w:numId="2">
    <w:abstractNumId w:val="8"/>
  </w:num>
  <w:num w:numId="3">
    <w:abstractNumId w:val="20"/>
  </w:num>
  <w:num w:numId="4">
    <w:abstractNumId w:val="14"/>
  </w:num>
  <w:num w:numId="5">
    <w:abstractNumId w:val="12"/>
  </w:num>
  <w:num w:numId="6">
    <w:abstractNumId w:val="13"/>
  </w:num>
  <w:num w:numId="7">
    <w:abstractNumId w:val="10"/>
  </w:num>
  <w:num w:numId="8">
    <w:abstractNumId w:val="6"/>
  </w:num>
  <w:num w:numId="9">
    <w:abstractNumId w:val="4"/>
  </w:num>
  <w:num w:numId="10">
    <w:abstractNumId w:val="15"/>
  </w:num>
  <w:num w:numId="11">
    <w:abstractNumId w:val="0"/>
  </w:num>
  <w:num w:numId="12">
    <w:abstractNumId w:val="18"/>
  </w:num>
  <w:num w:numId="13">
    <w:abstractNumId w:val="7"/>
  </w:num>
  <w:num w:numId="14">
    <w:abstractNumId w:val="11"/>
  </w:num>
  <w:num w:numId="15">
    <w:abstractNumId w:val="2"/>
  </w:num>
  <w:num w:numId="16">
    <w:abstractNumId w:val="3"/>
  </w:num>
  <w:num w:numId="17">
    <w:abstractNumId w:val="1"/>
  </w:num>
  <w:num w:numId="18">
    <w:abstractNumId w:val="5"/>
  </w:num>
  <w:num w:numId="19">
    <w:abstractNumId w:val="17"/>
  </w:num>
  <w:num w:numId="20">
    <w:abstractNumId w:val="19"/>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44"/>
    <w:rsid w:val="00011139"/>
    <w:rsid w:val="000458DB"/>
    <w:rsid w:val="00056CE8"/>
    <w:rsid w:val="000743E7"/>
    <w:rsid w:val="000B5FB3"/>
    <w:rsid w:val="000C72D8"/>
    <w:rsid w:val="00127CB1"/>
    <w:rsid w:val="001438A2"/>
    <w:rsid w:val="0018239F"/>
    <w:rsid w:val="002D5018"/>
    <w:rsid w:val="00310BA8"/>
    <w:rsid w:val="00341D03"/>
    <w:rsid w:val="00343F8E"/>
    <w:rsid w:val="00351CA2"/>
    <w:rsid w:val="003B628C"/>
    <w:rsid w:val="003D4998"/>
    <w:rsid w:val="003D6B49"/>
    <w:rsid w:val="00454528"/>
    <w:rsid w:val="004B0D02"/>
    <w:rsid w:val="005234DF"/>
    <w:rsid w:val="005270EB"/>
    <w:rsid w:val="00544E85"/>
    <w:rsid w:val="00550558"/>
    <w:rsid w:val="005D2927"/>
    <w:rsid w:val="005D6416"/>
    <w:rsid w:val="00601D5F"/>
    <w:rsid w:val="0065316E"/>
    <w:rsid w:val="00670315"/>
    <w:rsid w:val="006B702A"/>
    <w:rsid w:val="007476EC"/>
    <w:rsid w:val="00747A06"/>
    <w:rsid w:val="00837044"/>
    <w:rsid w:val="00876038"/>
    <w:rsid w:val="00982D39"/>
    <w:rsid w:val="00983928"/>
    <w:rsid w:val="009869D4"/>
    <w:rsid w:val="009D2254"/>
    <w:rsid w:val="009D63FA"/>
    <w:rsid w:val="00A46021"/>
    <w:rsid w:val="00A52BA8"/>
    <w:rsid w:val="00B431F6"/>
    <w:rsid w:val="00B75ADB"/>
    <w:rsid w:val="00C14C96"/>
    <w:rsid w:val="00C556E6"/>
    <w:rsid w:val="00C9694A"/>
    <w:rsid w:val="00CB1A36"/>
    <w:rsid w:val="00CB4CA6"/>
    <w:rsid w:val="00CD4279"/>
    <w:rsid w:val="00D204C2"/>
    <w:rsid w:val="00E04F47"/>
    <w:rsid w:val="00E7419A"/>
    <w:rsid w:val="00E77E26"/>
    <w:rsid w:val="00E8101E"/>
    <w:rsid w:val="00E873D3"/>
    <w:rsid w:val="00EC4324"/>
    <w:rsid w:val="00ED7A9A"/>
    <w:rsid w:val="00EE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7044"/>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837044"/>
    <w:pPr>
      <w:keepNext/>
      <w:tabs>
        <w:tab w:val="num" w:pos="576"/>
      </w:tabs>
      <w:spacing w:before="240" w:after="60"/>
      <w:ind w:left="576" w:hanging="576"/>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837044"/>
    <w:pPr>
      <w:keepNext/>
      <w:tabs>
        <w:tab w:val="num" w:pos="720"/>
      </w:tabs>
      <w:spacing w:before="240" w:after="60"/>
      <w:ind w:left="720" w:hanging="72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837044"/>
    <w:pPr>
      <w:keepNext/>
      <w:tabs>
        <w:tab w:val="num" w:pos="864"/>
      </w:tabs>
      <w:spacing w:before="240" w:after="60"/>
      <w:ind w:left="864" w:hanging="864"/>
      <w:outlineLvl w:val="3"/>
    </w:pPr>
    <w:rPr>
      <w:b/>
      <w:bCs/>
      <w:sz w:val="28"/>
      <w:szCs w:val="28"/>
      <w:lang w:val="en-GB" w:eastAsia="en-GB"/>
    </w:rPr>
  </w:style>
  <w:style w:type="paragraph" w:styleId="Heading5">
    <w:name w:val="heading 5"/>
    <w:basedOn w:val="Normal"/>
    <w:next w:val="Normal"/>
    <w:link w:val="Heading5Char"/>
    <w:qFormat/>
    <w:rsid w:val="00837044"/>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qFormat/>
    <w:rsid w:val="00837044"/>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qFormat/>
    <w:rsid w:val="00837044"/>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qFormat/>
    <w:rsid w:val="00837044"/>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qFormat/>
    <w:rsid w:val="00837044"/>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7044"/>
    <w:rPr>
      <w:rFonts w:ascii="Arial" w:eastAsia="Times New Roman" w:hAnsi="Arial" w:cs="Times New Roman"/>
      <w:b/>
      <w:sz w:val="20"/>
      <w:szCs w:val="20"/>
      <w:u w:val="single"/>
    </w:rPr>
  </w:style>
  <w:style w:type="paragraph" w:styleId="Header">
    <w:name w:val="header"/>
    <w:basedOn w:val="Normal"/>
    <w:link w:val="HeaderChar"/>
    <w:uiPriority w:val="99"/>
    <w:rsid w:val="00837044"/>
    <w:pPr>
      <w:tabs>
        <w:tab w:val="center" w:pos="4513"/>
        <w:tab w:val="right" w:pos="9026"/>
      </w:tabs>
    </w:pPr>
  </w:style>
  <w:style w:type="character" w:customStyle="1" w:styleId="HeaderChar">
    <w:name w:val="Header Char"/>
    <w:basedOn w:val="DefaultParagraphFont"/>
    <w:link w:val="Header"/>
    <w:uiPriority w:val="99"/>
    <w:rsid w:val="0083704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837044"/>
    <w:rPr>
      <w:rFonts w:ascii="Tahoma" w:hAnsi="Tahoma" w:cs="Tahoma"/>
      <w:sz w:val="16"/>
      <w:szCs w:val="16"/>
    </w:rPr>
  </w:style>
  <w:style w:type="character" w:customStyle="1" w:styleId="BalloonTextChar">
    <w:name w:val="Balloon Text Char"/>
    <w:basedOn w:val="DefaultParagraphFont"/>
    <w:link w:val="BalloonText"/>
    <w:uiPriority w:val="99"/>
    <w:rsid w:val="00837044"/>
    <w:rPr>
      <w:rFonts w:ascii="Tahoma" w:eastAsia="Times New Roman" w:hAnsi="Tahoma" w:cs="Tahoma"/>
      <w:sz w:val="16"/>
      <w:szCs w:val="16"/>
      <w:lang w:val="en-US"/>
    </w:rPr>
  </w:style>
  <w:style w:type="paragraph" w:styleId="Footer">
    <w:name w:val="footer"/>
    <w:basedOn w:val="Normal"/>
    <w:link w:val="FooterChar"/>
    <w:uiPriority w:val="99"/>
    <w:unhideWhenUsed/>
    <w:rsid w:val="00837044"/>
    <w:pPr>
      <w:tabs>
        <w:tab w:val="center" w:pos="4513"/>
        <w:tab w:val="right" w:pos="9026"/>
      </w:tabs>
    </w:pPr>
  </w:style>
  <w:style w:type="character" w:customStyle="1" w:styleId="FooterChar">
    <w:name w:val="Footer Char"/>
    <w:basedOn w:val="DefaultParagraphFont"/>
    <w:link w:val="Footer"/>
    <w:uiPriority w:val="99"/>
    <w:rsid w:val="0083704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83704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83704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3704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3704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83704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3704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3704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37044"/>
    <w:rPr>
      <w:rFonts w:ascii="Arial" w:eastAsia="Times New Roman" w:hAnsi="Arial" w:cs="Arial"/>
      <w:lang w:eastAsia="en-GB"/>
    </w:rPr>
  </w:style>
  <w:style w:type="numbering" w:customStyle="1" w:styleId="NoList1">
    <w:name w:val="No List1"/>
    <w:next w:val="NoList"/>
    <w:semiHidden/>
    <w:rsid w:val="00837044"/>
  </w:style>
  <w:style w:type="paragraph" w:styleId="BodyText">
    <w:name w:val="Body Text"/>
    <w:basedOn w:val="Normal"/>
    <w:link w:val="BodyTextChar"/>
    <w:uiPriority w:val="99"/>
    <w:rsid w:val="00837044"/>
    <w:pPr>
      <w:jc w:val="center"/>
    </w:pPr>
    <w:rPr>
      <w:rFonts w:ascii="Arial" w:hAnsi="Arial" w:cs="Arial"/>
      <w:b/>
    </w:rPr>
  </w:style>
  <w:style w:type="character" w:customStyle="1" w:styleId="BodyTextChar">
    <w:name w:val="Body Text Char"/>
    <w:basedOn w:val="DefaultParagraphFont"/>
    <w:link w:val="BodyText"/>
    <w:uiPriority w:val="99"/>
    <w:rsid w:val="00837044"/>
    <w:rPr>
      <w:rFonts w:ascii="Arial" w:eastAsia="Times New Roman" w:hAnsi="Arial" w:cs="Arial"/>
      <w:b/>
      <w:sz w:val="24"/>
      <w:szCs w:val="24"/>
      <w:lang w:val="en-US"/>
    </w:rPr>
  </w:style>
  <w:style w:type="character" w:styleId="CommentReference">
    <w:name w:val="annotation reference"/>
    <w:rsid w:val="00837044"/>
    <w:rPr>
      <w:sz w:val="16"/>
      <w:szCs w:val="16"/>
    </w:rPr>
  </w:style>
  <w:style w:type="paragraph" w:styleId="CommentText">
    <w:name w:val="annotation text"/>
    <w:basedOn w:val="Normal"/>
    <w:link w:val="CommentTextChar"/>
    <w:rsid w:val="00837044"/>
    <w:rPr>
      <w:sz w:val="20"/>
      <w:szCs w:val="20"/>
      <w:lang w:val="en-GB" w:eastAsia="en-GB"/>
    </w:rPr>
  </w:style>
  <w:style w:type="character" w:customStyle="1" w:styleId="CommentTextChar">
    <w:name w:val="Comment Text Char"/>
    <w:basedOn w:val="DefaultParagraphFont"/>
    <w:link w:val="CommentText"/>
    <w:rsid w:val="008370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37044"/>
    <w:rPr>
      <w:b/>
      <w:bCs/>
    </w:rPr>
  </w:style>
  <w:style w:type="character" w:customStyle="1" w:styleId="CommentSubjectChar">
    <w:name w:val="Comment Subject Char"/>
    <w:basedOn w:val="CommentTextChar"/>
    <w:link w:val="CommentSubject"/>
    <w:rsid w:val="00837044"/>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37044"/>
    <w:pPr>
      <w:ind w:left="720"/>
    </w:pPr>
    <w:rPr>
      <w:lang w:val="en-GB" w:eastAsia="en-GB"/>
    </w:rPr>
  </w:style>
  <w:style w:type="numbering" w:customStyle="1" w:styleId="NoList11">
    <w:name w:val="No List11"/>
    <w:next w:val="NoList"/>
    <w:uiPriority w:val="99"/>
    <w:semiHidden/>
    <w:unhideWhenUsed/>
    <w:rsid w:val="00837044"/>
  </w:style>
  <w:style w:type="paragraph" w:styleId="BlockText">
    <w:name w:val="Block Text"/>
    <w:basedOn w:val="Normal"/>
    <w:rsid w:val="00837044"/>
    <w:pPr>
      <w:ind w:left="-360" w:right="-154" w:firstLine="360"/>
    </w:pPr>
    <w:rPr>
      <w:rFonts w:ascii="Arial" w:hAnsi="Arial" w:cs="Arial"/>
      <w:lang w:val="en-GB"/>
    </w:rPr>
  </w:style>
  <w:style w:type="paragraph" w:styleId="NormalWeb">
    <w:name w:val="Normal (Web)"/>
    <w:basedOn w:val="Normal"/>
    <w:uiPriority w:val="99"/>
    <w:unhideWhenUsed/>
    <w:rsid w:val="00837044"/>
    <w:pPr>
      <w:spacing w:before="100" w:beforeAutospacing="1" w:after="375" w:line="360" w:lineRule="atLeast"/>
    </w:pPr>
    <w:rPr>
      <w:sz w:val="21"/>
      <w:szCs w:val="21"/>
      <w:lang w:val="en-GB" w:eastAsia="en-GB"/>
    </w:rPr>
  </w:style>
  <w:style w:type="character" w:styleId="PageNumber">
    <w:name w:val="page number"/>
    <w:uiPriority w:val="99"/>
    <w:rsid w:val="00837044"/>
    <w:rPr>
      <w:rFonts w:cs="Times New Roman"/>
    </w:rPr>
  </w:style>
  <w:style w:type="table" w:styleId="TableGrid">
    <w:name w:val="Table Grid"/>
    <w:basedOn w:val="TableNormal"/>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837044"/>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837044"/>
    <w:rPr>
      <w:rFonts w:ascii="Calibri" w:eastAsia="Calibri" w:hAnsi="Calibri" w:cs="Times New Roman"/>
      <w:sz w:val="20"/>
      <w:szCs w:val="20"/>
    </w:rPr>
  </w:style>
  <w:style w:type="character" w:styleId="FootnoteReference">
    <w:name w:val="footnote reference"/>
    <w:uiPriority w:val="99"/>
    <w:unhideWhenUsed/>
    <w:rsid w:val="00837044"/>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37044"/>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37044"/>
    <w:rPr>
      <w:rFonts w:ascii="Calibri" w:eastAsia="Calibri" w:hAnsi="Calibri"/>
      <w:sz w:val="22"/>
      <w:szCs w:val="22"/>
      <w:lang w:val="en-GB"/>
    </w:rPr>
  </w:style>
  <w:style w:type="table" w:customStyle="1" w:styleId="TableGrid2">
    <w:name w:val="Table Grid2"/>
    <w:basedOn w:val="TableNormal"/>
    <w:next w:val="TableGrid"/>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873D3"/>
  </w:style>
  <w:style w:type="table" w:customStyle="1" w:styleId="TableGrid3">
    <w:name w:val="Table Grid3"/>
    <w:basedOn w:val="TableNormal"/>
    <w:next w:val="TableGrid"/>
    <w:uiPriority w:val="59"/>
    <w:rsid w:val="00E873D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1">
    <w:name w:val="Header Char1"/>
    <w:basedOn w:val="DefaultParagraphFont"/>
    <w:uiPriority w:val="99"/>
    <w:locked/>
    <w:rsid w:val="00E873D3"/>
    <w:rPr>
      <w:rFonts w:ascii="Arial" w:hAnsi="Arial" w:cs="Times New Roman"/>
      <w:sz w:val="24"/>
      <w:szCs w:val="24"/>
      <w:lang w:val="en-GB" w:eastAsia="en-GB" w:bidi="ar-SA"/>
    </w:rPr>
  </w:style>
  <w:style w:type="table" w:customStyle="1" w:styleId="LightGrid1">
    <w:name w:val="Light Grid1"/>
    <w:basedOn w:val="TableNormal"/>
    <w:uiPriority w:val="62"/>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next w:val="LightShading"/>
    <w:uiPriority w:val="60"/>
    <w:rsid w:val="00E873D3"/>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E873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83928"/>
    <w:rPr>
      <w:color w:val="0000FF" w:themeColor="hyperlink"/>
      <w:u w:val="single"/>
    </w:rPr>
  </w:style>
  <w:style w:type="paragraph" w:styleId="PlainText">
    <w:name w:val="Plain Text"/>
    <w:basedOn w:val="Normal"/>
    <w:link w:val="PlainTextChar"/>
    <w:uiPriority w:val="99"/>
    <w:semiHidden/>
    <w:unhideWhenUsed/>
    <w:rsid w:val="00CD427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CD427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7044"/>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837044"/>
    <w:pPr>
      <w:keepNext/>
      <w:tabs>
        <w:tab w:val="num" w:pos="576"/>
      </w:tabs>
      <w:spacing w:before="240" w:after="60"/>
      <w:ind w:left="576" w:hanging="576"/>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837044"/>
    <w:pPr>
      <w:keepNext/>
      <w:tabs>
        <w:tab w:val="num" w:pos="720"/>
      </w:tabs>
      <w:spacing w:before="240" w:after="60"/>
      <w:ind w:left="720" w:hanging="72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837044"/>
    <w:pPr>
      <w:keepNext/>
      <w:tabs>
        <w:tab w:val="num" w:pos="864"/>
      </w:tabs>
      <w:spacing w:before="240" w:after="60"/>
      <w:ind w:left="864" w:hanging="864"/>
      <w:outlineLvl w:val="3"/>
    </w:pPr>
    <w:rPr>
      <w:b/>
      <w:bCs/>
      <w:sz w:val="28"/>
      <w:szCs w:val="28"/>
      <w:lang w:val="en-GB" w:eastAsia="en-GB"/>
    </w:rPr>
  </w:style>
  <w:style w:type="paragraph" w:styleId="Heading5">
    <w:name w:val="heading 5"/>
    <w:basedOn w:val="Normal"/>
    <w:next w:val="Normal"/>
    <w:link w:val="Heading5Char"/>
    <w:qFormat/>
    <w:rsid w:val="00837044"/>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qFormat/>
    <w:rsid w:val="00837044"/>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qFormat/>
    <w:rsid w:val="00837044"/>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qFormat/>
    <w:rsid w:val="00837044"/>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qFormat/>
    <w:rsid w:val="00837044"/>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7044"/>
    <w:rPr>
      <w:rFonts w:ascii="Arial" w:eastAsia="Times New Roman" w:hAnsi="Arial" w:cs="Times New Roman"/>
      <w:b/>
      <w:sz w:val="20"/>
      <w:szCs w:val="20"/>
      <w:u w:val="single"/>
    </w:rPr>
  </w:style>
  <w:style w:type="paragraph" w:styleId="Header">
    <w:name w:val="header"/>
    <w:basedOn w:val="Normal"/>
    <w:link w:val="HeaderChar"/>
    <w:uiPriority w:val="99"/>
    <w:rsid w:val="00837044"/>
    <w:pPr>
      <w:tabs>
        <w:tab w:val="center" w:pos="4513"/>
        <w:tab w:val="right" w:pos="9026"/>
      </w:tabs>
    </w:pPr>
  </w:style>
  <w:style w:type="character" w:customStyle="1" w:styleId="HeaderChar">
    <w:name w:val="Header Char"/>
    <w:basedOn w:val="DefaultParagraphFont"/>
    <w:link w:val="Header"/>
    <w:uiPriority w:val="99"/>
    <w:rsid w:val="0083704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837044"/>
    <w:rPr>
      <w:rFonts w:ascii="Tahoma" w:hAnsi="Tahoma" w:cs="Tahoma"/>
      <w:sz w:val="16"/>
      <w:szCs w:val="16"/>
    </w:rPr>
  </w:style>
  <w:style w:type="character" w:customStyle="1" w:styleId="BalloonTextChar">
    <w:name w:val="Balloon Text Char"/>
    <w:basedOn w:val="DefaultParagraphFont"/>
    <w:link w:val="BalloonText"/>
    <w:uiPriority w:val="99"/>
    <w:rsid w:val="00837044"/>
    <w:rPr>
      <w:rFonts w:ascii="Tahoma" w:eastAsia="Times New Roman" w:hAnsi="Tahoma" w:cs="Tahoma"/>
      <w:sz w:val="16"/>
      <w:szCs w:val="16"/>
      <w:lang w:val="en-US"/>
    </w:rPr>
  </w:style>
  <w:style w:type="paragraph" w:styleId="Footer">
    <w:name w:val="footer"/>
    <w:basedOn w:val="Normal"/>
    <w:link w:val="FooterChar"/>
    <w:uiPriority w:val="99"/>
    <w:unhideWhenUsed/>
    <w:rsid w:val="00837044"/>
    <w:pPr>
      <w:tabs>
        <w:tab w:val="center" w:pos="4513"/>
        <w:tab w:val="right" w:pos="9026"/>
      </w:tabs>
    </w:pPr>
  </w:style>
  <w:style w:type="character" w:customStyle="1" w:styleId="FooterChar">
    <w:name w:val="Footer Char"/>
    <w:basedOn w:val="DefaultParagraphFont"/>
    <w:link w:val="Footer"/>
    <w:uiPriority w:val="99"/>
    <w:rsid w:val="0083704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83704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83704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3704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3704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83704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3704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3704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37044"/>
    <w:rPr>
      <w:rFonts w:ascii="Arial" w:eastAsia="Times New Roman" w:hAnsi="Arial" w:cs="Arial"/>
      <w:lang w:eastAsia="en-GB"/>
    </w:rPr>
  </w:style>
  <w:style w:type="numbering" w:customStyle="1" w:styleId="NoList1">
    <w:name w:val="No List1"/>
    <w:next w:val="NoList"/>
    <w:semiHidden/>
    <w:rsid w:val="00837044"/>
  </w:style>
  <w:style w:type="paragraph" w:styleId="BodyText">
    <w:name w:val="Body Text"/>
    <w:basedOn w:val="Normal"/>
    <w:link w:val="BodyTextChar"/>
    <w:uiPriority w:val="99"/>
    <w:rsid w:val="00837044"/>
    <w:pPr>
      <w:jc w:val="center"/>
    </w:pPr>
    <w:rPr>
      <w:rFonts w:ascii="Arial" w:hAnsi="Arial" w:cs="Arial"/>
      <w:b/>
    </w:rPr>
  </w:style>
  <w:style w:type="character" w:customStyle="1" w:styleId="BodyTextChar">
    <w:name w:val="Body Text Char"/>
    <w:basedOn w:val="DefaultParagraphFont"/>
    <w:link w:val="BodyText"/>
    <w:uiPriority w:val="99"/>
    <w:rsid w:val="00837044"/>
    <w:rPr>
      <w:rFonts w:ascii="Arial" w:eastAsia="Times New Roman" w:hAnsi="Arial" w:cs="Arial"/>
      <w:b/>
      <w:sz w:val="24"/>
      <w:szCs w:val="24"/>
      <w:lang w:val="en-US"/>
    </w:rPr>
  </w:style>
  <w:style w:type="character" w:styleId="CommentReference">
    <w:name w:val="annotation reference"/>
    <w:rsid w:val="00837044"/>
    <w:rPr>
      <w:sz w:val="16"/>
      <w:szCs w:val="16"/>
    </w:rPr>
  </w:style>
  <w:style w:type="paragraph" w:styleId="CommentText">
    <w:name w:val="annotation text"/>
    <w:basedOn w:val="Normal"/>
    <w:link w:val="CommentTextChar"/>
    <w:rsid w:val="00837044"/>
    <w:rPr>
      <w:sz w:val="20"/>
      <w:szCs w:val="20"/>
      <w:lang w:val="en-GB" w:eastAsia="en-GB"/>
    </w:rPr>
  </w:style>
  <w:style w:type="character" w:customStyle="1" w:styleId="CommentTextChar">
    <w:name w:val="Comment Text Char"/>
    <w:basedOn w:val="DefaultParagraphFont"/>
    <w:link w:val="CommentText"/>
    <w:rsid w:val="008370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37044"/>
    <w:rPr>
      <w:b/>
      <w:bCs/>
    </w:rPr>
  </w:style>
  <w:style w:type="character" w:customStyle="1" w:styleId="CommentSubjectChar">
    <w:name w:val="Comment Subject Char"/>
    <w:basedOn w:val="CommentTextChar"/>
    <w:link w:val="CommentSubject"/>
    <w:rsid w:val="00837044"/>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37044"/>
    <w:pPr>
      <w:ind w:left="720"/>
    </w:pPr>
    <w:rPr>
      <w:lang w:val="en-GB" w:eastAsia="en-GB"/>
    </w:rPr>
  </w:style>
  <w:style w:type="numbering" w:customStyle="1" w:styleId="NoList11">
    <w:name w:val="No List11"/>
    <w:next w:val="NoList"/>
    <w:uiPriority w:val="99"/>
    <w:semiHidden/>
    <w:unhideWhenUsed/>
    <w:rsid w:val="00837044"/>
  </w:style>
  <w:style w:type="paragraph" w:styleId="BlockText">
    <w:name w:val="Block Text"/>
    <w:basedOn w:val="Normal"/>
    <w:rsid w:val="00837044"/>
    <w:pPr>
      <w:ind w:left="-360" w:right="-154" w:firstLine="360"/>
    </w:pPr>
    <w:rPr>
      <w:rFonts w:ascii="Arial" w:hAnsi="Arial" w:cs="Arial"/>
      <w:lang w:val="en-GB"/>
    </w:rPr>
  </w:style>
  <w:style w:type="paragraph" w:styleId="NormalWeb">
    <w:name w:val="Normal (Web)"/>
    <w:basedOn w:val="Normal"/>
    <w:uiPriority w:val="99"/>
    <w:unhideWhenUsed/>
    <w:rsid w:val="00837044"/>
    <w:pPr>
      <w:spacing w:before="100" w:beforeAutospacing="1" w:after="375" w:line="360" w:lineRule="atLeast"/>
    </w:pPr>
    <w:rPr>
      <w:sz w:val="21"/>
      <w:szCs w:val="21"/>
      <w:lang w:val="en-GB" w:eastAsia="en-GB"/>
    </w:rPr>
  </w:style>
  <w:style w:type="character" w:styleId="PageNumber">
    <w:name w:val="page number"/>
    <w:uiPriority w:val="99"/>
    <w:rsid w:val="00837044"/>
    <w:rPr>
      <w:rFonts w:cs="Times New Roman"/>
    </w:rPr>
  </w:style>
  <w:style w:type="table" w:styleId="TableGrid">
    <w:name w:val="Table Grid"/>
    <w:basedOn w:val="TableNormal"/>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837044"/>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837044"/>
    <w:rPr>
      <w:rFonts w:ascii="Calibri" w:eastAsia="Calibri" w:hAnsi="Calibri" w:cs="Times New Roman"/>
      <w:sz w:val="20"/>
      <w:szCs w:val="20"/>
    </w:rPr>
  </w:style>
  <w:style w:type="character" w:styleId="FootnoteReference">
    <w:name w:val="footnote reference"/>
    <w:uiPriority w:val="99"/>
    <w:unhideWhenUsed/>
    <w:rsid w:val="00837044"/>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37044"/>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37044"/>
    <w:rPr>
      <w:rFonts w:ascii="Calibri" w:eastAsia="Calibri" w:hAnsi="Calibri"/>
      <w:sz w:val="22"/>
      <w:szCs w:val="22"/>
      <w:lang w:val="en-GB"/>
    </w:rPr>
  </w:style>
  <w:style w:type="table" w:customStyle="1" w:styleId="TableGrid2">
    <w:name w:val="Table Grid2"/>
    <w:basedOn w:val="TableNormal"/>
    <w:next w:val="TableGrid"/>
    <w:uiPriority w:val="59"/>
    <w:rsid w:val="0083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873D3"/>
  </w:style>
  <w:style w:type="table" w:customStyle="1" w:styleId="TableGrid3">
    <w:name w:val="Table Grid3"/>
    <w:basedOn w:val="TableNormal"/>
    <w:next w:val="TableGrid"/>
    <w:uiPriority w:val="59"/>
    <w:rsid w:val="00E873D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1">
    <w:name w:val="Header Char1"/>
    <w:basedOn w:val="DefaultParagraphFont"/>
    <w:uiPriority w:val="99"/>
    <w:locked/>
    <w:rsid w:val="00E873D3"/>
    <w:rPr>
      <w:rFonts w:ascii="Arial" w:hAnsi="Arial" w:cs="Times New Roman"/>
      <w:sz w:val="24"/>
      <w:szCs w:val="24"/>
      <w:lang w:val="en-GB" w:eastAsia="en-GB" w:bidi="ar-SA"/>
    </w:rPr>
  </w:style>
  <w:style w:type="table" w:customStyle="1" w:styleId="LightGrid1">
    <w:name w:val="Light Grid1"/>
    <w:basedOn w:val="TableNormal"/>
    <w:uiPriority w:val="62"/>
    <w:rsid w:val="00E873D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next w:val="LightShading"/>
    <w:uiPriority w:val="60"/>
    <w:rsid w:val="00E873D3"/>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E873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83928"/>
    <w:rPr>
      <w:color w:val="0000FF" w:themeColor="hyperlink"/>
      <w:u w:val="single"/>
    </w:rPr>
  </w:style>
  <w:style w:type="paragraph" w:styleId="PlainText">
    <w:name w:val="Plain Text"/>
    <w:basedOn w:val="Normal"/>
    <w:link w:val="PlainTextChar"/>
    <w:uiPriority w:val="99"/>
    <w:semiHidden/>
    <w:unhideWhenUsed/>
    <w:rsid w:val="00CD427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CD42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ngland.nhs.uk/signuptosafe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meron.Geekie\AppData\Local\Microsoft\Windows\Temporary%20Internet%20Files\Content.Outlook\LSNZRWBY\(1)%20All%20data%20Q3%202015-16%20checked%20against%20SI%20spread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incidents by directorate</a:t>
            </a:r>
          </a:p>
        </c:rich>
      </c:tx>
      <c:overlay val="0"/>
    </c:title>
    <c:autoTitleDeleted val="0"/>
    <c:plotArea>
      <c:layout/>
      <c:barChart>
        <c:barDir val="col"/>
        <c:grouping val="clustered"/>
        <c:varyColors val="0"/>
        <c:ser>
          <c:idx val="0"/>
          <c:order val="0"/>
          <c:tx>
            <c:strRef>
              <c:f>'1.4 Incidents by Directorate'!$A$2</c:f>
              <c:strCache>
                <c:ptCount val="1"/>
                <c:pt idx="0">
                  <c:v>Adult Directorate</c:v>
                </c:pt>
              </c:strCache>
            </c:strRef>
          </c:tx>
          <c:invertIfNegative val="0"/>
          <c:cat>
            <c:strRef>
              <c:f>'1.4 Incidents by Directorate'!$B$1:$E$1</c:f>
              <c:strCache>
                <c:ptCount val="4"/>
                <c:pt idx="0">
                  <c:v>2014/15 [4]</c:v>
                </c:pt>
                <c:pt idx="1">
                  <c:v>2015/16 [1]</c:v>
                </c:pt>
                <c:pt idx="2">
                  <c:v>2015/16 [2]</c:v>
                </c:pt>
                <c:pt idx="3">
                  <c:v>2015/16 [3]</c:v>
                </c:pt>
              </c:strCache>
            </c:strRef>
          </c:cat>
          <c:val>
            <c:numRef>
              <c:f>'1.4 Incidents by Directorate'!$B$2:$E$2</c:f>
              <c:numCache>
                <c:formatCode>General</c:formatCode>
                <c:ptCount val="4"/>
                <c:pt idx="0">
                  <c:v>1110</c:v>
                </c:pt>
                <c:pt idx="1">
                  <c:v>1258</c:v>
                </c:pt>
                <c:pt idx="2">
                  <c:v>1140</c:v>
                </c:pt>
                <c:pt idx="3">
                  <c:v>1147</c:v>
                </c:pt>
              </c:numCache>
            </c:numRef>
          </c:val>
        </c:ser>
        <c:ser>
          <c:idx val="1"/>
          <c:order val="1"/>
          <c:tx>
            <c:strRef>
              <c:f>'1.4 Incidents by Directorate'!$A$3</c:f>
              <c:strCache>
                <c:ptCount val="1"/>
                <c:pt idx="0">
                  <c:v>Children and Young People</c:v>
                </c:pt>
              </c:strCache>
            </c:strRef>
          </c:tx>
          <c:invertIfNegative val="0"/>
          <c:cat>
            <c:strRef>
              <c:f>'1.4 Incidents by Directorate'!$B$1:$E$1</c:f>
              <c:strCache>
                <c:ptCount val="4"/>
                <c:pt idx="0">
                  <c:v>2014/15 [4]</c:v>
                </c:pt>
                <c:pt idx="1">
                  <c:v>2015/16 [1]</c:v>
                </c:pt>
                <c:pt idx="2">
                  <c:v>2015/16 [2]</c:v>
                </c:pt>
                <c:pt idx="3">
                  <c:v>2015/16 [3]</c:v>
                </c:pt>
              </c:strCache>
            </c:strRef>
          </c:cat>
          <c:val>
            <c:numRef>
              <c:f>'1.4 Incidents by Directorate'!$B$3:$E$3</c:f>
              <c:numCache>
                <c:formatCode>General</c:formatCode>
                <c:ptCount val="4"/>
                <c:pt idx="0">
                  <c:v>408</c:v>
                </c:pt>
                <c:pt idx="1">
                  <c:v>315</c:v>
                </c:pt>
                <c:pt idx="2">
                  <c:v>368</c:v>
                </c:pt>
                <c:pt idx="3">
                  <c:v>378</c:v>
                </c:pt>
              </c:numCache>
            </c:numRef>
          </c:val>
        </c:ser>
        <c:ser>
          <c:idx val="2"/>
          <c:order val="2"/>
          <c:tx>
            <c:strRef>
              <c:f>'1.4 Incidents by Directorate'!$A$4</c:f>
              <c:strCache>
                <c:ptCount val="1"/>
                <c:pt idx="0">
                  <c:v>Older People</c:v>
                </c:pt>
              </c:strCache>
            </c:strRef>
          </c:tx>
          <c:invertIfNegative val="0"/>
          <c:cat>
            <c:strRef>
              <c:f>'1.4 Incidents by Directorate'!$B$1:$E$1</c:f>
              <c:strCache>
                <c:ptCount val="4"/>
                <c:pt idx="0">
                  <c:v>2014/15 [4]</c:v>
                </c:pt>
                <c:pt idx="1">
                  <c:v>2015/16 [1]</c:v>
                </c:pt>
                <c:pt idx="2">
                  <c:v>2015/16 [2]</c:v>
                </c:pt>
                <c:pt idx="3">
                  <c:v>2015/16 [3]</c:v>
                </c:pt>
              </c:strCache>
            </c:strRef>
          </c:cat>
          <c:val>
            <c:numRef>
              <c:f>'1.4 Incidents by Directorate'!$B$4:$E$4</c:f>
              <c:numCache>
                <c:formatCode>General</c:formatCode>
                <c:ptCount val="4"/>
                <c:pt idx="0">
                  <c:v>1606</c:v>
                </c:pt>
                <c:pt idx="1">
                  <c:v>1597</c:v>
                </c:pt>
                <c:pt idx="2">
                  <c:v>1577</c:v>
                </c:pt>
                <c:pt idx="3">
                  <c:v>1599</c:v>
                </c:pt>
              </c:numCache>
            </c:numRef>
          </c:val>
        </c:ser>
        <c:ser>
          <c:idx val="3"/>
          <c:order val="3"/>
          <c:tx>
            <c:strRef>
              <c:f>'1.4 Incidents by Directorate'!$A$5</c:f>
              <c:strCache>
                <c:ptCount val="1"/>
                <c:pt idx="0">
                  <c:v>Corporate directorate</c:v>
                </c:pt>
              </c:strCache>
            </c:strRef>
          </c:tx>
          <c:invertIfNegative val="0"/>
          <c:cat>
            <c:strRef>
              <c:f>'1.4 Incidents by Directorate'!$B$1:$E$1</c:f>
              <c:strCache>
                <c:ptCount val="4"/>
                <c:pt idx="0">
                  <c:v>2014/15 [4]</c:v>
                </c:pt>
                <c:pt idx="1">
                  <c:v>2015/16 [1]</c:v>
                </c:pt>
                <c:pt idx="2">
                  <c:v>2015/16 [2]</c:v>
                </c:pt>
                <c:pt idx="3">
                  <c:v>2015/16 [3]</c:v>
                </c:pt>
              </c:strCache>
            </c:strRef>
          </c:cat>
          <c:val>
            <c:numRef>
              <c:f>'1.4 Incidents by Directorate'!$B$5:$E$5</c:f>
              <c:numCache>
                <c:formatCode>General</c:formatCode>
                <c:ptCount val="4"/>
                <c:pt idx="0">
                  <c:v>48</c:v>
                </c:pt>
                <c:pt idx="1">
                  <c:v>39</c:v>
                </c:pt>
                <c:pt idx="2">
                  <c:v>33</c:v>
                </c:pt>
                <c:pt idx="3">
                  <c:v>33</c:v>
                </c:pt>
              </c:numCache>
            </c:numRef>
          </c:val>
        </c:ser>
        <c:dLbls>
          <c:showLegendKey val="0"/>
          <c:showVal val="0"/>
          <c:showCatName val="0"/>
          <c:showSerName val="0"/>
          <c:showPercent val="0"/>
          <c:showBubbleSize val="0"/>
        </c:dLbls>
        <c:gapWidth val="150"/>
        <c:axId val="141125888"/>
        <c:axId val="141361536"/>
      </c:barChart>
      <c:catAx>
        <c:axId val="141125888"/>
        <c:scaling>
          <c:orientation val="minMax"/>
        </c:scaling>
        <c:delete val="0"/>
        <c:axPos val="b"/>
        <c:title>
          <c:tx>
            <c:rich>
              <a:bodyPr/>
              <a:lstStyle/>
              <a:p>
                <a:pPr>
                  <a:defRPr/>
                </a:pPr>
                <a:r>
                  <a:rPr lang="en-US"/>
                  <a:t>Quarter</a:t>
                </a:r>
              </a:p>
            </c:rich>
          </c:tx>
          <c:overlay val="0"/>
        </c:title>
        <c:majorTickMark val="out"/>
        <c:minorTickMark val="none"/>
        <c:tickLblPos val="nextTo"/>
        <c:crossAx val="141361536"/>
        <c:crosses val="autoZero"/>
        <c:auto val="1"/>
        <c:lblAlgn val="ctr"/>
        <c:lblOffset val="100"/>
        <c:noMultiLvlLbl val="0"/>
      </c:catAx>
      <c:valAx>
        <c:axId val="141361536"/>
        <c:scaling>
          <c:orientation val="minMax"/>
        </c:scaling>
        <c:delete val="0"/>
        <c:axPos val="l"/>
        <c:majorGridlines/>
        <c:title>
          <c:tx>
            <c:rich>
              <a:bodyPr rot="-5400000" vert="horz"/>
              <a:lstStyle/>
              <a:p>
                <a:pPr>
                  <a:defRPr/>
                </a:pPr>
                <a:r>
                  <a:rPr lang="en-US"/>
                  <a:t>Number of incidents</a:t>
                </a:r>
              </a:p>
            </c:rich>
          </c:tx>
          <c:overlay val="0"/>
        </c:title>
        <c:numFmt formatCode="General" sourceLinked="1"/>
        <c:majorTickMark val="out"/>
        <c:minorTickMark val="none"/>
        <c:tickLblPos val="nextTo"/>
        <c:crossAx val="1411258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31B9-F749-4083-BF39-DE89FBA0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Paul (RNU) Oxford Health</dc:creator>
  <cp:lastModifiedBy>Smith Hannah (RNU) Oxford Health</cp:lastModifiedBy>
  <cp:revision>5</cp:revision>
  <dcterms:created xsi:type="dcterms:W3CDTF">2016-03-17T11:53:00Z</dcterms:created>
  <dcterms:modified xsi:type="dcterms:W3CDTF">2016-03-17T14:34:00Z</dcterms:modified>
</cp:coreProperties>
</file>