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121633">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Pr="00967283" w:rsidRDefault="00967283">
                            <w:pPr>
                              <w:jc w:val="center"/>
                              <w:rPr>
                                <w:rFonts w:ascii="Arial" w:hAnsi="Arial" w:cs="Arial"/>
                                <w:b/>
                              </w:rPr>
                            </w:pPr>
                            <w:r w:rsidRPr="00967283">
                              <w:rPr>
                                <w:rFonts w:ascii="Arial" w:hAnsi="Arial" w:cs="Arial"/>
                                <w:b/>
                              </w:rPr>
                              <w:t>Appendix</w:t>
                            </w:r>
                            <w:r w:rsidR="00DA52E9">
                              <w:rPr>
                                <w:rFonts w:ascii="Arial" w:hAnsi="Arial" w:cs="Arial"/>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Pr="00967283" w:rsidRDefault="00967283">
                      <w:pPr>
                        <w:jc w:val="center"/>
                        <w:rPr>
                          <w:rFonts w:ascii="Arial" w:hAnsi="Arial" w:cs="Arial"/>
                          <w:b/>
                        </w:rPr>
                      </w:pPr>
                      <w:r w:rsidRPr="00967283">
                        <w:rPr>
                          <w:rFonts w:ascii="Arial" w:hAnsi="Arial" w:cs="Arial"/>
                          <w:b/>
                        </w:rPr>
                        <w:t>Appendix</w:t>
                      </w:r>
                      <w:r w:rsidR="00DA52E9">
                        <w:rPr>
                          <w:rFonts w:ascii="Arial" w:hAnsi="Arial" w:cs="Arial"/>
                          <w:b/>
                        </w:rPr>
                        <w:t xml:space="preserve"> </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C7658D">
      <w:pPr>
        <w:jc w:val="center"/>
        <w:rPr>
          <w:rFonts w:ascii="Arial" w:hAnsi="Arial" w:cs="Arial"/>
          <w:b/>
        </w:rPr>
      </w:pPr>
      <w:r>
        <w:rPr>
          <w:rFonts w:ascii="Arial" w:hAnsi="Arial" w:cs="Arial"/>
          <w:b/>
        </w:rPr>
        <w:t>2</w:t>
      </w:r>
      <w:r w:rsidR="001B3C92">
        <w:rPr>
          <w:rFonts w:ascii="Arial" w:hAnsi="Arial" w:cs="Arial"/>
          <w:b/>
        </w:rPr>
        <w:t>5</w:t>
      </w:r>
      <w:r w:rsidR="007639F0" w:rsidRPr="007639F0">
        <w:rPr>
          <w:rFonts w:ascii="Arial" w:hAnsi="Arial" w:cs="Arial"/>
          <w:b/>
          <w:vertAlign w:val="superscript"/>
        </w:rPr>
        <w:t>th</w:t>
      </w:r>
      <w:r w:rsidR="001B3C92">
        <w:rPr>
          <w:rFonts w:ascii="Arial" w:hAnsi="Arial" w:cs="Arial"/>
          <w:b/>
        </w:rPr>
        <w:t xml:space="preserve"> May </w:t>
      </w:r>
      <w:r w:rsidR="008A65DF">
        <w:rPr>
          <w:rFonts w:ascii="Arial" w:hAnsi="Arial" w:cs="Arial"/>
          <w:b/>
        </w:rPr>
        <w:t>2016</w:t>
      </w:r>
    </w:p>
    <w:p w:rsidR="005D3499" w:rsidRDefault="005D3499">
      <w:pPr>
        <w:jc w:val="center"/>
        <w:rPr>
          <w:rFonts w:ascii="Arial" w:hAnsi="Arial" w:cs="Arial"/>
          <w:b/>
        </w:rPr>
      </w:pPr>
    </w:p>
    <w:p w:rsidR="005D3499" w:rsidRDefault="008A65DF" w:rsidP="00FD2279">
      <w:pPr>
        <w:jc w:val="center"/>
        <w:rPr>
          <w:rFonts w:ascii="Arial" w:hAnsi="Arial" w:cs="Arial"/>
          <w:b/>
        </w:rPr>
      </w:pPr>
      <w:r>
        <w:rPr>
          <w:rFonts w:ascii="Arial" w:hAnsi="Arial" w:cs="Arial"/>
          <w:b/>
        </w:rPr>
        <w:t>Legal</w:t>
      </w:r>
      <w:r w:rsidR="00CF47D9">
        <w:rPr>
          <w:rFonts w:ascii="Arial" w:hAnsi="Arial" w:cs="Arial"/>
          <w:b/>
        </w:rPr>
        <w:t>, Regulatory</w:t>
      </w:r>
      <w:r>
        <w:rPr>
          <w:rFonts w:ascii="Arial" w:hAnsi="Arial" w:cs="Arial"/>
          <w:b/>
        </w:rPr>
        <w:t xml:space="preserve"> and Policy Update</w:t>
      </w:r>
    </w:p>
    <w:p w:rsidR="005D3499" w:rsidRDefault="005D3499">
      <w:pPr>
        <w:rPr>
          <w:rFonts w:ascii="Arial" w:hAnsi="Arial" w:cs="Arial"/>
          <w:b/>
        </w:rPr>
      </w:pPr>
    </w:p>
    <w:p w:rsidR="00292613" w:rsidRPr="00D22BC8" w:rsidRDefault="00292613" w:rsidP="00292613">
      <w:pPr>
        <w:rPr>
          <w:rFonts w:ascii="Arial" w:hAnsi="Arial" w:cs="Arial"/>
          <w:b/>
          <w:sz w:val="20"/>
          <w:szCs w:val="20"/>
          <w:u w:val="single"/>
        </w:rPr>
      </w:pPr>
      <w:r w:rsidRPr="00D22BC8">
        <w:rPr>
          <w:rFonts w:ascii="Arial" w:hAnsi="Arial" w:cs="Arial"/>
          <w:b/>
          <w:sz w:val="20"/>
          <w:szCs w:val="20"/>
          <w:u w:val="single"/>
        </w:rPr>
        <w:t>For:</w:t>
      </w:r>
      <w:r w:rsidR="008A65DF" w:rsidRPr="00D22BC8">
        <w:rPr>
          <w:rFonts w:ascii="Arial" w:hAnsi="Arial" w:cs="Arial"/>
          <w:b/>
          <w:sz w:val="20"/>
          <w:szCs w:val="20"/>
          <w:u w:val="single"/>
        </w:rPr>
        <w:t xml:space="preserve"> </w:t>
      </w:r>
      <w:r w:rsidRPr="00D22BC8">
        <w:rPr>
          <w:rFonts w:ascii="Arial" w:hAnsi="Arial" w:cs="Arial"/>
          <w:b/>
          <w:sz w:val="20"/>
          <w:szCs w:val="20"/>
          <w:u w:val="single"/>
        </w:rPr>
        <w:t>Information</w:t>
      </w:r>
    </w:p>
    <w:p w:rsidR="00292613" w:rsidRPr="00D22BC8" w:rsidRDefault="00292613">
      <w:pPr>
        <w:rPr>
          <w:rFonts w:ascii="Arial" w:hAnsi="Arial" w:cs="Arial"/>
          <w:b/>
          <w:sz w:val="20"/>
          <w:szCs w:val="20"/>
        </w:rPr>
      </w:pPr>
    </w:p>
    <w:p w:rsidR="007A2CF0" w:rsidRPr="00D22BC8" w:rsidRDefault="007A2CF0" w:rsidP="007A2CF0">
      <w:pPr>
        <w:jc w:val="both"/>
        <w:rPr>
          <w:rFonts w:ascii="Arial" w:hAnsi="Arial" w:cs="Arial"/>
          <w:b/>
          <w:sz w:val="20"/>
          <w:szCs w:val="20"/>
        </w:rPr>
      </w:pPr>
      <w:r w:rsidRPr="00D22BC8">
        <w:rPr>
          <w:rFonts w:ascii="Arial" w:hAnsi="Arial" w:cs="Arial"/>
          <w:b/>
          <w:sz w:val="20"/>
          <w:szCs w:val="20"/>
        </w:rPr>
        <w:t>Executive Summary</w:t>
      </w:r>
    </w:p>
    <w:p w:rsidR="008A65DF" w:rsidRPr="00D22BC8" w:rsidRDefault="008A65DF" w:rsidP="008A65DF">
      <w:pPr>
        <w:jc w:val="both"/>
        <w:rPr>
          <w:rFonts w:ascii="Arial" w:hAnsi="Arial" w:cs="Arial"/>
          <w:b/>
          <w:sz w:val="20"/>
          <w:szCs w:val="20"/>
        </w:rPr>
      </w:pPr>
    </w:p>
    <w:p w:rsidR="008A65DF" w:rsidRPr="00D22BC8" w:rsidRDefault="008A65DF" w:rsidP="006E06A9">
      <w:pPr>
        <w:jc w:val="both"/>
        <w:rPr>
          <w:rFonts w:ascii="Arial" w:hAnsi="Arial" w:cs="Arial"/>
          <w:sz w:val="20"/>
          <w:szCs w:val="20"/>
        </w:rPr>
      </w:pPr>
      <w:r w:rsidRPr="00D22BC8">
        <w:rPr>
          <w:rFonts w:ascii="Arial" w:hAnsi="Arial" w:cs="Arial"/>
          <w:sz w:val="20"/>
          <w:szCs w:val="20"/>
        </w:rPr>
        <w:t xml:space="preserve">This is the monthly report to inform the Board of Directors on recent regulation and compliance guidance issued by bodies such as Monitor, the Care Quality Commission, </w:t>
      </w:r>
      <w:r w:rsidR="006E06A9" w:rsidRPr="00D22BC8">
        <w:rPr>
          <w:rFonts w:ascii="Arial" w:hAnsi="Arial" w:cs="Arial"/>
          <w:sz w:val="20"/>
          <w:szCs w:val="20"/>
        </w:rPr>
        <w:t>NHS England</w:t>
      </w:r>
      <w:r w:rsidR="006E06A9">
        <w:rPr>
          <w:rFonts w:ascii="Arial" w:hAnsi="Arial" w:cs="Arial"/>
          <w:sz w:val="20"/>
          <w:szCs w:val="20"/>
        </w:rPr>
        <w:t>,</w:t>
      </w:r>
      <w:r w:rsidR="006E06A9" w:rsidRPr="00D22BC8">
        <w:rPr>
          <w:rFonts w:ascii="Arial" w:hAnsi="Arial" w:cs="Arial"/>
          <w:sz w:val="20"/>
          <w:szCs w:val="20"/>
        </w:rPr>
        <w:t xml:space="preserve"> </w:t>
      </w:r>
      <w:r w:rsidRPr="00D22BC8">
        <w:rPr>
          <w:rFonts w:ascii="Arial" w:hAnsi="Arial" w:cs="Arial"/>
          <w:sz w:val="20"/>
          <w:szCs w:val="20"/>
        </w:rPr>
        <w:t xml:space="preserve">NHS </w:t>
      </w:r>
      <w:r w:rsidR="002A5307">
        <w:rPr>
          <w:rFonts w:ascii="Arial" w:hAnsi="Arial" w:cs="Arial"/>
          <w:sz w:val="20"/>
          <w:szCs w:val="20"/>
        </w:rPr>
        <w:t xml:space="preserve">Trust </w:t>
      </w:r>
      <w:r w:rsidRPr="00D22BC8">
        <w:rPr>
          <w:rFonts w:ascii="Arial" w:hAnsi="Arial" w:cs="Arial"/>
          <w:sz w:val="20"/>
          <w:szCs w:val="20"/>
        </w:rPr>
        <w:t>Development Authority and other relevant bodies where their actions have a consequential impact on the Trust or an awareness of the change/impending change is relevant</w:t>
      </w:r>
      <w:r w:rsidR="0096117D">
        <w:rPr>
          <w:rFonts w:ascii="Arial" w:hAnsi="Arial" w:cs="Arial"/>
          <w:sz w:val="20"/>
          <w:szCs w:val="20"/>
        </w:rPr>
        <w:t xml:space="preserve"> to the Board of Directors.  This</w:t>
      </w:r>
      <w:r w:rsidRPr="00D22BC8">
        <w:rPr>
          <w:rFonts w:ascii="Arial" w:hAnsi="Arial" w:cs="Arial"/>
          <w:sz w:val="20"/>
          <w:szCs w:val="20"/>
        </w:rPr>
        <w:t xml:space="preserve"> report covers the period </w:t>
      </w:r>
      <w:r w:rsidR="00FC72E4">
        <w:rPr>
          <w:rFonts w:ascii="Arial" w:hAnsi="Arial" w:cs="Arial"/>
          <w:sz w:val="20"/>
          <w:szCs w:val="20"/>
        </w:rPr>
        <w:t xml:space="preserve">from </w:t>
      </w:r>
      <w:r w:rsidR="001B3C92">
        <w:rPr>
          <w:rFonts w:ascii="Arial" w:hAnsi="Arial" w:cs="Arial"/>
          <w:sz w:val="20"/>
          <w:szCs w:val="20"/>
        </w:rPr>
        <w:t>mid-April</w:t>
      </w:r>
      <w:r w:rsidR="0096117D">
        <w:rPr>
          <w:rFonts w:ascii="Arial" w:hAnsi="Arial" w:cs="Arial"/>
          <w:sz w:val="20"/>
          <w:szCs w:val="20"/>
        </w:rPr>
        <w:t xml:space="preserve"> 2016</w:t>
      </w:r>
      <w:r w:rsidR="001B3C92">
        <w:rPr>
          <w:rFonts w:ascii="Arial" w:hAnsi="Arial" w:cs="Arial"/>
          <w:sz w:val="20"/>
          <w:szCs w:val="20"/>
        </w:rPr>
        <w:t xml:space="preserve"> to mid-May</w:t>
      </w:r>
      <w:r w:rsidR="009536C9">
        <w:rPr>
          <w:rFonts w:ascii="Arial" w:hAnsi="Arial" w:cs="Arial"/>
          <w:sz w:val="20"/>
          <w:szCs w:val="20"/>
        </w:rPr>
        <w:t xml:space="preserve"> 2016</w:t>
      </w:r>
      <w:r w:rsidR="00680116">
        <w:rPr>
          <w:rFonts w:ascii="Arial" w:hAnsi="Arial" w:cs="Arial"/>
          <w:sz w:val="20"/>
          <w:szCs w:val="20"/>
        </w:rPr>
        <w:t xml:space="preserve"> and includes noteworthy contributions covered in the media and by health think tanks</w:t>
      </w:r>
      <w:r w:rsidR="009536C9">
        <w:rPr>
          <w:rFonts w:ascii="Arial" w:hAnsi="Arial" w:cs="Arial"/>
          <w:sz w:val="20"/>
          <w:szCs w:val="20"/>
        </w:rPr>
        <w:t>.</w:t>
      </w:r>
    </w:p>
    <w:p w:rsidR="008A65DF" w:rsidRPr="00D22BC8" w:rsidRDefault="008A65DF" w:rsidP="006E06A9">
      <w:pPr>
        <w:jc w:val="both"/>
        <w:rPr>
          <w:rFonts w:ascii="Arial" w:hAnsi="Arial" w:cs="Arial"/>
          <w:sz w:val="20"/>
          <w:szCs w:val="20"/>
        </w:rPr>
      </w:pPr>
    </w:p>
    <w:p w:rsidR="008A65DF" w:rsidRPr="00D22BC8" w:rsidRDefault="008A65DF" w:rsidP="006E06A9">
      <w:pPr>
        <w:jc w:val="both"/>
        <w:rPr>
          <w:rFonts w:ascii="Arial" w:hAnsi="Arial" w:cs="Arial"/>
          <w:sz w:val="20"/>
          <w:szCs w:val="20"/>
        </w:rPr>
      </w:pPr>
      <w:r w:rsidRPr="00D22BC8">
        <w:rPr>
          <w:rFonts w:ascii="Arial" w:hAnsi="Arial" w:cs="Arial"/>
          <w:sz w:val="20"/>
          <w:szCs w:val="20"/>
        </w:rPr>
        <w:t xml:space="preserve">The Update Report is designed to reflect changes in legislation, guidance, the structure of the NHS, and government policy and direction on health and social care. A summation of the change is provided as a summary for each item. The Board of Directors is asked to consider and note the content of the report and where relevant, members should each be satisfied of their individual and collective assurances that the internal controls in place to deliver compliance against the Trust’s obligations are effective.  Chairs of Board Committees should consider whether more detailed assurances relevant to their committees, </w:t>
      </w:r>
      <w:r w:rsidR="002A5307">
        <w:rPr>
          <w:rFonts w:ascii="Arial" w:hAnsi="Arial" w:cs="Arial"/>
          <w:sz w:val="20"/>
          <w:szCs w:val="20"/>
        </w:rPr>
        <w:t>are</w:t>
      </w:r>
      <w:r w:rsidR="002A5307" w:rsidRPr="00D22BC8">
        <w:rPr>
          <w:rFonts w:ascii="Arial" w:hAnsi="Arial" w:cs="Arial"/>
          <w:sz w:val="20"/>
          <w:szCs w:val="20"/>
        </w:rPr>
        <w:t xml:space="preserve"> </w:t>
      </w:r>
      <w:r w:rsidRPr="00D22BC8">
        <w:rPr>
          <w:rFonts w:ascii="Arial" w:hAnsi="Arial" w:cs="Arial"/>
          <w:sz w:val="20"/>
          <w:szCs w:val="20"/>
        </w:rPr>
        <w:t xml:space="preserve">necessary, </w:t>
      </w:r>
      <w:proofErr w:type="spellStart"/>
      <w:r w:rsidRPr="00D22BC8">
        <w:rPr>
          <w:rFonts w:ascii="Arial" w:hAnsi="Arial" w:cs="Arial"/>
          <w:sz w:val="20"/>
          <w:szCs w:val="20"/>
        </w:rPr>
        <w:t>utilising</w:t>
      </w:r>
      <w:proofErr w:type="spellEnd"/>
      <w:r w:rsidRPr="00D22BC8">
        <w:rPr>
          <w:rFonts w:ascii="Arial" w:hAnsi="Arial" w:cs="Arial"/>
          <w:sz w:val="20"/>
          <w:szCs w:val="20"/>
        </w:rPr>
        <w:t xml:space="preserve"> this report as a constructive stimulant to inform the c</w:t>
      </w:r>
      <w:r w:rsidR="001B3CC2">
        <w:rPr>
          <w:rFonts w:ascii="Arial" w:hAnsi="Arial" w:cs="Arial"/>
          <w:sz w:val="20"/>
          <w:szCs w:val="20"/>
        </w:rPr>
        <w:t>omposition</w:t>
      </w:r>
      <w:r w:rsidRPr="00D22BC8">
        <w:rPr>
          <w:rFonts w:ascii="Arial" w:hAnsi="Arial" w:cs="Arial"/>
          <w:sz w:val="20"/>
          <w:szCs w:val="20"/>
        </w:rPr>
        <w:t xml:space="preserve"> of meeting agendas and reporting focus as necessary or appropriate.</w:t>
      </w:r>
    </w:p>
    <w:p w:rsidR="008A65DF" w:rsidRPr="00D22BC8" w:rsidRDefault="008A65DF" w:rsidP="006E06A9">
      <w:pPr>
        <w:jc w:val="both"/>
        <w:rPr>
          <w:rFonts w:ascii="Arial" w:hAnsi="Arial" w:cs="Arial"/>
          <w:sz w:val="20"/>
          <w:szCs w:val="20"/>
        </w:rPr>
      </w:pPr>
    </w:p>
    <w:p w:rsidR="008A65DF" w:rsidRPr="00D22BC8" w:rsidRDefault="00241272" w:rsidP="006E06A9">
      <w:pPr>
        <w:jc w:val="both"/>
        <w:rPr>
          <w:rFonts w:ascii="Arial" w:hAnsi="Arial" w:cs="Arial"/>
          <w:sz w:val="20"/>
          <w:szCs w:val="20"/>
        </w:rPr>
      </w:pPr>
      <w:r>
        <w:rPr>
          <w:rFonts w:ascii="Arial" w:hAnsi="Arial" w:cs="Arial"/>
          <w:sz w:val="20"/>
          <w:szCs w:val="20"/>
        </w:rPr>
        <w:t xml:space="preserve">As Chief Executive I will make certain </w:t>
      </w:r>
      <w:r w:rsidR="008A65DF" w:rsidRPr="00D22BC8">
        <w:rPr>
          <w:rFonts w:ascii="Arial" w:hAnsi="Arial" w:cs="Arial"/>
          <w:sz w:val="20"/>
          <w:szCs w:val="20"/>
        </w:rPr>
        <w:t>Executive Directors</w:t>
      </w:r>
      <w:r>
        <w:rPr>
          <w:rFonts w:ascii="Arial" w:hAnsi="Arial" w:cs="Arial"/>
          <w:sz w:val="20"/>
          <w:szCs w:val="20"/>
        </w:rPr>
        <w:t xml:space="preserve"> are aware of the changes relevant to their portfolios and</w:t>
      </w:r>
      <w:r w:rsidR="008A65DF" w:rsidRPr="00D22BC8">
        <w:rPr>
          <w:rFonts w:ascii="Arial" w:hAnsi="Arial" w:cs="Arial"/>
          <w:sz w:val="20"/>
          <w:szCs w:val="20"/>
        </w:rPr>
        <w:t xml:space="preserve"> will </w:t>
      </w:r>
      <w:r>
        <w:rPr>
          <w:rFonts w:ascii="Arial" w:hAnsi="Arial" w:cs="Arial"/>
          <w:sz w:val="20"/>
          <w:szCs w:val="20"/>
        </w:rPr>
        <w:t>take</w:t>
      </w:r>
      <w:r w:rsidR="008A65DF" w:rsidRPr="00D22BC8">
        <w:rPr>
          <w:rFonts w:ascii="Arial" w:hAnsi="Arial" w:cs="Arial"/>
          <w:sz w:val="20"/>
          <w:szCs w:val="20"/>
        </w:rPr>
        <w:t xml:space="preserve"> forward any key actions arising from the Legal</w:t>
      </w:r>
      <w:r w:rsidR="00CF47D9">
        <w:rPr>
          <w:rFonts w:ascii="Arial" w:hAnsi="Arial" w:cs="Arial"/>
          <w:sz w:val="20"/>
          <w:szCs w:val="20"/>
        </w:rPr>
        <w:t>, Regulatory</w:t>
      </w:r>
      <w:r w:rsidR="008A65DF" w:rsidRPr="00D22BC8">
        <w:rPr>
          <w:rFonts w:ascii="Arial" w:hAnsi="Arial" w:cs="Arial"/>
          <w:sz w:val="20"/>
          <w:szCs w:val="20"/>
        </w:rPr>
        <w:t xml:space="preserve"> </w:t>
      </w:r>
      <w:r w:rsidR="00CF47D9">
        <w:rPr>
          <w:rFonts w:ascii="Arial" w:hAnsi="Arial" w:cs="Arial"/>
          <w:sz w:val="20"/>
          <w:szCs w:val="20"/>
        </w:rPr>
        <w:t>and</w:t>
      </w:r>
      <w:r w:rsidR="008A65DF" w:rsidRPr="00D22BC8">
        <w:rPr>
          <w:rFonts w:ascii="Arial" w:hAnsi="Arial" w:cs="Arial"/>
          <w:sz w:val="20"/>
          <w:szCs w:val="20"/>
        </w:rPr>
        <w:t xml:space="preserve"> Policy Updates</w:t>
      </w:r>
      <w:r>
        <w:rPr>
          <w:rFonts w:ascii="Arial" w:hAnsi="Arial" w:cs="Arial"/>
          <w:sz w:val="20"/>
          <w:szCs w:val="20"/>
        </w:rPr>
        <w:t>.</w:t>
      </w:r>
      <w:r w:rsidR="00EE3E09" w:rsidRPr="00D22BC8">
        <w:rPr>
          <w:rFonts w:ascii="Arial" w:hAnsi="Arial" w:cs="Arial"/>
          <w:sz w:val="20"/>
          <w:szCs w:val="20"/>
        </w:rPr>
        <w:t xml:space="preserve"> </w:t>
      </w:r>
      <w:r>
        <w:rPr>
          <w:rFonts w:ascii="Arial" w:hAnsi="Arial" w:cs="Arial"/>
          <w:sz w:val="20"/>
          <w:szCs w:val="20"/>
        </w:rPr>
        <w:t>P</w:t>
      </w:r>
      <w:r w:rsidR="008A65DF" w:rsidRPr="00D22BC8">
        <w:rPr>
          <w:rFonts w:ascii="Arial" w:hAnsi="Arial" w:cs="Arial"/>
          <w:sz w:val="20"/>
          <w:szCs w:val="20"/>
        </w:rPr>
        <w:t>rogress updates on any relevant actions will be reported to the Board of Directors, as pertinent and appropriate.</w:t>
      </w:r>
    </w:p>
    <w:p w:rsidR="008A65DF" w:rsidRPr="00D22BC8" w:rsidRDefault="008A65DF" w:rsidP="006E06A9">
      <w:pPr>
        <w:jc w:val="both"/>
        <w:rPr>
          <w:rFonts w:ascii="Arial" w:hAnsi="Arial" w:cs="Arial"/>
          <w:sz w:val="20"/>
          <w:szCs w:val="20"/>
        </w:rPr>
      </w:pPr>
    </w:p>
    <w:p w:rsidR="008A65DF" w:rsidRPr="00D22BC8" w:rsidRDefault="008A65DF" w:rsidP="006E06A9">
      <w:pPr>
        <w:jc w:val="both"/>
        <w:rPr>
          <w:rFonts w:ascii="Arial" w:hAnsi="Arial" w:cs="Arial"/>
          <w:sz w:val="20"/>
          <w:szCs w:val="20"/>
        </w:rPr>
      </w:pPr>
      <w:r w:rsidRPr="00D22BC8">
        <w:rPr>
          <w:rFonts w:ascii="Arial" w:hAnsi="Arial" w:cs="Arial"/>
          <w:sz w:val="20"/>
          <w:szCs w:val="20"/>
        </w:rPr>
        <w:t>The Director of Corporate Affairs will continue to develop or enhance internal control mechanisms to support the Trust in complying and being able to evidence compliance with relevant mandatory frameworks/obligations.</w:t>
      </w:r>
    </w:p>
    <w:p w:rsidR="008A65DF" w:rsidRDefault="008A65DF" w:rsidP="008A65DF">
      <w:pPr>
        <w:jc w:val="both"/>
        <w:rPr>
          <w:rFonts w:ascii="Arial" w:hAnsi="Arial" w:cs="Arial"/>
          <w:sz w:val="20"/>
          <w:szCs w:val="20"/>
        </w:rPr>
      </w:pPr>
    </w:p>
    <w:p w:rsidR="00270459" w:rsidRPr="00D22BC8" w:rsidRDefault="00270459" w:rsidP="008A65DF">
      <w:pPr>
        <w:jc w:val="both"/>
        <w:rPr>
          <w:rFonts w:ascii="Arial" w:hAnsi="Arial" w:cs="Arial"/>
          <w:sz w:val="20"/>
          <w:szCs w:val="20"/>
        </w:rPr>
      </w:pPr>
    </w:p>
    <w:p w:rsidR="005D3499" w:rsidRPr="00D22BC8" w:rsidRDefault="005D3499">
      <w:pPr>
        <w:jc w:val="both"/>
        <w:rPr>
          <w:rFonts w:ascii="Arial" w:hAnsi="Arial" w:cs="Arial"/>
          <w:b/>
          <w:sz w:val="20"/>
          <w:szCs w:val="20"/>
        </w:rPr>
      </w:pPr>
    </w:p>
    <w:p w:rsidR="007A1BDD" w:rsidRDefault="007A1BDD" w:rsidP="00DD7BCE">
      <w:pPr>
        <w:ind w:left="720"/>
        <w:jc w:val="both"/>
        <w:rPr>
          <w:rFonts w:ascii="Arial" w:hAnsi="Arial" w:cs="Arial"/>
          <w:sz w:val="20"/>
          <w:szCs w:val="20"/>
        </w:rPr>
      </w:pPr>
    </w:p>
    <w:p w:rsidR="00241272" w:rsidRDefault="00241272" w:rsidP="00DD7BCE">
      <w:pPr>
        <w:ind w:left="720"/>
        <w:jc w:val="both"/>
        <w:rPr>
          <w:rFonts w:ascii="Arial" w:hAnsi="Arial" w:cs="Arial"/>
          <w:sz w:val="20"/>
          <w:szCs w:val="20"/>
        </w:rPr>
      </w:pPr>
    </w:p>
    <w:p w:rsidR="00241272" w:rsidRDefault="00241272" w:rsidP="00DD7BCE">
      <w:pPr>
        <w:ind w:left="720"/>
        <w:jc w:val="both"/>
        <w:rPr>
          <w:rFonts w:ascii="Arial" w:hAnsi="Arial" w:cs="Arial"/>
          <w:sz w:val="20"/>
          <w:szCs w:val="20"/>
        </w:rPr>
      </w:pPr>
    </w:p>
    <w:p w:rsidR="00241272" w:rsidRDefault="00241272" w:rsidP="00DD7BCE">
      <w:pPr>
        <w:ind w:left="720"/>
        <w:jc w:val="both"/>
        <w:rPr>
          <w:rFonts w:ascii="Arial" w:hAnsi="Arial" w:cs="Arial"/>
          <w:sz w:val="20"/>
          <w:szCs w:val="20"/>
        </w:rPr>
      </w:pPr>
    </w:p>
    <w:p w:rsidR="00241272" w:rsidRDefault="00241272" w:rsidP="00241272">
      <w:pPr>
        <w:ind w:left="720"/>
        <w:jc w:val="right"/>
        <w:rPr>
          <w:rFonts w:ascii="Arial" w:hAnsi="Arial" w:cs="Arial"/>
          <w:b/>
          <w:sz w:val="20"/>
          <w:szCs w:val="20"/>
        </w:rPr>
      </w:pPr>
      <w:r>
        <w:rPr>
          <w:rFonts w:ascii="Arial" w:hAnsi="Arial" w:cs="Arial"/>
          <w:b/>
          <w:sz w:val="20"/>
          <w:szCs w:val="20"/>
        </w:rPr>
        <w:t>ADDENDUM TO CHIEF EXECUTIVE REPORT</w:t>
      </w:r>
    </w:p>
    <w:p w:rsidR="00241272" w:rsidRDefault="00241272" w:rsidP="00DD7BCE">
      <w:pPr>
        <w:ind w:left="720"/>
        <w:jc w:val="both"/>
        <w:rPr>
          <w:rFonts w:ascii="Arial" w:hAnsi="Arial" w:cs="Arial"/>
          <w:b/>
          <w:sz w:val="20"/>
          <w:szCs w:val="20"/>
        </w:rPr>
      </w:pPr>
    </w:p>
    <w:p w:rsidR="00DD7BCE" w:rsidRPr="005B3548" w:rsidRDefault="00DD7BCE" w:rsidP="00241272">
      <w:pPr>
        <w:ind w:left="720"/>
        <w:jc w:val="center"/>
        <w:rPr>
          <w:rFonts w:ascii="Arial" w:hAnsi="Arial" w:cs="Arial"/>
          <w:b/>
          <w:sz w:val="20"/>
          <w:szCs w:val="20"/>
        </w:rPr>
      </w:pPr>
      <w:r w:rsidRPr="005B3548">
        <w:rPr>
          <w:rFonts w:ascii="Arial" w:hAnsi="Arial" w:cs="Arial"/>
          <w:b/>
          <w:sz w:val="20"/>
          <w:szCs w:val="20"/>
        </w:rPr>
        <w:t>LEGAL, REGULATORY AND POLICY UPDATE REPORT</w:t>
      </w:r>
    </w:p>
    <w:p w:rsidR="005B3548" w:rsidRPr="00DD7BCE" w:rsidRDefault="005B3548" w:rsidP="00DD7BCE">
      <w:pPr>
        <w:ind w:left="720"/>
        <w:jc w:val="both"/>
        <w:rPr>
          <w:rFonts w:ascii="Arial" w:hAnsi="Arial" w:cs="Arial"/>
          <w:sz w:val="20"/>
          <w:szCs w:val="20"/>
        </w:rPr>
      </w:pPr>
    </w:p>
    <w:p w:rsidR="00DD7BCE" w:rsidRPr="00A015A5" w:rsidRDefault="00DD7BCE" w:rsidP="00DD7BCE">
      <w:pPr>
        <w:ind w:left="720"/>
        <w:jc w:val="both"/>
        <w:rPr>
          <w:rFonts w:asciiTheme="minorHAnsi" w:hAnsiTheme="minorHAnsi" w:cs="Arial"/>
          <w:b/>
          <w:sz w:val="22"/>
          <w:szCs w:val="22"/>
        </w:rPr>
      </w:pPr>
      <w:r w:rsidRPr="00A015A5">
        <w:rPr>
          <w:rFonts w:asciiTheme="minorHAnsi" w:hAnsiTheme="minorHAnsi" w:cs="Arial"/>
          <w:b/>
          <w:sz w:val="22"/>
          <w:szCs w:val="22"/>
        </w:rPr>
        <w:t>1 PURPOSE OF REPORT</w:t>
      </w:r>
    </w:p>
    <w:p w:rsidR="00DD7BCE" w:rsidRPr="00A015A5" w:rsidRDefault="00DD7BCE" w:rsidP="00DD7BCE">
      <w:pPr>
        <w:ind w:left="720"/>
        <w:jc w:val="both"/>
        <w:rPr>
          <w:rFonts w:asciiTheme="minorHAnsi" w:hAnsiTheme="minorHAnsi" w:cs="Arial"/>
          <w:sz w:val="22"/>
          <w:szCs w:val="22"/>
        </w:rPr>
      </w:pPr>
      <w:r w:rsidRPr="00A015A5">
        <w:rPr>
          <w:rFonts w:asciiTheme="minorHAnsi" w:hAnsiTheme="minorHAnsi" w:cs="Arial"/>
          <w:sz w:val="22"/>
          <w:szCs w:val="22"/>
        </w:rPr>
        <w:t xml:space="preserve">This report provides an update to inform the Board of Directors on recent regulation and compliance guidance issued by such as Monitor, NHS England, the Care Quality Commission, NHS </w:t>
      </w:r>
      <w:r w:rsidR="00CF47D9" w:rsidRPr="00A015A5">
        <w:rPr>
          <w:rFonts w:asciiTheme="minorHAnsi" w:hAnsiTheme="minorHAnsi" w:cs="Arial"/>
          <w:sz w:val="22"/>
          <w:szCs w:val="22"/>
        </w:rPr>
        <w:t xml:space="preserve">Trust </w:t>
      </w:r>
      <w:r w:rsidRPr="00A015A5">
        <w:rPr>
          <w:rFonts w:asciiTheme="minorHAnsi" w:hAnsiTheme="minorHAnsi" w:cs="Arial"/>
          <w:sz w:val="22"/>
          <w:szCs w:val="22"/>
        </w:rPr>
        <w:t>Development Authority and other relevant bodies where their actions have a consequential impact on the Trust or an awareness of the change/impending change is relevant to the Board of Directors.</w:t>
      </w:r>
    </w:p>
    <w:p w:rsidR="00DD7BCE" w:rsidRPr="00A015A5" w:rsidRDefault="00DD7BCE" w:rsidP="00DD7BCE">
      <w:pPr>
        <w:ind w:left="720"/>
        <w:jc w:val="both"/>
        <w:rPr>
          <w:rFonts w:asciiTheme="minorHAnsi" w:hAnsiTheme="minorHAnsi" w:cs="Arial"/>
          <w:sz w:val="22"/>
          <w:szCs w:val="22"/>
        </w:rPr>
      </w:pPr>
    </w:p>
    <w:p w:rsidR="00DD7BCE" w:rsidRPr="00A015A5" w:rsidRDefault="001B3CC2" w:rsidP="00DD7BCE">
      <w:pPr>
        <w:ind w:left="720"/>
        <w:jc w:val="both"/>
        <w:rPr>
          <w:rFonts w:asciiTheme="minorHAnsi" w:hAnsiTheme="minorHAnsi" w:cs="Arial"/>
          <w:sz w:val="22"/>
          <w:szCs w:val="22"/>
        </w:rPr>
      </w:pPr>
      <w:r>
        <w:rPr>
          <w:rFonts w:asciiTheme="minorHAnsi" w:hAnsiTheme="minorHAnsi" w:cs="Arial"/>
          <w:sz w:val="22"/>
          <w:szCs w:val="22"/>
        </w:rPr>
        <w:t>Proposals regarding any matters arising out of the</w:t>
      </w:r>
      <w:r w:rsidR="00DD7BCE" w:rsidRPr="00A015A5">
        <w:rPr>
          <w:rFonts w:asciiTheme="minorHAnsi" w:hAnsiTheme="minorHAnsi" w:cs="Arial"/>
          <w:sz w:val="22"/>
          <w:szCs w:val="22"/>
        </w:rPr>
        <w:t xml:space="preserve"> regular Legal &amp; Regulatory Update report will be received by the Executive Team Meeting to ensure that the Trust is updated in a timely fashion, to enable the Trust to respond as necessary or helpful to consultations and to ensure preparedness for the implications of, and compliance with changes in mandatory frameworks.  </w:t>
      </w:r>
    </w:p>
    <w:p w:rsidR="00DD7BCE" w:rsidRPr="00A015A5" w:rsidRDefault="00DD7BCE" w:rsidP="00DD7BCE">
      <w:pPr>
        <w:ind w:left="720"/>
        <w:jc w:val="both"/>
        <w:rPr>
          <w:rFonts w:asciiTheme="minorHAnsi" w:hAnsiTheme="minorHAnsi" w:cs="Arial"/>
          <w:sz w:val="22"/>
          <w:szCs w:val="22"/>
        </w:rPr>
      </w:pPr>
    </w:p>
    <w:p w:rsidR="001917D0" w:rsidRDefault="00DD7BCE" w:rsidP="001917D0">
      <w:pPr>
        <w:ind w:left="720"/>
        <w:jc w:val="both"/>
        <w:rPr>
          <w:rFonts w:asciiTheme="minorHAnsi" w:hAnsiTheme="minorHAnsi" w:cs="Arial"/>
          <w:b/>
          <w:sz w:val="22"/>
          <w:szCs w:val="22"/>
        </w:rPr>
      </w:pPr>
      <w:r w:rsidRPr="00A015A5">
        <w:rPr>
          <w:rFonts w:asciiTheme="minorHAnsi" w:hAnsiTheme="minorHAnsi" w:cs="Arial"/>
          <w:b/>
          <w:sz w:val="22"/>
          <w:szCs w:val="22"/>
        </w:rPr>
        <w:t>2 LEGAL/POLICY UPDATES</w:t>
      </w:r>
    </w:p>
    <w:p w:rsidR="001917D0" w:rsidRPr="001917D0" w:rsidRDefault="001917D0" w:rsidP="001917D0">
      <w:pPr>
        <w:ind w:left="720"/>
        <w:jc w:val="both"/>
        <w:rPr>
          <w:rFonts w:asciiTheme="minorHAnsi" w:hAnsiTheme="minorHAnsi" w:cs="Arial"/>
          <w:b/>
          <w:sz w:val="22"/>
          <w:szCs w:val="22"/>
        </w:rPr>
      </w:pPr>
    </w:p>
    <w:p w:rsidR="001917D0" w:rsidRPr="001917D0" w:rsidRDefault="001917D0" w:rsidP="001917D0">
      <w:pPr>
        <w:ind w:left="720"/>
        <w:jc w:val="both"/>
        <w:rPr>
          <w:rFonts w:asciiTheme="minorHAnsi" w:hAnsiTheme="minorHAnsi" w:cs="Arial"/>
          <w:b/>
          <w:sz w:val="22"/>
          <w:szCs w:val="22"/>
        </w:rPr>
      </w:pPr>
      <w:r>
        <w:rPr>
          <w:rFonts w:asciiTheme="minorHAnsi" w:hAnsiTheme="minorHAnsi" w:cs="Arial"/>
          <w:b/>
          <w:sz w:val="22"/>
          <w:szCs w:val="22"/>
        </w:rPr>
        <w:t xml:space="preserve">2.1 </w:t>
      </w:r>
      <w:r w:rsidRPr="001917D0">
        <w:rPr>
          <w:rFonts w:asciiTheme="minorHAnsi" w:hAnsiTheme="minorHAnsi" w:cs="Arial"/>
          <w:b/>
          <w:sz w:val="22"/>
          <w:szCs w:val="22"/>
        </w:rPr>
        <w:t xml:space="preserve">CQC publishes </w:t>
      </w:r>
      <w:r>
        <w:rPr>
          <w:rFonts w:asciiTheme="minorHAnsi" w:hAnsiTheme="minorHAnsi" w:cs="Arial"/>
          <w:b/>
          <w:sz w:val="22"/>
          <w:szCs w:val="22"/>
        </w:rPr>
        <w:t xml:space="preserve">its </w:t>
      </w:r>
      <w:r w:rsidRPr="001917D0">
        <w:rPr>
          <w:rFonts w:asciiTheme="minorHAnsi" w:hAnsiTheme="minorHAnsi" w:cs="Arial"/>
          <w:b/>
          <w:sz w:val="22"/>
          <w:szCs w:val="22"/>
        </w:rPr>
        <w:t>business plan for 2016/17</w:t>
      </w:r>
    </w:p>
    <w:p w:rsidR="001917D0" w:rsidRPr="001917D0" w:rsidRDefault="001917D0" w:rsidP="001917D0">
      <w:pPr>
        <w:jc w:val="both"/>
        <w:rPr>
          <w:rFonts w:asciiTheme="minorHAnsi" w:hAnsiTheme="minorHAnsi" w:cs="Arial"/>
          <w:b/>
          <w:sz w:val="22"/>
          <w:szCs w:val="22"/>
        </w:rPr>
      </w:pPr>
    </w:p>
    <w:p w:rsidR="001917D0" w:rsidRPr="001917D0" w:rsidRDefault="001917D0" w:rsidP="001917D0">
      <w:pPr>
        <w:ind w:left="720"/>
        <w:jc w:val="both"/>
        <w:rPr>
          <w:rFonts w:asciiTheme="minorHAnsi" w:hAnsiTheme="minorHAnsi" w:cs="Arial"/>
          <w:sz w:val="22"/>
          <w:szCs w:val="22"/>
        </w:rPr>
      </w:pPr>
      <w:r w:rsidRPr="001917D0">
        <w:rPr>
          <w:rFonts w:asciiTheme="minorHAnsi" w:hAnsiTheme="minorHAnsi" w:cs="Arial"/>
          <w:sz w:val="22"/>
          <w:szCs w:val="22"/>
        </w:rPr>
        <w:t>The CQC has published its business plan for April 2016 to March 2017 setting out the first phase of its five-year strategy for health and adult social care regulation in England.</w:t>
      </w:r>
    </w:p>
    <w:p w:rsidR="001917D0" w:rsidRPr="001917D0" w:rsidRDefault="001917D0" w:rsidP="001917D0">
      <w:pPr>
        <w:ind w:left="720"/>
        <w:jc w:val="both"/>
        <w:rPr>
          <w:rFonts w:asciiTheme="minorHAnsi" w:hAnsiTheme="minorHAnsi" w:cs="Arial"/>
          <w:sz w:val="22"/>
          <w:szCs w:val="22"/>
        </w:rPr>
      </w:pPr>
    </w:p>
    <w:p w:rsidR="001917D0" w:rsidRPr="001917D0" w:rsidRDefault="001917D0" w:rsidP="001917D0">
      <w:pPr>
        <w:ind w:left="720"/>
        <w:jc w:val="both"/>
        <w:rPr>
          <w:rFonts w:asciiTheme="minorHAnsi" w:hAnsiTheme="minorHAnsi" w:cs="Arial"/>
          <w:sz w:val="22"/>
          <w:szCs w:val="22"/>
        </w:rPr>
      </w:pPr>
      <w:r w:rsidRPr="001917D0">
        <w:rPr>
          <w:rFonts w:asciiTheme="minorHAnsi" w:hAnsiTheme="minorHAnsi" w:cs="Arial"/>
          <w:sz w:val="22"/>
          <w:szCs w:val="22"/>
        </w:rPr>
        <w:t>The plan for 2016/17 is set in the context of the increasing pressures faced by the health and care system in England, driven by changing care needs and financial demands on all public services. Providers and staff are being asked to deliver significant efficiency savings to ensure that the health and care system remains sustainable for the future, while meeting the more complex needs of the population, including those with multiple comorbidities and older people.</w:t>
      </w:r>
    </w:p>
    <w:p w:rsidR="001917D0" w:rsidRPr="001917D0" w:rsidRDefault="001917D0" w:rsidP="001917D0">
      <w:pPr>
        <w:ind w:left="720"/>
        <w:jc w:val="both"/>
        <w:rPr>
          <w:rFonts w:asciiTheme="minorHAnsi" w:hAnsiTheme="minorHAnsi" w:cs="Arial"/>
          <w:sz w:val="22"/>
          <w:szCs w:val="22"/>
        </w:rPr>
      </w:pPr>
    </w:p>
    <w:p w:rsidR="001917D0" w:rsidRPr="001917D0" w:rsidRDefault="001917D0" w:rsidP="001917D0">
      <w:pPr>
        <w:ind w:left="720"/>
        <w:jc w:val="both"/>
        <w:rPr>
          <w:rFonts w:asciiTheme="minorHAnsi" w:hAnsiTheme="minorHAnsi" w:cs="Arial"/>
          <w:sz w:val="22"/>
          <w:szCs w:val="22"/>
        </w:rPr>
      </w:pPr>
      <w:r w:rsidRPr="001917D0">
        <w:rPr>
          <w:rFonts w:asciiTheme="minorHAnsi" w:hAnsiTheme="minorHAnsi" w:cs="Arial"/>
          <w:sz w:val="22"/>
          <w:szCs w:val="22"/>
        </w:rPr>
        <w:t xml:space="preserve">As a result, the way in which health and social care is delivered has begun to undergo a fundamental transformation - providers are changing the way services are </w:t>
      </w:r>
      <w:proofErr w:type="spellStart"/>
      <w:r w:rsidRPr="001917D0">
        <w:rPr>
          <w:rFonts w:asciiTheme="minorHAnsi" w:hAnsiTheme="minorHAnsi" w:cs="Arial"/>
          <w:sz w:val="22"/>
          <w:szCs w:val="22"/>
        </w:rPr>
        <w:t>organised</w:t>
      </w:r>
      <w:proofErr w:type="spellEnd"/>
      <w:r w:rsidRPr="001917D0">
        <w:rPr>
          <w:rFonts w:asciiTheme="minorHAnsi" w:hAnsiTheme="minorHAnsi" w:cs="Arial"/>
          <w:sz w:val="22"/>
          <w:szCs w:val="22"/>
        </w:rPr>
        <w:t xml:space="preserve"> and how they deliver care in response to pressure and opportunities to do things differently. Traditional boundaries between </w:t>
      </w:r>
      <w:proofErr w:type="spellStart"/>
      <w:r w:rsidRPr="001917D0">
        <w:rPr>
          <w:rFonts w:asciiTheme="minorHAnsi" w:hAnsiTheme="minorHAnsi" w:cs="Arial"/>
          <w:sz w:val="22"/>
          <w:szCs w:val="22"/>
        </w:rPr>
        <w:t>organisations</w:t>
      </w:r>
      <w:proofErr w:type="spellEnd"/>
      <w:r w:rsidRPr="001917D0">
        <w:rPr>
          <w:rFonts w:asciiTheme="minorHAnsi" w:hAnsiTheme="minorHAnsi" w:cs="Arial"/>
          <w:sz w:val="22"/>
          <w:szCs w:val="22"/>
        </w:rPr>
        <w:t xml:space="preserve"> and sectors are blurring and </w:t>
      </w:r>
      <w:proofErr w:type="spellStart"/>
      <w:r w:rsidRPr="001917D0">
        <w:rPr>
          <w:rFonts w:asciiTheme="minorHAnsi" w:hAnsiTheme="minorHAnsi" w:cs="Arial"/>
          <w:sz w:val="22"/>
          <w:szCs w:val="22"/>
        </w:rPr>
        <w:t>organisations</w:t>
      </w:r>
      <w:proofErr w:type="spellEnd"/>
      <w:r w:rsidRPr="001917D0">
        <w:rPr>
          <w:rFonts w:asciiTheme="minorHAnsi" w:hAnsiTheme="minorHAnsi" w:cs="Arial"/>
          <w:sz w:val="22"/>
          <w:szCs w:val="22"/>
        </w:rPr>
        <w:t xml:space="preserve"> are redesigning their services to meet changing needs.</w:t>
      </w:r>
    </w:p>
    <w:p w:rsidR="001917D0" w:rsidRPr="001917D0" w:rsidRDefault="001917D0" w:rsidP="001917D0">
      <w:pPr>
        <w:ind w:left="720"/>
        <w:jc w:val="both"/>
        <w:rPr>
          <w:rFonts w:asciiTheme="minorHAnsi" w:hAnsiTheme="minorHAnsi" w:cs="Arial"/>
          <w:b/>
          <w:sz w:val="22"/>
          <w:szCs w:val="22"/>
        </w:rPr>
      </w:pPr>
    </w:p>
    <w:p w:rsidR="001917D0" w:rsidRPr="001917D0" w:rsidRDefault="001917D0" w:rsidP="001917D0">
      <w:pPr>
        <w:ind w:left="720"/>
        <w:jc w:val="both"/>
        <w:rPr>
          <w:rFonts w:asciiTheme="minorHAnsi" w:hAnsiTheme="minorHAnsi" w:cs="Arial"/>
          <w:sz w:val="22"/>
          <w:szCs w:val="22"/>
        </w:rPr>
      </w:pPr>
      <w:r w:rsidRPr="001917D0">
        <w:rPr>
          <w:rFonts w:asciiTheme="minorHAnsi" w:hAnsiTheme="minorHAnsi" w:cs="Arial"/>
          <w:sz w:val="22"/>
          <w:szCs w:val="22"/>
        </w:rPr>
        <w:t>The way services are regulated is evolving to reflect these changes, although the CQC states that its purpose remains unchanged: to make sure that health and social care services provide people with safe, high-quality and compassionate care, and to encourage improvement. More than ever, its focus will be on regulating for quality in a time of straitened public finances. Its priorities for 2016/17 will be:</w:t>
      </w:r>
    </w:p>
    <w:p w:rsidR="001917D0" w:rsidRPr="001917D0" w:rsidRDefault="001917D0" w:rsidP="001917D0">
      <w:pPr>
        <w:ind w:left="720"/>
        <w:jc w:val="both"/>
        <w:rPr>
          <w:rFonts w:asciiTheme="minorHAnsi" w:hAnsiTheme="minorHAnsi" w:cs="Arial"/>
          <w:sz w:val="22"/>
          <w:szCs w:val="22"/>
        </w:rPr>
      </w:pPr>
    </w:p>
    <w:p w:rsidR="001917D0" w:rsidRPr="001917D0" w:rsidRDefault="001917D0" w:rsidP="001B3C92">
      <w:pPr>
        <w:ind w:left="1440"/>
        <w:jc w:val="both"/>
        <w:rPr>
          <w:rFonts w:asciiTheme="minorHAnsi" w:hAnsiTheme="minorHAnsi" w:cs="Arial"/>
          <w:sz w:val="22"/>
          <w:szCs w:val="22"/>
        </w:rPr>
      </w:pPr>
      <w:r w:rsidRPr="001917D0">
        <w:rPr>
          <w:rFonts w:asciiTheme="minorHAnsi" w:hAnsiTheme="minorHAnsi" w:cs="Arial"/>
          <w:sz w:val="22"/>
          <w:szCs w:val="22"/>
        </w:rPr>
        <w:t xml:space="preserve">1.Deliver its approach to regulation: this includes completing its first comprehensive inspection </w:t>
      </w:r>
      <w:proofErr w:type="spellStart"/>
      <w:r w:rsidRPr="001917D0">
        <w:rPr>
          <w:rFonts w:asciiTheme="minorHAnsi" w:hAnsiTheme="minorHAnsi" w:cs="Arial"/>
          <w:sz w:val="22"/>
          <w:szCs w:val="22"/>
        </w:rPr>
        <w:t>programme</w:t>
      </w:r>
      <w:proofErr w:type="spellEnd"/>
      <w:r w:rsidRPr="001917D0">
        <w:rPr>
          <w:rFonts w:asciiTheme="minorHAnsi" w:hAnsiTheme="minorHAnsi" w:cs="Arial"/>
          <w:sz w:val="22"/>
          <w:szCs w:val="22"/>
        </w:rPr>
        <w:t>, which leads to services being rated as either outstanding,</w:t>
      </w:r>
      <w:r w:rsidRPr="001917D0">
        <w:rPr>
          <w:rFonts w:asciiTheme="minorHAnsi" w:hAnsiTheme="minorHAnsi" w:cs="Arial"/>
          <w:b/>
          <w:sz w:val="22"/>
          <w:szCs w:val="22"/>
        </w:rPr>
        <w:t xml:space="preserve"> good, </w:t>
      </w:r>
      <w:r w:rsidRPr="001917D0">
        <w:rPr>
          <w:rFonts w:asciiTheme="minorHAnsi" w:hAnsiTheme="minorHAnsi" w:cs="Arial"/>
          <w:sz w:val="22"/>
          <w:szCs w:val="22"/>
        </w:rPr>
        <w:t xml:space="preserve">requires improvement or inadequate, as well as ensuring that registration processes support providers to deliver high-quality </w:t>
      </w:r>
      <w:r w:rsidRPr="001917D0">
        <w:rPr>
          <w:rFonts w:asciiTheme="minorHAnsi" w:hAnsiTheme="minorHAnsi" w:cs="Arial"/>
          <w:sz w:val="22"/>
          <w:szCs w:val="22"/>
        </w:rPr>
        <w:lastRenderedPageBreak/>
        <w:t>care while encouraging innovation. This follows an earlier announcement that the CQC has already completed comprehensive inspections of all 154 acute NHS trusts in England by the end of March 2016, as planned.</w:t>
      </w:r>
    </w:p>
    <w:p w:rsidR="001917D0" w:rsidRPr="001917D0" w:rsidRDefault="001917D0" w:rsidP="001B3C92">
      <w:pPr>
        <w:ind w:left="1440"/>
        <w:jc w:val="both"/>
        <w:rPr>
          <w:rFonts w:asciiTheme="minorHAnsi" w:hAnsiTheme="minorHAnsi" w:cs="Arial"/>
          <w:sz w:val="22"/>
          <w:szCs w:val="22"/>
        </w:rPr>
      </w:pPr>
      <w:r w:rsidRPr="001917D0">
        <w:rPr>
          <w:rFonts w:asciiTheme="minorHAnsi" w:hAnsiTheme="minorHAnsi" w:cs="Arial"/>
          <w:sz w:val="22"/>
          <w:szCs w:val="22"/>
        </w:rPr>
        <w:t>2. Shape the future of health and care regulation: this will ensure that its approach remains relevant to a changing environment, including by making better use of intelligence, developing a shared view of quality with providers, and developing a framework with NHS Improvement on how well NHS acute hospitals use their resources.</w:t>
      </w:r>
    </w:p>
    <w:p w:rsidR="001917D0" w:rsidRPr="001917D0" w:rsidRDefault="001917D0" w:rsidP="001B3C92">
      <w:pPr>
        <w:ind w:left="1440"/>
        <w:jc w:val="both"/>
        <w:rPr>
          <w:rFonts w:asciiTheme="minorHAnsi" w:hAnsiTheme="minorHAnsi" w:cs="Arial"/>
          <w:sz w:val="22"/>
          <w:szCs w:val="22"/>
        </w:rPr>
      </w:pPr>
      <w:r w:rsidRPr="001917D0">
        <w:rPr>
          <w:rFonts w:asciiTheme="minorHAnsi" w:hAnsiTheme="minorHAnsi" w:cs="Arial"/>
          <w:sz w:val="22"/>
          <w:szCs w:val="22"/>
        </w:rPr>
        <w:t xml:space="preserve">3. Build an effective, efficient, learning and values-based CQC: this covers developing the skills needed internally to embed culture and values and to respond to the changing needs of the </w:t>
      </w:r>
      <w:proofErr w:type="spellStart"/>
      <w:r w:rsidRPr="001917D0">
        <w:rPr>
          <w:rFonts w:asciiTheme="minorHAnsi" w:hAnsiTheme="minorHAnsi" w:cs="Arial"/>
          <w:sz w:val="22"/>
          <w:szCs w:val="22"/>
        </w:rPr>
        <w:t>organisation</w:t>
      </w:r>
      <w:proofErr w:type="spellEnd"/>
      <w:r w:rsidRPr="001917D0">
        <w:rPr>
          <w:rFonts w:asciiTheme="minorHAnsi" w:hAnsiTheme="minorHAnsi" w:cs="Arial"/>
          <w:sz w:val="22"/>
          <w:szCs w:val="22"/>
        </w:rPr>
        <w:t xml:space="preserve"> and wider system.</w:t>
      </w:r>
    </w:p>
    <w:p w:rsidR="001917D0" w:rsidRPr="001917D0" w:rsidRDefault="001917D0" w:rsidP="001B3C92">
      <w:pPr>
        <w:ind w:left="1440"/>
        <w:jc w:val="both"/>
        <w:rPr>
          <w:rFonts w:asciiTheme="minorHAnsi" w:hAnsiTheme="minorHAnsi" w:cs="Arial"/>
          <w:b/>
          <w:sz w:val="22"/>
          <w:szCs w:val="22"/>
        </w:rPr>
      </w:pPr>
      <w:r w:rsidRPr="001917D0">
        <w:rPr>
          <w:rFonts w:asciiTheme="minorHAnsi" w:hAnsiTheme="minorHAnsi" w:cs="Arial"/>
          <w:sz w:val="22"/>
          <w:szCs w:val="22"/>
        </w:rPr>
        <w:t>4. Demonstrate the difference CQC makes: this covers evaluating, measuring and reporting on performance, quality, management assurance, impact and value for money, using this evidence to learn and improve, and to be publicly accountable</w:t>
      </w:r>
      <w:r w:rsidRPr="001917D0">
        <w:rPr>
          <w:rFonts w:asciiTheme="minorHAnsi" w:hAnsiTheme="minorHAnsi" w:cs="Arial"/>
          <w:b/>
          <w:sz w:val="22"/>
          <w:szCs w:val="22"/>
        </w:rPr>
        <w:t>.</w:t>
      </w:r>
    </w:p>
    <w:p w:rsidR="001917D0" w:rsidRPr="001917D0" w:rsidRDefault="001917D0" w:rsidP="001917D0">
      <w:pPr>
        <w:ind w:left="720"/>
        <w:jc w:val="both"/>
        <w:rPr>
          <w:rFonts w:asciiTheme="minorHAnsi" w:hAnsiTheme="minorHAnsi" w:cs="Arial"/>
          <w:b/>
          <w:sz w:val="22"/>
          <w:szCs w:val="22"/>
        </w:rPr>
      </w:pPr>
    </w:p>
    <w:p w:rsidR="00FA331A" w:rsidRDefault="001917D0" w:rsidP="00DD7BCE">
      <w:pPr>
        <w:ind w:left="720"/>
        <w:jc w:val="both"/>
        <w:rPr>
          <w:rFonts w:asciiTheme="minorHAnsi" w:hAnsiTheme="minorHAnsi" w:cs="Arial"/>
          <w:b/>
          <w:sz w:val="22"/>
          <w:szCs w:val="22"/>
        </w:rPr>
      </w:pPr>
      <w:r w:rsidRPr="001917D0">
        <w:rPr>
          <w:rFonts w:asciiTheme="minorHAnsi" w:hAnsiTheme="minorHAnsi" w:cs="Arial"/>
          <w:sz w:val="22"/>
          <w:szCs w:val="22"/>
        </w:rPr>
        <w:t>The full strategy for regulation over the next f</w:t>
      </w:r>
      <w:r>
        <w:rPr>
          <w:rFonts w:asciiTheme="minorHAnsi" w:hAnsiTheme="minorHAnsi" w:cs="Arial"/>
          <w:sz w:val="22"/>
          <w:szCs w:val="22"/>
        </w:rPr>
        <w:t>ive years will be published</w:t>
      </w:r>
      <w:r w:rsidRPr="001917D0">
        <w:rPr>
          <w:rFonts w:asciiTheme="minorHAnsi" w:hAnsiTheme="minorHAnsi" w:cs="Arial"/>
          <w:sz w:val="22"/>
          <w:szCs w:val="22"/>
        </w:rPr>
        <w:t xml:space="preserve"> next month</w:t>
      </w:r>
      <w:r>
        <w:rPr>
          <w:rFonts w:asciiTheme="minorHAnsi" w:hAnsiTheme="minorHAnsi" w:cs="Arial"/>
          <w:b/>
          <w:sz w:val="22"/>
          <w:szCs w:val="22"/>
        </w:rPr>
        <w:t>.</w:t>
      </w:r>
      <w:r w:rsidRPr="001917D0">
        <w:rPr>
          <w:rFonts w:asciiTheme="minorHAnsi" w:hAnsiTheme="minorHAnsi" w:cs="Arial"/>
          <w:b/>
          <w:sz w:val="22"/>
          <w:szCs w:val="22"/>
        </w:rPr>
        <w:t xml:space="preserve"> </w:t>
      </w:r>
    </w:p>
    <w:p w:rsidR="001917D0" w:rsidRDefault="001917D0" w:rsidP="00DD7BCE">
      <w:pPr>
        <w:ind w:left="720"/>
        <w:jc w:val="both"/>
        <w:rPr>
          <w:rFonts w:asciiTheme="minorHAnsi" w:hAnsiTheme="minorHAnsi" w:cs="Arial"/>
          <w:b/>
          <w:sz w:val="22"/>
          <w:szCs w:val="22"/>
        </w:rPr>
      </w:pPr>
    </w:p>
    <w:p w:rsidR="001917D0" w:rsidRPr="00F943B7" w:rsidRDefault="00F943B7" w:rsidP="00DD7BCE">
      <w:pPr>
        <w:ind w:left="720"/>
        <w:jc w:val="both"/>
        <w:rPr>
          <w:rFonts w:asciiTheme="minorHAnsi" w:hAnsiTheme="minorHAnsi" w:cs="Arial"/>
          <w:sz w:val="22"/>
          <w:szCs w:val="22"/>
        </w:rPr>
      </w:pPr>
      <w:hyperlink r:id="rId9" w:history="1">
        <w:r w:rsidR="001917D0" w:rsidRPr="00F943B7">
          <w:rPr>
            <w:rStyle w:val="Hyperlink"/>
            <w:rFonts w:asciiTheme="minorHAnsi" w:hAnsiTheme="minorHAnsi" w:cs="Arial"/>
            <w:sz w:val="22"/>
            <w:szCs w:val="22"/>
          </w:rPr>
          <w:t>http://www.cqc.org.uk/content/cqc-publishes-business-plan-201617</w:t>
        </w:r>
      </w:hyperlink>
    </w:p>
    <w:p w:rsidR="001917D0" w:rsidRDefault="001917D0" w:rsidP="004F5312">
      <w:pPr>
        <w:jc w:val="both"/>
        <w:rPr>
          <w:rFonts w:asciiTheme="minorHAnsi" w:hAnsiTheme="minorHAnsi" w:cs="Arial"/>
          <w:b/>
          <w:sz w:val="22"/>
          <w:szCs w:val="22"/>
        </w:rPr>
      </w:pPr>
    </w:p>
    <w:p w:rsidR="001917D0" w:rsidRDefault="001917D0" w:rsidP="00DD7BCE">
      <w:pPr>
        <w:ind w:left="720"/>
        <w:jc w:val="both"/>
        <w:rPr>
          <w:rFonts w:asciiTheme="minorHAnsi" w:hAnsiTheme="minorHAnsi" w:cs="Arial"/>
          <w:b/>
          <w:sz w:val="22"/>
          <w:szCs w:val="22"/>
        </w:rPr>
      </w:pPr>
    </w:p>
    <w:p w:rsidR="001917D0" w:rsidRDefault="00F93CBB" w:rsidP="00DD7BCE">
      <w:pPr>
        <w:ind w:left="720"/>
        <w:jc w:val="both"/>
        <w:rPr>
          <w:rFonts w:asciiTheme="minorHAnsi" w:hAnsiTheme="minorHAnsi" w:cs="Arial"/>
          <w:b/>
          <w:sz w:val="22"/>
          <w:szCs w:val="22"/>
        </w:rPr>
      </w:pPr>
      <w:r>
        <w:rPr>
          <w:rFonts w:asciiTheme="minorHAnsi" w:hAnsiTheme="minorHAnsi" w:cs="Arial"/>
          <w:b/>
          <w:sz w:val="22"/>
          <w:szCs w:val="22"/>
        </w:rPr>
        <w:t xml:space="preserve">2.2 </w:t>
      </w:r>
      <w:r w:rsidR="001917D0" w:rsidRPr="001917D0">
        <w:rPr>
          <w:rFonts w:asciiTheme="minorHAnsi" w:hAnsiTheme="minorHAnsi" w:cs="Arial"/>
          <w:b/>
          <w:sz w:val="22"/>
          <w:szCs w:val="22"/>
        </w:rPr>
        <w:t>Mental health funding not reaching the frontline</w:t>
      </w:r>
    </w:p>
    <w:p w:rsidR="00F93CBB" w:rsidRDefault="00F93CBB" w:rsidP="00DD7BCE">
      <w:pPr>
        <w:ind w:left="720"/>
        <w:jc w:val="both"/>
        <w:rPr>
          <w:rFonts w:asciiTheme="minorHAnsi" w:hAnsiTheme="minorHAnsi" w:cs="Arial"/>
          <w:b/>
          <w:sz w:val="22"/>
          <w:szCs w:val="22"/>
        </w:rPr>
      </w:pPr>
    </w:p>
    <w:p w:rsidR="00F93CBB" w:rsidRPr="00F93CBB" w:rsidRDefault="00F93CBB" w:rsidP="00F93CBB">
      <w:pPr>
        <w:ind w:left="720"/>
        <w:jc w:val="both"/>
        <w:rPr>
          <w:rFonts w:asciiTheme="minorHAnsi" w:hAnsiTheme="minorHAnsi" w:cs="Arial"/>
          <w:sz w:val="22"/>
          <w:szCs w:val="22"/>
        </w:rPr>
      </w:pPr>
      <w:r w:rsidRPr="00F93CBB">
        <w:rPr>
          <w:rFonts w:asciiTheme="minorHAnsi" w:hAnsiTheme="minorHAnsi" w:cs="Arial"/>
          <w:sz w:val="22"/>
          <w:szCs w:val="22"/>
        </w:rPr>
        <w:t>A new survey has found that the government’s commitment to parity of esteem between mental and physical health services is being undermined by a failure to ensure funding increases reach the frontline.</w:t>
      </w:r>
    </w:p>
    <w:p w:rsidR="001B3C92" w:rsidRDefault="001B3C92" w:rsidP="00F93CBB">
      <w:pPr>
        <w:ind w:left="720"/>
        <w:jc w:val="both"/>
        <w:rPr>
          <w:rFonts w:asciiTheme="minorHAnsi" w:hAnsiTheme="minorHAnsi" w:cs="Arial"/>
          <w:sz w:val="22"/>
          <w:szCs w:val="22"/>
        </w:rPr>
      </w:pPr>
    </w:p>
    <w:p w:rsidR="00F93CBB" w:rsidRPr="00F93CBB" w:rsidRDefault="00F93CBB" w:rsidP="00F93CBB">
      <w:pPr>
        <w:ind w:left="720"/>
        <w:jc w:val="both"/>
        <w:rPr>
          <w:rFonts w:asciiTheme="minorHAnsi" w:hAnsiTheme="minorHAnsi" w:cs="Arial"/>
          <w:sz w:val="22"/>
          <w:szCs w:val="22"/>
        </w:rPr>
      </w:pPr>
      <w:r w:rsidRPr="00F93CBB">
        <w:rPr>
          <w:rFonts w:asciiTheme="minorHAnsi" w:hAnsiTheme="minorHAnsi" w:cs="Arial"/>
          <w:sz w:val="22"/>
          <w:szCs w:val="22"/>
        </w:rPr>
        <w:t xml:space="preserve">NHS Providers and the Healthcare Financial Management Association (HFMA) surveyed finance directors in mental health trusts and chief finance officers in clinical commissioning groups (CCGs) to understand how the parity of esteem commitment is being implemented locally. More than half (55%) of England’s mental health trusts responded, along with 10% of CCGs. </w:t>
      </w:r>
    </w:p>
    <w:p w:rsidR="001B3C92" w:rsidRDefault="001B3C92" w:rsidP="00F93CBB">
      <w:pPr>
        <w:ind w:left="720"/>
        <w:jc w:val="both"/>
        <w:rPr>
          <w:rFonts w:asciiTheme="minorHAnsi" w:hAnsiTheme="minorHAnsi" w:cs="Arial"/>
          <w:sz w:val="22"/>
          <w:szCs w:val="22"/>
        </w:rPr>
      </w:pPr>
    </w:p>
    <w:p w:rsidR="00F93CBB" w:rsidRPr="00F93CBB" w:rsidRDefault="00F93CBB" w:rsidP="00F93CBB">
      <w:pPr>
        <w:ind w:left="720"/>
        <w:jc w:val="both"/>
        <w:rPr>
          <w:rFonts w:asciiTheme="minorHAnsi" w:hAnsiTheme="minorHAnsi" w:cs="Arial"/>
          <w:sz w:val="22"/>
          <w:szCs w:val="22"/>
        </w:rPr>
      </w:pPr>
      <w:r w:rsidRPr="00F93CBB">
        <w:rPr>
          <w:rFonts w:asciiTheme="minorHAnsi" w:hAnsiTheme="minorHAnsi" w:cs="Arial"/>
          <w:sz w:val="22"/>
          <w:szCs w:val="22"/>
        </w:rPr>
        <w:t xml:space="preserve">The report, </w:t>
      </w:r>
      <w:r w:rsidR="001B3C92">
        <w:rPr>
          <w:rFonts w:asciiTheme="minorHAnsi" w:hAnsiTheme="minorHAnsi" w:cs="Arial"/>
          <w:sz w:val="22"/>
          <w:szCs w:val="22"/>
        </w:rPr>
        <w:t>‘</w:t>
      </w:r>
      <w:r w:rsidRPr="00F93CBB">
        <w:rPr>
          <w:rFonts w:asciiTheme="minorHAnsi" w:hAnsiTheme="minorHAnsi" w:cs="Arial"/>
          <w:sz w:val="22"/>
          <w:szCs w:val="22"/>
        </w:rPr>
        <w:t>Funding mental health at local level: unpicking the variation</w:t>
      </w:r>
      <w:r w:rsidR="001B3C92">
        <w:rPr>
          <w:rFonts w:asciiTheme="minorHAnsi" w:hAnsiTheme="minorHAnsi" w:cs="Arial"/>
          <w:sz w:val="22"/>
          <w:szCs w:val="22"/>
        </w:rPr>
        <w:t>’</w:t>
      </w:r>
      <w:r w:rsidRPr="00F93CBB">
        <w:rPr>
          <w:rFonts w:asciiTheme="minorHAnsi" w:hAnsiTheme="minorHAnsi" w:cs="Arial"/>
          <w:sz w:val="22"/>
          <w:szCs w:val="22"/>
        </w:rPr>
        <w:t xml:space="preserve"> reveals that:</w:t>
      </w:r>
    </w:p>
    <w:p w:rsidR="00F93CBB" w:rsidRPr="00F93CBB" w:rsidRDefault="00F93CBB" w:rsidP="001B3C92">
      <w:pPr>
        <w:ind w:left="1440"/>
        <w:jc w:val="both"/>
        <w:rPr>
          <w:rFonts w:asciiTheme="minorHAnsi" w:hAnsiTheme="minorHAnsi" w:cs="Arial"/>
          <w:sz w:val="22"/>
          <w:szCs w:val="22"/>
        </w:rPr>
      </w:pPr>
      <w:r w:rsidRPr="00F93CBB">
        <w:rPr>
          <w:rFonts w:asciiTheme="minorHAnsi" w:hAnsiTheme="minorHAnsi" w:cs="Arial"/>
          <w:sz w:val="22"/>
          <w:szCs w:val="22"/>
        </w:rPr>
        <w:t>•Only half (52%) of providers reported that they had received a real terms increase in funding of their services in 2015/16.</w:t>
      </w:r>
    </w:p>
    <w:p w:rsidR="00F93CBB" w:rsidRPr="00F93CBB" w:rsidRDefault="00F93CBB" w:rsidP="001B3C92">
      <w:pPr>
        <w:ind w:left="1440"/>
        <w:jc w:val="both"/>
        <w:rPr>
          <w:rFonts w:asciiTheme="minorHAnsi" w:hAnsiTheme="minorHAnsi" w:cs="Arial"/>
          <w:sz w:val="22"/>
          <w:szCs w:val="22"/>
        </w:rPr>
      </w:pPr>
      <w:r w:rsidRPr="00F93CBB">
        <w:rPr>
          <w:rFonts w:asciiTheme="minorHAnsi" w:hAnsiTheme="minorHAnsi" w:cs="Arial"/>
          <w:sz w:val="22"/>
          <w:szCs w:val="22"/>
        </w:rPr>
        <w:t>•There is limited confidence that funding increases will be delivered this year, with only a quarter (25%) of providers saying they were confident that their commissioners were going to increase the value of their contracts for 2016/17.</w:t>
      </w:r>
    </w:p>
    <w:p w:rsidR="00F93CBB" w:rsidRPr="00F93CBB" w:rsidRDefault="00F93CBB" w:rsidP="001B3C92">
      <w:pPr>
        <w:ind w:left="1440"/>
        <w:jc w:val="both"/>
        <w:rPr>
          <w:rFonts w:asciiTheme="minorHAnsi" w:hAnsiTheme="minorHAnsi" w:cs="Arial"/>
          <w:sz w:val="22"/>
          <w:szCs w:val="22"/>
        </w:rPr>
      </w:pPr>
      <w:r w:rsidRPr="00F93CBB">
        <w:rPr>
          <w:rFonts w:asciiTheme="minorHAnsi" w:hAnsiTheme="minorHAnsi" w:cs="Arial"/>
          <w:sz w:val="22"/>
          <w:szCs w:val="22"/>
        </w:rPr>
        <w:t>•There is a lack of alignment between commissioners and providers over what it means to implement parity of esteem – there is confusion over what services should be covered, and how much investment should be made.</w:t>
      </w:r>
    </w:p>
    <w:p w:rsidR="00F93CBB" w:rsidRPr="00F93CBB" w:rsidRDefault="00F93CBB" w:rsidP="00F93CBB">
      <w:pPr>
        <w:ind w:left="720"/>
        <w:jc w:val="both"/>
        <w:rPr>
          <w:rFonts w:asciiTheme="minorHAnsi" w:hAnsiTheme="minorHAnsi" w:cs="Arial"/>
          <w:sz w:val="22"/>
          <w:szCs w:val="22"/>
        </w:rPr>
      </w:pPr>
    </w:p>
    <w:p w:rsidR="00F93CBB" w:rsidRPr="00F93CBB" w:rsidRDefault="00F93CBB" w:rsidP="00F93CBB">
      <w:pPr>
        <w:ind w:left="720"/>
        <w:jc w:val="both"/>
        <w:rPr>
          <w:rFonts w:asciiTheme="minorHAnsi" w:hAnsiTheme="minorHAnsi" w:cs="Arial"/>
          <w:sz w:val="22"/>
          <w:szCs w:val="22"/>
        </w:rPr>
      </w:pPr>
      <w:r w:rsidRPr="00F93CBB">
        <w:rPr>
          <w:rFonts w:asciiTheme="minorHAnsi" w:hAnsiTheme="minorHAnsi" w:cs="Arial"/>
          <w:sz w:val="22"/>
          <w:szCs w:val="22"/>
        </w:rPr>
        <w:t>The report calls for greater clarity and transparency from the government and leaders of the arms-length bodies in the following key areas:</w:t>
      </w:r>
    </w:p>
    <w:p w:rsidR="00F93CBB" w:rsidRPr="00F93CBB" w:rsidRDefault="00F93CBB" w:rsidP="00F93CBB">
      <w:pPr>
        <w:ind w:left="720"/>
        <w:jc w:val="both"/>
        <w:rPr>
          <w:rFonts w:asciiTheme="minorHAnsi" w:hAnsiTheme="minorHAnsi" w:cs="Arial"/>
          <w:b/>
          <w:sz w:val="22"/>
          <w:szCs w:val="22"/>
        </w:rPr>
      </w:pPr>
    </w:p>
    <w:p w:rsidR="00F93CBB" w:rsidRPr="00F93CBB" w:rsidRDefault="00F93CBB" w:rsidP="001B3C92">
      <w:pPr>
        <w:ind w:left="1440"/>
        <w:jc w:val="both"/>
        <w:rPr>
          <w:rFonts w:asciiTheme="minorHAnsi" w:hAnsiTheme="minorHAnsi" w:cs="Arial"/>
          <w:sz w:val="22"/>
          <w:szCs w:val="22"/>
        </w:rPr>
      </w:pPr>
      <w:r w:rsidRPr="00F93CBB">
        <w:rPr>
          <w:rFonts w:asciiTheme="minorHAnsi" w:hAnsiTheme="minorHAnsi" w:cs="Arial"/>
          <w:sz w:val="22"/>
          <w:szCs w:val="22"/>
        </w:rPr>
        <w:t>1.</w:t>
      </w:r>
      <w:r w:rsidR="001B3C92">
        <w:rPr>
          <w:rFonts w:asciiTheme="minorHAnsi" w:hAnsiTheme="minorHAnsi" w:cs="Arial"/>
          <w:sz w:val="22"/>
          <w:szCs w:val="22"/>
        </w:rPr>
        <w:t xml:space="preserve">  </w:t>
      </w:r>
      <w:r w:rsidRPr="00F93CBB">
        <w:rPr>
          <w:rFonts w:asciiTheme="minorHAnsi" w:hAnsiTheme="minorHAnsi" w:cs="Arial"/>
          <w:sz w:val="22"/>
          <w:szCs w:val="22"/>
        </w:rPr>
        <w:t>How much is being made available for mental health services, and in which areas</w:t>
      </w:r>
    </w:p>
    <w:p w:rsidR="00F93CBB" w:rsidRPr="00F93CBB" w:rsidRDefault="00F93CBB" w:rsidP="001B3C92">
      <w:pPr>
        <w:ind w:left="1440"/>
        <w:jc w:val="both"/>
        <w:rPr>
          <w:rFonts w:asciiTheme="minorHAnsi" w:hAnsiTheme="minorHAnsi" w:cs="Arial"/>
          <w:sz w:val="22"/>
          <w:szCs w:val="22"/>
        </w:rPr>
      </w:pPr>
      <w:r w:rsidRPr="00F93CBB">
        <w:rPr>
          <w:rFonts w:asciiTheme="minorHAnsi" w:hAnsiTheme="minorHAnsi" w:cs="Arial"/>
          <w:sz w:val="22"/>
          <w:szCs w:val="22"/>
        </w:rPr>
        <w:lastRenderedPageBreak/>
        <w:t>2.</w:t>
      </w:r>
      <w:r w:rsidR="001B3C92">
        <w:rPr>
          <w:rFonts w:asciiTheme="minorHAnsi" w:hAnsiTheme="minorHAnsi" w:cs="Arial"/>
          <w:sz w:val="22"/>
          <w:szCs w:val="22"/>
        </w:rPr>
        <w:t xml:space="preserve">  </w:t>
      </w:r>
      <w:r w:rsidRPr="00F93CBB">
        <w:rPr>
          <w:rFonts w:asciiTheme="minorHAnsi" w:hAnsiTheme="minorHAnsi" w:cs="Arial"/>
          <w:sz w:val="22"/>
          <w:szCs w:val="22"/>
        </w:rPr>
        <w:t>Linked to this, greater transparency across the system about how much is actually being spent on mental health services</w:t>
      </w:r>
    </w:p>
    <w:p w:rsidR="00F93CBB" w:rsidRPr="00F93CBB" w:rsidRDefault="00F93CBB" w:rsidP="001B3C92">
      <w:pPr>
        <w:ind w:left="1440"/>
        <w:jc w:val="both"/>
        <w:rPr>
          <w:rFonts w:asciiTheme="minorHAnsi" w:hAnsiTheme="minorHAnsi" w:cs="Arial"/>
          <w:sz w:val="22"/>
          <w:szCs w:val="22"/>
        </w:rPr>
      </w:pPr>
      <w:r w:rsidRPr="00F93CBB">
        <w:rPr>
          <w:rFonts w:asciiTheme="minorHAnsi" w:hAnsiTheme="minorHAnsi" w:cs="Arial"/>
          <w:sz w:val="22"/>
          <w:szCs w:val="22"/>
        </w:rPr>
        <w:t>3.</w:t>
      </w:r>
      <w:r w:rsidR="001B3C92">
        <w:rPr>
          <w:rFonts w:asciiTheme="minorHAnsi" w:hAnsiTheme="minorHAnsi" w:cs="Arial"/>
          <w:sz w:val="22"/>
          <w:szCs w:val="22"/>
        </w:rPr>
        <w:t xml:space="preserve"> </w:t>
      </w:r>
      <w:r w:rsidRPr="00F93CBB">
        <w:rPr>
          <w:rFonts w:asciiTheme="minorHAnsi" w:hAnsiTheme="minorHAnsi" w:cs="Arial"/>
          <w:sz w:val="22"/>
          <w:szCs w:val="22"/>
        </w:rPr>
        <w:t xml:space="preserve">Explicit alignment about what it means to meet parity of esteem commitments – this is because at both national and local level </w:t>
      </w:r>
      <w:proofErr w:type="spellStart"/>
      <w:r w:rsidRPr="00F93CBB">
        <w:rPr>
          <w:rFonts w:asciiTheme="minorHAnsi" w:hAnsiTheme="minorHAnsi" w:cs="Arial"/>
          <w:sz w:val="22"/>
          <w:szCs w:val="22"/>
        </w:rPr>
        <w:t>organisations</w:t>
      </w:r>
      <w:proofErr w:type="spellEnd"/>
      <w:r w:rsidRPr="00F93CBB">
        <w:rPr>
          <w:rFonts w:asciiTheme="minorHAnsi" w:hAnsiTheme="minorHAnsi" w:cs="Arial"/>
          <w:sz w:val="22"/>
          <w:szCs w:val="22"/>
        </w:rPr>
        <w:t xml:space="preserve"> are interpreting the requirements in different ways, which is leading to a patchwork of investment and services for patients</w:t>
      </w:r>
    </w:p>
    <w:p w:rsidR="00F93CBB" w:rsidRDefault="00F93CBB" w:rsidP="001B3C92">
      <w:pPr>
        <w:ind w:left="1440"/>
        <w:jc w:val="both"/>
        <w:rPr>
          <w:rFonts w:asciiTheme="minorHAnsi" w:hAnsiTheme="minorHAnsi" w:cs="Arial"/>
          <w:sz w:val="22"/>
          <w:szCs w:val="22"/>
        </w:rPr>
      </w:pPr>
      <w:r w:rsidRPr="00F93CBB">
        <w:rPr>
          <w:rFonts w:asciiTheme="minorHAnsi" w:hAnsiTheme="minorHAnsi" w:cs="Arial"/>
          <w:sz w:val="22"/>
          <w:szCs w:val="22"/>
        </w:rPr>
        <w:t>4.</w:t>
      </w:r>
      <w:r w:rsidR="001B3C92">
        <w:rPr>
          <w:rFonts w:asciiTheme="minorHAnsi" w:hAnsiTheme="minorHAnsi" w:cs="Arial"/>
          <w:sz w:val="22"/>
          <w:szCs w:val="22"/>
        </w:rPr>
        <w:t xml:space="preserve">  </w:t>
      </w:r>
      <w:r w:rsidRPr="00F93CBB">
        <w:rPr>
          <w:rFonts w:asciiTheme="minorHAnsi" w:hAnsiTheme="minorHAnsi" w:cs="Arial"/>
          <w:sz w:val="22"/>
          <w:szCs w:val="22"/>
        </w:rPr>
        <w:t xml:space="preserve">Better enforcement and support for local </w:t>
      </w:r>
      <w:proofErr w:type="spellStart"/>
      <w:r w:rsidRPr="00F93CBB">
        <w:rPr>
          <w:rFonts w:asciiTheme="minorHAnsi" w:hAnsiTheme="minorHAnsi" w:cs="Arial"/>
          <w:sz w:val="22"/>
          <w:szCs w:val="22"/>
        </w:rPr>
        <w:t>organisations</w:t>
      </w:r>
      <w:proofErr w:type="spellEnd"/>
      <w:r w:rsidRPr="00F93CBB">
        <w:rPr>
          <w:rFonts w:asciiTheme="minorHAnsi" w:hAnsiTheme="minorHAnsi" w:cs="Arial"/>
          <w:sz w:val="22"/>
          <w:szCs w:val="22"/>
        </w:rPr>
        <w:t xml:space="preserve"> – this is needed to help counter the significant local variation highlighted in this survey about how the rules are being interpreted and responded to. Where </w:t>
      </w:r>
      <w:proofErr w:type="spellStart"/>
      <w:r w:rsidRPr="00F93CBB">
        <w:rPr>
          <w:rFonts w:asciiTheme="minorHAnsi" w:hAnsiTheme="minorHAnsi" w:cs="Arial"/>
          <w:sz w:val="22"/>
          <w:szCs w:val="22"/>
        </w:rPr>
        <w:t>organisations</w:t>
      </w:r>
      <w:proofErr w:type="spellEnd"/>
      <w:r w:rsidRPr="00F93CBB">
        <w:rPr>
          <w:rFonts w:asciiTheme="minorHAnsi" w:hAnsiTheme="minorHAnsi" w:cs="Arial"/>
          <w:sz w:val="22"/>
          <w:szCs w:val="22"/>
        </w:rPr>
        <w:t xml:space="preserve"> are struggling to invest in line with the guidance, support should be required to ensure that challenges are addressed.</w:t>
      </w:r>
    </w:p>
    <w:p w:rsidR="001B3C92" w:rsidRDefault="001B3C92" w:rsidP="001B3C92">
      <w:pPr>
        <w:ind w:left="1440"/>
        <w:jc w:val="both"/>
        <w:rPr>
          <w:rFonts w:asciiTheme="minorHAnsi" w:hAnsiTheme="minorHAnsi" w:cs="Arial"/>
          <w:sz w:val="22"/>
          <w:szCs w:val="22"/>
        </w:rPr>
      </w:pPr>
    </w:p>
    <w:p w:rsidR="00DA52E9" w:rsidRDefault="00F93CBB" w:rsidP="00DA52E9">
      <w:pPr>
        <w:ind w:left="720"/>
        <w:jc w:val="both"/>
        <w:rPr>
          <w:rFonts w:asciiTheme="minorHAnsi" w:hAnsiTheme="minorHAnsi" w:cs="Arial"/>
          <w:b/>
          <w:sz w:val="22"/>
          <w:szCs w:val="22"/>
        </w:rPr>
      </w:pPr>
      <w:r>
        <w:rPr>
          <w:rFonts w:asciiTheme="minorHAnsi" w:hAnsiTheme="minorHAnsi" w:cs="Arial"/>
          <w:b/>
          <w:sz w:val="22"/>
          <w:szCs w:val="22"/>
        </w:rPr>
        <w:t>2.3</w:t>
      </w:r>
      <w:r w:rsidR="00A6148D">
        <w:rPr>
          <w:rFonts w:asciiTheme="minorHAnsi" w:hAnsiTheme="minorHAnsi" w:cs="Arial"/>
          <w:b/>
          <w:sz w:val="22"/>
          <w:szCs w:val="22"/>
        </w:rPr>
        <w:t xml:space="preserve"> </w:t>
      </w:r>
      <w:r w:rsidR="00DA52E9" w:rsidRPr="00DA52E9">
        <w:rPr>
          <w:rFonts w:asciiTheme="minorHAnsi" w:hAnsiTheme="minorHAnsi" w:cs="Arial"/>
          <w:b/>
          <w:sz w:val="22"/>
          <w:szCs w:val="22"/>
        </w:rPr>
        <w:t xml:space="preserve">Mental health services: preparations for improving access. </w:t>
      </w:r>
    </w:p>
    <w:p w:rsidR="00DA52E9" w:rsidRPr="00DA52E9" w:rsidRDefault="00DA52E9" w:rsidP="00DA52E9">
      <w:pPr>
        <w:ind w:left="720"/>
        <w:jc w:val="both"/>
        <w:rPr>
          <w:rFonts w:asciiTheme="minorHAnsi" w:hAnsiTheme="minorHAnsi" w:cs="Arial"/>
          <w:b/>
          <w:sz w:val="22"/>
          <w:szCs w:val="22"/>
        </w:rPr>
      </w:pPr>
      <w:r w:rsidRPr="00DA52E9">
        <w:rPr>
          <w:rFonts w:asciiTheme="minorHAnsi" w:hAnsiTheme="minorHAnsi" w:cs="Arial"/>
          <w:sz w:val="22"/>
          <w:szCs w:val="22"/>
        </w:rPr>
        <w:t xml:space="preserve">Progress is being made by the Department of Health (DH) and NHS England in improving access to mental health services, the National Audit Office (NAO) has found, but significant risks to implementing the access and waiting times </w:t>
      </w:r>
      <w:proofErr w:type="spellStart"/>
      <w:r w:rsidRPr="00DA52E9">
        <w:rPr>
          <w:rFonts w:asciiTheme="minorHAnsi" w:hAnsiTheme="minorHAnsi" w:cs="Arial"/>
          <w:sz w:val="22"/>
          <w:szCs w:val="22"/>
        </w:rPr>
        <w:t>programme</w:t>
      </w:r>
      <w:proofErr w:type="spellEnd"/>
      <w:r w:rsidRPr="00DA52E9">
        <w:rPr>
          <w:rFonts w:asciiTheme="minorHAnsi" w:hAnsiTheme="minorHAnsi" w:cs="Arial"/>
          <w:sz w:val="22"/>
          <w:szCs w:val="22"/>
        </w:rPr>
        <w:t xml:space="preserve"> remain. The NAO's report finds the strongest areas are the clear objectives and strong leadership, with a governance framework being developed. The greatest challenges for the future are collecting data to show whether the standards are being met, building the mental health workforce and reinforcing incentives for providers. The NAO report is the first in a planned </w:t>
      </w:r>
      <w:proofErr w:type="spellStart"/>
      <w:r w:rsidRPr="00DA52E9">
        <w:rPr>
          <w:rFonts w:asciiTheme="minorHAnsi" w:hAnsiTheme="minorHAnsi" w:cs="Arial"/>
          <w:sz w:val="22"/>
          <w:szCs w:val="22"/>
        </w:rPr>
        <w:t>programme</w:t>
      </w:r>
      <w:proofErr w:type="spellEnd"/>
      <w:r w:rsidRPr="00DA52E9">
        <w:rPr>
          <w:rFonts w:asciiTheme="minorHAnsi" w:hAnsiTheme="minorHAnsi" w:cs="Arial"/>
          <w:sz w:val="22"/>
          <w:szCs w:val="22"/>
        </w:rPr>
        <w:t xml:space="preserve"> of work on mental health</w:t>
      </w:r>
    </w:p>
    <w:p w:rsidR="00DA52E9" w:rsidRDefault="00DA52E9" w:rsidP="00DA52E9">
      <w:pPr>
        <w:ind w:left="720"/>
        <w:jc w:val="both"/>
        <w:rPr>
          <w:rFonts w:asciiTheme="minorHAnsi" w:hAnsiTheme="minorHAnsi" w:cs="Arial"/>
          <w:b/>
          <w:sz w:val="22"/>
          <w:szCs w:val="22"/>
        </w:rPr>
      </w:pPr>
    </w:p>
    <w:p w:rsidR="00DA52E9" w:rsidRPr="00F943B7" w:rsidRDefault="00F943B7" w:rsidP="00DA52E9">
      <w:pPr>
        <w:ind w:left="720"/>
        <w:jc w:val="both"/>
        <w:rPr>
          <w:rFonts w:asciiTheme="minorHAnsi" w:hAnsiTheme="minorHAnsi" w:cs="Arial"/>
          <w:sz w:val="22"/>
          <w:szCs w:val="22"/>
        </w:rPr>
      </w:pPr>
      <w:hyperlink r:id="rId10" w:history="1">
        <w:r w:rsidR="00DA52E9" w:rsidRPr="00F943B7">
          <w:rPr>
            <w:rStyle w:val="Hyperlink"/>
            <w:rFonts w:asciiTheme="minorHAnsi" w:hAnsiTheme="minorHAnsi" w:cs="Arial"/>
            <w:sz w:val="22"/>
            <w:szCs w:val="22"/>
          </w:rPr>
          <w:t>https://www.nao.org.uk/wp-content/uploads/2016/04/Mental-health-services-preparations-for-improving-access.pdf</w:t>
        </w:r>
      </w:hyperlink>
    </w:p>
    <w:p w:rsidR="00DA52E9" w:rsidRDefault="00DA52E9" w:rsidP="00DA52E9">
      <w:pPr>
        <w:ind w:left="720"/>
        <w:jc w:val="both"/>
        <w:rPr>
          <w:rFonts w:asciiTheme="minorHAnsi" w:hAnsiTheme="minorHAnsi" w:cs="Arial"/>
          <w:sz w:val="22"/>
          <w:szCs w:val="22"/>
        </w:rPr>
      </w:pPr>
    </w:p>
    <w:p w:rsidR="00DA52E9" w:rsidRPr="00DA52E9" w:rsidRDefault="00DA52E9" w:rsidP="00DA52E9">
      <w:pPr>
        <w:ind w:left="720"/>
        <w:jc w:val="both"/>
        <w:rPr>
          <w:rFonts w:asciiTheme="minorHAnsi" w:hAnsiTheme="minorHAnsi" w:cs="Arial"/>
          <w:color w:val="000000" w:themeColor="text1"/>
          <w:sz w:val="22"/>
          <w:szCs w:val="22"/>
        </w:rPr>
      </w:pPr>
      <w:r w:rsidRPr="00DA52E9">
        <w:rPr>
          <w:rFonts w:asciiTheme="minorHAnsi" w:hAnsiTheme="minorHAnsi"/>
          <w:b/>
          <w:color w:val="000000" w:themeColor="text1"/>
          <w:sz w:val="22"/>
          <w:szCs w:val="22"/>
          <w:lang w:val="en"/>
        </w:rPr>
        <w:t>2.</w:t>
      </w:r>
      <w:r w:rsidR="00F93CBB">
        <w:rPr>
          <w:rFonts w:asciiTheme="minorHAnsi" w:hAnsiTheme="minorHAnsi"/>
          <w:b/>
          <w:color w:val="000000" w:themeColor="text1"/>
          <w:sz w:val="22"/>
          <w:szCs w:val="22"/>
          <w:lang w:val="en"/>
        </w:rPr>
        <w:t>4</w:t>
      </w:r>
      <w:r>
        <w:rPr>
          <w:rFonts w:asciiTheme="minorHAnsi" w:hAnsiTheme="minorHAnsi"/>
          <w:color w:val="000000" w:themeColor="text1"/>
          <w:sz w:val="22"/>
          <w:szCs w:val="22"/>
          <w:lang w:val="en"/>
        </w:rPr>
        <w:t xml:space="preserve"> </w:t>
      </w:r>
      <w:hyperlink r:id="rId11" w:tgtFrame="_blank" w:history="1">
        <w:r w:rsidRPr="00DA52E9">
          <w:rPr>
            <w:rStyle w:val="Strong"/>
            <w:rFonts w:asciiTheme="minorHAnsi" w:hAnsiTheme="minorHAnsi"/>
            <w:color w:val="000000" w:themeColor="text1"/>
            <w:sz w:val="22"/>
            <w:szCs w:val="22"/>
            <w:lang w:val="en"/>
          </w:rPr>
          <w:t>Integrated care to address the physical health needs of people with severe mental illness: a rapid review</w:t>
        </w:r>
      </w:hyperlink>
      <w:r w:rsidRPr="00DA52E9">
        <w:rPr>
          <w:rFonts w:asciiTheme="minorHAnsi" w:hAnsiTheme="minorHAnsi"/>
          <w:color w:val="000000" w:themeColor="text1"/>
          <w:sz w:val="22"/>
          <w:szCs w:val="22"/>
          <w:lang w:val="en"/>
        </w:rPr>
        <w:t>.</w:t>
      </w:r>
    </w:p>
    <w:p w:rsidR="00DA52E9" w:rsidRPr="00DA52E9" w:rsidRDefault="00DA52E9" w:rsidP="00DA52E9">
      <w:pPr>
        <w:ind w:left="720"/>
        <w:jc w:val="both"/>
        <w:rPr>
          <w:rFonts w:asciiTheme="minorHAnsi" w:hAnsiTheme="minorHAnsi" w:cs="Arial"/>
          <w:sz w:val="22"/>
          <w:szCs w:val="22"/>
        </w:rPr>
      </w:pPr>
      <w:r w:rsidRPr="00DA52E9">
        <w:rPr>
          <w:rFonts w:asciiTheme="minorHAnsi" w:hAnsiTheme="minorHAnsi" w:cs="Arial"/>
          <w:sz w:val="22"/>
          <w:szCs w:val="22"/>
        </w:rPr>
        <w:t>People with mental health conditions have a lower life expectancy and poorer physical health outcomes than the general population. Evidence suggests that this discrepancy is driven by a combination of clinical risk factors, socioeconomic factors and health system factors. The objective of this research was to explore current service provision and map the recent evidence on models of integrated care addressing the physical health needs of people with severe mental illness primarily within the mental health service setting.</w:t>
      </w:r>
    </w:p>
    <w:p w:rsidR="00DA52E9" w:rsidRDefault="00DA52E9" w:rsidP="00DA52E9">
      <w:pPr>
        <w:jc w:val="both"/>
        <w:rPr>
          <w:rFonts w:asciiTheme="minorHAnsi" w:hAnsiTheme="minorHAnsi" w:cs="Arial"/>
          <w:b/>
          <w:sz w:val="22"/>
          <w:szCs w:val="22"/>
        </w:rPr>
      </w:pPr>
    </w:p>
    <w:p w:rsidR="00DA52E9" w:rsidRPr="00F943B7" w:rsidRDefault="00F943B7" w:rsidP="00DA52E9">
      <w:pPr>
        <w:ind w:left="720"/>
        <w:jc w:val="both"/>
        <w:rPr>
          <w:rFonts w:asciiTheme="minorHAnsi" w:hAnsiTheme="minorHAnsi" w:cs="Arial"/>
          <w:sz w:val="22"/>
          <w:szCs w:val="22"/>
        </w:rPr>
      </w:pPr>
      <w:hyperlink r:id="rId12" w:history="1">
        <w:r w:rsidR="00DA52E9" w:rsidRPr="00F943B7">
          <w:rPr>
            <w:rStyle w:val="Hyperlink"/>
            <w:rFonts w:asciiTheme="minorHAnsi" w:hAnsiTheme="minorHAnsi" w:cs="Arial"/>
            <w:sz w:val="22"/>
            <w:szCs w:val="22"/>
          </w:rPr>
          <w:t>http://www.journalslibrary.nihr.ac.uk/__data/assets/pdf_file/0006/164652/FullReport-hsdr04130.pdf</w:t>
        </w:r>
      </w:hyperlink>
    </w:p>
    <w:p w:rsidR="00DA52E9" w:rsidRDefault="00DA52E9" w:rsidP="00DA52E9">
      <w:pPr>
        <w:ind w:left="720"/>
        <w:jc w:val="both"/>
        <w:rPr>
          <w:rFonts w:asciiTheme="minorHAnsi" w:hAnsiTheme="minorHAnsi" w:cs="Arial"/>
          <w:b/>
          <w:sz w:val="22"/>
          <w:szCs w:val="22"/>
        </w:rPr>
      </w:pPr>
    </w:p>
    <w:p w:rsidR="00002AAF" w:rsidRDefault="00F93CBB" w:rsidP="00DA52E9">
      <w:pPr>
        <w:ind w:left="720"/>
        <w:jc w:val="both"/>
        <w:rPr>
          <w:rFonts w:asciiTheme="minorHAnsi" w:hAnsiTheme="minorHAnsi" w:cs="Arial"/>
          <w:b/>
          <w:sz w:val="22"/>
          <w:szCs w:val="22"/>
        </w:rPr>
      </w:pPr>
      <w:r>
        <w:rPr>
          <w:rFonts w:asciiTheme="minorHAnsi" w:hAnsiTheme="minorHAnsi" w:cs="Arial"/>
          <w:b/>
          <w:sz w:val="22"/>
          <w:szCs w:val="22"/>
        </w:rPr>
        <w:t>2.5</w:t>
      </w:r>
      <w:r w:rsidR="00002AAF">
        <w:rPr>
          <w:rFonts w:asciiTheme="minorHAnsi" w:hAnsiTheme="minorHAnsi" w:cs="Arial"/>
          <w:b/>
          <w:sz w:val="22"/>
          <w:szCs w:val="22"/>
        </w:rPr>
        <w:t xml:space="preserve"> </w:t>
      </w:r>
      <w:proofErr w:type="spellStart"/>
      <w:r w:rsidR="00002AAF" w:rsidRPr="00002AAF">
        <w:rPr>
          <w:rFonts w:asciiTheme="minorHAnsi" w:hAnsiTheme="minorHAnsi" w:cs="Arial"/>
          <w:b/>
          <w:sz w:val="22"/>
          <w:szCs w:val="22"/>
        </w:rPr>
        <w:t>CentreForum</w:t>
      </w:r>
      <w:proofErr w:type="spellEnd"/>
      <w:r w:rsidR="00002AAF" w:rsidRPr="00002AAF">
        <w:rPr>
          <w:rFonts w:asciiTheme="minorHAnsi" w:hAnsiTheme="minorHAnsi" w:cs="Arial"/>
          <w:b/>
          <w:sz w:val="22"/>
          <w:szCs w:val="22"/>
        </w:rPr>
        <w:t xml:space="preserve"> Commission on Children and Young People's Mental Health: State of the nation. </w:t>
      </w:r>
    </w:p>
    <w:p w:rsidR="00DA52E9" w:rsidRDefault="00002AAF" w:rsidP="00DA52E9">
      <w:pPr>
        <w:ind w:left="720"/>
        <w:jc w:val="both"/>
        <w:rPr>
          <w:rFonts w:asciiTheme="minorHAnsi" w:hAnsiTheme="minorHAnsi" w:cs="Arial"/>
          <w:b/>
          <w:sz w:val="22"/>
          <w:szCs w:val="22"/>
        </w:rPr>
      </w:pPr>
      <w:r w:rsidRPr="00002AAF">
        <w:rPr>
          <w:rFonts w:asciiTheme="minorHAnsi" w:hAnsiTheme="minorHAnsi" w:cs="Arial"/>
          <w:sz w:val="22"/>
          <w:szCs w:val="22"/>
        </w:rPr>
        <w:t>This first report from the Commission reveals the problems that young people face when trying to access mental health care. Services turn away, on average, nearly a quarter (23 per cent) of children and teenagers referred to them by their GPs, teachers or others. The analysis of services’ eligibility criteria shows that this is often because there are high thresholds for access to their services, preventing often the most effective treatment of mental health conditions - early intervention</w:t>
      </w:r>
      <w:r w:rsidRPr="00002AAF">
        <w:rPr>
          <w:rFonts w:asciiTheme="minorHAnsi" w:hAnsiTheme="minorHAnsi" w:cs="Arial"/>
          <w:b/>
          <w:sz w:val="22"/>
          <w:szCs w:val="22"/>
        </w:rPr>
        <w:t>.</w:t>
      </w:r>
    </w:p>
    <w:p w:rsidR="00002AAF" w:rsidRDefault="00002AAF" w:rsidP="00DA52E9">
      <w:pPr>
        <w:ind w:left="720"/>
        <w:jc w:val="both"/>
        <w:rPr>
          <w:rFonts w:asciiTheme="minorHAnsi" w:hAnsiTheme="minorHAnsi" w:cs="Arial"/>
          <w:b/>
          <w:sz w:val="22"/>
          <w:szCs w:val="22"/>
        </w:rPr>
      </w:pPr>
    </w:p>
    <w:p w:rsidR="00002AAF" w:rsidRPr="00F943B7" w:rsidRDefault="00F943B7" w:rsidP="00DA52E9">
      <w:pPr>
        <w:ind w:left="720"/>
        <w:jc w:val="both"/>
        <w:rPr>
          <w:rFonts w:asciiTheme="minorHAnsi" w:hAnsiTheme="minorHAnsi" w:cs="Arial"/>
          <w:sz w:val="22"/>
          <w:szCs w:val="22"/>
        </w:rPr>
      </w:pPr>
      <w:hyperlink r:id="rId13" w:history="1">
        <w:r w:rsidR="00002AAF" w:rsidRPr="00F943B7">
          <w:rPr>
            <w:rStyle w:val="Hyperlink"/>
            <w:rFonts w:asciiTheme="minorHAnsi" w:hAnsiTheme="minorHAnsi" w:cs="Arial"/>
            <w:sz w:val="22"/>
            <w:szCs w:val="22"/>
          </w:rPr>
          <w:t>http://centreforum.org/live/wp-content/uploads/2016/04/State-of-the-Nation-report-web.pdf</w:t>
        </w:r>
      </w:hyperlink>
    </w:p>
    <w:p w:rsidR="00002AAF" w:rsidRDefault="00002AAF" w:rsidP="00DA52E9">
      <w:pPr>
        <w:ind w:left="720"/>
        <w:jc w:val="both"/>
        <w:rPr>
          <w:rFonts w:asciiTheme="minorHAnsi" w:hAnsiTheme="minorHAnsi" w:cs="Arial"/>
          <w:b/>
          <w:sz w:val="22"/>
          <w:szCs w:val="22"/>
        </w:rPr>
      </w:pPr>
    </w:p>
    <w:p w:rsidR="00002AAF" w:rsidRDefault="00002AAF" w:rsidP="00DA52E9">
      <w:pPr>
        <w:ind w:left="720"/>
        <w:jc w:val="both"/>
        <w:rPr>
          <w:rFonts w:asciiTheme="minorHAnsi" w:hAnsiTheme="minorHAnsi" w:cs="Arial"/>
          <w:b/>
          <w:sz w:val="22"/>
          <w:szCs w:val="22"/>
        </w:rPr>
      </w:pPr>
    </w:p>
    <w:p w:rsidR="00002AAF" w:rsidRDefault="00F93CBB" w:rsidP="00DA52E9">
      <w:pPr>
        <w:ind w:left="720"/>
        <w:jc w:val="both"/>
        <w:rPr>
          <w:rFonts w:asciiTheme="minorHAnsi" w:hAnsiTheme="minorHAnsi" w:cs="Arial"/>
          <w:b/>
          <w:sz w:val="22"/>
          <w:szCs w:val="22"/>
        </w:rPr>
      </w:pPr>
      <w:r>
        <w:rPr>
          <w:rFonts w:asciiTheme="minorHAnsi" w:hAnsiTheme="minorHAnsi" w:cs="Arial"/>
          <w:b/>
          <w:sz w:val="22"/>
          <w:szCs w:val="22"/>
        </w:rPr>
        <w:t>2.6</w:t>
      </w:r>
      <w:r w:rsidR="00002AAF">
        <w:rPr>
          <w:rFonts w:asciiTheme="minorHAnsi" w:hAnsiTheme="minorHAnsi" w:cs="Arial"/>
          <w:b/>
          <w:sz w:val="22"/>
          <w:szCs w:val="22"/>
        </w:rPr>
        <w:t xml:space="preserve"> </w:t>
      </w:r>
      <w:r w:rsidR="00002AAF" w:rsidRPr="00002AAF">
        <w:rPr>
          <w:rFonts w:asciiTheme="minorHAnsi" w:hAnsiTheme="minorHAnsi" w:cs="Arial"/>
          <w:b/>
          <w:sz w:val="22"/>
          <w:szCs w:val="22"/>
        </w:rPr>
        <w:t xml:space="preserve">Guidance for commissioners of psychiatric intensive care units (PICU). </w:t>
      </w:r>
    </w:p>
    <w:p w:rsidR="00002AAF" w:rsidRDefault="00002AAF" w:rsidP="00DA52E9">
      <w:pPr>
        <w:ind w:left="720"/>
        <w:jc w:val="both"/>
        <w:rPr>
          <w:rFonts w:asciiTheme="minorHAnsi" w:hAnsiTheme="minorHAnsi" w:cs="Arial"/>
          <w:sz w:val="22"/>
          <w:szCs w:val="22"/>
        </w:rPr>
      </w:pPr>
      <w:r w:rsidRPr="00002AAF">
        <w:rPr>
          <w:rFonts w:asciiTheme="minorHAnsi" w:hAnsiTheme="minorHAnsi" w:cs="Arial"/>
          <w:sz w:val="22"/>
          <w:szCs w:val="22"/>
        </w:rPr>
        <w:t>This guidance was produced in partnership with the National Association of Psychiatric Intensive Care and Low Secure Units (NAPICU) to support the commissioning of high-quality PICUs and improve patient experience. It seeks to empower and enable commissioners, managers and clinicians to jointly develop high quality PICUs. It provides summary guidance which will assist commissioners to meet the needs of their local population, and achieve the ambitions of the Five Year Forward View focusing on patient safety, clinical effectiveness and patient experience.</w:t>
      </w:r>
    </w:p>
    <w:p w:rsidR="00002AAF" w:rsidRDefault="00002AAF" w:rsidP="00DA52E9">
      <w:pPr>
        <w:ind w:left="720"/>
        <w:jc w:val="both"/>
        <w:rPr>
          <w:rFonts w:asciiTheme="minorHAnsi" w:hAnsiTheme="minorHAnsi" w:cs="Arial"/>
          <w:sz w:val="22"/>
          <w:szCs w:val="22"/>
        </w:rPr>
      </w:pPr>
    </w:p>
    <w:p w:rsidR="00002AAF" w:rsidRDefault="00F943B7" w:rsidP="00DA52E9">
      <w:pPr>
        <w:ind w:left="720"/>
        <w:jc w:val="both"/>
        <w:rPr>
          <w:rFonts w:asciiTheme="minorHAnsi" w:hAnsiTheme="minorHAnsi" w:cs="Arial"/>
          <w:sz w:val="22"/>
          <w:szCs w:val="22"/>
        </w:rPr>
      </w:pPr>
      <w:hyperlink r:id="rId14" w:history="1">
        <w:r w:rsidR="00002AAF" w:rsidRPr="0032508C">
          <w:rPr>
            <w:rStyle w:val="Hyperlink"/>
            <w:rFonts w:asciiTheme="minorHAnsi" w:hAnsiTheme="minorHAnsi" w:cs="Arial"/>
            <w:sz w:val="22"/>
            <w:szCs w:val="22"/>
          </w:rPr>
          <w:t>http://napicu.org.uk/guidance-for-commissioners-of-psychiatric-intensive-care-units-picu-2016/</w:t>
        </w:r>
      </w:hyperlink>
    </w:p>
    <w:p w:rsidR="00002AAF" w:rsidRDefault="00002AAF" w:rsidP="004F5312">
      <w:pPr>
        <w:jc w:val="both"/>
        <w:rPr>
          <w:rFonts w:asciiTheme="minorHAnsi" w:hAnsiTheme="minorHAnsi" w:cs="Arial"/>
          <w:sz w:val="22"/>
          <w:szCs w:val="22"/>
        </w:rPr>
      </w:pPr>
    </w:p>
    <w:p w:rsidR="00002AAF" w:rsidRDefault="004F5312" w:rsidP="004F5312">
      <w:pPr>
        <w:ind w:left="720"/>
        <w:jc w:val="both"/>
        <w:rPr>
          <w:rFonts w:asciiTheme="minorHAnsi" w:hAnsiTheme="minorHAnsi" w:cs="Arial"/>
          <w:sz w:val="22"/>
          <w:szCs w:val="22"/>
        </w:rPr>
      </w:pPr>
      <w:r w:rsidRPr="004F5312">
        <w:rPr>
          <w:rFonts w:asciiTheme="minorHAnsi" w:hAnsiTheme="minorHAnsi" w:cs="Arial"/>
          <w:b/>
          <w:sz w:val="22"/>
          <w:szCs w:val="22"/>
        </w:rPr>
        <w:t>2.7</w:t>
      </w:r>
      <w:r>
        <w:rPr>
          <w:rFonts w:asciiTheme="minorHAnsi" w:hAnsiTheme="minorHAnsi" w:cs="Arial"/>
          <w:sz w:val="22"/>
          <w:szCs w:val="22"/>
        </w:rPr>
        <w:t xml:space="preserve"> </w:t>
      </w:r>
      <w:r w:rsidR="00002AAF" w:rsidRPr="00002AAF">
        <w:rPr>
          <w:rFonts w:asciiTheme="minorHAnsi" w:hAnsiTheme="minorHAnsi" w:cs="Arial"/>
          <w:b/>
          <w:sz w:val="22"/>
          <w:szCs w:val="22"/>
        </w:rPr>
        <w:t>No difference in patient mortality for weekend vs weekday admissions to psychiatric hospitals.</w:t>
      </w:r>
      <w:r w:rsidR="00002AAF" w:rsidRPr="00002AAF">
        <w:rPr>
          <w:rFonts w:asciiTheme="minorHAnsi" w:hAnsiTheme="minorHAnsi" w:cs="Arial"/>
          <w:sz w:val="22"/>
          <w:szCs w:val="22"/>
        </w:rPr>
        <w:t xml:space="preserve"> Interim findings from a NIHR HS&amp;DR study, published in The Lancet, have found that there is no significant difference in risk of mortality for patients admitted to a psychiatric hospital at the weekend versus during the week.</w:t>
      </w:r>
    </w:p>
    <w:p w:rsidR="00002AAF" w:rsidRDefault="00002AAF" w:rsidP="00DA52E9">
      <w:pPr>
        <w:ind w:left="720"/>
        <w:jc w:val="both"/>
        <w:rPr>
          <w:rFonts w:asciiTheme="minorHAnsi" w:hAnsiTheme="minorHAnsi" w:cs="Arial"/>
          <w:sz w:val="22"/>
          <w:szCs w:val="22"/>
        </w:rPr>
      </w:pPr>
    </w:p>
    <w:p w:rsidR="00002AAF" w:rsidRDefault="00F943B7" w:rsidP="00DA52E9">
      <w:pPr>
        <w:ind w:left="720"/>
        <w:jc w:val="both"/>
        <w:rPr>
          <w:rFonts w:asciiTheme="minorHAnsi" w:hAnsiTheme="minorHAnsi" w:cs="Arial"/>
          <w:sz w:val="22"/>
          <w:szCs w:val="22"/>
        </w:rPr>
      </w:pPr>
      <w:hyperlink r:id="rId15" w:history="1">
        <w:r w:rsidR="00002AAF" w:rsidRPr="0032508C">
          <w:rPr>
            <w:rStyle w:val="Hyperlink"/>
            <w:rFonts w:asciiTheme="minorHAnsi" w:hAnsiTheme="minorHAnsi" w:cs="Arial"/>
            <w:sz w:val="22"/>
            <w:szCs w:val="22"/>
          </w:rPr>
          <w:t>http://www.nets.nihr.ac.uk/news/all/2016/weekend-admissions-and-patient-mortality-in-psychiatric-hospitals</w:t>
        </w:r>
      </w:hyperlink>
    </w:p>
    <w:p w:rsidR="00002AAF" w:rsidRPr="00002AAF" w:rsidRDefault="00002AAF" w:rsidP="00DA52E9">
      <w:pPr>
        <w:ind w:left="720"/>
        <w:jc w:val="both"/>
        <w:rPr>
          <w:rFonts w:asciiTheme="minorHAnsi" w:hAnsiTheme="minorHAnsi" w:cs="Arial"/>
          <w:sz w:val="22"/>
          <w:szCs w:val="22"/>
        </w:rPr>
      </w:pPr>
    </w:p>
    <w:p w:rsidR="00DA52E9" w:rsidRDefault="00E87EFB" w:rsidP="00DA52E9">
      <w:pPr>
        <w:ind w:left="720"/>
        <w:jc w:val="both"/>
        <w:rPr>
          <w:rFonts w:asciiTheme="minorHAnsi" w:hAnsiTheme="minorHAnsi" w:cs="Arial"/>
          <w:b/>
          <w:sz w:val="22"/>
          <w:szCs w:val="22"/>
        </w:rPr>
      </w:pPr>
      <w:proofErr w:type="gramStart"/>
      <w:r>
        <w:rPr>
          <w:rFonts w:asciiTheme="minorHAnsi" w:hAnsiTheme="minorHAnsi" w:cs="Arial"/>
          <w:b/>
          <w:sz w:val="22"/>
          <w:szCs w:val="22"/>
        </w:rPr>
        <w:t>2.8  Health</w:t>
      </w:r>
      <w:r w:rsidR="00925BC0">
        <w:rPr>
          <w:rFonts w:asciiTheme="minorHAnsi" w:hAnsiTheme="minorHAnsi" w:cs="Arial"/>
          <w:b/>
          <w:sz w:val="22"/>
          <w:szCs w:val="22"/>
        </w:rPr>
        <w:t>care</w:t>
      </w:r>
      <w:proofErr w:type="gramEnd"/>
      <w:r w:rsidR="00925BC0">
        <w:rPr>
          <w:rFonts w:asciiTheme="minorHAnsi" w:hAnsiTheme="minorHAnsi" w:cs="Arial"/>
          <w:b/>
          <w:sz w:val="22"/>
          <w:szCs w:val="22"/>
        </w:rPr>
        <w:t xml:space="preserve"> Safety Investigation Branch</w:t>
      </w:r>
    </w:p>
    <w:p w:rsidR="007F6DBF" w:rsidRDefault="007F6DBF" w:rsidP="007F6DBF">
      <w:pPr>
        <w:ind w:left="720"/>
        <w:jc w:val="both"/>
        <w:rPr>
          <w:rFonts w:asciiTheme="minorHAnsi" w:hAnsiTheme="minorHAnsi" w:cs="Arial"/>
          <w:sz w:val="22"/>
          <w:szCs w:val="22"/>
          <w:lang w:val="en-GB"/>
        </w:rPr>
      </w:pPr>
      <w:r w:rsidRPr="00E87EFB">
        <w:rPr>
          <w:rFonts w:asciiTheme="minorHAnsi" w:hAnsiTheme="minorHAnsi" w:cs="Arial"/>
          <w:sz w:val="22"/>
          <w:szCs w:val="22"/>
          <w:lang w:val="en-GB"/>
        </w:rPr>
        <w:t xml:space="preserve">Shortcomings in the current approach to investigating and learning from patient safety incidents have been highlighted by the reports of the Mid Staffordshire Inquiry, the Morecambe Bay Investigation, and the Public Administration Select Committee report “Investigating Clinical incidents in the NHS”. The latter made specific recommendations on the need to establish an independent, learning-focused patient safety investigation body that would investigate the most serious patient safety issues, and promote a just and learning culture across the healthcare system. </w:t>
      </w:r>
    </w:p>
    <w:p w:rsidR="00E87EFB" w:rsidRPr="00E87EFB" w:rsidRDefault="00E87EFB" w:rsidP="007F6DBF">
      <w:pPr>
        <w:ind w:left="720"/>
        <w:jc w:val="both"/>
        <w:rPr>
          <w:rFonts w:asciiTheme="minorHAnsi" w:hAnsiTheme="minorHAnsi" w:cs="Arial"/>
          <w:sz w:val="22"/>
          <w:szCs w:val="22"/>
          <w:lang w:val="en-GB"/>
        </w:rPr>
      </w:pPr>
    </w:p>
    <w:p w:rsidR="00E87EFB" w:rsidRDefault="007F6DBF" w:rsidP="007F6DBF">
      <w:pPr>
        <w:ind w:left="720"/>
        <w:jc w:val="both"/>
        <w:rPr>
          <w:rFonts w:asciiTheme="minorHAnsi" w:hAnsiTheme="minorHAnsi" w:cs="Arial"/>
          <w:sz w:val="22"/>
          <w:szCs w:val="22"/>
          <w:lang w:val="en-GB"/>
        </w:rPr>
      </w:pPr>
      <w:r w:rsidRPr="00E87EFB">
        <w:rPr>
          <w:rFonts w:asciiTheme="minorHAnsi" w:hAnsiTheme="minorHAnsi" w:cs="Arial"/>
          <w:sz w:val="22"/>
          <w:szCs w:val="22"/>
          <w:lang w:val="en-GB"/>
        </w:rPr>
        <w:t xml:space="preserve">The Government, in their response to those recommendations, have made a commitment to establish an independent patient safety investigation function </w:t>
      </w:r>
      <w:proofErr w:type="gramStart"/>
      <w:r w:rsidRPr="00E87EFB">
        <w:rPr>
          <w:rFonts w:asciiTheme="minorHAnsi" w:hAnsiTheme="minorHAnsi" w:cs="Arial"/>
          <w:sz w:val="22"/>
          <w:szCs w:val="22"/>
          <w:lang w:val="en-GB"/>
        </w:rPr>
        <w:t>The</w:t>
      </w:r>
      <w:proofErr w:type="gramEnd"/>
      <w:r w:rsidRPr="00E87EFB">
        <w:rPr>
          <w:rFonts w:asciiTheme="minorHAnsi" w:hAnsiTheme="minorHAnsi" w:cs="Arial"/>
          <w:sz w:val="22"/>
          <w:szCs w:val="22"/>
          <w:lang w:val="en-GB"/>
        </w:rPr>
        <w:t xml:space="preserve"> report, “Learning not Blaming”1, determined that the new investigation function will be based on five principles:</w:t>
      </w:r>
    </w:p>
    <w:p w:rsidR="007F6DBF" w:rsidRPr="00E87EFB" w:rsidRDefault="007F6DBF" w:rsidP="007F6DBF">
      <w:pPr>
        <w:ind w:left="720"/>
        <w:jc w:val="both"/>
        <w:rPr>
          <w:rFonts w:asciiTheme="minorHAnsi" w:hAnsiTheme="minorHAnsi" w:cs="Arial"/>
          <w:sz w:val="22"/>
          <w:szCs w:val="22"/>
          <w:lang w:val="en-GB"/>
        </w:rPr>
      </w:pPr>
      <w:r w:rsidRPr="00E87EFB">
        <w:rPr>
          <w:rFonts w:asciiTheme="minorHAnsi" w:hAnsiTheme="minorHAnsi" w:cs="Arial"/>
          <w:sz w:val="22"/>
          <w:szCs w:val="22"/>
          <w:lang w:val="en-GB"/>
        </w:rPr>
        <w:t xml:space="preserve"> </w:t>
      </w:r>
    </w:p>
    <w:p w:rsidR="007F6DBF" w:rsidRPr="00E87EFB" w:rsidRDefault="007F6DBF" w:rsidP="00E87EFB">
      <w:pPr>
        <w:pStyle w:val="ListParagraph"/>
        <w:numPr>
          <w:ilvl w:val="0"/>
          <w:numId w:val="16"/>
        </w:numPr>
        <w:jc w:val="both"/>
        <w:rPr>
          <w:rFonts w:asciiTheme="minorHAnsi" w:hAnsiTheme="minorHAnsi" w:cs="Arial"/>
          <w:sz w:val="22"/>
          <w:szCs w:val="22"/>
          <w:lang w:val="en-GB"/>
        </w:rPr>
      </w:pPr>
      <w:r w:rsidRPr="00E87EFB">
        <w:rPr>
          <w:rFonts w:asciiTheme="minorHAnsi" w:hAnsiTheme="minorHAnsi" w:cs="Arial"/>
          <w:sz w:val="22"/>
          <w:szCs w:val="22"/>
          <w:lang w:val="en-GB"/>
        </w:rPr>
        <w:t xml:space="preserve">Objectivity: its activities should focus on learning and improvement, and •not finding fault, attributing blame or holding people to account. </w:t>
      </w:r>
    </w:p>
    <w:p w:rsidR="007F6DBF" w:rsidRPr="00E87EFB" w:rsidRDefault="007F6DBF" w:rsidP="00E87EFB">
      <w:pPr>
        <w:pStyle w:val="ListParagraph"/>
        <w:numPr>
          <w:ilvl w:val="0"/>
          <w:numId w:val="16"/>
        </w:numPr>
        <w:jc w:val="both"/>
        <w:rPr>
          <w:rFonts w:asciiTheme="minorHAnsi" w:hAnsiTheme="minorHAnsi" w:cs="Arial"/>
          <w:sz w:val="22"/>
          <w:szCs w:val="22"/>
          <w:lang w:val="en-GB"/>
        </w:rPr>
      </w:pPr>
      <w:r w:rsidRPr="00E87EFB">
        <w:rPr>
          <w:rFonts w:asciiTheme="minorHAnsi" w:hAnsiTheme="minorHAnsi" w:cs="Arial"/>
          <w:sz w:val="22"/>
          <w:szCs w:val="22"/>
          <w:lang w:val="en-GB"/>
        </w:rPr>
        <w:t xml:space="preserve">Transparency: acting as an exemplary model of openness and •engagement with patients and their families throughout the investigation process. </w:t>
      </w:r>
    </w:p>
    <w:p w:rsidR="007F6DBF" w:rsidRPr="00E87EFB" w:rsidRDefault="007F6DBF" w:rsidP="00E87EFB">
      <w:pPr>
        <w:pStyle w:val="ListParagraph"/>
        <w:numPr>
          <w:ilvl w:val="0"/>
          <w:numId w:val="16"/>
        </w:numPr>
        <w:jc w:val="both"/>
        <w:rPr>
          <w:rFonts w:asciiTheme="minorHAnsi" w:hAnsiTheme="minorHAnsi" w:cs="Arial"/>
          <w:sz w:val="22"/>
          <w:szCs w:val="22"/>
          <w:lang w:val="en-GB"/>
        </w:rPr>
      </w:pPr>
      <w:r w:rsidRPr="00E87EFB">
        <w:rPr>
          <w:rFonts w:asciiTheme="minorHAnsi" w:hAnsiTheme="minorHAnsi" w:cs="Arial"/>
          <w:sz w:val="22"/>
          <w:szCs w:val="22"/>
          <w:lang w:val="en-GB"/>
        </w:rPr>
        <w:t xml:space="preserve">Independence in action, thought and judgement: able to operate without •fear or favour, examine the causes of incidents and direct its findings to any organisation or individual. </w:t>
      </w:r>
    </w:p>
    <w:p w:rsidR="007F6DBF" w:rsidRPr="00E87EFB" w:rsidRDefault="007F6DBF" w:rsidP="00E87EFB">
      <w:pPr>
        <w:pStyle w:val="ListParagraph"/>
        <w:numPr>
          <w:ilvl w:val="0"/>
          <w:numId w:val="16"/>
        </w:numPr>
        <w:jc w:val="both"/>
        <w:rPr>
          <w:rFonts w:asciiTheme="minorHAnsi" w:hAnsiTheme="minorHAnsi" w:cs="Arial"/>
          <w:sz w:val="22"/>
          <w:szCs w:val="22"/>
          <w:lang w:val="en-GB"/>
        </w:rPr>
      </w:pPr>
      <w:r w:rsidRPr="00E87EFB">
        <w:rPr>
          <w:rFonts w:asciiTheme="minorHAnsi" w:hAnsiTheme="minorHAnsi" w:cs="Arial"/>
          <w:sz w:val="22"/>
          <w:szCs w:val="22"/>
          <w:lang w:val="en-GB"/>
        </w:rPr>
        <w:t xml:space="preserve">Expertise: be staffed by experts in patient safety, investigation, human •factors and healthcare provision. </w:t>
      </w:r>
    </w:p>
    <w:p w:rsidR="007F6DBF" w:rsidRPr="00E87EFB" w:rsidRDefault="007F6DBF" w:rsidP="00E87EFB">
      <w:pPr>
        <w:pStyle w:val="ListParagraph"/>
        <w:numPr>
          <w:ilvl w:val="0"/>
          <w:numId w:val="16"/>
        </w:numPr>
        <w:jc w:val="both"/>
        <w:rPr>
          <w:rFonts w:asciiTheme="minorHAnsi" w:hAnsiTheme="minorHAnsi" w:cs="Arial"/>
          <w:sz w:val="22"/>
          <w:szCs w:val="22"/>
          <w:lang w:val="en-GB"/>
        </w:rPr>
      </w:pPr>
      <w:r w:rsidRPr="00E87EFB">
        <w:rPr>
          <w:rFonts w:asciiTheme="minorHAnsi" w:hAnsiTheme="minorHAnsi" w:cs="Arial"/>
          <w:sz w:val="22"/>
          <w:szCs w:val="22"/>
          <w:lang w:val="en-GB"/>
        </w:rPr>
        <w:t>Learning for improvement: produce findings th</w:t>
      </w:r>
      <w:r w:rsidR="00E87EFB">
        <w:rPr>
          <w:rFonts w:asciiTheme="minorHAnsi" w:hAnsiTheme="minorHAnsi" w:cs="Arial"/>
          <w:sz w:val="22"/>
          <w:szCs w:val="22"/>
          <w:lang w:val="en-GB"/>
        </w:rPr>
        <w:t xml:space="preserve">at will help deliver practical </w:t>
      </w:r>
      <w:r w:rsidRPr="00E87EFB">
        <w:rPr>
          <w:rFonts w:asciiTheme="minorHAnsi" w:hAnsiTheme="minorHAnsi" w:cs="Arial"/>
          <w:sz w:val="22"/>
          <w:szCs w:val="22"/>
          <w:lang w:val="en-GB"/>
        </w:rPr>
        <w:t xml:space="preserve">solutions and address the causes of safety issues, and support local investigators and commissioners. </w:t>
      </w:r>
    </w:p>
    <w:p w:rsidR="007F6DBF" w:rsidRPr="00E87EFB" w:rsidRDefault="007F6DBF" w:rsidP="007F6DBF">
      <w:pPr>
        <w:ind w:left="720"/>
        <w:jc w:val="both"/>
        <w:rPr>
          <w:rFonts w:asciiTheme="minorHAnsi" w:hAnsiTheme="minorHAnsi" w:cs="Arial"/>
          <w:sz w:val="22"/>
          <w:szCs w:val="22"/>
          <w:lang w:val="en-GB"/>
        </w:rPr>
      </w:pPr>
    </w:p>
    <w:p w:rsidR="00DA52E9" w:rsidRDefault="007F6DBF" w:rsidP="00E87EFB">
      <w:pPr>
        <w:ind w:left="720"/>
        <w:jc w:val="both"/>
        <w:rPr>
          <w:rFonts w:asciiTheme="minorHAnsi" w:hAnsiTheme="minorHAnsi" w:cs="Arial"/>
          <w:sz w:val="22"/>
          <w:szCs w:val="22"/>
          <w:lang w:val="en-GB"/>
        </w:rPr>
      </w:pPr>
      <w:r w:rsidRPr="00E87EFB">
        <w:rPr>
          <w:rFonts w:asciiTheme="minorHAnsi" w:hAnsiTheme="minorHAnsi" w:cs="Arial"/>
          <w:sz w:val="22"/>
          <w:szCs w:val="22"/>
          <w:lang w:val="en-GB"/>
        </w:rPr>
        <w:t xml:space="preserve">As the Expert Advisory Group, </w:t>
      </w:r>
      <w:r w:rsidR="00E87EFB">
        <w:rPr>
          <w:rFonts w:asciiTheme="minorHAnsi" w:hAnsiTheme="minorHAnsi" w:cs="Arial"/>
          <w:sz w:val="22"/>
          <w:szCs w:val="22"/>
          <w:lang w:val="en-GB"/>
        </w:rPr>
        <w:t>they were</w:t>
      </w:r>
      <w:r w:rsidRPr="00E87EFB">
        <w:rPr>
          <w:rFonts w:asciiTheme="minorHAnsi" w:hAnsiTheme="minorHAnsi" w:cs="Arial"/>
          <w:sz w:val="22"/>
          <w:szCs w:val="22"/>
          <w:lang w:val="en-GB"/>
        </w:rPr>
        <w:t xml:space="preserve"> asked to advise the Department of Health and Secretary of State for Health on the establishment of </w:t>
      </w:r>
      <w:r w:rsidR="00E87EFB">
        <w:rPr>
          <w:rFonts w:asciiTheme="minorHAnsi" w:hAnsiTheme="minorHAnsi" w:cs="Arial"/>
          <w:sz w:val="22"/>
          <w:szCs w:val="22"/>
          <w:lang w:val="en-GB"/>
        </w:rPr>
        <w:t>this function. In particular, they</w:t>
      </w:r>
      <w:r w:rsidRPr="00E87EFB">
        <w:rPr>
          <w:rFonts w:asciiTheme="minorHAnsi" w:hAnsiTheme="minorHAnsi" w:cs="Arial"/>
          <w:sz w:val="22"/>
          <w:szCs w:val="22"/>
          <w:lang w:val="en-GB"/>
        </w:rPr>
        <w:t xml:space="preserve"> have been asked to provide advice on its purpose, role and ope</w:t>
      </w:r>
      <w:r w:rsidR="00E87EFB">
        <w:rPr>
          <w:rFonts w:asciiTheme="minorHAnsi" w:hAnsiTheme="minorHAnsi" w:cs="Arial"/>
          <w:sz w:val="22"/>
          <w:szCs w:val="22"/>
          <w:lang w:val="en-GB"/>
        </w:rPr>
        <w:t>ration. This report sets out their</w:t>
      </w:r>
      <w:r w:rsidRPr="00E87EFB">
        <w:rPr>
          <w:rFonts w:asciiTheme="minorHAnsi" w:hAnsiTheme="minorHAnsi" w:cs="Arial"/>
          <w:sz w:val="22"/>
          <w:szCs w:val="22"/>
          <w:lang w:val="en-GB"/>
        </w:rPr>
        <w:t xml:space="preserve"> response.</w:t>
      </w:r>
    </w:p>
    <w:p w:rsidR="00F943B7" w:rsidRPr="00E87EFB" w:rsidRDefault="00F943B7" w:rsidP="00E87EFB">
      <w:pPr>
        <w:ind w:left="720"/>
        <w:jc w:val="both"/>
        <w:rPr>
          <w:rFonts w:asciiTheme="minorHAnsi" w:hAnsiTheme="minorHAnsi" w:cs="Arial"/>
          <w:sz w:val="22"/>
          <w:szCs w:val="22"/>
          <w:lang w:val="en-GB"/>
        </w:rPr>
      </w:pPr>
    </w:p>
    <w:p w:rsidR="00DA52E9" w:rsidRPr="00F943B7" w:rsidRDefault="00E87EFB" w:rsidP="00DA52E9">
      <w:pPr>
        <w:ind w:left="720"/>
        <w:jc w:val="both"/>
        <w:rPr>
          <w:rFonts w:asciiTheme="minorHAnsi" w:hAnsiTheme="minorHAnsi" w:cs="Arial"/>
          <w:sz w:val="22"/>
          <w:szCs w:val="22"/>
        </w:rPr>
      </w:pPr>
      <w:hyperlink r:id="rId16" w:history="1">
        <w:r w:rsidRPr="00F943B7">
          <w:rPr>
            <w:rStyle w:val="Hyperlink"/>
            <w:rFonts w:asciiTheme="minorHAnsi" w:hAnsiTheme="minorHAnsi" w:cs="Arial"/>
            <w:sz w:val="22"/>
            <w:szCs w:val="22"/>
          </w:rPr>
          <w:t>https://www.gov.uk/government/uploads/system/uploads/attachment_data/file/522785/hsibreport.pdf</w:t>
        </w:r>
      </w:hyperlink>
      <w:r w:rsidRPr="00F943B7">
        <w:rPr>
          <w:rFonts w:asciiTheme="minorHAnsi" w:hAnsiTheme="minorHAnsi" w:cs="Arial"/>
          <w:sz w:val="22"/>
          <w:szCs w:val="22"/>
        </w:rPr>
        <w:t xml:space="preserve"> </w:t>
      </w:r>
    </w:p>
    <w:p w:rsidR="00652AB8" w:rsidRDefault="00652AB8" w:rsidP="00DD7BCE">
      <w:pPr>
        <w:ind w:left="720"/>
        <w:jc w:val="both"/>
        <w:rPr>
          <w:rFonts w:asciiTheme="minorHAnsi" w:hAnsiTheme="minorHAnsi" w:cs="Arial"/>
          <w:b/>
          <w:sz w:val="22"/>
          <w:szCs w:val="22"/>
        </w:rPr>
      </w:pPr>
    </w:p>
    <w:p w:rsidR="00652AB8" w:rsidRDefault="00925BC0" w:rsidP="00DD7BCE">
      <w:pPr>
        <w:ind w:left="720"/>
        <w:jc w:val="both"/>
        <w:rPr>
          <w:rFonts w:asciiTheme="minorHAnsi" w:hAnsiTheme="minorHAnsi" w:cs="Arial"/>
          <w:b/>
          <w:sz w:val="22"/>
          <w:szCs w:val="22"/>
        </w:rPr>
      </w:pPr>
      <w:proofErr w:type="gramStart"/>
      <w:r>
        <w:rPr>
          <w:rFonts w:asciiTheme="minorHAnsi" w:hAnsiTheme="minorHAnsi" w:cs="Arial"/>
          <w:b/>
          <w:sz w:val="22"/>
          <w:szCs w:val="22"/>
          <w:lang w:val="en"/>
        </w:rPr>
        <w:t xml:space="preserve">2.9  </w:t>
      </w:r>
      <w:r w:rsidR="00E87EFB" w:rsidRPr="00E87EFB">
        <w:rPr>
          <w:rFonts w:asciiTheme="minorHAnsi" w:hAnsiTheme="minorHAnsi" w:cs="Arial"/>
          <w:b/>
          <w:sz w:val="22"/>
          <w:szCs w:val="22"/>
          <w:lang w:val="en"/>
        </w:rPr>
        <w:t>Mental</w:t>
      </w:r>
      <w:proofErr w:type="gramEnd"/>
      <w:r w:rsidR="00E87EFB" w:rsidRPr="00E87EFB">
        <w:rPr>
          <w:rFonts w:asciiTheme="minorHAnsi" w:hAnsiTheme="minorHAnsi" w:cs="Arial"/>
          <w:b/>
          <w:sz w:val="22"/>
          <w:szCs w:val="22"/>
          <w:lang w:val="en"/>
        </w:rPr>
        <w:t xml:space="preserve"> health crisis care: health based places of safety funding</w:t>
      </w:r>
    </w:p>
    <w:p w:rsidR="00E87EFB" w:rsidRDefault="00E87EFB" w:rsidP="00E87EFB">
      <w:pPr>
        <w:ind w:left="720"/>
        <w:jc w:val="both"/>
        <w:rPr>
          <w:rFonts w:asciiTheme="minorHAnsi" w:hAnsiTheme="minorHAnsi" w:cs="Arial"/>
          <w:sz w:val="22"/>
          <w:szCs w:val="22"/>
          <w:lang w:val="en"/>
        </w:rPr>
      </w:pPr>
    </w:p>
    <w:p w:rsidR="00E87EFB" w:rsidRPr="00E87EFB" w:rsidRDefault="00E87EFB" w:rsidP="00E87EFB">
      <w:pPr>
        <w:ind w:left="720"/>
        <w:jc w:val="both"/>
        <w:rPr>
          <w:rFonts w:asciiTheme="minorHAnsi" w:hAnsiTheme="minorHAnsi" w:cs="Arial"/>
          <w:sz w:val="22"/>
          <w:szCs w:val="22"/>
          <w:lang w:val="en"/>
        </w:rPr>
      </w:pPr>
      <w:r w:rsidRPr="00E87EFB">
        <w:rPr>
          <w:rFonts w:asciiTheme="minorHAnsi" w:hAnsiTheme="minorHAnsi" w:cs="Arial"/>
          <w:sz w:val="22"/>
          <w:szCs w:val="22"/>
          <w:lang w:val="en"/>
        </w:rPr>
        <w:t>This guidance document sets out how local crisis care concordat groups can apply for funding to increase the capacity and number of health based places of safety.</w:t>
      </w:r>
    </w:p>
    <w:p w:rsidR="00E87EFB" w:rsidRDefault="00E87EFB" w:rsidP="00E87EFB">
      <w:pPr>
        <w:ind w:left="720"/>
        <w:jc w:val="both"/>
        <w:rPr>
          <w:rFonts w:asciiTheme="minorHAnsi" w:hAnsiTheme="minorHAnsi" w:cs="Arial"/>
          <w:sz w:val="22"/>
          <w:szCs w:val="22"/>
          <w:lang w:val="en"/>
        </w:rPr>
      </w:pPr>
      <w:r w:rsidRPr="00E87EFB">
        <w:rPr>
          <w:rFonts w:asciiTheme="minorHAnsi" w:hAnsiTheme="minorHAnsi" w:cs="Arial"/>
          <w:sz w:val="22"/>
          <w:szCs w:val="22"/>
          <w:lang w:val="en"/>
        </w:rPr>
        <w:t>If someone is having a mental health crisis and they come to the attention of the police, they may need to be taken to a place of safety – somewhere that is designated as safe under the Mental Health Act.</w:t>
      </w:r>
    </w:p>
    <w:p w:rsidR="00925BC0" w:rsidRPr="00E87EFB" w:rsidRDefault="00925BC0" w:rsidP="00E87EFB">
      <w:pPr>
        <w:ind w:left="720"/>
        <w:jc w:val="both"/>
        <w:rPr>
          <w:rFonts w:asciiTheme="minorHAnsi" w:hAnsiTheme="minorHAnsi" w:cs="Arial"/>
          <w:sz w:val="22"/>
          <w:szCs w:val="22"/>
          <w:lang w:val="en"/>
        </w:rPr>
      </w:pPr>
    </w:p>
    <w:p w:rsidR="00E87EFB" w:rsidRDefault="00E87EFB" w:rsidP="00E87EFB">
      <w:pPr>
        <w:ind w:left="720"/>
        <w:jc w:val="both"/>
        <w:rPr>
          <w:rFonts w:asciiTheme="minorHAnsi" w:hAnsiTheme="minorHAnsi" w:cs="Arial"/>
          <w:sz w:val="22"/>
          <w:szCs w:val="22"/>
          <w:lang w:val="en"/>
        </w:rPr>
      </w:pPr>
      <w:r w:rsidRPr="00E87EFB">
        <w:rPr>
          <w:rFonts w:asciiTheme="minorHAnsi" w:hAnsiTheme="minorHAnsi" w:cs="Arial"/>
          <w:sz w:val="22"/>
          <w:szCs w:val="22"/>
          <w:lang w:val="en"/>
        </w:rPr>
        <w:t>The best place of safety is in a health setting, so that people, including children and young people, get the care they need for their mental health.</w:t>
      </w:r>
      <w:r w:rsidR="00925BC0">
        <w:rPr>
          <w:rFonts w:asciiTheme="minorHAnsi" w:hAnsiTheme="minorHAnsi" w:cs="Arial"/>
          <w:sz w:val="22"/>
          <w:szCs w:val="22"/>
          <w:lang w:val="en"/>
        </w:rPr>
        <w:t xml:space="preserve"> </w:t>
      </w:r>
      <w:r w:rsidRPr="00E87EFB">
        <w:rPr>
          <w:rFonts w:asciiTheme="minorHAnsi" w:hAnsiTheme="minorHAnsi" w:cs="Arial"/>
          <w:sz w:val="22"/>
          <w:szCs w:val="22"/>
          <w:lang w:val="en"/>
        </w:rPr>
        <w:t xml:space="preserve">This funding </w:t>
      </w:r>
      <w:proofErr w:type="spellStart"/>
      <w:r w:rsidRPr="00E87EFB">
        <w:rPr>
          <w:rFonts w:asciiTheme="minorHAnsi" w:hAnsiTheme="minorHAnsi" w:cs="Arial"/>
          <w:sz w:val="22"/>
          <w:szCs w:val="22"/>
          <w:lang w:val="en"/>
        </w:rPr>
        <w:t>programme</w:t>
      </w:r>
      <w:proofErr w:type="spellEnd"/>
      <w:r w:rsidRPr="00E87EFB">
        <w:rPr>
          <w:rFonts w:asciiTheme="minorHAnsi" w:hAnsiTheme="minorHAnsi" w:cs="Arial"/>
          <w:sz w:val="22"/>
          <w:szCs w:val="22"/>
          <w:lang w:val="en"/>
        </w:rPr>
        <w:t xml:space="preserve"> aims to increase and improve health based places of safety and continue to reduce police cells being used as an alternative. Bids for a share of the £15 million fund will be managed by the Department of Health</w:t>
      </w:r>
      <w:r w:rsidR="00F943B7">
        <w:rPr>
          <w:rFonts w:asciiTheme="minorHAnsi" w:hAnsiTheme="minorHAnsi" w:cs="Arial"/>
          <w:sz w:val="22"/>
          <w:szCs w:val="22"/>
          <w:lang w:val="en"/>
        </w:rPr>
        <w:t>.</w:t>
      </w:r>
    </w:p>
    <w:p w:rsidR="00F943B7" w:rsidRPr="00E87EFB" w:rsidRDefault="00F943B7" w:rsidP="00E87EFB">
      <w:pPr>
        <w:ind w:left="720"/>
        <w:jc w:val="both"/>
        <w:rPr>
          <w:rFonts w:asciiTheme="minorHAnsi" w:hAnsiTheme="minorHAnsi" w:cs="Arial"/>
          <w:sz w:val="22"/>
          <w:szCs w:val="22"/>
          <w:lang w:val="en"/>
        </w:rPr>
      </w:pPr>
    </w:p>
    <w:p w:rsidR="00652AB8" w:rsidRPr="00F943B7" w:rsidRDefault="00925BC0" w:rsidP="00DD7BCE">
      <w:pPr>
        <w:ind w:left="720"/>
        <w:jc w:val="both"/>
        <w:rPr>
          <w:rFonts w:asciiTheme="minorHAnsi" w:hAnsiTheme="minorHAnsi" w:cs="Arial"/>
          <w:sz w:val="22"/>
          <w:szCs w:val="22"/>
        </w:rPr>
      </w:pPr>
      <w:hyperlink r:id="rId17" w:history="1">
        <w:r w:rsidRPr="00F943B7">
          <w:rPr>
            <w:rStyle w:val="Hyperlink"/>
            <w:rFonts w:asciiTheme="minorHAnsi" w:hAnsiTheme="minorHAnsi" w:cs="Arial"/>
            <w:sz w:val="22"/>
            <w:szCs w:val="22"/>
          </w:rPr>
          <w:t>https://www.gov.uk/government/publications/mental-health-crisis-care-health-based-places-of-safety-funding</w:t>
        </w:r>
      </w:hyperlink>
      <w:r w:rsidRPr="00F943B7">
        <w:rPr>
          <w:rFonts w:asciiTheme="minorHAnsi" w:hAnsiTheme="minorHAnsi" w:cs="Arial"/>
          <w:sz w:val="22"/>
          <w:szCs w:val="22"/>
        </w:rPr>
        <w:t xml:space="preserve"> </w:t>
      </w:r>
    </w:p>
    <w:p w:rsidR="00652AB8" w:rsidRDefault="00652AB8" w:rsidP="00DD7BCE">
      <w:pPr>
        <w:ind w:left="720"/>
        <w:jc w:val="both"/>
        <w:rPr>
          <w:rFonts w:asciiTheme="minorHAnsi" w:hAnsiTheme="minorHAnsi" w:cs="Arial"/>
          <w:b/>
          <w:sz w:val="22"/>
          <w:szCs w:val="22"/>
        </w:rPr>
      </w:pPr>
    </w:p>
    <w:p w:rsidR="00652AB8" w:rsidRDefault="00652AB8" w:rsidP="00DD7BCE">
      <w:pPr>
        <w:ind w:left="720"/>
        <w:jc w:val="both"/>
        <w:rPr>
          <w:rFonts w:asciiTheme="minorHAnsi" w:hAnsiTheme="minorHAnsi" w:cs="Arial"/>
          <w:b/>
          <w:sz w:val="22"/>
          <w:szCs w:val="22"/>
        </w:rPr>
      </w:pPr>
    </w:p>
    <w:p w:rsidR="00652AB8" w:rsidRDefault="00652AB8" w:rsidP="00DD7BCE">
      <w:pPr>
        <w:ind w:left="720"/>
        <w:jc w:val="both"/>
        <w:rPr>
          <w:rFonts w:asciiTheme="minorHAnsi" w:hAnsiTheme="minorHAnsi" w:cs="Arial"/>
          <w:b/>
          <w:sz w:val="22"/>
          <w:szCs w:val="22"/>
        </w:rPr>
      </w:pPr>
    </w:p>
    <w:p w:rsidR="00652AB8" w:rsidRDefault="00652AB8" w:rsidP="00DD7BCE">
      <w:pPr>
        <w:ind w:left="720"/>
        <w:jc w:val="both"/>
        <w:rPr>
          <w:rFonts w:asciiTheme="minorHAnsi" w:hAnsiTheme="minorHAnsi" w:cs="Arial"/>
          <w:b/>
          <w:sz w:val="22"/>
          <w:szCs w:val="22"/>
        </w:rPr>
      </w:pPr>
    </w:p>
    <w:p w:rsidR="00652AB8" w:rsidRDefault="00652AB8" w:rsidP="00DD7BCE">
      <w:pPr>
        <w:ind w:left="720"/>
        <w:jc w:val="both"/>
        <w:rPr>
          <w:rFonts w:asciiTheme="minorHAnsi" w:hAnsiTheme="minorHAnsi" w:cs="Arial"/>
          <w:b/>
          <w:sz w:val="22"/>
          <w:szCs w:val="22"/>
        </w:rPr>
      </w:pPr>
    </w:p>
    <w:p w:rsidR="00652AB8" w:rsidRDefault="00652AB8" w:rsidP="00DD7BCE">
      <w:pPr>
        <w:ind w:left="720"/>
        <w:jc w:val="both"/>
        <w:rPr>
          <w:rFonts w:asciiTheme="minorHAnsi" w:hAnsiTheme="minorHAnsi" w:cs="Arial"/>
          <w:b/>
          <w:sz w:val="22"/>
          <w:szCs w:val="22"/>
        </w:rPr>
      </w:pPr>
    </w:p>
    <w:p w:rsidR="00652AB8" w:rsidRDefault="00652AB8" w:rsidP="00DD7BCE">
      <w:pPr>
        <w:ind w:left="720"/>
        <w:jc w:val="both"/>
        <w:rPr>
          <w:rFonts w:asciiTheme="minorHAnsi" w:hAnsiTheme="minorHAnsi" w:cs="Arial"/>
          <w:b/>
          <w:sz w:val="22"/>
          <w:szCs w:val="22"/>
        </w:rPr>
      </w:pPr>
    </w:p>
    <w:p w:rsidR="00652AB8" w:rsidRDefault="00652AB8" w:rsidP="00DD7BCE">
      <w:pPr>
        <w:ind w:left="720"/>
        <w:jc w:val="both"/>
        <w:rPr>
          <w:rFonts w:asciiTheme="minorHAnsi" w:hAnsiTheme="minorHAnsi" w:cs="Arial"/>
          <w:b/>
          <w:sz w:val="22"/>
          <w:szCs w:val="22"/>
        </w:rPr>
      </w:pPr>
    </w:p>
    <w:p w:rsidR="00652AB8" w:rsidRDefault="00652AB8" w:rsidP="00DD7BCE">
      <w:pPr>
        <w:ind w:left="720"/>
        <w:jc w:val="both"/>
        <w:rPr>
          <w:rFonts w:asciiTheme="minorHAnsi" w:hAnsiTheme="minorHAnsi" w:cs="Arial"/>
          <w:b/>
          <w:sz w:val="22"/>
          <w:szCs w:val="22"/>
        </w:rPr>
      </w:pPr>
    </w:p>
    <w:p w:rsidR="008631F8" w:rsidRPr="00A015A5" w:rsidRDefault="008631F8" w:rsidP="00DD7BCE">
      <w:pPr>
        <w:ind w:left="720"/>
        <w:jc w:val="both"/>
        <w:rPr>
          <w:rFonts w:asciiTheme="minorHAnsi" w:hAnsiTheme="minorHAnsi" w:cs="Arial"/>
          <w:b/>
          <w:sz w:val="22"/>
          <w:szCs w:val="22"/>
        </w:rPr>
      </w:pPr>
      <w:bookmarkStart w:id="0" w:name="_GoBack"/>
      <w:bookmarkEnd w:id="0"/>
    </w:p>
    <w:sectPr w:rsidR="008631F8" w:rsidRPr="00A015A5" w:rsidSect="00FE113A">
      <w:headerReference w:type="defaul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07" w:rsidRDefault="00934807" w:rsidP="005B3E3C">
      <w:r>
        <w:separator/>
      </w:r>
    </w:p>
  </w:endnote>
  <w:endnote w:type="continuationSeparator" w:id="0">
    <w:p w:rsidR="00934807" w:rsidRDefault="00934807"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00"/>
    <w:family w:val="roman"/>
    <w:notTrueType/>
    <w:pitch w:val="default"/>
    <w:sig w:usb0="00000001" w:usb1="08080000" w:usb2="00000010" w:usb3="00000000" w:csb0="001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Frutiger">
    <w:altName w:val="Vrind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07" w:rsidRDefault="00934807" w:rsidP="005B3E3C">
      <w:r>
        <w:separator/>
      </w:r>
    </w:p>
  </w:footnote>
  <w:footnote w:type="continuationSeparator" w:id="0">
    <w:p w:rsidR="00934807" w:rsidRDefault="00934807"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6E3C3E"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65C"/>
    <w:multiLevelType w:val="hybridMultilevel"/>
    <w:tmpl w:val="D8E8C0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E4D52DD"/>
    <w:multiLevelType w:val="hybridMultilevel"/>
    <w:tmpl w:val="D03C41BC"/>
    <w:lvl w:ilvl="0" w:tplc="317CF00E">
      <w:numFmt w:val="bullet"/>
      <w:lvlText w:val=""/>
      <w:lvlJc w:val="left"/>
      <w:pPr>
        <w:ind w:left="1800" w:hanging="360"/>
      </w:pPr>
      <w:rPr>
        <w:rFonts w:ascii="SymbolMT" w:eastAsia="SymbolMT" w:hAnsi="Arial" w:cs="SymbolMT" w:hint="eastAsia"/>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23F06888"/>
    <w:multiLevelType w:val="hybridMultilevel"/>
    <w:tmpl w:val="E6444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4411855"/>
    <w:multiLevelType w:val="hybridMultilevel"/>
    <w:tmpl w:val="E19841B8"/>
    <w:lvl w:ilvl="0" w:tplc="2F94AC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1B1681C"/>
    <w:multiLevelType w:val="hybridMultilevel"/>
    <w:tmpl w:val="8F2E4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94A56FA"/>
    <w:multiLevelType w:val="multilevel"/>
    <w:tmpl w:val="0C2E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AE664D"/>
    <w:multiLevelType w:val="hybridMultilevel"/>
    <w:tmpl w:val="BFF6EB20"/>
    <w:lvl w:ilvl="0" w:tplc="317CF00E">
      <w:numFmt w:val="bullet"/>
      <w:lvlText w:val=""/>
      <w:lvlJc w:val="left"/>
      <w:pPr>
        <w:ind w:left="1800" w:hanging="360"/>
      </w:pPr>
      <w:rPr>
        <w:rFonts w:ascii="SymbolMT" w:eastAsia="SymbolMT" w:hAnsi="Arial" w:cs="SymbolMT" w:hint="eastAsi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CB01170"/>
    <w:multiLevelType w:val="multilevel"/>
    <w:tmpl w:val="745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175132"/>
    <w:multiLevelType w:val="hybridMultilevel"/>
    <w:tmpl w:val="4B4895A4"/>
    <w:lvl w:ilvl="0" w:tplc="317CF00E">
      <w:numFmt w:val="bullet"/>
      <w:lvlText w:val=""/>
      <w:lvlJc w:val="left"/>
      <w:pPr>
        <w:ind w:left="3240" w:hanging="360"/>
      </w:pPr>
      <w:rPr>
        <w:rFonts w:ascii="SymbolMT" w:eastAsia="SymbolMT" w:hAnsi="Arial" w:cs="SymbolMT" w:hint="eastAsia"/>
        <w:sz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6CF9512B"/>
    <w:multiLevelType w:val="hybridMultilevel"/>
    <w:tmpl w:val="243A31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BE21B4"/>
    <w:multiLevelType w:val="hybridMultilevel"/>
    <w:tmpl w:val="C2920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8785BCE"/>
    <w:multiLevelType w:val="hybridMultilevel"/>
    <w:tmpl w:val="9022E486"/>
    <w:lvl w:ilvl="0" w:tplc="317CF00E">
      <w:numFmt w:val="bullet"/>
      <w:lvlText w:val=""/>
      <w:lvlJc w:val="left"/>
      <w:pPr>
        <w:ind w:left="3240" w:hanging="360"/>
      </w:pPr>
      <w:rPr>
        <w:rFonts w:ascii="SymbolMT" w:eastAsia="SymbolMT" w:hAnsi="Arial" w:cs="SymbolMT" w:hint="eastAsia"/>
        <w:sz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7AF72048"/>
    <w:multiLevelType w:val="hybridMultilevel"/>
    <w:tmpl w:val="624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5"/>
  </w:num>
  <w:num w:numId="3">
    <w:abstractNumId w:val="8"/>
  </w:num>
  <w:num w:numId="4">
    <w:abstractNumId w:val="3"/>
  </w:num>
  <w:num w:numId="5">
    <w:abstractNumId w:val="0"/>
  </w:num>
  <w:num w:numId="6">
    <w:abstractNumId w:val="1"/>
  </w:num>
  <w:num w:numId="7">
    <w:abstractNumId w:val="10"/>
  </w:num>
  <w:num w:numId="8">
    <w:abstractNumId w:val="14"/>
  </w:num>
  <w:num w:numId="9">
    <w:abstractNumId w:val="7"/>
  </w:num>
  <w:num w:numId="10">
    <w:abstractNumId w:val="6"/>
  </w:num>
  <w:num w:numId="11">
    <w:abstractNumId w:val="11"/>
  </w:num>
  <w:num w:numId="12">
    <w:abstractNumId w:val="4"/>
  </w:num>
  <w:num w:numId="13">
    <w:abstractNumId w:val="13"/>
  </w:num>
  <w:num w:numId="14">
    <w:abstractNumId w:val="9"/>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2AAF"/>
    <w:rsid w:val="00004205"/>
    <w:rsid w:val="00020D1E"/>
    <w:rsid w:val="00032845"/>
    <w:rsid w:val="00086EB2"/>
    <w:rsid w:val="000B0343"/>
    <w:rsid w:val="000C70D7"/>
    <w:rsid w:val="000E317C"/>
    <w:rsid w:val="000E6029"/>
    <w:rsid w:val="00121633"/>
    <w:rsid w:val="00165B7B"/>
    <w:rsid w:val="00171D95"/>
    <w:rsid w:val="0018063B"/>
    <w:rsid w:val="001917D0"/>
    <w:rsid w:val="001B3C92"/>
    <w:rsid w:val="001B3CC2"/>
    <w:rsid w:val="001F76ED"/>
    <w:rsid w:val="00201D0F"/>
    <w:rsid w:val="00226D07"/>
    <w:rsid w:val="00227160"/>
    <w:rsid w:val="00227FCE"/>
    <w:rsid w:val="00241272"/>
    <w:rsid w:val="00250DF0"/>
    <w:rsid w:val="00254F05"/>
    <w:rsid w:val="002619EF"/>
    <w:rsid w:val="00265222"/>
    <w:rsid w:val="00270459"/>
    <w:rsid w:val="002821F8"/>
    <w:rsid w:val="00292613"/>
    <w:rsid w:val="00297178"/>
    <w:rsid w:val="002A5307"/>
    <w:rsid w:val="002A73E8"/>
    <w:rsid w:val="002C2F97"/>
    <w:rsid w:val="002C7C26"/>
    <w:rsid w:val="002E1577"/>
    <w:rsid w:val="002E6FC6"/>
    <w:rsid w:val="003017B7"/>
    <w:rsid w:val="00363C79"/>
    <w:rsid w:val="003971F6"/>
    <w:rsid w:val="003F7366"/>
    <w:rsid w:val="0042097D"/>
    <w:rsid w:val="00430677"/>
    <w:rsid w:val="004326BB"/>
    <w:rsid w:val="004A4775"/>
    <w:rsid w:val="004F4BBA"/>
    <w:rsid w:val="004F5312"/>
    <w:rsid w:val="005137EF"/>
    <w:rsid w:val="005233AA"/>
    <w:rsid w:val="00551B0F"/>
    <w:rsid w:val="005659FB"/>
    <w:rsid w:val="005A287B"/>
    <w:rsid w:val="005B3548"/>
    <w:rsid w:val="005B3E3C"/>
    <w:rsid w:val="005C3FC1"/>
    <w:rsid w:val="005D3499"/>
    <w:rsid w:val="005E2583"/>
    <w:rsid w:val="005E6C17"/>
    <w:rsid w:val="00605AF3"/>
    <w:rsid w:val="00611537"/>
    <w:rsid w:val="0061684E"/>
    <w:rsid w:val="00646489"/>
    <w:rsid w:val="00652AB8"/>
    <w:rsid w:val="00675C69"/>
    <w:rsid w:val="00680116"/>
    <w:rsid w:val="0069085D"/>
    <w:rsid w:val="006E06A9"/>
    <w:rsid w:val="006E3C3E"/>
    <w:rsid w:val="0073522A"/>
    <w:rsid w:val="007639F0"/>
    <w:rsid w:val="00765093"/>
    <w:rsid w:val="007769CD"/>
    <w:rsid w:val="0078032B"/>
    <w:rsid w:val="00781566"/>
    <w:rsid w:val="007976E7"/>
    <w:rsid w:val="007A1BDD"/>
    <w:rsid w:val="007A2CF0"/>
    <w:rsid w:val="007B6D77"/>
    <w:rsid w:val="007D5D69"/>
    <w:rsid w:val="007F6DBF"/>
    <w:rsid w:val="00802701"/>
    <w:rsid w:val="008038A2"/>
    <w:rsid w:val="00811FE8"/>
    <w:rsid w:val="00853350"/>
    <w:rsid w:val="008631F8"/>
    <w:rsid w:val="0086436B"/>
    <w:rsid w:val="00894B97"/>
    <w:rsid w:val="00897FF9"/>
    <w:rsid w:val="008A65DF"/>
    <w:rsid w:val="0090126E"/>
    <w:rsid w:val="00925BC0"/>
    <w:rsid w:val="00934807"/>
    <w:rsid w:val="00946E6E"/>
    <w:rsid w:val="009536C9"/>
    <w:rsid w:val="0096117D"/>
    <w:rsid w:val="00967283"/>
    <w:rsid w:val="009869DE"/>
    <w:rsid w:val="00A015A5"/>
    <w:rsid w:val="00A122E3"/>
    <w:rsid w:val="00A6148D"/>
    <w:rsid w:val="00A65B94"/>
    <w:rsid w:val="00A674FB"/>
    <w:rsid w:val="00A85311"/>
    <w:rsid w:val="00AA0C3F"/>
    <w:rsid w:val="00AC3814"/>
    <w:rsid w:val="00AD63A2"/>
    <w:rsid w:val="00AF0562"/>
    <w:rsid w:val="00B26E1A"/>
    <w:rsid w:val="00B26F2C"/>
    <w:rsid w:val="00B44CFE"/>
    <w:rsid w:val="00B50D5E"/>
    <w:rsid w:val="00B515D8"/>
    <w:rsid w:val="00BA3B3E"/>
    <w:rsid w:val="00BF5367"/>
    <w:rsid w:val="00C02F68"/>
    <w:rsid w:val="00C06C6E"/>
    <w:rsid w:val="00C07817"/>
    <w:rsid w:val="00C11AA2"/>
    <w:rsid w:val="00C71D95"/>
    <w:rsid w:val="00C7658D"/>
    <w:rsid w:val="00CB0CBA"/>
    <w:rsid w:val="00CF47D9"/>
    <w:rsid w:val="00CF7A4A"/>
    <w:rsid w:val="00D07064"/>
    <w:rsid w:val="00D20BA1"/>
    <w:rsid w:val="00D22BC8"/>
    <w:rsid w:val="00D279FC"/>
    <w:rsid w:val="00D55ADD"/>
    <w:rsid w:val="00D8544F"/>
    <w:rsid w:val="00D926FB"/>
    <w:rsid w:val="00DA0FA6"/>
    <w:rsid w:val="00DA52E9"/>
    <w:rsid w:val="00DC60A7"/>
    <w:rsid w:val="00DD33DF"/>
    <w:rsid w:val="00DD7BCE"/>
    <w:rsid w:val="00DE1293"/>
    <w:rsid w:val="00DE5FBB"/>
    <w:rsid w:val="00E36F67"/>
    <w:rsid w:val="00E456A0"/>
    <w:rsid w:val="00E55B28"/>
    <w:rsid w:val="00E827C5"/>
    <w:rsid w:val="00E87EFB"/>
    <w:rsid w:val="00EE3E09"/>
    <w:rsid w:val="00F175CA"/>
    <w:rsid w:val="00F24EB2"/>
    <w:rsid w:val="00F50A07"/>
    <w:rsid w:val="00F57119"/>
    <w:rsid w:val="00F77C13"/>
    <w:rsid w:val="00F93CBB"/>
    <w:rsid w:val="00F943B7"/>
    <w:rsid w:val="00FA331A"/>
    <w:rsid w:val="00FC72E4"/>
    <w:rsid w:val="00FD2279"/>
    <w:rsid w:val="00FE09FF"/>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F175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5B3548"/>
    <w:rPr>
      <w:color w:val="0000FF" w:themeColor="hyperlink"/>
      <w:u w:val="single"/>
    </w:rPr>
  </w:style>
  <w:style w:type="character" w:styleId="Strong">
    <w:name w:val="Strong"/>
    <w:basedOn w:val="DefaultParagraphFont"/>
    <w:uiPriority w:val="22"/>
    <w:qFormat/>
    <w:rsid w:val="00265222"/>
    <w:rPr>
      <w:b/>
      <w:bCs/>
    </w:rPr>
  </w:style>
  <w:style w:type="paragraph" w:styleId="NormalWeb">
    <w:name w:val="Normal (Web)"/>
    <w:basedOn w:val="Normal"/>
    <w:uiPriority w:val="99"/>
    <w:unhideWhenUsed/>
    <w:rsid w:val="00B515D8"/>
    <w:pPr>
      <w:spacing w:before="100" w:beforeAutospacing="1" w:after="100" w:afterAutospacing="1"/>
    </w:pPr>
    <w:rPr>
      <w:rFonts w:eastAsiaTheme="minorHAnsi"/>
      <w:lang w:val="en-GB" w:eastAsia="en-GB"/>
    </w:rPr>
  </w:style>
  <w:style w:type="character" w:customStyle="1" w:styleId="Heading2Char">
    <w:name w:val="Heading 2 Char"/>
    <w:basedOn w:val="DefaultParagraphFont"/>
    <w:link w:val="Heading2"/>
    <w:semiHidden/>
    <w:rsid w:val="00F175CA"/>
    <w:rPr>
      <w:rFonts w:asciiTheme="majorHAnsi" w:eastAsiaTheme="majorEastAsia" w:hAnsiTheme="majorHAnsi" w:cstheme="majorBidi"/>
      <w:b/>
      <w:bCs/>
      <w:color w:val="4F81BD"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F175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5B3548"/>
    <w:rPr>
      <w:color w:val="0000FF" w:themeColor="hyperlink"/>
      <w:u w:val="single"/>
    </w:rPr>
  </w:style>
  <w:style w:type="character" w:styleId="Strong">
    <w:name w:val="Strong"/>
    <w:basedOn w:val="DefaultParagraphFont"/>
    <w:uiPriority w:val="22"/>
    <w:qFormat/>
    <w:rsid w:val="00265222"/>
    <w:rPr>
      <w:b/>
      <w:bCs/>
    </w:rPr>
  </w:style>
  <w:style w:type="paragraph" w:styleId="NormalWeb">
    <w:name w:val="Normal (Web)"/>
    <w:basedOn w:val="Normal"/>
    <w:uiPriority w:val="99"/>
    <w:unhideWhenUsed/>
    <w:rsid w:val="00B515D8"/>
    <w:pPr>
      <w:spacing w:before="100" w:beforeAutospacing="1" w:after="100" w:afterAutospacing="1"/>
    </w:pPr>
    <w:rPr>
      <w:rFonts w:eastAsiaTheme="minorHAnsi"/>
      <w:lang w:val="en-GB" w:eastAsia="en-GB"/>
    </w:rPr>
  </w:style>
  <w:style w:type="character" w:customStyle="1" w:styleId="Heading2Char">
    <w:name w:val="Heading 2 Char"/>
    <w:basedOn w:val="DefaultParagraphFont"/>
    <w:link w:val="Heading2"/>
    <w:semiHidden/>
    <w:rsid w:val="00F175CA"/>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8219">
      <w:bodyDiv w:val="1"/>
      <w:marLeft w:val="0"/>
      <w:marRight w:val="0"/>
      <w:marTop w:val="0"/>
      <w:marBottom w:val="0"/>
      <w:divBdr>
        <w:top w:val="none" w:sz="0" w:space="0" w:color="auto"/>
        <w:left w:val="none" w:sz="0" w:space="0" w:color="auto"/>
        <w:bottom w:val="none" w:sz="0" w:space="0" w:color="auto"/>
        <w:right w:val="none" w:sz="0" w:space="0" w:color="auto"/>
      </w:divBdr>
    </w:div>
    <w:div w:id="742220420">
      <w:bodyDiv w:val="1"/>
      <w:marLeft w:val="0"/>
      <w:marRight w:val="0"/>
      <w:marTop w:val="0"/>
      <w:marBottom w:val="0"/>
      <w:divBdr>
        <w:top w:val="none" w:sz="0" w:space="0" w:color="auto"/>
        <w:left w:val="none" w:sz="0" w:space="0" w:color="auto"/>
        <w:bottom w:val="none" w:sz="0" w:space="0" w:color="auto"/>
        <w:right w:val="none" w:sz="0" w:space="0" w:color="auto"/>
      </w:divBdr>
      <w:divsChild>
        <w:div w:id="395667664">
          <w:marLeft w:val="0"/>
          <w:marRight w:val="0"/>
          <w:marTop w:val="0"/>
          <w:marBottom w:val="0"/>
          <w:divBdr>
            <w:top w:val="none" w:sz="0" w:space="0" w:color="auto"/>
            <w:left w:val="none" w:sz="0" w:space="0" w:color="auto"/>
            <w:bottom w:val="none" w:sz="0" w:space="0" w:color="auto"/>
            <w:right w:val="none" w:sz="0" w:space="0" w:color="auto"/>
          </w:divBdr>
          <w:divsChild>
            <w:div w:id="153838733">
              <w:marLeft w:val="0"/>
              <w:marRight w:val="0"/>
              <w:marTop w:val="0"/>
              <w:marBottom w:val="0"/>
              <w:divBdr>
                <w:top w:val="none" w:sz="0" w:space="0" w:color="auto"/>
                <w:left w:val="none" w:sz="0" w:space="0" w:color="auto"/>
                <w:bottom w:val="none" w:sz="0" w:space="0" w:color="auto"/>
                <w:right w:val="none" w:sz="0" w:space="0" w:color="auto"/>
              </w:divBdr>
              <w:divsChild>
                <w:div w:id="1536578082">
                  <w:marLeft w:val="0"/>
                  <w:marRight w:val="0"/>
                  <w:marTop w:val="0"/>
                  <w:marBottom w:val="0"/>
                  <w:divBdr>
                    <w:top w:val="none" w:sz="0" w:space="0" w:color="auto"/>
                    <w:left w:val="none" w:sz="0" w:space="0" w:color="auto"/>
                    <w:bottom w:val="none" w:sz="0" w:space="0" w:color="auto"/>
                    <w:right w:val="none" w:sz="0" w:space="0" w:color="auto"/>
                  </w:divBdr>
                  <w:divsChild>
                    <w:div w:id="5446457">
                      <w:marLeft w:val="0"/>
                      <w:marRight w:val="0"/>
                      <w:marTop w:val="0"/>
                      <w:marBottom w:val="0"/>
                      <w:divBdr>
                        <w:top w:val="none" w:sz="0" w:space="0" w:color="auto"/>
                        <w:left w:val="none" w:sz="0" w:space="0" w:color="auto"/>
                        <w:bottom w:val="none" w:sz="0" w:space="0" w:color="auto"/>
                        <w:right w:val="none" w:sz="0" w:space="0" w:color="auto"/>
                      </w:divBdr>
                      <w:divsChild>
                        <w:div w:id="896472099">
                          <w:marLeft w:val="0"/>
                          <w:marRight w:val="0"/>
                          <w:marTop w:val="0"/>
                          <w:marBottom w:val="0"/>
                          <w:divBdr>
                            <w:top w:val="none" w:sz="0" w:space="0" w:color="auto"/>
                            <w:left w:val="none" w:sz="0" w:space="0" w:color="auto"/>
                            <w:bottom w:val="none" w:sz="0" w:space="0" w:color="auto"/>
                            <w:right w:val="none" w:sz="0" w:space="0" w:color="auto"/>
                          </w:divBdr>
                          <w:divsChild>
                            <w:div w:id="1301378484">
                              <w:marLeft w:val="0"/>
                              <w:marRight w:val="0"/>
                              <w:marTop w:val="0"/>
                              <w:marBottom w:val="0"/>
                              <w:divBdr>
                                <w:top w:val="none" w:sz="0" w:space="0" w:color="auto"/>
                                <w:left w:val="none" w:sz="0" w:space="0" w:color="auto"/>
                                <w:bottom w:val="none" w:sz="0" w:space="0" w:color="auto"/>
                                <w:right w:val="none" w:sz="0" w:space="0" w:color="auto"/>
                              </w:divBdr>
                              <w:divsChild>
                                <w:div w:id="2055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586020">
      <w:bodyDiv w:val="1"/>
      <w:marLeft w:val="0"/>
      <w:marRight w:val="0"/>
      <w:marTop w:val="0"/>
      <w:marBottom w:val="0"/>
      <w:divBdr>
        <w:top w:val="none" w:sz="0" w:space="0" w:color="auto"/>
        <w:left w:val="none" w:sz="0" w:space="0" w:color="auto"/>
        <w:bottom w:val="none" w:sz="0" w:space="0" w:color="auto"/>
        <w:right w:val="none" w:sz="0" w:space="0" w:color="auto"/>
      </w:divBdr>
      <w:divsChild>
        <w:div w:id="347097268">
          <w:marLeft w:val="0"/>
          <w:marRight w:val="0"/>
          <w:marTop w:val="0"/>
          <w:marBottom w:val="0"/>
          <w:divBdr>
            <w:top w:val="none" w:sz="0" w:space="0" w:color="auto"/>
            <w:left w:val="none" w:sz="0" w:space="0" w:color="auto"/>
            <w:bottom w:val="none" w:sz="0" w:space="0" w:color="auto"/>
            <w:right w:val="none" w:sz="0" w:space="0" w:color="auto"/>
          </w:divBdr>
          <w:divsChild>
            <w:div w:id="587426207">
              <w:marLeft w:val="0"/>
              <w:marRight w:val="0"/>
              <w:marTop w:val="0"/>
              <w:marBottom w:val="0"/>
              <w:divBdr>
                <w:top w:val="none" w:sz="0" w:space="0" w:color="auto"/>
                <w:left w:val="none" w:sz="0" w:space="0" w:color="auto"/>
                <w:bottom w:val="none" w:sz="0" w:space="0" w:color="auto"/>
                <w:right w:val="none" w:sz="0" w:space="0" w:color="auto"/>
              </w:divBdr>
              <w:divsChild>
                <w:div w:id="1339650007">
                  <w:marLeft w:val="0"/>
                  <w:marRight w:val="0"/>
                  <w:marTop w:val="0"/>
                  <w:marBottom w:val="0"/>
                  <w:divBdr>
                    <w:top w:val="none" w:sz="0" w:space="0" w:color="auto"/>
                    <w:left w:val="none" w:sz="0" w:space="0" w:color="auto"/>
                    <w:bottom w:val="none" w:sz="0" w:space="0" w:color="auto"/>
                    <w:right w:val="none" w:sz="0" w:space="0" w:color="auto"/>
                  </w:divBdr>
                  <w:divsChild>
                    <w:div w:id="1620143747">
                      <w:marLeft w:val="0"/>
                      <w:marRight w:val="0"/>
                      <w:marTop w:val="0"/>
                      <w:marBottom w:val="0"/>
                      <w:divBdr>
                        <w:top w:val="none" w:sz="0" w:space="0" w:color="auto"/>
                        <w:left w:val="none" w:sz="0" w:space="0" w:color="auto"/>
                        <w:bottom w:val="none" w:sz="0" w:space="0" w:color="auto"/>
                        <w:right w:val="none" w:sz="0" w:space="0" w:color="auto"/>
                      </w:divBdr>
                      <w:divsChild>
                        <w:div w:id="431165006">
                          <w:marLeft w:val="0"/>
                          <w:marRight w:val="0"/>
                          <w:marTop w:val="0"/>
                          <w:marBottom w:val="0"/>
                          <w:divBdr>
                            <w:top w:val="none" w:sz="0" w:space="0" w:color="auto"/>
                            <w:left w:val="none" w:sz="0" w:space="0" w:color="auto"/>
                            <w:bottom w:val="none" w:sz="0" w:space="0" w:color="auto"/>
                            <w:right w:val="none" w:sz="0" w:space="0" w:color="auto"/>
                          </w:divBdr>
                        </w:div>
                        <w:div w:id="15266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06275">
      <w:bodyDiv w:val="1"/>
      <w:marLeft w:val="0"/>
      <w:marRight w:val="0"/>
      <w:marTop w:val="0"/>
      <w:marBottom w:val="0"/>
      <w:divBdr>
        <w:top w:val="none" w:sz="0" w:space="0" w:color="auto"/>
        <w:left w:val="none" w:sz="0" w:space="0" w:color="auto"/>
        <w:bottom w:val="none" w:sz="0" w:space="0" w:color="auto"/>
        <w:right w:val="none" w:sz="0" w:space="0" w:color="auto"/>
      </w:divBdr>
      <w:divsChild>
        <w:div w:id="1839928596">
          <w:marLeft w:val="0"/>
          <w:marRight w:val="0"/>
          <w:marTop w:val="0"/>
          <w:marBottom w:val="0"/>
          <w:divBdr>
            <w:top w:val="none" w:sz="0" w:space="0" w:color="auto"/>
            <w:left w:val="none" w:sz="0" w:space="0" w:color="auto"/>
            <w:bottom w:val="none" w:sz="0" w:space="0" w:color="auto"/>
            <w:right w:val="none" w:sz="0" w:space="0" w:color="auto"/>
          </w:divBdr>
          <w:divsChild>
            <w:div w:id="1822455239">
              <w:marLeft w:val="0"/>
              <w:marRight w:val="0"/>
              <w:marTop w:val="0"/>
              <w:marBottom w:val="0"/>
              <w:divBdr>
                <w:top w:val="none" w:sz="0" w:space="0" w:color="auto"/>
                <w:left w:val="none" w:sz="0" w:space="0" w:color="auto"/>
                <w:bottom w:val="none" w:sz="0" w:space="0" w:color="auto"/>
                <w:right w:val="none" w:sz="0" w:space="0" w:color="auto"/>
              </w:divBdr>
              <w:divsChild>
                <w:div w:id="2049528016">
                  <w:marLeft w:val="0"/>
                  <w:marRight w:val="0"/>
                  <w:marTop w:val="0"/>
                  <w:marBottom w:val="0"/>
                  <w:divBdr>
                    <w:top w:val="none" w:sz="0" w:space="0" w:color="auto"/>
                    <w:left w:val="none" w:sz="0" w:space="0" w:color="auto"/>
                    <w:bottom w:val="none" w:sz="0" w:space="0" w:color="auto"/>
                    <w:right w:val="none" w:sz="0" w:space="0" w:color="auto"/>
                  </w:divBdr>
                  <w:divsChild>
                    <w:div w:id="1014383227">
                      <w:marLeft w:val="0"/>
                      <w:marRight w:val="0"/>
                      <w:marTop w:val="0"/>
                      <w:marBottom w:val="0"/>
                      <w:divBdr>
                        <w:top w:val="none" w:sz="0" w:space="0" w:color="auto"/>
                        <w:left w:val="none" w:sz="0" w:space="0" w:color="auto"/>
                        <w:bottom w:val="none" w:sz="0" w:space="0" w:color="auto"/>
                        <w:right w:val="none" w:sz="0" w:space="0" w:color="auto"/>
                      </w:divBdr>
                      <w:divsChild>
                        <w:div w:id="1692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18908">
      <w:bodyDiv w:val="1"/>
      <w:marLeft w:val="0"/>
      <w:marRight w:val="0"/>
      <w:marTop w:val="0"/>
      <w:marBottom w:val="0"/>
      <w:divBdr>
        <w:top w:val="none" w:sz="0" w:space="0" w:color="auto"/>
        <w:left w:val="none" w:sz="0" w:space="0" w:color="auto"/>
        <w:bottom w:val="none" w:sz="0" w:space="0" w:color="auto"/>
        <w:right w:val="none" w:sz="0" w:space="0" w:color="auto"/>
      </w:divBdr>
      <w:divsChild>
        <w:div w:id="999308928">
          <w:marLeft w:val="0"/>
          <w:marRight w:val="0"/>
          <w:marTop w:val="0"/>
          <w:marBottom w:val="0"/>
          <w:divBdr>
            <w:top w:val="none" w:sz="0" w:space="0" w:color="auto"/>
            <w:left w:val="none" w:sz="0" w:space="0" w:color="auto"/>
            <w:bottom w:val="none" w:sz="0" w:space="0" w:color="auto"/>
            <w:right w:val="none" w:sz="0" w:space="0" w:color="auto"/>
          </w:divBdr>
        </w:div>
      </w:divsChild>
    </w:div>
    <w:div w:id="1337269267">
      <w:bodyDiv w:val="1"/>
      <w:marLeft w:val="0"/>
      <w:marRight w:val="0"/>
      <w:marTop w:val="0"/>
      <w:marBottom w:val="0"/>
      <w:divBdr>
        <w:top w:val="none" w:sz="0" w:space="0" w:color="auto"/>
        <w:left w:val="none" w:sz="0" w:space="0" w:color="auto"/>
        <w:bottom w:val="none" w:sz="0" w:space="0" w:color="auto"/>
        <w:right w:val="none" w:sz="0" w:space="0" w:color="auto"/>
      </w:divBdr>
      <w:divsChild>
        <w:div w:id="517739590">
          <w:marLeft w:val="0"/>
          <w:marRight w:val="0"/>
          <w:marTop w:val="0"/>
          <w:marBottom w:val="0"/>
          <w:divBdr>
            <w:top w:val="none" w:sz="0" w:space="0" w:color="auto"/>
            <w:left w:val="none" w:sz="0" w:space="0" w:color="auto"/>
            <w:bottom w:val="none" w:sz="0" w:space="0" w:color="auto"/>
            <w:right w:val="none" w:sz="0" w:space="0" w:color="auto"/>
          </w:divBdr>
          <w:divsChild>
            <w:div w:id="1625962671">
              <w:marLeft w:val="0"/>
              <w:marRight w:val="0"/>
              <w:marTop w:val="0"/>
              <w:marBottom w:val="0"/>
              <w:divBdr>
                <w:top w:val="none" w:sz="0" w:space="0" w:color="auto"/>
                <w:left w:val="none" w:sz="0" w:space="0" w:color="auto"/>
                <w:bottom w:val="none" w:sz="0" w:space="0" w:color="auto"/>
                <w:right w:val="none" w:sz="0" w:space="0" w:color="auto"/>
              </w:divBdr>
              <w:divsChild>
                <w:div w:id="232273709">
                  <w:marLeft w:val="0"/>
                  <w:marRight w:val="0"/>
                  <w:marTop w:val="0"/>
                  <w:marBottom w:val="0"/>
                  <w:divBdr>
                    <w:top w:val="none" w:sz="0" w:space="0" w:color="auto"/>
                    <w:left w:val="none" w:sz="0" w:space="0" w:color="auto"/>
                    <w:bottom w:val="none" w:sz="0" w:space="0" w:color="auto"/>
                    <w:right w:val="none" w:sz="0" w:space="0" w:color="auto"/>
                  </w:divBdr>
                  <w:divsChild>
                    <w:div w:id="895972314">
                      <w:marLeft w:val="0"/>
                      <w:marRight w:val="0"/>
                      <w:marTop w:val="0"/>
                      <w:marBottom w:val="0"/>
                      <w:divBdr>
                        <w:top w:val="none" w:sz="0" w:space="0" w:color="auto"/>
                        <w:left w:val="none" w:sz="0" w:space="0" w:color="auto"/>
                        <w:bottom w:val="none" w:sz="0" w:space="0" w:color="auto"/>
                        <w:right w:val="none" w:sz="0" w:space="0" w:color="auto"/>
                      </w:divBdr>
                      <w:divsChild>
                        <w:div w:id="2046100805">
                          <w:marLeft w:val="0"/>
                          <w:marRight w:val="0"/>
                          <w:marTop w:val="0"/>
                          <w:marBottom w:val="0"/>
                          <w:divBdr>
                            <w:top w:val="none" w:sz="0" w:space="0" w:color="auto"/>
                            <w:left w:val="none" w:sz="0" w:space="0" w:color="auto"/>
                            <w:bottom w:val="none" w:sz="0" w:space="0" w:color="auto"/>
                            <w:right w:val="none" w:sz="0" w:space="0" w:color="auto"/>
                          </w:divBdr>
                          <w:divsChild>
                            <w:div w:id="2020502512">
                              <w:marLeft w:val="0"/>
                              <w:marRight w:val="0"/>
                              <w:marTop w:val="0"/>
                              <w:marBottom w:val="0"/>
                              <w:divBdr>
                                <w:top w:val="none" w:sz="0" w:space="0" w:color="auto"/>
                                <w:left w:val="none" w:sz="0" w:space="0" w:color="auto"/>
                                <w:bottom w:val="none" w:sz="0" w:space="0" w:color="auto"/>
                                <w:right w:val="none" w:sz="0" w:space="0" w:color="auto"/>
                              </w:divBdr>
                              <w:divsChild>
                                <w:div w:id="4961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754391">
      <w:bodyDiv w:val="1"/>
      <w:marLeft w:val="0"/>
      <w:marRight w:val="0"/>
      <w:marTop w:val="0"/>
      <w:marBottom w:val="0"/>
      <w:divBdr>
        <w:top w:val="none" w:sz="0" w:space="0" w:color="auto"/>
        <w:left w:val="none" w:sz="0" w:space="0" w:color="auto"/>
        <w:bottom w:val="none" w:sz="0" w:space="0" w:color="auto"/>
        <w:right w:val="none" w:sz="0" w:space="0" w:color="auto"/>
      </w:divBdr>
    </w:div>
    <w:div w:id="1681085590">
      <w:bodyDiv w:val="1"/>
      <w:marLeft w:val="0"/>
      <w:marRight w:val="0"/>
      <w:marTop w:val="0"/>
      <w:marBottom w:val="0"/>
      <w:divBdr>
        <w:top w:val="none" w:sz="0" w:space="0" w:color="auto"/>
        <w:left w:val="none" w:sz="0" w:space="0" w:color="auto"/>
        <w:bottom w:val="none" w:sz="0" w:space="0" w:color="auto"/>
        <w:right w:val="none" w:sz="0" w:space="0" w:color="auto"/>
      </w:divBdr>
    </w:div>
    <w:div w:id="214527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entreforum.org/live/wp-content/uploads/2016/04/State-of-the-Nation-report-web.pdf"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urnalslibrary.nihr.ac.uk/__data/assets/pdf_file/0006/164652/FullReport-hsdr04130.pdf" TargetMode="External"/><Relationship Id="rId17" Type="http://schemas.openxmlformats.org/officeDocument/2006/relationships/hyperlink" Target="https://www.gov.uk/government/publications/mental-health-crisis-care-health-based-places-of-safety-funding" TargetMode="External"/><Relationship Id="rId2" Type="http://schemas.openxmlformats.org/officeDocument/2006/relationships/styles" Target="styles.xml"/><Relationship Id="rId16" Type="http://schemas.openxmlformats.org/officeDocument/2006/relationships/hyperlink" Target="https://www.gov.uk/government/uploads/system/uploads/attachment_data/file/522785/hsibrepor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urnalslibrary.nihr.ac.uk/__data/assets/pdf_file/0006/164652/FullReport-hsdr04130.pdf" TargetMode="External"/><Relationship Id="rId5" Type="http://schemas.openxmlformats.org/officeDocument/2006/relationships/webSettings" Target="webSettings.xml"/><Relationship Id="rId15" Type="http://schemas.openxmlformats.org/officeDocument/2006/relationships/hyperlink" Target="http://www.nets.nihr.ac.uk/news/all/2016/weekend-admissions-and-patient-mortality-in-psychiatric-hospitals" TargetMode="External"/><Relationship Id="rId10" Type="http://schemas.openxmlformats.org/officeDocument/2006/relationships/hyperlink" Target="https://www.nao.org.uk/wp-content/uploads/2016/04/Mental-health-services-preparations-for-improving-acces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qc.org.uk/content/cqc-publishes-business-plan-201617" TargetMode="External"/><Relationship Id="rId14" Type="http://schemas.openxmlformats.org/officeDocument/2006/relationships/hyperlink" Target="http://napicu.org.uk/guidance-for-commissioners-of-psychiatric-intensive-care-units-picu-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2111</Words>
  <Characters>13451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Rogers Kerry (RNU) Oxford Health</cp:lastModifiedBy>
  <cp:revision>2</cp:revision>
  <cp:lastPrinted>2016-01-19T10:22:00Z</cp:lastPrinted>
  <dcterms:created xsi:type="dcterms:W3CDTF">2016-05-18T21:22:00Z</dcterms:created>
  <dcterms:modified xsi:type="dcterms:W3CDTF">2016-05-18T21:22:00Z</dcterms:modified>
</cp:coreProperties>
</file>