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874F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781566" w:rsidRDefault="00B4411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BOD 69</w:t>
                            </w:r>
                            <w:r w:rsidR="00C45CC5">
                              <w:rPr>
                                <w:sz w:val="22"/>
                              </w:rPr>
                              <w:t>/2015</w:t>
                            </w:r>
                          </w:p>
                          <w:p w:rsidR="00781566" w:rsidRPr="00553872" w:rsidRDefault="00B441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(Agenda Item: 14</w:t>
                            </w:r>
                            <w:r w:rsidR="00553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781566" w:rsidRDefault="00B4411B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BOD 69</w:t>
                      </w:r>
                      <w:r w:rsidR="00C45CC5">
                        <w:rPr>
                          <w:sz w:val="22"/>
                        </w:rPr>
                        <w:t>/2015</w:t>
                      </w:r>
                    </w:p>
                    <w:p w:rsidR="00781566" w:rsidRPr="00553872" w:rsidRDefault="00B441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(Agenda Item: 14</w:t>
                      </w:r>
                      <w:r w:rsidR="0055387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  <w:bookmarkStart w:id="0" w:name="_GoBack"/>
      <w:bookmarkEnd w:id="0"/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7002C">
        <w:rPr>
          <w:rFonts w:ascii="Arial" w:hAnsi="Arial" w:cs="Arial"/>
          <w:b/>
        </w:rPr>
        <w:t>2</w:t>
      </w:r>
      <w:r w:rsidR="00A02918">
        <w:rPr>
          <w:rFonts w:ascii="Arial" w:hAnsi="Arial" w:cs="Arial"/>
          <w:b/>
        </w:rPr>
        <w:t>5</w:t>
      </w:r>
      <w:r w:rsidR="001F4503">
        <w:rPr>
          <w:rFonts w:ascii="Arial" w:hAnsi="Arial" w:cs="Arial"/>
          <w:b/>
        </w:rPr>
        <w:t xml:space="preserve"> </w:t>
      </w:r>
      <w:r w:rsidR="00A02918">
        <w:rPr>
          <w:rFonts w:ascii="Arial" w:hAnsi="Arial" w:cs="Arial"/>
          <w:b/>
        </w:rPr>
        <w:t>May</w:t>
      </w:r>
      <w:r w:rsidR="001F4503">
        <w:rPr>
          <w:rFonts w:ascii="Arial" w:hAnsi="Arial" w:cs="Arial"/>
          <w:b/>
        </w:rPr>
        <w:t xml:space="preserve"> </w:t>
      </w:r>
      <w:r w:rsidR="00FE76B5">
        <w:rPr>
          <w:rFonts w:ascii="Arial" w:hAnsi="Arial" w:cs="Arial"/>
          <w:b/>
        </w:rPr>
        <w:t>2016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553872" w:rsidP="00070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  <w:r w:rsidR="001F4503">
        <w:rPr>
          <w:rFonts w:ascii="Arial" w:hAnsi="Arial" w:cs="Arial"/>
          <w:b/>
        </w:rPr>
        <w:t xml:space="preserve"> – FY1</w:t>
      </w:r>
      <w:r w:rsidR="00262B4F">
        <w:rPr>
          <w:rFonts w:ascii="Arial" w:hAnsi="Arial" w:cs="Arial"/>
          <w:b/>
        </w:rPr>
        <w:t>7</w:t>
      </w:r>
      <w:r w:rsidR="001F4503">
        <w:rPr>
          <w:rFonts w:ascii="Arial" w:hAnsi="Arial" w:cs="Arial"/>
          <w:b/>
        </w:rPr>
        <w:t xml:space="preserve"> Month 1</w:t>
      </w: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Pr="007A4581" w:rsidRDefault="00040022" w:rsidP="00040022">
      <w:pPr>
        <w:jc w:val="both"/>
        <w:rPr>
          <w:rFonts w:ascii="Arial" w:hAnsi="Arial" w:cs="Arial"/>
        </w:rPr>
      </w:pPr>
      <w:r w:rsidRPr="007A4581">
        <w:rPr>
          <w:rFonts w:ascii="Arial" w:hAnsi="Arial" w:cs="Arial"/>
        </w:rPr>
        <w:t xml:space="preserve">This is the Performance report for Oxford Health NHS FT reporting on Month </w:t>
      </w:r>
      <w:r w:rsidR="001F4503">
        <w:rPr>
          <w:rFonts w:ascii="Arial" w:hAnsi="Arial" w:cs="Arial"/>
        </w:rPr>
        <w:t>1</w:t>
      </w:r>
      <w:r w:rsidR="00A02918">
        <w:rPr>
          <w:rFonts w:ascii="Arial" w:hAnsi="Arial" w:cs="Arial"/>
        </w:rPr>
        <w:t xml:space="preserve"> </w:t>
      </w:r>
      <w:r w:rsidRPr="007A4581">
        <w:rPr>
          <w:rFonts w:ascii="Arial" w:hAnsi="Arial" w:cs="Arial"/>
        </w:rPr>
        <w:t>of FY1</w:t>
      </w:r>
      <w:r w:rsidR="00A02918">
        <w:rPr>
          <w:rFonts w:ascii="Arial" w:hAnsi="Arial" w:cs="Arial"/>
        </w:rPr>
        <w:t>7.</w:t>
      </w:r>
    </w:p>
    <w:p w:rsidR="00292613" w:rsidRPr="00D449E7" w:rsidRDefault="00292613">
      <w:pPr>
        <w:rPr>
          <w:rFonts w:ascii="Arial" w:hAnsi="Arial" w:cs="Arial"/>
          <w:b/>
          <w:highlight w:val="yellow"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Executive Summary</w:t>
      </w:r>
    </w:p>
    <w:p w:rsidR="001D2228" w:rsidRDefault="001D2228" w:rsidP="007A2CF0">
      <w:pPr>
        <w:jc w:val="both"/>
        <w:rPr>
          <w:rFonts w:ascii="Arial" w:hAnsi="Arial" w:cs="Arial"/>
          <w:b/>
        </w:rPr>
      </w:pPr>
    </w:p>
    <w:p w:rsidR="00AA2DD2" w:rsidRDefault="00AA2DD2" w:rsidP="007A2CF0">
      <w:pPr>
        <w:jc w:val="both"/>
        <w:rPr>
          <w:rFonts w:ascii="Arial" w:hAnsi="Arial" w:cs="Arial"/>
        </w:rPr>
      </w:pPr>
      <w:r w:rsidRPr="00AA2DD2">
        <w:rPr>
          <w:rFonts w:ascii="Arial" w:hAnsi="Arial" w:cs="Arial"/>
        </w:rPr>
        <w:t xml:space="preserve">All Monitor indicators in </w:t>
      </w:r>
      <w:r w:rsidR="00A02918">
        <w:rPr>
          <w:rFonts w:ascii="Arial" w:hAnsi="Arial" w:cs="Arial"/>
        </w:rPr>
        <w:t>April</w:t>
      </w:r>
      <w:r w:rsidRPr="00AA2DD2">
        <w:rPr>
          <w:rFonts w:ascii="Arial" w:hAnsi="Arial" w:cs="Arial"/>
        </w:rPr>
        <w:t xml:space="preserve"> have been met</w:t>
      </w:r>
      <w:r w:rsidR="00A02918">
        <w:rPr>
          <w:rFonts w:ascii="Arial" w:hAnsi="Arial" w:cs="Arial"/>
        </w:rPr>
        <w:t>.</w:t>
      </w:r>
    </w:p>
    <w:p w:rsidR="00C21D27" w:rsidRPr="00BA3FD8" w:rsidRDefault="00AA2DD2" w:rsidP="007A2CF0">
      <w:pPr>
        <w:jc w:val="both"/>
        <w:rPr>
          <w:rFonts w:ascii="Arial" w:hAnsi="Arial" w:cs="Arial"/>
          <w:highlight w:val="yellow"/>
        </w:rPr>
      </w:pPr>
      <w:r w:rsidRPr="00BA3FD8">
        <w:rPr>
          <w:rFonts w:ascii="Arial" w:hAnsi="Arial" w:cs="Arial"/>
          <w:highlight w:val="yellow"/>
        </w:rPr>
        <w:t xml:space="preserve"> </w:t>
      </w:r>
    </w:p>
    <w:p w:rsidR="00C21D27" w:rsidRPr="00CC3196" w:rsidRDefault="00504F68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contract information and reporting require</w:t>
      </w:r>
      <w:r w:rsidR="00A02918">
        <w:rPr>
          <w:rFonts w:ascii="Arial" w:hAnsi="Arial" w:cs="Arial"/>
        </w:rPr>
        <w:t>ments are being met. There are two</w:t>
      </w:r>
      <w:r>
        <w:rPr>
          <w:rFonts w:ascii="Arial" w:hAnsi="Arial" w:cs="Arial"/>
        </w:rPr>
        <w:t xml:space="preserve"> indicators in the Performance report to Board which haven’t been reported on due </w:t>
      </w:r>
      <w:r w:rsidR="0015260C">
        <w:rPr>
          <w:rFonts w:ascii="Arial" w:hAnsi="Arial" w:cs="Arial"/>
        </w:rPr>
        <w:t>t</w:t>
      </w:r>
      <w:r w:rsidR="00CC3196" w:rsidRPr="008A5A95">
        <w:rPr>
          <w:rFonts w:ascii="Arial" w:hAnsi="Arial" w:cs="Arial"/>
        </w:rPr>
        <w:t xml:space="preserve">o data quality </w:t>
      </w:r>
      <w:r>
        <w:rPr>
          <w:rFonts w:ascii="Arial" w:hAnsi="Arial" w:cs="Arial"/>
        </w:rPr>
        <w:t xml:space="preserve">issues </w:t>
      </w:r>
      <w:r w:rsidR="0015260C">
        <w:rPr>
          <w:rFonts w:ascii="Arial" w:hAnsi="Arial" w:cs="Arial"/>
        </w:rPr>
        <w:t xml:space="preserve">on </w:t>
      </w:r>
      <w:proofErr w:type="spellStart"/>
      <w:r w:rsidR="0015260C">
        <w:rPr>
          <w:rFonts w:ascii="Arial" w:hAnsi="Arial" w:cs="Arial"/>
        </w:rPr>
        <w:t>Carenotes</w:t>
      </w:r>
      <w:proofErr w:type="spellEnd"/>
      <w:r w:rsidR="0015260C">
        <w:rPr>
          <w:rFonts w:ascii="Arial" w:hAnsi="Arial" w:cs="Arial"/>
        </w:rPr>
        <w:t xml:space="preserve"> which are</w:t>
      </w:r>
      <w:r w:rsidR="00CC3196" w:rsidRPr="008A5A95">
        <w:rPr>
          <w:rFonts w:ascii="Arial" w:hAnsi="Arial" w:cs="Arial"/>
        </w:rPr>
        <w:t xml:space="preserve"> being worked on and rectified.</w:t>
      </w:r>
    </w:p>
    <w:p w:rsidR="003A1024" w:rsidRPr="001F4503" w:rsidRDefault="003A1024" w:rsidP="003A1024">
      <w:pPr>
        <w:jc w:val="both"/>
        <w:rPr>
          <w:rFonts w:ascii="Arial" w:hAnsi="Arial" w:cs="Arial"/>
          <w:highlight w:val="yellow"/>
        </w:rPr>
      </w:pPr>
    </w:p>
    <w:p w:rsidR="001F2603" w:rsidRPr="00CB5294" w:rsidRDefault="005567E1" w:rsidP="005567E1">
      <w:pPr>
        <w:jc w:val="both"/>
        <w:rPr>
          <w:rFonts w:ascii="Arial" w:hAnsi="Arial" w:cs="Arial"/>
        </w:rPr>
      </w:pPr>
      <w:r w:rsidRPr="001F4503">
        <w:rPr>
          <w:rFonts w:ascii="Arial" w:hAnsi="Arial" w:cs="Arial"/>
        </w:rPr>
        <w:t xml:space="preserve">The report has been considered at the Executive </w:t>
      </w:r>
      <w:r w:rsidR="0076410A" w:rsidRPr="001F4503">
        <w:rPr>
          <w:rFonts w:ascii="Arial" w:hAnsi="Arial" w:cs="Arial"/>
        </w:rPr>
        <w:t xml:space="preserve">Team </w:t>
      </w:r>
      <w:r w:rsidRPr="001F4503">
        <w:rPr>
          <w:rFonts w:ascii="Arial" w:hAnsi="Arial" w:cs="Arial"/>
        </w:rPr>
        <w:t xml:space="preserve">meeting on </w:t>
      </w:r>
      <w:r w:rsidR="001F4503" w:rsidRPr="001F4503">
        <w:rPr>
          <w:rFonts w:ascii="Arial" w:hAnsi="Arial" w:cs="Arial"/>
        </w:rPr>
        <w:t>1</w:t>
      </w:r>
      <w:r w:rsidR="00A02918">
        <w:rPr>
          <w:rFonts w:ascii="Arial" w:hAnsi="Arial" w:cs="Arial"/>
        </w:rPr>
        <w:t>6</w:t>
      </w:r>
      <w:r w:rsidR="001F4503" w:rsidRPr="001F4503">
        <w:rPr>
          <w:rFonts w:ascii="Arial" w:hAnsi="Arial" w:cs="Arial"/>
        </w:rPr>
        <w:t xml:space="preserve"> </w:t>
      </w:r>
      <w:r w:rsidR="00A02918">
        <w:rPr>
          <w:rFonts w:ascii="Arial" w:hAnsi="Arial" w:cs="Arial"/>
        </w:rPr>
        <w:t>May</w:t>
      </w:r>
      <w:r w:rsidR="00AA2DD2">
        <w:rPr>
          <w:rFonts w:ascii="Arial" w:hAnsi="Arial" w:cs="Arial"/>
        </w:rPr>
        <w:t xml:space="preserve"> </w:t>
      </w:r>
      <w:r w:rsidR="001F4503" w:rsidRPr="001F4503">
        <w:rPr>
          <w:rFonts w:ascii="Arial" w:hAnsi="Arial" w:cs="Arial"/>
        </w:rPr>
        <w:t>2016.</w:t>
      </w:r>
    </w:p>
    <w:p w:rsidR="00ED16AD" w:rsidRPr="00CB5294" w:rsidRDefault="00ED16AD" w:rsidP="0073522A">
      <w:pPr>
        <w:jc w:val="both"/>
        <w:rPr>
          <w:rFonts w:ascii="Arial" w:hAnsi="Arial" w:cs="Arial"/>
        </w:rPr>
      </w:pPr>
    </w:p>
    <w:p w:rsidR="0073522A" w:rsidRPr="00CB5294" w:rsidRDefault="0073522A" w:rsidP="0073522A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Recommendation</w:t>
      </w:r>
    </w:p>
    <w:p w:rsidR="0073522A" w:rsidRPr="00CB5294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CB5294">
        <w:rPr>
          <w:rFonts w:ascii="Arial" w:hAnsi="Arial" w:cs="Arial"/>
        </w:rPr>
        <w:t>The Board is asked to note the report.</w:t>
      </w:r>
    </w:p>
    <w:p w:rsidR="00267C69" w:rsidRPr="00267C69" w:rsidRDefault="00267C69">
      <w:pPr>
        <w:jc w:val="both"/>
        <w:rPr>
          <w:rFonts w:ascii="Arial" w:hAnsi="Arial" w:cs="Arial"/>
        </w:rPr>
      </w:pPr>
    </w:p>
    <w:p w:rsidR="00267C69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040022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A4581" w:rsidRDefault="007A4581">
      <w:pPr>
        <w:jc w:val="both"/>
        <w:rPr>
          <w:rFonts w:ascii="Arial" w:hAnsi="Arial" w:cs="Arial"/>
        </w:rPr>
      </w:pPr>
    </w:p>
    <w:p w:rsidR="00AA2DD2" w:rsidRDefault="00AA2DD2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A2DD2" w:rsidRDefault="00AA2DD2">
      <w:pPr>
        <w:jc w:val="both"/>
        <w:rPr>
          <w:rFonts w:ascii="Arial" w:hAnsi="Arial" w:cs="Arial"/>
        </w:rPr>
      </w:pPr>
    </w:p>
    <w:p w:rsidR="00AA2DD2" w:rsidRDefault="00AA2DD2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[ Drafting</w:t>
      </w:r>
      <w:proofErr w:type="gramEnd"/>
      <w:r>
        <w:rPr>
          <w:rFonts w:ascii="Arial" w:hAnsi="Arial" w:cs="Arial"/>
        </w:rPr>
        <w:t xml:space="preserve">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B4411B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A5" w:rsidRDefault="009D45A5" w:rsidP="005B3E3C">
      <w:r>
        <w:separator/>
      </w:r>
    </w:p>
  </w:endnote>
  <w:endnote w:type="continuationSeparator" w:id="0">
    <w:p w:rsidR="009D45A5" w:rsidRDefault="009D45A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A5" w:rsidRDefault="009D45A5" w:rsidP="005B3E3C">
      <w:r>
        <w:separator/>
      </w:r>
    </w:p>
  </w:footnote>
  <w:footnote w:type="continuationSeparator" w:id="0">
    <w:p w:rsidR="009D45A5" w:rsidRDefault="009D45A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 w:rsidR="006E3C3E" w:rsidRPr="006E3C3E">
      <w:rPr>
        <w:rFonts w:ascii="Arial" w:hAnsi="Arial" w:cs="Arial"/>
        <w:b/>
        <w:i/>
      </w:rPr>
      <w:t>PUBLIC</w:t>
    </w:r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F52AB"/>
    <w:multiLevelType w:val="hybridMultilevel"/>
    <w:tmpl w:val="625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0022"/>
    <w:rsid w:val="0007002C"/>
    <w:rsid w:val="000E2BEB"/>
    <w:rsid w:val="000F48C2"/>
    <w:rsid w:val="00117E1F"/>
    <w:rsid w:val="0014668A"/>
    <w:rsid w:val="0015260C"/>
    <w:rsid w:val="001D2228"/>
    <w:rsid w:val="001D6495"/>
    <w:rsid w:val="001F2603"/>
    <w:rsid w:val="001F4503"/>
    <w:rsid w:val="001F76ED"/>
    <w:rsid w:val="00227FCE"/>
    <w:rsid w:val="00232288"/>
    <w:rsid w:val="002619EF"/>
    <w:rsid w:val="00262B4F"/>
    <w:rsid w:val="00267C69"/>
    <w:rsid w:val="002821F8"/>
    <w:rsid w:val="00282CE5"/>
    <w:rsid w:val="00292613"/>
    <w:rsid w:val="002A73E8"/>
    <w:rsid w:val="002C2F97"/>
    <w:rsid w:val="002E6FC6"/>
    <w:rsid w:val="002F5EAA"/>
    <w:rsid w:val="00357281"/>
    <w:rsid w:val="003971F6"/>
    <w:rsid w:val="003A1024"/>
    <w:rsid w:val="003C2F63"/>
    <w:rsid w:val="00416BF0"/>
    <w:rsid w:val="004326BB"/>
    <w:rsid w:val="004C7665"/>
    <w:rsid w:val="004F4BBA"/>
    <w:rsid w:val="00504F68"/>
    <w:rsid w:val="005233AA"/>
    <w:rsid w:val="00551B0F"/>
    <w:rsid w:val="00553872"/>
    <w:rsid w:val="005567E1"/>
    <w:rsid w:val="00561ED5"/>
    <w:rsid w:val="005647F7"/>
    <w:rsid w:val="005659FB"/>
    <w:rsid w:val="005723BE"/>
    <w:rsid w:val="00596FB6"/>
    <w:rsid w:val="005B3E3C"/>
    <w:rsid w:val="005C3FC1"/>
    <w:rsid w:val="005D3499"/>
    <w:rsid w:val="005E2583"/>
    <w:rsid w:val="00603708"/>
    <w:rsid w:val="0061684E"/>
    <w:rsid w:val="00654515"/>
    <w:rsid w:val="00657F7E"/>
    <w:rsid w:val="0067006A"/>
    <w:rsid w:val="00684E02"/>
    <w:rsid w:val="006A5E56"/>
    <w:rsid w:val="006D5701"/>
    <w:rsid w:val="006E3C3E"/>
    <w:rsid w:val="0073522A"/>
    <w:rsid w:val="00735D60"/>
    <w:rsid w:val="00752995"/>
    <w:rsid w:val="0076410A"/>
    <w:rsid w:val="007670D7"/>
    <w:rsid w:val="007769CD"/>
    <w:rsid w:val="0078032B"/>
    <w:rsid w:val="00781566"/>
    <w:rsid w:val="007976E7"/>
    <w:rsid w:val="007A2CF0"/>
    <w:rsid w:val="007A3FD7"/>
    <w:rsid w:val="007A4581"/>
    <w:rsid w:val="007B6D77"/>
    <w:rsid w:val="00802701"/>
    <w:rsid w:val="008038A2"/>
    <w:rsid w:val="00807C3F"/>
    <w:rsid w:val="00811FE8"/>
    <w:rsid w:val="0086436B"/>
    <w:rsid w:val="00894B97"/>
    <w:rsid w:val="008A5A95"/>
    <w:rsid w:val="008C17A3"/>
    <w:rsid w:val="00946E6E"/>
    <w:rsid w:val="009869DE"/>
    <w:rsid w:val="00997325"/>
    <w:rsid w:val="009D45A5"/>
    <w:rsid w:val="00A02918"/>
    <w:rsid w:val="00A410A2"/>
    <w:rsid w:val="00A560E6"/>
    <w:rsid w:val="00A6454B"/>
    <w:rsid w:val="00A674FB"/>
    <w:rsid w:val="00A85311"/>
    <w:rsid w:val="00AA0C3F"/>
    <w:rsid w:val="00AA2DD2"/>
    <w:rsid w:val="00AB17A4"/>
    <w:rsid w:val="00AC3814"/>
    <w:rsid w:val="00AE7321"/>
    <w:rsid w:val="00AF0562"/>
    <w:rsid w:val="00AF2908"/>
    <w:rsid w:val="00B26E1A"/>
    <w:rsid w:val="00B26F2C"/>
    <w:rsid w:val="00B4411B"/>
    <w:rsid w:val="00B50D5E"/>
    <w:rsid w:val="00B874F3"/>
    <w:rsid w:val="00BA3B3E"/>
    <w:rsid w:val="00BA3FD8"/>
    <w:rsid w:val="00BB45F2"/>
    <w:rsid w:val="00BE4B83"/>
    <w:rsid w:val="00BF5367"/>
    <w:rsid w:val="00C07817"/>
    <w:rsid w:val="00C11AA2"/>
    <w:rsid w:val="00C21D27"/>
    <w:rsid w:val="00C45CC5"/>
    <w:rsid w:val="00C50A5D"/>
    <w:rsid w:val="00C83918"/>
    <w:rsid w:val="00CB18B2"/>
    <w:rsid w:val="00CB5294"/>
    <w:rsid w:val="00CC3196"/>
    <w:rsid w:val="00CC3520"/>
    <w:rsid w:val="00D07064"/>
    <w:rsid w:val="00D279FC"/>
    <w:rsid w:val="00D449E7"/>
    <w:rsid w:val="00D55ADD"/>
    <w:rsid w:val="00D8544F"/>
    <w:rsid w:val="00DA0FA6"/>
    <w:rsid w:val="00DB4D95"/>
    <w:rsid w:val="00DD33DF"/>
    <w:rsid w:val="00DE03C7"/>
    <w:rsid w:val="00DE0FD0"/>
    <w:rsid w:val="00DE1293"/>
    <w:rsid w:val="00DE474F"/>
    <w:rsid w:val="00E827C5"/>
    <w:rsid w:val="00EC5FDD"/>
    <w:rsid w:val="00ED16AD"/>
    <w:rsid w:val="00F23C27"/>
    <w:rsid w:val="00F24EB2"/>
    <w:rsid w:val="00F31B93"/>
    <w:rsid w:val="00F50A07"/>
    <w:rsid w:val="00F57119"/>
    <w:rsid w:val="00F665C1"/>
    <w:rsid w:val="00F92F9E"/>
    <w:rsid w:val="00FB3343"/>
    <w:rsid w:val="00FB7483"/>
    <w:rsid w:val="00FD2279"/>
    <w:rsid w:val="00FE092D"/>
    <w:rsid w:val="00FE113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uk/ukpga/2000/36/section/38" TargetMode="External"/><Relationship Id="rId18" Type="http://schemas.openxmlformats.org/officeDocument/2006/relationships/hyperlink" Target="http://www.legislation.gov.uk/ukpga/2000/36/section/21" TargetMode="External"/><Relationship Id="rId26" Type="http://schemas.openxmlformats.org/officeDocument/2006/relationships/hyperlink" Target="http://www.legislation.gov.uk/ukpga/2000/36/section/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gislation.gov.uk/ukpga/2000/36/section/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00/36/section/36" TargetMode="External"/><Relationship Id="rId17" Type="http://schemas.openxmlformats.org/officeDocument/2006/relationships/hyperlink" Target="http://www.legislation.gov.uk/ukpga/2000/36/section/43" TargetMode="External"/><Relationship Id="rId25" Type="http://schemas.openxmlformats.org/officeDocument/2006/relationships/hyperlink" Target="http://www.legislation.gov.uk/ukpga/2000/36/section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2" TargetMode="External"/><Relationship Id="rId20" Type="http://schemas.openxmlformats.org/officeDocument/2006/relationships/hyperlink" Target="http://www.legislation.gov.uk/ukpga/2000/36/section/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00/36/section/33" TargetMode="External"/><Relationship Id="rId24" Type="http://schemas.openxmlformats.org/officeDocument/2006/relationships/hyperlink" Target="http://www.legislation.gov.uk/ukpga/2000/36/section/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2000/36/section/41" TargetMode="External"/><Relationship Id="rId23" Type="http://schemas.openxmlformats.org/officeDocument/2006/relationships/hyperlink" Target="http://www.legislation.gov.uk/ukpga/2000/36/section/4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gislation.gov.uk/ukpga/2000/36/section/22" TargetMode="External"/><Relationship Id="rId19" Type="http://schemas.openxmlformats.org/officeDocument/2006/relationships/hyperlink" Target="http://www.legislation.gov.uk/ukpga/2000/36/section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00/36/section/21" TargetMode="External"/><Relationship Id="rId14" Type="http://schemas.openxmlformats.org/officeDocument/2006/relationships/hyperlink" Target="http://www.legislation.gov.uk/ukpga/2000/36/section/40" TargetMode="External"/><Relationship Id="rId22" Type="http://schemas.openxmlformats.org/officeDocument/2006/relationships/hyperlink" Target="http://www.legislation.gov.uk/ukpga/2000/36/section/3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353</Words>
  <Characters>3152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12</cp:revision>
  <cp:lastPrinted>2014-03-17T14:55:00Z</cp:lastPrinted>
  <dcterms:created xsi:type="dcterms:W3CDTF">2016-01-21T05:28:00Z</dcterms:created>
  <dcterms:modified xsi:type="dcterms:W3CDTF">2016-05-18T11:56:00Z</dcterms:modified>
</cp:coreProperties>
</file>