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FA3993" w:rsidRDefault="007B6D77" w:rsidP="0086436B">
      <w:pPr>
        <w:ind w:right="-900"/>
        <w:jc w:val="right"/>
        <w:rPr>
          <w:rFonts w:ascii="Segoe UI" w:hAnsi="Segoe UI" w:cs="Segoe UI"/>
          <w:lang w:val="en-GB"/>
        </w:rPr>
      </w:pPr>
      <w:r w:rsidRPr="00FA3993">
        <w:rPr>
          <w:rFonts w:ascii="Segoe UI" w:hAnsi="Segoe UI" w:cs="Segoe UI"/>
          <w:noProof/>
          <w:lang w:val="en-GB" w:eastAsia="en-GB"/>
        </w:rPr>
        <w:drawing>
          <wp:inline distT="0" distB="0" distL="0" distR="0" wp14:anchorId="2262F1D9" wp14:editId="48E4D5DE">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73413" w:rsidRDefault="00F73413">
      <w:pPr>
        <w:pStyle w:val="Heading1"/>
        <w:jc w:val="center"/>
        <w:rPr>
          <w:rFonts w:cs="Arial"/>
          <w:sz w:val="28"/>
          <w:u w:val="none"/>
        </w:rPr>
      </w:pPr>
      <w:r>
        <w:rPr>
          <w:rFonts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5715" t="13970" r="13335" b="50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Pr="00F73413" w:rsidRDefault="004C18A8">
                            <w:pPr>
                              <w:jc w:val="center"/>
                              <w:rPr>
                                <w:rFonts w:ascii="Arial" w:hAnsi="Arial" w:cs="Arial"/>
                              </w:rPr>
                            </w:pPr>
                            <w:r>
                              <w:rPr>
                                <w:rFonts w:ascii="Arial" w:hAnsi="Arial" w:cs="Arial"/>
                                <w:b/>
                              </w:rPr>
                              <w:t>BOD 104</w:t>
                            </w:r>
                            <w:r w:rsidR="00FA3993" w:rsidRPr="00F73413">
                              <w:rPr>
                                <w:rFonts w:ascii="Arial" w:hAnsi="Arial" w:cs="Arial"/>
                                <w:b/>
                              </w:rPr>
                              <w:t>/2017</w:t>
                            </w:r>
                          </w:p>
                          <w:p w:rsidR="00FA3993" w:rsidRPr="00F73413" w:rsidRDefault="004C18A8">
                            <w:pPr>
                              <w:jc w:val="center"/>
                              <w:rPr>
                                <w:rFonts w:ascii="Arial" w:hAnsi="Arial" w:cs="Arial"/>
                                <w:sz w:val="22"/>
                                <w:szCs w:val="22"/>
                              </w:rPr>
                            </w:pPr>
                            <w:r>
                              <w:rPr>
                                <w:rFonts w:ascii="Arial" w:hAnsi="Arial" w:cs="Arial"/>
                                <w:sz w:val="22"/>
                                <w:szCs w:val="22"/>
                              </w:rPr>
                              <w:t>(Agenda item: 18(b)</w:t>
                            </w:r>
                            <w:r w:rsidR="00FA3993" w:rsidRPr="00F73413">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Pr="00F73413" w:rsidRDefault="004C18A8">
                      <w:pPr>
                        <w:jc w:val="center"/>
                        <w:rPr>
                          <w:rFonts w:ascii="Arial" w:hAnsi="Arial" w:cs="Arial"/>
                        </w:rPr>
                      </w:pPr>
                      <w:r>
                        <w:rPr>
                          <w:rFonts w:ascii="Arial" w:hAnsi="Arial" w:cs="Arial"/>
                          <w:b/>
                        </w:rPr>
                        <w:t>BOD 104</w:t>
                      </w:r>
                      <w:r w:rsidR="00FA3993" w:rsidRPr="00F73413">
                        <w:rPr>
                          <w:rFonts w:ascii="Arial" w:hAnsi="Arial" w:cs="Arial"/>
                          <w:b/>
                        </w:rPr>
                        <w:t>/2017</w:t>
                      </w:r>
                    </w:p>
                    <w:p w:rsidR="00FA3993" w:rsidRPr="00F73413" w:rsidRDefault="004C18A8">
                      <w:pPr>
                        <w:jc w:val="center"/>
                        <w:rPr>
                          <w:rFonts w:ascii="Arial" w:hAnsi="Arial" w:cs="Arial"/>
                          <w:sz w:val="22"/>
                          <w:szCs w:val="22"/>
                        </w:rPr>
                      </w:pPr>
                      <w:r>
                        <w:rPr>
                          <w:rFonts w:ascii="Arial" w:hAnsi="Arial" w:cs="Arial"/>
                          <w:sz w:val="22"/>
                          <w:szCs w:val="22"/>
                        </w:rPr>
                        <w:t>(Agenda item: 18(b)</w:t>
                      </w:r>
                      <w:r w:rsidR="00FA3993" w:rsidRPr="00F73413">
                        <w:rPr>
                          <w:rFonts w:ascii="Arial" w:hAnsi="Arial" w:cs="Arial"/>
                          <w:sz w:val="22"/>
                          <w:szCs w:val="22"/>
                        </w:rPr>
                        <w:t>)</w:t>
                      </w:r>
                    </w:p>
                  </w:txbxContent>
                </v:textbox>
              </v:rect>
            </w:pict>
          </mc:Fallback>
        </mc:AlternateContent>
      </w:r>
      <w:r w:rsidR="005D3499" w:rsidRPr="00F73413">
        <w:rPr>
          <w:rFonts w:cs="Arial"/>
          <w:sz w:val="28"/>
          <w:u w:val="none"/>
        </w:rPr>
        <w:t xml:space="preserve">Report to the Meeting </w:t>
      </w:r>
      <w:r w:rsidR="00B50D5E" w:rsidRPr="00F73413">
        <w:rPr>
          <w:rFonts w:cs="Arial"/>
          <w:sz w:val="28"/>
          <w:u w:val="none"/>
        </w:rPr>
        <w:t xml:space="preserve">of the </w:t>
      </w:r>
    </w:p>
    <w:p w:rsidR="002821F8" w:rsidRPr="00F73413" w:rsidRDefault="00B50D5E">
      <w:pPr>
        <w:pStyle w:val="Heading1"/>
        <w:jc w:val="center"/>
        <w:rPr>
          <w:rFonts w:cs="Arial"/>
          <w:sz w:val="28"/>
          <w:u w:val="none"/>
        </w:rPr>
      </w:pPr>
      <w:r w:rsidRPr="00F73413">
        <w:rPr>
          <w:rFonts w:cs="Arial"/>
          <w:sz w:val="28"/>
          <w:u w:val="none"/>
        </w:rPr>
        <w:t xml:space="preserve">Oxford Health NHS </w:t>
      </w:r>
      <w:r w:rsidR="002821F8" w:rsidRPr="00F73413">
        <w:rPr>
          <w:rFonts w:cs="Arial"/>
          <w:sz w:val="28"/>
          <w:u w:val="none"/>
        </w:rPr>
        <w:t xml:space="preserve">Foundation Trust </w:t>
      </w:r>
    </w:p>
    <w:p w:rsidR="00FA3993" w:rsidRPr="00F73413" w:rsidRDefault="00FA3993">
      <w:pPr>
        <w:pStyle w:val="Heading1"/>
        <w:jc w:val="center"/>
        <w:rPr>
          <w:rFonts w:cs="Arial"/>
          <w:sz w:val="28"/>
          <w:u w:val="none"/>
        </w:rPr>
      </w:pPr>
    </w:p>
    <w:p w:rsidR="005D3499" w:rsidRPr="00F73413" w:rsidRDefault="005D3499">
      <w:pPr>
        <w:pStyle w:val="Heading1"/>
        <w:jc w:val="center"/>
        <w:rPr>
          <w:rFonts w:cs="Arial"/>
          <w:sz w:val="28"/>
          <w:u w:val="none"/>
        </w:rPr>
      </w:pPr>
      <w:r w:rsidRPr="00F73413">
        <w:rPr>
          <w:rFonts w:cs="Arial"/>
          <w:sz w:val="28"/>
          <w:u w:val="none"/>
        </w:rPr>
        <w:t>Board</w:t>
      </w:r>
      <w:r w:rsidR="002821F8" w:rsidRPr="00F73413">
        <w:rPr>
          <w:rFonts w:cs="Arial"/>
          <w:sz w:val="28"/>
          <w:u w:val="none"/>
        </w:rPr>
        <w:t xml:space="preserve"> of Directors</w:t>
      </w:r>
    </w:p>
    <w:p w:rsidR="005D3499" w:rsidRPr="00F73413" w:rsidRDefault="005D3499" w:rsidP="00A85311">
      <w:pPr>
        <w:rPr>
          <w:rFonts w:ascii="Arial" w:hAnsi="Arial" w:cs="Arial"/>
          <w:b/>
        </w:rPr>
      </w:pPr>
    </w:p>
    <w:p w:rsidR="005D3499" w:rsidRPr="00F73413" w:rsidRDefault="00F73413">
      <w:pPr>
        <w:jc w:val="center"/>
        <w:rPr>
          <w:rFonts w:ascii="Arial" w:hAnsi="Arial" w:cs="Arial"/>
          <w:b/>
        </w:rPr>
      </w:pPr>
      <w:r w:rsidRPr="00F73413">
        <w:rPr>
          <w:rFonts w:ascii="Arial" w:hAnsi="Arial" w:cs="Arial"/>
          <w:b/>
        </w:rPr>
        <w:t>26 July</w:t>
      </w:r>
      <w:r w:rsidR="00456DDE" w:rsidRPr="00F73413">
        <w:rPr>
          <w:rFonts w:ascii="Arial" w:hAnsi="Arial" w:cs="Arial"/>
          <w:b/>
        </w:rPr>
        <w:t xml:space="preserve"> 2017</w:t>
      </w:r>
    </w:p>
    <w:p w:rsidR="005D3499" w:rsidRPr="00F73413" w:rsidRDefault="005D3499">
      <w:pPr>
        <w:jc w:val="center"/>
        <w:rPr>
          <w:rFonts w:ascii="Arial" w:hAnsi="Arial" w:cs="Arial"/>
          <w:b/>
        </w:rPr>
      </w:pPr>
    </w:p>
    <w:p w:rsidR="005D3499" w:rsidRPr="00F73413" w:rsidRDefault="00F73413" w:rsidP="00FD2279">
      <w:pPr>
        <w:jc w:val="center"/>
        <w:rPr>
          <w:rFonts w:ascii="Arial" w:hAnsi="Arial" w:cs="Arial"/>
          <w:b/>
        </w:rPr>
      </w:pPr>
      <w:r w:rsidRPr="00F73413">
        <w:rPr>
          <w:rFonts w:ascii="Arial" w:hAnsi="Arial" w:cs="Arial"/>
          <w:b/>
        </w:rPr>
        <w:t>CHARITY COMMITTEE ANNUAL REPORT 2016/17</w:t>
      </w:r>
    </w:p>
    <w:p w:rsidR="005D3499" w:rsidRPr="00F73413" w:rsidRDefault="005D3499">
      <w:pPr>
        <w:rPr>
          <w:rFonts w:ascii="Arial" w:hAnsi="Arial" w:cs="Arial"/>
          <w:b/>
        </w:rPr>
      </w:pPr>
    </w:p>
    <w:p w:rsidR="00241A66" w:rsidRPr="00F73413" w:rsidRDefault="00292613" w:rsidP="00241A66">
      <w:pPr>
        <w:jc w:val="center"/>
        <w:rPr>
          <w:rFonts w:ascii="Arial" w:hAnsi="Arial" w:cs="Arial"/>
        </w:rPr>
      </w:pPr>
      <w:r w:rsidRPr="00F73413">
        <w:rPr>
          <w:rFonts w:ascii="Arial" w:hAnsi="Arial" w:cs="Arial"/>
          <w:b/>
          <w:u w:val="single"/>
        </w:rPr>
        <w:t xml:space="preserve">For: </w:t>
      </w:r>
      <w:r w:rsidR="00F73413" w:rsidRPr="00F73413">
        <w:rPr>
          <w:rFonts w:ascii="Arial" w:hAnsi="Arial" w:cs="Arial"/>
          <w:b/>
          <w:u w:val="single"/>
        </w:rPr>
        <w:t>Information</w:t>
      </w:r>
    </w:p>
    <w:p w:rsidR="00292613" w:rsidRPr="00F73413" w:rsidRDefault="00292613">
      <w:pPr>
        <w:rPr>
          <w:rFonts w:ascii="Arial" w:hAnsi="Arial" w:cs="Arial"/>
          <w:b/>
        </w:rPr>
      </w:pPr>
    </w:p>
    <w:p w:rsidR="007A2CF0" w:rsidRPr="00F73413" w:rsidRDefault="007A2CF0" w:rsidP="007A2CF0">
      <w:pPr>
        <w:jc w:val="both"/>
        <w:rPr>
          <w:rFonts w:ascii="Arial" w:hAnsi="Arial" w:cs="Arial"/>
          <w:b/>
        </w:rPr>
      </w:pPr>
      <w:r w:rsidRPr="00F73413">
        <w:rPr>
          <w:rFonts w:ascii="Arial" w:hAnsi="Arial" w:cs="Arial"/>
          <w:b/>
        </w:rPr>
        <w:t>Executive Summary</w:t>
      </w:r>
    </w:p>
    <w:p w:rsidR="00F73413" w:rsidRPr="00F73413" w:rsidRDefault="00F73413" w:rsidP="00F73413">
      <w:pPr>
        <w:jc w:val="both"/>
        <w:rPr>
          <w:rFonts w:ascii="Arial" w:hAnsi="Arial" w:cs="Arial"/>
        </w:rPr>
      </w:pPr>
      <w:r w:rsidRPr="00F73413">
        <w:rPr>
          <w:rFonts w:ascii="Arial" w:hAnsi="Arial" w:cs="Arial"/>
        </w:rPr>
        <w:t xml:space="preserve">The Annual Report </w:t>
      </w:r>
      <w:proofErr w:type="spellStart"/>
      <w:r w:rsidRPr="00F73413">
        <w:rPr>
          <w:rFonts w:ascii="Arial" w:hAnsi="Arial" w:cs="Arial"/>
        </w:rPr>
        <w:t>summarises</w:t>
      </w:r>
      <w:proofErr w:type="spellEnd"/>
      <w:r w:rsidRPr="00F73413">
        <w:rPr>
          <w:rFonts w:ascii="Arial" w:hAnsi="Arial" w:cs="Arial"/>
        </w:rPr>
        <w:t xml:space="preserve"> the performance and work </w:t>
      </w:r>
      <w:proofErr w:type="spellStart"/>
      <w:r w:rsidRPr="00F73413">
        <w:rPr>
          <w:rFonts w:ascii="Arial" w:hAnsi="Arial" w:cs="Arial"/>
        </w:rPr>
        <w:t>programme</w:t>
      </w:r>
      <w:proofErr w:type="spellEnd"/>
      <w:r w:rsidRPr="00F73413">
        <w:rPr>
          <w:rFonts w:ascii="Arial" w:hAnsi="Arial" w:cs="Arial"/>
        </w:rPr>
        <w:t xml:space="preserve"> of the Charity Committee during the period April 2016-March 2017.  </w:t>
      </w:r>
    </w:p>
    <w:p w:rsidR="007A2CF0" w:rsidRPr="00F73413" w:rsidRDefault="007A2CF0" w:rsidP="007A2CF0">
      <w:pPr>
        <w:jc w:val="both"/>
        <w:rPr>
          <w:rFonts w:ascii="Arial" w:hAnsi="Arial" w:cs="Arial"/>
          <w:i/>
        </w:rPr>
      </w:pPr>
    </w:p>
    <w:p w:rsidR="00FA3993" w:rsidRPr="00F73413" w:rsidRDefault="00FA3993" w:rsidP="007A2CF0">
      <w:pPr>
        <w:jc w:val="both"/>
        <w:rPr>
          <w:rFonts w:ascii="Arial" w:hAnsi="Arial" w:cs="Arial"/>
          <w:b/>
        </w:rPr>
      </w:pPr>
      <w:r w:rsidRPr="00F73413">
        <w:rPr>
          <w:rFonts w:ascii="Arial" w:hAnsi="Arial" w:cs="Arial"/>
          <w:b/>
        </w:rPr>
        <w:t>Governance Route/Approval Process</w:t>
      </w:r>
    </w:p>
    <w:p w:rsidR="00F73413" w:rsidRPr="00F73413" w:rsidRDefault="00F73413" w:rsidP="00F73413">
      <w:pPr>
        <w:jc w:val="both"/>
        <w:rPr>
          <w:rFonts w:ascii="Arial" w:hAnsi="Arial" w:cs="Arial"/>
        </w:rPr>
      </w:pPr>
      <w:r w:rsidRPr="00F73413">
        <w:rPr>
          <w:rFonts w:ascii="Arial" w:hAnsi="Arial" w:cs="Arial"/>
        </w:rPr>
        <w:t xml:space="preserve">The Charity Committee has received this report and recommends the Board of Directors review and </w:t>
      </w:r>
      <w:proofErr w:type="gramStart"/>
      <w:r w:rsidR="001D02F4">
        <w:rPr>
          <w:rFonts w:ascii="Arial" w:hAnsi="Arial" w:cs="Arial"/>
        </w:rPr>
        <w:t>receive</w:t>
      </w:r>
      <w:bookmarkStart w:id="0" w:name="_GoBack"/>
      <w:bookmarkEnd w:id="0"/>
      <w:proofErr w:type="gramEnd"/>
      <w:r w:rsidRPr="00F73413">
        <w:rPr>
          <w:rFonts w:ascii="Arial" w:hAnsi="Arial" w:cs="Arial"/>
        </w:rPr>
        <w:t xml:space="preserve"> the Committee Annual Report.</w:t>
      </w:r>
    </w:p>
    <w:p w:rsidR="00F73413" w:rsidRPr="00F73413" w:rsidRDefault="00F73413" w:rsidP="00F73413">
      <w:pPr>
        <w:jc w:val="both"/>
        <w:rPr>
          <w:rFonts w:ascii="Arial" w:hAnsi="Arial" w:cs="Arial"/>
        </w:rPr>
      </w:pPr>
    </w:p>
    <w:p w:rsidR="0073522A" w:rsidRPr="00F73413" w:rsidRDefault="0073522A" w:rsidP="0073522A">
      <w:pPr>
        <w:jc w:val="both"/>
        <w:rPr>
          <w:rFonts w:ascii="Arial" w:hAnsi="Arial" w:cs="Arial"/>
          <w:b/>
        </w:rPr>
      </w:pPr>
      <w:r w:rsidRPr="00F73413">
        <w:rPr>
          <w:rFonts w:ascii="Arial" w:hAnsi="Arial" w:cs="Arial"/>
          <w:b/>
        </w:rPr>
        <w:t>Recommendation</w:t>
      </w:r>
    </w:p>
    <w:p w:rsidR="000A5A07" w:rsidRPr="00F73413" w:rsidRDefault="000A5A07" w:rsidP="0073522A">
      <w:pPr>
        <w:jc w:val="both"/>
        <w:rPr>
          <w:rFonts w:ascii="Arial" w:hAnsi="Arial" w:cs="Arial"/>
        </w:rPr>
      </w:pPr>
      <w:r w:rsidRPr="00F73413">
        <w:rPr>
          <w:rFonts w:ascii="Arial" w:hAnsi="Arial" w:cs="Arial"/>
        </w:rPr>
        <w:t xml:space="preserve">The Board is asked to </w:t>
      </w:r>
      <w:r w:rsidR="00FF1273">
        <w:rPr>
          <w:rFonts w:ascii="Arial" w:hAnsi="Arial" w:cs="Arial"/>
        </w:rPr>
        <w:t>receive</w:t>
      </w:r>
      <w:r w:rsidRPr="00F73413">
        <w:rPr>
          <w:rFonts w:ascii="Arial" w:hAnsi="Arial" w:cs="Arial"/>
        </w:rPr>
        <w:t xml:space="preserve"> the report.  </w:t>
      </w:r>
    </w:p>
    <w:p w:rsidR="005D3499" w:rsidRPr="00F73413" w:rsidRDefault="005D3499">
      <w:pPr>
        <w:jc w:val="both"/>
        <w:rPr>
          <w:rFonts w:ascii="Arial" w:hAnsi="Arial" w:cs="Arial"/>
          <w:b/>
        </w:rPr>
      </w:pPr>
    </w:p>
    <w:p w:rsidR="003F7366" w:rsidRPr="00F73413" w:rsidRDefault="002619EF" w:rsidP="0073522A">
      <w:pPr>
        <w:ind w:left="1440" w:hanging="1440"/>
        <w:jc w:val="both"/>
        <w:rPr>
          <w:rFonts w:ascii="Arial" w:hAnsi="Arial" w:cs="Arial"/>
        </w:rPr>
      </w:pPr>
      <w:r w:rsidRPr="00F73413">
        <w:rPr>
          <w:rFonts w:ascii="Arial" w:hAnsi="Arial" w:cs="Arial"/>
          <w:b/>
        </w:rPr>
        <w:t>Author and T</w:t>
      </w:r>
      <w:r w:rsidR="0073522A" w:rsidRPr="00F73413">
        <w:rPr>
          <w:rFonts w:ascii="Arial" w:hAnsi="Arial" w:cs="Arial"/>
          <w:b/>
        </w:rPr>
        <w:t>itle:</w:t>
      </w:r>
      <w:r w:rsidR="007B02FB" w:rsidRPr="00F73413">
        <w:rPr>
          <w:rFonts w:ascii="Arial" w:hAnsi="Arial" w:cs="Arial"/>
          <w:b/>
        </w:rPr>
        <w:t xml:space="preserve"> </w:t>
      </w:r>
      <w:r w:rsidR="00F73413" w:rsidRPr="00F73413">
        <w:rPr>
          <w:rFonts w:ascii="Arial" w:hAnsi="Arial" w:cs="Arial"/>
          <w:b/>
        </w:rPr>
        <w:t>Laura Smith, Corporate Governance Officer</w:t>
      </w:r>
      <w:r w:rsidR="0073522A" w:rsidRPr="00F73413">
        <w:rPr>
          <w:rFonts w:ascii="Arial" w:hAnsi="Arial" w:cs="Arial"/>
        </w:rPr>
        <w:t xml:space="preserve"> </w:t>
      </w:r>
      <w:r w:rsidR="0073522A" w:rsidRPr="00F73413">
        <w:rPr>
          <w:rFonts w:ascii="Arial" w:hAnsi="Arial" w:cs="Arial"/>
        </w:rPr>
        <w:tab/>
      </w:r>
    </w:p>
    <w:p w:rsidR="00FA3993" w:rsidRPr="00F73413" w:rsidRDefault="0073522A" w:rsidP="00FA3993">
      <w:pPr>
        <w:jc w:val="both"/>
        <w:rPr>
          <w:rFonts w:ascii="Arial" w:hAnsi="Arial" w:cs="Arial"/>
          <w:b/>
        </w:rPr>
      </w:pPr>
      <w:r w:rsidRPr="00F73413">
        <w:rPr>
          <w:rFonts w:ascii="Arial" w:hAnsi="Arial" w:cs="Arial"/>
          <w:b/>
        </w:rPr>
        <w:t>Lead Executive Director:</w:t>
      </w:r>
      <w:r w:rsidR="00F73413" w:rsidRPr="00F73413">
        <w:rPr>
          <w:rFonts w:ascii="Arial" w:hAnsi="Arial" w:cs="Arial"/>
          <w:b/>
        </w:rPr>
        <w:t xml:space="preserve"> Kerry Rogers, Director of Corporate Affairs &amp; Company Secretary</w:t>
      </w:r>
    </w:p>
    <w:p w:rsidR="00FA3993" w:rsidRPr="00F73413" w:rsidRDefault="00FA3993" w:rsidP="00FA3993">
      <w:pPr>
        <w:jc w:val="both"/>
        <w:rPr>
          <w:rFonts w:ascii="Arial" w:hAnsi="Arial" w:cs="Arial"/>
        </w:rPr>
      </w:pPr>
    </w:p>
    <w:p w:rsidR="00FA3993" w:rsidRPr="00F73413" w:rsidRDefault="00FA3993" w:rsidP="00FA3993">
      <w:pPr>
        <w:numPr>
          <w:ilvl w:val="0"/>
          <w:numId w:val="4"/>
        </w:numPr>
        <w:jc w:val="both"/>
        <w:rPr>
          <w:rFonts w:ascii="Arial" w:hAnsi="Arial" w:cs="Arial"/>
          <w:i/>
          <w:sz w:val="20"/>
          <w:szCs w:val="20"/>
        </w:rPr>
      </w:pPr>
      <w:r w:rsidRPr="00F73413">
        <w:rPr>
          <w:rFonts w:ascii="Arial" w:hAnsi="Arial" w:cs="Arial"/>
          <w:i/>
          <w:sz w:val="20"/>
          <w:szCs w:val="20"/>
        </w:rPr>
        <w:t xml:space="preserve">A risk assessment has been undertaken around the legal issues that this report presents and </w:t>
      </w:r>
      <w:r w:rsidR="00DF10CC" w:rsidRPr="00F73413">
        <w:rPr>
          <w:rFonts w:ascii="Arial" w:hAnsi="Arial" w:cs="Arial"/>
          <w:i/>
          <w:sz w:val="20"/>
          <w:szCs w:val="20"/>
        </w:rPr>
        <w:t>[</w:t>
      </w:r>
      <w:r w:rsidRPr="00F73413">
        <w:rPr>
          <w:rFonts w:ascii="Arial" w:hAnsi="Arial" w:cs="Arial"/>
          <w:i/>
          <w:sz w:val="20"/>
          <w:szCs w:val="20"/>
        </w:rPr>
        <w:t>there are no issues that need to be referred to the Trust Solicitors</w:t>
      </w:r>
      <w:r w:rsidR="00DF10CC" w:rsidRPr="00F73413">
        <w:rPr>
          <w:rFonts w:ascii="Arial" w:hAnsi="Arial" w:cs="Arial"/>
          <w:i/>
          <w:sz w:val="20"/>
          <w:szCs w:val="20"/>
        </w:rPr>
        <w:t xml:space="preserve">] </w:t>
      </w:r>
      <w:r w:rsidRPr="00F73413">
        <w:rPr>
          <w:rFonts w:ascii="Arial" w:hAnsi="Arial" w:cs="Arial"/>
          <w:i/>
          <w:sz w:val="20"/>
          <w:szCs w:val="20"/>
        </w:rPr>
        <w:t xml:space="preserve">OR: </w:t>
      </w:r>
      <w:r w:rsidR="00DF10CC" w:rsidRPr="00F73413">
        <w:rPr>
          <w:rFonts w:ascii="Arial" w:hAnsi="Arial" w:cs="Arial"/>
          <w:i/>
          <w:sz w:val="20"/>
          <w:szCs w:val="20"/>
        </w:rPr>
        <w:t>[</w:t>
      </w:r>
      <w:r w:rsidRPr="00F73413">
        <w:rPr>
          <w:rFonts w:ascii="Arial" w:hAnsi="Arial" w:cs="Arial"/>
          <w:i/>
          <w:sz w:val="20"/>
          <w:szCs w:val="20"/>
        </w:rPr>
        <w:t xml:space="preserve">the Trust Solicitors have been consulted and their recommendation is included within the report] </w:t>
      </w:r>
      <w:r w:rsidRPr="00F73413">
        <w:rPr>
          <w:rFonts w:ascii="Arial" w:hAnsi="Arial" w:cs="Arial"/>
          <w:sz w:val="20"/>
          <w:szCs w:val="20"/>
        </w:rPr>
        <w:t>(</w:t>
      </w:r>
      <w:r w:rsidRPr="00F73413">
        <w:rPr>
          <w:rFonts w:ascii="Arial" w:hAnsi="Arial" w:cs="Arial"/>
          <w:b/>
          <w:i/>
          <w:sz w:val="20"/>
          <w:szCs w:val="20"/>
        </w:rPr>
        <w:t>please delete</w:t>
      </w:r>
      <w:r w:rsidR="002250DE" w:rsidRPr="00F73413">
        <w:rPr>
          <w:rFonts w:ascii="Arial" w:hAnsi="Arial" w:cs="Arial"/>
          <w:b/>
          <w:i/>
          <w:sz w:val="20"/>
          <w:szCs w:val="20"/>
        </w:rPr>
        <w:t>/amend</w:t>
      </w:r>
      <w:r w:rsidRPr="00F73413">
        <w:rPr>
          <w:rFonts w:ascii="Arial" w:hAnsi="Arial" w:cs="Arial"/>
          <w:b/>
          <w:i/>
          <w:sz w:val="20"/>
          <w:szCs w:val="20"/>
        </w:rPr>
        <w:t xml:space="preserve"> as appropriate</w:t>
      </w:r>
      <w:r w:rsidRPr="00F73413">
        <w:rPr>
          <w:rFonts w:ascii="Arial" w:hAnsi="Arial" w:cs="Arial"/>
          <w:sz w:val="20"/>
          <w:szCs w:val="20"/>
        </w:rPr>
        <w:t>)</w:t>
      </w:r>
    </w:p>
    <w:p w:rsidR="002250DE" w:rsidRPr="00F73413" w:rsidRDefault="002250DE" w:rsidP="002250DE">
      <w:pPr>
        <w:ind w:left="720"/>
        <w:jc w:val="both"/>
        <w:rPr>
          <w:rFonts w:ascii="Arial" w:hAnsi="Arial" w:cs="Arial"/>
          <w:i/>
          <w:sz w:val="20"/>
          <w:szCs w:val="20"/>
        </w:rPr>
      </w:pPr>
    </w:p>
    <w:p w:rsidR="00FA3993" w:rsidRPr="00F73413" w:rsidRDefault="00FA3993" w:rsidP="00FA3993">
      <w:pPr>
        <w:numPr>
          <w:ilvl w:val="0"/>
          <w:numId w:val="4"/>
        </w:numPr>
        <w:jc w:val="both"/>
        <w:rPr>
          <w:rFonts w:ascii="Arial" w:hAnsi="Arial" w:cs="Arial"/>
          <w:i/>
          <w:sz w:val="20"/>
          <w:szCs w:val="20"/>
        </w:rPr>
      </w:pPr>
      <w:r w:rsidRPr="00F73413">
        <w:rPr>
          <w:rFonts w:ascii="Arial" w:hAnsi="Arial" w:cs="Arial"/>
          <w:b/>
          <w:i/>
          <w:sz w:val="20"/>
          <w:szCs w:val="20"/>
        </w:rPr>
        <w:t>Strategic Objectives</w:t>
      </w:r>
      <w:r w:rsidRPr="00F73413">
        <w:rPr>
          <w:rFonts w:ascii="Arial" w:hAnsi="Arial" w:cs="Arial"/>
          <w:i/>
          <w:sz w:val="20"/>
          <w:szCs w:val="20"/>
        </w:rPr>
        <w:t xml:space="preserve"> – this report relates to or provides assurance and evidence against the following Strategic Objective(s) of the Trust [OR N/A – no Strategic Objectives apply] (</w:t>
      </w:r>
      <w:r w:rsidRPr="00F73413">
        <w:rPr>
          <w:rFonts w:ascii="Arial" w:hAnsi="Arial" w:cs="Arial"/>
          <w:b/>
          <w:i/>
          <w:sz w:val="20"/>
          <w:szCs w:val="20"/>
        </w:rPr>
        <w:t>please delete as appropriate</w:t>
      </w:r>
      <w:r w:rsidRPr="00F73413">
        <w:rPr>
          <w:rFonts w:ascii="Arial" w:hAnsi="Arial" w:cs="Arial"/>
          <w:i/>
          <w:sz w:val="20"/>
          <w:szCs w:val="20"/>
        </w:rPr>
        <w:t>):</w:t>
      </w:r>
    </w:p>
    <w:p w:rsidR="00FA3993" w:rsidRPr="00F73413" w:rsidRDefault="00FA3993" w:rsidP="00FA3993">
      <w:pPr>
        <w:ind w:left="720"/>
        <w:jc w:val="both"/>
        <w:rPr>
          <w:rFonts w:ascii="Arial" w:hAnsi="Arial" w:cs="Arial"/>
          <w:i/>
          <w:sz w:val="20"/>
          <w:szCs w:val="20"/>
        </w:rPr>
      </w:pPr>
    </w:p>
    <w:p w:rsidR="00FA3993" w:rsidRPr="00F73413" w:rsidRDefault="002250DE" w:rsidP="002250DE">
      <w:pPr>
        <w:ind w:firstLine="720"/>
        <w:jc w:val="both"/>
        <w:rPr>
          <w:rFonts w:ascii="Arial" w:hAnsi="Arial" w:cs="Arial"/>
          <w:i/>
          <w:sz w:val="20"/>
          <w:szCs w:val="20"/>
        </w:rPr>
      </w:pPr>
      <w:r w:rsidRPr="00F73413">
        <w:rPr>
          <w:rFonts w:ascii="Arial" w:hAnsi="Arial" w:cs="Arial"/>
          <w:i/>
          <w:sz w:val="20"/>
          <w:szCs w:val="20"/>
        </w:rPr>
        <w:t xml:space="preserve">1) </w:t>
      </w:r>
      <w:r w:rsidR="00FA3993" w:rsidRPr="00F73413">
        <w:rPr>
          <w:rFonts w:ascii="Arial" w:hAnsi="Arial" w:cs="Arial"/>
          <w:i/>
          <w:sz w:val="20"/>
          <w:szCs w:val="20"/>
        </w:rPr>
        <w:t>Driving Quality Improvement</w:t>
      </w:r>
    </w:p>
    <w:p w:rsidR="00FA3993" w:rsidRPr="00F73413" w:rsidRDefault="00FA3993" w:rsidP="002250DE">
      <w:pPr>
        <w:ind w:left="720"/>
        <w:jc w:val="both"/>
        <w:rPr>
          <w:rFonts w:ascii="Arial" w:hAnsi="Arial" w:cs="Arial"/>
          <w:i/>
          <w:sz w:val="20"/>
          <w:szCs w:val="20"/>
        </w:rPr>
      </w:pPr>
      <w:r w:rsidRPr="00F73413">
        <w:rPr>
          <w:rFonts w:ascii="Arial" w:hAnsi="Arial" w:cs="Arial"/>
          <w:i/>
          <w:sz w:val="20"/>
          <w:szCs w:val="20"/>
        </w:rPr>
        <w:t xml:space="preserve">(Goals: patients will be safe from harm; patients will achieve the clinical outcomes they want; and patients and </w:t>
      </w:r>
      <w:proofErr w:type="spellStart"/>
      <w:r w:rsidRPr="00F73413">
        <w:rPr>
          <w:rFonts w:ascii="Arial" w:hAnsi="Arial" w:cs="Arial"/>
          <w:i/>
          <w:sz w:val="20"/>
          <w:szCs w:val="20"/>
        </w:rPr>
        <w:t>carers</w:t>
      </w:r>
      <w:proofErr w:type="spellEnd"/>
      <w:r w:rsidRPr="00F73413">
        <w:rPr>
          <w:rFonts w:ascii="Arial" w:hAnsi="Arial" w:cs="Arial"/>
          <w:i/>
          <w:sz w:val="20"/>
          <w:szCs w:val="20"/>
        </w:rPr>
        <w:t xml:space="preserve"> will have an excellent experience)</w:t>
      </w:r>
    </w:p>
    <w:p w:rsidR="00FA3993" w:rsidRPr="00F73413" w:rsidRDefault="00FA3993" w:rsidP="002250DE">
      <w:pPr>
        <w:jc w:val="both"/>
        <w:rPr>
          <w:rFonts w:ascii="Arial" w:hAnsi="Arial" w:cs="Arial"/>
          <w:i/>
          <w:sz w:val="20"/>
          <w:szCs w:val="20"/>
        </w:rPr>
      </w:pPr>
    </w:p>
    <w:p w:rsidR="00FA3993" w:rsidRPr="00F73413" w:rsidRDefault="00FA3993" w:rsidP="002250DE">
      <w:pPr>
        <w:ind w:firstLine="720"/>
        <w:jc w:val="both"/>
        <w:rPr>
          <w:rFonts w:ascii="Arial" w:hAnsi="Arial" w:cs="Arial"/>
          <w:i/>
          <w:sz w:val="20"/>
          <w:szCs w:val="20"/>
        </w:rPr>
      </w:pPr>
      <w:r w:rsidRPr="00F73413">
        <w:rPr>
          <w:rFonts w:ascii="Arial" w:hAnsi="Arial" w:cs="Arial"/>
          <w:i/>
          <w:sz w:val="20"/>
          <w:szCs w:val="20"/>
        </w:rPr>
        <w:t>2) Delivering Operational Excellence</w:t>
      </w:r>
    </w:p>
    <w:p w:rsidR="00FA3993" w:rsidRPr="00F73413" w:rsidRDefault="00FA3993" w:rsidP="002250DE">
      <w:pPr>
        <w:ind w:left="720"/>
        <w:jc w:val="both"/>
        <w:rPr>
          <w:rFonts w:ascii="Arial" w:hAnsi="Arial" w:cs="Arial"/>
          <w:i/>
          <w:sz w:val="20"/>
          <w:szCs w:val="20"/>
        </w:rPr>
      </w:pPr>
      <w:r w:rsidRPr="00F73413">
        <w:rPr>
          <w:rFonts w:ascii="Arial" w:hAnsi="Arial" w:cs="Arial"/>
          <w:i/>
          <w:sz w:val="20"/>
          <w:szCs w:val="20"/>
        </w:rPr>
        <w:t>(Goals: our services will be effective and efficient; information will be translated into knowledge; and our planned surplus will be delivered)</w:t>
      </w:r>
    </w:p>
    <w:p w:rsidR="00FA3993" w:rsidRPr="00F73413" w:rsidRDefault="00FA3993" w:rsidP="002250DE">
      <w:pPr>
        <w:jc w:val="both"/>
        <w:rPr>
          <w:rFonts w:ascii="Arial" w:hAnsi="Arial" w:cs="Arial"/>
          <w:i/>
          <w:sz w:val="20"/>
          <w:szCs w:val="20"/>
        </w:rPr>
      </w:pPr>
    </w:p>
    <w:p w:rsidR="00FA3993" w:rsidRPr="00F73413" w:rsidRDefault="00FA3993" w:rsidP="002250DE">
      <w:pPr>
        <w:ind w:firstLine="720"/>
        <w:jc w:val="both"/>
        <w:rPr>
          <w:rFonts w:ascii="Arial" w:hAnsi="Arial" w:cs="Arial"/>
          <w:i/>
          <w:sz w:val="20"/>
          <w:szCs w:val="20"/>
        </w:rPr>
      </w:pPr>
      <w:r w:rsidRPr="00F73413">
        <w:rPr>
          <w:rFonts w:ascii="Arial" w:hAnsi="Arial" w:cs="Arial"/>
          <w:i/>
          <w:sz w:val="20"/>
          <w:szCs w:val="20"/>
        </w:rPr>
        <w:t>3) Delivering Innovation, Learning and Teaching</w:t>
      </w:r>
    </w:p>
    <w:p w:rsidR="00FA3993" w:rsidRPr="00F73413" w:rsidRDefault="00FA3993" w:rsidP="002250DE">
      <w:pPr>
        <w:ind w:left="720"/>
        <w:jc w:val="both"/>
        <w:rPr>
          <w:rFonts w:ascii="Arial" w:hAnsi="Arial" w:cs="Arial"/>
          <w:i/>
          <w:sz w:val="20"/>
          <w:szCs w:val="20"/>
        </w:rPr>
      </w:pPr>
      <w:r w:rsidRPr="00F73413">
        <w:rPr>
          <w:rFonts w:ascii="Arial" w:hAnsi="Arial" w:cs="Arial"/>
          <w:i/>
          <w:sz w:val="20"/>
          <w:szCs w:val="20"/>
        </w:rPr>
        <w:lastRenderedPageBreak/>
        <w:t xml:space="preserve">(Goals: the impact of the AHSN, AHSC and CLAHRC will be </w:t>
      </w:r>
      <w:proofErr w:type="spellStart"/>
      <w:r w:rsidRPr="00F73413">
        <w:rPr>
          <w:rFonts w:ascii="Arial" w:hAnsi="Arial" w:cs="Arial"/>
          <w:i/>
          <w:sz w:val="20"/>
          <w:szCs w:val="20"/>
        </w:rPr>
        <w:t>maximised</w:t>
      </w:r>
      <w:proofErr w:type="spellEnd"/>
      <w:r w:rsidRPr="00F73413">
        <w:rPr>
          <w:rFonts w:ascii="Arial" w:hAnsi="Arial" w:cs="Arial"/>
          <w:i/>
          <w:sz w:val="20"/>
          <w:szCs w:val="20"/>
        </w:rPr>
        <w:t>; we will collaborate in research and innovation; and we will deliver high quality teaching)</w:t>
      </w:r>
    </w:p>
    <w:p w:rsidR="00FA3993" w:rsidRPr="00F73413" w:rsidRDefault="00FA3993" w:rsidP="002250DE">
      <w:pPr>
        <w:jc w:val="both"/>
        <w:rPr>
          <w:rFonts w:ascii="Arial" w:hAnsi="Arial" w:cs="Arial"/>
          <w:i/>
          <w:sz w:val="20"/>
          <w:szCs w:val="20"/>
        </w:rPr>
      </w:pPr>
    </w:p>
    <w:p w:rsidR="00FA3993" w:rsidRPr="00F73413" w:rsidRDefault="00FA3993" w:rsidP="002250DE">
      <w:pPr>
        <w:ind w:left="720"/>
        <w:jc w:val="both"/>
        <w:rPr>
          <w:rFonts w:ascii="Arial" w:hAnsi="Arial" w:cs="Arial"/>
          <w:i/>
          <w:sz w:val="20"/>
          <w:szCs w:val="20"/>
        </w:rPr>
      </w:pPr>
      <w:r w:rsidRPr="00F73413">
        <w:rPr>
          <w:rFonts w:ascii="Arial" w:hAnsi="Arial" w:cs="Arial"/>
          <w:i/>
          <w:sz w:val="20"/>
          <w:szCs w:val="20"/>
        </w:rPr>
        <w:t>4) Developing Our Business through Collaboration and Partnerships</w:t>
      </w:r>
    </w:p>
    <w:p w:rsidR="00FA3993" w:rsidRPr="00F73413" w:rsidRDefault="00FA3993" w:rsidP="002250DE">
      <w:pPr>
        <w:ind w:left="720"/>
        <w:jc w:val="both"/>
        <w:rPr>
          <w:rFonts w:ascii="Arial" w:hAnsi="Arial" w:cs="Arial"/>
          <w:i/>
          <w:sz w:val="20"/>
          <w:szCs w:val="20"/>
        </w:rPr>
      </w:pPr>
      <w:r w:rsidRPr="00F73413">
        <w:rPr>
          <w:rFonts w:ascii="Arial" w:hAnsi="Arial" w:cs="Arial"/>
          <w:i/>
          <w:sz w:val="20"/>
          <w:szCs w:val="20"/>
        </w:rPr>
        <w:t>(Goals: we will work in collaborative partnerships; we will maintain and grow our services where we add value; and we will have strong relationship with our stakeholders)</w:t>
      </w:r>
    </w:p>
    <w:p w:rsidR="00FA3993" w:rsidRPr="00F73413" w:rsidRDefault="00FA3993" w:rsidP="002250DE">
      <w:pPr>
        <w:jc w:val="both"/>
        <w:rPr>
          <w:rFonts w:ascii="Arial" w:hAnsi="Arial" w:cs="Arial"/>
          <w:i/>
          <w:sz w:val="20"/>
          <w:szCs w:val="20"/>
        </w:rPr>
      </w:pPr>
    </w:p>
    <w:p w:rsidR="00FA3993" w:rsidRPr="00F73413" w:rsidRDefault="00FA3993" w:rsidP="002250DE">
      <w:pPr>
        <w:ind w:firstLine="720"/>
        <w:jc w:val="both"/>
        <w:rPr>
          <w:rFonts w:ascii="Arial" w:hAnsi="Arial" w:cs="Arial"/>
          <w:i/>
          <w:sz w:val="20"/>
          <w:szCs w:val="20"/>
        </w:rPr>
      </w:pPr>
      <w:r w:rsidRPr="00F73413">
        <w:rPr>
          <w:rFonts w:ascii="Arial" w:hAnsi="Arial" w:cs="Arial"/>
          <w:i/>
          <w:sz w:val="20"/>
          <w:szCs w:val="20"/>
        </w:rPr>
        <w:t>5) Developing Leadership, People and Culture</w:t>
      </w:r>
    </w:p>
    <w:p w:rsidR="00FA3993" w:rsidRPr="00F73413" w:rsidRDefault="00FA3993" w:rsidP="002250DE">
      <w:pPr>
        <w:ind w:left="720"/>
        <w:jc w:val="both"/>
        <w:rPr>
          <w:rFonts w:ascii="Arial" w:hAnsi="Arial" w:cs="Arial"/>
          <w:i/>
          <w:sz w:val="20"/>
          <w:szCs w:val="20"/>
        </w:rPr>
      </w:pPr>
      <w:r w:rsidRPr="00F73413">
        <w:rPr>
          <w:rFonts w:ascii="Arial" w:hAnsi="Arial" w:cs="Arial"/>
          <w:i/>
          <w:sz w:val="20"/>
          <w:szCs w:val="20"/>
        </w:rPr>
        <w:t>(Goals: staff satisfaction will be in the top 20% of Trusts nationally; our staff and teams will be high-performing; and we will recruit and retain an excellent workforce)</w:t>
      </w:r>
    </w:p>
    <w:p w:rsidR="00FA3993" w:rsidRPr="00F73413" w:rsidRDefault="00FA3993" w:rsidP="002250DE">
      <w:pPr>
        <w:jc w:val="both"/>
        <w:rPr>
          <w:rFonts w:ascii="Arial" w:hAnsi="Arial" w:cs="Arial"/>
          <w:i/>
          <w:sz w:val="20"/>
          <w:szCs w:val="20"/>
        </w:rPr>
      </w:pPr>
    </w:p>
    <w:p w:rsidR="00FA3993" w:rsidRPr="00F73413" w:rsidRDefault="00FA3993" w:rsidP="002250DE">
      <w:pPr>
        <w:ind w:firstLine="720"/>
        <w:jc w:val="both"/>
        <w:rPr>
          <w:rFonts w:ascii="Arial" w:hAnsi="Arial" w:cs="Arial"/>
          <w:i/>
          <w:sz w:val="20"/>
          <w:szCs w:val="20"/>
        </w:rPr>
      </w:pPr>
      <w:r w:rsidRPr="00F73413">
        <w:rPr>
          <w:rFonts w:ascii="Arial" w:hAnsi="Arial" w:cs="Arial"/>
          <w:i/>
          <w:sz w:val="20"/>
          <w:szCs w:val="20"/>
        </w:rPr>
        <w:t>6) Getting the most out of Technology</w:t>
      </w:r>
    </w:p>
    <w:p w:rsidR="00FA3993" w:rsidRPr="00F73413" w:rsidRDefault="00FA3993" w:rsidP="002250DE">
      <w:pPr>
        <w:ind w:left="720"/>
        <w:jc w:val="both"/>
        <w:rPr>
          <w:rFonts w:ascii="Arial" w:hAnsi="Arial" w:cs="Arial"/>
          <w:i/>
          <w:sz w:val="20"/>
          <w:szCs w:val="20"/>
        </w:rPr>
      </w:pPr>
      <w:r w:rsidRPr="00F73413">
        <w:rPr>
          <w:rFonts w:ascii="Arial" w:hAnsi="Arial" w:cs="Arial"/>
          <w:i/>
          <w:sz w:val="20"/>
          <w:szCs w:val="20"/>
        </w:rPr>
        <w:t>(Goals: our patients and staff will have the right technology available; our workforce will have the necessary IT skills to do their jobs well; and an outstanding IT service will be delivered)</w:t>
      </w:r>
    </w:p>
    <w:p w:rsidR="00FA3993" w:rsidRPr="00F73413" w:rsidRDefault="00FA3993" w:rsidP="002250DE">
      <w:pPr>
        <w:jc w:val="both"/>
        <w:rPr>
          <w:rFonts w:ascii="Arial" w:hAnsi="Arial" w:cs="Arial"/>
          <w:i/>
          <w:sz w:val="20"/>
          <w:szCs w:val="20"/>
        </w:rPr>
      </w:pPr>
    </w:p>
    <w:p w:rsidR="00FA3993" w:rsidRPr="00F73413" w:rsidRDefault="00FA3993" w:rsidP="002250DE">
      <w:pPr>
        <w:ind w:firstLine="720"/>
        <w:jc w:val="both"/>
        <w:rPr>
          <w:rFonts w:ascii="Arial" w:hAnsi="Arial" w:cs="Arial"/>
          <w:i/>
          <w:sz w:val="20"/>
          <w:szCs w:val="20"/>
        </w:rPr>
      </w:pPr>
      <w:r w:rsidRPr="00F73413">
        <w:rPr>
          <w:rFonts w:ascii="Arial" w:hAnsi="Arial" w:cs="Arial"/>
          <w:i/>
          <w:sz w:val="20"/>
          <w:szCs w:val="20"/>
        </w:rPr>
        <w:t xml:space="preserve">7) Using our Estate efficiently </w:t>
      </w:r>
    </w:p>
    <w:p w:rsidR="00F73413" w:rsidRDefault="00FA3993" w:rsidP="00F73413">
      <w:pPr>
        <w:ind w:left="720"/>
        <w:jc w:val="both"/>
        <w:rPr>
          <w:rFonts w:ascii="Arial" w:hAnsi="Arial" w:cs="Arial"/>
          <w:i/>
          <w:sz w:val="20"/>
          <w:szCs w:val="20"/>
        </w:rPr>
      </w:pPr>
      <w:r w:rsidRPr="00F73413">
        <w:rPr>
          <w:rFonts w:ascii="Arial" w:hAnsi="Arial" w:cs="Arial"/>
          <w:i/>
          <w:sz w:val="20"/>
          <w:szCs w:val="20"/>
        </w:rPr>
        <w:t>(Goals: patients and staff will benefit from safe and appropriate environments; our estate will be sustainable and environmentally-friendly; and our estate will be cost-effective)</w:t>
      </w:r>
    </w:p>
    <w:p w:rsidR="00F73413" w:rsidRDefault="00F73413" w:rsidP="00F73413">
      <w:pPr>
        <w:jc w:val="both"/>
        <w:rPr>
          <w:rFonts w:ascii="Arial" w:hAnsi="Arial" w:cs="Arial"/>
          <w:i/>
          <w:sz w:val="20"/>
          <w:szCs w:val="20"/>
        </w:rPr>
      </w:pPr>
    </w:p>
    <w:p w:rsidR="00F73413" w:rsidRDefault="00F73413">
      <w:pPr>
        <w:rPr>
          <w:rFonts w:ascii="Arial" w:hAnsi="Arial" w:cs="Arial"/>
          <w:i/>
          <w:sz w:val="20"/>
          <w:szCs w:val="20"/>
        </w:rPr>
      </w:pPr>
      <w:r>
        <w:rPr>
          <w:rFonts w:ascii="Arial" w:hAnsi="Arial" w:cs="Arial"/>
          <w:i/>
          <w:sz w:val="20"/>
          <w:szCs w:val="20"/>
        </w:rPr>
        <w:br w:type="page"/>
      </w:r>
    </w:p>
    <w:p w:rsidR="00F73413" w:rsidRPr="002F47B3" w:rsidRDefault="00F73413" w:rsidP="00F73413">
      <w:pPr>
        <w:jc w:val="center"/>
        <w:rPr>
          <w:rFonts w:ascii="Arial" w:hAnsi="Arial" w:cs="Arial"/>
          <w:b/>
          <w:sz w:val="28"/>
          <w:szCs w:val="28"/>
        </w:rPr>
      </w:pPr>
      <w:r>
        <w:rPr>
          <w:rFonts w:ascii="Arial" w:hAnsi="Arial" w:cs="Arial"/>
          <w:b/>
          <w:sz w:val="28"/>
          <w:szCs w:val="28"/>
        </w:rPr>
        <w:lastRenderedPageBreak/>
        <w:t>Charity</w:t>
      </w:r>
      <w:r w:rsidRPr="002F47B3">
        <w:rPr>
          <w:rFonts w:ascii="Arial" w:hAnsi="Arial" w:cs="Arial"/>
          <w:b/>
          <w:sz w:val="28"/>
          <w:szCs w:val="28"/>
        </w:rPr>
        <w:t xml:space="preserve"> Committee Annual Report</w:t>
      </w:r>
    </w:p>
    <w:p w:rsidR="00F73413" w:rsidRPr="002F47B3" w:rsidRDefault="00F73413" w:rsidP="00F73413">
      <w:pPr>
        <w:jc w:val="center"/>
        <w:rPr>
          <w:rFonts w:ascii="Arial" w:hAnsi="Arial" w:cs="Arial"/>
          <w:b/>
          <w:bCs/>
        </w:rPr>
      </w:pPr>
      <w:r w:rsidRPr="002F47B3">
        <w:rPr>
          <w:rFonts w:ascii="Arial" w:hAnsi="Arial" w:cs="Arial"/>
          <w:b/>
          <w:bCs/>
          <w:sz w:val="28"/>
        </w:rPr>
        <w:t xml:space="preserve">For the period </w:t>
      </w:r>
      <w:r>
        <w:rPr>
          <w:rFonts w:ascii="Arial" w:hAnsi="Arial" w:cs="Arial"/>
          <w:b/>
          <w:bCs/>
          <w:sz w:val="28"/>
        </w:rPr>
        <w:t>April 2016 – March 2017</w:t>
      </w:r>
    </w:p>
    <w:p w:rsidR="00F73413" w:rsidRPr="002F47B3" w:rsidRDefault="00F73413" w:rsidP="00F73413">
      <w:pPr>
        <w:jc w:val="both"/>
        <w:rPr>
          <w:rFonts w:ascii="Arial" w:hAnsi="Arial" w:cs="Arial"/>
          <w:b/>
          <w:bCs/>
        </w:rPr>
      </w:pPr>
    </w:p>
    <w:p w:rsidR="00F73413" w:rsidRPr="006673D7" w:rsidRDefault="00F73413" w:rsidP="00F73413">
      <w:pPr>
        <w:jc w:val="both"/>
        <w:rPr>
          <w:rFonts w:ascii="Arial" w:hAnsi="Arial" w:cs="Arial"/>
        </w:rPr>
      </w:pPr>
      <w:r w:rsidRPr="002F47B3">
        <w:rPr>
          <w:rFonts w:ascii="Arial" w:hAnsi="Arial" w:cs="Arial"/>
        </w:rPr>
        <w:t xml:space="preserve">The </w:t>
      </w:r>
      <w:r>
        <w:rPr>
          <w:rFonts w:ascii="Arial" w:hAnsi="Arial" w:cs="Arial"/>
        </w:rPr>
        <w:t xml:space="preserve">Charity Committee’s </w:t>
      </w:r>
      <w:r w:rsidRPr="002F47B3">
        <w:rPr>
          <w:rFonts w:ascii="Arial" w:hAnsi="Arial" w:cs="Arial"/>
        </w:rPr>
        <w:t xml:space="preserve">key responsibility is to ensure the </w:t>
      </w:r>
      <w:r>
        <w:rPr>
          <w:rFonts w:ascii="Arial" w:hAnsi="Arial" w:cs="Arial"/>
        </w:rPr>
        <w:t>Trust fulfills its duties as a Trustee in the management of the Oxford Health Charitable Funds</w:t>
      </w:r>
      <w:r w:rsidRPr="002F47B3">
        <w:rPr>
          <w:rFonts w:ascii="Arial" w:hAnsi="Arial" w:cs="Arial"/>
        </w:rPr>
        <w:t>. The Committee’s Terms of Reference were last reviewed</w:t>
      </w:r>
      <w:r>
        <w:rPr>
          <w:rFonts w:ascii="Arial" w:hAnsi="Arial" w:cs="Arial"/>
        </w:rPr>
        <w:t xml:space="preserve"> and approved</w:t>
      </w:r>
      <w:r w:rsidRPr="002F47B3">
        <w:rPr>
          <w:rFonts w:ascii="Arial" w:hAnsi="Arial" w:cs="Arial"/>
        </w:rPr>
        <w:t xml:space="preserve"> by the </w:t>
      </w:r>
      <w:r w:rsidRPr="006673D7">
        <w:rPr>
          <w:rFonts w:ascii="Arial" w:hAnsi="Arial" w:cs="Arial"/>
        </w:rPr>
        <w:t>Committee in February 2017.</w:t>
      </w:r>
    </w:p>
    <w:p w:rsidR="00F73413" w:rsidRPr="006673D7" w:rsidRDefault="00F73413" w:rsidP="00F73413">
      <w:pPr>
        <w:jc w:val="both"/>
        <w:rPr>
          <w:rFonts w:ascii="Arial" w:hAnsi="Arial" w:cs="Arial"/>
        </w:rPr>
      </w:pPr>
    </w:p>
    <w:p w:rsidR="00F73413" w:rsidRPr="006673D7" w:rsidRDefault="00F73413" w:rsidP="00F73413">
      <w:pPr>
        <w:jc w:val="both"/>
        <w:rPr>
          <w:rFonts w:ascii="Arial" w:hAnsi="Arial" w:cs="Arial"/>
        </w:rPr>
      </w:pPr>
      <w:r w:rsidRPr="006673D7">
        <w:rPr>
          <w:rFonts w:ascii="Arial" w:hAnsi="Arial" w:cs="Arial"/>
        </w:rPr>
        <w:t>Anne Grocock, Non-Executive Director, is the chair of the Committee.</w:t>
      </w:r>
    </w:p>
    <w:p w:rsidR="00F73413" w:rsidRPr="006673D7" w:rsidRDefault="00F73413" w:rsidP="00F73413">
      <w:pPr>
        <w:jc w:val="both"/>
        <w:rPr>
          <w:rFonts w:ascii="Arial" w:hAnsi="Arial" w:cs="Arial"/>
        </w:rPr>
      </w:pPr>
    </w:p>
    <w:p w:rsidR="00F73413" w:rsidRPr="006673D7" w:rsidRDefault="00F73413" w:rsidP="00F73413">
      <w:pPr>
        <w:numPr>
          <w:ilvl w:val="0"/>
          <w:numId w:val="13"/>
        </w:numPr>
        <w:jc w:val="both"/>
        <w:rPr>
          <w:rFonts w:ascii="Arial" w:hAnsi="Arial" w:cs="Arial"/>
          <w:b/>
          <w:bCs/>
        </w:rPr>
      </w:pPr>
      <w:r w:rsidRPr="006673D7">
        <w:rPr>
          <w:rFonts w:ascii="Arial" w:hAnsi="Arial" w:cs="Arial"/>
          <w:b/>
          <w:bCs/>
        </w:rPr>
        <w:t>Frequency of Meetings and Attendance</w:t>
      </w:r>
    </w:p>
    <w:p w:rsidR="00F73413" w:rsidRDefault="00F73413" w:rsidP="00F73413">
      <w:pPr>
        <w:pStyle w:val="BodyText"/>
        <w:ind w:left="360"/>
        <w:jc w:val="both"/>
        <w:rPr>
          <w:b w:val="0"/>
        </w:rPr>
      </w:pPr>
      <w:r w:rsidRPr="006673D7">
        <w:rPr>
          <w:b w:val="0"/>
        </w:rPr>
        <w:t>The Terms of Reference states that the Committee should meet not less than four times a year. During the reporting period the Committee met four times.</w:t>
      </w:r>
    </w:p>
    <w:p w:rsidR="00F73413" w:rsidRDefault="00F73413" w:rsidP="00F73413">
      <w:pPr>
        <w:jc w:val="both"/>
        <w:rPr>
          <w:rFonts w:ascii="Arial" w:hAnsi="Arial" w:cs="Arial"/>
          <w:bCs/>
        </w:rPr>
      </w:pPr>
    </w:p>
    <w:p w:rsidR="00F73413" w:rsidRDefault="00F73413" w:rsidP="00F73413">
      <w:pPr>
        <w:pStyle w:val="BodyText"/>
        <w:ind w:firstLine="357"/>
        <w:jc w:val="both"/>
        <w:rPr>
          <w:b w:val="0"/>
        </w:rPr>
      </w:pPr>
      <w:r>
        <w:rPr>
          <w:b w:val="0"/>
        </w:rPr>
        <w:t>Membership of the Committee for comprised:</w:t>
      </w:r>
    </w:p>
    <w:p w:rsidR="00F73413" w:rsidRDefault="00F73413" w:rsidP="00F73413">
      <w:pPr>
        <w:pStyle w:val="ListParagraph"/>
        <w:numPr>
          <w:ilvl w:val="0"/>
          <w:numId w:val="10"/>
        </w:numPr>
        <w:ind w:left="714" w:hanging="357"/>
        <w:contextualSpacing/>
        <w:rPr>
          <w:rFonts w:ascii="Arial" w:hAnsi="Arial" w:cs="Arial"/>
        </w:rPr>
      </w:pPr>
      <w:r>
        <w:rPr>
          <w:rFonts w:ascii="Arial" w:hAnsi="Arial" w:cs="Arial"/>
        </w:rPr>
        <w:t>3 Non-Executive Directors of the Trust</w:t>
      </w:r>
    </w:p>
    <w:p w:rsidR="00F73413" w:rsidRDefault="00F73413" w:rsidP="00F73413">
      <w:pPr>
        <w:pStyle w:val="ListParagraph"/>
        <w:numPr>
          <w:ilvl w:val="1"/>
          <w:numId w:val="10"/>
        </w:numPr>
        <w:contextualSpacing/>
        <w:rPr>
          <w:rFonts w:ascii="Arial" w:hAnsi="Arial" w:cs="Arial"/>
        </w:rPr>
      </w:pPr>
      <w:r>
        <w:rPr>
          <w:rFonts w:ascii="Arial" w:hAnsi="Arial" w:cs="Arial"/>
        </w:rPr>
        <w:t>Anne Grocock</w:t>
      </w:r>
    </w:p>
    <w:p w:rsidR="00F73413" w:rsidRDefault="00F73413" w:rsidP="00F73413">
      <w:pPr>
        <w:pStyle w:val="ListParagraph"/>
        <w:numPr>
          <w:ilvl w:val="1"/>
          <w:numId w:val="10"/>
        </w:numPr>
        <w:contextualSpacing/>
        <w:rPr>
          <w:rFonts w:ascii="Arial" w:hAnsi="Arial" w:cs="Arial"/>
        </w:rPr>
      </w:pPr>
      <w:r>
        <w:rPr>
          <w:rFonts w:ascii="Arial" w:hAnsi="Arial" w:cs="Arial"/>
        </w:rPr>
        <w:t>Alyson Coates</w:t>
      </w:r>
    </w:p>
    <w:p w:rsidR="00F73413" w:rsidRDefault="00F73413" w:rsidP="00F73413">
      <w:pPr>
        <w:pStyle w:val="ListParagraph"/>
        <w:numPr>
          <w:ilvl w:val="1"/>
          <w:numId w:val="10"/>
        </w:numPr>
        <w:contextualSpacing/>
        <w:rPr>
          <w:rFonts w:ascii="Arial" w:hAnsi="Arial" w:cs="Arial"/>
        </w:rPr>
      </w:pPr>
      <w:r>
        <w:rPr>
          <w:rFonts w:ascii="Arial" w:hAnsi="Arial" w:cs="Arial"/>
        </w:rPr>
        <w:t>Lyn Williams</w:t>
      </w:r>
    </w:p>
    <w:p w:rsidR="00F73413" w:rsidRDefault="00F73413" w:rsidP="00F73413">
      <w:pPr>
        <w:pStyle w:val="ListParagraph"/>
        <w:numPr>
          <w:ilvl w:val="0"/>
          <w:numId w:val="10"/>
        </w:numPr>
        <w:ind w:left="714" w:hanging="357"/>
        <w:contextualSpacing/>
        <w:rPr>
          <w:rFonts w:ascii="Arial" w:hAnsi="Arial" w:cs="Arial"/>
        </w:rPr>
      </w:pPr>
      <w:r>
        <w:rPr>
          <w:rFonts w:ascii="Arial" w:hAnsi="Arial" w:cs="Arial"/>
        </w:rPr>
        <w:t>2 Executive Directors of the Trust</w:t>
      </w:r>
    </w:p>
    <w:p w:rsidR="00F73413" w:rsidRDefault="00F73413" w:rsidP="00F73413">
      <w:pPr>
        <w:pStyle w:val="ListParagraph"/>
        <w:numPr>
          <w:ilvl w:val="1"/>
          <w:numId w:val="10"/>
        </w:numPr>
        <w:contextualSpacing/>
        <w:rPr>
          <w:rFonts w:ascii="Arial" w:hAnsi="Arial" w:cs="Arial"/>
        </w:rPr>
      </w:pPr>
      <w:r>
        <w:rPr>
          <w:rFonts w:ascii="Arial" w:hAnsi="Arial" w:cs="Arial"/>
        </w:rPr>
        <w:t>Ros Alstead</w:t>
      </w:r>
    </w:p>
    <w:p w:rsidR="00F73413" w:rsidRDefault="00F73413" w:rsidP="00F73413">
      <w:pPr>
        <w:pStyle w:val="ListParagraph"/>
        <w:numPr>
          <w:ilvl w:val="1"/>
          <w:numId w:val="10"/>
        </w:numPr>
        <w:contextualSpacing/>
        <w:rPr>
          <w:rFonts w:ascii="Arial" w:hAnsi="Arial" w:cs="Arial"/>
        </w:rPr>
      </w:pPr>
      <w:r>
        <w:rPr>
          <w:rFonts w:ascii="Arial" w:hAnsi="Arial" w:cs="Arial"/>
        </w:rPr>
        <w:t>Dominic Hardisty</w:t>
      </w:r>
    </w:p>
    <w:p w:rsidR="00F73413" w:rsidRDefault="00F73413" w:rsidP="00F73413">
      <w:pPr>
        <w:pStyle w:val="BodyText"/>
        <w:jc w:val="both"/>
        <w:rPr>
          <w:b w:val="0"/>
        </w:rPr>
      </w:pPr>
    </w:p>
    <w:p w:rsidR="00F73413" w:rsidRPr="002F47B3" w:rsidRDefault="00F73413" w:rsidP="00F73413">
      <w:pPr>
        <w:ind w:left="360"/>
        <w:jc w:val="both"/>
        <w:rPr>
          <w:rFonts w:ascii="Arial" w:hAnsi="Arial" w:cs="Arial"/>
        </w:rPr>
      </w:pPr>
      <w:r>
        <w:rPr>
          <w:rFonts w:ascii="Arial" w:hAnsi="Arial" w:cs="Arial"/>
        </w:rPr>
        <w:t>During this period, t</w:t>
      </w:r>
      <w:r w:rsidRPr="002F47B3">
        <w:rPr>
          <w:rFonts w:ascii="Arial" w:hAnsi="Arial" w:cs="Arial"/>
        </w:rPr>
        <w:t xml:space="preserve">he following officers of the Trust and other interested parties were invited to attend for all or part of meetings </w:t>
      </w:r>
      <w:r>
        <w:rPr>
          <w:rFonts w:ascii="Arial" w:hAnsi="Arial" w:cs="Arial"/>
        </w:rPr>
        <w:t xml:space="preserve">between this </w:t>
      </w:r>
      <w:proofErr w:type="gramStart"/>
      <w:r>
        <w:rPr>
          <w:rFonts w:ascii="Arial" w:hAnsi="Arial" w:cs="Arial"/>
        </w:rPr>
        <w:t>period</w:t>
      </w:r>
      <w:proofErr w:type="gramEnd"/>
      <w:r>
        <w:rPr>
          <w:rFonts w:ascii="Arial" w:hAnsi="Arial" w:cs="Arial"/>
        </w:rPr>
        <w:t xml:space="preserve"> </w:t>
      </w:r>
      <w:r w:rsidRPr="002F47B3">
        <w:rPr>
          <w:rFonts w:ascii="Arial" w:hAnsi="Arial" w:cs="Arial"/>
        </w:rPr>
        <w:t>(number of times shown in brackets):</w:t>
      </w:r>
    </w:p>
    <w:p w:rsidR="00F73413" w:rsidRPr="002F47B3" w:rsidRDefault="00F73413" w:rsidP="00F73413">
      <w:pPr>
        <w:jc w:val="both"/>
        <w:rPr>
          <w:rFonts w:ascii="Arial" w:hAnsi="Arial" w:cs="Arial"/>
        </w:rPr>
      </w:pPr>
    </w:p>
    <w:p w:rsidR="00F73413" w:rsidRDefault="00F73413" w:rsidP="00F73413">
      <w:pPr>
        <w:numPr>
          <w:ilvl w:val="0"/>
          <w:numId w:val="7"/>
        </w:numPr>
        <w:jc w:val="both"/>
        <w:rPr>
          <w:rFonts w:ascii="Arial" w:hAnsi="Arial" w:cs="Arial"/>
        </w:rPr>
      </w:pPr>
      <w:r>
        <w:rPr>
          <w:rFonts w:ascii="Arial" w:hAnsi="Arial" w:cs="Arial"/>
        </w:rPr>
        <w:t>Director of Corporate Affairs &amp; Company Secretary</w:t>
      </w:r>
      <w:r w:rsidRPr="002F47B3">
        <w:rPr>
          <w:rFonts w:ascii="Arial" w:hAnsi="Arial" w:cs="Arial"/>
        </w:rPr>
        <w:t xml:space="preserve"> (</w:t>
      </w:r>
      <w:r>
        <w:rPr>
          <w:rFonts w:ascii="Arial" w:hAnsi="Arial" w:cs="Arial"/>
        </w:rPr>
        <w:t>3</w:t>
      </w:r>
      <w:r w:rsidRPr="002F47B3">
        <w:rPr>
          <w:rFonts w:ascii="Arial" w:hAnsi="Arial" w:cs="Arial"/>
        </w:rPr>
        <w:t>)</w:t>
      </w:r>
    </w:p>
    <w:p w:rsidR="00F73413" w:rsidRPr="002F47B3" w:rsidRDefault="00F73413" w:rsidP="00F73413">
      <w:pPr>
        <w:numPr>
          <w:ilvl w:val="0"/>
          <w:numId w:val="7"/>
        </w:numPr>
        <w:jc w:val="both"/>
        <w:rPr>
          <w:rFonts w:ascii="Arial" w:hAnsi="Arial" w:cs="Arial"/>
        </w:rPr>
      </w:pPr>
      <w:r>
        <w:rPr>
          <w:rFonts w:ascii="Arial" w:hAnsi="Arial" w:cs="Arial"/>
        </w:rPr>
        <w:t>Assistant Trust Secretary (2)</w:t>
      </w:r>
    </w:p>
    <w:p w:rsidR="00F73413" w:rsidRDefault="00F73413" w:rsidP="00F73413">
      <w:pPr>
        <w:numPr>
          <w:ilvl w:val="0"/>
          <w:numId w:val="7"/>
        </w:numPr>
        <w:jc w:val="both"/>
        <w:rPr>
          <w:rFonts w:ascii="Arial" w:hAnsi="Arial" w:cs="Arial"/>
        </w:rPr>
      </w:pPr>
      <w:r>
        <w:rPr>
          <w:rFonts w:ascii="Arial" w:hAnsi="Arial" w:cs="Arial"/>
        </w:rPr>
        <w:t>Financial Controller (4</w:t>
      </w:r>
      <w:r w:rsidRPr="002F47B3">
        <w:rPr>
          <w:rFonts w:ascii="Arial" w:hAnsi="Arial" w:cs="Arial"/>
        </w:rPr>
        <w:t>)</w:t>
      </w:r>
    </w:p>
    <w:p w:rsidR="00F73413" w:rsidRDefault="00F73413" w:rsidP="00F73413">
      <w:pPr>
        <w:numPr>
          <w:ilvl w:val="0"/>
          <w:numId w:val="7"/>
        </w:numPr>
        <w:jc w:val="both"/>
        <w:rPr>
          <w:rFonts w:ascii="Arial" w:hAnsi="Arial" w:cs="Arial"/>
        </w:rPr>
      </w:pPr>
      <w:r>
        <w:rPr>
          <w:rFonts w:ascii="Arial" w:hAnsi="Arial" w:cs="Arial"/>
        </w:rPr>
        <w:t>Finance Manager, OUH Charitable Funds Department</w:t>
      </w:r>
      <w:r w:rsidRPr="002F47B3">
        <w:rPr>
          <w:rFonts w:ascii="Arial" w:hAnsi="Arial" w:cs="Arial"/>
        </w:rPr>
        <w:t xml:space="preserve"> (</w:t>
      </w:r>
      <w:r>
        <w:rPr>
          <w:rFonts w:ascii="Arial" w:hAnsi="Arial" w:cs="Arial"/>
        </w:rPr>
        <w:t>4</w:t>
      </w:r>
      <w:r w:rsidRPr="002F47B3">
        <w:rPr>
          <w:rFonts w:ascii="Arial" w:hAnsi="Arial" w:cs="Arial"/>
        </w:rPr>
        <w:t>)</w:t>
      </w:r>
    </w:p>
    <w:p w:rsidR="00F73413" w:rsidRDefault="00F73413" w:rsidP="00F73413">
      <w:pPr>
        <w:numPr>
          <w:ilvl w:val="0"/>
          <w:numId w:val="7"/>
        </w:numPr>
        <w:jc w:val="both"/>
        <w:rPr>
          <w:rFonts w:ascii="Arial" w:hAnsi="Arial" w:cs="Arial"/>
        </w:rPr>
      </w:pPr>
      <w:r>
        <w:rPr>
          <w:rFonts w:ascii="Arial" w:hAnsi="Arial" w:cs="Arial"/>
        </w:rPr>
        <w:t>CEO, OUH Charitable Funds Department (1)</w:t>
      </w:r>
    </w:p>
    <w:p w:rsidR="00F73413" w:rsidRPr="002F47B3" w:rsidRDefault="00F73413" w:rsidP="00F73413">
      <w:pPr>
        <w:numPr>
          <w:ilvl w:val="0"/>
          <w:numId w:val="7"/>
        </w:numPr>
        <w:jc w:val="both"/>
        <w:rPr>
          <w:rFonts w:ascii="Arial" w:hAnsi="Arial" w:cs="Arial"/>
        </w:rPr>
      </w:pPr>
      <w:r>
        <w:rPr>
          <w:rFonts w:ascii="Arial" w:hAnsi="Arial" w:cs="Arial"/>
        </w:rPr>
        <w:t>External Attendee (2)</w:t>
      </w:r>
    </w:p>
    <w:p w:rsidR="00F73413" w:rsidRDefault="00F73413" w:rsidP="00F73413">
      <w:pPr>
        <w:pStyle w:val="BodyText"/>
        <w:jc w:val="both"/>
        <w:rPr>
          <w:b w:val="0"/>
        </w:rPr>
      </w:pPr>
    </w:p>
    <w:p w:rsidR="00F73413" w:rsidRPr="00756A29" w:rsidRDefault="00F73413" w:rsidP="00F73413">
      <w:pPr>
        <w:ind w:left="360"/>
        <w:jc w:val="both"/>
        <w:rPr>
          <w:rFonts w:ascii="Arial" w:hAnsi="Arial" w:cs="Arial"/>
        </w:rPr>
      </w:pPr>
      <w:r>
        <w:rPr>
          <w:rFonts w:ascii="Arial" w:hAnsi="Arial" w:cs="Arial"/>
        </w:rPr>
        <w:t xml:space="preserve">The </w:t>
      </w:r>
      <w:r w:rsidRPr="002F47B3">
        <w:rPr>
          <w:rFonts w:ascii="Arial" w:hAnsi="Arial" w:cs="Arial"/>
        </w:rPr>
        <w:t xml:space="preserve">Committee quorum is </w:t>
      </w:r>
      <w:r>
        <w:rPr>
          <w:rFonts w:ascii="Arial" w:hAnsi="Arial" w:cs="Arial"/>
        </w:rPr>
        <w:t>four</w:t>
      </w:r>
      <w:r w:rsidRPr="002F47B3">
        <w:rPr>
          <w:rFonts w:ascii="Arial" w:hAnsi="Arial" w:cs="Arial"/>
        </w:rPr>
        <w:t xml:space="preserve"> members to include at le</w:t>
      </w:r>
      <w:r>
        <w:rPr>
          <w:rFonts w:ascii="Arial" w:hAnsi="Arial" w:cs="Arial"/>
        </w:rPr>
        <w:t>ast two Non-Executive Directors and one Executive Director. Directors may nominate a deputy to attend the meeting in their absence who will count towards the quorum. A quorum of members has</w:t>
      </w:r>
      <w:r w:rsidRPr="002F47B3">
        <w:rPr>
          <w:rFonts w:ascii="Arial" w:hAnsi="Arial" w:cs="Arial"/>
        </w:rPr>
        <w:t xml:space="preserve"> been available for all meetings. Attendance by the members has been as follows:</w:t>
      </w:r>
    </w:p>
    <w:p w:rsidR="00F73413" w:rsidRDefault="00F73413" w:rsidP="00F73413">
      <w:pPr>
        <w:pStyle w:val="BodyText"/>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F73413" w:rsidRPr="00D13A9B" w:rsidTr="0095573C">
        <w:tc>
          <w:tcPr>
            <w:tcW w:w="1771" w:type="dxa"/>
            <w:shd w:val="clear" w:color="auto" w:fill="auto"/>
          </w:tcPr>
          <w:p w:rsidR="00F73413" w:rsidRPr="00294C59" w:rsidRDefault="00F73413" w:rsidP="0095573C">
            <w:pPr>
              <w:jc w:val="center"/>
              <w:rPr>
                <w:rFonts w:ascii="Arial" w:hAnsi="Arial" w:cs="Arial"/>
              </w:rPr>
            </w:pPr>
          </w:p>
        </w:tc>
        <w:tc>
          <w:tcPr>
            <w:tcW w:w="1771" w:type="dxa"/>
            <w:shd w:val="clear" w:color="auto" w:fill="auto"/>
          </w:tcPr>
          <w:p w:rsidR="00F73413" w:rsidRPr="00294C59" w:rsidRDefault="00F73413" w:rsidP="0095573C">
            <w:pPr>
              <w:jc w:val="center"/>
              <w:rPr>
                <w:rFonts w:ascii="Arial" w:hAnsi="Arial" w:cs="Arial"/>
                <w:b/>
              </w:rPr>
            </w:pPr>
            <w:r w:rsidRPr="00294C59">
              <w:rPr>
                <w:rFonts w:ascii="Arial" w:hAnsi="Arial" w:cs="Arial"/>
                <w:b/>
              </w:rPr>
              <w:t>17 May 16</w:t>
            </w:r>
          </w:p>
        </w:tc>
        <w:tc>
          <w:tcPr>
            <w:tcW w:w="1771" w:type="dxa"/>
            <w:shd w:val="clear" w:color="auto" w:fill="auto"/>
          </w:tcPr>
          <w:p w:rsidR="00F73413" w:rsidRPr="00294C59" w:rsidRDefault="00F73413" w:rsidP="0095573C">
            <w:pPr>
              <w:jc w:val="center"/>
              <w:rPr>
                <w:rFonts w:ascii="Arial" w:hAnsi="Arial" w:cs="Arial"/>
                <w:b/>
              </w:rPr>
            </w:pPr>
            <w:r w:rsidRPr="00294C59">
              <w:rPr>
                <w:rFonts w:ascii="Arial" w:hAnsi="Arial" w:cs="Arial"/>
                <w:b/>
              </w:rPr>
              <w:t>20 July 16</w:t>
            </w:r>
          </w:p>
        </w:tc>
        <w:tc>
          <w:tcPr>
            <w:tcW w:w="1771" w:type="dxa"/>
            <w:shd w:val="clear" w:color="auto" w:fill="auto"/>
          </w:tcPr>
          <w:p w:rsidR="00F73413" w:rsidRPr="00294C59" w:rsidRDefault="00F73413" w:rsidP="0095573C">
            <w:pPr>
              <w:jc w:val="center"/>
              <w:rPr>
                <w:rFonts w:ascii="Arial" w:hAnsi="Arial" w:cs="Arial"/>
                <w:b/>
              </w:rPr>
            </w:pPr>
            <w:r w:rsidRPr="00294C59">
              <w:rPr>
                <w:rFonts w:ascii="Arial" w:hAnsi="Arial" w:cs="Arial"/>
                <w:b/>
              </w:rPr>
              <w:t>15 Nov 16</w:t>
            </w:r>
          </w:p>
        </w:tc>
        <w:tc>
          <w:tcPr>
            <w:tcW w:w="1772" w:type="dxa"/>
            <w:shd w:val="clear" w:color="auto" w:fill="auto"/>
          </w:tcPr>
          <w:p w:rsidR="00F73413" w:rsidRPr="00294C59" w:rsidRDefault="00F73413" w:rsidP="0095573C">
            <w:pPr>
              <w:jc w:val="center"/>
              <w:rPr>
                <w:rFonts w:ascii="Arial" w:hAnsi="Arial" w:cs="Arial"/>
                <w:b/>
              </w:rPr>
            </w:pPr>
            <w:r w:rsidRPr="00294C59">
              <w:rPr>
                <w:rFonts w:ascii="Arial" w:hAnsi="Arial" w:cs="Arial"/>
                <w:b/>
              </w:rPr>
              <w:t>28 Feb 2017</w:t>
            </w:r>
          </w:p>
        </w:tc>
      </w:tr>
      <w:tr w:rsidR="00F73413" w:rsidTr="0095573C">
        <w:tc>
          <w:tcPr>
            <w:tcW w:w="1771" w:type="dxa"/>
            <w:shd w:val="clear" w:color="auto" w:fill="auto"/>
          </w:tcPr>
          <w:p w:rsidR="00F73413" w:rsidRPr="00294C59" w:rsidRDefault="00F73413" w:rsidP="0095573C">
            <w:pPr>
              <w:jc w:val="center"/>
              <w:rPr>
                <w:rFonts w:ascii="Arial" w:hAnsi="Arial" w:cs="Arial"/>
                <w:b/>
              </w:rPr>
            </w:pPr>
            <w:r w:rsidRPr="00294C59">
              <w:rPr>
                <w:rFonts w:ascii="Arial" w:hAnsi="Arial" w:cs="Arial"/>
                <w:b/>
              </w:rPr>
              <w:t>Exec</w:t>
            </w:r>
          </w:p>
        </w:tc>
        <w:tc>
          <w:tcPr>
            <w:tcW w:w="1771" w:type="dxa"/>
            <w:shd w:val="clear" w:color="auto" w:fill="auto"/>
          </w:tcPr>
          <w:p w:rsidR="00F73413" w:rsidRPr="00294C59" w:rsidRDefault="00F73413" w:rsidP="0095573C">
            <w:pPr>
              <w:jc w:val="center"/>
              <w:rPr>
                <w:rFonts w:ascii="Arial" w:hAnsi="Arial" w:cs="Arial"/>
              </w:rPr>
            </w:pPr>
            <w:r w:rsidRPr="00294C59">
              <w:rPr>
                <w:rFonts w:ascii="Arial" w:hAnsi="Arial" w:cs="Arial"/>
              </w:rPr>
              <w:t>1</w:t>
            </w:r>
          </w:p>
        </w:tc>
        <w:tc>
          <w:tcPr>
            <w:tcW w:w="1771" w:type="dxa"/>
            <w:shd w:val="clear" w:color="auto" w:fill="auto"/>
          </w:tcPr>
          <w:p w:rsidR="00F73413" w:rsidRPr="00294C59" w:rsidRDefault="00F73413" w:rsidP="0095573C">
            <w:pPr>
              <w:jc w:val="center"/>
              <w:rPr>
                <w:rFonts w:ascii="Arial" w:hAnsi="Arial" w:cs="Arial"/>
              </w:rPr>
            </w:pPr>
            <w:r w:rsidRPr="00294C59">
              <w:rPr>
                <w:rFonts w:ascii="Arial" w:hAnsi="Arial" w:cs="Arial"/>
              </w:rPr>
              <w:t>2</w:t>
            </w:r>
          </w:p>
        </w:tc>
        <w:tc>
          <w:tcPr>
            <w:tcW w:w="1771" w:type="dxa"/>
            <w:shd w:val="clear" w:color="auto" w:fill="auto"/>
          </w:tcPr>
          <w:p w:rsidR="00F73413" w:rsidRPr="00294C59" w:rsidRDefault="00F73413" w:rsidP="0095573C">
            <w:pPr>
              <w:jc w:val="center"/>
              <w:rPr>
                <w:rFonts w:ascii="Arial" w:hAnsi="Arial" w:cs="Arial"/>
              </w:rPr>
            </w:pPr>
            <w:r w:rsidRPr="00294C59">
              <w:rPr>
                <w:rFonts w:ascii="Arial" w:hAnsi="Arial" w:cs="Arial"/>
              </w:rPr>
              <w:t>1</w:t>
            </w:r>
          </w:p>
        </w:tc>
        <w:tc>
          <w:tcPr>
            <w:tcW w:w="1772" w:type="dxa"/>
            <w:shd w:val="clear" w:color="auto" w:fill="auto"/>
          </w:tcPr>
          <w:p w:rsidR="00F73413" w:rsidRPr="00294C59" w:rsidRDefault="00F73413" w:rsidP="0095573C">
            <w:pPr>
              <w:jc w:val="center"/>
              <w:rPr>
                <w:rFonts w:ascii="Arial" w:hAnsi="Arial" w:cs="Arial"/>
              </w:rPr>
            </w:pPr>
            <w:r w:rsidRPr="00294C59">
              <w:rPr>
                <w:rFonts w:ascii="Arial" w:hAnsi="Arial" w:cs="Arial"/>
              </w:rPr>
              <w:t>2</w:t>
            </w:r>
          </w:p>
        </w:tc>
      </w:tr>
      <w:tr w:rsidR="00F73413" w:rsidTr="0095573C">
        <w:tc>
          <w:tcPr>
            <w:tcW w:w="1771" w:type="dxa"/>
            <w:shd w:val="clear" w:color="auto" w:fill="auto"/>
          </w:tcPr>
          <w:p w:rsidR="00F73413" w:rsidRPr="00294C59" w:rsidRDefault="00F73413" w:rsidP="0095573C">
            <w:pPr>
              <w:jc w:val="center"/>
              <w:rPr>
                <w:rFonts w:ascii="Arial" w:hAnsi="Arial" w:cs="Arial"/>
                <w:b/>
              </w:rPr>
            </w:pPr>
            <w:r w:rsidRPr="00294C59">
              <w:rPr>
                <w:rFonts w:ascii="Arial" w:hAnsi="Arial" w:cs="Arial"/>
                <w:b/>
              </w:rPr>
              <w:t>Non-Exec</w:t>
            </w:r>
          </w:p>
        </w:tc>
        <w:tc>
          <w:tcPr>
            <w:tcW w:w="1771" w:type="dxa"/>
            <w:shd w:val="clear" w:color="auto" w:fill="auto"/>
          </w:tcPr>
          <w:p w:rsidR="00F73413" w:rsidRPr="00294C59" w:rsidRDefault="00F73413" w:rsidP="0095573C">
            <w:pPr>
              <w:jc w:val="center"/>
              <w:rPr>
                <w:rFonts w:ascii="Arial" w:hAnsi="Arial" w:cs="Arial"/>
              </w:rPr>
            </w:pPr>
            <w:r w:rsidRPr="00294C59">
              <w:rPr>
                <w:rFonts w:ascii="Arial" w:hAnsi="Arial" w:cs="Arial"/>
              </w:rPr>
              <w:t>3</w:t>
            </w:r>
          </w:p>
        </w:tc>
        <w:tc>
          <w:tcPr>
            <w:tcW w:w="1771" w:type="dxa"/>
            <w:shd w:val="clear" w:color="auto" w:fill="auto"/>
          </w:tcPr>
          <w:p w:rsidR="00F73413" w:rsidRPr="00294C59" w:rsidRDefault="00F73413" w:rsidP="0095573C">
            <w:pPr>
              <w:jc w:val="center"/>
              <w:rPr>
                <w:rFonts w:ascii="Arial" w:hAnsi="Arial" w:cs="Arial"/>
              </w:rPr>
            </w:pPr>
            <w:r w:rsidRPr="00294C59">
              <w:rPr>
                <w:rFonts w:ascii="Arial" w:hAnsi="Arial" w:cs="Arial"/>
              </w:rPr>
              <w:t>3</w:t>
            </w:r>
          </w:p>
        </w:tc>
        <w:tc>
          <w:tcPr>
            <w:tcW w:w="1771" w:type="dxa"/>
            <w:shd w:val="clear" w:color="auto" w:fill="auto"/>
          </w:tcPr>
          <w:p w:rsidR="00F73413" w:rsidRPr="00294C59" w:rsidRDefault="00F73413" w:rsidP="0095573C">
            <w:pPr>
              <w:jc w:val="center"/>
              <w:rPr>
                <w:rFonts w:ascii="Arial" w:hAnsi="Arial" w:cs="Arial"/>
              </w:rPr>
            </w:pPr>
            <w:r w:rsidRPr="00294C59">
              <w:rPr>
                <w:rFonts w:ascii="Arial" w:hAnsi="Arial" w:cs="Arial"/>
              </w:rPr>
              <w:t>3</w:t>
            </w:r>
          </w:p>
        </w:tc>
        <w:tc>
          <w:tcPr>
            <w:tcW w:w="1772" w:type="dxa"/>
            <w:shd w:val="clear" w:color="auto" w:fill="auto"/>
          </w:tcPr>
          <w:p w:rsidR="00F73413" w:rsidRPr="00294C59" w:rsidRDefault="00F73413" w:rsidP="0095573C">
            <w:pPr>
              <w:jc w:val="center"/>
              <w:rPr>
                <w:rFonts w:ascii="Arial" w:hAnsi="Arial" w:cs="Arial"/>
              </w:rPr>
            </w:pPr>
            <w:r w:rsidRPr="00294C59">
              <w:rPr>
                <w:rFonts w:ascii="Arial" w:hAnsi="Arial" w:cs="Arial"/>
              </w:rPr>
              <w:t>3</w:t>
            </w:r>
          </w:p>
        </w:tc>
      </w:tr>
      <w:tr w:rsidR="00F73413" w:rsidTr="0095573C">
        <w:tc>
          <w:tcPr>
            <w:tcW w:w="1771" w:type="dxa"/>
            <w:shd w:val="clear" w:color="auto" w:fill="auto"/>
          </w:tcPr>
          <w:p w:rsidR="00F73413" w:rsidRPr="00294C59" w:rsidRDefault="00F73413" w:rsidP="0095573C">
            <w:pPr>
              <w:jc w:val="center"/>
              <w:rPr>
                <w:rFonts w:ascii="Arial" w:hAnsi="Arial" w:cs="Arial"/>
                <w:b/>
              </w:rPr>
            </w:pPr>
            <w:r w:rsidRPr="00294C59">
              <w:rPr>
                <w:rFonts w:ascii="Arial" w:hAnsi="Arial" w:cs="Arial"/>
                <w:b/>
              </w:rPr>
              <w:t>Total</w:t>
            </w:r>
          </w:p>
        </w:tc>
        <w:tc>
          <w:tcPr>
            <w:tcW w:w="1771" w:type="dxa"/>
            <w:shd w:val="clear" w:color="auto" w:fill="auto"/>
          </w:tcPr>
          <w:p w:rsidR="00F73413" w:rsidRPr="00294C59" w:rsidRDefault="00F73413" w:rsidP="0095573C">
            <w:pPr>
              <w:jc w:val="center"/>
              <w:rPr>
                <w:rFonts w:ascii="Arial" w:hAnsi="Arial" w:cs="Arial"/>
              </w:rPr>
            </w:pPr>
            <w:r w:rsidRPr="00294C59">
              <w:rPr>
                <w:rFonts w:ascii="Arial" w:hAnsi="Arial" w:cs="Arial"/>
              </w:rPr>
              <w:t>4</w:t>
            </w:r>
          </w:p>
        </w:tc>
        <w:tc>
          <w:tcPr>
            <w:tcW w:w="1771" w:type="dxa"/>
            <w:shd w:val="clear" w:color="auto" w:fill="auto"/>
          </w:tcPr>
          <w:p w:rsidR="00F73413" w:rsidRPr="00294C59" w:rsidRDefault="00F73413" w:rsidP="0095573C">
            <w:pPr>
              <w:jc w:val="center"/>
              <w:rPr>
                <w:rFonts w:ascii="Arial" w:hAnsi="Arial" w:cs="Arial"/>
              </w:rPr>
            </w:pPr>
            <w:r w:rsidRPr="00294C59">
              <w:rPr>
                <w:rFonts w:ascii="Arial" w:hAnsi="Arial" w:cs="Arial"/>
              </w:rPr>
              <w:t>5</w:t>
            </w:r>
          </w:p>
        </w:tc>
        <w:tc>
          <w:tcPr>
            <w:tcW w:w="1771" w:type="dxa"/>
            <w:shd w:val="clear" w:color="auto" w:fill="auto"/>
          </w:tcPr>
          <w:p w:rsidR="00F73413" w:rsidRPr="00294C59" w:rsidRDefault="00F73413" w:rsidP="0095573C">
            <w:pPr>
              <w:jc w:val="center"/>
              <w:rPr>
                <w:rFonts w:ascii="Arial" w:hAnsi="Arial" w:cs="Arial"/>
              </w:rPr>
            </w:pPr>
            <w:r w:rsidRPr="00294C59">
              <w:rPr>
                <w:rFonts w:ascii="Arial" w:hAnsi="Arial" w:cs="Arial"/>
              </w:rPr>
              <w:t>4</w:t>
            </w:r>
          </w:p>
        </w:tc>
        <w:tc>
          <w:tcPr>
            <w:tcW w:w="1772" w:type="dxa"/>
            <w:shd w:val="clear" w:color="auto" w:fill="auto"/>
          </w:tcPr>
          <w:p w:rsidR="00F73413" w:rsidRPr="00294C59" w:rsidRDefault="00F73413" w:rsidP="0095573C">
            <w:pPr>
              <w:jc w:val="center"/>
              <w:rPr>
                <w:rFonts w:ascii="Arial" w:hAnsi="Arial" w:cs="Arial"/>
              </w:rPr>
            </w:pPr>
            <w:r w:rsidRPr="00294C59">
              <w:rPr>
                <w:rFonts w:ascii="Arial" w:hAnsi="Arial" w:cs="Arial"/>
              </w:rPr>
              <w:t>5</w:t>
            </w:r>
          </w:p>
        </w:tc>
      </w:tr>
    </w:tbl>
    <w:p w:rsidR="00F73413" w:rsidRDefault="00F73413" w:rsidP="00F73413">
      <w:pPr>
        <w:jc w:val="both"/>
        <w:rPr>
          <w:rFonts w:ascii="Arial" w:hAnsi="Arial" w:cs="Arial"/>
        </w:rPr>
      </w:pPr>
    </w:p>
    <w:p w:rsidR="00F73413" w:rsidRDefault="00F73413" w:rsidP="00F73413">
      <w:pPr>
        <w:ind w:left="360"/>
        <w:jc w:val="both"/>
        <w:rPr>
          <w:rFonts w:ascii="Arial" w:hAnsi="Arial" w:cs="Arial"/>
        </w:rPr>
      </w:pPr>
      <w:r>
        <w:rPr>
          <w:rFonts w:ascii="Arial" w:hAnsi="Arial" w:cs="Arial"/>
        </w:rPr>
        <w:lastRenderedPageBreak/>
        <w:t>Under the direction</w:t>
      </w:r>
      <w:r w:rsidRPr="002F47B3">
        <w:rPr>
          <w:rFonts w:ascii="Arial" w:hAnsi="Arial" w:cs="Arial"/>
        </w:rPr>
        <w:t xml:space="preserve"> of the </w:t>
      </w:r>
      <w:r>
        <w:rPr>
          <w:rFonts w:ascii="Arial" w:hAnsi="Arial" w:cs="Arial"/>
        </w:rPr>
        <w:t>Director of Corporate Affairs &amp; Company</w:t>
      </w:r>
      <w:r w:rsidRPr="002F47B3">
        <w:rPr>
          <w:rFonts w:ascii="Arial" w:hAnsi="Arial" w:cs="Arial"/>
        </w:rPr>
        <w:t xml:space="preserve"> Secretary, the </w:t>
      </w:r>
      <w:r>
        <w:rPr>
          <w:rFonts w:ascii="Arial" w:hAnsi="Arial" w:cs="Arial"/>
        </w:rPr>
        <w:t>Personal Assistant to the Director of Corporate Affairs &amp; Company</w:t>
      </w:r>
      <w:r w:rsidRPr="002F47B3">
        <w:rPr>
          <w:rFonts w:ascii="Arial" w:hAnsi="Arial" w:cs="Arial"/>
        </w:rPr>
        <w:t xml:space="preserve"> Secretary attended meetings to take a true and accurate record of the proceedings of the Committee.</w:t>
      </w:r>
    </w:p>
    <w:p w:rsidR="00F73413" w:rsidRDefault="00F73413" w:rsidP="00F73413">
      <w:pPr>
        <w:ind w:left="360"/>
        <w:jc w:val="both"/>
        <w:rPr>
          <w:rFonts w:ascii="Arial" w:hAnsi="Arial" w:cs="Arial"/>
        </w:rPr>
      </w:pPr>
    </w:p>
    <w:p w:rsidR="00F73413" w:rsidRPr="006673D7" w:rsidRDefault="00F73413" w:rsidP="00F73413">
      <w:pPr>
        <w:numPr>
          <w:ilvl w:val="0"/>
          <w:numId w:val="13"/>
        </w:numPr>
        <w:jc w:val="both"/>
        <w:rPr>
          <w:rFonts w:ascii="Arial" w:hAnsi="Arial" w:cs="Arial"/>
          <w:b/>
        </w:rPr>
      </w:pPr>
      <w:r w:rsidRPr="006673D7">
        <w:rPr>
          <w:rFonts w:ascii="Arial" w:hAnsi="Arial" w:cs="Arial"/>
          <w:b/>
        </w:rPr>
        <w:t>Business transacted by the Committee</w:t>
      </w:r>
    </w:p>
    <w:p w:rsidR="00F73413" w:rsidRDefault="00F73413" w:rsidP="00F73413">
      <w:pPr>
        <w:ind w:left="284"/>
        <w:jc w:val="both"/>
        <w:rPr>
          <w:rFonts w:ascii="Arial" w:hAnsi="Arial" w:cs="Arial"/>
        </w:rPr>
      </w:pPr>
    </w:p>
    <w:p w:rsidR="00F73413" w:rsidRDefault="00F73413" w:rsidP="00F73413">
      <w:pPr>
        <w:ind w:left="284"/>
        <w:jc w:val="both"/>
        <w:rPr>
          <w:rFonts w:ascii="Arial" w:hAnsi="Arial" w:cs="Arial"/>
        </w:rPr>
      </w:pPr>
      <w:r w:rsidRPr="001177B5">
        <w:rPr>
          <w:rFonts w:ascii="Arial" w:hAnsi="Arial" w:cs="Arial"/>
        </w:rPr>
        <w:t>Set out below is the remit of the Committee together with a report on the business transacted over the April 2016 – March 2017</w:t>
      </w:r>
      <w:r w:rsidRPr="001177B5">
        <w:rPr>
          <w:rFonts w:ascii="Arial" w:hAnsi="Arial" w:cs="Arial"/>
          <w:b/>
          <w:i/>
        </w:rPr>
        <w:t xml:space="preserve"> </w:t>
      </w:r>
      <w:r w:rsidRPr="001177B5">
        <w:rPr>
          <w:rFonts w:ascii="Arial" w:hAnsi="Arial" w:cs="Arial"/>
        </w:rPr>
        <w:t>period.</w:t>
      </w:r>
    </w:p>
    <w:p w:rsidR="00F73413" w:rsidRDefault="00F73413" w:rsidP="00F73413">
      <w:pPr>
        <w:pStyle w:val="ListParagraph"/>
        <w:ind w:left="0"/>
        <w:contextualSpacing/>
        <w:jc w:val="both"/>
        <w:rPr>
          <w:rFonts w:ascii="Arial" w:hAnsi="Arial" w:cs="Arial"/>
        </w:rPr>
      </w:pPr>
    </w:p>
    <w:p w:rsidR="00F73413" w:rsidRPr="00A35590" w:rsidRDefault="00F73413" w:rsidP="00F73413">
      <w:pPr>
        <w:pStyle w:val="ListParagraph"/>
        <w:ind w:left="284"/>
        <w:contextualSpacing/>
        <w:jc w:val="both"/>
        <w:rPr>
          <w:rFonts w:ascii="Arial" w:hAnsi="Arial" w:cs="Arial"/>
          <w:b/>
        </w:rPr>
      </w:pPr>
      <w:r>
        <w:rPr>
          <w:rFonts w:ascii="Arial" w:hAnsi="Arial" w:cs="Arial"/>
          <w:b/>
        </w:rPr>
        <w:t xml:space="preserve">2.1 </w:t>
      </w:r>
      <w:r w:rsidRPr="00A35590">
        <w:rPr>
          <w:rFonts w:ascii="Arial" w:hAnsi="Arial" w:cs="Arial"/>
          <w:b/>
        </w:rPr>
        <w:t xml:space="preserve">The activities and decisions of the Committee will take account of the principle purpose of the charitable funds which is to support patient care. </w:t>
      </w:r>
    </w:p>
    <w:p w:rsidR="00F73413" w:rsidRDefault="00F73413" w:rsidP="00F73413">
      <w:pPr>
        <w:ind w:left="284"/>
        <w:jc w:val="both"/>
        <w:rPr>
          <w:rFonts w:ascii="Arial" w:hAnsi="Arial" w:cs="Arial"/>
        </w:rPr>
      </w:pPr>
    </w:p>
    <w:p w:rsidR="00F73413" w:rsidRPr="00A35590" w:rsidRDefault="00F73413" w:rsidP="00F73413">
      <w:pPr>
        <w:ind w:left="284"/>
        <w:jc w:val="both"/>
        <w:rPr>
          <w:rFonts w:ascii="Arial" w:hAnsi="Arial" w:cs="Arial"/>
        </w:rPr>
      </w:pPr>
      <w:r>
        <w:rPr>
          <w:rFonts w:ascii="Arial" w:hAnsi="Arial" w:cs="Arial"/>
        </w:rPr>
        <w:t xml:space="preserve">In February 2017 the Committee noted staff welfare </w:t>
      </w:r>
      <w:proofErr w:type="gramStart"/>
      <w:r>
        <w:rPr>
          <w:rFonts w:ascii="Arial" w:hAnsi="Arial" w:cs="Arial"/>
        </w:rPr>
        <w:t>spend</w:t>
      </w:r>
      <w:proofErr w:type="gramEnd"/>
      <w:r>
        <w:rPr>
          <w:rFonts w:ascii="Arial" w:hAnsi="Arial" w:cs="Arial"/>
        </w:rPr>
        <w:t xml:space="preserve"> was very low and it was suggested that the Committee agree percentages of spend according to priorities on the four areas charitable spends: patient welfare, staff welfare, research and education. </w:t>
      </w:r>
    </w:p>
    <w:p w:rsidR="00F73413" w:rsidRDefault="00F73413" w:rsidP="00F73413">
      <w:pPr>
        <w:jc w:val="both"/>
        <w:rPr>
          <w:rFonts w:ascii="Arial" w:hAnsi="Arial" w:cs="Arial"/>
        </w:rPr>
      </w:pPr>
    </w:p>
    <w:p w:rsidR="00F73413" w:rsidRPr="000B7D80" w:rsidRDefault="00F73413" w:rsidP="00F73413">
      <w:pPr>
        <w:pStyle w:val="ListParagraph"/>
        <w:ind w:left="284"/>
        <w:contextualSpacing/>
        <w:rPr>
          <w:rFonts w:ascii="Arial" w:hAnsi="Arial" w:cs="Arial"/>
        </w:rPr>
      </w:pPr>
      <w:r>
        <w:rPr>
          <w:rFonts w:ascii="Arial" w:hAnsi="Arial" w:cs="Arial"/>
          <w:b/>
        </w:rPr>
        <w:t xml:space="preserve">2.2 </w:t>
      </w:r>
      <w:r w:rsidRPr="000B7D80">
        <w:rPr>
          <w:rFonts w:ascii="Arial" w:hAnsi="Arial" w:cs="Arial"/>
          <w:b/>
        </w:rPr>
        <w:t xml:space="preserve">Consider and recommend a strategy, and monitor its implementation, for the Charity, including fund-raising activities. </w:t>
      </w:r>
    </w:p>
    <w:p w:rsidR="00F73413" w:rsidRDefault="00F73413" w:rsidP="00F73413">
      <w:pPr>
        <w:ind w:left="284"/>
        <w:jc w:val="both"/>
        <w:rPr>
          <w:rFonts w:ascii="Arial" w:hAnsi="Arial" w:cs="Arial"/>
        </w:rPr>
      </w:pPr>
    </w:p>
    <w:p w:rsidR="00F73413" w:rsidRPr="00F03C5B" w:rsidRDefault="00F73413" w:rsidP="00F73413">
      <w:pPr>
        <w:pStyle w:val="Header"/>
        <w:ind w:left="284"/>
        <w:rPr>
          <w:rFonts w:ascii="Arial" w:hAnsi="Arial" w:cs="Arial"/>
        </w:rPr>
      </w:pPr>
      <w:r>
        <w:rPr>
          <w:rFonts w:ascii="Arial" w:hAnsi="Arial" w:cs="Arial"/>
        </w:rPr>
        <w:t>In July 2016 t</w:t>
      </w:r>
      <w:r w:rsidRPr="00F03C5B">
        <w:rPr>
          <w:rFonts w:ascii="Arial" w:hAnsi="Arial" w:cs="Arial"/>
        </w:rPr>
        <w:t>he</w:t>
      </w:r>
      <w:r w:rsidRPr="00F03C5B">
        <w:rPr>
          <w:rFonts w:ascii="Arial" w:hAnsi="Arial" w:cs="Arial"/>
          <w:sz w:val="16"/>
          <w:szCs w:val="16"/>
        </w:rPr>
        <w:t xml:space="preserve"> </w:t>
      </w:r>
      <w:r>
        <w:rPr>
          <w:rFonts w:ascii="Arial" w:hAnsi="Arial" w:cs="Arial"/>
        </w:rPr>
        <w:t>Director of Corporate Affairs &amp; Company</w:t>
      </w:r>
      <w:r w:rsidRPr="002F47B3">
        <w:rPr>
          <w:rFonts w:ascii="Arial" w:hAnsi="Arial" w:cs="Arial"/>
        </w:rPr>
        <w:t xml:space="preserve"> Secretary</w:t>
      </w:r>
      <w:r w:rsidRPr="00F03C5B">
        <w:rPr>
          <w:rFonts w:ascii="Arial" w:hAnsi="Arial" w:cs="Arial"/>
        </w:rPr>
        <w:t xml:space="preserve"> updated members with regard to the development of the Community Involvement Framework incorporating both fundraising and voluntary services strategies.</w:t>
      </w:r>
    </w:p>
    <w:p w:rsidR="00F73413" w:rsidRPr="00F03C5B" w:rsidRDefault="00F73413" w:rsidP="00F73413">
      <w:pPr>
        <w:pStyle w:val="Header"/>
        <w:ind w:left="284"/>
        <w:rPr>
          <w:rFonts w:ascii="Arial" w:hAnsi="Arial" w:cs="Arial"/>
        </w:rPr>
      </w:pPr>
    </w:p>
    <w:p w:rsidR="00F73413" w:rsidRPr="00F03C5B" w:rsidRDefault="00F73413" w:rsidP="00F73413">
      <w:pPr>
        <w:pStyle w:val="Header"/>
        <w:ind w:left="284"/>
        <w:rPr>
          <w:rFonts w:ascii="Arial" w:hAnsi="Arial" w:cs="Arial"/>
        </w:rPr>
      </w:pPr>
      <w:r>
        <w:rPr>
          <w:rFonts w:ascii="Arial" w:hAnsi="Arial" w:cs="Arial"/>
        </w:rPr>
        <w:t>The Committee noted</w:t>
      </w:r>
      <w:r w:rsidRPr="00F03C5B">
        <w:rPr>
          <w:rFonts w:ascii="Arial" w:hAnsi="Arial" w:cs="Arial"/>
        </w:rPr>
        <w:t xml:space="preserve"> that it was necessary to align the framework with the Patient Experience and Involvement Strategy and to build up a </w:t>
      </w:r>
      <w:r>
        <w:rPr>
          <w:rFonts w:ascii="Arial" w:hAnsi="Arial" w:cs="Arial"/>
        </w:rPr>
        <w:t>data</w:t>
      </w:r>
      <w:r w:rsidRPr="00F03C5B">
        <w:rPr>
          <w:rFonts w:ascii="Arial" w:hAnsi="Arial" w:cs="Arial"/>
        </w:rPr>
        <w:t xml:space="preserve">base of people who want to be involved in supporting Oxford Health NHS FT as well as to improve intelligence with regard to type/level of involvement and engagement. </w:t>
      </w:r>
      <w:r>
        <w:rPr>
          <w:rFonts w:ascii="Arial" w:hAnsi="Arial" w:cs="Arial"/>
        </w:rPr>
        <w:t>T</w:t>
      </w:r>
      <w:r w:rsidRPr="00F03C5B">
        <w:rPr>
          <w:rFonts w:ascii="Arial" w:hAnsi="Arial" w:cs="Arial"/>
        </w:rPr>
        <w:t xml:space="preserve">he strategy would also hopefully attract a level of corporate social responsibility from local businesses and partnering </w:t>
      </w:r>
      <w:proofErr w:type="spellStart"/>
      <w:r w:rsidRPr="00F03C5B">
        <w:rPr>
          <w:rFonts w:ascii="Arial" w:hAnsi="Arial" w:cs="Arial"/>
        </w:rPr>
        <w:t>organisations</w:t>
      </w:r>
      <w:proofErr w:type="spellEnd"/>
      <w:r w:rsidRPr="00F03C5B">
        <w:rPr>
          <w:rFonts w:ascii="Arial" w:hAnsi="Arial" w:cs="Arial"/>
        </w:rPr>
        <w:t>.</w:t>
      </w:r>
    </w:p>
    <w:p w:rsidR="00F73413" w:rsidRPr="00F03C5B"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Pr>
          <w:rFonts w:ascii="Arial" w:hAnsi="Arial" w:cs="Arial"/>
        </w:rPr>
        <w:t xml:space="preserve">A job description for a Community Involvement Manager was supported by the Committee and subsequently approved by the Executive Management Team. It was </w:t>
      </w:r>
      <w:proofErr w:type="spellStart"/>
      <w:r>
        <w:rPr>
          <w:rFonts w:ascii="Arial" w:hAnsi="Arial" w:cs="Arial"/>
        </w:rPr>
        <w:t>recognised</w:t>
      </w:r>
      <w:proofErr w:type="spellEnd"/>
      <w:r>
        <w:rPr>
          <w:rFonts w:ascii="Arial" w:hAnsi="Arial" w:cs="Arial"/>
        </w:rPr>
        <w:t xml:space="preserve"> by the Committee that once the post holder was in place (June 2017) development of the framework would begin.  </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Pr>
          <w:rFonts w:ascii="Arial" w:hAnsi="Arial" w:cs="Arial"/>
        </w:rPr>
        <w:t>The Community Involvement Manager started in July 2017</w:t>
      </w:r>
    </w:p>
    <w:p w:rsidR="00F73413" w:rsidRDefault="00F73413" w:rsidP="00F73413">
      <w:pPr>
        <w:pStyle w:val="Header"/>
        <w:rPr>
          <w:rFonts w:ascii="Arial" w:hAnsi="Arial" w:cs="Arial"/>
        </w:rPr>
      </w:pPr>
    </w:p>
    <w:p w:rsidR="00F73413" w:rsidRPr="00C707EE" w:rsidRDefault="00F73413" w:rsidP="00F73413">
      <w:pPr>
        <w:pStyle w:val="Header"/>
        <w:ind w:left="284"/>
        <w:rPr>
          <w:rFonts w:ascii="Arial" w:hAnsi="Arial" w:cs="Arial"/>
        </w:rPr>
      </w:pPr>
      <w:r>
        <w:rPr>
          <w:rFonts w:ascii="Arial" w:hAnsi="Arial" w:cs="Arial"/>
          <w:b/>
        </w:rPr>
        <w:t xml:space="preserve">2.3 </w:t>
      </w:r>
      <w:r w:rsidRPr="00E45CBC">
        <w:rPr>
          <w:rFonts w:ascii="Arial" w:hAnsi="Arial" w:cs="Arial"/>
          <w:b/>
        </w:rPr>
        <w:t xml:space="preserve">Prepare and communicate a statement of policy for Charity fundraising activities, including their approval, monitoring and administration to ensure that such activities, including disbursements, adhere to statutory and other relevant guidelines. </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Pr>
          <w:rFonts w:ascii="Arial" w:hAnsi="Arial" w:cs="Arial"/>
        </w:rPr>
        <w:lastRenderedPageBreak/>
        <w:t xml:space="preserve">During the reporting period, the Committee did not develop or communicate a specific statement of policy for fundraising activities. </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b/>
        </w:rPr>
      </w:pPr>
      <w:r>
        <w:rPr>
          <w:rFonts w:ascii="Arial" w:hAnsi="Arial" w:cs="Arial"/>
          <w:b/>
        </w:rPr>
        <w:t xml:space="preserve">2.4 </w:t>
      </w:r>
      <w:r w:rsidRPr="00BA2FEA">
        <w:rPr>
          <w:rFonts w:ascii="Arial" w:hAnsi="Arial" w:cs="Arial"/>
          <w:b/>
        </w:rPr>
        <w:t xml:space="preserve">Consider and recommend an investment strategy policy, reflecting the spread of asset allocation, appropriate benchmarks, social responsibility, and risk and return requirements, and monitor its implementation. </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Pr>
          <w:rFonts w:ascii="Arial" w:hAnsi="Arial" w:cs="Arial"/>
        </w:rPr>
        <w:t xml:space="preserve">The Committee received reports from </w:t>
      </w:r>
      <w:proofErr w:type="spellStart"/>
      <w:r>
        <w:rPr>
          <w:rFonts w:ascii="Arial" w:hAnsi="Arial" w:cs="Arial"/>
        </w:rPr>
        <w:t>Cazenove</w:t>
      </w:r>
      <w:proofErr w:type="spellEnd"/>
      <w:r>
        <w:rPr>
          <w:rFonts w:ascii="Arial" w:hAnsi="Arial" w:cs="Arial"/>
        </w:rPr>
        <w:t xml:space="preserve"> on the administration and performance of Charitable Funds’ investments in May, July and November 2016.</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b/>
        </w:rPr>
      </w:pPr>
      <w:r>
        <w:rPr>
          <w:rFonts w:ascii="Arial" w:hAnsi="Arial" w:cs="Arial"/>
          <w:b/>
        </w:rPr>
        <w:t xml:space="preserve">2.5 Supervise the proper investment and administration of the Trust’s Charity. </w:t>
      </w:r>
    </w:p>
    <w:p w:rsidR="00F73413" w:rsidRDefault="00F73413" w:rsidP="00F73413">
      <w:pPr>
        <w:pStyle w:val="Header"/>
        <w:ind w:left="284"/>
        <w:rPr>
          <w:rFonts w:ascii="Arial" w:hAnsi="Arial" w:cs="Arial"/>
          <w:b/>
        </w:rPr>
      </w:pPr>
    </w:p>
    <w:p w:rsidR="00F73413" w:rsidRDefault="00F73413" w:rsidP="00F73413">
      <w:pPr>
        <w:ind w:left="284"/>
        <w:jc w:val="both"/>
        <w:rPr>
          <w:rFonts w:ascii="Arial" w:hAnsi="Arial" w:cs="Arial"/>
        </w:rPr>
      </w:pPr>
      <w:r>
        <w:rPr>
          <w:rFonts w:ascii="Arial" w:hAnsi="Arial" w:cs="Arial"/>
        </w:rPr>
        <w:t>At each meeting, the following reports were received allowing the Committee to supervise the investment and administration of the Charitable Funds:</w:t>
      </w:r>
    </w:p>
    <w:p w:rsidR="00F73413" w:rsidRDefault="00F73413" w:rsidP="00F73413">
      <w:pPr>
        <w:pStyle w:val="ListParagraph"/>
        <w:numPr>
          <w:ilvl w:val="0"/>
          <w:numId w:val="9"/>
        </w:numPr>
        <w:ind w:left="851" w:firstLine="0"/>
        <w:contextualSpacing/>
        <w:jc w:val="both"/>
        <w:rPr>
          <w:rFonts w:ascii="Arial" w:hAnsi="Arial" w:cs="Arial"/>
        </w:rPr>
      </w:pPr>
      <w:r>
        <w:rPr>
          <w:rFonts w:ascii="Arial" w:hAnsi="Arial" w:cs="Arial"/>
        </w:rPr>
        <w:t>Income report</w:t>
      </w:r>
    </w:p>
    <w:p w:rsidR="00F73413" w:rsidRDefault="00F73413" w:rsidP="00F73413">
      <w:pPr>
        <w:pStyle w:val="ListParagraph"/>
        <w:numPr>
          <w:ilvl w:val="0"/>
          <w:numId w:val="8"/>
        </w:numPr>
        <w:ind w:left="851" w:firstLine="0"/>
        <w:contextualSpacing/>
        <w:jc w:val="both"/>
        <w:rPr>
          <w:rFonts w:ascii="Arial" w:hAnsi="Arial" w:cs="Arial"/>
        </w:rPr>
      </w:pPr>
      <w:r>
        <w:rPr>
          <w:rFonts w:ascii="Arial" w:hAnsi="Arial" w:cs="Arial"/>
        </w:rPr>
        <w:t>Payment and Expenditure Report</w:t>
      </w:r>
    </w:p>
    <w:p w:rsidR="00F73413" w:rsidRDefault="00F73413" w:rsidP="00F73413">
      <w:pPr>
        <w:pStyle w:val="ListParagraph"/>
        <w:numPr>
          <w:ilvl w:val="0"/>
          <w:numId w:val="8"/>
        </w:numPr>
        <w:ind w:left="851" w:firstLine="0"/>
        <w:contextualSpacing/>
        <w:jc w:val="both"/>
        <w:rPr>
          <w:rFonts w:ascii="Arial" w:hAnsi="Arial" w:cs="Arial"/>
        </w:rPr>
      </w:pPr>
      <w:r>
        <w:rPr>
          <w:rFonts w:ascii="Arial" w:hAnsi="Arial" w:cs="Arial"/>
        </w:rPr>
        <w:t>Legacies Report</w:t>
      </w:r>
    </w:p>
    <w:p w:rsidR="00F73413" w:rsidRDefault="00F73413" w:rsidP="00F73413">
      <w:pPr>
        <w:pStyle w:val="ListParagraph"/>
        <w:numPr>
          <w:ilvl w:val="0"/>
          <w:numId w:val="8"/>
        </w:numPr>
        <w:ind w:left="851" w:firstLine="0"/>
        <w:contextualSpacing/>
        <w:jc w:val="both"/>
        <w:rPr>
          <w:rFonts w:ascii="Arial" w:hAnsi="Arial" w:cs="Arial"/>
        </w:rPr>
      </w:pPr>
      <w:r>
        <w:rPr>
          <w:rFonts w:ascii="Arial" w:hAnsi="Arial" w:cs="Arial"/>
        </w:rPr>
        <w:t>Management Accounts</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Pr>
          <w:rFonts w:ascii="Arial" w:hAnsi="Arial" w:cs="Arial"/>
        </w:rPr>
        <w:t>In addition, the Committee also received regular reports, at its request, on selected individual funds providing an opportunity to review and ensure funds were being effectively used.</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Pr>
          <w:rFonts w:ascii="Arial" w:hAnsi="Arial" w:cs="Arial"/>
        </w:rPr>
        <w:t xml:space="preserve">An update on fund </w:t>
      </w:r>
      <w:proofErr w:type="spellStart"/>
      <w:r>
        <w:rPr>
          <w:rFonts w:ascii="Arial" w:hAnsi="Arial" w:cs="Arial"/>
        </w:rPr>
        <w:t>rationaliasation</w:t>
      </w:r>
      <w:proofErr w:type="spellEnd"/>
      <w:r>
        <w:rPr>
          <w:rFonts w:ascii="Arial" w:hAnsi="Arial" w:cs="Arial"/>
        </w:rPr>
        <w:t xml:space="preserve"> and slow moving funds was received at each meeting. It was noted that number of funds had reduced significantly from 72 in September 2015 to 52 in November 2016 greatly improving the administration of charitable funds. </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Pr>
          <w:rFonts w:ascii="Arial" w:hAnsi="Arial" w:cs="Arial"/>
        </w:rPr>
        <w:t xml:space="preserve">The reserves and investment policy reviewed and approved in May 2016. </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Pr>
          <w:rFonts w:ascii="Arial" w:hAnsi="Arial" w:cs="Arial"/>
        </w:rPr>
        <w:t xml:space="preserve">In July 2016 the Committee received the Charity Annual Report and Accounts which were recommended to the Board of Directors for approval. </w:t>
      </w:r>
    </w:p>
    <w:p w:rsidR="00F73413" w:rsidRDefault="00F73413" w:rsidP="00F73413">
      <w:pPr>
        <w:pStyle w:val="Header"/>
        <w:ind w:left="284"/>
        <w:rPr>
          <w:rFonts w:ascii="Arial" w:hAnsi="Arial" w:cs="Arial"/>
        </w:rPr>
      </w:pPr>
    </w:p>
    <w:p w:rsidR="00F73413" w:rsidRPr="00C707EE" w:rsidRDefault="00F73413" w:rsidP="00F73413">
      <w:pPr>
        <w:pStyle w:val="Header"/>
        <w:ind w:left="284"/>
        <w:rPr>
          <w:rFonts w:ascii="Arial" w:hAnsi="Arial" w:cs="Arial"/>
        </w:rPr>
      </w:pPr>
      <w:r>
        <w:rPr>
          <w:rFonts w:ascii="Arial" w:hAnsi="Arial" w:cs="Arial"/>
        </w:rPr>
        <w:t xml:space="preserve">In November 2016 the Committee reviewed members of staff on the bank mandate and agreed to add the Director of Corporate Affairs &amp; Company Secretary and the Financial Controller to the mandate. </w:t>
      </w:r>
      <w:proofErr w:type="spellStart"/>
      <w:r>
        <w:rPr>
          <w:rFonts w:ascii="Arial" w:hAnsi="Arial" w:cs="Arial"/>
        </w:rPr>
        <w:t>Authorisation</w:t>
      </w:r>
      <w:proofErr w:type="spellEnd"/>
      <w:r>
        <w:rPr>
          <w:rFonts w:ascii="Arial" w:hAnsi="Arial" w:cs="Arial"/>
        </w:rPr>
        <w:t xml:space="preserve"> limits were also revised to: </w:t>
      </w:r>
    </w:p>
    <w:p w:rsidR="00F73413" w:rsidRPr="00C707EE" w:rsidRDefault="00F73413" w:rsidP="00F73413">
      <w:pPr>
        <w:pStyle w:val="Heading1"/>
        <w:numPr>
          <w:ilvl w:val="0"/>
          <w:numId w:val="12"/>
        </w:numPr>
        <w:overflowPunct/>
        <w:autoSpaceDE/>
        <w:autoSpaceDN/>
        <w:adjustRightInd/>
        <w:ind w:left="851" w:firstLine="0"/>
        <w:textAlignment w:val="auto"/>
        <w:rPr>
          <w:b w:val="0"/>
          <w:sz w:val="24"/>
          <w:szCs w:val="24"/>
        </w:rPr>
      </w:pPr>
      <w:r w:rsidRPr="00C707EE">
        <w:rPr>
          <w:b w:val="0"/>
          <w:sz w:val="24"/>
          <w:szCs w:val="24"/>
        </w:rPr>
        <w:t>1 signature – up to £4,990</w:t>
      </w:r>
    </w:p>
    <w:p w:rsidR="00F73413" w:rsidRPr="00C707EE" w:rsidRDefault="00F73413" w:rsidP="00F73413">
      <w:pPr>
        <w:pStyle w:val="Heading1"/>
        <w:numPr>
          <w:ilvl w:val="0"/>
          <w:numId w:val="12"/>
        </w:numPr>
        <w:overflowPunct/>
        <w:autoSpaceDE/>
        <w:autoSpaceDN/>
        <w:adjustRightInd/>
        <w:ind w:left="851" w:firstLine="0"/>
        <w:textAlignment w:val="auto"/>
        <w:rPr>
          <w:b w:val="0"/>
          <w:sz w:val="24"/>
          <w:szCs w:val="24"/>
        </w:rPr>
      </w:pPr>
      <w:r w:rsidRPr="00C707EE">
        <w:rPr>
          <w:b w:val="0"/>
          <w:sz w:val="24"/>
          <w:szCs w:val="24"/>
        </w:rPr>
        <w:t>2 signatures – £5,000 - £49,999</w:t>
      </w:r>
    </w:p>
    <w:p w:rsidR="00F73413" w:rsidRPr="00C707EE" w:rsidRDefault="00F73413" w:rsidP="00F73413">
      <w:pPr>
        <w:pStyle w:val="Heading1"/>
        <w:numPr>
          <w:ilvl w:val="0"/>
          <w:numId w:val="12"/>
        </w:numPr>
        <w:overflowPunct/>
        <w:autoSpaceDE/>
        <w:autoSpaceDN/>
        <w:adjustRightInd/>
        <w:ind w:left="851" w:firstLine="0"/>
        <w:textAlignment w:val="auto"/>
        <w:rPr>
          <w:b w:val="0"/>
          <w:sz w:val="24"/>
          <w:szCs w:val="24"/>
        </w:rPr>
      </w:pPr>
      <w:r w:rsidRPr="00C707EE">
        <w:rPr>
          <w:b w:val="0"/>
          <w:sz w:val="24"/>
          <w:szCs w:val="24"/>
        </w:rPr>
        <w:t>3 signatures – £50,000 or more</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Pr>
          <w:rFonts w:ascii="Arial" w:hAnsi="Arial" w:cs="Arial"/>
        </w:rPr>
        <w:t xml:space="preserve">The committee agreed to accept </w:t>
      </w:r>
      <w:proofErr w:type="spellStart"/>
      <w:r>
        <w:rPr>
          <w:rFonts w:ascii="Arial" w:hAnsi="Arial" w:cs="Arial"/>
        </w:rPr>
        <w:t>authorisation</w:t>
      </w:r>
      <w:proofErr w:type="spellEnd"/>
      <w:r>
        <w:rPr>
          <w:rFonts w:ascii="Arial" w:hAnsi="Arial" w:cs="Arial"/>
        </w:rPr>
        <w:t xml:space="preserve"> from 2 signatories via email to Charitable Funds for approval of all expenditure items. </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Pr>
          <w:rFonts w:ascii="Arial" w:hAnsi="Arial" w:cs="Arial"/>
        </w:rPr>
        <w:t xml:space="preserve">In November 2016 the Committee reviewed and approved changes to the Expenditure Plan. </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Pr>
          <w:rFonts w:ascii="Arial" w:hAnsi="Arial" w:cs="Arial"/>
        </w:rPr>
        <w:t xml:space="preserve">An external examination timetable was received in November 2016 which set out the proposed timetable for the 2016/17 year end accounts. </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Pr>
          <w:rFonts w:ascii="Arial" w:hAnsi="Arial" w:cs="Arial"/>
        </w:rPr>
        <w:t xml:space="preserve">Expenditure Rules and Income Guidelines were reviewed and approved in February 2017. </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sidRPr="00A35590">
        <w:rPr>
          <w:rFonts w:ascii="Arial" w:hAnsi="Arial" w:cs="Arial"/>
        </w:rPr>
        <w:t xml:space="preserve">The Oxford University Hospitals Charitable Funds Department provided the administration of the Oxford Health Charitable Funds. During the reporting period, the service was put out to tender with the contract being awarded to Kingston Smith in January 2017. The ORH Charitable Funds Contract was extended to July to cover the preparation of the annual accounts and annual report and facilitate a handover.  </w:t>
      </w:r>
    </w:p>
    <w:p w:rsidR="00F73413" w:rsidRDefault="00F73413" w:rsidP="00F73413">
      <w:pPr>
        <w:pStyle w:val="Header"/>
        <w:ind w:left="284"/>
        <w:rPr>
          <w:rFonts w:ascii="Arial" w:hAnsi="Arial" w:cs="Arial"/>
        </w:rPr>
      </w:pPr>
    </w:p>
    <w:p w:rsidR="00F73413" w:rsidRPr="00A35590" w:rsidRDefault="00F73413" w:rsidP="00F73413">
      <w:pPr>
        <w:pStyle w:val="Header"/>
        <w:ind w:left="284"/>
        <w:rPr>
          <w:rFonts w:ascii="Arial" w:hAnsi="Arial" w:cs="Arial"/>
          <w:b/>
        </w:rPr>
      </w:pPr>
      <w:r>
        <w:rPr>
          <w:rFonts w:ascii="Arial" w:hAnsi="Arial" w:cs="Arial"/>
          <w:b/>
        </w:rPr>
        <w:t xml:space="preserve">2.6 </w:t>
      </w:r>
      <w:r w:rsidRPr="00A35590">
        <w:rPr>
          <w:rFonts w:ascii="Arial" w:hAnsi="Arial" w:cs="Arial"/>
          <w:b/>
        </w:rPr>
        <w:t xml:space="preserve">Consider and promote appropriate sources of non-NHS funding for the activities of the Trust, including other charitable and research institutions. </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Pr>
          <w:rFonts w:ascii="Arial" w:hAnsi="Arial" w:cs="Arial"/>
        </w:rPr>
        <w:t xml:space="preserve">In February 2017 an application was received for funding development of the Female Genital Mutilation (FGM) App. Funding of £18,150 was approved and the Committee suggested alternative options for the remaining funding including; </w:t>
      </w:r>
      <w:proofErr w:type="spellStart"/>
      <w:r>
        <w:rPr>
          <w:rFonts w:ascii="Arial" w:hAnsi="Arial" w:cs="Arial"/>
        </w:rPr>
        <w:t>Unicef</w:t>
      </w:r>
      <w:proofErr w:type="spellEnd"/>
      <w:r>
        <w:rPr>
          <w:rFonts w:ascii="Arial" w:hAnsi="Arial" w:cs="Arial"/>
        </w:rPr>
        <w:t xml:space="preserve">, Thames Valley Police and Public Health England. </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Pr>
          <w:rFonts w:ascii="Arial" w:hAnsi="Arial" w:cs="Arial"/>
        </w:rPr>
        <w:t xml:space="preserve">A request for funding of a public health awareness campaign on pressure damage prevention and treatment was received in February 2017. The Committee was supportive of the proposal however it was recommended that funding be sought initially through Oxford County Council as the request related to public health. </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Pr>
          <w:rFonts w:ascii="Arial" w:hAnsi="Arial" w:cs="Arial"/>
        </w:rPr>
        <w:t xml:space="preserve">The Committee received at each meeting all spending across charitable funds where such spending below the Committee approval limits. </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b/>
        </w:rPr>
      </w:pPr>
      <w:r>
        <w:rPr>
          <w:rFonts w:ascii="Arial" w:hAnsi="Arial" w:cs="Arial"/>
          <w:b/>
        </w:rPr>
        <w:t xml:space="preserve">2.7 Monitor the expenditure of funds to ensure it complies with the following approval limits: </w:t>
      </w:r>
    </w:p>
    <w:p w:rsidR="00F73413" w:rsidRPr="00970C95" w:rsidRDefault="00F73413" w:rsidP="00F73413">
      <w:pPr>
        <w:pStyle w:val="ListParagraph"/>
        <w:numPr>
          <w:ilvl w:val="0"/>
          <w:numId w:val="11"/>
        </w:numPr>
        <w:ind w:left="284" w:firstLine="567"/>
        <w:contextualSpacing/>
        <w:rPr>
          <w:rFonts w:ascii="Arial" w:hAnsi="Arial" w:cs="Arial"/>
        </w:rPr>
      </w:pPr>
      <w:r>
        <w:rPr>
          <w:rFonts w:ascii="Arial" w:hAnsi="Arial" w:cs="Arial"/>
          <w:b/>
        </w:rPr>
        <w:t>&lt; £10,000 – Fund Advisor</w:t>
      </w:r>
      <w:r w:rsidRPr="00970C95">
        <w:rPr>
          <w:rFonts w:ascii="Arial" w:hAnsi="Arial" w:cs="Arial"/>
        </w:rPr>
        <w:t>;</w:t>
      </w:r>
    </w:p>
    <w:p w:rsidR="00F73413" w:rsidRPr="00970C95" w:rsidRDefault="00F73413" w:rsidP="00F73413">
      <w:pPr>
        <w:pStyle w:val="ListParagraph"/>
        <w:numPr>
          <w:ilvl w:val="0"/>
          <w:numId w:val="11"/>
        </w:numPr>
        <w:ind w:left="284" w:firstLine="567"/>
        <w:contextualSpacing/>
        <w:rPr>
          <w:rFonts w:ascii="Arial" w:hAnsi="Arial" w:cs="Arial"/>
        </w:rPr>
      </w:pPr>
      <w:r>
        <w:rPr>
          <w:rFonts w:ascii="Arial" w:hAnsi="Arial" w:cs="Arial"/>
          <w:b/>
        </w:rPr>
        <w:t>£10,000 – £100,000 – Oxford Health Charity Committee</w:t>
      </w:r>
      <w:r w:rsidRPr="00970C95">
        <w:rPr>
          <w:rFonts w:ascii="Arial" w:hAnsi="Arial" w:cs="Arial"/>
        </w:rPr>
        <w:t>;</w:t>
      </w:r>
    </w:p>
    <w:p w:rsidR="00F73413" w:rsidRPr="00970C95" w:rsidRDefault="00F73413" w:rsidP="00F73413">
      <w:pPr>
        <w:pStyle w:val="ListParagraph"/>
        <w:numPr>
          <w:ilvl w:val="0"/>
          <w:numId w:val="11"/>
        </w:numPr>
        <w:ind w:left="284" w:firstLine="567"/>
        <w:contextualSpacing/>
        <w:rPr>
          <w:rFonts w:ascii="Arial" w:hAnsi="Arial" w:cs="Arial"/>
        </w:rPr>
      </w:pPr>
      <w:r>
        <w:rPr>
          <w:rFonts w:ascii="Arial" w:hAnsi="Arial" w:cs="Arial"/>
          <w:b/>
        </w:rPr>
        <w:t>&gt; £100,000 – Board of Directors</w:t>
      </w:r>
      <w:r w:rsidRPr="00970C95">
        <w:rPr>
          <w:rFonts w:ascii="Arial" w:hAnsi="Arial" w:cs="Arial"/>
        </w:rPr>
        <w:t xml:space="preserve"> </w:t>
      </w:r>
    </w:p>
    <w:p w:rsidR="00F73413" w:rsidRDefault="00F73413" w:rsidP="00F73413">
      <w:pPr>
        <w:pStyle w:val="Header"/>
        <w:ind w:left="284"/>
        <w:rPr>
          <w:rFonts w:ascii="Arial" w:hAnsi="Arial" w:cs="Arial"/>
          <w:b/>
        </w:rPr>
      </w:pPr>
    </w:p>
    <w:p w:rsidR="00F73413" w:rsidRDefault="00F73413" w:rsidP="00F73413">
      <w:pPr>
        <w:pStyle w:val="Header"/>
        <w:ind w:left="284"/>
        <w:rPr>
          <w:rFonts w:ascii="Arial" w:hAnsi="Arial" w:cs="Arial"/>
        </w:rPr>
      </w:pPr>
      <w:r>
        <w:rPr>
          <w:rFonts w:ascii="Arial" w:hAnsi="Arial" w:cs="Arial"/>
        </w:rPr>
        <w:t>At the meeting, the Payment and Expenditure report was received allowing the Committee to supervise the expenditure of the Charitable Funds.</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Pr>
          <w:rFonts w:ascii="Arial" w:hAnsi="Arial" w:cs="Arial"/>
        </w:rPr>
        <w:t xml:space="preserve">In February 2017 five applications were made to the Committee for expenditure of £10,000 or above. The following applications were approved: </w:t>
      </w:r>
    </w:p>
    <w:p w:rsidR="00F73413" w:rsidRPr="00970C95" w:rsidRDefault="00F73413" w:rsidP="00F73413">
      <w:pPr>
        <w:pStyle w:val="ListParagraph"/>
        <w:numPr>
          <w:ilvl w:val="0"/>
          <w:numId w:val="11"/>
        </w:numPr>
        <w:ind w:left="567" w:firstLine="284"/>
        <w:contextualSpacing/>
        <w:rPr>
          <w:rFonts w:ascii="Arial" w:hAnsi="Arial" w:cs="Arial"/>
        </w:rPr>
      </w:pPr>
      <w:r>
        <w:rPr>
          <w:rFonts w:ascii="Arial" w:hAnsi="Arial" w:cs="Arial"/>
        </w:rPr>
        <w:lastRenderedPageBreak/>
        <w:t>Female Genital Mutilation (FGM) App - £18,150</w:t>
      </w:r>
    </w:p>
    <w:p w:rsidR="00F73413" w:rsidRPr="00970C95" w:rsidRDefault="00F73413" w:rsidP="00F73413">
      <w:pPr>
        <w:pStyle w:val="ListParagraph"/>
        <w:numPr>
          <w:ilvl w:val="0"/>
          <w:numId w:val="11"/>
        </w:numPr>
        <w:ind w:left="567" w:firstLine="284"/>
        <w:contextualSpacing/>
        <w:rPr>
          <w:rFonts w:ascii="Arial" w:hAnsi="Arial" w:cs="Arial"/>
        </w:rPr>
      </w:pPr>
      <w:r>
        <w:rPr>
          <w:rFonts w:ascii="Arial" w:hAnsi="Arial" w:cs="Arial"/>
        </w:rPr>
        <w:t>Resilience Training for the Older People’s Directorate - £20,000.</w:t>
      </w:r>
    </w:p>
    <w:p w:rsidR="00F73413" w:rsidRDefault="00F73413" w:rsidP="00F73413">
      <w:pPr>
        <w:pStyle w:val="Header"/>
        <w:ind w:left="284"/>
        <w:rPr>
          <w:rFonts w:ascii="Arial" w:hAnsi="Arial" w:cs="Arial"/>
        </w:rPr>
      </w:pPr>
    </w:p>
    <w:p w:rsidR="00F73413" w:rsidRDefault="00F73413" w:rsidP="00F73413">
      <w:pPr>
        <w:pStyle w:val="Header"/>
        <w:ind w:left="284"/>
        <w:rPr>
          <w:rFonts w:ascii="Arial" w:hAnsi="Arial" w:cs="Arial"/>
        </w:rPr>
      </w:pPr>
      <w:r>
        <w:rPr>
          <w:rFonts w:ascii="Arial" w:hAnsi="Arial" w:cs="Arial"/>
        </w:rPr>
        <w:t>The following applications were not approved at the meeting and further work was requested by the Committee:</w:t>
      </w:r>
    </w:p>
    <w:p w:rsidR="00F73413" w:rsidRPr="00970C95" w:rsidRDefault="00F73413" w:rsidP="00F73413">
      <w:pPr>
        <w:pStyle w:val="ListParagraph"/>
        <w:numPr>
          <w:ilvl w:val="0"/>
          <w:numId w:val="11"/>
        </w:numPr>
        <w:ind w:left="851" w:firstLine="0"/>
        <w:contextualSpacing/>
        <w:rPr>
          <w:rFonts w:ascii="Arial" w:hAnsi="Arial" w:cs="Arial"/>
        </w:rPr>
      </w:pPr>
      <w:r>
        <w:rPr>
          <w:rFonts w:ascii="Arial" w:hAnsi="Arial" w:cs="Arial"/>
        </w:rPr>
        <w:t>Simulation Training in Community Hospitals – Responding to a deteriorating patient;</w:t>
      </w:r>
    </w:p>
    <w:p w:rsidR="00F73413" w:rsidRPr="00970C95" w:rsidRDefault="00F73413" w:rsidP="00F73413">
      <w:pPr>
        <w:pStyle w:val="ListParagraph"/>
        <w:numPr>
          <w:ilvl w:val="0"/>
          <w:numId w:val="11"/>
        </w:numPr>
        <w:ind w:left="851" w:firstLine="0"/>
        <w:contextualSpacing/>
        <w:rPr>
          <w:rFonts w:ascii="Arial" w:hAnsi="Arial" w:cs="Arial"/>
        </w:rPr>
      </w:pPr>
      <w:r>
        <w:rPr>
          <w:rFonts w:ascii="Arial" w:hAnsi="Arial" w:cs="Arial"/>
        </w:rPr>
        <w:t>Public Health Awareness Campaign on Pressure Damage Prevention and Treatment;</w:t>
      </w:r>
    </w:p>
    <w:p w:rsidR="00F73413" w:rsidRPr="00970C95" w:rsidRDefault="00F73413" w:rsidP="00F73413">
      <w:pPr>
        <w:pStyle w:val="ListParagraph"/>
        <w:numPr>
          <w:ilvl w:val="0"/>
          <w:numId w:val="11"/>
        </w:numPr>
        <w:ind w:left="851" w:firstLine="0"/>
        <w:contextualSpacing/>
        <w:rPr>
          <w:rFonts w:ascii="Arial" w:hAnsi="Arial" w:cs="Arial"/>
        </w:rPr>
      </w:pPr>
      <w:r>
        <w:rPr>
          <w:rFonts w:ascii="Arial" w:hAnsi="Arial" w:cs="Arial"/>
        </w:rPr>
        <w:t>Match Funding Application for RAW Barn</w:t>
      </w:r>
      <w:r w:rsidRPr="00970C95">
        <w:rPr>
          <w:rFonts w:ascii="Arial" w:hAnsi="Arial" w:cs="Arial"/>
        </w:rPr>
        <w:t xml:space="preserve">. </w:t>
      </w:r>
    </w:p>
    <w:p w:rsidR="00F73413" w:rsidRDefault="00F73413" w:rsidP="00F73413">
      <w:pPr>
        <w:pStyle w:val="Header"/>
        <w:ind w:left="284"/>
        <w:rPr>
          <w:rFonts w:ascii="Arial" w:hAnsi="Arial" w:cs="Arial"/>
        </w:rPr>
      </w:pPr>
    </w:p>
    <w:p w:rsidR="00F73413" w:rsidRPr="00F73413" w:rsidRDefault="00F73413" w:rsidP="00F73413">
      <w:pPr>
        <w:pStyle w:val="Heading2"/>
        <w:spacing w:before="0"/>
        <w:ind w:left="284"/>
        <w:rPr>
          <w:rFonts w:ascii="Arial" w:hAnsi="Arial" w:cs="Arial"/>
          <w:color w:val="auto"/>
          <w:sz w:val="24"/>
          <w:szCs w:val="24"/>
        </w:rPr>
      </w:pPr>
      <w:r w:rsidRPr="00F73413">
        <w:rPr>
          <w:rFonts w:ascii="Arial" w:hAnsi="Arial" w:cs="Arial"/>
          <w:color w:val="auto"/>
          <w:sz w:val="24"/>
          <w:szCs w:val="24"/>
        </w:rPr>
        <w:t>2.8 Other business transacted:</w:t>
      </w:r>
    </w:p>
    <w:p w:rsidR="00F73413" w:rsidRDefault="00F73413" w:rsidP="00F73413">
      <w:pPr>
        <w:ind w:left="284"/>
        <w:rPr>
          <w:rFonts w:ascii="Arial" w:hAnsi="Arial" w:cs="Arial"/>
        </w:rPr>
      </w:pPr>
    </w:p>
    <w:p w:rsidR="00F73413" w:rsidRPr="00970C95" w:rsidRDefault="00F73413" w:rsidP="00F73413">
      <w:pPr>
        <w:ind w:left="284"/>
        <w:rPr>
          <w:rFonts w:ascii="Arial" w:hAnsi="Arial" w:cs="Arial"/>
        </w:rPr>
      </w:pPr>
      <w:r w:rsidRPr="00970C95">
        <w:rPr>
          <w:rFonts w:ascii="Arial" w:hAnsi="Arial" w:cs="Arial"/>
        </w:rPr>
        <w:t xml:space="preserve">The following </w:t>
      </w:r>
      <w:r>
        <w:rPr>
          <w:rFonts w:ascii="Arial" w:hAnsi="Arial" w:cs="Arial"/>
        </w:rPr>
        <w:t xml:space="preserve">additional </w:t>
      </w:r>
      <w:r w:rsidRPr="00970C95">
        <w:rPr>
          <w:rFonts w:ascii="Arial" w:hAnsi="Arial" w:cs="Arial"/>
        </w:rPr>
        <w:t xml:space="preserve">reports were received and reviewed: </w:t>
      </w:r>
    </w:p>
    <w:p w:rsidR="00F73413" w:rsidRPr="00970C95" w:rsidRDefault="00F73413" w:rsidP="00F73413">
      <w:pPr>
        <w:pStyle w:val="ListParagraph"/>
        <w:numPr>
          <w:ilvl w:val="0"/>
          <w:numId w:val="11"/>
        </w:numPr>
        <w:ind w:left="851" w:firstLine="0"/>
        <w:contextualSpacing/>
        <w:rPr>
          <w:rFonts w:ascii="Arial" w:hAnsi="Arial" w:cs="Arial"/>
        </w:rPr>
      </w:pPr>
      <w:r w:rsidRPr="00970C95">
        <w:rPr>
          <w:rFonts w:ascii="Arial" w:hAnsi="Arial" w:cs="Arial"/>
        </w:rPr>
        <w:t>Charity Risk Register;</w:t>
      </w:r>
    </w:p>
    <w:p w:rsidR="00F73413" w:rsidRPr="00970C95" w:rsidRDefault="00F73413" w:rsidP="00F73413">
      <w:pPr>
        <w:pStyle w:val="ListParagraph"/>
        <w:numPr>
          <w:ilvl w:val="0"/>
          <w:numId w:val="11"/>
        </w:numPr>
        <w:ind w:left="851" w:firstLine="0"/>
        <w:contextualSpacing/>
        <w:rPr>
          <w:rFonts w:ascii="Arial" w:hAnsi="Arial" w:cs="Arial"/>
        </w:rPr>
      </w:pPr>
      <w:r w:rsidRPr="00970C95">
        <w:rPr>
          <w:rFonts w:ascii="Arial" w:hAnsi="Arial" w:cs="Arial"/>
        </w:rPr>
        <w:t>Charity Legal, Regulatory and Policy Update;</w:t>
      </w:r>
    </w:p>
    <w:p w:rsidR="00F73413" w:rsidRPr="00970C95" w:rsidRDefault="00F73413" w:rsidP="00F73413">
      <w:pPr>
        <w:pStyle w:val="ListParagraph"/>
        <w:numPr>
          <w:ilvl w:val="0"/>
          <w:numId w:val="11"/>
        </w:numPr>
        <w:ind w:left="851" w:firstLine="0"/>
        <w:contextualSpacing/>
        <w:rPr>
          <w:rFonts w:ascii="Arial" w:hAnsi="Arial" w:cs="Arial"/>
        </w:rPr>
      </w:pPr>
      <w:r w:rsidRPr="00970C95">
        <w:rPr>
          <w:rFonts w:ascii="Arial" w:hAnsi="Arial" w:cs="Arial"/>
        </w:rPr>
        <w:t xml:space="preserve">Charity Committee Terms of Reference. </w:t>
      </w:r>
    </w:p>
    <w:p w:rsidR="00F73413" w:rsidRDefault="00F73413" w:rsidP="00F73413">
      <w:pPr>
        <w:pStyle w:val="Heading2"/>
        <w:spacing w:before="0"/>
        <w:ind w:left="284"/>
        <w:rPr>
          <w:i/>
          <w:sz w:val="24"/>
          <w:szCs w:val="24"/>
        </w:rPr>
      </w:pPr>
    </w:p>
    <w:p w:rsidR="00F73413" w:rsidRPr="00F73413" w:rsidRDefault="00F73413" w:rsidP="00F73413">
      <w:pPr>
        <w:pStyle w:val="Heading2"/>
        <w:keepLines w:val="0"/>
        <w:numPr>
          <w:ilvl w:val="0"/>
          <w:numId w:val="13"/>
        </w:numPr>
        <w:spacing w:before="0"/>
        <w:rPr>
          <w:rFonts w:ascii="Arial" w:hAnsi="Arial" w:cs="Arial"/>
          <w:color w:val="auto"/>
          <w:sz w:val="24"/>
          <w:szCs w:val="24"/>
        </w:rPr>
      </w:pPr>
      <w:r w:rsidRPr="00F73413">
        <w:rPr>
          <w:rFonts w:ascii="Arial" w:hAnsi="Arial" w:cs="Arial"/>
          <w:color w:val="auto"/>
          <w:sz w:val="24"/>
          <w:szCs w:val="24"/>
        </w:rPr>
        <w:t>Reporting</w:t>
      </w:r>
    </w:p>
    <w:p w:rsidR="00F73413" w:rsidRPr="00BF1809" w:rsidRDefault="00F73413" w:rsidP="00F73413">
      <w:pPr>
        <w:ind w:left="284"/>
        <w:jc w:val="both"/>
        <w:rPr>
          <w:rFonts w:ascii="Arial" w:hAnsi="Arial" w:cs="Arial"/>
          <w:bCs/>
        </w:rPr>
      </w:pPr>
    </w:p>
    <w:p w:rsidR="00F73413" w:rsidRPr="002F47B3" w:rsidRDefault="00F73413" w:rsidP="00F73413">
      <w:pPr>
        <w:ind w:left="284"/>
        <w:jc w:val="both"/>
      </w:pPr>
      <w:r w:rsidRPr="00BF1809">
        <w:rPr>
          <w:rFonts w:ascii="Arial" w:hAnsi="Arial" w:cs="Arial"/>
          <w:bCs/>
        </w:rPr>
        <w:t>Meetings</w:t>
      </w:r>
      <w:r>
        <w:rPr>
          <w:rFonts w:ascii="Arial" w:hAnsi="Arial" w:cs="Arial"/>
          <w:bCs/>
        </w:rPr>
        <w:t xml:space="preserve"> are formally recorded and </w:t>
      </w:r>
      <w:r w:rsidRPr="00BF1809">
        <w:rPr>
          <w:rFonts w:ascii="Arial" w:hAnsi="Arial" w:cs="Arial"/>
          <w:bCs/>
        </w:rPr>
        <w:t xml:space="preserve">minutes have been circulated to all </w:t>
      </w:r>
      <w:r>
        <w:rPr>
          <w:rFonts w:ascii="Arial" w:hAnsi="Arial" w:cs="Arial"/>
          <w:bCs/>
        </w:rPr>
        <w:t xml:space="preserve">Committee </w:t>
      </w:r>
      <w:r w:rsidRPr="00BF1809">
        <w:rPr>
          <w:rFonts w:ascii="Arial" w:hAnsi="Arial" w:cs="Arial"/>
          <w:bCs/>
        </w:rPr>
        <w:t>members and formally reported to the Board of Directors.</w:t>
      </w:r>
    </w:p>
    <w:p w:rsidR="00F73413" w:rsidRPr="002F47B3" w:rsidRDefault="00F73413" w:rsidP="00F73413">
      <w:pPr>
        <w:rPr>
          <w:rFonts w:ascii="Arial" w:hAnsi="Arial" w:cs="Arial"/>
        </w:rPr>
      </w:pPr>
    </w:p>
    <w:p w:rsidR="00F73413" w:rsidRPr="0073522A" w:rsidRDefault="00F73413" w:rsidP="00F73413">
      <w:pPr>
        <w:ind w:left="720"/>
        <w:jc w:val="both"/>
        <w:rPr>
          <w:rFonts w:ascii="Arial" w:hAnsi="Arial" w:cs="Arial"/>
          <w:sz w:val="20"/>
          <w:szCs w:val="20"/>
        </w:rPr>
      </w:pPr>
    </w:p>
    <w:p w:rsidR="00F73413" w:rsidRPr="0036032A" w:rsidRDefault="00F73413" w:rsidP="00F73413">
      <w:pPr>
        <w:rPr>
          <w:rFonts w:ascii="Segoe UI" w:hAnsi="Segoe UI" w:cs="Segoe UI"/>
        </w:rPr>
      </w:pPr>
    </w:p>
    <w:p w:rsidR="00F73413" w:rsidRPr="00F73413" w:rsidRDefault="00F73413" w:rsidP="00F73413">
      <w:pPr>
        <w:jc w:val="both"/>
        <w:rPr>
          <w:rFonts w:ascii="Arial" w:hAnsi="Arial" w:cs="Arial"/>
          <w:i/>
          <w:sz w:val="20"/>
          <w:szCs w:val="20"/>
        </w:rPr>
      </w:pPr>
    </w:p>
    <w:sectPr w:rsidR="00F73413" w:rsidRPr="00F73413" w:rsidSect="00262F0F">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rsidR="00262F0F" w:rsidRDefault="00262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1E3"/>
    <w:multiLevelType w:val="hybridMultilevel"/>
    <w:tmpl w:val="DB9CAB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nsid w:val="125A4A36"/>
    <w:multiLevelType w:val="hybridMultilevel"/>
    <w:tmpl w:val="79F0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EB1557"/>
    <w:multiLevelType w:val="hybridMultilevel"/>
    <w:tmpl w:val="A3DE0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9E06AD0"/>
    <w:multiLevelType w:val="hybridMultilevel"/>
    <w:tmpl w:val="D3D8AF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4A974DF5"/>
    <w:multiLevelType w:val="hybridMultilevel"/>
    <w:tmpl w:val="F26494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FA93DD5"/>
    <w:multiLevelType w:val="hybridMultilevel"/>
    <w:tmpl w:val="DBD8B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6B6F03"/>
    <w:multiLevelType w:val="hybridMultilevel"/>
    <w:tmpl w:val="0B062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9"/>
  </w:num>
  <w:num w:numId="4">
    <w:abstractNumId w:val="2"/>
  </w:num>
  <w:num w:numId="5">
    <w:abstractNumId w:val="10"/>
  </w:num>
  <w:num w:numId="6">
    <w:abstractNumId w:val="4"/>
  </w:num>
  <w:num w:numId="7">
    <w:abstractNumId w:val="12"/>
  </w:num>
  <w:num w:numId="8">
    <w:abstractNumId w:val="0"/>
  </w:num>
  <w:num w:numId="9">
    <w:abstractNumId w:val="6"/>
  </w:num>
  <w:num w:numId="10">
    <w:abstractNumId w:val="8"/>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30247"/>
    <w:rsid w:val="00071842"/>
    <w:rsid w:val="000A3A29"/>
    <w:rsid w:val="000A5A07"/>
    <w:rsid w:val="000E317C"/>
    <w:rsid w:val="001D02F4"/>
    <w:rsid w:val="001F76ED"/>
    <w:rsid w:val="002250DE"/>
    <w:rsid w:val="00227FCE"/>
    <w:rsid w:val="00241A66"/>
    <w:rsid w:val="002619EF"/>
    <w:rsid w:val="00262F0F"/>
    <w:rsid w:val="002821F8"/>
    <w:rsid w:val="00292613"/>
    <w:rsid w:val="002A73E8"/>
    <w:rsid w:val="002C2F97"/>
    <w:rsid w:val="002E6FC6"/>
    <w:rsid w:val="00306AF0"/>
    <w:rsid w:val="003927AC"/>
    <w:rsid w:val="003971F6"/>
    <w:rsid w:val="003F2AF4"/>
    <w:rsid w:val="003F7366"/>
    <w:rsid w:val="004326BB"/>
    <w:rsid w:val="00456DDE"/>
    <w:rsid w:val="004742D0"/>
    <w:rsid w:val="004C18A8"/>
    <w:rsid w:val="004F4BBA"/>
    <w:rsid w:val="005233AA"/>
    <w:rsid w:val="00551B0F"/>
    <w:rsid w:val="005659FB"/>
    <w:rsid w:val="005B3E3C"/>
    <w:rsid w:val="005C3FC1"/>
    <w:rsid w:val="005D3499"/>
    <w:rsid w:val="005E2583"/>
    <w:rsid w:val="0061684E"/>
    <w:rsid w:val="006E3C3E"/>
    <w:rsid w:val="006F2F62"/>
    <w:rsid w:val="0073522A"/>
    <w:rsid w:val="007769CD"/>
    <w:rsid w:val="0078032B"/>
    <w:rsid w:val="00781566"/>
    <w:rsid w:val="007976E7"/>
    <w:rsid w:val="007A2CF0"/>
    <w:rsid w:val="007B02FB"/>
    <w:rsid w:val="007B6D77"/>
    <w:rsid w:val="00802701"/>
    <w:rsid w:val="008038A2"/>
    <w:rsid w:val="00811871"/>
    <w:rsid w:val="00811FE8"/>
    <w:rsid w:val="0084720C"/>
    <w:rsid w:val="0086436B"/>
    <w:rsid w:val="00894B97"/>
    <w:rsid w:val="00946E6E"/>
    <w:rsid w:val="009869DE"/>
    <w:rsid w:val="00A674FB"/>
    <w:rsid w:val="00A85311"/>
    <w:rsid w:val="00A86977"/>
    <w:rsid w:val="00AA0C3F"/>
    <w:rsid w:val="00AC3814"/>
    <w:rsid w:val="00AF0562"/>
    <w:rsid w:val="00B10FB2"/>
    <w:rsid w:val="00B26E1A"/>
    <w:rsid w:val="00B26F2C"/>
    <w:rsid w:val="00B50D5E"/>
    <w:rsid w:val="00BA3B3E"/>
    <w:rsid w:val="00BC152C"/>
    <w:rsid w:val="00BF3538"/>
    <w:rsid w:val="00BF5367"/>
    <w:rsid w:val="00C07817"/>
    <w:rsid w:val="00C11AA2"/>
    <w:rsid w:val="00C67635"/>
    <w:rsid w:val="00C71005"/>
    <w:rsid w:val="00D07064"/>
    <w:rsid w:val="00D101CB"/>
    <w:rsid w:val="00D279FC"/>
    <w:rsid w:val="00D55ADD"/>
    <w:rsid w:val="00D8544F"/>
    <w:rsid w:val="00D870AD"/>
    <w:rsid w:val="00DA0FA6"/>
    <w:rsid w:val="00DB0979"/>
    <w:rsid w:val="00DB161E"/>
    <w:rsid w:val="00DD33DF"/>
    <w:rsid w:val="00DE1293"/>
    <w:rsid w:val="00DF10CC"/>
    <w:rsid w:val="00E827C5"/>
    <w:rsid w:val="00F24EB2"/>
    <w:rsid w:val="00F50A07"/>
    <w:rsid w:val="00F57119"/>
    <w:rsid w:val="00F73413"/>
    <w:rsid w:val="00F77C13"/>
    <w:rsid w:val="00F945DB"/>
    <w:rsid w:val="00FA3993"/>
    <w:rsid w:val="00FA5118"/>
    <w:rsid w:val="00FD2279"/>
    <w:rsid w:val="00FE113A"/>
    <w:rsid w:val="00FF1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F734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customStyle="1" w:styleId="Heading2Char">
    <w:name w:val="Heading 2 Char"/>
    <w:basedOn w:val="DefaultParagraphFont"/>
    <w:link w:val="Heading2"/>
    <w:semiHidden/>
    <w:rsid w:val="00F73413"/>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F734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customStyle="1" w:styleId="Heading2Char">
    <w:name w:val="Heading 2 Char"/>
    <w:basedOn w:val="DefaultParagraphFont"/>
    <w:link w:val="Heading2"/>
    <w:semiHidden/>
    <w:rsid w:val="00F73413"/>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CA03-BE89-4867-A9D2-B9C81626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7</cp:revision>
  <cp:lastPrinted>2014-03-17T14:55:00Z</cp:lastPrinted>
  <dcterms:created xsi:type="dcterms:W3CDTF">2017-07-19T09:46:00Z</dcterms:created>
  <dcterms:modified xsi:type="dcterms:W3CDTF">2017-07-19T11:57:00Z</dcterms:modified>
</cp:coreProperties>
</file>