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39E" w:rsidRDefault="0064639E" w:rsidP="009C1BE7">
      <w:pPr>
        <w:jc w:val="center"/>
        <w:rPr>
          <w:rFonts w:ascii="Segoe UI" w:hAnsi="Segoe UI" w:cs="Segoe UI"/>
          <w:u w:val="single"/>
        </w:rPr>
      </w:pPr>
    </w:p>
    <w:p w:rsidR="0064639E" w:rsidRDefault="006A48DD" w:rsidP="0064639E">
      <w:pPr>
        <w:jc w:val="center"/>
        <w:rPr>
          <w:rFonts w:ascii="Segoe UI" w:hAnsi="Segoe UI" w:cs="Segoe UI"/>
          <w:u w:val="single"/>
        </w:rPr>
      </w:pPr>
      <w:r w:rsidRPr="009C1BE7">
        <w:rPr>
          <w:rFonts w:ascii="Segoe UI" w:hAnsi="Segoe UI" w:cs="Segoe UI"/>
          <w:u w:val="single"/>
        </w:rPr>
        <w:t>CYP Directorate</w:t>
      </w:r>
      <w:r w:rsidR="009C1BE7" w:rsidRPr="009C1BE7">
        <w:rPr>
          <w:rFonts w:ascii="Segoe UI" w:hAnsi="Segoe UI" w:cs="Segoe UI"/>
          <w:u w:val="single"/>
        </w:rPr>
        <w:t>-COO Supporting Information</w:t>
      </w:r>
      <w:r w:rsidR="009C1BE7">
        <w:rPr>
          <w:rFonts w:ascii="Segoe UI" w:hAnsi="Segoe UI" w:cs="Segoe UI"/>
          <w:u w:val="single"/>
        </w:rPr>
        <w:t xml:space="preserve">-Month </w:t>
      </w:r>
      <w:r w:rsidR="006C03FF">
        <w:rPr>
          <w:rFonts w:ascii="Segoe UI" w:hAnsi="Segoe UI" w:cs="Segoe UI"/>
          <w:u w:val="single"/>
        </w:rPr>
        <w:t>10</w:t>
      </w:r>
    </w:p>
    <w:tbl>
      <w:tblPr>
        <w:tblStyle w:val="TableGrid"/>
        <w:tblW w:w="0" w:type="auto"/>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3969"/>
      </w:tblGrid>
      <w:tr w:rsidR="0064639E" w:rsidTr="0064639E">
        <w:tc>
          <w:tcPr>
            <w:tcW w:w="426" w:type="dxa"/>
            <w:shd w:val="clear" w:color="auto" w:fill="FF0000"/>
          </w:tcPr>
          <w:p w:rsidR="0064639E" w:rsidRPr="0096419E" w:rsidRDefault="0064639E" w:rsidP="007C4697">
            <w:pPr>
              <w:rPr>
                <w:rFonts w:ascii="Segoe UI" w:hAnsi="Segoe UI" w:cs="Segoe UI"/>
                <w:b/>
              </w:rPr>
            </w:pPr>
            <w:r>
              <w:rPr>
                <w:rFonts w:ascii="Segoe UI" w:hAnsi="Segoe UI" w:cs="Segoe UI"/>
                <w:b/>
              </w:rPr>
              <w:t>R</w:t>
            </w:r>
          </w:p>
        </w:tc>
        <w:tc>
          <w:tcPr>
            <w:tcW w:w="3969" w:type="dxa"/>
            <w:shd w:val="clear" w:color="auto" w:fill="auto"/>
          </w:tcPr>
          <w:p w:rsidR="0064639E" w:rsidRPr="0064639E" w:rsidRDefault="0064639E" w:rsidP="007C4697">
            <w:pPr>
              <w:rPr>
                <w:rFonts w:ascii="Segoe UI" w:hAnsi="Segoe UI" w:cs="Segoe UI"/>
              </w:rPr>
            </w:pPr>
            <w:r>
              <w:rPr>
                <w:rFonts w:ascii="Segoe UI" w:hAnsi="Segoe UI" w:cs="Segoe UI"/>
              </w:rPr>
              <w:t>Areas requiring improvement</w:t>
            </w:r>
          </w:p>
        </w:tc>
      </w:tr>
    </w:tbl>
    <w:p w:rsidR="009B1CB4" w:rsidRDefault="009B1CB4" w:rsidP="009B1CB4"/>
    <w:tbl>
      <w:tblPr>
        <w:tblStyle w:val="TableGrid51"/>
        <w:tblW w:w="15168" w:type="dxa"/>
        <w:tblInd w:w="-318" w:type="dxa"/>
        <w:tblLayout w:type="fixed"/>
        <w:tblLook w:val="04A0" w:firstRow="1" w:lastRow="0" w:firstColumn="1" w:lastColumn="0" w:noHBand="0" w:noVBand="1"/>
      </w:tblPr>
      <w:tblGrid>
        <w:gridCol w:w="1277"/>
        <w:gridCol w:w="709"/>
        <w:gridCol w:w="1701"/>
        <w:gridCol w:w="850"/>
        <w:gridCol w:w="851"/>
        <w:gridCol w:w="3118"/>
        <w:gridCol w:w="1985"/>
        <w:gridCol w:w="4677"/>
      </w:tblGrid>
      <w:tr w:rsidR="0064639E" w:rsidRPr="009F5F92" w:rsidTr="0064639E">
        <w:trPr>
          <w:trHeight w:val="357"/>
        </w:trPr>
        <w:tc>
          <w:tcPr>
            <w:tcW w:w="1277" w:type="dxa"/>
            <w:shd w:val="clear" w:color="auto" w:fill="0070C0"/>
            <w:vAlign w:val="center"/>
          </w:tcPr>
          <w:p w:rsidR="0064639E" w:rsidRPr="0064639E" w:rsidRDefault="0064639E" w:rsidP="0064639E">
            <w:pPr>
              <w:spacing w:before="40" w:after="40"/>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Service</w:t>
            </w:r>
          </w:p>
        </w:tc>
        <w:tc>
          <w:tcPr>
            <w:tcW w:w="709" w:type="dxa"/>
            <w:shd w:val="clear" w:color="auto" w:fill="0070C0"/>
            <w:vAlign w:val="center"/>
          </w:tcPr>
          <w:p w:rsidR="0064639E" w:rsidRPr="0064639E" w:rsidRDefault="0064639E" w:rsidP="0064639E">
            <w:pPr>
              <w:ind w:right="-16"/>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Ref</w:t>
            </w:r>
          </w:p>
        </w:tc>
        <w:tc>
          <w:tcPr>
            <w:tcW w:w="1701" w:type="dxa"/>
            <w:shd w:val="clear" w:color="auto" w:fill="0070C0"/>
            <w:vAlign w:val="center"/>
          </w:tcPr>
          <w:p w:rsidR="0064639E" w:rsidRPr="0064639E" w:rsidRDefault="0064639E" w:rsidP="0064639E">
            <w:pPr>
              <w:ind w:right="-16"/>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Measure</w:t>
            </w:r>
          </w:p>
        </w:tc>
        <w:tc>
          <w:tcPr>
            <w:tcW w:w="850" w:type="dxa"/>
            <w:shd w:val="clear" w:color="auto" w:fill="0070C0"/>
            <w:vAlign w:val="center"/>
          </w:tcPr>
          <w:p w:rsidR="0064639E" w:rsidRPr="0064639E" w:rsidRDefault="0064639E" w:rsidP="0064639E">
            <w:pPr>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Target</w:t>
            </w:r>
          </w:p>
        </w:tc>
        <w:tc>
          <w:tcPr>
            <w:tcW w:w="851" w:type="dxa"/>
            <w:shd w:val="clear" w:color="auto" w:fill="0070C0"/>
            <w:vAlign w:val="center"/>
          </w:tcPr>
          <w:p w:rsidR="0064639E" w:rsidRPr="0064639E" w:rsidRDefault="0064639E" w:rsidP="0064639E">
            <w:pPr>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Actual</w:t>
            </w:r>
          </w:p>
        </w:tc>
        <w:tc>
          <w:tcPr>
            <w:tcW w:w="3118" w:type="dxa"/>
            <w:shd w:val="clear" w:color="auto" w:fill="0070C0"/>
            <w:vAlign w:val="center"/>
          </w:tcPr>
          <w:p w:rsidR="0064639E" w:rsidRPr="0064639E" w:rsidRDefault="0064639E" w:rsidP="0064639E">
            <w:pPr>
              <w:ind w:left="-108" w:right="-108"/>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Trend</w:t>
            </w:r>
          </w:p>
        </w:tc>
        <w:tc>
          <w:tcPr>
            <w:tcW w:w="1985" w:type="dxa"/>
            <w:shd w:val="clear" w:color="auto" w:fill="0070C0"/>
            <w:vAlign w:val="center"/>
          </w:tcPr>
          <w:p w:rsidR="0064639E" w:rsidRPr="0064639E" w:rsidRDefault="0064639E" w:rsidP="0064639E">
            <w:pPr>
              <w:ind w:right="176"/>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Impact</w:t>
            </w:r>
          </w:p>
        </w:tc>
        <w:tc>
          <w:tcPr>
            <w:tcW w:w="4677" w:type="dxa"/>
            <w:shd w:val="clear" w:color="auto" w:fill="0070C0"/>
            <w:vAlign w:val="center"/>
          </w:tcPr>
          <w:p w:rsidR="0064639E" w:rsidRPr="0064639E" w:rsidRDefault="0064639E" w:rsidP="0064639E">
            <w:pPr>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Action and resolution timescale</w:t>
            </w:r>
          </w:p>
        </w:tc>
      </w:tr>
      <w:tr w:rsidR="00E27F88" w:rsidRPr="009F5F92" w:rsidTr="00E27F88">
        <w:trPr>
          <w:trHeight w:val="2031"/>
        </w:trPr>
        <w:tc>
          <w:tcPr>
            <w:tcW w:w="1277"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LQR OCCG</w:t>
            </w:r>
          </w:p>
        </w:tc>
        <w:tc>
          <w:tcPr>
            <w:tcW w:w="709"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C2c</w:t>
            </w:r>
          </w:p>
        </w:tc>
        <w:tc>
          <w:tcPr>
            <w:tcW w:w="1701"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Prevent</w:t>
            </w:r>
          </w:p>
        </w:tc>
        <w:tc>
          <w:tcPr>
            <w:tcW w:w="850" w:type="dxa"/>
            <w:vAlign w:val="center"/>
          </w:tcPr>
          <w:p w:rsidR="009F5F92" w:rsidRPr="009F5F92" w:rsidRDefault="009F5F92" w:rsidP="009F5F92">
            <w:pPr>
              <w:jc w:val="center"/>
              <w:rPr>
                <w:rFonts w:ascii="Segoe UI" w:hAnsi="Segoe UI" w:cs="Segoe UI"/>
                <w:sz w:val="20"/>
                <w:szCs w:val="22"/>
              </w:rPr>
            </w:pPr>
            <w:r w:rsidRPr="009F5F92">
              <w:rPr>
                <w:rFonts w:ascii="Segoe UI" w:hAnsi="Segoe UI" w:cs="Segoe UI"/>
                <w:sz w:val="20"/>
                <w:szCs w:val="22"/>
              </w:rPr>
              <w:t>90%</w:t>
            </w:r>
          </w:p>
        </w:tc>
        <w:tc>
          <w:tcPr>
            <w:tcW w:w="851" w:type="dxa"/>
            <w:shd w:val="clear" w:color="auto" w:fill="FF0000"/>
            <w:vAlign w:val="center"/>
          </w:tcPr>
          <w:p w:rsidR="009F5F92" w:rsidRPr="009F5F92" w:rsidRDefault="009F5F92" w:rsidP="009F5F92">
            <w:pPr>
              <w:jc w:val="center"/>
              <w:rPr>
                <w:rFonts w:ascii="Segoe UI" w:hAnsi="Segoe UI" w:cs="Segoe UI"/>
                <w:sz w:val="20"/>
                <w:szCs w:val="22"/>
              </w:rPr>
            </w:pPr>
            <w:r w:rsidRPr="009F5F92">
              <w:rPr>
                <w:rFonts w:ascii="Segoe UI" w:hAnsi="Segoe UI" w:cs="Segoe UI"/>
                <w:sz w:val="20"/>
                <w:szCs w:val="22"/>
              </w:rPr>
              <w:t>70%</w:t>
            </w:r>
          </w:p>
        </w:tc>
        <w:tc>
          <w:tcPr>
            <w:tcW w:w="3118" w:type="dxa"/>
            <w:shd w:val="clear" w:color="auto" w:fill="FFFFFF" w:themeFill="background1"/>
            <w:vAlign w:val="center"/>
          </w:tcPr>
          <w:p w:rsidR="009F5F92" w:rsidRPr="009F5F92" w:rsidRDefault="009F5F92" w:rsidP="009F5F92">
            <w:pPr>
              <w:ind w:left="-108" w:right="-108"/>
              <w:jc w:val="center"/>
              <w:rPr>
                <w:noProof/>
              </w:rPr>
            </w:pPr>
            <w:r w:rsidRPr="009F5F92">
              <w:rPr>
                <w:noProof/>
              </w:rPr>
              <w:drawing>
                <wp:inline distT="0" distB="0" distL="0" distR="0" wp14:anchorId="4DE0EDB7" wp14:editId="490C5906">
                  <wp:extent cx="1988289" cy="14885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4632" cy="1493307"/>
                          </a:xfrm>
                          <a:prstGeom prst="rect">
                            <a:avLst/>
                          </a:prstGeom>
                          <a:noFill/>
                          <a:ln>
                            <a:noFill/>
                          </a:ln>
                        </pic:spPr>
                      </pic:pic>
                    </a:graphicData>
                  </a:graphic>
                </wp:inline>
              </w:drawing>
            </w:r>
          </w:p>
        </w:tc>
        <w:tc>
          <w:tcPr>
            <w:tcW w:w="1985" w:type="dxa"/>
            <w:shd w:val="clear" w:color="auto" w:fill="FFFFFF" w:themeFill="background1"/>
          </w:tcPr>
          <w:p w:rsidR="009F5F92" w:rsidRPr="009F5F92" w:rsidRDefault="009F5F92" w:rsidP="009F5F92">
            <w:pPr>
              <w:ind w:right="176"/>
              <w:rPr>
                <w:rFonts w:ascii="Segoe UI" w:hAnsi="Segoe UI" w:cs="Segoe UI"/>
                <w:noProof/>
                <w:sz w:val="8"/>
              </w:rPr>
            </w:pPr>
            <w:r w:rsidRPr="009F5F92">
              <w:rPr>
                <w:rFonts w:ascii="Segoe UI" w:hAnsi="Segoe UI" w:cs="Segoe UI"/>
                <w:sz w:val="20"/>
                <w:szCs w:val="22"/>
              </w:rPr>
              <w:t>Possible failure to adequately protect against radicalisation</w:t>
            </w:r>
          </w:p>
        </w:tc>
        <w:tc>
          <w:tcPr>
            <w:tcW w:w="4677" w:type="dxa"/>
            <w:shd w:val="clear" w:color="auto" w:fill="FFFFFF" w:themeFill="background1"/>
          </w:tcPr>
          <w:p w:rsidR="009F5F92" w:rsidRPr="009F5F92" w:rsidRDefault="009F5F92" w:rsidP="009F5F92">
            <w:pPr>
              <w:rPr>
                <w:rFonts w:ascii="Segoe UI" w:hAnsi="Segoe UI" w:cs="Segoe UI"/>
                <w:sz w:val="20"/>
                <w:szCs w:val="22"/>
              </w:rPr>
            </w:pPr>
            <w:r w:rsidRPr="009F5F92">
              <w:rPr>
                <w:rFonts w:ascii="Segoe UI" w:hAnsi="Segoe UI" w:cs="Segoe UI"/>
                <w:sz w:val="20"/>
                <w:szCs w:val="22"/>
              </w:rPr>
              <w:t xml:space="preserve">Prevent is one of 4 courses that forms KPI C2 which has an overall target of 90%.  </w:t>
            </w:r>
          </w:p>
          <w:p w:rsidR="009F5F92" w:rsidRPr="009F5F92" w:rsidRDefault="009F5F92" w:rsidP="009F5F92">
            <w:pPr>
              <w:rPr>
                <w:rFonts w:ascii="Segoe UI" w:hAnsi="Segoe UI" w:cs="Segoe UI"/>
                <w:sz w:val="20"/>
                <w:szCs w:val="22"/>
              </w:rPr>
            </w:pPr>
          </w:p>
          <w:p w:rsidR="009F5F92" w:rsidRPr="009F5F92" w:rsidRDefault="009F5F92" w:rsidP="009F5F92">
            <w:pPr>
              <w:rPr>
                <w:rFonts w:ascii="Segoe UI" w:hAnsi="Segoe UI" w:cs="Segoe UI"/>
                <w:sz w:val="20"/>
                <w:szCs w:val="22"/>
              </w:rPr>
            </w:pPr>
            <w:r w:rsidRPr="009F5F92">
              <w:rPr>
                <w:rFonts w:ascii="Segoe UI" w:hAnsi="Segoe UI" w:cs="Segoe UI"/>
                <w:sz w:val="20"/>
                <w:szCs w:val="22"/>
              </w:rPr>
              <w:t>124/176 staff are compliant. CYP is targeting non-compliant individuals and supporting staff with time to complete training, Limited training courses are currently available for existing staff-CYP have used an internal prevent trainer to deliver some courses.</w:t>
            </w:r>
          </w:p>
        </w:tc>
      </w:tr>
      <w:tr w:rsidR="00E27F88" w:rsidRPr="009F5F92" w:rsidTr="00E27F88">
        <w:trPr>
          <w:trHeight w:val="1851"/>
        </w:trPr>
        <w:tc>
          <w:tcPr>
            <w:tcW w:w="1277" w:type="dxa"/>
          </w:tcPr>
          <w:p w:rsidR="009F5F92" w:rsidRPr="009F5F92" w:rsidRDefault="009F5F92" w:rsidP="009F5F92">
            <w:pPr>
              <w:ind w:right="-16"/>
              <w:rPr>
                <w:rFonts w:ascii="Segoe UI" w:hAnsi="Segoe UI" w:cs="Segoe UI"/>
                <w:sz w:val="20"/>
                <w:szCs w:val="22"/>
              </w:rPr>
            </w:pPr>
            <w:r>
              <w:rPr>
                <w:rFonts w:ascii="Segoe UI" w:hAnsi="Segoe UI" w:cs="Segoe UI"/>
                <w:sz w:val="20"/>
                <w:szCs w:val="22"/>
              </w:rPr>
              <w:t>LQ</w:t>
            </w:r>
            <w:r w:rsidRPr="009F5F92">
              <w:rPr>
                <w:rFonts w:ascii="Segoe UI" w:hAnsi="Segoe UI" w:cs="Segoe UI"/>
                <w:sz w:val="20"/>
                <w:szCs w:val="22"/>
              </w:rPr>
              <w:t>R OCCG</w:t>
            </w:r>
          </w:p>
        </w:tc>
        <w:tc>
          <w:tcPr>
            <w:tcW w:w="709"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C2b</w:t>
            </w:r>
          </w:p>
        </w:tc>
        <w:tc>
          <w:tcPr>
            <w:tcW w:w="1701"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 xml:space="preserve">Mental Capacity </w:t>
            </w:r>
          </w:p>
        </w:tc>
        <w:tc>
          <w:tcPr>
            <w:tcW w:w="850" w:type="dxa"/>
            <w:vAlign w:val="center"/>
          </w:tcPr>
          <w:p w:rsidR="009F5F92" w:rsidRPr="009F5F92" w:rsidRDefault="009F5F92" w:rsidP="009F5F92">
            <w:pPr>
              <w:jc w:val="center"/>
              <w:rPr>
                <w:rFonts w:ascii="Segoe UI" w:hAnsi="Segoe UI" w:cs="Segoe UI"/>
                <w:sz w:val="20"/>
                <w:szCs w:val="22"/>
              </w:rPr>
            </w:pPr>
            <w:r w:rsidRPr="009F5F92">
              <w:rPr>
                <w:rFonts w:ascii="Segoe UI" w:hAnsi="Segoe UI" w:cs="Segoe UI"/>
                <w:sz w:val="20"/>
                <w:szCs w:val="22"/>
              </w:rPr>
              <w:t>90%</w:t>
            </w:r>
          </w:p>
        </w:tc>
        <w:tc>
          <w:tcPr>
            <w:tcW w:w="851" w:type="dxa"/>
            <w:shd w:val="clear" w:color="auto" w:fill="FF0000"/>
            <w:vAlign w:val="center"/>
          </w:tcPr>
          <w:p w:rsidR="009F5F92" w:rsidRPr="009F5F92" w:rsidRDefault="009F5F92" w:rsidP="009F5F92">
            <w:pPr>
              <w:jc w:val="center"/>
              <w:rPr>
                <w:rFonts w:ascii="Segoe UI" w:hAnsi="Segoe UI" w:cs="Segoe UI"/>
                <w:sz w:val="20"/>
                <w:szCs w:val="22"/>
              </w:rPr>
            </w:pPr>
            <w:r w:rsidRPr="009F5F92">
              <w:rPr>
                <w:rFonts w:ascii="Segoe UI" w:hAnsi="Segoe UI" w:cs="Segoe UI"/>
                <w:sz w:val="20"/>
                <w:szCs w:val="22"/>
              </w:rPr>
              <w:t>76%</w:t>
            </w:r>
          </w:p>
        </w:tc>
        <w:tc>
          <w:tcPr>
            <w:tcW w:w="3118" w:type="dxa"/>
            <w:shd w:val="clear" w:color="auto" w:fill="FFFFFF" w:themeFill="background1"/>
            <w:vAlign w:val="center"/>
          </w:tcPr>
          <w:p w:rsidR="009F5F92" w:rsidRPr="009F5F92" w:rsidRDefault="009F5F92" w:rsidP="009F5F92">
            <w:pPr>
              <w:ind w:left="-108" w:right="-108"/>
              <w:jc w:val="center"/>
              <w:rPr>
                <w:noProof/>
              </w:rPr>
            </w:pPr>
            <w:r w:rsidRPr="009F5F92">
              <w:rPr>
                <w:noProof/>
              </w:rPr>
              <w:drawing>
                <wp:inline distT="0" distB="0" distL="0" distR="0" wp14:anchorId="7FF315A1" wp14:editId="2B91C524">
                  <wp:extent cx="1988289" cy="127590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4584" cy="1292781"/>
                          </a:xfrm>
                          <a:prstGeom prst="rect">
                            <a:avLst/>
                          </a:prstGeom>
                          <a:noFill/>
                        </pic:spPr>
                      </pic:pic>
                    </a:graphicData>
                  </a:graphic>
                </wp:inline>
              </w:drawing>
            </w:r>
          </w:p>
        </w:tc>
        <w:tc>
          <w:tcPr>
            <w:tcW w:w="1985" w:type="dxa"/>
            <w:shd w:val="clear" w:color="auto" w:fill="FFFFFF" w:themeFill="background1"/>
          </w:tcPr>
          <w:p w:rsidR="009F5F92" w:rsidRPr="009F5F92" w:rsidRDefault="009F5F92" w:rsidP="009F5F92">
            <w:pPr>
              <w:rPr>
                <w:rFonts w:ascii="Segoe UI" w:hAnsi="Segoe UI" w:cs="Segoe UI"/>
                <w:sz w:val="20"/>
                <w:szCs w:val="22"/>
              </w:rPr>
            </w:pPr>
            <w:r w:rsidRPr="009F5F92">
              <w:rPr>
                <w:rFonts w:ascii="Segoe UI" w:hAnsi="Segoe UI" w:cs="Segoe UI"/>
                <w:sz w:val="20"/>
                <w:szCs w:val="22"/>
              </w:rPr>
              <w:t>Possible failure of staff awareness of the Mental Capacity Act.</w:t>
            </w:r>
          </w:p>
          <w:p w:rsidR="009F5F92" w:rsidRPr="009F5F92" w:rsidRDefault="009F5F92" w:rsidP="009F5F92">
            <w:pPr>
              <w:rPr>
                <w:rFonts w:ascii="Segoe UI" w:hAnsi="Segoe UI" w:cs="Segoe UI"/>
                <w:sz w:val="20"/>
                <w:szCs w:val="22"/>
              </w:rPr>
            </w:pPr>
          </w:p>
          <w:p w:rsidR="009F5F92" w:rsidRPr="009F5F92" w:rsidRDefault="009F5F92" w:rsidP="009F5F92">
            <w:pPr>
              <w:ind w:right="176"/>
              <w:rPr>
                <w:rFonts w:ascii="Segoe UI" w:hAnsi="Segoe UI" w:cs="Segoe UI"/>
                <w:noProof/>
                <w:sz w:val="8"/>
              </w:rPr>
            </w:pPr>
          </w:p>
        </w:tc>
        <w:tc>
          <w:tcPr>
            <w:tcW w:w="4677" w:type="dxa"/>
            <w:shd w:val="clear" w:color="auto" w:fill="FFFFFF" w:themeFill="background1"/>
          </w:tcPr>
          <w:p w:rsidR="009F5F92" w:rsidRPr="009F5F92" w:rsidRDefault="009F5F92" w:rsidP="009F5F92">
            <w:pPr>
              <w:rPr>
                <w:rFonts w:ascii="Segoe UI" w:hAnsi="Segoe UI" w:cs="Segoe UI"/>
                <w:sz w:val="20"/>
                <w:szCs w:val="22"/>
              </w:rPr>
            </w:pPr>
            <w:r w:rsidRPr="009F5F92">
              <w:rPr>
                <w:rFonts w:ascii="Segoe UI" w:hAnsi="Segoe UI" w:cs="Segoe UI"/>
                <w:sz w:val="20"/>
                <w:szCs w:val="22"/>
              </w:rPr>
              <w:t xml:space="preserve">Mental Capacity is one of 4 courses that form KPI C2 which has an overall target of 90%.  </w:t>
            </w:r>
          </w:p>
          <w:p w:rsidR="009F5F92" w:rsidRPr="009F5F92" w:rsidRDefault="009F5F92" w:rsidP="009F5F92">
            <w:pPr>
              <w:rPr>
                <w:rFonts w:ascii="Segoe UI" w:hAnsi="Segoe UI" w:cs="Segoe UI"/>
                <w:sz w:val="20"/>
                <w:szCs w:val="22"/>
              </w:rPr>
            </w:pPr>
          </w:p>
          <w:p w:rsidR="009F5F92" w:rsidRPr="009F5F92" w:rsidRDefault="009F5F92" w:rsidP="009F5F92">
            <w:pPr>
              <w:rPr>
                <w:rFonts w:ascii="Segoe UI" w:hAnsi="Segoe UI" w:cs="Segoe UI"/>
                <w:sz w:val="20"/>
                <w:szCs w:val="22"/>
              </w:rPr>
            </w:pPr>
            <w:r w:rsidRPr="009F5F92">
              <w:rPr>
                <w:rFonts w:ascii="Segoe UI" w:hAnsi="Segoe UI" w:cs="Segoe UI"/>
                <w:sz w:val="20"/>
                <w:szCs w:val="22"/>
              </w:rPr>
              <w:t>65/85 staff are compliant. CYP is targeting non-compliant individuals and supporting staff with time to complete training.</w:t>
            </w:r>
          </w:p>
        </w:tc>
      </w:tr>
      <w:tr w:rsidR="009F5F92" w:rsidRPr="009F5F92" w:rsidTr="00E27F88">
        <w:trPr>
          <w:trHeight w:val="3306"/>
        </w:trPr>
        <w:tc>
          <w:tcPr>
            <w:tcW w:w="1277"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LQR- OCCG</w:t>
            </w:r>
          </w:p>
        </w:tc>
        <w:tc>
          <w:tcPr>
            <w:tcW w:w="709"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C7</w:t>
            </w:r>
          </w:p>
        </w:tc>
        <w:tc>
          <w:tcPr>
            <w:tcW w:w="1701"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CAMHS -% of clinic letters that are sent back to GPs within 10 working days</w:t>
            </w:r>
          </w:p>
        </w:tc>
        <w:tc>
          <w:tcPr>
            <w:tcW w:w="850" w:type="dxa"/>
            <w:vAlign w:val="center"/>
          </w:tcPr>
          <w:p w:rsidR="009F5F92" w:rsidRPr="009F5F92" w:rsidRDefault="009F5F92" w:rsidP="00E27F88">
            <w:pPr>
              <w:jc w:val="center"/>
              <w:rPr>
                <w:rFonts w:ascii="Segoe UI" w:hAnsi="Segoe UI" w:cs="Segoe UI"/>
                <w:sz w:val="20"/>
                <w:szCs w:val="22"/>
              </w:rPr>
            </w:pPr>
            <w:r w:rsidRPr="009F5F92">
              <w:rPr>
                <w:rFonts w:ascii="Segoe UI" w:hAnsi="Segoe UI" w:cs="Segoe UI"/>
                <w:sz w:val="20"/>
                <w:szCs w:val="22"/>
              </w:rPr>
              <w:t>95%</w:t>
            </w:r>
          </w:p>
        </w:tc>
        <w:tc>
          <w:tcPr>
            <w:tcW w:w="851" w:type="dxa"/>
            <w:shd w:val="clear" w:color="auto" w:fill="FF0000"/>
            <w:vAlign w:val="center"/>
          </w:tcPr>
          <w:p w:rsidR="009F5F92" w:rsidRPr="009F5F92" w:rsidRDefault="009F5F92" w:rsidP="00E27F88">
            <w:pPr>
              <w:jc w:val="center"/>
              <w:rPr>
                <w:rFonts w:ascii="Segoe UI" w:hAnsi="Segoe UI" w:cs="Segoe UI"/>
                <w:sz w:val="20"/>
                <w:szCs w:val="22"/>
              </w:rPr>
            </w:pPr>
            <w:r w:rsidRPr="009F5F92">
              <w:rPr>
                <w:rFonts w:ascii="Segoe UI" w:hAnsi="Segoe UI" w:cs="Segoe UI"/>
                <w:sz w:val="20"/>
                <w:szCs w:val="22"/>
              </w:rPr>
              <w:t>79%</w:t>
            </w:r>
          </w:p>
        </w:tc>
        <w:tc>
          <w:tcPr>
            <w:tcW w:w="3118" w:type="dxa"/>
            <w:vAlign w:val="center"/>
          </w:tcPr>
          <w:p w:rsidR="009F5F92" w:rsidRPr="009F5F92" w:rsidRDefault="009F5F92" w:rsidP="00E27F88">
            <w:pPr>
              <w:ind w:left="-108" w:right="-108"/>
              <w:jc w:val="center"/>
              <w:rPr>
                <w:noProof/>
              </w:rPr>
            </w:pPr>
            <w:r w:rsidRPr="009F5F92">
              <w:rPr>
                <w:noProof/>
              </w:rPr>
              <w:drawing>
                <wp:inline distT="0" distB="0" distL="0" distR="0" wp14:anchorId="0E1EAB06" wp14:editId="4993AD44">
                  <wp:extent cx="1988289" cy="1690576"/>
                  <wp:effectExtent l="0" t="0" r="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c>
          <w:tcPr>
            <w:tcW w:w="1985" w:type="dxa"/>
          </w:tcPr>
          <w:p w:rsidR="009F5F92" w:rsidRPr="009F5F92" w:rsidRDefault="009F5F92" w:rsidP="009F5F92">
            <w:pPr>
              <w:rPr>
                <w:rFonts w:ascii="Segoe UI" w:hAnsi="Segoe UI" w:cs="Segoe UI"/>
                <w:sz w:val="20"/>
                <w:szCs w:val="22"/>
                <w:highlight w:val="yellow"/>
              </w:rPr>
            </w:pPr>
            <w:r w:rsidRPr="009F5F92">
              <w:rPr>
                <w:rFonts w:ascii="Segoe UI" w:hAnsi="Segoe UI" w:cs="Segoe UI"/>
                <w:sz w:val="20"/>
                <w:szCs w:val="22"/>
              </w:rPr>
              <w:t>Delay in GPs receiving essential information which could result in patient harm</w:t>
            </w:r>
          </w:p>
        </w:tc>
        <w:tc>
          <w:tcPr>
            <w:tcW w:w="4677" w:type="dxa"/>
          </w:tcPr>
          <w:p w:rsidR="009F5F92" w:rsidRPr="009F5F92" w:rsidRDefault="009F5F92" w:rsidP="00D73200">
            <w:pPr>
              <w:rPr>
                <w:rFonts w:ascii="Segoe UI" w:eastAsiaTheme="minorHAnsi" w:hAnsi="Segoe UI" w:cs="Segoe UI"/>
                <w:sz w:val="20"/>
                <w:szCs w:val="20"/>
                <w:lang w:val="en-US" w:eastAsia="en-US"/>
              </w:rPr>
            </w:pPr>
            <w:r w:rsidRPr="009F5F92">
              <w:rPr>
                <w:rFonts w:ascii="Segoe UI" w:eastAsiaTheme="minorHAnsi" w:hAnsi="Segoe UI" w:cs="Segoe UI"/>
                <w:sz w:val="20"/>
                <w:szCs w:val="20"/>
                <w:lang w:eastAsia="en-US"/>
              </w:rPr>
              <w:t xml:space="preserve">The January audit shows improved performance.  North Oxon CAMHS community team have improved - a new consultant locum started early February. The South community team have significantly increased performance by 57% from previous month. Learning Disability currently has gaps in administration - vacancy is out for advert. We have enlisted some pooled administration support for the team on an interim basis. </w:t>
            </w:r>
            <w:r w:rsidRPr="009F5F92">
              <w:rPr>
                <w:rFonts w:ascii="Segoe UI" w:eastAsiaTheme="minorHAnsi" w:hAnsi="Segoe UI" w:cs="Segoe UI"/>
                <w:sz w:val="20"/>
                <w:szCs w:val="20"/>
                <w:lang w:val="en-US" w:eastAsia="en-US"/>
              </w:rPr>
              <w:t>The average length of time taken to send the letter following the appointment w</w:t>
            </w:r>
            <w:r w:rsidR="0064639E">
              <w:rPr>
                <w:rFonts w:ascii="Segoe UI" w:eastAsiaTheme="minorHAnsi" w:hAnsi="Segoe UI" w:cs="Segoe UI"/>
                <w:sz w:val="20"/>
                <w:szCs w:val="20"/>
                <w:lang w:val="en-US" w:eastAsia="en-US"/>
              </w:rPr>
              <w:t>as 4.4 days; an improvement on last month</w:t>
            </w:r>
            <w:r w:rsidRPr="009F5F92">
              <w:rPr>
                <w:rFonts w:ascii="Segoe UI" w:eastAsiaTheme="minorHAnsi" w:hAnsi="Segoe UI" w:cs="Segoe UI"/>
                <w:sz w:val="20"/>
                <w:szCs w:val="20"/>
                <w:lang w:val="en-US" w:eastAsia="en-US"/>
              </w:rPr>
              <w:t xml:space="preserve"> and </w:t>
            </w:r>
            <w:r w:rsidR="00D73200">
              <w:rPr>
                <w:rFonts w:ascii="Segoe UI" w:eastAsiaTheme="minorHAnsi" w:hAnsi="Segoe UI" w:cs="Segoe UI"/>
                <w:sz w:val="20"/>
                <w:szCs w:val="20"/>
                <w:lang w:val="en-US" w:eastAsia="en-US"/>
              </w:rPr>
              <w:t>&lt;</w:t>
            </w:r>
            <w:r w:rsidRPr="009F5F92">
              <w:rPr>
                <w:rFonts w:ascii="Segoe UI" w:eastAsiaTheme="minorHAnsi" w:hAnsi="Segoe UI" w:cs="Segoe UI"/>
                <w:sz w:val="20"/>
                <w:szCs w:val="20"/>
                <w:lang w:val="en-US" w:eastAsia="en-US"/>
              </w:rPr>
              <w:t>10 day standard</w:t>
            </w:r>
          </w:p>
        </w:tc>
      </w:tr>
      <w:tr w:rsidR="009F5F92" w:rsidRPr="009F5F92" w:rsidTr="00E27F88">
        <w:trPr>
          <w:trHeight w:val="1308"/>
        </w:trPr>
        <w:tc>
          <w:tcPr>
            <w:tcW w:w="1277"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lastRenderedPageBreak/>
              <w:t>LQR- OCCG</w:t>
            </w:r>
          </w:p>
        </w:tc>
        <w:tc>
          <w:tcPr>
            <w:tcW w:w="709"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C7</w:t>
            </w:r>
          </w:p>
        </w:tc>
        <w:tc>
          <w:tcPr>
            <w:tcW w:w="1701" w:type="dxa"/>
          </w:tcPr>
          <w:p w:rsidR="009F5F92" w:rsidRPr="009F5F92" w:rsidRDefault="009F5F92" w:rsidP="009F5F92">
            <w:pPr>
              <w:ind w:right="-16"/>
              <w:rPr>
                <w:rFonts w:ascii="Segoe UI" w:hAnsi="Segoe UI" w:cs="Segoe UI"/>
                <w:sz w:val="20"/>
                <w:szCs w:val="22"/>
              </w:rPr>
            </w:pPr>
            <w:r w:rsidRPr="009F5F92">
              <w:rPr>
                <w:rFonts w:ascii="Segoe UI" w:hAnsi="Segoe UI" w:cs="Segoe UI"/>
                <w:sz w:val="20"/>
                <w:szCs w:val="22"/>
              </w:rPr>
              <w:t>ED -% of letters that are sent back to GPs within 10 working days</w:t>
            </w:r>
          </w:p>
        </w:tc>
        <w:tc>
          <w:tcPr>
            <w:tcW w:w="850" w:type="dxa"/>
            <w:vAlign w:val="center"/>
          </w:tcPr>
          <w:p w:rsidR="009F5F92" w:rsidRPr="009F5F92" w:rsidRDefault="009F5F92" w:rsidP="00E27F88">
            <w:pPr>
              <w:jc w:val="center"/>
              <w:rPr>
                <w:rFonts w:ascii="Segoe UI" w:hAnsi="Segoe UI" w:cs="Segoe UI"/>
                <w:sz w:val="20"/>
                <w:szCs w:val="22"/>
              </w:rPr>
            </w:pPr>
            <w:r w:rsidRPr="009F5F92">
              <w:rPr>
                <w:rFonts w:ascii="Segoe UI" w:hAnsi="Segoe UI" w:cs="Segoe UI"/>
                <w:sz w:val="20"/>
                <w:szCs w:val="22"/>
              </w:rPr>
              <w:t>95%</w:t>
            </w:r>
          </w:p>
        </w:tc>
        <w:tc>
          <w:tcPr>
            <w:tcW w:w="851" w:type="dxa"/>
            <w:shd w:val="clear" w:color="auto" w:fill="FF0000"/>
            <w:vAlign w:val="center"/>
          </w:tcPr>
          <w:p w:rsidR="009F5F92" w:rsidRPr="009F5F92" w:rsidRDefault="009F5F92" w:rsidP="00E27F88">
            <w:pPr>
              <w:jc w:val="center"/>
              <w:rPr>
                <w:rFonts w:ascii="Segoe UI" w:hAnsi="Segoe UI" w:cs="Segoe UI"/>
                <w:sz w:val="20"/>
                <w:szCs w:val="22"/>
              </w:rPr>
            </w:pPr>
            <w:r w:rsidRPr="009F5F92">
              <w:rPr>
                <w:rFonts w:ascii="Segoe UI" w:hAnsi="Segoe UI" w:cs="Segoe UI"/>
                <w:sz w:val="20"/>
                <w:szCs w:val="22"/>
              </w:rPr>
              <w:t>63%</w:t>
            </w:r>
          </w:p>
        </w:tc>
        <w:tc>
          <w:tcPr>
            <w:tcW w:w="3118" w:type="dxa"/>
          </w:tcPr>
          <w:p w:rsidR="009F5F92" w:rsidRPr="009F5F92" w:rsidRDefault="009F5F92" w:rsidP="009F5F92">
            <w:pPr>
              <w:ind w:left="-108" w:right="-108"/>
              <w:jc w:val="center"/>
              <w:rPr>
                <w:noProof/>
              </w:rPr>
            </w:pPr>
            <w:r w:rsidRPr="009F5F92">
              <w:rPr>
                <w:noProof/>
              </w:rPr>
              <w:drawing>
                <wp:inline distT="0" distB="0" distL="0" distR="0" wp14:anchorId="514F746E" wp14:editId="70328E07">
                  <wp:extent cx="1977656" cy="1446027"/>
                  <wp:effectExtent l="0" t="0" r="381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1985" w:type="dxa"/>
          </w:tcPr>
          <w:p w:rsidR="009F5F92" w:rsidRPr="009F5F92" w:rsidRDefault="009F5F92" w:rsidP="009F5F92">
            <w:pPr>
              <w:ind w:right="176"/>
              <w:rPr>
                <w:rFonts w:ascii="Segoe UI" w:hAnsi="Segoe UI" w:cs="Segoe UI"/>
                <w:noProof/>
                <w:sz w:val="8"/>
                <w:highlight w:val="yellow"/>
              </w:rPr>
            </w:pPr>
            <w:r w:rsidRPr="009F5F92">
              <w:rPr>
                <w:rFonts w:ascii="Segoe UI" w:hAnsi="Segoe UI" w:cs="Segoe UI"/>
                <w:sz w:val="20"/>
                <w:szCs w:val="22"/>
              </w:rPr>
              <w:t>Delay in GPs receiving essential information which could result in patient harm</w:t>
            </w:r>
          </w:p>
        </w:tc>
        <w:tc>
          <w:tcPr>
            <w:tcW w:w="4677" w:type="dxa"/>
          </w:tcPr>
          <w:p w:rsidR="009F5F92" w:rsidRPr="009F5F92" w:rsidRDefault="009F5F92" w:rsidP="009F5F92">
            <w:pPr>
              <w:outlineLvl w:val="0"/>
              <w:rPr>
                <w:rFonts w:ascii="Segoe UI" w:hAnsi="Segoe UI" w:cs="Segoe UI"/>
                <w:sz w:val="20"/>
                <w:szCs w:val="22"/>
                <w:highlight w:val="yellow"/>
              </w:rPr>
            </w:pPr>
            <w:r w:rsidRPr="009F5F92">
              <w:rPr>
                <w:rFonts w:ascii="Segoe UI" w:hAnsi="Segoe UI" w:cs="Segoe UI"/>
                <w:sz w:val="20"/>
                <w:szCs w:val="22"/>
              </w:rPr>
              <w:t>For Month 10 performance 14/16 letters were sent to GP within 10 days, the % is only based on 16 letters, the service has an action plan in place to address their underperformance.</w:t>
            </w:r>
          </w:p>
        </w:tc>
      </w:tr>
    </w:tbl>
    <w:p w:rsidR="009F5F92" w:rsidRDefault="009F5F92" w:rsidP="009F5F92"/>
    <w:tbl>
      <w:tblPr>
        <w:tblStyle w:val="TableGrid"/>
        <w:tblW w:w="0" w:type="auto"/>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5670"/>
      </w:tblGrid>
      <w:tr w:rsidR="0064639E" w:rsidTr="0064639E">
        <w:tc>
          <w:tcPr>
            <w:tcW w:w="426" w:type="dxa"/>
            <w:shd w:val="clear" w:color="auto" w:fill="92D050"/>
          </w:tcPr>
          <w:p w:rsidR="0064639E" w:rsidRPr="0096419E" w:rsidRDefault="0064639E" w:rsidP="007C4697">
            <w:pPr>
              <w:rPr>
                <w:rFonts w:ascii="Segoe UI" w:hAnsi="Segoe UI" w:cs="Segoe UI"/>
                <w:b/>
              </w:rPr>
            </w:pPr>
            <w:r>
              <w:rPr>
                <w:rFonts w:ascii="Segoe UI" w:hAnsi="Segoe UI" w:cs="Segoe UI"/>
                <w:b/>
              </w:rPr>
              <w:t>G</w:t>
            </w:r>
          </w:p>
        </w:tc>
        <w:tc>
          <w:tcPr>
            <w:tcW w:w="5670" w:type="dxa"/>
            <w:shd w:val="clear" w:color="auto" w:fill="auto"/>
          </w:tcPr>
          <w:p w:rsidR="0064639E" w:rsidRPr="0064639E" w:rsidRDefault="0064639E" w:rsidP="0064639E">
            <w:pPr>
              <w:rPr>
                <w:rFonts w:ascii="Segoe UI" w:hAnsi="Segoe UI" w:cs="Segoe UI"/>
              </w:rPr>
            </w:pPr>
            <w:r>
              <w:rPr>
                <w:rFonts w:ascii="Segoe UI" w:hAnsi="Segoe UI" w:cs="Segoe UI"/>
              </w:rPr>
              <w:t>Areas of positive performance/improvement</w:t>
            </w:r>
          </w:p>
        </w:tc>
      </w:tr>
    </w:tbl>
    <w:p w:rsidR="0064639E" w:rsidRDefault="0064639E" w:rsidP="009F5F92"/>
    <w:tbl>
      <w:tblPr>
        <w:tblStyle w:val="TableGrid51"/>
        <w:tblW w:w="15168" w:type="dxa"/>
        <w:tblInd w:w="-318" w:type="dxa"/>
        <w:tblLayout w:type="fixed"/>
        <w:tblLook w:val="04A0" w:firstRow="1" w:lastRow="0" w:firstColumn="1" w:lastColumn="0" w:noHBand="0" w:noVBand="1"/>
      </w:tblPr>
      <w:tblGrid>
        <w:gridCol w:w="1277"/>
        <w:gridCol w:w="709"/>
        <w:gridCol w:w="1701"/>
        <w:gridCol w:w="850"/>
        <w:gridCol w:w="851"/>
        <w:gridCol w:w="3118"/>
        <w:gridCol w:w="1985"/>
        <w:gridCol w:w="4677"/>
      </w:tblGrid>
      <w:tr w:rsidR="0064639E" w:rsidRPr="009F5F92" w:rsidTr="007C4697">
        <w:trPr>
          <w:trHeight w:val="357"/>
        </w:trPr>
        <w:tc>
          <w:tcPr>
            <w:tcW w:w="1277" w:type="dxa"/>
            <w:shd w:val="clear" w:color="auto" w:fill="0070C0"/>
            <w:vAlign w:val="center"/>
          </w:tcPr>
          <w:p w:rsidR="0064639E" w:rsidRPr="0064639E" w:rsidRDefault="0064639E" w:rsidP="007C4697">
            <w:pPr>
              <w:spacing w:before="40" w:after="40"/>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Service</w:t>
            </w:r>
          </w:p>
        </w:tc>
        <w:tc>
          <w:tcPr>
            <w:tcW w:w="709" w:type="dxa"/>
            <w:shd w:val="clear" w:color="auto" w:fill="0070C0"/>
            <w:vAlign w:val="center"/>
          </w:tcPr>
          <w:p w:rsidR="0064639E" w:rsidRPr="0064639E" w:rsidRDefault="0064639E" w:rsidP="007C4697">
            <w:pPr>
              <w:ind w:right="-16"/>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Ref</w:t>
            </w:r>
          </w:p>
        </w:tc>
        <w:tc>
          <w:tcPr>
            <w:tcW w:w="1701" w:type="dxa"/>
            <w:shd w:val="clear" w:color="auto" w:fill="0070C0"/>
            <w:vAlign w:val="center"/>
          </w:tcPr>
          <w:p w:rsidR="0064639E" w:rsidRPr="0064639E" w:rsidRDefault="0064639E" w:rsidP="007C4697">
            <w:pPr>
              <w:ind w:right="-16"/>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Measure</w:t>
            </w:r>
          </w:p>
        </w:tc>
        <w:tc>
          <w:tcPr>
            <w:tcW w:w="850" w:type="dxa"/>
            <w:shd w:val="clear" w:color="auto" w:fill="0070C0"/>
            <w:vAlign w:val="center"/>
          </w:tcPr>
          <w:p w:rsidR="0064639E" w:rsidRPr="0064639E" w:rsidRDefault="0064639E" w:rsidP="007C4697">
            <w:pPr>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Target</w:t>
            </w:r>
          </w:p>
        </w:tc>
        <w:tc>
          <w:tcPr>
            <w:tcW w:w="851" w:type="dxa"/>
            <w:shd w:val="clear" w:color="auto" w:fill="0070C0"/>
            <w:vAlign w:val="center"/>
          </w:tcPr>
          <w:p w:rsidR="0064639E" w:rsidRPr="0064639E" w:rsidRDefault="0064639E" w:rsidP="007C4697">
            <w:pPr>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Actual</w:t>
            </w:r>
          </w:p>
        </w:tc>
        <w:tc>
          <w:tcPr>
            <w:tcW w:w="3118" w:type="dxa"/>
            <w:shd w:val="clear" w:color="auto" w:fill="0070C0"/>
            <w:vAlign w:val="center"/>
          </w:tcPr>
          <w:p w:rsidR="0064639E" w:rsidRPr="0064639E" w:rsidRDefault="0064639E" w:rsidP="007C4697">
            <w:pPr>
              <w:ind w:left="-108" w:right="-108"/>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Trend</w:t>
            </w:r>
          </w:p>
        </w:tc>
        <w:tc>
          <w:tcPr>
            <w:tcW w:w="1985" w:type="dxa"/>
            <w:shd w:val="clear" w:color="auto" w:fill="0070C0"/>
            <w:vAlign w:val="center"/>
          </w:tcPr>
          <w:p w:rsidR="0064639E" w:rsidRPr="0064639E" w:rsidRDefault="0064639E" w:rsidP="007C4697">
            <w:pPr>
              <w:ind w:right="176"/>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Impact</w:t>
            </w:r>
          </w:p>
        </w:tc>
        <w:tc>
          <w:tcPr>
            <w:tcW w:w="4677" w:type="dxa"/>
            <w:shd w:val="clear" w:color="auto" w:fill="0070C0"/>
            <w:vAlign w:val="center"/>
          </w:tcPr>
          <w:p w:rsidR="0064639E" w:rsidRPr="0064639E" w:rsidRDefault="0064639E" w:rsidP="007C4697">
            <w:pPr>
              <w:jc w:val="center"/>
              <w:rPr>
                <w:rFonts w:ascii="Segoe UI" w:hAnsi="Segoe UI" w:cs="Segoe UI"/>
                <w:b/>
                <w:color w:val="FFFFFF" w:themeColor="background1"/>
                <w:sz w:val="20"/>
                <w:szCs w:val="22"/>
              </w:rPr>
            </w:pPr>
            <w:r w:rsidRPr="0064639E">
              <w:rPr>
                <w:rFonts w:ascii="Segoe UI" w:hAnsi="Segoe UI" w:cs="Segoe UI"/>
                <w:b/>
                <w:color w:val="FFFFFF" w:themeColor="background1"/>
                <w:sz w:val="20"/>
                <w:szCs w:val="22"/>
              </w:rPr>
              <w:t>Action and resolution timescale</w:t>
            </w:r>
          </w:p>
        </w:tc>
      </w:tr>
      <w:tr w:rsidR="0064639E" w:rsidRPr="009F5F92" w:rsidTr="007C4697">
        <w:trPr>
          <w:trHeight w:val="1308"/>
        </w:trPr>
        <w:tc>
          <w:tcPr>
            <w:tcW w:w="1277" w:type="dxa"/>
          </w:tcPr>
          <w:p w:rsidR="0064639E" w:rsidRPr="009F5F92" w:rsidRDefault="0064639E" w:rsidP="007C4697">
            <w:pPr>
              <w:ind w:right="-16"/>
              <w:rPr>
                <w:rFonts w:ascii="Segoe UI" w:hAnsi="Segoe UI" w:cs="Segoe UI"/>
                <w:sz w:val="20"/>
                <w:szCs w:val="22"/>
              </w:rPr>
            </w:pPr>
            <w:r w:rsidRPr="009F5F92">
              <w:rPr>
                <w:rFonts w:ascii="Segoe UI" w:hAnsi="Segoe UI" w:cs="Segoe UI"/>
                <w:sz w:val="20"/>
                <w:szCs w:val="22"/>
              </w:rPr>
              <w:t>Health Visiting</w:t>
            </w:r>
          </w:p>
        </w:tc>
        <w:tc>
          <w:tcPr>
            <w:tcW w:w="709" w:type="dxa"/>
          </w:tcPr>
          <w:p w:rsidR="0064639E" w:rsidRPr="009F5F92" w:rsidRDefault="0064639E" w:rsidP="007C4697">
            <w:pPr>
              <w:ind w:right="-16"/>
              <w:rPr>
                <w:rFonts w:ascii="Segoe UI" w:hAnsi="Segoe UI" w:cs="Segoe UI"/>
                <w:sz w:val="20"/>
                <w:szCs w:val="22"/>
              </w:rPr>
            </w:pPr>
            <w:r w:rsidRPr="009F5F92">
              <w:rPr>
                <w:rFonts w:ascii="Segoe UI" w:hAnsi="Segoe UI" w:cs="Segoe UI"/>
                <w:sz w:val="20"/>
                <w:szCs w:val="22"/>
              </w:rPr>
              <w:t>PAF</w:t>
            </w:r>
          </w:p>
        </w:tc>
        <w:tc>
          <w:tcPr>
            <w:tcW w:w="1701" w:type="dxa"/>
          </w:tcPr>
          <w:p w:rsidR="0064639E" w:rsidRPr="009F5F92" w:rsidRDefault="0064639E" w:rsidP="007C4697">
            <w:pPr>
              <w:rPr>
                <w:rFonts w:ascii="Calibri" w:hAnsi="Calibri"/>
                <w:color w:val="000000"/>
                <w:sz w:val="22"/>
                <w:szCs w:val="22"/>
              </w:rPr>
            </w:pPr>
            <w:r w:rsidRPr="009F5F92">
              <w:rPr>
                <w:rFonts w:ascii="Calibri" w:hAnsi="Calibri"/>
                <w:color w:val="000000"/>
                <w:sz w:val="22"/>
                <w:szCs w:val="22"/>
              </w:rPr>
              <w:t>% of mothers who received an antenatal contact with a Health Visitor (CQUIN)</w:t>
            </w:r>
          </w:p>
          <w:p w:rsidR="0064639E" w:rsidRPr="009F5F92" w:rsidRDefault="0064639E" w:rsidP="007C4697">
            <w:pPr>
              <w:ind w:right="-16"/>
              <w:rPr>
                <w:rFonts w:ascii="Segoe UI" w:hAnsi="Segoe UI" w:cs="Segoe UI"/>
                <w:sz w:val="20"/>
                <w:szCs w:val="22"/>
              </w:rPr>
            </w:pPr>
          </w:p>
        </w:tc>
        <w:tc>
          <w:tcPr>
            <w:tcW w:w="850" w:type="dxa"/>
            <w:vAlign w:val="center"/>
          </w:tcPr>
          <w:p w:rsidR="0064639E" w:rsidRPr="009F5F92" w:rsidRDefault="0064639E" w:rsidP="007C4697">
            <w:pPr>
              <w:jc w:val="center"/>
              <w:rPr>
                <w:rFonts w:ascii="Segoe UI" w:hAnsi="Segoe UI" w:cs="Segoe UI"/>
                <w:sz w:val="20"/>
                <w:szCs w:val="22"/>
              </w:rPr>
            </w:pPr>
            <w:r w:rsidRPr="009F5F92">
              <w:rPr>
                <w:rFonts w:ascii="Segoe UI" w:hAnsi="Segoe UI" w:cs="Segoe UI"/>
                <w:sz w:val="20"/>
                <w:szCs w:val="22"/>
              </w:rPr>
              <w:t>62%</w:t>
            </w:r>
          </w:p>
        </w:tc>
        <w:tc>
          <w:tcPr>
            <w:tcW w:w="851" w:type="dxa"/>
            <w:shd w:val="clear" w:color="auto" w:fill="92D050"/>
            <w:vAlign w:val="center"/>
          </w:tcPr>
          <w:p w:rsidR="0064639E" w:rsidRPr="009F5F92" w:rsidRDefault="0064639E" w:rsidP="007C4697">
            <w:pPr>
              <w:jc w:val="center"/>
              <w:rPr>
                <w:rFonts w:ascii="Segoe UI" w:hAnsi="Segoe UI" w:cs="Segoe UI"/>
                <w:sz w:val="20"/>
                <w:szCs w:val="22"/>
              </w:rPr>
            </w:pPr>
            <w:r w:rsidRPr="009F5F92">
              <w:rPr>
                <w:rFonts w:ascii="Segoe UI" w:hAnsi="Segoe UI" w:cs="Segoe UI"/>
                <w:sz w:val="20"/>
                <w:szCs w:val="22"/>
              </w:rPr>
              <w:t>71.7%</w:t>
            </w:r>
          </w:p>
        </w:tc>
        <w:tc>
          <w:tcPr>
            <w:tcW w:w="3118" w:type="dxa"/>
          </w:tcPr>
          <w:p w:rsidR="0064639E" w:rsidRPr="009F5F92" w:rsidRDefault="0064639E" w:rsidP="007C4697">
            <w:pPr>
              <w:ind w:left="-108" w:right="-108"/>
              <w:jc w:val="center"/>
              <w:rPr>
                <w:noProof/>
              </w:rPr>
            </w:pPr>
            <w:r w:rsidRPr="009F5F92">
              <w:rPr>
                <w:noProof/>
              </w:rPr>
              <w:drawing>
                <wp:inline distT="0" distB="0" distL="0" distR="0" wp14:anchorId="3E4EF5CF" wp14:editId="7638C9EE">
                  <wp:extent cx="1977656" cy="1531089"/>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7655" cy="1531088"/>
                          </a:xfrm>
                          <a:prstGeom prst="rect">
                            <a:avLst/>
                          </a:prstGeom>
                          <a:noFill/>
                          <a:ln>
                            <a:noFill/>
                          </a:ln>
                        </pic:spPr>
                      </pic:pic>
                    </a:graphicData>
                  </a:graphic>
                </wp:inline>
              </w:drawing>
            </w:r>
          </w:p>
        </w:tc>
        <w:tc>
          <w:tcPr>
            <w:tcW w:w="1985" w:type="dxa"/>
          </w:tcPr>
          <w:p w:rsidR="0064639E" w:rsidRPr="009F5F92" w:rsidRDefault="0064639E" w:rsidP="007C4697">
            <w:pPr>
              <w:ind w:right="176"/>
              <w:rPr>
                <w:rFonts w:ascii="Segoe UI" w:hAnsi="Segoe UI" w:cs="Segoe UI"/>
                <w:sz w:val="20"/>
                <w:szCs w:val="22"/>
              </w:rPr>
            </w:pPr>
            <w:r w:rsidRPr="009F5F92">
              <w:rPr>
                <w:rFonts w:ascii="Segoe UI" w:hAnsi="Segoe UI" w:cs="Segoe UI"/>
                <w:sz w:val="20"/>
                <w:szCs w:val="22"/>
              </w:rPr>
              <w:t>Early contact with mothers ensures a smooth transition between Midwifery and HV Service</w:t>
            </w:r>
          </w:p>
        </w:tc>
        <w:tc>
          <w:tcPr>
            <w:tcW w:w="4677" w:type="dxa"/>
          </w:tcPr>
          <w:p w:rsidR="0064639E" w:rsidRPr="009F5F92" w:rsidRDefault="0064639E" w:rsidP="007C4697">
            <w:pPr>
              <w:outlineLvl w:val="0"/>
              <w:rPr>
                <w:rFonts w:ascii="Segoe UI" w:hAnsi="Segoe UI" w:cs="Segoe UI"/>
                <w:sz w:val="20"/>
                <w:szCs w:val="22"/>
              </w:rPr>
            </w:pPr>
            <w:r w:rsidRPr="009F5F92">
              <w:rPr>
                <w:rFonts w:ascii="Segoe UI" w:hAnsi="Segoe UI" w:cs="Segoe UI"/>
                <w:sz w:val="20"/>
                <w:szCs w:val="22"/>
              </w:rPr>
              <w:t>The Service has consistently achieved the CQUIN for Q1, Q2 &amp; Q3 and are on target to achieve this for Q4</w:t>
            </w:r>
          </w:p>
          <w:p w:rsidR="0064639E" w:rsidRPr="009F5F92" w:rsidRDefault="0064639E" w:rsidP="007C4697">
            <w:pPr>
              <w:outlineLvl w:val="0"/>
              <w:rPr>
                <w:rFonts w:ascii="Segoe UI" w:hAnsi="Segoe UI" w:cs="Segoe UI"/>
                <w:sz w:val="20"/>
                <w:szCs w:val="22"/>
              </w:rPr>
            </w:pPr>
          </w:p>
          <w:p w:rsidR="0064639E" w:rsidRPr="009F5F92" w:rsidRDefault="0064639E" w:rsidP="007C4697">
            <w:pPr>
              <w:outlineLvl w:val="0"/>
              <w:rPr>
                <w:rFonts w:ascii="Segoe UI" w:hAnsi="Segoe UI" w:cs="Segoe UI"/>
                <w:sz w:val="20"/>
                <w:szCs w:val="22"/>
              </w:rPr>
            </w:pPr>
          </w:p>
        </w:tc>
      </w:tr>
      <w:tr w:rsidR="0064639E" w:rsidRPr="009F5F92" w:rsidTr="007C4697">
        <w:trPr>
          <w:trHeight w:val="1308"/>
        </w:trPr>
        <w:tc>
          <w:tcPr>
            <w:tcW w:w="1277" w:type="dxa"/>
          </w:tcPr>
          <w:p w:rsidR="0064639E" w:rsidRPr="009F5F92" w:rsidRDefault="0064639E" w:rsidP="007C4697">
            <w:pPr>
              <w:ind w:right="-16"/>
              <w:rPr>
                <w:rFonts w:ascii="Segoe UI" w:hAnsi="Segoe UI" w:cs="Segoe UI"/>
                <w:sz w:val="20"/>
                <w:szCs w:val="22"/>
              </w:rPr>
            </w:pPr>
            <w:r w:rsidRPr="009F5F92">
              <w:rPr>
                <w:rFonts w:ascii="Segoe UI" w:hAnsi="Segoe UI" w:cs="Segoe UI"/>
                <w:sz w:val="20"/>
                <w:szCs w:val="22"/>
              </w:rPr>
              <w:t>Health Visiting</w:t>
            </w:r>
          </w:p>
        </w:tc>
        <w:tc>
          <w:tcPr>
            <w:tcW w:w="709" w:type="dxa"/>
          </w:tcPr>
          <w:p w:rsidR="0064639E" w:rsidRPr="009F5F92" w:rsidRDefault="0064639E" w:rsidP="007C4697">
            <w:pPr>
              <w:ind w:right="-16"/>
              <w:rPr>
                <w:rFonts w:ascii="Segoe UI" w:hAnsi="Segoe UI" w:cs="Segoe UI"/>
                <w:sz w:val="20"/>
                <w:szCs w:val="22"/>
              </w:rPr>
            </w:pPr>
            <w:r w:rsidRPr="009F5F92">
              <w:rPr>
                <w:rFonts w:ascii="Segoe UI" w:hAnsi="Segoe UI" w:cs="Segoe UI"/>
                <w:sz w:val="20"/>
                <w:szCs w:val="22"/>
              </w:rPr>
              <w:t>PAF</w:t>
            </w:r>
          </w:p>
        </w:tc>
        <w:tc>
          <w:tcPr>
            <w:tcW w:w="1701" w:type="dxa"/>
          </w:tcPr>
          <w:p w:rsidR="0064639E" w:rsidRPr="009F5F92" w:rsidRDefault="0064639E" w:rsidP="007C4697">
            <w:pPr>
              <w:rPr>
                <w:rFonts w:ascii="Calibri" w:hAnsi="Calibri"/>
                <w:sz w:val="22"/>
                <w:szCs w:val="22"/>
              </w:rPr>
            </w:pPr>
            <w:r w:rsidRPr="009F5F92">
              <w:rPr>
                <w:rFonts w:ascii="Calibri" w:hAnsi="Calibri"/>
                <w:sz w:val="22"/>
                <w:szCs w:val="22"/>
              </w:rPr>
              <w:t>% of mothers with a 6-8 Week Maternal Mental Health Completion</w:t>
            </w:r>
          </w:p>
          <w:p w:rsidR="0064639E" w:rsidRPr="009F5F92" w:rsidRDefault="0064639E" w:rsidP="007C4697">
            <w:pPr>
              <w:ind w:right="-16"/>
              <w:rPr>
                <w:rFonts w:ascii="Segoe UI" w:hAnsi="Segoe UI" w:cs="Segoe UI"/>
                <w:sz w:val="20"/>
                <w:szCs w:val="22"/>
              </w:rPr>
            </w:pPr>
          </w:p>
        </w:tc>
        <w:tc>
          <w:tcPr>
            <w:tcW w:w="850" w:type="dxa"/>
            <w:vAlign w:val="center"/>
          </w:tcPr>
          <w:p w:rsidR="0064639E" w:rsidRPr="009F5F92" w:rsidRDefault="0064639E" w:rsidP="007C4697">
            <w:pPr>
              <w:jc w:val="center"/>
              <w:rPr>
                <w:rFonts w:ascii="Segoe UI" w:hAnsi="Segoe UI" w:cs="Segoe UI"/>
                <w:sz w:val="20"/>
                <w:szCs w:val="22"/>
              </w:rPr>
            </w:pPr>
            <w:r w:rsidRPr="009F5F92">
              <w:rPr>
                <w:rFonts w:ascii="Segoe UI" w:hAnsi="Segoe UI" w:cs="Segoe UI"/>
                <w:sz w:val="20"/>
                <w:szCs w:val="22"/>
              </w:rPr>
              <w:t>93%</w:t>
            </w:r>
          </w:p>
        </w:tc>
        <w:tc>
          <w:tcPr>
            <w:tcW w:w="851" w:type="dxa"/>
            <w:shd w:val="clear" w:color="auto" w:fill="92D050"/>
            <w:vAlign w:val="center"/>
          </w:tcPr>
          <w:p w:rsidR="0064639E" w:rsidRPr="009F5F92" w:rsidRDefault="0064639E" w:rsidP="007C4697">
            <w:pPr>
              <w:jc w:val="center"/>
              <w:rPr>
                <w:rFonts w:ascii="Segoe UI" w:hAnsi="Segoe UI" w:cs="Segoe UI"/>
                <w:sz w:val="20"/>
                <w:szCs w:val="22"/>
              </w:rPr>
            </w:pPr>
            <w:r w:rsidRPr="009F5F92">
              <w:rPr>
                <w:rFonts w:ascii="Segoe UI" w:hAnsi="Segoe UI" w:cs="Segoe UI"/>
                <w:sz w:val="20"/>
                <w:szCs w:val="22"/>
              </w:rPr>
              <w:t>96.9%</w:t>
            </w:r>
          </w:p>
        </w:tc>
        <w:tc>
          <w:tcPr>
            <w:tcW w:w="3118" w:type="dxa"/>
          </w:tcPr>
          <w:p w:rsidR="0064639E" w:rsidRPr="009F5F92" w:rsidRDefault="0064639E" w:rsidP="007C4697">
            <w:pPr>
              <w:ind w:left="-108" w:right="-108"/>
              <w:jc w:val="center"/>
              <w:rPr>
                <w:noProof/>
              </w:rPr>
            </w:pPr>
            <w:r w:rsidRPr="009F5F92">
              <w:rPr>
                <w:noProof/>
              </w:rPr>
              <w:drawing>
                <wp:inline distT="0" distB="0" distL="0" distR="0" wp14:anchorId="7BA7B774" wp14:editId="6C35D10D">
                  <wp:extent cx="1977656" cy="1360967"/>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265" cy="1362762"/>
                          </a:xfrm>
                          <a:prstGeom prst="rect">
                            <a:avLst/>
                          </a:prstGeom>
                          <a:noFill/>
                          <a:ln>
                            <a:noFill/>
                          </a:ln>
                        </pic:spPr>
                      </pic:pic>
                    </a:graphicData>
                  </a:graphic>
                </wp:inline>
              </w:drawing>
            </w:r>
          </w:p>
        </w:tc>
        <w:tc>
          <w:tcPr>
            <w:tcW w:w="1985" w:type="dxa"/>
          </w:tcPr>
          <w:p w:rsidR="0064639E" w:rsidRPr="009F5F92" w:rsidRDefault="0064639E" w:rsidP="007C4697">
            <w:pPr>
              <w:ind w:right="176"/>
              <w:rPr>
                <w:rFonts w:ascii="Segoe UI" w:hAnsi="Segoe UI" w:cs="Segoe UI"/>
                <w:sz w:val="20"/>
                <w:szCs w:val="22"/>
              </w:rPr>
            </w:pPr>
            <w:r w:rsidRPr="009F5F92">
              <w:rPr>
                <w:rFonts w:ascii="Segoe UI" w:hAnsi="Segoe UI" w:cs="Segoe UI"/>
                <w:sz w:val="20"/>
                <w:szCs w:val="22"/>
              </w:rPr>
              <w:t>Mothers are receiving a timely Post Natal Mood assessment</w:t>
            </w:r>
          </w:p>
        </w:tc>
        <w:tc>
          <w:tcPr>
            <w:tcW w:w="4677" w:type="dxa"/>
          </w:tcPr>
          <w:p w:rsidR="0064639E" w:rsidRPr="009F5F92" w:rsidRDefault="0064639E" w:rsidP="007C4697">
            <w:pPr>
              <w:outlineLvl w:val="0"/>
              <w:rPr>
                <w:rFonts w:ascii="Segoe UI" w:hAnsi="Segoe UI" w:cs="Segoe UI"/>
                <w:sz w:val="20"/>
                <w:szCs w:val="22"/>
              </w:rPr>
            </w:pPr>
            <w:r w:rsidRPr="009F5F92">
              <w:rPr>
                <w:rFonts w:ascii="Segoe UI" w:hAnsi="Segoe UI" w:cs="Segoe UI"/>
                <w:sz w:val="20"/>
                <w:szCs w:val="22"/>
              </w:rPr>
              <w:t>The Health Visiting Service are consistently achieving well above the 93% KPI and are on target to achieve this for Q4</w:t>
            </w:r>
          </w:p>
        </w:tc>
      </w:tr>
      <w:tr w:rsidR="0064639E" w:rsidRPr="009F5F92" w:rsidTr="007C4697">
        <w:trPr>
          <w:trHeight w:val="1308"/>
        </w:trPr>
        <w:tc>
          <w:tcPr>
            <w:tcW w:w="1277" w:type="dxa"/>
          </w:tcPr>
          <w:p w:rsidR="0064639E" w:rsidRPr="009F5F92" w:rsidRDefault="0064639E" w:rsidP="007C4697">
            <w:pPr>
              <w:ind w:right="-16"/>
              <w:rPr>
                <w:rFonts w:ascii="Segoe UI" w:hAnsi="Segoe UI" w:cs="Segoe UI"/>
                <w:sz w:val="20"/>
                <w:szCs w:val="22"/>
              </w:rPr>
            </w:pPr>
            <w:r w:rsidRPr="009F5F92">
              <w:rPr>
                <w:rFonts w:ascii="Segoe UI" w:hAnsi="Segoe UI" w:cs="Segoe UI"/>
                <w:sz w:val="20"/>
                <w:szCs w:val="22"/>
              </w:rPr>
              <w:lastRenderedPageBreak/>
              <w:t>Health Visiting</w:t>
            </w:r>
          </w:p>
        </w:tc>
        <w:tc>
          <w:tcPr>
            <w:tcW w:w="709" w:type="dxa"/>
          </w:tcPr>
          <w:p w:rsidR="0064639E" w:rsidRPr="009F5F92" w:rsidRDefault="0064639E" w:rsidP="007C4697">
            <w:pPr>
              <w:ind w:right="-16"/>
              <w:rPr>
                <w:rFonts w:ascii="Segoe UI" w:hAnsi="Segoe UI" w:cs="Segoe UI"/>
                <w:sz w:val="20"/>
                <w:szCs w:val="22"/>
              </w:rPr>
            </w:pPr>
            <w:r w:rsidRPr="009F5F92">
              <w:rPr>
                <w:rFonts w:ascii="Segoe UI" w:hAnsi="Segoe UI" w:cs="Segoe UI"/>
                <w:sz w:val="20"/>
                <w:szCs w:val="22"/>
              </w:rPr>
              <w:t>PAF</w:t>
            </w:r>
          </w:p>
        </w:tc>
        <w:tc>
          <w:tcPr>
            <w:tcW w:w="1701" w:type="dxa"/>
          </w:tcPr>
          <w:p w:rsidR="0064639E" w:rsidRPr="009F5F92" w:rsidRDefault="0064639E" w:rsidP="007C4697">
            <w:pPr>
              <w:rPr>
                <w:rFonts w:ascii="Calibri" w:hAnsi="Calibri"/>
                <w:sz w:val="22"/>
                <w:szCs w:val="22"/>
              </w:rPr>
            </w:pPr>
            <w:r w:rsidRPr="009F5F92">
              <w:rPr>
                <w:rFonts w:ascii="Calibri" w:hAnsi="Calibri"/>
                <w:sz w:val="22"/>
                <w:szCs w:val="22"/>
              </w:rPr>
              <w:t xml:space="preserve">Percentage of children who </w:t>
            </w:r>
            <w:r w:rsidRPr="009F5F92">
              <w:rPr>
                <w:rFonts w:ascii="Calibri" w:hAnsi="Calibri"/>
                <w:b/>
                <w:bCs/>
                <w:color w:val="000000"/>
                <w:sz w:val="22"/>
                <w:szCs w:val="22"/>
                <w:u w:val="single"/>
              </w:rPr>
              <w:t>did</w:t>
            </w:r>
            <w:r w:rsidRPr="009F5F92">
              <w:rPr>
                <w:rFonts w:ascii="Calibri" w:hAnsi="Calibri"/>
                <w:sz w:val="22"/>
                <w:szCs w:val="22"/>
              </w:rPr>
              <w:t xml:space="preserve"> receive a 1 year review</w:t>
            </w:r>
          </w:p>
          <w:p w:rsidR="0064639E" w:rsidRPr="009F5F92" w:rsidRDefault="0064639E" w:rsidP="007C4697">
            <w:pPr>
              <w:ind w:right="-16"/>
              <w:rPr>
                <w:rFonts w:ascii="Segoe UI" w:hAnsi="Segoe UI" w:cs="Segoe UI"/>
                <w:sz w:val="20"/>
                <w:szCs w:val="22"/>
              </w:rPr>
            </w:pPr>
          </w:p>
        </w:tc>
        <w:tc>
          <w:tcPr>
            <w:tcW w:w="850" w:type="dxa"/>
            <w:vAlign w:val="center"/>
          </w:tcPr>
          <w:p w:rsidR="0064639E" w:rsidRPr="009F5F92" w:rsidRDefault="0064639E" w:rsidP="007C4697">
            <w:pPr>
              <w:jc w:val="center"/>
              <w:rPr>
                <w:rFonts w:ascii="Segoe UI" w:hAnsi="Segoe UI" w:cs="Segoe UI"/>
                <w:sz w:val="20"/>
                <w:szCs w:val="22"/>
              </w:rPr>
            </w:pPr>
            <w:r w:rsidRPr="009F5F92">
              <w:rPr>
                <w:rFonts w:ascii="Segoe UI" w:hAnsi="Segoe UI" w:cs="Segoe UI"/>
                <w:sz w:val="20"/>
                <w:szCs w:val="22"/>
              </w:rPr>
              <w:t>93%</w:t>
            </w:r>
          </w:p>
        </w:tc>
        <w:tc>
          <w:tcPr>
            <w:tcW w:w="851" w:type="dxa"/>
            <w:shd w:val="clear" w:color="auto" w:fill="92D050"/>
            <w:vAlign w:val="center"/>
          </w:tcPr>
          <w:p w:rsidR="0064639E" w:rsidRPr="009F5F92" w:rsidRDefault="0064639E" w:rsidP="007C4697">
            <w:pPr>
              <w:jc w:val="center"/>
              <w:rPr>
                <w:rFonts w:ascii="Segoe UI" w:hAnsi="Segoe UI" w:cs="Segoe UI"/>
                <w:sz w:val="20"/>
                <w:szCs w:val="22"/>
              </w:rPr>
            </w:pPr>
            <w:r w:rsidRPr="009F5F92">
              <w:rPr>
                <w:rFonts w:ascii="Segoe UI" w:hAnsi="Segoe UI" w:cs="Segoe UI"/>
                <w:sz w:val="20"/>
                <w:szCs w:val="22"/>
              </w:rPr>
              <w:t>94.4%</w:t>
            </w:r>
          </w:p>
        </w:tc>
        <w:tc>
          <w:tcPr>
            <w:tcW w:w="3118" w:type="dxa"/>
          </w:tcPr>
          <w:p w:rsidR="0064639E" w:rsidRPr="009F5F92" w:rsidRDefault="0064639E" w:rsidP="007C4697">
            <w:pPr>
              <w:ind w:left="-108" w:right="-108"/>
              <w:jc w:val="center"/>
              <w:rPr>
                <w:noProof/>
              </w:rPr>
            </w:pPr>
            <w:r w:rsidRPr="009F5F92">
              <w:rPr>
                <w:noProof/>
              </w:rPr>
              <w:drawing>
                <wp:inline distT="0" distB="0" distL="0" distR="0" wp14:anchorId="67A1DFEC" wp14:editId="481858D8">
                  <wp:extent cx="1977656" cy="1275907"/>
                  <wp:effectExtent l="0" t="0" r="381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945" cy="1277384"/>
                          </a:xfrm>
                          <a:prstGeom prst="rect">
                            <a:avLst/>
                          </a:prstGeom>
                          <a:noFill/>
                        </pic:spPr>
                      </pic:pic>
                    </a:graphicData>
                  </a:graphic>
                </wp:inline>
              </w:drawing>
            </w:r>
          </w:p>
        </w:tc>
        <w:tc>
          <w:tcPr>
            <w:tcW w:w="1985" w:type="dxa"/>
          </w:tcPr>
          <w:p w:rsidR="0064639E" w:rsidRPr="009F5F92" w:rsidRDefault="0064639E" w:rsidP="007C4697">
            <w:pPr>
              <w:ind w:right="176"/>
              <w:rPr>
                <w:rFonts w:ascii="Segoe UI" w:hAnsi="Segoe UI" w:cs="Segoe UI"/>
                <w:sz w:val="20"/>
                <w:szCs w:val="22"/>
              </w:rPr>
            </w:pPr>
            <w:r w:rsidRPr="009F5F92">
              <w:rPr>
                <w:rFonts w:ascii="Segoe UI" w:hAnsi="Segoe UI" w:cs="Segoe UI"/>
                <w:sz w:val="20"/>
                <w:szCs w:val="22"/>
              </w:rPr>
              <w:t>Babies are receiving a timely 1 Year ASQ assessment and review</w:t>
            </w:r>
          </w:p>
        </w:tc>
        <w:tc>
          <w:tcPr>
            <w:tcW w:w="4677" w:type="dxa"/>
          </w:tcPr>
          <w:p w:rsidR="0064639E" w:rsidRPr="009F5F92" w:rsidRDefault="0064639E" w:rsidP="007C4697">
            <w:pPr>
              <w:outlineLvl w:val="0"/>
              <w:rPr>
                <w:rFonts w:ascii="Segoe UI" w:hAnsi="Segoe UI" w:cs="Segoe UI"/>
                <w:sz w:val="20"/>
                <w:szCs w:val="22"/>
              </w:rPr>
            </w:pPr>
            <w:r w:rsidRPr="009F5F92">
              <w:rPr>
                <w:rFonts w:ascii="Segoe UI" w:hAnsi="Segoe UI" w:cs="Segoe UI"/>
                <w:sz w:val="20"/>
                <w:szCs w:val="22"/>
              </w:rPr>
              <w:t>The Health Visiting Service are consistently achieving well above the 93% KPI and are on target to achieve this for Q4</w:t>
            </w:r>
          </w:p>
        </w:tc>
      </w:tr>
      <w:tr w:rsidR="0064639E" w:rsidRPr="009F5F92" w:rsidTr="007C4697">
        <w:trPr>
          <w:trHeight w:val="1308"/>
        </w:trPr>
        <w:tc>
          <w:tcPr>
            <w:tcW w:w="1277" w:type="dxa"/>
          </w:tcPr>
          <w:p w:rsidR="0064639E" w:rsidRPr="009F5F92" w:rsidRDefault="0064639E" w:rsidP="007C4697">
            <w:pPr>
              <w:ind w:right="-16"/>
              <w:rPr>
                <w:rFonts w:ascii="Segoe UI" w:hAnsi="Segoe UI" w:cs="Segoe UI"/>
                <w:sz w:val="20"/>
                <w:szCs w:val="22"/>
              </w:rPr>
            </w:pPr>
            <w:r w:rsidRPr="009F5F92">
              <w:rPr>
                <w:rFonts w:ascii="Segoe UI" w:hAnsi="Segoe UI" w:cs="Segoe UI"/>
                <w:sz w:val="20"/>
                <w:szCs w:val="22"/>
              </w:rPr>
              <w:t>Health Visiting</w:t>
            </w:r>
          </w:p>
        </w:tc>
        <w:tc>
          <w:tcPr>
            <w:tcW w:w="709" w:type="dxa"/>
          </w:tcPr>
          <w:p w:rsidR="0064639E" w:rsidRPr="009F5F92" w:rsidRDefault="0064639E" w:rsidP="007C4697">
            <w:pPr>
              <w:ind w:right="-16"/>
              <w:rPr>
                <w:rFonts w:ascii="Segoe UI" w:hAnsi="Segoe UI" w:cs="Segoe UI"/>
                <w:sz w:val="20"/>
                <w:szCs w:val="22"/>
              </w:rPr>
            </w:pPr>
            <w:r w:rsidRPr="009F5F92">
              <w:rPr>
                <w:rFonts w:ascii="Segoe UI" w:hAnsi="Segoe UI" w:cs="Segoe UI"/>
                <w:sz w:val="20"/>
                <w:szCs w:val="22"/>
              </w:rPr>
              <w:t>PAF</w:t>
            </w:r>
          </w:p>
        </w:tc>
        <w:tc>
          <w:tcPr>
            <w:tcW w:w="1701" w:type="dxa"/>
          </w:tcPr>
          <w:p w:rsidR="0064639E" w:rsidRPr="009F5F92" w:rsidRDefault="0064639E" w:rsidP="007C4697">
            <w:pPr>
              <w:rPr>
                <w:rFonts w:ascii="Calibri" w:hAnsi="Calibri"/>
                <w:sz w:val="22"/>
                <w:szCs w:val="22"/>
              </w:rPr>
            </w:pPr>
            <w:r w:rsidRPr="009F5F92">
              <w:rPr>
                <w:rFonts w:ascii="Calibri" w:hAnsi="Calibri"/>
                <w:sz w:val="22"/>
                <w:szCs w:val="22"/>
              </w:rPr>
              <w:t xml:space="preserve">Percentage of children who </w:t>
            </w:r>
            <w:r w:rsidRPr="009F5F92">
              <w:rPr>
                <w:rFonts w:ascii="Calibri" w:hAnsi="Calibri"/>
                <w:b/>
                <w:bCs/>
                <w:color w:val="000000"/>
                <w:sz w:val="22"/>
                <w:szCs w:val="22"/>
                <w:u w:val="single"/>
              </w:rPr>
              <w:t>did</w:t>
            </w:r>
            <w:r w:rsidRPr="009F5F92">
              <w:rPr>
                <w:rFonts w:ascii="Calibri" w:hAnsi="Calibri"/>
                <w:sz w:val="22"/>
                <w:szCs w:val="22"/>
              </w:rPr>
              <w:t xml:space="preserve"> receive a 2-2.5 year review</w:t>
            </w:r>
          </w:p>
          <w:p w:rsidR="0064639E" w:rsidRPr="009F5F92" w:rsidRDefault="0064639E" w:rsidP="007C4697">
            <w:pPr>
              <w:ind w:right="-16"/>
              <w:rPr>
                <w:rFonts w:ascii="Segoe UI" w:hAnsi="Segoe UI" w:cs="Segoe UI"/>
                <w:sz w:val="20"/>
                <w:szCs w:val="22"/>
              </w:rPr>
            </w:pPr>
          </w:p>
        </w:tc>
        <w:tc>
          <w:tcPr>
            <w:tcW w:w="850" w:type="dxa"/>
            <w:vAlign w:val="center"/>
          </w:tcPr>
          <w:p w:rsidR="0064639E" w:rsidRPr="009F5F92" w:rsidRDefault="0064639E" w:rsidP="007C4697">
            <w:pPr>
              <w:jc w:val="center"/>
              <w:rPr>
                <w:rFonts w:ascii="Segoe UI" w:hAnsi="Segoe UI" w:cs="Segoe UI"/>
                <w:sz w:val="20"/>
                <w:szCs w:val="22"/>
              </w:rPr>
            </w:pPr>
            <w:r w:rsidRPr="009F5F92">
              <w:rPr>
                <w:rFonts w:ascii="Segoe UI" w:hAnsi="Segoe UI" w:cs="Segoe UI"/>
                <w:sz w:val="20"/>
                <w:szCs w:val="22"/>
              </w:rPr>
              <w:t>93%</w:t>
            </w:r>
          </w:p>
        </w:tc>
        <w:tc>
          <w:tcPr>
            <w:tcW w:w="851" w:type="dxa"/>
            <w:shd w:val="clear" w:color="auto" w:fill="92D050"/>
            <w:vAlign w:val="center"/>
          </w:tcPr>
          <w:p w:rsidR="0064639E" w:rsidRPr="009F5F92" w:rsidRDefault="0064639E" w:rsidP="007C4697">
            <w:pPr>
              <w:jc w:val="center"/>
              <w:rPr>
                <w:rFonts w:ascii="Segoe UI" w:hAnsi="Segoe UI" w:cs="Segoe UI"/>
                <w:sz w:val="20"/>
                <w:szCs w:val="22"/>
              </w:rPr>
            </w:pPr>
            <w:r w:rsidRPr="009F5F92">
              <w:rPr>
                <w:rFonts w:ascii="Segoe UI" w:hAnsi="Segoe UI" w:cs="Segoe UI"/>
                <w:sz w:val="20"/>
                <w:szCs w:val="22"/>
              </w:rPr>
              <w:t>94.9%</w:t>
            </w:r>
          </w:p>
        </w:tc>
        <w:tc>
          <w:tcPr>
            <w:tcW w:w="3118" w:type="dxa"/>
          </w:tcPr>
          <w:p w:rsidR="0064639E" w:rsidRPr="009F5F92" w:rsidRDefault="0064639E" w:rsidP="007C4697">
            <w:pPr>
              <w:ind w:left="-108" w:right="-108"/>
              <w:jc w:val="center"/>
              <w:rPr>
                <w:noProof/>
              </w:rPr>
            </w:pPr>
            <w:r w:rsidRPr="009F5F92">
              <w:rPr>
                <w:noProof/>
              </w:rPr>
              <w:drawing>
                <wp:inline distT="0" distB="0" distL="0" distR="0" wp14:anchorId="691536D3" wp14:editId="6DE52D1E">
                  <wp:extent cx="1967023" cy="129717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501" cy="1298146"/>
                          </a:xfrm>
                          <a:prstGeom prst="rect">
                            <a:avLst/>
                          </a:prstGeom>
                          <a:noFill/>
                        </pic:spPr>
                      </pic:pic>
                    </a:graphicData>
                  </a:graphic>
                </wp:inline>
              </w:drawing>
            </w:r>
          </w:p>
        </w:tc>
        <w:tc>
          <w:tcPr>
            <w:tcW w:w="1985" w:type="dxa"/>
          </w:tcPr>
          <w:p w:rsidR="0064639E" w:rsidRPr="009F5F92" w:rsidRDefault="0064639E" w:rsidP="007C4697">
            <w:pPr>
              <w:ind w:right="176"/>
              <w:rPr>
                <w:rFonts w:ascii="Segoe UI" w:hAnsi="Segoe UI" w:cs="Segoe UI"/>
                <w:sz w:val="20"/>
                <w:szCs w:val="22"/>
              </w:rPr>
            </w:pPr>
            <w:r w:rsidRPr="009F5F92">
              <w:rPr>
                <w:rFonts w:ascii="Segoe UI" w:hAnsi="Segoe UI" w:cs="Segoe UI"/>
                <w:sz w:val="20"/>
                <w:szCs w:val="22"/>
              </w:rPr>
              <w:t>Babies are receiving a timely 2 -2.5 Year ASQ assessment and review</w:t>
            </w:r>
          </w:p>
        </w:tc>
        <w:tc>
          <w:tcPr>
            <w:tcW w:w="4677" w:type="dxa"/>
          </w:tcPr>
          <w:p w:rsidR="0064639E" w:rsidRPr="009F5F92" w:rsidRDefault="0064639E" w:rsidP="007C4697">
            <w:pPr>
              <w:outlineLvl w:val="0"/>
              <w:rPr>
                <w:rFonts w:ascii="Segoe UI" w:hAnsi="Segoe UI" w:cs="Segoe UI"/>
                <w:sz w:val="20"/>
                <w:szCs w:val="22"/>
              </w:rPr>
            </w:pPr>
            <w:r w:rsidRPr="009F5F92">
              <w:rPr>
                <w:rFonts w:ascii="Segoe UI" w:hAnsi="Segoe UI" w:cs="Segoe UI"/>
                <w:sz w:val="20"/>
                <w:szCs w:val="22"/>
              </w:rPr>
              <w:t>The Health Visiting Service are consistently achieving well above the 93% KPI and are on target to achieve this for Q4</w:t>
            </w:r>
          </w:p>
        </w:tc>
      </w:tr>
    </w:tbl>
    <w:p w:rsidR="0064639E" w:rsidRDefault="0064639E" w:rsidP="009F5F92"/>
    <w:p w:rsidR="0064639E" w:rsidRDefault="0064639E" w:rsidP="009F5F92"/>
    <w:p w:rsidR="009D060B" w:rsidRDefault="009D060B" w:rsidP="009D060B">
      <w:pPr>
        <w:jc w:val="center"/>
        <w:rPr>
          <w:rFonts w:ascii="Segoe UI" w:hAnsi="Segoe UI" w:cs="Segoe UI"/>
          <w:u w:val="single"/>
        </w:rPr>
      </w:pPr>
      <w:r>
        <w:rPr>
          <w:rFonts w:ascii="Segoe UI" w:hAnsi="Segoe UI" w:cs="Segoe UI"/>
          <w:u w:val="single"/>
        </w:rPr>
        <w:t>Older Peoples</w:t>
      </w:r>
      <w:r w:rsidRPr="009C1BE7">
        <w:rPr>
          <w:rFonts w:ascii="Segoe UI" w:hAnsi="Segoe UI" w:cs="Segoe UI"/>
          <w:u w:val="single"/>
        </w:rPr>
        <w:t xml:space="preserve"> Directorate-COO Supporting Information</w:t>
      </w:r>
      <w:r>
        <w:rPr>
          <w:rFonts w:ascii="Segoe UI" w:hAnsi="Segoe UI" w:cs="Segoe UI"/>
          <w:u w:val="single"/>
        </w:rPr>
        <w:t>-Month 10</w:t>
      </w:r>
    </w:p>
    <w:p w:rsidR="0064639E" w:rsidRDefault="0064639E" w:rsidP="009D060B">
      <w:pPr>
        <w:jc w:val="center"/>
        <w:rPr>
          <w:rFonts w:ascii="Segoe UI" w:hAnsi="Segoe UI" w:cs="Segoe UI"/>
          <w:u w:val="single"/>
        </w:rPr>
      </w:pPr>
    </w:p>
    <w:tbl>
      <w:tblPr>
        <w:tblStyle w:val="TableGrid"/>
        <w:tblW w:w="0" w:type="auto"/>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3969"/>
      </w:tblGrid>
      <w:tr w:rsidR="0064639E" w:rsidTr="0064639E">
        <w:tc>
          <w:tcPr>
            <w:tcW w:w="426" w:type="dxa"/>
            <w:shd w:val="clear" w:color="auto" w:fill="FF0000"/>
          </w:tcPr>
          <w:p w:rsidR="0064639E" w:rsidRPr="0096419E" w:rsidRDefault="0064639E" w:rsidP="007C4697">
            <w:pPr>
              <w:rPr>
                <w:rFonts w:ascii="Segoe UI" w:hAnsi="Segoe UI" w:cs="Segoe UI"/>
                <w:b/>
              </w:rPr>
            </w:pPr>
            <w:r>
              <w:rPr>
                <w:rFonts w:ascii="Segoe UI" w:hAnsi="Segoe UI" w:cs="Segoe UI"/>
                <w:b/>
              </w:rPr>
              <w:t>R</w:t>
            </w:r>
          </w:p>
        </w:tc>
        <w:tc>
          <w:tcPr>
            <w:tcW w:w="3969" w:type="dxa"/>
            <w:shd w:val="clear" w:color="auto" w:fill="auto"/>
          </w:tcPr>
          <w:p w:rsidR="0064639E" w:rsidRPr="0064639E" w:rsidRDefault="0064639E" w:rsidP="007C4697">
            <w:pPr>
              <w:rPr>
                <w:rFonts w:ascii="Segoe UI" w:hAnsi="Segoe UI" w:cs="Segoe UI"/>
              </w:rPr>
            </w:pPr>
            <w:r>
              <w:rPr>
                <w:rFonts w:ascii="Segoe UI" w:hAnsi="Segoe UI" w:cs="Segoe UI"/>
              </w:rPr>
              <w:t>Areas requiring improvement</w:t>
            </w:r>
          </w:p>
        </w:tc>
      </w:tr>
    </w:tbl>
    <w:p w:rsidR="009D060B" w:rsidRDefault="009D060B" w:rsidP="009D060B"/>
    <w:tbl>
      <w:tblPr>
        <w:tblStyle w:val="TableGrid1"/>
        <w:tblW w:w="15168" w:type="dxa"/>
        <w:tblInd w:w="-318" w:type="dxa"/>
        <w:tblLayout w:type="fixed"/>
        <w:tblLook w:val="04A0" w:firstRow="1" w:lastRow="0" w:firstColumn="1" w:lastColumn="0" w:noHBand="0" w:noVBand="1"/>
      </w:tblPr>
      <w:tblGrid>
        <w:gridCol w:w="1277"/>
        <w:gridCol w:w="709"/>
        <w:gridCol w:w="1701"/>
        <w:gridCol w:w="850"/>
        <w:gridCol w:w="853"/>
        <w:gridCol w:w="3117"/>
        <w:gridCol w:w="1990"/>
        <w:gridCol w:w="4671"/>
      </w:tblGrid>
      <w:tr w:rsidR="00520AC8" w:rsidRPr="00FE1C58" w:rsidTr="00B9297A">
        <w:tc>
          <w:tcPr>
            <w:tcW w:w="1277" w:type="dxa"/>
            <w:shd w:val="clear" w:color="auto" w:fill="548DD4" w:themeFill="text2" w:themeFillTint="99"/>
          </w:tcPr>
          <w:p w:rsidR="00520AC8" w:rsidRPr="00FE1C58" w:rsidRDefault="00520AC8" w:rsidP="00B9297A">
            <w:pPr>
              <w:spacing w:before="40" w:after="40"/>
              <w:rPr>
                <w:rFonts w:ascii="Segoe UI" w:hAnsi="Segoe UI" w:cs="Segoe UI"/>
                <w:b/>
                <w:color w:val="FFFFFF" w:themeColor="background1"/>
                <w:sz w:val="20"/>
                <w:szCs w:val="22"/>
              </w:rPr>
            </w:pPr>
            <w:r>
              <w:rPr>
                <w:rFonts w:ascii="Segoe UI" w:hAnsi="Segoe UI" w:cs="Segoe UI"/>
                <w:b/>
                <w:color w:val="FFFFFF" w:themeColor="background1"/>
                <w:sz w:val="20"/>
                <w:szCs w:val="22"/>
              </w:rPr>
              <w:t>Service</w:t>
            </w:r>
          </w:p>
        </w:tc>
        <w:tc>
          <w:tcPr>
            <w:tcW w:w="709" w:type="dxa"/>
            <w:shd w:val="clear" w:color="auto" w:fill="548DD4" w:themeFill="text2" w:themeFillTint="99"/>
          </w:tcPr>
          <w:p w:rsidR="00520AC8" w:rsidRPr="00FE1C58" w:rsidRDefault="00520AC8" w:rsidP="00B9297A">
            <w:pPr>
              <w:spacing w:before="40" w:after="40"/>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Ref</w:t>
            </w:r>
          </w:p>
        </w:tc>
        <w:tc>
          <w:tcPr>
            <w:tcW w:w="1701" w:type="dxa"/>
            <w:shd w:val="clear" w:color="auto" w:fill="548DD4" w:themeFill="text2" w:themeFillTint="99"/>
          </w:tcPr>
          <w:p w:rsidR="00520AC8" w:rsidRPr="00FE1C58" w:rsidRDefault="00520AC8" w:rsidP="00B9297A">
            <w:pPr>
              <w:spacing w:before="40" w:after="40"/>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Measure</w:t>
            </w:r>
          </w:p>
        </w:tc>
        <w:tc>
          <w:tcPr>
            <w:tcW w:w="850" w:type="dxa"/>
            <w:shd w:val="clear" w:color="auto" w:fill="548DD4" w:themeFill="text2" w:themeFillTint="99"/>
          </w:tcPr>
          <w:p w:rsidR="00520AC8" w:rsidRPr="00FE1C58" w:rsidRDefault="00520AC8" w:rsidP="00B9297A">
            <w:pPr>
              <w:spacing w:before="40" w:after="40"/>
              <w:jc w:val="center"/>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Target</w:t>
            </w:r>
          </w:p>
        </w:tc>
        <w:tc>
          <w:tcPr>
            <w:tcW w:w="853" w:type="dxa"/>
            <w:shd w:val="clear" w:color="auto" w:fill="548DD4" w:themeFill="text2" w:themeFillTint="99"/>
          </w:tcPr>
          <w:p w:rsidR="00520AC8" w:rsidRPr="00FE1C58" w:rsidRDefault="00520AC8" w:rsidP="00B9297A">
            <w:pPr>
              <w:spacing w:before="40" w:after="40"/>
              <w:jc w:val="center"/>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Actual</w:t>
            </w:r>
          </w:p>
        </w:tc>
        <w:tc>
          <w:tcPr>
            <w:tcW w:w="3117" w:type="dxa"/>
            <w:shd w:val="clear" w:color="auto" w:fill="548DD4" w:themeFill="text2" w:themeFillTint="99"/>
          </w:tcPr>
          <w:p w:rsidR="00520AC8" w:rsidRDefault="00520AC8" w:rsidP="00B9297A">
            <w:pPr>
              <w:spacing w:before="40" w:after="40"/>
              <w:jc w:val="center"/>
              <w:rPr>
                <w:rFonts w:ascii="Segoe UI" w:hAnsi="Segoe UI" w:cs="Segoe UI"/>
                <w:b/>
                <w:color w:val="FFFFFF" w:themeColor="background1"/>
                <w:sz w:val="20"/>
                <w:szCs w:val="22"/>
              </w:rPr>
            </w:pPr>
            <w:r>
              <w:rPr>
                <w:rFonts w:ascii="Segoe UI" w:hAnsi="Segoe UI" w:cs="Segoe UI"/>
                <w:b/>
                <w:color w:val="FFFFFF" w:themeColor="background1"/>
                <w:sz w:val="20"/>
                <w:szCs w:val="22"/>
              </w:rPr>
              <w:t>Trend</w:t>
            </w:r>
          </w:p>
        </w:tc>
        <w:tc>
          <w:tcPr>
            <w:tcW w:w="1990" w:type="dxa"/>
            <w:shd w:val="clear" w:color="auto" w:fill="548DD4" w:themeFill="text2" w:themeFillTint="99"/>
          </w:tcPr>
          <w:p w:rsidR="00520AC8" w:rsidRPr="00FE1C58" w:rsidRDefault="00520AC8" w:rsidP="00B9297A">
            <w:pPr>
              <w:spacing w:before="40" w:after="40"/>
              <w:jc w:val="center"/>
              <w:rPr>
                <w:rFonts w:ascii="Segoe UI" w:hAnsi="Segoe UI" w:cs="Segoe UI"/>
                <w:b/>
                <w:color w:val="FFFFFF" w:themeColor="background1"/>
                <w:sz w:val="20"/>
                <w:szCs w:val="22"/>
              </w:rPr>
            </w:pPr>
            <w:r>
              <w:rPr>
                <w:rFonts w:ascii="Segoe UI" w:hAnsi="Segoe UI" w:cs="Segoe UI"/>
                <w:b/>
                <w:color w:val="FFFFFF" w:themeColor="background1"/>
                <w:sz w:val="20"/>
                <w:szCs w:val="22"/>
              </w:rPr>
              <w:t xml:space="preserve">Impact </w:t>
            </w:r>
          </w:p>
        </w:tc>
        <w:tc>
          <w:tcPr>
            <w:tcW w:w="4671" w:type="dxa"/>
            <w:shd w:val="clear" w:color="auto" w:fill="548DD4" w:themeFill="text2" w:themeFillTint="99"/>
          </w:tcPr>
          <w:p w:rsidR="00520AC8" w:rsidRPr="00FE1C58" w:rsidRDefault="00520AC8" w:rsidP="00B9297A">
            <w:pPr>
              <w:spacing w:before="40" w:after="40"/>
              <w:jc w:val="center"/>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Action</w:t>
            </w:r>
            <w:r>
              <w:rPr>
                <w:rFonts w:ascii="Segoe UI" w:hAnsi="Segoe UI" w:cs="Segoe UI"/>
                <w:b/>
                <w:color w:val="FFFFFF" w:themeColor="background1"/>
                <w:sz w:val="20"/>
                <w:szCs w:val="22"/>
              </w:rPr>
              <w:t xml:space="preserve"> and Resolution Timescale</w:t>
            </w:r>
          </w:p>
        </w:tc>
      </w:tr>
    </w:tbl>
    <w:tbl>
      <w:tblPr>
        <w:tblStyle w:val="TableGrid"/>
        <w:tblW w:w="15168" w:type="dxa"/>
        <w:tblInd w:w="-318" w:type="dxa"/>
        <w:tblLayout w:type="fixed"/>
        <w:tblLook w:val="04A0" w:firstRow="1" w:lastRow="0" w:firstColumn="1" w:lastColumn="0" w:noHBand="0" w:noVBand="1"/>
      </w:tblPr>
      <w:tblGrid>
        <w:gridCol w:w="1277"/>
        <w:gridCol w:w="709"/>
        <w:gridCol w:w="1701"/>
        <w:gridCol w:w="850"/>
        <w:gridCol w:w="853"/>
        <w:gridCol w:w="3117"/>
        <w:gridCol w:w="1990"/>
        <w:gridCol w:w="4671"/>
      </w:tblGrid>
      <w:tr w:rsidR="009D060B" w:rsidRPr="0082749F" w:rsidTr="00C95489">
        <w:trPr>
          <w:trHeight w:val="1308"/>
        </w:trPr>
        <w:tc>
          <w:tcPr>
            <w:tcW w:w="1277" w:type="dxa"/>
          </w:tcPr>
          <w:p w:rsidR="009D060B" w:rsidRPr="0082749F" w:rsidRDefault="009D060B" w:rsidP="00B9297A">
            <w:pPr>
              <w:ind w:right="-16"/>
              <w:rPr>
                <w:rFonts w:ascii="Segoe UI" w:hAnsi="Segoe UI" w:cs="Segoe UI"/>
                <w:sz w:val="20"/>
                <w:szCs w:val="22"/>
              </w:rPr>
            </w:pPr>
            <w:r w:rsidRPr="00E559F3">
              <w:rPr>
                <w:rFonts w:ascii="Segoe UI" w:hAnsi="Segoe UI" w:cs="Segoe UI"/>
                <w:sz w:val="20"/>
                <w:szCs w:val="22"/>
              </w:rPr>
              <w:t>Out of</w:t>
            </w:r>
            <w:r w:rsidRPr="0082749F">
              <w:rPr>
                <w:rFonts w:ascii="Segoe UI" w:hAnsi="Segoe UI" w:cs="Segoe UI"/>
                <w:sz w:val="20"/>
                <w:szCs w:val="22"/>
              </w:rPr>
              <w:t xml:space="preserve"> Hours</w:t>
            </w:r>
          </w:p>
        </w:tc>
        <w:tc>
          <w:tcPr>
            <w:tcW w:w="709" w:type="dxa"/>
          </w:tcPr>
          <w:p w:rsidR="009D060B" w:rsidRPr="0082749F" w:rsidRDefault="009D060B" w:rsidP="00B9297A">
            <w:pPr>
              <w:ind w:right="-16"/>
              <w:rPr>
                <w:rFonts w:ascii="Segoe UI" w:hAnsi="Segoe UI" w:cs="Segoe UI"/>
                <w:sz w:val="20"/>
                <w:szCs w:val="22"/>
              </w:rPr>
            </w:pPr>
            <w:r w:rsidRPr="0082749F">
              <w:rPr>
                <w:rFonts w:ascii="Segoe UI" w:hAnsi="Segoe UI" w:cs="Segoe UI"/>
                <w:sz w:val="20"/>
                <w:szCs w:val="22"/>
              </w:rPr>
              <w:t>NQR</w:t>
            </w:r>
          </w:p>
          <w:p w:rsidR="009D060B" w:rsidRDefault="009D060B" w:rsidP="00B9297A">
            <w:pPr>
              <w:ind w:right="-16"/>
              <w:rPr>
                <w:rFonts w:ascii="Segoe UI" w:hAnsi="Segoe UI" w:cs="Segoe UI"/>
                <w:sz w:val="20"/>
                <w:szCs w:val="22"/>
              </w:rPr>
            </w:pPr>
            <w:r w:rsidRPr="0082749F">
              <w:rPr>
                <w:rFonts w:ascii="Segoe UI" w:hAnsi="Segoe UI" w:cs="Segoe UI"/>
                <w:sz w:val="20"/>
                <w:szCs w:val="22"/>
              </w:rPr>
              <w:t>10</w:t>
            </w:r>
          </w:p>
          <w:p w:rsidR="009D060B" w:rsidRPr="0082749F" w:rsidRDefault="009D060B" w:rsidP="00B9297A">
            <w:pPr>
              <w:ind w:right="-16"/>
              <w:rPr>
                <w:rFonts w:ascii="Segoe UI" w:hAnsi="Segoe UI" w:cs="Segoe UI"/>
                <w:sz w:val="20"/>
                <w:szCs w:val="22"/>
              </w:rPr>
            </w:pPr>
            <w:r w:rsidRPr="0082749F">
              <w:rPr>
                <w:rFonts w:ascii="Segoe UI" w:hAnsi="Segoe UI" w:cs="Segoe UI"/>
                <w:sz w:val="20"/>
                <w:szCs w:val="22"/>
              </w:rPr>
              <w:t>B8</w:t>
            </w:r>
          </w:p>
        </w:tc>
        <w:tc>
          <w:tcPr>
            <w:tcW w:w="1701" w:type="dxa"/>
          </w:tcPr>
          <w:p w:rsidR="009D060B" w:rsidRPr="000E0BCE" w:rsidRDefault="009D060B" w:rsidP="00B9297A">
            <w:pPr>
              <w:rPr>
                <w:rFonts w:ascii="Segoe UI" w:hAnsi="Segoe UI" w:cs="Segoe UI"/>
                <w:sz w:val="20"/>
                <w:szCs w:val="22"/>
              </w:rPr>
            </w:pPr>
            <w:r>
              <w:rPr>
                <w:rFonts w:ascii="Segoe UI" w:hAnsi="Segoe UI" w:cs="Segoe UI"/>
                <w:b/>
                <w:sz w:val="20"/>
                <w:szCs w:val="22"/>
              </w:rPr>
              <w:t>OOH u</w:t>
            </w:r>
            <w:r w:rsidRPr="00A117AE">
              <w:rPr>
                <w:rFonts w:ascii="Segoe UI" w:hAnsi="Segoe UI" w:cs="Segoe UI"/>
                <w:b/>
                <w:sz w:val="20"/>
                <w:szCs w:val="22"/>
              </w:rPr>
              <w:t>rgent triage (walk in) - time to triage</w:t>
            </w:r>
            <w:r>
              <w:rPr>
                <w:rFonts w:ascii="Segoe UI" w:hAnsi="Segoe UI" w:cs="Segoe UI"/>
                <w:sz w:val="20"/>
                <w:szCs w:val="22"/>
              </w:rPr>
              <w:t>; &lt;20 mins of arrival</w:t>
            </w:r>
          </w:p>
        </w:tc>
        <w:tc>
          <w:tcPr>
            <w:tcW w:w="850" w:type="dxa"/>
            <w:vAlign w:val="center"/>
          </w:tcPr>
          <w:p w:rsidR="009D060B" w:rsidRPr="000C7AFE" w:rsidRDefault="009D060B" w:rsidP="00B9297A">
            <w:pPr>
              <w:jc w:val="center"/>
              <w:rPr>
                <w:rFonts w:ascii="Segoe UI" w:hAnsi="Segoe UI" w:cs="Segoe UI"/>
                <w:sz w:val="20"/>
                <w:szCs w:val="22"/>
              </w:rPr>
            </w:pPr>
            <w:r w:rsidRPr="000C7AFE">
              <w:rPr>
                <w:rFonts w:ascii="Segoe UI" w:hAnsi="Segoe UI" w:cs="Segoe UI"/>
                <w:sz w:val="20"/>
                <w:szCs w:val="22"/>
              </w:rPr>
              <w:t>95%</w:t>
            </w:r>
          </w:p>
        </w:tc>
        <w:tc>
          <w:tcPr>
            <w:tcW w:w="853" w:type="dxa"/>
            <w:shd w:val="clear" w:color="auto" w:fill="FF0000"/>
            <w:vAlign w:val="center"/>
          </w:tcPr>
          <w:p w:rsidR="009D060B" w:rsidRPr="000C7AFE" w:rsidRDefault="009D060B" w:rsidP="00B9297A">
            <w:pPr>
              <w:jc w:val="center"/>
              <w:rPr>
                <w:rFonts w:ascii="Segoe UI" w:hAnsi="Segoe UI" w:cs="Segoe UI"/>
                <w:sz w:val="20"/>
                <w:szCs w:val="22"/>
              </w:rPr>
            </w:pPr>
            <w:r>
              <w:rPr>
                <w:rFonts w:ascii="Segoe UI" w:hAnsi="Segoe UI" w:cs="Segoe UI"/>
                <w:sz w:val="20"/>
                <w:szCs w:val="22"/>
              </w:rPr>
              <w:t>49</w:t>
            </w:r>
            <w:r w:rsidRPr="000C7AFE">
              <w:rPr>
                <w:rFonts w:ascii="Segoe UI" w:hAnsi="Segoe UI" w:cs="Segoe UI"/>
                <w:sz w:val="20"/>
                <w:szCs w:val="22"/>
              </w:rPr>
              <w:t>%</w:t>
            </w:r>
          </w:p>
        </w:tc>
        <w:tc>
          <w:tcPr>
            <w:tcW w:w="3117" w:type="dxa"/>
            <w:shd w:val="clear" w:color="auto" w:fill="FFFFFF" w:themeFill="background1"/>
          </w:tcPr>
          <w:p w:rsidR="009D060B" w:rsidRPr="00A117AE" w:rsidRDefault="009D060B" w:rsidP="00B9297A">
            <w:pPr>
              <w:ind w:left="-108" w:right="-108"/>
              <w:rPr>
                <w:rFonts w:ascii="Segoe UI" w:hAnsi="Segoe UI" w:cs="Segoe UI"/>
                <w:noProof/>
                <w:sz w:val="8"/>
              </w:rPr>
            </w:pPr>
            <w:r>
              <w:rPr>
                <w:noProof/>
              </w:rPr>
              <w:drawing>
                <wp:inline distT="0" distB="0" distL="0" distR="0" wp14:anchorId="52D81EEE" wp14:editId="48278400">
                  <wp:extent cx="1967023" cy="1467293"/>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1990" w:type="dxa"/>
            <w:shd w:val="clear" w:color="auto" w:fill="FFFFFF" w:themeFill="background1"/>
          </w:tcPr>
          <w:p w:rsidR="009D060B" w:rsidRPr="00A117AE" w:rsidRDefault="009D060B" w:rsidP="00B9297A">
            <w:pPr>
              <w:ind w:right="176"/>
              <w:rPr>
                <w:rFonts w:ascii="Segoe UI" w:hAnsi="Segoe UI" w:cs="Segoe UI"/>
                <w:noProof/>
                <w:sz w:val="8"/>
              </w:rPr>
            </w:pPr>
          </w:p>
          <w:p w:rsidR="009D060B" w:rsidRPr="000C7AFE" w:rsidRDefault="009D060B" w:rsidP="00B9297A">
            <w:pPr>
              <w:ind w:right="34"/>
              <w:rPr>
                <w:rFonts w:ascii="Segoe UI" w:hAnsi="Segoe UI" w:cs="Segoe UI"/>
                <w:noProof/>
                <w:sz w:val="20"/>
              </w:rPr>
            </w:pPr>
            <w:r>
              <w:rPr>
                <w:rFonts w:ascii="Segoe UI" w:hAnsi="Segoe UI" w:cs="Segoe UI"/>
                <w:noProof/>
                <w:sz w:val="20"/>
              </w:rPr>
              <w:t>E</w:t>
            </w:r>
            <w:r w:rsidRPr="000C7AFE">
              <w:rPr>
                <w:rFonts w:ascii="Segoe UI" w:hAnsi="Segoe UI" w:cs="Segoe UI"/>
                <w:noProof/>
                <w:sz w:val="20"/>
              </w:rPr>
              <w:t>xtended waiting time pos</w:t>
            </w:r>
            <w:r>
              <w:rPr>
                <w:rFonts w:ascii="Segoe UI" w:hAnsi="Segoe UI" w:cs="Segoe UI"/>
                <w:noProof/>
                <w:sz w:val="20"/>
              </w:rPr>
              <w:t xml:space="preserve">sibly resulting in delayed care  </w:t>
            </w:r>
          </w:p>
          <w:p w:rsidR="009D060B" w:rsidRDefault="009D060B" w:rsidP="00B9297A">
            <w:pPr>
              <w:ind w:right="176"/>
              <w:rPr>
                <w:rFonts w:ascii="Segoe UI" w:hAnsi="Segoe UI" w:cs="Segoe UI"/>
                <w:noProof/>
                <w:sz w:val="20"/>
              </w:rPr>
            </w:pPr>
          </w:p>
          <w:p w:rsidR="009D060B" w:rsidRPr="000C7AFE" w:rsidRDefault="009D060B" w:rsidP="00B9297A">
            <w:pPr>
              <w:ind w:right="176"/>
              <w:rPr>
                <w:noProof/>
                <w:sz w:val="20"/>
              </w:rPr>
            </w:pPr>
          </w:p>
        </w:tc>
        <w:tc>
          <w:tcPr>
            <w:tcW w:w="4671" w:type="dxa"/>
            <w:vMerge w:val="restart"/>
            <w:shd w:val="clear" w:color="auto" w:fill="FFFFFF" w:themeFill="background1"/>
            <w:vAlign w:val="center"/>
          </w:tcPr>
          <w:p w:rsidR="009D060B" w:rsidRDefault="009D060B" w:rsidP="00B9297A">
            <w:pPr>
              <w:rPr>
                <w:rFonts w:ascii="Segoe UI" w:hAnsi="Segoe UI" w:cs="Segoe UI"/>
                <w:sz w:val="20"/>
              </w:rPr>
            </w:pPr>
            <w:r w:rsidRPr="009323E2">
              <w:rPr>
                <w:rFonts w:ascii="Segoe UI" w:hAnsi="Segoe UI" w:cs="Segoe UI"/>
                <w:b/>
                <w:bCs/>
                <w:sz w:val="20"/>
              </w:rPr>
              <w:t>NQR10 B8 and B9</w:t>
            </w:r>
            <w:r w:rsidRPr="009323E2">
              <w:rPr>
                <w:rFonts w:ascii="Segoe UI" w:hAnsi="Segoe UI" w:cs="Segoe UI"/>
                <w:sz w:val="20"/>
              </w:rPr>
              <w:t xml:space="preserve">. </w:t>
            </w:r>
            <w:r>
              <w:rPr>
                <w:rFonts w:ascii="Segoe UI" w:hAnsi="Segoe UI" w:cs="Segoe UI"/>
                <w:sz w:val="20"/>
              </w:rPr>
              <w:t>The service is</w:t>
            </w:r>
            <w:r w:rsidRPr="009323E2">
              <w:rPr>
                <w:rFonts w:ascii="Segoe UI" w:hAnsi="Segoe UI" w:cs="Segoe UI"/>
                <w:sz w:val="20"/>
              </w:rPr>
              <w:t xml:space="preserve"> attempting to recruit HCA/ENAs to undertake an initial asse</w:t>
            </w:r>
            <w:r>
              <w:rPr>
                <w:rFonts w:ascii="Segoe UI" w:hAnsi="Segoe UI" w:cs="Segoe UI"/>
                <w:sz w:val="20"/>
              </w:rPr>
              <w:t>ssment of all walk ins so that this can be</w:t>
            </w:r>
            <w:r w:rsidRPr="009323E2">
              <w:rPr>
                <w:rFonts w:ascii="Segoe UI" w:hAnsi="Segoe UI" w:cs="Segoe UI"/>
                <w:sz w:val="20"/>
              </w:rPr>
              <w:t xml:space="preserve"> record</w:t>
            </w:r>
            <w:r>
              <w:rPr>
                <w:rFonts w:ascii="Segoe UI" w:hAnsi="Segoe UI" w:cs="Segoe UI"/>
                <w:sz w:val="20"/>
              </w:rPr>
              <w:t>ed</w:t>
            </w:r>
            <w:r w:rsidRPr="009323E2">
              <w:rPr>
                <w:rFonts w:ascii="Segoe UI" w:hAnsi="Segoe UI" w:cs="Segoe UI"/>
                <w:sz w:val="20"/>
              </w:rPr>
              <w:t xml:space="preserve"> as the initial triage. A more senior clinician will look over the data gathered and decide when a patient should be seen. Unfortunately this will be likely to increase the number of walk ins as they will learn that they will </w:t>
            </w:r>
            <w:r w:rsidRPr="009323E2">
              <w:rPr>
                <w:rFonts w:ascii="Segoe UI" w:hAnsi="Segoe UI" w:cs="Segoe UI"/>
                <w:sz w:val="20"/>
              </w:rPr>
              <w:lastRenderedPageBreak/>
              <w:t>be seen within 15 minutes or so</w:t>
            </w:r>
            <w:r>
              <w:rPr>
                <w:rFonts w:ascii="Segoe UI" w:hAnsi="Segoe UI" w:cs="Segoe UI"/>
                <w:sz w:val="20"/>
              </w:rPr>
              <w:t>.</w:t>
            </w:r>
            <w:r>
              <w:t xml:space="preserve"> </w:t>
            </w:r>
            <w:r>
              <w:rPr>
                <w:rFonts w:ascii="Segoe UI" w:hAnsi="Segoe UI" w:cs="Segoe UI"/>
                <w:sz w:val="20"/>
              </w:rPr>
              <w:t>Pa</w:t>
            </w:r>
            <w:r w:rsidRPr="00756303">
              <w:rPr>
                <w:rFonts w:ascii="Segoe UI" w:hAnsi="Segoe UI" w:cs="Segoe UI"/>
                <w:sz w:val="20"/>
              </w:rPr>
              <w:t xml:space="preserve">tients should be advised that they can only access the OOHs service via 111.  </w:t>
            </w:r>
          </w:p>
          <w:p w:rsidR="009D060B" w:rsidRPr="009323E2" w:rsidRDefault="009D060B" w:rsidP="00B9297A">
            <w:pPr>
              <w:rPr>
                <w:rFonts w:ascii="Segoe UI" w:hAnsi="Segoe UI" w:cs="Segoe UI"/>
                <w:sz w:val="20"/>
              </w:rPr>
            </w:pPr>
          </w:p>
          <w:p w:rsidR="009D060B" w:rsidRPr="009323E2" w:rsidRDefault="009D060B" w:rsidP="00B9297A">
            <w:pPr>
              <w:rPr>
                <w:rFonts w:ascii="Segoe UI" w:hAnsi="Segoe UI" w:cs="Segoe UI"/>
                <w:sz w:val="20"/>
              </w:rPr>
            </w:pPr>
            <w:r w:rsidRPr="009323E2">
              <w:rPr>
                <w:rFonts w:ascii="Segoe UI" w:hAnsi="Segoe UI" w:cs="Segoe UI"/>
                <w:b/>
                <w:sz w:val="20"/>
              </w:rPr>
              <w:t>NQR 12 B10</w:t>
            </w:r>
            <w:r w:rsidRPr="009323E2">
              <w:rPr>
                <w:rFonts w:ascii="Segoe UI" w:hAnsi="Segoe UI" w:cs="Segoe UI"/>
                <w:sz w:val="20"/>
              </w:rPr>
              <w:t>. This target was set when all patients wer</w:t>
            </w:r>
            <w:r>
              <w:rPr>
                <w:rFonts w:ascii="Segoe UI" w:hAnsi="Segoe UI" w:cs="Segoe UI"/>
                <w:sz w:val="20"/>
              </w:rPr>
              <w:t>e triaged first by a GP who</w:t>
            </w:r>
            <w:r w:rsidRPr="009323E2">
              <w:rPr>
                <w:rFonts w:ascii="Segoe UI" w:hAnsi="Segoe UI" w:cs="Segoe UI"/>
                <w:sz w:val="20"/>
              </w:rPr>
              <w:t xml:space="preserve"> allocated urgency. The urgency is now set by 111 and we know that the threshold is much lower so achieving the target will be more difficult as the numbers are higher. 111 have to make an appointment within 2 hours so if th</w:t>
            </w:r>
            <w:r>
              <w:rPr>
                <w:rFonts w:ascii="Segoe UI" w:hAnsi="Segoe UI" w:cs="Segoe UI"/>
                <w:sz w:val="20"/>
              </w:rPr>
              <w:t>ey talk to a patient at 1000, deem them urgent and</w:t>
            </w:r>
            <w:r w:rsidRPr="009323E2">
              <w:rPr>
                <w:rFonts w:ascii="Segoe UI" w:hAnsi="Segoe UI" w:cs="Segoe UI"/>
                <w:sz w:val="20"/>
              </w:rPr>
              <w:t xml:space="preserve"> make an appt. at 1145 they hit their target. If we are running 15 minutes late at 1145 we miss ours or 111 deem the patie</w:t>
            </w:r>
            <w:r w:rsidR="007147AD">
              <w:rPr>
                <w:rFonts w:ascii="Segoe UI" w:hAnsi="Segoe UI" w:cs="Segoe UI"/>
                <w:sz w:val="20"/>
              </w:rPr>
              <w:t>nt urgent and there are no appointments</w:t>
            </w:r>
            <w:r w:rsidRPr="009323E2">
              <w:rPr>
                <w:rFonts w:ascii="Segoe UI" w:hAnsi="Segoe UI" w:cs="Segoe UI"/>
                <w:sz w:val="20"/>
              </w:rPr>
              <w:t xml:space="preserve"> within 2 hrs they pass them to us to find an appt. This requires doubling up </w:t>
            </w:r>
            <w:r w:rsidR="00CD0772">
              <w:rPr>
                <w:rFonts w:ascii="Segoe UI" w:hAnsi="Segoe UI" w:cs="Segoe UI"/>
                <w:sz w:val="20"/>
              </w:rPr>
              <w:t>on appointments</w:t>
            </w:r>
            <w:r>
              <w:rPr>
                <w:rFonts w:ascii="Segoe UI" w:hAnsi="Segoe UI" w:cs="Segoe UI"/>
                <w:sz w:val="20"/>
              </w:rPr>
              <w:t xml:space="preserve"> or re-triaging by a GP.</w:t>
            </w:r>
          </w:p>
          <w:p w:rsidR="009D060B" w:rsidRPr="009323E2" w:rsidRDefault="009D060B" w:rsidP="00B9297A">
            <w:pPr>
              <w:ind w:right="33"/>
              <w:rPr>
                <w:rFonts w:ascii="Segoe UI" w:hAnsi="Segoe UI" w:cs="Segoe UI"/>
                <w:sz w:val="16"/>
                <w:szCs w:val="22"/>
              </w:rPr>
            </w:pPr>
          </w:p>
          <w:p w:rsidR="009D060B" w:rsidRPr="0082749F" w:rsidRDefault="009D060B" w:rsidP="00B9297A">
            <w:pPr>
              <w:ind w:right="33"/>
              <w:rPr>
                <w:rFonts w:ascii="Segoe UI" w:hAnsi="Segoe UI" w:cs="Segoe UI"/>
                <w:sz w:val="20"/>
                <w:szCs w:val="22"/>
              </w:rPr>
            </w:pPr>
            <w:r>
              <w:rPr>
                <w:rFonts w:ascii="Segoe UI" w:hAnsi="Segoe UI" w:cs="Segoe UI"/>
                <w:sz w:val="20"/>
                <w:szCs w:val="22"/>
              </w:rPr>
              <w:t xml:space="preserve">Activity in December was 30% higher (11,113 contacts) than the April-November average (8509 contacts), however, this is in line with the profiled activity plan and consistent with previous years’ trends.  </w:t>
            </w:r>
          </w:p>
        </w:tc>
      </w:tr>
      <w:tr w:rsidR="009D060B" w:rsidRPr="0082749F" w:rsidTr="00C95489">
        <w:trPr>
          <w:trHeight w:val="2125"/>
        </w:trPr>
        <w:tc>
          <w:tcPr>
            <w:tcW w:w="1277" w:type="dxa"/>
          </w:tcPr>
          <w:p w:rsidR="009D060B" w:rsidRPr="0082749F" w:rsidRDefault="009D060B" w:rsidP="00B9297A">
            <w:pPr>
              <w:ind w:right="-16"/>
              <w:rPr>
                <w:rFonts w:ascii="Segoe UI" w:hAnsi="Segoe UI" w:cs="Segoe UI"/>
                <w:sz w:val="20"/>
                <w:szCs w:val="22"/>
              </w:rPr>
            </w:pPr>
            <w:r w:rsidRPr="00E559F3">
              <w:rPr>
                <w:rFonts w:ascii="Segoe UI" w:hAnsi="Segoe UI" w:cs="Segoe UI"/>
                <w:sz w:val="20"/>
                <w:szCs w:val="22"/>
              </w:rPr>
              <w:lastRenderedPageBreak/>
              <w:t>Out of Hours</w:t>
            </w:r>
          </w:p>
        </w:tc>
        <w:tc>
          <w:tcPr>
            <w:tcW w:w="709" w:type="dxa"/>
          </w:tcPr>
          <w:p w:rsidR="009D060B" w:rsidRDefault="009D060B" w:rsidP="00B9297A">
            <w:pPr>
              <w:ind w:right="-16"/>
              <w:rPr>
                <w:rFonts w:ascii="Segoe UI" w:hAnsi="Segoe UI" w:cs="Segoe UI"/>
                <w:sz w:val="20"/>
                <w:szCs w:val="22"/>
              </w:rPr>
            </w:pPr>
            <w:r>
              <w:rPr>
                <w:rFonts w:ascii="Segoe UI" w:hAnsi="Segoe UI" w:cs="Segoe UI"/>
                <w:sz w:val="20"/>
                <w:szCs w:val="22"/>
              </w:rPr>
              <w:t>NQR 10</w:t>
            </w:r>
          </w:p>
          <w:p w:rsidR="009D060B" w:rsidRPr="0082749F" w:rsidRDefault="009D060B" w:rsidP="00B9297A">
            <w:pPr>
              <w:ind w:right="-16"/>
              <w:rPr>
                <w:rFonts w:ascii="Segoe UI" w:hAnsi="Segoe UI" w:cs="Segoe UI"/>
                <w:sz w:val="20"/>
                <w:szCs w:val="22"/>
              </w:rPr>
            </w:pPr>
            <w:r>
              <w:rPr>
                <w:rFonts w:ascii="Segoe UI" w:hAnsi="Segoe UI" w:cs="Segoe UI"/>
                <w:sz w:val="20"/>
                <w:szCs w:val="22"/>
              </w:rPr>
              <w:t>B9</w:t>
            </w:r>
          </w:p>
        </w:tc>
        <w:tc>
          <w:tcPr>
            <w:tcW w:w="1701" w:type="dxa"/>
          </w:tcPr>
          <w:p w:rsidR="009D060B" w:rsidRDefault="009D060B" w:rsidP="00B9297A">
            <w:pPr>
              <w:rPr>
                <w:rFonts w:ascii="Segoe UI" w:hAnsi="Segoe UI" w:cs="Segoe UI"/>
                <w:b/>
                <w:sz w:val="20"/>
                <w:szCs w:val="22"/>
              </w:rPr>
            </w:pPr>
            <w:r>
              <w:rPr>
                <w:rFonts w:ascii="Segoe UI" w:hAnsi="Segoe UI" w:cs="Segoe UI"/>
                <w:b/>
                <w:sz w:val="20"/>
                <w:szCs w:val="22"/>
              </w:rPr>
              <w:t>OOH non- u</w:t>
            </w:r>
            <w:r w:rsidRPr="00A117AE">
              <w:rPr>
                <w:rFonts w:ascii="Segoe UI" w:hAnsi="Segoe UI" w:cs="Segoe UI"/>
                <w:b/>
                <w:sz w:val="20"/>
                <w:szCs w:val="22"/>
              </w:rPr>
              <w:t>rgent triage (walk in) - time to triage</w:t>
            </w:r>
            <w:r>
              <w:rPr>
                <w:rFonts w:ascii="Segoe UI" w:hAnsi="Segoe UI" w:cs="Segoe UI"/>
                <w:sz w:val="20"/>
                <w:szCs w:val="22"/>
              </w:rPr>
              <w:t>; &lt;60 mins of arrival</w:t>
            </w:r>
          </w:p>
        </w:tc>
        <w:tc>
          <w:tcPr>
            <w:tcW w:w="850" w:type="dxa"/>
            <w:vAlign w:val="center"/>
          </w:tcPr>
          <w:p w:rsidR="009D060B" w:rsidRPr="000C7AFE" w:rsidRDefault="009D060B" w:rsidP="00B9297A">
            <w:pPr>
              <w:jc w:val="center"/>
              <w:rPr>
                <w:rFonts w:ascii="Segoe UI" w:hAnsi="Segoe UI" w:cs="Segoe UI"/>
                <w:sz w:val="20"/>
                <w:szCs w:val="22"/>
              </w:rPr>
            </w:pPr>
            <w:r>
              <w:rPr>
                <w:rFonts w:ascii="Segoe UI" w:hAnsi="Segoe UI" w:cs="Segoe UI"/>
                <w:sz w:val="20"/>
                <w:szCs w:val="22"/>
              </w:rPr>
              <w:t>95%</w:t>
            </w:r>
          </w:p>
        </w:tc>
        <w:tc>
          <w:tcPr>
            <w:tcW w:w="853" w:type="dxa"/>
            <w:shd w:val="clear" w:color="auto" w:fill="FF0000"/>
            <w:vAlign w:val="center"/>
          </w:tcPr>
          <w:p w:rsidR="009D060B" w:rsidRPr="000C7AFE" w:rsidRDefault="009D060B" w:rsidP="00B9297A">
            <w:pPr>
              <w:jc w:val="center"/>
              <w:rPr>
                <w:rFonts w:ascii="Segoe UI" w:hAnsi="Segoe UI" w:cs="Segoe UI"/>
                <w:sz w:val="20"/>
                <w:szCs w:val="22"/>
              </w:rPr>
            </w:pPr>
            <w:r>
              <w:rPr>
                <w:rFonts w:ascii="Segoe UI" w:hAnsi="Segoe UI" w:cs="Segoe UI"/>
                <w:sz w:val="20"/>
                <w:szCs w:val="22"/>
              </w:rPr>
              <w:t>80%</w:t>
            </w:r>
          </w:p>
        </w:tc>
        <w:tc>
          <w:tcPr>
            <w:tcW w:w="3117" w:type="dxa"/>
            <w:shd w:val="clear" w:color="auto" w:fill="FFFFFF" w:themeFill="background1"/>
          </w:tcPr>
          <w:p w:rsidR="009D060B" w:rsidRDefault="009D060B" w:rsidP="00B9297A">
            <w:pPr>
              <w:ind w:left="-108" w:right="-108"/>
              <w:rPr>
                <w:noProof/>
              </w:rPr>
            </w:pPr>
            <w:r>
              <w:rPr>
                <w:noProof/>
              </w:rPr>
              <w:drawing>
                <wp:inline distT="0" distB="0" distL="0" distR="0" wp14:anchorId="2EFFD149" wp14:editId="270CBCD5">
                  <wp:extent cx="1971675" cy="14478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1990" w:type="dxa"/>
            <w:shd w:val="clear" w:color="auto" w:fill="FFFFFF" w:themeFill="background1"/>
          </w:tcPr>
          <w:p w:rsidR="009D060B" w:rsidRPr="00A117AE" w:rsidRDefault="009D060B" w:rsidP="00B9297A">
            <w:pPr>
              <w:ind w:right="176"/>
              <w:rPr>
                <w:rFonts w:ascii="Segoe UI" w:hAnsi="Segoe UI" w:cs="Segoe UI"/>
                <w:noProof/>
                <w:sz w:val="8"/>
              </w:rPr>
            </w:pPr>
          </w:p>
          <w:p w:rsidR="009D060B" w:rsidRPr="000C7AFE" w:rsidRDefault="009D060B" w:rsidP="00B9297A">
            <w:pPr>
              <w:ind w:right="34"/>
              <w:rPr>
                <w:rFonts w:ascii="Segoe UI" w:hAnsi="Segoe UI" w:cs="Segoe UI"/>
                <w:noProof/>
                <w:sz w:val="20"/>
              </w:rPr>
            </w:pPr>
            <w:r>
              <w:rPr>
                <w:rFonts w:ascii="Segoe UI" w:hAnsi="Segoe UI" w:cs="Segoe UI"/>
                <w:noProof/>
                <w:sz w:val="20"/>
              </w:rPr>
              <w:t>E</w:t>
            </w:r>
            <w:r w:rsidRPr="000C7AFE">
              <w:rPr>
                <w:rFonts w:ascii="Segoe UI" w:hAnsi="Segoe UI" w:cs="Segoe UI"/>
                <w:noProof/>
                <w:sz w:val="20"/>
              </w:rPr>
              <w:t>xtended waiting time pos</w:t>
            </w:r>
            <w:r>
              <w:rPr>
                <w:rFonts w:ascii="Segoe UI" w:hAnsi="Segoe UI" w:cs="Segoe UI"/>
                <w:noProof/>
                <w:sz w:val="20"/>
              </w:rPr>
              <w:t xml:space="preserve">sibly resulting in delayed care  </w:t>
            </w:r>
          </w:p>
          <w:p w:rsidR="009D060B" w:rsidRDefault="009D060B" w:rsidP="00B9297A">
            <w:pPr>
              <w:ind w:right="176"/>
              <w:rPr>
                <w:rFonts w:ascii="Segoe UI" w:hAnsi="Segoe UI" w:cs="Segoe UI"/>
                <w:noProof/>
                <w:sz w:val="20"/>
              </w:rPr>
            </w:pPr>
          </w:p>
          <w:p w:rsidR="009D060B" w:rsidRPr="000C7AFE" w:rsidRDefault="009D060B" w:rsidP="00B9297A">
            <w:pPr>
              <w:ind w:right="176"/>
              <w:rPr>
                <w:noProof/>
                <w:sz w:val="20"/>
              </w:rPr>
            </w:pPr>
          </w:p>
        </w:tc>
        <w:tc>
          <w:tcPr>
            <w:tcW w:w="4671" w:type="dxa"/>
            <w:vMerge/>
            <w:shd w:val="clear" w:color="auto" w:fill="FFFFFF" w:themeFill="background1"/>
          </w:tcPr>
          <w:p w:rsidR="009D060B" w:rsidRPr="0082749F" w:rsidRDefault="009D060B" w:rsidP="00B9297A">
            <w:pPr>
              <w:ind w:right="33"/>
              <w:rPr>
                <w:rFonts w:ascii="Segoe UI" w:hAnsi="Segoe UI" w:cs="Segoe UI"/>
                <w:sz w:val="20"/>
                <w:szCs w:val="22"/>
              </w:rPr>
            </w:pPr>
          </w:p>
        </w:tc>
      </w:tr>
      <w:tr w:rsidR="009D060B" w:rsidRPr="00A00298" w:rsidTr="00C95489">
        <w:trPr>
          <w:trHeight w:val="2098"/>
        </w:trPr>
        <w:tc>
          <w:tcPr>
            <w:tcW w:w="1277" w:type="dxa"/>
          </w:tcPr>
          <w:p w:rsidR="009D060B" w:rsidRPr="002E4950" w:rsidRDefault="009D060B" w:rsidP="00B9297A">
            <w:pPr>
              <w:rPr>
                <w:rFonts w:ascii="Segoe UI" w:hAnsi="Segoe UI" w:cs="Segoe UI"/>
                <w:sz w:val="20"/>
                <w:szCs w:val="20"/>
              </w:rPr>
            </w:pPr>
            <w:r w:rsidRPr="00E559F3">
              <w:rPr>
                <w:rFonts w:ascii="Segoe UI" w:hAnsi="Segoe UI" w:cs="Segoe UI"/>
                <w:sz w:val="20"/>
                <w:szCs w:val="20"/>
              </w:rPr>
              <w:lastRenderedPageBreak/>
              <w:t>Out of</w:t>
            </w:r>
            <w:r w:rsidRPr="002E4950">
              <w:rPr>
                <w:rFonts w:ascii="Segoe UI" w:hAnsi="Segoe UI" w:cs="Segoe UI"/>
                <w:sz w:val="20"/>
                <w:szCs w:val="20"/>
              </w:rPr>
              <w:t xml:space="preserve"> Hours</w:t>
            </w:r>
          </w:p>
        </w:tc>
        <w:tc>
          <w:tcPr>
            <w:tcW w:w="709" w:type="dxa"/>
          </w:tcPr>
          <w:p w:rsidR="009D060B" w:rsidRPr="002E4950" w:rsidRDefault="009D060B" w:rsidP="00B9297A">
            <w:pPr>
              <w:rPr>
                <w:rFonts w:ascii="Segoe UI" w:hAnsi="Segoe UI" w:cs="Segoe UI"/>
                <w:sz w:val="20"/>
                <w:szCs w:val="20"/>
              </w:rPr>
            </w:pPr>
            <w:r w:rsidRPr="002E4950">
              <w:rPr>
                <w:rFonts w:ascii="Segoe UI" w:hAnsi="Segoe UI" w:cs="Segoe UI"/>
                <w:sz w:val="20"/>
                <w:szCs w:val="20"/>
              </w:rPr>
              <w:t>NQR 12</w:t>
            </w:r>
          </w:p>
          <w:p w:rsidR="009D060B" w:rsidRPr="002E4950" w:rsidRDefault="009D060B" w:rsidP="00B9297A">
            <w:pPr>
              <w:rPr>
                <w:rFonts w:ascii="Segoe UI" w:hAnsi="Segoe UI" w:cs="Segoe UI"/>
                <w:sz w:val="20"/>
                <w:szCs w:val="20"/>
              </w:rPr>
            </w:pPr>
            <w:r w:rsidRPr="002E4950">
              <w:rPr>
                <w:rFonts w:ascii="Segoe UI" w:hAnsi="Segoe UI" w:cs="Segoe UI"/>
                <w:sz w:val="20"/>
                <w:szCs w:val="20"/>
              </w:rPr>
              <w:t>B10</w:t>
            </w:r>
          </w:p>
        </w:tc>
        <w:tc>
          <w:tcPr>
            <w:tcW w:w="1701" w:type="dxa"/>
          </w:tcPr>
          <w:p w:rsidR="009D060B" w:rsidRPr="005F26D0" w:rsidRDefault="009D060B" w:rsidP="00B9297A">
            <w:pPr>
              <w:rPr>
                <w:rFonts w:ascii="Segoe UI" w:hAnsi="Segoe UI" w:cs="Segoe UI"/>
                <w:b/>
                <w:sz w:val="20"/>
                <w:szCs w:val="22"/>
              </w:rPr>
            </w:pPr>
            <w:r w:rsidRPr="005F26D0">
              <w:rPr>
                <w:rFonts w:ascii="Segoe UI" w:hAnsi="Segoe UI" w:cs="Segoe UI"/>
                <w:b/>
                <w:sz w:val="20"/>
                <w:szCs w:val="22"/>
              </w:rPr>
              <w:t>OOH urgent F/F base visit</w:t>
            </w:r>
            <w:r>
              <w:t xml:space="preserve"> </w:t>
            </w:r>
            <w:r w:rsidRPr="002B560A">
              <w:rPr>
                <w:rFonts w:ascii="Segoe UI" w:hAnsi="Segoe UI" w:cs="Segoe UI"/>
                <w:sz w:val="20"/>
                <w:szCs w:val="22"/>
              </w:rPr>
              <w:t xml:space="preserve">appt </w:t>
            </w:r>
            <w:r w:rsidRPr="005F26D0">
              <w:rPr>
                <w:rFonts w:ascii="Segoe UI" w:hAnsi="Segoe UI" w:cs="Segoe UI"/>
                <w:sz w:val="20"/>
                <w:szCs w:val="22"/>
              </w:rPr>
              <w:t>within 2 hours of triage</w:t>
            </w:r>
          </w:p>
        </w:tc>
        <w:tc>
          <w:tcPr>
            <w:tcW w:w="850" w:type="dxa"/>
            <w:vAlign w:val="center"/>
          </w:tcPr>
          <w:p w:rsidR="009D060B" w:rsidRDefault="009D060B" w:rsidP="00B9297A">
            <w:pPr>
              <w:jc w:val="center"/>
              <w:rPr>
                <w:rFonts w:ascii="Segoe UI" w:hAnsi="Segoe UI" w:cs="Segoe UI"/>
                <w:sz w:val="20"/>
                <w:szCs w:val="22"/>
              </w:rPr>
            </w:pPr>
            <w:r>
              <w:rPr>
                <w:rFonts w:ascii="Segoe UI" w:hAnsi="Segoe UI" w:cs="Segoe UI"/>
                <w:sz w:val="20"/>
                <w:szCs w:val="22"/>
              </w:rPr>
              <w:t>95%</w:t>
            </w:r>
          </w:p>
        </w:tc>
        <w:tc>
          <w:tcPr>
            <w:tcW w:w="853" w:type="dxa"/>
            <w:shd w:val="clear" w:color="auto" w:fill="FF0000"/>
            <w:vAlign w:val="center"/>
          </w:tcPr>
          <w:p w:rsidR="009D060B" w:rsidRDefault="009D060B" w:rsidP="00B9297A">
            <w:pPr>
              <w:jc w:val="center"/>
              <w:rPr>
                <w:rFonts w:ascii="Segoe UI" w:hAnsi="Segoe UI" w:cs="Segoe UI"/>
                <w:sz w:val="20"/>
                <w:szCs w:val="22"/>
              </w:rPr>
            </w:pPr>
            <w:r>
              <w:rPr>
                <w:rFonts w:ascii="Segoe UI" w:hAnsi="Segoe UI" w:cs="Segoe UI"/>
                <w:sz w:val="20"/>
                <w:szCs w:val="22"/>
              </w:rPr>
              <w:t>74%</w:t>
            </w:r>
          </w:p>
        </w:tc>
        <w:tc>
          <w:tcPr>
            <w:tcW w:w="3117" w:type="dxa"/>
            <w:shd w:val="clear" w:color="auto" w:fill="FFFFFF" w:themeFill="background1"/>
          </w:tcPr>
          <w:p w:rsidR="009D060B" w:rsidRDefault="009D060B" w:rsidP="00B9297A">
            <w:pPr>
              <w:ind w:left="-108"/>
              <w:rPr>
                <w:rFonts w:ascii="Segoe UI" w:hAnsi="Segoe UI" w:cs="Segoe UI"/>
                <w:sz w:val="20"/>
                <w:szCs w:val="22"/>
              </w:rPr>
            </w:pPr>
            <w:r>
              <w:rPr>
                <w:noProof/>
              </w:rPr>
              <w:drawing>
                <wp:inline distT="0" distB="0" distL="0" distR="0" wp14:anchorId="2EB4ECA8" wp14:editId="6DE7A220">
                  <wp:extent cx="1971675" cy="13144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1990" w:type="dxa"/>
            <w:shd w:val="clear" w:color="auto" w:fill="FFFFFF" w:themeFill="background1"/>
          </w:tcPr>
          <w:p w:rsidR="009D060B" w:rsidRPr="000C7AFE" w:rsidRDefault="009D060B" w:rsidP="00B9297A">
            <w:pPr>
              <w:ind w:right="34"/>
              <w:rPr>
                <w:rFonts w:ascii="Segoe UI" w:hAnsi="Segoe UI" w:cs="Segoe UI"/>
                <w:noProof/>
                <w:sz w:val="20"/>
              </w:rPr>
            </w:pPr>
            <w:r>
              <w:rPr>
                <w:rFonts w:ascii="Segoe UI" w:hAnsi="Segoe UI" w:cs="Segoe UI"/>
                <w:noProof/>
                <w:sz w:val="20"/>
              </w:rPr>
              <w:t>E</w:t>
            </w:r>
            <w:r w:rsidRPr="000C7AFE">
              <w:rPr>
                <w:rFonts w:ascii="Segoe UI" w:hAnsi="Segoe UI" w:cs="Segoe UI"/>
                <w:noProof/>
                <w:sz w:val="20"/>
              </w:rPr>
              <w:t>xtended waiting time pos</w:t>
            </w:r>
            <w:r>
              <w:rPr>
                <w:rFonts w:ascii="Segoe UI" w:hAnsi="Segoe UI" w:cs="Segoe UI"/>
                <w:noProof/>
                <w:sz w:val="20"/>
              </w:rPr>
              <w:t xml:space="preserve">sibly resulting in delayed care  </w:t>
            </w:r>
          </w:p>
          <w:p w:rsidR="009D060B" w:rsidRDefault="009D060B" w:rsidP="00B9297A">
            <w:pPr>
              <w:ind w:left="-108"/>
              <w:rPr>
                <w:rFonts w:ascii="Segoe UI" w:hAnsi="Segoe UI" w:cs="Segoe UI"/>
                <w:sz w:val="20"/>
                <w:szCs w:val="22"/>
              </w:rPr>
            </w:pPr>
          </w:p>
        </w:tc>
        <w:tc>
          <w:tcPr>
            <w:tcW w:w="4671" w:type="dxa"/>
            <w:vMerge/>
            <w:shd w:val="clear" w:color="auto" w:fill="FFFFFF" w:themeFill="background1"/>
          </w:tcPr>
          <w:p w:rsidR="009D060B" w:rsidRPr="00A00298" w:rsidRDefault="009D060B" w:rsidP="00B9297A">
            <w:pPr>
              <w:ind w:right="33"/>
              <w:rPr>
                <w:rFonts w:ascii="Segoe UI" w:hAnsi="Segoe UI" w:cs="Segoe UI"/>
                <w:sz w:val="20"/>
                <w:szCs w:val="22"/>
              </w:rPr>
            </w:pPr>
          </w:p>
        </w:tc>
      </w:tr>
      <w:tr w:rsidR="009D060B" w:rsidRPr="00331BC4" w:rsidTr="00C95489">
        <w:trPr>
          <w:trHeight w:val="476"/>
        </w:trPr>
        <w:tc>
          <w:tcPr>
            <w:tcW w:w="1277" w:type="dxa"/>
          </w:tcPr>
          <w:p w:rsidR="009D060B" w:rsidRPr="0082749F" w:rsidRDefault="009D060B" w:rsidP="00B9297A">
            <w:pPr>
              <w:rPr>
                <w:rFonts w:ascii="Segoe UI" w:hAnsi="Segoe UI" w:cs="Segoe UI"/>
                <w:sz w:val="20"/>
                <w:szCs w:val="22"/>
              </w:rPr>
            </w:pPr>
            <w:r w:rsidRPr="00E559F3">
              <w:rPr>
                <w:rFonts w:ascii="Segoe UI" w:hAnsi="Segoe UI" w:cs="Segoe UI"/>
                <w:sz w:val="20"/>
                <w:szCs w:val="22"/>
              </w:rPr>
              <w:t>Out of</w:t>
            </w:r>
            <w:r w:rsidRPr="0082749F">
              <w:rPr>
                <w:rFonts w:ascii="Segoe UI" w:hAnsi="Segoe UI" w:cs="Segoe UI"/>
                <w:sz w:val="20"/>
                <w:szCs w:val="22"/>
              </w:rPr>
              <w:t xml:space="preserve"> Hours</w:t>
            </w:r>
          </w:p>
        </w:tc>
        <w:tc>
          <w:tcPr>
            <w:tcW w:w="709" w:type="dxa"/>
          </w:tcPr>
          <w:p w:rsidR="009D060B" w:rsidRPr="0082749F" w:rsidRDefault="009D060B" w:rsidP="00B9297A">
            <w:pPr>
              <w:rPr>
                <w:rFonts w:ascii="Segoe UI" w:hAnsi="Segoe UI" w:cs="Segoe UI"/>
                <w:sz w:val="20"/>
                <w:szCs w:val="22"/>
              </w:rPr>
            </w:pPr>
            <w:r w:rsidRPr="0082749F">
              <w:rPr>
                <w:rFonts w:ascii="Segoe UI" w:hAnsi="Segoe UI" w:cs="Segoe UI"/>
                <w:sz w:val="20"/>
                <w:szCs w:val="22"/>
              </w:rPr>
              <w:t>NQR7</w:t>
            </w:r>
          </w:p>
          <w:p w:rsidR="009D060B" w:rsidRPr="0082749F" w:rsidRDefault="009D060B" w:rsidP="00B9297A">
            <w:pPr>
              <w:rPr>
                <w:rFonts w:ascii="Segoe UI" w:hAnsi="Segoe UI" w:cs="Segoe UI"/>
                <w:sz w:val="20"/>
                <w:szCs w:val="22"/>
              </w:rPr>
            </w:pPr>
            <w:r w:rsidRPr="0082749F">
              <w:rPr>
                <w:rFonts w:ascii="Segoe UI" w:hAnsi="Segoe UI" w:cs="Segoe UI"/>
                <w:sz w:val="20"/>
                <w:szCs w:val="22"/>
              </w:rPr>
              <w:t>B6</w:t>
            </w:r>
          </w:p>
        </w:tc>
        <w:tc>
          <w:tcPr>
            <w:tcW w:w="1701" w:type="dxa"/>
          </w:tcPr>
          <w:p w:rsidR="009D060B" w:rsidRPr="000E0BCE" w:rsidRDefault="009D060B" w:rsidP="00B9297A">
            <w:pPr>
              <w:rPr>
                <w:rFonts w:ascii="Segoe UI" w:hAnsi="Segoe UI" w:cs="Segoe UI"/>
                <w:sz w:val="20"/>
                <w:szCs w:val="22"/>
              </w:rPr>
            </w:pPr>
            <w:r>
              <w:rPr>
                <w:rFonts w:ascii="Segoe UI" w:hAnsi="Segoe UI" w:cs="Segoe UI"/>
                <w:b/>
                <w:sz w:val="20"/>
                <w:szCs w:val="22"/>
              </w:rPr>
              <w:t>OOH p</w:t>
            </w:r>
            <w:r w:rsidRPr="00D43D9F">
              <w:rPr>
                <w:rFonts w:ascii="Segoe UI" w:hAnsi="Segoe UI" w:cs="Segoe UI"/>
                <w:b/>
                <w:sz w:val="20"/>
                <w:szCs w:val="22"/>
              </w:rPr>
              <w:t>ercentage of unfilled shifts</w:t>
            </w:r>
            <w:r>
              <w:rPr>
                <w:rFonts w:ascii="Segoe UI" w:hAnsi="Segoe UI" w:cs="Segoe UI"/>
                <w:b/>
                <w:sz w:val="20"/>
                <w:szCs w:val="22"/>
              </w:rPr>
              <w:t>;</w:t>
            </w:r>
            <w:r>
              <w:rPr>
                <w:rFonts w:ascii="Segoe UI" w:hAnsi="Segoe UI" w:cs="Segoe UI"/>
                <w:sz w:val="20"/>
                <w:szCs w:val="22"/>
              </w:rPr>
              <w:t xml:space="preserve"> ability to match capacity with demand</w:t>
            </w:r>
          </w:p>
        </w:tc>
        <w:tc>
          <w:tcPr>
            <w:tcW w:w="850" w:type="dxa"/>
            <w:vAlign w:val="center"/>
          </w:tcPr>
          <w:p w:rsidR="009D060B" w:rsidRPr="000C7AFE" w:rsidRDefault="009D060B" w:rsidP="00B9297A">
            <w:pPr>
              <w:jc w:val="center"/>
              <w:rPr>
                <w:rFonts w:ascii="Segoe UI" w:hAnsi="Segoe UI" w:cs="Segoe UI"/>
                <w:sz w:val="20"/>
                <w:szCs w:val="22"/>
              </w:rPr>
            </w:pPr>
            <w:r w:rsidRPr="000C7AFE">
              <w:rPr>
                <w:rFonts w:ascii="Segoe UI" w:hAnsi="Segoe UI" w:cs="Segoe UI"/>
                <w:sz w:val="20"/>
                <w:szCs w:val="22"/>
              </w:rPr>
              <w:t>2%</w:t>
            </w:r>
          </w:p>
        </w:tc>
        <w:tc>
          <w:tcPr>
            <w:tcW w:w="853" w:type="dxa"/>
            <w:shd w:val="clear" w:color="auto" w:fill="FF0000"/>
            <w:vAlign w:val="center"/>
          </w:tcPr>
          <w:p w:rsidR="009D060B" w:rsidRPr="000C7AFE" w:rsidRDefault="009D060B" w:rsidP="00B9297A">
            <w:pPr>
              <w:jc w:val="center"/>
              <w:rPr>
                <w:rFonts w:ascii="Segoe UI" w:hAnsi="Segoe UI" w:cs="Segoe UI"/>
                <w:sz w:val="20"/>
                <w:szCs w:val="22"/>
              </w:rPr>
            </w:pPr>
            <w:r>
              <w:rPr>
                <w:rFonts w:ascii="Segoe UI" w:hAnsi="Segoe UI" w:cs="Segoe UI"/>
                <w:sz w:val="20"/>
                <w:szCs w:val="22"/>
              </w:rPr>
              <w:t>6%</w:t>
            </w:r>
          </w:p>
        </w:tc>
        <w:tc>
          <w:tcPr>
            <w:tcW w:w="3117" w:type="dxa"/>
            <w:shd w:val="clear" w:color="auto" w:fill="FFFFFF" w:themeFill="background1"/>
          </w:tcPr>
          <w:p w:rsidR="009D060B" w:rsidRDefault="009D060B" w:rsidP="00B9297A">
            <w:pPr>
              <w:ind w:left="-111"/>
              <w:rPr>
                <w:noProof/>
              </w:rPr>
            </w:pPr>
            <w:r>
              <w:rPr>
                <w:noProof/>
              </w:rPr>
              <w:drawing>
                <wp:inline distT="0" distB="0" distL="0" distR="0" wp14:anchorId="6A438F32" wp14:editId="3CD96ED2">
                  <wp:extent cx="1968500" cy="14351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1990" w:type="dxa"/>
            <w:shd w:val="clear" w:color="auto" w:fill="FFFFFF" w:themeFill="background1"/>
          </w:tcPr>
          <w:p w:rsidR="009D060B" w:rsidRPr="00816CB6" w:rsidRDefault="009D060B" w:rsidP="00B9297A">
            <w:pPr>
              <w:shd w:val="clear" w:color="auto" w:fill="FFFFFF" w:themeFill="background1"/>
              <w:ind w:right="-108"/>
              <w:rPr>
                <w:rFonts w:ascii="Segoe UI" w:hAnsi="Segoe UI" w:cs="Segoe UI"/>
                <w:noProof/>
                <w:sz w:val="20"/>
              </w:rPr>
            </w:pPr>
            <w:r>
              <w:rPr>
                <w:rFonts w:ascii="Segoe UI" w:hAnsi="Segoe UI" w:cs="Segoe UI"/>
                <w:noProof/>
                <w:sz w:val="20"/>
              </w:rPr>
              <w:t>E</w:t>
            </w:r>
            <w:r w:rsidRPr="00F01A5B">
              <w:rPr>
                <w:rFonts w:ascii="Segoe UI" w:hAnsi="Segoe UI" w:cs="Segoe UI"/>
                <w:noProof/>
                <w:sz w:val="20"/>
              </w:rPr>
              <w:t>xtended waiting time possibly resulting in delayed care.</w:t>
            </w:r>
          </w:p>
        </w:tc>
        <w:tc>
          <w:tcPr>
            <w:tcW w:w="4671" w:type="dxa"/>
            <w:vMerge/>
            <w:shd w:val="clear" w:color="auto" w:fill="FFFFFF" w:themeFill="background1"/>
          </w:tcPr>
          <w:p w:rsidR="009D060B" w:rsidRPr="00331BC4" w:rsidRDefault="009D060B" w:rsidP="00B9297A">
            <w:pPr>
              <w:ind w:right="33"/>
              <w:rPr>
                <w:rFonts w:ascii="Segoe UI" w:hAnsi="Segoe UI" w:cs="Segoe UI"/>
                <w:sz w:val="20"/>
                <w:szCs w:val="22"/>
              </w:rPr>
            </w:pPr>
          </w:p>
        </w:tc>
      </w:tr>
      <w:tr w:rsidR="00C95489" w:rsidRPr="009225E8" w:rsidTr="00E27F88">
        <w:trPr>
          <w:trHeight w:val="476"/>
        </w:trPr>
        <w:tc>
          <w:tcPr>
            <w:tcW w:w="1277" w:type="dxa"/>
          </w:tcPr>
          <w:p w:rsidR="00C95489" w:rsidRDefault="00C95489" w:rsidP="00B9297A">
            <w:pPr>
              <w:rPr>
                <w:rFonts w:ascii="Segoe UI" w:hAnsi="Segoe UI" w:cs="Segoe UI"/>
                <w:sz w:val="20"/>
                <w:szCs w:val="22"/>
              </w:rPr>
            </w:pPr>
            <w:r>
              <w:rPr>
                <w:rFonts w:ascii="Segoe UI" w:hAnsi="Segoe UI" w:cs="Segoe UI"/>
                <w:sz w:val="20"/>
                <w:szCs w:val="22"/>
              </w:rPr>
              <w:t>Comm</w:t>
            </w:r>
          </w:p>
          <w:p w:rsidR="00C95489" w:rsidRPr="00816CB6" w:rsidRDefault="00C95489" w:rsidP="00B9297A">
            <w:pPr>
              <w:rPr>
                <w:rFonts w:ascii="Segoe UI" w:hAnsi="Segoe UI" w:cs="Segoe UI"/>
                <w:sz w:val="20"/>
                <w:szCs w:val="22"/>
              </w:rPr>
            </w:pPr>
            <w:r>
              <w:rPr>
                <w:rFonts w:ascii="Segoe UI" w:hAnsi="Segoe UI" w:cs="Segoe UI"/>
                <w:sz w:val="20"/>
                <w:szCs w:val="22"/>
              </w:rPr>
              <w:t>Hospitals</w:t>
            </w:r>
          </w:p>
        </w:tc>
        <w:tc>
          <w:tcPr>
            <w:tcW w:w="709" w:type="dxa"/>
          </w:tcPr>
          <w:p w:rsidR="00C95489" w:rsidRPr="00816CB6" w:rsidRDefault="00C95489" w:rsidP="00B9297A">
            <w:pPr>
              <w:rPr>
                <w:rFonts w:ascii="Segoe UI" w:hAnsi="Segoe UI" w:cs="Segoe UI"/>
                <w:sz w:val="20"/>
                <w:szCs w:val="22"/>
              </w:rPr>
            </w:pPr>
            <w:r>
              <w:rPr>
                <w:rFonts w:ascii="Segoe UI" w:hAnsi="Segoe UI" w:cs="Segoe UI"/>
                <w:sz w:val="20"/>
                <w:szCs w:val="22"/>
              </w:rPr>
              <w:t xml:space="preserve">LQR </w:t>
            </w:r>
            <w:r w:rsidRPr="00816CB6">
              <w:rPr>
                <w:rFonts w:ascii="Segoe UI" w:hAnsi="Segoe UI" w:cs="Segoe UI"/>
                <w:sz w:val="20"/>
                <w:szCs w:val="22"/>
              </w:rPr>
              <w:t>C11</w:t>
            </w:r>
          </w:p>
        </w:tc>
        <w:tc>
          <w:tcPr>
            <w:tcW w:w="1701" w:type="dxa"/>
          </w:tcPr>
          <w:p w:rsidR="00C95489" w:rsidRPr="00CF0DA5" w:rsidRDefault="00C95489" w:rsidP="00B9297A">
            <w:pPr>
              <w:rPr>
                <w:rFonts w:ascii="Segoe UI" w:hAnsi="Segoe UI" w:cs="Segoe UI"/>
                <w:b/>
                <w:sz w:val="20"/>
                <w:szCs w:val="22"/>
              </w:rPr>
            </w:pPr>
            <w:r>
              <w:rPr>
                <w:rFonts w:ascii="Segoe UI" w:hAnsi="Segoe UI" w:cs="Segoe UI"/>
                <w:b/>
                <w:sz w:val="20"/>
                <w:szCs w:val="22"/>
              </w:rPr>
              <w:t xml:space="preserve">Delayed Transfers of Care (DTOC); </w:t>
            </w:r>
            <w:r w:rsidRPr="009225E8">
              <w:rPr>
                <w:rFonts w:ascii="Segoe UI" w:hAnsi="Segoe UI" w:cs="Segoe UI"/>
                <w:sz w:val="20"/>
                <w:szCs w:val="22"/>
              </w:rPr>
              <w:t xml:space="preserve"> snapshot number </w:t>
            </w:r>
          </w:p>
        </w:tc>
        <w:tc>
          <w:tcPr>
            <w:tcW w:w="850" w:type="dxa"/>
            <w:vAlign w:val="center"/>
          </w:tcPr>
          <w:p w:rsidR="00C95489" w:rsidRPr="00E51C43" w:rsidRDefault="00C95489" w:rsidP="00E27F88">
            <w:pPr>
              <w:jc w:val="center"/>
              <w:rPr>
                <w:rFonts w:ascii="Segoe UI" w:hAnsi="Segoe UI" w:cs="Segoe UI"/>
                <w:sz w:val="20"/>
                <w:szCs w:val="22"/>
              </w:rPr>
            </w:pPr>
            <w:r>
              <w:rPr>
                <w:rFonts w:ascii="Segoe UI" w:hAnsi="Segoe UI" w:cs="Segoe UI"/>
                <w:sz w:val="20"/>
                <w:szCs w:val="22"/>
              </w:rPr>
              <w:t>15</w:t>
            </w:r>
          </w:p>
        </w:tc>
        <w:tc>
          <w:tcPr>
            <w:tcW w:w="853" w:type="dxa"/>
            <w:shd w:val="clear" w:color="auto" w:fill="FF0000"/>
            <w:vAlign w:val="center"/>
          </w:tcPr>
          <w:p w:rsidR="00C95489" w:rsidRPr="00E51C43" w:rsidRDefault="00C95489" w:rsidP="00E27F88">
            <w:pPr>
              <w:jc w:val="center"/>
              <w:rPr>
                <w:rFonts w:ascii="Segoe UI" w:hAnsi="Segoe UI" w:cs="Segoe UI"/>
                <w:sz w:val="20"/>
                <w:szCs w:val="22"/>
              </w:rPr>
            </w:pPr>
            <w:r>
              <w:rPr>
                <w:rFonts w:ascii="Segoe UI" w:hAnsi="Segoe UI" w:cs="Segoe UI"/>
                <w:sz w:val="20"/>
                <w:szCs w:val="22"/>
              </w:rPr>
              <w:t>51</w:t>
            </w:r>
          </w:p>
        </w:tc>
        <w:tc>
          <w:tcPr>
            <w:tcW w:w="3117" w:type="dxa"/>
          </w:tcPr>
          <w:p w:rsidR="00C95489" w:rsidRPr="00816CB6" w:rsidRDefault="00C95489" w:rsidP="00B9297A">
            <w:pPr>
              <w:ind w:left="-111"/>
              <w:rPr>
                <w:rFonts w:ascii="Segoe UI" w:hAnsi="Segoe UI" w:cs="Segoe UI"/>
                <w:b/>
                <w:sz w:val="20"/>
                <w:szCs w:val="22"/>
              </w:rPr>
            </w:pPr>
            <w:r>
              <w:rPr>
                <w:noProof/>
              </w:rPr>
              <w:drawing>
                <wp:inline distT="0" distB="0" distL="0" distR="0" wp14:anchorId="7C7D3937" wp14:editId="6B08E565">
                  <wp:extent cx="1955800" cy="1536700"/>
                  <wp:effectExtent l="0" t="0" r="6350"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1990" w:type="dxa"/>
          </w:tcPr>
          <w:p w:rsidR="00C95489" w:rsidRPr="009225E8" w:rsidRDefault="00C95489" w:rsidP="00B9297A">
            <w:pPr>
              <w:rPr>
                <w:rFonts w:ascii="Segoe UI" w:hAnsi="Segoe UI" w:cs="Segoe UI"/>
                <w:sz w:val="20"/>
                <w:szCs w:val="22"/>
              </w:rPr>
            </w:pPr>
            <w:r>
              <w:rPr>
                <w:rFonts w:ascii="Segoe UI" w:hAnsi="Segoe UI" w:cs="Segoe UI"/>
                <w:sz w:val="20"/>
                <w:szCs w:val="22"/>
              </w:rPr>
              <w:t>Delays adversely impact</w:t>
            </w:r>
            <w:r w:rsidRPr="009225E8">
              <w:rPr>
                <w:rFonts w:ascii="Segoe UI" w:hAnsi="Segoe UI" w:cs="Segoe UI"/>
                <w:sz w:val="20"/>
                <w:szCs w:val="22"/>
              </w:rPr>
              <w:t xml:space="preserve"> the </w:t>
            </w:r>
            <w:r>
              <w:rPr>
                <w:rFonts w:ascii="Segoe UI" w:hAnsi="Segoe UI" w:cs="Segoe UI"/>
                <w:sz w:val="20"/>
                <w:szCs w:val="22"/>
              </w:rPr>
              <w:t xml:space="preserve">whole system </w:t>
            </w:r>
            <w:r w:rsidRPr="009225E8">
              <w:rPr>
                <w:rFonts w:ascii="Segoe UI" w:hAnsi="Segoe UI" w:cs="Segoe UI"/>
                <w:sz w:val="20"/>
                <w:szCs w:val="22"/>
              </w:rPr>
              <w:t>pathway</w:t>
            </w:r>
            <w:r>
              <w:rPr>
                <w:rFonts w:ascii="Segoe UI" w:hAnsi="Segoe UI" w:cs="Segoe UI"/>
                <w:sz w:val="20"/>
                <w:szCs w:val="22"/>
              </w:rPr>
              <w:t xml:space="preserve"> and patient flow.  This will affect the a</w:t>
            </w:r>
            <w:r w:rsidRPr="009225E8">
              <w:rPr>
                <w:rFonts w:ascii="Segoe UI" w:hAnsi="Segoe UI" w:cs="Segoe UI"/>
                <w:sz w:val="20"/>
                <w:szCs w:val="22"/>
              </w:rPr>
              <w:t xml:space="preserve">cute </w:t>
            </w:r>
            <w:r>
              <w:rPr>
                <w:rFonts w:ascii="Segoe UI" w:hAnsi="Segoe UI" w:cs="Segoe UI"/>
                <w:sz w:val="20"/>
                <w:szCs w:val="22"/>
              </w:rPr>
              <w:t>trust’s ability to admit, ED  and beyond</w:t>
            </w:r>
          </w:p>
        </w:tc>
        <w:tc>
          <w:tcPr>
            <w:tcW w:w="4671" w:type="dxa"/>
          </w:tcPr>
          <w:p w:rsidR="00C95489" w:rsidRPr="009225E8" w:rsidRDefault="00C95489" w:rsidP="002E5ED1">
            <w:pPr>
              <w:rPr>
                <w:rFonts w:ascii="Segoe UI" w:hAnsi="Segoe UI" w:cs="Segoe UI"/>
                <w:sz w:val="20"/>
                <w:szCs w:val="22"/>
              </w:rPr>
            </w:pPr>
            <w:r>
              <w:rPr>
                <w:rFonts w:ascii="Segoe UI" w:hAnsi="Segoe UI" w:cs="Segoe UI"/>
                <w:sz w:val="20"/>
                <w:szCs w:val="22"/>
              </w:rPr>
              <w:t>T</w:t>
            </w:r>
            <w:r w:rsidRPr="00816CB6">
              <w:rPr>
                <w:rFonts w:ascii="Segoe UI" w:hAnsi="Segoe UI" w:cs="Segoe UI"/>
                <w:sz w:val="20"/>
                <w:szCs w:val="22"/>
              </w:rPr>
              <w:t>he service has noticed increased complexity including increased waits for specialised placement; particularly EMI NH.  There has also been an unprecedented</w:t>
            </w:r>
            <w:r>
              <w:rPr>
                <w:rFonts w:ascii="Segoe UI" w:hAnsi="Segoe UI" w:cs="Segoe UI"/>
                <w:sz w:val="20"/>
                <w:szCs w:val="22"/>
              </w:rPr>
              <w:t xml:space="preserve"> and unrelenting</w:t>
            </w:r>
            <w:r w:rsidRPr="00816CB6">
              <w:rPr>
                <w:rFonts w:ascii="Segoe UI" w:hAnsi="Segoe UI" w:cs="Segoe UI"/>
                <w:sz w:val="20"/>
                <w:szCs w:val="22"/>
              </w:rPr>
              <w:t xml:space="preserve"> increase in HART delays since Oct, together with reduced social capacity in parts of the county.</w:t>
            </w:r>
            <w:r>
              <w:rPr>
                <w:rFonts w:ascii="Segoe UI" w:hAnsi="Segoe UI" w:cs="Segoe UI"/>
                <w:sz w:val="20"/>
                <w:szCs w:val="22"/>
              </w:rPr>
              <w:t xml:space="preserve"> </w:t>
            </w:r>
            <w:r w:rsidRPr="009225E8">
              <w:rPr>
                <w:rFonts w:ascii="Segoe UI" w:hAnsi="Segoe UI" w:cs="Segoe UI"/>
                <w:sz w:val="20"/>
                <w:szCs w:val="22"/>
              </w:rPr>
              <w:t>A we</w:t>
            </w:r>
            <w:r>
              <w:rPr>
                <w:rFonts w:ascii="Segoe UI" w:hAnsi="Segoe UI" w:cs="Segoe UI"/>
                <w:sz w:val="20"/>
                <w:szCs w:val="22"/>
              </w:rPr>
              <w:t xml:space="preserve">ekly performance dashboard has </w:t>
            </w:r>
            <w:r w:rsidRPr="009225E8">
              <w:rPr>
                <w:rFonts w:ascii="Segoe UI" w:hAnsi="Segoe UI" w:cs="Segoe UI"/>
                <w:sz w:val="20"/>
                <w:szCs w:val="22"/>
              </w:rPr>
              <w:t xml:space="preserve">been created to monitor performance for DTOC, ALOS and overall bed activity, which is </w:t>
            </w:r>
            <w:r>
              <w:rPr>
                <w:rFonts w:ascii="Segoe UI" w:hAnsi="Segoe UI" w:cs="Segoe UI"/>
                <w:sz w:val="20"/>
                <w:szCs w:val="22"/>
              </w:rPr>
              <w:t>scrutinised weekly by SMT</w:t>
            </w:r>
          </w:p>
        </w:tc>
      </w:tr>
    </w:tbl>
    <w:p w:rsidR="00D247A6" w:rsidRDefault="00D247A6"/>
    <w:tbl>
      <w:tblPr>
        <w:tblStyle w:val="TableGrid"/>
        <w:tblW w:w="0" w:type="auto"/>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5670"/>
      </w:tblGrid>
      <w:tr w:rsidR="004864A0" w:rsidTr="007C4697">
        <w:tc>
          <w:tcPr>
            <w:tcW w:w="426" w:type="dxa"/>
            <w:shd w:val="clear" w:color="auto" w:fill="92D050"/>
          </w:tcPr>
          <w:p w:rsidR="004864A0" w:rsidRPr="0096419E" w:rsidRDefault="004864A0" w:rsidP="007C4697">
            <w:pPr>
              <w:rPr>
                <w:rFonts w:ascii="Segoe UI" w:hAnsi="Segoe UI" w:cs="Segoe UI"/>
                <w:b/>
              </w:rPr>
            </w:pPr>
            <w:r>
              <w:rPr>
                <w:rFonts w:ascii="Segoe UI" w:hAnsi="Segoe UI" w:cs="Segoe UI"/>
                <w:b/>
              </w:rPr>
              <w:lastRenderedPageBreak/>
              <w:t>G</w:t>
            </w:r>
          </w:p>
        </w:tc>
        <w:tc>
          <w:tcPr>
            <w:tcW w:w="5670" w:type="dxa"/>
            <w:shd w:val="clear" w:color="auto" w:fill="auto"/>
          </w:tcPr>
          <w:p w:rsidR="004864A0" w:rsidRPr="0064639E" w:rsidRDefault="004864A0" w:rsidP="007C4697">
            <w:pPr>
              <w:rPr>
                <w:rFonts w:ascii="Segoe UI" w:hAnsi="Segoe UI" w:cs="Segoe UI"/>
              </w:rPr>
            </w:pPr>
            <w:r>
              <w:rPr>
                <w:rFonts w:ascii="Segoe UI" w:hAnsi="Segoe UI" w:cs="Segoe UI"/>
              </w:rPr>
              <w:t>Areas of positive performance/improvement</w:t>
            </w:r>
          </w:p>
        </w:tc>
      </w:tr>
    </w:tbl>
    <w:p w:rsidR="004864A0" w:rsidRDefault="004864A0"/>
    <w:tbl>
      <w:tblPr>
        <w:tblStyle w:val="TableGrid1"/>
        <w:tblW w:w="15168" w:type="dxa"/>
        <w:tblInd w:w="-318" w:type="dxa"/>
        <w:tblLayout w:type="fixed"/>
        <w:tblLook w:val="04A0" w:firstRow="1" w:lastRow="0" w:firstColumn="1" w:lastColumn="0" w:noHBand="0" w:noVBand="1"/>
      </w:tblPr>
      <w:tblGrid>
        <w:gridCol w:w="1277"/>
        <w:gridCol w:w="709"/>
        <w:gridCol w:w="1701"/>
        <w:gridCol w:w="850"/>
        <w:gridCol w:w="853"/>
        <w:gridCol w:w="3117"/>
        <w:gridCol w:w="1990"/>
        <w:gridCol w:w="4671"/>
      </w:tblGrid>
      <w:tr w:rsidR="004864A0" w:rsidRPr="00FE1C58" w:rsidTr="007C4697">
        <w:tc>
          <w:tcPr>
            <w:tcW w:w="1277" w:type="dxa"/>
            <w:shd w:val="clear" w:color="auto" w:fill="548DD4" w:themeFill="text2" w:themeFillTint="99"/>
          </w:tcPr>
          <w:p w:rsidR="004864A0" w:rsidRPr="00FE1C58" w:rsidRDefault="004864A0" w:rsidP="007C4697">
            <w:pPr>
              <w:spacing w:before="40" w:after="40"/>
              <w:rPr>
                <w:rFonts w:ascii="Segoe UI" w:hAnsi="Segoe UI" w:cs="Segoe UI"/>
                <w:b/>
                <w:color w:val="FFFFFF" w:themeColor="background1"/>
                <w:sz w:val="20"/>
                <w:szCs w:val="22"/>
              </w:rPr>
            </w:pPr>
            <w:bookmarkStart w:id="0" w:name="_GoBack"/>
            <w:bookmarkEnd w:id="0"/>
            <w:r>
              <w:rPr>
                <w:rFonts w:ascii="Segoe UI" w:hAnsi="Segoe UI" w:cs="Segoe UI"/>
                <w:b/>
                <w:color w:val="FFFFFF" w:themeColor="background1"/>
                <w:sz w:val="20"/>
                <w:szCs w:val="22"/>
              </w:rPr>
              <w:t>Service</w:t>
            </w:r>
          </w:p>
        </w:tc>
        <w:tc>
          <w:tcPr>
            <w:tcW w:w="709" w:type="dxa"/>
            <w:shd w:val="clear" w:color="auto" w:fill="548DD4" w:themeFill="text2" w:themeFillTint="99"/>
          </w:tcPr>
          <w:p w:rsidR="004864A0" w:rsidRPr="00FE1C58" w:rsidRDefault="004864A0" w:rsidP="007C4697">
            <w:pPr>
              <w:spacing w:before="40" w:after="40"/>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Ref</w:t>
            </w:r>
          </w:p>
        </w:tc>
        <w:tc>
          <w:tcPr>
            <w:tcW w:w="1701" w:type="dxa"/>
            <w:shd w:val="clear" w:color="auto" w:fill="548DD4" w:themeFill="text2" w:themeFillTint="99"/>
          </w:tcPr>
          <w:p w:rsidR="004864A0" w:rsidRPr="00FE1C58" w:rsidRDefault="004864A0" w:rsidP="007C4697">
            <w:pPr>
              <w:spacing w:before="40" w:after="40"/>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Measure</w:t>
            </w:r>
          </w:p>
        </w:tc>
        <w:tc>
          <w:tcPr>
            <w:tcW w:w="850" w:type="dxa"/>
            <w:shd w:val="clear" w:color="auto" w:fill="548DD4" w:themeFill="text2" w:themeFillTint="99"/>
          </w:tcPr>
          <w:p w:rsidR="004864A0" w:rsidRPr="00FE1C58" w:rsidRDefault="004864A0" w:rsidP="007C4697">
            <w:pPr>
              <w:spacing w:before="40" w:after="40"/>
              <w:jc w:val="center"/>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Target</w:t>
            </w:r>
          </w:p>
        </w:tc>
        <w:tc>
          <w:tcPr>
            <w:tcW w:w="853" w:type="dxa"/>
            <w:shd w:val="clear" w:color="auto" w:fill="548DD4" w:themeFill="text2" w:themeFillTint="99"/>
          </w:tcPr>
          <w:p w:rsidR="004864A0" w:rsidRPr="00FE1C58" w:rsidRDefault="004864A0" w:rsidP="007C4697">
            <w:pPr>
              <w:spacing w:before="40" w:after="40"/>
              <w:jc w:val="center"/>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Actual</w:t>
            </w:r>
          </w:p>
        </w:tc>
        <w:tc>
          <w:tcPr>
            <w:tcW w:w="3117" w:type="dxa"/>
            <w:shd w:val="clear" w:color="auto" w:fill="548DD4" w:themeFill="text2" w:themeFillTint="99"/>
          </w:tcPr>
          <w:p w:rsidR="004864A0" w:rsidRDefault="004864A0" w:rsidP="007C4697">
            <w:pPr>
              <w:spacing w:before="40" w:after="40"/>
              <w:jc w:val="center"/>
              <w:rPr>
                <w:rFonts w:ascii="Segoe UI" w:hAnsi="Segoe UI" w:cs="Segoe UI"/>
                <w:b/>
                <w:color w:val="FFFFFF" w:themeColor="background1"/>
                <w:sz w:val="20"/>
                <w:szCs w:val="22"/>
              </w:rPr>
            </w:pPr>
            <w:r>
              <w:rPr>
                <w:rFonts w:ascii="Segoe UI" w:hAnsi="Segoe UI" w:cs="Segoe UI"/>
                <w:b/>
                <w:color w:val="FFFFFF" w:themeColor="background1"/>
                <w:sz w:val="20"/>
                <w:szCs w:val="22"/>
              </w:rPr>
              <w:t>Trend</w:t>
            </w:r>
          </w:p>
        </w:tc>
        <w:tc>
          <w:tcPr>
            <w:tcW w:w="1990" w:type="dxa"/>
            <w:shd w:val="clear" w:color="auto" w:fill="548DD4" w:themeFill="text2" w:themeFillTint="99"/>
          </w:tcPr>
          <w:p w:rsidR="004864A0" w:rsidRPr="00FE1C58" w:rsidRDefault="004864A0" w:rsidP="007C4697">
            <w:pPr>
              <w:spacing w:before="40" w:after="40"/>
              <w:jc w:val="center"/>
              <w:rPr>
                <w:rFonts w:ascii="Segoe UI" w:hAnsi="Segoe UI" w:cs="Segoe UI"/>
                <w:b/>
                <w:color w:val="FFFFFF" w:themeColor="background1"/>
                <w:sz w:val="20"/>
                <w:szCs w:val="22"/>
              </w:rPr>
            </w:pPr>
            <w:r>
              <w:rPr>
                <w:rFonts w:ascii="Segoe UI" w:hAnsi="Segoe UI" w:cs="Segoe UI"/>
                <w:b/>
                <w:color w:val="FFFFFF" w:themeColor="background1"/>
                <w:sz w:val="20"/>
                <w:szCs w:val="22"/>
              </w:rPr>
              <w:t xml:space="preserve">Impact </w:t>
            </w:r>
          </w:p>
        </w:tc>
        <w:tc>
          <w:tcPr>
            <w:tcW w:w="4671" w:type="dxa"/>
            <w:shd w:val="clear" w:color="auto" w:fill="548DD4" w:themeFill="text2" w:themeFillTint="99"/>
          </w:tcPr>
          <w:p w:rsidR="004864A0" w:rsidRPr="00FE1C58" w:rsidRDefault="004864A0" w:rsidP="007C4697">
            <w:pPr>
              <w:spacing w:before="40" w:after="40"/>
              <w:jc w:val="center"/>
              <w:rPr>
                <w:rFonts w:ascii="Segoe UI" w:hAnsi="Segoe UI" w:cs="Segoe UI"/>
                <w:b/>
                <w:color w:val="FFFFFF" w:themeColor="background1"/>
                <w:sz w:val="20"/>
                <w:szCs w:val="22"/>
              </w:rPr>
            </w:pPr>
            <w:r w:rsidRPr="00FE1C58">
              <w:rPr>
                <w:rFonts w:ascii="Segoe UI" w:hAnsi="Segoe UI" w:cs="Segoe UI"/>
                <w:b/>
                <w:color w:val="FFFFFF" w:themeColor="background1"/>
                <w:sz w:val="20"/>
                <w:szCs w:val="22"/>
              </w:rPr>
              <w:t>Action</w:t>
            </w:r>
            <w:r>
              <w:rPr>
                <w:rFonts w:ascii="Segoe UI" w:hAnsi="Segoe UI" w:cs="Segoe UI"/>
                <w:b/>
                <w:color w:val="FFFFFF" w:themeColor="background1"/>
                <w:sz w:val="20"/>
                <w:szCs w:val="22"/>
              </w:rPr>
              <w:t xml:space="preserve"> and Resolution Timescale</w:t>
            </w:r>
          </w:p>
        </w:tc>
      </w:tr>
    </w:tbl>
    <w:tbl>
      <w:tblPr>
        <w:tblStyle w:val="TableGrid"/>
        <w:tblW w:w="15168" w:type="dxa"/>
        <w:tblInd w:w="-318" w:type="dxa"/>
        <w:tblLayout w:type="fixed"/>
        <w:tblLook w:val="04A0" w:firstRow="1" w:lastRow="0" w:firstColumn="1" w:lastColumn="0" w:noHBand="0" w:noVBand="1"/>
      </w:tblPr>
      <w:tblGrid>
        <w:gridCol w:w="1277"/>
        <w:gridCol w:w="709"/>
        <w:gridCol w:w="1701"/>
        <w:gridCol w:w="850"/>
        <w:gridCol w:w="853"/>
        <w:gridCol w:w="3117"/>
        <w:gridCol w:w="1990"/>
        <w:gridCol w:w="4671"/>
      </w:tblGrid>
      <w:tr w:rsidR="00D73200" w:rsidRPr="009225E8" w:rsidTr="00D73200">
        <w:trPr>
          <w:trHeight w:val="476"/>
        </w:trPr>
        <w:tc>
          <w:tcPr>
            <w:tcW w:w="1277" w:type="dxa"/>
          </w:tcPr>
          <w:p w:rsidR="00D73200" w:rsidRPr="00816CB6" w:rsidRDefault="00D73200" w:rsidP="007C4697">
            <w:pPr>
              <w:rPr>
                <w:rFonts w:ascii="Segoe UI" w:hAnsi="Segoe UI" w:cs="Segoe UI"/>
                <w:sz w:val="20"/>
                <w:szCs w:val="22"/>
              </w:rPr>
            </w:pPr>
            <w:r>
              <w:rPr>
                <w:rFonts w:ascii="Segoe UI" w:hAnsi="Segoe UI" w:cs="Segoe UI"/>
                <w:sz w:val="20"/>
                <w:szCs w:val="22"/>
              </w:rPr>
              <w:t xml:space="preserve">Adult </w:t>
            </w:r>
            <w:proofErr w:type="spellStart"/>
            <w:r>
              <w:rPr>
                <w:rFonts w:ascii="Segoe UI" w:hAnsi="Segoe UI" w:cs="Segoe UI"/>
                <w:sz w:val="20"/>
                <w:szCs w:val="22"/>
              </w:rPr>
              <w:t>SaLT</w:t>
            </w:r>
            <w:proofErr w:type="spellEnd"/>
          </w:p>
        </w:tc>
        <w:tc>
          <w:tcPr>
            <w:tcW w:w="709" w:type="dxa"/>
          </w:tcPr>
          <w:p w:rsidR="00D73200" w:rsidRPr="00816CB6" w:rsidRDefault="00D73200" w:rsidP="007C4697">
            <w:pPr>
              <w:rPr>
                <w:rFonts w:ascii="Segoe UI" w:hAnsi="Segoe UI" w:cs="Segoe UI"/>
                <w:sz w:val="20"/>
                <w:szCs w:val="22"/>
              </w:rPr>
            </w:pPr>
            <w:r>
              <w:rPr>
                <w:rFonts w:ascii="Segoe UI" w:hAnsi="Segoe UI" w:cs="Segoe UI"/>
                <w:sz w:val="20"/>
                <w:szCs w:val="22"/>
              </w:rPr>
              <w:t xml:space="preserve">CS </w:t>
            </w:r>
            <w:r w:rsidRPr="00D73200">
              <w:rPr>
                <w:rFonts w:ascii="Segoe UI" w:hAnsi="Segoe UI" w:cs="Segoe UI"/>
                <w:sz w:val="20"/>
                <w:szCs w:val="22"/>
              </w:rPr>
              <w:t>D10</w:t>
            </w:r>
          </w:p>
        </w:tc>
        <w:tc>
          <w:tcPr>
            <w:tcW w:w="1701" w:type="dxa"/>
          </w:tcPr>
          <w:p w:rsidR="00D73200" w:rsidRPr="00D73200" w:rsidRDefault="00D73200" w:rsidP="007C4697">
            <w:pPr>
              <w:rPr>
                <w:rFonts w:ascii="Segoe UI" w:hAnsi="Segoe UI" w:cs="Segoe UI"/>
                <w:sz w:val="20"/>
                <w:szCs w:val="22"/>
              </w:rPr>
            </w:pPr>
            <w:r w:rsidRPr="00D73200">
              <w:rPr>
                <w:rFonts w:ascii="Segoe UI" w:hAnsi="Segoe UI" w:cs="Segoe UI"/>
                <w:sz w:val="20"/>
                <w:szCs w:val="22"/>
              </w:rPr>
              <w:t>% of patients who are classified as “urgent swallow” to be offered assessment within two working days of referral received.</w:t>
            </w:r>
          </w:p>
        </w:tc>
        <w:tc>
          <w:tcPr>
            <w:tcW w:w="850" w:type="dxa"/>
            <w:vAlign w:val="center"/>
          </w:tcPr>
          <w:p w:rsidR="00D73200" w:rsidRPr="00E51C43" w:rsidRDefault="00D73200" w:rsidP="007C4697">
            <w:pPr>
              <w:jc w:val="center"/>
              <w:rPr>
                <w:rFonts w:ascii="Segoe UI" w:hAnsi="Segoe UI" w:cs="Segoe UI"/>
                <w:sz w:val="20"/>
                <w:szCs w:val="22"/>
              </w:rPr>
            </w:pPr>
            <w:r>
              <w:rPr>
                <w:rFonts w:ascii="Segoe UI" w:hAnsi="Segoe UI" w:cs="Segoe UI"/>
                <w:sz w:val="20"/>
                <w:szCs w:val="22"/>
              </w:rPr>
              <w:t>95%</w:t>
            </w:r>
          </w:p>
        </w:tc>
        <w:tc>
          <w:tcPr>
            <w:tcW w:w="853" w:type="dxa"/>
            <w:shd w:val="clear" w:color="auto" w:fill="92D050"/>
            <w:vAlign w:val="center"/>
          </w:tcPr>
          <w:p w:rsidR="00D73200" w:rsidRPr="00E51C43" w:rsidRDefault="00D73200" w:rsidP="007C4697">
            <w:pPr>
              <w:jc w:val="center"/>
              <w:rPr>
                <w:rFonts w:ascii="Segoe UI" w:hAnsi="Segoe UI" w:cs="Segoe UI"/>
                <w:sz w:val="20"/>
                <w:szCs w:val="22"/>
              </w:rPr>
            </w:pPr>
            <w:r>
              <w:rPr>
                <w:rFonts w:ascii="Segoe UI" w:hAnsi="Segoe UI" w:cs="Segoe UI"/>
                <w:sz w:val="20"/>
                <w:szCs w:val="22"/>
              </w:rPr>
              <w:t>100%</w:t>
            </w:r>
          </w:p>
        </w:tc>
        <w:tc>
          <w:tcPr>
            <w:tcW w:w="3117" w:type="dxa"/>
          </w:tcPr>
          <w:p w:rsidR="00D73200" w:rsidRPr="00816CB6" w:rsidRDefault="00D73200" w:rsidP="007C4697">
            <w:pPr>
              <w:ind w:left="-111"/>
              <w:rPr>
                <w:rFonts w:ascii="Segoe UI" w:hAnsi="Segoe UI" w:cs="Segoe UI"/>
                <w:b/>
                <w:sz w:val="20"/>
                <w:szCs w:val="22"/>
              </w:rPr>
            </w:pPr>
            <w:r>
              <w:rPr>
                <w:noProof/>
              </w:rPr>
              <w:drawing>
                <wp:inline distT="0" distB="0" distL="0" distR="0" wp14:anchorId="468A2944" wp14:editId="3D5DE5F4">
                  <wp:extent cx="1988289" cy="1520456"/>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1990" w:type="dxa"/>
          </w:tcPr>
          <w:p w:rsidR="00D73200" w:rsidRPr="009225E8" w:rsidRDefault="00D73200" w:rsidP="00D73200">
            <w:pPr>
              <w:rPr>
                <w:rFonts w:ascii="Segoe UI" w:hAnsi="Segoe UI" w:cs="Segoe UI"/>
                <w:sz w:val="20"/>
                <w:szCs w:val="22"/>
              </w:rPr>
            </w:pPr>
            <w:r>
              <w:rPr>
                <w:rFonts w:ascii="Segoe UI" w:hAnsi="Segoe UI" w:cs="Segoe UI"/>
                <w:sz w:val="20"/>
                <w:szCs w:val="22"/>
              </w:rPr>
              <w:t xml:space="preserve">Responsive care to patients in urgent need. </w:t>
            </w:r>
          </w:p>
        </w:tc>
        <w:tc>
          <w:tcPr>
            <w:tcW w:w="4671" w:type="dxa"/>
          </w:tcPr>
          <w:p w:rsidR="00D73200" w:rsidRPr="009225E8" w:rsidRDefault="00D73200" w:rsidP="00D73200">
            <w:pPr>
              <w:rPr>
                <w:rFonts w:ascii="Segoe UI" w:hAnsi="Segoe UI" w:cs="Segoe UI"/>
                <w:sz w:val="20"/>
                <w:szCs w:val="22"/>
              </w:rPr>
            </w:pPr>
            <w:r>
              <w:rPr>
                <w:rFonts w:ascii="Segoe UI" w:hAnsi="Segoe UI" w:cs="Segoe UI"/>
                <w:sz w:val="20"/>
                <w:szCs w:val="22"/>
              </w:rPr>
              <w:t>Despite capacity challenges faced by the service last year, the service has sustained performance against this indicator this year above target.</w:t>
            </w:r>
          </w:p>
        </w:tc>
      </w:tr>
      <w:tr w:rsidR="006679B9" w:rsidRPr="009225E8" w:rsidTr="006679B9">
        <w:trPr>
          <w:trHeight w:val="476"/>
        </w:trPr>
        <w:tc>
          <w:tcPr>
            <w:tcW w:w="1277" w:type="dxa"/>
          </w:tcPr>
          <w:p w:rsidR="006679B9" w:rsidRDefault="006679B9" w:rsidP="007C4697">
            <w:pPr>
              <w:rPr>
                <w:rFonts w:ascii="Segoe UI" w:hAnsi="Segoe UI" w:cs="Segoe UI"/>
                <w:sz w:val="20"/>
                <w:szCs w:val="22"/>
              </w:rPr>
            </w:pPr>
            <w:r>
              <w:rPr>
                <w:rFonts w:ascii="Segoe UI" w:hAnsi="Segoe UI" w:cs="Segoe UI"/>
                <w:sz w:val="20"/>
                <w:szCs w:val="22"/>
              </w:rPr>
              <w:t>MIU</w:t>
            </w:r>
          </w:p>
        </w:tc>
        <w:tc>
          <w:tcPr>
            <w:tcW w:w="709" w:type="dxa"/>
          </w:tcPr>
          <w:p w:rsidR="006679B9" w:rsidRPr="006679B9" w:rsidRDefault="006679B9" w:rsidP="006679B9">
            <w:pPr>
              <w:rPr>
                <w:rFonts w:ascii="Segoe UI" w:hAnsi="Segoe UI" w:cs="Segoe UI"/>
                <w:color w:val="000000"/>
                <w:sz w:val="20"/>
                <w:szCs w:val="20"/>
              </w:rPr>
            </w:pPr>
            <w:r w:rsidRPr="006679B9">
              <w:rPr>
                <w:rFonts w:ascii="Segoe UI" w:hAnsi="Segoe UI" w:cs="Segoe UI"/>
                <w:color w:val="000000"/>
                <w:sz w:val="20"/>
                <w:szCs w:val="20"/>
              </w:rPr>
              <w:t>D11</w:t>
            </w:r>
          </w:p>
        </w:tc>
        <w:tc>
          <w:tcPr>
            <w:tcW w:w="1701" w:type="dxa"/>
            <w:vAlign w:val="center"/>
          </w:tcPr>
          <w:p w:rsidR="006679B9" w:rsidRPr="006679B9" w:rsidRDefault="006679B9">
            <w:pPr>
              <w:rPr>
                <w:rFonts w:ascii="Segoe UI" w:hAnsi="Segoe UI" w:cs="Segoe UI"/>
                <w:color w:val="000000"/>
                <w:sz w:val="20"/>
                <w:szCs w:val="20"/>
              </w:rPr>
            </w:pPr>
            <w:r>
              <w:rPr>
                <w:rFonts w:ascii="Segoe UI" w:hAnsi="Segoe UI" w:cs="Segoe UI"/>
                <w:color w:val="000000"/>
                <w:sz w:val="20"/>
                <w:szCs w:val="20"/>
              </w:rPr>
              <w:t>%</w:t>
            </w:r>
            <w:r w:rsidRPr="006679B9">
              <w:rPr>
                <w:rFonts w:ascii="Segoe UI" w:hAnsi="Segoe UI" w:cs="Segoe UI"/>
                <w:color w:val="000000"/>
                <w:sz w:val="20"/>
                <w:szCs w:val="20"/>
              </w:rPr>
              <w:t xml:space="preserve"> of patients attending MIU must be seen, treated, admitted, transferred or discharged in under four hours.</w:t>
            </w:r>
          </w:p>
        </w:tc>
        <w:tc>
          <w:tcPr>
            <w:tcW w:w="850" w:type="dxa"/>
            <w:vAlign w:val="center"/>
          </w:tcPr>
          <w:p w:rsidR="006679B9" w:rsidRPr="006679B9" w:rsidRDefault="006679B9">
            <w:pPr>
              <w:rPr>
                <w:rFonts w:ascii="Segoe UI" w:hAnsi="Segoe UI" w:cs="Segoe UI"/>
                <w:color w:val="000000"/>
                <w:sz w:val="20"/>
                <w:szCs w:val="20"/>
              </w:rPr>
            </w:pPr>
            <w:r w:rsidRPr="006679B9">
              <w:rPr>
                <w:rFonts w:ascii="Segoe UI" w:hAnsi="Segoe UI" w:cs="Segoe UI"/>
                <w:color w:val="000000"/>
                <w:sz w:val="20"/>
                <w:szCs w:val="20"/>
              </w:rPr>
              <w:t>95%</w:t>
            </w:r>
          </w:p>
        </w:tc>
        <w:tc>
          <w:tcPr>
            <w:tcW w:w="853" w:type="dxa"/>
            <w:shd w:val="clear" w:color="auto" w:fill="92D050"/>
            <w:vAlign w:val="center"/>
          </w:tcPr>
          <w:p w:rsidR="006679B9" w:rsidRDefault="006679B9" w:rsidP="007C4697">
            <w:pPr>
              <w:jc w:val="center"/>
              <w:rPr>
                <w:rFonts w:ascii="Segoe UI" w:hAnsi="Segoe UI" w:cs="Segoe UI"/>
                <w:sz w:val="20"/>
                <w:szCs w:val="22"/>
              </w:rPr>
            </w:pPr>
            <w:r>
              <w:rPr>
                <w:rFonts w:ascii="Segoe UI" w:hAnsi="Segoe UI" w:cs="Segoe UI"/>
                <w:sz w:val="20"/>
                <w:szCs w:val="22"/>
              </w:rPr>
              <w:t>99%</w:t>
            </w:r>
          </w:p>
        </w:tc>
        <w:tc>
          <w:tcPr>
            <w:tcW w:w="3117" w:type="dxa"/>
          </w:tcPr>
          <w:p w:rsidR="006679B9" w:rsidRDefault="006679B9" w:rsidP="007C4697">
            <w:pPr>
              <w:ind w:left="-111"/>
              <w:rPr>
                <w:noProof/>
              </w:rPr>
            </w:pPr>
            <w:r>
              <w:rPr>
                <w:noProof/>
              </w:rPr>
              <w:drawing>
                <wp:inline distT="0" distB="0" distL="0" distR="0" wp14:anchorId="20A2130C" wp14:editId="04C16471">
                  <wp:extent cx="1988289" cy="1658679"/>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1990" w:type="dxa"/>
          </w:tcPr>
          <w:p w:rsidR="006679B9" w:rsidRDefault="006679B9" w:rsidP="006679B9">
            <w:pPr>
              <w:rPr>
                <w:rFonts w:ascii="Segoe UI" w:hAnsi="Segoe UI" w:cs="Segoe UI"/>
                <w:sz w:val="20"/>
                <w:szCs w:val="22"/>
              </w:rPr>
            </w:pPr>
            <w:r>
              <w:rPr>
                <w:rFonts w:ascii="Segoe UI" w:hAnsi="Segoe UI" w:cs="Segoe UI"/>
                <w:sz w:val="20"/>
                <w:szCs w:val="22"/>
              </w:rPr>
              <w:t>Responsive patient care</w:t>
            </w:r>
          </w:p>
        </w:tc>
        <w:tc>
          <w:tcPr>
            <w:tcW w:w="4671" w:type="dxa"/>
          </w:tcPr>
          <w:p w:rsidR="006679B9" w:rsidRDefault="006679B9" w:rsidP="006679B9">
            <w:pPr>
              <w:rPr>
                <w:rFonts w:ascii="Segoe UI" w:hAnsi="Segoe UI" w:cs="Segoe UI"/>
                <w:sz w:val="20"/>
                <w:szCs w:val="22"/>
              </w:rPr>
            </w:pPr>
            <w:r>
              <w:rPr>
                <w:rFonts w:ascii="Segoe UI" w:hAnsi="Segoe UI" w:cs="Segoe UI"/>
                <w:sz w:val="20"/>
                <w:szCs w:val="22"/>
              </w:rPr>
              <w:t>The service performs well against the 4 hour target achieving  99% in January and 98% compliance YTD</w:t>
            </w:r>
          </w:p>
        </w:tc>
      </w:tr>
      <w:tr w:rsidR="006679B9" w:rsidRPr="009225E8" w:rsidTr="006679B9">
        <w:trPr>
          <w:trHeight w:val="476"/>
        </w:trPr>
        <w:tc>
          <w:tcPr>
            <w:tcW w:w="1277" w:type="dxa"/>
          </w:tcPr>
          <w:p w:rsidR="006679B9" w:rsidRPr="006679B9" w:rsidRDefault="006679B9" w:rsidP="007C4697">
            <w:pPr>
              <w:rPr>
                <w:rFonts w:ascii="Segoe UI" w:hAnsi="Segoe UI" w:cs="Segoe UI"/>
                <w:sz w:val="20"/>
                <w:szCs w:val="22"/>
              </w:rPr>
            </w:pPr>
            <w:r w:rsidRPr="006679B9">
              <w:rPr>
                <w:rFonts w:ascii="Segoe UI" w:hAnsi="Segoe UI" w:cs="Segoe UI"/>
                <w:sz w:val="20"/>
                <w:szCs w:val="22"/>
              </w:rPr>
              <w:t>Single Point of Access</w:t>
            </w:r>
          </w:p>
        </w:tc>
        <w:tc>
          <w:tcPr>
            <w:tcW w:w="709" w:type="dxa"/>
            <w:vAlign w:val="center"/>
          </w:tcPr>
          <w:p w:rsidR="006679B9" w:rsidRPr="006679B9" w:rsidRDefault="006679B9">
            <w:pPr>
              <w:rPr>
                <w:rFonts w:ascii="Segoe UI" w:hAnsi="Segoe UI" w:cs="Segoe UI"/>
                <w:color w:val="000000"/>
                <w:sz w:val="20"/>
                <w:szCs w:val="20"/>
              </w:rPr>
            </w:pPr>
            <w:r w:rsidRPr="006679B9">
              <w:rPr>
                <w:rFonts w:ascii="Segoe UI" w:hAnsi="Segoe UI" w:cs="Segoe UI"/>
                <w:color w:val="000000"/>
                <w:sz w:val="20"/>
                <w:szCs w:val="20"/>
              </w:rPr>
              <w:t>D12</w:t>
            </w:r>
          </w:p>
        </w:tc>
        <w:tc>
          <w:tcPr>
            <w:tcW w:w="1701" w:type="dxa"/>
            <w:vAlign w:val="center"/>
          </w:tcPr>
          <w:p w:rsidR="006679B9" w:rsidRPr="006679B9" w:rsidRDefault="006679B9" w:rsidP="006679B9">
            <w:pPr>
              <w:rPr>
                <w:rFonts w:ascii="Segoe UI" w:hAnsi="Segoe UI" w:cs="Segoe UI"/>
                <w:color w:val="000000"/>
                <w:sz w:val="20"/>
                <w:szCs w:val="20"/>
              </w:rPr>
            </w:pPr>
            <w:r>
              <w:rPr>
                <w:rFonts w:ascii="Segoe UI" w:hAnsi="Segoe UI" w:cs="Segoe UI"/>
                <w:color w:val="000000"/>
                <w:sz w:val="20"/>
                <w:szCs w:val="20"/>
              </w:rPr>
              <w:t>%</w:t>
            </w:r>
            <w:r w:rsidRPr="006679B9">
              <w:rPr>
                <w:rFonts w:ascii="Segoe UI" w:hAnsi="Segoe UI" w:cs="Segoe UI"/>
                <w:color w:val="000000"/>
                <w:sz w:val="20"/>
                <w:szCs w:val="20"/>
              </w:rPr>
              <w:t xml:space="preserve"> of patients requiring immediate care are assessed and the required service is mobilised to attend to the patient </w:t>
            </w:r>
            <w:r>
              <w:rPr>
                <w:rFonts w:ascii="Segoe UI" w:hAnsi="Segoe UI" w:cs="Segoe UI"/>
                <w:color w:val="000000"/>
                <w:sz w:val="20"/>
                <w:szCs w:val="20"/>
              </w:rPr>
              <w:t>&lt;4</w:t>
            </w:r>
            <w:r w:rsidRPr="006679B9">
              <w:rPr>
                <w:rFonts w:ascii="Segoe UI" w:hAnsi="Segoe UI" w:cs="Segoe UI"/>
                <w:color w:val="000000"/>
                <w:sz w:val="20"/>
                <w:szCs w:val="20"/>
              </w:rPr>
              <w:t xml:space="preserve"> hours</w:t>
            </w:r>
          </w:p>
        </w:tc>
        <w:tc>
          <w:tcPr>
            <w:tcW w:w="850" w:type="dxa"/>
            <w:vAlign w:val="center"/>
          </w:tcPr>
          <w:p w:rsidR="006679B9" w:rsidRPr="006679B9" w:rsidRDefault="006679B9">
            <w:pPr>
              <w:rPr>
                <w:rFonts w:ascii="Segoe UI" w:hAnsi="Segoe UI" w:cs="Segoe UI"/>
                <w:color w:val="000000"/>
                <w:sz w:val="20"/>
                <w:szCs w:val="20"/>
              </w:rPr>
            </w:pPr>
            <w:r w:rsidRPr="006679B9">
              <w:rPr>
                <w:rFonts w:ascii="Segoe UI" w:hAnsi="Segoe UI" w:cs="Segoe UI"/>
                <w:color w:val="000000"/>
                <w:sz w:val="20"/>
                <w:szCs w:val="20"/>
              </w:rPr>
              <w:t>95%</w:t>
            </w:r>
          </w:p>
        </w:tc>
        <w:tc>
          <w:tcPr>
            <w:tcW w:w="853" w:type="dxa"/>
            <w:shd w:val="clear" w:color="auto" w:fill="92D050"/>
            <w:vAlign w:val="center"/>
          </w:tcPr>
          <w:p w:rsidR="006679B9" w:rsidRPr="006679B9" w:rsidRDefault="006679B9" w:rsidP="007C4697">
            <w:pPr>
              <w:jc w:val="center"/>
              <w:rPr>
                <w:rFonts w:ascii="Segoe UI" w:hAnsi="Segoe UI" w:cs="Segoe UI"/>
                <w:sz w:val="20"/>
                <w:szCs w:val="22"/>
              </w:rPr>
            </w:pPr>
            <w:r w:rsidRPr="006679B9">
              <w:rPr>
                <w:rFonts w:ascii="Segoe UI" w:hAnsi="Segoe UI" w:cs="Segoe UI"/>
                <w:sz w:val="20"/>
                <w:szCs w:val="22"/>
              </w:rPr>
              <w:t>100%</w:t>
            </w:r>
          </w:p>
        </w:tc>
        <w:tc>
          <w:tcPr>
            <w:tcW w:w="3117" w:type="dxa"/>
          </w:tcPr>
          <w:p w:rsidR="006679B9" w:rsidRDefault="006679B9" w:rsidP="007C4697">
            <w:pPr>
              <w:ind w:left="-111"/>
              <w:rPr>
                <w:noProof/>
              </w:rPr>
            </w:pPr>
            <w:r>
              <w:rPr>
                <w:noProof/>
              </w:rPr>
              <w:drawing>
                <wp:inline distT="0" distB="0" distL="0" distR="0" wp14:anchorId="73207C0B" wp14:editId="7F93E638">
                  <wp:extent cx="1998921" cy="1648047"/>
                  <wp:effectExtent l="0" t="0" r="1905"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1990" w:type="dxa"/>
          </w:tcPr>
          <w:p w:rsidR="006679B9" w:rsidRDefault="006679B9" w:rsidP="006679B9">
            <w:pPr>
              <w:rPr>
                <w:rFonts w:ascii="Segoe UI" w:hAnsi="Segoe UI" w:cs="Segoe UI"/>
                <w:sz w:val="20"/>
                <w:szCs w:val="22"/>
              </w:rPr>
            </w:pPr>
            <w:r>
              <w:rPr>
                <w:rFonts w:ascii="Segoe UI" w:hAnsi="Segoe UI" w:cs="Segoe UI"/>
                <w:sz w:val="20"/>
                <w:szCs w:val="22"/>
              </w:rPr>
              <w:t>Responsive patient care</w:t>
            </w:r>
            <w:r w:rsidR="004864A0">
              <w:rPr>
                <w:rFonts w:ascii="Segoe UI" w:hAnsi="Segoe UI" w:cs="Segoe UI"/>
                <w:sz w:val="20"/>
                <w:szCs w:val="22"/>
              </w:rPr>
              <w:t xml:space="preserve"> and support to whole system patient flow</w:t>
            </w:r>
          </w:p>
        </w:tc>
        <w:tc>
          <w:tcPr>
            <w:tcW w:w="4671" w:type="dxa"/>
          </w:tcPr>
          <w:p w:rsidR="006679B9" w:rsidRDefault="006679B9" w:rsidP="006679B9">
            <w:pPr>
              <w:rPr>
                <w:rFonts w:ascii="Segoe UI" w:hAnsi="Segoe UI" w:cs="Segoe UI"/>
                <w:sz w:val="20"/>
                <w:szCs w:val="22"/>
              </w:rPr>
            </w:pPr>
            <w:r>
              <w:rPr>
                <w:rFonts w:ascii="Segoe UI" w:hAnsi="Segoe UI" w:cs="Segoe UI"/>
                <w:sz w:val="20"/>
                <w:szCs w:val="22"/>
              </w:rPr>
              <w:t xml:space="preserve">The service performs </w:t>
            </w:r>
            <w:r>
              <w:rPr>
                <w:rFonts w:ascii="Segoe UI" w:hAnsi="Segoe UI" w:cs="Segoe UI"/>
                <w:sz w:val="20"/>
                <w:szCs w:val="22"/>
              </w:rPr>
              <w:t xml:space="preserve">consistently </w:t>
            </w:r>
            <w:r>
              <w:rPr>
                <w:rFonts w:ascii="Segoe UI" w:hAnsi="Segoe UI" w:cs="Segoe UI"/>
                <w:sz w:val="20"/>
                <w:szCs w:val="22"/>
              </w:rPr>
              <w:t xml:space="preserve">well against the 4 hour target achieving  </w:t>
            </w:r>
            <w:r>
              <w:rPr>
                <w:rFonts w:ascii="Segoe UI" w:hAnsi="Segoe UI" w:cs="Segoe UI"/>
                <w:sz w:val="20"/>
                <w:szCs w:val="22"/>
              </w:rPr>
              <w:t>98% compliance YTD and 100% in January</w:t>
            </w:r>
          </w:p>
        </w:tc>
      </w:tr>
      <w:tr w:rsidR="006679B9" w:rsidRPr="009225E8" w:rsidTr="006679B9">
        <w:trPr>
          <w:trHeight w:val="476"/>
        </w:trPr>
        <w:tc>
          <w:tcPr>
            <w:tcW w:w="1277" w:type="dxa"/>
          </w:tcPr>
          <w:p w:rsidR="006679B9" w:rsidRDefault="006679B9" w:rsidP="007C4697">
            <w:pPr>
              <w:rPr>
                <w:rFonts w:ascii="Segoe UI" w:hAnsi="Segoe UI" w:cs="Segoe UI"/>
                <w:sz w:val="20"/>
                <w:szCs w:val="22"/>
              </w:rPr>
            </w:pPr>
            <w:r>
              <w:rPr>
                <w:rFonts w:ascii="Segoe UI" w:hAnsi="Segoe UI" w:cs="Segoe UI"/>
                <w:sz w:val="20"/>
                <w:szCs w:val="22"/>
              </w:rPr>
              <w:lastRenderedPageBreak/>
              <w:t>Emergency MDT Unit (EMU)</w:t>
            </w:r>
          </w:p>
        </w:tc>
        <w:tc>
          <w:tcPr>
            <w:tcW w:w="709" w:type="dxa"/>
            <w:vAlign w:val="center"/>
          </w:tcPr>
          <w:p w:rsidR="006679B9" w:rsidRPr="006679B9" w:rsidRDefault="006679B9">
            <w:pPr>
              <w:rPr>
                <w:rFonts w:ascii="Segoe UI" w:hAnsi="Segoe UI" w:cs="Segoe UI"/>
                <w:color w:val="000000"/>
                <w:sz w:val="20"/>
                <w:szCs w:val="20"/>
              </w:rPr>
            </w:pPr>
            <w:r w:rsidRPr="006679B9">
              <w:rPr>
                <w:rFonts w:ascii="Segoe UI" w:hAnsi="Segoe UI" w:cs="Segoe UI"/>
                <w:color w:val="000000"/>
                <w:sz w:val="20"/>
                <w:szCs w:val="20"/>
              </w:rPr>
              <w:t xml:space="preserve">D20a </w:t>
            </w:r>
          </w:p>
        </w:tc>
        <w:tc>
          <w:tcPr>
            <w:tcW w:w="1701" w:type="dxa"/>
            <w:vAlign w:val="center"/>
          </w:tcPr>
          <w:p w:rsidR="006679B9" w:rsidRPr="006679B9" w:rsidRDefault="006679B9">
            <w:pPr>
              <w:rPr>
                <w:rFonts w:ascii="Segoe UI" w:hAnsi="Segoe UI" w:cs="Segoe UI"/>
                <w:color w:val="000000"/>
                <w:sz w:val="20"/>
                <w:szCs w:val="20"/>
              </w:rPr>
            </w:pPr>
            <w:r w:rsidRPr="006679B9">
              <w:rPr>
                <w:rFonts w:ascii="Segoe UI" w:hAnsi="Segoe UI" w:cs="Segoe UI"/>
                <w:color w:val="000000"/>
                <w:sz w:val="20"/>
                <w:szCs w:val="20"/>
              </w:rPr>
              <w:t>Patients referred are seen, or contacted as appropriate, within 2 hours</w:t>
            </w:r>
          </w:p>
        </w:tc>
        <w:tc>
          <w:tcPr>
            <w:tcW w:w="850" w:type="dxa"/>
            <w:vAlign w:val="center"/>
          </w:tcPr>
          <w:p w:rsidR="006679B9" w:rsidRPr="006679B9" w:rsidRDefault="006679B9">
            <w:pPr>
              <w:rPr>
                <w:rFonts w:ascii="Segoe UI" w:hAnsi="Segoe UI" w:cs="Segoe UI"/>
                <w:color w:val="000000"/>
                <w:sz w:val="20"/>
                <w:szCs w:val="20"/>
              </w:rPr>
            </w:pPr>
            <w:r w:rsidRPr="006679B9">
              <w:rPr>
                <w:rFonts w:ascii="Segoe UI" w:hAnsi="Segoe UI" w:cs="Segoe UI"/>
                <w:color w:val="000000"/>
                <w:sz w:val="20"/>
                <w:szCs w:val="20"/>
              </w:rPr>
              <w:t>90%</w:t>
            </w:r>
          </w:p>
        </w:tc>
        <w:tc>
          <w:tcPr>
            <w:tcW w:w="853" w:type="dxa"/>
            <w:shd w:val="clear" w:color="auto" w:fill="92D050"/>
            <w:vAlign w:val="center"/>
          </w:tcPr>
          <w:p w:rsidR="006679B9" w:rsidRPr="006679B9" w:rsidRDefault="004864A0">
            <w:pPr>
              <w:rPr>
                <w:rFonts w:ascii="Segoe UI" w:hAnsi="Segoe UI" w:cs="Segoe UI"/>
                <w:color w:val="000000"/>
                <w:sz w:val="20"/>
                <w:szCs w:val="20"/>
              </w:rPr>
            </w:pPr>
            <w:r>
              <w:rPr>
                <w:rFonts w:ascii="Segoe UI" w:hAnsi="Segoe UI" w:cs="Segoe UI"/>
                <w:color w:val="000000"/>
                <w:sz w:val="20"/>
                <w:szCs w:val="20"/>
              </w:rPr>
              <w:t>100%</w:t>
            </w:r>
          </w:p>
        </w:tc>
        <w:tc>
          <w:tcPr>
            <w:tcW w:w="3117" w:type="dxa"/>
          </w:tcPr>
          <w:p w:rsidR="006679B9" w:rsidRDefault="006679B9" w:rsidP="007C4697">
            <w:pPr>
              <w:ind w:left="-111"/>
              <w:rPr>
                <w:noProof/>
              </w:rPr>
            </w:pPr>
            <w:r>
              <w:rPr>
                <w:noProof/>
              </w:rPr>
              <w:drawing>
                <wp:inline distT="0" distB="0" distL="0" distR="0" wp14:anchorId="4DBEB324" wp14:editId="0A1F4071">
                  <wp:extent cx="1977656" cy="1212112"/>
                  <wp:effectExtent l="0" t="0" r="3810" b="762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1990" w:type="dxa"/>
          </w:tcPr>
          <w:p w:rsidR="006679B9" w:rsidRDefault="006679B9" w:rsidP="006679B9">
            <w:pPr>
              <w:rPr>
                <w:rFonts w:ascii="Segoe UI" w:hAnsi="Segoe UI" w:cs="Segoe UI"/>
                <w:sz w:val="20"/>
                <w:szCs w:val="22"/>
              </w:rPr>
            </w:pPr>
            <w:r>
              <w:rPr>
                <w:rFonts w:ascii="Segoe UI" w:hAnsi="Segoe UI" w:cs="Segoe UI"/>
                <w:sz w:val="20"/>
                <w:szCs w:val="22"/>
              </w:rPr>
              <w:t>Responsive patient care</w:t>
            </w:r>
            <w:r w:rsidR="004864A0">
              <w:rPr>
                <w:rFonts w:ascii="Segoe UI" w:hAnsi="Segoe UI" w:cs="Segoe UI"/>
                <w:sz w:val="20"/>
                <w:szCs w:val="22"/>
              </w:rPr>
              <w:t xml:space="preserve"> and support to whole system/admission avoidance</w:t>
            </w:r>
          </w:p>
        </w:tc>
        <w:tc>
          <w:tcPr>
            <w:tcW w:w="4671" w:type="dxa"/>
          </w:tcPr>
          <w:p w:rsidR="006679B9" w:rsidRDefault="004864A0" w:rsidP="006679B9">
            <w:pPr>
              <w:rPr>
                <w:rFonts w:ascii="Segoe UI" w:hAnsi="Segoe UI" w:cs="Segoe UI"/>
                <w:sz w:val="20"/>
                <w:szCs w:val="22"/>
              </w:rPr>
            </w:pPr>
            <w:r>
              <w:rPr>
                <w:rFonts w:ascii="Segoe UI" w:hAnsi="Segoe UI" w:cs="Segoe UI"/>
                <w:sz w:val="20"/>
                <w:szCs w:val="22"/>
              </w:rPr>
              <w:t>Since implementation of the KPI in September, the service has consistently achieved 100% against a 90% target</w:t>
            </w:r>
          </w:p>
        </w:tc>
      </w:tr>
    </w:tbl>
    <w:p w:rsidR="00D73200" w:rsidRDefault="00D73200" w:rsidP="007155D7">
      <w:pPr>
        <w:spacing w:after="200" w:line="276" w:lineRule="auto"/>
      </w:pPr>
    </w:p>
    <w:p w:rsidR="00E27F88" w:rsidRDefault="00E27F88" w:rsidP="00E27F88">
      <w:pPr>
        <w:jc w:val="center"/>
        <w:rPr>
          <w:rFonts w:ascii="Segoe UI" w:hAnsi="Segoe UI" w:cs="Segoe UI"/>
          <w:u w:val="single"/>
        </w:rPr>
      </w:pPr>
      <w:r>
        <w:rPr>
          <w:rFonts w:ascii="Segoe UI" w:hAnsi="Segoe UI" w:cs="Segoe UI"/>
          <w:u w:val="single"/>
        </w:rPr>
        <w:t>Adults of Working Age</w:t>
      </w:r>
      <w:r w:rsidRPr="009C1BE7">
        <w:rPr>
          <w:rFonts w:ascii="Segoe UI" w:hAnsi="Segoe UI" w:cs="Segoe UI"/>
          <w:u w:val="single"/>
        </w:rPr>
        <w:t xml:space="preserve"> Directorate-COO Supporting Information</w:t>
      </w:r>
      <w:r>
        <w:rPr>
          <w:rFonts w:ascii="Segoe UI" w:hAnsi="Segoe UI" w:cs="Segoe UI"/>
          <w:u w:val="single"/>
        </w:rPr>
        <w:t>-Month 10</w:t>
      </w:r>
    </w:p>
    <w:p w:rsidR="0064639E" w:rsidRDefault="0064639E" w:rsidP="00E27F88">
      <w:pPr>
        <w:jc w:val="center"/>
        <w:rPr>
          <w:rFonts w:ascii="Segoe UI" w:hAnsi="Segoe UI" w:cs="Segoe UI"/>
          <w:u w:val="single"/>
        </w:rPr>
      </w:pPr>
    </w:p>
    <w:tbl>
      <w:tblPr>
        <w:tblStyle w:val="TableGrid"/>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3969"/>
      </w:tblGrid>
      <w:tr w:rsidR="0064639E" w:rsidTr="00D73200">
        <w:tc>
          <w:tcPr>
            <w:tcW w:w="426" w:type="dxa"/>
            <w:shd w:val="clear" w:color="auto" w:fill="FF0000"/>
          </w:tcPr>
          <w:p w:rsidR="0064639E" w:rsidRPr="0096419E" w:rsidRDefault="0064639E" w:rsidP="007C4697">
            <w:pPr>
              <w:rPr>
                <w:rFonts w:ascii="Segoe UI" w:hAnsi="Segoe UI" w:cs="Segoe UI"/>
                <w:b/>
              </w:rPr>
            </w:pPr>
            <w:r>
              <w:rPr>
                <w:rFonts w:ascii="Segoe UI" w:hAnsi="Segoe UI" w:cs="Segoe UI"/>
                <w:b/>
              </w:rPr>
              <w:t>R</w:t>
            </w:r>
          </w:p>
        </w:tc>
        <w:tc>
          <w:tcPr>
            <w:tcW w:w="3969" w:type="dxa"/>
            <w:shd w:val="clear" w:color="auto" w:fill="auto"/>
          </w:tcPr>
          <w:p w:rsidR="0064639E" w:rsidRPr="0064639E" w:rsidRDefault="0064639E" w:rsidP="007C4697">
            <w:pPr>
              <w:rPr>
                <w:rFonts w:ascii="Segoe UI" w:hAnsi="Segoe UI" w:cs="Segoe UI"/>
              </w:rPr>
            </w:pPr>
            <w:r w:rsidRPr="0064639E">
              <w:rPr>
                <w:rFonts w:ascii="Segoe UI" w:hAnsi="Segoe UI" w:cs="Segoe UI"/>
              </w:rPr>
              <w:t>Red Indicators</w:t>
            </w:r>
          </w:p>
        </w:tc>
      </w:tr>
    </w:tbl>
    <w:p w:rsidR="00E27F88" w:rsidRDefault="00E27F88" w:rsidP="00E27F88">
      <w:pPr>
        <w:jc w:val="center"/>
        <w:rPr>
          <w:rFonts w:ascii="Segoe UI" w:hAnsi="Segoe UI" w:cs="Segoe UI"/>
          <w:u w:val="single"/>
        </w:rPr>
      </w:pPr>
    </w:p>
    <w:tbl>
      <w:tblPr>
        <w:tblStyle w:val="TableGrid21"/>
        <w:tblW w:w="15026" w:type="dxa"/>
        <w:tblInd w:w="-176" w:type="dxa"/>
        <w:tblLayout w:type="fixed"/>
        <w:tblLook w:val="04A0" w:firstRow="1" w:lastRow="0" w:firstColumn="1" w:lastColumn="0" w:noHBand="0" w:noVBand="1"/>
      </w:tblPr>
      <w:tblGrid>
        <w:gridCol w:w="1277"/>
        <w:gridCol w:w="708"/>
        <w:gridCol w:w="1418"/>
        <w:gridCol w:w="850"/>
        <w:gridCol w:w="851"/>
        <w:gridCol w:w="3827"/>
        <w:gridCol w:w="1843"/>
        <w:gridCol w:w="4252"/>
      </w:tblGrid>
      <w:tr w:rsidR="009F5F92" w:rsidRPr="0090540B" w:rsidTr="00E27F88">
        <w:trPr>
          <w:tblHeader/>
        </w:trPr>
        <w:tc>
          <w:tcPr>
            <w:tcW w:w="1277" w:type="dxa"/>
            <w:shd w:val="clear" w:color="auto" w:fill="548DD4" w:themeFill="text2" w:themeFillTint="99"/>
          </w:tcPr>
          <w:p w:rsidR="009F5F92" w:rsidRPr="0090540B" w:rsidRDefault="009F5F92" w:rsidP="007C4697">
            <w:pPr>
              <w:spacing w:before="40" w:after="40"/>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 xml:space="preserve">Contract </w:t>
            </w:r>
          </w:p>
        </w:tc>
        <w:tc>
          <w:tcPr>
            <w:tcW w:w="708" w:type="dxa"/>
            <w:shd w:val="clear" w:color="auto" w:fill="548DD4" w:themeFill="text2" w:themeFillTint="99"/>
          </w:tcPr>
          <w:p w:rsidR="009F5F92" w:rsidRPr="0090540B" w:rsidRDefault="009F5F92" w:rsidP="007C4697">
            <w:pPr>
              <w:spacing w:before="40" w:after="40"/>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Ref</w:t>
            </w:r>
          </w:p>
        </w:tc>
        <w:tc>
          <w:tcPr>
            <w:tcW w:w="1418" w:type="dxa"/>
            <w:shd w:val="clear" w:color="auto" w:fill="548DD4" w:themeFill="text2" w:themeFillTint="99"/>
          </w:tcPr>
          <w:p w:rsidR="009F5F92" w:rsidRPr="0090540B" w:rsidRDefault="009F5F92" w:rsidP="007C4697">
            <w:pPr>
              <w:spacing w:before="40" w:after="40"/>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Measure</w:t>
            </w:r>
          </w:p>
        </w:tc>
        <w:tc>
          <w:tcPr>
            <w:tcW w:w="850" w:type="dxa"/>
            <w:shd w:val="clear" w:color="auto" w:fill="548DD4" w:themeFill="text2" w:themeFillTint="99"/>
          </w:tcPr>
          <w:p w:rsidR="009F5F92" w:rsidRPr="0090540B" w:rsidRDefault="009F5F92"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Target</w:t>
            </w:r>
          </w:p>
        </w:tc>
        <w:tc>
          <w:tcPr>
            <w:tcW w:w="851" w:type="dxa"/>
            <w:shd w:val="clear" w:color="auto" w:fill="548DD4" w:themeFill="text2" w:themeFillTint="99"/>
          </w:tcPr>
          <w:p w:rsidR="009F5F92" w:rsidRPr="0090540B" w:rsidRDefault="009F5F92"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Actual</w:t>
            </w:r>
          </w:p>
        </w:tc>
        <w:tc>
          <w:tcPr>
            <w:tcW w:w="3827" w:type="dxa"/>
            <w:shd w:val="clear" w:color="auto" w:fill="548DD4" w:themeFill="text2" w:themeFillTint="99"/>
          </w:tcPr>
          <w:p w:rsidR="009F5F92" w:rsidRPr="0090540B" w:rsidRDefault="009F5F92"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Trend</w:t>
            </w:r>
          </w:p>
        </w:tc>
        <w:tc>
          <w:tcPr>
            <w:tcW w:w="1843" w:type="dxa"/>
            <w:shd w:val="clear" w:color="auto" w:fill="548DD4" w:themeFill="text2" w:themeFillTint="99"/>
          </w:tcPr>
          <w:p w:rsidR="009F5F92" w:rsidRPr="0090540B" w:rsidRDefault="009F5F92"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 xml:space="preserve">Impact </w:t>
            </w:r>
          </w:p>
        </w:tc>
        <w:tc>
          <w:tcPr>
            <w:tcW w:w="4252" w:type="dxa"/>
            <w:shd w:val="clear" w:color="auto" w:fill="548DD4" w:themeFill="text2" w:themeFillTint="99"/>
          </w:tcPr>
          <w:p w:rsidR="009F5F92" w:rsidRPr="0090540B" w:rsidRDefault="009F5F92"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Action and Resolution Timescale</w:t>
            </w:r>
          </w:p>
        </w:tc>
      </w:tr>
      <w:tr w:rsidR="009F5F92" w:rsidRPr="0090540B" w:rsidTr="00E27F88">
        <w:trPr>
          <w:trHeight w:val="2127"/>
        </w:trPr>
        <w:tc>
          <w:tcPr>
            <w:tcW w:w="1277" w:type="dxa"/>
          </w:tcPr>
          <w:p w:rsidR="009F5F92" w:rsidRPr="0090540B" w:rsidRDefault="009F5F92" w:rsidP="007C4697">
            <w:pPr>
              <w:ind w:right="-16"/>
              <w:rPr>
                <w:rFonts w:ascii="Segoe UI" w:hAnsi="Segoe UI" w:cs="Segoe UI"/>
                <w:sz w:val="20"/>
                <w:szCs w:val="22"/>
              </w:rPr>
            </w:pPr>
            <w:r w:rsidRPr="0090540B">
              <w:rPr>
                <w:rFonts w:ascii="Segoe UI" w:hAnsi="Segoe UI" w:cs="Segoe UI"/>
                <w:sz w:val="20"/>
                <w:szCs w:val="22"/>
              </w:rPr>
              <w:t>Oxford Schedule 4</w:t>
            </w:r>
          </w:p>
        </w:tc>
        <w:tc>
          <w:tcPr>
            <w:tcW w:w="708" w:type="dxa"/>
          </w:tcPr>
          <w:p w:rsidR="009F5F92" w:rsidRPr="0090540B" w:rsidRDefault="009F5F92" w:rsidP="007C4697">
            <w:pPr>
              <w:ind w:right="-16"/>
              <w:rPr>
                <w:rFonts w:ascii="Segoe UI" w:hAnsi="Segoe UI" w:cs="Segoe UI"/>
                <w:sz w:val="20"/>
                <w:szCs w:val="22"/>
              </w:rPr>
            </w:pPr>
            <w:r w:rsidRPr="0090540B">
              <w:rPr>
                <w:rFonts w:ascii="Segoe UI" w:hAnsi="Segoe UI" w:cs="Segoe UI"/>
                <w:sz w:val="20"/>
                <w:szCs w:val="22"/>
              </w:rPr>
              <w:t>1</w:t>
            </w:r>
          </w:p>
        </w:tc>
        <w:tc>
          <w:tcPr>
            <w:tcW w:w="1418" w:type="dxa"/>
          </w:tcPr>
          <w:p w:rsidR="009F5F92" w:rsidRPr="0090540B" w:rsidRDefault="009F5F92" w:rsidP="007C4697">
            <w:pPr>
              <w:ind w:right="176"/>
              <w:rPr>
                <w:rFonts w:ascii="Segoe UI" w:hAnsi="Segoe UI" w:cs="Segoe UI"/>
                <w:b/>
                <w:sz w:val="20"/>
                <w:szCs w:val="22"/>
              </w:rPr>
            </w:pPr>
            <w:r w:rsidRPr="0090540B">
              <w:rPr>
                <w:rFonts w:ascii="Segoe UI" w:hAnsi="Segoe UI" w:cs="Segoe UI"/>
                <w:noProof/>
                <w:sz w:val="20"/>
              </w:rPr>
              <w:t>Patients referred to EDPS seen within timeframe</w:t>
            </w:r>
          </w:p>
        </w:tc>
        <w:tc>
          <w:tcPr>
            <w:tcW w:w="850" w:type="dxa"/>
            <w:vAlign w:val="center"/>
          </w:tcPr>
          <w:p w:rsidR="009F5F92" w:rsidRPr="0090540B" w:rsidRDefault="009F5F92" w:rsidP="007C4697">
            <w:pPr>
              <w:jc w:val="center"/>
              <w:rPr>
                <w:rFonts w:ascii="Segoe UI" w:hAnsi="Segoe UI" w:cs="Segoe UI"/>
                <w:sz w:val="20"/>
                <w:szCs w:val="22"/>
              </w:rPr>
            </w:pPr>
            <w:r w:rsidRPr="0090540B">
              <w:rPr>
                <w:rFonts w:ascii="Segoe UI" w:hAnsi="Segoe UI" w:cs="Segoe UI"/>
                <w:sz w:val="20"/>
                <w:szCs w:val="22"/>
              </w:rPr>
              <w:t>95%</w:t>
            </w:r>
          </w:p>
        </w:tc>
        <w:tc>
          <w:tcPr>
            <w:tcW w:w="851" w:type="dxa"/>
            <w:shd w:val="clear" w:color="auto" w:fill="FF0000"/>
          </w:tcPr>
          <w:p w:rsidR="009F5F92" w:rsidRPr="0090540B" w:rsidRDefault="009F5F92" w:rsidP="007C4697">
            <w:pPr>
              <w:ind w:right="176"/>
              <w:rPr>
                <w:rFonts w:ascii="Segoe UI" w:hAnsi="Segoe UI" w:cs="Segoe UI"/>
                <w:noProof/>
                <w:sz w:val="8"/>
              </w:rPr>
            </w:pPr>
          </w:p>
          <w:p w:rsidR="009F5F92" w:rsidRPr="0090540B" w:rsidRDefault="009F5F92" w:rsidP="007C4697">
            <w:pPr>
              <w:ind w:right="176"/>
              <w:jc w:val="center"/>
              <w:rPr>
                <w:rFonts w:ascii="Segoe UI" w:hAnsi="Segoe UI" w:cs="Segoe UI"/>
                <w:noProof/>
                <w:sz w:val="20"/>
              </w:rPr>
            </w:pPr>
          </w:p>
          <w:p w:rsidR="009F5F92" w:rsidRPr="0090540B" w:rsidRDefault="009F5F92" w:rsidP="007C4697">
            <w:pPr>
              <w:ind w:right="176"/>
              <w:jc w:val="center"/>
              <w:rPr>
                <w:rFonts w:ascii="Segoe UI" w:hAnsi="Segoe UI" w:cs="Segoe UI"/>
                <w:noProof/>
                <w:sz w:val="20"/>
              </w:rPr>
            </w:pPr>
            <w:r w:rsidRPr="0090540B">
              <w:rPr>
                <w:rFonts w:ascii="Segoe UI" w:hAnsi="Segoe UI" w:cs="Segoe UI"/>
                <w:noProof/>
                <w:sz w:val="20"/>
              </w:rPr>
              <w:t>85%</w:t>
            </w:r>
          </w:p>
          <w:p w:rsidR="009F5F92" w:rsidRPr="0090540B" w:rsidRDefault="009F5F92" w:rsidP="007C4697">
            <w:pPr>
              <w:ind w:right="176"/>
              <w:jc w:val="center"/>
              <w:rPr>
                <w:rFonts w:ascii="Segoe UI" w:hAnsi="Segoe UI" w:cs="Segoe UI"/>
                <w:noProof/>
                <w:sz w:val="20"/>
              </w:rPr>
            </w:pPr>
            <w:r w:rsidRPr="0090540B">
              <w:rPr>
                <w:rFonts w:ascii="Segoe UI" w:hAnsi="Segoe UI" w:cs="Segoe UI"/>
                <w:noProof/>
                <w:sz w:val="20"/>
              </w:rPr>
              <w:t>JR</w:t>
            </w:r>
          </w:p>
          <w:p w:rsidR="009F5F92" w:rsidRPr="0090540B" w:rsidRDefault="009F5F92" w:rsidP="007C4697">
            <w:pPr>
              <w:ind w:right="176"/>
              <w:jc w:val="center"/>
              <w:rPr>
                <w:rFonts w:ascii="Segoe UI" w:hAnsi="Segoe UI" w:cs="Segoe UI"/>
                <w:noProof/>
                <w:sz w:val="20"/>
              </w:rPr>
            </w:pPr>
          </w:p>
          <w:p w:rsidR="009F5F92" w:rsidRPr="0090540B" w:rsidRDefault="009F5F92" w:rsidP="007C4697">
            <w:pPr>
              <w:ind w:right="176"/>
              <w:jc w:val="center"/>
              <w:rPr>
                <w:rFonts w:ascii="Segoe UI" w:hAnsi="Segoe UI" w:cs="Segoe UI"/>
                <w:noProof/>
                <w:sz w:val="20"/>
              </w:rPr>
            </w:pPr>
            <w:r w:rsidRPr="0090540B">
              <w:rPr>
                <w:rFonts w:ascii="Segoe UI" w:hAnsi="Segoe UI" w:cs="Segoe UI"/>
                <w:noProof/>
                <w:sz w:val="20"/>
              </w:rPr>
              <w:t>83%</w:t>
            </w:r>
          </w:p>
          <w:p w:rsidR="009F5F92" w:rsidRPr="00AA6FB9" w:rsidRDefault="009F5F92" w:rsidP="007C4697">
            <w:pPr>
              <w:ind w:right="176"/>
              <w:rPr>
                <w:rFonts w:ascii="Segoe UI" w:hAnsi="Segoe UI" w:cs="Segoe UI"/>
                <w:noProof/>
                <w:sz w:val="20"/>
              </w:rPr>
            </w:pPr>
            <w:r w:rsidRPr="0090540B">
              <w:rPr>
                <w:rFonts w:ascii="Segoe UI" w:hAnsi="Segoe UI" w:cs="Segoe UI"/>
                <w:noProof/>
                <w:sz w:val="20"/>
              </w:rPr>
              <w:t>HGH</w:t>
            </w:r>
          </w:p>
        </w:tc>
        <w:tc>
          <w:tcPr>
            <w:tcW w:w="3827" w:type="dxa"/>
            <w:shd w:val="clear" w:color="auto" w:fill="FFFFFF" w:themeFill="background1"/>
          </w:tcPr>
          <w:p w:rsidR="009F5F92" w:rsidRPr="0090540B" w:rsidRDefault="009F5F92" w:rsidP="007C4697">
            <w:pPr>
              <w:ind w:left="-108" w:right="-108"/>
              <w:rPr>
                <w:noProof/>
              </w:rPr>
            </w:pPr>
            <w:r w:rsidRPr="0090540B">
              <w:rPr>
                <w:noProof/>
              </w:rPr>
              <w:drawing>
                <wp:inline distT="0" distB="0" distL="0" distR="0" wp14:anchorId="46DB4991" wp14:editId="65A21684">
                  <wp:extent cx="2422566" cy="1353787"/>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843" w:type="dxa"/>
            <w:shd w:val="clear" w:color="auto" w:fill="FFFFFF" w:themeFill="background1"/>
          </w:tcPr>
          <w:p w:rsidR="009F5F92" w:rsidRPr="0090540B" w:rsidRDefault="009F5F92" w:rsidP="007C4697">
            <w:pPr>
              <w:ind w:right="176"/>
              <w:rPr>
                <w:noProof/>
                <w:sz w:val="20"/>
              </w:rPr>
            </w:pPr>
            <w:r w:rsidRPr="0090540B">
              <w:rPr>
                <w:rFonts w:ascii="Segoe UI" w:hAnsi="Segoe UI" w:cs="Segoe UI"/>
                <w:noProof/>
                <w:sz w:val="20"/>
              </w:rPr>
              <w:t xml:space="preserve">Delays to patients receiving care. Potential for CCG </w:t>
            </w:r>
            <w:r w:rsidRPr="0090540B">
              <w:rPr>
                <w:rFonts w:ascii="Segoe UI" w:hAnsi="Segoe UI" w:cs="Segoe UI"/>
                <w:sz w:val="20"/>
                <w:szCs w:val="20"/>
              </w:rPr>
              <w:t>to issue performance notice.</w:t>
            </w:r>
          </w:p>
        </w:tc>
        <w:tc>
          <w:tcPr>
            <w:tcW w:w="4252" w:type="dxa"/>
            <w:shd w:val="clear" w:color="auto" w:fill="FFFFFF" w:themeFill="background1"/>
          </w:tcPr>
          <w:p w:rsidR="009F5F92" w:rsidRPr="0090540B" w:rsidRDefault="009F5F92" w:rsidP="007C4697">
            <w:pPr>
              <w:ind w:right="176"/>
              <w:rPr>
                <w:rFonts w:ascii="Segoe UI" w:hAnsi="Segoe UI" w:cs="Segoe UI"/>
                <w:noProof/>
                <w:sz w:val="20"/>
              </w:rPr>
            </w:pPr>
            <w:r w:rsidRPr="0090540B">
              <w:rPr>
                <w:rFonts w:ascii="Segoe UI" w:hAnsi="Segoe UI" w:cs="Segoe UI"/>
                <w:noProof/>
                <w:sz w:val="20"/>
              </w:rPr>
              <w:t xml:space="preserve"> Clarifying with EDPS staff about proper reporting of ‘breaches’ – may be reporting higher numbers than technical breaches (i.e. when a delay is due to patient illness).  </w:t>
            </w:r>
          </w:p>
          <w:p w:rsidR="009F5F92" w:rsidRPr="0090540B" w:rsidRDefault="009F5F92" w:rsidP="007C4697">
            <w:pPr>
              <w:ind w:right="176"/>
              <w:rPr>
                <w:rFonts w:ascii="Segoe UI" w:hAnsi="Segoe UI" w:cs="Segoe UI"/>
                <w:noProof/>
                <w:sz w:val="20"/>
              </w:rPr>
            </w:pPr>
            <w:r w:rsidRPr="0090540B">
              <w:rPr>
                <w:rFonts w:ascii="Segoe UI" w:hAnsi="Segoe UI" w:cs="Segoe UI"/>
                <w:noProof/>
                <w:sz w:val="20"/>
              </w:rPr>
              <w:t>New action plan being developed.</w:t>
            </w:r>
          </w:p>
          <w:p w:rsidR="009F5F92" w:rsidRPr="0090540B" w:rsidRDefault="009F5F92" w:rsidP="007C4697">
            <w:pPr>
              <w:ind w:right="176"/>
              <w:rPr>
                <w:rFonts w:ascii="Segoe UI" w:hAnsi="Segoe UI" w:cs="Segoe UI"/>
                <w:noProof/>
                <w:sz w:val="20"/>
              </w:rPr>
            </w:pPr>
          </w:p>
          <w:p w:rsidR="009F5F92" w:rsidRPr="0090540B" w:rsidRDefault="009F5F92" w:rsidP="007C4697">
            <w:pPr>
              <w:ind w:right="176"/>
              <w:rPr>
                <w:rFonts w:ascii="Segoe UI" w:hAnsi="Segoe UI" w:cs="Segoe UI"/>
                <w:sz w:val="20"/>
                <w:szCs w:val="22"/>
              </w:rPr>
            </w:pPr>
            <w:r w:rsidRPr="0090540B">
              <w:rPr>
                <w:rFonts w:ascii="Segoe UI" w:hAnsi="Segoe UI" w:cs="Segoe UI"/>
                <w:noProof/>
                <w:sz w:val="20"/>
              </w:rPr>
              <w:t>3 months to improvement (end April 2017 data)</w:t>
            </w:r>
          </w:p>
        </w:tc>
      </w:tr>
      <w:tr w:rsidR="009F5F92" w:rsidRPr="0090540B" w:rsidTr="00E27F88">
        <w:trPr>
          <w:trHeight w:val="2247"/>
        </w:trPr>
        <w:tc>
          <w:tcPr>
            <w:tcW w:w="1277" w:type="dxa"/>
          </w:tcPr>
          <w:p w:rsidR="009F5F92" w:rsidRPr="0090540B" w:rsidRDefault="009F5F92" w:rsidP="00E27F88">
            <w:pPr>
              <w:ind w:right="-16"/>
              <w:rPr>
                <w:rFonts w:ascii="Segoe UI" w:hAnsi="Segoe UI" w:cs="Segoe UI"/>
                <w:b/>
                <w:sz w:val="18"/>
                <w:szCs w:val="18"/>
              </w:rPr>
            </w:pPr>
            <w:r w:rsidRPr="0090540B">
              <w:rPr>
                <w:rFonts w:ascii="Segoe UI" w:hAnsi="Segoe UI" w:cs="Segoe UI"/>
                <w:sz w:val="20"/>
                <w:szCs w:val="22"/>
              </w:rPr>
              <w:t>Oxford OBC Schedule 4</w:t>
            </w:r>
          </w:p>
        </w:tc>
        <w:tc>
          <w:tcPr>
            <w:tcW w:w="708" w:type="dxa"/>
          </w:tcPr>
          <w:p w:rsidR="009F5F92" w:rsidRPr="0090540B" w:rsidRDefault="009F5F92" w:rsidP="00E27F88">
            <w:pPr>
              <w:rPr>
                <w:rFonts w:ascii="Segoe UI" w:hAnsi="Segoe UI" w:cs="Segoe UI"/>
                <w:sz w:val="20"/>
                <w:szCs w:val="22"/>
              </w:rPr>
            </w:pPr>
            <w:r w:rsidRPr="0090540B">
              <w:rPr>
                <w:rFonts w:ascii="Segoe UI" w:hAnsi="Segoe UI" w:cs="Segoe UI"/>
                <w:sz w:val="20"/>
                <w:szCs w:val="22"/>
              </w:rPr>
              <w:t>9</w:t>
            </w:r>
          </w:p>
        </w:tc>
        <w:tc>
          <w:tcPr>
            <w:tcW w:w="1418" w:type="dxa"/>
          </w:tcPr>
          <w:p w:rsidR="009F5F92" w:rsidRPr="0090540B" w:rsidRDefault="009F5F92" w:rsidP="00E27F88">
            <w:pPr>
              <w:rPr>
                <w:rFonts w:ascii="Segoe UI" w:hAnsi="Segoe UI" w:cs="Segoe UI"/>
                <w:sz w:val="20"/>
                <w:szCs w:val="22"/>
              </w:rPr>
            </w:pPr>
            <w:r w:rsidRPr="0090540B">
              <w:rPr>
                <w:rFonts w:ascii="Segoe UI" w:hAnsi="Segoe UI" w:cs="Segoe UI"/>
                <w:sz w:val="20"/>
                <w:szCs w:val="22"/>
              </w:rPr>
              <w:t>Urgent referrals 7 consecutive days for assessment.</w:t>
            </w:r>
          </w:p>
        </w:tc>
        <w:tc>
          <w:tcPr>
            <w:tcW w:w="850" w:type="dxa"/>
            <w:vAlign w:val="center"/>
          </w:tcPr>
          <w:p w:rsidR="009F5F92" w:rsidRPr="0090540B" w:rsidRDefault="009F5F92" w:rsidP="00E27F88">
            <w:pPr>
              <w:jc w:val="center"/>
              <w:rPr>
                <w:rFonts w:ascii="Segoe UI" w:hAnsi="Segoe UI" w:cs="Segoe UI"/>
                <w:sz w:val="20"/>
                <w:szCs w:val="22"/>
              </w:rPr>
            </w:pPr>
            <w:r w:rsidRPr="0090540B">
              <w:rPr>
                <w:rFonts w:ascii="Segoe UI" w:hAnsi="Segoe UI" w:cs="Segoe UI"/>
                <w:sz w:val="20"/>
                <w:szCs w:val="22"/>
              </w:rPr>
              <w:t>95%</w:t>
            </w:r>
          </w:p>
        </w:tc>
        <w:tc>
          <w:tcPr>
            <w:tcW w:w="851" w:type="dxa"/>
            <w:shd w:val="clear" w:color="auto" w:fill="FF0000"/>
            <w:vAlign w:val="center"/>
          </w:tcPr>
          <w:p w:rsidR="009F5F92" w:rsidRPr="0090540B" w:rsidRDefault="009F5F92" w:rsidP="00E27F88">
            <w:pPr>
              <w:jc w:val="center"/>
              <w:rPr>
                <w:rFonts w:ascii="Segoe UI" w:hAnsi="Segoe UI" w:cs="Segoe UI"/>
                <w:sz w:val="20"/>
                <w:szCs w:val="22"/>
              </w:rPr>
            </w:pPr>
            <w:r w:rsidRPr="0090540B">
              <w:rPr>
                <w:rFonts w:ascii="Segoe UI" w:hAnsi="Segoe UI" w:cs="Segoe UI"/>
                <w:sz w:val="20"/>
                <w:szCs w:val="22"/>
              </w:rPr>
              <w:t>85%</w:t>
            </w:r>
          </w:p>
        </w:tc>
        <w:tc>
          <w:tcPr>
            <w:tcW w:w="3827" w:type="dxa"/>
            <w:shd w:val="clear" w:color="auto" w:fill="FFFFFF" w:themeFill="background1"/>
            <w:vAlign w:val="center"/>
          </w:tcPr>
          <w:p w:rsidR="009F5F92" w:rsidRPr="00AA6FB9" w:rsidRDefault="009F5F92" w:rsidP="00E27F88">
            <w:pPr>
              <w:ind w:left="-108"/>
              <w:jc w:val="center"/>
              <w:rPr>
                <w:rFonts w:ascii="Segoe UI" w:hAnsi="Segoe UI" w:cs="Segoe UI"/>
                <w:sz w:val="20"/>
                <w:szCs w:val="22"/>
              </w:rPr>
            </w:pPr>
            <w:r w:rsidRPr="00AA6FB9">
              <w:rPr>
                <w:rFonts w:ascii="Segoe UI" w:hAnsi="Segoe UI" w:cs="Segoe UI"/>
                <w:noProof/>
                <w:sz w:val="18"/>
              </w:rPr>
              <w:drawing>
                <wp:inline distT="0" distB="0" distL="0" distR="0" wp14:anchorId="7B7682B7" wp14:editId="0C81B1A0">
                  <wp:extent cx="2363190" cy="1484416"/>
                  <wp:effectExtent l="0" t="0" r="0"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843" w:type="dxa"/>
            <w:shd w:val="clear" w:color="auto" w:fill="FFFFFF" w:themeFill="background1"/>
          </w:tcPr>
          <w:p w:rsidR="009F5F92" w:rsidRPr="0090540B" w:rsidRDefault="009F5F92" w:rsidP="00E27F88">
            <w:pPr>
              <w:rPr>
                <w:rFonts w:ascii="Segoe UI" w:hAnsi="Segoe UI" w:cs="Segoe UI"/>
                <w:sz w:val="20"/>
                <w:szCs w:val="22"/>
              </w:rPr>
            </w:pPr>
            <w:r w:rsidRPr="0090540B">
              <w:rPr>
                <w:rFonts w:ascii="Segoe UI" w:hAnsi="Segoe UI" w:cs="Segoe UI"/>
                <w:sz w:val="20"/>
                <w:szCs w:val="22"/>
              </w:rPr>
              <w:t>There is a risk of delayed access to services for patients needing urgent attention.</w:t>
            </w:r>
          </w:p>
          <w:p w:rsidR="009F5F92" w:rsidRPr="0090540B" w:rsidRDefault="009F5F92" w:rsidP="00E27F88">
            <w:pPr>
              <w:rPr>
                <w:rFonts w:ascii="Segoe UI" w:hAnsi="Segoe UI" w:cs="Segoe UI"/>
                <w:sz w:val="20"/>
                <w:szCs w:val="22"/>
              </w:rPr>
            </w:pPr>
          </w:p>
          <w:p w:rsidR="009F5F92" w:rsidRPr="0090540B" w:rsidRDefault="009F5F92" w:rsidP="00E27F88">
            <w:pPr>
              <w:rPr>
                <w:rFonts w:ascii="Segoe UI" w:hAnsi="Segoe UI" w:cs="Segoe UI"/>
                <w:sz w:val="20"/>
                <w:szCs w:val="22"/>
              </w:rPr>
            </w:pPr>
            <w:r w:rsidRPr="0090540B">
              <w:rPr>
                <w:rFonts w:ascii="Segoe UI" w:hAnsi="Segoe UI" w:cs="Segoe UI"/>
                <w:sz w:val="20"/>
                <w:szCs w:val="22"/>
              </w:rPr>
              <w:t>Potential contract performance notice.</w:t>
            </w:r>
          </w:p>
        </w:tc>
        <w:tc>
          <w:tcPr>
            <w:tcW w:w="4252" w:type="dxa"/>
            <w:shd w:val="clear" w:color="auto" w:fill="FFFFFF" w:themeFill="background1"/>
          </w:tcPr>
          <w:p w:rsidR="009F5F92" w:rsidRPr="0090540B" w:rsidRDefault="009F5F92" w:rsidP="00E27F88">
            <w:pPr>
              <w:ind w:right="176"/>
              <w:rPr>
                <w:rFonts w:ascii="Segoe UI" w:hAnsi="Segoe UI" w:cs="Segoe UI"/>
                <w:sz w:val="20"/>
                <w:szCs w:val="22"/>
              </w:rPr>
            </w:pPr>
            <w:r>
              <w:rPr>
                <w:rFonts w:ascii="Segoe UI" w:hAnsi="Segoe UI" w:cs="Segoe UI"/>
                <w:sz w:val="20"/>
                <w:szCs w:val="22"/>
              </w:rPr>
              <w:t xml:space="preserve">A number of </w:t>
            </w:r>
            <w:r w:rsidRPr="0090540B">
              <w:rPr>
                <w:rFonts w:ascii="Segoe UI" w:hAnsi="Segoe UI" w:cs="Segoe UI"/>
                <w:sz w:val="20"/>
                <w:szCs w:val="22"/>
              </w:rPr>
              <w:t xml:space="preserve">breaches are over the Christmas period – patients cancelled and the team </w:t>
            </w:r>
            <w:r>
              <w:rPr>
                <w:rFonts w:ascii="Segoe UI" w:hAnsi="Segoe UI" w:cs="Segoe UI"/>
                <w:sz w:val="20"/>
                <w:szCs w:val="22"/>
              </w:rPr>
              <w:t>had no capacity to re-book within</w:t>
            </w:r>
            <w:r w:rsidRPr="0090540B">
              <w:rPr>
                <w:rFonts w:ascii="Segoe UI" w:hAnsi="Segoe UI" w:cs="Segoe UI"/>
                <w:sz w:val="20"/>
                <w:szCs w:val="22"/>
              </w:rPr>
              <w:t xml:space="preserve"> timescale (a number of patients cancelled, or DNA 2</w:t>
            </w:r>
            <w:r>
              <w:rPr>
                <w:rFonts w:ascii="Segoe UI" w:hAnsi="Segoe UI" w:cs="Segoe UI"/>
                <w:sz w:val="20"/>
                <w:szCs w:val="22"/>
              </w:rPr>
              <w:t>/</w:t>
            </w:r>
            <w:r w:rsidRPr="0090540B">
              <w:rPr>
                <w:rFonts w:ascii="Segoe UI" w:hAnsi="Segoe UI" w:cs="Segoe UI"/>
                <w:sz w:val="20"/>
                <w:szCs w:val="22"/>
              </w:rPr>
              <w:t xml:space="preserve">3 appointments during this </w:t>
            </w:r>
            <w:r w:rsidR="00E27F88">
              <w:rPr>
                <w:rFonts w:ascii="Segoe UI" w:hAnsi="Segoe UI" w:cs="Segoe UI"/>
                <w:sz w:val="20"/>
                <w:szCs w:val="22"/>
              </w:rPr>
              <w:t>time</w:t>
            </w:r>
            <w:r w:rsidRPr="0090540B">
              <w:rPr>
                <w:rFonts w:ascii="Segoe UI" w:hAnsi="Segoe UI" w:cs="Segoe UI"/>
                <w:sz w:val="20"/>
                <w:szCs w:val="22"/>
              </w:rPr>
              <w:t>).</w:t>
            </w:r>
          </w:p>
          <w:p w:rsidR="009F5F92" w:rsidRPr="0090540B" w:rsidRDefault="009F5F92" w:rsidP="00E27F88">
            <w:pPr>
              <w:ind w:right="176"/>
              <w:rPr>
                <w:rFonts w:ascii="Segoe UI" w:hAnsi="Segoe UI" w:cs="Segoe UI"/>
                <w:sz w:val="20"/>
                <w:szCs w:val="22"/>
              </w:rPr>
            </w:pPr>
            <w:r w:rsidRPr="0090540B">
              <w:rPr>
                <w:rFonts w:ascii="Segoe UI" w:hAnsi="Segoe UI" w:cs="Segoe UI"/>
                <w:sz w:val="20"/>
                <w:szCs w:val="22"/>
              </w:rPr>
              <w:t xml:space="preserve">There </w:t>
            </w:r>
            <w:r w:rsidR="00E27F88">
              <w:rPr>
                <w:rFonts w:ascii="Segoe UI" w:hAnsi="Segoe UI" w:cs="Segoe UI"/>
                <w:sz w:val="20"/>
                <w:szCs w:val="22"/>
              </w:rPr>
              <w:t>were</w:t>
            </w:r>
            <w:r w:rsidRPr="0090540B">
              <w:rPr>
                <w:rFonts w:ascii="Segoe UI" w:hAnsi="Segoe UI" w:cs="Segoe UI"/>
                <w:sz w:val="20"/>
                <w:szCs w:val="22"/>
              </w:rPr>
              <w:t xml:space="preserve"> capacity </w:t>
            </w:r>
            <w:r>
              <w:rPr>
                <w:rFonts w:ascii="Segoe UI" w:hAnsi="Segoe UI" w:cs="Segoe UI"/>
                <w:sz w:val="20"/>
                <w:szCs w:val="22"/>
              </w:rPr>
              <w:t xml:space="preserve">issues </w:t>
            </w:r>
            <w:r w:rsidRPr="0090540B">
              <w:rPr>
                <w:rFonts w:ascii="Segoe UI" w:hAnsi="Segoe UI" w:cs="Segoe UI"/>
                <w:sz w:val="20"/>
                <w:szCs w:val="22"/>
              </w:rPr>
              <w:t>within the teams</w:t>
            </w:r>
            <w:r>
              <w:rPr>
                <w:rFonts w:ascii="Segoe UI" w:hAnsi="Segoe UI" w:cs="Segoe UI"/>
                <w:sz w:val="20"/>
                <w:szCs w:val="22"/>
              </w:rPr>
              <w:t xml:space="preserve"> - City</w:t>
            </w:r>
            <w:r w:rsidRPr="0090540B">
              <w:rPr>
                <w:rFonts w:ascii="Segoe UI" w:hAnsi="Segoe UI" w:cs="Segoe UI"/>
                <w:sz w:val="20"/>
                <w:szCs w:val="22"/>
              </w:rPr>
              <w:t xml:space="preserve"> increased its staffing in an attempt to complete assessments within timeframe. The North AMHT is due to move to the Full FACT model from Monday 20/2/17 which should improve capacity for completing assessments, as it has in the </w:t>
            </w:r>
            <w:r w:rsidR="00E27F88">
              <w:rPr>
                <w:rFonts w:ascii="Segoe UI" w:hAnsi="Segoe UI" w:cs="Segoe UI"/>
                <w:sz w:val="20"/>
                <w:szCs w:val="22"/>
              </w:rPr>
              <w:t>South</w:t>
            </w:r>
          </w:p>
        </w:tc>
      </w:tr>
      <w:tr w:rsidR="009F5F92" w:rsidRPr="0090540B" w:rsidTr="00E27F88">
        <w:trPr>
          <w:trHeight w:val="476"/>
        </w:trPr>
        <w:tc>
          <w:tcPr>
            <w:tcW w:w="1277" w:type="dxa"/>
            <w:shd w:val="clear" w:color="auto" w:fill="FFFFFF" w:themeFill="background1"/>
          </w:tcPr>
          <w:p w:rsidR="009F5F92" w:rsidRPr="009539F4" w:rsidRDefault="009F5F92" w:rsidP="007C4697">
            <w:pPr>
              <w:ind w:right="-16"/>
              <w:rPr>
                <w:rFonts w:ascii="Segoe UI" w:hAnsi="Segoe UI" w:cs="Segoe UI"/>
                <w:sz w:val="20"/>
                <w:szCs w:val="20"/>
              </w:rPr>
            </w:pPr>
            <w:r w:rsidRPr="009539F4">
              <w:rPr>
                <w:rFonts w:ascii="Segoe UI" w:hAnsi="Segoe UI" w:cs="Segoe UI"/>
                <w:sz w:val="20"/>
                <w:szCs w:val="20"/>
              </w:rPr>
              <w:lastRenderedPageBreak/>
              <w:t>Chiltern Schedule 4</w:t>
            </w:r>
          </w:p>
        </w:tc>
        <w:tc>
          <w:tcPr>
            <w:tcW w:w="708" w:type="dxa"/>
            <w:shd w:val="clear" w:color="auto" w:fill="FFFFFF" w:themeFill="background1"/>
          </w:tcPr>
          <w:p w:rsidR="009F5F92" w:rsidRPr="009539F4" w:rsidRDefault="009F5F92" w:rsidP="007C4697">
            <w:pPr>
              <w:rPr>
                <w:rFonts w:ascii="Segoe UI" w:hAnsi="Segoe UI" w:cs="Segoe UI"/>
                <w:sz w:val="20"/>
                <w:szCs w:val="20"/>
              </w:rPr>
            </w:pPr>
            <w:r w:rsidRPr="009539F4">
              <w:rPr>
                <w:rFonts w:ascii="Segoe UI" w:hAnsi="Segoe UI" w:cs="Segoe UI"/>
                <w:sz w:val="20"/>
                <w:szCs w:val="20"/>
              </w:rPr>
              <w:t>Local 27</w:t>
            </w:r>
          </w:p>
        </w:tc>
        <w:tc>
          <w:tcPr>
            <w:tcW w:w="1418" w:type="dxa"/>
            <w:shd w:val="clear" w:color="auto" w:fill="FFFFFF" w:themeFill="background1"/>
          </w:tcPr>
          <w:p w:rsidR="009F5F92" w:rsidRPr="009539F4" w:rsidRDefault="009F5F92" w:rsidP="007C4697">
            <w:pPr>
              <w:rPr>
                <w:rFonts w:ascii="Segoe UI" w:hAnsi="Segoe UI" w:cs="Segoe UI"/>
                <w:sz w:val="20"/>
                <w:szCs w:val="20"/>
              </w:rPr>
            </w:pPr>
            <w:r w:rsidRPr="009539F4">
              <w:rPr>
                <w:rFonts w:ascii="Segoe UI" w:hAnsi="Segoe UI" w:cs="Segoe UI"/>
                <w:sz w:val="20"/>
                <w:szCs w:val="20"/>
              </w:rPr>
              <w:t>EIP 2 week treatment  referral</w:t>
            </w:r>
          </w:p>
        </w:tc>
        <w:tc>
          <w:tcPr>
            <w:tcW w:w="850" w:type="dxa"/>
            <w:shd w:val="clear" w:color="auto" w:fill="FFFFFF" w:themeFill="background1"/>
            <w:vAlign w:val="center"/>
          </w:tcPr>
          <w:p w:rsidR="009F5F92" w:rsidRPr="0090540B" w:rsidRDefault="009F5F92" w:rsidP="007C4697">
            <w:pPr>
              <w:jc w:val="center"/>
              <w:rPr>
                <w:rFonts w:ascii="Segoe UI" w:hAnsi="Segoe UI" w:cs="Segoe UI"/>
                <w:sz w:val="20"/>
                <w:szCs w:val="22"/>
              </w:rPr>
            </w:pPr>
            <w:r w:rsidRPr="0090540B">
              <w:rPr>
                <w:rFonts w:ascii="Segoe UI" w:hAnsi="Segoe UI" w:cs="Segoe UI"/>
                <w:sz w:val="20"/>
                <w:szCs w:val="22"/>
              </w:rPr>
              <w:t>50%</w:t>
            </w:r>
          </w:p>
        </w:tc>
        <w:tc>
          <w:tcPr>
            <w:tcW w:w="851" w:type="dxa"/>
            <w:shd w:val="clear" w:color="auto" w:fill="FF0000"/>
            <w:vAlign w:val="center"/>
          </w:tcPr>
          <w:p w:rsidR="009F5F92" w:rsidRPr="0090540B" w:rsidRDefault="009F5F92" w:rsidP="007C4697">
            <w:pPr>
              <w:jc w:val="center"/>
              <w:rPr>
                <w:rFonts w:ascii="Segoe UI" w:hAnsi="Segoe UI" w:cs="Segoe UI"/>
                <w:sz w:val="20"/>
                <w:szCs w:val="22"/>
              </w:rPr>
            </w:pPr>
            <w:r w:rsidRPr="0090540B">
              <w:rPr>
                <w:rFonts w:ascii="Segoe UI" w:hAnsi="Segoe UI" w:cs="Segoe UI"/>
                <w:sz w:val="20"/>
                <w:szCs w:val="22"/>
              </w:rPr>
              <w:t>0%</w:t>
            </w:r>
          </w:p>
        </w:tc>
        <w:tc>
          <w:tcPr>
            <w:tcW w:w="3827" w:type="dxa"/>
            <w:shd w:val="clear" w:color="auto" w:fill="FFFFFF" w:themeFill="background1"/>
          </w:tcPr>
          <w:p w:rsidR="009F5F92" w:rsidRPr="0090540B" w:rsidRDefault="009F5F92" w:rsidP="007C4697">
            <w:pPr>
              <w:ind w:left="-108"/>
              <w:rPr>
                <w:noProof/>
              </w:rPr>
            </w:pPr>
            <w:r w:rsidRPr="0090540B">
              <w:rPr>
                <w:noProof/>
              </w:rPr>
              <w:drawing>
                <wp:inline distT="0" distB="0" distL="0" distR="0" wp14:anchorId="134A3E2D" wp14:editId="22401340">
                  <wp:extent cx="2410691" cy="1353787"/>
                  <wp:effectExtent l="0" t="0" r="889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843" w:type="dxa"/>
            <w:shd w:val="clear" w:color="auto" w:fill="FFFFFF" w:themeFill="background1"/>
          </w:tcPr>
          <w:p w:rsidR="009F5F92" w:rsidRPr="0090540B" w:rsidRDefault="009F5F92" w:rsidP="007C4697">
            <w:pPr>
              <w:rPr>
                <w:rFonts w:ascii="Segoe UI" w:hAnsi="Segoe UI" w:cs="Segoe UI"/>
                <w:sz w:val="20"/>
                <w:szCs w:val="22"/>
              </w:rPr>
            </w:pPr>
            <w:r w:rsidRPr="0090540B">
              <w:rPr>
                <w:rFonts w:ascii="Segoe UI" w:hAnsi="Segoe UI" w:cs="Segoe UI"/>
                <w:sz w:val="20"/>
                <w:szCs w:val="22"/>
              </w:rPr>
              <w:t>Concern around the financial implications</w:t>
            </w:r>
          </w:p>
        </w:tc>
        <w:tc>
          <w:tcPr>
            <w:tcW w:w="4252" w:type="dxa"/>
            <w:shd w:val="clear" w:color="auto" w:fill="FFFFFF" w:themeFill="background1"/>
          </w:tcPr>
          <w:p w:rsidR="009F5F92" w:rsidRPr="0090540B" w:rsidRDefault="009F5F92" w:rsidP="007C4697">
            <w:pPr>
              <w:rPr>
                <w:rFonts w:ascii="Segoe UI" w:hAnsi="Segoe UI" w:cs="Segoe UI"/>
                <w:b/>
                <w:sz w:val="20"/>
                <w:szCs w:val="22"/>
              </w:rPr>
            </w:pPr>
            <w:r w:rsidRPr="0090540B">
              <w:rPr>
                <w:rFonts w:ascii="Segoe UI" w:hAnsi="Segoe UI" w:cs="Segoe UI"/>
                <w:b/>
                <w:sz w:val="20"/>
                <w:szCs w:val="22"/>
              </w:rPr>
              <w:t>Single Oversight Framework measure</w:t>
            </w:r>
          </w:p>
          <w:p w:rsidR="009F5F92" w:rsidRPr="0090540B" w:rsidRDefault="009F5F92" w:rsidP="007C4697">
            <w:pPr>
              <w:rPr>
                <w:rFonts w:ascii="Segoe UI" w:hAnsi="Segoe UI" w:cs="Segoe UI"/>
                <w:color w:val="000000"/>
                <w:sz w:val="20"/>
                <w:szCs w:val="20"/>
              </w:rPr>
            </w:pPr>
            <w:r w:rsidRPr="0090540B">
              <w:rPr>
                <w:rFonts w:ascii="Segoe UI" w:hAnsi="Segoe UI" w:cs="Segoe UI"/>
                <w:color w:val="000000"/>
                <w:sz w:val="20"/>
                <w:szCs w:val="20"/>
              </w:rPr>
              <w:t xml:space="preserve">Refers to two new patients not assessed within 2 weeks.  Query </w:t>
            </w:r>
            <w:r>
              <w:rPr>
                <w:rFonts w:ascii="Segoe UI" w:hAnsi="Segoe UI" w:cs="Segoe UI"/>
                <w:color w:val="000000"/>
                <w:sz w:val="20"/>
                <w:szCs w:val="20"/>
              </w:rPr>
              <w:t xml:space="preserve">re </w:t>
            </w:r>
            <w:r w:rsidRPr="0090540B">
              <w:rPr>
                <w:rFonts w:ascii="Segoe UI" w:hAnsi="Segoe UI" w:cs="Segoe UI"/>
                <w:color w:val="000000"/>
                <w:sz w:val="20"/>
                <w:szCs w:val="20"/>
              </w:rPr>
              <w:t>one of the breaches was valid as one was admitted to an inpatient ward and therefore treated by a different team.</w:t>
            </w:r>
            <w:r>
              <w:rPr>
                <w:rFonts w:ascii="Segoe UI" w:hAnsi="Segoe UI" w:cs="Segoe UI"/>
                <w:color w:val="000000"/>
                <w:sz w:val="20"/>
                <w:szCs w:val="20"/>
              </w:rPr>
              <w:t xml:space="preserve">  </w:t>
            </w:r>
            <w:r w:rsidRPr="0090540B">
              <w:rPr>
                <w:rFonts w:ascii="Segoe UI" w:hAnsi="Segoe UI" w:cs="Segoe UI"/>
                <w:color w:val="000000"/>
                <w:sz w:val="20"/>
                <w:szCs w:val="20"/>
              </w:rPr>
              <w:t xml:space="preserve">Work required </w:t>
            </w:r>
            <w:proofErr w:type="gramStart"/>
            <w:r w:rsidRPr="0090540B">
              <w:rPr>
                <w:rFonts w:ascii="Segoe UI" w:hAnsi="Segoe UI" w:cs="Segoe UI"/>
                <w:color w:val="000000"/>
                <w:sz w:val="20"/>
                <w:szCs w:val="20"/>
              </w:rPr>
              <w:t>to raise</w:t>
            </w:r>
            <w:proofErr w:type="gramEnd"/>
            <w:r w:rsidRPr="0090540B">
              <w:rPr>
                <w:rFonts w:ascii="Segoe UI" w:hAnsi="Segoe UI" w:cs="Segoe UI"/>
                <w:color w:val="000000"/>
                <w:sz w:val="20"/>
                <w:szCs w:val="20"/>
              </w:rPr>
              <w:t xml:space="preserve"> profile of the targets with the team and the quality reasons.  </w:t>
            </w:r>
            <w:r>
              <w:rPr>
                <w:rFonts w:ascii="Segoe UI" w:hAnsi="Segoe UI" w:cs="Segoe UI"/>
                <w:color w:val="000000"/>
                <w:sz w:val="20"/>
                <w:szCs w:val="20"/>
              </w:rPr>
              <w:t>S</w:t>
            </w:r>
            <w:r w:rsidRPr="0090540B">
              <w:rPr>
                <w:rFonts w:ascii="Segoe UI" w:hAnsi="Segoe UI" w:cs="Segoe UI"/>
                <w:color w:val="000000"/>
                <w:sz w:val="20"/>
                <w:szCs w:val="20"/>
              </w:rPr>
              <w:t>ervice manager will be scrutinising referrals</w:t>
            </w:r>
          </w:p>
        </w:tc>
      </w:tr>
      <w:tr w:rsidR="009F5F92" w:rsidRPr="0090540B" w:rsidTr="00E27F88">
        <w:trPr>
          <w:trHeight w:val="476"/>
        </w:trPr>
        <w:tc>
          <w:tcPr>
            <w:tcW w:w="1277" w:type="dxa"/>
          </w:tcPr>
          <w:p w:rsidR="009F5F92" w:rsidRPr="0090540B" w:rsidRDefault="009F5F92" w:rsidP="007C4697">
            <w:pPr>
              <w:ind w:right="-16"/>
              <w:rPr>
                <w:rFonts w:ascii="Segoe UI" w:hAnsi="Segoe UI" w:cs="Segoe UI"/>
                <w:sz w:val="20"/>
                <w:szCs w:val="22"/>
              </w:rPr>
            </w:pPr>
            <w:r w:rsidRPr="0090540B">
              <w:rPr>
                <w:rFonts w:ascii="Segoe UI" w:hAnsi="Segoe UI" w:cs="Segoe UI"/>
                <w:sz w:val="20"/>
                <w:szCs w:val="22"/>
              </w:rPr>
              <w:t>Chiltern Schedule 4</w:t>
            </w:r>
          </w:p>
        </w:tc>
        <w:tc>
          <w:tcPr>
            <w:tcW w:w="708" w:type="dxa"/>
          </w:tcPr>
          <w:p w:rsidR="009F5F92" w:rsidRPr="0090540B" w:rsidRDefault="009F5F92" w:rsidP="007C4697">
            <w:pPr>
              <w:rPr>
                <w:rFonts w:ascii="Segoe UI" w:hAnsi="Segoe UI" w:cs="Segoe UI"/>
                <w:sz w:val="20"/>
                <w:szCs w:val="22"/>
              </w:rPr>
            </w:pPr>
            <w:r w:rsidRPr="0090540B">
              <w:rPr>
                <w:rFonts w:ascii="Segoe UI" w:hAnsi="Segoe UI" w:cs="Segoe UI"/>
                <w:sz w:val="20"/>
                <w:szCs w:val="22"/>
              </w:rPr>
              <w:t>Pr04ii</w:t>
            </w:r>
          </w:p>
        </w:tc>
        <w:tc>
          <w:tcPr>
            <w:tcW w:w="1418" w:type="dxa"/>
          </w:tcPr>
          <w:p w:rsidR="009F5F92" w:rsidRPr="00781223" w:rsidRDefault="009F5F92" w:rsidP="007C4697">
            <w:pPr>
              <w:rPr>
                <w:rFonts w:ascii="Segoe UI" w:hAnsi="Segoe UI" w:cs="Segoe UI"/>
                <w:sz w:val="20"/>
                <w:szCs w:val="18"/>
              </w:rPr>
            </w:pPr>
            <w:r w:rsidRPr="00781223">
              <w:rPr>
                <w:rFonts w:ascii="Segoe UI" w:hAnsi="Segoe UI" w:cs="Segoe UI"/>
                <w:sz w:val="20"/>
                <w:szCs w:val="18"/>
              </w:rPr>
              <w:t>Urgent referrals 7 consecutive days for assessment.</w:t>
            </w:r>
          </w:p>
        </w:tc>
        <w:tc>
          <w:tcPr>
            <w:tcW w:w="850" w:type="dxa"/>
            <w:vAlign w:val="center"/>
          </w:tcPr>
          <w:p w:rsidR="009F5F92" w:rsidRPr="0090540B" w:rsidRDefault="009F5F92" w:rsidP="007C4697">
            <w:pPr>
              <w:jc w:val="center"/>
              <w:rPr>
                <w:rFonts w:ascii="Segoe UI" w:hAnsi="Segoe UI" w:cs="Segoe UI"/>
                <w:sz w:val="20"/>
                <w:szCs w:val="22"/>
              </w:rPr>
            </w:pPr>
            <w:r w:rsidRPr="0090540B">
              <w:rPr>
                <w:rFonts w:ascii="Segoe UI" w:hAnsi="Segoe UI" w:cs="Segoe UI"/>
                <w:sz w:val="20"/>
                <w:szCs w:val="22"/>
              </w:rPr>
              <w:t>95%</w:t>
            </w:r>
          </w:p>
        </w:tc>
        <w:tc>
          <w:tcPr>
            <w:tcW w:w="851" w:type="dxa"/>
            <w:shd w:val="clear" w:color="auto" w:fill="FF0000"/>
            <w:vAlign w:val="center"/>
          </w:tcPr>
          <w:p w:rsidR="009F5F92" w:rsidRPr="0090540B" w:rsidRDefault="009F5F92" w:rsidP="007C4697">
            <w:pPr>
              <w:jc w:val="center"/>
              <w:rPr>
                <w:rFonts w:ascii="Segoe UI" w:hAnsi="Segoe UI" w:cs="Segoe UI"/>
                <w:sz w:val="20"/>
                <w:szCs w:val="22"/>
              </w:rPr>
            </w:pPr>
            <w:r w:rsidRPr="0090540B">
              <w:rPr>
                <w:rFonts w:ascii="Segoe UI" w:hAnsi="Segoe UI" w:cs="Segoe UI"/>
                <w:sz w:val="20"/>
                <w:szCs w:val="22"/>
              </w:rPr>
              <w:t>61%</w:t>
            </w:r>
          </w:p>
        </w:tc>
        <w:tc>
          <w:tcPr>
            <w:tcW w:w="3827" w:type="dxa"/>
            <w:shd w:val="clear" w:color="auto" w:fill="FFFFFF" w:themeFill="background1"/>
          </w:tcPr>
          <w:p w:rsidR="009F5F92" w:rsidRPr="0090540B" w:rsidRDefault="009F5F92" w:rsidP="007C4697">
            <w:pPr>
              <w:ind w:left="-108"/>
              <w:rPr>
                <w:noProof/>
              </w:rPr>
            </w:pPr>
            <w:r w:rsidRPr="0090540B">
              <w:rPr>
                <w:noProof/>
              </w:rPr>
              <w:drawing>
                <wp:inline distT="0" distB="0" distL="0" distR="0" wp14:anchorId="4AC5062D" wp14:editId="038AD46D">
                  <wp:extent cx="2410691" cy="1128155"/>
                  <wp:effectExtent l="0" t="0" r="889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843" w:type="dxa"/>
            <w:shd w:val="clear" w:color="auto" w:fill="FFFFFF" w:themeFill="background1"/>
          </w:tcPr>
          <w:p w:rsidR="009F5F92" w:rsidRPr="0090540B" w:rsidRDefault="009F5F92" w:rsidP="007C4697">
            <w:pPr>
              <w:rPr>
                <w:rFonts w:ascii="Segoe UI" w:hAnsi="Segoe UI" w:cs="Segoe UI"/>
                <w:sz w:val="20"/>
                <w:szCs w:val="22"/>
              </w:rPr>
            </w:pPr>
            <w:r>
              <w:rPr>
                <w:rFonts w:ascii="Segoe UI" w:hAnsi="Segoe UI" w:cs="Segoe UI"/>
                <w:sz w:val="20"/>
                <w:szCs w:val="22"/>
              </w:rPr>
              <w:t>Risk</w:t>
            </w:r>
            <w:r w:rsidRPr="0090540B">
              <w:rPr>
                <w:rFonts w:ascii="Segoe UI" w:hAnsi="Segoe UI" w:cs="Segoe UI"/>
                <w:sz w:val="20"/>
                <w:szCs w:val="22"/>
              </w:rPr>
              <w:t xml:space="preserve"> of delayed access to services for patients needing urgent attention. </w:t>
            </w:r>
          </w:p>
          <w:p w:rsidR="009F5F92" w:rsidRPr="0090540B" w:rsidRDefault="009F5F92" w:rsidP="007C4697">
            <w:pPr>
              <w:rPr>
                <w:rFonts w:ascii="Segoe UI" w:hAnsi="Segoe UI" w:cs="Segoe UI"/>
                <w:sz w:val="20"/>
                <w:szCs w:val="22"/>
              </w:rPr>
            </w:pPr>
            <w:r w:rsidRPr="0090540B">
              <w:rPr>
                <w:rFonts w:ascii="Segoe UI" w:hAnsi="Segoe UI" w:cs="Segoe UI"/>
                <w:sz w:val="20"/>
                <w:szCs w:val="22"/>
              </w:rPr>
              <w:t>Potential contract notice</w:t>
            </w:r>
          </w:p>
        </w:tc>
        <w:tc>
          <w:tcPr>
            <w:tcW w:w="4252" w:type="dxa"/>
            <w:shd w:val="clear" w:color="auto" w:fill="FFFFFF" w:themeFill="background1"/>
          </w:tcPr>
          <w:p w:rsidR="009F5F92" w:rsidRPr="0090540B" w:rsidRDefault="009F5F92" w:rsidP="007C4697">
            <w:pPr>
              <w:rPr>
                <w:rFonts w:ascii="Segoe UI" w:hAnsi="Segoe UI" w:cs="Segoe UI"/>
                <w:color w:val="000000"/>
                <w:sz w:val="20"/>
                <w:szCs w:val="20"/>
              </w:rPr>
            </w:pPr>
            <w:r w:rsidRPr="0090540B">
              <w:rPr>
                <w:rFonts w:ascii="Segoe UI" w:hAnsi="Segoe UI" w:cs="Segoe UI"/>
                <w:color w:val="000000"/>
                <w:sz w:val="20"/>
                <w:szCs w:val="20"/>
              </w:rPr>
              <w:t xml:space="preserve">SMs and HoS working with clinical teams to understand the underlying issues. </w:t>
            </w:r>
          </w:p>
          <w:p w:rsidR="009F5F92" w:rsidRPr="0090540B" w:rsidRDefault="009F5F92" w:rsidP="007C4697">
            <w:pPr>
              <w:rPr>
                <w:rFonts w:ascii="Segoe UI" w:hAnsi="Segoe UI" w:cs="Segoe UI"/>
                <w:color w:val="000000"/>
                <w:sz w:val="20"/>
                <w:szCs w:val="20"/>
              </w:rPr>
            </w:pPr>
            <w:r w:rsidRPr="0090540B">
              <w:rPr>
                <w:rFonts w:ascii="Segoe UI" w:hAnsi="Segoe UI" w:cs="Segoe UI"/>
                <w:color w:val="000000"/>
                <w:sz w:val="20"/>
                <w:szCs w:val="20"/>
              </w:rPr>
              <w:t xml:space="preserve">Some concern that urgent referrals are being made inappropriately from primary care, which make numbers look worse than they should. </w:t>
            </w:r>
          </w:p>
          <w:p w:rsidR="009F5F92" w:rsidRPr="0090540B" w:rsidRDefault="009F5F92" w:rsidP="007C4697">
            <w:pPr>
              <w:rPr>
                <w:rFonts w:ascii="Segoe UI" w:hAnsi="Segoe UI" w:cs="Segoe UI"/>
                <w:color w:val="000000"/>
                <w:sz w:val="20"/>
                <w:szCs w:val="20"/>
              </w:rPr>
            </w:pPr>
            <w:r w:rsidRPr="0090540B">
              <w:rPr>
                <w:rFonts w:ascii="Segoe UI" w:hAnsi="Segoe UI" w:cs="Segoe UI"/>
                <w:color w:val="000000"/>
                <w:sz w:val="20"/>
                <w:szCs w:val="20"/>
              </w:rPr>
              <w:t>Improvement within 2 months due to complexity of issues (April 2017 data).</w:t>
            </w:r>
          </w:p>
        </w:tc>
      </w:tr>
    </w:tbl>
    <w:p w:rsidR="009F5F92" w:rsidRDefault="009F5F92" w:rsidP="007155D7">
      <w:pPr>
        <w:spacing w:after="200" w:line="276" w:lineRule="auto"/>
      </w:pPr>
    </w:p>
    <w:tbl>
      <w:tblPr>
        <w:tblStyle w:val="TableGrid"/>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62"/>
        <w:gridCol w:w="5670"/>
      </w:tblGrid>
      <w:tr w:rsidR="00D73200" w:rsidTr="00D73200">
        <w:tc>
          <w:tcPr>
            <w:tcW w:w="426" w:type="dxa"/>
            <w:shd w:val="clear" w:color="auto" w:fill="92D050"/>
          </w:tcPr>
          <w:p w:rsidR="00D73200" w:rsidRPr="0096419E" w:rsidRDefault="00D73200" w:rsidP="007C4697">
            <w:pPr>
              <w:rPr>
                <w:rFonts w:ascii="Segoe UI" w:hAnsi="Segoe UI" w:cs="Segoe UI"/>
                <w:b/>
              </w:rPr>
            </w:pPr>
            <w:r>
              <w:rPr>
                <w:rFonts w:ascii="Segoe UI" w:hAnsi="Segoe UI" w:cs="Segoe UI"/>
                <w:b/>
              </w:rPr>
              <w:t>G</w:t>
            </w:r>
            <w:r>
              <w:rPr>
                <w:rFonts w:ascii="Segoe UI" w:hAnsi="Segoe UI" w:cs="Segoe UI"/>
                <w:b/>
              </w:rPr>
              <w:t>/</w:t>
            </w:r>
            <w:r w:rsidRPr="00D73200">
              <w:rPr>
                <w:rFonts w:ascii="Segoe UI" w:hAnsi="Segoe UI" w:cs="Segoe UI"/>
                <w:b/>
                <w:shd w:val="clear" w:color="auto" w:fill="FFC000"/>
              </w:rPr>
              <w:t>A</w:t>
            </w:r>
            <w:r>
              <w:rPr>
                <w:rFonts w:ascii="Segoe UI" w:hAnsi="Segoe UI" w:cs="Segoe UI"/>
                <w:b/>
                <w:shd w:val="clear" w:color="auto" w:fill="FFC000"/>
              </w:rPr>
              <w:t xml:space="preserve"> </w:t>
            </w:r>
          </w:p>
        </w:tc>
        <w:tc>
          <w:tcPr>
            <w:tcW w:w="5670" w:type="dxa"/>
            <w:shd w:val="clear" w:color="auto" w:fill="auto"/>
          </w:tcPr>
          <w:p w:rsidR="00D73200" w:rsidRPr="0064639E" w:rsidRDefault="00D73200" w:rsidP="007C4697">
            <w:pPr>
              <w:rPr>
                <w:rFonts w:ascii="Segoe UI" w:hAnsi="Segoe UI" w:cs="Segoe UI"/>
              </w:rPr>
            </w:pPr>
            <w:r>
              <w:rPr>
                <w:rFonts w:ascii="Segoe UI" w:hAnsi="Segoe UI" w:cs="Segoe UI"/>
              </w:rPr>
              <w:t>Areas of positive performance/improvement</w:t>
            </w:r>
          </w:p>
        </w:tc>
      </w:tr>
    </w:tbl>
    <w:p w:rsidR="00D73200" w:rsidRDefault="00D73200" w:rsidP="007155D7">
      <w:pPr>
        <w:spacing w:after="200" w:line="276" w:lineRule="auto"/>
      </w:pPr>
    </w:p>
    <w:tbl>
      <w:tblPr>
        <w:tblStyle w:val="TableGrid21"/>
        <w:tblW w:w="15026" w:type="dxa"/>
        <w:tblInd w:w="-176" w:type="dxa"/>
        <w:tblLayout w:type="fixed"/>
        <w:tblLook w:val="04A0" w:firstRow="1" w:lastRow="0" w:firstColumn="1" w:lastColumn="0" w:noHBand="0" w:noVBand="1"/>
      </w:tblPr>
      <w:tblGrid>
        <w:gridCol w:w="1277"/>
        <w:gridCol w:w="708"/>
        <w:gridCol w:w="1418"/>
        <w:gridCol w:w="850"/>
        <w:gridCol w:w="851"/>
        <w:gridCol w:w="3827"/>
        <w:gridCol w:w="1843"/>
        <w:gridCol w:w="4252"/>
      </w:tblGrid>
      <w:tr w:rsidR="00D73200" w:rsidRPr="0090540B" w:rsidTr="007C4697">
        <w:trPr>
          <w:tblHeader/>
        </w:trPr>
        <w:tc>
          <w:tcPr>
            <w:tcW w:w="1277" w:type="dxa"/>
            <w:shd w:val="clear" w:color="auto" w:fill="548DD4" w:themeFill="text2" w:themeFillTint="99"/>
          </w:tcPr>
          <w:p w:rsidR="00D73200" w:rsidRPr="0090540B" w:rsidRDefault="00D73200" w:rsidP="007C4697">
            <w:pPr>
              <w:spacing w:before="40" w:after="40"/>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 xml:space="preserve">Contract </w:t>
            </w:r>
          </w:p>
        </w:tc>
        <w:tc>
          <w:tcPr>
            <w:tcW w:w="708" w:type="dxa"/>
            <w:shd w:val="clear" w:color="auto" w:fill="548DD4" w:themeFill="text2" w:themeFillTint="99"/>
          </w:tcPr>
          <w:p w:rsidR="00D73200" w:rsidRPr="0090540B" w:rsidRDefault="00D73200" w:rsidP="007C4697">
            <w:pPr>
              <w:spacing w:before="40" w:after="40"/>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Ref</w:t>
            </w:r>
          </w:p>
        </w:tc>
        <w:tc>
          <w:tcPr>
            <w:tcW w:w="1418" w:type="dxa"/>
            <w:shd w:val="clear" w:color="auto" w:fill="548DD4" w:themeFill="text2" w:themeFillTint="99"/>
          </w:tcPr>
          <w:p w:rsidR="00D73200" w:rsidRPr="0090540B" w:rsidRDefault="00D73200" w:rsidP="007C4697">
            <w:pPr>
              <w:spacing w:before="40" w:after="40"/>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Measure</w:t>
            </w:r>
          </w:p>
        </w:tc>
        <w:tc>
          <w:tcPr>
            <w:tcW w:w="850" w:type="dxa"/>
            <w:shd w:val="clear" w:color="auto" w:fill="548DD4" w:themeFill="text2" w:themeFillTint="99"/>
          </w:tcPr>
          <w:p w:rsidR="00D73200" w:rsidRPr="0090540B" w:rsidRDefault="00D73200"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Target</w:t>
            </w:r>
          </w:p>
        </w:tc>
        <w:tc>
          <w:tcPr>
            <w:tcW w:w="851" w:type="dxa"/>
            <w:shd w:val="clear" w:color="auto" w:fill="548DD4" w:themeFill="text2" w:themeFillTint="99"/>
          </w:tcPr>
          <w:p w:rsidR="00D73200" w:rsidRPr="0090540B" w:rsidRDefault="00D73200"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Actual</w:t>
            </w:r>
          </w:p>
        </w:tc>
        <w:tc>
          <w:tcPr>
            <w:tcW w:w="3827" w:type="dxa"/>
            <w:shd w:val="clear" w:color="auto" w:fill="548DD4" w:themeFill="text2" w:themeFillTint="99"/>
          </w:tcPr>
          <w:p w:rsidR="00D73200" w:rsidRPr="0090540B" w:rsidRDefault="00D73200"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Trend</w:t>
            </w:r>
          </w:p>
        </w:tc>
        <w:tc>
          <w:tcPr>
            <w:tcW w:w="1843" w:type="dxa"/>
            <w:shd w:val="clear" w:color="auto" w:fill="548DD4" w:themeFill="text2" w:themeFillTint="99"/>
          </w:tcPr>
          <w:p w:rsidR="00D73200" w:rsidRPr="0090540B" w:rsidRDefault="00D73200"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 xml:space="preserve">Impact </w:t>
            </w:r>
          </w:p>
        </w:tc>
        <w:tc>
          <w:tcPr>
            <w:tcW w:w="4252" w:type="dxa"/>
            <w:shd w:val="clear" w:color="auto" w:fill="548DD4" w:themeFill="text2" w:themeFillTint="99"/>
          </w:tcPr>
          <w:p w:rsidR="00D73200" w:rsidRPr="0090540B" w:rsidRDefault="00D73200" w:rsidP="007C4697">
            <w:pPr>
              <w:spacing w:before="40" w:after="40"/>
              <w:jc w:val="center"/>
              <w:rPr>
                <w:rFonts w:ascii="Segoe UI" w:hAnsi="Segoe UI" w:cs="Segoe UI"/>
                <w:b/>
                <w:color w:val="FFFFFF" w:themeColor="background1"/>
                <w:sz w:val="20"/>
                <w:szCs w:val="22"/>
              </w:rPr>
            </w:pPr>
            <w:r w:rsidRPr="0090540B">
              <w:rPr>
                <w:rFonts w:ascii="Segoe UI" w:hAnsi="Segoe UI" w:cs="Segoe UI"/>
                <w:b/>
                <w:color w:val="FFFFFF" w:themeColor="background1"/>
                <w:sz w:val="20"/>
                <w:szCs w:val="22"/>
              </w:rPr>
              <w:t>Action and Resolution Timescale</w:t>
            </w:r>
          </w:p>
        </w:tc>
      </w:tr>
      <w:tr w:rsidR="00D73200" w:rsidRPr="0090540B" w:rsidTr="007C4697">
        <w:trPr>
          <w:trHeight w:val="476"/>
        </w:trPr>
        <w:tc>
          <w:tcPr>
            <w:tcW w:w="1277" w:type="dxa"/>
          </w:tcPr>
          <w:p w:rsidR="00D73200" w:rsidRPr="0090540B" w:rsidRDefault="00D73200" w:rsidP="007C4697">
            <w:pPr>
              <w:ind w:right="-16"/>
              <w:rPr>
                <w:rFonts w:ascii="Segoe UI" w:hAnsi="Segoe UI" w:cs="Segoe UI"/>
                <w:sz w:val="20"/>
                <w:szCs w:val="22"/>
              </w:rPr>
            </w:pPr>
            <w:r w:rsidRPr="00E27F88">
              <w:rPr>
                <w:rFonts w:ascii="Segoe UI" w:hAnsi="Segoe UI" w:cs="Segoe UI"/>
                <w:sz w:val="20"/>
                <w:szCs w:val="22"/>
              </w:rPr>
              <w:t>Oxford OBC Incentivised Schedule 4</w:t>
            </w:r>
          </w:p>
        </w:tc>
        <w:tc>
          <w:tcPr>
            <w:tcW w:w="708" w:type="dxa"/>
          </w:tcPr>
          <w:p w:rsidR="00D73200" w:rsidRPr="0090540B" w:rsidRDefault="00D73200" w:rsidP="007C4697">
            <w:pPr>
              <w:rPr>
                <w:rFonts w:ascii="Segoe UI" w:hAnsi="Segoe UI" w:cs="Segoe UI"/>
                <w:sz w:val="20"/>
                <w:szCs w:val="22"/>
              </w:rPr>
            </w:pPr>
          </w:p>
        </w:tc>
        <w:tc>
          <w:tcPr>
            <w:tcW w:w="1418" w:type="dxa"/>
          </w:tcPr>
          <w:p w:rsidR="00D73200" w:rsidRPr="00E27F88" w:rsidRDefault="00D73200" w:rsidP="007C4697">
            <w:pPr>
              <w:rPr>
                <w:rFonts w:ascii="Segoe UI" w:hAnsi="Segoe UI" w:cs="Segoe UI"/>
                <w:sz w:val="20"/>
                <w:szCs w:val="22"/>
              </w:rPr>
            </w:pPr>
            <w:r w:rsidRPr="00E27F88">
              <w:rPr>
                <w:rFonts w:ascii="Segoe UI" w:hAnsi="Segoe UI" w:cs="Segoe UI"/>
                <w:sz w:val="20"/>
                <w:szCs w:val="22"/>
              </w:rPr>
              <w:t>50% of service users in paid employment, undertaking a structured education or training programme or voluntary activity</w:t>
            </w:r>
          </w:p>
        </w:tc>
        <w:tc>
          <w:tcPr>
            <w:tcW w:w="850" w:type="dxa"/>
            <w:vAlign w:val="center"/>
          </w:tcPr>
          <w:p w:rsidR="00D73200" w:rsidRPr="00E27F88" w:rsidRDefault="00D73200" w:rsidP="007C4697">
            <w:pPr>
              <w:rPr>
                <w:rFonts w:ascii="Segoe UI" w:hAnsi="Segoe UI" w:cs="Segoe UI"/>
                <w:sz w:val="20"/>
                <w:szCs w:val="22"/>
              </w:rPr>
            </w:pPr>
            <w:r w:rsidRPr="00E27F88">
              <w:rPr>
                <w:rFonts w:ascii="Segoe UI" w:hAnsi="Segoe UI" w:cs="Segoe UI"/>
                <w:sz w:val="20"/>
                <w:szCs w:val="22"/>
              </w:rPr>
              <w:t>50%</w:t>
            </w:r>
          </w:p>
        </w:tc>
        <w:tc>
          <w:tcPr>
            <w:tcW w:w="851" w:type="dxa"/>
            <w:shd w:val="clear" w:color="auto" w:fill="92D050"/>
            <w:vAlign w:val="center"/>
          </w:tcPr>
          <w:p w:rsidR="00D73200" w:rsidRPr="00E27F88" w:rsidRDefault="00D73200" w:rsidP="007C4697">
            <w:pPr>
              <w:rPr>
                <w:rFonts w:ascii="Segoe UI" w:hAnsi="Segoe UI" w:cs="Segoe UI"/>
                <w:sz w:val="20"/>
                <w:szCs w:val="22"/>
              </w:rPr>
            </w:pPr>
            <w:r w:rsidRPr="00E27F88">
              <w:rPr>
                <w:rFonts w:ascii="Segoe UI" w:hAnsi="Segoe UI" w:cs="Segoe UI"/>
                <w:sz w:val="20"/>
                <w:szCs w:val="22"/>
              </w:rPr>
              <w:t>50%</w:t>
            </w:r>
          </w:p>
        </w:tc>
        <w:tc>
          <w:tcPr>
            <w:tcW w:w="3827" w:type="dxa"/>
            <w:shd w:val="clear" w:color="auto" w:fill="FFFFFF" w:themeFill="background1"/>
          </w:tcPr>
          <w:p w:rsidR="00D73200" w:rsidRPr="0090540B" w:rsidRDefault="00D73200" w:rsidP="007C4697">
            <w:pPr>
              <w:ind w:left="-108"/>
              <w:rPr>
                <w:noProof/>
              </w:rPr>
            </w:pPr>
            <w:r w:rsidRPr="00E27F88">
              <w:rPr>
                <w:noProof/>
              </w:rPr>
              <w:drawing>
                <wp:inline distT="0" distB="0" distL="0" distR="0" wp14:anchorId="55EEC767" wp14:editId="4464A8E6">
                  <wp:extent cx="2413590" cy="1850065"/>
                  <wp:effectExtent l="0" t="0" r="635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843" w:type="dxa"/>
            <w:shd w:val="clear" w:color="auto" w:fill="FFFFFF" w:themeFill="background1"/>
          </w:tcPr>
          <w:p w:rsidR="00D73200" w:rsidRDefault="00D73200" w:rsidP="007C4697">
            <w:pPr>
              <w:rPr>
                <w:rFonts w:ascii="Segoe UI" w:hAnsi="Segoe UI" w:cs="Segoe UI"/>
                <w:sz w:val="20"/>
                <w:szCs w:val="22"/>
              </w:rPr>
            </w:pPr>
          </w:p>
        </w:tc>
        <w:tc>
          <w:tcPr>
            <w:tcW w:w="4252" w:type="dxa"/>
            <w:shd w:val="clear" w:color="auto" w:fill="FFFFFF" w:themeFill="background1"/>
          </w:tcPr>
          <w:p w:rsidR="00D73200" w:rsidRPr="0090540B" w:rsidRDefault="00D73200" w:rsidP="007C4697">
            <w:pPr>
              <w:rPr>
                <w:rFonts w:ascii="Segoe UI" w:hAnsi="Segoe UI" w:cs="Segoe UI"/>
                <w:color w:val="000000"/>
                <w:sz w:val="20"/>
                <w:szCs w:val="20"/>
              </w:rPr>
            </w:pPr>
            <w:r>
              <w:rPr>
                <w:rFonts w:ascii="Segoe UI" w:hAnsi="Segoe UI" w:cs="Segoe UI"/>
                <w:color w:val="000000"/>
                <w:sz w:val="20"/>
                <w:szCs w:val="20"/>
              </w:rPr>
              <w:t xml:space="preserve">The directorate has made continued and significant improvement since the start of the year achieving the target for the first time in January.  </w:t>
            </w:r>
          </w:p>
        </w:tc>
      </w:tr>
      <w:tr w:rsidR="00D73200" w:rsidRPr="0090540B" w:rsidTr="007C4697">
        <w:trPr>
          <w:trHeight w:val="476"/>
        </w:trPr>
        <w:tc>
          <w:tcPr>
            <w:tcW w:w="1277" w:type="dxa"/>
          </w:tcPr>
          <w:p w:rsidR="00D73200" w:rsidRPr="00E27F88" w:rsidRDefault="00D73200" w:rsidP="007C4697">
            <w:pPr>
              <w:ind w:right="-16"/>
              <w:rPr>
                <w:rFonts w:ascii="Segoe UI" w:hAnsi="Segoe UI" w:cs="Segoe UI"/>
                <w:sz w:val="20"/>
                <w:szCs w:val="22"/>
              </w:rPr>
            </w:pPr>
            <w:r w:rsidRPr="00E27F88">
              <w:rPr>
                <w:rFonts w:ascii="Segoe UI" w:hAnsi="Segoe UI" w:cs="Segoe UI"/>
                <w:sz w:val="20"/>
                <w:szCs w:val="22"/>
              </w:rPr>
              <w:lastRenderedPageBreak/>
              <w:t>Chiltern CCG Schedule 4</w:t>
            </w:r>
          </w:p>
        </w:tc>
        <w:tc>
          <w:tcPr>
            <w:tcW w:w="708" w:type="dxa"/>
          </w:tcPr>
          <w:p w:rsidR="00D73200" w:rsidRPr="0090540B" w:rsidRDefault="00D73200" w:rsidP="007C4697">
            <w:pPr>
              <w:rPr>
                <w:rFonts w:ascii="Segoe UI" w:hAnsi="Segoe UI" w:cs="Segoe UI"/>
                <w:sz w:val="20"/>
                <w:szCs w:val="22"/>
              </w:rPr>
            </w:pPr>
          </w:p>
        </w:tc>
        <w:tc>
          <w:tcPr>
            <w:tcW w:w="1418" w:type="dxa"/>
          </w:tcPr>
          <w:p w:rsidR="00D73200" w:rsidRPr="00E27F88" w:rsidRDefault="00D73200" w:rsidP="007C4697">
            <w:pPr>
              <w:rPr>
                <w:rFonts w:ascii="Segoe UI" w:hAnsi="Segoe UI" w:cs="Segoe UI"/>
                <w:sz w:val="20"/>
                <w:szCs w:val="22"/>
              </w:rPr>
            </w:pPr>
            <w:r w:rsidRPr="00E27F88">
              <w:rPr>
                <w:rFonts w:ascii="Segoe UI" w:hAnsi="Segoe UI" w:cs="Segoe UI"/>
                <w:sz w:val="20"/>
                <w:szCs w:val="22"/>
              </w:rPr>
              <w:t xml:space="preserve">People in cluster 4-17 will have self-defined &amp; </w:t>
            </w:r>
            <w:proofErr w:type="spellStart"/>
            <w:r w:rsidRPr="00E27F88">
              <w:rPr>
                <w:rFonts w:ascii="Segoe UI" w:hAnsi="Segoe UI" w:cs="Segoe UI"/>
                <w:sz w:val="20"/>
                <w:szCs w:val="22"/>
              </w:rPr>
              <w:t>self reported</w:t>
            </w:r>
            <w:proofErr w:type="spellEnd"/>
            <w:r w:rsidRPr="00E27F88">
              <w:rPr>
                <w:rFonts w:ascii="Segoe UI" w:hAnsi="Segoe UI" w:cs="Segoe UI"/>
                <w:sz w:val="20"/>
                <w:szCs w:val="22"/>
              </w:rPr>
              <w:t xml:space="preserve"> social inclusion measures within their CPA </w:t>
            </w:r>
          </w:p>
        </w:tc>
        <w:tc>
          <w:tcPr>
            <w:tcW w:w="850" w:type="dxa"/>
            <w:vAlign w:val="center"/>
          </w:tcPr>
          <w:p w:rsidR="00D73200" w:rsidRPr="00E27F88" w:rsidRDefault="00D73200" w:rsidP="007C4697">
            <w:pPr>
              <w:rPr>
                <w:rFonts w:ascii="Segoe UI" w:hAnsi="Segoe UI" w:cs="Segoe UI"/>
                <w:sz w:val="20"/>
                <w:szCs w:val="22"/>
              </w:rPr>
            </w:pPr>
            <w:r w:rsidRPr="00E27F88">
              <w:rPr>
                <w:rFonts w:ascii="Segoe UI" w:hAnsi="Segoe UI" w:cs="Segoe UI"/>
                <w:sz w:val="20"/>
                <w:szCs w:val="22"/>
              </w:rPr>
              <w:t>90%</w:t>
            </w:r>
          </w:p>
        </w:tc>
        <w:tc>
          <w:tcPr>
            <w:tcW w:w="851" w:type="dxa"/>
            <w:shd w:val="clear" w:color="auto" w:fill="FFC000"/>
            <w:vAlign w:val="center"/>
          </w:tcPr>
          <w:p w:rsidR="00D73200" w:rsidRPr="00E27F88" w:rsidRDefault="00D73200" w:rsidP="007C4697">
            <w:pPr>
              <w:rPr>
                <w:rFonts w:ascii="Segoe UI" w:hAnsi="Segoe UI" w:cs="Segoe UI"/>
                <w:sz w:val="20"/>
                <w:szCs w:val="22"/>
              </w:rPr>
            </w:pPr>
            <w:r w:rsidRPr="00E27F88">
              <w:rPr>
                <w:rFonts w:ascii="Segoe UI" w:hAnsi="Segoe UI" w:cs="Segoe UI"/>
                <w:sz w:val="20"/>
                <w:szCs w:val="22"/>
              </w:rPr>
              <w:t>78%</w:t>
            </w:r>
          </w:p>
        </w:tc>
        <w:tc>
          <w:tcPr>
            <w:tcW w:w="3827" w:type="dxa"/>
            <w:shd w:val="clear" w:color="auto" w:fill="FFFFFF" w:themeFill="background1"/>
          </w:tcPr>
          <w:p w:rsidR="00D73200" w:rsidRPr="00E27F88" w:rsidRDefault="00D73200" w:rsidP="007C4697">
            <w:pPr>
              <w:ind w:left="-108"/>
              <w:rPr>
                <w:noProof/>
              </w:rPr>
            </w:pPr>
            <w:r w:rsidRPr="00E27F88">
              <w:rPr>
                <w:noProof/>
              </w:rPr>
              <w:drawing>
                <wp:inline distT="0" distB="0" distL="0" distR="0" wp14:anchorId="64B0660E" wp14:editId="5E481381">
                  <wp:extent cx="2434856" cy="1690577"/>
                  <wp:effectExtent l="0" t="0" r="3810" b="508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843" w:type="dxa"/>
            <w:shd w:val="clear" w:color="auto" w:fill="FFFFFF" w:themeFill="background1"/>
          </w:tcPr>
          <w:p w:rsidR="00D73200" w:rsidRDefault="00D73200" w:rsidP="007C4697">
            <w:pPr>
              <w:rPr>
                <w:rFonts w:ascii="Segoe UI" w:hAnsi="Segoe UI" w:cs="Segoe UI"/>
                <w:sz w:val="20"/>
                <w:szCs w:val="22"/>
              </w:rPr>
            </w:pPr>
          </w:p>
        </w:tc>
        <w:tc>
          <w:tcPr>
            <w:tcW w:w="4252" w:type="dxa"/>
            <w:shd w:val="clear" w:color="auto" w:fill="FFFFFF" w:themeFill="background1"/>
          </w:tcPr>
          <w:p w:rsidR="00D73200" w:rsidRPr="0090540B" w:rsidRDefault="00D73200" w:rsidP="007C4697">
            <w:pPr>
              <w:rPr>
                <w:rFonts w:ascii="Segoe UI" w:hAnsi="Segoe UI" w:cs="Segoe UI"/>
                <w:color w:val="000000"/>
                <w:sz w:val="20"/>
                <w:szCs w:val="20"/>
              </w:rPr>
            </w:pPr>
            <w:r>
              <w:rPr>
                <w:rFonts w:ascii="Segoe UI" w:hAnsi="Segoe UI" w:cs="Segoe UI"/>
                <w:color w:val="000000"/>
                <w:sz w:val="20"/>
                <w:szCs w:val="20"/>
              </w:rPr>
              <w:t>The directorate has made significant improvements since September against this measure and is on course to meet the target by year end.</w:t>
            </w:r>
          </w:p>
        </w:tc>
      </w:tr>
      <w:tr w:rsidR="00D73200" w:rsidRPr="0090540B" w:rsidTr="007C4697">
        <w:trPr>
          <w:trHeight w:val="476"/>
        </w:trPr>
        <w:tc>
          <w:tcPr>
            <w:tcW w:w="1277" w:type="dxa"/>
          </w:tcPr>
          <w:p w:rsidR="00D73200" w:rsidRPr="00E27F88" w:rsidRDefault="00D73200" w:rsidP="007C4697">
            <w:pPr>
              <w:ind w:right="-16"/>
              <w:rPr>
                <w:rFonts w:ascii="Segoe UI" w:hAnsi="Segoe UI" w:cs="Segoe UI"/>
                <w:sz w:val="20"/>
                <w:szCs w:val="22"/>
              </w:rPr>
            </w:pPr>
            <w:r w:rsidRPr="00E27F88">
              <w:rPr>
                <w:rFonts w:ascii="Segoe UI" w:hAnsi="Segoe UI" w:cs="Segoe UI"/>
                <w:sz w:val="20"/>
                <w:szCs w:val="22"/>
              </w:rPr>
              <w:t>Aylesbury Vale CCG Schedule 4</w:t>
            </w:r>
          </w:p>
        </w:tc>
        <w:tc>
          <w:tcPr>
            <w:tcW w:w="708" w:type="dxa"/>
          </w:tcPr>
          <w:p w:rsidR="00D73200" w:rsidRPr="0090540B" w:rsidRDefault="00D73200" w:rsidP="007C4697">
            <w:pPr>
              <w:rPr>
                <w:rFonts w:ascii="Segoe UI" w:hAnsi="Segoe UI" w:cs="Segoe UI"/>
                <w:sz w:val="20"/>
                <w:szCs w:val="22"/>
              </w:rPr>
            </w:pPr>
          </w:p>
        </w:tc>
        <w:tc>
          <w:tcPr>
            <w:tcW w:w="1418" w:type="dxa"/>
          </w:tcPr>
          <w:p w:rsidR="00D73200" w:rsidRPr="00E27F88" w:rsidRDefault="00D73200" w:rsidP="007C4697">
            <w:pPr>
              <w:rPr>
                <w:rFonts w:ascii="Segoe UI" w:hAnsi="Segoe UI" w:cs="Segoe UI"/>
                <w:sz w:val="20"/>
                <w:szCs w:val="22"/>
              </w:rPr>
            </w:pPr>
            <w:r w:rsidRPr="00E27F88">
              <w:rPr>
                <w:rFonts w:ascii="Segoe UI" w:hAnsi="Segoe UI" w:cs="Segoe UI"/>
                <w:sz w:val="20"/>
                <w:szCs w:val="22"/>
              </w:rPr>
              <w:t xml:space="preserve">People in cluster 4-17 will have self-defined &amp; </w:t>
            </w:r>
            <w:proofErr w:type="spellStart"/>
            <w:r w:rsidRPr="00E27F88">
              <w:rPr>
                <w:rFonts w:ascii="Segoe UI" w:hAnsi="Segoe UI" w:cs="Segoe UI"/>
                <w:sz w:val="20"/>
                <w:szCs w:val="22"/>
              </w:rPr>
              <w:t>self reported</w:t>
            </w:r>
            <w:proofErr w:type="spellEnd"/>
            <w:r w:rsidRPr="00E27F88">
              <w:rPr>
                <w:rFonts w:ascii="Segoe UI" w:hAnsi="Segoe UI" w:cs="Segoe UI"/>
                <w:sz w:val="20"/>
                <w:szCs w:val="22"/>
              </w:rPr>
              <w:t xml:space="preserve"> social inclusion measures within their CPA </w:t>
            </w:r>
          </w:p>
        </w:tc>
        <w:tc>
          <w:tcPr>
            <w:tcW w:w="850" w:type="dxa"/>
            <w:vAlign w:val="center"/>
          </w:tcPr>
          <w:p w:rsidR="00D73200" w:rsidRPr="00E27F88" w:rsidRDefault="00D73200" w:rsidP="007C4697">
            <w:pPr>
              <w:rPr>
                <w:rFonts w:ascii="Segoe UI" w:hAnsi="Segoe UI" w:cs="Segoe UI"/>
                <w:sz w:val="20"/>
                <w:szCs w:val="22"/>
              </w:rPr>
            </w:pPr>
            <w:r w:rsidRPr="00E27F88">
              <w:rPr>
                <w:rFonts w:ascii="Segoe UI" w:hAnsi="Segoe UI" w:cs="Segoe UI"/>
                <w:sz w:val="20"/>
                <w:szCs w:val="22"/>
              </w:rPr>
              <w:t>90%</w:t>
            </w:r>
          </w:p>
        </w:tc>
        <w:tc>
          <w:tcPr>
            <w:tcW w:w="851" w:type="dxa"/>
            <w:shd w:val="clear" w:color="auto" w:fill="FFC000"/>
            <w:vAlign w:val="center"/>
          </w:tcPr>
          <w:p w:rsidR="00D73200" w:rsidRPr="00E27F88" w:rsidRDefault="00D73200" w:rsidP="007C4697">
            <w:pPr>
              <w:rPr>
                <w:rFonts w:ascii="Segoe UI" w:hAnsi="Segoe UI" w:cs="Segoe UI"/>
                <w:sz w:val="20"/>
                <w:szCs w:val="22"/>
              </w:rPr>
            </w:pPr>
            <w:r w:rsidRPr="00E27F88">
              <w:rPr>
                <w:rFonts w:ascii="Segoe UI" w:hAnsi="Segoe UI" w:cs="Segoe UI"/>
                <w:sz w:val="20"/>
                <w:szCs w:val="22"/>
              </w:rPr>
              <w:t>77%</w:t>
            </w:r>
          </w:p>
        </w:tc>
        <w:tc>
          <w:tcPr>
            <w:tcW w:w="3827" w:type="dxa"/>
            <w:shd w:val="clear" w:color="auto" w:fill="FFFFFF" w:themeFill="background1"/>
          </w:tcPr>
          <w:p w:rsidR="00D73200" w:rsidRPr="00E27F88" w:rsidRDefault="00D73200" w:rsidP="007C4697">
            <w:pPr>
              <w:ind w:left="-108"/>
              <w:rPr>
                <w:noProof/>
              </w:rPr>
            </w:pPr>
            <w:r w:rsidRPr="00E27F88">
              <w:rPr>
                <w:noProof/>
              </w:rPr>
              <w:drawing>
                <wp:inline distT="0" distB="0" distL="0" distR="0" wp14:anchorId="0E2135B3" wp14:editId="2B15D4D8">
                  <wp:extent cx="2402958" cy="1701210"/>
                  <wp:effectExtent l="0" t="0" r="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843" w:type="dxa"/>
            <w:shd w:val="clear" w:color="auto" w:fill="FFFFFF" w:themeFill="background1"/>
          </w:tcPr>
          <w:p w:rsidR="00D73200" w:rsidRDefault="00D73200" w:rsidP="007C4697">
            <w:pPr>
              <w:rPr>
                <w:rFonts w:ascii="Segoe UI" w:hAnsi="Segoe UI" w:cs="Segoe UI"/>
                <w:sz w:val="20"/>
                <w:szCs w:val="22"/>
              </w:rPr>
            </w:pPr>
          </w:p>
        </w:tc>
        <w:tc>
          <w:tcPr>
            <w:tcW w:w="4252" w:type="dxa"/>
            <w:shd w:val="clear" w:color="auto" w:fill="FFFFFF" w:themeFill="background1"/>
          </w:tcPr>
          <w:p w:rsidR="00D73200" w:rsidRDefault="00D73200" w:rsidP="007C4697">
            <w:pPr>
              <w:rPr>
                <w:rFonts w:ascii="Segoe UI" w:hAnsi="Segoe UI" w:cs="Segoe UI"/>
                <w:color w:val="000000"/>
                <w:sz w:val="20"/>
                <w:szCs w:val="20"/>
              </w:rPr>
            </w:pPr>
            <w:r>
              <w:rPr>
                <w:rFonts w:ascii="Segoe UI" w:hAnsi="Segoe UI" w:cs="Segoe UI"/>
                <w:color w:val="000000"/>
                <w:sz w:val="20"/>
                <w:szCs w:val="20"/>
              </w:rPr>
              <w:t>The directorate has made significant improvements against this measure over the last month with performance improving by over 20% in month.  The directorate intends to continue this positive work.</w:t>
            </w:r>
          </w:p>
        </w:tc>
      </w:tr>
    </w:tbl>
    <w:p w:rsidR="00E27F88" w:rsidRDefault="00E27F88" w:rsidP="007155D7">
      <w:pPr>
        <w:spacing w:after="200" w:line="276" w:lineRule="auto"/>
      </w:pPr>
    </w:p>
    <w:p w:rsidR="00E27F88" w:rsidRDefault="00E27F88" w:rsidP="007155D7">
      <w:pPr>
        <w:spacing w:after="200" w:line="276" w:lineRule="auto"/>
      </w:pPr>
    </w:p>
    <w:p w:rsidR="009F5F92" w:rsidRDefault="009F5F92" w:rsidP="007155D7">
      <w:pPr>
        <w:spacing w:after="200" w:line="276" w:lineRule="auto"/>
      </w:pPr>
    </w:p>
    <w:sectPr w:rsidR="009F5F92" w:rsidSect="0064639E">
      <w:type w:val="continuous"/>
      <w:pgSz w:w="16838" w:h="11906" w:orient="landscape"/>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8DD"/>
    <w:rsid w:val="000375E2"/>
    <w:rsid w:val="00091EE4"/>
    <w:rsid w:val="000A5422"/>
    <w:rsid w:val="000F0552"/>
    <w:rsid w:val="001277B0"/>
    <w:rsid w:val="00146AF0"/>
    <w:rsid w:val="0018681B"/>
    <w:rsid w:val="0021264A"/>
    <w:rsid w:val="00227C17"/>
    <w:rsid w:val="00262F43"/>
    <w:rsid w:val="002E5ED1"/>
    <w:rsid w:val="00323137"/>
    <w:rsid w:val="00436AA6"/>
    <w:rsid w:val="004466D5"/>
    <w:rsid w:val="004864A0"/>
    <w:rsid w:val="004E7749"/>
    <w:rsid w:val="0050502D"/>
    <w:rsid w:val="00520AC8"/>
    <w:rsid w:val="005A5790"/>
    <w:rsid w:val="005D4333"/>
    <w:rsid w:val="0064639E"/>
    <w:rsid w:val="006679B9"/>
    <w:rsid w:val="006A48DD"/>
    <w:rsid w:val="006C03FF"/>
    <w:rsid w:val="006E4467"/>
    <w:rsid w:val="006E4EAE"/>
    <w:rsid w:val="007147AD"/>
    <w:rsid w:val="007155D7"/>
    <w:rsid w:val="007168FA"/>
    <w:rsid w:val="00720578"/>
    <w:rsid w:val="00787CBC"/>
    <w:rsid w:val="007D7BBA"/>
    <w:rsid w:val="00815513"/>
    <w:rsid w:val="0083581B"/>
    <w:rsid w:val="008532BF"/>
    <w:rsid w:val="0095255D"/>
    <w:rsid w:val="0099489A"/>
    <w:rsid w:val="009B1CB4"/>
    <w:rsid w:val="009C1BE7"/>
    <w:rsid w:val="009D060B"/>
    <w:rsid w:val="009F5F92"/>
    <w:rsid w:val="00A05241"/>
    <w:rsid w:val="00B030D9"/>
    <w:rsid w:val="00B52C2F"/>
    <w:rsid w:val="00BA563F"/>
    <w:rsid w:val="00BB066D"/>
    <w:rsid w:val="00C35903"/>
    <w:rsid w:val="00C37A22"/>
    <w:rsid w:val="00C67D44"/>
    <w:rsid w:val="00C95489"/>
    <w:rsid w:val="00CD0772"/>
    <w:rsid w:val="00D247A6"/>
    <w:rsid w:val="00D73200"/>
    <w:rsid w:val="00D770EE"/>
    <w:rsid w:val="00DE105A"/>
    <w:rsid w:val="00E00E5A"/>
    <w:rsid w:val="00E27F88"/>
    <w:rsid w:val="00F620E8"/>
    <w:rsid w:val="00F7528D"/>
    <w:rsid w:val="00F86226"/>
    <w:rsid w:val="00F97698"/>
    <w:rsid w:val="00FD6784"/>
    <w:rsid w:val="00FE2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8D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48D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48DD"/>
    <w:rPr>
      <w:rFonts w:ascii="Tahoma" w:hAnsi="Tahoma" w:cs="Tahoma"/>
      <w:sz w:val="16"/>
      <w:szCs w:val="16"/>
    </w:rPr>
  </w:style>
  <w:style w:type="character" w:customStyle="1" w:styleId="BalloonTextChar">
    <w:name w:val="Balloon Text Char"/>
    <w:basedOn w:val="DefaultParagraphFont"/>
    <w:link w:val="BalloonText"/>
    <w:uiPriority w:val="99"/>
    <w:semiHidden/>
    <w:rsid w:val="006A48DD"/>
    <w:rPr>
      <w:rFonts w:ascii="Tahoma" w:eastAsia="Times New Roman" w:hAnsi="Tahoma" w:cs="Tahoma"/>
      <w:sz w:val="16"/>
      <w:szCs w:val="16"/>
      <w:lang w:eastAsia="en-GB"/>
    </w:rPr>
  </w:style>
  <w:style w:type="table" w:customStyle="1" w:styleId="TableGrid1">
    <w:name w:val="Table Grid1"/>
    <w:basedOn w:val="TableNormal"/>
    <w:next w:val="TableGrid"/>
    <w:rsid w:val="00520AC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B1CB4"/>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9F5F9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9F5F9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9F5F9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27F8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8D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48D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48DD"/>
    <w:rPr>
      <w:rFonts w:ascii="Tahoma" w:hAnsi="Tahoma" w:cs="Tahoma"/>
      <w:sz w:val="16"/>
      <w:szCs w:val="16"/>
    </w:rPr>
  </w:style>
  <w:style w:type="character" w:customStyle="1" w:styleId="BalloonTextChar">
    <w:name w:val="Balloon Text Char"/>
    <w:basedOn w:val="DefaultParagraphFont"/>
    <w:link w:val="BalloonText"/>
    <w:uiPriority w:val="99"/>
    <w:semiHidden/>
    <w:rsid w:val="006A48DD"/>
    <w:rPr>
      <w:rFonts w:ascii="Tahoma" w:eastAsia="Times New Roman" w:hAnsi="Tahoma" w:cs="Tahoma"/>
      <w:sz w:val="16"/>
      <w:szCs w:val="16"/>
      <w:lang w:eastAsia="en-GB"/>
    </w:rPr>
  </w:style>
  <w:style w:type="table" w:customStyle="1" w:styleId="TableGrid1">
    <w:name w:val="Table Grid1"/>
    <w:basedOn w:val="TableNormal"/>
    <w:next w:val="TableGrid"/>
    <w:rsid w:val="00520AC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B1CB4"/>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9F5F9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9F5F9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9F5F9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27F8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chart" Target="charts/chart1.xml"/><Relationship Id="rId12" Type="http://schemas.openxmlformats.org/officeDocument/2006/relationships/image" Target="media/image6.png"/><Relationship Id="rId17" Type="http://schemas.openxmlformats.org/officeDocument/2006/relationships/chart" Target="charts/chart7.xml"/><Relationship Id="rId25" Type="http://schemas.openxmlformats.org/officeDocument/2006/relationships/chart" Target="charts/chart15.xml"/><Relationship Id="rId2" Type="http://schemas.microsoft.com/office/2007/relationships/stylesWithEffects" Target="stylesWithEffect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chart" Target="charts/chart14.xml"/><Relationship Id="rId5" Type="http://schemas.openxmlformats.org/officeDocument/2006/relationships/image" Target="media/image1.png"/><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4.png"/><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93285214348207"/>
          <c:y val="0.25411177024187881"/>
          <c:w val="0.76724361871684466"/>
          <c:h val="0.52445076555137971"/>
        </c:manualLayout>
      </c:layout>
      <c:lineChart>
        <c:grouping val="standard"/>
        <c:varyColors val="0"/>
        <c:ser>
          <c:idx val="0"/>
          <c:order val="0"/>
          <c:tx>
            <c:strRef>
              <c:f>'Oxon CAMHS GP letters Chart'!$A$3</c:f>
              <c:strCache>
                <c:ptCount val="1"/>
                <c:pt idx="0">
                  <c:v>% of clinic letters that are sent back to GPs within 10 working days</c:v>
                </c:pt>
              </c:strCache>
            </c:strRef>
          </c:tx>
          <c:marker>
            <c:symbol val="none"/>
          </c:marker>
          <c:cat>
            <c:numRef>
              <c:f>'Oxon CAMHS GP letters Chart'!$B$2:$M$2</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'Oxon CAMHS GP letters Chart'!$B$3:$M$3</c:f>
              <c:numCache>
                <c:formatCode>0%</c:formatCode>
                <c:ptCount val="12"/>
                <c:pt idx="0">
                  <c:v>0.73</c:v>
                </c:pt>
                <c:pt idx="1">
                  <c:v>0.85185185185185186</c:v>
                </c:pt>
                <c:pt idx="2">
                  <c:v>0.87301587301587302</c:v>
                </c:pt>
                <c:pt idx="3">
                  <c:v>0.87179487179487181</c:v>
                </c:pt>
                <c:pt idx="4">
                  <c:v>0.89411764705882357</c:v>
                </c:pt>
                <c:pt idx="5">
                  <c:v>0.9147286821705426</c:v>
                </c:pt>
                <c:pt idx="6">
                  <c:v>0.92805755395683454</c:v>
                </c:pt>
                <c:pt idx="7">
                  <c:v>0.83750000000000002</c:v>
                </c:pt>
                <c:pt idx="8">
                  <c:v>0.79</c:v>
                </c:pt>
                <c:pt idx="9">
                  <c:v>0.83</c:v>
                </c:pt>
              </c:numCache>
            </c:numRef>
          </c:val>
          <c:smooth val="0"/>
        </c:ser>
        <c:ser>
          <c:idx val="1"/>
          <c:order val="1"/>
          <c:tx>
            <c:strRef>
              <c:f>'Oxon CAMHS GP letters Chart'!$A$4</c:f>
              <c:strCache>
                <c:ptCount val="1"/>
                <c:pt idx="0">
                  <c:v>Target</c:v>
                </c:pt>
              </c:strCache>
            </c:strRef>
          </c:tx>
          <c:marker>
            <c:symbol val="none"/>
          </c:marker>
          <c:cat>
            <c:numRef>
              <c:f>'Oxon CAMHS GP letters Chart'!$B$2:$M$2</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'Oxon CAMHS GP letters Chart'!$B$4:$M$4</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ser>
          <c:idx val="2"/>
          <c:order val="2"/>
          <c:tx>
            <c:strRef>
              <c:f>'Oxon CAMHS GP letters Chart'!$A$5</c:f>
              <c:strCache>
                <c:ptCount val="1"/>
                <c:pt idx="0">
                  <c:v>Trajectory</c:v>
                </c:pt>
              </c:strCache>
            </c:strRef>
          </c:tx>
          <c:spPr>
            <a:ln>
              <a:solidFill>
                <a:srgbClr val="FFC000"/>
              </a:solidFill>
            </a:ln>
          </c:spPr>
          <c:marker>
            <c:symbol val="none"/>
          </c:marker>
          <c:cat>
            <c:numRef>
              <c:f>'Oxon CAMHS GP letters Chart'!$B$2:$M$2</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'Oxon CAMHS GP letters Chart'!$B$5:$M$5</c:f>
              <c:numCache>
                <c:formatCode>0%</c:formatCode>
                <c:ptCount val="12"/>
                <c:pt idx="0">
                  <c:v>0.7</c:v>
                </c:pt>
                <c:pt idx="1">
                  <c:v>0.72</c:v>
                </c:pt>
                <c:pt idx="2">
                  <c:v>0.74</c:v>
                </c:pt>
                <c:pt idx="3">
                  <c:v>0.76</c:v>
                </c:pt>
                <c:pt idx="4">
                  <c:v>0.78</c:v>
                </c:pt>
                <c:pt idx="5">
                  <c:v>0.8</c:v>
                </c:pt>
                <c:pt idx="6">
                  <c:v>0.82</c:v>
                </c:pt>
                <c:pt idx="7">
                  <c:v>0.84</c:v>
                </c:pt>
                <c:pt idx="8">
                  <c:v>0.86</c:v>
                </c:pt>
                <c:pt idx="9">
                  <c:v>0.88</c:v>
                </c:pt>
                <c:pt idx="10">
                  <c:v>0.9</c:v>
                </c:pt>
                <c:pt idx="11">
                  <c:v>0.95</c:v>
                </c:pt>
              </c:numCache>
            </c:numRef>
          </c:val>
          <c:smooth val="0"/>
        </c:ser>
        <c:dLbls>
          <c:showLegendKey val="0"/>
          <c:showVal val="0"/>
          <c:showCatName val="0"/>
          <c:showSerName val="0"/>
          <c:showPercent val="0"/>
          <c:showBubbleSize val="0"/>
        </c:dLbls>
        <c:marker val="1"/>
        <c:smooth val="0"/>
        <c:axId val="428797952"/>
        <c:axId val="428799488"/>
      </c:lineChart>
      <c:dateAx>
        <c:axId val="428797952"/>
        <c:scaling>
          <c:orientation val="minMax"/>
        </c:scaling>
        <c:delete val="0"/>
        <c:axPos val="b"/>
        <c:numFmt formatCode="mmm\-yy" sourceLinked="1"/>
        <c:majorTickMark val="none"/>
        <c:minorTickMark val="none"/>
        <c:tickLblPos val="nextTo"/>
        <c:crossAx val="428799488"/>
        <c:crosses val="autoZero"/>
        <c:auto val="1"/>
        <c:lblOffset val="100"/>
        <c:baseTimeUnit val="months"/>
      </c:dateAx>
      <c:valAx>
        <c:axId val="428799488"/>
        <c:scaling>
          <c:orientation val="minMax"/>
        </c:scaling>
        <c:delete val="0"/>
        <c:axPos val="l"/>
        <c:majorGridlines/>
        <c:numFmt formatCode="0%" sourceLinked="1"/>
        <c:majorTickMark val="none"/>
        <c:minorTickMark val="none"/>
        <c:tickLblPos val="nextTo"/>
        <c:crossAx val="428797952"/>
        <c:crosses val="autoZero"/>
        <c:crossBetween val="between"/>
      </c:valAx>
    </c:plotArea>
    <c:legend>
      <c:legendPos val="t"/>
      <c:layout>
        <c:manualLayout>
          <c:xMode val="edge"/>
          <c:yMode val="edge"/>
          <c:x val="0"/>
          <c:y val="2.359882005899705E-2"/>
          <c:w val="0.99886084092429606"/>
          <c:h val="0.18870539412661913"/>
        </c:manualLayout>
      </c:layout>
      <c:overlay val="0"/>
    </c:legend>
    <c:plotVisOnly val="1"/>
    <c:dispBlanksAs val="gap"/>
    <c:showDLblsOverMax val="0"/>
  </c:chart>
  <c:spPr>
    <a:ln>
      <a:noFill/>
    </a:ln>
  </c:spPr>
  <c:txPr>
    <a:bodyPr/>
    <a:lstStyle/>
    <a:p>
      <a:pPr>
        <a:defRPr sz="700" b="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Sheet1!$B$23:$K$23</c:f>
              <c:strCache>
                <c:ptCount val="10"/>
                <c:pt idx="0">
                  <c:v>Apr</c:v>
                </c:pt>
                <c:pt idx="1">
                  <c:v>May</c:v>
                </c:pt>
                <c:pt idx="2">
                  <c:v>Jun</c:v>
                </c:pt>
                <c:pt idx="3">
                  <c:v>Jul</c:v>
                </c:pt>
                <c:pt idx="4">
                  <c:v>Aug</c:v>
                </c:pt>
                <c:pt idx="5">
                  <c:v>Sep</c:v>
                </c:pt>
                <c:pt idx="6">
                  <c:v>Oct</c:v>
                </c:pt>
                <c:pt idx="7">
                  <c:v>Nov</c:v>
                </c:pt>
                <c:pt idx="8">
                  <c:v>Dec</c:v>
                </c:pt>
                <c:pt idx="9">
                  <c:v>Jan</c:v>
                </c:pt>
              </c:strCache>
            </c:strRef>
          </c:cat>
          <c:val>
            <c:numRef>
              <c:f>Sheet1!$B$24:$K$24</c:f>
              <c:numCache>
                <c:formatCode>0%</c:formatCode>
                <c:ptCount val="10"/>
                <c:pt idx="0">
                  <c:v>0.97816593886462877</c:v>
                </c:pt>
                <c:pt idx="1">
                  <c:v>0.99514563106796117</c:v>
                </c:pt>
                <c:pt idx="2">
                  <c:v>0.88271604938271608</c:v>
                </c:pt>
                <c:pt idx="3">
                  <c:v>1</c:v>
                </c:pt>
                <c:pt idx="4">
                  <c:v>1</c:v>
                </c:pt>
                <c:pt idx="5">
                  <c:v>1</c:v>
                </c:pt>
                <c:pt idx="6">
                  <c:v>0.97757847533632292</c:v>
                </c:pt>
                <c:pt idx="7">
                  <c:v>1</c:v>
                </c:pt>
                <c:pt idx="8">
                  <c:v>1</c:v>
                </c:pt>
                <c:pt idx="9">
                  <c:v>1</c:v>
                </c:pt>
              </c:numCache>
            </c:numRef>
          </c:val>
          <c:smooth val="0"/>
        </c:ser>
        <c:ser>
          <c:idx val="1"/>
          <c:order val="1"/>
          <c:marker>
            <c:symbol val="none"/>
          </c:marker>
          <c:cat>
            <c:strRef>
              <c:f>Sheet1!$B$23:$K$23</c:f>
              <c:strCache>
                <c:ptCount val="10"/>
                <c:pt idx="0">
                  <c:v>Apr</c:v>
                </c:pt>
                <c:pt idx="1">
                  <c:v>May</c:v>
                </c:pt>
                <c:pt idx="2">
                  <c:v>Jun</c:v>
                </c:pt>
                <c:pt idx="3">
                  <c:v>Jul</c:v>
                </c:pt>
                <c:pt idx="4">
                  <c:v>Aug</c:v>
                </c:pt>
                <c:pt idx="5">
                  <c:v>Sep</c:v>
                </c:pt>
                <c:pt idx="6">
                  <c:v>Oct</c:v>
                </c:pt>
                <c:pt idx="7">
                  <c:v>Nov</c:v>
                </c:pt>
                <c:pt idx="8">
                  <c:v>Dec</c:v>
                </c:pt>
                <c:pt idx="9">
                  <c:v>Jan</c:v>
                </c:pt>
              </c:strCache>
            </c:strRef>
          </c:cat>
          <c:val>
            <c:numRef>
              <c:f>Sheet1!$B$25:$K$25</c:f>
              <c:numCache>
                <c:formatCode>0%</c:formatCode>
                <c:ptCount val="10"/>
                <c:pt idx="0">
                  <c:v>0.95</c:v>
                </c:pt>
                <c:pt idx="1">
                  <c:v>0.95</c:v>
                </c:pt>
                <c:pt idx="2">
                  <c:v>0.95</c:v>
                </c:pt>
                <c:pt idx="3">
                  <c:v>0.95</c:v>
                </c:pt>
                <c:pt idx="4">
                  <c:v>0.95</c:v>
                </c:pt>
                <c:pt idx="5">
                  <c:v>0.95</c:v>
                </c:pt>
                <c:pt idx="6">
                  <c:v>0.95</c:v>
                </c:pt>
                <c:pt idx="7">
                  <c:v>0.95</c:v>
                </c:pt>
                <c:pt idx="8">
                  <c:v>0.95</c:v>
                </c:pt>
                <c:pt idx="9">
                  <c:v>0.95</c:v>
                </c:pt>
              </c:numCache>
            </c:numRef>
          </c:val>
          <c:smooth val="0"/>
        </c:ser>
        <c:dLbls>
          <c:showLegendKey val="0"/>
          <c:showVal val="0"/>
          <c:showCatName val="0"/>
          <c:showSerName val="0"/>
          <c:showPercent val="0"/>
          <c:showBubbleSize val="0"/>
        </c:dLbls>
        <c:marker val="1"/>
        <c:smooth val="0"/>
        <c:axId val="421515648"/>
        <c:axId val="421517184"/>
      </c:lineChart>
      <c:catAx>
        <c:axId val="421515648"/>
        <c:scaling>
          <c:orientation val="minMax"/>
        </c:scaling>
        <c:delete val="0"/>
        <c:axPos val="b"/>
        <c:majorTickMark val="out"/>
        <c:minorTickMark val="none"/>
        <c:tickLblPos val="nextTo"/>
        <c:crossAx val="421517184"/>
        <c:crosses val="autoZero"/>
        <c:auto val="1"/>
        <c:lblAlgn val="ctr"/>
        <c:lblOffset val="100"/>
        <c:noMultiLvlLbl val="0"/>
      </c:catAx>
      <c:valAx>
        <c:axId val="421517184"/>
        <c:scaling>
          <c:orientation val="minMax"/>
        </c:scaling>
        <c:delete val="0"/>
        <c:axPos val="l"/>
        <c:majorGridlines/>
        <c:numFmt formatCode="0%" sourceLinked="1"/>
        <c:majorTickMark val="out"/>
        <c:minorTickMark val="none"/>
        <c:tickLblPos val="nextTo"/>
        <c:crossAx val="421515648"/>
        <c:crosses val="autoZero"/>
        <c:crossBetween val="between"/>
      </c:valAx>
    </c:plotArea>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Sheet1!$B$38:$F$38</c:f>
              <c:strCache>
                <c:ptCount val="5"/>
                <c:pt idx="0">
                  <c:v>Sep</c:v>
                </c:pt>
                <c:pt idx="1">
                  <c:v>Oct</c:v>
                </c:pt>
                <c:pt idx="2">
                  <c:v>Nov</c:v>
                </c:pt>
                <c:pt idx="3">
                  <c:v>Dec</c:v>
                </c:pt>
                <c:pt idx="4">
                  <c:v>Jan</c:v>
                </c:pt>
              </c:strCache>
            </c:strRef>
          </c:cat>
          <c:val>
            <c:numRef>
              <c:f>Sheet1!$B$39:$F$39</c:f>
              <c:numCache>
                <c:formatCode>0%</c:formatCode>
                <c:ptCount val="5"/>
                <c:pt idx="0">
                  <c:v>1</c:v>
                </c:pt>
                <c:pt idx="1">
                  <c:v>1</c:v>
                </c:pt>
                <c:pt idx="2">
                  <c:v>1</c:v>
                </c:pt>
                <c:pt idx="3">
                  <c:v>1</c:v>
                </c:pt>
                <c:pt idx="4">
                  <c:v>1</c:v>
                </c:pt>
              </c:numCache>
            </c:numRef>
          </c:val>
          <c:smooth val="0"/>
        </c:ser>
        <c:ser>
          <c:idx val="1"/>
          <c:order val="1"/>
          <c:marker>
            <c:symbol val="none"/>
          </c:marker>
          <c:cat>
            <c:strRef>
              <c:f>Sheet1!$B$38:$F$38</c:f>
              <c:strCache>
                <c:ptCount val="5"/>
                <c:pt idx="0">
                  <c:v>Sep</c:v>
                </c:pt>
                <c:pt idx="1">
                  <c:v>Oct</c:v>
                </c:pt>
                <c:pt idx="2">
                  <c:v>Nov</c:v>
                </c:pt>
                <c:pt idx="3">
                  <c:v>Dec</c:v>
                </c:pt>
                <c:pt idx="4">
                  <c:v>Jan</c:v>
                </c:pt>
              </c:strCache>
            </c:strRef>
          </c:cat>
          <c:val>
            <c:numRef>
              <c:f>Sheet1!$B$40:$F$40</c:f>
              <c:numCache>
                <c:formatCode>0%</c:formatCode>
                <c:ptCount val="5"/>
              </c:numCache>
            </c:numRef>
          </c:val>
          <c:smooth val="0"/>
        </c:ser>
        <c:ser>
          <c:idx val="2"/>
          <c:order val="2"/>
          <c:marker>
            <c:symbol val="none"/>
          </c:marker>
          <c:cat>
            <c:strRef>
              <c:f>Sheet1!$B$38:$F$38</c:f>
              <c:strCache>
                <c:ptCount val="5"/>
                <c:pt idx="0">
                  <c:v>Sep</c:v>
                </c:pt>
                <c:pt idx="1">
                  <c:v>Oct</c:v>
                </c:pt>
                <c:pt idx="2">
                  <c:v>Nov</c:v>
                </c:pt>
                <c:pt idx="3">
                  <c:v>Dec</c:v>
                </c:pt>
                <c:pt idx="4">
                  <c:v>Jan</c:v>
                </c:pt>
              </c:strCache>
            </c:strRef>
          </c:cat>
          <c:val>
            <c:numRef>
              <c:f>Sheet1!$B$41:$F$41</c:f>
              <c:numCache>
                <c:formatCode>0%</c:formatCode>
                <c:ptCount val="5"/>
              </c:numCache>
            </c:numRef>
          </c:val>
          <c:smooth val="0"/>
        </c:ser>
        <c:ser>
          <c:idx val="3"/>
          <c:order val="3"/>
          <c:spPr>
            <a:ln>
              <a:solidFill>
                <a:srgbClr val="C00000"/>
              </a:solidFill>
            </a:ln>
          </c:spPr>
          <c:marker>
            <c:symbol val="none"/>
          </c:marker>
          <c:cat>
            <c:strRef>
              <c:f>Sheet1!$B$38:$F$38</c:f>
              <c:strCache>
                <c:ptCount val="5"/>
                <c:pt idx="0">
                  <c:v>Sep</c:v>
                </c:pt>
                <c:pt idx="1">
                  <c:v>Oct</c:v>
                </c:pt>
                <c:pt idx="2">
                  <c:v>Nov</c:v>
                </c:pt>
                <c:pt idx="3">
                  <c:v>Dec</c:v>
                </c:pt>
                <c:pt idx="4">
                  <c:v>Jan</c:v>
                </c:pt>
              </c:strCache>
            </c:strRef>
          </c:cat>
          <c:val>
            <c:numRef>
              <c:f>Sheet1!$B$42:$F$42</c:f>
              <c:numCache>
                <c:formatCode>0%</c:formatCode>
                <c:ptCount val="5"/>
                <c:pt idx="0">
                  <c:v>0.9</c:v>
                </c:pt>
                <c:pt idx="1">
                  <c:v>0.9</c:v>
                </c:pt>
                <c:pt idx="2">
                  <c:v>0.9</c:v>
                </c:pt>
                <c:pt idx="3">
                  <c:v>0.9</c:v>
                </c:pt>
                <c:pt idx="4">
                  <c:v>0.9</c:v>
                </c:pt>
              </c:numCache>
            </c:numRef>
          </c:val>
          <c:smooth val="0"/>
        </c:ser>
        <c:dLbls>
          <c:showLegendKey val="0"/>
          <c:showVal val="0"/>
          <c:showCatName val="0"/>
          <c:showSerName val="0"/>
          <c:showPercent val="0"/>
          <c:showBubbleSize val="0"/>
        </c:dLbls>
        <c:marker val="1"/>
        <c:smooth val="0"/>
        <c:axId val="421431552"/>
        <c:axId val="421711872"/>
      </c:lineChart>
      <c:catAx>
        <c:axId val="421431552"/>
        <c:scaling>
          <c:orientation val="minMax"/>
        </c:scaling>
        <c:delete val="0"/>
        <c:axPos val="b"/>
        <c:majorTickMark val="out"/>
        <c:minorTickMark val="none"/>
        <c:tickLblPos val="nextTo"/>
        <c:crossAx val="421711872"/>
        <c:crosses val="autoZero"/>
        <c:auto val="1"/>
        <c:lblAlgn val="ctr"/>
        <c:lblOffset val="100"/>
        <c:noMultiLvlLbl val="0"/>
      </c:catAx>
      <c:valAx>
        <c:axId val="421711872"/>
        <c:scaling>
          <c:orientation val="minMax"/>
        </c:scaling>
        <c:delete val="0"/>
        <c:axPos val="l"/>
        <c:majorGridlines/>
        <c:numFmt formatCode="0%" sourceLinked="1"/>
        <c:majorTickMark val="out"/>
        <c:minorTickMark val="none"/>
        <c:tickLblPos val="nextTo"/>
        <c:crossAx val="421431552"/>
        <c:crosses val="autoZero"/>
        <c:crossBetween val="between"/>
      </c:valAx>
    </c:plotArea>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29145013586374"/>
          <c:y val="6.6024569457894325E-2"/>
          <c:w val="0.52570352449444691"/>
          <c:h val="0.69892566905072695"/>
        </c:manualLayout>
      </c:layout>
      <c:lineChart>
        <c:grouping val="standard"/>
        <c:varyColors val="0"/>
        <c:ser>
          <c:idx val="0"/>
          <c:order val="0"/>
          <c:tx>
            <c:strRef>
              <c:f>Data!$A$9</c:f>
              <c:strCache>
                <c:ptCount val="1"/>
                <c:pt idx="0">
                  <c:v>HGH</c:v>
                </c:pt>
              </c:strCache>
            </c:strRef>
          </c:tx>
          <c:marker>
            <c:symbol val="none"/>
          </c:marker>
          <c:trendline>
            <c:trendlineType val="linear"/>
            <c:dispRSqr val="0"/>
            <c:dispEq val="0"/>
          </c:trendline>
          <c:cat>
            <c:strRef>
              <c:f>Data!$B$3:$K$3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Data!$B$9:$K$9</c:f>
              <c:numCache>
                <c:formatCode>0.0%</c:formatCode>
                <c:ptCount val="10"/>
                <c:pt idx="0">
                  <c:v>0.75</c:v>
                </c:pt>
                <c:pt idx="1">
                  <c:v>0.74545454545454548</c:v>
                </c:pt>
                <c:pt idx="2">
                  <c:v>0.65306122448979587</c:v>
                </c:pt>
                <c:pt idx="3">
                  <c:v>0.61111111111111116</c:v>
                </c:pt>
                <c:pt idx="4">
                  <c:v>0.73770491803278693</c:v>
                </c:pt>
                <c:pt idx="5">
                  <c:v>0.875</c:v>
                </c:pt>
                <c:pt idx="6">
                  <c:v>0.87096774193548387</c:v>
                </c:pt>
                <c:pt idx="7">
                  <c:v>0.83783783783783783</c:v>
                </c:pt>
                <c:pt idx="8">
                  <c:v>0.79069767441860461</c:v>
                </c:pt>
                <c:pt idx="9">
                  <c:v>0.83</c:v>
                </c:pt>
              </c:numCache>
            </c:numRef>
          </c:val>
          <c:smooth val="0"/>
        </c:ser>
        <c:ser>
          <c:idx val="1"/>
          <c:order val="1"/>
          <c:tx>
            <c:strRef>
              <c:f>Data!$A$10</c:f>
              <c:strCache>
                <c:ptCount val="1"/>
                <c:pt idx="0">
                  <c:v>JR</c:v>
                </c:pt>
              </c:strCache>
            </c:strRef>
          </c:tx>
          <c:marker>
            <c:symbol val="none"/>
          </c:marker>
          <c:trendline>
            <c:trendlineType val="linear"/>
            <c:dispRSqr val="0"/>
            <c:dispEq val="0"/>
          </c:trendline>
          <c:cat>
            <c:strRef>
              <c:f>Data!$B$3:$K$3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Data!$B$10:$K$10</c:f>
              <c:numCache>
                <c:formatCode>0%</c:formatCode>
                <c:ptCount val="10"/>
                <c:pt idx="0">
                  <c:v>0.88944723618090449</c:v>
                </c:pt>
                <c:pt idx="1">
                  <c:v>0.83582089552238803</c:v>
                </c:pt>
                <c:pt idx="2">
                  <c:v>0.79792746113989632</c:v>
                </c:pt>
                <c:pt idx="3">
                  <c:v>0.69729729729729728</c:v>
                </c:pt>
                <c:pt idx="4">
                  <c:v>0.9375</c:v>
                </c:pt>
                <c:pt idx="5">
                  <c:v>0.91818181818181821</c:v>
                </c:pt>
                <c:pt idx="6" formatCode="0.00%">
                  <c:v>0.94907407407407407</c:v>
                </c:pt>
                <c:pt idx="7">
                  <c:v>0.8719211822660099</c:v>
                </c:pt>
                <c:pt idx="8">
                  <c:v>0.83157894736842108</c:v>
                </c:pt>
                <c:pt idx="9">
                  <c:v>0.85</c:v>
                </c:pt>
              </c:numCache>
            </c:numRef>
          </c:val>
          <c:smooth val="0"/>
        </c:ser>
        <c:ser>
          <c:idx val="2"/>
          <c:order val="2"/>
          <c:tx>
            <c:strRef>
              <c:f>Data!$A$11</c:f>
              <c:strCache>
                <c:ptCount val="1"/>
                <c:pt idx="0">
                  <c:v>Target</c:v>
                </c:pt>
              </c:strCache>
            </c:strRef>
          </c:tx>
          <c:marker>
            <c:symbol val="none"/>
          </c:marker>
          <c:cat>
            <c:strRef>
              <c:f>Data!$B$3:$K$3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Data!$B$11:$K$11</c:f>
              <c:numCache>
                <c:formatCode>0%</c:formatCode>
                <c:ptCount val="10"/>
                <c:pt idx="0">
                  <c:v>0.95</c:v>
                </c:pt>
                <c:pt idx="1">
                  <c:v>0.95</c:v>
                </c:pt>
                <c:pt idx="2">
                  <c:v>0.95</c:v>
                </c:pt>
                <c:pt idx="3">
                  <c:v>0.95</c:v>
                </c:pt>
                <c:pt idx="4">
                  <c:v>0.95</c:v>
                </c:pt>
                <c:pt idx="5">
                  <c:v>0.95</c:v>
                </c:pt>
                <c:pt idx="6">
                  <c:v>0.95</c:v>
                </c:pt>
                <c:pt idx="7">
                  <c:v>0.95</c:v>
                </c:pt>
                <c:pt idx="8">
                  <c:v>0.95</c:v>
                </c:pt>
                <c:pt idx="9">
                  <c:v>0.95</c:v>
                </c:pt>
              </c:numCache>
            </c:numRef>
          </c:val>
          <c:smooth val="0"/>
        </c:ser>
        <c:dLbls>
          <c:showLegendKey val="0"/>
          <c:showVal val="0"/>
          <c:showCatName val="0"/>
          <c:showSerName val="0"/>
          <c:showPercent val="0"/>
          <c:showBubbleSize val="0"/>
        </c:dLbls>
        <c:marker val="1"/>
        <c:smooth val="0"/>
        <c:axId val="479852032"/>
        <c:axId val="479853568"/>
      </c:lineChart>
      <c:catAx>
        <c:axId val="479852032"/>
        <c:scaling>
          <c:orientation val="minMax"/>
        </c:scaling>
        <c:delete val="0"/>
        <c:axPos val="b"/>
        <c:majorTickMark val="none"/>
        <c:minorTickMark val="none"/>
        <c:tickLblPos val="nextTo"/>
        <c:crossAx val="479853568"/>
        <c:crosses val="autoZero"/>
        <c:auto val="1"/>
        <c:lblAlgn val="ctr"/>
        <c:lblOffset val="100"/>
        <c:noMultiLvlLbl val="0"/>
      </c:catAx>
      <c:valAx>
        <c:axId val="479853568"/>
        <c:scaling>
          <c:orientation val="minMax"/>
        </c:scaling>
        <c:delete val="0"/>
        <c:axPos val="l"/>
        <c:majorGridlines/>
        <c:numFmt formatCode="0.0%" sourceLinked="1"/>
        <c:majorTickMark val="none"/>
        <c:minorTickMark val="none"/>
        <c:tickLblPos val="nextTo"/>
        <c:crossAx val="479852032"/>
        <c:crosses val="autoZero"/>
        <c:crossBetween val="between"/>
      </c:valAx>
    </c:plotArea>
    <c:legend>
      <c:legendPos val="r"/>
      <c:layout>
        <c:manualLayout>
          <c:xMode val="edge"/>
          <c:yMode val="edge"/>
          <c:x val="0.72123915737298638"/>
          <c:y val="8.3037702415451983E-2"/>
          <c:w val="0.24916396043772684"/>
          <c:h val="0.73763226120799075"/>
        </c:manualLayout>
      </c:layout>
      <c:overlay val="0"/>
    </c:legend>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19203076505073"/>
          <c:y val="8.5071752811804291E-2"/>
          <c:w val="0.78173897363393796"/>
          <c:h val="0.65838491118842701"/>
        </c:manualLayout>
      </c:layout>
      <c:lineChart>
        <c:grouping val="standard"/>
        <c:varyColors val="0"/>
        <c:ser>
          <c:idx val="0"/>
          <c:order val="0"/>
          <c:tx>
            <c:strRef>
              <c:f>Sheet1!$A$133</c:f>
              <c:strCache>
                <c:ptCount val="1"/>
                <c:pt idx="0">
                  <c:v>Actual</c:v>
                </c:pt>
              </c:strCache>
            </c:strRef>
          </c:tx>
          <c:marker>
            <c:symbol val="none"/>
          </c:marker>
          <c:trendline>
            <c:trendlineType val="linear"/>
            <c:dispRSqr val="0"/>
            <c:dispEq val="0"/>
          </c:trendline>
          <c:cat>
            <c:strRef>
              <c:f>Sheet1!$B$3:$K$3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Sheet1!$B$133:$K$133</c:f>
              <c:numCache>
                <c:formatCode>0.0%</c:formatCode>
                <c:ptCount val="10"/>
                <c:pt idx="0">
                  <c:v>1</c:v>
                </c:pt>
                <c:pt idx="1">
                  <c:v>0.9821428571428571</c:v>
                </c:pt>
                <c:pt idx="2">
                  <c:v>0.99137931034482762</c:v>
                </c:pt>
                <c:pt idx="3">
                  <c:v>0.97413793103448276</c:v>
                </c:pt>
                <c:pt idx="4">
                  <c:v>0.95121951219512191</c:v>
                </c:pt>
                <c:pt idx="5">
                  <c:v>0.94594594594594594</c:v>
                </c:pt>
                <c:pt idx="6">
                  <c:v>0.95683453237410077</c:v>
                </c:pt>
                <c:pt idx="7">
                  <c:v>0.89600000000000002</c:v>
                </c:pt>
                <c:pt idx="8">
                  <c:v>0.9375</c:v>
                </c:pt>
                <c:pt idx="9">
                  <c:v>0.85217391304347823</c:v>
                </c:pt>
              </c:numCache>
            </c:numRef>
          </c:val>
          <c:smooth val="0"/>
        </c:ser>
        <c:ser>
          <c:idx val="1"/>
          <c:order val="1"/>
          <c:tx>
            <c:strRef>
              <c:f>Sheet1!$A$134</c:f>
              <c:strCache>
                <c:ptCount val="1"/>
                <c:pt idx="0">
                  <c:v>Target</c:v>
                </c:pt>
              </c:strCache>
            </c:strRef>
          </c:tx>
          <c:marker>
            <c:symbol val="none"/>
          </c:marker>
          <c:cat>
            <c:strRef>
              <c:f>Sheet1!$B$3:$K$3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Sheet1!$B$134:$K$134</c:f>
              <c:numCache>
                <c:formatCode>0%</c:formatCode>
                <c:ptCount val="10"/>
                <c:pt idx="0">
                  <c:v>0.95</c:v>
                </c:pt>
                <c:pt idx="1">
                  <c:v>0.95</c:v>
                </c:pt>
                <c:pt idx="2">
                  <c:v>0.95</c:v>
                </c:pt>
                <c:pt idx="3">
                  <c:v>0.95</c:v>
                </c:pt>
                <c:pt idx="4">
                  <c:v>0.95</c:v>
                </c:pt>
                <c:pt idx="5">
                  <c:v>0.95</c:v>
                </c:pt>
                <c:pt idx="6">
                  <c:v>0.95</c:v>
                </c:pt>
                <c:pt idx="7">
                  <c:v>0.95</c:v>
                </c:pt>
                <c:pt idx="8">
                  <c:v>0.95</c:v>
                </c:pt>
                <c:pt idx="9">
                  <c:v>0.95</c:v>
                </c:pt>
              </c:numCache>
            </c:numRef>
          </c:val>
          <c:smooth val="0"/>
        </c:ser>
        <c:dLbls>
          <c:showLegendKey val="0"/>
          <c:showVal val="0"/>
          <c:showCatName val="0"/>
          <c:showSerName val="0"/>
          <c:showPercent val="0"/>
          <c:showBubbleSize val="0"/>
        </c:dLbls>
        <c:marker val="1"/>
        <c:smooth val="0"/>
        <c:axId val="489501824"/>
        <c:axId val="489503360"/>
      </c:lineChart>
      <c:catAx>
        <c:axId val="489501824"/>
        <c:scaling>
          <c:orientation val="minMax"/>
        </c:scaling>
        <c:delete val="0"/>
        <c:axPos val="b"/>
        <c:majorTickMark val="none"/>
        <c:minorTickMark val="none"/>
        <c:tickLblPos val="nextTo"/>
        <c:crossAx val="489503360"/>
        <c:crosses val="autoZero"/>
        <c:auto val="1"/>
        <c:lblAlgn val="ctr"/>
        <c:lblOffset val="100"/>
        <c:noMultiLvlLbl val="0"/>
      </c:catAx>
      <c:valAx>
        <c:axId val="489503360"/>
        <c:scaling>
          <c:orientation val="minMax"/>
        </c:scaling>
        <c:delete val="0"/>
        <c:axPos val="l"/>
        <c:majorGridlines/>
        <c:numFmt formatCode="0.0%" sourceLinked="1"/>
        <c:majorTickMark val="none"/>
        <c:minorTickMark val="none"/>
        <c:tickLblPos val="nextTo"/>
        <c:spPr>
          <a:ln>
            <a:noFill/>
          </a:ln>
        </c:spPr>
        <c:crossAx val="489501824"/>
        <c:crosses val="autoZero"/>
        <c:crossBetween val="between"/>
      </c:valAx>
    </c:plotArea>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Data!$A$124</c:f>
              <c:strCache>
                <c:ptCount val="1"/>
                <c:pt idx="0">
                  <c:v>Chiltren CCG Adults</c:v>
                </c:pt>
              </c:strCache>
            </c:strRef>
          </c:tx>
          <c:marker>
            <c:symbol val="none"/>
          </c:marker>
          <c:cat>
            <c:strRef>
              <c:f>Data!$B$3:$K$3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Data!$B$124:$K$124</c:f>
              <c:numCache>
                <c:formatCode>0%</c:formatCode>
                <c:ptCount val="10"/>
                <c:pt idx="0">
                  <c:v>0.6</c:v>
                </c:pt>
                <c:pt idx="1">
                  <c:v>1</c:v>
                </c:pt>
                <c:pt idx="2">
                  <c:v>0.6</c:v>
                </c:pt>
                <c:pt idx="3">
                  <c:v>1</c:v>
                </c:pt>
                <c:pt idx="4">
                  <c:v>1</c:v>
                </c:pt>
                <c:pt idx="5">
                  <c:v>1</c:v>
                </c:pt>
                <c:pt idx="6">
                  <c:v>1</c:v>
                </c:pt>
                <c:pt idx="7">
                  <c:v>0.75</c:v>
                </c:pt>
                <c:pt idx="8">
                  <c:v>0.5</c:v>
                </c:pt>
                <c:pt idx="9">
                  <c:v>0</c:v>
                </c:pt>
              </c:numCache>
            </c:numRef>
          </c:val>
          <c:smooth val="0"/>
        </c:ser>
        <c:ser>
          <c:idx val="1"/>
          <c:order val="1"/>
          <c:tx>
            <c:strRef>
              <c:f>Data!$A$125</c:f>
              <c:strCache>
                <c:ptCount val="1"/>
                <c:pt idx="0">
                  <c:v>Target</c:v>
                </c:pt>
              </c:strCache>
            </c:strRef>
          </c:tx>
          <c:marker>
            <c:symbol val="none"/>
          </c:marker>
          <c:cat>
            <c:strRef>
              <c:f>Data!$B$3:$K$3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Data!$B$125:$K$125</c:f>
              <c:numCache>
                <c:formatCode>0%</c:formatCode>
                <c:ptCount val="10"/>
                <c:pt idx="0">
                  <c:v>0.5</c:v>
                </c:pt>
                <c:pt idx="1">
                  <c:v>0.5</c:v>
                </c:pt>
                <c:pt idx="2">
                  <c:v>0.5</c:v>
                </c:pt>
                <c:pt idx="3">
                  <c:v>0.5</c:v>
                </c:pt>
                <c:pt idx="4">
                  <c:v>0.5</c:v>
                </c:pt>
                <c:pt idx="5">
                  <c:v>0.5</c:v>
                </c:pt>
                <c:pt idx="6">
                  <c:v>0.5</c:v>
                </c:pt>
                <c:pt idx="7">
                  <c:v>0.5</c:v>
                </c:pt>
                <c:pt idx="8">
                  <c:v>0.5</c:v>
                </c:pt>
                <c:pt idx="9">
                  <c:v>0.5</c:v>
                </c:pt>
              </c:numCache>
            </c:numRef>
          </c:val>
          <c:smooth val="0"/>
        </c:ser>
        <c:dLbls>
          <c:showLegendKey val="0"/>
          <c:showVal val="0"/>
          <c:showCatName val="0"/>
          <c:showSerName val="0"/>
          <c:showPercent val="0"/>
          <c:showBubbleSize val="0"/>
        </c:dLbls>
        <c:marker val="1"/>
        <c:smooth val="0"/>
        <c:axId val="468739200"/>
        <c:axId val="468740736"/>
      </c:lineChart>
      <c:catAx>
        <c:axId val="468739200"/>
        <c:scaling>
          <c:orientation val="minMax"/>
        </c:scaling>
        <c:delete val="0"/>
        <c:axPos val="b"/>
        <c:majorTickMark val="none"/>
        <c:minorTickMark val="none"/>
        <c:tickLblPos val="nextTo"/>
        <c:crossAx val="468740736"/>
        <c:crosses val="autoZero"/>
        <c:auto val="1"/>
        <c:lblAlgn val="ctr"/>
        <c:lblOffset val="100"/>
        <c:noMultiLvlLbl val="0"/>
      </c:catAx>
      <c:valAx>
        <c:axId val="468740736"/>
        <c:scaling>
          <c:orientation val="minMax"/>
        </c:scaling>
        <c:delete val="0"/>
        <c:axPos val="l"/>
        <c:majorGridlines/>
        <c:numFmt formatCode="0%" sourceLinked="1"/>
        <c:majorTickMark val="none"/>
        <c:minorTickMark val="none"/>
        <c:tickLblPos val="nextTo"/>
        <c:crossAx val="468739200"/>
        <c:crosses val="autoZero"/>
        <c:crossBetween val="between"/>
      </c:valAx>
    </c:plotArea>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Data!$F$60</c:f>
              <c:strCache>
                <c:ptCount val="1"/>
                <c:pt idx="0">
                  <c:v>Adults</c:v>
                </c:pt>
              </c:strCache>
            </c:strRef>
          </c:tx>
          <c:marker>
            <c:symbol val="none"/>
          </c:marker>
          <c:trendline>
            <c:trendlineType val="linear"/>
            <c:forward val="0.30000000000000004"/>
            <c:dispRSqr val="0"/>
            <c:dispEq val="0"/>
          </c:trendline>
          <c:cat>
            <c:strRef>
              <c:f>Data!$G$59:$K$59</c:f>
              <c:strCache>
                <c:ptCount val="5"/>
                <c:pt idx="0">
                  <c:v>Sep</c:v>
                </c:pt>
                <c:pt idx="1">
                  <c:v>Oct</c:v>
                </c:pt>
                <c:pt idx="2">
                  <c:v>Nov</c:v>
                </c:pt>
                <c:pt idx="3">
                  <c:v>Dec</c:v>
                </c:pt>
                <c:pt idx="4">
                  <c:v>Jan</c:v>
                </c:pt>
              </c:strCache>
            </c:strRef>
          </c:cat>
          <c:val>
            <c:numRef>
              <c:f>Data!$G$60:$K$60</c:f>
              <c:numCache>
                <c:formatCode>0%</c:formatCode>
                <c:ptCount val="5"/>
                <c:pt idx="0">
                  <c:v>0.44</c:v>
                </c:pt>
                <c:pt idx="1">
                  <c:v>0.8571428571428571</c:v>
                </c:pt>
                <c:pt idx="2">
                  <c:v>0.78947368421052633</c:v>
                </c:pt>
                <c:pt idx="3">
                  <c:v>0.58823529411764708</c:v>
                </c:pt>
                <c:pt idx="4">
                  <c:v>0.61</c:v>
                </c:pt>
              </c:numCache>
            </c:numRef>
          </c:val>
          <c:smooth val="0"/>
        </c:ser>
        <c:ser>
          <c:idx val="1"/>
          <c:order val="1"/>
          <c:tx>
            <c:strRef>
              <c:f>Data!$F$61</c:f>
              <c:strCache>
                <c:ptCount val="1"/>
                <c:pt idx="0">
                  <c:v>Target</c:v>
                </c:pt>
              </c:strCache>
            </c:strRef>
          </c:tx>
          <c:marker>
            <c:symbol val="none"/>
          </c:marker>
          <c:cat>
            <c:strRef>
              <c:f>Data!$G$59:$K$59</c:f>
              <c:strCache>
                <c:ptCount val="5"/>
                <c:pt idx="0">
                  <c:v>Sep</c:v>
                </c:pt>
                <c:pt idx="1">
                  <c:v>Oct</c:v>
                </c:pt>
                <c:pt idx="2">
                  <c:v>Nov</c:v>
                </c:pt>
                <c:pt idx="3">
                  <c:v>Dec</c:v>
                </c:pt>
                <c:pt idx="4">
                  <c:v>Jan</c:v>
                </c:pt>
              </c:strCache>
            </c:strRef>
          </c:cat>
          <c:val>
            <c:numRef>
              <c:f>Data!$G$61:$K$61</c:f>
              <c:numCache>
                <c:formatCode>0%</c:formatCode>
                <c:ptCount val="5"/>
                <c:pt idx="0">
                  <c:v>0.95</c:v>
                </c:pt>
                <c:pt idx="1">
                  <c:v>0.95</c:v>
                </c:pt>
                <c:pt idx="2">
                  <c:v>0.95</c:v>
                </c:pt>
                <c:pt idx="3">
                  <c:v>0.95</c:v>
                </c:pt>
                <c:pt idx="4">
                  <c:v>0.95</c:v>
                </c:pt>
              </c:numCache>
            </c:numRef>
          </c:val>
          <c:smooth val="0"/>
        </c:ser>
        <c:dLbls>
          <c:showLegendKey val="0"/>
          <c:showVal val="0"/>
          <c:showCatName val="0"/>
          <c:showSerName val="0"/>
          <c:showPercent val="0"/>
          <c:showBubbleSize val="0"/>
        </c:dLbls>
        <c:marker val="1"/>
        <c:smooth val="0"/>
        <c:axId val="468716928"/>
        <c:axId val="476644480"/>
      </c:lineChart>
      <c:catAx>
        <c:axId val="468716928"/>
        <c:scaling>
          <c:orientation val="minMax"/>
        </c:scaling>
        <c:delete val="0"/>
        <c:axPos val="b"/>
        <c:majorTickMark val="none"/>
        <c:minorTickMark val="none"/>
        <c:tickLblPos val="nextTo"/>
        <c:crossAx val="476644480"/>
        <c:crosses val="autoZero"/>
        <c:auto val="1"/>
        <c:lblAlgn val="ctr"/>
        <c:lblOffset val="100"/>
        <c:noMultiLvlLbl val="0"/>
      </c:catAx>
      <c:valAx>
        <c:axId val="476644480"/>
        <c:scaling>
          <c:orientation val="minMax"/>
        </c:scaling>
        <c:delete val="0"/>
        <c:axPos val="l"/>
        <c:majorGridlines/>
        <c:numFmt formatCode="0%" sourceLinked="1"/>
        <c:majorTickMark val="none"/>
        <c:minorTickMark val="none"/>
        <c:tickLblPos val="nextTo"/>
        <c:crossAx val="468716928"/>
        <c:crosses val="autoZero"/>
        <c:crossBetween val="between"/>
      </c:valAx>
    </c:plotArea>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Sheet1!$A$4</c:f>
              <c:strCache>
                <c:ptCount val="1"/>
                <c:pt idx="0">
                  <c:v>Actual</c:v>
                </c:pt>
              </c:strCache>
            </c:strRef>
          </c:tx>
          <c:marker>
            <c:symbol val="none"/>
          </c:marker>
          <c:cat>
            <c:strRef>
              <c:f>Sheet1!$B$3:$K$3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Sheet1!$B$4:$K$4</c:f>
              <c:numCache>
                <c:formatCode>0.0%</c:formatCode>
                <c:ptCount val="10"/>
                <c:pt idx="0">
                  <c:v>0.16516280894468419</c:v>
                </c:pt>
                <c:pt idx="1">
                  <c:v>0.15845337376800606</c:v>
                </c:pt>
                <c:pt idx="2">
                  <c:v>0.23500866551126517</c:v>
                </c:pt>
                <c:pt idx="3">
                  <c:v>0.25741710296684117</c:v>
                </c:pt>
                <c:pt idx="4">
                  <c:v>0.24243879020643302</c:v>
                </c:pt>
                <c:pt idx="5">
                  <c:v>0.2773972602739726</c:v>
                </c:pt>
                <c:pt idx="6">
                  <c:v>0.23139013452914797</c:v>
                </c:pt>
                <c:pt idx="7">
                  <c:v>0.44862873516168644</c:v>
                </c:pt>
                <c:pt idx="8">
                  <c:v>0.46333601933924257</c:v>
                </c:pt>
                <c:pt idx="9">
                  <c:v>0.5</c:v>
                </c:pt>
              </c:numCache>
            </c:numRef>
          </c:val>
          <c:smooth val="0"/>
        </c:ser>
        <c:ser>
          <c:idx val="1"/>
          <c:order val="1"/>
          <c:tx>
            <c:strRef>
              <c:f>Sheet1!$A$5</c:f>
              <c:strCache>
                <c:ptCount val="1"/>
                <c:pt idx="0">
                  <c:v>Target</c:v>
                </c:pt>
              </c:strCache>
            </c:strRef>
          </c:tx>
          <c:marker>
            <c:symbol val="none"/>
          </c:marker>
          <c:cat>
            <c:strRef>
              <c:f>Sheet1!$B$3:$K$3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Sheet1!$B$5:$K$5</c:f>
              <c:numCache>
                <c:formatCode>0.00%</c:formatCode>
                <c:ptCount val="10"/>
                <c:pt idx="0">
                  <c:v>0.5</c:v>
                </c:pt>
                <c:pt idx="1">
                  <c:v>0.5</c:v>
                </c:pt>
                <c:pt idx="2">
                  <c:v>0.5</c:v>
                </c:pt>
                <c:pt idx="3">
                  <c:v>0.5</c:v>
                </c:pt>
                <c:pt idx="4">
                  <c:v>0.5</c:v>
                </c:pt>
                <c:pt idx="5">
                  <c:v>0.5</c:v>
                </c:pt>
                <c:pt idx="6">
                  <c:v>0.5</c:v>
                </c:pt>
                <c:pt idx="7">
                  <c:v>0.5</c:v>
                </c:pt>
                <c:pt idx="8">
                  <c:v>0.5</c:v>
                </c:pt>
                <c:pt idx="9">
                  <c:v>0.5</c:v>
                </c:pt>
              </c:numCache>
            </c:numRef>
          </c:val>
          <c:smooth val="0"/>
        </c:ser>
        <c:dLbls>
          <c:showLegendKey val="0"/>
          <c:showVal val="0"/>
          <c:showCatName val="0"/>
          <c:showSerName val="0"/>
          <c:showPercent val="0"/>
          <c:showBubbleSize val="0"/>
        </c:dLbls>
        <c:marker val="1"/>
        <c:smooth val="0"/>
        <c:axId val="422449920"/>
        <c:axId val="422451456"/>
      </c:lineChart>
      <c:catAx>
        <c:axId val="422449920"/>
        <c:scaling>
          <c:orientation val="minMax"/>
        </c:scaling>
        <c:delete val="0"/>
        <c:axPos val="b"/>
        <c:majorTickMark val="none"/>
        <c:minorTickMark val="none"/>
        <c:tickLblPos val="nextTo"/>
        <c:crossAx val="422451456"/>
        <c:crosses val="autoZero"/>
        <c:auto val="1"/>
        <c:lblAlgn val="ctr"/>
        <c:lblOffset val="100"/>
        <c:noMultiLvlLbl val="0"/>
      </c:catAx>
      <c:valAx>
        <c:axId val="422451456"/>
        <c:scaling>
          <c:orientation val="minMax"/>
        </c:scaling>
        <c:delete val="0"/>
        <c:axPos val="l"/>
        <c:majorGridlines/>
        <c:numFmt formatCode="0.0%" sourceLinked="1"/>
        <c:majorTickMark val="none"/>
        <c:minorTickMark val="none"/>
        <c:tickLblPos val="nextTo"/>
        <c:crossAx val="422449920"/>
        <c:crosses val="autoZero"/>
        <c:crossBetween val="between"/>
      </c:valAx>
    </c:plotArea>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Data!$A$71</c:f>
              <c:strCache>
                <c:ptCount val="1"/>
                <c:pt idx="0">
                  <c:v>Chiltern CCG Adults</c:v>
                </c:pt>
              </c:strCache>
            </c:strRef>
          </c:tx>
          <c:marker>
            <c:symbol val="none"/>
          </c:marker>
          <c:cat>
            <c:strRef>
              <c:f>Data!$B$3:$K$3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Data!$B$71:$K$71</c:f>
              <c:numCache>
                <c:formatCode>0%</c:formatCode>
                <c:ptCount val="10"/>
                <c:pt idx="0">
                  <c:v>0.56422569027611047</c:v>
                </c:pt>
                <c:pt idx="1">
                  <c:v>0.62918340026773767</c:v>
                </c:pt>
                <c:pt idx="2">
                  <c:v>0.62666666666666671</c:v>
                </c:pt>
                <c:pt idx="3">
                  <c:v>0.62583222370173097</c:v>
                </c:pt>
                <c:pt idx="4">
                  <c:v>0.59720457433290974</c:v>
                </c:pt>
                <c:pt idx="5">
                  <c:v>0.21090909090909091</c:v>
                </c:pt>
                <c:pt idx="6">
                  <c:v>0.35108958837772397</c:v>
                </c:pt>
                <c:pt idx="7">
                  <c:v>0.46031746031746029</c:v>
                </c:pt>
                <c:pt idx="8">
                  <c:v>0.65</c:v>
                </c:pt>
                <c:pt idx="9">
                  <c:v>0.78</c:v>
                </c:pt>
              </c:numCache>
            </c:numRef>
          </c:val>
          <c:smooth val="0"/>
        </c:ser>
        <c:ser>
          <c:idx val="1"/>
          <c:order val="1"/>
          <c:tx>
            <c:strRef>
              <c:f>Data!$A$72</c:f>
              <c:strCache>
                <c:ptCount val="1"/>
                <c:pt idx="0">
                  <c:v>Target</c:v>
                </c:pt>
              </c:strCache>
            </c:strRef>
          </c:tx>
          <c:marker>
            <c:symbol val="none"/>
          </c:marker>
          <c:cat>
            <c:strRef>
              <c:f>Data!$B$3:$K$3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Data!$B$72:$K$72</c:f>
              <c:numCache>
                <c:formatCode>0%</c:formatCode>
                <c:ptCount val="10"/>
                <c:pt idx="0">
                  <c:v>0.9</c:v>
                </c:pt>
                <c:pt idx="1">
                  <c:v>0.9</c:v>
                </c:pt>
                <c:pt idx="2">
                  <c:v>0.9</c:v>
                </c:pt>
                <c:pt idx="3">
                  <c:v>0.9</c:v>
                </c:pt>
                <c:pt idx="4">
                  <c:v>0.9</c:v>
                </c:pt>
                <c:pt idx="5">
                  <c:v>0.9</c:v>
                </c:pt>
                <c:pt idx="6">
                  <c:v>0.9</c:v>
                </c:pt>
                <c:pt idx="7">
                  <c:v>0.9</c:v>
                </c:pt>
                <c:pt idx="8">
                  <c:v>0.9</c:v>
                </c:pt>
                <c:pt idx="9">
                  <c:v>0.9</c:v>
                </c:pt>
              </c:numCache>
            </c:numRef>
          </c:val>
          <c:smooth val="0"/>
        </c:ser>
        <c:dLbls>
          <c:showLegendKey val="0"/>
          <c:showVal val="0"/>
          <c:showCatName val="0"/>
          <c:showSerName val="0"/>
          <c:showPercent val="0"/>
          <c:showBubbleSize val="0"/>
        </c:dLbls>
        <c:marker val="1"/>
        <c:smooth val="0"/>
        <c:axId val="423047168"/>
        <c:axId val="423048704"/>
      </c:lineChart>
      <c:catAx>
        <c:axId val="423047168"/>
        <c:scaling>
          <c:orientation val="minMax"/>
        </c:scaling>
        <c:delete val="0"/>
        <c:axPos val="b"/>
        <c:majorTickMark val="none"/>
        <c:minorTickMark val="none"/>
        <c:tickLblPos val="nextTo"/>
        <c:crossAx val="423048704"/>
        <c:crosses val="autoZero"/>
        <c:auto val="1"/>
        <c:lblAlgn val="ctr"/>
        <c:lblOffset val="100"/>
        <c:noMultiLvlLbl val="0"/>
      </c:catAx>
      <c:valAx>
        <c:axId val="423048704"/>
        <c:scaling>
          <c:orientation val="minMax"/>
        </c:scaling>
        <c:delete val="0"/>
        <c:axPos val="l"/>
        <c:majorGridlines/>
        <c:numFmt formatCode="0%" sourceLinked="1"/>
        <c:majorTickMark val="none"/>
        <c:minorTickMark val="none"/>
        <c:tickLblPos val="nextTo"/>
        <c:crossAx val="423047168"/>
        <c:crosses val="autoZero"/>
        <c:crossBetween val="between"/>
      </c:valAx>
    </c:plotArea>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Data!$A$50</c:f>
              <c:strCache>
                <c:ptCount val="1"/>
                <c:pt idx="0">
                  <c:v>AV CCG Adults</c:v>
                </c:pt>
              </c:strCache>
            </c:strRef>
          </c:tx>
          <c:marker>
            <c:symbol val="none"/>
          </c:marker>
          <c:cat>
            <c:strRef>
              <c:f>Data!$B$3:$K$3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Data!$B$50:$K$50</c:f>
              <c:numCache>
                <c:formatCode>0%</c:formatCode>
                <c:ptCount val="10"/>
                <c:pt idx="0">
                  <c:v>0.78398510242085662</c:v>
                </c:pt>
                <c:pt idx="1">
                  <c:v>0.86094069529652351</c:v>
                </c:pt>
                <c:pt idx="2">
                  <c:v>0.87708333333333333</c:v>
                </c:pt>
                <c:pt idx="3">
                  <c:v>0.83203125</c:v>
                </c:pt>
                <c:pt idx="4">
                  <c:v>0.84052532833020643</c:v>
                </c:pt>
                <c:pt idx="5">
                  <c:v>0.54104477611940294</c:v>
                </c:pt>
                <c:pt idx="6">
                  <c:v>0.62335216572504704</c:v>
                </c:pt>
                <c:pt idx="7">
                  <c:v>0.6067415730337079</c:v>
                </c:pt>
                <c:pt idx="8">
                  <c:v>0.55000000000000004</c:v>
                </c:pt>
                <c:pt idx="9">
                  <c:v>0.77</c:v>
                </c:pt>
              </c:numCache>
            </c:numRef>
          </c:val>
          <c:smooth val="0"/>
        </c:ser>
        <c:ser>
          <c:idx val="1"/>
          <c:order val="1"/>
          <c:tx>
            <c:strRef>
              <c:f>Data!$A$51</c:f>
              <c:strCache>
                <c:ptCount val="1"/>
                <c:pt idx="0">
                  <c:v>Target</c:v>
                </c:pt>
              </c:strCache>
            </c:strRef>
          </c:tx>
          <c:marker>
            <c:symbol val="none"/>
          </c:marker>
          <c:cat>
            <c:strRef>
              <c:f>Data!$B$3:$K$3</c:f>
              <c:strCache>
                <c:ptCount val="10"/>
                <c:pt idx="0">
                  <c:v>Apr</c:v>
                </c:pt>
                <c:pt idx="1">
                  <c:v>May</c:v>
                </c:pt>
                <c:pt idx="2">
                  <c:v>Jun</c:v>
                </c:pt>
                <c:pt idx="3">
                  <c:v>Jul</c:v>
                </c:pt>
                <c:pt idx="4">
                  <c:v>Aug </c:v>
                </c:pt>
                <c:pt idx="5">
                  <c:v>Sep</c:v>
                </c:pt>
                <c:pt idx="6">
                  <c:v>Oct</c:v>
                </c:pt>
                <c:pt idx="7">
                  <c:v>Nov</c:v>
                </c:pt>
                <c:pt idx="8">
                  <c:v>Dec</c:v>
                </c:pt>
                <c:pt idx="9">
                  <c:v>Jan</c:v>
                </c:pt>
              </c:strCache>
            </c:strRef>
          </c:cat>
          <c:val>
            <c:numRef>
              <c:f>Data!$B$51:$K$51</c:f>
              <c:numCache>
                <c:formatCode>0%</c:formatCode>
                <c:ptCount val="10"/>
                <c:pt idx="0">
                  <c:v>0.9</c:v>
                </c:pt>
                <c:pt idx="1">
                  <c:v>0.9</c:v>
                </c:pt>
                <c:pt idx="2">
                  <c:v>0.9</c:v>
                </c:pt>
                <c:pt idx="3">
                  <c:v>0.9</c:v>
                </c:pt>
                <c:pt idx="4">
                  <c:v>0.9</c:v>
                </c:pt>
                <c:pt idx="5">
                  <c:v>0.9</c:v>
                </c:pt>
                <c:pt idx="6">
                  <c:v>0.9</c:v>
                </c:pt>
                <c:pt idx="7">
                  <c:v>0.9</c:v>
                </c:pt>
                <c:pt idx="8">
                  <c:v>0.9</c:v>
                </c:pt>
                <c:pt idx="9">
                  <c:v>0.9</c:v>
                </c:pt>
              </c:numCache>
            </c:numRef>
          </c:val>
          <c:smooth val="0"/>
        </c:ser>
        <c:dLbls>
          <c:showLegendKey val="0"/>
          <c:showVal val="0"/>
          <c:showCatName val="0"/>
          <c:showSerName val="0"/>
          <c:showPercent val="0"/>
          <c:showBubbleSize val="0"/>
        </c:dLbls>
        <c:marker val="1"/>
        <c:smooth val="0"/>
        <c:axId val="423160448"/>
        <c:axId val="424166912"/>
      </c:lineChart>
      <c:catAx>
        <c:axId val="423160448"/>
        <c:scaling>
          <c:orientation val="minMax"/>
        </c:scaling>
        <c:delete val="0"/>
        <c:axPos val="b"/>
        <c:majorTickMark val="none"/>
        <c:minorTickMark val="none"/>
        <c:tickLblPos val="nextTo"/>
        <c:crossAx val="424166912"/>
        <c:crosses val="autoZero"/>
        <c:auto val="1"/>
        <c:lblAlgn val="ctr"/>
        <c:lblOffset val="100"/>
        <c:noMultiLvlLbl val="0"/>
      </c:catAx>
      <c:valAx>
        <c:axId val="424166912"/>
        <c:scaling>
          <c:orientation val="minMax"/>
        </c:scaling>
        <c:delete val="0"/>
        <c:axPos val="l"/>
        <c:majorGridlines/>
        <c:numFmt formatCode="0%" sourceLinked="1"/>
        <c:majorTickMark val="none"/>
        <c:minorTickMark val="none"/>
        <c:tickLblPos val="nextTo"/>
        <c:crossAx val="423160448"/>
        <c:crosses val="autoZero"/>
        <c:crossBetween val="between"/>
      </c:valAx>
    </c:plotArea>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93285214348207"/>
          <c:y val="0.24485958285432746"/>
          <c:w val="0.84786502509338724"/>
          <c:h val="0.46578293236811102"/>
        </c:manualLayout>
      </c:layout>
      <c:lineChart>
        <c:grouping val="standard"/>
        <c:varyColors val="0"/>
        <c:ser>
          <c:idx val="0"/>
          <c:order val="0"/>
          <c:tx>
            <c:strRef>
              <c:f>'Oxon ED GP letters Chart'!$A$3</c:f>
              <c:strCache>
                <c:ptCount val="1"/>
                <c:pt idx="0">
                  <c:v>% of clinic letters that are sent back to GPs within 10 working days</c:v>
                </c:pt>
              </c:strCache>
            </c:strRef>
          </c:tx>
          <c:marker>
            <c:symbol val="none"/>
          </c:marker>
          <c:cat>
            <c:numRef>
              <c:f>'Oxon ED GP letters Chart'!$B$2:$M$2</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'Oxon ED GP letters Chart'!$B$3:$M$3</c:f>
              <c:numCache>
                <c:formatCode>0%</c:formatCode>
                <c:ptCount val="12"/>
                <c:pt idx="0">
                  <c:v>0.6428571428571429</c:v>
                </c:pt>
                <c:pt idx="1">
                  <c:v>0.75</c:v>
                </c:pt>
                <c:pt idx="2">
                  <c:v>1</c:v>
                </c:pt>
                <c:pt idx="3">
                  <c:v>0.9285714285714286</c:v>
                </c:pt>
                <c:pt idx="4">
                  <c:v>0.9375</c:v>
                </c:pt>
                <c:pt idx="5">
                  <c:v>1</c:v>
                </c:pt>
                <c:pt idx="6">
                  <c:v>0.875</c:v>
                </c:pt>
                <c:pt idx="7">
                  <c:v>1</c:v>
                </c:pt>
                <c:pt idx="8">
                  <c:v>0.625</c:v>
                </c:pt>
                <c:pt idx="9">
                  <c:v>0.88</c:v>
                </c:pt>
              </c:numCache>
            </c:numRef>
          </c:val>
          <c:smooth val="0"/>
        </c:ser>
        <c:ser>
          <c:idx val="1"/>
          <c:order val="1"/>
          <c:tx>
            <c:strRef>
              <c:f>'Oxon ED GP letters Chart'!$A$4</c:f>
              <c:strCache>
                <c:ptCount val="1"/>
                <c:pt idx="0">
                  <c:v>Target</c:v>
                </c:pt>
              </c:strCache>
            </c:strRef>
          </c:tx>
          <c:marker>
            <c:symbol val="none"/>
          </c:marker>
          <c:cat>
            <c:numRef>
              <c:f>'Oxon ED GP letters Chart'!$B$2:$M$2</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'Oxon ED GP letters Chart'!$B$4:$M$4</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ser>
          <c:idx val="2"/>
          <c:order val="2"/>
          <c:tx>
            <c:strRef>
              <c:f>'Oxon ED GP letters Chart'!$A$5</c:f>
              <c:strCache>
                <c:ptCount val="1"/>
                <c:pt idx="0">
                  <c:v>Trajectory</c:v>
                </c:pt>
              </c:strCache>
            </c:strRef>
          </c:tx>
          <c:spPr>
            <a:ln>
              <a:solidFill>
                <a:srgbClr val="FFC000"/>
              </a:solidFill>
            </a:ln>
          </c:spPr>
          <c:marker>
            <c:symbol val="none"/>
          </c:marker>
          <c:cat>
            <c:numRef>
              <c:f>'Oxon ED GP letters Chart'!$B$2:$M$2</c:f>
              <c:numCache>
                <c:formatCode>mmm\-yy</c:formatCode>
                <c:ptCount val="12"/>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numCache>
            </c:numRef>
          </c:cat>
          <c:val>
            <c:numRef>
              <c:f>'Oxon ED GP letters Chart'!$B$5:$M$5</c:f>
              <c:numCache>
                <c:formatCode>0%</c:formatCode>
                <c:ptCount val="12"/>
                <c:pt idx="0">
                  <c:v>0.7</c:v>
                </c:pt>
                <c:pt idx="1">
                  <c:v>0.72</c:v>
                </c:pt>
                <c:pt idx="2">
                  <c:v>0.74</c:v>
                </c:pt>
                <c:pt idx="3">
                  <c:v>0.76</c:v>
                </c:pt>
                <c:pt idx="4">
                  <c:v>0.78</c:v>
                </c:pt>
                <c:pt idx="5">
                  <c:v>0.8</c:v>
                </c:pt>
                <c:pt idx="6">
                  <c:v>0.82</c:v>
                </c:pt>
                <c:pt idx="7">
                  <c:v>0.84</c:v>
                </c:pt>
                <c:pt idx="8">
                  <c:v>0.86</c:v>
                </c:pt>
                <c:pt idx="9">
                  <c:v>0.88</c:v>
                </c:pt>
                <c:pt idx="10">
                  <c:v>0.9</c:v>
                </c:pt>
                <c:pt idx="11">
                  <c:v>0.95</c:v>
                </c:pt>
              </c:numCache>
            </c:numRef>
          </c:val>
          <c:smooth val="0"/>
        </c:ser>
        <c:dLbls>
          <c:showLegendKey val="0"/>
          <c:showVal val="0"/>
          <c:showCatName val="0"/>
          <c:showSerName val="0"/>
          <c:showPercent val="0"/>
          <c:showBubbleSize val="0"/>
        </c:dLbls>
        <c:marker val="1"/>
        <c:smooth val="0"/>
        <c:axId val="430426752"/>
        <c:axId val="431096192"/>
      </c:lineChart>
      <c:dateAx>
        <c:axId val="430426752"/>
        <c:scaling>
          <c:orientation val="minMax"/>
        </c:scaling>
        <c:delete val="0"/>
        <c:axPos val="b"/>
        <c:numFmt formatCode="mmm\-yy" sourceLinked="1"/>
        <c:majorTickMark val="none"/>
        <c:minorTickMark val="none"/>
        <c:tickLblPos val="nextTo"/>
        <c:crossAx val="431096192"/>
        <c:crosses val="autoZero"/>
        <c:auto val="1"/>
        <c:lblOffset val="100"/>
        <c:baseTimeUnit val="months"/>
      </c:dateAx>
      <c:valAx>
        <c:axId val="431096192"/>
        <c:scaling>
          <c:orientation val="minMax"/>
          <c:max val="1"/>
        </c:scaling>
        <c:delete val="0"/>
        <c:axPos val="l"/>
        <c:majorGridlines/>
        <c:numFmt formatCode="0%" sourceLinked="1"/>
        <c:majorTickMark val="none"/>
        <c:minorTickMark val="none"/>
        <c:tickLblPos val="nextTo"/>
        <c:crossAx val="430426752"/>
        <c:crosses val="autoZero"/>
        <c:crossBetween val="between"/>
        <c:majorUnit val="0.2"/>
      </c:valAx>
    </c:plotArea>
    <c:legend>
      <c:legendPos val="t"/>
      <c:legendEntry>
        <c:idx val="0"/>
        <c:delete val="1"/>
      </c:legendEntry>
      <c:layout>
        <c:manualLayout>
          <c:xMode val="edge"/>
          <c:yMode val="edge"/>
          <c:x val="7.1730971625631135E-2"/>
          <c:y val="4.8132192983564311E-2"/>
          <c:w val="0.92826902837436887"/>
          <c:h val="0.14106459315032149"/>
        </c:manualLayout>
      </c:layout>
      <c:overlay val="0"/>
    </c:legend>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66334461815461"/>
          <c:y val="8.943089430894309E-2"/>
          <c:w val="0.75648319322403546"/>
          <c:h val="0.69823762883298124"/>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Sheet1!$F$16:$Q$16</c:f>
              <c:strCache>
                <c:ptCount val="12"/>
                <c:pt idx="0">
                  <c:v>Apr</c:v>
                </c:pt>
                <c:pt idx="1">
                  <c:v>May</c:v>
                </c:pt>
                <c:pt idx="2">
                  <c:v>Jun</c:v>
                </c:pt>
                <c:pt idx="3">
                  <c:v>Jul </c:v>
                </c:pt>
                <c:pt idx="4">
                  <c:v>Aug</c:v>
                </c:pt>
                <c:pt idx="5">
                  <c:v>Sept</c:v>
                </c:pt>
                <c:pt idx="6">
                  <c:v>Oct</c:v>
                </c:pt>
                <c:pt idx="7">
                  <c:v>Nov</c:v>
                </c:pt>
                <c:pt idx="8">
                  <c:v>Dec</c:v>
                </c:pt>
                <c:pt idx="9">
                  <c:v>Jan</c:v>
                </c:pt>
                <c:pt idx="10">
                  <c:v>Feb</c:v>
                </c:pt>
                <c:pt idx="11">
                  <c:v>Mar</c:v>
                </c:pt>
              </c:strCache>
            </c:strRef>
          </c:cat>
          <c:val>
            <c:numRef>
              <c:f>Sheet1!$F$17:$Q$17</c:f>
              <c:numCache>
                <c:formatCode>0%</c:formatCode>
                <c:ptCount val="12"/>
                <c:pt idx="0">
                  <c:v>0.64</c:v>
                </c:pt>
                <c:pt idx="1">
                  <c:v>0.84</c:v>
                </c:pt>
                <c:pt idx="2">
                  <c:v>0.81</c:v>
                </c:pt>
                <c:pt idx="3">
                  <c:v>0.69</c:v>
                </c:pt>
                <c:pt idx="4">
                  <c:v>0.81</c:v>
                </c:pt>
                <c:pt idx="5">
                  <c:v>0.68</c:v>
                </c:pt>
                <c:pt idx="6">
                  <c:v>0.69</c:v>
                </c:pt>
                <c:pt idx="7">
                  <c:v>0.57999999999999996</c:v>
                </c:pt>
                <c:pt idx="8">
                  <c:v>0.57999999999999996</c:v>
                </c:pt>
                <c:pt idx="9">
                  <c:v>0.49</c:v>
                </c:pt>
              </c:numCache>
            </c:numRef>
          </c:val>
          <c:smooth val="0"/>
        </c:ser>
        <c:ser>
          <c:idx val="1"/>
          <c:order val="1"/>
          <c:marker>
            <c:symbol val="none"/>
          </c:marker>
          <c:cat>
            <c:strRef>
              <c:f>Sheet1!$F$16:$Q$16</c:f>
              <c:strCache>
                <c:ptCount val="12"/>
                <c:pt idx="0">
                  <c:v>Apr</c:v>
                </c:pt>
                <c:pt idx="1">
                  <c:v>May</c:v>
                </c:pt>
                <c:pt idx="2">
                  <c:v>Jun</c:v>
                </c:pt>
                <c:pt idx="3">
                  <c:v>Jul </c:v>
                </c:pt>
                <c:pt idx="4">
                  <c:v>Aug</c:v>
                </c:pt>
                <c:pt idx="5">
                  <c:v>Sept</c:v>
                </c:pt>
                <c:pt idx="6">
                  <c:v>Oct</c:v>
                </c:pt>
                <c:pt idx="7">
                  <c:v>Nov</c:v>
                </c:pt>
                <c:pt idx="8">
                  <c:v>Dec</c:v>
                </c:pt>
                <c:pt idx="9">
                  <c:v>Jan</c:v>
                </c:pt>
                <c:pt idx="10">
                  <c:v>Feb</c:v>
                </c:pt>
                <c:pt idx="11">
                  <c:v>Mar</c:v>
                </c:pt>
              </c:strCache>
            </c:strRef>
          </c:cat>
          <c:val>
            <c:numRef>
              <c:f>Sheet1!$F$18:$Q$18</c:f>
              <c:numCache>
                <c:formatCode>0%</c:formatCode>
                <c:ptCount val="12"/>
                <c:pt idx="0">
                  <c:v>0.95</c:v>
                </c:pt>
                <c:pt idx="1">
                  <c:v>0.95</c:v>
                </c:pt>
                <c:pt idx="2">
                  <c:v>0.95</c:v>
                </c:pt>
                <c:pt idx="3">
                  <c:v>0.95</c:v>
                </c:pt>
                <c:pt idx="4">
                  <c:v>0.95</c:v>
                </c:pt>
                <c:pt idx="5">
                  <c:v>0.95</c:v>
                </c:pt>
                <c:pt idx="6">
                  <c:v>0.95</c:v>
                </c:pt>
                <c:pt idx="7">
                  <c:v>0.95</c:v>
                </c:pt>
                <c:pt idx="8">
                  <c:v>0.95</c:v>
                </c:pt>
                <c:pt idx="9">
                  <c:v>0.95</c:v>
                </c:pt>
              </c:numCache>
            </c:numRef>
          </c:val>
          <c:smooth val="0"/>
        </c:ser>
        <c:ser>
          <c:idx val="2"/>
          <c:order val="2"/>
          <c:marker>
            <c:symbol val="none"/>
          </c:marker>
          <c:cat>
            <c:strRef>
              <c:f>Sheet1!$F$16:$Q$16</c:f>
              <c:strCache>
                <c:ptCount val="12"/>
                <c:pt idx="0">
                  <c:v>Apr</c:v>
                </c:pt>
                <c:pt idx="1">
                  <c:v>May</c:v>
                </c:pt>
                <c:pt idx="2">
                  <c:v>Jun</c:v>
                </c:pt>
                <c:pt idx="3">
                  <c:v>Jul </c:v>
                </c:pt>
                <c:pt idx="4">
                  <c:v>Aug</c:v>
                </c:pt>
                <c:pt idx="5">
                  <c:v>Sept</c:v>
                </c:pt>
                <c:pt idx="6">
                  <c:v>Oct</c:v>
                </c:pt>
                <c:pt idx="7">
                  <c:v>Nov</c:v>
                </c:pt>
                <c:pt idx="8">
                  <c:v>Dec</c:v>
                </c:pt>
                <c:pt idx="9">
                  <c:v>Jan</c:v>
                </c:pt>
                <c:pt idx="10">
                  <c:v>Feb</c:v>
                </c:pt>
                <c:pt idx="11">
                  <c:v>Mar</c:v>
                </c:pt>
              </c:strCache>
            </c:strRef>
          </c:cat>
          <c:val>
            <c:numRef>
              <c:f>Sheet1!$F$19:$Q$19</c:f>
              <c:numCache>
                <c:formatCode>General</c:formatCode>
                <c:ptCount val="12"/>
              </c:numCache>
            </c:numRef>
          </c:val>
          <c:smooth val="0"/>
        </c:ser>
        <c:dLbls>
          <c:showLegendKey val="0"/>
          <c:showVal val="0"/>
          <c:showCatName val="0"/>
          <c:showSerName val="0"/>
          <c:showPercent val="0"/>
          <c:showBubbleSize val="0"/>
        </c:dLbls>
        <c:marker val="1"/>
        <c:smooth val="0"/>
        <c:axId val="386577536"/>
        <c:axId val="386579072"/>
      </c:lineChart>
      <c:catAx>
        <c:axId val="386577536"/>
        <c:scaling>
          <c:orientation val="minMax"/>
        </c:scaling>
        <c:delete val="0"/>
        <c:axPos val="b"/>
        <c:majorTickMark val="none"/>
        <c:minorTickMark val="none"/>
        <c:tickLblPos val="nextTo"/>
        <c:txPr>
          <a:bodyPr/>
          <a:lstStyle/>
          <a:p>
            <a:pPr>
              <a:defRPr sz="800"/>
            </a:pPr>
            <a:endParaRPr lang="en-US"/>
          </a:p>
        </c:txPr>
        <c:crossAx val="386579072"/>
        <c:crosses val="autoZero"/>
        <c:auto val="1"/>
        <c:lblAlgn val="ctr"/>
        <c:lblOffset val="100"/>
        <c:tickLblSkip val="1"/>
        <c:noMultiLvlLbl val="0"/>
      </c:catAx>
      <c:valAx>
        <c:axId val="386579072"/>
        <c:scaling>
          <c:orientation val="minMax"/>
        </c:scaling>
        <c:delete val="0"/>
        <c:axPos val="l"/>
        <c:majorGridlines/>
        <c:numFmt formatCode="0%" sourceLinked="1"/>
        <c:majorTickMark val="none"/>
        <c:minorTickMark val="none"/>
        <c:tickLblPos val="nextTo"/>
        <c:txPr>
          <a:bodyPr/>
          <a:lstStyle/>
          <a:p>
            <a:pPr>
              <a:defRPr sz="800"/>
            </a:pPr>
            <a:endParaRPr lang="en-US"/>
          </a:p>
        </c:txPr>
        <c:crossAx val="38657753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66334461815461"/>
          <c:y val="9.6491228070175433E-2"/>
          <c:w val="0.76292441705656355"/>
          <c:h val="0.67090551181102365"/>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Sheet1!$B$31:$M$31</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Sheet1!$B$32:$M$32</c:f>
              <c:numCache>
                <c:formatCode>0%</c:formatCode>
                <c:ptCount val="12"/>
                <c:pt idx="0">
                  <c:v>0.84</c:v>
                </c:pt>
                <c:pt idx="1">
                  <c:v>0.86</c:v>
                </c:pt>
                <c:pt idx="2">
                  <c:v>0.89</c:v>
                </c:pt>
                <c:pt idx="3">
                  <c:v>0.86</c:v>
                </c:pt>
                <c:pt idx="4">
                  <c:v>0.89</c:v>
                </c:pt>
                <c:pt idx="5">
                  <c:v>0.86</c:v>
                </c:pt>
                <c:pt idx="6">
                  <c:v>0.88</c:v>
                </c:pt>
                <c:pt idx="7">
                  <c:v>0.87</c:v>
                </c:pt>
                <c:pt idx="8">
                  <c:v>0.82</c:v>
                </c:pt>
                <c:pt idx="9">
                  <c:v>0.8</c:v>
                </c:pt>
              </c:numCache>
            </c:numRef>
          </c:val>
          <c:smooth val="0"/>
        </c:ser>
        <c:ser>
          <c:idx val="1"/>
          <c:order val="1"/>
          <c:marker>
            <c:symbol val="none"/>
          </c:marker>
          <c:cat>
            <c:strRef>
              <c:f>Sheet1!$B$31:$M$31</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Sheet1!$B$33:$M$33</c:f>
              <c:numCache>
                <c:formatCode>0%</c:formatCode>
                <c:ptCount val="12"/>
                <c:pt idx="0">
                  <c:v>0.95</c:v>
                </c:pt>
                <c:pt idx="1">
                  <c:v>0.95</c:v>
                </c:pt>
                <c:pt idx="2">
                  <c:v>0.95</c:v>
                </c:pt>
                <c:pt idx="3">
                  <c:v>0.95</c:v>
                </c:pt>
                <c:pt idx="4">
                  <c:v>0.95</c:v>
                </c:pt>
                <c:pt idx="5">
                  <c:v>0.95</c:v>
                </c:pt>
                <c:pt idx="6">
                  <c:v>0.95</c:v>
                </c:pt>
                <c:pt idx="7">
                  <c:v>0.95</c:v>
                </c:pt>
                <c:pt idx="8">
                  <c:v>0.95</c:v>
                </c:pt>
                <c:pt idx="9">
                  <c:v>0.95</c:v>
                </c:pt>
              </c:numCache>
            </c:numRef>
          </c:val>
          <c:smooth val="0"/>
        </c:ser>
        <c:dLbls>
          <c:showLegendKey val="0"/>
          <c:showVal val="0"/>
          <c:showCatName val="0"/>
          <c:showSerName val="0"/>
          <c:showPercent val="0"/>
          <c:showBubbleSize val="0"/>
        </c:dLbls>
        <c:marker val="1"/>
        <c:smooth val="0"/>
        <c:axId val="387034496"/>
        <c:axId val="387044480"/>
      </c:lineChart>
      <c:catAx>
        <c:axId val="387034496"/>
        <c:scaling>
          <c:orientation val="minMax"/>
        </c:scaling>
        <c:delete val="0"/>
        <c:axPos val="b"/>
        <c:majorTickMark val="none"/>
        <c:minorTickMark val="none"/>
        <c:tickLblPos val="nextTo"/>
        <c:txPr>
          <a:bodyPr/>
          <a:lstStyle/>
          <a:p>
            <a:pPr>
              <a:defRPr sz="800"/>
            </a:pPr>
            <a:endParaRPr lang="en-US"/>
          </a:p>
        </c:txPr>
        <c:crossAx val="387044480"/>
        <c:crosses val="autoZero"/>
        <c:auto val="1"/>
        <c:lblAlgn val="ctr"/>
        <c:lblOffset val="100"/>
        <c:tickLblSkip val="1"/>
        <c:noMultiLvlLbl val="0"/>
      </c:catAx>
      <c:valAx>
        <c:axId val="387044480"/>
        <c:scaling>
          <c:orientation val="minMax"/>
        </c:scaling>
        <c:delete val="0"/>
        <c:axPos val="l"/>
        <c:majorGridlines/>
        <c:numFmt formatCode="0%" sourceLinked="1"/>
        <c:majorTickMark val="none"/>
        <c:minorTickMark val="none"/>
        <c:tickLblPos val="nextTo"/>
        <c:txPr>
          <a:bodyPr/>
          <a:lstStyle/>
          <a:p>
            <a:pPr>
              <a:defRPr sz="800"/>
            </a:pPr>
            <a:endParaRPr lang="en-US"/>
          </a:p>
        </c:txPr>
        <c:crossAx val="38703449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2489165598487"/>
          <c:y val="0.11580280725778841"/>
          <c:w val="0.78224808855414807"/>
          <c:h val="0.64302560006086196"/>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Sheet1!$B$45:$M$45</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Sheet1!$B$46:$M$46</c:f>
              <c:numCache>
                <c:formatCode>0%</c:formatCode>
                <c:ptCount val="12"/>
                <c:pt idx="0">
                  <c:v>0.84</c:v>
                </c:pt>
                <c:pt idx="1">
                  <c:v>0.83</c:v>
                </c:pt>
                <c:pt idx="2">
                  <c:v>0.81</c:v>
                </c:pt>
                <c:pt idx="3">
                  <c:v>0.76</c:v>
                </c:pt>
                <c:pt idx="4">
                  <c:v>0.82</c:v>
                </c:pt>
                <c:pt idx="5">
                  <c:v>0.85</c:v>
                </c:pt>
                <c:pt idx="6">
                  <c:v>0.85</c:v>
                </c:pt>
                <c:pt idx="7">
                  <c:v>0.86</c:v>
                </c:pt>
                <c:pt idx="8">
                  <c:v>0.74</c:v>
                </c:pt>
                <c:pt idx="9">
                  <c:v>0.79</c:v>
                </c:pt>
              </c:numCache>
            </c:numRef>
          </c:val>
          <c:smooth val="0"/>
        </c:ser>
        <c:ser>
          <c:idx val="1"/>
          <c:order val="1"/>
          <c:marker>
            <c:symbol val="none"/>
          </c:marker>
          <c:cat>
            <c:strRef>
              <c:f>Sheet1!$B$45:$M$45</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Sheet1!$B$47:$M$47</c:f>
              <c:numCache>
                <c:formatCode>0%</c:formatCode>
                <c:ptCount val="12"/>
                <c:pt idx="0">
                  <c:v>0.95</c:v>
                </c:pt>
                <c:pt idx="1">
                  <c:v>0.95</c:v>
                </c:pt>
                <c:pt idx="2">
                  <c:v>0.95</c:v>
                </c:pt>
                <c:pt idx="3">
                  <c:v>0.95</c:v>
                </c:pt>
                <c:pt idx="4">
                  <c:v>0.95</c:v>
                </c:pt>
                <c:pt idx="5">
                  <c:v>0.95</c:v>
                </c:pt>
                <c:pt idx="6">
                  <c:v>0.95</c:v>
                </c:pt>
                <c:pt idx="7">
                  <c:v>0.95</c:v>
                </c:pt>
                <c:pt idx="8">
                  <c:v>0.95</c:v>
                </c:pt>
                <c:pt idx="9">
                  <c:v>0.95</c:v>
                </c:pt>
              </c:numCache>
            </c:numRef>
          </c:val>
          <c:smooth val="0"/>
        </c:ser>
        <c:dLbls>
          <c:showLegendKey val="0"/>
          <c:showVal val="0"/>
          <c:showCatName val="0"/>
          <c:showSerName val="0"/>
          <c:showPercent val="0"/>
          <c:showBubbleSize val="0"/>
        </c:dLbls>
        <c:marker val="1"/>
        <c:smooth val="0"/>
        <c:axId val="392050560"/>
        <c:axId val="392052096"/>
      </c:lineChart>
      <c:catAx>
        <c:axId val="392050560"/>
        <c:scaling>
          <c:orientation val="minMax"/>
        </c:scaling>
        <c:delete val="0"/>
        <c:axPos val="b"/>
        <c:majorTickMark val="none"/>
        <c:minorTickMark val="none"/>
        <c:tickLblPos val="nextTo"/>
        <c:txPr>
          <a:bodyPr/>
          <a:lstStyle/>
          <a:p>
            <a:pPr>
              <a:defRPr sz="800"/>
            </a:pPr>
            <a:endParaRPr lang="en-US"/>
          </a:p>
        </c:txPr>
        <c:crossAx val="392052096"/>
        <c:crosses val="autoZero"/>
        <c:auto val="1"/>
        <c:lblAlgn val="ctr"/>
        <c:lblOffset val="100"/>
        <c:noMultiLvlLbl val="0"/>
      </c:catAx>
      <c:valAx>
        <c:axId val="392052096"/>
        <c:scaling>
          <c:orientation val="minMax"/>
          <c:min val="0.5"/>
        </c:scaling>
        <c:delete val="0"/>
        <c:axPos val="l"/>
        <c:majorGridlines/>
        <c:numFmt formatCode="0%" sourceLinked="1"/>
        <c:majorTickMark val="none"/>
        <c:minorTickMark val="none"/>
        <c:tickLblPos val="nextTo"/>
        <c:txPr>
          <a:bodyPr/>
          <a:lstStyle/>
          <a:p>
            <a:pPr>
              <a:defRPr sz="800"/>
            </a:pPr>
            <a:endParaRPr lang="en-US"/>
          </a:p>
        </c:txPr>
        <c:crossAx val="392050560"/>
        <c:crosses val="autoZero"/>
        <c:crossBetween val="between"/>
        <c:majorUnit val="0.1"/>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20029049766837"/>
          <c:y val="9.5505545677758028E-2"/>
          <c:w val="0.7924541956527279"/>
          <c:h val="0.68495267123867576"/>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Sheet1!$B$3:$M$3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Sheet1!$B$4:$M$4</c:f>
              <c:numCache>
                <c:formatCode>0%</c:formatCode>
                <c:ptCount val="12"/>
                <c:pt idx="0">
                  <c:v>0.11</c:v>
                </c:pt>
                <c:pt idx="1">
                  <c:v>0.06</c:v>
                </c:pt>
                <c:pt idx="2">
                  <c:v>0.11</c:v>
                </c:pt>
                <c:pt idx="3">
                  <c:v>0.26</c:v>
                </c:pt>
                <c:pt idx="4">
                  <c:v>0.21</c:v>
                </c:pt>
                <c:pt idx="5">
                  <c:v>0.15</c:v>
                </c:pt>
                <c:pt idx="6">
                  <c:v>0.14000000000000001</c:v>
                </c:pt>
                <c:pt idx="7">
                  <c:v>0.09</c:v>
                </c:pt>
                <c:pt idx="8">
                  <c:v>0.13</c:v>
                </c:pt>
                <c:pt idx="9">
                  <c:v>0.06</c:v>
                </c:pt>
              </c:numCache>
            </c:numRef>
          </c:val>
          <c:smooth val="0"/>
        </c:ser>
        <c:ser>
          <c:idx val="1"/>
          <c:order val="1"/>
          <c:marker>
            <c:symbol val="none"/>
          </c:marker>
          <c:cat>
            <c:strRef>
              <c:f>Sheet1!$B$3:$M$3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Sheet1!$B$5:$M$5</c:f>
              <c:numCache>
                <c:formatCode>0%</c:formatCode>
                <c:ptCount val="12"/>
                <c:pt idx="0">
                  <c:v>0.02</c:v>
                </c:pt>
                <c:pt idx="1">
                  <c:v>0.02</c:v>
                </c:pt>
                <c:pt idx="2">
                  <c:v>0.02</c:v>
                </c:pt>
                <c:pt idx="3">
                  <c:v>0.02</c:v>
                </c:pt>
                <c:pt idx="4">
                  <c:v>0.02</c:v>
                </c:pt>
                <c:pt idx="5">
                  <c:v>0.02</c:v>
                </c:pt>
                <c:pt idx="6">
                  <c:v>0.02</c:v>
                </c:pt>
                <c:pt idx="7">
                  <c:v>0.02</c:v>
                </c:pt>
                <c:pt idx="8">
                  <c:v>0.02</c:v>
                </c:pt>
                <c:pt idx="9">
                  <c:v>0.02</c:v>
                </c:pt>
              </c:numCache>
            </c:numRef>
          </c:val>
          <c:smooth val="0"/>
        </c:ser>
        <c:dLbls>
          <c:showLegendKey val="0"/>
          <c:showVal val="0"/>
          <c:showCatName val="0"/>
          <c:showSerName val="0"/>
          <c:showPercent val="0"/>
          <c:showBubbleSize val="0"/>
        </c:dLbls>
        <c:marker val="1"/>
        <c:smooth val="0"/>
        <c:axId val="392155520"/>
        <c:axId val="392157056"/>
      </c:lineChart>
      <c:catAx>
        <c:axId val="392155520"/>
        <c:scaling>
          <c:orientation val="minMax"/>
        </c:scaling>
        <c:delete val="0"/>
        <c:axPos val="b"/>
        <c:majorTickMark val="out"/>
        <c:minorTickMark val="none"/>
        <c:tickLblPos val="nextTo"/>
        <c:txPr>
          <a:bodyPr rot="-5400000" vert="horz"/>
          <a:lstStyle/>
          <a:p>
            <a:pPr>
              <a:defRPr sz="800"/>
            </a:pPr>
            <a:endParaRPr lang="en-US"/>
          </a:p>
        </c:txPr>
        <c:crossAx val="392157056"/>
        <c:crosses val="autoZero"/>
        <c:auto val="1"/>
        <c:lblAlgn val="ctr"/>
        <c:lblOffset val="100"/>
        <c:tickLblSkip val="1"/>
        <c:noMultiLvlLbl val="0"/>
      </c:catAx>
      <c:valAx>
        <c:axId val="392157056"/>
        <c:scaling>
          <c:orientation val="minMax"/>
        </c:scaling>
        <c:delete val="0"/>
        <c:axPos val="l"/>
        <c:majorGridlines/>
        <c:numFmt formatCode="0%" sourceLinked="1"/>
        <c:majorTickMark val="out"/>
        <c:minorTickMark val="none"/>
        <c:tickLblPos val="nextTo"/>
        <c:txPr>
          <a:bodyPr/>
          <a:lstStyle/>
          <a:p>
            <a:pPr>
              <a:defRPr sz="800"/>
            </a:pPr>
            <a:endParaRPr lang="en-US"/>
          </a:p>
        </c:txPr>
        <c:crossAx val="39215552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37751955762811"/>
          <c:y val="4.214129483814523E-2"/>
          <c:w val="0.81947659455189459"/>
          <c:h val="0.75569621105054174"/>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Sheet1!$B$111:$M$111</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Sheet1!$B$112:$M$112</c:f>
              <c:numCache>
                <c:formatCode>General</c:formatCode>
                <c:ptCount val="12"/>
                <c:pt idx="0">
                  <c:v>29</c:v>
                </c:pt>
                <c:pt idx="1">
                  <c:v>35</c:v>
                </c:pt>
                <c:pt idx="2">
                  <c:v>30</c:v>
                </c:pt>
                <c:pt idx="3">
                  <c:v>19</c:v>
                </c:pt>
                <c:pt idx="4">
                  <c:v>27</c:v>
                </c:pt>
                <c:pt idx="5">
                  <c:v>27</c:v>
                </c:pt>
                <c:pt idx="6">
                  <c:v>30</c:v>
                </c:pt>
                <c:pt idx="7">
                  <c:v>38</c:v>
                </c:pt>
                <c:pt idx="8">
                  <c:v>45</c:v>
                </c:pt>
                <c:pt idx="9">
                  <c:v>51</c:v>
                </c:pt>
              </c:numCache>
            </c:numRef>
          </c:val>
          <c:smooth val="0"/>
        </c:ser>
        <c:ser>
          <c:idx val="1"/>
          <c:order val="1"/>
          <c:marker>
            <c:symbol val="none"/>
          </c:marker>
          <c:cat>
            <c:strRef>
              <c:f>Sheet1!$B$111:$M$111</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Sheet1!$B$113:$M$113</c:f>
              <c:numCache>
                <c:formatCode>General</c:formatCode>
                <c:ptCount val="12"/>
                <c:pt idx="0">
                  <c:v>25</c:v>
                </c:pt>
                <c:pt idx="1">
                  <c:v>25</c:v>
                </c:pt>
                <c:pt idx="2">
                  <c:v>25</c:v>
                </c:pt>
                <c:pt idx="3">
                  <c:v>25</c:v>
                </c:pt>
                <c:pt idx="4">
                  <c:v>20</c:v>
                </c:pt>
                <c:pt idx="5">
                  <c:v>19</c:v>
                </c:pt>
                <c:pt idx="6">
                  <c:v>18</c:v>
                </c:pt>
                <c:pt idx="7">
                  <c:v>17</c:v>
                </c:pt>
                <c:pt idx="8">
                  <c:v>15</c:v>
                </c:pt>
                <c:pt idx="9">
                  <c:v>15</c:v>
                </c:pt>
              </c:numCache>
            </c:numRef>
          </c:val>
          <c:smooth val="0"/>
        </c:ser>
        <c:dLbls>
          <c:showLegendKey val="0"/>
          <c:showVal val="0"/>
          <c:showCatName val="0"/>
          <c:showSerName val="0"/>
          <c:showPercent val="0"/>
          <c:showBubbleSize val="0"/>
        </c:dLbls>
        <c:marker val="1"/>
        <c:smooth val="0"/>
        <c:axId val="392456832"/>
        <c:axId val="392458624"/>
      </c:lineChart>
      <c:catAx>
        <c:axId val="392456832"/>
        <c:scaling>
          <c:orientation val="minMax"/>
        </c:scaling>
        <c:delete val="0"/>
        <c:axPos val="b"/>
        <c:majorTickMark val="out"/>
        <c:minorTickMark val="none"/>
        <c:tickLblPos val="nextTo"/>
        <c:txPr>
          <a:bodyPr rot="-5400000" vert="horz"/>
          <a:lstStyle/>
          <a:p>
            <a:pPr>
              <a:defRPr sz="800"/>
            </a:pPr>
            <a:endParaRPr lang="en-US"/>
          </a:p>
        </c:txPr>
        <c:crossAx val="392458624"/>
        <c:crosses val="autoZero"/>
        <c:auto val="1"/>
        <c:lblAlgn val="ctr"/>
        <c:lblOffset val="100"/>
        <c:noMultiLvlLbl val="0"/>
      </c:catAx>
      <c:valAx>
        <c:axId val="392458624"/>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392456832"/>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Sheet1!$B$3:$K$3</c:f>
              <c:strCache>
                <c:ptCount val="10"/>
                <c:pt idx="0">
                  <c:v>Apr</c:v>
                </c:pt>
                <c:pt idx="1">
                  <c:v>May</c:v>
                </c:pt>
                <c:pt idx="2">
                  <c:v>Jun</c:v>
                </c:pt>
                <c:pt idx="3">
                  <c:v>Jul</c:v>
                </c:pt>
                <c:pt idx="4">
                  <c:v>Aug</c:v>
                </c:pt>
                <c:pt idx="5">
                  <c:v>Sep</c:v>
                </c:pt>
                <c:pt idx="6">
                  <c:v>Oct</c:v>
                </c:pt>
                <c:pt idx="7">
                  <c:v>Nov</c:v>
                </c:pt>
                <c:pt idx="8">
                  <c:v>Dec</c:v>
                </c:pt>
                <c:pt idx="9">
                  <c:v>Jan</c:v>
                </c:pt>
              </c:strCache>
            </c:strRef>
          </c:cat>
          <c:val>
            <c:numRef>
              <c:f>Sheet1!$B$4:$K$4</c:f>
              <c:numCache>
                <c:formatCode>0%</c:formatCode>
                <c:ptCount val="10"/>
                <c:pt idx="0">
                  <c:v>1</c:v>
                </c:pt>
                <c:pt idx="1">
                  <c:v>1</c:v>
                </c:pt>
                <c:pt idx="2">
                  <c:v>1</c:v>
                </c:pt>
                <c:pt idx="3">
                  <c:v>1</c:v>
                </c:pt>
                <c:pt idx="4">
                  <c:v>0.96969696969696972</c:v>
                </c:pt>
                <c:pt idx="5">
                  <c:v>1</c:v>
                </c:pt>
                <c:pt idx="6">
                  <c:v>1</c:v>
                </c:pt>
                <c:pt idx="7">
                  <c:v>1</c:v>
                </c:pt>
                <c:pt idx="8">
                  <c:v>1</c:v>
                </c:pt>
                <c:pt idx="9">
                  <c:v>1</c:v>
                </c:pt>
              </c:numCache>
            </c:numRef>
          </c:val>
          <c:smooth val="0"/>
        </c:ser>
        <c:ser>
          <c:idx val="1"/>
          <c:order val="1"/>
          <c:marker>
            <c:symbol val="none"/>
          </c:marker>
          <c:cat>
            <c:strRef>
              <c:f>Sheet1!$B$3:$K$3</c:f>
              <c:strCache>
                <c:ptCount val="10"/>
                <c:pt idx="0">
                  <c:v>Apr</c:v>
                </c:pt>
                <c:pt idx="1">
                  <c:v>May</c:v>
                </c:pt>
                <c:pt idx="2">
                  <c:v>Jun</c:v>
                </c:pt>
                <c:pt idx="3">
                  <c:v>Jul</c:v>
                </c:pt>
                <c:pt idx="4">
                  <c:v>Aug</c:v>
                </c:pt>
                <c:pt idx="5">
                  <c:v>Sep</c:v>
                </c:pt>
                <c:pt idx="6">
                  <c:v>Oct</c:v>
                </c:pt>
                <c:pt idx="7">
                  <c:v>Nov</c:v>
                </c:pt>
                <c:pt idx="8">
                  <c:v>Dec</c:v>
                </c:pt>
                <c:pt idx="9">
                  <c:v>Jan</c:v>
                </c:pt>
              </c:strCache>
            </c:strRef>
          </c:cat>
          <c:val>
            <c:numRef>
              <c:f>Sheet1!$B$5:$K$5</c:f>
              <c:numCache>
                <c:formatCode>0%</c:formatCode>
                <c:ptCount val="10"/>
              </c:numCache>
            </c:numRef>
          </c:val>
          <c:smooth val="0"/>
        </c:ser>
        <c:ser>
          <c:idx val="2"/>
          <c:order val="2"/>
          <c:marker>
            <c:symbol val="none"/>
          </c:marker>
          <c:cat>
            <c:strRef>
              <c:f>Sheet1!$B$3:$K$3</c:f>
              <c:strCache>
                <c:ptCount val="10"/>
                <c:pt idx="0">
                  <c:v>Apr</c:v>
                </c:pt>
                <c:pt idx="1">
                  <c:v>May</c:v>
                </c:pt>
                <c:pt idx="2">
                  <c:v>Jun</c:v>
                </c:pt>
                <c:pt idx="3">
                  <c:v>Jul</c:v>
                </c:pt>
                <c:pt idx="4">
                  <c:v>Aug</c:v>
                </c:pt>
                <c:pt idx="5">
                  <c:v>Sep</c:v>
                </c:pt>
                <c:pt idx="6">
                  <c:v>Oct</c:v>
                </c:pt>
                <c:pt idx="7">
                  <c:v>Nov</c:v>
                </c:pt>
                <c:pt idx="8">
                  <c:v>Dec</c:v>
                </c:pt>
                <c:pt idx="9">
                  <c:v>Jan</c:v>
                </c:pt>
              </c:strCache>
            </c:strRef>
          </c:cat>
          <c:val>
            <c:numRef>
              <c:f>Sheet1!$B$6:$K$6</c:f>
              <c:numCache>
                <c:formatCode>0%</c:formatCode>
                <c:ptCount val="10"/>
              </c:numCache>
            </c:numRef>
          </c:val>
          <c:smooth val="0"/>
        </c:ser>
        <c:ser>
          <c:idx val="3"/>
          <c:order val="3"/>
          <c:spPr>
            <a:ln>
              <a:solidFill>
                <a:srgbClr val="C00000"/>
              </a:solidFill>
            </a:ln>
          </c:spPr>
          <c:marker>
            <c:symbol val="none"/>
          </c:marker>
          <c:cat>
            <c:strRef>
              <c:f>Sheet1!$B$3:$K$3</c:f>
              <c:strCache>
                <c:ptCount val="10"/>
                <c:pt idx="0">
                  <c:v>Apr</c:v>
                </c:pt>
                <c:pt idx="1">
                  <c:v>May</c:v>
                </c:pt>
                <c:pt idx="2">
                  <c:v>Jun</c:v>
                </c:pt>
                <c:pt idx="3">
                  <c:v>Jul</c:v>
                </c:pt>
                <c:pt idx="4">
                  <c:v>Aug</c:v>
                </c:pt>
                <c:pt idx="5">
                  <c:v>Sep</c:v>
                </c:pt>
                <c:pt idx="6">
                  <c:v>Oct</c:v>
                </c:pt>
                <c:pt idx="7">
                  <c:v>Nov</c:v>
                </c:pt>
                <c:pt idx="8">
                  <c:v>Dec</c:v>
                </c:pt>
                <c:pt idx="9">
                  <c:v>Jan</c:v>
                </c:pt>
              </c:strCache>
            </c:strRef>
          </c:cat>
          <c:val>
            <c:numRef>
              <c:f>Sheet1!$B$7:$K$7</c:f>
              <c:numCache>
                <c:formatCode>0%</c:formatCode>
                <c:ptCount val="10"/>
                <c:pt idx="0">
                  <c:v>0.95</c:v>
                </c:pt>
                <c:pt idx="1">
                  <c:v>0.95</c:v>
                </c:pt>
                <c:pt idx="2">
                  <c:v>0.95</c:v>
                </c:pt>
                <c:pt idx="3">
                  <c:v>0.95</c:v>
                </c:pt>
                <c:pt idx="4">
                  <c:v>0.95</c:v>
                </c:pt>
                <c:pt idx="5">
                  <c:v>0.95</c:v>
                </c:pt>
                <c:pt idx="6">
                  <c:v>0.95</c:v>
                </c:pt>
                <c:pt idx="7">
                  <c:v>0.95</c:v>
                </c:pt>
                <c:pt idx="8">
                  <c:v>0.95</c:v>
                </c:pt>
                <c:pt idx="9">
                  <c:v>0.95</c:v>
                </c:pt>
              </c:numCache>
            </c:numRef>
          </c:val>
          <c:smooth val="0"/>
        </c:ser>
        <c:dLbls>
          <c:showLegendKey val="0"/>
          <c:showVal val="0"/>
          <c:showCatName val="0"/>
          <c:showSerName val="0"/>
          <c:showPercent val="0"/>
          <c:showBubbleSize val="0"/>
        </c:dLbls>
        <c:marker val="1"/>
        <c:smooth val="0"/>
        <c:axId val="419650176"/>
        <c:axId val="429793664"/>
      </c:lineChart>
      <c:catAx>
        <c:axId val="419650176"/>
        <c:scaling>
          <c:orientation val="minMax"/>
        </c:scaling>
        <c:delete val="0"/>
        <c:axPos val="b"/>
        <c:majorTickMark val="out"/>
        <c:minorTickMark val="none"/>
        <c:tickLblPos val="nextTo"/>
        <c:crossAx val="429793664"/>
        <c:crosses val="autoZero"/>
        <c:auto val="1"/>
        <c:lblAlgn val="ctr"/>
        <c:lblOffset val="100"/>
        <c:noMultiLvlLbl val="0"/>
      </c:catAx>
      <c:valAx>
        <c:axId val="429793664"/>
        <c:scaling>
          <c:orientation val="minMax"/>
        </c:scaling>
        <c:delete val="0"/>
        <c:axPos val="l"/>
        <c:majorGridlines/>
        <c:numFmt formatCode="0%" sourceLinked="1"/>
        <c:majorTickMark val="out"/>
        <c:minorTickMark val="none"/>
        <c:tickLblPos val="nextTo"/>
        <c:crossAx val="419650176"/>
        <c:crosses val="autoZero"/>
        <c:crossBetween val="between"/>
      </c:valAx>
    </c:plotArea>
    <c:plotVisOnly val="1"/>
    <c:dispBlanksAs val="gap"/>
    <c:showDLblsOverMax val="0"/>
  </c:chart>
  <c:spPr>
    <a:ln>
      <a:noFill/>
    </a:ln>
  </c:spPr>
  <c:txPr>
    <a:bodyPr/>
    <a:lstStyle/>
    <a:p>
      <a:pPr>
        <a:defRPr sz="8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Sheet1!$B$10:$K$10</c:f>
              <c:strCache>
                <c:ptCount val="10"/>
                <c:pt idx="0">
                  <c:v>Apr</c:v>
                </c:pt>
                <c:pt idx="1">
                  <c:v>May</c:v>
                </c:pt>
                <c:pt idx="2">
                  <c:v>Jun</c:v>
                </c:pt>
                <c:pt idx="3">
                  <c:v>Jul</c:v>
                </c:pt>
                <c:pt idx="4">
                  <c:v>Aug</c:v>
                </c:pt>
                <c:pt idx="5">
                  <c:v>Sep</c:v>
                </c:pt>
                <c:pt idx="6">
                  <c:v>Oct</c:v>
                </c:pt>
                <c:pt idx="7">
                  <c:v>Nov</c:v>
                </c:pt>
                <c:pt idx="8">
                  <c:v>Dec</c:v>
                </c:pt>
                <c:pt idx="9">
                  <c:v>Jan</c:v>
                </c:pt>
              </c:strCache>
            </c:strRef>
          </c:cat>
          <c:val>
            <c:numRef>
              <c:f>Sheet1!$B$11:$K$11</c:f>
              <c:numCache>
                <c:formatCode>0%</c:formatCode>
                <c:ptCount val="10"/>
                <c:pt idx="0">
                  <c:v>0.94951923076923073</c:v>
                </c:pt>
                <c:pt idx="1">
                  <c:v>0.96043892578688994</c:v>
                </c:pt>
                <c:pt idx="2">
                  <c:v>0.97740274599542332</c:v>
                </c:pt>
                <c:pt idx="3">
                  <c:v>0.9461414790996785</c:v>
                </c:pt>
                <c:pt idx="4">
                  <c:v>0.96425325658891248</c:v>
                </c:pt>
                <c:pt idx="5">
                  <c:v>0.9761478831246273</c:v>
                </c:pt>
                <c:pt idx="6">
                  <c:v>0.9736929736929737</c:v>
                </c:pt>
                <c:pt idx="7">
                  <c:v>0.96897810218978098</c:v>
                </c:pt>
                <c:pt idx="8">
                  <c:v>0.97176470588235297</c:v>
                </c:pt>
                <c:pt idx="9">
                  <c:v>0.98658448150833933</c:v>
                </c:pt>
              </c:numCache>
            </c:numRef>
          </c:val>
          <c:smooth val="0"/>
        </c:ser>
        <c:ser>
          <c:idx val="1"/>
          <c:order val="1"/>
          <c:marker>
            <c:symbol val="none"/>
          </c:marker>
          <c:cat>
            <c:strRef>
              <c:f>Sheet1!$B$10:$K$10</c:f>
              <c:strCache>
                <c:ptCount val="10"/>
                <c:pt idx="0">
                  <c:v>Apr</c:v>
                </c:pt>
                <c:pt idx="1">
                  <c:v>May</c:v>
                </c:pt>
                <c:pt idx="2">
                  <c:v>Jun</c:v>
                </c:pt>
                <c:pt idx="3">
                  <c:v>Jul</c:v>
                </c:pt>
                <c:pt idx="4">
                  <c:v>Aug</c:v>
                </c:pt>
                <c:pt idx="5">
                  <c:v>Sep</c:v>
                </c:pt>
                <c:pt idx="6">
                  <c:v>Oct</c:v>
                </c:pt>
                <c:pt idx="7">
                  <c:v>Nov</c:v>
                </c:pt>
                <c:pt idx="8">
                  <c:v>Dec</c:v>
                </c:pt>
                <c:pt idx="9">
                  <c:v>Jan</c:v>
                </c:pt>
              </c:strCache>
            </c:strRef>
          </c:cat>
          <c:val>
            <c:numRef>
              <c:f>Sheet1!$B$12:$K$12</c:f>
              <c:numCache>
                <c:formatCode>0%</c:formatCode>
                <c:ptCount val="10"/>
                <c:pt idx="0">
                  <c:v>0.95</c:v>
                </c:pt>
                <c:pt idx="1">
                  <c:v>0.95</c:v>
                </c:pt>
                <c:pt idx="2">
                  <c:v>0.95</c:v>
                </c:pt>
                <c:pt idx="3">
                  <c:v>0.95</c:v>
                </c:pt>
                <c:pt idx="4">
                  <c:v>0.95</c:v>
                </c:pt>
                <c:pt idx="5">
                  <c:v>0.95</c:v>
                </c:pt>
                <c:pt idx="6">
                  <c:v>0.95</c:v>
                </c:pt>
                <c:pt idx="7">
                  <c:v>0.95</c:v>
                </c:pt>
                <c:pt idx="8">
                  <c:v>0.95</c:v>
                </c:pt>
                <c:pt idx="9">
                  <c:v>0.95</c:v>
                </c:pt>
              </c:numCache>
            </c:numRef>
          </c:val>
          <c:smooth val="0"/>
        </c:ser>
        <c:dLbls>
          <c:showLegendKey val="0"/>
          <c:showVal val="0"/>
          <c:showCatName val="0"/>
          <c:showSerName val="0"/>
          <c:showPercent val="0"/>
          <c:showBubbleSize val="0"/>
        </c:dLbls>
        <c:marker val="1"/>
        <c:smooth val="0"/>
        <c:axId val="419787904"/>
        <c:axId val="419789440"/>
      </c:lineChart>
      <c:catAx>
        <c:axId val="419787904"/>
        <c:scaling>
          <c:orientation val="minMax"/>
        </c:scaling>
        <c:delete val="0"/>
        <c:axPos val="b"/>
        <c:majorTickMark val="out"/>
        <c:minorTickMark val="none"/>
        <c:tickLblPos val="nextTo"/>
        <c:crossAx val="419789440"/>
        <c:crosses val="autoZero"/>
        <c:auto val="1"/>
        <c:lblAlgn val="ctr"/>
        <c:lblOffset val="100"/>
        <c:noMultiLvlLbl val="0"/>
      </c:catAx>
      <c:valAx>
        <c:axId val="419789440"/>
        <c:scaling>
          <c:orientation val="minMax"/>
        </c:scaling>
        <c:delete val="0"/>
        <c:axPos val="l"/>
        <c:majorGridlines/>
        <c:numFmt formatCode="0%" sourceLinked="1"/>
        <c:majorTickMark val="out"/>
        <c:minorTickMark val="none"/>
        <c:tickLblPos val="nextTo"/>
        <c:crossAx val="419787904"/>
        <c:crosses val="autoZero"/>
        <c:crossBetween val="between"/>
      </c:valAx>
    </c:plotArea>
    <c:plotVisOnly val="1"/>
    <c:dispBlanksAs val="gap"/>
    <c:showDLblsOverMax val="0"/>
  </c:chart>
  <c:spPr>
    <a:ln>
      <a:no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Pages>
  <Words>1600</Words>
  <Characters>9126</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 Admin</dc:creator>
  <cp:lastModifiedBy>nicola.mcdonald@oxfordhealth.nhs.uk</cp:lastModifiedBy>
  <cp:revision>2</cp:revision>
  <cp:lastPrinted>2017-02-15T20:26:00Z</cp:lastPrinted>
  <dcterms:created xsi:type="dcterms:W3CDTF">2017-02-16T12:44:00Z</dcterms:created>
  <dcterms:modified xsi:type="dcterms:W3CDTF">2017-02-16T12:44:00Z</dcterms:modified>
</cp:coreProperties>
</file>