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theme/themeOverride20.xml" ContentType="application/vnd.openxmlformats-officedocument.themeOverride+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charts/chart27.xml" ContentType="application/vnd.openxmlformats-officedocument.drawingml.chart+xml"/>
  <Override PartName="/word/theme/themeOverride24.xml" ContentType="application/vnd.openxmlformats-officedocument.themeOverride+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D0B" w:rsidRDefault="004C4E26" w:rsidP="00573D0B">
      <w:pPr>
        <w:shd w:val="clear" w:color="auto" w:fill="0070C0"/>
        <w:rPr>
          <w:rFonts w:ascii="Segoe UI" w:hAnsi="Segoe UI" w:cs="Segoe UI"/>
          <w:b/>
          <w:color w:val="FFFFFF" w:themeColor="background1"/>
        </w:rPr>
      </w:pPr>
      <w:bookmarkStart w:id="0" w:name="_GoBack"/>
      <w:bookmarkEnd w:id="0"/>
      <w:r>
        <w:rPr>
          <w:rFonts w:ascii="Segoe UI" w:hAnsi="Segoe UI" w:cs="Segoe UI"/>
          <w:b/>
          <w:color w:val="FFFFFF" w:themeColor="background1"/>
        </w:rPr>
        <w:t>Trust Board Performance Report</w:t>
      </w:r>
      <w:r w:rsidR="00573D0B" w:rsidRPr="00D04AAB">
        <w:rPr>
          <w:rFonts w:ascii="Segoe UI" w:hAnsi="Segoe UI" w:cs="Segoe UI"/>
          <w:b/>
          <w:color w:val="FFFFFF" w:themeColor="background1"/>
        </w:rPr>
        <w:t xml:space="preserve"> – M</w:t>
      </w:r>
      <w:r w:rsidR="004D19A3">
        <w:rPr>
          <w:rFonts w:ascii="Segoe UI" w:hAnsi="Segoe UI" w:cs="Segoe UI"/>
          <w:b/>
          <w:color w:val="FFFFFF" w:themeColor="background1"/>
        </w:rPr>
        <w:t>12</w:t>
      </w:r>
      <w:r w:rsidR="00573D0B" w:rsidRPr="00D04AAB">
        <w:rPr>
          <w:rFonts w:ascii="Segoe UI" w:hAnsi="Segoe UI" w:cs="Segoe UI"/>
          <w:b/>
          <w:color w:val="FFFFFF" w:themeColor="background1"/>
        </w:rPr>
        <w:t xml:space="preserve"> FY17</w:t>
      </w:r>
    </w:p>
    <w:p w:rsidR="00573D0B" w:rsidRPr="0003431D" w:rsidRDefault="00573D0B" w:rsidP="00573D0B">
      <w:pPr>
        <w:rPr>
          <w:rFonts w:ascii="Segoe UI" w:hAnsi="Segoe UI" w:cs="Segoe UI"/>
          <w:b/>
          <w:color w:val="FFFFFF" w:themeColor="background1"/>
          <w:sz w:val="22"/>
        </w:rPr>
      </w:pPr>
    </w:p>
    <w:p w:rsidR="00573D0B" w:rsidRPr="00413F69" w:rsidRDefault="00573D0B" w:rsidP="00573D0B">
      <w:pPr>
        <w:rPr>
          <w:rFonts w:ascii="Segoe UI" w:hAnsi="Segoe UI" w:cs="Segoe UI"/>
          <w:b/>
          <w:sz w:val="22"/>
        </w:rPr>
      </w:pPr>
      <w:r w:rsidRPr="00413F69">
        <w:rPr>
          <w:rFonts w:ascii="Segoe UI" w:hAnsi="Segoe UI" w:cs="Segoe UI"/>
          <w:b/>
          <w:sz w:val="22"/>
        </w:rPr>
        <w:t>Introduction</w:t>
      </w:r>
    </w:p>
    <w:p w:rsidR="00413F69" w:rsidRDefault="00413F69" w:rsidP="00573D0B">
      <w:pPr>
        <w:rPr>
          <w:rFonts w:ascii="Segoe UI" w:hAnsi="Segoe UI" w:cs="Segoe UI"/>
          <w:sz w:val="22"/>
        </w:rPr>
      </w:pPr>
    </w:p>
    <w:p w:rsidR="004C4E26" w:rsidRPr="00413F69" w:rsidRDefault="004C4E26" w:rsidP="00573D0B">
      <w:pPr>
        <w:rPr>
          <w:rFonts w:ascii="Segoe UI" w:hAnsi="Segoe UI" w:cs="Segoe UI"/>
          <w:sz w:val="22"/>
        </w:rPr>
      </w:pPr>
      <w:r w:rsidRPr="00413F69">
        <w:rPr>
          <w:rFonts w:ascii="Segoe UI" w:hAnsi="Segoe UI" w:cs="Segoe UI"/>
          <w:sz w:val="22"/>
        </w:rPr>
        <w:t xml:space="preserve">This report provides an update to the Oxford Health NHS Foundation Trust Board on National and local </w:t>
      </w:r>
      <w:r w:rsidR="00CF7423" w:rsidRPr="00413F69">
        <w:rPr>
          <w:rFonts w:ascii="Segoe UI" w:hAnsi="Segoe UI" w:cs="Segoe UI"/>
          <w:sz w:val="22"/>
        </w:rPr>
        <w:t xml:space="preserve">contractual </w:t>
      </w:r>
      <w:r w:rsidRPr="00413F69">
        <w:rPr>
          <w:rFonts w:ascii="Segoe UI" w:hAnsi="Segoe UI" w:cs="Segoe UI"/>
          <w:sz w:val="22"/>
        </w:rPr>
        <w:t>performance, specifically;</w:t>
      </w:r>
    </w:p>
    <w:p w:rsidR="004C4E26" w:rsidRDefault="004C4E26" w:rsidP="00573D0B">
      <w:pPr>
        <w:rPr>
          <w:rFonts w:ascii="Segoe UI" w:hAnsi="Segoe UI" w:cs="Segoe UI"/>
          <w:sz w:val="22"/>
        </w:rPr>
      </w:pPr>
    </w:p>
    <w:p w:rsidR="0090540B" w:rsidRPr="00C746E4" w:rsidRDefault="00C746E4" w:rsidP="00814DDB">
      <w:pPr>
        <w:pStyle w:val="ListParagraph"/>
        <w:numPr>
          <w:ilvl w:val="0"/>
          <w:numId w:val="21"/>
        </w:numPr>
        <w:ind w:left="284" w:firstLine="0"/>
        <w:rPr>
          <w:rFonts w:ascii="Segoe UI" w:hAnsi="Segoe UI" w:cs="Segoe UI"/>
          <w:b/>
          <w:sz w:val="22"/>
        </w:rPr>
      </w:pPr>
      <w:r w:rsidRPr="00C746E4">
        <w:rPr>
          <w:rFonts w:ascii="Segoe UI" w:hAnsi="Segoe UI" w:cs="Segoe UI"/>
          <w:b/>
          <w:sz w:val="22"/>
        </w:rPr>
        <w:t>National</w:t>
      </w:r>
    </w:p>
    <w:p w:rsidR="00C746E4" w:rsidRPr="00413F69" w:rsidRDefault="00C746E4" w:rsidP="00814DDB">
      <w:pPr>
        <w:ind w:left="284"/>
        <w:rPr>
          <w:rFonts w:ascii="Segoe UI" w:hAnsi="Segoe UI" w:cs="Segoe UI"/>
          <w:sz w:val="22"/>
        </w:rPr>
      </w:pPr>
    </w:p>
    <w:p w:rsidR="004C4E26" w:rsidRPr="00C746E4" w:rsidRDefault="004C4E26" w:rsidP="00814DDB">
      <w:pPr>
        <w:ind w:left="284"/>
        <w:rPr>
          <w:rFonts w:ascii="Segoe UI" w:hAnsi="Segoe UI" w:cs="Segoe UI"/>
          <w:sz w:val="22"/>
        </w:rPr>
      </w:pPr>
      <w:r w:rsidRPr="00C746E4">
        <w:rPr>
          <w:rFonts w:ascii="Segoe UI" w:hAnsi="Segoe UI" w:cs="Segoe UI"/>
          <w:sz w:val="22"/>
        </w:rPr>
        <w:t xml:space="preserve">The </w:t>
      </w:r>
      <w:r w:rsidR="00573D0B" w:rsidRPr="00C746E4">
        <w:rPr>
          <w:rFonts w:ascii="Segoe UI" w:hAnsi="Segoe UI" w:cs="Segoe UI"/>
          <w:sz w:val="22"/>
        </w:rPr>
        <w:t xml:space="preserve">NHS Improvement (NHSI) </w:t>
      </w:r>
      <w:r w:rsidR="00573D0B" w:rsidRPr="00C746E4">
        <w:rPr>
          <w:rFonts w:ascii="Segoe UI" w:hAnsi="Segoe UI" w:cs="Segoe UI"/>
          <w:b/>
          <w:sz w:val="22"/>
        </w:rPr>
        <w:t>Single Oversight Framework</w:t>
      </w:r>
      <w:r w:rsidR="00573D0B" w:rsidRPr="00C746E4">
        <w:rPr>
          <w:rFonts w:ascii="Segoe UI" w:hAnsi="Segoe UI" w:cs="Segoe UI"/>
          <w:sz w:val="22"/>
        </w:rPr>
        <w:t xml:space="preserve"> (SOF) </w:t>
      </w:r>
      <w:r w:rsidRPr="00C746E4">
        <w:rPr>
          <w:rFonts w:ascii="Segoe UI" w:hAnsi="Segoe UI" w:cs="Segoe UI"/>
          <w:sz w:val="22"/>
        </w:rPr>
        <w:t xml:space="preserve">which was implemented </w:t>
      </w:r>
      <w:r w:rsidR="00573D0B" w:rsidRPr="00C746E4">
        <w:rPr>
          <w:rFonts w:ascii="Segoe UI" w:hAnsi="Segoe UI" w:cs="Segoe UI"/>
          <w:sz w:val="22"/>
        </w:rPr>
        <w:t xml:space="preserve">on 1 October 2016 </w:t>
      </w:r>
      <w:r w:rsidRPr="00C746E4">
        <w:rPr>
          <w:rFonts w:ascii="Segoe UI" w:hAnsi="Segoe UI" w:cs="Segoe UI"/>
          <w:sz w:val="22"/>
        </w:rPr>
        <w:t>and</w:t>
      </w:r>
      <w:r w:rsidR="00573D0B" w:rsidRPr="00C746E4">
        <w:rPr>
          <w:rFonts w:ascii="Segoe UI" w:hAnsi="Segoe UI" w:cs="Segoe UI"/>
          <w:sz w:val="22"/>
        </w:rPr>
        <w:t xml:space="preserve"> replaces Monitor’s Risk Assessment Framework. </w:t>
      </w:r>
      <w:r w:rsidRPr="00C746E4">
        <w:rPr>
          <w:rFonts w:ascii="Segoe UI" w:hAnsi="Segoe UI" w:cs="Segoe UI"/>
          <w:sz w:val="22"/>
        </w:rPr>
        <w:t xml:space="preserve"> The framework follows five themes which are linked but not identical to those of the Care Quality Commission (CQC).</w:t>
      </w:r>
      <w:r w:rsidRPr="00413F69">
        <w:t xml:space="preserve"> </w:t>
      </w:r>
      <w:r w:rsidRPr="00C746E4">
        <w:rPr>
          <w:rFonts w:ascii="Segoe UI" w:hAnsi="Segoe UI" w:cs="Segoe UI"/>
          <w:sz w:val="22"/>
        </w:rPr>
        <w:t>By focussing on these five themes NHSI will support providers to attain and/or maintain a CQC ‘good’ or ‘outstanding’ rating.</w:t>
      </w:r>
    </w:p>
    <w:p w:rsidR="004C4E26" w:rsidRDefault="004C4E26" w:rsidP="00814DDB">
      <w:pPr>
        <w:ind w:left="284"/>
        <w:rPr>
          <w:rFonts w:ascii="Segoe UI" w:hAnsi="Segoe UI" w:cs="Segoe UI"/>
          <w:sz w:val="22"/>
        </w:rPr>
      </w:pPr>
    </w:p>
    <w:p w:rsidR="0090540B" w:rsidRPr="00814DDB" w:rsidRDefault="0090540B" w:rsidP="00814DDB">
      <w:pPr>
        <w:pStyle w:val="ListParagraph"/>
        <w:numPr>
          <w:ilvl w:val="0"/>
          <w:numId w:val="21"/>
        </w:numPr>
        <w:ind w:left="284" w:firstLine="0"/>
        <w:rPr>
          <w:rFonts w:ascii="Segoe UI" w:hAnsi="Segoe UI" w:cs="Segoe UI"/>
          <w:b/>
          <w:sz w:val="22"/>
        </w:rPr>
      </w:pPr>
      <w:r w:rsidRPr="00814DDB">
        <w:rPr>
          <w:rFonts w:ascii="Segoe UI" w:hAnsi="Segoe UI" w:cs="Segoe UI"/>
          <w:b/>
          <w:sz w:val="22"/>
        </w:rPr>
        <w:t>Local</w:t>
      </w:r>
    </w:p>
    <w:p w:rsidR="0090540B" w:rsidRPr="0090540B" w:rsidRDefault="0090540B" w:rsidP="00814DDB">
      <w:pPr>
        <w:ind w:left="284"/>
        <w:rPr>
          <w:rFonts w:ascii="Segoe UI" w:hAnsi="Segoe UI" w:cs="Segoe UI"/>
          <w:sz w:val="22"/>
        </w:rPr>
      </w:pPr>
    </w:p>
    <w:p w:rsidR="00907F7E" w:rsidRPr="00814DDB" w:rsidRDefault="00F84D8F" w:rsidP="00814DDB">
      <w:pPr>
        <w:ind w:left="284"/>
        <w:rPr>
          <w:rFonts w:ascii="Segoe UI" w:hAnsi="Segoe UI" w:cs="Segoe UI"/>
          <w:sz w:val="22"/>
        </w:rPr>
      </w:pPr>
      <w:r w:rsidRPr="00814DDB">
        <w:rPr>
          <w:rFonts w:ascii="Segoe UI" w:hAnsi="Segoe UI" w:cs="Segoe UI"/>
          <w:b/>
          <w:sz w:val="22"/>
        </w:rPr>
        <w:t>C</w:t>
      </w:r>
      <w:r w:rsidR="004C4E26" w:rsidRPr="00814DDB">
        <w:rPr>
          <w:rFonts w:ascii="Segoe UI" w:hAnsi="Segoe UI" w:cs="Segoe UI"/>
          <w:b/>
          <w:sz w:val="22"/>
        </w:rPr>
        <w:t>ontractual performanc</w:t>
      </w:r>
      <w:r w:rsidR="006C2EFA" w:rsidRPr="00814DDB">
        <w:rPr>
          <w:rFonts w:ascii="Segoe UI" w:hAnsi="Segoe UI" w:cs="Segoe UI"/>
          <w:b/>
          <w:sz w:val="22"/>
        </w:rPr>
        <w:t xml:space="preserve">e; </w:t>
      </w:r>
      <w:r w:rsidR="006C2EFA" w:rsidRPr="00814DDB">
        <w:rPr>
          <w:rFonts w:ascii="Segoe UI" w:hAnsi="Segoe UI" w:cs="Segoe UI"/>
          <w:sz w:val="22"/>
        </w:rPr>
        <w:t>th</w:t>
      </w:r>
      <w:r w:rsidR="00481199" w:rsidRPr="00814DDB">
        <w:rPr>
          <w:rFonts w:ascii="Segoe UI" w:hAnsi="Segoe UI" w:cs="Segoe UI"/>
          <w:sz w:val="22"/>
        </w:rPr>
        <w:t>e Trust is commissioned</w:t>
      </w:r>
      <w:r w:rsidR="00CF7423" w:rsidRPr="00814DDB">
        <w:rPr>
          <w:rFonts w:ascii="Segoe UI" w:hAnsi="Segoe UI" w:cs="Segoe UI"/>
          <w:sz w:val="22"/>
        </w:rPr>
        <w:t xml:space="preserve"> </w:t>
      </w:r>
      <w:r w:rsidR="00481199" w:rsidRPr="00814DDB">
        <w:rPr>
          <w:rFonts w:ascii="Segoe UI" w:hAnsi="Segoe UI" w:cs="Segoe UI"/>
          <w:sz w:val="22"/>
        </w:rPr>
        <w:t xml:space="preserve">to provide </w:t>
      </w:r>
      <w:r w:rsidR="007E4270" w:rsidRPr="00814DDB">
        <w:rPr>
          <w:rFonts w:ascii="Segoe UI" w:hAnsi="Segoe UI" w:cs="Segoe UI"/>
          <w:sz w:val="22"/>
        </w:rPr>
        <w:t>a range</w:t>
      </w:r>
      <w:r w:rsidR="00481199" w:rsidRPr="00814DDB">
        <w:rPr>
          <w:rFonts w:ascii="Segoe UI" w:hAnsi="Segoe UI" w:cs="Segoe UI"/>
          <w:sz w:val="22"/>
        </w:rPr>
        <w:t xml:space="preserve"> of services across the 3 clinical directorates</w:t>
      </w:r>
      <w:r w:rsidR="00907F7E" w:rsidRPr="00814DDB">
        <w:rPr>
          <w:rFonts w:ascii="Segoe UI" w:hAnsi="Segoe UI" w:cs="Segoe UI"/>
          <w:sz w:val="22"/>
        </w:rPr>
        <w:t>;</w:t>
      </w:r>
    </w:p>
    <w:p w:rsidR="00907F7E" w:rsidRPr="00907F7E" w:rsidRDefault="00907F7E" w:rsidP="00814DDB">
      <w:pPr>
        <w:pStyle w:val="ListParagraph"/>
        <w:ind w:left="284"/>
        <w:rPr>
          <w:rFonts w:ascii="Segoe UI" w:hAnsi="Segoe UI" w:cs="Segoe UI"/>
          <w:sz w:val="22"/>
        </w:rPr>
      </w:pPr>
    </w:p>
    <w:p w:rsidR="00907F7E" w:rsidRDefault="00F21595" w:rsidP="00814DDB">
      <w:pPr>
        <w:pStyle w:val="ListParagraph"/>
        <w:numPr>
          <w:ilvl w:val="1"/>
          <w:numId w:val="13"/>
        </w:numPr>
        <w:ind w:left="284" w:firstLine="0"/>
        <w:rPr>
          <w:rFonts w:ascii="Segoe UI" w:hAnsi="Segoe UI" w:cs="Segoe UI"/>
          <w:sz w:val="22"/>
        </w:rPr>
      </w:pPr>
      <w:r w:rsidRPr="00413F69">
        <w:rPr>
          <w:rFonts w:ascii="Segoe UI" w:hAnsi="Segoe UI" w:cs="Segoe UI"/>
          <w:sz w:val="22"/>
        </w:rPr>
        <w:t>Children</w:t>
      </w:r>
      <w:r w:rsidR="00907F7E">
        <w:rPr>
          <w:rFonts w:ascii="Segoe UI" w:hAnsi="Segoe UI" w:cs="Segoe UI"/>
          <w:sz w:val="22"/>
        </w:rPr>
        <w:t xml:space="preserve"> and Young Peoples Directorate (CYP)</w:t>
      </w:r>
    </w:p>
    <w:p w:rsidR="00907F7E" w:rsidRDefault="00481199" w:rsidP="00814DDB">
      <w:pPr>
        <w:pStyle w:val="ListParagraph"/>
        <w:numPr>
          <w:ilvl w:val="1"/>
          <w:numId w:val="13"/>
        </w:numPr>
        <w:ind w:left="284" w:firstLine="0"/>
        <w:rPr>
          <w:rFonts w:ascii="Segoe UI" w:hAnsi="Segoe UI" w:cs="Segoe UI"/>
          <w:sz w:val="22"/>
        </w:rPr>
      </w:pPr>
      <w:r w:rsidRPr="00413F69">
        <w:rPr>
          <w:rFonts w:ascii="Segoe UI" w:hAnsi="Segoe UI" w:cs="Segoe UI"/>
          <w:sz w:val="22"/>
        </w:rPr>
        <w:t xml:space="preserve">Older Peoples </w:t>
      </w:r>
      <w:r w:rsidR="00907F7E">
        <w:rPr>
          <w:rFonts w:ascii="Segoe UI" w:hAnsi="Segoe UI" w:cs="Segoe UI"/>
          <w:sz w:val="22"/>
        </w:rPr>
        <w:t>Directorate (OPD)</w:t>
      </w:r>
    </w:p>
    <w:p w:rsidR="00907F7E" w:rsidRDefault="00481199" w:rsidP="00814DDB">
      <w:pPr>
        <w:pStyle w:val="ListParagraph"/>
        <w:numPr>
          <w:ilvl w:val="1"/>
          <w:numId w:val="13"/>
        </w:numPr>
        <w:ind w:left="284" w:firstLine="0"/>
        <w:rPr>
          <w:rFonts w:ascii="Segoe UI" w:hAnsi="Segoe UI" w:cs="Segoe UI"/>
          <w:sz w:val="22"/>
        </w:rPr>
      </w:pPr>
      <w:r w:rsidRPr="00413F69">
        <w:rPr>
          <w:rFonts w:ascii="Segoe UI" w:hAnsi="Segoe UI" w:cs="Segoe UI"/>
          <w:sz w:val="22"/>
        </w:rPr>
        <w:t>Ad</w:t>
      </w:r>
      <w:r w:rsidR="00CF7423" w:rsidRPr="00413F69">
        <w:rPr>
          <w:rFonts w:ascii="Segoe UI" w:hAnsi="Segoe UI" w:cs="Segoe UI"/>
          <w:sz w:val="22"/>
        </w:rPr>
        <w:t>ults of Wo</w:t>
      </w:r>
      <w:r w:rsidR="00907F7E">
        <w:rPr>
          <w:rFonts w:ascii="Segoe UI" w:hAnsi="Segoe UI" w:cs="Segoe UI"/>
          <w:sz w:val="22"/>
        </w:rPr>
        <w:t>rking Age Directorate (AWA)</w:t>
      </w:r>
    </w:p>
    <w:p w:rsidR="00907F7E" w:rsidRPr="00907F7E" w:rsidRDefault="00907F7E" w:rsidP="00814DDB">
      <w:pPr>
        <w:ind w:left="284"/>
        <w:rPr>
          <w:rFonts w:ascii="Segoe UI" w:hAnsi="Segoe UI" w:cs="Segoe UI"/>
          <w:sz w:val="22"/>
        </w:rPr>
      </w:pPr>
    </w:p>
    <w:p w:rsidR="006C2EFA" w:rsidRDefault="006C2EFA" w:rsidP="00814DDB">
      <w:pPr>
        <w:pStyle w:val="ListParagraph"/>
        <w:ind w:left="284"/>
        <w:rPr>
          <w:rFonts w:ascii="Segoe UI" w:hAnsi="Segoe UI" w:cs="Segoe UI"/>
          <w:sz w:val="22"/>
        </w:rPr>
      </w:pPr>
      <w:r>
        <w:rPr>
          <w:rFonts w:ascii="Segoe UI" w:hAnsi="Segoe UI" w:cs="Segoe UI"/>
          <w:sz w:val="22"/>
        </w:rPr>
        <w:t>This report provides a summary by directorate of operational performance against</w:t>
      </w:r>
      <w:r w:rsidR="00907F7E">
        <w:rPr>
          <w:rFonts w:ascii="Segoe UI" w:hAnsi="Segoe UI" w:cs="Segoe UI"/>
          <w:sz w:val="22"/>
        </w:rPr>
        <w:t xml:space="preserve"> the</w:t>
      </w:r>
      <w:r>
        <w:rPr>
          <w:rFonts w:ascii="Segoe UI" w:hAnsi="Segoe UI" w:cs="Segoe UI"/>
          <w:sz w:val="22"/>
        </w:rPr>
        <w:t xml:space="preserve"> key</w:t>
      </w:r>
      <w:r w:rsidR="00907F7E">
        <w:rPr>
          <w:rFonts w:ascii="Segoe UI" w:hAnsi="Segoe UI" w:cs="Segoe UI"/>
          <w:sz w:val="22"/>
        </w:rPr>
        <w:t xml:space="preserve"> performance and quality</w:t>
      </w:r>
      <w:r>
        <w:rPr>
          <w:rFonts w:ascii="Segoe UI" w:hAnsi="Segoe UI" w:cs="Segoe UI"/>
          <w:sz w:val="22"/>
        </w:rPr>
        <w:t xml:space="preserve"> indicators, as specified within schedule 4 of </w:t>
      </w:r>
      <w:r w:rsidR="00F84D8F">
        <w:rPr>
          <w:rFonts w:ascii="Segoe UI" w:hAnsi="Segoe UI" w:cs="Segoe UI"/>
          <w:sz w:val="22"/>
        </w:rPr>
        <w:t>the Trust’s</w:t>
      </w:r>
      <w:r>
        <w:rPr>
          <w:rFonts w:ascii="Segoe UI" w:hAnsi="Segoe UI" w:cs="Segoe UI"/>
          <w:sz w:val="22"/>
        </w:rPr>
        <w:t xml:space="preserve"> income contracts.</w:t>
      </w:r>
    </w:p>
    <w:p w:rsidR="003C30B9" w:rsidRDefault="003C30B9" w:rsidP="00F84D8F">
      <w:pPr>
        <w:pStyle w:val="ListParagraph"/>
        <w:rPr>
          <w:rFonts w:ascii="Segoe UI" w:hAnsi="Segoe UI" w:cs="Segoe UI"/>
          <w:sz w:val="22"/>
        </w:rPr>
      </w:pPr>
    </w:p>
    <w:p w:rsidR="00814DDB" w:rsidRDefault="00814DDB" w:rsidP="00F84D8F">
      <w:pPr>
        <w:pStyle w:val="ListParagraph"/>
        <w:rPr>
          <w:rFonts w:ascii="Segoe UI" w:hAnsi="Segoe UI" w:cs="Segoe UI"/>
          <w:sz w:val="22"/>
        </w:rPr>
      </w:pPr>
    </w:p>
    <w:p w:rsidR="007E4270" w:rsidRDefault="00413F69" w:rsidP="007E4270">
      <w:pPr>
        <w:shd w:val="clear" w:color="auto" w:fill="0070C0"/>
        <w:rPr>
          <w:rFonts w:ascii="Segoe UI" w:hAnsi="Segoe UI" w:cs="Segoe UI"/>
          <w:b/>
          <w:color w:val="FFFFFF" w:themeColor="background1"/>
        </w:rPr>
      </w:pPr>
      <w:r>
        <w:rPr>
          <w:rFonts w:ascii="Segoe UI" w:hAnsi="Segoe UI" w:cs="Segoe UI"/>
          <w:b/>
          <w:color w:val="FFFFFF" w:themeColor="background1"/>
        </w:rPr>
        <w:lastRenderedPageBreak/>
        <w:t>P</w:t>
      </w:r>
      <w:r w:rsidR="007E4270">
        <w:rPr>
          <w:rFonts w:ascii="Segoe UI" w:hAnsi="Segoe UI" w:cs="Segoe UI"/>
          <w:b/>
          <w:color w:val="FFFFFF" w:themeColor="background1"/>
        </w:rPr>
        <w:t>erformance Scorecard</w:t>
      </w:r>
    </w:p>
    <w:p w:rsidR="007E4270" w:rsidRDefault="007E4270" w:rsidP="004C4E26">
      <w:pPr>
        <w:pStyle w:val="ListParagraph"/>
        <w:rPr>
          <w:rFonts w:ascii="Segoe UI" w:hAnsi="Segoe UI" w:cs="Segoe UI"/>
          <w:sz w:val="22"/>
        </w:rPr>
      </w:pPr>
    </w:p>
    <w:p w:rsidR="00573D0B" w:rsidRDefault="007E4270" w:rsidP="00573D0B">
      <w:pPr>
        <w:rPr>
          <w:rFonts w:ascii="Segoe UI" w:hAnsi="Segoe UI" w:cs="Segoe UI"/>
          <w:b/>
          <w:sz w:val="22"/>
        </w:rPr>
      </w:pPr>
      <w:r w:rsidRPr="007E4270">
        <w:rPr>
          <w:rFonts w:ascii="Segoe UI" w:hAnsi="Segoe UI" w:cs="Segoe UI"/>
          <w:b/>
          <w:sz w:val="22"/>
        </w:rPr>
        <w:t xml:space="preserve">High level </w:t>
      </w:r>
      <w:r w:rsidR="0090540B">
        <w:rPr>
          <w:rFonts w:ascii="Segoe UI" w:hAnsi="Segoe UI" w:cs="Segoe UI"/>
          <w:b/>
          <w:sz w:val="22"/>
        </w:rPr>
        <w:t>overview</w:t>
      </w:r>
    </w:p>
    <w:p w:rsidR="0090540B" w:rsidRPr="004551C0" w:rsidRDefault="0090540B" w:rsidP="0090540B">
      <w:pPr>
        <w:rPr>
          <w:rFonts w:ascii="Segoe UI" w:hAnsi="Segoe UI" w:cs="Segoe UI"/>
          <w:sz w:val="22"/>
        </w:rPr>
      </w:pPr>
      <w:r w:rsidRPr="004551C0">
        <w:rPr>
          <w:rFonts w:ascii="Segoe UI" w:hAnsi="Segoe UI" w:cs="Segoe UI"/>
          <w:sz w:val="22"/>
        </w:rPr>
        <w:t xml:space="preserve">Targets/thresholds are applicable to most indicators.  Where there is no target/threshold, the indicator is considered compliant if it is reported.  </w:t>
      </w:r>
    </w:p>
    <w:p w:rsidR="0090540B" w:rsidRDefault="0090540B" w:rsidP="00573D0B">
      <w:pPr>
        <w:rPr>
          <w:rFonts w:ascii="Segoe UI" w:hAnsi="Segoe UI" w:cs="Segoe UI"/>
          <w:b/>
          <w:sz w:val="22"/>
        </w:rPr>
      </w:pPr>
    </w:p>
    <w:p w:rsidR="00F314C7" w:rsidRPr="007E4270" w:rsidRDefault="009E2847" w:rsidP="00573D0B">
      <w:pPr>
        <w:rPr>
          <w:rFonts w:ascii="Segoe UI" w:hAnsi="Segoe UI" w:cs="Segoe UI"/>
          <w:b/>
          <w:sz w:val="22"/>
        </w:rPr>
      </w:pPr>
      <w:r>
        <w:rPr>
          <w:rFonts w:ascii="Segoe UI" w:hAnsi="Segoe UI" w:cs="Segoe UI"/>
          <w:b/>
          <w:sz w:val="22"/>
        </w:rPr>
        <w:t>93%</w:t>
      </w:r>
      <w:r w:rsidR="00F314C7">
        <w:rPr>
          <w:rFonts w:ascii="Segoe UI" w:hAnsi="Segoe UI" w:cs="Segoe UI"/>
          <w:b/>
          <w:sz w:val="22"/>
        </w:rPr>
        <w:t xml:space="preserve"> of indicators were achieved in month 1</w:t>
      </w:r>
      <w:r w:rsidR="0039452D">
        <w:rPr>
          <w:rFonts w:ascii="Segoe UI" w:hAnsi="Segoe UI" w:cs="Segoe UI"/>
          <w:b/>
          <w:sz w:val="22"/>
        </w:rPr>
        <w:t>2</w:t>
      </w:r>
      <w:r w:rsidR="00F314C7">
        <w:rPr>
          <w:rFonts w:ascii="Segoe UI" w:hAnsi="Segoe UI" w:cs="Segoe UI"/>
          <w:b/>
          <w:sz w:val="22"/>
        </w:rPr>
        <w:t xml:space="preserve"> FY17</w:t>
      </w:r>
    </w:p>
    <w:tbl>
      <w:tblPr>
        <w:tblStyle w:val="TableGrid11"/>
        <w:tblpPr w:leftFromText="180" w:rightFromText="180" w:vertAnchor="text" w:horzAnchor="margin" w:tblpXSpec="right" w:tblpY="190"/>
        <w:tblW w:w="7054" w:type="dxa"/>
        <w:tblLayout w:type="fixed"/>
        <w:tblLook w:val="04A0" w:firstRow="1" w:lastRow="0" w:firstColumn="1" w:lastColumn="0" w:noHBand="0" w:noVBand="1"/>
      </w:tblPr>
      <w:tblGrid>
        <w:gridCol w:w="743"/>
        <w:gridCol w:w="1208"/>
        <w:gridCol w:w="1060"/>
        <w:gridCol w:w="992"/>
        <w:gridCol w:w="850"/>
        <w:gridCol w:w="1067"/>
        <w:gridCol w:w="1134"/>
      </w:tblGrid>
      <w:tr w:rsidR="00573D0B" w:rsidRPr="00D04AAB" w:rsidTr="00061C7D">
        <w:trPr>
          <w:trHeight w:val="554"/>
        </w:trPr>
        <w:tc>
          <w:tcPr>
            <w:tcW w:w="743" w:type="dxa"/>
            <w:tcBorders>
              <w:bottom w:val="single" w:sz="4" w:space="0" w:color="auto"/>
            </w:tcBorders>
            <w:vAlign w:val="center"/>
          </w:tcPr>
          <w:p w:rsidR="00573D0B" w:rsidRPr="00D04AAB" w:rsidRDefault="00573D0B" w:rsidP="0090540B">
            <w:pPr>
              <w:rPr>
                <w:rFonts w:ascii="Segoe UI" w:hAnsi="Segoe UI" w:cs="Segoe UI"/>
                <w:b/>
                <w:sz w:val="22"/>
              </w:rPr>
            </w:pPr>
            <w:r w:rsidRPr="00D04AAB">
              <w:rPr>
                <w:rFonts w:ascii="Segoe UI" w:hAnsi="Segoe UI" w:cs="Segoe UI"/>
                <w:b/>
                <w:sz w:val="22"/>
              </w:rPr>
              <w:t>Key:</w:t>
            </w:r>
          </w:p>
        </w:tc>
        <w:tc>
          <w:tcPr>
            <w:tcW w:w="1208" w:type="dxa"/>
            <w:tcBorders>
              <w:bottom w:val="single" w:sz="4" w:space="0" w:color="auto"/>
            </w:tcBorders>
            <w:shd w:val="clear" w:color="auto" w:fill="FF0000"/>
            <w:vAlign w:val="center"/>
          </w:tcPr>
          <w:p w:rsidR="00573D0B" w:rsidRPr="00D04AAB" w:rsidRDefault="00573D0B" w:rsidP="0090540B">
            <w:pPr>
              <w:jc w:val="center"/>
              <w:rPr>
                <w:rFonts w:ascii="Segoe UI" w:hAnsi="Segoe UI" w:cs="Segoe UI"/>
                <w:sz w:val="18"/>
                <w:szCs w:val="18"/>
              </w:rPr>
            </w:pPr>
            <w:r w:rsidRPr="00D04AAB">
              <w:rPr>
                <w:rFonts w:ascii="Segoe UI" w:hAnsi="Segoe UI" w:cs="Segoe UI"/>
                <w:sz w:val="18"/>
                <w:szCs w:val="18"/>
              </w:rPr>
              <w:t>Well Below Target &gt;10%</w:t>
            </w:r>
          </w:p>
        </w:tc>
        <w:tc>
          <w:tcPr>
            <w:tcW w:w="1060" w:type="dxa"/>
            <w:tcBorders>
              <w:bottom w:val="single" w:sz="4" w:space="0" w:color="auto"/>
            </w:tcBorders>
            <w:shd w:val="clear" w:color="auto" w:fill="FFC000"/>
            <w:vAlign w:val="center"/>
          </w:tcPr>
          <w:p w:rsidR="00573D0B" w:rsidRPr="00D04AAB" w:rsidRDefault="00573D0B" w:rsidP="0090540B">
            <w:pPr>
              <w:jc w:val="center"/>
              <w:rPr>
                <w:rFonts w:ascii="Segoe UI" w:hAnsi="Segoe UI" w:cs="Segoe UI"/>
                <w:sz w:val="18"/>
                <w:szCs w:val="18"/>
              </w:rPr>
            </w:pPr>
            <w:r w:rsidRPr="00D04AAB">
              <w:rPr>
                <w:rFonts w:ascii="Segoe UI" w:hAnsi="Segoe UI" w:cs="Segoe UI"/>
                <w:sz w:val="18"/>
                <w:szCs w:val="18"/>
              </w:rPr>
              <w:t>Below Target &lt;/=6-10%</w:t>
            </w:r>
          </w:p>
        </w:tc>
        <w:tc>
          <w:tcPr>
            <w:tcW w:w="992" w:type="dxa"/>
            <w:tcBorders>
              <w:bottom w:val="single" w:sz="4" w:space="0" w:color="auto"/>
            </w:tcBorders>
            <w:shd w:val="clear" w:color="auto" w:fill="FFFF00"/>
            <w:vAlign w:val="center"/>
          </w:tcPr>
          <w:p w:rsidR="00573D0B" w:rsidRPr="00D04AAB" w:rsidRDefault="00573D0B" w:rsidP="0090540B">
            <w:pPr>
              <w:jc w:val="center"/>
              <w:rPr>
                <w:rFonts w:ascii="Segoe UI" w:hAnsi="Segoe UI" w:cs="Segoe UI"/>
                <w:sz w:val="18"/>
                <w:szCs w:val="18"/>
              </w:rPr>
            </w:pPr>
            <w:r w:rsidRPr="00D04AAB">
              <w:rPr>
                <w:rFonts w:ascii="Segoe UI" w:hAnsi="Segoe UI" w:cs="Segoe UI"/>
                <w:sz w:val="18"/>
                <w:szCs w:val="18"/>
              </w:rPr>
              <w:t>Near Target &lt;/=-5%</w:t>
            </w:r>
          </w:p>
        </w:tc>
        <w:tc>
          <w:tcPr>
            <w:tcW w:w="850" w:type="dxa"/>
            <w:tcBorders>
              <w:bottom w:val="single" w:sz="4" w:space="0" w:color="auto"/>
            </w:tcBorders>
            <w:shd w:val="clear" w:color="auto" w:fill="92D050"/>
            <w:vAlign w:val="center"/>
          </w:tcPr>
          <w:p w:rsidR="00573D0B" w:rsidRPr="00D04AAB" w:rsidRDefault="00573D0B" w:rsidP="0090540B">
            <w:pPr>
              <w:jc w:val="center"/>
              <w:rPr>
                <w:rFonts w:ascii="Segoe UI" w:hAnsi="Segoe UI" w:cs="Segoe UI"/>
                <w:sz w:val="18"/>
                <w:szCs w:val="18"/>
              </w:rPr>
            </w:pPr>
            <w:r w:rsidRPr="00D04AAB">
              <w:rPr>
                <w:rFonts w:ascii="Segoe UI" w:hAnsi="Segoe UI" w:cs="Segoe UI"/>
                <w:sz w:val="18"/>
                <w:szCs w:val="18"/>
              </w:rPr>
              <w:t>At Target</w:t>
            </w:r>
          </w:p>
        </w:tc>
        <w:tc>
          <w:tcPr>
            <w:tcW w:w="1067" w:type="dxa"/>
            <w:tcBorders>
              <w:bottom w:val="single" w:sz="4" w:space="0" w:color="auto"/>
            </w:tcBorders>
            <w:shd w:val="clear" w:color="auto" w:fill="66FF33"/>
            <w:vAlign w:val="center"/>
          </w:tcPr>
          <w:p w:rsidR="00573D0B" w:rsidRPr="00D04AAB" w:rsidRDefault="00573D0B" w:rsidP="0090540B">
            <w:pPr>
              <w:jc w:val="center"/>
              <w:rPr>
                <w:rFonts w:ascii="Segoe UI" w:hAnsi="Segoe UI" w:cs="Segoe UI"/>
                <w:sz w:val="18"/>
                <w:szCs w:val="18"/>
              </w:rPr>
            </w:pPr>
            <w:r w:rsidRPr="00D04AAB">
              <w:rPr>
                <w:rFonts w:ascii="Segoe UI" w:hAnsi="Segoe UI" w:cs="Segoe UI"/>
                <w:sz w:val="18"/>
                <w:szCs w:val="18"/>
              </w:rPr>
              <w:t xml:space="preserve">Exceeded Target </w:t>
            </w:r>
          </w:p>
        </w:tc>
        <w:tc>
          <w:tcPr>
            <w:tcW w:w="1134" w:type="dxa"/>
            <w:tcBorders>
              <w:bottom w:val="single" w:sz="4" w:space="0" w:color="auto"/>
            </w:tcBorders>
            <w:shd w:val="clear" w:color="auto" w:fill="D9D9D9" w:themeFill="background1" w:themeFillShade="D9"/>
          </w:tcPr>
          <w:p w:rsidR="00573D0B" w:rsidRDefault="00573D0B" w:rsidP="0090540B">
            <w:pPr>
              <w:jc w:val="center"/>
              <w:rPr>
                <w:rFonts w:ascii="Segoe UI" w:hAnsi="Segoe UI" w:cs="Segoe UI"/>
                <w:sz w:val="18"/>
                <w:szCs w:val="18"/>
              </w:rPr>
            </w:pPr>
            <w:r>
              <w:rPr>
                <w:rFonts w:ascii="Segoe UI" w:hAnsi="Segoe UI" w:cs="Segoe UI"/>
                <w:sz w:val="18"/>
                <w:szCs w:val="18"/>
              </w:rPr>
              <w:t>No data/</w:t>
            </w:r>
          </w:p>
          <w:p w:rsidR="00573D0B" w:rsidRDefault="00573D0B" w:rsidP="0090540B">
            <w:pPr>
              <w:jc w:val="center"/>
              <w:rPr>
                <w:rFonts w:ascii="Segoe UI" w:hAnsi="Segoe UI" w:cs="Segoe UI"/>
                <w:sz w:val="18"/>
                <w:szCs w:val="18"/>
              </w:rPr>
            </w:pPr>
            <w:r>
              <w:rPr>
                <w:rFonts w:ascii="Segoe UI" w:hAnsi="Segoe UI" w:cs="Segoe UI"/>
                <w:sz w:val="18"/>
                <w:szCs w:val="18"/>
              </w:rPr>
              <w:t>Target</w:t>
            </w:r>
          </w:p>
          <w:p w:rsidR="00573D0B" w:rsidRPr="00D04AAB" w:rsidRDefault="00573D0B" w:rsidP="0090540B">
            <w:pPr>
              <w:jc w:val="center"/>
              <w:rPr>
                <w:rFonts w:ascii="Segoe UI" w:hAnsi="Segoe UI" w:cs="Segoe UI"/>
                <w:sz w:val="18"/>
                <w:szCs w:val="18"/>
              </w:rPr>
            </w:pPr>
            <w:r>
              <w:rPr>
                <w:rFonts w:ascii="Segoe UI" w:hAnsi="Segoe UI" w:cs="Segoe UI"/>
                <w:sz w:val="18"/>
                <w:szCs w:val="18"/>
              </w:rPr>
              <w:t>/not due</w:t>
            </w:r>
          </w:p>
        </w:tc>
      </w:tr>
    </w:tbl>
    <w:p w:rsidR="00573D0B" w:rsidRDefault="00573D0B" w:rsidP="00573D0B">
      <w:pPr>
        <w:rPr>
          <w:rFonts w:ascii="Segoe UI" w:hAnsi="Segoe UI" w:cs="Segoe UI"/>
          <w:sz w:val="22"/>
        </w:rPr>
      </w:pPr>
    </w:p>
    <w:tbl>
      <w:tblPr>
        <w:tblW w:w="7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gridCol w:w="454"/>
        <w:gridCol w:w="567"/>
        <w:gridCol w:w="709"/>
        <w:gridCol w:w="567"/>
        <w:gridCol w:w="709"/>
      </w:tblGrid>
      <w:tr w:rsidR="00F2788D" w:rsidRPr="00D04AAB" w:rsidTr="009E2847">
        <w:trPr>
          <w:trHeight w:val="300"/>
        </w:trPr>
        <w:tc>
          <w:tcPr>
            <w:tcW w:w="3544" w:type="dxa"/>
            <w:shd w:val="clear" w:color="auto" w:fill="auto"/>
            <w:noWrap/>
            <w:vAlign w:val="bottom"/>
          </w:tcPr>
          <w:p w:rsidR="00F2788D" w:rsidRPr="00F314C7" w:rsidRDefault="00F2788D" w:rsidP="004D19A3">
            <w:pPr>
              <w:rPr>
                <w:rFonts w:ascii="Segoe UI" w:hAnsi="Segoe UI" w:cs="Segoe UI"/>
                <w:b/>
                <w:bCs/>
                <w:color w:val="000000"/>
                <w:sz w:val="22"/>
                <w:szCs w:val="22"/>
              </w:rPr>
            </w:pPr>
            <w:r w:rsidRPr="00F314C7">
              <w:rPr>
                <w:rFonts w:ascii="Segoe UI" w:hAnsi="Segoe UI" w:cs="Segoe UI"/>
                <w:b/>
                <w:bCs/>
                <w:color w:val="000000"/>
                <w:sz w:val="22"/>
                <w:szCs w:val="22"/>
              </w:rPr>
              <w:t xml:space="preserve">Total </w:t>
            </w:r>
          </w:p>
        </w:tc>
        <w:tc>
          <w:tcPr>
            <w:tcW w:w="567" w:type="dxa"/>
            <w:shd w:val="clear" w:color="000000" w:fill="FF0000"/>
            <w:noWrap/>
            <w:vAlign w:val="bottom"/>
          </w:tcPr>
          <w:p w:rsidR="00F2788D" w:rsidRPr="009E2847" w:rsidRDefault="0039452D" w:rsidP="004D19A3">
            <w:pPr>
              <w:jc w:val="center"/>
              <w:rPr>
                <w:rFonts w:ascii="Segoe UI" w:hAnsi="Segoe UI" w:cs="Segoe UI"/>
                <w:bCs/>
                <w:color w:val="000000"/>
                <w:sz w:val="22"/>
                <w:szCs w:val="22"/>
              </w:rPr>
            </w:pPr>
            <w:r w:rsidRPr="009E2847">
              <w:rPr>
                <w:rFonts w:ascii="Segoe UI" w:hAnsi="Segoe UI" w:cs="Segoe UI"/>
                <w:bCs/>
                <w:color w:val="000000"/>
                <w:sz w:val="22"/>
                <w:szCs w:val="22"/>
              </w:rPr>
              <w:t>46</w:t>
            </w:r>
          </w:p>
        </w:tc>
        <w:tc>
          <w:tcPr>
            <w:tcW w:w="454" w:type="dxa"/>
            <w:shd w:val="clear" w:color="000000" w:fill="FFC000"/>
            <w:noWrap/>
            <w:vAlign w:val="bottom"/>
          </w:tcPr>
          <w:p w:rsidR="00F2788D" w:rsidRPr="009E2847" w:rsidRDefault="0039452D" w:rsidP="004D19A3">
            <w:pPr>
              <w:jc w:val="center"/>
              <w:rPr>
                <w:rFonts w:ascii="Segoe UI" w:hAnsi="Segoe UI" w:cs="Segoe UI"/>
                <w:bCs/>
                <w:color w:val="000000"/>
                <w:sz w:val="22"/>
                <w:szCs w:val="22"/>
              </w:rPr>
            </w:pPr>
            <w:r w:rsidRPr="009E2847">
              <w:rPr>
                <w:rFonts w:ascii="Segoe UI" w:hAnsi="Segoe UI" w:cs="Segoe UI"/>
                <w:bCs/>
                <w:color w:val="000000"/>
                <w:sz w:val="22"/>
                <w:szCs w:val="22"/>
              </w:rPr>
              <w:t>18</w:t>
            </w:r>
          </w:p>
        </w:tc>
        <w:tc>
          <w:tcPr>
            <w:tcW w:w="567" w:type="dxa"/>
            <w:shd w:val="clear" w:color="000000" w:fill="FFFF00"/>
            <w:noWrap/>
            <w:vAlign w:val="bottom"/>
          </w:tcPr>
          <w:p w:rsidR="00F2788D" w:rsidRPr="009E2847" w:rsidRDefault="0039452D" w:rsidP="004D19A3">
            <w:pPr>
              <w:jc w:val="center"/>
              <w:rPr>
                <w:rFonts w:ascii="Segoe UI" w:hAnsi="Segoe UI" w:cs="Segoe UI"/>
                <w:bCs/>
                <w:color w:val="000000"/>
                <w:sz w:val="22"/>
                <w:szCs w:val="22"/>
              </w:rPr>
            </w:pPr>
            <w:r w:rsidRPr="009E2847">
              <w:rPr>
                <w:rFonts w:ascii="Segoe UI" w:hAnsi="Segoe UI" w:cs="Segoe UI"/>
                <w:bCs/>
                <w:color w:val="000000"/>
                <w:sz w:val="22"/>
                <w:szCs w:val="22"/>
              </w:rPr>
              <w:t>29</w:t>
            </w:r>
          </w:p>
        </w:tc>
        <w:tc>
          <w:tcPr>
            <w:tcW w:w="709" w:type="dxa"/>
            <w:shd w:val="clear" w:color="000000" w:fill="92D050"/>
            <w:noWrap/>
            <w:vAlign w:val="bottom"/>
          </w:tcPr>
          <w:p w:rsidR="00F2788D" w:rsidRPr="009E2847" w:rsidRDefault="0039452D" w:rsidP="004D19A3">
            <w:pPr>
              <w:jc w:val="center"/>
              <w:rPr>
                <w:rFonts w:ascii="Segoe UI" w:hAnsi="Segoe UI" w:cs="Segoe UI"/>
                <w:bCs/>
                <w:color w:val="000000"/>
                <w:sz w:val="22"/>
                <w:szCs w:val="22"/>
              </w:rPr>
            </w:pPr>
            <w:r w:rsidRPr="009E2847">
              <w:rPr>
                <w:rFonts w:ascii="Segoe UI" w:hAnsi="Segoe UI" w:cs="Segoe UI"/>
                <w:bCs/>
                <w:color w:val="000000"/>
                <w:sz w:val="22"/>
                <w:szCs w:val="22"/>
              </w:rPr>
              <w:t>1112</w:t>
            </w:r>
          </w:p>
        </w:tc>
        <w:tc>
          <w:tcPr>
            <w:tcW w:w="567" w:type="dxa"/>
            <w:shd w:val="clear" w:color="000000" w:fill="66FF33"/>
            <w:noWrap/>
            <w:vAlign w:val="bottom"/>
          </w:tcPr>
          <w:p w:rsidR="00F2788D" w:rsidRPr="009E2847" w:rsidRDefault="0039452D" w:rsidP="004D19A3">
            <w:pPr>
              <w:jc w:val="center"/>
              <w:rPr>
                <w:rFonts w:ascii="Segoe UI" w:hAnsi="Segoe UI" w:cs="Segoe UI"/>
                <w:bCs/>
                <w:color w:val="000000"/>
                <w:sz w:val="22"/>
                <w:szCs w:val="22"/>
              </w:rPr>
            </w:pPr>
            <w:r w:rsidRPr="009E2847">
              <w:rPr>
                <w:rFonts w:ascii="Segoe UI" w:hAnsi="Segoe UI" w:cs="Segoe UI"/>
                <w:bCs/>
                <w:color w:val="000000"/>
                <w:sz w:val="22"/>
                <w:szCs w:val="22"/>
              </w:rPr>
              <w:t>47</w:t>
            </w:r>
          </w:p>
        </w:tc>
        <w:tc>
          <w:tcPr>
            <w:tcW w:w="709" w:type="dxa"/>
            <w:shd w:val="clear" w:color="000000" w:fill="D9D9D9"/>
            <w:noWrap/>
            <w:vAlign w:val="bottom"/>
          </w:tcPr>
          <w:p w:rsidR="00F2788D" w:rsidRPr="00F314C7" w:rsidRDefault="00F2788D" w:rsidP="004D19A3">
            <w:pPr>
              <w:jc w:val="center"/>
              <w:rPr>
                <w:rFonts w:ascii="Segoe UI" w:hAnsi="Segoe UI" w:cs="Segoe UI"/>
                <w:bCs/>
                <w:color w:val="000000"/>
                <w:sz w:val="22"/>
                <w:szCs w:val="22"/>
              </w:rPr>
            </w:pPr>
            <w:r w:rsidRPr="00F314C7">
              <w:rPr>
                <w:rFonts w:ascii="Segoe UI" w:hAnsi="Segoe UI" w:cs="Segoe UI"/>
                <w:bCs/>
                <w:color w:val="000000"/>
                <w:sz w:val="22"/>
                <w:szCs w:val="22"/>
              </w:rPr>
              <w:t>7</w:t>
            </w:r>
          </w:p>
        </w:tc>
      </w:tr>
    </w:tbl>
    <w:p w:rsidR="00F2788D" w:rsidRDefault="00F2788D" w:rsidP="00573D0B">
      <w:pPr>
        <w:rPr>
          <w:rFonts w:ascii="Segoe UI" w:hAnsi="Segoe UI" w:cs="Segoe UI"/>
          <w:sz w:val="22"/>
        </w:rPr>
      </w:pPr>
    </w:p>
    <w:tbl>
      <w:tblPr>
        <w:tblW w:w="70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gridCol w:w="470"/>
        <w:gridCol w:w="567"/>
        <w:gridCol w:w="723"/>
        <w:gridCol w:w="567"/>
        <w:gridCol w:w="650"/>
      </w:tblGrid>
      <w:tr w:rsidR="002A4520" w:rsidRPr="00D04AAB" w:rsidTr="0039452D">
        <w:trPr>
          <w:trHeight w:val="300"/>
        </w:trPr>
        <w:tc>
          <w:tcPr>
            <w:tcW w:w="3544" w:type="dxa"/>
            <w:shd w:val="clear" w:color="auto" w:fill="auto"/>
            <w:noWrap/>
            <w:vAlign w:val="bottom"/>
            <w:hideMark/>
          </w:tcPr>
          <w:p w:rsidR="002A4520" w:rsidRPr="002A4520" w:rsidRDefault="00F314C7" w:rsidP="0090540B">
            <w:pPr>
              <w:rPr>
                <w:rFonts w:ascii="Segoe UI" w:hAnsi="Segoe UI" w:cs="Segoe UI"/>
                <w:b/>
                <w:bCs/>
                <w:color w:val="000000"/>
                <w:sz w:val="22"/>
                <w:szCs w:val="22"/>
              </w:rPr>
            </w:pPr>
            <w:r>
              <w:rPr>
                <w:rFonts w:ascii="Segoe UI" w:hAnsi="Segoe UI" w:cs="Segoe UI"/>
                <w:b/>
                <w:bCs/>
                <w:color w:val="000000"/>
                <w:sz w:val="22"/>
                <w:szCs w:val="22"/>
              </w:rPr>
              <w:t>National (SOF)</w:t>
            </w:r>
            <w:r w:rsidR="002A4520" w:rsidRPr="002A4520">
              <w:rPr>
                <w:rFonts w:ascii="Segoe UI" w:hAnsi="Segoe UI" w:cs="Segoe UI"/>
                <w:b/>
                <w:bCs/>
                <w:color w:val="000000"/>
                <w:sz w:val="22"/>
                <w:szCs w:val="22"/>
              </w:rPr>
              <w:t xml:space="preserve"> </w:t>
            </w:r>
          </w:p>
        </w:tc>
        <w:tc>
          <w:tcPr>
            <w:tcW w:w="567" w:type="dxa"/>
            <w:shd w:val="clear" w:color="000000" w:fill="FF0000"/>
            <w:noWrap/>
            <w:vAlign w:val="bottom"/>
            <w:hideMark/>
          </w:tcPr>
          <w:p w:rsidR="002A4520" w:rsidRPr="009E2847" w:rsidRDefault="00642F4C" w:rsidP="0090540B">
            <w:pPr>
              <w:jc w:val="center"/>
              <w:rPr>
                <w:rFonts w:ascii="Segoe UI" w:hAnsi="Segoe UI" w:cs="Segoe UI"/>
                <w:bCs/>
                <w:color w:val="000000"/>
                <w:sz w:val="22"/>
                <w:szCs w:val="22"/>
              </w:rPr>
            </w:pPr>
            <w:r w:rsidRPr="009E2847">
              <w:rPr>
                <w:rFonts w:ascii="Segoe UI" w:hAnsi="Segoe UI" w:cs="Segoe UI"/>
                <w:bCs/>
                <w:color w:val="000000"/>
                <w:sz w:val="22"/>
                <w:szCs w:val="22"/>
              </w:rPr>
              <w:t>4</w:t>
            </w:r>
          </w:p>
        </w:tc>
        <w:tc>
          <w:tcPr>
            <w:tcW w:w="470" w:type="dxa"/>
            <w:shd w:val="clear" w:color="000000" w:fill="FFC000"/>
            <w:noWrap/>
            <w:vAlign w:val="bottom"/>
            <w:hideMark/>
          </w:tcPr>
          <w:p w:rsidR="002A4520" w:rsidRPr="009E2847" w:rsidRDefault="002A4520" w:rsidP="0090540B">
            <w:pPr>
              <w:jc w:val="center"/>
              <w:rPr>
                <w:rFonts w:ascii="Segoe UI" w:hAnsi="Segoe UI" w:cs="Segoe UI"/>
                <w:bCs/>
                <w:color w:val="000000"/>
                <w:sz w:val="22"/>
                <w:szCs w:val="22"/>
              </w:rPr>
            </w:pPr>
            <w:r w:rsidRPr="009E2847">
              <w:rPr>
                <w:rFonts w:ascii="Segoe UI" w:hAnsi="Segoe UI" w:cs="Segoe UI"/>
                <w:bCs/>
                <w:color w:val="000000"/>
                <w:sz w:val="22"/>
                <w:szCs w:val="22"/>
              </w:rPr>
              <w:t>0</w:t>
            </w:r>
          </w:p>
        </w:tc>
        <w:tc>
          <w:tcPr>
            <w:tcW w:w="567" w:type="dxa"/>
            <w:shd w:val="clear" w:color="000000" w:fill="FFFF00"/>
            <w:noWrap/>
            <w:vAlign w:val="bottom"/>
            <w:hideMark/>
          </w:tcPr>
          <w:p w:rsidR="002A4520" w:rsidRPr="009E2847" w:rsidRDefault="002A4520" w:rsidP="0090540B">
            <w:pPr>
              <w:jc w:val="center"/>
              <w:rPr>
                <w:rFonts w:ascii="Segoe UI" w:hAnsi="Segoe UI" w:cs="Segoe UI"/>
                <w:bCs/>
                <w:color w:val="000000"/>
                <w:sz w:val="22"/>
                <w:szCs w:val="22"/>
              </w:rPr>
            </w:pPr>
            <w:r w:rsidRPr="009E2847">
              <w:rPr>
                <w:rFonts w:ascii="Segoe UI" w:hAnsi="Segoe UI" w:cs="Segoe UI"/>
                <w:bCs/>
                <w:color w:val="000000"/>
                <w:sz w:val="22"/>
                <w:szCs w:val="22"/>
              </w:rPr>
              <w:t>1</w:t>
            </w:r>
          </w:p>
        </w:tc>
        <w:tc>
          <w:tcPr>
            <w:tcW w:w="723" w:type="dxa"/>
            <w:shd w:val="clear" w:color="000000" w:fill="92D050"/>
            <w:noWrap/>
            <w:vAlign w:val="bottom"/>
            <w:hideMark/>
          </w:tcPr>
          <w:p w:rsidR="002A4520" w:rsidRPr="009E2847" w:rsidRDefault="004D19A3" w:rsidP="0090540B">
            <w:pPr>
              <w:jc w:val="center"/>
              <w:rPr>
                <w:rFonts w:ascii="Segoe UI" w:hAnsi="Segoe UI" w:cs="Segoe UI"/>
                <w:bCs/>
                <w:color w:val="000000"/>
                <w:sz w:val="22"/>
                <w:szCs w:val="22"/>
              </w:rPr>
            </w:pPr>
            <w:r w:rsidRPr="009E2847">
              <w:rPr>
                <w:rFonts w:ascii="Segoe UI" w:hAnsi="Segoe UI" w:cs="Segoe UI"/>
                <w:bCs/>
                <w:color w:val="000000"/>
                <w:sz w:val="22"/>
                <w:szCs w:val="22"/>
              </w:rPr>
              <w:t>7</w:t>
            </w:r>
          </w:p>
        </w:tc>
        <w:tc>
          <w:tcPr>
            <w:tcW w:w="567" w:type="dxa"/>
            <w:shd w:val="clear" w:color="000000" w:fill="66FF33"/>
            <w:noWrap/>
            <w:vAlign w:val="bottom"/>
            <w:hideMark/>
          </w:tcPr>
          <w:p w:rsidR="002A4520" w:rsidRPr="009E2847" w:rsidRDefault="004D19A3" w:rsidP="0090540B">
            <w:pPr>
              <w:jc w:val="center"/>
              <w:rPr>
                <w:rFonts w:ascii="Segoe UI" w:hAnsi="Segoe UI" w:cs="Segoe UI"/>
                <w:bCs/>
                <w:color w:val="000000"/>
                <w:sz w:val="22"/>
                <w:szCs w:val="22"/>
              </w:rPr>
            </w:pPr>
            <w:r w:rsidRPr="009E2847">
              <w:rPr>
                <w:rFonts w:ascii="Segoe UI" w:hAnsi="Segoe UI" w:cs="Segoe UI"/>
                <w:bCs/>
                <w:color w:val="000000"/>
                <w:sz w:val="22"/>
                <w:szCs w:val="22"/>
              </w:rPr>
              <w:t>8</w:t>
            </w:r>
          </w:p>
        </w:tc>
        <w:tc>
          <w:tcPr>
            <w:tcW w:w="650" w:type="dxa"/>
            <w:shd w:val="clear" w:color="000000" w:fill="D9D9D9"/>
            <w:noWrap/>
            <w:vAlign w:val="bottom"/>
            <w:hideMark/>
          </w:tcPr>
          <w:p w:rsidR="002A4520" w:rsidRPr="009E2847" w:rsidRDefault="002A4520" w:rsidP="0090540B">
            <w:pPr>
              <w:jc w:val="center"/>
              <w:rPr>
                <w:rFonts w:ascii="Segoe UI" w:hAnsi="Segoe UI" w:cs="Segoe UI"/>
                <w:bCs/>
                <w:color w:val="000000"/>
                <w:sz w:val="22"/>
                <w:szCs w:val="22"/>
              </w:rPr>
            </w:pPr>
            <w:r w:rsidRPr="009E2847">
              <w:rPr>
                <w:rFonts w:ascii="Segoe UI" w:hAnsi="Segoe UI" w:cs="Segoe UI"/>
                <w:bCs/>
                <w:color w:val="000000"/>
                <w:sz w:val="22"/>
                <w:szCs w:val="22"/>
              </w:rPr>
              <w:t>7</w:t>
            </w:r>
          </w:p>
        </w:tc>
      </w:tr>
      <w:tr w:rsidR="00F314C7" w:rsidRPr="00D04AAB" w:rsidTr="0039452D">
        <w:trPr>
          <w:trHeight w:val="300"/>
        </w:trPr>
        <w:tc>
          <w:tcPr>
            <w:tcW w:w="3544" w:type="dxa"/>
            <w:shd w:val="clear" w:color="auto" w:fill="auto"/>
            <w:noWrap/>
            <w:vAlign w:val="bottom"/>
          </w:tcPr>
          <w:p w:rsidR="00F314C7" w:rsidRPr="002A4520" w:rsidRDefault="00F314C7" w:rsidP="00F2788D">
            <w:pPr>
              <w:rPr>
                <w:rFonts w:ascii="Segoe UI" w:hAnsi="Segoe UI" w:cs="Segoe UI"/>
                <w:b/>
                <w:bCs/>
                <w:color w:val="000000"/>
                <w:sz w:val="22"/>
                <w:szCs w:val="22"/>
              </w:rPr>
            </w:pPr>
            <w:r>
              <w:rPr>
                <w:rFonts w:ascii="Segoe UI" w:hAnsi="Segoe UI" w:cs="Segoe UI"/>
                <w:b/>
                <w:bCs/>
                <w:color w:val="000000"/>
                <w:sz w:val="22"/>
                <w:szCs w:val="22"/>
              </w:rPr>
              <w:t>Local (Contractual</w:t>
            </w:r>
            <w:r w:rsidR="00F2788D">
              <w:rPr>
                <w:rFonts w:ascii="Segoe UI" w:hAnsi="Segoe UI" w:cs="Segoe UI"/>
                <w:b/>
                <w:bCs/>
                <w:color w:val="000000"/>
                <w:sz w:val="22"/>
                <w:szCs w:val="22"/>
              </w:rPr>
              <w:t xml:space="preserve">) </w:t>
            </w:r>
            <w:r w:rsidR="00F2788D" w:rsidRPr="00F2788D">
              <w:rPr>
                <w:rFonts w:ascii="Segoe UI" w:hAnsi="Segoe UI" w:cs="Segoe UI"/>
                <w:bCs/>
                <w:color w:val="000000"/>
                <w:sz w:val="22"/>
                <w:szCs w:val="22"/>
              </w:rPr>
              <w:t>- see below</w:t>
            </w:r>
          </w:p>
        </w:tc>
        <w:tc>
          <w:tcPr>
            <w:tcW w:w="567" w:type="dxa"/>
            <w:shd w:val="clear" w:color="000000" w:fill="FF0000"/>
            <w:noWrap/>
            <w:vAlign w:val="bottom"/>
          </w:tcPr>
          <w:p w:rsidR="00F314C7" w:rsidRPr="009E2847" w:rsidRDefault="0039452D" w:rsidP="0090540B">
            <w:pPr>
              <w:jc w:val="center"/>
              <w:rPr>
                <w:rFonts w:ascii="Segoe UI" w:hAnsi="Segoe UI" w:cs="Segoe UI"/>
                <w:bCs/>
                <w:color w:val="000000"/>
                <w:sz w:val="22"/>
                <w:szCs w:val="22"/>
              </w:rPr>
            </w:pPr>
            <w:r w:rsidRPr="009E2847">
              <w:rPr>
                <w:rFonts w:ascii="Segoe UI" w:hAnsi="Segoe UI" w:cs="Segoe UI"/>
                <w:bCs/>
                <w:color w:val="000000"/>
                <w:sz w:val="22"/>
                <w:szCs w:val="22"/>
              </w:rPr>
              <w:t>42</w:t>
            </w:r>
          </w:p>
        </w:tc>
        <w:tc>
          <w:tcPr>
            <w:tcW w:w="470" w:type="dxa"/>
            <w:shd w:val="clear" w:color="000000" w:fill="FFC000"/>
            <w:noWrap/>
            <w:vAlign w:val="bottom"/>
          </w:tcPr>
          <w:p w:rsidR="00F314C7" w:rsidRPr="009E2847" w:rsidRDefault="0039452D" w:rsidP="0090540B">
            <w:pPr>
              <w:jc w:val="center"/>
              <w:rPr>
                <w:rFonts w:ascii="Segoe UI" w:hAnsi="Segoe UI" w:cs="Segoe UI"/>
                <w:bCs/>
                <w:color w:val="000000"/>
                <w:sz w:val="22"/>
                <w:szCs w:val="22"/>
              </w:rPr>
            </w:pPr>
            <w:r w:rsidRPr="009E2847">
              <w:rPr>
                <w:rFonts w:ascii="Segoe UI" w:hAnsi="Segoe UI" w:cs="Segoe UI"/>
                <w:bCs/>
                <w:color w:val="000000"/>
                <w:sz w:val="22"/>
                <w:szCs w:val="22"/>
              </w:rPr>
              <w:t>18</w:t>
            </w:r>
          </w:p>
        </w:tc>
        <w:tc>
          <w:tcPr>
            <w:tcW w:w="567" w:type="dxa"/>
            <w:shd w:val="clear" w:color="000000" w:fill="FFFF00"/>
            <w:noWrap/>
            <w:vAlign w:val="bottom"/>
          </w:tcPr>
          <w:p w:rsidR="00F314C7" w:rsidRPr="009E2847" w:rsidRDefault="0039452D" w:rsidP="0090540B">
            <w:pPr>
              <w:jc w:val="center"/>
              <w:rPr>
                <w:rFonts w:ascii="Segoe UI" w:hAnsi="Segoe UI" w:cs="Segoe UI"/>
                <w:bCs/>
                <w:color w:val="000000"/>
                <w:sz w:val="22"/>
                <w:szCs w:val="22"/>
              </w:rPr>
            </w:pPr>
            <w:r w:rsidRPr="009E2847">
              <w:rPr>
                <w:rFonts w:ascii="Segoe UI" w:hAnsi="Segoe UI" w:cs="Segoe UI"/>
                <w:bCs/>
                <w:color w:val="000000"/>
                <w:sz w:val="22"/>
                <w:szCs w:val="22"/>
              </w:rPr>
              <w:t>28</w:t>
            </w:r>
          </w:p>
        </w:tc>
        <w:tc>
          <w:tcPr>
            <w:tcW w:w="723" w:type="dxa"/>
            <w:shd w:val="clear" w:color="000000" w:fill="92D050"/>
            <w:noWrap/>
            <w:vAlign w:val="bottom"/>
          </w:tcPr>
          <w:p w:rsidR="00F314C7" w:rsidRPr="009E2847" w:rsidRDefault="0039452D" w:rsidP="0090540B">
            <w:pPr>
              <w:jc w:val="center"/>
              <w:rPr>
                <w:rFonts w:ascii="Segoe UI" w:hAnsi="Segoe UI" w:cs="Segoe UI"/>
                <w:bCs/>
                <w:color w:val="000000"/>
                <w:sz w:val="22"/>
                <w:szCs w:val="22"/>
              </w:rPr>
            </w:pPr>
            <w:r w:rsidRPr="009E2847">
              <w:rPr>
                <w:rFonts w:ascii="Segoe UI" w:hAnsi="Segoe UI" w:cs="Segoe UI"/>
                <w:bCs/>
                <w:color w:val="000000"/>
                <w:sz w:val="22"/>
                <w:szCs w:val="22"/>
              </w:rPr>
              <w:t>1105</w:t>
            </w:r>
          </w:p>
        </w:tc>
        <w:tc>
          <w:tcPr>
            <w:tcW w:w="567" w:type="dxa"/>
            <w:shd w:val="clear" w:color="000000" w:fill="66FF33"/>
            <w:noWrap/>
            <w:vAlign w:val="bottom"/>
          </w:tcPr>
          <w:p w:rsidR="00F314C7" w:rsidRPr="009E2847" w:rsidRDefault="0039452D" w:rsidP="0090540B">
            <w:pPr>
              <w:jc w:val="center"/>
              <w:rPr>
                <w:rFonts w:ascii="Segoe UI" w:hAnsi="Segoe UI" w:cs="Segoe UI"/>
                <w:bCs/>
                <w:color w:val="000000"/>
                <w:sz w:val="22"/>
                <w:szCs w:val="22"/>
              </w:rPr>
            </w:pPr>
            <w:r w:rsidRPr="009E2847">
              <w:rPr>
                <w:rFonts w:ascii="Segoe UI" w:hAnsi="Segoe UI" w:cs="Segoe UI"/>
                <w:bCs/>
                <w:color w:val="000000"/>
                <w:sz w:val="22"/>
                <w:szCs w:val="22"/>
              </w:rPr>
              <w:t>39</w:t>
            </w:r>
          </w:p>
        </w:tc>
        <w:tc>
          <w:tcPr>
            <w:tcW w:w="650" w:type="dxa"/>
            <w:shd w:val="clear" w:color="000000" w:fill="D9D9D9"/>
            <w:noWrap/>
            <w:vAlign w:val="bottom"/>
          </w:tcPr>
          <w:p w:rsidR="00F314C7" w:rsidRPr="009E2847" w:rsidRDefault="00F314C7" w:rsidP="0090540B">
            <w:pPr>
              <w:jc w:val="center"/>
              <w:rPr>
                <w:rFonts w:ascii="Segoe UI" w:hAnsi="Segoe UI" w:cs="Segoe UI"/>
                <w:bCs/>
                <w:color w:val="000000"/>
                <w:sz w:val="22"/>
                <w:szCs w:val="22"/>
              </w:rPr>
            </w:pPr>
            <w:r w:rsidRPr="009E2847">
              <w:rPr>
                <w:rFonts w:ascii="Segoe UI" w:hAnsi="Segoe UI" w:cs="Segoe UI"/>
                <w:bCs/>
                <w:color w:val="000000"/>
                <w:sz w:val="22"/>
                <w:szCs w:val="22"/>
              </w:rPr>
              <w:t>-</w:t>
            </w:r>
          </w:p>
        </w:tc>
      </w:tr>
    </w:tbl>
    <w:p w:rsidR="006C2EFA" w:rsidRDefault="006C2EFA" w:rsidP="00573D0B">
      <w:pPr>
        <w:rPr>
          <w:rFonts w:ascii="Segoe UI" w:hAnsi="Segoe UI" w:cs="Segoe UI"/>
          <w:sz w:val="22"/>
        </w:rPr>
      </w:pPr>
    </w:p>
    <w:tbl>
      <w:tblPr>
        <w:tblW w:w="711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7"/>
        <w:gridCol w:w="425"/>
        <w:gridCol w:w="567"/>
        <w:gridCol w:w="738"/>
        <w:gridCol w:w="612"/>
        <w:gridCol w:w="660"/>
      </w:tblGrid>
      <w:tr w:rsidR="00CD71C0" w:rsidRPr="00D04AAB" w:rsidTr="0039452D">
        <w:trPr>
          <w:trHeight w:val="300"/>
        </w:trPr>
        <w:tc>
          <w:tcPr>
            <w:tcW w:w="3544" w:type="dxa"/>
            <w:shd w:val="clear" w:color="auto" w:fill="auto"/>
            <w:noWrap/>
            <w:vAlign w:val="bottom"/>
          </w:tcPr>
          <w:p w:rsidR="00CD71C0" w:rsidRPr="00F314C7" w:rsidRDefault="00CD71C0" w:rsidP="004D19A3">
            <w:pPr>
              <w:rPr>
                <w:rFonts w:ascii="Segoe UI" w:hAnsi="Segoe UI" w:cs="Segoe UI"/>
                <w:b/>
                <w:bCs/>
                <w:color w:val="000000"/>
                <w:sz w:val="22"/>
                <w:szCs w:val="22"/>
              </w:rPr>
            </w:pPr>
            <w:r w:rsidRPr="00F314C7">
              <w:rPr>
                <w:rFonts w:ascii="Segoe UI" w:hAnsi="Segoe UI" w:cs="Segoe UI"/>
                <w:b/>
                <w:bCs/>
                <w:color w:val="000000"/>
                <w:sz w:val="22"/>
                <w:szCs w:val="22"/>
              </w:rPr>
              <w:t>Older Peoples  (OPD)</w:t>
            </w:r>
          </w:p>
        </w:tc>
        <w:tc>
          <w:tcPr>
            <w:tcW w:w="567" w:type="dxa"/>
            <w:shd w:val="clear" w:color="000000" w:fill="FF0000"/>
            <w:noWrap/>
          </w:tcPr>
          <w:p w:rsidR="00CD71C0" w:rsidRPr="00CD71C0" w:rsidRDefault="00CD71C0" w:rsidP="00EC32F7">
            <w:pPr>
              <w:jc w:val="center"/>
              <w:rPr>
                <w:rFonts w:ascii="Segoe UI" w:hAnsi="Segoe UI" w:cs="Segoe UI"/>
                <w:b/>
                <w:sz w:val="22"/>
              </w:rPr>
            </w:pPr>
            <w:r w:rsidRPr="00CD71C0">
              <w:rPr>
                <w:rFonts w:ascii="Segoe UI" w:hAnsi="Segoe UI" w:cs="Segoe UI"/>
                <w:b/>
                <w:sz w:val="22"/>
              </w:rPr>
              <w:t>13</w:t>
            </w:r>
          </w:p>
        </w:tc>
        <w:tc>
          <w:tcPr>
            <w:tcW w:w="425" w:type="dxa"/>
            <w:shd w:val="clear" w:color="000000" w:fill="FFC000"/>
            <w:noWrap/>
          </w:tcPr>
          <w:p w:rsidR="00CD71C0" w:rsidRPr="00CD71C0" w:rsidRDefault="00CD71C0" w:rsidP="00EC32F7">
            <w:pPr>
              <w:jc w:val="center"/>
              <w:rPr>
                <w:rFonts w:ascii="Segoe UI" w:hAnsi="Segoe UI" w:cs="Segoe UI"/>
                <w:b/>
                <w:sz w:val="22"/>
              </w:rPr>
            </w:pPr>
            <w:r w:rsidRPr="00CD71C0">
              <w:rPr>
                <w:rFonts w:ascii="Segoe UI" w:hAnsi="Segoe UI" w:cs="Segoe UI"/>
                <w:b/>
                <w:sz w:val="22"/>
              </w:rPr>
              <w:t>0</w:t>
            </w:r>
          </w:p>
        </w:tc>
        <w:tc>
          <w:tcPr>
            <w:tcW w:w="567" w:type="dxa"/>
            <w:shd w:val="clear" w:color="000000" w:fill="FFFF00"/>
            <w:noWrap/>
          </w:tcPr>
          <w:p w:rsidR="00CD71C0" w:rsidRPr="00CD71C0" w:rsidRDefault="00CD71C0" w:rsidP="00EC32F7">
            <w:pPr>
              <w:jc w:val="center"/>
              <w:rPr>
                <w:rFonts w:ascii="Segoe UI" w:hAnsi="Segoe UI" w:cs="Segoe UI"/>
                <w:b/>
                <w:sz w:val="22"/>
              </w:rPr>
            </w:pPr>
            <w:r w:rsidRPr="00CD71C0">
              <w:rPr>
                <w:rFonts w:ascii="Segoe UI" w:hAnsi="Segoe UI" w:cs="Segoe UI"/>
                <w:b/>
                <w:sz w:val="22"/>
              </w:rPr>
              <w:t>7</w:t>
            </w:r>
          </w:p>
        </w:tc>
        <w:tc>
          <w:tcPr>
            <w:tcW w:w="738" w:type="dxa"/>
            <w:shd w:val="clear" w:color="000000" w:fill="92D050"/>
            <w:noWrap/>
          </w:tcPr>
          <w:p w:rsidR="00CD71C0" w:rsidRPr="00CD71C0" w:rsidRDefault="00CD71C0" w:rsidP="00EC32F7">
            <w:pPr>
              <w:jc w:val="center"/>
              <w:rPr>
                <w:rFonts w:ascii="Segoe UI" w:hAnsi="Segoe UI" w:cs="Segoe UI"/>
                <w:b/>
                <w:sz w:val="22"/>
              </w:rPr>
            </w:pPr>
            <w:r w:rsidRPr="00CD71C0">
              <w:rPr>
                <w:rFonts w:ascii="Segoe UI" w:hAnsi="Segoe UI" w:cs="Segoe UI"/>
                <w:b/>
                <w:sz w:val="22"/>
              </w:rPr>
              <w:t>69</w:t>
            </w:r>
          </w:p>
        </w:tc>
        <w:tc>
          <w:tcPr>
            <w:tcW w:w="612" w:type="dxa"/>
            <w:shd w:val="clear" w:color="000000" w:fill="66FF33"/>
            <w:noWrap/>
          </w:tcPr>
          <w:p w:rsidR="00CD71C0" w:rsidRPr="00CD71C0" w:rsidRDefault="00CD71C0" w:rsidP="00EC32F7">
            <w:pPr>
              <w:jc w:val="center"/>
              <w:rPr>
                <w:rFonts w:ascii="Segoe UI" w:hAnsi="Segoe UI" w:cs="Segoe UI"/>
                <w:b/>
                <w:sz w:val="22"/>
              </w:rPr>
            </w:pPr>
            <w:r w:rsidRPr="00CD71C0">
              <w:rPr>
                <w:rFonts w:ascii="Segoe UI" w:hAnsi="Segoe UI" w:cs="Segoe UI"/>
                <w:b/>
                <w:sz w:val="22"/>
              </w:rPr>
              <w:t>1</w:t>
            </w:r>
          </w:p>
        </w:tc>
        <w:tc>
          <w:tcPr>
            <w:tcW w:w="660" w:type="dxa"/>
            <w:shd w:val="clear" w:color="auto" w:fill="FFFFFF" w:themeFill="background1"/>
          </w:tcPr>
          <w:p w:rsidR="00CD71C0" w:rsidRPr="00CD71C0" w:rsidRDefault="00CD71C0" w:rsidP="0039452D">
            <w:pPr>
              <w:jc w:val="center"/>
              <w:rPr>
                <w:rFonts w:ascii="Segoe UI" w:hAnsi="Segoe UI" w:cs="Segoe UI"/>
                <w:b/>
                <w:sz w:val="22"/>
              </w:rPr>
            </w:pPr>
            <w:r w:rsidRPr="00CD71C0">
              <w:rPr>
                <w:rFonts w:ascii="Segoe UI" w:hAnsi="Segoe UI" w:cs="Segoe UI"/>
                <w:b/>
                <w:sz w:val="22"/>
              </w:rPr>
              <w:t>78%</w:t>
            </w:r>
          </w:p>
        </w:tc>
      </w:tr>
      <w:tr w:rsidR="00CD71C0" w:rsidRPr="00D04AAB" w:rsidTr="0039452D">
        <w:trPr>
          <w:trHeight w:val="300"/>
        </w:trPr>
        <w:tc>
          <w:tcPr>
            <w:tcW w:w="3544" w:type="dxa"/>
            <w:shd w:val="clear" w:color="auto" w:fill="auto"/>
            <w:noWrap/>
            <w:vAlign w:val="bottom"/>
          </w:tcPr>
          <w:p w:rsidR="00CD71C0" w:rsidRPr="00F314C7" w:rsidRDefault="00CD71C0" w:rsidP="004D19A3">
            <w:pPr>
              <w:jc w:val="right"/>
              <w:rPr>
                <w:rFonts w:ascii="Segoe UI" w:hAnsi="Segoe UI" w:cs="Segoe UI"/>
                <w:bCs/>
                <w:color w:val="000000"/>
                <w:sz w:val="22"/>
                <w:szCs w:val="22"/>
              </w:rPr>
            </w:pPr>
            <w:r w:rsidRPr="00F314C7">
              <w:rPr>
                <w:rFonts w:ascii="Segoe UI" w:hAnsi="Segoe UI" w:cs="Segoe UI"/>
                <w:bCs/>
                <w:color w:val="000000"/>
                <w:sz w:val="22"/>
                <w:szCs w:val="22"/>
              </w:rPr>
              <w:t xml:space="preserve">Oxfordshire </w:t>
            </w:r>
          </w:p>
        </w:tc>
        <w:tc>
          <w:tcPr>
            <w:tcW w:w="567" w:type="dxa"/>
            <w:shd w:val="clear" w:color="000000" w:fill="FF0000"/>
            <w:noWrap/>
          </w:tcPr>
          <w:p w:rsidR="00CD71C0" w:rsidRPr="00CD71C0" w:rsidRDefault="00CD71C0" w:rsidP="00EC32F7">
            <w:pPr>
              <w:jc w:val="center"/>
              <w:rPr>
                <w:rFonts w:ascii="Segoe UI" w:hAnsi="Segoe UI" w:cs="Segoe UI"/>
                <w:sz w:val="22"/>
              </w:rPr>
            </w:pPr>
            <w:r w:rsidRPr="00CD71C0">
              <w:rPr>
                <w:rFonts w:ascii="Segoe UI" w:hAnsi="Segoe UI" w:cs="Segoe UI"/>
                <w:sz w:val="22"/>
              </w:rPr>
              <w:t>12</w:t>
            </w:r>
          </w:p>
        </w:tc>
        <w:tc>
          <w:tcPr>
            <w:tcW w:w="425" w:type="dxa"/>
            <w:shd w:val="clear" w:color="000000" w:fill="FFC000"/>
            <w:noWrap/>
          </w:tcPr>
          <w:p w:rsidR="00CD71C0" w:rsidRPr="00CD71C0" w:rsidRDefault="00CD71C0" w:rsidP="00EC32F7">
            <w:pPr>
              <w:jc w:val="center"/>
              <w:rPr>
                <w:rFonts w:ascii="Segoe UI" w:hAnsi="Segoe UI" w:cs="Segoe UI"/>
                <w:sz w:val="22"/>
              </w:rPr>
            </w:pPr>
            <w:r w:rsidRPr="00CD71C0">
              <w:rPr>
                <w:rFonts w:ascii="Segoe UI" w:hAnsi="Segoe UI" w:cs="Segoe UI"/>
                <w:sz w:val="22"/>
              </w:rPr>
              <w:t>0</w:t>
            </w:r>
          </w:p>
        </w:tc>
        <w:tc>
          <w:tcPr>
            <w:tcW w:w="567" w:type="dxa"/>
            <w:shd w:val="clear" w:color="000000" w:fill="FFFF00"/>
            <w:noWrap/>
          </w:tcPr>
          <w:p w:rsidR="00CD71C0" w:rsidRPr="00CD71C0" w:rsidRDefault="00CD71C0" w:rsidP="00EC32F7">
            <w:pPr>
              <w:jc w:val="center"/>
              <w:rPr>
                <w:rFonts w:ascii="Segoe UI" w:hAnsi="Segoe UI" w:cs="Segoe UI"/>
                <w:sz w:val="22"/>
              </w:rPr>
            </w:pPr>
            <w:r w:rsidRPr="00CD71C0">
              <w:rPr>
                <w:rFonts w:ascii="Segoe UI" w:hAnsi="Segoe UI" w:cs="Segoe UI"/>
                <w:sz w:val="22"/>
              </w:rPr>
              <w:t>7</w:t>
            </w:r>
          </w:p>
        </w:tc>
        <w:tc>
          <w:tcPr>
            <w:tcW w:w="738" w:type="dxa"/>
            <w:shd w:val="clear" w:color="000000" w:fill="92D050"/>
            <w:noWrap/>
          </w:tcPr>
          <w:p w:rsidR="00CD71C0" w:rsidRPr="00CD71C0" w:rsidRDefault="00CD71C0" w:rsidP="00EC32F7">
            <w:pPr>
              <w:jc w:val="center"/>
              <w:rPr>
                <w:rFonts w:ascii="Segoe UI" w:hAnsi="Segoe UI" w:cs="Segoe UI"/>
                <w:sz w:val="22"/>
              </w:rPr>
            </w:pPr>
            <w:r w:rsidRPr="00CD71C0">
              <w:rPr>
                <w:rFonts w:ascii="Segoe UI" w:hAnsi="Segoe UI" w:cs="Segoe UI"/>
                <w:sz w:val="22"/>
              </w:rPr>
              <w:t>38</w:t>
            </w:r>
          </w:p>
        </w:tc>
        <w:tc>
          <w:tcPr>
            <w:tcW w:w="612" w:type="dxa"/>
            <w:shd w:val="clear" w:color="000000" w:fill="66FF33"/>
            <w:noWrap/>
          </w:tcPr>
          <w:p w:rsidR="00CD71C0" w:rsidRPr="00CD71C0" w:rsidRDefault="00CD71C0" w:rsidP="00EC32F7">
            <w:pPr>
              <w:jc w:val="center"/>
              <w:rPr>
                <w:rFonts w:ascii="Segoe UI" w:hAnsi="Segoe UI" w:cs="Segoe UI"/>
                <w:sz w:val="22"/>
              </w:rPr>
            </w:pPr>
            <w:r w:rsidRPr="00CD71C0">
              <w:rPr>
                <w:rFonts w:ascii="Segoe UI" w:hAnsi="Segoe UI" w:cs="Segoe UI"/>
                <w:sz w:val="22"/>
              </w:rPr>
              <w:t>1</w:t>
            </w:r>
          </w:p>
        </w:tc>
        <w:tc>
          <w:tcPr>
            <w:tcW w:w="660" w:type="dxa"/>
            <w:shd w:val="clear" w:color="auto" w:fill="FFFFFF" w:themeFill="background1"/>
            <w:vAlign w:val="center"/>
          </w:tcPr>
          <w:p w:rsidR="00CD71C0" w:rsidRPr="00CD71C0" w:rsidRDefault="00CD71C0" w:rsidP="0039452D">
            <w:pPr>
              <w:jc w:val="center"/>
              <w:rPr>
                <w:rFonts w:ascii="Segoe UI" w:hAnsi="Segoe UI" w:cs="Segoe UI"/>
                <w:sz w:val="22"/>
              </w:rPr>
            </w:pPr>
            <w:r w:rsidRPr="00CD71C0">
              <w:rPr>
                <w:rFonts w:ascii="Segoe UI" w:hAnsi="Segoe UI" w:cs="Segoe UI"/>
                <w:sz w:val="22"/>
              </w:rPr>
              <w:t>67%</w:t>
            </w:r>
          </w:p>
        </w:tc>
      </w:tr>
      <w:tr w:rsidR="002A4520" w:rsidRPr="00D04AAB" w:rsidTr="0039452D">
        <w:trPr>
          <w:trHeight w:val="300"/>
        </w:trPr>
        <w:tc>
          <w:tcPr>
            <w:tcW w:w="3544" w:type="dxa"/>
            <w:shd w:val="clear" w:color="auto" w:fill="auto"/>
            <w:noWrap/>
            <w:vAlign w:val="bottom"/>
          </w:tcPr>
          <w:p w:rsidR="002A4520" w:rsidRPr="00F314C7" w:rsidRDefault="002A4520" w:rsidP="004D19A3">
            <w:pPr>
              <w:jc w:val="right"/>
              <w:rPr>
                <w:rFonts w:ascii="Segoe UI" w:hAnsi="Segoe UI" w:cs="Segoe UI"/>
                <w:bCs/>
                <w:color w:val="000000"/>
                <w:sz w:val="22"/>
                <w:szCs w:val="22"/>
              </w:rPr>
            </w:pPr>
            <w:r w:rsidRPr="00F314C7">
              <w:rPr>
                <w:rFonts w:ascii="Segoe UI" w:hAnsi="Segoe UI" w:cs="Segoe UI"/>
                <w:bCs/>
                <w:color w:val="000000"/>
                <w:sz w:val="22"/>
                <w:szCs w:val="22"/>
              </w:rPr>
              <w:t>Buckinghamshire</w:t>
            </w:r>
          </w:p>
        </w:tc>
        <w:tc>
          <w:tcPr>
            <w:tcW w:w="567" w:type="dxa"/>
            <w:shd w:val="clear" w:color="000000" w:fill="FF0000"/>
            <w:noWrap/>
            <w:vAlign w:val="bottom"/>
          </w:tcPr>
          <w:p w:rsidR="002A4520" w:rsidRPr="00F314C7" w:rsidRDefault="00CD71C0" w:rsidP="004D19A3">
            <w:pPr>
              <w:jc w:val="center"/>
              <w:rPr>
                <w:rFonts w:ascii="Segoe UI" w:hAnsi="Segoe UI" w:cs="Segoe UI"/>
                <w:bCs/>
                <w:color w:val="000000"/>
                <w:sz w:val="22"/>
                <w:szCs w:val="22"/>
              </w:rPr>
            </w:pPr>
            <w:r>
              <w:rPr>
                <w:rFonts w:ascii="Segoe UI" w:hAnsi="Segoe UI" w:cs="Segoe UI"/>
                <w:bCs/>
                <w:color w:val="000000"/>
                <w:sz w:val="22"/>
                <w:szCs w:val="22"/>
              </w:rPr>
              <w:t>1</w:t>
            </w:r>
          </w:p>
        </w:tc>
        <w:tc>
          <w:tcPr>
            <w:tcW w:w="425" w:type="dxa"/>
            <w:shd w:val="clear" w:color="000000" w:fill="FFC000"/>
            <w:noWrap/>
            <w:vAlign w:val="bottom"/>
          </w:tcPr>
          <w:p w:rsidR="002A4520" w:rsidRPr="00F314C7" w:rsidRDefault="002A4520" w:rsidP="004D19A3">
            <w:pPr>
              <w:jc w:val="center"/>
              <w:rPr>
                <w:rFonts w:ascii="Segoe UI" w:hAnsi="Segoe UI" w:cs="Segoe UI"/>
                <w:bCs/>
                <w:color w:val="000000"/>
                <w:sz w:val="22"/>
                <w:szCs w:val="22"/>
              </w:rPr>
            </w:pPr>
            <w:r w:rsidRPr="00F314C7">
              <w:rPr>
                <w:rFonts w:ascii="Segoe UI" w:hAnsi="Segoe UI" w:cs="Segoe UI"/>
                <w:bCs/>
                <w:color w:val="000000"/>
                <w:sz w:val="22"/>
                <w:szCs w:val="22"/>
              </w:rPr>
              <w:t>0</w:t>
            </w:r>
          </w:p>
        </w:tc>
        <w:tc>
          <w:tcPr>
            <w:tcW w:w="567" w:type="dxa"/>
            <w:shd w:val="clear" w:color="000000" w:fill="FFFF00"/>
            <w:noWrap/>
            <w:vAlign w:val="bottom"/>
          </w:tcPr>
          <w:p w:rsidR="002A4520" w:rsidRPr="00F314C7" w:rsidRDefault="00CD71C0" w:rsidP="004D19A3">
            <w:pPr>
              <w:jc w:val="center"/>
              <w:rPr>
                <w:rFonts w:ascii="Segoe UI" w:hAnsi="Segoe UI" w:cs="Segoe UI"/>
                <w:bCs/>
                <w:color w:val="000000"/>
                <w:sz w:val="22"/>
                <w:szCs w:val="22"/>
              </w:rPr>
            </w:pPr>
            <w:r>
              <w:rPr>
                <w:rFonts w:ascii="Segoe UI" w:hAnsi="Segoe UI" w:cs="Segoe UI"/>
                <w:bCs/>
                <w:color w:val="000000"/>
                <w:sz w:val="22"/>
                <w:szCs w:val="22"/>
              </w:rPr>
              <w:t>0</w:t>
            </w:r>
          </w:p>
        </w:tc>
        <w:tc>
          <w:tcPr>
            <w:tcW w:w="738" w:type="dxa"/>
            <w:shd w:val="clear" w:color="000000" w:fill="92D050"/>
            <w:noWrap/>
            <w:vAlign w:val="bottom"/>
          </w:tcPr>
          <w:p w:rsidR="002A4520" w:rsidRPr="00F314C7" w:rsidRDefault="00CD71C0" w:rsidP="004D19A3">
            <w:pPr>
              <w:jc w:val="center"/>
              <w:rPr>
                <w:rFonts w:ascii="Segoe UI" w:hAnsi="Segoe UI" w:cs="Segoe UI"/>
                <w:bCs/>
                <w:color w:val="000000"/>
                <w:sz w:val="22"/>
                <w:szCs w:val="22"/>
              </w:rPr>
            </w:pPr>
            <w:r>
              <w:rPr>
                <w:rFonts w:ascii="Segoe UI" w:hAnsi="Segoe UI" w:cs="Segoe UI"/>
                <w:bCs/>
                <w:color w:val="000000"/>
                <w:sz w:val="22"/>
                <w:szCs w:val="22"/>
              </w:rPr>
              <w:t>28</w:t>
            </w:r>
          </w:p>
        </w:tc>
        <w:tc>
          <w:tcPr>
            <w:tcW w:w="612" w:type="dxa"/>
            <w:shd w:val="clear" w:color="000000" w:fill="66FF33"/>
            <w:noWrap/>
            <w:vAlign w:val="bottom"/>
          </w:tcPr>
          <w:p w:rsidR="002A4520" w:rsidRPr="00F314C7" w:rsidRDefault="00CD71C0" w:rsidP="004D19A3">
            <w:pPr>
              <w:jc w:val="center"/>
              <w:rPr>
                <w:rFonts w:ascii="Segoe UI" w:hAnsi="Segoe UI" w:cs="Segoe UI"/>
                <w:bCs/>
                <w:color w:val="000000"/>
                <w:sz w:val="22"/>
                <w:szCs w:val="22"/>
              </w:rPr>
            </w:pPr>
            <w:r>
              <w:rPr>
                <w:rFonts w:ascii="Segoe UI" w:hAnsi="Segoe UI" w:cs="Segoe UI"/>
                <w:bCs/>
                <w:color w:val="000000"/>
                <w:sz w:val="22"/>
                <w:szCs w:val="22"/>
              </w:rPr>
              <w:t>3</w:t>
            </w:r>
          </w:p>
        </w:tc>
        <w:tc>
          <w:tcPr>
            <w:tcW w:w="660" w:type="dxa"/>
            <w:shd w:val="clear" w:color="auto" w:fill="FFFFFF" w:themeFill="background1"/>
          </w:tcPr>
          <w:p w:rsidR="002A4520" w:rsidRPr="00F314C7" w:rsidRDefault="00CD71C0" w:rsidP="0039452D">
            <w:pPr>
              <w:jc w:val="center"/>
              <w:rPr>
                <w:rFonts w:ascii="Segoe UI" w:hAnsi="Segoe UI" w:cs="Segoe UI"/>
                <w:bCs/>
                <w:color w:val="000000"/>
                <w:sz w:val="22"/>
                <w:szCs w:val="22"/>
              </w:rPr>
            </w:pPr>
            <w:r>
              <w:rPr>
                <w:rFonts w:ascii="Segoe UI" w:hAnsi="Segoe UI" w:cs="Segoe UI"/>
                <w:bCs/>
                <w:color w:val="000000"/>
                <w:sz w:val="22"/>
                <w:szCs w:val="22"/>
              </w:rPr>
              <w:t>97</w:t>
            </w:r>
            <w:r w:rsidR="002A4520" w:rsidRPr="00F314C7">
              <w:rPr>
                <w:rFonts w:ascii="Segoe UI" w:hAnsi="Segoe UI" w:cs="Segoe UI"/>
                <w:bCs/>
                <w:color w:val="000000"/>
                <w:sz w:val="22"/>
                <w:szCs w:val="22"/>
              </w:rPr>
              <w:t>%</w:t>
            </w:r>
          </w:p>
        </w:tc>
      </w:tr>
      <w:tr w:rsidR="002A4520" w:rsidRPr="00D04AAB" w:rsidTr="0039452D">
        <w:trPr>
          <w:trHeight w:val="300"/>
        </w:trPr>
        <w:tc>
          <w:tcPr>
            <w:tcW w:w="3544" w:type="dxa"/>
            <w:shd w:val="clear" w:color="auto" w:fill="auto"/>
            <w:noWrap/>
            <w:vAlign w:val="bottom"/>
          </w:tcPr>
          <w:p w:rsidR="002A4520" w:rsidRPr="00F314C7" w:rsidRDefault="002A4520" w:rsidP="004D19A3">
            <w:pPr>
              <w:rPr>
                <w:rFonts w:ascii="Segoe UI" w:hAnsi="Segoe UI" w:cs="Segoe UI"/>
                <w:b/>
                <w:bCs/>
                <w:color w:val="000000"/>
                <w:sz w:val="22"/>
                <w:szCs w:val="22"/>
              </w:rPr>
            </w:pPr>
            <w:r w:rsidRPr="00F314C7">
              <w:rPr>
                <w:rFonts w:ascii="Segoe UI" w:hAnsi="Segoe UI" w:cs="Segoe UI"/>
                <w:b/>
                <w:bCs/>
                <w:color w:val="000000"/>
                <w:sz w:val="22"/>
                <w:szCs w:val="22"/>
              </w:rPr>
              <w:t>Children &amp; Young People (CYP)</w:t>
            </w:r>
          </w:p>
        </w:tc>
        <w:tc>
          <w:tcPr>
            <w:tcW w:w="567" w:type="dxa"/>
            <w:shd w:val="clear" w:color="000000" w:fill="FF0000"/>
            <w:noWrap/>
            <w:vAlign w:val="bottom"/>
          </w:tcPr>
          <w:p w:rsidR="002A4520" w:rsidRPr="00F314C7" w:rsidRDefault="002A4520" w:rsidP="00CD71C0">
            <w:pPr>
              <w:jc w:val="center"/>
              <w:rPr>
                <w:rFonts w:ascii="Segoe UI" w:hAnsi="Segoe UI" w:cs="Segoe UI"/>
                <w:b/>
                <w:bCs/>
                <w:color w:val="000000"/>
                <w:sz w:val="22"/>
                <w:szCs w:val="22"/>
              </w:rPr>
            </w:pPr>
            <w:r w:rsidRPr="00F314C7">
              <w:rPr>
                <w:rFonts w:ascii="Segoe UI" w:hAnsi="Segoe UI" w:cs="Segoe UI"/>
                <w:b/>
                <w:bCs/>
                <w:color w:val="000000"/>
                <w:sz w:val="22"/>
                <w:szCs w:val="22"/>
              </w:rPr>
              <w:t>1</w:t>
            </w:r>
            <w:r w:rsidR="00CD71C0">
              <w:rPr>
                <w:rFonts w:ascii="Segoe UI" w:hAnsi="Segoe UI" w:cs="Segoe UI"/>
                <w:b/>
                <w:bCs/>
                <w:color w:val="000000"/>
                <w:sz w:val="22"/>
                <w:szCs w:val="22"/>
              </w:rPr>
              <w:t>1</w:t>
            </w:r>
          </w:p>
        </w:tc>
        <w:tc>
          <w:tcPr>
            <w:tcW w:w="425" w:type="dxa"/>
            <w:shd w:val="clear" w:color="000000" w:fill="FFC000"/>
            <w:noWrap/>
            <w:vAlign w:val="bottom"/>
          </w:tcPr>
          <w:p w:rsidR="002A4520" w:rsidRPr="00F314C7" w:rsidRDefault="00CD71C0" w:rsidP="004D19A3">
            <w:pPr>
              <w:jc w:val="center"/>
              <w:rPr>
                <w:rFonts w:ascii="Segoe UI" w:hAnsi="Segoe UI" w:cs="Segoe UI"/>
                <w:b/>
                <w:bCs/>
                <w:color w:val="000000"/>
                <w:sz w:val="22"/>
                <w:szCs w:val="22"/>
              </w:rPr>
            </w:pPr>
            <w:r>
              <w:rPr>
                <w:rFonts w:ascii="Segoe UI" w:hAnsi="Segoe UI" w:cs="Segoe UI"/>
                <w:b/>
                <w:bCs/>
                <w:color w:val="000000"/>
                <w:sz w:val="22"/>
                <w:szCs w:val="22"/>
              </w:rPr>
              <w:t>9</w:t>
            </w:r>
          </w:p>
        </w:tc>
        <w:tc>
          <w:tcPr>
            <w:tcW w:w="567" w:type="dxa"/>
            <w:shd w:val="clear" w:color="000000" w:fill="FFFF00"/>
            <w:noWrap/>
            <w:vAlign w:val="bottom"/>
          </w:tcPr>
          <w:p w:rsidR="002A4520" w:rsidRPr="00F314C7" w:rsidRDefault="00CD71C0" w:rsidP="004D19A3">
            <w:pPr>
              <w:jc w:val="center"/>
              <w:rPr>
                <w:rFonts w:ascii="Segoe UI" w:hAnsi="Segoe UI" w:cs="Segoe UI"/>
                <w:b/>
                <w:bCs/>
                <w:color w:val="000000"/>
                <w:sz w:val="22"/>
                <w:szCs w:val="22"/>
              </w:rPr>
            </w:pPr>
            <w:r>
              <w:rPr>
                <w:rFonts w:ascii="Segoe UI" w:hAnsi="Segoe UI" w:cs="Segoe UI"/>
                <w:b/>
                <w:bCs/>
                <w:color w:val="000000"/>
                <w:sz w:val="22"/>
                <w:szCs w:val="22"/>
              </w:rPr>
              <w:t>14</w:t>
            </w:r>
          </w:p>
        </w:tc>
        <w:tc>
          <w:tcPr>
            <w:tcW w:w="738" w:type="dxa"/>
            <w:shd w:val="clear" w:color="000000" w:fill="92D050"/>
            <w:noWrap/>
            <w:vAlign w:val="bottom"/>
          </w:tcPr>
          <w:p w:rsidR="002A4520" w:rsidRPr="00F314C7" w:rsidRDefault="00CD71C0" w:rsidP="004D19A3">
            <w:pPr>
              <w:jc w:val="center"/>
              <w:rPr>
                <w:rFonts w:ascii="Segoe UI" w:hAnsi="Segoe UI" w:cs="Segoe UI"/>
                <w:b/>
                <w:bCs/>
                <w:color w:val="000000"/>
                <w:sz w:val="22"/>
                <w:szCs w:val="22"/>
              </w:rPr>
            </w:pPr>
            <w:r>
              <w:rPr>
                <w:rFonts w:ascii="Segoe UI" w:hAnsi="Segoe UI" w:cs="Segoe UI"/>
                <w:b/>
                <w:bCs/>
                <w:color w:val="000000"/>
                <w:sz w:val="22"/>
                <w:szCs w:val="22"/>
              </w:rPr>
              <w:t>974</w:t>
            </w:r>
          </w:p>
        </w:tc>
        <w:tc>
          <w:tcPr>
            <w:tcW w:w="612" w:type="dxa"/>
            <w:shd w:val="clear" w:color="000000" w:fill="66FF33"/>
            <w:noWrap/>
            <w:vAlign w:val="bottom"/>
          </w:tcPr>
          <w:p w:rsidR="002A4520" w:rsidRPr="00F314C7" w:rsidRDefault="00CD71C0" w:rsidP="004D19A3">
            <w:pPr>
              <w:jc w:val="center"/>
              <w:rPr>
                <w:rFonts w:ascii="Segoe UI" w:hAnsi="Segoe UI" w:cs="Segoe UI"/>
                <w:b/>
                <w:bCs/>
                <w:color w:val="000000"/>
                <w:sz w:val="22"/>
                <w:szCs w:val="22"/>
              </w:rPr>
            </w:pPr>
            <w:r>
              <w:rPr>
                <w:rFonts w:ascii="Segoe UI" w:hAnsi="Segoe UI" w:cs="Segoe UI"/>
                <w:b/>
                <w:bCs/>
                <w:color w:val="000000"/>
                <w:sz w:val="22"/>
                <w:szCs w:val="22"/>
              </w:rPr>
              <w:t>24</w:t>
            </w:r>
          </w:p>
        </w:tc>
        <w:tc>
          <w:tcPr>
            <w:tcW w:w="660" w:type="dxa"/>
            <w:shd w:val="clear" w:color="auto" w:fill="FFFFFF" w:themeFill="background1"/>
          </w:tcPr>
          <w:p w:rsidR="002A4520" w:rsidRPr="00F314C7" w:rsidRDefault="002A4520" w:rsidP="0039452D">
            <w:pPr>
              <w:jc w:val="center"/>
              <w:rPr>
                <w:rFonts w:ascii="Segoe UI" w:hAnsi="Segoe UI" w:cs="Segoe UI"/>
                <w:b/>
                <w:bCs/>
                <w:color w:val="000000"/>
                <w:sz w:val="22"/>
                <w:szCs w:val="22"/>
              </w:rPr>
            </w:pPr>
            <w:r w:rsidRPr="00F314C7">
              <w:rPr>
                <w:rFonts w:ascii="Segoe UI" w:hAnsi="Segoe UI" w:cs="Segoe UI"/>
                <w:b/>
                <w:bCs/>
                <w:color w:val="000000"/>
                <w:sz w:val="22"/>
                <w:szCs w:val="22"/>
              </w:rPr>
              <w:t>97%</w:t>
            </w:r>
          </w:p>
        </w:tc>
      </w:tr>
      <w:tr w:rsidR="002A4520" w:rsidRPr="00D04AAB" w:rsidTr="0039452D">
        <w:trPr>
          <w:trHeight w:val="300"/>
        </w:trPr>
        <w:tc>
          <w:tcPr>
            <w:tcW w:w="3544" w:type="dxa"/>
            <w:shd w:val="clear" w:color="auto" w:fill="auto"/>
            <w:noWrap/>
            <w:vAlign w:val="bottom"/>
          </w:tcPr>
          <w:p w:rsidR="002A4520" w:rsidRPr="00F314C7" w:rsidRDefault="002A4520" w:rsidP="002A4520">
            <w:pPr>
              <w:jc w:val="right"/>
              <w:rPr>
                <w:rFonts w:ascii="Segoe UI" w:hAnsi="Segoe UI" w:cs="Segoe UI"/>
                <w:bCs/>
                <w:color w:val="000000"/>
                <w:sz w:val="22"/>
                <w:szCs w:val="22"/>
              </w:rPr>
            </w:pPr>
            <w:r w:rsidRPr="00F314C7">
              <w:rPr>
                <w:rFonts w:ascii="Segoe UI" w:hAnsi="Segoe UI" w:cs="Segoe UI"/>
                <w:bCs/>
                <w:color w:val="000000"/>
                <w:sz w:val="22"/>
                <w:szCs w:val="22"/>
              </w:rPr>
              <w:t>Oxfordshire</w:t>
            </w:r>
          </w:p>
        </w:tc>
        <w:tc>
          <w:tcPr>
            <w:tcW w:w="567" w:type="dxa"/>
            <w:shd w:val="clear" w:color="000000" w:fill="FF0000"/>
            <w:noWrap/>
            <w:vAlign w:val="bottom"/>
          </w:tcPr>
          <w:p w:rsidR="002A4520" w:rsidRPr="00F314C7" w:rsidRDefault="00CD71C0" w:rsidP="004D19A3">
            <w:pPr>
              <w:jc w:val="center"/>
              <w:rPr>
                <w:rFonts w:ascii="Segoe UI" w:hAnsi="Segoe UI" w:cs="Segoe UI"/>
                <w:bCs/>
                <w:color w:val="000000"/>
                <w:sz w:val="22"/>
                <w:szCs w:val="22"/>
              </w:rPr>
            </w:pPr>
            <w:r>
              <w:rPr>
                <w:rFonts w:ascii="Segoe UI" w:hAnsi="Segoe UI" w:cs="Segoe UI"/>
                <w:bCs/>
                <w:color w:val="000000"/>
                <w:sz w:val="22"/>
                <w:szCs w:val="22"/>
              </w:rPr>
              <w:t>4</w:t>
            </w:r>
          </w:p>
        </w:tc>
        <w:tc>
          <w:tcPr>
            <w:tcW w:w="425" w:type="dxa"/>
            <w:shd w:val="clear" w:color="000000" w:fill="FFC000"/>
            <w:noWrap/>
            <w:vAlign w:val="bottom"/>
          </w:tcPr>
          <w:p w:rsidR="002A4520" w:rsidRPr="00F314C7" w:rsidRDefault="00CD71C0" w:rsidP="004D19A3">
            <w:pPr>
              <w:jc w:val="center"/>
              <w:rPr>
                <w:rFonts w:ascii="Segoe UI" w:hAnsi="Segoe UI" w:cs="Segoe UI"/>
                <w:bCs/>
                <w:color w:val="000000"/>
                <w:sz w:val="22"/>
                <w:szCs w:val="22"/>
              </w:rPr>
            </w:pPr>
            <w:r>
              <w:rPr>
                <w:rFonts w:ascii="Segoe UI" w:hAnsi="Segoe UI" w:cs="Segoe UI"/>
                <w:bCs/>
                <w:color w:val="000000"/>
                <w:sz w:val="22"/>
                <w:szCs w:val="22"/>
              </w:rPr>
              <w:t>5</w:t>
            </w:r>
          </w:p>
        </w:tc>
        <w:tc>
          <w:tcPr>
            <w:tcW w:w="567" w:type="dxa"/>
            <w:shd w:val="clear" w:color="000000" w:fill="FFFF00"/>
            <w:noWrap/>
            <w:vAlign w:val="bottom"/>
          </w:tcPr>
          <w:p w:rsidR="002A4520" w:rsidRPr="00F314C7" w:rsidRDefault="00CD71C0" w:rsidP="004D19A3">
            <w:pPr>
              <w:jc w:val="center"/>
              <w:rPr>
                <w:rFonts w:ascii="Segoe UI" w:hAnsi="Segoe UI" w:cs="Segoe UI"/>
                <w:bCs/>
                <w:color w:val="000000"/>
                <w:sz w:val="22"/>
                <w:szCs w:val="22"/>
              </w:rPr>
            </w:pPr>
            <w:r>
              <w:rPr>
                <w:rFonts w:ascii="Segoe UI" w:hAnsi="Segoe UI" w:cs="Segoe UI"/>
                <w:bCs/>
                <w:color w:val="000000"/>
                <w:sz w:val="22"/>
                <w:szCs w:val="22"/>
              </w:rPr>
              <w:t>3</w:t>
            </w:r>
          </w:p>
        </w:tc>
        <w:tc>
          <w:tcPr>
            <w:tcW w:w="738" w:type="dxa"/>
            <w:shd w:val="clear" w:color="000000" w:fill="92D050"/>
            <w:noWrap/>
            <w:vAlign w:val="bottom"/>
          </w:tcPr>
          <w:p w:rsidR="002A4520" w:rsidRPr="00F314C7" w:rsidRDefault="00CD71C0" w:rsidP="004D19A3">
            <w:pPr>
              <w:jc w:val="center"/>
              <w:rPr>
                <w:rFonts w:ascii="Segoe UI" w:hAnsi="Segoe UI" w:cs="Segoe UI"/>
                <w:bCs/>
                <w:color w:val="000000"/>
                <w:sz w:val="22"/>
                <w:szCs w:val="22"/>
              </w:rPr>
            </w:pPr>
            <w:r>
              <w:rPr>
                <w:rFonts w:ascii="Segoe UI" w:hAnsi="Segoe UI" w:cs="Segoe UI"/>
                <w:bCs/>
                <w:color w:val="000000"/>
                <w:sz w:val="22"/>
                <w:szCs w:val="22"/>
              </w:rPr>
              <w:t>534</w:t>
            </w:r>
          </w:p>
        </w:tc>
        <w:tc>
          <w:tcPr>
            <w:tcW w:w="612" w:type="dxa"/>
            <w:shd w:val="clear" w:color="000000" w:fill="66FF33"/>
            <w:noWrap/>
            <w:vAlign w:val="bottom"/>
          </w:tcPr>
          <w:p w:rsidR="002A4520" w:rsidRPr="00F314C7" w:rsidRDefault="00CD71C0" w:rsidP="004D19A3">
            <w:pPr>
              <w:jc w:val="center"/>
              <w:rPr>
                <w:rFonts w:ascii="Segoe UI" w:hAnsi="Segoe UI" w:cs="Segoe UI"/>
                <w:bCs/>
                <w:color w:val="000000"/>
                <w:sz w:val="22"/>
                <w:szCs w:val="22"/>
              </w:rPr>
            </w:pPr>
            <w:r>
              <w:rPr>
                <w:rFonts w:ascii="Segoe UI" w:hAnsi="Segoe UI" w:cs="Segoe UI"/>
                <w:bCs/>
                <w:color w:val="000000"/>
                <w:sz w:val="22"/>
                <w:szCs w:val="22"/>
              </w:rPr>
              <w:t>20</w:t>
            </w:r>
          </w:p>
        </w:tc>
        <w:tc>
          <w:tcPr>
            <w:tcW w:w="660" w:type="dxa"/>
            <w:shd w:val="clear" w:color="auto" w:fill="FFFFFF" w:themeFill="background1"/>
          </w:tcPr>
          <w:p w:rsidR="002A4520" w:rsidRPr="00F314C7" w:rsidRDefault="0039452D" w:rsidP="0039452D">
            <w:pPr>
              <w:jc w:val="center"/>
              <w:rPr>
                <w:rFonts w:ascii="Segoe UI" w:hAnsi="Segoe UI" w:cs="Segoe UI"/>
                <w:bCs/>
                <w:color w:val="000000"/>
                <w:sz w:val="22"/>
                <w:szCs w:val="22"/>
              </w:rPr>
            </w:pPr>
            <w:r>
              <w:rPr>
                <w:rFonts w:ascii="Segoe UI" w:hAnsi="Segoe UI" w:cs="Segoe UI"/>
                <w:bCs/>
                <w:color w:val="000000"/>
                <w:sz w:val="22"/>
                <w:szCs w:val="22"/>
              </w:rPr>
              <w:t>95%</w:t>
            </w:r>
          </w:p>
        </w:tc>
      </w:tr>
      <w:tr w:rsidR="002A4520" w:rsidRPr="00D04AAB" w:rsidTr="0039452D">
        <w:trPr>
          <w:trHeight w:val="300"/>
        </w:trPr>
        <w:tc>
          <w:tcPr>
            <w:tcW w:w="3544" w:type="dxa"/>
            <w:shd w:val="clear" w:color="auto" w:fill="auto"/>
            <w:noWrap/>
            <w:vAlign w:val="bottom"/>
          </w:tcPr>
          <w:p w:rsidR="002A4520" w:rsidRPr="00F314C7" w:rsidRDefault="002A4520" w:rsidP="002A4520">
            <w:pPr>
              <w:jc w:val="right"/>
              <w:rPr>
                <w:rFonts w:ascii="Segoe UI" w:hAnsi="Segoe UI" w:cs="Segoe UI"/>
                <w:bCs/>
                <w:color w:val="000000"/>
                <w:sz w:val="22"/>
                <w:szCs w:val="22"/>
              </w:rPr>
            </w:pPr>
            <w:r w:rsidRPr="00F314C7">
              <w:rPr>
                <w:rFonts w:ascii="Segoe UI" w:hAnsi="Segoe UI" w:cs="Segoe UI"/>
                <w:bCs/>
                <w:color w:val="000000"/>
                <w:sz w:val="22"/>
                <w:szCs w:val="22"/>
              </w:rPr>
              <w:t>Buckinghamshire</w:t>
            </w:r>
          </w:p>
        </w:tc>
        <w:tc>
          <w:tcPr>
            <w:tcW w:w="567" w:type="dxa"/>
            <w:shd w:val="clear" w:color="000000" w:fill="FF0000"/>
            <w:noWrap/>
            <w:vAlign w:val="bottom"/>
          </w:tcPr>
          <w:p w:rsidR="002A4520" w:rsidRPr="00F314C7" w:rsidRDefault="002A4520" w:rsidP="00F314C7">
            <w:pPr>
              <w:jc w:val="center"/>
              <w:rPr>
                <w:rFonts w:ascii="Segoe UI" w:hAnsi="Segoe UI" w:cs="Segoe UI"/>
                <w:bCs/>
                <w:color w:val="000000"/>
                <w:sz w:val="22"/>
                <w:szCs w:val="22"/>
              </w:rPr>
            </w:pPr>
            <w:r w:rsidRPr="00F314C7">
              <w:rPr>
                <w:rFonts w:ascii="Segoe UI" w:hAnsi="Segoe UI" w:cs="Segoe UI"/>
                <w:bCs/>
                <w:color w:val="000000"/>
                <w:sz w:val="22"/>
                <w:szCs w:val="22"/>
              </w:rPr>
              <w:t>0</w:t>
            </w:r>
          </w:p>
        </w:tc>
        <w:tc>
          <w:tcPr>
            <w:tcW w:w="425" w:type="dxa"/>
            <w:shd w:val="clear" w:color="000000" w:fill="FFC000"/>
            <w:noWrap/>
            <w:vAlign w:val="bottom"/>
          </w:tcPr>
          <w:p w:rsidR="002A4520" w:rsidRPr="00F314C7" w:rsidRDefault="002A4520" w:rsidP="00F314C7">
            <w:pPr>
              <w:jc w:val="center"/>
              <w:rPr>
                <w:rFonts w:ascii="Segoe UI" w:hAnsi="Segoe UI" w:cs="Segoe UI"/>
                <w:bCs/>
                <w:color w:val="000000"/>
                <w:sz w:val="22"/>
                <w:szCs w:val="22"/>
              </w:rPr>
            </w:pPr>
            <w:r w:rsidRPr="00F314C7">
              <w:rPr>
                <w:rFonts w:ascii="Segoe UI" w:hAnsi="Segoe UI" w:cs="Segoe UI"/>
                <w:bCs/>
                <w:color w:val="000000"/>
                <w:sz w:val="22"/>
                <w:szCs w:val="22"/>
              </w:rPr>
              <w:t>0</w:t>
            </w:r>
          </w:p>
        </w:tc>
        <w:tc>
          <w:tcPr>
            <w:tcW w:w="567" w:type="dxa"/>
            <w:shd w:val="clear" w:color="000000" w:fill="FFFF00"/>
            <w:noWrap/>
            <w:vAlign w:val="bottom"/>
          </w:tcPr>
          <w:p w:rsidR="002A4520" w:rsidRPr="00F314C7" w:rsidRDefault="002A4520" w:rsidP="00F314C7">
            <w:pPr>
              <w:jc w:val="center"/>
              <w:rPr>
                <w:rFonts w:ascii="Segoe UI" w:hAnsi="Segoe UI" w:cs="Segoe UI"/>
                <w:bCs/>
                <w:color w:val="000000"/>
                <w:sz w:val="22"/>
                <w:szCs w:val="22"/>
              </w:rPr>
            </w:pPr>
            <w:r w:rsidRPr="00F314C7">
              <w:rPr>
                <w:rFonts w:ascii="Segoe UI" w:hAnsi="Segoe UI" w:cs="Segoe UI"/>
                <w:bCs/>
                <w:color w:val="000000"/>
                <w:sz w:val="22"/>
                <w:szCs w:val="22"/>
              </w:rPr>
              <w:t>1</w:t>
            </w:r>
          </w:p>
        </w:tc>
        <w:tc>
          <w:tcPr>
            <w:tcW w:w="738" w:type="dxa"/>
            <w:shd w:val="clear" w:color="000000" w:fill="92D050"/>
            <w:noWrap/>
            <w:vAlign w:val="bottom"/>
          </w:tcPr>
          <w:p w:rsidR="002A4520" w:rsidRPr="00F314C7" w:rsidRDefault="002A4520" w:rsidP="00F314C7">
            <w:pPr>
              <w:jc w:val="center"/>
              <w:rPr>
                <w:rFonts w:ascii="Segoe UI" w:hAnsi="Segoe UI" w:cs="Segoe UI"/>
                <w:bCs/>
                <w:color w:val="000000"/>
                <w:sz w:val="22"/>
                <w:szCs w:val="22"/>
              </w:rPr>
            </w:pPr>
            <w:r w:rsidRPr="00F314C7">
              <w:rPr>
                <w:rFonts w:ascii="Segoe UI" w:hAnsi="Segoe UI" w:cs="Segoe UI"/>
                <w:bCs/>
                <w:color w:val="000000"/>
                <w:sz w:val="22"/>
                <w:szCs w:val="22"/>
              </w:rPr>
              <w:t>211</w:t>
            </w:r>
          </w:p>
        </w:tc>
        <w:tc>
          <w:tcPr>
            <w:tcW w:w="612" w:type="dxa"/>
            <w:shd w:val="clear" w:color="000000" w:fill="66FF33"/>
            <w:noWrap/>
            <w:vAlign w:val="bottom"/>
          </w:tcPr>
          <w:p w:rsidR="002A4520" w:rsidRPr="00F314C7" w:rsidRDefault="002A4520" w:rsidP="00F314C7">
            <w:pPr>
              <w:jc w:val="center"/>
              <w:rPr>
                <w:rFonts w:ascii="Segoe UI" w:hAnsi="Segoe UI" w:cs="Segoe UI"/>
                <w:bCs/>
                <w:color w:val="000000"/>
                <w:sz w:val="22"/>
                <w:szCs w:val="22"/>
              </w:rPr>
            </w:pPr>
            <w:r w:rsidRPr="00F314C7">
              <w:rPr>
                <w:rFonts w:ascii="Segoe UI" w:hAnsi="Segoe UI" w:cs="Segoe UI"/>
                <w:bCs/>
                <w:color w:val="000000"/>
                <w:sz w:val="22"/>
                <w:szCs w:val="22"/>
              </w:rPr>
              <w:t>0</w:t>
            </w:r>
          </w:p>
        </w:tc>
        <w:tc>
          <w:tcPr>
            <w:tcW w:w="660" w:type="dxa"/>
            <w:shd w:val="clear" w:color="auto" w:fill="FFFFFF" w:themeFill="background1"/>
          </w:tcPr>
          <w:p w:rsidR="002A4520" w:rsidRPr="00F314C7" w:rsidRDefault="002A4520" w:rsidP="0039452D">
            <w:pPr>
              <w:jc w:val="center"/>
              <w:rPr>
                <w:rFonts w:ascii="Segoe UI" w:hAnsi="Segoe UI" w:cs="Segoe UI"/>
                <w:bCs/>
                <w:color w:val="000000"/>
                <w:sz w:val="22"/>
                <w:szCs w:val="22"/>
              </w:rPr>
            </w:pPr>
            <w:r w:rsidRPr="00F314C7">
              <w:rPr>
                <w:rFonts w:ascii="Segoe UI" w:hAnsi="Segoe UI" w:cs="Segoe UI"/>
                <w:bCs/>
                <w:color w:val="000000"/>
                <w:sz w:val="22"/>
                <w:szCs w:val="22"/>
              </w:rPr>
              <w:t>99%</w:t>
            </w:r>
          </w:p>
        </w:tc>
      </w:tr>
      <w:tr w:rsidR="002A4520" w:rsidRPr="00D04AAB" w:rsidTr="0039452D">
        <w:trPr>
          <w:trHeight w:val="300"/>
        </w:trPr>
        <w:tc>
          <w:tcPr>
            <w:tcW w:w="3544" w:type="dxa"/>
            <w:shd w:val="clear" w:color="auto" w:fill="auto"/>
            <w:noWrap/>
            <w:vAlign w:val="bottom"/>
          </w:tcPr>
          <w:p w:rsidR="002A4520" w:rsidRPr="00F314C7" w:rsidRDefault="002A4520" w:rsidP="002A4520">
            <w:pPr>
              <w:jc w:val="right"/>
              <w:rPr>
                <w:rFonts w:ascii="Segoe UI" w:hAnsi="Segoe UI" w:cs="Segoe UI"/>
                <w:bCs/>
                <w:color w:val="000000"/>
                <w:sz w:val="22"/>
                <w:szCs w:val="22"/>
              </w:rPr>
            </w:pPr>
            <w:r w:rsidRPr="00F314C7">
              <w:rPr>
                <w:rFonts w:ascii="Segoe UI" w:hAnsi="Segoe UI" w:cs="Segoe UI"/>
                <w:bCs/>
                <w:color w:val="000000"/>
                <w:sz w:val="22"/>
                <w:szCs w:val="22"/>
              </w:rPr>
              <w:t>Swindon, Wilts and Banes</w:t>
            </w:r>
          </w:p>
        </w:tc>
        <w:tc>
          <w:tcPr>
            <w:tcW w:w="567" w:type="dxa"/>
            <w:shd w:val="clear" w:color="000000" w:fill="FF0000"/>
            <w:noWrap/>
            <w:vAlign w:val="center"/>
          </w:tcPr>
          <w:p w:rsidR="002A4520" w:rsidRPr="00F314C7" w:rsidRDefault="0039452D" w:rsidP="0039452D">
            <w:pPr>
              <w:jc w:val="center"/>
              <w:rPr>
                <w:rFonts w:ascii="Segoe UI" w:hAnsi="Segoe UI" w:cs="Segoe UI"/>
                <w:color w:val="000000"/>
                <w:sz w:val="22"/>
                <w:szCs w:val="22"/>
              </w:rPr>
            </w:pPr>
            <w:r>
              <w:rPr>
                <w:rFonts w:ascii="Segoe UI" w:hAnsi="Segoe UI" w:cs="Segoe UI"/>
                <w:color w:val="000000"/>
                <w:sz w:val="22"/>
                <w:szCs w:val="22"/>
              </w:rPr>
              <w:t>7</w:t>
            </w:r>
          </w:p>
        </w:tc>
        <w:tc>
          <w:tcPr>
            <w:tcW w:w="425" w:type="dxa"/>
            <w:shd w:val="clear" w:color="000000" w:fill="FFC000"/>
            <w:noWrap/>
            <w:vAlign w:val="center"/>
          </w:tcPr>
          <w:p w:rsidR="002A4520" w:rsidRPr="00F314C7" w:rsidRDefault="0039452D" w:rsidP="00F314C7">
            <w:pPr>
              <w:jc w:val="center"/>
              <w:rPr>
                <w:rFonts w:ascii="Segoe UI" w:hAnsi="Segoe UI" w:cs="Segoe UI"/>
                <w:color w:val="000000"/>
                <w:sz w:val="22"/>
                <w:szCs w:val="22"/>
              </w:rPr>
            </w:pPr>
            <w:r>
              <w:rPr>
                <w:rFonts w:ascii="Segoe UI" w:hAnsi="Segoe UI" w:cs="Segoe UI"/>
                <w:color w:val="000000"/>
                <w:sz w:val="22"/>
                <w:szCs w:val="22"/>
              </w:rPr>
              <w:t>4</w:t>
            </w:r>
          </w:p>
        </w:tc>
        <w:tc>
          <w:tcPr>
            <w:tcW w:w="567" w:type="dxa"/>
            <w:shd w:val="clear" w:color="000000" w:fill="FFFF00"/>
            <w:noWrap/>
            <w:vAlign w:val="center"/>
          </w:tcPr>
          <w:p w:rsidR="002A4520" w:rsidRPr="00F314C7" w:rsidRDefault="0039452D" w:rsidP="00F314C7">
            <w:pPr>
              <w:jc w:val="center"/>
              <w:rPr>
                <w:rFonts w:ascii="Segoe UI" w:hAnsi="Segoe UI" w:cs="Segoe UI"/>
                <w:color w:val="000000"/>
                <w:sz w:val="22"/>
                <w:szCs w:val="22"/>
              </w:rPr>
            </w:pPr>
            <w:r>
              <w:rPr>
                <w:rFonts w:ascii="Segoe UI" w:hAnsi="Segoe UI" w:cs="Segoe UI"/>
                <w:color w:val="000000"/>
                <w:sz w:val="22"/>
                <w:szCs w:val="22"/>
              </w:rPr>
              <w:t>10</w:t>
            </w:r>
          </w:p>
        </w:tc>
        <w:tc>
          <w:tcPr>
            <w:tcW w:w="738" w:type="dxa"/>
            <w:shd w:val="clear" w:color="000000" w:fill="92D050"/>
            <w:noWrap/>
            <w:vAlign w:val="center"/>
          </w:tcPr>
          <w:p w:rsidR="002A4520" w:rsidRPr="00F314C7" w:rsidRDefault="0039452D" w:rsidP="00F314C7">
            <w:pPr>
              <w:jc w:val="center"/>
              <w:rPr>
                <w:rFonts w:ascii="Segoe UI" w:hAnsi="Segoe UI" w:cs="Segoe UI"/>
                <w:color w:val="000000"/>
                <w:sz w:val="22"/>
                <w:szCs w:val="22"/>
              </w:rPr>
            </w:pPr>
            <w:r>
              <w:rPr>
                <w:rFonts w:ascii="Segoe UI" w:hAnsi="Segoe UI" w:cs="Segoe UI"/>
                <w:color w:val="000000"/>
                <w:sz w:val="22"/>
                <w:szCs w:val="22"/>
              </w:rPr>
              <w:t>229</w:t>
            </w:r>
          </w:p>
        </w:tc>
        <w:tc>
          <w:tcPr>
            <w:tcW w:w="612" w:type="dxa"/>
            <w:shd w:val="clear" w:color="000000" w:fill="66FF33"/>
            <w:noWrap/>
            <w:vAlign w:val="center"/>
          </w:tcPr>
          <w:p w:rsidR="002A4520" w:rsidRPr="00F314C7" w:rsidRDefault="0039452D" w:rsidP="00F314C7">
            <w:pPr>
              <w:jc w:val="center"/>
              <w:rPr>
                <w:rFonts w:ascii="Segoe UI" w:hAnsi="Segoe UI" w:cs="Segoe UI"/>
                <w:color w:val="000000"/>
                <w:sz w:val="22"/>
                <w:szCs w:val="22"/>
              </w:rPr>
            </w:pPr>
            <w:r>
              <w:rPr>
                <w:rFonts w:ascii="Segoe UI" w:hAnsi="Segoe UI" w:cs="Segoe UI"/>
                <w:color w:val="000000"/>
                <w:sz w:val="22"/>
                <w:szCs w:val="22"/>
              </w:rPr>
              <w:t>4</w:t>
            </w:r>
          </w:p>
        </w:tc>
        <w:tc>
          <w:tcPr>
            <w:tcW w:w="660" w:type="dxa"/>
            <w:shd w:val="clear" w:color="auto" w:fill="FFFFFF" w:themeFill="background1"/>
            <w:vAlign w:val="center"/>
          </w:tcPr>
          <w:p w:rsidR="002A4520" w:rsidRPr="00F314C7" w:rsidRDefault="0039452D" w:rsidP="0039452D">
            <w:pPr>
              <w:jc w:val="center"/>
              <w:rPr>
                <w:rFonts w:ascii="Segoe UI" w:hAnsi="Segoe UI" w:cs="Segoe UI"/>
                <w:color w:val="000000"/>
                <w:sz w:val="22"/>
                <w:szCs w:val="22"/>
              </w:rPr>
            </w:pPr>
            <w:r>
              <w:rPr>
                <w:rFonts w:ascii="Segoe UI" w:hAnsi="Segoe UI" w:cs="Segoe UI"/>
                <w:color w:val="000000"/>
                <w:sz w:val="22"/>
                <w:szCs w:val="22"/>
              </w:rPr>
              <w:t>92</w:t>
            </w:r>
            <w:r w:rsidR="002A4520" w:rsidRPr="00F314C7">
              <w:rPr>
                <w:rFonts w:ascii="Segoe UI" w:hAnsi="Segoe UI" w:cs="Segoe UI"/>
                <w:color w:val="000000"/>
                <w:sz w:val="22"/>
                <w:szCs w:val="22"/>
              </w:rPr>
              <w:t>%</w:t>
            </w:r>
          </w:p>
        </w:tc>
      </w:tr>
      <w:tr w:rsidR="0039452D" w:rsidRPr="00D04AAB" w:rsidTr="0039452D">
        <w:trPr>
          <w:trHeight w:val="300"/>
        </w:trPr>
        <w:tc>
          <w:tcPr>
            <w:tcW w:w="3544" w:type="dxa"/>
            <w:shd w:val="clear" w:color="auto" w:fill="auto"/>
            <w:noWrap/>
            <w:vAlign w:val="bottom"/>
          </w:tcPr>
          <w:p w:rsidR="0039452D" w:rsidRPr="00F314C7" w:rsidRDefault="0039452D" w:rsidP="002A4520">
            <w:pPr>
              <w:rPr>
                <w:rFonts w:ascii="Segoe UI" w:hAnsi="Segoe UI" w:cs="Segoe UI"/>
                <w:b/>
                <w:bCs/>
                <w:color w:val="000000"/>
                <w:sz w:val="22"/>
                <w:szCs w:val="22"/>
              </w:rPr>
            </w:pPr>
            <w:r w:rsidRPr="00F314C7">
              <w:rPr>
                <w:rFonts w:ascii="Segoe UI" w:hAnsi="Segoe UI" w:cs="Segoe UI"/>
                <w:b/>
                <w:bCs/>
                <w:color w:val="000000"/>
                <w:sz w:val="22"/>
                <w:szCs w:val="22"/>
              </w:rPr>
              <w:t>Adults of Working Age (AWA)</w:t>
            </w:r>
          </w:p>
        </w:tc>
        <w:tc>
          <w:tcPr>
            <w:tcW w:w="567" w:type="dxa"/>
            <w:shd w:val="clear" w:color="000000" w:fill="FF0000"/>
            <w:noWrap/>
          </w:tcPr>
          <w:p w:rsidR="0039452D" w:rsidRPr="0039452D" w:rsidRDefault="0039452D" w:rsidP="00EC32F7">
            <w:pPr>
              <w:jc w:val="center"/>
              <w:rPr>
                <w:rFonts w:ascii="Segoe UI" w:hAnsi="Segoe UI" w:cs="Segoe UI"/>
                <w:b/>
                <w:sz w:val="22"/>
              </w:rPr>
            </w:pPr>
            <w:r w:rsidRPr="0039452D">
              <w:rPr>
                <w:rFonts w:ascii="Segoe UI" w:hAnsi="Segoe UI" w:cs="Segoe UI"/>
                <w:b/>
                <w:sz w:val="22"/>
              </w:rPr>
              <w:t>18</w:t>
            </w:r>
          </w:p>
        </w:tc>
        <w:tc>
          <w:tcPr>
            <w:tcW w:w="425" w:type="dxa"/>
            <w:shd w:val="clear" w:color="000000" w:fill="FFC000"/>
            <w:noWrap/>
          </w:tcPr>
          <w:p w:rsidR="0039452D" w:rsidRPr="0039452D" w:rsidRDefault="0039452D" w:rsidP="00EC32F7">
            <w:pPr>
              <w:jc w:val="center"/>
              <w:rPr>
                <w:rFonts w:ascii="Segoe UI" w:hAnsi="Segoe UI" w:cs="Segoe UI"/>
                <w:b/>
                <w:sz w:val="22"/>
              </w:rPr>
            </w:pPr>
            <w:r w:rsidRPr="0039452D">
              <w:rPr>
                <w:rFonts w:ascii="Segoe UI" w:hAnsi="Segoe UI" w:cs="Segoe UI"/>
                <w:b/>
                <w:sz w:val="22"/>
              </w:rPr>
              <w:t>9</w:t>
            </w:r>
          </w:p>
        </w:tc>
        <w:tc>
          <w:tcPr>
            <w:tcW w:w="567" w:type="dxa"/>
            <w:shd w:val="clear" w:color="000000" w:fill="FFFF00"/>
            <w:noWrap/>
          </w:tcPr>
          <w:p w:rsidR="0039452D" w:rsidRPr="0039452D" w:rsidRDefault="0039452D" w:rsidP="00EC32F7">
            <w:pPr>
              <w:jc w:val="center"/>
              <w:rPr>
                <w:rFonts w:ascii="Segoe UI" w:hAnsi="Segoe UI" w:cs="Segoe UI"/>
                <w:b/>
                <w:sz w:val="22"/>
              </w:rPr>
            </w:pPr>
            <w:r w:rsidRPr="0039452D">
              <w:rPr>
                <w:rFonts w:ascii="Segoe UI" w:hAnsi="Segoe UI" w:cs="Segoe UI"/>
                <w:b/>
                <w:sz w:val="22"/>
              </w:rPr>
              <w:t>7</w:t>
            </w:r>
          </w:p>
        </w:tc>
        <w:tc>
          <w:tcPr>
            <w:tcW w:w="738" w:type="dxa"/>
            <w:shd w:val="clear" w:color="000000" w:fill="92D050"/>
            <w:noWrap/>
          </w:tcPr>
          <w:p w:rsidR="0039452D" w:rsidRPr="0039452D" w:rsidRDefault="0039452D" w:rsidP="00EC32F7">
            <w:pPr>
              <w:jc w:val="center"/>
              <w:rPr>
                <w:rFonts w:ascii="Segoe UI" w:hAnsi="Segoe UI" w:cs="Segoe UI"/>
                <w:b/>
                <w:sz w:val="22"/>
              </w:rPr>
            </w:pPr>
            <w:r w:rsidRPr="0039452D">
              <w:rPr>
                <w:rFonts w:ascii="Segoe UI" w:hAnsi="Segoe UI" w:cs="Segoe UI"/>
                <w:b/>
                <w:sz w:val="22"/>
              </w:rPr>
              <w:t>62</w:t>
            </w:r>
          </w:p>
        </w:tc>
        <w:tc>
          <w:tcPr>
            <w:tcW w:w="612" w:type="dxa"/>
            <w:shd w:val="clear" w:color="000000" w:fill="66FF33"/>
            <w:noWrap/>
          </w:tcPr>
          <w:p w:rsidR="0039452D" w:rsidRPr="0039452D" w:rsidRDefault="0039452D" w:rsidP="00EC32F7">
            <w:pPr>
              <w:jc w:val="center"/>
              <w:rPr>
                <w:rFonts w:ascii="Segoe UI" w:hAnsi="Segoe UI" w:cs="Segoe UI"/>
                <w:b/>
                <w:sz w:val="22"/>
              </w:rPr>
            </w:pPr>
            <w:r w:rsidRPr="0039452D">
              <w:rPr>
                <w:rFonts w:ascii="Segoe UI" w:hAnsi="Segoe UI" w:cs="Segoe UI"/>
                <w:b/>
                <w:sz w:val="22"/>
              </w:rPr>
              <w:t>14</w:t>
            </w:r>
          </w:p>
        </w:tc>
        <w:tc>
          <w:tcPr>
            <w:tcW w:w="660" w:type="dxa"/>
            <w:shd w:val="clear" w:color="auto" w:fill="FFFFFF" w:themeFill="background1"/>
          </w:tcPr>
          <w:p w:rsidR="0039452D" w:rsidRPr="0039452D" w:rsidRDefault="0039452D" w:rsidP="0039452D">
            <w:pPr>
              <w:jc w:val="center"/>
              <w:rPr>
                <w:rFonts w:ascii="Segoe UI" w:hAnsi="Segoe UI" w:cs="Segoe UI"/>
                <w:b/>
                <w:sz w:val="22"/>
              </w:rPr>
            </w:pPr>
            <w:r w:rsidRPr="0039452D">
              <w:rPr>
                <w:rFonts w:ascii="Segoe UI" w:hAnsi="Segoe UI" w:cs="Segoe UI"/>
                <w:b/>
                <w:sz w:val="22"/>
              </w:rPr>
              <w:t>69%</w:t>
            </w:r>
          </w:p>
        </w:tc>
      </w:tr>
      <w:tr w:rsidR="002A4520" w:rsidRPr="00D04AAB" w:rsidTr="0039452D">
        <w:trPr>
          <w:trHeight w:val="300"/>
        </w:trPr>
        <w:tc>
          <w:tcPr>
            <w:tcW w:w="3544" w:type="dxa"/>
            <w:shd w:val="clear" w:color="auto" w:fill="auto"/>
            <w:noWrap/>
            <w:vAlign w:val="bottom"/>
          </w:tcPr>
          <w:p w:rsidR="002A4520" w:rsidRPr="00F314C7" w:rsidRDefault="002A4520" w:rsidP="002A4520">
            <w:pPr>
              <w:jc w:val="right"/>
              <w:rPr>
                <w:rFonts w:ascii="Segoe UI" w:hAnsi="Segoe UI" w:cs="Segoe UI"/>
                <w:bCs/>
                <w:color w:val="000000"/>
                <w:sz w:val="22"/>
                <w:szCs w:val="22"/>
              </w:rPr>
            </w:pPr>
            <w:r w:rsidRPr="00F314C7">
              <w:rPr>
                <w:rFonts w:ascii="Segoe UI" w:hAnsi="Segoe UI" w:cs="Segoe UI"/>
                <w:bCs/>
                <w:color w:val="000000"/>
                <w:sz w:val="22"/>
                <w:szCs w:val="22"/>
              </w:rPr>
              <w:t>Oxfordshire</w:t>
            </w:r>
          </w:p>
        </w:tc>
        <w:tc>
          <w:tcPr>
            <w:tcW w:w="567" w:type="dxa"/>
            <w:shd w:val="clear" w:color="000000" w:fill="FF0000"/>
            <w:noWrap/>
          </w:tcPr>
          <w:p w:rsidR="002A4520" w:rsidRPr="00F314C7" w:rsidRDefault="0039452D" w:rsidP="00F314C7">
            <w:pPr>
              <w:jc w:val="center"/>
              <w:rPr>
                <w:rFonts w:ascii="Segoe UI" w:hAnsi="Segoe UI" w:cs="Segoe UI"/>
                <w:sz w:val="22"/>
              </w:rPr>
            </w:pPr>
            <w:r>
              <w:rPr>
                <w:rFonts w:ascii="Segoe UI" w:hAnsi="Segoe UI" w:cs="Segoe UI"/>
                <w:sz w:val="22"/>
              </w:rPr>
              <w:t>6</w:t>
            </w:r>
          </w:p>
        </w:tc>
        <w:tc>
          <w:tcPr>
            <w:tcW w:w="425" w:type="dxa"/>
            <w:shd w:val="clear" w:color="000000" w:fill="FFC000"/>
            <w:noWrap/>
          </w:tcPr>
          <w:p w:rsidR="002A4520" w:rsidRPr="00F314C7" w:rsidRDefault="0039452D" w:rsidP="00F314C7">
            <w:pPr>
              <w:jc w:val="center"/>
              <w:rPr>
                <w:rFonts w:ascii="Segoe UI" w:hAnsi="Segoe UI" w:cs="Segoe UI"/>
                <w:sz w:val="22"/>
              </w:rPr>
            </w:pPr>
            <w:r>
              <w:rPr>
                <w:rFonts w:ascii="Segoe UI" w:hAnsi="Segoe UI" w:cs="Segoe UI"/>
                <w:sz w:val="22"/>
              </w:rPr>
              <w:t>5</w:t>
            </w:r>
          </w:p>
        </w:tc>
        <w:tc>
          <w:tcPr>
            <w:tcW w:w="567" w:type="dxa"/>
            <w:shd w:val="clear" w:color="000000" w:fill="FFFF00"/>
            <w:noWrap/>
          </w:tcPr>
          <w:p w:rsidR="002A4520" w:rsidRPr="00F314C7" w:rsidRDefault="0039452D" w:rsidP="00F314C7">
            <w:pPr>
              <w:jc w:val="center"/>
              <w:rPr>
                <w:rFonts w:ascii="Segoe UI" w:hAnsi="Segoe UI" w:cs="Segoe UI"/>
                <w:sz w:val="22"/>
              </w:rPr>
            </w:pPr>
            <w:r>
              <w:rPr>
                <w:rFonts w:ascii="Segoe UI" w:hAnsi="Segoe UI" w:cs="Segoe UI"/>
                <w:sz w:val="22"/>
              </w:rPr>
              <w:t>2</w:t>
            </w:r>
          </w:p>
        </w:tc>
        <w:tc>
          <w:tcPr>
            <w:tcW w:w="738" w:type="dxa"/>
            <w:shd w:val="clear" w:color="000000" w:fill="92D050"/>
            <w:noWrap/>
          </w:tcPr>
          <w:p w:rsidR="002A4520" w:rsidRPr="00F314C7" w:rsidRDefault="0039452D" w:rsidP="00F314C7">
            <w:pPr>
              <w:jc w:val="center"/>
              <w:rPr>
                <w:rFonts w:ascii="Segoe UI" w:hAnsi="Segoe UI" w:cs="Segoe UI"/>
                <w:sz w:val="22"/>
              </w:rPr>
            </w:pPr>
            <w:r>
              <w:rPr>
                <w:rFonts w:ascii="Segoe UI" w:hAnsi="Segoe UI" w:cs="Segoe UI"/>
                <w:sz w:val="22"/>
              </w:rPr>
              <w:t>22</w:t>
            </w:r>
          </w:p>
        </w:tc>
        <w:tc>
          <w:tcPr>
            <w:tcW w:w="612" w:type="dxa"/>
            <w:shd w:val="clear" w:color="000000" w:fill="66FF33"/>
            <w:noWrap/>
          </w:tcPr>
          <w:p w:rsidR="002A4520" w:rsidRPr="00F314C7" w:rsidRDefault="0039452D" w:rsidP="00F314C7">
            <w:pPr>
              <w:jc w:val="center"/>
              <w:rPr>
                <w:rFonts w:ascii="Segoe UI" w:hAnsi="Segoe UI" w:cs="Segoe UI"/>
                <w:sz w:val="22"/>
              </w:rPr>
            </w:pPr>
            <w:r>
              <w:rPr>
                <w:rFonts w:ascii="Segoe UI" w:hAnsi="Segoe UI" w:cs="Segoe UI"/>
                <w:sz w:val="22"/>
              </w:rPr>
              <w:t>7</w:t>
            </w:r>
          </w:p>
        </w:tc>
        <w:tc>
          <w:tcPr>
            <w:tcW w:w="660" w:type="dxa"/>
            <w:shd w:val="clear" w:color="auto" w:fill="FFFFFF" w:themeFill="background1"/>
          </w:tcPr>
          <w:p w:rsidR="002A4520" w:rsidRPr="00F314C7" w:rsidRDefault="00F314C7" w:rsidP="0039452D">
            <w:pPr>
              <w:jc w:val="center"/>
              <w:rPr>
                <w:rFonts w:ascii="Segoe UI" w:hAnsi="Segoe UI" w:cs="Segoe UI"/>
                <w:sz w:val="22"/>
              </w:rPr>
            </w:pPr>
            <w:r>
              <w:rPr>
                <w:rFonts w:ascii="Segoe UI" w:hAnsi="Segoe UI" w:cs="Segoe UI"/>
                <w:sz w:val="22"/>
              </w:rPr>
              <w:t>6</w:t>
            </w:r>
            <w:r w:rsidR="0039452D">
              <w:rPr>
                <w:rFonts w:ascii="Segoe UI" w:hAnsi="Segoe UI" w:cs="Segoe UI"/>
                <w:sz w:val="22"/>
              </w:rPr>
              <w:t>9</w:t>
            </w:r>
            <w:r>
              <w:rPr>
                <w:rFonts w:ascii="Segoe UI" w:hAnsi="Segoe UI" w:cs="Segoe UI"/>
                <w:sz w:val="22"/>
              </w:rPr>
              <w:t>%</w:t>
            </w:r>
          </w:p>
        </w:tc>
      </w:tr>
      <w:tr w:rsidR="002A4520" w:rsidRPr="00D04AAB" w:rsidTr="0039452D">
        <w:trPr>
          <w:trHeight w:val="300"/>
        </w:trPr>
        <w:tc>
          <w:tcPr>
            <w:tcW w:w="3544" w:type="dxa"/>
            <w:shd w:val="clear" w:color="auto" w:fill="auto"/>
            <w:noWrap/>
            <w:vAlign w:val="bottom"/>
          </w:tcPr>
          <w:p w:rsidR="002A4520" w:rsidRPr="00F314C7" w:rsidRDefault="002A4520" w:rsidP="002A4520">
            <w:pPr>
              <w:jc w:val="right"/>
              <w:rPr>
                <w:rFonts w:ascii="Segoe UI" w:hAnsi="Segoe UI" w:cs="Segoe UI"/>
                <w:bCs/>
                <w:color w:val="000000"/>
                <w:sz w:val="22"/>
                <w:szCs w:val="22"/>
              </w:rPr>
            </w:pPr>
            <w:r w:rsidRPr="00F314C7">
              <w:rPr>
                <w:rFonts w:ascii="Segoe UI" w:hAnsi="Segoe UI" w:cs="Segoe UI"/>
                <w:bCs/>
                <w:color w:val="000000"/>
                <w:sz w:val="22"/>
                <w:szCs w:val="22"/>
              </w:rPr>
              <w:t>Buckinghamshire</w:t>
            </w:r>
          </w:p>
        </w:tc>
        <w:tc>
          <w:tcPr>
            <w:tcW w:w="567" w:type="dxa"/>
            <w:shd w:val="clear" w:color="000000" w:fill="FF0000"/>
            <w:noWrap/>
          </w:tcPr>
          <w:p w:rsidR="002A4520" w:rsidRPr="00F314C7" w:rsidRDefault="0039452D" w:rsidP="00F314C7">
            <w:pPr>
              <w:jc w:val="center"/>
              <w:rPr>
                <w:rFonts w:ascii="Segoe UI" w:hAnsi="Segoe UI" w:cs="Segoe UI"/>
                <w:sz w:val="22"/>
              </w:rPr>
            </w:pPr>
            <w:r>
              <w:rPr>
                <w:rFonts w:ascii="Segoe UI" w:hAnsi="Segoe UI" w:cs="Segoe UI"/>
                <w:sz w:val="22"/>
              </w:rPr>
              <w:t>8</w:t>
            </w:r>
          </w:p>
        </w:tc>
        <w:tc>
          <w:tcPr>
            <w:tcW w:w="425" w:type="dxa"/>
            <w:shd w:val="clear" w:color="000000" w:fill="FFC000"/>
            <w:noWrap/>
          </w:tcPr>
          <w:p w:rsidR="002A4520" w:rsidRPr="00F314C7" w:rsidRDefault="0039452D" w:rsidP="00F314C7">
            <w:pPr>
              <w:jc w:val="center"/>
              <w:rPr>
                <w:rFonts w:ascii="Segoe UI" w:hAnsi="Segoe UI" w:cs="Segoe UI"/>
                <w:sz w:val="22"/>
              </w:rPr>
            </w:pPr>
            <w:r>
              <w:rPr>
                <w:rFonts w:ascii="Segoe UI" w:hAnsi="Segoe UI" w:cs="Segoe UI"/>
                <w:sz w:val="22"/>
              </w:rPr>
              <w:t>2</w:t>
            </w:r>
          </w:p>
        </w:tc>
        <w:tc>
          <w:tcPr>
            <w:tcW w:w="567" w:type="dxa"/>
            <w:shd w:val="clear" w:color="000000" w:fill="FFFF00"/>
            <w:noWrap/>
          </w:tcPr>
          <w:p w:rsidR="002A4520" w:rsidRPr="00F314C7" w:rsidRDefault="0039452D" w:rsidP="00F314C7">
            <w:pPr>
              <w:jc w:val="center"/>
              <w:rPr>
                <w:rFonts w:ascii="Segoe UI" w:hAnsi="Segoe UI" w:cs="Segoe UI"/>
                <w:sz w:val="22"/>
              </w:rPr>
            </w:pPr>
            <w:r>
              <w:rPr>
                <w:rFonts w:ascii="Segoe UI" w:hAnsi="Segoe UI" w:cs="Segoe UI"/>
                <w:sz w:val="22"/>
              </w:rPr>
              <w:t>5</w:t>
            </w:r>
          </w:p>
        </w:tc>
        <w:tc>
          <w:tcPr>
            <w:tcW w:w="738" w:type="dxa"/>
            <w:shd w:val="clear" w:color="000000" w:fill="92D050"/>
            <w:noWrap/>
          </w:tcPr>
          <w:p w:rsidR="002A4520" w:rsidRPr="00F314C7" w:rsidRDefault="0039452D" w:rsidP="00F314C7">
            <w:pPr>
              <w:jc w:val="center"/>
              <w:rPr>
                <w:rFonts w:ascii="Segoe UI" w:hAnsi="Segoe UI" w:cs="Segoe UI"/>
                <w:sz w:val="22"/>
              </w:rPr>
            </w:pPr>
            <w:r>
              <w:rPr>
                <w:rFonts w:ascii="Segoe UI" w:hAnsi="Segoe UI" w:cs="Segoe UI"/>
                <w:sz w:val="22"/>
              </w:rPr>
              <w:t>14</w:t>
            </w:r>
          </w:p>
        </w:tc>
        <w:tc>
          <w:tcPr>
            <w:tcW w:w="612" w:type="dxa"/>
            <w:shd w:val="clear" w:color="000000" w:fill="66FF33"/>
            <w:noWrap/>
          </w:tcPr>
          <w:p w:rsidR="002A4520" w:rsidRPr="00F314C7" w:rsidRDefault="0039452D" w:rsidP="00F314C7">
            <w:pPr>
              <w:jc w:val="center"/>
              <w:rPr>
                <w:rFonts w:ascii="Segoe UI" w:hAnsi="Segoe UI" w:cs="Segoe UI"/>
                <w:sz w:val="22"/>
              </w:rPr>
            </w:pPr>
            <w:r>
              <w:rPr>
                <w:rFonts w:ascii="Segoe UI" w:hAnsi="Segoe UI" w:cs="Segoe UI"/>
                <w:sz w:val="22"/>
              </w:rPr>
              <w:t>7</w:t>
            </w:r>
          </w:p>
        </w:tc>
        <w:tc>
          <w:tcPr>
            <w:tcW w:w="660" w:type="dxa"/>
            <w:shd w:val="clear" w:color="auto" w:fill="FFFFFF" w:themeFill="background1"/>
          </w:tcPr>
          <w:p w:rsidR="002A4520" w:rsidRPr="00F314C7" w:rsidRDefault="0039452D" w:rsidP="0039452D">
            <w:pPr>
              <w:jc w:val="center"/>
              <w:rPr>
                <w:rFonts w:ascii="Segoe UI" w:hAnsi="Segoe UI" w:cs="Segoe UI"/>
                <w:sz w:val="22"/>
              </w:rPr>
            </w:pPr>
            <w:r>
              <w:rPr>
                <w:rFonts w:ascii="Segoe UI" w:hAnsi="Segoe UI" w:cs="Segoe UI"/>
                <w:sz w:val="22"/>
              </w:rPr>
              <w:t>58</w:t>
            </w:r>
            <w:r w:rsidR="00F314C7">
              <w:rPr>
                <w:rFonts w:ascii="Segoe UI" w:hAnsi="Segoe UI" w:cs="Segoe UI"/>
                <w:sz w:val="22"/>
              </w:rPr>
              <w:t>%</w:t>
            </w:r>
          </w:p>
        </w:tc>
      </w:tr>
      <w:tr w:rsidR="002A4520" w:rsidRPr="00D04AAB" w:rsidTr="0039452D">
        <w:trPr>
          <w:trHeight w:val="300"/>
        </w:trPr>
        <w:tc>
          <w:tcPr>
            <w:tcW w:w="3544" w:type="dxa"/>
            <w:shd w:val="clear" w:color="auto" w:fill="auto"/>
            <w:noWrap/>
            <w:vAlign w:val="bottom"/>
          </w:tcPr>
          <w:p w:rsidR="002A4520" w:rsidRPr="00F314C7" w:rsidRDefault="002A4520" w:rsidP="002A4520">
            <w:pPr>
              <w:jc w:val="right"/>
              <w:rPr>
                <w:rFonts w:ascii="Segoe UI" w:hAnsi="Segoe UI" w:cs="Segoe UI"/>
                <w:bCs/>
                <w:color w:val="000000"/>
                <w:sz w:val="22"/>
                <w:szCs w:val="22"/>
              </w:rPr>
            </w:pPr>
            <w:r w:rsidRPr="00F314C7">
              <w:rPr>
                <w:rFonts w:ascii="Segoe UI" w:hAnsi="Segoe UI" w:cs="Segoe UI"/>
                <w:bCs/>
                <w:color w:val="000000"/>
                <w:sz w:val="22"/>
                <w:szCs w:val="22"/>
              </w:rPr>
              <w:t>Forensic</w:t>
            </w:r>
          </w:p>
        </w:tc>
        <w:tc>
          <w:tcPr>
            <w:tcW w:w="567" w:type="dxa"/>
            <w:shd w:val="clear" w:color="000000" w:fill="FF0000"/>
            <w:noWrap/>
          </w:tcPr>
          <w:p w:rsidR="002A4520" w:rsidRPr="00F314C7" w:rsidRDefault="0039452D" w:rsidP="00F314C7">
            <w:pPr>
              <w:jc w:val="center"/>
              <w:rPr>
                <w:rFonts w:ascii="Segoe UI" w:hAnsi="Segoe UI" w:cs="Segoe UI"/>
                <w:sz w:val="22"/>
              </w:rPr>
            </w:pPr>
            <w:r>
              <w:rPr>
                <w:rFonts w:ascii="Segoe UI" w:hAnsi="Segoe UI" w:cs="Segoe UI"/>
                <w:sz w:val="22"/>
              </w:rPr>
              <w:t>4</w:t>
            </w:r>
          </w:p>
        </w:tc>
        <w:tc>
          <w:tcPr>
            <w:tcW w:w="425" w:type="dxa"/>
            <w:shd w:val="clear" w:color="000000" w:fill="FFC000"/>
            <w:noWrap/>
          </w:tcPr>
          <w:p w:rsidR="002A4520" w:rsidRPr="00F314C7" w:rsidRDefault="0039452D" w:rsidP="00F314C7">
            <w:pPr>
              <w:jc w:val="center"/>
              <w:rPr>
                <w:rFonts w:ascii="Segoe UI" w:hAnsi="Segoe UI" w:cs="Segoe UI"/>
                <w:sz w:val="22"/>
              </w:rPr>
            </w:pPr>
            <w:r>
              <w:rPr>
                <w:rFonts w:ascii="Segoe UI" w:hAnsi="Segoe UI" w:cs="Segoe UI"/>
                <w:sz w:val="22"/>
              </w:rPr>
              <w:t>2</w:t>
            </w:r>
          </w:p>
        </w:tc>
        <w:tc>
          <w:tcPr>
            <w:tcW w:w="567" w:type="dxa"/>
            <w:shd w:val="clear" w:color="000000" w:fill="FFFF00"/>
            <w:noWrap/>
          </w:tcPr>
          <w:p w:rsidR="002A4520" w:rsidRPr="00F314C7" w:rsidRDefault="0039452D" w:rsidP="00F314C7">
            <w:pPr>
              <w:jc w:val="center"/>
              <w:rPr>
                <w:rFonts w:ascii="Segoe UI" w:hAnsi="Segoe UI" w:cs="Segoe UI"/>
                <w:sz w:val="22"/>
              </w:rPr>
            </w:pPr>
            <w:r>
              <w:rPr>
                <w:rFonts w:ascii="Segoe UI" w:hAnsi="Segoe UI" w:cs="Segoe UI"/>
                <w:sz w:val="22"/>
              </w:rPr>
              <w:t>0</w:t>
            </w:r>
          </w:p>
        </w:tc>
        <w:tc>
          <w:tcPr>
            <w:tcW w:w="738" w:type="dxa"/>
            <w:shd w:val="clear" w:color="000000" w:fill="92D050"/>
            <w:noWrap/>
          </w:tcPr>
          <w:p w:rsidR="002A4520" w:rsidRPr="00F314C7" w:rsidRDefault="0039452D" w:rsidP="00F314C7">
            <w:pPr>
              <w:jc w:val="center"/>
              <w:rPr>
                <w:rFonts w:ascii="Segoe UI" w:hAnsi="Segoe UI" w:cs="Segoe UI"/>
                <w:sz w:val="22"/>
              </w:rPr>
            </w:pPr>
            <w:r>
              <w:rPr>
                <w:rFonts w:ascii="Segoe UI" w:hAnsi="Segoe UI" w:cs="Segoe UI"/>
                <w:sz w:val="22"/>
              </w:rPr>
              <w:t>26</w:t>
            </w:r>
          </w:p>
        </w:tc>
        <w:tc>
          <w:tcPr>
            <w:tcW w:w="612" w:type="dxa"/>
            <w:shd w:val="clear" w:color="000000" w:fill="66FF33"/>
            <w:noWrap/>
          </w:tcPr>
          <w:p w:rsidR="002A4520" w:rsidRPr="00F314C7" w:rsidRDefault="0039452D" w:rsidP="00F314C7">
            <w:pPr>
              <w:jc w:val="center"/>
              <w:rPr>
                <w:rFonts w:ascii="Segoe UI" w:hAnsi="Segoe UI" w:cs="Segoe UI"/>
                <w:sz w:val="22"/>
              </w:rPr>
            </w:pPr>
            <w:r>
              <w:rPr>
                <w:rFonts w:ascii="Segoe UI" w:hAnsi="Segoe UI" w:cs="Segoe UI"/>
                <w:sz w:val="22"/>
              </w:rPr>
              <w:t>0</w:t>
            </w:r>
          </w:p>
        </w:tc>
        <w:tc>
          <w:tcPr>
            <w:tcW w:w="660" w:type="dxa"/>
            <w:shd w:val="clear" w:color="auto" w:fill="FFFFFF" w:themeFill="background1"/>
          </w:tcPr>
          <w:p w:rsidR="002A4520" w:rsidRPr="00F314C7" w:rsidRDefault="0039452D" w:rsidP="0039452D">
            <w:pPr>
              <w:jc w:val="center"/>
              <w:rPr>
                <w:rFonts w:ascii="Segoe UI" w:hAnsi="Segoe UI" w:cs="Segoe UI"/>
                <w:sz w:val="22"/>
              </w:rPr>
            </w:pPr>
            <w:r>
              <w:rPr>
                <w:rFonts w:ascii="Segoe UI" w:hAnsi="Segoe UI" w:cs="Segoe UI"/>
                <w:sz w:val="22"/>
              </w:rPr>
              <w:t>81</w:t>
            </w:r>
            <w:r w:rsidR="00F314C7">
              <w:rPr>
                <w:rFonts w:ascii="Segoe UI" w:hAnsi="Segoe UI" w:cs="Segoe UI"/>
                <w:sz w:val="22"/>
              </w:rPr>
              <w:t>%</w:t>
            </w:r>
          </w:p>
        </w:tc>
      </w:tr>
    </w:tbl>
    <w:p w:rsidR="006C2EFA" w:rsidRDefault="006C2EFA" w:rsidP="00573D0B">
      <w:pPr>
        <w:rPr>
          <w:rFonts w:ascii="Segoe UI" w:hAnsi="Segoe UI" w:cs="Segoe UI"/>
          <w:sz w:val="22"/>
        </w:rPr>
      </w:pPr>
    </w:p>
    <w:p w:rsidR="003C30B9" w:rsidRDefault="003C30B9" w:rsidP="00573D0B">
      <w:pPr>
        <w:rPr>
          <w:rFonts w:ascii="Segoe UI" w:hAnsi="Segoe UI" w:cs="Segoe UI"/>
          <w:sz w:val="22"/>
        </w:rPr>
      </w:pPr>
    </w:p>
    <w:p w:rsidR="00A14D4E" w:rsidRDefault="00A14D4E" w:rsidP="00573D0B">
      <w:pPr>
        <w:rPr>
          <w:rFonts w:ascii="Segoe UI" w:hAnsi="Segoe UI" w:cs="Segoe UI"/>
          <w:sz w:val="22"/>
        </w:rPr>
      </w:pPr>
    </w:p>
    <w:p w:rsidR="00061C7D" w:rsidRDefault="00061C7D" w:rsidP="00061C7D">
      <w:pPr>
        <w:shd w:val="clear" w:color="auto" w:fill="0070C0"/>
        <w:rPr>
          <w:rFonts w:ascii="Segoe UI" w:hAnsi="Segoe UI" w:cs="Segoe UI"/>
          <w:b/>
          <w:color w:val="FFFFFF" w:themeColor="background1"/>
        </w:rPr>
      </w:pPr>
      <w:r>
        <w:rPr>
          <w:rFonts w:ascii="Segoe UI" w:hAnsi="Segoe UI" w:cs="Segoe UI"/>
          <w:b/>
          <w:color w:val="FFFFFF" w:themeColor="background1"/>
        </w:rPr>
        <w:lastRenderedPageBreak/>
        <w:t>Performance Trend</w:t>
      </w:r>
    </w:p>
    <w:p w:rsidR="00A14D4E" w:rsidRDefault="00A14D4E" w:rsidP="00573D0B">
      <w:pPr>
        <w:rPr>
          <w:rFonts w:ascii="Segoe UI" w:hAnsi="Segoe UI" w:cs="Segoe UI"/>
          <w:sz w:val="22"/>
        </w:rPr>
      </w:pPr>
    </w:p>
    <w:p w:rsidR="00061C7D" w:rsidRDefault="00EB4E2D" w:rsidP="00573D0B">
      <w:pPr>
        <w:rPr>
          <w:rFonts w:ascii="Segoe UI" w:hAnsi="Segoe UI" w:cs="Segoe UI"/>
          <w:sz w:val="22"/>
        </w:rPr>
      </w:pPr>
      <w:r>
        <w:rPr>
          <w:rFonts w:ascii="Segoe UI" w:hAnsi="Segoe UI" w:cs="Segoe UI"/>
          <w:sz w:val="22"/>
        </w:rPr>
        <w:t xml:space="preserve">The number of reportable indicators varies each month.  In month 12; 1,252 indicators were reportable of which 93% were achieved.  Despite the fluctuating numbers of indicators </w:t>
      </w:r>
      <w:r w:rsidR="009A1955">
        <w:rPr>
          <w:rFonts w:ascii="Segoe UI" w:hAnsi="Segoe UI" w:cs="Segoe UI"/>
          <w:sz w:val="22"/>
        </w:rPr>
        <w:t>the</w:t>
      </w:r>
      <w:r>
        <w:rPr>
          <w:rFonts w:ascii="Segoe UI" w:hAnsi="Segoe UI" w:cs="Segoe UI"/>
          <w:sz w:val="22"/>
        </w:rPr>
        <w:t xml:space="preserve"> % level of compliance has remained stable over the past </w:t>
      </w:r>
      <w:r w:rsidR="009A1955">
        <w:rPr>
          <w:rFonts w:ascii="Segoe UI" w:hAnsi="Segoe UI" w:cs="Segoe UI"/>
          <w:sz w:val="22"/>
        </w:rPr>
        <w:t xml:space="preserve">3 months at 92/93% as illustrated </w:t>
      </w:r>
      <w:r w:rsidR="005D3CF6">
        <w:rPr>
          <w:rFonts w:ascii="Segoe UI" w:hAnsi="Segoe UI" w:cs="Segoe UI"/>
          <w:sz w:val="22"/>
        </w:rPr>
        <w:t>below;</w:t>
      </w:r>
    </w:p>
    <w:p w:rsidR="00A14D4E" w:rsidRDefault="00A14D4E" w:rsidP="00573D0B">
      <w:pPr>
        <w:rPr>
          <w:rFonts w:ascii="Segoe UI" w:hAnsi="Segoe UI" w:cs="Segoe UI"/>
          <w:sz w:val="22"/>
        </w:rPr>
      </w:pPr>
    </w:p>
    <w:p w:rsidR="00EB4E2D" w:rsidRDefault="009A1955" w:rsidP="00573D0B">
      <w:pPr>
        <w:rPr>
          <w:rFonts w:ascii="Segoe UI" w:hAnsi="Segoe UI" w:cs="Segoe UI"/>
          <w:sz w:val="22"/>
        </w:rPr>
      </w:pPr>
      <w:r>
        <w:rPr>
          <w:noProof/>
        </w:rPr>
        <w:drawing>
          <wp:inline distT="0" distB="0" distL="0" distR="0" wp14:anchorId="58C0F854" wp14:editId="6A5BE82A">
            <wp:extent cx="4327451" cy="2115879"/>
            <wp:effectExtent l="0" t="0" r="16510" b="177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D3CF6" w:rsidRPr="005D3CF6" w:rsidRDefault="005D3CF6" w:rsidP="00573D0B">
      <w:pPr>
        <w:rPr>
          <w:rFonts w:ascii="Segoe UI" w:hAnsi="Segoe UI" w:cs="Segoe UI"/>
          <w:sz w:val="16"/>
        </w:rPr>
      </w:pPr>
    </w:p>
    <w:p w:rsidR="005D3CF6" w:rsidRDefault="005D3CF6" w:rsidP="00573D0B">
      <w:pPr>
        <w:rPr>
          <w:rFonts w:ascii="Segoe UI" w:hAnsi="Segoe UI" w:cs="Segoe UI"/>
          <w:sz w:val="22"/>
        </w:rPr>
      </w:pPr>
      <w:r>
        <w:rPr>
          <w:noProof/>
        </w:rPr>
        <w:drawing>
          <wp:inline distT="0" distB="0" distL="0" distR="0" wp14:anchorId="43BF3C74" wp14:editId="1764AE38">
            <wp:extent cx="4326340" cy="2156346"/>
            <wp:effectExtent l="0" t="0" r="17145" b="1587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D3CF6" w:rsidRDefault="0052731D" w:rsidP="00573D0B">
      <w:pPr>
        <w:rPr>
          <w:rFonts w:ascii="Segoe UI" w:hAnsi="Segoe UI" w:cs="Segoe UI"/>
          <w:sz w:val="22"/>
        </w:rPr>
      </w:pPr>
      <w:r>
        <w:rPr>
          <w:rFonts w:ascii="Segoe UI" w:hAnsi="Segoe UI" w:cs="Segoe UI"/>
          <w:sz w:val="22"/>
        </w:rPr>
        <w:lastRenderedPageBreak/>
        <w:t>The National (SOF) and Directorate (local contractual) performance trend is illustrated below.  Whilst the Older People’s Directorate (OPD) trend has declined</w:t>
      </w:r>
      <w:r w:rsidR="007B0928">
        <w:rPr>
          <w:rFonts w:ascii="Segoe UI" w:hAnsi="Segoe UI" w:cs="Segoe UI"/>
          <w:sz w:val="22"/>
        </w:rPr>
        <w:t xml:space="preserve"> slightly</w:t>
      </w:r>
      <w:r>
        <w:rPr>
          <w:rFonts w:ascii="Segoe UI" w:hAnsi="Segoe UI" w:cs="Segoe UI"/>
          <w:sz w:val="22"/>
        </w:rPr>
        <w:t xml:space="preserve"> in month 12, this relates to a small number of indicators (7) that are within 5% of the required target/threshold.  Overall directorate compliance </w:t>
      </w:r>
      <w:r w:rsidR="007B0928">
        <w:rPr>
          <w:rFonts w:ascii="Segoe UI" w:hAnsi="Segoe UI" w:cs="Segoe UI"/>
          <w:sz w:val="22"/>
        </w:rPr>
        <w:t xml:space="preserve">over the past 3 months </w:t>
      </w:r>
      <w:r>
        <w:rPr>
          <w:rFonts w:ascii="Segoe UI" w:hAnsi="Segoe UI" w:cs="Segoe UI"/>
          <w:sz w:val="22"/>
        </w:rPr>
        <w:t xml:space="preserve">remains high at </w:t>
      </w:r>
      <w:r w:rsidR="007B0928">
        <w:rPr>
          <w:rFonts w:ascii="Segoe UI" w:hAnsi="Segoe UI" w:cs="Segoe UI"/>
          <w:sz w:val="22"/>
        </w:rPr>
        <w:t xml:space="preserve">an average of </w:t>
      </w:r>
      <w:r>
        <w:rPr>
          <w:rFonts w:ascii="Segoe UI" w:hAnsi="Segoe UI" w:cs="Segoe UI"/>
          <w:sz w:val="22"/>
        </w:rPr>
        <w:t>81%</w:t>
      </w:r>
      <w:r w:rsidR="007B0928">
        <w:rPr>
          <w:rFonts w:ascii="Segoe UI" w:hAnsi="Segoe UI" w:cs="Segoe UI"/>
          <w:sz w:val="22"/>
        </w:rPr>
        <w:t>.</w:t>
      </w:r>
    </w:p>
    <w:p w:rsidR="0052731D" w:rsidRDefault="0052731D" w:rsidP="00573D0B">
      <w:pPr>
        <w:rPr>
          <w:rFonts w:ascii="Segoe UI" w:hAnsi="Segoe UI" w:cs="Segoe UI"/>
          <w:sz w:val="22"/>
        </w:rPr>
      </w:pPr>
    </w:p>
    <w:p w:rsidR="00A14D4E" w:rsidRDefault="005D3CF6" w:rsidP="00573D0B">
      <w:pPr>
        <w:rPr>
          <w:rFonts w:ascii="Segoe UI" w:hAnsi="Segoe UI" w:cs="Segoe UI"/>
          <w:sz w:val="22"/>
        </w:rPr>
      </w:pPr>
      <w:r>
        <w:rPr>
          <w:noProof/>
        </w:rPr>
        <w:drawing>
          <wp:inline distT="0" distB="0" distL="0" distR="0" wp14:anchorId="4297A793" wp14:editId="7A547169">
            <wp:extent cx="4419600" cy="3020060"/>
            <wp:effectExtent l="0" t="0" r="19050" b="2794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14D4E" w:rsidRDefault="00A14D4E" w:rsidP="00573D0B">
      <w:pPr>
        <w:rPr>
          <w:rFonts w:ascii="Segoe UI" w:hAnsi="Segoe UI" w:cs="Segoe UI"/>
          <w:sz w:val="22"/>
        </w:rPr>
      </w:pPr>
    </w:p>
    <w:p w:rsidR="00A14D4E" w:rsidRDefault="00A14D4E" w:rsidP="00573D0B">
      <w:pPr>
        <w:rPr>
          <w:rFonts w:ascii="Segoe UI" w:hAnsi="Segoe UI" w:cs="Segoe UI"/>
          <w:sz w:val="22"/>
        </w:rPr>
      </w:pPr>
    </w:p>
    <w:p w:rsidR="00A14D4E" w:rsidRDefault="00A14D4E" w:rsidP="00573D0B">
      <w:pPr>
        <w:rPr>
          <w:rFonts w:ascii="Segoe UI" w:hAnsi="Segoe UI" w:cs="Segoe UI"/>
          <w:sz w:val="22"/>
        </w:rPr>
      </w:pPr>
    </w:p>
    <w:p w:rsidR="005D3CF6" w:rsidRDefault="005D3CF6" w:rsidP="00573D0B">
      <w:pPr>
        <w:rPr>
          <w:rFonts w:ascii="Segoe UI" w:hAnsi="Segoe UI" w:cs="Segoe UI"/>
          <w:sz w:val="22"/>
        </w:rPr>
      </w:pPr>
    </w:p>
    <w:p w:rsidR="005D3CF6" w:rsidRDefault="005D3CF6" w:rsidP="00573D0B">
      <w:pPr>
        <w:rPr>
          <w:rFonts w:ascii="Segoe UI" w:hAnsi="Segoe UI" w:cs="Segoe UI"/>
          <w:sz w:val="22"/>
        </w:rPr>
      </w:pPr>
    </w:p>
    <w:p w:rsidR="0052731D" w:rsidRDefault="0052731D" w:rsidP="00573D0B">
      <w:pPr>
        <w:rPr>
          <w:rFonts w:ascii="Segoe UI" w:hAnsi="Segoe UI" w:cs="Segoe UI"/>
          <w:sz w:val="22"/>
        </w:rPr>
      </w:pPr>
    </w:p>
    <w:p w:rsidR="0052731D" w:rsidRDefault="0052731D" w:rsidP="00573D0B">
      <w:pPr>
        <w:rPr>
          <w:rFonts w:ascii="Segoe UI" w:hAnsi="Segoe UI" w:cs="Segoe UI"/>
          <w:sz w:val="22"/>
        </w:rPr>
      </w:pPr>
    </w:p>
    <w:p w:rsidR="005D3CF6" w:rsidRDefault="005D3CF6" w:rsidP="00573D0B">
      <w:pPr>
        <w:rPr>
          <w:rFonts w:ascii="Segoe UI" w:hAnsi="Segoe UI" w:cs="Segoe UI"/>
          <w:sz w:val="22"/>
        </w:rPr>
      </w:pPr>
    </w:p>
    <w:p w:rsidR="005D3CF6" w:rsidRDefault="005D3CF6" w:rsidP="00573D0B">
      <w:pPr>
        <w:rPr>
          <w:rFonts w:ascii="Segoe UI" w:hAnsi="Segoe UI" w:cs="Segoe UI"/>
          <w:sz w:val="22"/>
        </w:rPr>
      </w:pPr>
    </w:p>
    <w:p w:rsidR="00573D0B" w:rsidRDefault="001E7767" w:rsidP="00573D0B">
      <w:pPr>
        <w:shd w:val="clear" w:color="auto" w:fill="0070C0"/>
        <w:rPr>
          <w:rFonts w:ascii="Segoe UI" w:hAnsi="Segoe UI" w:cs="Segoe UI"/>
          <w:b/>
          <w:color w:val="FFFFFF" w:themeColor="background1"/>
        </w:rPr>
      </w:pPr>
      <w:r>
        <w:rPr>
          <w:rFonts w:ascii="Segoe UI" w:hAnsi="Segoe UI" w:cs="Segoe UI"/>
          <w:b/>
          <w:color w:val="FFFFFF" w:themeColor="background1"/>
        </w:rPr>
        <w:t xml:space="preserve">NATIONAL: </w:t>
      </w:r>
      <w:r w:rsidR="00573D0B" w:rsidRPr="00D04AAB">
        <w:rPr>
          <w:rFonts w:ascii="Segoe UI" w:hAnsi="Segoe UI" w:cs="Segoe UI"/>
          <w:b/>
          <w:color w:val="FFFFFF" w:themeColor="background1"/>
        </w:rPr>
        <w:t>Single Oversight Framework – M1</w:t>
      </w:r>
      <w:r w:rsidR="00642F4C">
        <w:rPr>
          <w:rFonts w:ascii="Segoe UI" w:hAnsi="Segoe UI" w:cs="Segoe UI"/>
          <w:b/>
          <w:color w:val="FFFFFF" w:themeColor="background1"/>
        </w:rPr>
        <w:t>2</w:t>
      </w:r>
      <w:r w:rsidR="00573D0B" w:rsidRPr="00D04AAB">
        <w:rPr>
          <w:rFonts w:ascii="Segoe UI" w:hAnsi="Segoe UI" w:cs="Segoe UI"/>
          <w:b/>
          <w:color w:val="FFFFFF" w:themeColor="background1"/>
        </w:rPr>
        <w:t xml:space="preserve"> FY17</w:t>
      </w:r>
    </w:p>
    <w:p w:rsidR="000076C3" w:rsidRPr="0003431D" w:rsidRDefault="000076C3">
      <w:pPr>
        <w:rPr>
          <w:rFonts w:ascii="Segoe UI" w:hAnsi="Segoe UI" w:cs="Segoe UI"/>
          <w:b/>
          <w:color w:val="FFFFFF" w:themeColor="background1"/>
          <w:sz w:val="22"/>
        </w:rPr>
      </w:pPr>
    </w:p>
    <w:p w:rsidR="006A7D46" w:rsidRPr="0003431D" w:rsidRDefault="006A7D46">
      <w:pPr>
        <w:rPr>
          <w:rFonts w:ascii="Segoe UI" w:hAnsi="Segoe UI" w:cs="Segoe UI"/>
          <w:b/>
          <w:sz w:val="22"/>
        </w:rPr>
      </w:pPr>
      <w:r w:rsidRPr="0003431D">
        <w:rPr>
          <w:rFonts w:ascii="Segoe UI" w:hAnsi="Segoe UI" w:cs="Segoe UI"/>
          <w:b/>
          <w:sz w:val="22"/>
        </w:rPr>
        <w:t>Introduction</w:t>
      </w:r>
    </w:p>
    <w:p w:rsidR="000076C3" w:rsidRPr="0003431D" w:rsidRDefault="000076C3">
      <w:pPr>
        <w:rPr>
          <w:rFonts w:ascii="Segoe UI" w:hAnsi="Segoe UI" w:cs="Segoe UI"/>
          <w:sz w:val="22"/>
        </w:rPr>
      </w:pPr>
      <w:r w:rsidRPr="0003431D">
        <w:rPr>
          <w:rFonts w:ascii="Segoe UI" w:hAnsi="Segoe UI" w:cs="Segoe UI"/>
          <w:sz w:val="22"/>
        </w:rPr>
        <w:t xml:space="preserve">NHS Improvement (NHSI) implemented the Single Oversight Framework (SOF) on 1 October 2016 and this replaces Monitor’s Risk Assessment Framework. The framework </w:t>
      </w:r>
      <w:r w:rsidR="006A7D46" w:rsidRPr="0003431D">
        <w:rPr>
          <w:rFonts w:ascii="Segoe UI" w:hAnsi="Segoe UI" w:cs="Segoe UI"/>
          <w:sz w:val="22"/>
        </w:rPr>
        <w:t xml:space="preserve">follows </w:t>
      </w:r>
      <w:r w:rsidRPr="0003431D">
        <w:rPr>
          <w:rFonts w:ascii="Segoe UI" w:hAnsi="Segoe UI" w:cs="Segoe UI"/>
          <w:sz w:val="22"/>
        </w:rPr>
        <w:t xml:space="preserve">five themes: </w:t>
      </w:r>
    </w:p>
    <w:p w:rsidR="006A7D46" w:rsidRPr="0003431D" w:rsidRDefault="006A7D46">
      <w:pPr>
        <w:rPr>
          <w:rFonts w:ascii="Segoe UI" w:hAnsi="Segoe UI" w:cs="Segoe UI"/>
          <w:sz w:val="22"/>
        </w:rPr>
      </w:pPr>
    </w:p>
    <w:p w:rsidR="006A7D46" w:rsidRPr="0003431D" w:rsidRDefault="006A7D46" w:rsidP="006A7D46">
      <w:pPr>
        <w:pStyle w:val="ListParagraph"/>
        <w:numPr>
          <w:ilvl w:val="0"/>
          <w:numId w:val="2"/>
        </w:numPr>
        <w:rPr>
          <w:rFonts w:ascii="Segoe UI" w:hAnsi="Segoe UI" w:cs="Segoe UI"/>
          <w:sz w:val="22"/>
        </w:rPr>
      </w:pPr>
      <w:r w:rsidRPr="0003431D">
        <w:rPr>
          <w:rFonts w:ascii="Segoe UI" w:hAnsi="Segoe UI" w:cs="Segoe UI"/>
          <w:sz w:val="22"/>
        </w:rPr>
        <w:t>Quality of Care (safe, effective, caring and responsive)</w:t>
      </w:r>
    </w:p>
    <w:p w:rsidR="006A7D46" w:rsidRPr="0003431D" w:rsidRDefault="006A7D46" w:rsidP="006A7D46">
      <w:pPr>
        <w:pStyle w:val="ListParagraph"/>
        <w:numPr>
          <w:ilvl w:val="0"/>
          <w:numId w:val="2"/>
        </w:numPr>
        <w:rPr>
          <w:rFonts w:ascii="Segoe UI" w:hAnsi="Segoe UI" w:cs="Segoe UI"/>
          <w:sz w:val="22"/>
        </w:rPr>
      </w:pPr>
      <w:r w:rsidRPr="0003431D">
        <w:rPr>
          <w:rFonts w:ascii="Segoe UI" w:hAnsi="Segoe UI" w:cs="Segoe UI"/>
          <w:sz w:val="22"/>
        </w:rPr>
        <w:t>Finance and use of resources</w:t>
      </w:r>
    </w:p>
    <w:p w:rsidR="006A7D46" w:rsidRPr="0003431D" w:rsidRDefault="006A7D46" w:rsidP="006A7D46">
      <w:pPr>
        <w:pStyle w:val="ListParagraph"/>
        <w:numPr>
          <w:ilvl w:val="0"/>
          <w:numId w:val="2"/>
        </w:numPr>
        <w:rPr>
          <w:rFonts w:ascii="Segoe UI" w:hAnsi="Segoe UI" w:cs="Segoe UI"/>
          <w:sz w:val="22"/>
        </w:rPr>
      </w:pPr>
      <w:r w:rsidRPr="0003431D">
        <w:rPr>
          <w:rFonts w:ascii="Segoe UI" w:hAnsi="Segoe UI" w:cs="Segoe UI"/>
          <w:sz w:val="22"/>
        </w:rPr>
        <w:t>Operational Performance</w:t>
      </w:r>
    </w:p>
    <w:p w:rsidR="006A7D46" w:rsidRPr="0003431D" w:rsidRDefault="006A7D46" w:rsidP="006A7D46">
      <w:pPr>
        <w:pStyle w:val="ListParagraph"/>
        <w:numPr>
          <w:ilvl w:val="0"/>
          <w:numId w:val="2"/>
        </w:numPr>
        <w:rPr>
          <w:rFonts w:ascii="Segoe UI" w:hAnsi="Segoe UI" w:cs="Segoe UI"/>
          <w:sz w:val="22"/>
        </w:rPr>
      </w:pPr>
      <w:r w:rsidRPr="0003431D">
        <w:rPr>
          <w:rFonts w:ascii="Segoe UI" w:hAnsi="Segoe UI" w:cs="Segoe UI"/>
          <w:sz w:val="22"/>
        </w:rPr>
        <w:t>Strategic change</w:t>
      </w:r>
    </w:p>
    <w:p w:rsidR="006A7D46" w:rsidRPr="0003431D" w:rsidRDefault="006A7D46" w:rsidP="006A7D46">
      <w:pPr>
        <w:pStyle w:val="ListParagraph"/>
        <w:numPr>
          <w:ilvl w:val="0"/>
          <w:numId w:val="2"/>
        </w:numPr>
        <w:rPr>
          <w:rFonts w:ascii="Segoe UI" w:hAnsi="Segoe UI" w:cs="Segoe UI"/>
          <w:sz w:val="22"/>
        </w:rPr>
      </w:pPr>
      <w:r w:rsidRPr="0003431D">
        <w:rPr>
          <w:rFonts w:ascii="Segoe UI" w:hAnsi="Segoe UI" w:cs="Segoe UI"/>
          <w:sz w:val="22"/>
        </w:rPr>
        <w:t>Leadership and improvement capability (well led)</w:t>
      </w:r>
    </w:p>
    <w:p w:rsidR="006A7D46" w:rsidRPr="0003431D" w:rsidRDefault="006A7D46" w:rsidP="006A7D46">
      <w:pPr>
        <w:rPr>
          <w:rFonts w:ascii="Segoe UI" w:hAnsi="Segoe UI" w:cs="Segoe UI"/>
          <w:sz w:val="22"/>
        </w:rPr>
      </w:pPr>
    </w:p>
    <w:p w:rsidR="006A7D46" w:rsidRPr="0003431D" w:rsidRDefault="006A7D46" w:rsidP="006A7D46">
      <w:pPr>
        <w:rPr>
          <w:rFonts w:ascii="Segoe UI" w:hAnsi="Segoe UI" w:cs="Segoe UI"/>
          <w:sz w:val="22"/>
        </w:rPr>
      </w:pPr>
      <w:r w:rsidRPr="0003431D">
        <w:rPr>
          <w:rFonts w:ascii="Segoe UI" w:hAnsi="Segoe UI" w:cs="Segoe UI"/>
          <w:sz w:val="22"/>
        </w:rPr>
        <w:t xml:space="preserve">The five themes are linked but not identical to those of the Care Quality Commission (CQC). The CQCs questions do not yet incorporate use of resources. </w:t>
      </w:r>
    </w:p>
    <w:p w:rsidR="006A7D46" w:rsidRPr="0003431D" w:rsidRDefault="006A7D46" w:rsidP="006A7D46">
      <w:pPr>
        <w:rPr>
          <w:rFonts w:ascii="Segoe UI" w:hAnsi="Segoe UI" w:cs="Segoe UI"/>
          <w:sz w:val="22"/>
        </w:rPr>
      </w:pPr>
    </w:p>
    <w:p w:rsidR="006A7D46" w:rsidRPr="0003431D" w:rsidRDefault="006A7D46" w:rsidP="006A7D46">
      <w:pPr>
        <w:rPr>
          <w:rFonts w:ascii="Segoe UI" w:hAnsi="Segoe UI" w:cs="Segoe UI"/>
          <w:sz w:val="22"/>
        </w:rPr>
      </w:pPr>
      <w:r w:rsidRPr="0003431D">
        <w:rPr>
          <w:rFonts w:ascii="Segoe UI" w:hAnsi="Segoe UI" w:cs="Segoe UI"/>
          <w:sz w:val="22"/>
        </w:rPr>
        <w:t>By focussing on these five themes NHSI will support providers to attain and/or maintain a CQC ‘good’ or ‘outstanding’ rating and to identify where providers may benefit from, or require improvement support across a range of areas.</w:t>
      </w:r>
    </w:p>
    <w:p w:rsidR="006A7D46" w:rsidRPr="0003431D" w:rsidRDefault="006A7D46" w:rsidP="006A7D46">
      <w:pPr>
        <w:rPr>
          <w:rFonts w:ascii="Segoe UI" w:hAnsi="Segoe UI" w:cs="Segoe UI"/>
          <w:sz w:val="22"/>
        </w:rPr>
      </w:pPr>
    </w:p>
    <w:p w:rsidR="006A7D46" w:rsidRPr="0003431D" w:rsidRDefault="006A7D46" w:rsidP="006A7D46">
      <w:pPr>
        <w:rPr>
          <w:rFonts w:ascii="Segoe UI" w:hAnsi="Segoe UI" w:cs="Segoe UI"/>
          <w:sz w:val="22"/>
        </w:rPr>
      </w:pPr>
      <w:r w:rsidRPr="0003431D">
        <w:rPr>
          <w:rFonts w:ascii="Segoe UI" w:hAnsi="Segoe UI" w:cs="Segoe UI"/>
          <w:sz w:val="22"/>
        </w:rPr>
        <w:t xml:space="preserve">This report focusses on the Quality and Operational Indicators. </w:t>
      </w:r>
      <w:r w:rsidR="004E4139" w:rsidRPr="0003431D">
        <w:rPr>
          <w:rFonts w:ascii="Segoe UI" w:hAnsi="Segoe UI" w:cs="Segoe UI"/>
          <w:sz w:val="22"/>
        </w:rPr>
        <w:t>Although important in the overall framework, NHSI do not consider these to be priority metrics. These metrics will be used by Regional Teams as part of a suite of information to take a broader view of performance. For monitoring purposes they will not have thresholds attached to them (unless indicated) and therefore any small change in performance would not change Trust segmentation.</w:t>
      </w:r>
    </w:p>
    <w:p w:rsidR="003C30B9" w:rsidRDefault="003C30B9" w:rsidP="006A7D46">
      <w:pPr>
        <w:rPr>
          <w:rFonts w:ascii="Segoe UI" w:hAnsi="Segoe UI" w:cs="Segoe UI"/>
          <w:b/>
        </w:rPr>
      </w:pPr>
    </w:p>
    <w:p w:rsidR="003C30B9" w:rsidRDefault="003C30B9" w:rsidP="006A7D46">
      <w:pPr>
        <w:rPr>
          <w:rFonts w:ascii="Segoe UI" w:hAnsi="Segoe UI" w:cs="Segoe UI"/>
          <w:b/>
        </w:rPr>
      </w:pPr>
    </w:p>
    <w:p w:rsidR="00E53C01" w:rsidRDefault="00E53C01" w:rsidP="006A7D46">
      <w:pPr>
        <w:rPr>
          <w:rFonts w:ascii="Segoe UI" w:hAnsi="Segoe UI" w:cs="Segoe UI"/>
          <w:b/>
        </w:rPr>
      </w:pPr>
    </w:p>
    <w:p w:rsidR="004E4139" w:rsidRDefault="004E4139" w:rsidP="006A7D46">
      <w:pPr>
        <w:rPr>
          <w:rFonts w:ascii="Segoe UI" w:hAnsi="Segoe UI" w:cs="Segoe UI"/>
          <w:b/>
        </w:rPr>
      </w:pPr>
      <w:r w:rsidRPr="00DD19C7">
        <w:rPr>
          <w:rFonts w:ascii="Segoe UI" w:hAnsi="Segoe UI" w:cs="Segoe UI"/>
          <w:b/>
        </w:rPr>
        <w:t>In the majority of cases NHSI will be sourcing Trust performance data from publicly available sources</w:t>
      </w:r>
      <w:r w:rsidR="00584D2D" w:rsidRPr="00DD19C7">
        <w:rPr>
          <w:rFonts w:ascii="Segoe UI" w:hAnsi="Segoe UI" w:cs="Segoe UI"/>
          <w:b/>
        </w:rPr>
        <w:t xml:space="preserve"> e.g. CQC, NHS Digital, NHS England, Unify.</w:t>
      </w:r>
      <w:r w:rsidR="00BA2772" w:rsidRPr="00DD19C7">
        <w:rPr>
          <w:rFonts w:ascii="Segoe UI" w:hAnsi="Segoe UI" w:cs="Segoe UI"/>
          <w:b/>
        </w:rPr>
        <w:t xml:space="preserve">  O</w:t>
      </w:r>
      <w:r w:rsidR="006F1DEB">
        <w:rPr>
          <w:rFonts w:ascii="Segoe UI" w:hAnsi="Segoe UI" w:cs="Segoe UI"/>
          <w:b/>
        </w:rPr>
        <w:t xml:space="preserve">xford </w:t>
      </w:r>
      <w:r w:rsidR="00BA2772" w:rsidRPr="00DD19C7">
        <w:rPr>
          <w:rFonts w:ascii="Segoe UI" w:hAnsi="Segoe UI" w:cs="Segoe UI"/>
          <w:b/>
        </w:rPr>
        <w:t>H</w:t>
      </w:r>
      <w:r w:rsidR="006F1DEB">
        <w:rPr>
          <w:rFonts w:ascii="Segoe UI" w:hAnsi="Segoe UI" w:cs="Segoe UI"/>
          <w:b/>
        </w:rPr>
        <w:t xml:space="preserve">ealth NHS </w:t>
      </w:r>
      <w:r w:rsidR="00BA2772" w:rsidRPr="00DD19C7">
        <w:rPr>
          <w:rFonts w:ascii="Segoe UI" w:hAnsi="Segoe UI" w:cs="Segoe UI"/>
          <w:b/>
        </w:rPr>
        <w:t>F</w:t>
      </w:r>
      <w:r w:rsidR="006F1DEB">
        <w:rPr>
          <w:rFonts w:ascii="Segoe UI" w:hAnsi="Segoe UI" w:cs="Segoe UI"/>
          <w:b/>
        </w:rPr>
        <w:t>oundation Trust (OHFT)</w:t>
      </w:r>
      <w:r w:rsidR="00BA2772" w:rsidRPr="00DD19C7">
        <w:rPr>
          <w:rFonts w:ascii="Segoe UI" w:hAnsi="Segoe UI" w:cs="Segoe UI"/>
          <w:b/>
        </w:rPr>
        <w:t xml:space="preserve"> will no longer be required to directly submit data nationally for performance management.</w:t>
      </w:r>
    </w:p>
    <w:p w:rsidR="00FE4E38" w:rsidRDefault="00FE4E38" w:rsidP="006A7D46">
      <w:pPr>
        <w:rPr>
          <w:rFonts w:ascii="Segoe UI" w:hAnsi="Segoe UI" w:cs="Segoe UI"/>
          <w:b/>
        </w:rPr>
      </w:pPr>
    </w:p>
    <w:p w:rsidR="00FE4E38" w:rsidRDefault="004D19A3" w:rsidP="00FE4E38">
      <w:pPr>
        <w:rPr>
          <w:rFonts w:ascii="Segoe UI" w:hAnsi="Segoe UI" w:cs="Segoe UI"/>
          <w:b/>
        </w:rPr>
      </w:pPr>
      <w:r>
        <w:rPr>
          <w:rFonts w:ascii="Segoe UI" w:hAnsi="Segoe UI" w:cs="Segoe UI"/>
          <w:b/>
        </w:rPr>
        <w:t>March</w:t>
      </w:r>
      <w:r w:rsidR="005E77C1">
        <w:rPr>
          <w:rFonts w:ascii="Segoe UI" w:hAnsi="Segoe UI" w:cs="Segoe UI"/>
          <w:b/>
        </w:rPr>
        <w:t xml:space="preserve"> </w:t>
      </w:r>
      <w:r w:rsidR="00FE4E38" w:rsidRPr="004C1120">
        <w:rPr>
          <w:rFonts w:ascii="Segoe UI" w:hAnsi="Segoe UI" w:cs="Segoe UI"/>
          <w:b/>
        </w:rPr>
        <w:t>Performance Summary</w:t>
      </w:r>
    </w:p>
    <w:p w:rsidR="00FE4E38" w:rsidRPr="00E42834" w:rsidRDefault="00FE4E38" w:rsidP="00FE4E38">
      <w:pPr>
        <w:rPr>
          <w:rFonts w:ascii="Segoe UI" w:hAnsi="Segoe UI" w:cs="Segoe UI"/>
          <w:sz w:val="22"/>
        </w:rPr>
      </w:pPr>
      <w:r w:rsidRPr="00E42834">
        <w:rPr>
          <w:rFonts w:ascii="Segoe UI" w:hAnsi="Segoe UI" w:cs="Segoe UI"/>
          <w:sz w:val="22"/>
        </w:rPr>
        <w:t xml:space="preserve">The majority of the indicators do not have targets/thresholds. To provide a sense of Trust performance, where information is available the published performance has been set against the overall position for England. </w:t>
      </w:r>
    </w:p>
    <w:p w:rsidR="00FE4E38" w:rsidRPr="007346BC" w:rsidRDefault="00FE4E38" w:rsidP="00FE4E38">
      <w:pPr>
        <w:rPr>
          <w:rFonts w:ascii="Segoe UI" w:hAnsi="Segoe UI" w:cs="Segoe UI"/>
          <w:sz w:val="22"/>
          <w:highlight w:val="magenta"/>
        </w:rPr>
      </w:pPr>
    </w:p>
    <w:p w:rsidR="00DF5B39" w:rsidRDefault="004D19A3" w:rsidP="00FE4E38">
      <w:pPr>
        <w:rPr>
          <w:rFonts w:ascii="Segoe UI" w:hAnsi="Segoe UI" w:cs="Segoe UI"/>
          <w:sz w:val="22"/>
        </w:rPr>
      </w:pPr>
      <w:r>
        <w:rPr>
          <w:rFonts w:ascii="Segoe UI" w:hAnsi="Segoe UI" w:cs="Segoe UI"/>
          <w:sz w:val="22"/>
        </w:rPr>
        <w:t>Of the</w:t>
      </w:r>
      <w:r w:rsidRPr="004D19A3">
        <w:rPr>
          <w:rFonts w:ascii="Segoe UI" w:hAnsi="Segoe UI" w:cs="Segoe UI"/>
          <w:sz w:val="22"/>
        </w:rPr>
        <w:t xml:space="preserve"> 28 indicators, 21 have been reported on. Current performance is 71.4%.</w:t>
      </w:r>
    </w:p>
    <w:tbl>
      <w:tblPr>
        <w:tblStyle w:val="TableGrid11"/>
        <w:tblpPr w:leftFromText="180" w:rightFromText="180" w:vertAnchor="text" w:horzAnchor="margin" w:tblpXSpec="right" w:tblpY="190"/>
        <w:tblW w:w="7088" w:type="dxa"/>
        <w:tblLayout w:type="fixed"/>
        <w:tblLook w:val="04A0" w:firstRow="1" w:lastRow="0" w:firstColumn="1" w:lastColumn="0" w:noHBand="0" w:noVBand="1"/>
      </w:tblPr>
      <w:tblGrid>
        <w:gridCol w:w="817"/>
        <w:gridCol w:w="1134"/>
        <w:gridCol w:w="1134"/>
        <w:gridCol w:w="1134"/>
        <w:gridCol w:w="851"/>
        <w:gridCol w:w="992"/>
        <w:gridCol w:w="1026"/>
      </w:tblGrid>
      <w:tr w:rsidR="0096419E" w:rsidRPr="00D04AAB" w:rsidTr="002A4520">
        <w:trPr>
          <w:trHeight w:val="554"/>
        </w:trPr>
        <w:tc>
          <w:tcPr>
            <w:tcW w:w="817" w:type="dxa"/>
            <w:tcBorders>
              <w:bottom w:val="single" w:sz="4" w:space="0" w:color="auto"/>
            </w:tcBorders>
            <w:vAlign w:val="center"/>
          </w:tcPr>
          <w:p w:rsidR="0096419E" w:rsidRPr="00D04AAB" w:rsidRDefault="0096419E" w:rsidP="00D04AAB">
            <w:pPr>
              <w:jc w:val="center"/>
              <w:rPr>
                <w:rFonts w:ascii="Segoe UI" w:hAnsi="Segoe UI" w:cs="Segoe UI"/>
                <w:b/>
                <w:sz w:val="22"/>
              </w:rPr>
            </w:pPr>
            <w:r w:rsidRPr="00D04AAB">
              <w:rPr>
                <w:rFonts w:ascii="Segoe UI" w:hAnsi="Segoe UI" w:cs="Segoe UI"/>
                <w:b/>
                <w:sz w:val="22"/>
              </w:rPr>
              <w:t>Key:</w:t>
            </w:r>
          </w:p>
        </w:tc>
        <w:tc>
          <w:tcPr>
            <w:tcW w:w="1134" w:type="dxa"/>
            <w:tcBorders>
              <w:bottom w:val="single" w:sz="4" w:space="0" w:color="auto"/>
            </w:tcBorders>
            <w:shd w:val="clear" w:color="auto" w:fill="FF0000"/>
            <w:vAlign w:val="center"/>
          </w:tcPr>
          <w:p w:rsidR="0096419E" w:rsidRPr="00D04AAB" w:rsidRDefault="0096419E" w:rsidP="0096419E">
            <w:pPr>
              <w:jc w:val="center"/>
              <w:rPr>
                <w:rFonts w:ascii="Segoe UI" w:hAnsi="Segoe UI" w:cs="Segoe UI"/>
                <w:sz w:val="18"/>
                <w:szCs w:val="18"/>
              </w:rPr>
            </w:pPr>
            <w:r w:rsidRPr="00D04AAB">
              <w:rPr>
                <w:rFonts w:ascii="Segoe UI" w:hAnsi="Segoe UI" w:cs="Segoe UI"/>
                <w:sz w:val="18"/>
                <w:szCs w:val="18"/>
              </w:rPr>
              <w:t>Well Below Target &gt;10%</w:t>
            </w:r>
          </w:p>
        </w:tc>
        <w:tc>
          <w:tcPr>
            <w:tcW w:w="1134" w:type="dxa"/>
            <w:tcBorders>
              <w:bottom w:val="single" w:sz="4" w:space="0" w:color="auto"/>
            </w:tcBorders>
            <w:shd w:val="clear" w:color="auto" w:fill="FFC000"/>
            <w:vAlign w:val="center"/>
          </w:tcPr>
          <w:p w:rsidR="0096419E" w:rsidRPr="00D04AAB" w:rsidRDefault="0096419E" w:rsidP="00D04AAB">
            <w:pPr>
              <w:jc w:val="center"/>
              <w:rPr>
                <w:rFonts w:ascii="Segoe UI" w:hAnsi="Segoe UI" w:cs="Segoe UI"/>
                <w:sz w:val="18"/>
                <w:szCs w:val="18"/>
              </w:rPr>
            </w:pPr>
            <w:r w:rsidRPr="00D04AAB">
              <w:rPr>
                <w:rFonts w:ascii="Segoe UI" w:hAnsi="Segoe UI" w:cs="Segoe UI"/>
                <w:sz w:val="18"/>
                <w:szCs w:val="18"/>
              </w:rPr>
              <w:t>Below Target &lt;/=6-10%</w:t>
            </w:r>
          </w:p>
        </w:tc>
        <w:tc>
          <w:tcPr>
            <w:tcW w:w="1134" w:type="dxa"/>
            <w:tcBorders>
              <w:bottom w:val="single" w:sz="4" w:space="0" w:color="auto"/>
            </w:tcBorders>
            <w:shd w:val="clear" w:color="auto" w:fill="FFFF00"/>
            <w:vAlign w:val="center"/>
          </w:tcPr>
          <w:p w:rsidR="0096419E" w:rsidRPr="00D04AAB" w:rsidRDefault="0096419E" w:rsidP="00D04AAB">
            <w:pPr>
              <w:jc w:val="center"/>
              <w:rPr>
                <w:rFonts w:ascii="Segoe UI" w:hAnsi="Segoe UI" w:cs="Segoe UI"/>
                <w:sz w:val="18"/>
                <w:szCs w:val="18"/>
              </w:rPr>
            </w:pPr>
            <w:r w:rsidRPr="00D04AAB">
              <w:rPr>
                <w:rFonts w:ascii="Segoe UI" w:hAnsi="Segoe UI" w:cs="Segoe UI"/>
                <w:sz w:val="18"/>
                <w:szCs w:val="18"/>
              </w:rPr>
              <w:t>Near Target &lt;/=-5%</w:t>
            </w:r>
          </w:p>
        </w:tc>
        <w:tc>
          <w:tcPr>
            <w:tcW w:w="851" w:type="dxa"/>
            <w:tcBorders>
              <w:bottom w:val="single" w:sz="4" w:space="0" w:color="auto"/>
            </w:tcBorders>
            <w:shd w:val="clear" w:color="auto" w:fill="92D050"/>
            <w:vAlign w:val="center"/>
          </w:tcPr>
          <w:p w:rsidR="0096419E" w:rsidRPr="00D04AAB" w:rsidRDefault="0096419E" w:rsidP="00D04AAB">
            <w:pPr>
              <w:jc w:val="center"/>
              <w:rPr>
                <w:rFonts w:ascii="Segoe UI" w:hAnsi="Segoe UI" w:cs="Segoe UI"/>
                <w:sz w:val="18"/>
                <w:szCs w:val="18"/>
              </w:rPr>
            </w:pPr>
            <w:r w:rsidRPr="00D04AAB">
              <w:rPr>
                <w:rFonts w:ascii="Segoe UI" w:hAnsi="Segoe UI" w:cs="Segoe UI"/>
                <w:sz w:val="18"/>
                <w:szCs w:val="18"/>
              </w:rPr>
              <w:t>At Target</w:t>
            </w:r>
          </w:p>
        </w:tc>
        <w:tc>
          <w:tcPr>
            <w:tcW w:w="992" w:type="dxa"/>
            <w:tcBorders>
              <w:bottom w:val="single" w:sz="4" w:space="0" w:color="auto"/>
            </w:tcBorders>
            <w:shd w:val="clear" w:color="auto" w:fill="66FF33"/>
            <w:vAlign w:val="center"/>
          </w:tcPr>
          <w:p w:rsidR="0096419E" w:rsidRPr="00D04AAB" w:rsidRDefault="0096419E" w:rsidP="00D04AAB">
            <w:pPr>
              <w:jc w:val="center"/>
              <w:rPr>
                <w:rFonts w:ascii="Segoe UI" w:hAnsi="Segoe UI" w:cs="Segoe UI"/>
                <w:sz w:val="18"/>
                <w:szCs w:val="18"/>
              </w:rPr>
            </w:pPr>
            <w:r w:rsidRPr="00D04AAB">
              <w:rPr>
                <w:rFonts w:ascii="Segoe UI" w:hAnsi="Segoe UI" w:cs="Segoe UI"/>
                <w:sz w:val="18"/>
                <w:szCs w:val="18"/>
              </w:rPr>
              <w:t xml:space="preserve">Exceeded Target </w:t>
            </w:r>
          </w:p>
        </w:tc>
        <w:tc>
          <w:tcPr>
            <w:tcW w:w="1026" w:type="dxa"/>
            <w:tcBorders>
              <w:bottom w:val="single" w:sz="4" w:space="0" w:color="auto"/>
            </w:tcBorders>
            <w:shd w:val="clear" w:color="auto" w:fill="D9D9D9" w:themeFill="background1" w:themeFillShade="D9"/>
          </w:tcPr>
          <w:p w:rsidR="0096419E" w:rsidRDefault="0096419E" w:rsidP="00D04AAB">
            <w:pPr>
              <w:jc w:val="center"/>
              <w:rPr>
                <w:rFonts w:ascii="Segoe UI" w:hAnsi="Segoe UI" w:cs="Segoe UI"/>
                <w:sz w:val="18"/>
                <w:szCs w:val="18"/>
              </w:rPr>
            </w:pPr>
            <w:r>
              <w:rPr>
                <w:rFonts w:ascii="Segoe UI" w:hAnsi="Segoe UI" w:cs="Segoe UI"/>
                <w:sz w:val="18"/>
                <w:szCs w:val="18"/>
              </w:rPr>
              <w:t>No data/</w:t>
            </w:r>
          </w:p>
          <w:p w:rsidR="0096419E" w:rsidRDefault="0096419E" w:rsidP="00D04AAB">
            <w:pPr>
              <w:jc w:val="center"/>
              <w:rPr>
                <w:rFonts w:ascii="Segoe UI" w:hAnsi="Segoe UI" w:cs="Segoe UI"/>
                <w:sz w:val="18"/>
                <w:szCs w:val="18"/>
              </w:rPr>
            </w:pPr>
            <w:r>
              <w:rPr>
                <w:rFonts w:ascii="Segoe UI" w:hAnsi="Segoe UI" w:cs="Segoe UI"/>
                <w:sz w:val="18"/>
                <w:szCs w:val="18"/>
              </w:rPr>
              <w:t>Target</w:t>
            </w:r>
          </w:p>
          <w:p w:rsidR="0096419E" w:rsidRPr="00D04AAB" w:rsidRDefault="0096419E" w:rsidP="00D04AAB">
            <w:pPr>
              <w:jc w:val="center"/>
              <w:rPr>
                <w:rFonts w:ascii="Segoe UI" w:hAnsi="Segoe UI" w:cs="Segoe UI"/>
                <w:sz w:val="18"/>
                <w:szCs w:val="18"/>
              </w:rPr>
            </w:pPr>
            <w:r>
              <w:rPr>
                <w:rFonts w:ascii="Segoe UI" w:hAnsi="Segoe UI" w:cs="Segoe UI"/>
                <w:sz w:val="18"/>
                <w:szCs w:val="18"/>
              </w:rPr>
              <w:t>/not due</w:t>
            </w:r>
          </w:p>
        </w:tc>
      </w:tr>
    </w:tbl>
    <w:p w:rsidR="00D04AAB" w:rsidRDefault="00D04AAB" w:rsidP="00FE4E38">
      <w:pPr>
        <w:rPr>
          <w:rFonts w:ascii="Segoe UI" w:hAnsi="Segoe UI" w:cs="Segoe UI"/>
          <w:sz w:val="22"/>
        </w:rPr>
      </w:pPr>
    </w:p>
    <w:tbl>
      <w:tblPr>
        <w:tblW w:w="7103" w:type="dxa"/>
        <w:tblInd w:w="93" w:type="dxa"/>
        <w:tblLook w:val="04A0" w:firstRow="1" w:lastRow="0" w:firstColumn="1" w:lastColumn="0" w:noHBand="0" w:noVBand="1"/>
      </w:tblPr>
      <w:tblGrid>
        <w:gridCol w:w="2920"/>
        <w:gridCol w:w="639"/>
        <w:gridCol w:w="709"/>
        <w:gridCol w:w="709"/>
        <w:gridCol w:w="708"/>
        <w:gridCol w:w="709"/>
        <w:gridCol w:w="709"/>
      </w:tblGrid>
      <w:tr w:rsidR="00494FC6" w:rsidTr="004D19A3">
        <w:trPr>
          <w:trHeight w:val="300"/>
        </w:trPr>
        <w:tc>
          <w:tcPr>
            <w:tcW w:w="7103"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494FC6" w:rsidRPr="00D04AAB" w:rsidRDefault="00494FC6">
            <w:pPr>
              <w:jc w:val="center"/>
              <w:rPr>
                <w:rFonts w:ascii="Segoe UI" w:hAnsi="Segoe UI" w:cs="Segoe UI"/>
                <w:b/>
                <w:bCs/>
                <w:color w:val="000000"/>
                <w:sz w:val="22"/>
                <w:szCs w:val="22"/>
              </w:rPr>
            </w:pPr>
            <w:r w:rsidRPr="00D04AAB">
              <w:rPr>
                <w:rFonts w:ascii="Segoe UI" w:hAnsi="Segoe UI" w:cs="Segoe UI"/>
                <w:b/>
                <w:bCs/>
                <w:color w:val="000000"/>
                <w:sz w:val="22"/>
                <w:szCs w:val="22"/>
              </w:rPr>
              <w:t xml:space="preserve">Performance as at latest available published data </w:t>
            </w:r>
          </w:p>
        </w:tc>
      </w:tr>
      <w:tr w:rsidR="00D04AAB" w:rsidRPr="00D04AAB" w:rsidTr="004D19A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94FC6" w:rsidRPr="00D04AAB" w:rsidRDefault="00494FC6" w:rsidP="00D04AAB">
            <w:pPr>
              <w:rPr>
                <w:rFonts w:ascii="Segoe UI" w:hAnsi="Segoe UI" w:cs="Segoe UI"/>
                <w:color w:val="000000"/>
                <w:sz w:val="22"/>
                <w:szCs w:val="22"/>
              </w:rPr>
            </w:pPr>
            <w:r w:rsidRPr="00D04AAB">
              <w:rPr>
                <w:rFonts w:ascii="Segoe UI" w:hAnsi="Segoe UI" w:cs="Segoe UI"/>
                <w:color w:val="000000"/>
                <w:sz w:val="22"/>
                <w:szCs w:val="22"/>
              </w:rPr>
              <w:t>Organisational Indicators</w:t>
            </w:r>
          </w:p>
        </w:tc>
        <w:tc>
          <w:tcPr>
            <w:tcW w:w="639" w:type="dxa"/>
            <w:tcBorders>
              <w:top w:val="nil"/>
              <w:left w:val="nil"/>
              <w:bottom w:val="single" w:sz="4" w:space="0" w:color="auto"/>
              <w:right w:val="single" w:sz="4" w:space="0" w:color="auto"/>
            </w:tcBorders>
            <w:shd w:val="clear" w:color="000000" w:fill="FF000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1</w:t>
            </w:r>
          </w:p>
        </w:tc>
        <w:tc>
          <w:tcPr>
            <w:tcW w:w="709" w:type="dxa"/>
            <w:tcBorders>
              <w:top w:val="nil"/>
              <w:left w:val="nil"/>
              <w:bottom w:val="single" w:sz="4" w:space="0" w:color="auto"/>
              <w:right w:val="single" w:sz="4" w:space="0" w:color="auto"/>
            </w:tcBorders>
            <w:shd w:val="clear" w:color="000000" w:fill="FFC00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 </w:t>
            </w:r>
          </w:p>
        </w:tc>
        <w:tc>
          <w:tcPr>
            <w:tcW w:w="709" w:type="dxa"/>
            <w:tcBorders>
              <w:top w:val="nil"/>
              <w:left w:val="nil"/>
              <w:bottom w:val="single" w:sz="4" w:space="0" w:color="auto"/>
              <w:right w:val="single" w:sz="4" w:space="0" w:color="auto"/>
            </w:tcBorders>
            <w:shd w:val="clear" w:color="000000" w:fill="FFFF0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1</w:t>
            </w:r>
          </w:p>
        </w:tc>
        <w:tc>
          <w:tcPr>
            <w:tcW w:w="708" w:type="dxa"/>
            <w:tcBorders>
              <w:top w:val="nil"/>
              <w:left w:val="nil"/>
              <w:bottom w:val="single" w:sz="4" w:space="0" w:color="auto"/>
              <w:right w:val="single" w:sz="4" w:space="0" w:color="auto"/>
            </w:tcBorders>
            <w:shd w:val="clear" w:color="000000" w:fill="92D05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2</w:t>
            </w:r>
          </w:p>
        </w:tc>
        <w:tc>
          <w:tcPr>
            <w:tcW w:w="709" w:type="dxa"/>
            <w:tcBorders>
              <w:top w:val="nil"/>
              <w:left w:val="nil"/>
              <w:bottom w:val="single" w:sz="4" w:space="0" w:color="auto"/>
              <w:right w:val="single" w:sz="4" w:space="0" w:color="auto"/>
            </w:tcBorders>
            <w:shd w:val="clear" w:color="000000" w:fill="66FF33"/>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2</w:t>
            </w:r>
          </w:p>
        </w:tc>
        <w:tc>
          <w:tcPr>
            <w:tcW w:w="709" w:type="dxa"/>
            <w:tcBorders>
              <w:top w:val="nil"/>
              <w:left w:val="nil"/>
              <w:bottom w:val="single" w:sz="4" w:space="0" w:color="auto"/>
              <w:right w:val="single" w:sz="4" w:space="0" w:color="auto"/>
            </w:tcBorders>
            <w:shd w:val="clear" w:color="000000" w:fill="D9D9D9"/>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4</w:t>
            </w:r>
          </w:p>
        </w:tc>
      </w:tr>
      <w:tr w:rsidR="00D04AAB" w:rsidRPr="00D04AAB" w:rsidTr="004D19A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94FC6" w:rsidRPr="00D04AAB" w:rsidRDefault="00494FC6">
            <w:pPr>
              <w:rPr>
                <w:rFonts w:ascii="Segoe UI" w:hAnsi="Segoe UI" w:cs="Segoe UI"/>
                <w:color w:val="000000"/>
                <w:sz w:val="22"/>
                <w:szCs w:val="22"/>
              </w:rPr>
            </w:pPr>
            <w:r w:rsidRPr="00D04AAB">
              <w:rPr>
                <w:rFonts w:ascii="Segoe UI" w:hAnsi="Segoe UI" w:cs="Segoe UI"/>
                <w:color w:val="000000"/>
                <w:sz w:val="22"/>
                <w:szCs w:val="22"/>
              </w:rPr>
              <w:t>MH Quality Indicators</w:t>
            </w:r>
          </w:p>
        </w:tc>
        <w:tc>
          <w:tcPr>
            <w:tcW w:w="639" w:type="dxa"/>
            <w:tcBorders>
              <w:top w:val="nil"/>
              <w:left w:val="nil"/>
              <w:bottom w:val="single" w:sz="4" w:space="0" w:color="auto"/>
              <w:right w:val="single" w:sz="4" w:space="0" w:color="auto"/>
            </w:tcBorders>
            <w:shd w:val="clear" w:color="000000" w:fill="FF0000"/>
            <w:noWrap/>
            <w:vAlign w:val="bottom"/>
            <w:hideMark/>
          </w:tcPr>
          <w:p w:rsidR="00494FC6" w:rsidRPr="00D04AAB" w:rsidRDefault="004D19A3">
            <w:pPr>
              <w:jc w:val="center"/>
              <w:rPr>
                <w:rFonts w:ascii="Segoe UI" w:hAnsi="Segoe UI" w:cs="Segoe UI"/>
                <w:color w:val="000000"/>
                <w:sz w:val="22"/>
                <w:szCs w:val="22"/>
              </w:rPr>
            </w:pPr>
            <w:r>
              <w:rPr>
                <w:rFonts w:ascii="Segoe UI" w:hAnsi="Segoe UI" w:cs="Segoe UI"/>
                <w:color w:val="000000"/>
                <w:sz w:val="22"/>
                <w:szCs w:val="22"/>
              </w:rPr>
              <w:t>3</w:t>
            </w:r>
          </w:p>
        </w:tc>
        <w:tc>
          <w:tcPr>
            <w:tcW w:w="709" w:type="dxa"/>
            <w:tcBorders>
              <w:top w:val="nil"/>
              <w:left w:val="nil"/>
              <w:bottom w:val="single" w:sz="4" w:space="0" w:color="auto"/>
              <w:right w:val="single" w:sz="4" w:space="0" w:color="auto"/>
            </w:tcBorders>
            <w:shd w:val="clear" w:color="000000" w:fill="FFC00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 </w:t>
            </w:r>
          </w:p>
        </w:tc>
        <w:tc>
          <w:tcPr>
            <w:tcW w:w="709" w:type="dxa"/>
            <w:tcBorders>
              <w:top w:val="nil"/>
              <w:left w:val="nil"/>
              <w:bottom w:val="single" w:sz="4" w:space="0" w:color="auto"/>
              <w:right w:val="single" w:sz="4" w:space="0" w:color="auto"/>
            </w:tcBorders>
            <w:shd w:val="clear" w:color="000000" w:fill="FFFF0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 </w:t>
            </w:r>
          </w:p>
        </w:tc>
        <w:tc>
          <w:tcPr>
            <w:tcW w:w="708" w:type="dxa"/>
            <w:tcBorders>
              <w:top w:val="nil"/>
              <w:left w:val="nil"/>
              <w:bottom w:val="single" w:sz="4" w:space="0" w:color="auto"/>
              <w:right w:val="single" w:sz="4" w:space="0" w:color="auto"/>
            </w:tcBorders>
            <w:shd w:val="clear" w:color="000000" w:fill="92D050"/>
            <w:noWrap/>
            <w:vAlign w:val="bottom"/>
            <w:hideMark/>
          </w:tcPr>
          <w:p w:rsidR="00494FC6" w:rsidRPr="00D04AAB" w:rsidRDefault="004D19A3">
            <w:pPr>
              <w:jc w:val="center"/>
              <w:rPr>
                <w:rFonts w:ascii="Segoe UI" w:hAnsi="Segoe UI" w:cs="Segoe UI"/>
                <w:color w:val="000000"/>
                <w:sz w:val="22"/>
                <w:szCs w:val="22"/>
              </w:rPr>
            </w:pPr>
            <w:r>
              <w:rPr>
                <w:rFonts w:ascii="Segoe UI" w:hAnsi="Segoe UI" w:cs="Segoe UI"/>
                <w:color w:val="000000"/>
                <w:sz w:val="22"/>
                <w:szCs w:val="22"/>
              </w:rPr>
              <w:t>2</w:t>
            </w:r>
          </w:p>
        </w:tc>
        <w:tc>
          <w:tcPr>
            <w:tcW w:w="709" w:type="dxa"/>
            <w:tcBorders>
              <w:top w:val="nil"/>
              <w:left w:val="nil"/>
              <w:bottom w:val="single" w:sz="4" w:space="0" w:color="auto"/>
              <w:right w:val="single" w:sz="4" w:space="0" w:color="auto"/>
            </w:tcBorders>
            <w:shd w:val="clear" w:color="000000" w:fill="66FF33"/>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1</w:t>
            </w:r>
          </w:p>
        </w:tc>
        <w:tc>
          <w:tcPr>
            <w:tcW w:w="709" w:type="dxa"/>
            <w:tcBorders>
              <w:top w:val="nil"/>
              <w:left w:val="nil"/>
              <w:bottom w:val="single" w:sz="4" w:space="0" w:color="auto"/>
              <w:right w:val="single" w:sz="4" w:space="0" w:color="auto"/>
            </w:tcBorders>
            <w:shd w:val="clear" w:color="000000" w:fill="D9D9D9"/>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1</w:t>
            </w:r>
          </w:p>
        </w:tc>
      </w:tr>
      <w:tr w:rsidR="00D04AAB" w:rsidRPr="00D04AAB" w:rsidTr="004D19A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94FC6" w:rsidRPr="00D04AAB" w:rsidRDefault="00494FC6">
            <w:pPr>
              <w:rPr>
                <w:rFonts w:ascii="Segoe UI" w:hAnsi="Segoe UI" w:cs="Segoe UI"/>
                <w:color w:val="000000"/>
                <w:sz w:val="22"/>
                <w:szCs w:val="22"/>
              </w:rPr>
            </w:pPr>
            <w:r w:rsidRPr="00D04AAB">
              <w:rPr>
                <w:rFonts w:ascii="Segoe UI" w:hAnsi="Segoe UI" w:cs="Segoe UI"/>
                <w:color w:val="000000"/>
                <w:sz w:val="22"/>
                <w:szCs w:val="22"/>
              </w:rPr>
              <w:t>Community Quality Indicators</w:t>
            </w:r>
          </w:p>
        </w:tc>
        <w:tc>
          <w:tcPr>
            <w:tcW w:w="639" w:type="dxa"/>
            <w:tcBorders>
              <w:top w:val="nil"/>
              <w:left w:val="nil"/>
              <w:bottom w:val="single" w:sz="4" w:space="0" w:color="auto"/>
              <w:right w:val="single" w:sz="4" w:space="0" w:color="auto"/>
            </w:tcBorders>
            <w:shd w:val="clear" w:color="000000" w:fill="FF000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 </w:t>
            </w:r>
          </w:p>
        </w:tc>
        <w:tc>
          <w:tcPr>
            <w:tcW w:w="709" w:type="dxa"/>
            <w:tcBorders>
              <w:top w:val="nil"/>
              <w:left w:val="nil"/>
              <w:bottom w:val="single" w:sz="4" w:space="0" w:color="auto"/>
              <w:right w:val="single" w:sz="4" w:space="0" w:color="auto"/>
            </w:tcBorders>
            <w:shd w:val="clear" w:color="000000" w:fill="FFC00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 </w:t>
            </w:r>
          </w:p>
        </w:tc>
        <w:tc>
          <w:tcPr>
            <w:tcW w:w="709" w:type="dxa"/>
            <w:tcBorders>
              <w:top w:val="nil"/>
              <w:left w:val="nil"/>
              <w:bottom w:val="single" w:sz="4" w:space="0" w:color="auto"/>
              <w:right w:val="single" w:sz="4" w:space="0" w:color="auto"/>
            </w:tcBorders>
            <w:shd w:val="clear" w:color="000000" w:fill="FFFF0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 </w:t>
            </w:r>
          </w:p>
        </w:tc>
        <w:tc>
          <w:tcPr>
            <w:tcW w:w="708" w:type="dxa"/>
            <w:tcBorders>
              <w:top w:val="nil"/>
              <w:left w:val="nil"/>
              <w:bottom w:val="single" w:sz="4" w:space="0" w:color="auto"/>
              <w:right w:val="single" w:sz="4" w:space="0" w:color="auto"/>
            </w:tcBorders>
            <w:shd w:val="clear" w:color="000000" w:fill="92D05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1</w:t>
            </w:r>
          </w:p>
        </w:tc>
        <w:tc>
          <w:tcPr>
            <w:tcW w:w="709" w:type="dxa"/>
            <w:tcBorders>
              <w:top w:val="nil"/>
              <w:left w:val="nil"/>
              <w:bottom w:val="single" w:sz="4" w:space="0" w:color="auto"/>
              <w:right w:val="single" w:sz="4" w:space="0" w:color="auto"/>
            </w:tcBorders>
            <w:shd w:val="clear" w:color="000000" w:fill="66FF33"/>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 </w:t>
            </w:r>
          </w:p>
        </w:tc>
        <w:tc>
          <w:tcPr>
            <w:tcW w:w="709" w:type="dxa"/>
            <w:tcBorders>
              <w:top w:val="nil"/>
              <w:left w:val="nil"/>
              <w:bottom w:val="single" w:sz="4" w:space="0" w:color="auto"/>
              <w:right w:val="single" w:sz="4" w:space="0" w:color="auto"/>
            </w:tcBorders>
            <w:shd w:val="clear" w:color="000000" w:fill="D9D9D9"/>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1</w:t>
            </w:r>
          </w:p>
        </w:tc>
      </w:tr>
      <w:tr w:rsidR="00D04AAB" w:rsidRPr="00D04AAB" w:rsidTr="004D19A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94FC6" w:rsidRPr="00D04AAB" w:rsidRDefault="00494FC6">
            <w:pPr>
              <w:rPr>
                <w:rFonts w:ascii="Segoe UI" w:hAnsi="Segoe UI" w:cs="Segoe UI"/>
                <w:color w:val="000000"/>
                <w:sz w:val="22"/>
                <w:szCs w:val="22"/>
              </w:rPr>
            </w:pPr>
            <w:r w:rsidRPr="00D04AAB">
              <w:rPr>
                <w:rFonts w:ascii="Segoe UI" w:hAnsi="Segoe UI" w:cs="Segoe UI"/>
                <w:color w:val="000000"/>
                <w:sz w:val="22"/>
                <w:szCs w:val="22"/>
              </w:rPr>
              <w:t>Operational Performance</w:t>
            </w:r>
          </w:p>
        </w:tc>
        <w:tc>
          <w:tcPr>
            <w:tcW w:w="639" w:type="dxa"/>
            <w:tcBorders>
              <w:top w:val="nil"/>
              <w:left w:val="nil"/>
              <w:bottom w:val="single" w:sz="4" w:space="0" w:color="auto"/>
              <w:right w:val="single" w:sz="4" w:space="0" w:color="auto"/>
            </w:tcBorders>
            <w:shd w:val="clear" w:color="000000" w:fill="FF000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1</w:t>
            </w:r>
          </w:p>
        </w:tc>
        <w:tc>
          <w:tcPr>
            <w:tcW w:w="709" w:type="dxa"/>
            <w:tcBorders>
              <w:top w:val="nil"/>
              <w:left w:val="nil"/>
              <w:bottom w:val="single" w:sz="4" w:space="0" w:color="auto"/>
              <w:right w:val="single" w:sz="4" w:space="0" w:color="auto"/>
            </w:tcBorders>
            <w:shd w:val="clear" w:color="000000" w:fill="FFC00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 </w:t>
            </w:r>
          </w:p>
        </w:tc>
        <w:tc>
          <w:tcPr>
            <w:tcW w:w="709" w:type="dxa"/>
            <w:tcBorders>
              <w:top w:val="nil"/>
              <w:left w:val="nil"/>
              <w:bottom w:val="single" w:sz="4" w:space="0" w:color="auto"/>
              <w:right w:val="single" w:sz="4" w:space="0" w:color="auto"/>
            </w:tcBorders>
            <w:shd w:val="clear" w:color="000000" w:fill="FFFF00"/>
            <w:noWrap/>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 </w:t>
            </w:r>
          </w:p>
        </w:tc>
        <w:tc>
          <w:tcPr>
            <w:tcW w:w="708" w:type="dxa"/>
            <w:tcBorders>
              <w:top w:val="nil"/>
              <w:left w:val="nil"/>
              <w:bottom w:val="single" w:sz="4" w:space="0" w:color="auto"/>
              <w:right w:val="single" w:sz="4" w:space="0" w:color="auto"/>
            </w:tcBorders>
            <w:shd w:val="clear" w:color="000000" w:fill="92D050"/>
            <w:noWrap/>
            <w:vAlign w:val="bottom"/>
            <w:hideMark/>
          </w:tcPr>
          <w:p w:rsidR="00494FC6" w:rsidRPr="00D04AAB" w:rsidRDefault="004D19A3">
            <w:pPr>
              <w:jc w:val="center"/>
              <w:rPr>
                <w:rFonts w:ascii="Segoe UI" w:hAnsi="Segoe UI" w:cs="Segoe UI"/>
                <w:color w:val="000000"/>
                <w:sz w:val="22"/>
                <w:szCs w:val="22"/>
              </w:rPr>
            </w:pPr>
            <w:r>
              <w:rPr>
                <w:rFonts w:ascii="Segoe UI" w:hAnsi="Segoe UI" w:cs="Segoe UI"/>
                <w:color w:val="000000"/>
                <w:sz w:val="22"/>
                <w:szCs w:val="22"/>
              </w:rPr>
              <w:t>2</w:t>
            </w:r>
          </w:p>
        </w:tc>
        <w:tc>
          <w:tcPr>
            <w:tcW w:w="709" w:type="dxa"/>
            <w:tcBorders>
              <w:top w:val="nil"/>
              <w:left w:val="nil"/>
              <w:bottom w:val="single" w:sz="4" w:space="0" w:color="auto"/>
              <w:right w:val="single" w:sz="4" w:space="0" w:color="auto"/>
            </w:tcBorders>
            <w:shd w:val="clear" w:color="000000" w:fill="66FF33"/>
            <w:noWrap/>
            <w:vAlign w:val="bottom"/>
            <w:hideMark/>
          </w:tcPr>
          <w:p w:rsidR="00494FC6" w:rsidRPr="00D04AAB" w:rsidRDefault="004D19A3">
            <w:pPr>
              <w:jc w:val="center"/>
              <w:rPr>
                <w:rFonts w:ascii="Segoe UI" w:hAnsi="Segoe UI" w:cs="Segoe UI"/>
                <w:color w:val="000000"/>
                <w:sz w:val="22"/>
                <w:szCs w:val="22"/>
              </w:rPr>
            </w:pPr>
            <w:r>
              <w:rPr>
                <w:rFonts w:ascii="Segoe UI" w:hAnsi="Segoe UI" w:cs="Segoe UI"/>
                <w:color w:val="000000"/>
                <w:sz w:val="22"/>
                <w:szCs w:val="22"/>
              </w:rPr>
              <w:t>5</w:t>
            </w:r>
          </w:p>
        </w:tc>
        <w:tc>
          <w:tcPr>
            <w:tcW w:w="709" w:type="dxa"/>
            <w:tcBorders>
              <w:top w:val="nil"/>
              <w:left w:val="nil"/>
              <w:bottom w:val="single" w:sz="4" w:space="0" w:color="auto"/>
              <w:right w:val="single" w:sz="4" w:space="0" w:color="auto"/>
            </w:tcBorders>
            <w:shd w:val="clear" w:color="000000" w:fill="D9D9D9"/>
            <w:vAlign w:val="bottom"/>
            <w:hideMark/>
          </w:tcPr>
          <w:p w:rsidR="00494FC6" w:rsidRPr="00D04AAB" w:rsidRDefault="00494FC6">
            <w:pPr>
              <w:jc w:val="center"/>
              <w:rPr>
                <w:rFonts w:ascii="Segoe UI" w:hAnsi="Segoe UI" w:cs="Segoe UI"/>
                <w:color w:val="000000"/>
                <w:sz w:val="22"/>
                <w:szCs w:val="22"/>
              </w:rPr>
            </w:pPr>
            <w:r w:rsidRPr="00D04AAB">
              <w:rPr>
                <w:rFonts w:ascii="Segoe UI" w:hAnsi="Segoe UI" w:cs="Segoe UI"/>
                <w:color w:val="000000"/>
                <w:sz w:val="22"/>
                <w:szCs w:val="22"/>
              </w:rPr>
              <w:t>1</w:t>
            </w:r>
          </w:p>
        </w:tc>
      </w:tr>
      <w:tr w:rsidR="00D04AAB" w:rsidRPr="00D04AAB" w:rsidTr="004D19A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494FC6" w:rsidRPr="00D04AAB" w:rsidRDefault="00494FC6">
            <w:pPr>
              <w:rPr>
                <w:rFonts w:ascii="Segoe UI" w:hAnsi="Segoe UI" w:cs="Segoe UI"/>
                <w:b/>
                <w:bCs/>
                <w:color w:val="000000"/>
                <w:sz w:val="22"/>
                <w:szCs w:val="22"/>
              </w:rPr>
            </w:pPr>
            <w:r w:rsidRPr="00D04AAB">
              <w:rPr>
                <w:rFonts w:ascii="Segoe UI" w:hAnsi="Segoe UI" w:cs="Segoe UI"/>
                <w:b/>
                <w:bCs/>
                <w:color w:val="000000"/>
                <w:sz w:val="22"/>
                <w:szCs w:val="22"/>
              </w:rPr>
              <w:t>Total</w:t>
            </w:r>
          </w:p>
        </w:tc>
        <w:tc>
          <w:tcPr>
            <w:tcW w:w="639" w:type="dxa"/>
            <w:tcBorders>
              <w:top w:val="nil"/>
              <w:left w:val="nil"/>
              <w:bottom w:val="single" w:sz="4" w:space="0" w:color="auto"/>
              <w:right w:val="single" w:sz="4" w:space="0" w:color="auto"/>
            </w:tcBorders>
            <w:shd w:val="clear" w:color="000000" w:fill="FF0000"/>
            <w:noWrap/>
            <w:vAlign w:val="bottom"/>
            <w:hideMark/>
          </w:tcPr>
          <w:p w:rsidR="00494FC6" w:rsidRPr="00D04AAB" w:rsidRDefault="00642F4C">
            <w:pPr>
              <w:jc w:val="center"/>
              <w:rPr>
                <w:rFonts w:ascii="Segoe UI" w:hAnsi="Segoe UI" w:cs="Segoe UI"/>
                <w:b/>
                <w:bCs/>
                <w:color w:val="000000"/>
                <w:sz w:val="22"/>
                <w:szCs w:val="22"/>
              </w:rPr>
            </w:pPr>
            <w:r>
              <w:rPr>
                <w:rFonts w:ascii="Segoe UI" w:hAnsi="Segoe UI" w:cs="Segoe UI"/>
                <w:b/>
                <w:bCs/>
                <w:color w:val="000000"/>
                <w:sz w:val="22"/>
                <w:szCs w:val="22"/>
              </w:rPr>
              <w:t>4</w:t>
            </w:r>
          </w:p>
        </w:tc>
        <w:tc>
          <w:tcPr>
            <w:tcW w:w="709" w:type="dxa"/>
            <w:tcBorders>
              <w:top w:val="nil"/>
              <w:left w:val="nil"/>
              <w:bottom w:val="single" w:sz="4" w:space="0" w:color="auto"/>
              <w:right w:val="single" w:sz="4" w:space="0" w:color="auto"/>
            </w:tcBorders>
            <w:shd w:val="clear" w:color="000000" w:fill="FFC000"/>
            <w:noWrap/>
            <w:vAlign w:val="bottom"/>
            <w:hideMark/>
          </w:tcPr>
          <w:p w:rsidR="00494FC6" w:rsidRPr="00D04AAB" w:rsidRDefault="00494FC6">
            <w:pPr>
              <w:jc w:val="center"/>
              <w:rPr>
                <w:rFonts w:ascii="Segoe UI" w:hAnsi="Segoe UI" w:cs="Segoe UI"/>
                <w:b/>
                <w:bCs/>
                <w:color w:val="000000"/>
                <w:sz w:val="22"/>
                <w:szCs w:val="22"/>
              </w:rPr>
            </w:pPr>
            <w:r w:rsidRPr="00D04AAB">
              <w:rPr>
                <w:rFonts w:ascii="Segoe UI" w:hAnsi="Segoe UI" w:cs="Segoe UI"/>
                <w:b/>
                <w:bCs/>
                <w:color w:val="000000"/>
                <w:sz w:val="22"/>
                <w:szCs w:val="22"/>
              </w:rPr>
              <w:t>0</w:t>
            </w:r>
          </w:p>
        </w:tc>
        <w:tc>
          <w:tcPr>
            <w:tcW w:w="709" w:type="dxa"/>
            <w:tcBorders>
              <w:top w:val="nil"/>
              <w:left w:val="nil"/>
              <w:bottom w:val="single" w:sz="4" w:space="0" w:color="auto"/>
              <w:right w:val="single" w:sz="4" w:space="0" w:color="auto"/>
            </w:tcBorders>
            <w:shd w:val="clear" w:color="000000" w:fill="FFFF00"/>
            <w:noWrap/>
            <w:vAlign w:val="bottom"/>
            <w:hideMark/>
          </w:tcPr>
          <w:p w:rsidR="00494FC6" w:rsidRPr="00D04AAB" w:rsidRDefault="00494FC6">
            <w:pPr>
              <w:jc w:val="center"/>
              <w:rPr>
                <w:rFonts w:ascii="Segoe UI" w:hAnsi="Segoe UI" w:cs="Segoe UI"/>
                <w:b/>
                <w:bCs/>
                <w:color w:val="000000"/>
                <w:sz w:val="22"/>
                <w:szCs w:val="22"/>
              </w:rPr>
            </w:pPr>
            <w:r w:rsidRPr="00D04AAB">
              <w:rPr>
                <w:rFonts w:ascii="Segoe UI" w:hAnsi="Segoe UI" w:cs="Segoe UI"/>
                <w:b/>
                <w:bCs/>
                <w:color w:val="000000"/>
                <w:sz w:val="22"/>
                <w:szCs w:val="22"/>
              </w:rPr>
              <w:t>1</w:t>
            </w:r>
          </w:p>
        </w:tc>
        <w:tc>
          <w:tcPr>
            <w:tcW w:w="708" w:type="dxa"/>
            <w:tcBorders>
              <w:top w:val="nil"/>
              <w:left w:val="nil"/>
              <w:bottom w:val="single" w:sz="4" w:space="0" w:color="auto"/>
              <w:right w:val="single" w:sz="4" w:space="0" w:color="auto"/>
            </w:tcBorders>
            <w:shd w:val="clear" w:color="000000" w:fill="92D050"/>
            <w:noWrap/>
            <w:vAlign w:val="bottom"/>
            <w:hideMark/>
          </w:tcPr>
          <w:p w:rsidR="00494FC6" w:rsidRPr="00D04AAB" w:rsidRDefault="004D19A3">
            <w:pPr>
              <w:jc w:val="center"/>
              <w:rPr>
                <w:rFonts w:ascii="Segoe UI" w:hAnsi="Segoe UI" w:cs="Segoe UI"/>
                <w:b/>
                <w:bCs/>
                <w:color w:val="000000"/>
                <w:sz w:val="22"/>
                <w:szCs w:val="22"/>
              </w:rPr>
            </w:pPr>
            <w:r>
              <w:rPr>
                <w:rFonts w:ascii="Segoe UI" w:hAnsi="Segoe UI" w:cs="Segoe UI"/>
                <w:b/>
                <w:bCs/>
                <w:color w:val="000000"/>
                <w:sz w:val="22"/>
                <w:szCs w:val="22"/>
              </w:rPr>
              <w:t>7</w:t>
            </w:r>
          </w:p>
        </w:tc>
        <w:tc>
          <w:tcPr>
            <w:tcW w:w="709" w:type="dxa"/>
            <w:tcBorders>
              <w:top w:val="nil"/>
              <w:left w:val="nil"/>
              <w:bottom w:val="single" w:sz="4" w:space="0" w:color="auto"/>
              <w:right w:val="single" w:sz="4" w:space="0" w:color="auto"/>
            </w:tcBorders>
            <w:shd w:val="clear" w:color="000000" w:fill="66FF33"/>
            <w:noWrap/>
            <w:vAlign w:val="bottom"/>
            <w:hideMark/>
          </w:tcPr>
          <w:p w:rsidR="00494FC6" w:rsidRPr="00D04AAB" w:rsidRDefault="004D19A3">
            <w:pPr>
              <w:jc w:val="center"/>
              <w:rPr>
                <w:rFonts w:ascii="Segoe UI" w:hAnsi="Segoe UI" w:cs="Segoe UI"/>
                <w:b/>
                <w:bCs/>
                <w:color w:val="000000"/>
                <w:sz w:val="22"/>
                <w:szCs w:val="22"/>
              </w:rPr>
            </w:pPr>
            <w:r>
              <w:rPr>
                <w:rFonts w:ascii="Segoe UI" w:hAnsi="Segoe UI" w:cs="Segoe UI"/>
                <w:b/>
                <w:bCs/>
                <w:color w:val="000000"/>
                <w:sz w:val="22"/>
                <w:szCs w:val="22"/>
              </w:rPr>
              <w:t>8</w:t>
            </w:r>
          </w:p>
        </w:tc>
        <w:tc>
          <w:tcPr>
            <w:tcW w:w="709" w:type="dxa"/>
            <w:tcBorders>
              <w:top w:val="nil"/>
              <w:left w:val="nil"/>
              <w:bottom w:val="single" w:sz="4" w:space="0" w:color="auto"/>
              <w:right w:val="single" w:sz="4" w:space="0" w:color="auto"/>
            </w:tcBorders>
            <w:shd w:val="clear" w:color="000000" w:fill="D9D9D9"/>
            <w:noWrap/>
            <w:vAlign w:val="bottom"/>
            <w:hideMark/>
          </w:tcPr>
          <w:p w:rsidR="00494FC6" w:rsidRPr="00D04AAB" w:rsidRDefault="00494FC6">
            <w:pPr>
              <w:jc w:val="center"/>
              <w:rPr>
                <w:rFonts w:ascii="Segoe UI" w:hAnsi="Segoe UI" w:cs="Segoe UI"/>
                <w:b/>
                <w:bCs/>
                <w:color w:val="000000"/>
                <w:sz w:val="22"/>
                <w:szCs w:val="22"/>
              </w:rPr>
            </w:pPr>
            <w:r w:rsidRPr="00D04AAB">
              <w:rPr>
                <w:rFonts w:ascii="Segoe UI" w:hAnsi="Segoe UI" w:cs="Segoe UI"/>
                <w:b/>
                <w:bCs/>
                <w:color w:val="000000"/>
                <w:sz w:val="22"/>
                <w:szCs w:val="22"/>
              </w:rPr>
              <w:t>7</w:t>
            </w:r>
          </w:p>
        </w:tc>
      </w:tr>
    </w:tbl>
    <w:p w:rsidR="004E4139" w:rsidRPr="00D04AAB" w:rsidRDefault="004E4139" w:rsidP="006A7D46">
      <w:pPr>
        <w:rPr>
          <w:rFonts w:ascii="Segoe UI" w:hAnsi="Segoe UI" w:cs="Segoe UI"/>
          <w:sz w:val="22"/>
        </w:rPr>
      </w:pPr>
    </w:p>
    <w:p w:rsidR="00FE4E38" w:rsidRDefault="00FE4E38" w:rsidP="00FE4E38">
      <w:pPr>
        <w:rPr>
          <w:rFonts w:ascii="Segoe UI" w:hAnsi="Segoe UI" w:cs="Segoe UI"/>
          <w:sz w:val="22"/>
        </w:rPr>
      </w:pPr>
      <w:r>
        <w:rPr>
          <w:rFonts w:ascii="Segoe UI" w:hAnsi="Segoe UI" w:cs="Segoe UI"/>
          <w:sz w:val="22"/>
        </w:rPr>
        <w:t xml:space="preserve"> </w:t>
      </w:r>
    </w:p>
    <w:p w:rsidR="00FE4E38" w:rsidRDefault="00FE4E38" w:rsidP="006A7D46">
      <w:pPr>
        <w:rPr>
          <w:rFonts w:ascii="Segoe UI" w:hAnsi="Segoe UI" w:cs="Segoe UI"/>
        </w:rPr>
        <w:sectPr w:rsidR="00FE4E38" w:rsidSect="0090540B">
          <w:headerReference w:type="default" r:id="rId12"/>
          <w:pgSz w:w="16838" w:h="11906" w:orient="landscape" w:code="9"/>
          <w:pgMar w:top="1560" w:right="962" w:bottom="1135" w:left="1247" w:header="568" w:footer="709" w:gutter="0"/>
          <w:cols w:num="2" w:space="708"/>
          <w:docGrid w:linePitch="360"/>
        </w:sect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tbl>
      <w:tblPr>
        <w:tblStyle w:val="TableGrid"/>
        <w:tblW w:w="0" w:type="auto"/>
        <w:tblInd w:w="-3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3969"/>
      </w:tblGrid>
      <w:tr w:rsidR="004551C0" w:rsidTr="003D0593">
        <w:tc>
          <w:tcPr>
            <w:tcW w:w="426" w:type="dxa"/>
            <w:shd w:val="clear" w:color="auto" w:fill="FF0000"/>
          </w:tcPr>
          <w:p w:rsidR="004551C0" w:rsidRPr="0096419E" w:rsidRDefault="004551C0" w:rsidP="003D0593">
            <w:pPr>
              <w:rPr>
                <w:rFonts w:ascii="Segoe UI" w:hAnsi="Segoe UI" w:cs="Segoe UI"/>
                <w:b/>
              </w:rPr>
            </w:pPr>
            <w:r>
              <w:rPr>
                <w:rFonts w:ascii="Segoe UI" w:hAnsi="Segoe UI" w:cs="Segoe UI"/>
                <w:b/>
              </w:rPr>
              <w:t>R</w:t>
            </w:r>
          </w:p>
        </w:tc>
        <w:tc>
          <w:tcPr>
            <w:tcW w:w="3969" w:type="dxa"/>
            <w:shd w:val="clear" w:color="auto" w:fill="auto"/>
          </w:tcPr>
          <w:p w:rsidR="004551C0" w:rsidRPr="00BA26C9" w:rsidRDefault="004551C0" w:rsidP="003D0593">
            <w:pPr>
              <w:rPr>
                <w:rFonts w:ascii="Segoe UI" w:hAnsi="Segoe UI" w:cs="Segoe UI"/>
                <w:b/>
              </w:rPr>
            </w:pPr>
            <w:r>
              <w:rPr>
                <w:rFonts w:ascii="Segoe UI" w:hAnsi="Segoe UI" w:cs="Segoe UI"/>
                <w:b/>
              </w:rPr>
              <w:t>Red Indicators</w:t>
            </w:r>
          </w:p>
        </w:tc>
      </w:tr>
    </w:tbl>
    <w:p w:rsidR="004551C0" w:rsidRDefault="004551C0" w:rsidP="00772343">
      <w:pPr>
        <w:rPr>
          <w:rFonts w:ascii="Segoe UI" w:hAnsi="Segoe UI" w:cs="Segoe UI"/>
          <w:b/>
          <w:color w:val="F2F2F2" w:themeColor="background1" w:themeShade="F2"/>
          <w:highlight w:val="blue"/>
        </w:rPr>
      </w:pPr>
    </w:p>
    <w:tbl>
      <w:tblPr>
        <w:tblStyle w:val="TableGrid2"/>
        <w:tblW w:w="15310" w:type="dxa"/>
        <w:tblInd w:w="-318" w:type="dxa"/>
        <w:tblLayout w:type="fixed"/>
        <w:tblLook w:val="04A0" w:firstRow="1" w:lastRow="0" w:firstColumn="1" w:lastColumn="0" w:noHBand="0" w:noVBand="1"/>
      </w:tblPr>
      <w:tblGrid>
        <w:gridCol w:w="1702"/>
        <w:gridCol w:w="567"/>
        <w:gridCol w:w="1418"/>
        <w:gridCol w:w="1134"/>
        <w:gridCol w:w="850"/>
        <w:gridCol w:w="3686"/>
        <w:gridCol w:w="5953"/>
      </w:tblGrid>
      <w:tr w:rsidR="00472AAF" w:rsidRPr="00494FC6" w:rsidTr="006165CC">
        <w:trPr>
          <w:trHeight w:val="476"/>
        </w:trPr>
        <w:tc>
          <w:tcPr>
            <w:tcW w:w="1702" w:type="dxa"/>
            <w:shd w:val="clear" w:color="auto" w:fill="0070C0"/>
            <w:vAlign w:val="center"/>
          </w:tcPr>
          <w:p w:rsidR="00472AAF" w:rsidRPr="00984A0E" w:rsidRDefault="00472AAF" w:rsidP="00984A0E">
            <w:pPr>
              <w:spacing w:before="40" w:after="40"/>
              <w:jc w:val="center"/>
              <w:rPr>
                <w:rFonts w:ascii="Segoe UI" w:hAnsi="Segoe UI" w:cs="Segoe UI"/>
                <w:b/>
                <w:color w:val="FFFFFF" w:themeColor="background1"/>
                <w:sz w:val="20"/>
                <w:szCs w:val="22"/>
              </w:rPr>
            </w:pPr>
            <w:r w:rsidRPr="00984A0E">
              <w:rPr>
                <w:rFonts w:ascii="Segoe UI" w:hAnsi="Segoe UI" w:cs="Segoe UI"/>
                <w:b/>
                <w:color w:val="FFFFFF" w:themeColor="background1"/>
                <w:sz w:val="20"/>
                <w:szCs w:val="22"/>
              </w:rPr>
              <w:t>Area</w:t>
            </w:r>
          </w:p>
        </w:tc>
        <w:tc>
          <w:tcPr>
            <w:tcW w:w="567" w:type="dxa"/>
            <w:shd w:val="clear" w:color="auto" w:fill="0070C0"/>
            <w:vAlign w:val="center"/>
          </w:tcPr>
          <w:p w:rsidR="00472AAF" w:rsidRPr="00984A0E" w:rsidRDefault="00472AAF" w:rsidP="00984A0E">
            <w:pPr>
              <w:spacing w:before="40" w:after="40"/>
              <w:jc w:val="center"/>
              <w:rPr>
                <w:rFonts w:ascii="Segoe UI" w:hAnsi="Segoe UI" w:cs="Segoe UI"/>
                <w:b/>
                <w:color w:val="FFFFFF" w:themeColor="background1"/>
                <w:sz w:val="20"/>
                <w:szCs w:val="22"/>
              </w:rPr>
            </w:pPr>
            <w:r w:rsidRPr="00984A0E">
              <w:rPr>
                <w:rFonts w:ascii="Segoe UI" w:hAnsi="Segoe UI" w:cs="Segoe UI"/>
                <w:b/>
                <w:color w:val="FFFFFF" w:themeColor="background1"/>
                <w:sz w:val="20"/>
                <w:szCs w:val="22"/>
              </w:rPr>
              <w:t>Ref</w:t>
            </w:r>
          </w:p>
        </w:tc>
        <w:tc>
          <w:tcPr>
            <w:tcW w:w="1418" w:type="dxa"/>
            <w:shd w:val="clear" w:color="auto" w:fill="0070C0"/>
            <w:vAlign w:val="center"/>
          </w:tcPr>
          <w:p w:rsidR="00472AAF" w:rsidRPr="00984A0E" w:rsidRDefault="00472AAF" w:rsidP="00984A0E">
            <w:pPr>
              <w:spacing w:before="40" w:after="40"/>
              <w:jc w:val="center"/>
              <w:rPr>
                <w:rFonts w:ascii="Segoe UI" w:hAnsi="Segoe UI" w:cs="Segoe UI"/>
                <w:b/>
                <w:color w:val="FFFFFF" w:themeColor="background1"/>
                <w:sz w:val="20"/>
                <w:szCs w:val="22"/>
              </w:rPr>
            </w:pPr>
            <w:r w:rsidRPr="00984A0E">
              <w:rPr>
                <w:rFonts w:ascii="Segoe UI" w:hAnsi="Segoe UI" w:cs="Segoe UI"/>
                <w:b/>
                <w:color w:val="FFFFFF" w:themeColor="background1"/>
                <w:sz w:val="20"/>
                <w:szCs w:val="22"/>
              </w:rPr>
              <w:t>Measure</w:t>
            </w:r>
          </w:p>
        </w:tc>
        <w:tc>
          <w:tcPr>
            <w:tcW w:w="1134" w:type="dxa"/>
            <w:shd w:val="clear" w:color="auto" w:fill="0070C0"/>
            <w:vAlign w:val="center"/>
          </w:tcPr>
          <w:p w:rsidR="00472AAF" w:rsidRPr="00984A0E" w:rsidRDefault="00472AAF" w:rsidP="00984A0E">
            <w:pPr>
              <w:spacing w:before="40" w:after="40"/>
              <w:jc w:val="center"/>
              <w:rPr>
                <w:rFonts w:ascii="Segoe UI" w:hAnsi="Segoe UI" w:cs="Segoe UI"/>
                <w:b/>
                <w:color w:val="FFFFFF" w:themeColor="background1"/>
                <w:sz w:val="20"/>
                <w:szCs w:val="22"/>
              </w:rPr>
            </w:pPr>
            <w:r w:rsidRPr="00984A0E">
              <w:rPr>
                <w:rFonts w:ascii="Segoe UI" w:hAnsi="Segoe UI" w:cs="Segoe UI"/>
                <w:b/>
                <w:color w:val="FFFFFF" w:themeColor="background1"/>
                <w:sz w:val="20"/>
                <w:szCs w:val="22"/>
              </w:rPr>
              <w:t>Target</w:t>
            </w:r>
          </w:p>
        </w:tc>
        <w:tc>
          <w:tcPr>
            <w:tcW w:w="850" w:type="dxa"/>
            <w:shd w:val="clear" w:color="auto" w:fill="0070C0"/>
            <w:vAlign w:val="center"/>
          </w:tcPr>
          <w:p w:rsidR="00472AAF" w:rsidRPr="00984A0E" w:rsidRDefault="00472AAF" w:rsidP="00984A0E">
            <w:pPr>
              <w:spacing w:before="40" w:after="40"/>
              <w:jc w:val="center"/>
              <w:rPr>
                <w:rFonts w:ascii="Segoe UI" w:hAnsi="Segoe UI" w:cs="Segoe UI"/>
                <w:b/>
                <w:color w:val="FFFFFF" w:themeColor="background1"/>
                <w:sz w:val="20"/>
                <w:szCs w:val="22"/>
              </w:rPr>
            </w:pPr>
            <w:r w:rsidRPr="00984A0E">
              <w:rPr>
                <w:rFonts w:ascii="Segoe UI" w:hAnsi="Segoe UI" w:cs="Segoe UI"/>
                <w:b/>
                <w:color w:val="FFFFFF" w:themeColor="background1"/>
                <w:sz w:val="20"/>
                <w:szCs w:val="22"/>
              </w:rPr>
              <w:t>Actual</w:t>
            </w:r>
          </w:p>
        </w:tc>
        <w:tc>
          <w:tcPr>
            <w:tcW w:w="3686" w:type="dxa"/>
            <w:shd w:val="clear" w:color="auto" w:fill="0070C0"/>
            <w:vAlign w:val="center"/>
          </w:tcPr>
          <w:p w:rsidR="00472AAF" w:rsidRPr="00984A0E" w:rsidRDefault="00472AAF" w:rsidP="00472AAF">
            <w:pPr>
              <w:spacing w:before="40" w:after="40"/>
              <w:ind w:left="-111"/>
              <w:jc w:val="center"/>
              <w:rPr>
                <w:rFonts w:ascii="Segoe UI" w:hAnsi="Segoe UI" w:cs="Segoe UI"/>
                <w:b/>
                <w:color w:val="FFFFFF" w:themeColor="background1"/>
                <w:sz w:val="20"/>
                <w:szCs w:val="22"/>
              </w:rPr>
            </w:pPr>
            <w:r w:rsidRPr="00984A0E">
              <w:rPr>
                <w:rFonts w:ascii="Segoe UI" w:hAnsi="Segoe UI" w:cs="Segoe UI"/>
                <w:b/>
                <w:color w:val="FFFFFF" w:themeColor="background1"/>
                <w:sz w:val="20"/>
                <w:szCs w:val="22"/>
              </w:rPr>
              <w:t>Trend</w:t>
            </w:r>
          </w:p>
        </w:tc>
        <w:tc>
          <w:tcPr>
            <w:tcW w:w="5953" w:type="dxa"/>
            <w:shd w:val="clear" w:color="auto" w:fill="0070C0"/>
            <w:vAlign w:val="center"/>
          </w:tcPr>
          <w:p w:rsidR="00472AAF" w:rsidRPr="00984A0E" w:rsidRDefault="00472AAF" w:rsidP="00984A0E">
            <w:pPr>
              <w:spacing w:before="40" w:after="40"/>
              <w:jc w:val="center"/>
              <w:rPr>
                <w:rFonts w:ascii="Segoe UI" w:hAnsi="Segoe UI" w:cs="Segoe UI"/>
                <w:b/>
                <w:color w:val="FFFFFF" w:themeColor="background1"/>
                <w:sz w:val="20"/>
                <w:szCs w:val="22"/>
              </w:rPr>
            </w:pPr>
            <w:r>
              <w:rPr>
                <w:rFonts w:ascii="Segoe UI" w:hAnsi="Segoe UI" w:cs="Segoe UI"/>
                <w:b/>
                <w:color w:val="FFFFFF" w:themeColor="background1"/>
                <w:sz w:val="20"/>
                <w:szCs w:val="22"/>
              </w:rPr>
              <w:t>Narrative</w:t>
            </w:r>
          </w:p>
        </w:tc>
      </w:tr>
      <w:tr w:rsidR="00472AAF" w:rsidRPr="00494FC6" w:rsidTr="006165CC">
        <w:trPr>
          <w:trHeight w:val="476"/>
        </w:trPr>
        <w:tc>
          <w:tcPr>
            <w:tcW w:w="1702" w:type="dxa"/>
          </w:tcPr>
          <w:p w:rsidR="00472AAF" w:rsidRPr="00472AAF" w:rsidRDefault="00472AAF" w:rsidP="00494FC6">
            <w:pPr>
              <w:rPr>
                <w:rFonts w:ascii="Segoe UI" w:hAnsi="Segoe UI" w:cs="Segoe UI"/>
                <w:sz w:val="22"/>
                <w:szCs w:val="22"/>
              </w:rPr>
            </w:pPr>
            <w:r w:rsidRPr="00472AAF">
              <w:rPr>
                <w:rFonts w:ascii="Segoe UI" w:hAnsi="Segoe UI" w:cs="Segoe UI"/>
                <w:sz w:val="22"/>
                <w:szCs w:val="22"/>
              </w:rPr>
              <w:t>Organisational</w:t>
            </w:r>
          </w:p>
        </w:tc>
        <w:tc>
          <w:tcPr>
            <w:tcW w:w="567" w:type="dxa"/>
          </w:tcPr>
          <w:p w:rsidR="00472AAF" w:rsidRPr="00472AAF" w:rsidRDefault="00472AAF" w:rsidP="00494FC6">
            <w:pPr>
              <w:rPr>
                <w:rFonts w:ascii="Segoe UI" w:hAnsi="Segoe UI" w:cs="Segoe UI"/>
                <w:sz w:val="22"/>
                <w:szCs w:val="22"/>
              </w:rPr>
            </w:pPr>
            <w:r w:rsidRPr="00472AAF">
              <w:rPr>
                <w:rFonts w:ascii="Segoe UI" w:hAnsi="Segoe UI" w:cs="Segoe UI"/>
                <w:sz w:val="22"/>
                <w:szCs w:val="22"/>
              </w:rPr>
              <w:t>2</w:t>
            </w:r>
          </w:p>
        </w:tc>
        <w:tc>
          <w:tcPr>
            <w:tcW w:w="1418" w:type="dxa"/>
          </w:tcPr>
          <w:p w:rsidR="00472AAF" w:rsidRPr="00472AAF" w:rsidRDefault="00472AAF" w:rsidP="00494FC6">
            <w:pPr>
              <w:rPr>
                <w:rFonts w:ascii="Segoe UI" w:hAnsi="Segoe UI" w:cs="Segoe UI"/>
                <w:sz w:val="22"/>
                <w:szCs w:val="22"/>
              </w:rPr>
            </w:pPr>
            <w:r w:rsidRPr="00472AAF">
              <w:rPr>
                <w:rFonts w:ascii="Segoe UI" w:hAnsi="Segoe UI" w:cs="Segoe UI"/>
                <w:sz w:val="22"/>
                <w:szCs w:val="22"/>
              </w:rPr>
              <w:t xml:space="preserve">Staff turnover </w:t>
            </w:r>
          </w:p>
        </w:tc>
        <w:tc>
          <w:tcPr>
            <w:tcW w:w="1134" w:type="dxa"/>
            <w:vAlign w:val="center"/>
          </w:tcPr>
          <w:p w:rsidR="00472AAF" w:rsidRPr="00472AAF" w:rsidRDefault="00472AAF" w:rsidP="00494FC6">
            <w:pPr>
              <w:jc w:val="center"/>
              <w:rPr>
                <w:rFonts w:ascii="Segoe UI" w:hAnsi="Segoe UI" w:cs="Segoe UI"/>
                <w:sz w:val="22"/>
                <w:szCs w:val="22"/>
              </w:rPr>
            </w:pPr>
            <w:r w:rsidRPr="00472AAF">
              <w:rPr>
                <w:rFonts w:ascii="Segoe UI" w:hAnsi="Segoe UI" w:cs="Segoe UI"/>
                <w:sz w:val="22"/>
                <w:szCs w:val="22"/>
              </w:rPr>
              <w:t>&lt;12%</w:t>
            </w:r>
          </w:p>
        </w:tc>
        <w:tc>
          <w:tcPr>
            <w:tcW w:w="850" w:type="dxa"/>
            <w:shd w:val="clear" w:color="auto" w:fill="FF0000"/>
            <w:vAlign w:val="center"/>
          </w:tcPr>
          <w:p w:rsidR="00472AAF" w:rsidRPr="00472AAF" w:rsidRDefault="00472AAF" w:rsidP="00642F4C">
            <w:pPr>
              <w:jc w:val="center"/>
              <w:rPr>
                <w:rFonts w:ascii="Segoe UI" w:hAnsi="Segoe UI" w:cs="Segoe UI"/>
                <w:sz w:val="22"/>
                <w:szCs w:val="22"/>
              </w:rPr>
            </w:pPr>
            <w:r w:rsidRPr="00472AAF">
              <w:rPr>
                <w:rFonts w:ascii="Segoe UI" w:hAnsi="Segoe UI" w:cs="Segoe UI"/>
                <w:sz w:val="22"/>
                <w:szCs w:val="22"/>
              </w:rPr>
              <w:t>14.6%</w:t>
            </w:r>
          </w:p>
        </w:tc>
        <w:tc>
          <w:tcPr>
            <w:tcW w:w="3686" w:type="dxa"/>
            <w:shd w:val="clear" w:color="auto" w:fill="FFFFFF" w:themeFill="background1"/>
            <w:vAlign w:val="center"/>
          </w:tcPr>
          <w:p w:rsidR="00472AAF" w:rsidRPr="00472AAF" w:rsidRDefault="004D19A3" w:rsidP="00472AAF">
            <w:pPr>
              <w:ind w:left="-111"/>
              <w:jc w:val="center"/>
              <w:rPr>
                <w:rFonts w:ascii="Segoe UI" w:hAnsi="Segoe UI" w:cs="Segoe UI"/>
                <w:b/>
                <w:sz w:val="22"/>
                <w:szCs w:val="22"/>
              </w:rPr>
            </w:pPr>
            <w:r>
              <w:rPr>
                <w:rFonts w:ascii="Segoe UI" w:hAnsi="Segoe UI" w:cs="Segoe UI"/>
                <w:noProof/>
              </w:rPr>
              <w:drawing>
                <wp:inline distT="0" distB="0" distL="0" distR="0" wp14:anchorId="50870761" wp14:editId="6732EB27">
                  <wp:extent cx="2348179" cy="149230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56199" cy="1497398"/>
                          </a:xfrm>
                          <a:prstGeom prst="rect">
                            <a:avLst/>
                          </a:prstGeom>
                          <a:noFill/>
                          <a:ln>
                            <a:noFill/>
                          </a:ln>
                        </pic:spPr>
                      </pic:pic>
                    </a:graphicData>
                  </a:graphic>
                </wp:inline>
              </w:drawing>
            </w:r>
          </w:p>
        </w:tc>
        <w:tc>
          <w:tcPr>
            <w:tcW w:w="5953" w:type="dxa"/>
            <w:shd w:val="clear" w:color="auto" w:fill="FFFFFF" w:themeFill="background1"/>
          </w:tcPr>
          <w:p w:rsidR="00472AAF" w:rsidRPr="004D19A3" w:rsidRDefault="004D19A3" w:rsidP="004D19A3">
            <w:pPr>
              <w:rPr>
                <w:rFonts w:ascii="Segoe UI" w:hAnsi="Segoe UI" w:cs="Segoe UI"/>
                <w:sz w:val="22"/>
              </w:rPr>
            </w:pPr>
            <w:r w:rsidRPr="004D19A3">
              <w:rPr>
                <w:rFonts w:ascii="Segoe UI" w:hAnsi="Segoe UI" w:cs="Segoe UI"/>
                <w:sz w:val="22"/>
              </w:rPr>
              <w:t>In February, internally OHFT reported turnover as 14.6% (12 month position) which is 22% above the Trusts internal target of 12%.  The single biggest reason given for staff leaving the Trust or moving internally is promotion/better prospects.</w:t>
            </w:r>
            <w:r>
              <w:rPr>
                <w:rFonts w:ascii="Segoe UI" w:hAnsi="Segoe UI" w:cs="Segoe UI"/>
                <w:sz w:val="22"/>
              </w:rPr>
              <w:t xml:space="preserve">  </w:t>
            </w:r>
            <w:r w:rsidRPr="004D19A3">
              <w:rPr>
                <w:rFonts w:ascii="Segoe UI" w:hAnsi="Segoe UI" w:cs="Segoe UI"/>
                <w:sz w:val="22"/>
              </w:rPr>
              <w:t>National data has been identified and is currently being worked through to understand the calculations used and identify and understand any differences.</w:t>
            </w:r>
          </w:p>
        </w:tc>
      </w:tr>
      <w:tr w:rsidR="00472AAF" w:rsidRPr="00494FC6" w:rsidTr="006165CC">
        <w:trPr>
          <w:trHeight w:val="476"/>
        </w:trPr>
        <w:tc>
          <w:tcPr>
            <w:tcW w:w="1702" w:type="dxa"/>
          </w:tcPr>
          <w:p w:rsidR="00472AAF" w:rsidRPr="00472AAF" w:rsidRDefault="00472AAF" w:rsidP="00494FC6">
            <w:pPr>
              <w:rPr>
                <w:rFonts w:ascii="Segoe UI" w:hAnsi="Segoe UI" w:cs="Segoe UI"/>
                <w:sz w:val="22"/>
                <w:szCs w:val="22"/>
              </w:rPr>
            </w:pPr>
            <w:r w:rsidRPr="00472AAF">
              <w:rPr>
                <w:rFonts w:ascii="Segoe UI" w:hAnsi="Segoe UI" w:cs="Segoe UI"/>
                <w:sz w:val="22"/>
                <w:szCs w:val="22"/>
              </w:rPr>
              <w:t>Mental Health</w:t>
            </w:r>
          </w:p>
        </w:tc>
        <w:tc>
          <w:tcPr>
            <w:tcW w:w="567" w:type="dxa"/>
          </w:tcPr>
          <w:p w:rsidR="00472AAF" w:rsidRPr="00472AAF" w:rsidRDefault="00472AAF" w:rsidP="00494FC6">
            <w:pPr>
              <w:rPr>
                <w:rFonts w:ascii="Segoe UI" w:hAnsi="Segoe UI" w:cs="Segoe UI"/>
                <w:sz w:val="22"/>
                <w:szCs w:val="22"/>
              </w:rPr>
            </w:pPr>
            <w:r w:rsidRPr="00472AAF">
              <w:rPr>
                <w:rFonts w:ascii="Segoe UI" w:hAnsi="Segoe UI" w:cs="Segoe UI"/>
                <w:sz w:val="22"/>
                <w:szCs w:val="22"/>
              </w:rPr>
              <w:t>12</w:t>
            </w:r>
          </w:p>
        </w:tc>
        <w:tc>
          <w:tcPr>
            <w:tcW w:w="1418" w:type="dxa"/>
          </w:tcPr>
          <w:p w:rsidR="00472AAF" w:rsidRPr="00472AAF" w:rsidRDefault="00472AAF" w:rsidP="003D0593">
            <w:pPr>
              <w:rPr>
                <w:rFonts w:ascii="Segoe UI" w:hAnsi="Segoe UI" w:cs="Segoe UI"/>
                <w:sz w:val="22"/>
              </w:rPr>
            </w:pPr>
            <w:r w:rsidRPr="00472AAF">
              <w:rPr>
                <w:rFonts w:ascii="Segoe UI" w:hAnsi="Segoe UI" w:cs="Segoe UI"/>
                <w:sz w:val="22"/>
              </w:rPr>
              <w:t>Mental Health Friends and Family Test - % positive</w:t>
            </w:r>
          </w:p>
        </w:tc>
        <w:tc>
          <w:tcPr>
            <w:tcW w:w="1134" w:type="dxa"/>
          </w:tcPr>
          <w:p w:rsidR="00472AAF" w:rsidRPr="00472AAF" w:rsidRDefault="00472AAF" w:rsidP="004D19A3">
            <w:pPr>
              <w:jc w:val="center"/>
              <w:rPr>
                <w:rFonts w:ascii="Segoe UI" w:hAnsi="Segoe UI" w:cs="Segoe UI"/>
                <w:sz w:val="22"/>
              </w:rPr>
            </w:pPr>
            <w:r w:rsidRPr="00472AAF">
              <w:rPr>
                <w:rFonts w:ascii="Segoe UI" w:hAnsi="Segoe UI" w:cs="Segoe UI"/>
                <w:sz w:val="22"/>
              </w:rPr>
              <w:t>England Ave</w:t>
            </w:r>
            <w:r>
              <w:rPr>
                <w:rFonts w:ascii="Segoe UI" w:hAnsi="Segoe UI" w:cs="Segoe UI"/>
                <w:sz w:val="22"/>
              </w:rPr>
              <w:t>rage</w:t>
            </w:r>
            <w:r w:rsidRPr="00472AAF">
              <w:rPr>
                <w:rFonts w:ascii="Segoe UI" w:hAnsi="Segoe UI" w:cs="Segoe UI"/>
                <w:sz w:val="22"/>
              </w:rPr>
              <w:t xml:space="preserve"> </w:t>
            </w:r>
            <w:r w:rsidR="004D19A3">
              <w:rPr>
                <w:rFonts w:ascii="Segoe UI" w:hAnsi="Segoe UI" w:cs="Segoe UI"/>
                <w:sz w:val="22"/>
              </w:rPr>
              <w:t>87.7</w:t>
            </w:r>
            <w:r w:rsidRPr="00472AAF">
              <w:rPr>
                <w:rFonts w:ascii="Segoe UI" w:hAnsi="Segoe UI" w:cs="Segoe UI"/>
                <w:sz w:val="22"/>
              </w:rPr>
              <w:t>%</w:t>
            </w:r>
          </w:p>
        </w:tc>
        <w:tc>
          <w:tcPr>
            <w:tcW w:w="850" w:type="dxa"/>
            <w:shd w:val="clear" w:color="auto" w:fill="FF0000"/>
            <w:vAlign w:val="center"/>
          </w:tcPr>
          <w:p w:rsidR="00472AAF" w:rsidRPr="004D19A3" w:rsidRDefault="004D19A3" w:rsidP="00642F4C">
            <w:pPr>
              <w:jc w:val="center"/>
              <w:rPr>
                <w:rFonts w:ascii="Segoe UI" w:hAnsi="Segoe UI" w:cs="Segoe UI"/>
                <w:sz w:val="22"/>
              </w:rPr>
            </w:pPr>
            <w:r w:rsidRPr="004D19A3">
              <w:rPr>
                <w:rFonts w:ascii="Segoe UI" w:hAnsi="Segoe UI" w:cs="Segoe UI"/>
                <w:bCs/>
                <w:color w:val="000000"/>
                <w:sz w:val="22"/>
                <w:szCs w:val="18"/>
              </w:rPr>
              <w:t>79.2%</w:t>
            </w:r>
          </w:p>
        </w:tc>
        <w:tc>
          <w:tcPr>
            <w:tcW w:w="3686" w:type="dxa"/>
            <w:shd w:val="clear" w:color="auto" w:fill="FFFFFF" w:themeFill="background1"/>
            <w:vAlign w:val="center"/>
          </w:tcPr>
          <w:p w:rsidR="00472AAF" w:rsidRPr="00472AAF" w:rsidRDefault="004D19A3" w:rsidP="00472AAF">
            <w:pPr>
              <w:ind w:left="-112" w:right="-103"/>
              <w:jc w:val="center"/>
              <w:rPr>
                <w:noProof/>
                <w:sz w:val="22"/>
              </w:rPr>
            </w:pPr>
            <w:r>
              <w:rPr>
                <w:rFonts w:ascii="Segoe UI" w:hAnsi="Segoe UI" w:cs="Segoe UI"/>
                <w:noProof/>
              </w:rPr>
              <w:drawing>
                <wp:inline distT="0" distB="0" distL="0" distR="0" wp14:anchorId="16B8595E" wp14:editId="39492A04">
                  <wp:extent cx="2351314" cy="149143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810" cy="1498728"/>
                          </a:xfrm>
                          <a:prstGeom prst="rect">
                            <a:avLst/>
                          </a:prstGeom>
                          <a:noFill/>
                        </pic:spPr>
                      </pic:pic>
                    </a:graphicData>
                  </a:graphic>
                </wp:inline>
              </w:drawing>
            </w:r>
          </w:p>
        </w:tc>
        <w:tc>
          <w:tcPr>
            <w:tcW w:w="5953" w:type="dxa"/>
            <w:shd w:val="clear" w:color="auto" w:fill="FFFFFF" w:themeFill="background1"/>
          </w:tcPr>
          <w:p w:rsidR="00472AAF" w:rsidRPr="00472AAF" w:rsidRDefault="004D19A3" w:rsidP="004D19A3">
            <w:pPr>
              <w:rPr>
                <w:rFonts w:ascii="Segoe UI" w:hAnsi="Segoe UI" w:cs="Segoe UI"/>
                <w:sz w:val="22"/>
              </w:rPr>
            </w:pPr>
            <w:r w:rsidRPr="004D19A3">
              <w:rPr>
                <w:rFonts w:ascii="Segoe UI" w:hAnsi="Segoe UI" w:cs="Segoe UI"/>
                <w:sz w:val="22"/>
              </w:rPr>
              <w:t>Performance in February decreased by 2.1% on the January position and is the fourth month below the national average. This position is being investigated.</w:t>
            </w:r>
          </w:p>
        </w:tc>
      </w:tr>
      <w:tr w:rsidR="00472AAF" w:rsidRPr="00494FC6" w:rsidTr="006165CC">
        <w:trPr>
          <w:trHeight w:val="476"/>
        </w:trPr>
        <w:tc>
          <w:tcPr>
            <w:tcW w:w="1702" w:type="dxa"/>
          </w:tcPr>
          <w:p w:rsidR="00472AAF" w:rsidRPr="00472AAF" w:rsidRDefault="00472AAF" w:rsidP="00494FC6">
            <w:pPr>
              <w:rPr>
                <w:rFonts w:ascii="Segoe UI" w:hAnsi="Segoe UI" w:cs="Segoe UI"/>
                <w:sz w:val="22"/>
                <w:szCs w:val="22"/>
              </w:rPr>
            </w:pPr>
            <w:r>
              <w:rPr>
                <w:rFonts w:ascii="Segoe UI" w:hAnsi="Segoe UI" w:cs="Segoe UI"/>
                <w:sz w:val="22"/>
                <w:szCs w:val="22"/>
              </w:rPr>
              <w:t>Mental Health</w:t>
            </w:r>
          </w:p>
        </w:tc>
        <w:tc>
          <w:tcPr>
            <w:tcW w:w="567" w:type="dxa"/>
          </w:tcPr>
          <w:p w:rsidR="00472AAF" w:rsidRPr="00472AAF" w:rsidRDefault="00472AAF" w:rsidP="00494FC6">
            <w:pPr>
              <w:rPr>
                <w:rFonts w:ascii="Segoe UI" w:hAnsi="Segoe UI" w:cs="Segoe UI"/>
                <w:sz w:val="22"/>
                <w:szCs w:val="22"/>
              </w:rPr>
            </w:pPr>
            <w:r>
              <w:rPr>
                <w:rFonts w:ascii="Segoe UI" w:hAnsi="Segoe UI" w:cs="Segoe UI"/>
                <w:sz w:val="22"/>
                <w:szCs w:val="22"/>
              </w:rPr>
              <w:t>15</w:t>
            </w:r>
          </w:p>
        </w:tc>
        <w:tc>
          <w:tcPr>
            <w:tcW w:w="1418" w:type="dxa"/>
          </w:tcPr>
          <w:p w:rsidR="00472AAF" w:rsidRPr="00472AAF" w:rsidRDefault="00472AAF" w:rsidP="003D0593">
            <w:pPr>
              <w:rPr>
                <w:rFonts w:ascii="Segoe UI" w:hAnsi="Segoe UI" w:cs="Segoe UI"/>
                <w:sz w:val="22"/>
              </w:rPr>
            </w:pPr>
            <w:r w:rsidRPr="00472AAF">
              <w:rPr>
                <w:rFonts w:ascii="Segoe UI" w:hAnsi="Segoe UI" w:cs="Segoe UI"/>
                <w:sz w:val="22"/>
              </w:rPr>
              <w:t>% of clients in settled accommodation</w:t>
            </w:r>
          </w:p>
        </w:tc>
        <w:tc>
          <w:tcPr>
            <w:tcW w:w="1134" w:type="dxa"/>
          </w:tcPr>
          <w:p w:rsidR="00472AAF" w:rsidRPr="00472AAF" w:rsidRDefault="00472AAF" w:rsidP="004D19A3">
            <w:pPr>
              <w:jc w:val="center"/>
              <w:rPr>
                <w:rFonts w:ascii="Segoe UI" w:hAnsi="Segoe UI" w:cs="Segoe UI"/>
                <w:sz w:val="22"/>
              </w:rPr>
            </w:pPr>
            <w:r w:rsidRPr="00472AAF">
              <w:rPr>
                <w:rFonts w:ascii="Segoe UI" w:hAnsi="Segoe UI" w:cs="Segoe UI"/>
                <w:sz w:val="22"/>
              </w:rPr>
              <w:t xml:space="preserve">England Average </w:t>
            </w:r>
            <w:r w:rsidR="004D19A3">
              <w:rPr>
                <w:rFonts w:ascii="Segoe UI" w:hAnsi="Segoe UI" w:cs="Segoe UI"/>
                <w:sz w:val="22"/>
              </w:rPr>
              <w:t>58.3</w:t>
            </w:r>
            <w:r w:rsidRPr="00472AAF">
              <w:rPr>
                <w:rFonts w:ascii="Segoe UI" w:hAnsi="Segoe UI" w:cs="Segoe UI"/>
                <w:sz w:val="22"/>
              </w:rPr>
              <w:t>%</w:t>
            </w:r>
          </w:p>
        </w:tc>
        <w:tc>
          <w:tcPr>
            <w:tcW w:w="850" w:type="dxa"/>
            <w:shd w:val="clear" w:color="auto" w:fill="FF0000"/>
            <w:vAlign w:val="center"/>
          </w:tcPr>
          <w:p w:rsidR="00472AAF" w:rsidRPr="00472AAF" w:rsidRDefault="00472AAF" w:rsidP="00642F4C">
            <w:pPr>
              <w:jc w:val="center"/>
              <w:rPr>
                <w:rFonts w:ascii="Segoe UI" w:hAnsi="Segoe UI" w:cs="Segoe UI"/>
                <w:b/>
                <w:bCs/>
                <w:color w:val="000000"/>
                <w:sz w:val="22"/>
                <w:szCs w:val="18"/>
              </w:rPr>
            </w:pPr>
          </w:p>
          <w:p w:rsidR="00472AAF" w:rsidRPr="00472AAF" w:rsidRDefault="00472AAF" w:rsidP="00642F4C">
            <w:pPr>
              <w:jc w:val="center"/>
              <w:rPr>
                <w:rFonts w:ascii="Segoe UI" w:hAnsi="Segoe UI" w:cs="Segoe UI"/>
                <w:sz w:val="22"/>
              </w:rPr>
            </w:pPr>
            <w:r w:rsidRPr="00472AAF">
              <w:rPr>
                <w:rFonts w:ascii="Segoe UI" w:hAnsi="Segoe UI" w:cs="Segoe UI"/>
                <w:sz w:val="22"/>
              </w:rPr>
              <w:t>49.</w:t>
            </w:r>
            <w:r w:rsidR="004D19A3">
              <w:rPr>
                <w:rFonts w:ascii="Segoe UI" w:hAnsi="Segoe UI" w:cs="Segoe UI"/>
                <w:sz w:val="22"/>
              </w:rPr>
              <w:t>1</w:t>
            </w:r>
            <w:r w:rsidRPr="00472AAF">
              <w:rPr>
                <w:rFonts w:ascii="Segoe UI" w:hAnsi="Segoe UI" w:cs="Segoe UI"/>
                <w:sz w:val="22"/>
              </w:rPr>
              <w:t>%</w:t>
            </w:r>
          </w:p>
        </w:tc>
        <w:tc>
          <w:tcPr>
            <w:tcW w:w="3686" w:type="dxa"/>
            <w:shd w:val="clear" w:color="auto" w:fill="FFFFFF" w:themeFill="background1"/>
            <w:vAlign w:val="center"/>
          </w:tcPr>
          <w:p w:rsidR="00472AAF" w:rsidRPr="00472AAF" w:rsidRDefault="004D19A3" w:rsidP="00472AAF">
            <w:pPr>
              <w:ind w:left="-112" w:right="-103"/>
              <w:jc w:val="center"/>
              <w:rPr>
                <w:rFonts w:ascii="Segoe UI" w:hAnsi="Segoe UI" w:cs="Segoe UI"/>
                <w:noProof/>
                <w:sz w:val="22"/>
              </w:rPr>
            </w:pPr>
            <w:r>
              <w:rPr>
                <w:rFonts w:ascii="Segoe UI" w:hAnsi="Segoe UI" w:cs="Segoe UI"/>
                <w:noProof/>
              </w:rPr>
              <w:drawing>
                <wp:inline distT="0" distB="0" distL="0" distR="0" wp14:anchorId="513668B3" wp14:editId="2F5B8128">
                  <wp:extent cx="2351314" cy="15675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64691" cy="1576461"/>
                          </a:xfrm>
                          <a:prstGeom prst="rect">
                            <a:avLst/>
                          </a:prstGeom>
                          <a:noFill/>
                        </pic:spPr>
                      </pic:pic>
                    </a:graphicData>
                  </a:graphic>
                </wp:inline>
              </w:drawing>
            </w:r>
          </w:p>
        </w:tc>
        <w:tc>
          <w:tcPr>
            <w:tcW w:w="5953" w:type="dxa"/>
            <w:shd w:val="clear" w:color="auto" w:fill="FFFFFF" w:themeFill="background1"/>
          </w:tcPr>
          <w:p w:rsidR="004D19A3" w:rsidRPr="004D19A3" w:rsidRDefault="004D19A3" w:rsidP="004D19A3">
            <w:pPr>
              <w:rPr>
                <w:rFonts w:ascii="Segoe UI" w:hAnsi="Segoe UI" w:cs="Segoe UI"/>
                <w:sz w:val="22"/>
              </w:rPr>
            </w:pPr>
            <w:r w:rsidRPr="004D19A3">
              <w:rPr>
                <w:rFonts w:ascii="Segoe UI" w:hAnsi="Segoe UI" w:cs="Segoe UI"/>
                <w:sz w:val="22"/>
              </w:rPr>
              <w:t>There was</w:t>
            </w:r>
            <w:r>
              <w:rPr>
                <w:rFonts w:ascii="Segoe UI" w:hAnsi="Segoe UI" w:cs="Segoe UI"/>
                <w:sz w:val="22"/>
              </w:rPr>
              <w:t xml:space="preserve"> an i</w:t>
            </w:r>
            <w:r w:rsidRPr="004D19A3">
              <w:rPr>
                <w:rFonts w:ascii="Segoe UI" w:hAnsi="Segoe UI" w:cs="Segoe UI"/>
                <w:sz w:val="22"/>
              </w:rPr>
              <w:t>ncrease of 1.1% in performance between November and December. The Information Team continue to work with Advanced Healthcare to ensure the completeness of the Mental Health Services Data Set (MHSDS) submission.</w:t>
            </w:r>
          </w:p>
          <w:p w:rsidR="00472AAF" w:rsidRPr="00472AAF" w:rsidRDefault="00472AAF" w:rsidP="00472AAF">
            <w:pPr>
              <w:rPr>
                <w:rFonts w:ascii="Segoe UI" w:hAnsi="Segoe UI" w:cs="Segoe UI"/>
                <w:sz w:val="22"/>
              </w:rPr>
            </w:pPr>
          </w:p>
        </w:tc>
      </w:tr>
      <w:tr w:rsidR="00472AAF" w:rsidRPr="00494FC6" w:rsidTr="006165CC">
        <w:trPr>
          <w:trHeight w:val="476"/>
        </w:trPr>
        <w:tc>
          <w:tcPr>
            <w:tcW w:w="1702" w:type="dxa"/>
          </w:tcPr>
          <w:p w:rsidR="00472AAF" w:rsidRDefault="00472AAF" w:rsidP="00494FC6">
            <w:pPr>
              <w:rPr>
                <w:rFonts w:ascii="Segoe UI" w:hAnsi="Segoe UI" w:cs="Segoe UI"/>
                <w:sz w:val="22"/>
                <w:szCs w:val="22"/>
              </w:rPr>
            </w:pPr>
            <w:r>
              <w:rPr>
                <w:rFonts w:ascii="Segoe UI" w:hAnsi="Segoe UI" w:cs="Segoe UI"/>
                <w:sz w:val="22"/>
                <w:szCs w:val="22"/>
              </w:rPr>
              <w:t>Operational</w:t>
            </w:r>
          </w:p>
        </w:tc>
        <w:tc>
          <w:tcPr>
            <w:tcW w:w="567" w:type="dxa"/>
          </w:tcPr>
          <w:p w:rsidR="00472AAF" w:rsidRPr="00472AAF" w:rsidRDefault="00472AAF" w:rsidP="00494FC6">
            <w:pPr>
              <w:rPr>
                <w:rFonts w:ascii="Segoe UI" w:hAnsi="Segoe UI" w:cs="Segoe UI"/>
                <w:sz w:val="22"/>
                <w:szCs w:val="22"/>
              </w:rPr>
            </w:pPr>
            <w:r>
              <w:rPr>
                <w:rFonts w:ascii="Segoe UI" w:hAnsi="Segoe UI" w:cs="Segoe UI"/>
                <w:sz w:val="22"/>
                <w:szCs w:val="22"/>
              </w:rPr>
              <w:t>23b</w:t>
            </w:r>
          </w:p>
        </w:tc>
        <w:tc>
          <w:tcPr>
            <w:tcW w:w="1418" w:type="dxa"/>
          </w:tcPr>
          <w:p w:rsidR="00472AAF" w:rsidRPr="001B6B64" w:rsidRDefault="00472AAF" w:rsidP="003D0593">
            <w:pPr>
              <w:rPr>
                <w:rFonts w:ascii="Segoe UI" w:hAnsi="Segoe UI" w:cs="Segoe UI"/>
                <w:sz w:val="22"/>
              </w:rPr>
            </w:pPr>
            <w:r>
              <w:rPr>
                <w:rFonts w:ascii="Segoe UI" w:hAnsi="Segoe UI" w:cs="Segoe UI"/>
                <w:sz w:val="22"/>
              </w:rPr>
              <w:t xml:space="preserve">Priority Metric % coded </w:t>
            </w:r>
            <w:r w:rsidRPr="00E23678">
              <w:rPr>
                <w:rFonts w:ascii="Segoe UI" w:hAnsi="Segoe UI" w:cs="Segoe UI"/>
                <w:sz w:val="20"/>
              </w:rPr>
              <w:t xml:space="preserve">(Ethnicity, Employment (Adults only), Accommodation (Adults only), </w:t>
            </w:r>
          </w:p>
        </w:tc>
        <w:tc>
          <w:tcPr>
            <w:tcW w:w="1134" w:type="dxa"/>
            <w:vAlign w:val="center"/>
          </w:tcPr>
          <w:p w:rsidR="00472AAF" w:rsidRPr="00475D24" w:rsidRDefault="00472AAF" w:rsidP="00642F4C">
            <w:pPr>
              <w:jc w:val="center"/>
              <w:rPr>
                <w:rFonts w:ascii="Segoe UI" w:hAnsi="Segoe UI" w:cs="Segoe UI"/>
                <w:sz w:val="22"/>
              </w:rPr>
            </w:pPr>
            <w:r>
              <w:rPr>
                <w:rFonts w:ascii="Segoe UI" w:hAnsi="Segoe UI" w:cs="Segoe UI"/>
                <w:sz w:val="22"/>
              </w:rPr>
              <w:t>85%</w:t>
            </w:r>
          </w:p>
        </w:tc>
        <w:tc>
          <w:tcPr>
            <w:tcW w:w="850" w:type="dxa"/>
            <w:shd w:val="clear" w:color="auto" w:fill="FF0000"/>
            <w:vAlign w:val="center"/>
          </w:tcPr>
          <w:p w:rsidR="00472AAF" w:rsidRPr="00475D24" w:rsidRDefault="00472AAF" w:rsidP="00642F4C">
            <w:pPr>
              <w:jc w:val="center"/>
              <w:rPr>
                <w:rFonts w:ascii="Segoe UI" w:hAnsi="Segoe UI" w:cs="Segoe UI"/>
                <w:sz w:val="22"/>
              </w:rPr>
            </w:pPr>
            <w:r>
              <w:rPr>
                <w:rFonts w:ascii="Segoe UI" w:hAnsi="Segoe UI" w:cs="Segoe UI"/>
                <w:sz w:val="22"/>
              </w:rPr>
              <w:t>36.</w:t>
            </w:r>
            <w:r w:rsidR="00642F4C">
              <w:rPr>
                <w:rFonts w:ascii="Segoe UI" w:hAnsi="Segoe UI" w:cs="Segoe UI"/>
                <w:sz w:val="22"/>
              </w:rPr>
              <w:t>9</w:t>
            </w:r>
            <w:r>
              <w:rPr>
                <w:rFonts w:ascii="Segoe UI" w:hAnsi="Segoe UI" w:cs="Segoe UI"/>
                <w:sz w:val="22"/>
              </w:rPr>
              <w:t>%</w:t>
            </w:r>
          </w:p>
        </w:tc>
        <w:tc>
          <w:tcPr>
            <w:tcW w:w="3686" w:type="dxa"/>
            <w:shd w:val="clear" w:color="auto" w:fill="FFFFFF" w:themeFill="background1"/>
            <w:vAlign w:val="center"/>
          </w:tcPr>
          <w:p w:rsidR="00472AAF" w:rsidRPr="00472AAF" w:rsidRDefault="00642F4C" w:rsidP="00472AAF">
            <w:pPr>
              <w:ind w:left="-112" w:right="-103"/>
              <w:jc w:val="center"/>
              <w:rPr>
                <w:rFonts w:ascii="Segoe UI" w:hAnsi="Segoe UI" w:cs="Segoe UI"/>
                <w:noProof/>
                <w:sz w:val="22"/>
              </w:rPr>
            </w:pPr>
            <w:r>
              <w:rPr>
                <w:rFonts w:ascii="Segoe UI" w:hAnsi="Segoe UI" w:cs="Segoe UI"/>
                <w:noProof/>
              </w:rPr>
              <w:drawing>
                <wp:inline distT="0" distB="0" distL="0" distR="0" wp14:anchorId="1E5E6979" wp14:editId="2700F93C">
                  <wp:extent cx="2386940" cy="16981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2801" cy="1702342"/>
                          </a:xfrm>
                          <a:prstGeom prst="rect">
                            <a:avLst/>
                          </a:prstGeom>
                          <a:noFill/>
                        </pic:spPr>
                      </pic:pic>
                    </a:graphicData>
                  </a:graphic>
                </wp:inline>
              </w:drawing>
            </w:r>
          </w:p>
        </w:tc>
        <w:tc>
          <w:tcPr>
            <w:tcW w:w="5953" w:type="dxa"/>
            <w:shd w:val="clear" w:color="auto" w:fill="FFFFFF" w:themeFill="background1"/>
          </w:tcPr>
          <w:p w:rsidR="00642F4C" w:rsidRPr="00642F4C" w:rsidRDefault="00642F4C" w:rsidP="00642F4C">
            <w:pPr>
              <w:rPr>
                <w:rFonts w:ascii="Segoe UI" w:hAnsi="Segoe UI" w:cs="Segoe UI"/>
                <w:sz w:val="22"/>
              </w:rPr>
            </w:pPr>
            <w:r w:rsidRPr="00642F4C">
              <w:rPr>
                <w:rFonts w:ascii="Segoe UI" w:hAnsi="Segoe UI" w:cs="Segoe UI"/>
                <w:sz w:val="22"/>
              </w:rPr>
              <w:t>This metric is measuring data completeness for the three data items detailed above.</w:t>
            </w:r>
          </w:p>
          <w:p w:rsidR="00642F4C" w:rsidRPr="00642F4C" w:rsidRDefault="00642F4C" w:rsidP="00642F4C">
            <w:pPr>
              <w:rPr>
                <w:rFonts w:ascii="Segoe UI" w:hAnsi="Segoe UI" w:cs="Segoe UI"/>
                <w:sz w:val="22"/>
              </w:rPr>
            </w:pPr>
          </w:p>
          <w:p w:rsidR="00472AAF" w:rsidRDefault="00642F4C" w:rsidP="00642F4C">
            <w:pPr>
              <w:rPr>
                <w:rFonts w:ascii="Segoe UI" w:hAnsi="Segoe UI" w:cs="Segoe UI"/>
              </w:rPr>
            </w:pPr>
            <w:r w:rsidRPr="00642F4C">
              <w:rPr>
                <w:rFonts w:ascii="Segoe UI" w:hAnsi="Segoe UI" w:cs="Segoe UI"/>
                <w:sz w:val="22"/>
              </w:rPr>
              <w:t>Performance increased by 0.6% between November and December. The England average has been included on the graph for an illustration of how the rest of the country is performing.</w:t>
            </w:r>
            <w:r>
              <w:t xml:space="preserve"> </w:t>
            </w:r>
            <w:r w:rsidRPr="00642F4C">
              <w:rPr>
                <w:rFonts w:ascii="Segoe UI" w:hAnsi="Segoe UI" w:cs="Segoe UI"/>
                <w:sz w:val="22"/>
              </w:rPr>
              <w:t>The Information Team continue to work with Advanced Healthcare to ensure the completeness of the MHSDS submission.</w:t>
            </w:r>
          </w:p>
        </w:tc>
      </w:tr>
    </w:tbl>
    <w:p w:rsidR="004551C0" w:rsidRDefault="004551C0" w:rsidP="00772343">
      <w:pPr>
        <w:rPr>
          <w:rFonts w:ascii="Segoe UI" w:hAnsi="Segoe UI" w:cs="Segoe UI"/>
          <w:b/>
          <w:color w:val="F2F2F2" w:themeColor="background1" w:themeShade="F2"/>
          <w:highlight w:val="blue"/>
        </w:rPr>
        <w:sectPr w:rsidR="004551C0" w:rsidSect="004551C0">
          <w:headerReference w:type="default" r:id="rId17"/>
          <w:footerReference w:type="default" r:id="rId18"/>
          <w:type w:val="continuous"/>
          <w:pgSz w:w="16838" w:h="11906" w:orient="landscape"/>
          <w:pgMar w:top="993" w:right="1245" w:bottom="567" w:left="1134" w:header="284" w:footer="221" w:gutter="0"/>
          <w:cols w:space="851"/>
          <w:docGrid w:linePitch="360"/>
        </w:sectPr>
      </w:pPr>
    </w:p>
    <w:p w:rsidR="00494FC6" w:rsidRDefault="00494FC6" w:rsidP="00772343">
      <w:pPr>
        <w:rPr>
          <w:rFonts w:ascii="Segoe UI" w:hAnsi="Segoe UI" w:cs="Segoe UI"/>
          <w:b/>
          <w:color w:val="F2F2F2" w:themeColor="background1" w:themeShade="F2"/>
          <w:highlight w:val="blue"/>
        </w:rPr>
      </w:pPr>
    </w:p>
    <w:p w:rsidR="00494FC6" w:rsidRDefault="00494FC6" w:rsidP="00772343">
      <w:pPr>
        <w:rPr>
          <w:rFonts w:ascii="Segoe UI" w:hAnsi="Segoe UI" w:cs="Segoe UI"/>
          <w:b/>
          <w:color w:val="F2F2F2" w:themeColor="background1" w:themeShade="F2"/>
          <w:highlight w:val="blue"/>
        </w:rPr>
      </w:pPr>
    </w:p>
    <w:p w:rsidR="00494FC6" w:rsidRDefault="00494FC6" w:rsidP="00772343">
      <w:pPr>
        <w:rPr>
          <w:rFonts w:ascii="Segoe UI" w:hAnsi="Segoe UI" w:cs="Segoe UI"/>
          <w:b/>
          <w:color w:val="F2F2F2" w:themeColor="background1" w:themeShade="F2"/>
          <w:highlight w:val="blue"/>
        </w:rPr>
      </w:pPr>
    </w:p>
    <w:p w:rsidR="00494FC6" w:rsidRDefault="00494FC6" w:rsidP="00772343">
      <w:pPr>
        <w:rPr>
          <w:rFonts w:ascii="Segoe UI" w:hAnsi="Segoe UI" w:cs="Segoe UI"/>
          <w:b/>
          <w:color w:val="F2F2F2" w:themeColor="background1" w:themeShade="F2"/>
          <w:highlight w:val="blue"/>
        </w:rPr>
      </w:pPr>
    </w:p>
    <w:p w:rsidR="00494FC6" w:rsidRDefault="00494FC6" w:rsidP="00772343">
      <w:pPr>
        <w:rPr>
          <w:rFonts w:ascii="Segoe UI" w:hAnsi="Segoe UI" w:cs="Segoe UI"/>
          <w:b/>
          <w:color w:val="F2F2F2" w:themeColor="background1" w:themeShade="F2"/>
          <w:highlight w:val="blue"/>
        </w:rPr>
      </w:pPr>
    </w:p>
    <w:p w:rsidR="00494FC6" w:rsidRDefault="00494FC6"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772343">
      <w:pPr>
        <w:rPr>
          <w:rFonts w:ascii="Segoe UI" w:hAnsi="Segoe UI" w:cs="Segoe UI"/>
          <w:b/>
          <w:color w:val="F2F2F2" w:themeColor="background1" w:themeShade="F2"/>
          <w:highlight w:val="blue"/>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Default="004551C0" w:rsidP="004551C0">
      <w:pPr>
        <w:rPr>
          <w:rFonts w:ascii="Segoe UI" w:hAnsi="Segoe UI" w:cs="Segoe UI"/>
          <w:b/>
          <w:color w:val="FFFFFF" w:themeColor="background1"/>
          <w:sz w:val="22"/>
        </w:rPr>
      </w:pPr>
    </w:p>
    <w:p w:rsidR="004551C0" w:rsidRPr="004551C0" w:rsidRDefault="004551C0" w:rsidP="004551C0">
      <w:pPr>
        <w:rPr>
          <w:rFonts w:ascii="Segoe UI" w:hAnsi="Segoe UI" w:cs="Segoe UI"/>
          <w:b/>
          <w:color w:val="FFFFFF" w:themeColor="background1"/>
          <w:sz w:val="22"/>
        </w:rPr>
      </w:pPr>
    </w:p>
    <w:p w:rsidR="004551C0" w:rsidRPr="004551C0" w:rsidRDefault="001E7767" w:rsidP="004551C0">
      <w:pPr>
        <w:shd w:val="clear" w:color="auto" w:fill="0070C0"/>
        <w:tabs>
          <w:tab w:val="left" w:pos="6804"/>
        </w:tabs>
        <w:rPr>
          <w:rFonts w:ascii="Segoe UI" w:hAnsi="Segoe UI" w:cs="Segoe UI"/>
          <w:b/>
          <w:color w:val="FFFFFF" w:themeColor="background1"/>
        </w:rPr>
      </w:pPr>
      <w:r>
        <w:rPr>
          <w:rFonts w:ascii="Segoe UI" w:hAnsi="Segoe UI" w:cs="Segoe UI"/>
          <w:b/>
          <w:color w:val="FFFFFF" w:themeColor="background1"/>
        </w:rPr>
        <w:t xml:space="preserve">LOCAL: </w:t>
      </w:r>
      <w:r w:rsidR="004551C0">
        <w:rPr>
          <w:rFonts w:ascii="Segoe UI" w:hAnsi="Segoe UI" w:cs="Segoe UI"/>
          <w:b/>
          <w:color w:val="FFFFFF" w:themeColor="background1"/>
        </w:rPr>
        <w:t>Older People’s Directorate</w:t>
      </w:r>
      <w:r w:rsidR="004551C0" w:rsidRPr="004551C0">
        <w:rPr>
          <w:rFonts w:ascii="Segoe UI" w:hAnsi="Segoe UI" w:cs="Segoe UI"/>
          <w:b/>
          <w:color w:val="FFFFFF" w:themeColor="background1"/>
        </w:rPr>
        <w:t xml:space="preserve"> – Month 1</w:t>
      </w:r>
      <w:r w:rsidR="006165CC">
        <w:rPr>
          <w:rFonts w:ascii="Segoe UI" w:hAnsi="Segoe UI" w:cs="Segoe UI"/>
          <w:b/>
          <w:color w:val="FFFFFF" w:themeColor="background1"/>
        </w:rPr>
        <w:t>2</w:t>
      </w:r>
      <w:r w:rsidR="004551C0" w:rsidRPr="004551C0">
        <w:rPr>
          <w:rFonts w:ascii="Segoe UI" w:hAnsi="Segoe UI" w:cs="Segoe UI"/>
          <w:b/>
          <w:color w:val="FFFFFF" w:themeColor="background1"/>
        </w:rPr>
        <w:t xml:space="preserve"> FY17 </w:t>
      </w:r>
    </w:p>
    <w:p w:rsidR="004551C0" w:rsidRDefault="004551C0" w:rsidP="004551C0">
      <w:pPr>
        <w:rPr>
          <w:rFonts w:ascii="Segoe UI" w:eastAsiaTheme="minorHAnsi" w:hAnsi="Segoe UI" w:cs="Segoe UI"/>
          <w:sz w:val="22"/>
          <w:szCs w:val="22"/>
          <w:lang w:eastAsia="en-US"/>
        </w:rPr>
      </w:pPr>
    </w:p>
    <w:p w:rsidR="004551C0" w:rsidRPr="004551C0" w:rsidRDefault="004551C0" w:rsidP="004551C0">
      <w:pPr>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 xml:space="preserve">The Community and Mental Health Services </w:t>
      </w:r>
      <w:r w:rsidRPr="004551C0">
        <w:rPr>
          <w:rFonts w:ascii="Segoe UI" w:eastAsiaTheme="minorHAnsi" w:hAnsi="Segoe UI" w:cs="Segoe UI"/>
          <w:b/>
          <w:sz w:val="22"/>
          <w:szCs w:val="22"/>
          <w:lang w:eastAsia="en-US"/>
        </w:rPr>
        <w:t>Contracts</w:t>
      </w:r>
      <w:r w:rsidRPr="004551C0">
        <w:rPr>
          <w:rFonts w:ascii="Segoe UI" w:eastAsiaTheme="minorHAnsi" w:hAnsi="Segoe UI" w:cs="Segoe UI"/>
          <w:sz w:val="22"/>
          <w:szCs w:val="22"/>
          <w:lang w:eastAsia="en-US"/>
        </w:rPr>
        <w:t xml:space="preserve"> with Oxfordshire and Buckinghamshire CCGs stipulate a requirement (within Schedule 4) for the </w:t>
      </w:r>
      <w:r w:rsidRPr="004551C0">
        <w:rPr>
          <w:rFonts w:ascii="Segoe UI" w:eastAsiaTheme="minorHAnsi" w:hAnsi="Segoe UI" w:cs="Segoe UI"/>
          <w:b/>
          <w:sz w:val="22"/>
          <w:szCs w:val="22"/>
          <w:lang w:eastAsia="en-US"/>
        </w:rPr>
        <w:t>Older People's Directorate (OPD)</w:t>
      </w:r>
      <w:r w:rsidRPr="004551C0">
        <w:rPr>
          <w:rFonts w:ascii="Segoe UI" w:eastAsiaTheme="minorHAnsi" w:hAnsi="Segoe UI" w:cs="Segoe UI"/>
          <w:sz w:val="22"/>
          <w:szCs w:val="22"/>
          <w:lang w:eastAsia="en-US"/>
        </w:rPr>
        <w:t xml:space="preserve"> to perform against a set of quality and performance indicators.  The 2016/17 indicators were recently agreed and are reportable from month 6. </w:t>
      </w:r>
    </w:p>
    <w:p w:rsidR="004551C0" w:rsidRPr="004551C0" w:rsidRDefault="004551C0" w:rsidP="004551C0">
      <w:pPr>
        <w:rPr>
          <w:rFonts w:ascii="Segoe UI" w:eastAsiaTheme="minorHAnsi" w:hAnsi="Segoe UI" w:cs="Segoe UI"/>
          <w:sz w:val="22"/>
          <w:szCs w:val="22"/>
          <w:lang w:eastAsia="en-US"/>
        </w:rPr>
      </w:pPr>
    </w:p>
    <w:p w:rsidR="004551C0" w:rsidRPr="004551C0" w:rsidRDefault="004551C0" w:rsidP="004551C0">
      <w:pPr>
        <w:rPr>
          <w:rFonts w:ascii="Segoe UI" w:hAnsi="Segoe UI" w:cs="Segoe UI"/>
          <w:sz w:val="22"/>
          <w:szCs w:val="22"/>
        </w:rPr>
      </w:pPr>
      <w:r w:rsidRPr="004551C0">
        <w:rPr>
          <w:rFonts w:ascii="Segoe UI" w:hAnsi="Segoe UI" w:cs="Segoe UI"/>
          <w:sz w:val="22"/>
          <w:szCs w:val="22"/>
        </w:rPr>
        <w:t xml:space="preserve">In total there are </w:t>
      </w:r>
      <w:r w:rsidRPr="004551C0">
        <w:rPr>
          <w:rFonts w:ascii="Segoe UI" w:hAnsi="Segoe UI" w:cs="Segoe UI"/>
          <w:b/>
          <w:sz w:val="22"/>
          <w:szCs w:val="22"/>
        </w:rPr>
        <w:t>104 indicators</w:t>
      </w:r>
      <w:r w:rsidRPr="004551C0">
        <w:rPr>
          <w:rFonts w:ascii="Segoe UI" w:hAnsi="Segoe UI" w:cs="Segoe UI"/>
          <w:sz w:val="22"/>
          <w:szCs w:val="22"/>
        </w:rPr>
        <w:t xml:space="preserve"> for 2016/17 applicable to OPD (excluding the 4 Trust-wide operational standards; 58 indicators relating to the contract with Oxfordshire CCG and 23 indicators relating to </w:t>
      </w:r>
      <w:r w:rsidRPr="004551C0">
        <w:rPr>
          <w:rFonts w:ascii="Segoe UI" w:hAnsi="Segoe UI" w:cs="Segoe UI"/>
          <w:b/>
          <w:sz w:val="22"/>
          <w:szCs w:val="22"/>
        </w:rPr>
        <w:t>each</w:t>
      </w:r>
      <w:r w:rsidRPr="004551C0">
        <w:rPr>
          <w:rFonts w:ascii="Segoe UI" w:hAnsi="Segoe UI" w:cs="Segoe UI"/>
          <w:sz w:val="22"/>
          <w:szCs w:val="22"/>
        </w:rPr>
        <w:t xml:space="preserve"> of the contracts with Buckinghamshire (Aylesbury and Chiltern CCGs).  The indicators are categorised as follows. </w:t>
      </w:r>
    </w:p>
    <w:p w:rsidR="004551C0" w:rsidRPr="004551C0" w:rsidRDefault="004551C0" w:rsidP="004551C0">
      <w:pPr>
        <w:rPr>
          <w:rFonts w:ascii="Segoe UI" w:eastAsiaTheme="minorHAnsi" w:hAnsi="Segoe UI" w:cs="Segoe UI"/>
          <w:sz w:val="22"/>
          <w:szCs w:val="22"/>
          <w:lang w:eastAsia="en-US"/>
        </w:rPr>
      </w:pPr>
    </w:p>
    <w:p w:rsidR="004551C0" w:rsidRPr="004551C0" w:rsidRDefault="004551C0" w:rsidP="004551C0">
      <w:pPr>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Oxfordshire:</w:t>
      </w:r>
    </w:p>
    <w:p w:rsidR="004551C0" w:rsidRPr="004551C0" w:rsidRDefault="004551C0" w:rsidP="004551C0">
      <w:pPr>
        <w:numPr>
          <w:ilvl w:val="0"/>
          <w:numId w:val="8"/>
        </w:numPr>
        <w:rPr>
          <w:rFonts w:ascii="Segoe UI" w:eastAsiaTheme="minorHAnsi" w:hAnsi="Segoe UI" w:cs="Segoe UI"/>
          <w:sz w:val="22"/>
          <w:szCs w:val="22"/>
          <w:lang w:eastAsia="en-US"/>
        </w:rPr>
      </w:pPr>
      <w:r w:rsidRPr="004551C0">
        <w:rPr>
          <w:rFonts w:ascii="Segoe UI" w:eastAsiaTheme="minorHAnsi" w:hAnsi="Segoe UI" w:cs="Segoe UI"/>
          <w:b/>
          <w:sz w:val="22"/>
          <w:szCs w:val="22"/>
          <w:lang w:eastAsia="en-US"/>
        </w:rPr>
        <w:t>National Quality Requirements</w:t>
      </w:r>
      <w:r w:rsidRPr="004551C0">
        <w:rPr>
          <w:rFonts w:ascii="Segoe UI" w:eastAsiaTheme="minorHAnsi" w:hAnsi="Segoe UI" w:cs="Segoe UI"/>
          <w:sz w:val="22"/>
          <w:szCs w:val="22"/>
          <w:lang w:eastAsia="en-US"/>
        </w:rPr>
        <w:t xml:space="preserve"> (NQRs): 11 indicators</w:t>
      </w:r>
    </w:p>
    <w:p w:rsidR="004551C0" w:rsidRPr="004551C0" w:rsidRDefault="004551C0" w:rsidP="004551C0">
      <w:pPr>
        <w:ind w:left="720"/>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 xml:space="preserve">10 are reportable monthly.  1 is reportable quarterly </w:t>
      </w:r>
    </w:p>
    <w:p w:rsidR="004551C0" w:rsidRPr="004551C0" w:rsidRDefault="004551C0" w:rsidP="004551C0">
      <w:pPr>
        <w:numPr>
          <w:ilvl w:val="0"/>
          <w:numId w:val="8"/>
        </w:numPr>
        <w:rPr>
          <w:rFonts w:ascii="Segoe UI" w:eastAsiaTheme="minorHAnsi" w:hAnsi="Segoe UI" w:cs="Segoe UI"/>
          <w:sz w:val="22"/>
          <w:szCs w:val="22"/>
          <w:lang w:eastAsia="en-US"/>
        </w:rPr>
      </w:pPr>
      <w:r w:rsidRPr="004551C0">
        <w:rPr>
          <w:rFonts w:ascii="Segoe UI" w:eastAsiaTheme="minorHAnsi" w:hAnsi="Segoe UI" w:cs="Segoe UI"/>
          <w:b/>
          <w:sz w:val="22"/>
          <w:szCs w:val="22"/>
          <w:lang w:eastAsia="en-US"/>
        </w:rPr>
        <w:t>Local Quality Requirements</w:t>
      </w:r>
      <w:r w:rsidRPr="004551C0">
        <w:rPr>
          <w:rFonts w:ascii="Segoe UI" w:eastAsiaTheme="minorHAnsi" w:hAnsi="Segoe UI" w:cs="Segoe UI"/>
          <w:sz w:val="22"/>
          <w:szCs w:val="22"/>
          <w:lang w:eastAsia="en-US"/>
        </w:rPr>
        <w:t xml:space="preserve"> (LQRs): 17 indicators</w:t>
      </w:r>
    </w:p>
    <w:p w:rsidR="004551C0" w:rsidRPr="004551C0" w:rsidRDefault="004551C0" w:rsidP="004551C0">
      <w:pPr>
        <w:ind w:left="720"/>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 xml:space="preserve">All are reportable monthly </w:t>
      </w:r>
    </w:p>
    <w:p w:rsidR="004551C0" w:rsidRPr="004551C0" w:rsidRDefault="004551C0" w:rsidP="004551C0">
      <w:pPr>
        <w:numPr>
          <w:ilvl w:val="0"/>
          <w:numId w:val="8"/>
        </w:numPr>
        <w:rPr>
          <w:rFonts w:ascii="Segoe UI" w:eastAsiaTheme="minorHAnsi" w:hAnsi="Segoe UI" w:cs="Segoe UI"/>
          <w:sz w:val="22"/>
          <w:szCs w:val="22"/>
          <w:lang w:eastAsia="en-US"/>
        </w:rPr>
      </w:pPr>
      <w:r w:rsidRPr="004551C0">
        <w:rPr>
          <w:rFonts w:ascii="Segoe UI" w:eastAsiaTheme="minorHAnsi" w:hAnsi="Segoe UI" w:cs="Segoe UI"/>
          <w:b/>
          <w:sz w:val="22"/>
          <w:szCs w:val="22"/>
          <w:lang w:eastAsia="en-US"/>
        </w:rPr>
        <w:t xml:space="preserve">Community Services: </w:t>
      </w:r>
      <w:r w:rsidRPr="004551C0">
        <w:rPr>
          <w:rFonts w:ascii="Segoe UI" w:eastAsiaTheme="minorHAnsi" w:hAnsi="Segoe UI" w:cs="Segoe UI"/>
          <w:sz w:val="22"/>
          <w:szCs w:val="22"/>
          <w:lang w:eastAsia="en-US"/>
        </w:rPr>
        <w:t>20 indicators</w:t>
      </w:r>
    </w:p>
    <w:p w:rsidR="004551C0" w:rsidRPr="004551C0" w:rsidRDefault="004551C0" w:rsidP="004551C0">
      <w:pPr>
        <w:ind w:left="720"/>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15 are reportable monthly, and 5 are reportable quarterly (1 of which is reportable from M8 only)</w:t>
      </w:r>
    </w:p>
    <w:p w:rsidR="004551C0" w:rsidRPr="004551C0" w:rsidRDefault="004551C0" w:rsidP="004551C0">
      <w:pPr>
        <w:numPr>
          <w:ilvl w:val="0"/>
          <w:numId w:val="8"/>
        </w:numPr>
        <w:rPr>
          <w:rFonts w:ascii="Segoe UI" w:eastAsiaTheme="minorHAnsi" w:hAnsi="Segoe UI" w:cs="Segoe UI"/>
          <w:sz w:val="22"/>
          <w:szCs w:val="22"/>
          <w:lang w:eastAsia="en-US"/>
        </w:rPr>
      </w:pPr>
      <w:r w:rsidRPr="004551C0">
        <w:rPr>
          <w:rFonts w:ascii="Segoe UI" w:eastAsiaTheme="minorHAnsi" w:hAnsi="Segoe UI" w:cs="Segoe UI"/>
          <w:b/>
          <w:sz w:val="22"/>
          <w:szCs w:val="22"/>
          <w:lang w:eastAsia="en-US"/>
        </w:rPr>
        <w:t xml:space="preserve">Older People's Mental Health: </w:t>
      </w:r>
      <w:r w:rsidRPr="004551C0">
        <w:rPr>
          <w:rFonts w:ascii="Segoe UI" w:eastAsiaTheme="minorHAnsi" w:hAnsi="Segoe UI" w:cs="Segoe UI"/>
          <w:sz w:val="22"/>
          <w:szCs w:val="22"/>
          <w:lang w:eastAsia="en-US"/>
        </w:rPr>
        <w:t>10 indicators</w:t>
      </w:r>
    </w:p>
    <w:p w:rsidR="004551C0" w:rsidRPr="004551C0" w:rsidRDefault="004551C0" w:rsidP="004551C0">
      <w:pPr>
        <w:ind w:left="720"/>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6 are reportable monthly.  4 are reportable quarterly</w:t>
      </w:r>
    </w:p>
    <w:p w:rsidR="004551C0" w:rsidRPr="004551C0" w:rsidRDefault="004551C0" w:rsidP="004551C0">
      <w:pPr>
        <w:ind w:left="720"/>
        <w:rPr>
          <w:rFonts w:ascii="Segoe UI" w:eastAsiaTheme="minorHAnsi" w:hAnsi="Segoe UI" w:cs="Segoe UI"/>
          <w:sz w:val="22"/>
          <w:szCs w:val="22"/>
          <w:lang w:eastAsia="en-US"/>
        </w:rPr>
      </w:pPr>
    </w:p>
    <w:p w:rsidR="004551C0" w:rsidRPr="004551C0" w:rsidRDefault="004551C0" w:rsidP="004551C0">
      <w:pPr>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Buckinghamshire:</w:t>
      </w:r>
    </w:p>
    <w:p w:rsidR="004551C0" w:rsidRPr="004551C0" w:rsidRDefault="004551C0" w:rsidP="004551C0">
      <w:pPr>
        <w:numPr>
          <w:ilvl w:val="0"/>
          <w:numId w:val="8"/>
        </w:numPr>
        <w:rPr>
          <w:rFonts w:ascii="Segoe UI" w:eastAsiaTheme="minorHAnsi" w:hAnsi="Segoe UI" w:cs="Segoe UI"/>
          <w:sz w:val="22"/>
          <w:szCs w:val="22"/>
          <w:lang w:eastAsia="en-US"/>
        </w:rPr>
      </w:pPr>
      <w:r w:rsidRPr="004551C0">
        <w:rPr>
          <w:rFonts w:ascii="Segoe UI" w:eastAsiaTheme="minorHAnsi" w:hAnsi="Segoe UI" w:cs="Segoe UI"/>
          <w:b/>
          <w:sz w:val="22"/>
          <w:szCs w:val="22"/>
          <w:lang w:eastAsia="en-US"/>
        </w:rPr>
        <w:t>Aylesbury and Chiltern</w:t>
      </w:r>
      <w:r w:rsidRPr="004551C0">
        <w:rPr>
          <w:rFonts w:ascii="Segoe UI" w:eastAsiaTheme="minorHAnsi" w:hAnsi="Segoe UI" w:cs="Segoe UI"/>
          <w:sz w:val="22"/>
          <w:szCs w:val="22"/>
          <w:lang w:eastAsia="en-US"/>
        </w:rPr>
        <w:t>: 23 indicators per contract</w:t>
      </w:r>
    </w:p>
    <w:p w:rsidR="004551C0" w:rsidRPr="004551C0" w:rsidRDefault="004551C0" w:rsidP="004551C0">
      <w:pPr>
        <w:ind w:left="720"/>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18 are reportable monthly (1 longstop, 1 not reported) = 16</w:t>
      </w:r>
    </w:p>
    <w:p w:rsidR="004551C0" w:rsidRPr="004551C0" w:rsidRDefault="004551C0" w:rsidP="004551C0">
      <w:pPr>
        <w:ind w:left="720"/>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2 quarterly (both longstop) = 0</w:t>
      </w:r>
    </w:p>
    <w:p w:rsidR="004551C0" w:rsidRDefault="004551C0" w:rsidP="004551C0">
      <w:pPr>
        <w:ind w:left="720"/>
        <w:rPr>
          <w:rFonts w:ascii="Segoe UI" w:eastAsiaTheme="minorHAnsi" w:hAnsi="Segoe UI" w:cs="Segoe UI"/>
          <w:sz w:val="22"/>
          <w:szCs w:val="22"/>
          <w:lang w:eastAsia="en-US"/>
        </w:rPr>
      </w:pPr>
      <w:r w:rsidRPr="004551C0">
        <w:rPr>
          <w:rFonts w:ascii="Segoe UI" w:eastAsiaTheme="minorHAnsi" w:hAnsi="Segoe UI" w:cs="Segoe UI"/>
          <w:sz w:val="22"/>
          <w:szCs w:val="22"/>
          <w:lang w:eastAsia="en-US"/>
        </w:rPr>
        <w:t>2 bi-annually (1 longstop, 1 reported elsewhere) = 0</w:t>
      </w:r>
    </w:p>
    <w:p w:rsidR="004551C0" w:rsidRPr="004551C0" w:rsidRDefault="004551C0" w:rsidP="004551C0">
      <w:pPr>
        <w:ind w:left="720"/>
        <w:rPr>
          <w:rFonts w:ascii="Segoe UI" w:eastAsiaTheme="minorHAnsi" w:hAnsi="Segoe UI" w:cs="Segoe UI"/>
          <w:sz w:val="22"/>
          <w:szCs w:val="22"/>
          <w:lang w:eastAsia="en-US"/>
        </w:rPr>
      </w:pPr>
    </w:p>
    <w:p w:rsidR="004551C0" w:rsidRPr="004551C0" w:rsidRDefault="004551C0" w:rsidP="004551C0">
      <w:pPr>
        <w:ind w:left="-142"/>
        <w:rPr>
          <w:rFonts w:ascii="Segoe UI" w:hAnsi="Segoe UI" w:cs="Segoe UI"/>
          <w:sz w:val="22"/>
        </w:rPr>
      </w:pPr>
    </w:p>
    <w:p w:rsidR="004551C0" w:rsidRPr="004551C0" w:rsidRDefault="004551C0" w:rsidP="004551C0">
      <w:pPr>
        <w:shd w:val="clear" w:color="auto" w:fill="0070C0"/>
        <w:rPr>
          <w:rFonts w:ascii="Segoe UI" w:hAnsi="Segoe UI" w:cs="Segoe UI"/>
          <w:b/>
          <w:color w:val="FFFFFF" w:themeColor="background1"/>
        </w:rPr>
      </w:pPr>
      <w:r>
        <w:rPr>
          <w:rFonts w:ascii="Segoe UI" w:hAnsi="Segoe UI" w:cs="Segoe UI"/>
          <w:b/>
          <w:color w:val="FFFFFF" w:themeColor="background1"/>
        </w:rPr>
        <w:t xml:space="preserve">Contractual </w:t>
      </w:r>
      <w:r w:rsidRPr="004551C0">
        <w:rPr>
          <w:rFonts w:ascii="Segoe UI" w:hAnsi="Segoe UI" w:cs="Segoe UI"/>
          <w:b/>
          <w:color w:val="FFFFFF" w:themeColor="background1"/>
        </w:rPr>
        <w:t xml:space="preserve">Performance Scorecard </w:t>
      </w:r>
    </w:p>
    <w:p w:rsidR="004551C0" w:rsidRPr="004551C0" w:rsidRDefault="004551C0" w:rsidP="004551C0">
      <w:pPr>
        <w:rPr>
          <w:rFonts w:ascii="Segoe UI" w:hAnsi="Segoe UI" w:cs="Segoe UI"/>
          <w:sz w:val="22"/>
        </w:rPr>
      </w:pPr>
    </w:p>
    <w:p w:rsidR="004551C0" w:rsidRPr="004551C0" w:rsidRDefault="004551C0" w:rsidP="004551C0">
      <w:pPr>
        <w:rPr>
          <w:rFonts w:ascii="Segoe UI" w:hAnsi="Segoe UI" w:cs="Segoe UI"/>
          <w:sz w:val="22"/>
        </w:rPr>
      </w:pPr>
      <w:r w:rsidRPr="004551C0">
        <w:rPr>
          <w:rFonts w:ascii="Segoe UI" w:hAnsi="Segoe UI" w:cs="Segoe UI"/>
          <w:sz w:val="22"/>
        </w:rPr>
        <w:t xml:space="preserve">The Older People’s Directorate was required to report against </w:t>
      </w:r>
      <w:r w:rsidR="005A2921">
        <w:rPr>
          <w:rFonts w:ascii="Segoe UI" w:hAnsi="Segoe UI" w:cs="Segoe UI"/>
          <w:sz w:val="22"/>
        </w:rPr>
        <w:t>9</w:t>
      </w:r>
      <w:r w:rsidRPr="004551C0">
        <w:rPr>
          <w:rFonts w:ascii="Segoe UI" w:hAnsi="Segoe UI" w:cs="Segoe UI"/>
          <w:sz w:val="22"/>
        </w:rPr>
        <w:t>0 indicators in month 1</w:t>
      </w:r>
      <w:r w:rsidR="00C53E58">
        <w:rPr>
          <w:rFonts w:ascii="Segoe UI" w:hAnsi="Segoe UI" w:cs="Segoe UI"/>
          <w:sz w:val="22"/>
        </w:rPr>
        <w:t>2</w:t>
      </w:r>
      <w:r w:rsidRPr="004551C0">
        <w:rPr>
          <w:rFonts w:ascii="Segoe UI" w:hAnsi="Segoe UI" w:cs="Segoe UI"/>
          <w:sz w:val="22"/>
        </w:rPr>
        <w:t xml:space="preserve">.  Targets/thresholds are applicable to most indicators.  Where there is no target/threshold, the indicator is considered compliant if it is reported.  </w:t>
      </w:r>
    </w:p>
    <w:p w:rsidR="004551C0" w:rsidRPr="004551C0" w:rsidRDefault="004551C0" w:rsidP="004551C0">
      <w:pPr>
        <w:rPr>
          <w:rFonts w:ascii="Segoe UI" w:hAnsi="Segoe UI" w:cs="Segoe UI"/>
          <w:sz w:val="22"/>
        </w:rPr>
      </w:pPr>
    </w:p>
    <w:p w:rsidR="004551C0" w:rsidRPr="00CD71C0" w:rsidRDefault="00CD71C0" w:rsidP="004551C0">
      <w:pPr>
        <w:rPr>
          <w:rFonts w:ascii="Segoe UI" w:hAnsi="Segoe UI" w:cs="Segoe UI"/>
          <w:b/>
          <w:sz w:val="22"/>
        </w:rPr>
      </w:pPr>
      <w:r w:rsidRPr="00CD71C0">
        <w:rPr>
          <w:rFonts w:ascii="Segoe UI" w:hAnsi="Segoe UI" w:cs="Segoe UI"/>
          <w:b/>
          <w:sz w:val="22"/>
        </w:rPr>
        <w:t>78</w:t>
      </w:r>
      <w:r w:rsidR="004551C0" w:rsidRPr="00CD71C0">
        <w:rPr>
          <w:rFonts w:ascii="Segoe UI" w:hAnsi="Segoe UI" w:cs="Segoe UI"/>
          <w:b/>
          <w:sz w:val="22"/>
        </w:rPr>
        <w:t>% of indicators were achieved;</w:t>
      </w:r>
    </w:p>
    <w:tbl>
      <w:tblPr>
        <w:tblStyle w:val="TableGrid12"/>
        <w:tblpPr w:leftFromText="180" w:rightFromText="180" w:vertAnchor="text" w:horzAnchor="margin" w:tblpXSpec="right" w:tblpY="190"/>
        <w:tblW w:w="0" w:type="auto"/>
        <w:tblLayout w:type="fixed"/>
        <w:tblLook w:val="04A0" w:firstRow="1" w:lastRow="0" w:firstColumn="1" w:lastColumn="0" w:noHBand="0" w:noVBand="1"/>
      </w:tblPr>
      <w:tblGrid>
        <w:gridCol w:w="993"/>
        <w:gridCol w:w="1417"/>
        <w:gridCol w:w="1276"/>
        <w:gridCol w:w="1276"/>
        <w:gridCol w:w="992"/>
        <w:gridCol w:w="986"/>
      </w:tblGrid>
      <w:tr w:rsidR="004551C0" w:rsidRPr="004551C0" w:rsidTr="006165CC">
        <w:trPr>
          <w:trHeight w:val="554"/>
        </w:trPr>
        <w:tc>
          <w:tcPr>
            <w:tcW w:w="993" w:type="dxa"/>
            <w:tcBorders>
              <w:bottom w:val="single" w:sz="4" w:space="0" w:color="auto"/>
            </w:tcBorders>
            <w:vAlign w:val="center"/>
          </w:tcPr>
          <w:p w:rsidR="004551C0" w:rsidRPr="004551C0" w:rsidRDefault="004551C0" w:rsidP="004551C0">
            <w:pPr>
              <w:jc w:val="center"/>
              <w:rPr>
                <w:rFonts w:ascii="Segoe UI" w:hAnsi="Segoe UI" w:cs="Segoe UI"/>
                <w:b/>
                <w:sz w:val="22"/>
              </w:rPr>
            </w:pPr>
            <w:r w:rsidRPr="004551C0">
              <w:rPr>
                <w:rFonts w:ascii="Segoe UI" w:hAnsi="Segoe UI" w:cs="Segoe UI"/>
                <w:b/>
                <w:sz w:val="22"/>
              </w:rPr>
              <w:t>Key:</w:t>
            </w:r>
          </w:p>
        </w:tc>
        <w:tc>
          <w:tcPr>
            <w:tcW w:w="1417" w:type="dxa"/>
            <w:tcBorders>
              <w:bottom w:val="single" w:sz="4" w:space="0" w:color="auto"/>
            </w:tcBorders>
            <w:shd w:val="clear" w:color="auto" w:fill="FF0000"/>
            <w:vAlign w:val="center"/>
          </w:tcPr>
          <w:p w:rsidR="004551C0" w:rsidRPr="004551C0" w:rsidRDefault="004551C0" w:rsidP="004551C0">
            <w:pPr>
              <w:jc w:val="center"/>
              <w:rPr>
                <w:rFonts w:ascii="Segoe UI" w:hAnsi="Segoe UI" w:cs="Segoe UI"/>
                <w:sz w:val="18"/>
                <w:szCs w:val="18"/>
              </w:rPr>
            </w:pPr>
            <w:r w:rsidRPr="004551C0">
              <w:rPr>
                <w:rFonts w:ascii="Segoe UI" w:hAnsi="Segoe UI" w:cs="Segoe UI"/>
                <w:sz w:val="18"/>
                <w:szCs w:val="18"/>
              </w:rPr>
              <w:t>Well Below Target &gt;10%</w:t>
            </w:r>
          </w:p>
          <w:p w:rsidR="004551C0" w:rsidRPr="004551C0" w:rsidRDefault="004551C0" w:rsidP="004551C0">
            <w:pPr>
              <w:jc w:val="center"/>
              <w:rPr>
                <w:rFonts w:ascii="Segoe UI" w:hAnsi="Segoe UI" w:cs="Segoe UI"/>
                <w:sz w:val="18"/>
                <w:szCs w:val="18"/>
              </w:rPr>
            </w:pPr>
            <w:r w:rsidRPr="004551C0">
              <w:rPr>
                <w:rFonts w:ascii="Segoe UI" w:hAnsi="Segoe UI" w:cs="Segoe UI"/>
                <w:sz w:val="18"/>
                <w:szCs w:val="18"/>
              </w:rPr>
              <w:t>(&lt;/&gt; activity)</w:t>
            </w:r>
          </w:p>
        </w:tc>
        <w:tc>
          <w:tcPr>
            <w:tcW w:w="1276" w:type="dxa"/>
            <w:tcBorders>
              <w:bottom w:val="single" w:sz="4" w:space="0" w:color="auto"/>
            </w:tcBorders>
            <w:shd w:val="clear" w:color="auto" w:fill="FFC000"/>
            <w:vAlign w:val="center"/>
          </w:tcPr>
          <w:p w:rsidR="004551C0" w:rsidRPr="004551C0" w:rsidRDefault="004551C0" w:rsidP="004551C0">
            <w:pPr>
              <w:jc w:val="center"/>
              <w:rPr>
                <w:rFonts w:ascii="Segoe UI" w:hAnsi="Segoe UI" w:cs="Segoe UI"/>
                <w:sz w:val="18"/>
                <w:szCs w:val="18"/>
              </w:rPr>
            </w:pPr>
            <w:r w:rsidRPr="004551C0">
              <w:rPr>
                <w:rFonts w:ascii="Segoe UI" w:hAnsi="Segoe UI" w:cs="Segoe UI"/>
                <w:sz w:val="18"/>
                <w:szCs w:val="18"/>
              </w:rPr>
              <w:t>Below Target &lt;/=6-10%</w:t>
            </w:r>
          </w:p>
        </w:tc>
        <w:tc>
          <w:tcPr>
            <w:tcW w:w="1276" w:type="dxa"/>
            <w:tcBorders>
              <w:bottom w:val="single" w:sz="4" w:space="0" w:color="auto"/>
            </w:tcBorders>
            <w:shd w:val="clear" w:color="auto" w:fill="FFFF00"/>
            <w:vAlign w:val="center"/>
          </w:tcPr>
          <w:p w:rsidR="004551C0" w:rsidRPr="004551C0" w:rsidRDefault="004551C0" w:rsidP="004551C0">
            <w:pPr>
              <w:jc w:val="center"/>
              <w:rPr>
                <w:rFonts w:ascii="Segoe UI" w:hAnsi="Segoe UI" w:cs="Segoe UI"/>
                <w:sz w:val="18"/>
                <w:szCs w:val="18"/>
              </w:rPr>
            </w:pPr>
            <w:r w:rsidRPr="004551C0">
              <w:rPr>
                <w:rFonts w:ascii="Segoe UI" w:hAnsi="Segoe UI" w:cs="Segoe UI"/>
                <w:sz w:val="18"/>
                <w:szCs w:val="18"/>
              </w:rPr>
              <w:t>Near Target &lt;/=-5%</w:t>
            </w:r>
          </w:p>
        </w:tc>
        <w:tc>
          <w:tcPr>
            <w:tcW w:w="992" w:type="dxa"/>
            <w:tcBorders>
              <w:bottom w:val="single" w:sz="4" w:space="0" w:color="auto"/>
            </w:tcBorders>
            <w:shd w:val="clear" w:color="auto" w:fill="92D050"/>
            <w:vAlign w:val="center"/>
          </w:tcPr>
          <w:p w:rsidR="004551C0" w:rsidRPr="004551C0" w:rsidRDefault="004551C0" w:rsidP="004551C0">
            <w:pPr>
              <w:jc w:val="center"/>
              <w:rPr>
                <w:rFonts w:ascii="Segoe UI" w:hAnsi="Segoe UI" w:cs="Segoe UI"/>
                <w:sz w:val="18"/>
                <w:szCs w:val="18"/>
              </w:rPr>
            </w:pPr>
            <w:r w:rsidRPr="004551C0">
              <w:rPr>
                <w:rFonts w:ascii="Segoe UI" w:hAnsi="Segoe UI" w:cs="Segoe UI"/>
                <w:sz w:val="18"/>
                <w:szCs w:val="18"/>
              </w:rPr>
              <w:t>At Target</w:t>
            </w:r>
          </w:p>
        </w:tc>
        <w:tc>
          <w:tcPr>
            <w:tcW w:w="986" w:type="dxa"/>
            <w:tcBorders>
              <w:bottom w:val="single" w:sz="4" w:space="0" w:color="auto"/>
            </w:tcBorders>
            <w:shd w:val="clear" w:color="auto" w:fill="66FF33"/>
            <w:vAlign w:val="center"/>
          </w:tcPr>
          <w:p w:rsidR="004551C0" w:rsidRPr="004551C0" w:rsidRDefault="004551C0" w:rsidP="004551C0">
            <w:pPr>
              <w:jc w:val="center"/>
              <w:rPr>
                <w:rFonts w:ascii="Segoe UI" w:hAnsi="Segoe UI" w:cs="Segoe UI"/>
                <w:sz w:val="18"/>
                <w:szCs w:val="18"/>
              </w:rPr>
            </w:pPr>
            <w:r w:rsidRPr="004551C0">
              <w:rPr>
                <w:rFonts w:ascii="Segoe UI" w:hAnsi="Segoe UI" w:cs="Segoe UI"/>
                <w:sz w:val="18"/>
                <w:szCs w:val="18"/>
              </w:rPr>
              <w:t xml:space="preserve">Exceeded Target </w:t>
            </w:r>
          </w:p>
        </w:tc>
      </w:tr>
    </w:tbl>
    <w:p w:rsidR="004551C0" w:rsidRDefault="004551C0" w:rsidP="004551C0">
      <w:pPr>
        <w:rPr>
          <w:rFonts w:ascii="Segoe UI" w:hAnsi="Segoe UI" w:cs="Segoe UI"/>
          <w:sz w:val="18"/>
          <w:szCs w:val="18"/>
        </w:rPr>
      </w:pPr>
    </w:p>
    <w:tbl>
      <w:tblPr>
        <w:tblStyle w:val="TableGrid4"/>
        <w:tblW w:w="0" w:type="auto"/>
        <w:tblInd w:w="108" w:type="dxa"/>
        <w:tblLook w:val="04A0" w:firstRow="1" w:lastRow="0" w:firstColumn="1" w:lastColumn="0" w:noHBand="0" w:noVBand="1"/>
      </w:tblPr>
      <w:tblGrid>
        <w:gridCol w:w="2694"/>
        <w:gridCol w:w="992"/>
        <w:gridCol w:w="567"/>
        <w:gridCol w:w="567"/>
        <w:gridCol w:w="567"/>
        <w:gridCol w:w="567"/>
        <w:gridCol w:w="958"/>
      </w:tblGrid>
      <w:tr w:rsidR="004551C0" w:rsidRPr="004551C0" w:rsidTr="003D0593">
        <w:tc>
          <w:tcPr>
            <w:tcW w:w="5954" w:type="dxa"/>
            <w:gridSpan w:val="6"/>
          </w:tcPr>
          <w:p w:rsidR="004551C0" w:rsidRPr="004551C0" w:rsidRDefault="004551C0" w:rsidP="004551C0">
            <w:pPr>
              <w:rPr>
                <w:rFonts w:ascii="Segoe UI" w:hAnsi="Segoe UI" w:cs="Segoe UI"/>
                <w:sz w:val="22"/>
              </w:rPr>
            </w:pPr>
          </w:p>
        </w:tc>
        <w:tc>
          <w:tcPr>
            <w:tcW w:w="958" w:type="dxa"/>
          </w:tcPr>
          <w:p w:rsidR="004551C0" w:rsidRPr="004551C0" w:rsidRDefault="004551C0" w:rsidP="004551C0">
            <w:pPr>
              <w:rPr>
                <w:rFonts w:ascii="Segoe UI" w:hAnsi="Segoe UI" w:cs="Segoe UI"/>
                <w:b/>
                <w:sz w:val="22"/>
              </w:rPr>
            </w:pPr>
            <w:r w:rsidRPr="004551C0">
              <w:rPr>
                <w:rFonts w:ascii="Segoe UI" w:hAnsi="Segoe UI" w:cs="Segoe UI"/>
                <w:b/>
                <w:sz w:val="22"/>
              </w:rPr>
              <w:t>% met</w:t>
            </w:r>
          </w:p>
        </w:tc>
      </w:tr>
      <w:tr w:rsidR="004551C0" w:rsidRPr="004551C0" w:rsidTr="003D0593">
        <w:tc>
          <w:tcPr>
            <w:tcW w:w="2694" w:type="dxa"/>
          </w:tcPr>
          <w:p w:rsidR="004551C0" w:rsidRPr="004551C0" w:rsidRDefault="004551C0" w:rsidP="005A2921">
            <w:pPr>
              <w:rPr>
                <w:rFonts w:ascii="Segoe UI" w:hAnsi="Segoe UI" w:cs="Segoe UI"/>
                <w:sz w:val="22"/>
              </w:rPr>
            </w:pPr>
            <w:r w:rsidRPr="004551C0">
              <w:rPr>
                <w:rFonts w:ascii="Segoe UI" w:hAnsi="Segoe UI" w:cs="Segoe UI"/>
                <w:sz w:val="22"/>
              </w:rPr>
              <w:t>Total (</w:t>
            </w:r>
            <w:r w:rsidR="005A2921">
              <w:rPr>
                <w:rFonts w:ascii="Segoe UI" w:hAnsi="Segoe UI" w:cs="Segoe UI"/>
                <w:sz w:val="22"/>
              </w:rPr>
              <w:t>90</w:t>
            </w:r>
            <w:r w:rsidRPr="004551C0">
              <w:rPr>
                <w:rFonts w:ascii="Segoe UI" w:hAnsi="Segoe UI" w:cs="Segoe UI"/>
                <w:sz w:val="22"/>
              </w:rPr>
              <w:t>)</w:t>
            </w:r>
          </w:p>
        </w:tc>
        <w:tc>
          <w:tcPr>
            <w:tcW w:w="992" w:type="dxa"/>
            <w:shd w:val="clear" w:color="auto" w:fill="FF0000"/>
          </w:tcPr>
          <w:p w:rsidR="004551C0" w:rsidRPr="004551C0" w:rsidRDefault="00CD71C0" w:rsidP="004551C0">
            <w:pPr>
              <w:jc w:val="center"/>
              <w:rPr>
                <w:rFonts w:ascii="Segoe UI" w:hAnsi="Segoe UI" w:cs="Segoe UI"/>
                <w:b/>
                <w:sz w:val="22"/>
              </w:rPr>
            </w:pPr>
            <w:r>
              <w:rPr>
                <w:rFonts w:ascii="Segoe UI" w:hAnsi="Segoe UI" w:cs="Segoe UI"/>
                <w:b/>
                <w:sz w:val="22"/>
              </w:rPr>
              <w:t>13</w:t>
            </w:r>
          </w:p>
        </w:tc>
        <w:tc>
          <w:tcPr>
            <w:tcW w:w="567" w:type="dxa"/>
            <w:shd w:val="clear" w:color="auto" w:fill="FFC000"/>
          </w:tcPr>
          <w:p w:rsidR="004551C0" w:rsidRPr="004551C0" w:rsidRDefault="00CD71C0" w:rsidP="004551C0">
            <w:pPr>
              <w:jc w:val="center"/>
              <w:rPr>
                <w:rFonts w:ascii="Segoe UI" w:hAnsi="Segoe UI" w:cs="Segoe UI"/>
                <w:b/>
                <w:sz w:val="22"/>
              </w:rPr>
            </w:pPr>
            <w:r>
              <w:rPr>
                <w:rFonts w:ascii="Segoe UI" w:hAnsi="Segoe UI" w:cs="Segoe UI"/>
                <w:b/>
                <w:sz w:val="22"/>
              </w:rPr>
              <w:t>0</w:t>
            </w:r>
          </w:p>
        </w:tc>
        <w:tc>
          <w:tcPr>
            <w:tcW w:w="567" w:type="dxa"/>
            <w:shd w:val="clear" w:color="auto" w:fill="FFFF00"/>
          </w:tcPr>
          <w:p w:rsidR="004551C0" w:rsidRPr="004551C0" w:rsidRDefault="00CD71C0" w:rsidP="004551C0">
            <w:pPr>
              <w:jc w:val="center"/>
              <w:rPr>
                <w:rFonts w:ascii="Segoe UI" w:hAnsi="Segoe UI" w:cs="Segoe UI"/>
                <w:b/>
                <w:sz w:val="22"/>
              </w:rPr>
            </w:pPr>
            <w:r>
              <w:rPr>
                <w:rFonts w:ascii="Segoe UI" w:hAnsi="Segoe UI" w:cs="Segoe UI"/>
                <w:b/>
                <w:sz w:val="22"/>
              </w:rPr>
              <w:t>7</w:t>
            </w:r>
          </w:p>
        </w:tc>
        <w:tc>
          <w:tcPr>
            <w:tcW w:w="567" w:type="dxa"/>
            <w:shd w:val="clear" w:color="auto" w:fill="92D050"/>
          </w:tcPr>
          <w:p w:rsidR="004551C0" w:rsidRPr="004551C0" w:rsidRDefault="00CD71C0" w:rsidP="004551C0">
            <w:pPr>
              <w:jc w:val="center"/>
              <w:rPr>
                <w:rFonts w:ascii="Segoe UI" w:hAnsi="Segoe UI" w:cs="Segoe UI"/>
                <w:b/>
                <w:sz w:val="22"/>
              </w:rPr>
            </w:pPr>
            <w:r>
              <w:rPr>
                <w:rFonts w:ascii="Segoe UI" w:hAnsi="Segoe UI" w:cs="Segoe UI"/>
                <w:b/>
                <w:sz w:val="22"/>
              </w:rPr>
              <w:t>69</w:t>
            </w:r>
          </w:p>
        </w:tc>
        <w:tc>
          <w:tcPr>
            <w:tcW w:w="567" w:type="dxa"/>
            <w:shd w:val="clear" w:color="auto" w:fill="00FF00"/>
          </w:tcPr>
          <w:p w:rsidR="004551C0" w:rsidRPr="004551C0" w:rsidRDefault="00CD71C0" w:rsidP="004551C0">
            <w:pPr>
              <w:jc w:val="center"/>
              <w:rPr>
                <w:rFonts w:ascii="Segoe UI" w:hAnsi="Segoe UI" w:cs="Segoe UI"/>
                <w:b/>
                <w:sz w:val="22"/>
              </w:rPr>
            </w:pPr>
            <w:r>
              <w:rPr>
                <w:rFonts w:ascii="Segoe UI" w:hAnsi="Segoe UI" w:cs="Segoe UI"/>
                <w:b/>
                <w:sz w:val="22"/>
              </w:rPr>
              <w:t>1</w:t>
            </w:r>
          </w:p>
        </w:tc>
        <w:tc>
          <w:tcPr>
            <w:tcW w:w="958" w:type="dxa"/>
          </w:tcPr>
          <w:p w:rsidR="004551C0" w:rsidRPr="004551C0" w:rsidRDefault="00CD71C0" w:rsidP="004551C0">
            <w:pPr>
              <w:jc w:val="center"/>
              <w:rPr>
                <w:rFonts w:ascii="Segoe UI" w:hAnsi="Segoe UI" w:cs="Segoe UI"/>
                <w:sz w:val="22"/>
              </w:rPr>
            </w:pPr>
            <w:r>
              <w:rPr>
                <w:rFonts w:ascii="Segoe UI" w:hAnsi="Segoe UI" w:cs="Segoe UI"/>
                <w:sz w:val="22"/>
              </w:rPr>
              <w:t>78%</w:t>
            </w:r>
          </w:p>
        </w:tc>
      </w:tr>
      <w:tr w:rsidR="004551C0" w:rsidRPr="004551C0" w:rsidTr="003D0593">
        <w:tc>
          <w:tcPr>
            <w:tcW w:w="5954" w:type="dxa"/>
            <w:gridSpan w:val="6"/>
          </w:tcPr>
          <w:p w:rsidR="004551C0" w:rsidRPr="004551C0" w:rsidRDefault="004551C0" w:rsidP="004551C0">
            <w:pPr>
              <w:rPr>
                <w:rFonts w:ascii="Segoe UI" w:hAnsi="Segoe UI" w:cs="Segoe UI"/>
                <w:b/>
                <w:sz w:val="22"/>
              </w:rPr>
            </w:pPr>
            <w:r w:rsidRPr="004551C0">
              <w:rPr>
                <w:rFonts w:ascii="Segoe UI" w:hAnsi="Segoe UI" w:cs="Segoe UI"/>
                <w:b/>
                <w:sz w:val="22"/>
              </w:rPr>
              <w:t>Oxfordshire</w:t>
            </w:r>
          </w:p>
        </w:tc>
        <w:tc>
          <w:tcPr>
            <w:tcW w:w="958" w:type="dxa"/>
          </w:tcPr>
          <w:p w:rsidR="004551C0" w:rsidRPr="004551C0" w:rsidRDefault="004551C0" w:rsidP="004551C0">
            <w:pPr>
              <w:rPr>
                <w:rFonts w:ascii="Segoe UI" w:hAnsi="Segoe UI" w:cs="Segoe UI"/>
                <w:b/>
                <w:sz w:val="22"/>
              </w:rPr>
            </w:pPr>
          </w:p>
        </w:tc>
      </w:tr>
      <w:tr w:rsidR="005A2921" w:rsidRPr="004551C0" w:rsidTr="00C36D71">
        <w:tc>
          <w:tcPr>
            <w:tcW w:w="2694" w:type="dxa"/>
            <w:vAlign w:val="center"/>
          </w:tcPr>
          <w:p w:rsidR="005A2921" w:rsidRPr="008D51E7" w:rsidRDefault="005A2921" w:rsidP="00C36D71">
            <w:pPr>
              <w:rPr>
                <w:rFonts w:ascii="Segoe UI" w:hAnsi="Segoe UI" w:cs="Segoe UI"/>
                <w:sz w:val="20"/>
                <w:szCs w:val="20"/>
              </w:rPr>
            </w:pPr>
            <w:r w:rsidRPr="008D51E7">
              <w:rPr>
                <w:rFonts w:ascii="Segoe UI" w:hAnsi="Segoe UI" w:cs="Segoe UI"/>
                <w:sz w:val="20"/>
                <w:szCs w:val="20"/>
              </w:rPr>
              <w:t>NQRs (1</w:t>
            </w:r>
            <w:r>
              <w:rPr>
                <w:rFonts w:ascii="Segoe UI" w:hAnsi="Segoe UI" w:cs="Segoe UI"/>
                <w:sz w:val="20"/>
                <w:szCs w:val="20"/>
              </w:rPr>
              <w:t>1</w:t>
            </w:r>
            <w:r w:rsidRPr="008D51E7">
              <w:rPr>
                <w:rFonts w:ascii="Segoe UI" w:hAnsi="Segoe UI" w:cs="Segoe UI"/>
                <w:sz w:val="20"/>
                <w:szCs w:val="20"/>
              </w:rPr>
              <w:t>)</w:t>
            </w:r>
          </w:p>
        </w:tc>
        <w:tc>
          <w:tcPr>
            <w:tcW w:w="992" w:type="dxa"/>
            <w:shd w:val="clear" w:color="auto" w:fill="FF00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4</w:t>
            </w:r>
          </w:p>
        </w:tc>
        <w:tc>
          <w:tcPr>
            <w:tcW w:w="567" w:type="dxa"/>
            <w:shd w:val="clear" w:color="auto" w:fill="FFC0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0</w:t>
            </w:r>
          </w:p>
        </w:tc>
        <w:tc>
          <w:tcPr>
            <w:tcW w:w="567" w:type="dxa"/>
            <w:shd w:val="clear" w:color="auto" w:fill="FFFF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0</w:t>
            </w:r>
          </w:p>
        </w:tc>
        <w:tc>
          <w:tcPr>
            <w:tcW w:w="567" w:type="dxa"/>
            <w:shd w:val="clear" w:color="auto" w:fill="92D05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7</w:t>
            </w:r>
          </w:p>
        </w:tc>
        <w:tc>
          <w:tcPr>
            <w:tcW w:w="567" w:type="dxa"/>
            <w:shd w:val="clear" w:color="auto" w:fill="00FF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0</w:t>
            </w:r>
          </w:p>
        </w:tc>
        <w:tc>
          <w:tcPr>
            <w:tcW w:w="958" w:type="dxa"/>
            <w:shd w:val="clear" w:color="auto" w:fill="FFFFFF" w:themeFill="background1"/>
            <w:vAlign w:val="center"/>
          </w:tcPr>
          <w:p w:rsidR="005A2921" w:rsidRPr="004551C0" w:rsidRDefault="00244954" w:rsidP="00244954">
            <w:pPr>
              <w:jc w:val="center"/>
              <w:rPr>
                <w:rFonts w:ascii="Segoe UI" w:hAnsi="Segoe UI" w:cs="Segoe UI"/>
                <w:sz w:val="22"/>
              </w:rPr>
            </w:pPr>
            <w:r>
              <w:rPr>
                <w:rFonts w:ascii="Segoe UI" w:hAnsi="Segoe UI" w:cs="Segoe UI"/>
                <w:sz w:val="22"/>
              </w:rPr>
              <w:t>64</w:t>
            </w:r>
            <w:r w:rsidR="005A2921" w:rsidRPr="004551C0">
              <w:rPr>
                <w:rFonts w:ascii="Segoe UI" w:hAnsi="Segoe UI" w:cs="Segoe UI"/>
                <w:sz w:val="22"/>
              </w:rPr>
              <w:t>%</w:t>
            </w:r>
          </w:p>
        </w:tc>
      </w:tr>
      <w:tr w:rsidR="005A2921" w:rsidRPr="004551C0" w:rsidTr="00C36D71">
        <w:trPr>
          <w:trHeight w:val="90"/>
        </w:trPr>
        <w:tc>
          <w:tcPr>
            <w:tcW w:w="2694" w:type="dxa"/>
            <w:vAlign w:val="center"/>
          </w:tcPr>
          <w:p w:rsidR="005A2921" w:rsidRPr="008D51E7" w:rsidRDefault="005A2921" w:rsidP="00C36D71">
            <w:pPr>
              <w:rPr>
                <w:rFonts w:ascii="Segoe UI" w:hAnsi="Segoe UI" w:cs="Segoe UI"/>
                <w:sz w:val="20"/>
                <w:szCs w:val="20"/>
              </w:rPr>
            </w:pPr>
            <w:r w:rsidRPr="008D51E7">
              <w:rPr>
                <w:rFonts w:ascii="Segoe UI" w:hAnsi="Segoe UI" w:cs="Segoe UI"/>
                <w:sz w:val="20"/>
                <w:szCs w:val="20"/>
              </w:rPr>
              <w:t>LQRs (17)</w:t>
            </w:r>
          </w:p>
        </w:tc>
        <w:tc>
          <w:tcPr>
            <w:tcW w:w="992" w:type="dxa"/>
            <w:shd w:val="clear" w:color="auto" w:fill="FF00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4</w:t>
            </w:r>
          </w:p>
        </w:tc>
        <w:tc>
          <w:tcPr>
            <w:tcW w:w="567" w:type="dxa"/>
            <w:shd w:val="clear" w:color="auto" w:fill="FFC0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0</w:t>
            </w:r>
          </w:p>
        </w:tc>
        <w:tc>
          <w:tcPr>
            <w:tcW w:w="567" w:type="dxa"/>
            <w:shd w:val="clear" w:color="auto" w:fill="FFFF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3</w:t>
            </w:r>
          </w:p>
        </w:tc>
        <w:tc>
          <w:tcPr>
            <w:tcW w:w="567" w:type="dxa"/>
            <w:shd w:val="clear" w:color="auto" w:fill="92D05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9</w:t>
            </w:r>
          </w:p>
        </w:tc>
        <w:tc>
          <w:tcPr>
            <w:tcW w:w="567" w:type="dxa"/>
            <w:shd w:val="clear" w:color="auto" w:fill="00FF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1</w:t>
            </w:r>
          </w:p>
        </w:tc>
        <w:tc>
          <w:tcPr>
            <w:tcW w:w="958" w:type="dxa"/>
            <w:shd w:val="clear" w:color="auto" w:fill="FFFFFF" w:themeFill="background1"/>
            <w:vAlign w:val="center"/>
          </w:tcPr>
          <w:p w:rsidR="005A2921" w:rsidRPr="004551C0" w:rsidRDefault="00244954" w:rsidP="004551C0">
            <w:pPr>
              <w:jc w:val="center"/>
              <w:rPr>
                <w:rFonts w:ascii="Segoe UI" w:hAnsi="Segoe UI" w:cs="Segoe UI"/>
                <w:sz w:val="22"/>
              </w:rPr>
            </w:pPr>
            <w:r>
              <w:rPr>
                <w:rFonts w:ascii="Segoe UI" w:hAnsi="Segoe UI" w:cs="Segoe UI"/>
                <w:sz w:val="22"/>
              </w:rPr>
              <w:t>59</w:t>
            </w:r>
            <w:r w:rsidR="005A2921" w:rsidRPr="004551C0">
              <w:rPr>
                <w:rFonts w:ascii="Segoe UI" w:hAnsi="Segoe UI" w:cs="Segoe UI"/>
                <w:sz w:val="22"/>
              </w:rPr>
              <w:t>%</w:t>
            </w:r>
          </w:p>
        </w:tc>
      </w:tr>
      <w:tr w:rsidR="005A2921" w:rsidRPr="004551C0" w:rsidTr="00C36D71">
        <w:tc>
          <w:tcPr>
            <w:tcW w:w="2694" w:type="dxa"/>
            <w:vAlign w:val="center"/>
          </w:tcPr>
          <w:p w:rsidR="005A2921" w:rsidRPr="008D51E7" w:rsidRDefault="005A2921" w:rsidP="00C36D71">
            <w:pPr>
              <w:rPr>
                <w:rFonts w:ascii="Segoe UI" w:hAnsi="Segoe UI" w:cs="Segoe UI"/>
                <w:sz w:val="20"/>
                <w:szCs w:val="20"/>
              </w:rPr>
            </w:pPr>
            <w:r w:rsidRPr="008D51E7">
              <w:rPr>
                <w:rFonts w:ascii="Segoe UI" w:hAnsi="Segoe UI" w:cs="Segoe UI"/>
                <w:sz w:val="20"/>
                <w:szCs w:val="20"/>
              </w:rPr>
              <w:t>Community Services (</w:t>
            </w:r>
            <w:r>
              <w:rPr>
                <w:rFonts w:ascii="Segoe UI" w:hAnsi="Segoe UI" w:cs="Segoe UI"/>
                <w:sz w:val="20"/>
                <w:szCs w:val="20"/>
              </w:rPr>
              <w:t>20</w:t>
            </w:r>
            <w:r w:rsidRPr="008D51E7">
              <w:rPr>
                <w:rFonts w:ascii="Segoe UI" w:hAnsi="Segoe UI" w:cs="Segoe UI"/>
                <w:sz w:val="20"/>
                <w:szCs w:val="20"/>
              </w:rPr>
              <w:t>)</w:t>
            </w:r>
          </w:p>
        </w:tc>
        <w:tc>
          <w:tcPr>
            <w:tcW w:w="992" w:type="dxa"/>
            <w:shd w:val="clear" w:color="auto" w:fill="FF00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2</w:t>
            </w:r>
          </w:p>
        </w:tc>
        <w:tc>
          <w:tcPr>
            <w:tcW w:w="567" w:type="dxa"/>
            <w:shd w:val="clear" w:color="auto" w:fill="FFC0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0</w:t>
            </w:r>
          </w:p>
        </w:tc>
        <w:tc>
          <w:tcPr>
            <w:tcW w:w="567" w:type="dxa"/>
            <w:shd w:val="clear" w:color="auto" w:fill="FFFF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3</w:t>
            </w:r>
          </w:p>
        </w:tc>
        <w:tc>
          <w:tcPr>
            <w:tcW w:w="567" w:type="dxa"/>
            <w:shd w:val="clear" w:color="auto" w:fill="92D05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15</w:t>
            </w:r>
          </w:p>
        </w:tc>
        <w:tc>
          <w:tcPr>
            <w:tcW w:w="567" w:type="dxa"/>
            <w:shd w:val="clear" w:color="auto" w:fill="00FF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0</w:t>
            </w:r>
          </w:p>
        </w:tc>
        <w:tc>
          <w:tcPr>
            <w:tcW w:w="958" w:type="dxa"/>
            <w:shd w:val="clear" w:color="auto" w:fill="FFFFFF" w:themeFill="background1"/>
            <w:vAlign w:val="center"/>
          </w:tcPr>
          <w:p w:rsidR="005A2921" w:rsidRPr="004551C0" w:rsidRDefault="00244954" w:rsidP="004551C0">
            <w:pPr>
              <w:jc w:val="center"/>
              <w:rPr>
                <w:rFonts w:ascii="Segoe UI" w:hAnsi="Segoe UI" w:cs="Segoe UI"/>
                <w:sz w:val="22"/>
              </w:rPr>
            </w:pPr>
            <w:r>
              <w:rPr>
                <w:rFonts w:ascii="Segoe UI" w:hAnsi="Segoe UI" w:cs="Segoe UI"/>
                <w:sz w:val="22"/>
              </w:rPr>
              <w:t>75</w:t>
            </w:r>
            <w:r w:rsidR="005A2921" w:rsidRPr="004551C0">
              <w:rPr>
                <w:rFonts w:ascii="Segoe UI" w:hAnsi="Segoe UI" w:cs="Segoe UI"/>
                <w:sz w:val="22"/>
              </w:rPr>
              <w:t>%</w:t>
            </w:r>
          </w:p>
        </w:tc>
      </w:tr>
      <w:tr w:rsidR="005A2921" w:rsidRPr="004551C0" w:rsidTr="003D0593">
        <w:tc>
          <w:tcPr>
            <w:tcW w:w="2694" w:type="dxa"/>
            <w:tcBorders>
              <w:bottom w:val="single" w:sz="12" w:space="0" w:color="auto"/>
            </w:tcBorders>
            <w:vAlign w:val="center"/>
          </w:tcPr>
          <w:p w:rsidR="005A2921" w:rsidRPr="008D51E7" w:rsidRDefault="005A2921" w:rsidP="00C36D71">
            <w:pPr>
              <w:rPr>
                <w:rFonts w:ascii="Segoe UI" w:hAnsi="Segoe UI" w:cs="Segoe UI"/>
                <w:sz w:val="20"/>
                <w:szCs w:val="20"/>
              </w:rPr>
            </w:pPr>
            <w:r>
              <w:rPr>
                <w:rFonts w:ascii="Segoe UI" w:hAnsi="Segoe UI" w:cs="Segoe UI"/>
                <w:sz w:val="20"/>
                <w:szCs w:val="20"/>
              </w:rPr>
              <w:t>OP Mental Health (10</w:t>
            </w:r>
            <w:r w:rsidRPr="008D51E7">
              <w:rPr>
                <w:rFonts w:ascii="Segoe UI" w:hAnsi="Segoe UI" w:cs="Segoe UI"/>
                <w:sz w:val="20"/>
                <w:szCs w:val="20"/>
              </w:rPr>
              <w:t>)</w:t>
            </w:r>
          </w:p>
        </w:tc>
        <w:tc>
          <w:tcPr>
            <w:tcW w:w="992" w:type="dxa"/>
            <w:tcBorders>
              <w:bottom w:val="single" w:sz="12" w:space="0" w:color="auto"/>
            </w:tcBorders>
            <w:shd w:val="clear" w:color="auto" w:fill="FF00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2 (1nr)</w:t>
            </w:r>
          </w:p>
        </w:tc>
        <w:tc>
          <w:tcPr>
            <w:tcW w:w="567" w:type="dxa"/>
            <w:tcBorders>
              <w:bottom w:val="single" w:sz="12" w:space="0" w:color="auto"/>
            </w:tcBorders>
            <w:shd w:val="clear" w:color="auto" w:fill="FFC0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0</w:t>
            </w:r>
          </w:p>
        </w:tc>
        <w:tc>
          <w:tcPr>
            <w:tcW w:w="567" w:type="dxa"/>
            <w:tcBorders>
              <w:bottom w:val="single" w:sz="12" w:space="0" w:color="auto"/>
            </w:tcBorders>
            <w:shd w:val="clear" w:color="auto" w:fill="FFFF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1</w:t>
            </w:r>
          </w:p>
        </w:tc>
        <w:tc>
          <w:tcPr>
            <w:tcW w:w="567" w:type="dxa"/>
            <w:tcBorders>
              <w:bottom w:val="single" w:sz="12" w:space="0" w:color="auto"/>
            </w:tcBorders>
            <w:shd w:val="clear" w:color="auto" w:fill="92D050"/>
            <w:vAlign w:val="center"/>
          </w:tcPr>
          <w:p w:rsidR="005A2921" w:rsidRPr="008C397B" w:rsidRDefault="00244954" w:rsidP="00C36D71">
            <w:pPr>
              <w:jc w:val="center"/>
              <w:rPr>
                <w:rFonts w:ascii="Segoe UI" w:hAnsi="Segoe UI" w:cs="Segoe UI"/>
                <w:sz w:val="20"/>
                <w:szCs w:val="20"/>
              </w:rPr>
            </w:pPr>
            <w:r>
              <w:rPr>
                <w:rFonts w:ascii="Segoe UI" w:hAnsi="Segoe UI" w:cs="Segoe UI"/>
                <w:sz w:val="20"/>
                <w:szCs w:val="20"/>
              </w:rPr>
              <w:t>7</w:t>
            </w:r>
          </w:p>
        </w:tc>
        <w:tc>
          <w:tcPr>
            <w:tcW w:w="567" w:type="dxa"/>
            <w:tcBorders>
              <w:bottom w:val="single" w:sz="12" w:space="0" w:color="auto"/>
            </w:tcBorders>
            <w:shd w:val="clear" w:color="auto" w:fill="00FF00"/>
            <w:vAlign w:val="center"/>
          </w:tcPr>
          <w:p w:rsidR="005A2921" w:rsidRPr="008C397B" w:rsidRDefault="005A2921" w:rsidP="00C36D71">
            <w:pPr>
              <w:jc w:val="center"/>
              <w:rPr>
                <w:rFonts w:ascii="Segoe UI" w:hAnsi="Segoe UI" w:cs="Segoe UI"/>
                <w:sz w:val="20"/>
                <w:szCs w:val="20"/>
              </w:rPr>
            </w:pPr>
            <w:r>
              <w:rPr>
                <w:rFonts w:ascii="Segoe UI" w:hAnsi="Segoe UI" w:cs="Segoe UI"/>
                <w:sz w:val="20"/>
                <w:szCs w:val="20"/>
              </w:rPr>
              <w:t>0</w:t>
            </w:r>
          </w:p>
        </w:tc>
        <w:tc>
          <w:tcPr>
            <w:tcW w:w="958" w:type="dxa"/>
            <w:tcBorders>
              <w:bottom w:val="single" w:sz="12" w:space="0" w:color="auto"/>
            </w:tcBorders>
            <w:shd w:val="clear" w:color="auto" w:fill="FFFFFF" w:themeFill="background1"/>
            <w:vAlign w:val="center"/>
          </w:tcPr>
          <w:p w:rsidR="005A2921" w:rsidRPr="004551C0" w:rsidRDefault="00244954" w:rsidP="004551C0">
            <w:pPr>
              <w:jc w:val="center"/>
              <w:rPr>
                <w:rFonts w:ascii="Segoe UI" w:hAnsi="Segoe UI" w:cs="Segoe UI"/>
                <w:sz w:val="22"/>
              </w:rPr>
            </w:pPr>
            <w:r>
              <w:rPr>
                <w:rFonts w:ascii="Segoe UI" w:hAnsi="Segoe UI" w:cs="Segoe UI"/>
                <w:sz w:val="22"/>
              </w:rPr>
              <w:t>7</w:t>
            </w:r>
            <w:r w:rsidR="005A2921" w:rsidRPr="004551C0">
              <w:rPr>
                <w:rFonts w:ascii="Segoe UI" w:hAnsi="Segoe UI" w:cs="Segoe UI"/>
                <w:sz w:val="22"/>
              </w:rPr>
              <w:t>0%</w:t>
            </w:r>
          </w:p>
        </w:tc>
      </w:tr>
      <w:tr w:rsidR="004551C0" w:rsidRPr="004551C0" w:rsidTr="003D0593">
        <w:tc>
          <w:tcPr>
            <w:tcW w:w="2694" w:type="dxa"/>
            <w:tcBorders>
              <w:top w:val="single" w:sz="12" w:space="0" w:color="auto"/>
              <w:bottom w:val="single" w:sz="4" w:space="0" w:color="auto"/>
            </w:tcBorders>
          </w:tcPr>
          <w:p w:rsidR="004551C0" w:rsidRPr="004551C0" w:rsidRDefault="004551C0" w:rsidP="005A2921">
            <w:pPr>
              <w:rPr>
                <w:rFonts w:ascii="Segoe UI" w:hAnsi="Segoe UI" w:cs="Segoe UI"/>
                <w:sz w:val="22"/>
              </w:rPr>
            </w:pPr>
            <w:r w:rsidRPr="004551C0">
              <w:rPr>
                <w:rFonts w:ascii="Segoe UI" w:hAnsi="Segoe UI" w:cs="Segoe UI"/>
                <w:sz w:val="22"/>
              </w:rPr>
              <w:t>Sub-total (</w:t>
            </w:r>
            <w:r w:rsidR="005A2921">
              <w:rPr>
                <w:rFonts w:ascii="Segoe UI" w:hAnsi="Segoe UI" w:cs="Segoe UI"/>
                <w:sz w:val="22"/>
              </w:rPr>
              <w:t>5</w:t>
            </w:r>
            <w:r w:rsidRPr="004551C0">
              <w:rPr>
                <w:rFonts w:ascii="Segoe UI" w:hAnsi="Segoe UI" w:cs="Segoe UI"/>
                <w:sz w:val="22"/>
              </w:rPr>
              <w:t>8)</w:t>
            </w:r>
          </w:p>
        </w:tc>
        <w:tc>
          <w:tcPr>
            <w:tcW w:w="992" w:type="dxa"/>
            <w:tcBorders>
              <w:top w:val="single" w:sz="12" w:space="0" w:color="auto"/>
              <w:bottom w:val="single" w:sz="4" w:space="0" w:color="auto"/>
            </w:tcBorders>
            <w:shd w:val="clear" w:color="auto" w:fill="FF0000"/>
          </w:tcPr>
          <w:p w:rsidR="004551C0" w:rsidRPr="004551C0" w:rsidRDefault="00244954" w:rsidP="004551C0">
            <w:pPr>
              <w:jc w:val="center"/>
              <w:rPr>
                <w:rFonts w:ascii="Segoe UI" w:hAnsi="Segoe UI" w:cs="Segoe UI"/>
                <w:b/>
                <w:sz w:val="22"/>
              </w:rPr>
            </w:pPr>
            <w:r>
              <w:rPr>
                <w:rFonts w:ascii="Segoe UI" w:hAnsi="Segoe UI" w:cs="Segoe UI"/>
                <w:b/>
                <w:sz w:val="22"/>
              </w:rPr>
              <w:t>12</w:t>
            </w:r>
          </w:p>
        </w:tc>
        <w:tc>
          <w:tcPr>
            <w:tcW w:w="567" w:type="dxa"/>
            <w:tcBorders>
              <w:top w:val="single" w:sz="12" w:space="0" w:color="auto"/>
              <w:bottom w:val="single" w:sz="4" w:space="0" w:color="auto"/>
            </w:tcBorders>
            <w:shd w:val="clear" w:color="auto" w:fill="FFC000"/>
          </w:tcPr>
          <w:p w:rsidR="004551C0" w:rsidRPr="004551C0" w:rsidRDefault="00244954" w:rsidP="004551C0">
            <w:pPr>
              <w:jc w:val="center"/>
              <w:rPr>
                <w:rFonts w:ascii="Segoe UI" w:hAnsi="Segoe UI" w:cs="Segoe UI"/>
                <w:b/>
                <w:sz w:val="22"/>
              </w:rPr>
            </w:pPr>
            <w:r>
              <w:rPr>
                <w:rFonts w:ascii="Segoe UI" w:hAnsi="Segoe UI" w:cs="Segoe UI"/>
                <w:b/>
                <w:sz w:val="22"/>
              </w:rPr>
              <w:t>0</w:t>
            </w:r>
          </w:p>
        </w:tc>
        <w:tc>
          <w:tcPr>
            <w:tcW w:w="567" w:type="dxa"/>
            <w:tcBorders>
              <w:top w:val="single" w:sz="12" w:space="0" w:color="auto"/>
              <w:bottom w:val="single" w:sz="4" w:space="0" w:color="auto"/>
            </w:tcBorders>
            <w:shd w:val="clear" w:color="auto" w:fill="FFFF00"/>
          </w:tcPr>
          <w:p w:rsidR="004551C0" w:rsidRPr="004551C0" w:rsidRDefault="00244954" w:rsidP="004551C0">
            <w:pPr>
              <w:jc w:val="center"/>
              <w:rPr>
                <w:rFonts w:ascii="Segoe UI" w:hAnsi="Segoe UI" w:cs="Segoe UI"/>
                <w:b/>
                <w:sz w:val="22"/>
              </w:rPr>
            </w:pPr>
            <w:r>
              <w:rPr>
                <w:rFonts w:ascii="Segoe UI" w:hAnsi="Segoe UI" w:cs="Segoe UI"/>
                <w:b/>
                <w:sz w:val="22"/>
              </w:rPr>
              <w:t>7</w:t>
            </w:r>
          </w:p>
        </w:tc>
        <w:tc>
          <w:tcPr>
            <w:tcW w:w="567" w:type="dxa"/>
            <w:tcBorders>
              <w:top w:val="single" w:sz="12" w:space="0" w:color="auto"/>
              <w:bottom w:val="single" w:sz="4" w:space="0" w:color="auto"/>
            </w:tcBorders>
            <w:shd w:val="clear" w:color="auto" w:fill="92D050"/>
          </w:tcPr>
          <w:p w:rsidR="004551C0" w:rsidRPr="004551C0" w:rsidRDefault="00244954" w:rsidP="004551C0">
            <w:pPr>
              <w:jc w:val="center"/>
              <w:rPr>
                <w:rFonts w:ascii="Segoe UI" w:hAnsi="Segoe UI" w:cs="Segoe UI"/>
                <w:b/>
                <w:sz w:val="22"/>
              </w:rPr>
            </w:pPr>
            <w:r>
              <w:rPr>
                <w:rFonts w:ascii="Segoe UI" w:hAnsi="Segoe UI" w:cs="Segoe UI"/>
                <w:b/>
                <w:sz w:val="22"/>
              </w:rPr>
              <w:t>38</w:t>
            </w:r>
          </w:p>
        </w:tc>
        <w:tc>
          <w:tcPr>
            <w:tcW w:w="567" w:type="dxa"/>
            <w:tcBorders>
              <w:top w:val="single" w:sz="12" w:space="0" w:color="auto"/>
              <w:bottom w:val="single" w:sz="4" w:space="0" w:color="auto"/>
            </w:tcBorders>
            <w:shd w:val="clear" w:color="auto" w:fill="00FF00"/>
          </w:tcPr>
          <w:p w:rsidR="004551C0" w:rsidRPr="004551C0" w:rsidRDefault="00244954" w:rsidP="004551C0">
            <w:pPr>
              <w:jc w:val="center"/>
              <w:rPr>
                <w:rFonts w:ascii="Segoe UI" w:hAnsi="Segoe UI" w:cs="Segoe UI"/>
                <w:b/>
                <w:sz w:val="22"/>
              </w:rPr>
            </w:pPr>
            <w:r>
              <w:rPr>
                <w:rFonts w:ascii="Segoe UI" w:hAnsi="Segoe UI" w:cs="Segoe UI"/>
                <w:b/>
                <w:sz w:val="22"/>
              </w:rPr>
              <w:t>1</w:t>
            </w:r>
          </w:p>
        </w:tc>
        <w:tc>
          <w:tcPr>
            <w:tcW w:w="958" w:type="dxa"/>
            <w:tcBorders>
              <w:top w:val="single" w:sz="12" w:space="0" w:color="auto"/>
              <w:bottom w:val="single" w:sz="4" w:space="0" w:color="auto"/>
            </w:tcBorders>
            <w:shd w:val="clear" w:color="auto" w:fill="FFFFFF" w:themeFill="background1"/>
            <w:vAlign w:val="center"/>
          </w:tcPr>
          <w:p w:rsidR="004551C0" w:rsidRPr="004551C0" w:rsidRDefault="00244954" w:rsidP="00244954">
            <w:pPr>
              <w:jc w:val="center"/>
              <w:rPr>
                <w:rFonts w:ascii="Segoe UI" w:hAnsi="Segoe UI" w:cs="Segoe UI"/>
                <w:sz w:val="22"/>
              </w:rPr>
            </w:pPr>
            <w:r>
              <w:rPr>
                <w:rFonts w:ascii="Segoe UI" w:hAnsi="Segoe UI" w:cs="Segoe UI"/>
                <w:sz w:val="22"/>
              </w:rPr>
              <w:t>67</w:t>
            </w:r>
            <w:r w:rsidR="004551C0" w:rsidRPr="004551C0">
              <w:rPr>
                <w:rFonts w:ascii="Segoe UI" w:hAnsi="Segoe UI" w:cs="Segoe UI"/>
                <w:sz w:val="22"/>
              </w:rPr>
              <w:t>%</w:t>
            </w:r>
          </w:p>
        </w:tc>
      </w:tr>
      <w:tr w:rsidR="004551C0" w:rsidRPr="004551C0" w:rsidTr="003D0593">
        <w:tc>
          <w:tcPr>
            <w:tcW w:w="5954" w:type="dxa"/>
            <w:gridSpan w:val="6"/>
            <w:tcBorders>
              <w:top w:val="single" w:sz="4" w:space="0" w:color="auto"/>
              <w:left w:val="nil"/>
              <w:bottom w:val="single" w:sz="4" w:space="0" w:color="auto"/>
              <w:right w:val="nil"/>
            </w:tcBorders>
          </w:tcPr>
          <w:p w:rsidR="004551C0" w:rsidRPr="004551C0" w:rsidRDefault="004551C0" w:rsidP="004551C0">
            <w:pPr>
              <w:rPr>
                <w:rFonts w:ascii="Segoe UI" w:hAnsi="Segoe UI" w:cs="Segoe UI"/>
                <w:b/>
                <w:sz w:val="22"/>
              </w:rPr>
            </w:pPr>
          </w:p>
        </w:tc>
        <w:tc>
          <w:tcPr>
            <w:tcW w:w="958" w:type="dxa"/>
            <w:tcBorders>
              <w:top w:val="single" w:sz="4" w:space="0" w:color="auto"/>
              <w:left w:val="nil"/>
              <w:bottom w:val="single" w:sz="4" w:space="0" w:color="auto"/>
              <w:right w:val="nil"/>
            </w:tcBorders>
          </w:tcPr>
          <w:p w:rsidR="004551C0" w:rsidRPr="004551C0" w:rsidRDefault="004551C0" w:rsidP="004551C0">
            <w:pPr>
              <w:rPr>
                <w:rFonts w:ascii="Segoe UI" w:hAnsi="Segoe UI" w:cs="Segoe UI"/>
                <w:b/>
                <w:sz w:val="22"/>
              </w:rPr>
            </w:pPr>
          </w:p>
        </w:tc>
      </w:tr>
      <w:tr w:rsidR="004551C0" w:rsidRPr="004551C0" w:rsidTr="003D0593">
        <w:tc>
          <w:tcPr>
            <w:tcW w:w="5954" w:type="dxa"/>
            <w:gridSpan w:val="6"/>
            <w:tcBorders>
              <w:top w:val="single" w:sz="4" w:space="0" w:color="auto"/>
            </w:tcBorders>
          </w:tcPr>
          <w:p w:rsidR="004551C0" w:rsidRPr="004551C0" w:rsidRDefault="004551C0" w:rsidP="004551C0">
            <w:pPr>
              <w:rPr>
                <w:rFonts w:ascii="Segoe UI" w:hAnsi="Segoe UI" w:cs="Segoe UI"/>
                <w:b/>
                <w:sz w:val="22"/>
              </w:rPr>
            </w:pPr>
            <w:r w:rsidRPr="004551C0">
              <w:rPr>
                <w:rFonts w:ascii="Segoe UI" w:hAnsi="Segoe UI" w:cs="Segoe UI"/>
                <w:b/>
                <w:sz w:val="22"/>
              </w:rPr>
              <w:t>Buckinghamshire</w:t>
            </w:r>
          </w:p>
        </w:tc>
        <w:tc>
          <w:tcPr>
            <w:tcW w:w="958" w:type="dxa"/>
            <w:tcBorders>
              <w:top w:val="single" w:sz="4" w:space="0" w:color="auto"/>
            </w:tcBorders>
          </w:tcPr>
          <w:p w:rsidR="004551C0" w:rsidRPr="004551C0" w:rsidRDefault="004551C0" w:rsidP="004551C0">
            <w:pPr>
              <w:rPr>
                <w:rFonts w:ascii="Segoe UI" w:hAnsi="Segoe UI" w:cs="Segoe UI"/>
                <w:b/>
                <w:sz w:val="22"/>
              </w:rPr>
            </w:pPr>
            <w:r w:rsidRPr="004551C0">
              <w:rPr>
                <w:rFonts w:ascii="Segoe UI" w:hAnsi="Segoe UI" w:cs="Segoe UI"/>
                <w:b/>
                <w:sz w:val="22"/>
              </w:rPr>
              <w:t>% met</w:t>
            </w:r>
          </w:p>
        </w:tc>
      </w:tr>
      <w:tr w:rsidR="004551C0" w:rsidRPr="004551C0" w:rsidTr="003D0593">
        <w:tc>
          <w:tcPr>
            <w:tcW w:w="2694" w:type="dxa"/>
          </w:tcPr>
          <w:p w:rsidR="004551C0" w:rsidRPr="00244954" w:rsidRDefault="004551C0" w:rsidP="004551C0">
            <w:pPr>
              <w:rPr>
                <w:rFonts w:ascii="Segoe UI" w:hAnsi="Segoe UI" w:cs="Segoe UI"/>
                <w:sz w:val="20"/>
              </w:rPr>
            </w:pPr>
            <w:r w:rsidRPr="00244954">
              <w:rPr>
                <w:rFonts w:ascii="Segoe UI" w:hAnsi="Segoe UI" w:cs="Segoe UI"/>
                <w:sz w:val="20"/>
              </w:rPr>
              <w:t>Aylesbury (16)</w:t>
            </w:r>
          </w:p>
        </w:tc>
        <w:tc>
          <w:tcPr>
            <w:tcW w:w="992" w:type="dxa"/>
            <w:shd w:val="clear" w:color="auto" w:fill="FF0000"/>
          </w:tcPr>
          <w:p w:rsidR="004551C0" w:rsidRPr="004551C0" w:rsidRDefault="00CD71C0" w:rsidP="004551C0">
            <w:pPr>
              <w:jc w:val="center"/>
              <w:rPr>
                <w:rFonts w:ascii="Segoe UI" w:hAnsi="Segoe UI" w:cs="Segoe UI"/>
                <w:sz w:val="22"/>
              </w:rPr>
            </w:pPr>
            <w:r>
              <w:rPr>
                <w:rFonts w:ascii="Segoe UI" w:hAnsi="Segoe UI" w:cs="Segoe UI"/>
                <w:sz w:val="22"/>
              </w:rPr>
              <w:t>0</w:t>
            </w:r>
          </w:p>
        </w:tc>
        <w:tc>
          <w:tcPr>
            <w:tcW w:w="567" w:type="dxa"/>
            <w:shd w:val="clear" w:color="auto" w:fill="FFC000"/>
          </w:tcPr>
          <w:p w:rsidR="004551C0" w:rsidRPr="004551C0" w:rsidRDefault="00CD71C0" w:rsidP="004551C0">
            <w:pPr>
              <w:jc w:val="center"/>
              <w:rPr>
                <w:rFonts w:ascii="Segoe UI" w:hAnsi="Segoe UI" w:cs="Segoe UI"/>
                <w:sz w:val="22"/>
              </w:rPr>
            </w:pPr>
            <w:r>
              <w:rPr>
                <w:rFonts w:ascii="Segoe UI" w:hAnsi="Segoe UI" w:cs="Segoe UI"/>
                <w:sz w:val="22"/>
              </w:rPr>
              <w:t>0</w:t>
            </w:r>
          </w:p>
        </w:tc>
        <w:tc>
          <w:tcPr>
            <w:tcW w:w="567" w:type="dxa"/>
            <w:shd w:val="clear" w:color="auto" w:fill="FFFF00"/>
          </w:tcPr>
          <w:p w:rsidR="004551C0" w:rsidRPr="004551C0" w:rsidRDefault="00CD71C0" w:rsidP="004551C0">
            <w:pPr>
              <w:jc w:val="center"/>
              <w:rPr>
                <w:rFonts w:ascii="Segoe UI" w:hAnsi="Segoe UI" w:cs="Segoe UI"/>
                <w:sz w:val="22"/>
              </w:rPr>
            </w:pPr>
            <w:r>
              <w:rPr>
                <w:rFonts w:ascii="Segoe UI" w:hAnsi="Segoe UI" w:cs="Segoe UI"/>
                <w:sz w:val="22"/>
              </w:rPr>
              <w:t>0</w:t>
            </w:r>
          </w:p>
        </w:tc>
        <w:tc>
          <w:tcPr>
            <w:tcW w:w="567" w:type="dxa"/>
            <w:shd w:val="clear" w:color="auto" w:fill="92D050"/>
          </w:tcPr>
          <w:p w:rsidR="004551C0" w:rsidRPr="004551C0" w:rsidRDefault="00CD71C0" w:rsidP="004551C0">
            <w:pPr>
              <w:jc w:val="center"/>
              <w:rPr>
                <w:rFonts w:ascii="Segoe UI" w:hAnsi="Segoe UI" w:cs="Segoe UI"/>
                <w:sz w:val="22"/>
              </w:rPr>
            </w:pPr>
            <w:r>
              <w:rPr>
                <w:rFonts w:ascii="Segoe UI" w:hAnsi="Segoe UI" w:cs="Segoe UI"/>
                <w:sz w:val="22"/>
              </w:rPr>
              <w:t>16</w:t>
            </w:r>
          </w:p>
        </w:tc>
        <w:tc>
          <w:tcPr>
            <w:tcW w:w="567" w:type="dxa"/>
            <w:shd w:val="clear" w:color="auto" w:fill="00FF00"/>
          </w:tcPr>
          <w:p w:rsidR="004551C0" w:rsidRPr="004551C0" w:rsidRDefault="00CD71C0" w:rsidP="004551C0">
            <w:pPr>
              <w:jc w:val="center"/>
              <w:rPr>
                <w:rFonts w:ascii="Segoe UI" w:hAnsi="Segoe UI" w:cs="Segoe UI"/>
                <w:sz w:val="22"/>
              </w:rPr>
            </w:pPr>
            <w:r>
              <w:rPr>
                <w:rFonts w:ascii="Segoe UI" w:hAnsi="Segoe UI" w:cs="Segoe UI"/>
                <w:sz w:val="22"/>
              </w:rPr>
              <w:t>0</w:t>
            </w:r>
          </w:p>
        </w:tc>
        <w:tc>
          <w:tcPr>
            <w:tcW w:w="958" w:type="dxa"/>
          </w:tcPr>
          <w:p w:rsidR="004551C0" w:rsidRPr="004551C0" w:rsidRDefault="00CD71C0" w:rsidP="004551C0">
            <w:pPr>
              <w:jc w:val="center"/>
              <w:rPr>
                <w:rFonts w:ascii="Segoe UI" w:hAnsi="Segoe UI" w:cs="Segoe UI"/>
                <w:sz w:val="22"/>
              </w:rPr>
            </w:pPr>
            <w:r>
              <w:rPr>
                <w:rFonts w:ascii="Segoe UI" w:hAnsi="Segoe UI" w:cs="Segoe UI"/>
                <w:sz w:val="22"/>
              </w:rPr>
              <w:t>100</w:t>
            </w:r>
            <w:r w:rsidR="004551C0" w:rsidRPr="004551C0">
              <w:rPr>
                <w:rFonts w:ascii="Segoe UI" w:hAnsi="Segoe UI" w:cs="Segoe UI"/>
                <w:sz w:val="22"/>
              </w:rPr>
              <w:t>%</w:t>
            </w:r>
          </w:p>
        </w:tc>
      </w:tr>
      <w:tr w:rsidR="004551C0" w:rsidRPr="004551C0" w:rsidTr="003D0593">
        <w:tc>
          <w:tcPr>
            <w:tcW w:w="2694" w:type="dxa"/>
          </w:tcPr>
          <w:p w:rsidR="004551C0" w:rsidRPr="00244954" w:rsidRDefault="004551C0" w:rsidP="004551C0">
            <w:pPr>
              <w:rPr>
                <w:rFonts w:ascii="Segoe UI" w:hAnsi="Segoe UI" w:cs="Segoe UI"/>
                <w:sz w:val="20"/>
              </w:rPr>
            </w:pPr>
            <w:r w:rsidRPr="00244954">
              <w:rPr>
                <w:rFonts w:ascii="Segoe UI" w:hAnsi="Segoe UI" w:cs="Segoe UI"/>
                <w:sz w:val="20"/>
              </w:rPr>
              <w:t>Chiltern (16)</w:t>
            </w:r>
          </w:p>
        </w:tc>
        <w:tc>
          <w:tcPr>
            <w:tcW w:w="992" w:type="dxa"/>
            <w:shd w:val="clear" w:color="auto" w:fill="FF0000"/>
          </w:tcPr>
          <w:p w:rsidR="004551C0" w:rsidRPr="004551C0" w:rsidRDefault="00FD02AA" w:rsidP="004551C0">
            <w:pPr>
              <w:jc w:val="center"/>
              <w:rPr>
                <w:rFonts w:ascii="Segoe UI" w:hAnsi="Segoe UI" w:cs="Segoe UI"/>
                <w:sz w:val="22"/>
              </w:rPr>
            </w:pPr>
            <w:r>
              <w:rPr>
                <w:rFonts w:ascii="Segoe UI" w:hAnsi="Segoe UI" w:cs="Segoe UI"/>
                <w:sz w:val="22"/>
              </w:rPr>
              <w:t>1</w:t>
            </w:r>
          </w:p>
        </w:tc>
        <w:tc>
          <w:tcPr>
            <w:tcW w:w="567" w:type="dxa"/>
            <w:shd w:val="clear" w:color="auto" w:fill="FFC000"/>
          </w:tcPr>
          <w:p w:rsidR="004551C0" w:rsidRPr="004551C0" w:rsidRDefault="00CD71C0" w:rsidP="004551C0">
            <w:pPr>
              <w:jc w:val="center"/>
              <w:rPr>
                <w:rFonts w:ascii="Segoe UI" w:hAnsi="Segoe UI" w:cs="Segoe UI"/>
                <w:sz w:val="22"/>
              </w:rPr>
            </w:pPr>
            <w:r>
              <w:rPr>
                <w:rFonts w:ascii="Segoe UI" w:hAnsi="Segoe UI" w:cs="Segoe UI"/>
                <w:sz w:val="22"/>
              </w:rPr>
              <w:t>0</w:t>
            </w:r>
          </w:p>
        </w:tc>
        <w:tc>
          <w:tcPr>
            <w:tcW w:w="567" w:type="dxa"/>
            <w:shd w:val="clear" w:color="auto" w:fill="FFFF00"/>
          </w:tcPr>
          <w:p w:rsidR="004551C0" w:rsidRPr="004551C0" w:rsidRDefault="00CD71C0" w:rsidP="004551C0">
            <w:pPr>
              <w:jc w:val="center"/>
              <w:rPr>
                <w:rFonts w:ascii="Segoe UI" w:hAnsi="Segoe UI" w:cs="Segoe UI"/>
                <w:sz w:val="22"/>
              </w:rPr>
            </w:pPr>
            <w:r>
              <w:rPr>
                <w:rFonts w:ascii="Segoe UI" w:hAnsi="Segoe UI" w:cs="Segoe UI"/>
                <w:sz w:val="22"/>
              </w:rPr>
              <w:t>0</w:t>
            </w:r>
          </w:p>
        </w:tc>
        <w:tc>
          <w:tcPr>
            <w:tcW w:w="567" w:type="dxa"/>
            <w:shd w:val="clear" w:color="auto" w:fill="92D050"/>
          </w:tcPr>
          <w:p w:rsidR="004551C0" w:rsidRPr="004551C0" w:rsidRDefault="00CD71C0" w:rsidP="004551C0">
            <w:pPr>
              <w:jc w:val="center"/>
              <w:rPr>
                <w:rFonts w:ascii="Segoe UI" w:hAnsi="Segoe UI" w:cs="Segoe UI"/>
                <w:sz w:val="22"/>
              </w:rPr>
            </w:pPr>
            <w:r>
              <w:rPr>
                <w:rFonts w:ascii="Segoe UI" w:hAnsi="Segoe UI" w:cs="Segoe UI"/>
                <w:sz w:val="22"/>
              </w:rPr>
              <w:t>15</w:t>
            </w:r>
          </w:p>
        </w:tc>
        <w:tc>
          <w:tcPr>
            <w:tcW w:w="567" w:type="dxa"/>
            <w:shd w:val="clear" w:color="auto" w:fill="00FF00"/>
          </w:tcPr>
          <w:p w:rsidR="004551C0" w:rsidRPr="004551C0" w:rsidRDefault="00CD71C0" w:rsidP="004551C0">
            <w:pPr>
              <w:jc w:val="center"/>
              <w:rPr>
                <w:rFonts w:ascii="Segoe UI" w:hAnsi="Segoe UI" w:cs="Segoe UI"/>
                <w:sz w:val="22"/>
              </w:rPr>
            </w:pPr>
            <w:r>
              <w:rPr>
                <w:rFonts w:ascii="Segoe UI" w:hAnsi="Segoe UI" w:cs="Segoe UI"/>
                <w:sz w:val="22"/>
              </w:rPr>
              <w:t>0</w:t>
            </w:r>
          </w:p>
        </w:tc>
        <w:tc>
          <w:tcPr>
            <w:tcW w:w="958" w:type="dxa"/>
          </w:tcPr>
          <w:p w:rsidR="004551C0" w:rsidRPr="004551C0" w:rsidRDefault="00CD71C0" w:rsidP="00CD71C0">
            <w:pPr>
              <w:jc w:val="center"/>
              <w:rPr>
                <w:rFonts w:ascii="Segoe UI" w:hAnsi="Segoe UI" w:cs="Segoe UI"/>
                <w:sz w:val="22"/>
              </w:rPr>
            </w:pPr>
            <w:r>
              <w:rPr>
                <w:rFonts w:ascii="Segoe UI" w:hAnsi="Segoe UI" w:cs="Segoe UI"/>
                <w:sz w:val="22"/>
              </w:rPr>
              <w:t>94</w:t>
            </w:r>
            <w:r w:rsidR="004551C0" w:rsidRPr="004551C0">
              <w:rPr>
                <w:rFonts w:ascii="Segoe UI" w:hAnsi="Segoe UI" w:cs="Segoe UI"/>
                <w:sz w:val="22"/>
              </w:rPr>
              <w:t>%</w:t>
            </w:r>
          </w:p>
        </w:tc>
      </w:tr>
    </w:tbl>
    <w:p w:rsidR="004551C0" w:rsidRPr="004551C0" w:rsidRDefault="004551C0" w:rsidP="004551C0">
      <w:pPr>
        <w:rPr>
          <w:rFonts w:ascii="Segoe UI" w:hAnsi="Segoe UI" w:cs="Segoe UI"/>
          <w:sz w:val="18"/>
          <w:szCs w:val="18"/>
        </w:rPr>
      </w:pPr>
      <w:r w:rsidRPr="004551C0">
        <w:rPr>
          <w:rFonts w:ascii="Segoe UI" w:hAnsi="Segoe UI" w:cs="Segoe UI"/>
          <w:sz w:val="18"/>
          <w:szCs w:val="18"/>
        </w:rPr>
        <w:t>*nr = not reported</w:t>
      </w:r>
    </w:p>
    <w:p w:rsidR="004551C0" w:rsidRPr="004551C0" w:rsidRDefault="004551C0" w:rsidP="004551C0">
      <w:pPr>
        <w:rPr>
          <w:rFonts w:ascii="Segoe UI" w:hAnsi="Segoe UI" w:cs="Segoe UI"/>
          <w:sz w:val="22"/>
        </w:rPr>
      </w:pPr>
    </w:p>
    <w:tbl>
      <w:tblPr>
        <w:tblW w:w="6946"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054"/>
        <w:gridCol w:w="1053"/>
        <w:gridCol w:w="1146"/>
        <w:gridCol w:w="1417"/>
        <w:gridCol w:w="1276"/>
      </w:tblGrid>
      <w:tr w:rsidR="005A2921" w:rsidRPr="005A2921" w:rsidTr="006165CC">
        <w:trPr>
          <w:trHeight w:val="315"/>
        </w:trPr>
        <w:tc>
          <w:tcPr>
            <w:tcW w:w="2054" w:type="dxa"/>
            <w:tcBorders>
              <w:top w:val="single" w:sz="2" w:space="0" w:color="auto"/>
              <w:left w:val="single" w:sz="2" w:space="0" w:color="auto"/>
              <w:bottom w:val="single" w:sz="2" w:space="0" w:color="auto"/>
              <w:right w:val="single" w:sz="2" w:space="0" w:color="auto"/>
            </w:tcBorders>
            <w:shd w:val="clear" w:color="auto" w:fill="0070C0"/>
            <w:vAlign w:val="center"/>
          </w:tcPr>
          <w:p w:rsidR="005A2921" w:rsidRPr="005A2921" w:rsidRDefault="005A2921" w:rsidP="005A2921">
            <w:pPr>
              <w:ind w:left="-61"/>
              <w:jc w:val="center"/>
              <w:rPr>
                <w:rFonts w:ascii="Segoe UI" w:hAnsi="Segoe UI" w:cs="Segoe UI"/>
                <w:b/>
                <w:color w:val="FFFFFF" w:themeColor="background1"/>
                <w:sz w:val="20"/>
                <w:szCs w:val="20"/>
              </w:rPr>
            </w:pPr>
            <w:r w:rsidRPr="005A2921">
              <w:rPr>
                <w:rFonts w:ascii="Segoe UI" w:hAnsi="Segoe UI" w:cs="Segoe UI"/>
                <w:b/>
                <w:color w:val="FFFFFF" w:themeColor="background1"/>
                <w:sz w:val="20"/>
                <w:szCs w:val="20"/>
              </w:rPr>
              <w:t>Directorate</w:t>
            </w:r>
          </w:p>
        </w:tc>
        <w:tc>
          <w:tcPr>
            <w:tcW w:w="1053" w:type="dxa"/>
            <w:tcBorders>
              <w:top w:val="single" w:sz="2" w:space="0" w:color="auto"/>
              <w:left w:val="single" w:sz="2" w:space="0" w:color="auto"/>
              <w:bottom w:val="single" w:sz="2" w:space="0" w:color="auto"/>
              <w:right w:val="single" w:sz="2" w:space="0" w:color="auto"/>
            </w:tcBorders>
            <w:shd w:val="clear" w:color="auto" w:fill="0070C0"/>
            <w:vAlign w:val="center"/>
          </w:tcPr>
          <w:p w:rsidR="005A2921" w:rsidRPr="005A2921" w:rsidRDefault="005A2921" w:rsidP="005A2921">
            <w:pPr>
              <w:ind w:left="-61"/>
              <w:jc w:val="center"/>
              <w:rPr>
                <w:rFonts w:ascii="Segoe UI" w:hAnsi="Segoe UI" w:cs="Segoe UI"/>
                <w:b/>
                <w:color w:val="FFFFFF" w:themeColor="background1"/>
                <w:sz w:val="20"/>
                <w:szCs w:val="20"/>
              </w:rPr>
            </w:pPr>
            <w:r w:rsidRPr="005A2921">
              <w:rPr>
                <w:rFonts w:ascii="Segoe UI" w:hAnsi="Segoe UI" w:cs="Segoe UI"/>
                <w:b/>
                <w:color w:val="FFFFFF" w:themeColor="background1"/>
                <w:sz w:val="20"/>
                <w:szCs w:val="20"/>
              </w:rPr>
              <w:t>Tariff</w:t>
            </w:r>
          </w:p>
        </w:tc>
        <w:tc>
          <w:tcPr>
            <w:tcW w:w="1146" w:type="dxa"/>
            <w:tcBorders>
              <w:top w:val="single" w:sz="2" w:space="0" w:color="auto"/>
              <w:left w:val="single" w:sz="2" w:space="0" w:color="auto"/>
              <w:bottom w:val="single" w:sz="2" w:space="0" w:color="auto"/>
              <w:right w:val="single" w:sz="2" w:space="0" w:color="auto"/>
            </w:tcBorders>
            <w:shd w:val="clear" w:color="auto" w:fill="0070C0"/>
            <w:vAlign w:val="center"/>
          </w:tcPr>
          <w:p w:rsidR="005A2921" w:rsidRPr="005A2921" w:rsidRDefault="005A2921" w:rsidP="005A2921">
            <w:pPr>
              <w:ind w:left="-61"/>
              <w:jc w:val="center"/>
              <w:rPr>
                <w:rFonts w:ascii="Segoe UI" w:hAnsi="Segoe UI" w:cs="Segoe UI"/>
                <w:b/>
                <w:color w:val="FFFFFF" w:themeColor="background1"/>
                <w:sz w:val="20"/>
                <w:szCs w:val="20"/>
              </w:rPr>
            </w:pPr>
            <w:r w:rsidRPr="005A2921">
              <w:rPr>
                <w:rFonts w:ascii="Segoe UI" w:hAnsi="Segoe UI" w:cs="Segoe UI"/>
                <w:b/>
                <w:color w:val="FFFFFF" w:themeColor="background1"/>
                <w:sz w:val="20"/>
                <w:szCs w:val="20"/>
              </w:rPr>
              <w:t>FY IAP</w:t>
            </w:r>
          </w:p>
        </w:tc>
        <w:tc>
          <w:tcPr>
            <w:tcW w:w="1417" w:type="dxa"/>
            <w:tcBorders>
              <w:top w:val="single" w:sz="2" w:space="0" w:color="auto"/>
              <w:left w:val="single" w:sz="2" w:space="0" w:color="auto"/>
              <w:bottom w:val="single" w:sz="2" w:space="0" w:color="auto"/>
              <w:right w:val="single" w:sz="2" w:space="0" w:color="auto"/>
            </w:tcBorders>
            <w:shd w:val="clear" w:color="auto" w:fill="0070C0"/>
            <w:vAlign w:val="center"/>
          </w:tcPr>
          <w:p w:rsidR="005A2921" w:rsidRPr="005A2921" w:rsidRDefault="005A2921" w:rsidP="005A2921">
            <w:pPr>
              <w:ind w:left="-61"/>
              <w:jc w:val="center"/>
              <w:rPr>
                <w:rFonts w:ascii="Segoe UI" w:hAnsi="Segoe UI" w:cs="Segoe UI"/>
                <w:b/>
                <w:color w:val="FFFFFF" w:themeColor="background1"/>
                <w:sz w:val="20"/>
                <w:szCs w:val="20"/>
              </w:rPr>
            </w:pPr>
            <w:r w:rsidRPr="005A2921">
              <w:rPr>
                <w:rFonts w:ascii="Segoe UI" w:hAnsi="Segoe UI" w:cs="Segoe UI"/>
                <w:b/>
                <w:color w:val="FFFFFF" w:themeColor="background1"/>
                <w:sz w:val="20"/>
                <w:szCs w:val="20"/>
              </w:rPr>
              <w:t xml:space="preserve">YE Outturn </w:t>
            </w:r>
          </w:p>
        </w:tc>
        <w:tc>
          <w:tcPr>
            <w:tcW w:w="1276" w:type="dxa"/>
            <w:tcBorders>
              <w:top w:val="single" w:sz="2" w:space="0" w:color="auto"/>
              <w:left w:val="single" w:sz="2" w:space="0" w:color="auto"/>
              <w:bottom w:val="single" w:sz="2" w:space="0" w:color="auto"/>
              <w:right w:val="single" w:sz="2" w:space="0" w:color="auto"/>
            </w:tcBorders>
            <w:shd w:val="clear" w:color="auto" w:fill="0070C0"/>
            <w:vAlign w:val="center"/>
          </w:tcPr>
          <w:p w:rsidR="005A2921" w:rsidRPr="005A2921" w:rsidRDefault="005A2921" w:rsidP="005A2921">
            <w:pPr>
              <w:ind w:left="-61"/>
              <w:jc w:val="center"/>
              <w:rPr>
                <w:rFonts w:ascii="Segoe UI" w:hAnsi="Segoe UI" w:cs="Segoe UI"/>
                <w:b/>
                <w:color w:val="FFFFFF" w:themeColor="background1"/>
                <w:sz w:val="20"/>
                <w:szCs w:val="20"/>
              </w:rPr>
            </w:pPr>
            <w:r w:rsidRPr="005A2921">
              <w:rPr>
                <w:rFonts w:ascii="Segoe UI" w:hAnsi="Segoe UI" w:cs="Segoe UI"/>
                <w:b/>
                <w:color w:val="FFFFFF" w:themeColor="background1"/>
                <w:sz w:val="20"/>
                <w:szCs w:val="20"/>
              </w:rPr>
              <w:t>YE variance</w:t>
            </w:r>
          </w:p>
        </w:tc>
      </w:tr>
      <w:tr w:rsidR="005A2921" w:rsidRPr="005A2921" w:rsidTr="00FD02AA">
        <w:trPr>
          <w:trHeight w:val="367"/>
        </w:trPr>
        <w:tc>
          <w:tcPr>
            <w:tcW w:w="2054" w:type="dxa"/>
            <w:vMerge w:val="restart"/>
            <w:tcBorders>
              <w:top w:val="single" w:sz="2" w:space="0" w:color="auto"/>
              <w:left w:val="single" w:sz="2" w:space="0" w:color="auto"/>
              <w:right w:val="single" w:sz="2" w:space="0" w:color="auto"/>
            </w:tcBorders>
            <w:shd w:val="clear" w:color="auto" w:fill="C6D9F1" w:themeFill="text2" w:themeFillTint="33"/>
            <w:vAlign w:val="center"/>
          </w:tcPr>
          <w:p w:rsidR="005A2921" w:rsidRPr="005A2921" w:rsidRDefault="005A2921" w:rsidP="005A2921">
            <w:pPr>
              <w:ind w:left="-61"/>
              <w:rPr>
                <w:rFonts w:ascii="Segoe UI" w:hAnsi="Segoe UI" w:cs="Segoe UI"/>
                <w:b/>
                <w:sz w:val="20"/>
                <w:szCs w:val="20"/>
              </w:rPr>
            </w:pPr>
            <w:r w:rsidRPr="005A2921">
              <w:rPr>
                <w:rFonts w:ascii="Segoe UI" w:hAnsi="Segoe UI" w:cs="Segoe UI"/>
                <w:b/>
                <w:sz w:val="20"/>
                <w:szCs w:val="20"/>
              </w:rPr>
              <w:t>Older People</w:t>
            </w:r>
          </w:p>
        </w:tc>
        <w:tc>
          <w:tcPr>
            <w:tcW w:w="1053"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A2921" w:rsidRPr="005A2921" w:rsidRDefault="005A2921" w:rsidP="005A2921">
            <w:pPr>
              <w:ind w:left="-61"/>
              <w:rPr>
                <w:rFonts w:ascii="Segoe UI" w:hAnsi="Segoe UI" w:cs="Segoe UI"/>
                <w:sz w:val="20"/>
                <w:szCs w:val="20"/>
              </w:rPr>
            </w:pPr>
            <w:r w:rsidRPr="005A2921">
              <w:rPr>
                <w:rFonts w:ascii="Segoe UI" w:hAnsi="Segoe UI" w:cs="Segoe UI"/>
                <w:sz w:val="20"/>
                <w:szCs w:val="20"/>
              </w:rPr>
              <w:t>Block</w:t>
            </w:r>
          </w:p>
        </w:tc>
        <w:tc>
          <w:tcPr>
            <w:tcW w:w="1146"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5A2921" w:rsidRPr="005A2921" w:rsidRDefault="005A2921" w:rsidP="005A2921">
            <w:pPr>
              <w:ind w:left="-61"/>
              <w:jc w:val="center"/>
              <w:rPr>
                <w:rFonts w:ascii="Segoe UI" w:hAnsi="Segoe UI" w:cs="Segoe UI"/>
                <w:sz w:val="20"/>
                <w:szCs w:val="20"/>
              </w:rPr>
            </w:pPr>
            <w:r w:rsidRPr="005A2921">
              <w:rPr>
                <w:rFonts w:ascii="Segoe UI" w:hAnsi="Segoe UI" w:cs="Segoe UI"/>
                <w:sz w:val="20"/>
                <w:szCs w:val="20"/>
              </w:rPr>
              <w:t>428,283</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5A2921" w:rsidRPr="005A2921" w:rsidRDefault="005A2921" w:rsidP="005A2921">
            <w:pPr>
              <w:ind w:left="-61"/>
              <w:jc w:val="center"/>
              <w:rPr>
                <w:rFonts w:ascii="Segoe UI" w:hAnsi="Segoe UI" w:cs="Segoe UI"/>
                <w:sz w:val="20"/>
                <w:szCs w:val="20"/>
              </w:rPr>
            </w:pPr>
            <w:r w:rsidRPr="005A2921">
              <w:rPr>
                <w:rFonts w:ascii="Segoe UI" w:hAnsi="Segoe UI" w:cs="Segoe UI"/>
                <w:sz w:val="20"/>
                <w:szCs w:val="20"/>
              </w:rPr>
              <w:t>430,206</w:t>
            </w:r>
          </w:p>
        </w:tc>
        <w:tc>
          <w:tcPr>
            <w:tcW w:w="1276" w:type="dxa"/>
            <w:tcBorders>
              <w:top w:val="single" w:sz="2" w:space="0" w:color="auto"/>
              <w:left w:val="single" w:sz="2" w:space="0" w:color="auto"/>
              <w:bottom w:val="single" w:sz="2" w:space="0" w:color="auto"/>
              <w:right w:val="single" w:sz="2" w:space="0" w:color="auto"/>
            </w:tcBorders>
            <w:shd w:val="clear" w:color="auto" w:fill="auto"/>
            <w:vAlign w:val="center"/>
          </w:tcPr>
          <w:p w:rsidR="005A2921" w:rsidRPr="005A2921" w:rsidRDefault="005A2921" w:rsidP="005A2921">
            <w:pPr>
              <w:ind w:left="-61"/>
              <w:jc w:val="center"/>
              <w:rPr>
                <w:rFonts w:ascii="Segoe UI" w:hAnsi="Segoe UI" w:cs="Segoe UI"/>
                <w:sz w:val="20"/>
                <w:szCs w:val="20"/>
              </w:rPr>
            </w:pPr>
            <w:r w:rsidRPr="005A2921">
              <w:rPr>
                <w:rFonts w:ascii="Segoe UI" w:hAnsi="Segoe UI" w:cs="Segoe UI"/>
                <w:sz w:val="20"/>
                <w:szCs w:val="20"/>
              </w:rPr>
              <w:t>0%</w:t>
            </w:r>
          </w:p>
        </w:tc>
      </w:tr>
      <w:tr w:rsidR="005A2921" w:rsidRPr="005A2921" w:rsidTr="006165CC">
        <w:trPr>
          <w:trHeight w:val="232"/>
        </w:trPr>
        <w:tc>
          <w:tcPr>
            <w:tcW w:w="2054" w:type="dxa"/>
            <w:vMerge/>
            <w:tcBorders>
              <w:left w:val="single" w:sz="2" w:space="0" w:color="auto"/>
              <w:bottom w:val="single" w:sz="2" w:space="0" w:color="auto"/>
              <w:right w:val="single" w:sz="2" w:space="0" w:color="auto"/>
            </w:tcBorders>
            <w:vAlign w:val="center"/>
          </w:tcPr>
          <w:p w:rsidR="005A2921" w:rsidRPr="005A2921" w:rsidRDefault="005A2921" w:rsidP="005A2921">
            <w:pPr>
              <w:ind w:left="-61"/>
              <w:rPr>
                <w:rFonts w:ascii="Segoe UI" w:hAnsi="Segoe UI" w:cs="Segoe UI"/>
                <w:sz w:val="20"/>
                <w:szCs w:val="20"/>
              </w:rPr>
            </w:pPr>
          </w:p>
        </w:tc>
        <w:tc>
          <w:tcPr>
            <w:tcW w:w="1053" w:type="dxa"/>
            <w:tcBorders>
              <w:top w:val="single" w:sz="2" w:space="0" w:color="auto"/>
              <w:left w:val="single" w:sz="2" w:space="0" w:color="auto"/>
              <w:bottom w:val="single" w:sz="2" w:space="0" w:color="auto"/>
              <w:right w:val="single" w:sz="2" w:space="0" w:color="auto"/>
            </w:tcBorders>
            <w:vAlign w:val="center"/>
          </w:tcPr>
          <w:p w:rsidR="005A2921" w:rsidRPr="005A2921" w:rsidRDefault="005A2921" w:rsidP="005A2921">
            <w:pPr>
              <w:ind w:left="-61"/>
              <w:rPr>
                <w:rFonts w:ascii="Segoe UI" w:hAnsi="Segoe UI" w:cs="Segoe UI"/>
                <w:sz w:val="20"/>
                <w:szCs w:val="20"/>
              </w:rPr>
            </w:pPr>
            <w:r w:rsidRPr="005A2921">
              <w:rPr>
                <w:rFonts w:ascii="Segoe UI" w:hAnsi="Segoe UI" w:cs="Segoe UI"/>
                <w:sz w:val="20"/>
                <w:szCs w:val="20"/>
              </w:rPr>
              <w:t>C&amp;V</w:t>
            </w:r>
          </w:p>
        </w:tc>
        <w:tc>
          <w:tcPr>
            <w:tcW w:w="1146" w:type="dxa"/>
            <w:tcBorders>
              <w:top w:val="single" w:sz="2" w:space="0" w:color="auto"/>
              <w:left w:val="single" w:sz="2" w:space="0" w:color="auto"/>
              <w:bottom w:val="single" w:sz="2" w:space="0" w:color="auto"/>
              <w:right w:val="single" w:sz="2" w:space="0" w:color="auto"/>
            </w:tcBorders>
            <w:vAlign w:val="center"/>
          </w:tcPr>
          <w:p w:rsidR="005A2921" w:rsidRPr="005A2921" w:rsidRDefault="005A2921" w:rsidP="005A2921">
            <w:pPr>
              <w:ind w:left="-61"/>
              <w:jc w:val="center"/>
              <w:rPr>
                <w:rFonts w:ascii="Segoe UI" w:hAnsi="Segoe UI" w:cs="Segoe UI"/>
                <w:sz w:val="20"/>
                <w:szCs w:val="20"/>
              </w:rPr>
            </w:pPr>
            <w:r w:rsidRPr="005A2921">
              <w:rPr>
                <w:rFonts w:ascii="Segoe UI" w:hAnsi="Segoe UI" w:cs="Segoe UI"/>
                <w:sz w:val="20"/>
                <w:szCs w:val="20"/>
              </w:rPr>
              <w:t>127,870</w:t>
            </w:r>
          </w:p>
        </w:tc>
        <w:tc>
          <w:tcPr>
            <w:tcW w:w="1417" w:type="dxa"/>
            <w:tcBorders>
              <w:top w:val="single" w:sz="2" w:space="0" w:color="auto"/>
              <w:left w:val="single" w:sz="2" w:space="0" w:color="auto"/>
              <w:bottom w:val="single" w:sz="2" w:space="0" w:color="auto"/>
              <w:right w:val="single" w:sz="2" w:space="0" w:color="auto"/>
            </w:tcBorders>
            <w:shd w:val="clear" w:color="auto" w:fill="auto"/>
            <w:vAlign w:val="center"/>
          </w:tcPr>
          <w:p w:rsidR="005A2921" w:rsidRPr="005A2921" w:rsidRDefault="005A2921" w:rsidP="005A2921">
            <w:pPr>
              <w:ind w:left="-61"/>
              <w:jc w:val="center"/>
              <w:rPr>
                <w:rFonts w:ascii="Segoe UI" w:hAnsi="Segoe UI" w:cs="Segoe UI"/>
                <w:sz w:val="20"/>
                <w:szCs w:val="20"/>
              </w:rPr>
            </w:pPr>
            <w:r w:rsidRPr="005A2921">
              <w:rPr>
                <w:rFonts w:ascii="Segoe UI" w:hAnsi="Segoe UI" w:cs="Segoe UI"/>
                <w:sz w:val="20"/>
                <w:szCs w:val="20"/>
              </w:rPr>
              <w:t>116,743</w:t>
            </w:r>
          </w:p>
        </w:tc>
        <w:tc>
          <w:tcPr>
            <w:tcW w:w="1276" w:type="dxa"/>
            <w:tcBorders>
              <w:top w:val="single" w:sz="2" w:space="0" w:color="auto"/>
              <w:left w:val="single" w:sz="2" w:space="0" w:color="auto"/>
              <w:bottom w:val="single" w:sz="2" w:space="0" w:color="auto"/>
              <w:right w:val="single" w:sz="2" w:space="0" w:color="auto"/>
            </w:tcBorders>
            <w:shd w:val="clear" w:color="auto" w:fill="auto"/>
          </w:tcPr>
          <w:p w:rsidR="005A2921" w:rsidRPr="005A2921" w:rsidRDefault="005A2921" w:rsidP="005A2921">
            <w:pPr>
              <w:ind w:left="-61"/>
              <w:jc w:val="center"/>
              <w:rPr>
                <w:rFonts w:ascii="Segoe UI" w:hAnsi="Segoe UI" w:cs="Segoe UI"/>
                <w:sz w:val="20"/>
                <w:szCs w:val="20"/>
              </w:rPr>
            </w:pPr>
            <w:r w:rsidRPr="005A2921">
              <w:rPr>
                <w:rFonts w:ascii="Segoe UI" w:hAnsi="Segoe UI" w:cs="Segoe UI"/>
                <w:sz w:val="20"/>
                <w:szCs w:val="20"/>
              </w:rPr>
              <w:t>-9%</w:t>
            </w:r>
          </w:p>
        </w:tc>
      </w:tr>
    </w:tbl>
    <w:p w:rsidR="004551C0" w:rsidRDefault="004551C0" w:rsidP="004551C0">
      <w:pPr>
        <w:spacing w:after="200" w:line="276" w:lineRule="auto"/>
        <w:rPr>
          <w:rFonts w:ascii="Segoe UI" w:hAnsi="Segoe UI" w:cs="Segoe UI"/>
          <w:b/>
          <w:color w:val="FFFFFF" w:themeColor="background1"/>
          <w:sz w:val="22"/>
          <w:szCs w:val="22"/>
        </w:rPr>
      </w:pPr>
    </w:p>
    <w:p w:rsidR="005A2921" w:rsidRDefault="005A2921" w:rsidP="004551C0">
      <w:pPr>
        <w:spacing w:after="200" w:line="276" w:lineRule="auto"/>
        <w:rPr>
          <w:rFonts w:ascii="Segoe UI" w:hAnsi="Segoe UI" w:cs="Segoe UI"/>
          <w:b/>
          <w:color w:val="FFFFFF" w:themeColor="background1"/>
          <w:sz w:val="22"/>
          <w:szCs w:val="22"/>
        </w:rPr>
        <w:sectPr w:rsidR="005A2921" w:rsidSect="006165CC">
          <w:type w:val="continuous"/>
          <w:pgSz w:w="16838" w:h="11906" w:orient="landscape"/>
          <w:pgMar w:top="993" w:right="1103" w:bottom="567" w:left="1134" w:header="284" w:footer="221" w:gutter="0"/>
          <w:cols w:num="2" w:space="851"/>
          <w:docGrid w:linePitch="360"/>
        </w:sectPr>
      </w:pPr>
    </w:p>
    <w:tbl>
      <w:tblPr>
        <w:tblStyle w:val="TableGrid"/>
        <w:tblW w:w="0" w:type="auto"/>
        <w:tblInd w:w="-3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3969"/>
      </w:tblGrid>
      <w:tr w:rsidR="004551C0" w:rsidTr="004551C0">
        <w:tc>
          <w:tcPr>
            <w:tcW w:w="426" w:type="dxa"/>
            <w:shd w:val="clear" w:color="auto" w:fill="FF0000"/>
          </w:tcPr>
          <w:p w:rsidR="004551C0" w:rsidRPr="0096419E" w:rsidRDefault="004551C0" w:rsidP="003D0593">
            <w:pPr>
              <w:rPr>
                <w:rFonts w:ascii="Segoe UI" w:hAnsi="Segoe UI" w:cs="Segoe UI"/>
                <w:b/>
              </w:rPr>
            </w:pPr>
            <w:r>
              <w:rPr>
                <w:rFonts w:ascii="Segoe UI" w:hAnsi="Segoe UI" w:cs="Segoe UI"/>
                <w:b/>
              </w:rPr>
              <w:t>R</w:t>
            </w:r>
          </w:p>
        </w:tc>
        <w:tc>
          <w:tcPr>
            <w:tcW w:w="3969" w:type="dxa"/>
            <w:shd w:val="clear" w:color="auto" w:fill="auto"/>
          </w:tcPr>
          <w:p w:rsidR="004551C0" w:rsidRPr="00BA26C9" w:rsidRDefault="004551C0" w:rsidP="003D0593">
            <w:pPr>
              <w:rPr>
                <w:rFonts w:ascii="Segoe UI" w:hAnsi="Segoe UI" w:cs="Segoe UI"/>
                <w:b/>
              </w:rPr>
            </w:pPr>
            <w:r>
              <w:rPr>
                <w:rFonts w:ascii="Segoe UI" w:hAnsi="Segoe UI" w:cs="Segoe UI"/>
                <w:b/>
              </w:rPr>
              <w:t>Red Indicators</w:t>
            </w:r>
          </w:p>
        </w:tc>
      </w:tr>
    </w:tbl>
    <w:p w:rsidR="005A2921" w:rsidRDefault="005A2921" w:rsidP="004551C0">
      <w:pPr>
        <w:spacing w:after="200" w:line="276" w:lineRule="auto"/>
        <w:rPr>
          <w:rFonts w:ascii="Segoe UI" w:hAnsi="Segoe UI" w:cs="Segoe UI"/>
          <w:b/>
          <w:sz w:val="22"/>
          <w:szCs w:val="22"/>
        </w:rPr>
        <w:sectPr w:rsidR="005A2921" w:rsidSect="005A2921">
          <w:type w:val="continuous"/>
          <w:pgSz w:w="16838" w:h="11906" w:orient="landscape"/>
          <w:pgMar w:top="993" w:right="1245" w:bottom="567" w:left="1134" w:header="284" w:footer="221" w:gutter="0"/>
          <w:cols w:space="851"/>
          <w:docGrid w:linePitch="360"/>
        </w:sectPr>
      </w:pPr>
    </w:p>
    <w:p w:rsidR="004551C0" w:rsidRPr="004551C0" w:rsidRDefault="004551C0" w:rsidP="005A2921">
      <w:pPr>
        <w:rPr>
          <w:rFonts w:ascii="Segoe UI" w:hAnsi="Segoe UI" w:cs="Segoe UI"/>
          <w:b/>
          <w:sz w:val="22"/>
          <w:szCs w:val="22"/>
        </w:rPr>
      </w:pPr>
    </w:p>
    <w:tbl>
      <w:tblPr>
        <w:tblStyle w:val="TableGrid8"/>
        <w:tblW w:w="15311" w:type="dxa"/>
        <w:tblInd w:w="-318" w:type="dxa"/>
        <w:tblLayout w:type="fixed"/>
        <w:tblLook w:val="04A0" w:firstRow="1" w:lastRow="0" w:firstColumn="1" w:lastColumn="0" w:noHBand="0" w:noVBand="1"/>
      </w:tblPr>
      <w:tblGrid>
        <w:gridCol w:w="1277"/>
        <w:gridCol w:w="850"/>
        <w:gridCol w:w="1843"/>
        <w:gridCol w:w="992"/>
        <w:gridCol w:w="851"/>
        <w:gridCol w:w="3402"/>
        <w:gridCol w:w="1701"/>
        <w:gridCol w:w="4395"/>
      </w:tblGrid>
      <w:tr w:rsidR="006165CC" w:rsidRPr="006165CC" w:rsidTr="00EC32F7">
        <w:tc>
          <w:tcPr>
            <w:tcW w:w="1277" w:type="dxa"/>
            <w:shd w:val="clear" w:color="auto" w:fill="548DD4" w:themeFill="text2" w:themeFillTint="99"/>
          </w:tcPr>
          <w:p w:rsidR="006165CC" w:rsidRPr="006165CC" w:rsidRDefault="006165CC" w:rsidP="006165CC">
            <w:pPr>
              <w:spacing w:before="40" w:after="40"/>
              <w:rPr>
                <w:rFonts w:ascii="Segoe UI" w:hAnsi="Segoe UI" w:cs="Segoe UI"/>
                <w:b/>
                <w:color w:val="FFFFFF" w:themeColor="background1"/>
                <w:sz w:val="20"/>
                <w:szCs w:val="22"/>
              </w:rPr>
            </w:pPr>
            <w:r w:rsidRPr="006165CC">
              <w:rPr>
                <w:rFonts w:ascii="Segoe UI" w:hAnsi="Segoe UI" w:cs="Segoe UI"/>
                <w:b/>
                <w:color w:val="FFFFFF" w:themeColor="background1"/>
                <w:sz w:val="20"/>
                <w:szCs w:val="22"/>
              </w:rPr>
              <w:t>Service</w:t>
            </w:r>
          </w:p>
        </w:tc>
        <w:tc>
          <w:tcPr>
            <w:tcW w:w="850" w:type="dxa"/>
            <w:shd w:val="clear" w:color="auto" w:fill="548DD4" w:themeFill="text2" w:themeFillTint="99"/>
          </w:tcPr>
          <w:p w:rsidR="006165CC" w:rsidRPr="006165CC" w:rsidRDefault="006165CC" w:rsidP="006165CC">
            <w:pPr>
              <w:spacing w:before="40" w:after="40"/>
              <w:rPr>
                <w:rFonts w:ascii="Segoe UI" w:hAnsi="Segoe UI" w:cs="Segoe UI"/>
                <w:b/>
                <w:color w:val="FFFFFF" w:themeColor="background1"/>
                <w:sz w:val="20"/>
                <w:szCs w:val="22"/>
              </w:rPr>
            </w:pPr>
            <w:r w:rsidRPr="006165CC">
              <w:rPr>
                <w:rFonts w:ascii="Segoe UI" w:hAnsi="Segoe UI" w:cs="Segoe UI"/>
                <w:b/>
                <w:color w:val="FFFFFF" w:themeColor="background1"/>
                <w:sz w:val="20"/>
                <w:szCs w:val="22"/>
              </w:rPr>
              <w:t>Ref</w:t>
            </w:r>
          </w:p>
        </w:tc>
        <w:tc>
          <w:tcPr>
            <w:tcW w:w="1843" w:type="dxa"/>
            <w:shd w:val="clear" w:color="auto" w:fill="548DD4" w:themeFill="text2" w:themeFillTint="99"/>
          </w:tcPr>
          <w:p w:rsidR="006165CC" w:rsidRPr="006165CC" w:rsidRDefault="006165CC" w:rsidP="006165CC">
            <w:pPr>
              <w:spacing w:before="40" w:after="40"/>
              <w:rPr>
                <w:rFonts w:ascii="Segoe UI" w:hAnsi="Segoe UI" w:cs="Segoe UI"/>
                <w:b/>
                <w:color w:val="FFFFFF" w:themeColor="background1"/>
                <w:sz w:val="20"/>
                <w:szCs w:val="22"/>
              </w:rPr>
            </w:pPr>
            <w:r w:rsidRPr="006165CC">
              <w:rPr>
                <w:rFonts w:ascii="Segoe UI" w:hAnsi="Segoe UI" w:cs="Segoe UI"/>
                <w:b/>
                <w:color w:val="FFFFFF" w:themeColor="background1"/>
                <w:sz w:val="20"/>
                <w:szCs w:val="22"/>
              </w:rPr>
              <w:t>Measure</w:t>
            </w:r>
          </w:p>
        </w:tc>
        <w:tc>
          <w:tcPr>
            <w:tcW w:w="992" w:type="dxa"/>
            <w:shd w:val="clear" w:color="auto" w:fill="548DD4" w:themeFill="text2" w:themeFillTint="99"/>
          </w:tcPr>
          <w:p w:rsidR="006165CC" w:rsidRPr="006165CC" w:rsidRDefault="006165CC" w:rsidP="006165CC">
            <w:pPr>
              <w:spacing w:before="40" w:after="40"/>
              <w:jc w:val="center"/>
              <w:rPr>
                <w:rFonts w:ascii="Segoe UI" w:hAnsi="Segoe UI" w:cs="Segoe UI"/>
                <w:b/>
                <w:color w:val="FFFFFF" w:themeColor="background1"/>
                <w:sz w:val="20"/>
                <w:szCs w:val="22"/>
              </w:rPr>
            </w:pPr>
            <w:r w:rsidRPr="006165CC">
              <w:rPr>
                <w:rFonts w:ascii="Segoe UI" w:hAnsi="Segoe UI" w:cs="Segoe UI"/>
                <w:b/>
                <w:color w:val="FFFFFF" w:themeColor="background1"/>
                <w:sz w:val="20"/>
                <w:szCs w:val="22"/>
              </w:rPr>
              <w:t>Target</w:t>
            </w:r>
          </w:p>
        </w:tc>
        <w:tc>
          <w:tcPr>
            <w:tcW w:w="851" w:type="dxa"/>
            <w:shd w:val="clear" w:color="auto" w:fill="548DD4" w:themeFill="text2" w:themeFillTint="99"/>
          </w:tcPr>
          <w:p w:rsidR="006165CC" w:rsidRPr="006165CC" w:rsidRDefault="006165CC" w:rsidP="006165CC">
            <w:pPr>
              <w:spacing w:before="40" w:after="40"/>
              <w:jc w:val="center"/>
              <w:rPr>
                <w:rFonts w:ascii="Segoe UI" w:hAnsi="Segoe UI" w:cs="Segoe UI"/>
                <w:b/>
                <w:color w:val="FFFFFF" w:themeColor="background1"/>
                <w:sz w:val="20"/>
                <w:szCs w:val="22"/>
              </w:rPr>
            </w:pPr>
            <w:r w:rsidRPr="006165CC">
              <w:rPr>
                <w:rFonts w:ascii="Segoe UI" w:hAnsi="Segoe UI" w:cs="Segoe UI"/>
                <w:b/>
                <w:color w:val="FFFFFF" w:themeColor="background1"/>
                <w:sz w:val="20"/>
                <w:szCs w:val="22"/>
              </w:rPr>
              <w:t>Actual</w:t>
            </w:r>
          </w:p>
        </w:tc>
        <w:tc>
          <w:tcPr>
            <w:tcW w:w="3402" w:type="dxa"/>
            <w:shd w:val="clear" w:color="auto" w:fill="548DD4" w:themeFill="text2" w:themeFillTint="99"/>
          </w:tcPr>
          <w:p w:rsidR="006165CC" w:rsidRPr="006165CC" w:rsidRDefault="006165CC" w:rsidP="006165CC">
            <w:pPr>
              <w:spacing w:before="40" w:after="40"/>
              <w:jc w:val="center"/>
              <w:rPr>
                <w:rFonts w:ascii="Segoe UI" w:hAnsi="Segoe UI" w:cs="Segoe UI"/>
                <w:b/>
                <w:color w:val="FFFFFF" w:themeColor="background1"/>
                <w:sz w:val="20"/>
                <w:szCs w:val="22"/>
              </w:rPr>
            </w:pPr>
            <w:r w:rsidRPr="006165CC">
              <w:rPr>
                <w:rFonts w:ascii="Segoe UI" w:hAnsi="Segoe UI" w:cs="Segoe UI"/>
                <w:b/>
                <w:color w:val="FFFFFF" w:themeColor="background1"/>
                <w:sz w:val="20"/>
                <w:szCs w:val="22"/>
              </w:rPr>
              <w:t>Trend</w:t>
            </w:r>
          </w:p>
        </w:tc>
        <w:tc>
          <w:tcPr>
            <w:tcW w:w="1701" w:type="dxa"/>
            <w:shd w:val="clear" w:color="auto" w:fill="548DD4" w:themeFill="text2" w:themeFillTint="99"/>
          </w:tcPr>
          <w:p w:rsidR="006165CC" w:rsidRPr="006165CC" w:rsidRDefault="006165CC" w:rsidP="006165CC">
            <w:pPr>
              <w:spacing w:before="40" w:after="40"/>
              <w:jc w:val="center"/>
              <w:rPr>
                <w:rFonts w:ascii="Segoe UI" w:hAnsi="Segoe UI" w:cs="Segoe UI"/>
                <w:b/>
                <w:color w:val="FFFFFF" w:themeColor="background1"/>
                <w:sz w:val="20"/>
                <w:szCs w:val="22"/>
              </w:rPr>
            </w:pPr>
            <w:r w:rsidRPr="006165CC">
              <w:rPr>
                <w:rFonts w:ascii="Segoe UI" w:hAnsi="Segoe UI" w:cs="Segoe UI"/>
                <w:b/>
                <w:color w:val="FFFFFF" w:themeColor="background1"/>
                <w:sz w:val="20"/>
                <w:szCs w:val="22"/>
              </w:rPr>
              <w:t xml:space="preserve">Impact </w:t>
            </w:r>
          </w:p>
        </w:tc>
        <w:tc>
          <w:tcPr>
            <w:tcW w:w="4395" w:type="dxa"/>
            <w:shd w:val="clear" w:color="auto" w:fill="548DD4" w:themeFill="text2" w:themeFillTint="99"/>
          </w:tcPr>
          <w:p w:rsidR="006165CC" w:rsidRPr="006165CC" w:rsidRDefault="006165CC" w:rsidP="006165CC">
            <w:pPr>
              <w:spacing w:before="40" w:after="40"/>
              <w:jc w:val="center"/>
              <w:rPr>
                <w:rFonts w:ascii="Segoe UI" w:hAnsi="Segoe UI" w:cs="Segoe UI"/>
                <w:b/>
                <w:color w:val="FFFFFF" w:themeColor="background1"/>
                <w:sz w:val="20"/>
                <w:szCs w:val="22"/>
              </w:rPr>
            </w:pPr>
            <w:r w:rsidRPr="006165CC">
              <w:rPr>
                <w:rFonts w:ascii="Segoe UI" w:hAnsi="Segoe UI" w:cs="Segoe UI"/>
                <w:b/>
                <w:color w:val="FFFFFF" w:themeColor="background1"/>
                <w:sz w:val="20"/>
                <w:szCs w:val="22"/>
              </w:rPr>
              <w:t>Action and Resolution Timescale</w:t>
            </w:r>
          </w:p>
        </w:tc>
      </w:tr>
      <w:tr w:rsidR="006165CC" w:rsidRPr="006165CC" w:rsidTr="00EC32F7">
        <w:trPr>
          <w:trHeight w:val="1308"/>
        </w:trPr>
        <w:tc>
          <w:tcPr>
            <w:tcW w:w="1277" w:type="dxa"/>
          </w:tcPr>
          <w:p w:rsidR="006165CC" w:rsidRPr="006165CC" w:rsidRDefault="006165CC" w:rsidP="006165CC">
            <w:pPr>
              <w:ind w:right="-16"/>
              <w:rPr>
                <w:rFonts w:ascii="Segoe UI" w:hAnsi="Segoe UI" w:cs="Segoe UI"/>
                <w:sz w:val="20"/>
                <w:szCs w:val="22"/>
              </w:rPr>
            </w:pPr>
            <w:r w:rsidRPr="006165CC">
              <w:rPr>
                <w:rFonts w:ascii="Segoe UI" w:hAnsi="Segoe UI" w:cs="Segoe UI"/>
                <w:sz w:val="20"/>
                <w:szCs w:val="22"/>
              </w:rPr>
              <w:t>Out of Hours</w:t>
            </w:r>
          </w:p>
        </w:tc>
        <w:tc>
          <w:tcPr>
            <w:tcW w:w="850" w:type="dxa"/>
          </w:tcPr>
          <w:p w:rsidR="006165CC" w:rsidRPr="006165CC" w:rsidRDefault="006165CC" w:rsidP="006165CC">
            <w:pPr>
              <w:ind w:right="-16"/>
              <w:rPr>
                <w:rFonts w:ascii="Segoe UI" w:hAnsi="Segoe UI" w:cs="Segoe UI"/>
                <w:b/>
                <w:sz w:val="20"/>
                <w:szCs w:val="22"/>
              </w:rPr>
            </w:pPr>
            <w:r w:rsidRPr="006165CC">
              <w:rPr>
                <w:rFonts w:ascii="Segoe UI" w:hAnsi="Segoe UI" w:cs="Segoe UI"/>
                <w:b/>
                <w:sz w:val="20"/>
                <w:szCs w:val="22"/>
              </w:rPr>
              <w:t>NQR</w:t>
            </w:r>
          </w:p>
          <w:p w:rsidR="006165CC" w:rsidRPr="006165CC" w:rsidRDefault="006165CC" w:rsidP="006165CC">
            <w:pPr>
              <w:ind w:right="-16"/>
              <w:rPr>
                <w:rFonts w:ascii="Segoe UI" w:hAnsi="Segoe UI" w:cs="Segoe UI"/>
                <w:sz w:val="20"/>
                <w:szCs w:val="22"/>
              </w:rPr>
            </w:pPr>
            <w:r w:rsidRPr="006165CC">
              <w:rPr>
                <w:rFonts w:ascii="Segoe UI" w:hAnsi="Segoe UI" w:cs="Segoe UI"/>
                <w:sz w:val="20"/>
                <w:szCs w:val="22"/>
              </w:rPr>
              <w:t>10</w:t>
            </w:r>
          </w:p>
          <w:p w:rsidR="006165CC" w:rsidRPr="006165CC" w:rsidRDefault="006165CC" w:rsidP="006165CC">
            <w:pPr>
              <w:ind w:right="-16"/>
              <w:rPr>
                <w:rFonts w:ascii="Segoe UI" w:hAnsi="Segoe UI" w:cs="Segoe UI"/>
                <w:sz w:val="20"/>
                <w:szCs w:val="22"/>
              </w:rPr>
            </w:pPr>
            <w:r w:rsidRPr="006165CC">
              <w:rPr>
                <w:rFonts w:ascii="Segoe UI" w:hAnsi="Segoe UI" w:cs="Segoe UI"/>
                <w:sz w:val="20"/>
                <w:szCs w:val="22"/>
              </w:rPr>
              <w:t>B8</w:t>
            </w:r>
          </w:p>
        </w:tc>
        <w:tc>
          <w:tcPr>
            <w:tcW w:w="1843" w:type="dxa"/>
          </w:tcPr>
          <w:p w:rsidR="006165CC" w:rsidRPr="006165CC" w:rsidRDefault="006165CC" w:rsidP="006165CC">
            <w:pPr>
              <w:rPr>
                <w:rFonts w:ascii="Segoe UI" w:hAnsi="Segoe UI" w:cs="Segoe UI"/>
                <w:sz w:val="20"/>
                <w:szCs w:val="22"/>
              </w:rPr>
            </w:pPr>
            <w:r w:rsidRPr="006165CC">
              <w:rPr>
                <w:rFonts w:ascii="Segoe UI" w:hAnsi="Segoe UI" w:cs="Segoe UI"/>
                <w:b/>
                <w:sz w:val="20"/>
                <w:szCs w:val="22"/>
              </w:rPr>
              <w:t>OOH urgent triage (walk in) - time to triage</w:t>
            </w:r>
            <w:r w:rsidRPr="006165CC">
              <w:rPr>
                <w:rFonts w:ascii="Segoe UI" w:hAnsi="Segoe UI" w:cs="Segoe UI"/>
                <w:sz w:val="20"/>
                <w:szCs w:val="22"/>
              </w:rPr>
              <w:t>; &lt;20 mins of arrival</w:t>
            </w:r>
          </w:p>
        </w:tc>
        <w:tc>
          <w:tcPr>
            <w:tcW w:w="992" w:type="dxa"/>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95%</w:t>
            </w:r>
          </w:p>
        </w:tc>
        <w:tc>
          <w:tcPr>
            <w:tcW w:w="851" w:type="dxa"/>
            <w:shd w:val="clear" w:color="auto" w:fill="FF0000"/>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66%</w:t>
            </w:r>
          </w:p>
        </w:tc>
        <w:tc>
          <w:tcPr>
            <w:tcW w:w="3402" w:type="dxa"/>
            <w:shd w:val="clear" w:color="auto" w:fill="FFFFFF" w:themeFill="background1"/>
          </w:tcPr>
          <w:p w:rsidR="006165CC" w:rsidRPr="006165CC" w:rsidRDefault="006165CC" w:rsidP="006165CC">
            <w:pPr>
              <w:ind w:left="-108" w:right="-108"/>
              <w:rPr>
                <w:rFonts w:ascii="Segoe UI" w:hAnsi="Segoe UI" w:cs="Segoe UI"/>
                <w:noProof/>
                <w:sz w:val="8"/>
              </w:rPr>
            </w:pPr>
            <w:r w:rsidRPr="006165CC">
              <w:rPr>
                <w:noProof/>
              </w:rPr>
              <w:drawing>
                <wp:inline distT="0" distB="0" distL="0" distR="0" wp14:anchorId="3007C97E" wp14:editId="35C9A890">
                  <wp:extent cx="2162175" cy="1552575"/>
                  <wp:effectExtent l="0" t="0" r="9525" b="9525"/>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1701" w:type="dxa"/>
            <w:vMerge w:val="restart"/>
            <w:shd w:val="clear" w:color="auto" w:fill="FFFFFF" w:themeFill="background1"/>
          </w:tcPr>
          <w:p w:rsidR="006165CC" w:rsidRPr="006165CC" w:rsidRDefault="006165CC" w:rsidP="006165CC">
            <w:pPr>
              <w:ind w:right="176"/>
              <w:rPr>
                <w:rFonts w:ascii="Segoe UI" w:hAnsi="Segoe UI" w:cs="Segoe UI"/>
                <w:noProof/>
                <w:sz w:val="8"/>
              </w:rPr>
            </w:pPr>
          </w:p>
          <w:p w:rsidR="006165CC" w:rsidRPr="006165CC" w:rsidRDefault="006165CC" w:rsidP="006165CC">
            <w:pPr>
              <w:ind w:right="34"/>
              <w:rPr>
                <w:rFonts w:ascii="Segoe UI" w:hAnsi="Segoe UI" w:cs="Segoe UI"/>
                <w:noProof/>
                <w:sz w:val="20"/>
              </w:rPr>
            </w:pPr>
            <w:r w:rsidRPr="006165CC">
              <w:rPr>
                <w:rFonts w:ascii="Segoe UI" w:hAnsi="Segoe UI" w:cs="Segoe UI"/>
                <w:noProof/>
                <w:sz w:val="20"/>
              </w:rPr>
              <w:t xml:space="preserve">Extended waiting time possibly resulting in delayed care  </w:t>
            </w:r>
          </w:p>
          <w:p w:rsidR="006165CC" w:rsidRPr="006165CC" w:rsidRDefault="006165CC" w:rsidP="006165CC">
            <w:pPr>
              <w:ind w:right="176"/>
              <w:rPr>
                <w:rFonts w:ascii="Segoe UI" w:hAnsi="Segoe UI" w:cs="Segoe UI"/>
                <w:noProof/>
                <w:sz w:val="20"/>
              </w:rPr>
            </w:pPr>
          </w:p>
          <w:p w:rsidR="006165CC" w:rsidRPr="006165CC" w:rsidRDefault="006165CC" w:rsidP="006165CC">
            <w:pPr>
              <w:shd w:val="clear" w:color="auto" w:fill="FFFFFF" w:themeFill="background1"/>
              <w:ind w:right="34"/>
              <w:rPr>
                <w:noProof/>
                <w:sz w:val="20"/>
              </w:rPr>
            </w:pPr>
          </w:p>
        </w:tc>
        <w:tc>
          <w:tcPr>
            <w:tcW w:w="4395" w:type="dxa"/>
            <w:vMerge w:val="restart"/>
            <w:shd w:val="clear" w:color="auto" w:fill="FFFFFF" w:themeFill="background1"/>
            <w:vAlign w:val="center"/>
          </w:tcPr>
          <w:p w:rsidR="00994424" w:rsidRDefault="00994424" w:rsidP="006165CC">
            <w:pPr>
              <w:rPr>
                <w:rFonts w:ascii="Segoe UI" w:hAnsi="Segoe UI" w:cs="Segoe UI"/>
                <w:b/>
                <w:bCs/>
                <w:sz w:val="20"/>
              </w:rPr>
            </w:pPr>
            <w:r>
              <w:rPr>
                <w:rFonts w:ascii="Segoe UI" w:hAnsi="Segoe UI" w:cs="Segoe UI"/>
                <w:sz w:val="20"/>
                <w:szCs w:val="22"/>
              </w:rPr>
              <w:t xml:space="preserve">The Trust </w:t>
            </w:r>
            <w:r w:rsidRPr="00994424">
              <w:rPr>
                <w:rFonts w:ascii="Segoe UI" w:hAnsi="Segoe UI" w:cs="Segoe UI"/>
                <w:sz w:val="20"/>
                <w:szCs w:val="22"/>
              </w:rPr>
              <w:t>Exec</w:t>
            </w:r>
            <w:r>
              <w:rPr>
                <w:rFonts w:ascii="Segoe UI" w:hAnsi="Segoe UI" w:cs="Segoe UI"/>
                <w:sz w:val="20"/>
                <w:szCs w:val="22"/>
              </w:rPr>
              <w:t>utive Board has</w:t>
            </w:r>
            <w:r w:rsidRPr="00994424">
              <w:rPr>
                <w:rFonts w:ascii="Segoe UI" w:hAnsi="Segoe UI" w:cs="Segoe UI"/>
                <w:sz w:val="20"/>
                <w:szCs w:val="22"/>
              </w:rPr>
              <w:t xml:space="preserve"> commissioned an indepe</w:t>
            </w:r>
            <w:r>
              <w:rPr>
                <w:rFonts w:ascii="Segoe UI" w:hAnsi="Segoe UI" w:cs="Segoe UI"/>
                <w:sz w:val="20"/>
                <w:szCs w:val="22"/>
              </w:rPr>
              <w:t>ndent review of the OOH service which is</w:t>
            </w:r>
            <w:r w:rsidRPr="00994424">
              <w:rPr>
                <w:rFonts w:ascii="Segoe UI" w:hAnsi="Segoe UI" w:cs="Segoe UI"/>
                <w:sz w:val="20"/>
                <w:szCs w:val="22"/>
              </w:rPr>
              <w:t xml:space="preserve"> due to start soon and will take 2 – 3 months.  </w:t>
            </w:r>
            <w:r>
              <w:rPr>
                <w:rFonts w:ascii="Segoe UI" w:hAnsi="Segoe UI" w:cs="Segoe UI"/>
                <w:sz w:val="20"/>
                <w:szCs w:val="22"/>
              </w:rPr>
              <w:t>Alongside this;</w:t>
            </w:r>
          </w:p>
          <w:p w:rsidR="00994424" w:rsidRDefault="00994424" w:rsidP="006165CC">
            <w:pPr>
              <w:rPr>
                <w:rFonts w:ascii="Segoe UI" w:hAnsi="Segoe UI" w:cs="Segoe UI"/>
                <w:b/>
                <w:bCs/>
                <w:sz w:val="20"/>
              </w:rPr>
            </w:pPr>
          </w:p>
          <w:p w:rsidR="006165CC" w:rsidRDefault="006165CC" w:rsidP="006165CC">
            <w:pPr>
              <w:rPr>
                <w:rFonts w:ascii="Segoe UI" w:hAnsi="Segoe UI" w:cs="Segoe UI"/>
                <w:sz w:val="20"/>
              </w:rPr>
            </w:pPr>
            <w:r w:rsidRPr="006165CC">
              <w:rPr>
                <w:rFonts w:ascii="Segoe UI" w:hAnsi="Segoe UI" w:cs="Segoe UI"/>
                <w:b/>
                <w:bCs/>
                <w:sz w:val="20"/>
              </w:rPr>
              <w:t>NQR10 B8 and B9</w:t>
            </w:r>
            <w:r w:rsidR="00FD02AA">
              <w:rPr>
                <w:rFonts w:ascii="Segoe UI" w:hAnsi="Segoe UI" w:cs="Segoe UI"/>
                <w:sz w:val="20"/>
              </w:rPr>
              <w:t>:</w:t>
            </w:r>
            <w:r w:rsidRPr="006165CC">
              <w:rPr>
                <w:rFonts w:ascii="Segoe UI" w:hAnsi="Segoe UI" w:cs="Segoe UI"/>
                <w:sz w:val="20"/>
              </w:rPr>
              <w:t xml:space="preserve"> </w:t>
            </w:r>
            <w:r w:rsidR="00FD02AA">
              <w:rPr>
                <w:rFonts w:ascii="Segoe UI" w:hAnsi="Segoe UI" w:cs="Segoe UI"/>
                <w:sz w:val="20"/>
              </w:rPr>
              <w:t>The service is in the process of</w:t>
            </w:r>
            <w:r w:rsidR="00B94FBB">
              <w:rPr>
                <w:rFonts w:ascii="Segoe UI" w:hAnsi="Segoe UI" w:cs="Segoe UI"/>
                <w:sz w:val="20"/>
              </w:rPr>
              <w:t xml:space="preserve"> recruiting additional staff to support early triage of these patients as required. </w:t>
            </w:r>
          </w:p>
          <w:p w:rsidR="00B94FBB" w:rsidRPr="006165CC" w:rsidRDefault="00B94FBB" w:rsidP="006165CC">
            <w:pPr>
              <w:rPr>
                <w:rFonts w:ascii="Segoe UI" w:hAnsi="Segoe UI" w:cs="Segoe UI"/>
                <w:sz w:val="20"/>
              </w:rPr>
            </w:pPr>
          </w:p>
          <w:p w:rsidR="00B94FBB" w:rsidRDefault="006165CC" w:rsidP="006165CC">
            <w:pPr>
              <w:rPr>
                <w:rFonts w:ascii="Segoe UI" w:hAnsi="Segoe UI" w:cs="Segoe UI"/>
                <w:sz w:val="20"/>
              </w:rPr>
            </w:pPr>
            <w:r w:rsidRPr="006165CC">
              <w:rPr>
                <w:rFonts w:ascii="Segoe UI" w:hAnsi="Segoe UI" w:cs="Segoe UI"/>
                <w:b/>
                <w:sz w:val="20"/>
              </w:rPr>
              <w:t>NQR 12 B10</w:t>
            </w:r>
            <w:r w:rsidRPr="006165CC">
              <w:rPr>
                <w:rFonts w:ascii="Segoe UI" w:hAnsi="Segoe UI" w:cs="Segoe UI"/>
                <w:sz w:val="20"/>
              </w:rPr>
              <w:t xml:space="preserve">. </w:t>
            </w:r>
            <w:r w:rsidR="00B94FBB">
              <w:rPr>
                <w:rFonts w:ascii="Segoe UI" w:hAnsi="Segoe UI" w:cs="Segoe UI"/>
                <w:sz w:val="20"/>
              </w:rPr>
              <w:t>The service is working with</w:t>
            </w:r>
            <w:r w:rsidR="00FD02AA">
              <w:rPr>
                <w:rFonts w:ascii="Segoe UI" w:hAnsi="Segoe UI" w:cs="Segoe UI"/>
                <w:sz w:val="20"/>
              </w:rPr>
              <w:t xml:space="preserve"> the</w:t>
            </w:r>
            <w:r w:rsidR="00B94FBB">
              <w:rPr>
                <w:rFonts w:ascii="Segoe UI" w:hAnsi="Segoe UI" w:cs="Segoe UI"/>
                <w:sz w:val="20"/>
              </w:rPr>
              <w:t xml:space="preserve"> 1</w:t>
            </w:r>
            <w:r w:rsidR="00FD02AA">
              <w:rPr>
                <w:rFonts w:ascii="Segoe UI" w:hAnsi="Segoe UI" w:cs="Segoe UI"/>
                <w:sz w:val="20"/>
              </w:rPr>
              <w:t>1</w:t>
            </w:r>
            <w:r w:rsidR="00B94FBB">
              <w:rPr>
                <w:rFonts w:ascii="Segoe UI" w:hAnsi="Segoe UI" w:cs="Segoe UI"/>
                <w:sz w:val="20"/>
              </w:rPr>
              <w:t xml:space="preserve">1 service </w:t>
            </w:r>
            <w:r w:rsidR="00FD02AA">
              <w:rPr>
                <w:rFonts w:ascii="Segoe UI" w:hAnsi="Segoe UI" w:cs="Segoe UI"/>
                <w:sz w:val="20"/>
              </w:rPr>
              <w:t>to improve</w:t>
            </w:r>
            <w:r w:rsidR="00B94FBB">
              <w:rPr>
                <w:rFonts w:ascii="Segoe UI" w:hAnsi="Segoe UI" w:cs="Segoe UI"/>
                <w:sz w:val="20"/>
              </w:rPr>
              <w:t xml:space="preserve"> availability </w:t>
            </w:r>
            <w:r w:rsidR="00FD02AA">
              <w:rPr>
                <w:rFonts w:ascii="Segoe UI" w:hAnsi="Segoe UI" w:cs="Segoe UI"/>
                <w:sz w:val="20"/>
              </w:rPr>
              <w:t xml:space="preserve">of appointments.  </w:t>
            </w:r>
            <w:r w:rsidR="00B94FBB">
              <w:rPr>
                <w:rFonts w:ascii="Segoe UI" w:hAnsi="Segoe UI" w:cs="Segoe UI"/>
                <w:sz w:val="20"/>
              </w:rPr>
              <w:t xml:space="preserve">This will increase the </w:t>
            </w:r>
            <w:r w:rsidR="00FD02AA">
              <w:rPr>
                <w:rFonts w:ascii="Segoe UI" w:hAnsi="Segoe UI" w:cs="Segoe UI"/>
                <w:sz w:val="20"/>
              </w:rPr>
              <w:t xml:space="preserve">opportunity for patients to be </w:t>
            </w:r>
            <w:r w:rsidR="00B94FBB">
              <w:rPr>
                <w:rFonts w:ascii="Segoe UI" w:hAnsi="Segoe UI" w:cs="Segoe UI"/>
                <w:sz w:val="20"/>
              </w:rPr>
              <w:t>seen within the agreed time.</w:t>
            </w:r>
          </w:p>
          <w:p w:rsidR="00B94FBB" w:rsidRDefault="00B94FBB" w:rsidP="006165CC">
            <w:pPr>
              <w:rPr>
                <w:rFonts w:ascii="Segoe UI" w:hAnsi="Segoe UI" w:cs="Segoe UI"/>
                <w:sz w:val="20"/>
              </w:rPr>
            </w:pPr>
          </w:p>
          <w:p w:rsidR="006165CC" w:rsidRDefault="00B94FBB" w:rsidP="00FD02AA">
            <w:pPr>
              <w:rPr>
                <w:rFonts w:ascii="Segoe UI" w:hAnsi="Segoe UI" w:cs="Segoe UI"/>
                <w:sz w:val="20"/>
              </w:rPr>
            </w:pPr>
            <w:r w:rsidRPr="00FD02AA">
              <w:rPr>
                <w:rFonts w:ascii="Segoe UI" w:hAnsi="Segoe UI" w:cs="Segoe UI"/>
                <w:b/>
                <w:sz w:val="20"/>
              </w:rPr>
              <w:t>N</w:t>
            </w:r>
            <w:r w:rsidR="00FD02AA" w:rsidRPr="00FD02AA">
              <w:rPr>
                <w:rFonts w:ascii="Segoe UI" w:hAnsi="Segoe UI" w:cs="Segoe UI"/>
                <w:b/>
                <w:sz w:val="20"/>
              </w:rPr>
              <w:t xml:space="preserve">QR </w:t>
            </w:r>
            <w:r w:rsidRPr="00FD02AA">
              <w:rPr>
                <w:rFonts w:ascii="Segoe UI" w:hAnsi="Segoe UI" w:cs="Segoe UI"/>
                <w:b/>
                <w:sz w:val="20"/>
              </w:rPr>
              <w:t>7</w:t>
            </w:r>
            <w:r w:rsidR="00FD02AA" w:rsidRPr="00FD02AA">
              <w:rPr>
                <w:rFonts w:ascii="Segoe UI" w:hAnsi="Segoe UI" w:cs="Segoe UI"/>
                <w:b/>
                <w:sz w:val="20"/>
              </w:rPr>
              <w:t xml:space="preserve"> B6</w:t>
            </w:r>
            <w:r w:rsidR="00FD02AA">
              <w:rPr>
                <w:rFonts w:ascii="Segoe UI" w:hAnsi="Segoe UI" w:cs="Segoe UI"/>
                <w:sz w:val="20"/>
              </w:rPr>
              <w:t xml:space="preserve">: There is continued positive recruitment of </w:t>
            </w:r>
            <w:r>
              <w:rPr>
                <w:rFonts w:ascii="Segoe UI" w:hAnsi="Segoe UI" w:cs="Segoe UI"/>
                <w:sz w:val="20"/>
              </w:rPr>
              <w:t xml:space="preserve">GPs and </w:t>
            </w:r>
            <w:r w:rsidR="00FD02AA">
              <w:rPr>
                <w:rFonts w:ascii="Segoe UI" w:hAnsi="Segoe UI" w:cs="Segoe UI"/>
                <w:sz w:val="20"/>
              </w:rPr>
              <w:t>A</w:t>
            </w:r>
            <w:r>
              <w:rPr>
                <w:rFonts w:ascii="Segoe UI" w:hAnsi="Segoe UI" w:cs="Segoe UI"/>
                <w:sz w:val="20"/>
              </w:rPr>
              <w:t xml:space="preserve">dvanced </w:t>
            </w:r>
            <w:r w:rsidR="00FD02AA">
              <w:rPr>
                <w:rFonts w:ascii="Segoe UI" w:hAnsi="Segoe UI" w:cs="Segoe UI"/>
                <w:sz w:val="20"/>
              </w:rPr>
              <w:t>N</w:t>
            </w:r>
            <w:r>
              <w:rPr>
                <w:rFonts w:ascii="Segoe UI" w:hAnsi="Segoe UI" w:cs="Segoe UI"/>
                <w:sz w:val="20"/>
              </w:rPr>
              <w:t xml:space="preserve">urse </w:t>
            </w:r>
            <w:r w:rsidR="00FD02AA">
              <w:rPr>
                <w:rFonts w:ascii="Segoe UI" w:hAnsi="Segoe UI" w:cs="Segoe UI"/>
                <w:sz w:val="20"/>
              </w:rPr>
              <w:t>Practitioners</w:t>
            </w:r>
            <w:r>
              <w:rPr>
                <w:rFonts w:ascii="Segoe UI" w:hAnsi="Segoe UI" w:cs="Segoe UI"/>
                <w:sz w:val="20"/>
              </w:rPr>
              <w:t xml:space="preserve"> that </w:t>
            </w:r>
            <w:r w:rsidR="00FD02AA">
              <w:rPr>
                <w:rFonts w:ascii="Segoe UI" w:hAnsi="Segoe UI" w:cs="Segoe UI"/>
                <w:sz w:val="20"/>
              </w:rPr>
              <w:t>will enable us to work towards</w:t>
            </w:r>
            <w:r>
              <w:rPr>
                <w:rFonts w:ascii="Segoe UI" w:hAnsi="Segoe UI" w:cs="Segoe UI"/>
                <w:sz w:val="20"/>
              </w:rPr>
              <w:t xml:space="preserve"> achieving the target.</w:t>
            </w:r>
          </w:p>
          <w:p w:rsidR="00994424" w:rsidRDefault="00994424" w:rsidP="00FD02AA">
            <w:pPr>
              <w:rPr>
                <w:rFonts w:ascii="Segoe UI" w:hAnsi="Segoe UI" w:cs="Segoe UI"/>
                <w:sz w:val="20"/>
              </w:rPr>
            </w:pPr>
          </w:p>
          <w:p w:rsidR="00994424" w:rsidRPr="006165CC" w:rsidRDefault="00994424" w:rsidP="00994424">
            <w:pPr>
              <w:rPr>
                <w:rFonts w:ascii="Segoe UI" w:hAnsi="Segoe UI" w:cs="Segoe UI"/>
                <w:sz w:val="20"/>
                <w:szCs w:val="22"/>
              </w:rPr>
            </w:pPr>
          </w:p>
        </w:tc>
      </w:tr>
      <w:tr w:rsidR="006165CC" w:rsidRPr="006165CC" w:rsidTr="00EC32F7">
        <w:trPr>
          <w:trHeight w:val="2125"/>
        </w:trPr>
        <w:tc>
          <w:tcPr>
            <w:tcW w:w="1277" w:type="dxa"/>
          </w:tcPr>
          <w:p w:rsidR="006165CC" w:rsidRPr="006165CC" w:rsidRDefault="006165CC" w:rsidP="006165CC">
            <w:pPr>
              <w:rPr>
                <w:rFonts w:ascii="Segoe UI" w:hAnsi="Segoe UI" w:cs="Segoe UI"/>
                <w:sz w:val="20"/>
                <w:szCs w:val="22"/>
              </w:rPr>
            </w:pPr>
            <w:r w:rsidRPr="006165CC">
              <w:rPr>
                <w:rFonts w:ascii="Segoe UI" w:hAnsi="Segoe UI" w:cs="Segoe UI"/>
                <w:sz w:val="20"/>
                <w:szCs w:val="22"/>
              </w:rPr>
              <w:t>Out of Hours</w:t>
            </w:r>
          </w:p>
        </w:tc>
        <w:tc>
          <w:tcPr>
            <w:tcW w:w="850" w:type="dxa"/>
          </w:tcPr>
          <w:p w:rsidR="006165CC" w:rsidRPr="006165CC" w:rsidRDefault="006165CC" w:rsidP="006165CC">
            <w:pPr>
              <w:rPr>
                <w:rFonts w:ascii="Segoe UI" w:hAnsi="Segoe UI" w:cs="Segoe UI"/>
                <w:sz w:val="20"/>
                <w:szCs w:val="22"/>
              </w:rPr>
            </w:pPr>
            <w:r w:rsidRPr="006165CC">
              <w:rPr>
                <w:rFonts w:ascii="Segoe UI" w:hAnsi="Segoe UI" w:cs="Segoe UI"/>
                <w:b/>
                <w:sz w:val="20"/>
                <w:szCs w:val="22"/>
              </w:rPr>
              <w:t xml:space="preserve">NQR </w:t>
            </w:r>
            <w:r w:rsidRPr="006165CC">
              <w:rPr>
                <w:rFonts w:ascii="Segoe UI" w:hAnsi="Segoe UI" w:cs="Segoe UI"/>
                <w:sz w:val="20"/>
                <w:szCs w:val="22"/>
              </w:rPr>
              <w:t>10</w:t>
            </w:r>
          </w:p>
          <w:p w:rsidR="006165CC" w:rsidRPr="006165CC" w:rsidRDefault="006165CC" w:rsidP="006165CC">
            <w:pPr>
              <w:rPr>
                <w:rFonts w:ascii="Segoe UI" w:hAnsi="Segoe UI" w:cs="Segoe UI"/>
                <w:sz w:val="20"/>
                <w:szCs w:val="22"/>
              </w:rPr>
            </w:pPr>
            <w:r w:rsidRPr="006165CC">
              <w:rPr>
                <w:rFonts w:ascii="Segoe UI" w:hAnsi="Segoe UI" w:cs="Segoe UI"/>
                <w:sz w:val="20"/>
                <w:szCs w:val="22"/>
              </w:rPr>
              <w:t>B9</w:t>
            </w:r>
          </w:p>
        </w:tc>
        <w:tc>
          <w:tcPr>
            <w:tcW w:w="1843" w:type="dxa"/>
          </w:tcPr>
          <w:p w:rsidR="006165CC" w:rsidRPr="006165CC" w:rsidRDefault="006165CC" w:rsidP="006165CC">
            <w:pPr>
              <w:rPr>
                <w:rFonts w:ascii="Segoe UI" w:hAnsi="Segoe UI" w:cs="Segoe UI"/>
                <w:b/>
                <w:sz w:val="20"/>
                <w:szCs w:val="22"/>
              </w:rPr>
            </w:pPr>
            <w:r w:rsidRPr="006165CC">
              <w:rPr>
                <w:rFonts w:ascii="Segoe UI" w:hAnsi="Segoe UI" w:cs="Segoe UI"/>
                <w:b/>
                <w:sz w:val="20"/>
                <w:szCs w:val="22"/>
              </w:rPr>
              <w:t>OOH non-urgent triage (walk in) - time to triage</w:t>
            </w:r>
            <w:r w:rsidRPr="006165CC">
              <w:rPr>
                <w:rFonts w:ascii="Segoe UI" w:hAnsi="Segoe UI" w:cs="Segoe UI"/>
                <w:b/>
                <w:sz w:val="20"/>
                <w:szCs w:val="22"/>
              </w:rPr>
              <w:tab/>
            </w:r>
            <w:r w:rsidRPr="006165CC">
              <w:rPr>
                <w:rFonts w:ascii="Segoe UI" w:hAnsi="Segoe UI" w:cs="Segoe UI"/>
                <w:sz w:val="20"/>
                <w:szCs w:val="22"/>
              </w:rPr>
              <w:t>≥ 95% within 60 minutes</w:t>
            </w:r>
          </w:p>
        </w:tc>
        <w:tc>
          <w:tcPr>
            <w:tcW w:w="992" w:type="dxa"/>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95%</w:t>
            </w:r>
          </w:p>
        </w:tc>
        <w:tc>
          <w:tcPr>
            <w:tcW w:w="851" w:type="dxa"/>
            <w:shd w:val="clear" w:color="auto" w:fill="FF0000"/>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81%</w:t>
            </w:r>
          </w:p>
        </w:tc>
        <w:tc>
          <w:tcPr>
            <w:tcW w:w="3402" w:type="dxa"/>
            <w:shd w:val="clear" w:color="auto" w:fill="FFFFFF" w:themeFill="background1"/>
          </w:tcPr>
          <w:p w:rsidR="006165CC" w:rsidRPr="006165CC" w:rsidRDefault="006165CC" w:rsidP="006165CC">
            <w:pPr>
              <w:ind w:left="-111"/>
              <w:rPr>
                <w:noProof/>
              </w:rPr>
            </w:pPr>
            <w:r w:rsidRPr="006165CC">
              <w:rPr>
                <w:noProof/>
              </w:rPr>
              <w:drawing>
                <wp:inline distT="0" distB="0" distL="0" distR="0" wp14:anchorId="14546239" wp14:editId="0448EA3F">
                  <wp:extent cx="2162175" cy="1495425"/>
                  <wp:effectExtent l="0" t="0" r="9525" b="9525"/>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1701" w:type="dxa"/>
            <w:vMerge/>
            <w:shd w:val="clear" w:color="auto" w:fill="FFFFFF" w:themeFill="background1"/>
          </w:tcPr>
          <w:p w:rsidR="006165CC" w:rsidRPr="006165CC" w:rsidRDefault="006165CC" w:rsidP="006165CC">
            <w:pPr>
              <w:shd w:val="clear" w:color="auto" w:fill="FFFFFF" w:themeFill="background1"/>
              <w:ind w:right="34"/>
              <w:rPr>
                <w:rFonts w:ascii="Segoe UI" w:hAnsi="Segoe UI" w:cs="Segoe UI"/>
                <w:noProof/>
                <w:sz w:val="20"/>
              </w:rPr>
            </w:pPr>
          </w:p>
        </w:tc>
        <w:tc>
          <w:tcPr>
            <w:tcW w:w="4395" w:type="dxa"/>
            <w:vMerge/>
            <w:shd w:val="clear" w:color="auto" w:fill="FFFFFF" w:themeFill="background1"/>
          </w:tcPr>
          <w:p w:rsidR="006165CC" w:rsidRPr="006165CC" w:rsidRDefault="006165CC" w:rsidP="006165CC">
            <w:pPr>
              <w:ind w:right="33"/>
              <w:rPr>
                <w:rFonts w:ascii="Segoe UI" w:hAnsi="Segoe UI" w:cs="Segoe UI"/>
                <w:sz w:val="20"/>
                <w:szCs w:val="22"/>
              </w:rPr>
            </w:pPr>
          </w:p>
        </w:tc>
      </w:tr>
      <w:tr w:rsidR="006165CC" w:rsidRPr="006165CC" w:rsidTr="00EC32F7">
        <w:trPr>
          <w:trHeight w:val="2125"/>
        </w:trPr>
        <w:tc>
          <w:tcPr>
            <w:tcW w:w="1277" w:type="dxa"/>
          </w:tcPr>
          <w:p w:rsidR="006165CC" w:rsidRPr="006165CC" w:rsidRDefault="006165CC" w:rsidP="006165CC">
            <w:pPr>
              <w:rPr>
                <w:rFonts w:ascii="Segoe UI" w:hAnsi="Segoe UI" w:cs="Segoe UI"/>
                <w:sz w:val="20"/>
                <w:szCs w:val="22"/>
              </w:rPr>
            </w:pPr>
            <w:r w:rsidRPr="006165CC">
              <w:rPr>
                <w:rFonts w:ascii="Segoe UI" w:hAnsi="Segoe UI" w:cs="Segoe UI"/>
                <w:sz w:val="20"/>
                <w:szCs w:val="22"/>
              </w:rPr>
              <w:t>Out of Hours</w:t>
            </w:r>
          </w:p>
        </w:tc>
        <w:tc>
          <w:tcPr>
            <w:tcW w:w="850" w:type="dxa"/>
          </w:tcPr>
          <w:p w:rsidR="00FD02AA" w:rsidRDefault="006165CC" w:rsidP="006165CC">
            <w:pPr>
              <w:rPr>
                <w:rFonts w:ascii="Segoe UI" w:hAnsi="Segoe UI" w:cs="Segoe UI"/>
                <w:sz w:val="20"/>
                <w:szCs w:val="22"/>
              </w:rPr>
            </w:pPr>
            <w:r w:rsidRPr="006165CC">
              <w:rPr>
                <w:rFonts w:ascii="Segoe UI" w:hAnsi="Segoe UI" w:cs="Segoe UI"/>
                <w:b/>
                <w:sz w:val="20"/>
                <w:szCs w:val="22"/>
              </w:rPr>
              <w:t>NQR</w:t>
            </w:r>
            <w:r w:rsidRPr="006165CC">
              <w:rPr>
                <w:rFonts w:ascii="Segoe UI" w:hAnsi="Segoe UI" w:cs="Segoe UI"/>
                <w:sz w:val="20"/>
                <w:szCs w:val="22"/>
              </w:rPr>
              <w:t xml:space="preserve"> </w:t>
            </w:r>
          </w:p>
          <w:p w:rsidR="006165CC" w:rsidRPr="006165CC" w:rsidRDefault="006165CC" w:rsidP="006165CC">
            <w:pPr>
              <w:rPr>
                <w:rFonts w:ascii="Segoe UI" w:hAnsi="Segoe UI" w:cs="Segoe UI"/>
                <w:sz w:val="20"/>
                <w:szCs w:val="22"/>
              </w:rPr>
            </w:pPr>
            <w:r w:rsidRPr="006165CC">
              <w:rPr>
                <w:rFonts w:ascii="Segoe UI" w:hAnsi="Segoe UI" w:cs="Segoe UI"/>
                <w:sz w:val="20"/>
                <w:szCs w:val="22"/>
              </w:rPr>
              <w:t>7</w:t>
            </w:r>
          </w:p>
          <w:p w:rsidR="006165CC" w:rsidRPr="006165CC" w:rsidRDefault="006165CC" w:rsidP="006165CC">
            <w:pPr>
              <w:rPr>
                <w:rFonts w:ascii="Segoe UI" w:hAnsi="Segoe UI" w:cs="Segoe UI"/>
                <w:sz w:val="20"/>
                <w:szCs w:val="22"/>
              </w:rPr>
            </w:pPr>
            <w:r w:rsidRPr="006165CC">
              <w:rPr>
                <w:rFonts w:ascii="Segoe UI" w:hAnsi="Segoe UI" w:cs="Segoe UI"/>
                <w:sz w:val="20"/>
                <w:szCs w:val="22"/>
              </w:rPr>
              <w:t>B6</w:t>
            </w:r>
          </w:p>
        </w:tc>
        <w:tc>
          <w:tcPr>
            <w:tcW w:w="1843" w:type="dxa"/>
          </w:tcPr>
          <w:p w:rsidR="006165CC" w:rsidRPr="006165CC" w:rsidRDefault="006165CC" w:rsidP="006165CC">
            <w:pPr>
              <w:rPr>
                <w:rFonts w:ascii="Segoe UI" w:hAnsi="Segoe UI" w:cs="Segoe UI"/>
                <w:sz w:val="20"/>
                <w:szCs w:val="22"/>
              </w:rPr>
            </w:pPr>
            <w:r w:rsidRPr="006165CC">
              <w:rPr>
                <w:rFonts w:ascii="Segoe UI" w:hAnsi="Segoe UI" w:cs="Segoe UI"/>
                <w:b/>
                <w:sz w:val="20"/>
                <w:szCs w:val="22"/>
              </w:rPr>
              <w:t>OOH percentage of unfilled shifts;</w:t>
            </w:r>
            <w:r w:rsidRPr="006165CC">
              <w:rPr>
                <w:rFonts w:ascii="Segoe UI" w:hAnsi="Segoe UI" w:cs="Segoe UI"/>
                <w:sz w:val="20"/>
                <w:szCs w:val="22"/>
              </w:rPr>
              <w:t xml:space="preserve"> ability to match capacity with demand</w:t>
            </w:r>
          </w:p>
        </w:tc>
        <w:tc>
          <w:tcPr>
            <w:tcW w:w="992" w:type="dxa"/>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2%</w:t>
            </w:r>
          </w:p>
        </w:tc>
        <w:tc>
          <w:tcPr>
            <w:tcW w:w="851" w:type="dxa"/>
            <w:shd w:val="clear" w:color="auto" w:fill="FF0000"/>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9%</w:t>
            </w:r>
          </w:p>
        </w:tc>
        <w:tc>
          <w:tcPr>
            <w:tcW w:w="3402" w:type="dxa"/>
            <w:shd w:val="clear" w:color="auto" w:fill="FFFFFF" w:themeFill="background1"/>
          </w:tcPr>
          <w:p w:rsidR="006165CC" w:rsidRPr="006165CC" w:rsidRDefault="006165CC" w:rsidP="006165CC">
            <w:pPr>
              <w:ind w:left="-111"/>
              <w:rPr>
                <w:noProof/>
              </w:rPr>
            </w:pPr>
            <w:r w:rsidRPr="006165CC">
              <w:rPr>
                <w:noProof/>
              </w:rPr>
              <w:drawing>
                <wp:inline distT="0" distB="0" distL="0" distR="0" wp14:anchorId="7C4F1593" wp14:editId="00FBAC6E">
                  <wp:extent cx="2162175" cy="1666875"/>
                  <wp:effectExtent l="0" t="0" r="9525" b="9525"/>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1701" w:type="dxa"/>
            <w:vMerge/>
            <w:shd w:val="clear" w:color="auto" w:fill="FFFFFF" w:themeFill="background1"/>
          </w:tcPr>
          <w:p w:rsidR="006165CC" w:rsidRPr="006165CC" w:rsidRDefault="006165CC" w:rsidP="006165CC">
            <w:pPr>
              <w:shd w:val="clear" w:color="auto" w:fill="FFFFFF" w:themeFill="background1"/>
              <w:ind w:right="34"/>
              <w:rPr>
                <w:rFonts w:ascii="Segoe UI" w:hAnsi="Segoe UI" w:cs="Segoe UI"/>
                <w:noProof/>
                <w:sz w:val="20"/>
              </w:rPr>
            </w:pPr>
          </w:p>
        </w:tc>
        <w:tc>
          <w:tcPr>
            <w:tcW w:w="4395" w:type="dxa"/>
            <w:vMerge/>
            <w:shd w:val="clear" w:color="auto" w:fill="FFFFFF" w:themeFill="background1"/>
          </w:tcPr>
          <w:p w:rsidR="006165CC" w:rsidRPr="006165CC" w:rsidRDefault="006165CC" w:rsidP="006165CC">
            <w:pPr>
              <w:ind w:right="33"/>
              <w:rPr>
                <w:rFonts w:ascii="Segoe UI" w:hAnsi="Segoe UI" w:cs="Segoe UI"/>
                <w:sz w:val="20"/>
                <w:szCs w:val="22"/>
              </w:rPr>
            </w:pPr>
          </w:p>
        </w:tc>
      </w:tr>
      <w:tr w:rsidR="006165CC" w:rsidRPr="006165CC" w:rsidTr="00EC32F7">
        <w:trPr>
          <w:trHeight w:val="2283"/>
        </w:trPr>
        <w:tc>
          <w:tcPr>
            <w:tcW w:w="1277" w:type="dxa"/>
          </w:tcPr>
          <w:p w:rsidR="006165CC" w:rsidRPr="006165CC" w:rsidRDefault="006165CC" w:rsidP="006165CC">
            <w:pPr>
              <w:rPr>
                <w:rFonts w:ascii="Segoe UI" w:hAnsi="Segoe UI" w:cs="Segoe UI"/>
                <w:sz w:val="20"/>
                <w:szCs w:val="20"/>
              </w:rPr>
            </w:pPr>
            <w:r w:rsidRPr="006165CC">
              <w:rPr>
                <w:rFonts w:ascii="Segoe UI" w:hAnsi="Segoe UI" w:cs="Segoe UI"/>
                <w:sz w:val="20"/>
                <w:szCs w:val="20"/>
              </w:rPr>
              <w:t>Out of Hours</w:t>
            </w:r>
          </w:p>
        </w:tc>
        <w:tc>
          <w:tcPr>
            <w:tcW w:w="850" w:type="dxa"/>
          </w:tcPr>
          <w:p w:rsidR="006165CC" w:rsidRPr="006165CC" w:rsidRDefault="006165CC" w:rsidP="006165CC">
            <w:pPr>
              <w:rPr>
                <w:rFonts w:ascii="Segoe UI" w:hAnsi="Segoe UI" w:cs="Segoe UI"/>
                <w:sz w:val="20"/>
                <w:szCs w:val="20"/>
              </w:rPr>
            </w:pPr>
            <w:r w:rsidRPr="006165CC">
              <w:rPr>
                <w:rFonts w:ascii="Segoe UI" w:hAnsi="Segoe UI" w:cs="Segoe UI"/>
                <w:b/>
                <w:sz w:val="20"/>
                <w:szCs w:val="20"/>
              </w:rPr>
              <w:t>NQR</w:t>
            </w:r>
            <w:r w:rsidRPr="006165CC">
              <w:rPr>
                <w:rFonts w:ascii="Segoe UI" w:hAnsi="Segoe UI" w:cs="Segoe UI"/>
                <w:sz w:val="20"/>
                <w:szCs w:val="20"/>
              </w:rPr>
              <w:t xml:space="preserve"> 12</w:t>
            </w:r>
          </w:p>
          <w:p w:rsidR="006165CC" w:rsidRPr="006165CC" w:rsidRDefault="006165CC" w:rsidP="006165CC">
            <w:pPr>
              <w:rPr>
                <w:rFonts w:ascii="Segoe UI" w:hAnsi="Segoe UI" w:cs="Segoe UI"/>
                <w:sz w:val="20"/>
                <w:szCs w:val="20"/>
              </w:rPr>
            </w:pPr>
            <w:r w:rsidRPr="006165CC">
              <w:rPr>
                <w:rFonts w:ascii="Segoe UI" w:hAnsi="Segoe UI" w:cs="Segoe UI"/>
                <w:sz w:val="20"/>
                <w:szCs w:val="20"/>
              </w:rPr>
              <w:t>B10</w:t>
            </w:r>
          </w:p>
        </w:tc>
        <w:tc>
          <w:tcPr>
            <w:tcW w:w="1843" w:type="dxa"/>
          </w:tcPr>
          <w:p w:rsidR="006165CC" w:rsidRPr="006165CC" w:rsidRDefault="006165CC" w:rsidP="006165CC">
            <w:pPr>
              <w:rPr>
                <w:rFonts w:ascii="Segoe UI" w:hAnsi="Segoe UI" w:cs="Segoe UI"/>
                <w:b/>
                <w:sz w:val="20"/>
                <w:szCs w:val="22"/>
              </w:rPr>
            </w:pPr>
            <w:r w:rsidRPr="006165CC">
              <w:rPr>
                <w:rFonts w:ascii="Segoe UI" w:hAnsi="Segoe UI" w:cs="Segoe UI"/>
                <w:b/>
                <w:sz w:val="20"/>
                <w:szCs w:val="22"/>
              </w:rPr>
              <w:t>OOH urgent F/F base visit</w:t>
            </w:r>
            <w:r w:rsidRPr="006165CC">
              <w:t xml:space="preserve"> </w:t>
            </w:r>
            <w:r w:rsidRPr="006165CC">
              <w:rPr>
                <w:rFonts w:ascii="Segoe UI" w:hAnsi="Segoe UI" w:cs="Segoe UI"/>
                <w:sz w:val="20"/>
                <w:szCs w:val="22"/>
              </w:rPr>
              <w:t>appt within 2 hours of triage</w:t>
            </w:r>
          </w:p>
        </w:tc>
        <w:tc>
          <w:tcPr>
            <w:tcW w:w="992" w:type="dxa"/>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95%</w:t>
            </w:r>
          </w:p>
        </w:tc>
        <w:tc>
          <w:tcPr>
            <w:tcW w:w="851" w:type="dxa"/>
            <w:shd w:val="clear" w:color="auto" w:fill="FF0000"/>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83%</w:t>
            </w:r>
          </w:p>
        </w:tc>
        <w:tc>
          <w:tcPr>
            <w:tcW w:w="3402" w:type="dxa"/>
            <w:shd w:val="clear" w:color="auto" w:fill="FFFFFF" w:themeFill="background1"/>
          </w:tcPr>
          <w:p w:rsidR="006165CC" w:rsidRPr="006165CC" w:rsidRDefault="006165CC" w:rsidP="006165CC">
            <w:pPr>
              <w:ind w:left="-108"/>
              <w:rPr>
                <w:rFonts w:ascii="Segoe UI" w:hAnsi="Segoe UI" w:cs="Segoe UI"/>
                <w:sz w:val="20"/>
                <w:szCs w:val="22"/>
              </w:rPr>
            </w:pPr>
            <w:r w:rsidRPr="006165CC">
              <w:rPr>
                <w:noProof/>
              </w:rPr>
              <w:drawing>
                <wp:inline distT="0" distB="0" distL="0" distR="0" wp14:anchorId="5212AD62" wp14:editId="31927600">
                  <wp:extent cx="2181225" cy="1457325"/>
                  <wp:effectExtent l="0" t="0" r="9525" b="9525"/>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1701" w:type="dxa"/>
            <w:shd w:val="clear" w:color="auto" w:fill="FFFFFF" w:themeFill="background1"/>
          </w:tcPr>
          <w:p w:rsidR="006165CC" w:rsidRPr="006165CC" w:rsidRDefault="006165CC" w:rsidP="006165CC">
            <w:pPr>
              <w:ind w:right="34"/>
              <w:rPr>
                <w:rFonts w:ascii="Segoe UI" w:hAnsi="Segoe UI" w:cs="Segoe UI"/>
                <w:noProof/>
                <w:sz w:val="20"/>
              </w:rPr>
            </w:pPr>
            <w:r w:rsidRPr="006165CC">
              <w:rPr>
                <w:rFonts w:ascii="Segoe UI" w:hAnsi="Segoe UI" w:cs="Segoe UI"/>
                <w:noProof/>
                <w:sz w:val="20"/>
              </w:rPr>
              <w:t xml:space="preserve">Extended waiting time possibly resulting in delayed care  </w:t>
            </w:r>
          </w:p>
          <w:p w:rsidR="006165CC" w:rsidRPr="006165CC" w:rsidRDefault="006165CC" w:rsidP="006165CC">
            <w:pPr>
              <w:ind w:left="-108"/>
              <w:rPr>
                <w:rFonts w:ascii="Segoe UI" w:hAnsi="Segoe UI" w:cs="Segoe UI"/>
                <w:sz w:val="20"/>
                <w:szCs w:val="22"/>
              </w:rPr>
            </w:pPr>
          </w:p>
        </w:tc>
        <w:tc>
          <w:tcPr>
            <w:tcW w:w="4395" w:type="dxa"/>
            <w:vMerge/>
            <w:shd w:val="clear" w:color="auto" w:fill="FFFFFF" w:themeFill="background1"/>
          </w:tcPr>
          <w:p w:rsidR="006165CC" w:rsidRPr="006165CC" w:rsidRDefault="006165CC" w:rsidP="006165CC">
            <w:pPr>
              <w:ind w:right="33"/>
              <w:rPr>
                <w:rFonts w:ascii="Segoe UI" w:hAnsi="Segoe UI" w:cs="Segoe UI"/>
                <w:sz w:val="20"/>
                <w:szCs w:val="22"/>
              </w:rPr>
            </w:pPr>
          </w:p>
        </w:tc>
      </w:tr>
      <w:tr w:rsidR="006165CC" w:rsidRPr="006165CC" w:rsidTr="00EC32F7">
        <w:trPr>
          <w:trHeight w:val="476"/>
        </w:trPr>
        <w:tc>
          <w:tcPr>
            <w:tcW w:w="1277" w:type="dxa"/>
          </w:tcPr>
          <w:p w:rsidR="006165CC" w:rsidRPr="006165CC" w:rsidRDefault="006165CC" w:rsidP="006165CC">
            <w:pPr>
              <w:rPr>
                <w:rFonts w:ascii="Segoe UI" w:hAnsi="Segoe UI" w:cs="Segoe UI"/>
                <w:sz w:val="20"/>
                <w:szCs w:val="22"/>
              </w:rPr>
            </w:pPr>
            <w:r w:rsidRPr="006165CC">
              <w:rPr>
                <w:rFonts w:ascii="Segoe UI" w:hAnsi="Segoe UI" w:cs="Segoe UI"/>
                <w:sz w:val="20"/>
                <w:szCs w:val="22"/>
              </w:rPr>
              <w:t>All</w:t>
            </w:r>
          </w:p>
          <w:p w:rsidR="006165CC" w:rsidRPr="006165CC" w:rsidRDefault="006165CC" w:rsidP="006165CC">
            <w:pPr>
              <w:rPr>
                <w:rFonts w:ascii="Segoe UI" w:hAnsi="Segoe UI" w:cs="Segoe UI"/>
                <w:sz w:val="18"/>
                <w:szCs w:val="18"/>
              </w:rPr>
            </w:pPr>
            <w:r w:rsidRPr="006165CC">
              <w:rPr>
                <w:rFonts w:ascii="Segoe UI" w:hAnsi="Segoe UI" w:cs="Segoe UI"/>
                <w:sz w:val="18"/>
                <w:szCs w:val="18"/>
              </w:rPr>
              <w:t>For info only</w:t>
            </w:r>
          </w:p>
        </w:tc>
        <w:tc>
          <w:tcPr>
            <w:tcW w:w="850" w:type="dxa"/>
          </w:tcPr>
          <w:p w:rsidR="006165CC" w:rsidRPr="006165CC" w:rsidRDefault="006165CC" w:rsidP="006165CC">
            <w:pPr>
              <w:rPr>
                <w:rFonts w:ascii="Segoe UI" w:hAnsi="Segoe UI" w:cs="Segoe UI"/>
                <w:sz w:val="20"/>
                <w:szCs w:val="22"/>
              </w:rPr>
            </w:pPr>
            <w:r w:rsidRPr="006165CC">
              <w:rPr>
                <w:rFonts w:ascii="Segoe UI" w:hAnsi="Segoe UI" w:cs="Segoe UI"/>
                <w:b/>
                <w:sz w:val="20"/>
                <w:szCs w:val="22"/>
              </w:rPr>
              <w:t xml:space="preserve">LQR </w:t>
            </w:r>
            <w:r w:rsidRPr="006165CC">
              <w:rPr>
                <w:rFonts w:ascii="Segoe UI" w:hAnsi="Segoe UI" w:cs="Segoe UI"/>
                <w:sz w:val="20"/>
                <w:szCs w:val="22"/>
              </w:rPr>
              <w:t>C2c</w:t>
            </w:r>
          </w:p>
        </w:tc>
        <w:tc>
          <w:tcPr>
            <w:tcW w:w="1843" w:type="dxa"/>
          </w:tcPr>
          <w:p w:rsidR="006165CC" w:rsidRPr="006165CC" w:rsidRDefault="006165CC" w:rsidP="006165CC">
            <w:pPr>
              <w:rPr>
                <w:rFonts w:ascii="Segoe UI" w:hAnsi="Segoe UI" w:cs="Segoe UI"/>
                <w:b/>
                <w:sz w:val="20"/>
                <w:szCs w:val="22"/>
              </w:rPr>
            </w:pPr>
            <w:r w:rsidRPr="006165CC">
              <w:rPr>
                <w:rFonts w:ascii="Segoe UI" w:hAnsi="Segoe UI" w:cs="Segoe UI"/>
                <w:b/>
                <w:sz w:val="20"/>
                <w:szCs w:val="22"/>
              </w:rPr>
              <w:t xml:space="preserve">% Prevent training compliance; </w:t>
            </w:r>
            <w:r w:rsidRPr="006165CC">
              <w:rPr>
                <w:rFonts w:ascii="Segoe UI" w:hAnsi="Segoe UI" w:cs="Segoe UI"/>
                <w:sz w:val="20"/>
                <w:szCs w:val="20"/>
              </w:rPr>
              <w:t>a sub KPI of C2; Compliance with PPST</w:t>
            </w:r>
          </w:p>
        </w:tc>
        <w:tc>
          <w:tcPr>
            <w:tcW w:w="992" w:type="dxa"/>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90%</w:t>
            </w:r>
          </w:p>
        </w:tc>
        <w:tc>
          <w:tcPr>
            <w:tcW w:w="851" w:type="dxa"/>
            <w:shd w:val="clear" w:color="auto" w:fill="FF0000"/>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18"/>
                <w:szCs w:val="18"/>
              </w:rPr>
              <w:t>Prevent training 11%</w:t>
            </w:r>
          </w:p>
        </w:tc>
        <w:tc>
          <w:tcPr>
            <w:tcW w:w="3402" w:type="dxa"/>
            <w:shd w:val="clear" w:color="auto" w:fill="FFFFFF" w:themeFill="background1"/>
          </w:tcPr>
          <w:p w:rsidR="006165CC" w:rsidRPr="006165CC" w:rsidRDefault="006165CC" w:rsidP="006165CC">
            <w:pPr>
              <w:ind w:left="-108"/>
              <w:rPr>
                <w:rFonts w:ascii="Segoe UI" w:hAnsi="Segoe UI" w:cs="Segoe UI"/>
                <w:sz w:val="20"/>
                <w:szCs w:val="22"/>
              </w:rPr>
            </w:pPr>
            <w:r w:rsidRPr="006165CC">
              <w:rPr>
                <w:noProof/>
              </w:rPr>
              <w:drawing>
                <wp:inline distT="0" distB="0" distL="0" distR="0" wp14:anchorId="5AC5A46E" wp14:editId="6B420645">
                  <wp:extent cx="2181225" cy="1343025"/>
                  <wp:effectExtent l="0" t="0" r="9525" b="9525"/>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1701" w:type="dxa"/>
            <w:shd w:val="clear" w:color="auto" w:fill="FFFFFF" w:themeFill="background1"/>
          </w:tcPr>
          <w:p w:rsidR="006165CC" w:rsidRPr="006165CC" w:rsidRDefault="006165CC" w:rsidP="006165CC">
            <w:pPr>
              <w:rPr>
                <w:rFonts w:ascii="Segoe UI" w:hAnsi="Segoe UI" w:cs="Segoe UI"/>
                <w:sz w:val="20"/>
                <w:szCs w:val="22"/>
              </w:rPr>
            </w:pPr>
            <w:r w:rsidRPr="006165CC">
              <w:rPr>
                <w:rFonts w:ascii="Segoe UI" w:hAnsi="Segoe UI" w:cs="Segoe UI"/>
                <w:sz w:val="20"/>
                <w:szCs w:val="22"/>
              </w:rPr>
              <w:t>Shortfall in staff skill, knowledge and competency</w:t>
            </w:r>
          </w:p>
          <w:p w:rsidR="006165CC" w:rsidRPr="006165CC" w:rsidRDefault="006165CC" w:rsidP="006165CC">
            <w:pPr>
              <w:rPr>
                <w:noProof/>
                <w:sz w:val="20"/>
              </w:rPr>
            </w:pPr>
          </w:p>
        </w:tc>
        <w:tc>
          <w:tcPr>
            <w:tcW w:w="4395" w:type="dxa"/>
            <w:shd w:val="clear" w:color="auto" w:fill="FFFFFF" w:themeFill="background1"/>
          </w:tcPr>
          <w:p w:rsidR="006165CC" w:rsidRPr="006165CC" w:rsidRDefault="006165CC" w:rsidP="006165CC">
            <w:pPr>
              <w:ind w:right="33"/>
              <w:rPr>
                <w:noProof/>
                <w:sz w:val="20"/>
                <w:highlight w:val="cyan"/>
              </w:rPr>
            </w:pPr>
            <w:r w:rsidRPr="006165CC">
              <w:rPr>
                <w:rFonts w:ascii="Segoe UI" w:hAnsi="Segoe UI" w:cs="Segoe UI"/>
                <w:sz w:val="20"/>
                <w:szCs w:val="22"/>
              </w:rPr>
              <w:t xml:space="preserve">Prevent is one of 3 courses that forms KPI C2 which has an overall target of 90%.  OPD is targeting non-compliant individuals and supporting staff with time to complete training.  </w:t>
            </w:r>
          </w:p>
        </w:tc>
      </w:tr>
      <w:tr w:rsidR="006165CC" w:rsidRPr="006165CC" w:rsidTr="00EC32F7">
        <w:trPr>
          <w:trHeight w:val="2162"/>
        </w:trPr>
        <w:tc>
          <w:tcPr>
            <w:tcW w:w="1277" w:type="dxa"/>
          </w:tcPr>
          <w:p w:rsidR="006165CC" w:rsidRPr="006165CC" w:rsidRDefault="006165CC" w:rsidP="006165CC">
            <w:pPr>
              <w:rPr>
                <w:rFonts w:ascii="Segoe UI" w:hAnsi="Segoe UI" w:cs="Segoe UI"/>
                <w:sz w:val="20"/>
                <w:szCs w:val="22"/>
              </w:rPr>
            </w:pPr>
            <w:r w:rsidRPr="006165CC">
              <w:rPr>
                <w:rFonts w:ascii="Segoe UI" w:hAnsi="Segoe UI" w:cs="Segoe UI"/>
                <w:sz w:val="20"/>
                <w:szCs w:val="22"/>
              </w:rPr>
              <w:t>Older People’s Mental</w:t>
            </w:r>
          </w:p>
          <w:p w:rsidR="006165CC" w:rsidRPr="006165CC" w:rsidRDefault="006165CC" w:rsidP="006165CC">
            <w:pPr>
              <w:rPr>
                <w:rFonts w:ascii="Segoe UI" w:hAnsi="Segoe UI" w:cs="Segoe UI"/>
                <w:sz w:val="20"/>
                <w:szCs w:val="22"/>
              </w:rPr>
            </w:pPr>
            <w:r w:rsidRPr="006165CC">
              <w:rPr>
                <w:rFonts w:ascii="Segoe UI" w:hAnsi="Segoe UI" w:cs="Segoe UI"/>
                <w:sz w:val="20"/>
                <w:szCs w:val="22"/>
              </w:rPr>
              <w:t>Health (OPMH)</w:t>
            </w:r>
          </w:p>
        </w:tc>
        <w:tc>
          <w:tcPr>
            <w:tcW w:w="850" w:type="dxa"/>
          </w:tcPr>
          <w:p w:rsidR="006165CC" w:rsidRPr="006165CC" w:rsidRDefault="006165CC" w:rsidP="006165CC">
            <w:pPr>
              <w:rPr>
                <w:rFonts w:ascii="Segoe UI" w:hAnsi="Segoe UI" w:cs="Segoe UI"/>
                <w:b/>
                <w:sz w:val="20"/>
                <w:szCs w:val="22"/>
              </w:rPr>
            </w:pPr>
            <w:r w:rsidRPr="006165CC">
              <w:rPr>
                <w:rFonts w:ascii="Segoe UI" w:hAnsi="Segoe UI" w:cs="Segoe UI"/>
                <w:b/>
                <w:sz w:val="20"/>
                <w:szCs w:val="22"/>
              </w:rPr>
              <w:t xml:space="preserve">LQR </w:t>
            </w:r>
            <w:r w:rsidRPr="006165CC">
              <w:rPr>
                <w:rFonts w:ascii="Segoe UI" w:hAnsi="Segoe UI" w:cs="Segoe UI"/>
                <w:sz w:val="20"/>
                <w:szCs w:val="22"/>
              </w:rPr>
              <w:t>C8</w:t>
            </w:r>
          </w:p>
        </w:tc>
        <w:tc>
          <w:tcPr>
            <w:tcW w:w="1843" w:type="dxa"/>
          </w:tcPr>
          <w:p w:rsidR="006165CC" w:rsidRPr="006165CC" w:rsidRDefault="006165CC" w:rsidP="006165CC">
            <w:pPr>
              <w:rPr>
                <w:rFonts w:ascii="Segoe UI" w:hAnsi="Segoe UI" w:cs="Segoe UI"/>
                <w:b/>
                <w:sz w:val="20"/>
                <w:szCs w:val="22"/>
              </w:rPr>
            </w:pPr>
            <w:r w:rsidRPr="006165CC">
              <w:rPr>
                <w:rFonts w:ascii="Segoe UI" w:hAnsi="Segoe UI" w:cs="Segoe UI"/>
                <w:b/>
                <w:sz w:val="20"/>
                <w:szCs w:val="22"/>
              </w:rPr>
              <w:t>% of interim inpatient discharge letters that are sent back to GPs within 24 hours of discharge</w:t>
            </w:r>
          </w:p>
        </w:tc>
        <w:tc>
          <w:tcPr>
            <w:tcW w:w="992" w:type="dxa"/>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95%</w:t>
            </w:r>
          </w:p>
        </w:tc>
        <w:tc>
          <w:tcPr>
            <w:tcW w:w="851" w:type="dxa"/>
            <w:shd w:val="clear" w:color="auto" w:fill="FF0000"/>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80%</w:t>
            </w:r>
          </w:p>
        </w:tc>
        <w:tc>
          <w:tcPr>
            <w:tcW w:w="3402" w:type="dxa"/>
            <w:shd w:val="clear" w:color="auto" w:fill="FFFFFF" w:themeFill="background1"/>
          </w:tcPr>
          <w:p w:rsidR="006165CC" w:rsidRPr="006165CC" w:rsidRDefault="006165CC" w:rsidP="006165CC">
            <w:pPr>
              <w:ind w:left="-111"/>
              <w:rPr>
                <w:noProof/>
              </w:rPr>
            </w:pPr>
            <w:r w:rsidRPr="006165CC">
              <w:rPr>
                <w:noProof/>
              </w:rPr>
              <w:drawing>
                <wp:inline distT="0" distB="0" distL="0" distR="0" wp14:anchorId="5EF77E00" wp14:editId="57A9A648">
                  <wp:extent cx="2181225" cy="1533525"/>
                  <wp:effectExtent l="0" t="0" r="9525" b="9525"/>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1701" w:type="dxa"/>
            <w:shd w:val="clear" w:color="auto" w:fill="FFFFFF" w:themeFill="background1"/>
          </w:tcPr>
          <w:p w:rsidR="006165CC" w:rsidRPr="006165CC" w:rsidRDefault="006165CC" w:rsidP="006165CC">
            <w:pPr>
              <w:rPr>
                <w:rFonts w:ascii="Segoe UI" w:hAnsi="Segoe UI" w:cs="Segoe UI"/>
                <w:sz w:val="20"/>
                <w:szCs w:val="22"/>
              </w:rPr>
            </w:pPr>
            <w:r w:rsidRPr="006165CC">
              <w:rPr>
                <w:rFonts w:ascii="Segoe UI" w:hAnsi="Segoe UI" w:cs="Segoe UI"/>
                <w:sz w:val="20"/>
                <w:szCs w:val="22"/>
              </w:rPr>
              <w:t>Delayed communication to primary care</w:t>
            </w:r>
          </w:p>
        </w:tc>
        <w:tc>
          <w:tcPr>
            <w:tcW w:w="4395" w:type="dxa"/>
            <w:shd w:val="clear" w:color="auto" w:fill="FFFFFF" w:themeFill="background1"/>
          </w:tcPr>
          <w:p w:rsidR="006165CC" w:rsidRPr="006165CC" w:rsidRDefault="006165CC" w:rsidP="006165CC">
            <w:pPr>
              <w:rPr>
                <w:rFonts w:ascii="Segoe UI" w:hAnsi="Segoe UI" w:cs="Segoe UI"/>
                <w:sz w:val="20"/>
                <w:szCs w:val="22"/>
                <w:highlight w:val="green"/>
              </w:rPr>
            </w:pPr>
            <w:r w:rsidRPr="006165CC">
              <w:rPr>
                <w:rFonts w:ascii="Segoe UI" w:hAnsi="Segoe UI" w:cs="Segoe UI"/>
                <w:sz w:val="20"/>
                <w:szCs w:val="22"/>
              </w:rPr>
              <w:t xml:space="preserve">OPMH year to date (YTD) performance against this indicator is good at 96%.  In March, however, 2 interim discharge summaries were not sent within 24 hours which were attributable to clinical and administrative capacity.   </w:t>
            </w:r>
          </w:p>
        </w:tc>
      </w:tr>
      <w:tr w:rsidR="006165CC" w:rsidRPr="006165CC" w:rsidTr="00EC32F7">
        <w:trPr>
          <w:trHeight w:val="2162"/>
        </w:trPr>
        <w:tc>
          <w:tcPr>
            <w:tcW w:w="1277" w:type="dxa"/>
          </w:tcPr>
          <w:p w:rsidR="006165CC" w:rsidRPr="006165CC" w:rsidRDefault="006165CC" w:rsidP="006165CC">
            <w:pPr>
              <w:rPr>
                <w:rFonts w:ascii="Segoe UI" w:hAnsi="Segoe UI" w:cs="Segoe UI"/>
                <w:sz w:val="20"/>
                <w:szCs w:val="22"/>
              </w:rPr>
            </w:pPr>
            <w:r w:rsidRPr="006165CC">
              <w:rPr>
                <w:rFonts w:ascii="Segoe UI" w:hAnsi="Segoe UI" w:cs="Segoe UI"/>
                <w:sz w:val="20"/>
                <w:szCs w:val="22"/>
              </w:rPr>
              <w:t>All</w:t>
            </w:r>
          </w:p>
        </w:tc>
        <w:tc>
          <w:tcPr>
            <w:tcW w:w="850" w:type="dxa"/>
          </w:tcPr>
          <w:p w:rsidR="006165CC" w:rsidRPr="006165CC" w:rsidRDefault="006165CC" w:rsidP="006165CC">
            <w:pPr>
              <w:rPr>
                <w:rFonts w:ascii="Segoe UI" w:hAnsi="Segoe UI" w:cs="Segoe UI"/>
                <w:sz w:val="20"/>
                <w:szCs w:val="22"/>
              </w:rPr>
            </w:pPr>
            <w:r w:rsidRPr="006165CC">
              <w:rPr>
                <w:rFonts w:ascii="Segoe UI" w:hAnsi="Segoe UI" w:cs="Segoe UI"/>
                <w:b/>
                <w:sz w:val="20"/>
                <w:szCs w:val="22"/>
              </w:rPr>
              <w:t>LQR</w:t>
            </w:r>
            <w:r w:rsidRPr="006165CC">
              <w:rPr>
                <w:rFonts w:ascii="Segoe UI" w:hAnsi="Segoe UI" w:cs="Segoe UI"/>
                <w:sz w:val="20"/>
                <w:szCs w:val="22"/>
              </w:rPr>
              <w:t xml:space="preserve"> C9</w:t>
            </w:r>
          </w:p>
        </w:tc>
        <w:tc>
          <w:tcPr>
            <w:tcW w:w="1843" w:type="dxa"/>
          </w:tcPr>
          <w:p w:rsidR="006165CC" w:rsidRPr="006165CC" w:rsidRDefault="006165CC" w:rsidP="006165CC">
            <w:pPr>
              <w:rPr>
                <w:rFonts w:ascii="Segoe UI" w:hAnsi="Segoe UI" w:cs="Segoe UI"/>
                <w:b/>
                <w:sz w:val="20"/>
                <w:szCs w:val="22"/>
              </w:rPr>
            </w:pPr>
            <w:r w:rsidRPr="006165CC">
              <w:rPr>
                <w:rFonts w:ascii="Segoe UI" w:hAnsi="Segoe UI" w:cs="Segoe UI"/>
                <w:b/>
                <w:sz w:val="20"/>
                <w:szCs w:val="22"/>
              </w:rPr>
              <w:t>% of cancellations by provider services</w:t>
            </w:r>
          </w:p>
        </w:tc>
        <w:tc>
          <w:tcPr>
            <w:tcW w:w="992" w:type="dxa"/>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&lt;/=4%</w:t>
            </w:r>
          </w:p>
        </w:tc>
        <w:tc>
          <w:tcPr>
            <w:tcW w:w="851" w:type="dxa"/>
            <w:shd w:val="clear" w:color="auto" w:fill="FF0000"/>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7%</w:t>
            </w:r>
          </w:p>
        </w:tc>
        <w:tc>
          <w:tcPr>
            <w:tcW w:w="3402" w:type="dxa"/>
            <w:shd w:val="clear" w:color="auto" w:fill="FFFFFF" w:themeFill="background1"/>
          </w:tcPr>
          <w:p w:rsidR="006165CC" w:rsidRPr="006165CC" w:rsidRDefault="006165CC" w:rsidP="006165CC">
            <w:pPr>
              <w:ind w:left="-111"/>
              <w:rPr>
                <w:noProof/>
              </w:rPr>
            </w:pPr>
            <w:r w:rsidRPr="006165CC">
              <w:rPr>
                <w:noProof/>
              </w:rPr>
              <w:drawing>
                <wp:inline distT="0" distB="0" distL="0" distR="0" wp14:anchorId="225D01A8" wp14:editId="65155A47">
                  <wp:extent cx="2181225" cy="1733550"/>
                  <wp:effectExtent l="0" t="0" r="9525" b="1905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1701" w:type="dxa"/>
            <w:shd w:val="clear" w:color="auto" w:fill="FFFFFF" w:themeFill="background1"/>
          </w:tcPr>
          <w:p w:rsidR="006165CC" w:rsidRPr="006165CC" w:rsidRDefault="006165CC" w:rsidP="006165CC">
            <w:pPr>
              <w:rPr>
                <w:rFonts w:ascii="Segoe UI" w:hAnsi="Segoe UI" w:cs="Segoe UI"/>
                <w:sz w:val="20"/>
                <w:szCs w:val="22"/>
              </w:rPr>
            </w:pPr>
            <w:r w:rsidRPr="006165CC">
              <w:rPr>
                <w:rFonts w:ascii="Segoe UI" w:hAnsi="Segoe UI" w:cs="Segoe UI"/>
                <w:sz w:val="20"/>
                <w:szCs w:val="22"/>
              </w:rPr>
              <w:t>Poor patient experience, delayed care and poor Trust reputation</w:t>
            </w:r>
          </w:p>
        </w:tc>
        <w:tc>
          <w:tcPr>
            <w:tcW w:w="4395" w:type="dxa"/>
            <w:shd w:val="clear" w:color="auto" w:fill="FFFFFF" w:themeFill="background1"/>
          </w:tcPr>
          <w:p w:rsidR="006165CC" w:rsidRPr="006165CC" w:rsidRDefault="006165CC" w:rsidP="006165CC">
            <w:pPr>
              <w:rPr>
                <w:rFonts w:ascii="Segoe UI" w:hAnsi="Segoe UI" w:cs="Segoe UI"/>
                <w:sz w:val="20"/>
                <w:szCs w:val="22"/>
              </w:rPr>
            </w:pPr>
            <w:r w:rsidRPr="006165CC">
              <w:rPr>
                <w:rFonts w:ascii="Segoe UI" w:hAnsi="Segoe UI" w:cs="Segoe UI"/>
                <w:sz w:val="20"/>
                <w:szCs w:val="22"/>
              </w:rPr>
              <w:t>The number of provider cancelled appointments increased at the point that Carenotes was implemented indicating a reporting and/or recording issue.  This is being investigated by the Business Intelligence (BI) team and directorates and initial findings have indicated issues with the pick lists, the ability to record conflicting data and front end recording practices. This is included in the 17/18 OCCG contract Data Quality Improvement Plan (DQIP)</w:t>
            </w:r>
          </w:p>
        </w:tc>
      </w:tr>
      <w:tr w:rsidR="006165CC" w:rsidRPr="006165CC" w:rsidTr="00EC32F7">
        <w:trPr>
          <w:trHeight w:val="476"/>
        </w:trPr>
        <w:tc>
          <w:tcPr>
            <w:tcW w:w="1277" w:type="dxa"/>
          </w:tcPr>
          <w:p w:rsidR="006165CC" w:rsidRPr="006165CC" w:rsidRDefault="006165CC" w:rsidP="006165CC">
            <w:pPr>
              <w:rPr>
                <w:rFonts w:ascii="Segoe UI" w:hAnsi="Segoe UI" w:cs="Segoe UI"/>
                <w:sz w:val="20"/>
                <w:szCs w:val="22"/>
              </w:rPr>
            </w:pPr>
            <w:r w:rsidRPr="006165CC">
              <w:rPr>
                <w:rFonts w:ascii="Segoe UI" w:hAnsi="Segoe UI" w:cs="Segoe UI"/>
                <w:sz w:val="20"/>
                <w:szCs w:val="22"/>
              </w:rPr>
              <w:t>Comm</w:t>
            </w:r>
          </w:p>
          <w:p w:rsidR="006165CC" w:rsidRPr="006165CC" w:rsidRDefault="006165CC" w:rsidP="006165CC">
            <w:pPr>
              <w:rPr>
                <w:rFonts w:ascii="Segoe UI" w:hAnsi="Segoe UI" w:cs="Segoe UI"/>
                <w:sz w:val="20"/>
                <w:szCs w:val="22"/>
              </w:rPr>
            </w:pPr>
            <w:r w:rsidRPr="006165CC">
              <w:rPr>
                <w:rFonts w:ascii="Segoe UI" w:hAnsi="Segoe UI" w:cs="Segoe UI"/>
                <w:sz w:val="20"/>
                <w:szCs w:val="22"/>
              </w:rPr>
              <w:t>Hospitals</w:t>
            </w:r>
          </w:p>
        </w:tc>
        <w:tc>
          <w:tcPr>
            <w:tcW w:w="850" w:type="dxa"/>
          </w:tcPr>
          <w:p w:rsidR="006165CC" w:rsidRPr="006165CC" w:rsidRDefault="006165CC" w:rsidP="006165CC">
            <w:pPr>
              <w:rPr>
                <w:rFonts w:ascii="Segoe UI" w:hAnsi="Segoe UI" w:cs="Segoe UI"/>
                <w:sz w:val="20"/>
                <w:szCs w:val="22"/>
              </w:rPr>
            </w:pPr>
            <w:r w:rsidRPr="006165CC">
              <w:rPr>
                <w:rFonts w:ascii="Segoe UI" w:hAnsi="Segoe UI" w:cs="Segoe UI"/>
                <w:b/>
                <w:sz w:val="20"/>
                <w:szCs w:val="22"/>
              </w:rPr>
              <w:t>LQR</w:t>
            </w:r>
            <w:r w:rsidRPr="006165CC">
              <w:rPr>
                <w:rFonts w:ascii="Segoe UI" w:hAnsi="Segoe UI" w:cs="Segoe UI"/>
                <w:sz w:val="20"/>
                <w:szCs w:val="22"/>
              </w:rPr>
              <w:t xml:space="preserve"> C11</w:t>
            </w:r>
          </w:p>
        </w:tc>
        <w:tc>
          <w:tcPr>
            <w:tcW w:w="1843" w:type="dxa"/>
          </w:tcPr>
          <w:p w:rsidR="006165CC" w:rsidRPr="006165CC" w:rsidRDefault="006165CC" w:rsidP="006165CC">
            <w:pPr>
              <w:rPr>
                <w:rFonts w:ascii="Segoe UI" w:hAnsi="Segoe UI" w:cs="Segoe UI"/>
                <w:b/>
                <w:sz w:val="20"/>
                <w:szCs w:val="22"/>
              </w:rPr>
            </w:pPr>
            <w:r w:rsidRPr="006165CC">
              <w:rPr>
                <w:rFonts w:ascii="Segoe UI" w:hAnsi="Segoe UI" w:cs="Segoe UI"/>
                <w:b/>
                <w:sz w:val="20"/>
                <w:szCs w:val="22"/>
              </w:rPr>
              <w:t xml:space="preserve">Delayed Transfers of Care (DTOC); </w:t>
            </w:r>
            <w:r w:rsidRPr="006165CC">
              <w:rPr>
                <w:rFonts w:ascii="Segoe UI" w:hAnsi="Segoe UI" w:cs="Segoe UI"/>
                <w:sz w:val="20"/>
                <w:szCs w:val="22"/>
              </w:rPr>
              <w:t xml:space="preserve"> snapshot number </w:t>
            </w:r>
          </w:p>
        </w:tc>
        <w:tc>
          <w:tcPr>
            <w:tcW w:w="992" w:type="dxa"/>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15</w:t>
            </w:r>
          </w:p>
        </w:tc>
        <w:tc>
          <w:tcPr>
            <w:tcW w:w="851" w:type="dxa"/>
            <w:shd w:val="clear" w:color="auto" w:fill="FF0000"/>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59</w:t>
            </w:r>
          </w:p>
        </w:tc>
        <w:tc>
          <w:tcPr>
            <w:tcW w:w="3402" w:type="dxa"/>
            <w:shd w:val="clear" w:color="auto" w:fill="FFFFFF" w:themeFill="background1"/>
          </w:tcPr>
          <w:p w:rsidR="006165CC" w:rsidRPr="006165CC" w:rsidRDefault="006165CC" w:rsidP="006165CC">
            <w:pPr>
              <w:ind w:left="-111"/>
              <w:rPr>
                <w:rFonts w:ascii="Segoe UI" w:hAnsi="Segoe UI" w:cs="Segoe UI"/>
                <w:b/>
                <w:sz w:val="20"/>
                <w:szCs w:val="22"/>
              </w:rPr>
            </w:pPr>
            <w:r w:rsidRPr="006165CC">
              <w:rPr>
                <w:noProof/>
              </w:rPr>
              <w:drawing>
                <wp:inline distT="0" distB="0" distL="0" distR="0" wp14:anchorId="7F35443C" wp14:editId="3987A7F6">
                  <wp:extent cx="2162175" cy="2200275"/>
                  <wp:effectExtent l="0" t="0" r="9525" b="952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1701" w:type="dxa"/>
            <w:shd w:val="clear" w:color="auto" w:fill="FFFFFF" w:themeFill="background1"/>
          </w:tcPr>
          <w:p w:rsidR="006165CC" w:rsidRPr="006165CC" w:rsidRDefault="006165CC" w:rsidP="006165CC">
            <w:pPr>
              <w:rPr>
                <w:rFonts w:ascii="Segoe UI" w:hAnsi="Segoe UI" w:cs="Segoe UI"/>
                <w:sz w:val="20"/>
                <w:szCs w:val="22"/>
              </w:rPr>
            </w:pPr>
            <w:r w:rsidRPr="006165CC">
              <w:rPr>
                <w:rFonts w:ascii="Segoe UI" w:hAnsi="Segoe UI" w:cs="Segoe UI"/>
                <w:sz w:val="20"/>
                <w:szCs w:val="22"/>
              </w:rPr>
              <w:t>Delays adversely impact the whole system pathway and patient flow.  This will affect the acute trust’s ability to admit, ED  and beyond</w:t>
            </w:r>
          </w:p>
        </w:tc>
        <w:tc>
          <w:tcPr>
            <w:tcW w:w="4395" w:type="dxa"/>
            <w:shd w:val="clear" w:color="auto" w:fill="FFFFFF" w:themeFill="background1"/>
          </w:tcPr>
          <w:p w:rsidR="006165CC" w:rsidRDefault="006165CC" w:rsidP="006165CC">
            <w:pPr>
              <w:rPr>
                <w:rFonts w:ascii="Segoe UI" w:hAnsi="Segoe UI" w:cs="Segoe UI"/>
                <w:sz w:val="20"/>
                <w:szCs w:val="20"/>
              </w:rPr>
            </w:pPr>
            <w:r w:rsidRPr="006165CC">
              <w:rPr>
                <w:rFonts w:ascii="Segoe UI" w:hAnsi="Segoe UI" w:cs="Segoe UI"/>
                <w:sz w:val="20"/>
                <w:szCs w:val="22"/>
              </w:rPr>
              <w:t xml:space="preserve">There has been an unprecedented and unrelenting increase in HART delays since Oct, together with reduced social capacity in parts of the county.  Of the 59 reported delayed patients at the last snapshot 49% (29) were awaiting HART intervention and 20% awaiting social care intervention.  9 of the 15 delays attributed to health were patient choice and the remaining 6 are waiting for Elderly Mental Illness (EMI)/Nursing Homes (NH) placement, equipment, housing or continuing healthcare assessment.  The </w:t>
            </w:r>
            <w:r w:rsidRPr="006165CC">
              <w:rPr>
                <w:rFonts w:ascii="Segoe UI" w:hAnsi="Segoe UI" w:cs="Segoe UI"/>
                <w:sz w:val="20"/>
                <w:szCs w:val="20"/>
              </w:rPr>
              <w:t xml:space="preserve">average DTOC over the past 8 weeks is 57 against the target of 15. </w:t>
            </w:r>
          </w:p>
          <w:p w:rsidR="00994424" w:rsidRDefault="00994424" w:rsidP="006165CC">
            <w:pPr>
              <w:rPr>
                <w:rFonts w:ascii="Segoe UI" w:hAnsi="Segoe UI" w:cs="Segoe UI"/>
                <w:sz w:val="20"/>
                <w:szCs w:val="20"/>
              </w:rPr>
            </w:pPr>
          </w:p>
          <w:p w:rsidR="00994424" w:rsidRPr="006165CC" w:rsidRDefault="00094200" w:rsidP="00DC0FD2">
            <w:pPr>
              <w:rPr>
                <w:rFonts w:ascii="Segoe UI" w:hAnsi="Segoe UI" w:cs="Segoe UI"/>
                <w:sz w:val="20"/>
                <w:szCs w:val="22"/>
              </w:rPr>
            </w:pPr>
            <w:r>
              <w:rPr>
                <w:rFonts w:ascii="Segoe UI" w:hAnsi="Segoe UI" w:cs="Segoe UI"/>
                <w:sz w:val="20"/>
                <w:szCs w:val="20"/>
              </w:rPr>
              <w:t>Since 1 October the number of beddays lost to DTOC is 8,115 of which 4,487 are attributable to ‘both</w:t>
            </w:r>
            <w:r w:rsidR="00DC0FD2">
              <w:rPr>
                <w:rFonts w:ascii="Segoe UI" w:hAnsi="Segoe UI" w:cs="Segoe UI"/>
                <w:sz w:val="20"/>
                <w:szCs w:val="20"/>
              </w:rPr>
              <w:t>’ which includes HART delays.</w:t>
            </w:r>
            <w:r>
              <w:rPr>
                <w:rFonts w:ascii="Segoe UI" w:hAnsi="Segoe UI" w:cs="Segoe UI"/>
                <w:sz w:val="20"/>
                <w:szCs w:val="20"/>
              </w:rPr>
              <w:t xml:space="preserve"> 1,096 are</w:t>
            </w:r>
            <w:r w:rsidR="00DC0FD2">
              <w:rPr>
                <w:rFonts w:ascii="Segoe UI" w:hAnsi="Segoe UI" w:cs="Segoe UI"/>
                <w:sz w:val="20"/>
                <w:szCs w:val="20"/>
              </w:rPr>
              <w:t xml:space="preserve"> solely</w:t>
            </w:r>
            <w:r>
              <w:rPr>
                <w:rFonts w:ascii="Segoe UI" w:hAnsi="Segoe UI" w:cs="Segoe UI"/>
                <w:sz w:val="20"/>
                <w:szCs w:val="20"/>
              </w:rPr>
              <w:t xml:space="preserve"> attributable to Social Services.  This equates financially to £1,054,950, £583,310 and £142,480 respectively based on a bedday cost of £130.</w:t>
            </w:r>
          </w:p>
        </w:tc>
      </w:tr>
      <w:tr w:rsidR="006165CC" w:rsidRPr="006165CC" w:rsidTr="00EC32F7">
        <w:trPr>
          <w:trHeight w:val="476"/>
        </w:trPr>
        <w:tc>
          <w:tcPr>
            <w:tcW w:w="1277" w:type="dxa"/>
          </w:tcPr>
          <w:p w:rsidR="006165CC" w:rsidRPr="006165CC" w:rsidRDefault="006165CC" w:rsidP="006165CC">
            <w:pPr>
              <w:rPr>
                <w:rFonts w:ascii="Segoe UI" w:hAnsi="Segoe UI" w:cs="Segoe UI"/>
                <w:sz w:val="20"/>
                <w:szCs w:val="22"/>
              </w:rPr>
            </w:pPr>
            <w:r w:rsidRPr="006165CC">
              <w:rPr>
                <w:rFonts w:ascii="Segoe UI" w:hAnsi="Segoe UI" w:cs="Segoe UI"/>
                <w:sz w:val="20"/>
                <w:szCs w:val="22"/>
              </w:rPr>
              <w:t>MSK Physio</w:t>
            </w:r>
          </w:p>
        </w:tc>
        <w:tc>
          <w:tcPr>
            <w:tcW w:w="850" w:type="dxa"/>
          </w:tcPr>
          <w:p w:rsidR="006165CC" w:rsidRPr="006165CC" w:rsidRDefault="006165CC" w:rsidP="006165CC">
            <w:pPr>
              <w:rPr>
                <w:rFonts w:ascii="Segoe UI" w:hAnsi="Segoe UI" w:cs="Segoe UI"/>
                <w:b/>
                <w:sz w:val="20"/>
                <w:szCs w:val="22"/>
              </w:rPr>
            </w:pPr>
            <w:r w:rsidRPr="006165CC">
              <w:rPr>
                <w:rFonts w:ascii="Segoe UI" w:hAnsi="Segoe UI" w:cs="Segoe UI"/>
                <w:b/>
                <w:sz w:val="20"/>
                <w:szCs w:val="22"/>
              </w:rPr>
              <w:t>CS</w:t>
            </w:r>
          </w:p>
          <w:p w:rsidR="006165CC" w:rsidRPr="006165CC" w:rsidRDefault="006165CC" w:rsidP="006165CC">
            <w:pPr>
              <w:rPr>
                <w:rFonts w:ascii="Segoe UI" w:hAnsi="Segoe UI" w:cs="Segoe UI"/>
                <w:sz w:val="20"/>
                <w:szCs w:val="22"/>
              </w:rPr>
            </w:pPr>
            <w:r w:rsidRPr="006165CC">
              <w:rPr>
                <w:rFonts w:ascii="Segoe UI" w:hAnsi="Segoe UI" w:cs="Segoe UI"/>
                <w:sz w:val="20"/>
                <w:szCs w:val="22"/>
              </w:rPr>
              <w:t>D8b</w:t>
            </w:r>
          </w:p>
        </w:tc>
        <w:tc>
          <w:tcPr>
            <w:tcW w:w="1843" w:type="dxa"/>
          </w:tcPr>
          <w:p w:rsidR="006165CC" w:rsidRPr="006165CC" w:rsidRDefault="006165CC" w:rsidP="006165CC">
            <w:pPr>
              <w:rPr>
                <w:rFonts w:ascii="Segoe UI" w:hAnsi="Segoe UI" w:cs="Segoe UI"/>
                <w:b/>
                <w:sz w:val="20"/>
                <w:szCs w:val="22"/>
              </w:rPr>
            </w:pPr>
            <w:r w:rsidRPr="006165CC">
              <w:rPr>
                <w:rFonts w:ascii="Segoe UI" w:hAnsi="Segoe UI" w:cs="Segoe UI"/>
                <w:b/>
                <w:sz w:val="20"/>
                <w:szCs w:val="22"/>
              </w:rPr>
              <w:t xml:space="preserve">% patients will wait no longer than 12 weeks to first appointment offered </w:t>
            </w:r>
          </w:p>
        </w:tc>
        <w:tc>
          <w:tcPr>
            <w:tcW w:w="992" w:type="dxa"/>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95%</w:t>
            </w:r>
          </w:p>
        </w:tc>
        <w:tc>
          <w:tcPr>
            <w:tcW w:w="851" w:type="dxa"/>
            <w:shd w:val="clear" w:color="auto" w:fill="FF0000"/>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72%</w:t>
            </w:r>
          </w:p>
        </w:tc>
        <w:tc>
          <w:tcPr>
            <w:tcW w:w="3402" w:type="dxa"/>
            <w:shd w:val="clear" w:color="auto" w:fill="FFFFFF" w:themeFill="background1"/>
          </w:tcPr>
          <w:p w:rsidR="006165CC" w:rsidRPr="006165CC" w:rsidRDefault="006165CC" w:rsidP="006165CC">
            <w:pPr>
              <w:ind w:left="-108"/>
              <w:rPr>
                <w:noProof/>
              </w:rPr>
            </w:pPr>
            <w:r w:rsidRPr="006165CC">
              <w:rPr>
                <w:noProof/>
              </w:rPr>
              <w:drawing>
                <wp:inline distT="0" distB="0" distL="0" distR="0" wp14:anchorId="24434D14" wp14:editId="44F0C165">
                  <wp:extent cx="2149434" cy="1864426"/>
                  <wp:effectExtent l="0" t="0" r="22860" b="2159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c>
          <w:tcPr>
            <w:tcW w:w="1701" w:type="dxa"/>
            <w:shd w:val="clear" w:color="auto" w:fill="FFFFFF" w:themeFill="background1"/>
          </w:tcPr>
          <w:p w:rsidR="006165CC" w:rsidRPr="006165CC" w:rsidRDefault="006165CC" w:rsidP="006165CC">
            <w:pPr>
              <w:rPr>
                <w:noProof/>
              </w:rPr>
            </w:pPr>
            <w:r w:rsidRPr="006165CC">
              <w:rPr>
                <w:rFonts w:ascii="Segoe UI" w:hAnsi="Segoe UI" w:cs="Segoe UI"/>
                <w:sz w:val="20"/>
                <w:szCs w:val="22"/>
              </w:rPr>
              <w:t>Extended waits for assessment and treatment, patient dissatisfaction, condition exacerbation</w:t>
            </w:r>
            <w:r w:rsidRPr="006165CC">
              <w:rPr>
                <w:noProof/>
              </w:rPr>
              <w:t xml:space="preserve"> </w:t>
            </w:r>
          </w:p>
        </w:tc>
        <w:tc>
          <w:tcPr>
            <w:tcW w:w="4395" w:type="dxa"/>
            <w:shd w:val="clear" w:color="auto" w:fill="FFFFFF" w:themeFill="background1"/>
          </w:tcPr>
          <w:p w:rsidR="006165CC" w:rsidRPr="006165CC" w:rsidRDefault="006165CC" w:rsidP="006165CC">
            <w:pPr>
              <w:rPr>
                <w:rFonts w:ascii="Segoe UI" w:hAnsi="Segoe UI" w:cs="Segoe UI"/>
                <w:sz w:val="20"/>
                <w:szCs w:val="22"/>
              </w:rPr>
            </w:pPr>
            <w:r w:rsidRPr="006165CC">
              <w:rPr>
                <w:rFonts w:ascii="Segoe UI" w:hAnsi="Segoe UI" w:cs="Segoe UI"/>
                <w:sz w:val="20"/>
                <w:szCs w:val="22"/>
              </w:rPr>
              <w:t>Performance continues to decline following the withdrawal of additional CCG funding in April 2016. The service is endeavouring to manage over activity by way of a reduced new patient to follow up ratio, however this falls below national benchmarking.    Referral patterns for more complex referrals (i.e. trauma) have increased which is further exacerbating the capacity issue.  The service is currently out to tender.  The Trust has submitted an expression of interest and is in dialogue with OCCG.</w:t>
            </w:r>
          </w:p>
        </w:tc>
      </w:tr>
      <w:tr w:rsidR="006165CC" w:rsidRPr="006165CC" w:rsidTr="00EC32F7">
        <w:trPr>
          <w:trHeight w:val="2208"/>
        </w:trPr>
        <w:tc>
          <w:tcPr>
            <w:tcW w:w="1277" w:type="dxa"/>
          </w:tcPr>
          <w:p w:rsidR="006165CC" w:rsidRPr="006165CC" w:rsidRDefault="006165CC" w:rsidP="006165CC">
            <w:pPr>
              <w:rPr>
                <w:rFonts w:ascii="Segoe UI" w:hAnsi="Segoe UI" w:cs="Segoe UI"/>
                <w:sz w:val="20"/>
                <w:szCs w:val="22"/>
              </w:rPr>
            </w:pPr>
            <w:r w:rsidRPr="006165CC">
              <w:rPr>
                <w:rFonts w:ascii="Segoe UI" w:hAnsi="Segoe UI" w:cs="Segoe UI"/>
                <w:sz w:val="20"/>
                <w:szCs w:val="22"/>
              </w:rPr>
              <w:t>OA Mental Health</w:t>
            </w:r>
          </w:p>
        </w:tc>
        <w:tc>
          <w:tcPr>
            <w:tcW w:w="850" w:type="dxa"/>
          </w:tcPr>
          <w:p w:rsidR="006165CC" w:rsidRPr="006165CC" w:rsidRDefault="006165CC" w:rsidP="006165CC">
            <w:pPr>
              <w:rPr>
                <w:rFonts w:ascii="Segoe UI" w:hAnsi="Segoe UI" w:cs="Segoe UI"/>
                <w:sz w:val="20"/>
                <w:szCs w:val="22"/>
              </w:rPr>
            </w:pPr>
            <w:r w:rsidRPr="006165CC">
              <w:rPr>
                <w:rFonts w:ascii="Segoe UI" w:hAnsi="Segoe UI" w:cs="Segoe UI"/>
                <w:b/>
                <w:sz w:val="20"/>
                <w:szCs w:val="22"/>
              </w:rPr>
              <w:t>MH</w:t>
            </w:r>
            <w:r w:rsidRPr="006165CC">
              <w:rPr>
                <w:rFonts w:ascii="Segoe UI" w:hAnsi="Segoe UI" w:cs="Segoe UI"/>
                <w:sz w:val="20"/>
                <w:szCs w:val="22"/>
              </w:rPr>
              <w:t xml:space="preserve"> H4</w:t>
            </w:r>
          </w:p>
        </w:tc>
        <w:tc>
          <w:tcPr>
            <w:tcW w:w="1843" w:type="dxa"/>
          </w:tcPr>
          <w:p w:rsidR="006165CC" w:rsidRPr="006165CC" w:rsidRDefault="006165CC" w:rsidP="00510767">
            <w:pPr>
              <w:rPr>
                <w:rFonts w:ascii="Segoe UI" w:hAnsi="Segoe UI" w:cs="Segoe UI"/>
                <w:b/>
                <w:sz w:val="20"/>
                <w:szCs w:val="22"/>
              </w:rPr>
            </w:pPr>
            <w:r w:rsidRPr="006165CC">
              <w:rPr>
                <w:rFonts w:ascii="Segoe UI" w:hAnsi="Segoe UI" w:cs="Segoe UI"/>
                <w:b/>
                <w:sz w:val="20"/>
                <w:szCs w:val="22"/>
              </w:rPr>
              <w:t xml:space="preserve">People with mild cognitive impairment </w:t>
            </w:r>
            <w:r w:rsidRPr="006165CC">
              <w:rPr>
                <w:rFonts w:ascii="Segoe UI" w:hAnsi="Segoe UI" w:cs="Segoe UI"/>
                <w:sz w:val="20"/>
                <w:szCs w:val="22"/>
              </w:rPr>
              <w:t>will have one follow up appointment  6 - 12 months following first a</w:t>
            </w:r>
            <w:r w:rsidR="00510767">
              <w:rPr>
                <w:rFonts w:ascii="Segoe UI" w:hAnsi="Segoe UI" w:cs="Segoe UI"/>
                <w:sz w:val="20"/>
                <w:szCs w:val="22"/>
              </w:rPr>
              <w:t>ssessment</w:t>
            </w:r>
            <w:r w:rsidRPr="006165CC">
              <w:rPr>
                <w:rFonts w:ascii="Segoe UI" w:hAnsi="Segoe UI" w:cs="Segoe UI"/>
                <w:sz w:val="20"/>
                <w:szCs w:val="22"/>
              </w:rPr>
              <w:t xml:space="preserve"> </w:t>
            </w:r>
          </w:p>
        </w:tc>
        <w:tc>
          <w:tcPr>
            <w:tcW w:w="992" w:type="dxa"/>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95%</w:t>
            </w:r>
          </w:p>
        </w:tc>
        <w:tc>
          <w:tcPr>
            <w:tcW w:w="851" w:type="dxa"/>
            <w:shd w:val="clear" w:color="auto" w:fill="FF0000"/>
            <w:vAlign w:val="center"/>
          </w:tcPr>
          <w:p w:rsidR="006165CC" w:rsidRPr="006165CC" w:rsidRDefault="006165CC" w:rsidP="006165CC">
            <w:pPr>
              <w:jc w:val="center"/>
              <w:rPr>
                <w:rFonts w:ascii="Segoe UI" w:hAnsi="Segoe UI" w:cs="Segoe UI"/>
                <w:sz w:val="20"/>
                <w:szCs w:val="22"/>
              </w:rPr>
            </w:pPr>
            <w:r w:rsidRPr="006165CC">
              <w:rPr>
                <w:rFonts w:ascii="Segoe UI" w:hAnsi="Segoe UI" w:cs="Segoe UI"/>
                <w:sz w:val="20"/>
                <w:szCs w:val="22"/>
              </w:rPr>
              <w:t>83%</w:t>
            </w:r>
          </w:p>
        </w:tc>
        <w:tc>
          <w:tcPr>
            <w:tcW w:w="3402" w:type="dxa"/>
            <w:shd w:val="clear" w:color="auto" w:fill="FFFFFF" w:themeFill="background1"/>
          </w:tcPr>
          <w:p w:rsidR="006165CC" w:rsidRPr="006165CC" w:rsidRDefault="006165CC" w:rsidP="006165CC">
            <w:pPr>
              <w:ind w:left="-110" w:right="-108"/>
              <w:rPr>
                <w:rFonts w:ascii="Segoe UI" w:hAnsi="Segoe UI" w:cs="Segoe UI"/>
                <w:sz w:val="20"/>
                <w:szCs w:val="22"/>
              </w:rPr>
            </w:pPr>
            <w:r w:rsidRPr="006165CC">
              <w:rPr>
                <w:noProof/>
              </w:rPr>
              <w:drawing>
                <wp:inline distT="0" distB="0" distL="0" distR="0" wp14:anchorId="44749F5D" wp14:editId="491280C9">
                  <wp:extent cx="2181225" cy="2028825"/>
                  <wp:effectExtent l="0" t="0" r="9525" b="9525"/>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1701" w:type="dxa"/>
            <w:shd w:val="clear" w:color="auto" w:fill="FFFFFF" w:themeFill="background1"/>
          </w:tcPr>
          <w:p w:rsidR="006165CC" w:rsidRPr="006165CC" w:rsidRDefault="006165CC" w:rsidP="006165CC">
            <w:pPr>
              <w:rPr>
                <w:rFonts w:ascii="Segoe UI" w:hAnsi="Segoe UI" w:cs="Segoe UI"/>
                <w:sz w:val="20"/>
                <w:szCs w:val="22"/>
              </w:rPr>
            </w:pPr>
            <w:r w:rsidRPr="006165CC">
              <w:rPr>
                <w:rFonts w:ascii="Segoe UI" w:hAnsi="Segoe UI" w:cs="Segoe UI"/>
                <w:sz w:val="20"/>
                <w:szCs w:val="22"/>
              </w:rPr>
              <w:t>Not applicable</w:t>
            </w:r>
          </w:p>
        </w:tc>
        <w:tc>
          <w:tcPr>
            <w:tcW w:w="4395" w:type="dxa"/>
            <w:shd w:val="clear" w:color="auto" w:fill="FFFFFF" w:themeFill="background1"/>
          </w:tcPr>
          <w:p w:rsidR="006165CC" w:rsidRPr="006165CC" w:rsidRDefault="006165CC" w:rsidP="006165CC">
            <w:pPr>
              <w:rPr>
                <w:rFonts w:ascii="Segoe UI" w:hAnsi="Segoe UI" w:cs="Segoe UI"/>
                <w:sz w:val="20"/>
                <w:szCs w:val="22"/>
              </w:rPr>
            </w:pPr>
            <w:r w:rsidRPr="006165CC">
              <w:rPr>
                <w:rFonts w:ascii="Segoe UI" w:hAnsi="Segoe UI" w:cs="Segoe UI"/>
                <w:sz w:val="20"/>
                <w:szCs w:val="22"/>
              </w:rPr>
              <w:t xml:space="preserve">As of 14th Dec 2016 teams have reviewed practice and patients diagnosed with MCI in Clusters 18 and will remain open on caseload to ensure a follow up review appointment takes place between 6 and 12 months.  </w:t>
            </w:r>
          </w:p>
          <w:p w:rsidR="006165CC" w:rsidRPr="006165CC" w:rsidRDefault="006165CC" w:rsidP="006165CC">
            <w:pPr>
              <w:rPr>
                <w:rFonts w:ascii="Segoe UI" w:hAnsi="Segoe UI" w:cs="Segoe UI"/>
                <w:sz w:val="20"/>
                <w:szCs w:val="22"/>
              </w:rPr>
            </w:pPr>
          </w:p>
          <w:p w:rsidR="006165CC" w:rsidRPr="006165CC" w:rsidRDefault="006165CC" w:rsidP="006165CC">
            <w:pPr>
              <w:rPr>
                <w:rFonts w:ascii="Segoe UI" w:hAnsi="Segoe UI" w:cs="Segoe UI"/>
                <w:sz w:val="20"/>
                <w:szCs w:val="22"/>
              </w:rPr>
            </w:pPr>
            <w:r w:rsidRPr="006165CC">
              <w:rPr>
                <w:rFonts w:ascii="Segoe UI" w:hAnsi="Segoe UI" w:cs="Segoe UI"/>
                <w:sz w:val="20"/>
                <w:szCs w:val="22"/>
              </w:rPr>
              <w:t>In March, there were two breaches; 1 patient seen under old operational practice of seen and discharged so no review and 1 due to patient cancellation (was seen on 24/03/16 – offered a follow up on 23/03/17- cancelled this and is due to be seen on 13/04/17).</w:t>
            </w:r>
          </w:p>
        </w:tc>
      </w:tr>
      <w:tr w:rsidR="00382E6B" w:rsidRPr="006165CC" w:rsidTr="00382E6B">
        <w:trPr>
          <w:trHeight w:val="2208"/>
        </w:trPr>
        <w:tc>
          <w:tcPr>
            <w:tcW w:w="1277" w:type="dxa"/>
          </w:tcPr>
          <w:p w:rsidR="00382E6B" w:rsidRDefault="00382E6B" w:rsidP="00EC32F7">
            <w:pPr>
              <w:ind w:right="-16"/>
              <w:rPr>
                <w:rFonts w:ascii="Segoe UI" w:hAnsi="Segoe UI" w:cs="Segoe UI"/>
                <w:sz w:val="20"/>
                <w:szCs w:val="22"/>
              </w:rPr>
            </w:pPr>
            <w:r>
              <w:rPr>
                <w:rFonts w:ascii="Segoe UI" w:hAnsi="Segoe UI" w:cs="Segoe UI"/>
                <w:sz w:val="20"/>
                <w:szCs w:val="22"/>
              </w:rPr>
              <w:t>Chiltern Schedule 4 (Bucks)</w:t>
            </w:r>
          </w:p>
        </w:tc>
        <w:tc>
          <w:tcPr>
            <w:tcW w:w="850" w:type="dxa"/>
          </w:tcPr>
          <w:p w:rsidR="00382E6B" w:rsidRPr="007C0B9F" w:rsidRDefault="00382E6B" w:rsidP="00EC32F7">
            <w:pPr>
              <w:rPr>
                <w:rFonts w:ascii="Segoe UI" w:hAnsi="Segoe UI" w:cs="Segoe UI"/>
                <w:color w:val="000000"/>
                <w:sz w:val="20"/>
                <w:szCs w:val="20"/>
              </w:rPr>
            </w:pPr>
            <w:r w:rsidRPr="007C0B9F">
              <w:rPr>
                <w:rFonts w:ascii="Segoe UI" w:hAnsi="Segoe UI" w:cs="Segoe UI"/>
                <w:color w:val="000000"/>
                <w:sz w:val="20"/>
                <w:szCs w:val="20"/>
              </w:rPr>
              <w:t>Pr04iii</w:t>
            </w:r>
          </w:p>
        </w:tc>
        <w:tc>
          <w:tcPr>
            <w:tcW w:w="1843" w:type="dxa"/>
          </w:tcPr>
          <w:p w:rsidR="00382E6B" w:rsidRPr="007C0B9F" w:rsidRDefault="00382E6B" w:rsidP="00382E6B">
            <w:pPr>
              <w:rPr>
                <w:rFonts w:ascii="Segoe UI" w:hAnsi="Segoe UI" w:cs="Segoe UI"/>
                <w:color w:val="000000"/>
                <w:sz w:val="20"/>
                <w:szCs w:val="20"/>
              </w:rPr>
            </w:pPr>
            <w:r w:rsidRPr="007C0B9F">
              <w:rPr>
                <w:rFonts w:ascii="Segoe UI" w:hAnsi="Segoe UI" w:cs="Segoe UI"/>
                <w:color w:val="000000"/>
                <w:sz w:val="20"/>
                <w:szCs w:val="20"/>
              </w:rPr>
              <w:t xml:space="preserve">Routine (non-emergency) referral to Mental Health Team will be seen within 28 consecutive days for assessment.  </w:t>
            </w:r>
          </w:p>
        </w:tc>
        <w:tc>
          <w:tcPr>
            <w:tcW w:w="992" w:type="dxa"/>
            <w:vAlign w:val="center"/>
          </w:tcPr>
          <w:p w:rsidR="00382E6B" w:rsidRPr="007C0B9F" w:rsidRDefault="00382E6B" w:rsidP="00EC32F7">
            <w:pPr>
              <w:jc w:val="center"/>
              <w:rPr>
                <w:rFonts w:ascii="Segoe UI" w:hAnsi="Segoe UI" w:cs="Segoe UI"/>
                <w:sz w:val="20"/>
                <w:szCs w:val="20"/>
              </w:rPr>
            </w:pPr>
            <w:r w:rsidRPr="007C0B9F">
              <w:rPr>
                <w:rFonts w:ascii="Segoe UI" w:hAnsi="Segoe UI" w:cs="Segoe UI"/>
                <w:sz w:val="20"/>
                <w:szCs w:val="20"/>
              </w:rPr>
              <w:t>95%</w:t>
            </w:r>
          </w:p>
        </w:tc>
        <w:tc>
          <w:tcPr>
            <w:tcW w:w="851" w:type="dxa"/>
            <w:shd w:val="clear" w:color="auto" w:fill="FF0000"/>
            <w:vAlign w:val="center"/>
          </w:tcPr>
          <w:p w:rsidR="00382E6B" w:rsidRDefault="003562B8" w:rsidP="00EC32F7">
            <w:pPr>
              <w:jc w:val="center"/>
              <w:rPr>
                <w:rFonts w:ascii="Segoe UI" w:hAnsi="Segoe UI" w:cs="Segoe UI"/>
                <w:sz w:val="20"/>
                <w:szCs w:val="22"/>
              </w:rPr>
            </w:pPr>
            <w:r>
              <w:rPr>
                <w:rFonts w:ascii="Segoe UI" w:hAnsi="Segoe UI" w:cs="Segoe UI"/>
                <w:sz w:val="20"/>
                <w:szCs w:val="22"/>
              </w:rPr>
              <w:t>78</w:t>
            </w:r>
            <w:r w:rsidR="00382E6B">
              <w:rPr>
                <w:rFonts w:ascii="Segoe UI" w:hAnsi="Segoe UI" w:cs="Segoe UI"/>
                <w:sz w:val="20"/>
                <w:szCs w:val="22"/>
              </w:rPr>
              <w:t>%</w:t>
            </w:r>
          </w:p>
        </w:tc>
        <w:tc>
          <w:tcPr>
            <w:tcW w:w="3402" w:type="dxa"/>
            <w:shd w:val="clear" w:color="auto" w:fill="FFFFFF" w:themeFill="background1"/>
          </w:tcPr>
          <w:p w:rsidR="00382E6B" w:rsidRDefault="00382E6B" w:rsidP="00382E6B">
            <w:pPr>
              <w:ind w:left="-108"/>
              <w:rPr>
                <w:noProof/>
              </w:rPr>
            </w:pPr>
            <w:r>
              <w:rPr>
                <w:noProof/>
              </w:rPr>
              <w:drawing>
                <wp:inline distT="0" distB="0" distL="0" distR="0" wp14:anchorId="1E09E97E" wp14:editId="7D4F5658">
                  <wp:extent cx="2173185" cy="1769424"/>
                  <wp:effectExtent l="0" t="0" r="17780" b="215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c>
          <w:tcPr>
            <w:tcW w:w="1701" w:type="dxa"/>
            <w:shd w:val="clear" w:color="auto" w:fill="FFFFFF" w:themeFill="background1"/>
          </w:tcPr>
          <w:p w:rsidR="00382E6B" w:rsidRDefault="00382E6B" w:rsidP="00EC32F7">
            <w:pPr>
              <w:rPr>
                <w:rFonts w:ascii="Segoe UI" w:hAnsi="Segoe UI" w:cs="Segoe UI"/>
                <w:sz w:val="20"/>
                <w:szCs w:val="22"/>
              </w:rPr>
            </w:pPr>
            <w:r>
              <w:rPr>
                <w:rFonts w:ascii="Segoe UI" w:hAnsi="Segoe UI" w:cs="Segoe UI"/>
                <w:sz w:val="20"/>
                <w:szCs w:val="22"/>
              </w:rPr>
              <w:t>Delay in patient receiving care which could lead to harm re: mental &amp; physical health</w:t>
            </w:r>
          </w:p>
        </w:tc>
        <w:tc>
          <w:tcPr>
            <w:tcW w:w="4395" w:type="dxa"/>
            <w:shd w:val="clear" w:color="auto" w:fill="FFFFFF" w:themeFill="background1"/>
          </w:tcPr>
          <w:p w:rsidR="00382E6B" w:rsidRPr="009323E2" w:rsidRDefault="00382E6B" w:rsidP="00CD71C0">
            <w:pPr>
              <w:rPr>
                <w:rFonts w:ascii="Segoe UI" w:hAnsi="Segoe UI" w:cs="Segoe UI"/>
                <w:sz w:val="20"/>
                <w:szCs w:val="22"/>
              </w:rPr>
            </w:pPr>
            <w:r>
              <w:rPr>
                <w:rFonts w:ascii="Segoe UI" w:hAnsi="Segoe UI" w:cs="Segoe UI"/>
                <w:sz w:val="20"/>
                <w:szCs w:val="22"/>
              </w:rPr>
              <w:t xml:space="preserve">There are </w:t>
            </w:r>
            <w:r w:rsidRPr="00543EA2">
              <w:rPr>
                <w:rFonts w:ascii="Segoe UI" w:hAnsi="Segoe UI" w:cs="Segoe UI"/>
                <w:sz w:val="20"/>
                <w:szCs w:val="22"/>
              </w:rPr>
              <w:t>concerns with the accuracy of the report producing these figures this month</w:t>
            </w:r>
            <w:r>
              <w:rPr>
                <w:rFonts w:ascii="Segoe UI" w:hAnsi="Segoe UI" w:cs="Segoe UI"/>
                <w:sz w:val="20"/>
                <w:szCs w:val="22"/>
              </w:rPr>
              <w:t xml:space="preserve"> which is being investigated</w:t>
            </w:r>
            <w:r w:rsidRPr="00543EA2">
              <w:rPr>
                <w:rFonts w:ascii="Segoe UI" w:hAnsi="Segoe UI" w:cs="Segoe UI"/>
                <w:sz w:val="20"/>
                <w:szCs w:val="22"/>
              </w:rPr>
              <w:t xml:space="preserve">. </w:t>
            </w:r>
            <w:r w:rsidR="00CD71C0">
              <w:rPr>
                <w:rFonts w:ascii="Segoe UI" w:hAnsi="Segoe UI" w:cs="Segoe UI"/>
                <w:sz w:val="20"/>
                <w:szCs w:val="22"/>
              </w:rPr>
              <w:t>R</w:t>
            </w:r>
            <w:r w:rsidRPr="00543EA2">
              <w:rPr>
                <w:rFonts w:ascii="Segoe UI" w:hAnsi="Segoe UI" w:cs="Segoe UI"/>
                <w:sz w:val="20"/>
                <w:szCs w:val="22"/>
              </w:rPr>
              <w:t xml:space="preserve">efreshed figures with accompanying narrative </w:t>
            </w:r>
            <w:r w:rsidR="00CD71C0">
              <w:rPr>
                <w:rFonts w:ascii="Segoe UI" w:hAnsi="Segoe UI" w:cs="Segoe UI"/>
                <w:sz w:val="20"/>
                <w:szCs w:val="22"/>
              </w:rPr>
              <w:t>will be provided.</w:t>
            </w:r>
          </w:p>
        </w:tc>
      </w:tr>
    </w:tbl>
    <w:p w:rsidR="004551C0" w:rsidRPr="004551C0" w:rsidRDefault="004551C0" w:rsidP="004551C0">
      <w:pPr>
        <w:rPr>
          <w:rFonts w:ascii="Segoe UI" w:hAnsi="Segoe UI" w:cs="Segoe UI"/>
          <w:sz w:val="22"/>
          <w:szCs w:val="22"/>
        </w:rPr>
      </w:pPr>
    </w:p>
    <w:p w:rsidR="004551C0" w:rsidRPr="004551C0" w:rsidRDefault="004551C0" w:rsidP="004551C0">
      <w:pPr>
        <w:rPr>
          <w:rFonts w:ascii="Segoe UI" w:hAnsi="Segoe UI" w:cs="Segoe UI"/>
          <w:sz w:val="22"/>
          <w:szCs w:val="22"/>
        </w:rPr>
        <w:sectPr w:rsidR="004551C0" w:rsidRPr="004551C0" w:rsidSect="003D0593">
          <w:type w:val="continuous"/>
          <w:pgSz w:w="16838" w:h="11906" w:orient="landscape"/>
          <w:pgMar w:top="851" w:right="1245" w:bottom="567" w:left="1134" w:header="284" w:footer="221" w:gutter="0"/>
          <w:cols w:space="851"/>
          <w:docGrid w:linePitch="360"/>
        </w:sectPr>
      </w:pPr>
    </w:p>
    <w:p w:rsidR="003D0593" w:rsidRDefault="003D0593" w:rsidP="004551C0">
      <w:pPr>
        <w:rPr>
          <w:rFonts w:ascii="Segoe UI" w:hAnsi="Segoe UI" w:cs="Segoe UI"/>
          <w:b/>
          <w:sz w:val="22"/>
          <w:szCs w:val="22"/>
        </w:rPr>
        <w:sectPr w:rsidR="003D0593" w:rsidSect="003D0593">
          <w:footerReference w:type="default" r:id="rId30"/>
          <w:type w:val="continuous"/>
          <w:pgSz w:w="16838" w:h="11906" w:orient="landscape"/>
          <w:pgMar w:top="993" w:right="1245" w:bottom="567" w:left="1134" w:header="708" w:footer="221" w:gutter="0"/>
          <w:cols w:num="2" w:space="851"/>
          <w:docGrid w:linePitch="360"/>
        </w:sectPr>
      </w:pPr>
    </w:p>
    <w:p w:rsidR="00A2656F" w:rsidRDefault="00A2656F" w:rsidP="004551C0">
      <w:pPr>
        <w:rPr>
          <w:rFonts w:ascii="Segoe UI" w:hAnsi="Segoe UI" w:cs="Segoe UI"/>
          <w:b/>
          <w:sz w:val="22"/>
          <w:szCs w:val="22"/>
        </w:rPr>
      </w:pPr>
    </w:p>
    <w:p w:rsidR="00A2656F" w:rsidRDefault="00A2656F" w:rsidP="004551C0">
      <w:pPr>
        <w:rPr>
          <w:rFonts w:ascii="Segoe UI" w:hAnsi="Segoe UI" w:cs="Segoe UI"/>
          <w:b/>
          <w:sz w:val="22"/>
          <w:szCs w:val="22"/>
        </w:rPr>
      </w:pPr>
    </w:p>
    <w:p w:rsidR="00A2656F" w:rsidRDefault="00A2656F" w:rsidP="004551C0">
      <w:pPr>
        <w:rPr>
          <w:rFonts w:ascii="Segoe UI" w:hAnsi="Segoe UI" w:cs="Segoe UI"/>
          <w:b/>
          <w:sz w:val="22"/>
          <w:szCs w:val="22"/>
        </w:rPr>
      </w:pPr>
    </w:p>
    <w:p w:rsidR="00A2656F" w:rsidRDefault="00A2656F" w:rsidP="004551C0">
      <w:pPr>
        <w:rPr>
          <w:rFonts w:ascii="Segoe UI" w:hAnsi="Segoe UI" w:cs="Segoe UI"/>
          <w:b/>
          <w:sz w:val="22"/>
          <w:szCs w:val="22"/>
        </w:rPr>
      </w:pPr>
    </w:p>
    <w:p w:rsidR="00A2656F" w:rsidRDefault="00A2656F" w:rsidP="004551C0">
      <w:pPr>
        <w:rPr>
          <w:rFonts w:ascii="Segoe UI" w:hAnsi="Segoe UI" w:cs="Segoe UI"/>
          <w:b/>
          <w:sz w:val="22"/>
          <w:szCs w:val="22"/>
        </w:rPr>
      </w:pPr>
    </w:p>
    <w:p w:rsidR="00A2656F" w:rsidRDefault="00A2656F" w:rsidP="004551C0">
      <w:pPr>
        <w:rPr>
          <w:rFonts w:ascii="Segoe UI" w:hAnsi="Segoe UI" w:cs="Segoe UI"/>
          <w:b/>
          <w:sz w:val="22"/>
          <w:szCs w:val="22"/>
        </w:rPr>
      </w:pPr>
    </w:p>
    <w:p w:rsidR="00A2656F" w:rsidRDefault="00A2656F" w:rsidP="004551C0">
      <w:pPr>
        <w:rPr>
          <w:rFonts w:ascii="Segoe UI" w:hAnsi="Segoe UI" w:cs="Segoe UI"/>
          <w:b/>
          <w:sz w:val="22"/>
          <w:szCs w:val="22"/>
        </w:rPr>
      </w:pPr>
    </w:p>
    <w:p w:rsidR="00A2656F" w:rsidRDefault="00A2656F" w:rsidP="004551C0">
      <w:pPr>
        <w:rPr>
          <w:rFonts w:ascii="Segoe UI" w:hAnsi="Segoe UI" w:cs="Segoe UI"/>
          <w:b/>
          <w:sz w:val="22"/>
          <w:szCs w:val="22"/>
        </w:rPr>
      </w:pPr>
    </w:p>
    <w:p w:rsidR="004551C0" w:rsidRPr="004551C0" w:rsidRDefault="004551C0" w:rsidP="004551C0">
      <w:pPr>
        <w:rPr>
          <w:rFonts w:ascii="Segoe UI" w:hAnsi="Segoe UI" w:cs="Segoe UI"/>
          <w:b/>
          <w:color w:val="FFFFFF" w:themeColor="background1"/>
          <w:sz w:val="22"/>
          <w:szCs w:val="22"/>
        </w:rPr>
      </w:pPr>
    </w:p>
    <w:p w:rsidR="004551C0" w:rsidRDefault="004551C0" w:rsidP="00772343">
      <w:pPr>
        <w:rPr>
          <w:rFonts w:ascii="Segoe UI" w:hAnsi="Segoe UI" w:cs="Segoe UI"/>
          <w:b/>
          <w:color w:val="F2F2F2" w:themeColor="background1" w:themeShade="F2"/>
          <w:highlight w:val="blue"/>
        </w:rPr>
      </w:pPr>
    </w:p>
    <w:p w:rsidR="003D0593" w:rsidRDefault="003D0593" w:rsidP="00772343">
      <w:pPr>
        <w:rPr>
          <w:rFonts w:ascii="Segoe UI" w:hAnsi="Segoe UI" w:cs="Segoe UI"/>
          <w:b/>
          <w:color w:val="F2F2F2" w:themeColor="background1" w:themeShade="F2"/>
          <w:highlight w:val="blue"/>
        </w:rPr>
        <w:sectPr w:rsidR="003D0593" w:rsidSect="003D0593">
          <w:type w:val="continuous"/>
          <w:pgSz w:w="16838" w:h="11906" w:orient="landscape"/>
          <w:pgMar w:top="993" w:right="1245" w:bottom="567" w:left="1134" w:header="708" w:footer="221" w:gutter="0"/>
          <w:cols w:space="851"/>
          <w:docGrid w:linePitch="360"/>
        </w:sectPr>
      </w:pPr>
    </w:p>
    <w:p w:rsidR="003D0593" w:rsidRPr="003D0593" w:rsidRDefault="001E7767" w:rsidP="003D0593">
      <w:pPr>
        <w:shd w:val="clear" w:color="auto" w:fill="0070C0"/>
        <w:tabs>
          <w:tab w:val="left" w:pos="6804"/>
        </w:tabs>
        <w:rPr>
          <w:rFonts w:ascii="Segoe UI" w:hAnsi="Segoe UI" w:cs="Segoe UI"/>
          <w:b/>
          <w:color w:val="FFFFFF" w:themeColor="background1"/>
        </w:rPr>
      </w:pPr>
      <w:r>
        <w:rPr>
          <w:rFonts w:ascii="Segoe UI" w:hAnsi="Segoe UI" w:cs="Segoe UI"/>
          <w:b/>
          <w:color w:val="FFFFFF" w:themeColor="background1"/>
        </w:rPr>
        <w:t xml:space="preserve">LOCAL: </w:t>
      </w:r>
      <w:r w:rsidR="006E205E">
        <w:rPr>
          <w:rFonts w:ascii="Segoe UI" w:hAnsi="Segoe UI" w:cs="Segoe UI"/>
          <w:b/>
          <w:color w:val="FFFFFF" w:themeColor="background1"/>
        </w:rPr>
        <w:t>Children</w:t>
      </w:r>
      <w:r w:rsidR="003D0593">
        <w:rPr>
          <w:rFonts w:ascii="Segoe UI" w:hAnsi="Segoe UI" w:cs="Segoe UI"/>
          <w:b/>
          <w:color w:val="FFFFFF" w:themeColor="background1"/>
        </w:rPr>
        <w:t xml:space="preserve"> and Young People</w:t>
      </w:r>
      <w:r w:rsidR="003D0593" w:rsidRPr="003D0593">
        <w:rPr>
          <w:rFonts w:ascii="Segoe UI" w:hAnsi="Segoe UI" w:cs="Segoe UI"/>
          <w:b/>
          <w:color w:val="FFFFFF" w:themeColor="background1"/>
        </w:rPr>
        <w:t xml:space="preserve"> – Month 1</w:t>
      </w:r>
      <w:r w:rsidR="00C36D71">
        <w:rPr>
          <w:rFonts w:ascii="Segoe UI" w:hAnsi="Segoe UI" w:cs="Segoe UI"/>
          <w:b/>
          <w:color w:val="FFFFFF" w:themeColor="background1"/>
        </w:rPr>
        <w:t>2</w:t>
      </w:r>
      <w:r w:rsidR="003D0593" w:rsidRPr="003D0593">
        <w:rPr>
          <w:rFonts w:ascii="Segoe UI" w:hAnsi="Segoe UI" w:cs="Segoe UI"/>
          <w:b/>
          <w:color w:val="FFFFFF" w:themeColor="background1"/>
        </w:rPr>
        <w:t xml:space="preserve"> FY17 </w:t>
      </w:r>
    </w:p>
    <w:p w:rsidR="003D0593" w:rsidRPr="003D0593" w:rsidRDefault="003D0593" w:rsidP="003D0593"/>
    <w:p w:rsidR="003D0593" w:rsidRPr="003D0593" w:rsidRDefault="003D0593" w:rsidP="003D0593">
      <w:pPr>
        <w:jc w:val="both"/>
        <w:rPr>
          <w:rFonts w:ascii="Segoe UI" w:eastAsiaTheme="minorHAnsi" w:hAnsi="Segoe UI" w:cs="Segoe UI"/>
          <w:sz w:val="22"/>
          <w:szCs w:val="22"/>
          <w:lang w:eastAsia="en-US"/>
        </w:rPr>
      </w:pPr>
      <w:r w:rsidRPr="003D0593">
        <w:rPr>
          <w:rFonts w:ascii="Segoe UI" w:eastAsiaTheme="minorHAnsi" w:hAnsi="Segoe UI" w:cs="Segoe UI"/>
          <w:sz w:val="22"/>
          <w:szCs w:val="22"/>
          <w:lang w:eastAsia="en-US"/>
        </w:rPr>
        <w:t xml:space="preserve">The Community and Mental Health Services Contracts with Oxfordshire, Buckinghamshire, Swindon, Wiltshire and Bath and North East Somerset CCGs stipulate a requirement (within contract Schedule 4) for the </w:t>
      </w:r>
      <w:r w:rsidRPr="003D0593">
        <w:rPr>
          <w:rFonts w:ascii="Segoe UI" w:eastAsiaTheme="minorHAnsi" w:hAnsi="Segoe UI" w:cs="Segoe UI"/>
          <w:b/>
          <w:sz w:val="22"/>
          <w:szCs w:val="22"/>
          <w:lang w:eastAsia="en-US"/>
        </w:rPr>
        <w:t>Children and Young Peoples Directorate (CYP)</w:t>
      </w:r>
      <w:r w:rsidRPr="003D0593">
        <w:rPr>
          <w:rFonts w:ascii="Segoe UI" w:eastAsiaTheme="minorHAnsi" w:hAnsi="Segoe UI" w:cs="Segoe UI"/>
          <w:sz w:val="22"/>
          <w:szCs w:val="22"/>
          <w:lang w:eastAsia="en-US"/>
        </w:rPr>
        <w:t xml:space="preserve"> to perform against a set of quality and performance indicators.  </w:t>
      </w:r>
    </w:p>
    <w:p w:rsidR="003D0593" w:rsidRPr="003D0593" w:rsidRDefault="003D0593" w:rsidP="003D0593"/>
    <w:p w:rsidR="003D0593" w:rsidRPr="003D0593" w:rsidRDefault="003D0593" w:rsidP="003D0593"/>
    <w:p w:rsidR="003D0593" w:rsidRPr="007E4270" w:rsidRDefault="003D0593" w:rsidP="003D0593">
      <w:pPr>
        <w:jc w:val="both"/>
        <w:rPr>
          <w:rFonts w:ascii="Segoe UI" w:hAnsi="Segoe UI" w:cs="Segoe UI"/>
          <w:b/>
          <w:sz w:val="22"/>
          <w:szCs w:val="22"/>
        </w:rPr>
      </w:pPr>
      <w:r w:rsidRPr="007E4270">
        <w:rPr>
          <w:rFonts w:ascii="Segoe UI" w:hAnsi="Segoe UI" w:cs="Segoe UI"/>
          <w:b/>
          <w:sz w:val="22"/>
          <w:szCs w:val="22"/>
        </w:rPr>
        <w:t>Oxfordshire-Services</w:t>
      </w:r>
    </w:p>
    <w:p w:rsidR="003D0593" w:rsidRPr="007E4270" w:rsidRDefault="003D0593" w:rsidP="006E205E">
      <w:pPr>
        <w:pStyle w:val="ListParagraph"/>
        <w:numPr>
          <w:ilvl w:val="0"/>
          <w:numId w:val="10"/>
        </w:numPr>
        <w:rPr>
          <w:rFonts w:ascii="Segoe UI" w:hAnsi="Segoe UI" w:cs="Segoe UI"/>
          <w:sz w:val="22"/>
          <w:szCs w:val="22"/>
        </w:rPr>
      </w:pPr>
      <w:r w:rsidRPr="007E4270">
        <w:rPr>
          <w:rFonts w:ascii="Segoe UI" w:hAnsi="Segoe UI" w:cs="Segoe UI"/>
          <w:sz w:val="22"/>
          <w:szCs w:val="22"/>
        </w:rPr>
        <w:t>Oxfordshire CAMHS (Oxon CCG)</w:t>
      </w:r>
    </w:p>
    <w:p w:rsidR="003D0593" w:rsidRPr="007E4270" w:rsidRDefault="003D0593" w:rsidP="006E205E">
      <w:pPr>
        <w:pStyle w:val="ListParagraph"/>
        <w:numPr>
          <w:ilvl w:val="0"/>
          <w:numId w:val="10"/>
        </w:numPr>
        <w:rPr>
          <w:rFonts w:ascii="Segoe UI" w:hAnsi="Segoe UI" w:cs="Segoe UI"/>
          <w:sz w:val="22"/>
          <w:szCs w:val="22"/>
        </w:rPr>
      </w:pPr>
      <w:r w:rsidRPr="007E4270">
        <w:rPr>
          <w:rFonts w:ascii="Segoe UI" w:hAnsi="Segoe UI" w:cs="Segoe UI"/>
          <w:sz w:val="22"/>
          <w:szCs w:val="22"/>
        </w:rPr>
        <w:t>SHN (OCC Public Health)</w:t>
      </w:r>
    </w:p>
    <w:p w:rsidR="003D0593" w:rsidRPr="007E4270" w:rsidRDefault="003D0593" w:rsidP="006E205E">
      <w:pPr>
        <w:pStyle w:val="ListParagraph"/>
        <w:numPr>
          <w:ilvl w:val="0"/>
          <w:numId w:val="10"/>
        </w:numPr>
        <w:rPr>
          <w:rFonts w:ascii="Segoe UI" w:hAnsi="Segoe UI" w:cs="Segoe UI"/>
          <w:sz w:val="22"/>
          <w:szCs w:val="22"/>
        </w:rPr>
      </w:pPr>
      <w:r w:rsidRPr="007E4270">
        <w:rPr>
          <w:rFonts w:ascii="Segoe UI" w:hAnsi="Segoe UI" w:cs="Segoe UI"/>
          <w:sz w:val="22"/>
          <w:szCs w:val="22"/>
        </w:rPr>
        <w:t>College Nursing (OCC Public Health)</w:t>
      </w:r>
    </w:p>
    <w:p w:rsidR="003D0593" w:rsidRPr="007E4270" w:rsidRDefault="003D0593" w:rsidP="006E205E">
      <w:pPr>
        <w:pStyle w:val="ListParagraph"/>
        <w:numPr>
          <w:ilvl w:val="0"/>
          <w:numId w:val="10"/>
        </w:numPr>
        <w:rPr>
          <w:rFonts w:ascii="Segoe UI" w:hAnsi="Segoe UI" w:cs="Segoe UI"/>
          <w:sz w:val="22"/>
          <w:szCs w:val="22"/>
        </w:rPr>
      </w:pPr>
      <w:r w:rsidRPr="007E4270">
        <w:rPr>
          <w:rFonts w:ascii="Segoe UI" w:hAnsi="Segoe UI" w:cs="Segoe UI"/>
          <w:sz w:val="22"/>
          <w:szCs w:val="22"/>
        </w:rPr>
        <w:t>IMMS (NHSE)</w:t>
      </w:r>
    </w:p>
    <w:p w:rsidR="003D0593" w:rsidRPr="007E4270" w:rsidRDefault="003D0593" w:rsidP="003D0593">
      <w:pPr>
        <w:rPr>
          <w:rFonts w:ascii="Segoe UI" w:hAnsi="Segoe UI" w:cs="Segoe UI"/>
          <w:b/>
          <w:sz w:val="22"/>
          <w:szCs w:val="22"/>
          <w:u w:val="single"/>
        </w:rPr>
      </w:pPr>
    </w:p>
    <w:p w:rsidR="003D0593" w:rsidRPr="007E4270" w:rsidRDefault="003D0593" w:rsidP="003D0593">
      <w:pPr>
        <w:jc w:val="both"/>
        <w:rPr>
          <w:rFonts w:ascii="Segoe UI" w:hAnsi="Segoe UI" w:cs="Segoe UI"/>
          <w:b/>
          <w:sz w:val="22"/>
          <w:szCs w:val="22"/>
        </w:rPr>
      </w:pPr>
      <w:r w:rsidRPr="007E4270">
        <w:rPr>
          <w:rFonts w:ascii="Segoe UI" w:hAnsi="Segoe UI" w:cs="Segoe UI"/>
          <w:b/>
          <w:sz w:val="22"/>
          <w:szCs w:val="22"/>
        </w:rPr>
        <w:t>Buckinghamshire-Services</w:t>
      </w:r>
    </w:p>
    <w:p w:rsidR="003D0593" w:rsidRPr="007E4270" w:rsidRDefault="003D0593" w:rsidP="006E205E">
      <w:pPr>
        <w:pStyle w:val="ListParagraph"/>
        <w:numPr>
          <w:ilvl w:val="0"/>
          <w:numId w:val="11"/>
        </w:numPr>
        <w:rPr>
          <w:rFonts w:ascii="Segoe UI" w:hAnsi="Segoe UI" w:cs="Segoe UI"/>
          <w:sz w:val="22"/>
          <w:szCs w:val="22"/>
        </w:rPr>
      </w:pPr>
      <w:r w:rsidRPr="007E4270">
        <w:rPr>
          <w:rFonts w:ascii="Segoe UI" w:hAnsi="Segoe UI" w:cs="Segoe UI"/>
          <w:sz w:val="22"/>
          <w:szCs w:val="22"/>
        </w:rPr>
        <w:t>Buckinghamshire CAMHS (Bucks LA/CCG)</w:t>
      </w:r>
    </w:p>
    <w:p w:rsidR="003D0593" w:rsidRPr="007E4270" w:rsidRDefault="003D0593" w:rsidP="006E205E">
      <w:pPr>
        <w:pStyle w:val="ListParagraph"/>
        <w:numPr>
          <w:ilvl w:val="0"/>
          <w:numId w:val="11"/>
        </w:numPr>
        <w:rPr>
          <w:rFonts w:ascii="Segoe UI" w:hAnsi="Segoe UI" w:cs="Segoe UI"/>
          <w:sz w:val="22"/>
          <w:szCs w:val="22"/>
        </w:rPr>
      </w:pPr>
      <w:r w:rsidRPr="007E4270">
        <w:rPr>
          <w:rFonts w:ascii="Segoe UI" w:hAnsi="Segoe UI" w:cs="Segoe UI"/>
          <w:sz w:val="22"/>
          <w:szCs w:val="22"/>
        </w:rPr>
        <w:t>Buckinghamshire PS&amp;LT (Bucks LA/CCG)</w:t>
      </w:r>
    </w:p>
    <w:p w:rsidR="003D0593" w:rsidRPr="007E4270" w:rsidRDefault="003D0593" w:rsidP="003D0593">
      <w:pPr>
        <w:rPr>
          <w:rFonts w:ascii="Segoe UI" w:hAnsi="Segoe UI" w:cs="Segoe UI"/>
          <w:b/>
          <w:sz w:val="22"/>
          <w:szCs w:val="22"/>
          <w:u w:val="single"/>
        </w:rPr>
      </w:pPr>
    </w:p>
    <w:p w:rsidR="003D0593" w:rsidRPr="007E4270" w:rsidRDefault="003D0593" w:rsidP="003D0593">
      <w:pPr>
        <w:jc w:val="both"/>
        <w:rPr>
          <w:rFonts w:ascii="Segoe UI" w:hAnsi="Segoe UI" w:cs="Segoe UI"/>
          <w:b/>
          <w:sz w:val="22"/>
          <w:szCs w:val="22"/>
        </w:rPr>
      </w:pPr>
      <w:r w:rsidRPr="007E4270">
        <w:rPr>
          <w:rFonts w:ascii="Segoe UI" w:hAnsi="Segoe UI" w:cs="Segoe UI"/>
          <w:b/>
          <w:sz w:val="22"/>
          <w:szCs w:val="22"/>
        </w:rPr>
        <w:t>Swindon Wilts &amp; BaNES</w:t>
      </w:r>
    </w:p>
    <w:p w:rsidR="003D0593" w:rsidRPr="007E4270" w:rsidRDefault="003D0593" w:rsidP="006E205E">
      <w:pPr>
        <w:pStyle w:val="ListParagraph"/>
        <w:numPr>
          <w:ilvl w:val="0"/>
          <w:numId w:val="12"/>
        </w:numPr>
        <w:rPr>
          <w:rFonts w:ascii="Segoe UI" w:hAnsi="Segoe UI" w:cs="Segoe UI"/>
          <w:sz w:val="22"/>
          <w:szCs w:val="22"/>
        </w:rPr>
      </w:pPr>
      <w:r w:rsidRPr="007E4270">
        <w:rPr>
          <w:rFonts w:ascii="Segoe UI" w:hAnsi="Segoe UI" w:cs="Segoe UI"/>
          <w:sz w:val="22"/>
          <w:szCs w:val="22"/>
        </w:rPr>
        <w:t>Swindon CAMHS (Swindon CCG)</w:t>
      </w:r>
    </w:p>
    <w:p w:rsidR="003D0593" w:rsidRPr="007E4270" w:rsidRDefault="003D0593" w:rsidP="006E205E">
      <w:pPr>
        <w:pStyle w:val="ListParagraph"/>
        <w:numPr>
          <w:ilvl w:val="0"/>
          <w:numId w:val="12"/>
        </w:numPr>
        <w:rPr>
          <w:rFonts w:ascii="Segoe UI" w:hAnsi="Segoe UI" w:cs="Segoe UI"/>
          <w:sz w:val="22"/>
          <w:szCs w:val="22"/>
        </w:rPr>
      </w:pPr>
      <w:r w:rsidRPr="007E4270">
        <w:rPr>
          <w:rFonts w:ascii="Segoe UI" w:hAnsi="Segoe UI" w:cs="Segoe UI"/>
          <w:sz w:val="22"/>
          <w:szCs w:val="22"/>
        </w:rPr>
        <w:t>Wilts &amp; BaNES CAMHS (Wilts &amp; BaNES CCG)</w:t>
      </w:r>
    </w:p>
    <w:p w:rsidR="003D0593" w:rsidRPr="007E4270" w:rsidRDefault="003D0593" w:rsidP="006E205E">
      <w:pPr>
        <w:pStyle w:val="ListParagraph"/>
        <w:numPr>
          <w:ilvl w:val="0"/>
          <w:numId w:val="12"/>
        </w:numPr>
        <w:rPr>
          <w:rFonts w:ascii="Segoe UI" w:hAnsi="Segoe UI" w:cs="Segoe UI"/>
          <w:sz w:val="22"/>
          <w:szCs w:val="22"/>
        </w:rPr>
      </w:pPr>
      <w:r w:rsidRPr="007E4270">
        <w:rPr>
          <w:rFonts w:ascii="Segoe UI" w:hAnsi="Segoe UI" w:cs="Segoe UI"/>
          <w:sz w:val="22"/>
          <w:szCs w:val="22"/>
        </w:rPr>
        <w:t>Wilts T2 (Wilts CC)</w:t>
      </w:r>
    </w:p>
    <w:p w:rsidR="003D0593" w:rsidRPr="007E4270" w:rsidRDefault="003D0593" w:rsidP="006E205E">
      <w:pPr>
        <w:pStyle w:val="ListParagraph"/>
        <w:numPr>
          <w:ilvl w:val="0"/>
          <w:numId w:val="12"/>
        </w:numPr>
        <w:rPr>
          <w:rFonts w:ascii="Segoe UI" w:hAnsi="Segoe UI" w:cs="Segoe UI"/>
          <w:sz w:val="22"/>
          <w:szCs w:val="22"/>
        </w:rPr>
      </w:pPr>
      <w:r w:rsidRPr="007E4270">
        <w:rPr>
          <w:rFonts w:ascii="Segoe UI" w:hAnsi="Segoe UI" w:cs="Segoe UI"/>
          <w:sz w:val="22"/>
          <w:szCs w:val="22"/>
        </w:rPr>
        <w:t>BaNES T2 (BaNES LA/CCG)</w:t>
      </w:r>
    </w:p>
    <w:p w:rsidR="003D0593" w:rsidRPr="007E4270" w:rsidRDefault="003D0593" w:rsidP="006E205E">
      <w:pPr>
        <w:pStyle w:val="ListParagraph"/>
        <w:numPr>
          <w:ilvl w:val="0"/>
          <w:numId w:val="12"/>
        </w:numPr>
        <w:rPr>
          <w:rFonts w:ascii="Segoe UI" w:hAnsi="Segoe UI" w:cs="Segoe UI"/>
          <w:sz w:val="22"/>
          <w:szCs w:val="22"/>
        </w:rPr>
      </w:pPr>
      <w:r w:rsidRPr="007E4270">
        <w:rPr>
          <w:rFonts w:ascii="Segoe UI" w:hAnsi="Segoe UI" w:cs="Segoe UI"/>
          <w:sz w:val="22"/>
          <w:szCs w:val="22"/>
        </w:rPr>
        <w:t>Wiltshire Adult ED (Wilts CCG)</w:t>
      </w:r>
    </w:p>
    <w:p w:rsidR="003D0593" w:rsidRPr="007E4270" w:rsidRDefault="003D0593" w:rsidP="003D0593">
      <w:pPr>
        <w:rPr>
          <w:rFonts w:ascii="Segoe UI" w:hAnsi="Segoe UI" w:cs="Segoe UI"/>
          <w:sz w:val="22"/>
          <w:szCs w:val="22"/>
        </w:rPr>
      </w:pPr>
    </w:p>
    <w:p w:rsidR="006E205E" w:rsidRPr="003D0593" w:rsidRDefault="006E205E" w:rsidP="003D0593">
      <w:pPr>
        <w:rPr>
          <w:rFonts w:ascii="Segoe UI" w:hAnsi="Segoe UI" w:cs="Segoe UI"/>
        </w:rPr>
      </w:pPr>
    </w:p>
    <w:p w:rsidR="003D0593" w:rsidRDefault="003D0593" w:rsidP="003D0593">
      <w:pPr>
        <w:rPr>
          <w:rFonts w:ascii="Segoe UI" w:hAnsi="Segoe UI" w:cs="Segoe UI"/>
        </w:rPr>
      </w:pPr>
    </w:p>
    <w:p w:rsidR="003D0593" w:rsidRPr="003D0593" w:rsidRDefault="003D0593" w:rsidP="003D0593"/>
    <w:p w:rsidR="003D0593" w:rsidRPr="003D0593" w:rsidRDefault="003D0593" w:rsidP="003D0593">
      <w:pPr>
        <w:shd w:val="clear" w:color="auto" w:fill="0070C0"/>
        <w:rPr>
          <w:rFonts w:ascii="Segoe UI" w:hAnsi="Segoe UI" w:cs="Segoe UI"/>
          <w:b/>
          <w:color w:val="FFFFFF" w:themeColor="background1"/>
        </w:rPr>
      </w:pPr>
      <w:r>
        <w:rPr>
          <w:rFonts w:ascii="Segoe UI" w:hAnsi="Segoe UI" w:cs="Segoe UI"/>
          <w:b/>
          <w:color w:val="FFFFFF" w:themeColor="background1"/>
        </w:rPr>
        <w:t xml:space="preserve">Contractual </w:t>
      </w:r>
      <w:r w:rsidRPr="003D0593">
        <w:rPr>
          <w:rFonts w:ascii="Segoe UI" w:hAnsi="Segoe UI" w:cs="Segoe UI"/>
          <w:b/>
          <w:color w:val="FFFFFF" w:themeColor="background1"/>
        </w:rPr>
        <w:t xml:space="preserve">Performance Scorecard </w:t>
      </w:r>
    </w:p>
    <w:p w:rsidR="003D0593" w:rsidRPr="003D0593" w:rsidRDefault="003D0593" w:rsidP="003D0593"/>
    <w:p w:rsidR="00C36D71" w:rsidRPr="00C36D71" w:rsidRDefault="00C36D71" w:rsidP="00C36D71">
      <w:pPr>
        <w:jc w:val="both"/>
        <w:rPr>
          <w:rFonts w:ascii="Segoe UI" w:hAnsi="Segoe UI" w:cs="Segoe UI"/>
          <w:sz w:val="22"/>
        </w:rPr>
      </w:pPr>
      <w:r w:rsidRPr="00C36D71">
        <w:rPr>
          <w:rFonts w:ascii="Segoe UI" w:hAnsi="Segoe UI" w:cs="Segoe UI"/>
          <w:sz w:val="22"/>
        </w:rPr>
        <w:t xml:space="preserve">The Children and Young People’s Directorate was required to report against </w:t>
      </w:r>
      <w:r w:rsidRPr="00C36D71">
        <w:rPr>
          <w:rFonts w:ascii="Segoe UI" w:hAnsi="Segoe UI" w:cs="Segoe UI"/>
          <w:b/>
          <w:sz w:val="22"/>
        </w:rPr>
        <w:t>1032</w:t>
      </w:r>
      <w:r w:rsidR="00AF424A">
        <w:rPr>
          <w:rFonts w:ascii="Segoe UI" w:hAnsi="Segoe UI" w:cs="Segoe UI"/>
          <w:sz w:val="22"/>
        </w:rPr>
        <w:t xml:space="preserve"> indicators in month 12 (this</w:t>
      </w:r>
      <w:r w:rsidRPr="00C36D71">
        <w:rPr>
          <w:rFonts w:ascii="Segoe UI" w:hAnsi="Segoe UI" w:cs="Segoe UI"/>
          <w:sz w:val="22"/>
        </w:rPr>
        <w:t xml:space="preserve"> </w:t>
      </w:r>
      <w:r w:rsidR="00AF424A">
        <w:rPr>
          <w:rFonts w:ascii="Segoe UI" w:hAnsi="Segoe UI" w:cs="Segoe UI"/>
          <w:sz w:val="22"/>
        </w:rPr>
        <w:t>excludes IMMS (NHSE</w:t>
      </w:r>
      <w:r w:rsidRPr="00C36D71">
        <w:rPr>
          <w:rFonts w:ascii="Segoe UI" w:hAnsi="Segoe UI" w:cs="Segoe UI"/>
          <w:sz w:val="22"/>
        </w:rPr>
        <w:t>)</w:t>
      </w:r>
      <w:r w:rsidR="00AF424A">
        <w:rPr>
          <w:rFonts w:ascii="Segoe UI" w:hAnsi="Segoe UI" w:cs="Segoe UI"/>
          <w:sz w:val="22"/>
        </w:rPr>
        <w:t xml:space="preserve"> which is not reportable and Dental).  </w:t>
      </w:r>
      <w:r w:rsidRPr="00C36D71">
        <w:rPr>
          <w:rFonts w:ascii="Segoe UI" w:hAnsi="Segoe UI" w:cs="Segoe UI"/>
          <w:sz w:val="22"/>
        </w:rPr>
        <w:t xml:space="preserve">Targets/thresholds are only applicable to a </w:t>
      </w:r>
      <w:r w:rsidRPr="00C36D71">
        <w:rPr>
          <w:rFonts w:ascii="Segoe UI" w:hAnsi="Segoe UI" w:cs="Segoe UI"/>
          <w:b/>
          <w:sz w:val="22"/>
        </w:rPr>
        <w:t>small proportion</w:t>
      </w:r>
      <w:r w:rsidRPr="00C36D71">
        <w:rPr>
          <w:rFonts w:ascii="Segoe UI" w:hAnsi="Segoe UI" w:cs="Segoe UI"/>
          <w:sz w:val="22"/>
        </w:rPr>
        <w:t xml:space="preserve"> of CYP indicators.  Where there are no targets/thresholds, the indicator is considered compliant if it is reported. </w:t>
      </w:r>
    </w:p>
    <w:p w:rsidR="00C36D71" w:rsidRPr="00C36D71" w:rsidRDefault="00C36D71" w:rsidP="00C36D71">
      <w:pPr>
        <w:jc w:val="both"/>
        <w:rPr>
          <w:rFonts w:ascii="Segoe UI" w:hAnsi="Segoe UI" w:cs="Segoe UI"/>
          <w:sz w:val="22"/>
        </w:rPr>
      </w:pPr>
    </w:p>
    <w:p w:rsidR="00C36D71" w:rsidRDefault="00C36D71" w:rsidP="00C36D71">
      <w:pPr>
        <w:jc w:val="both"/>
        <w:rPr>
          <w:rFonts w:ascii="Segoe UI" w:hAnsi="Segoe UI" w:cs="Segoe UI"/>
          <w:b/>
          <w:sz w:val="22"/>
        </w:rPr>
      </w:pPr>
      <w:r w:rsidRPr="00C36D71">
        <w:rPr>
          <w:rFonts w:ascii="Segoe UI" w:hAnsi="Segoe UI" w:cs="Segoe UI"/>
          <w:b/>
          <w:sz w:val="22"/>
        </w:rPr>
        <w:t>97% of indicators were achieved:</w:t>
      </w:r>
    </w:p>
    <w:p w:rsidR="00C36D71" w:rsidRDefault="00C36D71" w:rsidP="00C36D71">
      <w:pPr>
        <w:jc w:val="both"/>
        <w:rPr>
          <w:rFonts w:ascii="Segoe UI" w:hAnsi="Segoe UI" w:cs="Segoe UI"/>
          <w:b/>
          <w:sz w:val="22"/>
        </w:rPr>
      </w:pPr>
    </w:p>
    <w:tbl>
      <w:tblPr>
        <w:tblStyle w:val="TableGrid"/>
        <w:tblW w:w="6733" w:type="dxa"/>
        <w:tblInd w:w="108" w:type="dxa"/>
        <w:tblLook w:val="04A0" w:firstRow="1" w:lastRow="0" w:firstColumn="1" w:lastColumn="0" w:noHBand="0" w:noVBand="1"/>
      </w:tblPr>
      <w:tblGrid>
        <w:gridCol w:w="779"/>
        <w:gridCol w:w="1348"/>
        <w:gridCol w:w="1275"/>
        <w:gridCol w:w="1276"/>
        <w:gridCol w:w="829"/>
        <w:gridCol w:w="1226"/>
      </w:tblGrid>
      <w:tr w:rsidR="00C36D71" w:rsidTr="00C36D71">
        <w:tc>
          <w:tcPr>
            <w:tcW w:w="779" w:type="dxa"/>
            <w:vAlign w:val="center"/>
          </w:tcPr>
          <w:p w:rsidR="00C36D71" w:rsidRPr="004551C0" w:rsidRDefault="00C36D71" w:rsidP="00C36D71">
            <w:pPr>
              <w:jc w:val="center"/>
              <w:rPr>
                <w:rFonts w:ascii="Segoe UI" w:hAnsi="Segoe UI" w:cs="Segoe UI"/>
                <w:b/>
                <w:sz w:val="22"/>
              </w:rPr>
            </w:pPr>
            <w:r w:rsidRPr="004551C0">
              <w:rPr>
                <w:rFonts w:ascii="Segoe UI" w:hAnsi="Segoe UI" w:cs="Segoe UI"/>
                <w:b/>
                <w:sz w:val="22"/>
              </w:rPr>
              <w:t>Key:</w:t>
            </w:r>
          </w:p>
        </w:tc>
        <w:tc>
          <w:tcPr>
            <w:tcW w:w="1348" w:type="dxa"/>
            <w:shd w:val="clear" w:color="auto" w:fill="FF0000"/>
            <w:vAlign w:val="center"/>
          </w:tcPr>
          <w:p w:rsidR="00C36D71" w:rsidRPr="004551C0" w:rsidRDefault="00C36D71" w:rsidP="00C36D71">
            <w:pPr>
              <w:jc w:val="center"/>
              <w:rPr>
                <w:rFonts w:ascii="Segoe UI" w:hAnsi="Segoe UI" w:cs="Segoe UI"/>
                <w:sz w:val="18"/>
                <w:szCs w:val="18"/>
              </w:rPr>
            </w:pPr>
            <w:r w:rsidRPr="004551C0">
              <w:rPr>
                <w:rFonts w:ascii="Segoe UI" w:hAnsi="Segoe UI" w:cs="Segoe UI"/>
                <w:sz w:val="18"/>
                <w:szCs w:val="18"/>
              </w:rPr>
              <w:t>Well Below Target &gt;10%</w:t>
            </w:r>
          </w:p>
        </w:tc>
        <w:tc>
          <w:tcPr>
            <w:tcW w:w="1275" w:type="dxa"/>
            <w:shd w:val="clear" w:color="auto" w:fill="FFC000"/>
            <w:vAlign w:val="center"/>
          </w:tcPr>
          <w:p w:rsidR="00C36D71" w:rsidRPr="004551C0" w:rsidRDefault="00C36D71" w:rsidP="00C36D71">
            <w:pPr>
              <w:jc w:val="center"/>
              <w:rPr>
                <w:rFonts w:ascii="Segoe UI" w:hAnsi="Segoe UI" w:cs="Segoe UI"/>
                <w:sz w:val="18"/>
                <w:szCs w:val="18"/>
              </w:rPr>
            </w:pPr>
            <w:r w:rsidRPr="004551C0">
              <w:rPr>
                <w:rFonts w:ascii="Segoe UI" w:hAnsi="Segoe UI" w:cs="Segoe UI"/>
                <w:sz w:val="18"/>
                <w:szCs w:val="18"/>
              </w:rPr>
              <w:t>Below Target &lt;/=6-10%</w:t>
            </w:r>
          </w:p>
        </w:tc>
        <w:tc>
          <w:tcPr>
            <w:tcW w:w="1276" w:type="dxa"/>
            <w:shd w:val="clear" w:color="auto" w:fill="FFFF00"/>
            <w:vAlign w:val="center"/>
          </w:tcPr>
          <w:p w:rsidR="00C36D71" w:rsidRPr="004551C0" w:rsidRDefault="00C36D71" w:rsidP="00C36D71">
            <w:pPr>
              <w:jc w:val="center"/>
              <w:rPr>
                <w:rFonts w:ascii="Segoe UI" w:hAnsi="Segoe UI" w:cs="Segoe UI"/>
                <w:sz w:val="18"/>
                <w:szCs w:val="18"/>
              </w:rPr>
            </w:pPr>
            <w:r w:rsidRPr="004551C0">
              <w:rPr>
                <w:rFonts w:ascii="Segoe UI" w:hAnsi="Segoe UI" w:cs="Segoe UI"/>
                <w:sz w:val="18"/>
                <w:szCs w:val="18"/>
              </w:rPr>
              <w:t>Near Target &lt;/=-5%</w:t>
            </w:r>
          </w:p>
        </w:tc>
        <w:tc>
          <w:tcPr>
            <w:tcW w:w="829" w:type="dxa"/>
            <w:shd w:val="clear" w:color="auto" w:fill="C2D69B" w:themeFill="accent3" w:themeFillTint="99"/>
            <w:vAlign w:val="center"/>
          </w:tcPr>
          <w:p w:rsidR="00C36D71" w:rsidRPr="004551C0" w:rsidRDefault="00C36D71" w:rsidP="00C36D71">
            <w:pPr>
              <w:jc w:val="center"/>
              <w:rPr>
                <w:rFonts w:ascii="Segoe UI" w:hAnsi="Segoe UI" w:cs="Segoe UI"/>
                <w:sz w:val="18"/>
                <w:szCs w:val="18"/>
              </w:rPr>
            </w:pPr>
            <w:r w:rsidRPr="004551C0">
              <w:rPr>
                <w:rFonts w:ascii="Segoe UI" w:hAnsi="Segoe UI" w:cs="Segoe UI"/>
                <w:sz w:val="18"/>
                <w:szCs w:val="18"/>
              </w:rPr>
              <w:t>At Target</w:t>
            </w:r>
          </w:p>
        </w:tc>
        <w:tc>
          <w:tcPr>
            <w:tcW w:w="1226" w:type="dxa"/>
            <w:shd w:val="clear" w:color="auto" w:fill="00FF00"/>
            <w:vAlign w:val="center"/>
          </w:tcPr>
          <w:p w:rsidR="00C36D71" w:rsidRPr="004551C0" w:rsidRDefault="00C36D71" w:rsidP="00C36D71">
            <w:pPr>
              <w:jc w:val="center"/>
              <w:rPr>
                <w:rFonts w:ascii="Segoe UI" w:hAnsi="Segoe UI" w:cs="Segoe UI"/>
                <w:sz w:val="18"/>
                <w:szCs w:val="18"/>
              </w:rPr>
            </w:pPr>
            <w:r w:rsidRPr="004551C0">
              <w:rPr>
                <w:rFonts w:ascii="Segoe UI" w:hAnsi="Segoe UI" w:cs="Segoe UI"/>
                <w:sz w:val="18"/>
                <w:szCs w:val="18"/>
              </w:rPr>
              <w:t xml:space="preserve">Exceeded Target </w:t>
            </w:r>
          </w:p>
        </w:tc>
      </w:tr>
    </w:tbl>
    <w:p w:rsidR="00C36D71" w:rsidRPr="00C36D71" w:rsidRDefault="00C36D71" w:rsidP="00C36D71">
      <w:pPr>
        <w:jc w:val="both"/>
        <w:rPr>
          <w:rFonts w:ascii="Segoe UI" w:hAnsi="Segoe UI" w:cs="Segoe UI"/>
          <w:b/>
          <w:sz w:val="22"/>
        </w:rPr>
      </w:pPr>
    </w:p>
    <w:p w:rsidR="00BC1443" w:rsidRDefault="00C36D71" w:rsidP="00C36D71">
      <w:pPr>
        <w:jc w:val="both"/>
        <w:rPr>
          <w:noProof/>
        </w:rPr>
      </w:pPr>
      <w:r w:rsidRPr="002E03C0">
        <w:rPr>
          <w:noProof/>
        </w:rPr>
        <w:drawing>
          <wp:inline distT="0" distB="0" distL="0" distR="0" wp14:anchorId="691A3D44" wp14:editId="2EAD3BA3">
            <wp:extent cx="4263242" cy="2880489"/>
            <wp:effectExtent l="0" t="0" r="444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5737" cy="2888932"/>
                    </a:xfrm>
                    <a:prstGeom prst="rect">
                      <a:avLst/>
                    </a:prstGeom>
                    <a:noFill/>
                    <a:ln>
                      <a:noFill/>
                    </a:ln>
                  </pic:spPr>
                </pic:pic>
              </a:graphicData>
            </a:graphic>
          </wp:inline>
        </w:drawing>
      </w:r>
    </w:p>
    <w:p w:rsidR="00BC1443" w:rsidRDefault="00BC1443" w:rsidP="003D0593">
      <w:pPr>
        <w:jc w:val="both"/>
        <w:rPr>
          <w:noProof/>
        </w:rPr>
        <w:sectPr w:rsidR="00BC1443" w:rsidSect="006165CC">
          <w:pgSz w:w="16838" w:h="11906" w:orient="landscape"/>
          <w:pgMar w:top="1440" w:right="1440" w:bottom="1440" w:left="1276" w:header="708" w:footer="708" w:gutter="0"/>
          <w:cols w:num="2" w:space="708"/>
          <w:docGrid w:linePitch="360"/>
        </w:sectPr>
      </w:pPr>
    </w:p>
    <w:tbl>
      <w:tblPr>
        <w:tblStyle w:val="TableGrid"/>
        <w:tblW w:w="0" w:type="auto"/>
        <w:tblInd w:w="-459"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3969"/>
      </w:tblGrid>
      <w:tr w:rsidR="00BC1443" w:rsidTr="00C36D71">
        <w:tc>
          <w:tcPr>
            <w:tcW w:w="426" w:type="dxa"/>
            <w:shd w:val="clear" w:color="auto" w:fill="FF0000"/>
          </w:tcPr>
          <w:p w:rsidR="00BC1443" w:rsidRPr="0096419E" w:rsidRDefault="00BC1443" w:rsidP="004D19A3">
            <w:pPr>
              <w:rPr>
                <w:rFonts w:ascii="Segoe UI" w:hAnsi="Segoe UI" w:cs="Segoe UI"/>
                <w:b/>
              </w:rPr>
            </w:pPr>
            <w:r>
              <w:rPr>
                <w:rFonts w:ascii="Segoe UI" w:hAnsi="Segoe UI" w:cs="Segoe UI"/>
                <w:b/>
              </w:rPr>
              <w:t>R</w:t>
            </w:r>
          </w:p>
        </w:tc>
        <w:tc>
          <w:tcPr>
            <w:tcW w:w="3969" w:type="dxa"/>
            <w:shd w:val="clear" w:color="auto" w:fill="auto"/>
          </w:tcPr>
          <w:p w:rsidR="00BC1443" w:rsidRPr="00BA26C9" w:rsidRDefault="00BC1443" w:rsidP="004D19A3">
            <w:pPr>
              <w:rPr>
                <w:rFonts w:ascii="Segoe UI" w:hAnsi="Segoe UI" w:cs="Segoe UI"/>
                <w:b/>
              </w:rPr>
            </w:pPr>
            <w:r>
              <w:rPr>
                <w:rFonts w:ascii="Segoe UI" w:hAnsi="Segoe UI" w:cs="Segoe UI"/>
                <w:b/>
              </w:rPr>
              <w:t>Red Indicators</w:t>
            </w:r>
          </w:p>
        </w:tc>
      </w:tr>
    </w:tbl>
    <w:p w:rsidR="00BC1443" w:rsidRDefault="00BC1443" w:rsidP="003D0593">
      <w:pPr>
        <w:rPr>
          <w:rFonts w:ascii="Segoe UI" w:hAnsi="Segoe UI" w:cs="Segoe UI"/>
          <w:sz w:val="22"/>
          <w:szCs w:val="22"/>
        </w:rPr>
        <w:sectPr w:rsidR="00BC1443" w:rsidSect="00BC1443">
          <w:type w:val="continuous"/>
          <w:pgSz w:w="16838" w:h="11906" w:orient="landscape"/>
          <w:pgMar w:top="1440" w:right="1440" w:bottom="1440" w:left="1440" w:header="708" w:footer="708" w:gutter="0"/>
          <w:cols w:space="708"/>
          <w:docGrid w:linePitch="360"/>
        </w:sectPr>
      </w:pPr>
    </w:p>
    <w:p w:rsidR="009502B0" w:rsidRDefault="009502B0" w:rsidP="003D0593">
      <w:pPr>
        <w:rPr>
          <w:rFonts w:ascii="Segoe UI" w:hAnsi="Segoe UI" w:cs="Segoe UI"/>
          <w:sz w:val="22"/>
          <w:szCs w:val="22"/>
        </w:rPr>
      </w:pPr>
    </w:p>
    <w:tbl>
      <w:tblPr>
        <w:tblStyle w:val="TableGrid7"/>
        <w:tblW w:w="15168" w:type="dxa"/>
        <w:tblInd w:w="-176" w:type="dxa"/>
        <w:tblLayout w:type="fixed"/>
        <w:tblLook w:val="04A0" w:firstRow="1" w:lastRow="0" w:firstColumn="1" w:lastColumn="0" w:noHBand="0" w:noVBand="1"/>
      </w:tblPr>
      <w:tblGrid>
        <w:gridCol w:w="1135"/>
        <w:gridCol w:w="709"/>
        <w:gridCol w:w="1417"/>
        <w:gridCol w:w="851"/>
        <w:gridCol w:w="850"/>
        <w:gridCol w:w="4394"/>
        <w:gridCol w:w="1701"/>
        <w:gridCol w:w="4111"/>
      </w:tblGrid>
      <w:tr w:rsidR="00C36D71" w:rsidRPr="00C36D71" w:rsidTr="00E53C01">
        <w:trPr>
          <w:trHeight w:val="416"/>
        </w:trPr>
        <w:tc>
          <w:tcPr>
            <w:tcW w:w="1135" w:type="dxa"/>
            <w:shd w:val="clear" w:color="auto" w:fill="548DD4" w:themeFill="text2" w:themeFillTint="99"/>
          </w:tcPr>
          <w:p w:rsidR="00C36D71" w:rsidRPr="00C36D71" w:rsidRDefault="00C36D71" w:rsidP="00C36D71">
            <w:pPr>
              <w:spacing w:before="40" w:after="40"/>
              <w:rPr>
                <w:rFonts w:ascii="Segoe UI" w:hAnsi="Segoe UI" w:cs="Segoe UI"/>
                <w:b/>
                <w:color w:val="FFFFFF" w:themeColor="background1"/>
                <w:sz w:val="20"/>
                <w:szCs w:val="22"/>
              </w:rPr>
            </w:pPr>
            <w:r w:rsidRPr="00C36D71">
              <w:rPr>
                <w:rFonts w:ascii="Segoe UI" w:hAnsi="Segoe UI" w:cs="Segoe UI"/>
                <w:b/>
                <w:color w:val="FFFFFF" w:themeColor="background1"/>
                <w:sz w:val="20"/>
                <w:szCs w:val="22"/>
              </w:rPr>
              <w:t>Service</w:t>
            </w:r>
          </w:p>
        </w:tc>
        <w:tc>
          <w:tcPr>
            <w:tcW w:w="709" w:type="dxa"/>
            <w:shd w:val="clear" w:color="auto" w:fill="548DD4" w:themeFill="text2" w:themeFillTint="99"/>
          </w:tcPr>
          <w:p w:rsidR="00C36D71" w:rsidRPr="00C36D71" w:rsidRDefault="00C36D71" w:rsidP="00C36D71">
            <w:pPr>
              <w:spacing w:before="40" w:after="40"/>
              <w:rPr>
                <w:rFonts w:ascii="Segoe UI" w:hAnsi="Segoe UI" w:cs="Segoe UI"/>
                <w:b/>
                <w:color w:val="FFFFFF" w:themeColor="background1"/>
                <w:sz w:val="20"/>
                <w:szCs w:val="22"/>
              </w:rPr>
            </w:pPr>
            <w:r w:rsidRPr="00C36D71">
              <w:rPr>
                <w:rFonts w:ascii="Segoe UI" w:hAnsi="Segoe UI" w:cs="Segoe UI"/>
                <w:b/>
                <w:color w:val="FFFFFF" w:themeColor="background1"/>
                <w:sz w:val="20"/>
                <w:szCs w:val="22"/>
              </w:rPr>
              <w:t>Ref</w:t>
            </w:r>
          </w:p>
        </w:tc>
        <w:tc>
          <w:tcPr>
            <w:tcW w:w="1417" w:type="dxa"/>
            <w:shd w:val="clear" w:color="auto" w:fill="548DD4" w:themeFill="text2" w:themeFillTint="99"/>
          </w:tcPr>
          <w:p w:rsidR="00C36D71" w:rsidRPr="00C36D71" w:rsidRDefault="00C36D71" w:rsidP="00C36D71">
            <w:pPr>
              <w:spacing w:before="40" w:after="40"/>
              <w:rPr>
                <w:rFonts w:ascii="Segoe UI" w:hAnsi="Segoe UI" w:cs="Segoe UI"/>
                <w:b/>
                <w:color w:val="FFFFFF" w:themeColor="background1"/>
                <w:sz w:val="20"/>
                <w:szCs w:val="22"/>
              </w:rPr>
            </w:pPr>
            <w:r w:rsidRPr="00C36D71">
              <w:rPr>
                <w:rFonts w:ascii="Segoe UI" w:hAnsi="Segoe UI" w:cs="Segoe UI"/>
                <w:b/>
                <w:color w:val="FFFFFF" w:themeColor="background1"/>
                <w:sz w:val="20"/>
                <w:szCs w:val="22"/>
              </w:rPr>
              <w:t>Measure</w:t>
            </w:r>
          </w:p>
        </w:tc>
        <w:tc>
          <w:tcPr>
            <w:tcW w:w="851" w:type="dxa"/>
            <w:shd w:val="clear" w:color="auto" w:fill="548DD4" w:themeFill="text2" w:themeFillTint="99"/>
          </w:tcPr>
          <w:p w:rsidR="00C36D71" w:rsidRPr="00C36D71" w:rsidRDefault="00C36D71" w:rsidP="00C36D71">
            <w:pPr>
              <w:spacing w:before="40" w:after="40"/>
              <w:jc w:val="center"/>
              <w:rPr>
                <w:rFonts w:ascii="Segoe UI" w:hAnsi="Segoe UI" w:cs="Segoe UI"/>
                <w:b/>
                <w:color w:val="FFFFFF" w:themeColor="background1"/>
                <w:sz w:val="20"/>
                <w:szCs w:val="22"/>
              </w:rPr>
            </w:pPr>
            <w:r w:rsidRPr="00C36D71">
              <w:rPr>
                <w:rFonts w:ascii="Segoe UI" w:hAnsi="Segoe UI" w:cs="Segoe UI"/>
                <w:b/>
                <w:color w:val="FFFFFF" w:themeColor="background1"/>
                <w:sz w:val="20"/>
                <w:szCs w:val="22"/>
              </w:rPr>
              <w:t>Target</w:t>
            </w:r>
          </w:p>
        </w:tc>
        <w:tc>
          <w:tcPr>
            <w:tcW w:w="850" w:type="dxa"/>
            <w:shd w:val="clear" w:color="auto" w:fill="548DD4" w:themeFill="text2" w:themeFillTint="99"/>
          </w:tcPr>
          <w:p w:rsidR="00C36D71" w:rsidRPr="00C36D71" w:rsidRDefault="00C36D71" w:rsidP="00C36D71">
            <w:pPr>
              <w:spacing w:before="40" w:after="40"/>
              <w:jc w:val="center"/>
              <w:rPr>
                <w:rFonts w:ascii="Segoe UI" w:hAnsi="Segoe UI" w:cs="Segoe UI"/>
                <w:b/>
                <w:color w:val="FFFFFF" w:themeColor="background1"/>
                <w:sz w:val="20"/>
                <w:szCs w:val="22"/>
              </w:rPr>
            </w:pPr>
            <w:r w:rsidRPr="00C36D71">
              <w:rPr>
                <w:rFonts w:ascii="Segoe UI" w:hAnsi="Segoe UI" w:cs="Segoe UI"/>
                <w:b/>
                <w:color w:val="FFFFFF" w:themeColor="background1"/>
                <w:sz w:val="20"/>
                <w:szCs w:val="22"/>
              </w:rPr>
              <w:t>Actual</w:t>
            </w:r>
          </w:p>
        </w:tc>
        <w:tc>
          <w:tcPr>
            <w:tcW w:w="4394" w:type="dxa"/>
            <w:shd w:val="clear" w:color="auto" w:fill="548DD4" w:themeFill="text2" w:themeFillTint="99"/>
          </w:tcPr>
          <w:p w:rsidR="00C36D71" w:rsidRPr="00C36D71" w:rsidRDefault="00C36D71" w:rsidP="00C36D71">
            <w:pPr>
              <w:spacing w:before="40" w:after="40"/>
              <w:jc w:val="center"/>
              <w:rPr>
                <w:rFonts w:ascii="Segoe UI" w:hAnsi="Segoe UI" w:cs="Segoe UI"/>
                <w:b/>
                <w:color w:val="FFFFFF" w:themeColor="background1"/>
                <w:sz w:val="20"/>
                <w:szCs w:val="22"/>
              </w:rPr>
            </w:pPr>
            <w:r w:rsidRPr="00C36D71">
              <w:rPr>
                <w:rFonts w:ascii="Segoe UI" w:hAnsi="Segoe UI" w:cs="Segoe UI"/>
                <w:b/>
                <w:color w:val="FFFFFF" w:themeColor="background1"/>
                <w:sz w:val="20"/>
                <w:szCs w:val="22"/>
              </w:rPr>
              <w:t>Trend</w:t>
            </w:r>
          </w:p>
        </w:tc>
        <w:tc>
          <w:tcPr>
            <w:tcW w:w="1701" w:type="dxa"/>
            <w:shd w:val="clear" w:color="auto" w:fill="548DD4" w:themeFill="text2" w:themeFillTint="99"/>
          </w:tcPr>
          <w:p w:rsidR="00C36D71" w:rsidRPr="00C36D71" w:rsidRDefault="00C36D71" w:rsidP="00C36D71">
            <w:pPr>
              <w:spacing w:before="40" w:after="40"/>
              <w:jc w:val="center"/>
              <w:rPr>
                <w:rFonts w:ascii="Segoe UI" w:hAnsi="Segoe UI" w:cs="Segoe UI"/>
                <w:b/>
                <w:color w:val="FFFFFF" w:themeColor="background1"/>
                <w:sz w:val="20"/>
                <w:szCs w:val="22"/>
              </w:rPr>
            </w:pPr>
            <w:r w:rsidRPr="00C36D71">
              <w:rPr>
                <w:rFonts w:ascii="Segoe UI" w:hAnsi="Segoe UI" w:cs="Segoe UI"/>
                <w:b/>
                <w:color w:val="FFFFFF" w:themeColor="background1"/>
                <w:sz w:val="20"/>
                <w:szCs w:val="22"/>
              </w:rPr>
              <w:t xml:space="preserve">Impact </w:t>
            </w:r>
          </w:p>
        </w:tc>
        <w:tc>
          <w:tcPr>
            <w:tcW w:w="4111" w:type="dxa"/>
            <w:shd w:val="clear" w:color="auto" w:fill="548DD4" w:themeFill="text2" w:themeFillTint="99"/>
          </w:tcPr>
          <w:p w:rsidR="00C36D71" w:rsidRPr="00C36D71" w:rsidRDefault="00C36D71" w:rsidP="00C36D71">
            <w:pPr>
              <w:spacing w:before="40" w:after="40"/>
              <w:jc w:val="center"/>
              <w:rPr>
                <w:rFonts w:ascii="Segoe UI" w:hAnsi="Segoe UI" w:cs="Segoe UI"/>
                <w:b/>
                <w:color w:val="FFFFFF" w:themeColor="background1"/>
                <w:sz w:val="20"/>
                <w:szCs w:val="22"/>
              </w:rPr>
            </w:pPr>
            <w:r w:rsidRPr="00C36D71">
              <w:rPr>
                <w:rFonts w:ascii="Segoe UI" w:hAnsi="Segoe UI" w:cs="Segoe UI"/>
                <w:b/>
                <w:color w:val="FFFFFF" w:themeColor="background1"/>
                <w:sz w:val="20"/>
                <w:szCs w:val="22"/>
              </w:rPr>
              <w:t>Action and Resolution Timescale</w:t>
            </w:r>
          </w:p>
        </w:tc>
      </w:tr>
      <w:tr w:rsidR="00C36D71" w:rsidRPr="00C36D71" w:rsidTr="00E53C01">
        <w:trPr>
          <w:trHeight w:val="2974"/>
        </w:trPr>
        <w:tc>
          <w:tcPr>
            <w:tcW w:w="1135" w:type="dxa"/>
          </w:tcPr>
          <w:p w:rsidR="00C36D71" w:rsidRPr="00C36D71" w:rsidRDefault="00C36D71" w:rsidP="00C36D71">
            <w:pPr>
              <w:ind w:right="-16"/>
              <w:rPr>
                <w:rFonts w:ascii="Segoe UI" w:hAnsi="Segoe UI" w:cs="Segoe UI"/>
                <w:sz w:val="20"/>
                <w:szCs w:val="22"/>
              </w:rPr>
            </w:pPr>
            <w:r w:rsidRPr="00C36D71">
              <w:rPr>
                <w:rFonts w:ascii="Segoe UI" w:hAnsi="Segoe UI" w:cs="Segoe UI"/>
                <w:sz w:val="20"/>
                <w:szCs w:val="22"/>
              </w:rPr>
              <w:t>LQR OCCG</w:t>
            </w:r>
          </w:p>
        </w:tc>
        <w:tc>
          <w:tcPr>
            <w:tcW w:w="709" w:type="dxa"/>
          </w:tcPr>
          <w:p w:rsidR="00C36D71" w:rsidRPr="00C36D71" w:rsidRDefault="00C36D71" w:rsidP="00C36D71">
            <w:pPr>
              <w:ind w:right="-16"/>
              <w:rPr>
                <w:rFonts w:ascii="Segoe UI" w:hAnsi="Segoe UI" w:cs="Segoe UI"/>
                <w:sz w:val="20"/>
                <w:szCs w:val="22"/>
              </w:rPr>
            </w:pPr>
            <w:r w:rsidRPr="00C36D71">
              <w:rPr>
                <w:rFonts w:ascii="Segoe UI" w:hAnsi="Segoe UI" w:cs="Segoe UI"/>
                <w:sz w:val="20"/>
                <w:szCs w:val="22"/>
              </w:rPr>
              <w:t>C2b</w:t>
            </w:r>
          </w:p>
        </w:tc>
        <w:tc>
          <w:tcPr>
            <w:tcW w:w="1417" w:type="dxa"/>
          </w:tcPr>
          <w:p w:rsidR="00C36D71" w:rsidRPr="00C36D71" w:rsidRDefault="00C36D71" w:rsidP="00C36D71">
            <w:pPr>
              <w:ind w:right="-16"/>
              <w:rPr>
                <w:rFonts w:ascii="Segoe UI" w:hAnsi="Segoe UI" w:cs="Segoe UI"/>
                <w:sz w:val="20"/>
                <w:szCs w:val="22"/>
              </w:rPr>
            </w:pPr>
            <w:r w:rsidRPr="00C36D71">
              <w:rPr>
                <w:rFonts w:ascii="Segoe UI" w:hAnsi="Segoe UI" w:cs="Segoe UI"/>
                <w:sz w:val="20"/>
                <w:szCs w:val="22"/>
              </w:rPr>
              <w:t xml:space="preserve">Mental Capacity </w:t>
            </w:r>
          </w:p>
        </w:tc>
        <w:tc>
          <w:tcPr>
            <w:tcW w:w="851" w:type="dxa"/>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90%</w:t>
            </w:r>
          </w:p>
        </w:tc>
        <w:tc>
          <w:tcPr>
            <w:tcW w:w="850" w:type="dxa"/>
            <w:shd w:val="clear" w:color="auto" w:fill="FF0000"/>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74%</w:t>
            </w:r>
          </w:p>
        </w:tc>
        <w:tc>
          <w:tcPr>
            <w:tcW w:w="4394" w:type="dxa"/>
            <w:shd w:val="clear" w:color="auto" w:fill="FFFFFF" w:themeFill="background1"/>
          </w:tcPr>
          <w:p w:rsidR="00C36D71" w:rsidRPr="00C36D71" w:rsidRDefault="00C36D71" w:rsidP="00C36D71">
            <w:pPr>
              <w:ind w:left="-108" w:right="-108"/>
              <w:rPr>
                <w:noProof/>
              </w:rPr>
            </w:pPr>
            <w:r w:rsidRPr="00C36D71">
              <w:rPr>
                <w:noProof/>
              </w:rPr>
              <w:drawing>
                <wp:inline distT="0" distB="0" distL="0" distR="0" wp14:anchorId="23C8A17E" wp14:editId="62E8170B">
                  <wp:extent cx="2778826" cy="1888176"/>
                  <wp:effectExtent l="0" t="0" r="254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1777" cy="1903771"/>
                          </a:xfrm>
                          <a:prstGeom prst="rect">
                            <a:avLst/>
                          </a:prstGeom>
                          <a:noFill/>
                          <a:ln>
                            <a:noFill/>
                          </a:ln>
                        </pic:spPr>
                      </pic:pic>
                    </a:graphicData>
                  </a:graphic>
                </wp:inline>
              </w:drawing>
            </w:r>
          </w:p>
        </w:tc>
        <w:tc>
          <w:tcPr>
            <w:tcW w:w="1701" w:type="dxa"/>
            <w:shd w:val="clear" w:color="auto" w:fill="FFFFFF" w:themeFill="background1"/>
          </w:tcPr>
          <w:p w:rsidR="00C36D71" w:rsidRPr="00C36D71" w:rsidRDefault="00C36D71" w:rsidP="00C36D71">
            <w:pPr>
              <w:rPr>
                <w:rFonts w:ascii="Segoe UI" w:hAnsi="Segoe UI" w:cs="Segoe UI"/>
                <w:sz w:val="20"/>
                <w:szCs w:val="22"/>
              </w:rPr>
            </w:pPr>
            <w:r w:rsidRPr="00C36D71">
              <w:rPr>
                <w:rFonts w:ascii="Segoe UI" w:hAnsi="Segoe UI" w:cs="Segoe UI"/>
                <w:sz w:val="20"/>
                <w:szCs w:val="22"/>
              </w:rPr>
              <w:t>Possible failure of staff awareness of the Mental Capacity Act.</w:t>
            </w:r>
          </w:p>
          <w:p w:rsidR="00C36D71" w:rsidRPr="00C36D71" w:rsidRDefault="00C36D71" w:rsidP="00C36D71">
            <w:pPr>
              <w:rPr>
                <w:rFonts w:ascii="Segoe UI" w:hAnsi="Segoe UI" w:cs="Segoe UI"/>
                <w:sz w:val="20"/>
                <w:szCs w:val="22"/>
              </w:rPr>
            </w:pPr>
          </w:p>
          <w:p w:rsidR="00C36D71" w:rsidRPr="00C36D71" w:rsidRDefault="00C36D71" w:rsidP="00C36D71">
            <w:pPr>
              <w:ind w:right="176"/>
              <w:rPr>
                <w:rFonts w:ascii="Segoe UI" w:hAnsi="Segoe UI" w:cs="Segoe UI"/>
                <w:noProof/>
                <w:sz w:val="8"/>
              </w:rPr>
            </w:pPr>
          </w:p>
        </w:tc>
        <w:tc>
          <w:tcPr>
            <w:tcW w:w="4111" w:type="dxa"/>
            <w:shd w:val="clear" w:color="auto" w:fill="FFFFFF" w:themeFill="background1"/>
          </w:tcPr>
          <w:p w:rsidR="00C36D71" w:rsidRPr="00C36D71" w:rsidRDefault="00C36D71" w:rsidP="00C36D71">
            <w:pPr>
              <w:outlineLvl w:val="0"/>
              <w:rPr>
                <w:rFonts w:ascii="Segoe UI" w:hAnsi="Segoe UI" w:cs="Segoe UI"/>
                <w:sz w:val="20"/>
                <w:szCs w:val="22"/>
              </w:rPr>
            </w:pPr>
            <w:r w:rsidRPr="00C36D71">
              <w:rPr>
                <w:rFonts w:ascii="Segoe UI" w:hAnsi="Segoe UI" w:cs="Segoe UI"/>
                <w:sz w:val="20"/>
                <w:szCs w:val="22"/>
              </w:rPr>
              <w:t xml:space="preserve">Mental Capacity is one of 4 courses that form KPI C2 which has an overall target of 90%.  </w:t>
            </w:r>
          </w:p>
          <w:p w:rsidR="00C36D71" w:rsidRPr="00C36D71" w:rsidRDefault="00C36D71" w:rsidP="00C36D71">
            <w:pPr>
              <w:outlineLvl w:val="0"/>
              <w:rPr>
                <w:rFonts w:ascii="Segoe UI" w:hAnsi="Segoe UI" w:cs="Segoe UI"/>
                <w:sz w:val="20"/>
                <w:szCs w:val="22"/>
              </w:rPr>
            </w:pPr>
          </w:p>
          <w:p w:rsidR="00C36D71" w:rsidRPr="00C36D71" w:rsidRDefault="00C36D71" w:rsidP="00C36D71">
            <w:pPr>
              <w:outlineLvl w:val="0"/>
              <w:rPr>
                <w:rFonts w:ascii="Segoe UI" w:hAnsi="Segoe UI" w:cs="Segoe UI"/>
                <w:sz w:val="20"/>
                <w:szCs w:val="22"/>
              </w:rPr>
            </w:pPr>
            <w:r w:rsidRPr="00C36D71">
              <w:rPr>
                <w:rFonts w:ascii="Segoe UI" w:hAnsi="Segoe UI" w:cs="Segoe UI"/>
                <w:sz w:val="20"/>
                <w:szCs w:val="22"/>
              </w:rPr>
              <w:t>67/91 staff are compliant. CYP is targeting non-compliant individuals and supporting staff with time to complete training.</w:t>
            </w:r>
          </w:p>
        </w:tc>
      </w:tr>
      <w:tr w:rsidR="00C36D71" w:rsidRPr="00C36D71" w:rsidTr="00E53C01">
        <w:trPr>
          <w:trHeight w:val="2687"/>
        </w:trPr>
        <w:tc>
          <w:tcPr>
            <w:tcW w:w="1135" w:type="dxa"/>
          </w:tcPr>
          <w:p w:rsidR="00C36D71" w:rsidRPr="00C36D71" w:rsidRDefault="00C36D71" w:rsidP="00C36D71">
            <w:pPr>
              <w:ind w:right="-16"/>
              <w:rPr>
                <w:rFonts w:ascii="Segoe UI" w:hAnsi="Segoe UI" w:cs="Segoe UI"/>
                <w:color w:val="FF0000"/>
                <w:sz w:val="20"/>
                <w:szCs w:val="22"/>
              </w:rPr>
            </w:pPr>
            <w:r w:rsidRPr="00C36D71">
              <w:rPr>
                <w:rFonts w:ascii="Segoe UI" w:hAnsi="Segoe UI" w:cs="Segoe UI"/>
                <w:sz w:val="20"/>
                <w:szCs w:val="22"/>
              </w:rPr>
              <w:t>Children's Services</w:t>
            </w:r>
          </w:p>
        </w:tc>
        <w:tc>
          <w:tcPr>
            <w:tcW w:w="709" w:type="dxa"/>
          </w:tcPr>
          <w:p w:rsidR="00C36D71" w:rsidRPr="00C36D71" w:rsidRDefault="00C36D71" w:rsidP="00C36D71">
            <w:pPr>
              <w:ind w:right="-16"/>
              <w:rPr>
                <w:rFonts w:ascii="Segoe UI" w:hAnsi="Segoe UI" w:cs="Segoe UI"/>
                <w:sz w:val="20"/>
                <w:szCs w:val="22"/>
              </w:rPr>
            </w:pPr>
            <w:r w:rsidRPr="00C36D71">
              <w:rPr>
                <w:rFonts w:ascii="Segoe UI" w:hAnsi="Segoe UI" w:cs="Segoe UI"/>
                <w:sz w:val="20"/>
                <w:szCs w:val="22"/>
              </w:rPr>
              <w:t>E1a</w:t>
            </w:r>
          </w:p>
        </w:tc>
        <w:tc>
          <w:tcPr>
            <w:tcW w:w="1417" w:type="dxa"/>
          </w:tcPr>
          <w:p w:rsidR="00C36D71" w:rsidRPr="00C36D71" w:rsidRDefault="00C36D71" w:rsidP="00C36D71">
            <w:pPr>
              <w:ind w:right="-16"/>
              <w:rPr>
                <w:rFonts w:ascii="Segoe UI" w:hAnsi="Segoe UI" w:cs="Segoe UI"/>
                <w:sz w:val="20"/>
                <w:szCs w:val="22"/>
              </w:rPr>
            </w:pPr>
            <w:r w:rsidRPr="00C36D71">
              <w:rPr>
                <w:rFonts w:ascii="Segoe UI" w:hAnsi="Segoe UI" w:cs="Segoe UI"/>
                <w:sz w:val="20"/>
                <w:szCs w:val="22"/>
              </w:rPr>
              <w:t>LAC Waits</w:t>
            </w:r>
          </w:p>
        </w:tc>
        <w:tc>
          <w:tcPr>
            <w:tcW w:w="851" w:type="dxa"/>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100%</w:t>
            </w:r>
          </w:p>
        </w:tc>
        <w:tc>
          <w:tcPr>
            <w:tcW w:w="850" w:type="dxa"/>
            <w:shd w:val="clear" w:color="auto" w:fill="FF0000"/>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72%</w:t>
            </w:r>
          </w:p>
        </w:tc>
        <w:tc>
          <w:tcPr>
            <w:tcW w:w="4394" w:type="dxa"/>
            <w:shd w:val="clear" w:color="auto" w:fill="FFFFFF" w:themeFill="background1"/>
          </w:tcPr>
          <w:p w:rsidR="00C36D71" w:rsidRPr="00C36D71" w:rsidRDefault="00AF424A" w:rsidP="00C36D71">
            <w:pPr>
              <w:ind w:left="-108" w:right="-108"/>
              <w:rPr>
                <w:noProof/>
              </w:rPr>
            </w:pPr>
            <w:r>
              <w:rPr>
                <w:noProof/>
              </w:rPr>
              <w:drawing>
                <wp:inline distT="0" distB="0" distL="0" distR="0" wp14:anchorId="45B31979">
                  <wp:extent cx="2784143" cy="192433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89894" cy="1928309"/>
                          </a:xfrm>
                          <a:prstGeom prst="rect">
                            <a:avLst/>
                          </a:prstGeom>
                          <a:noFill/>
                        </pic:spPr>
                      </pic:pic>
                    </a:graphicData>
                  </a:graphic>
                </wp:inline>
              </w:drawing>
            </w:r>
          </w:p>
        </w:tc>
        <w:tc>
          <w:tcPr>
            <w:tcW w:w="1701" w:type="dxa"/>
            <w:shd w:val="clear" w:color="auto" w:fill="FFFFFF" w:themeFill="background1"/>
          </w:tcPr>
          <w:p w:rsidR="00C36D71" w:rsidRPr="00C36D71" w:rsidRDefault="00C36D71" w:rsidP="00C36D71">
            <w:pPr>
              <w:ind w:right="34"/>
              <w:rPr>
                <w:rFonts w:ascii="Segoe UI" w:hAnsi="Segoe UI" w:cs="Segoe UI"/>
                <w:noProof/>
                <w:sz w:val="20"/>
              </w:rPr>
            </w:pPr>
            <w:r w:rsidRPr="00C36D71">
              <w:rPr>
                <w:rFonts w:ascii="Segoe UI" w:hAnsi="Segoe UI" w:cs="Segoe UI"/>
                <w:noProof/>
                <w:sz w:val="20"/>
              </w:rPr>
              <w:t xml:space="preserve">Extended waiting time possibly resulting in delayed care  </w:t>
            </w:r>
          </w:p>
          <w:p w:rsidR="00C36D71" w:rsidRPr="00C36D71" w:rsidRDefault="00C36D71" w:rsidP="00C36D71">
            <w:pPr>
              <w:ind w:right="176"/>
              <w:rPr>
                <w:rFonts w:ascii="Segoe UI" w:hAnsi="Segoe UI" w:cs="Segoe UI"/>
                <w:noProof/>
                <w:sz w:val="8"/>
              </w:rPr>
            </w:pPr>
          </w:p>
        </w:tc>
        <w:tc>
          <w:tcPr>
            <w:tcW w:w="4111" w:type="dxa"/>
            <w:shd w:val="clear" w:color="auto" w:fill="FFFFFF" w:themeFill="background1"/>
          </w:tcPr>
          <w:p w:rsidR="00C36D71" w:rsidRPr="00C36D71" w:rsidRDefault="00C36D71" w:rsidP="00C36D71">
            <w:pPr>
              <w:outlineLvl w:val="0"/>
              <w:rPr>
                <w:rFonts w:ascii="Segoe UI" w:hAnsi="Segoe UI" w:cs="Segoe UI"/>
                <w:sz w:val="20"/>
                <w:szCs w:val="22"/>
              </w:rPr>
            </w:pPr>
            <w:r w:rsidRPr="00C36D71">
              <w:rPr>
                <w:rFonts w:ascii="Segoe UI" w:hAnsi="Segoe UI" w:cs="Segoe UI"/>
                <w:sz w:val="20"/>
                <w:szCs w:val="22"/>
              </w:rPr>
              <w:t xml:space="preserve">During Month 12 performance reduced with only 18/25 referrals being assessed within 20 days.    </w:t>
            </w:r>
          </w:p>
          <w:p w:rsidR="00C36D71" w:rsidRPr="00C36D71" w:rsidRDefault="00C36D71" w:rsidP="00C36D71">
            <w:pPr>
              <w:outlineLvl w:val="0"/>
              <w:rPr>
                <w:rFonts w:ascii="Segoe UI" w:hAnsi="Segoe UI" w:cs="Segoe UI"/>
                <w:sz w:val="20"/>
                <w:szCs w:val="22"/>
              </w:rPr>
            </w:pPr>
          </w:p>
          <w:p w:rsidR="00C36D71" w:rsidRPr="00C36D71" w:rsidRDefault="00C36D71" w:rsidP="00C36D71">
            <w:pPr>
              <w:outlineLvl w:val="0"/>
              <w:rPr>
                <w:rFonts w:ascii="Segoe UI" w:hAnsi="Segoe UI" w:cs="Segoe UI"/>
                <w:sz w:val="20"/>
                <w:szCs w:val="22"/>
              </w:rPr>
            </w:pPr>
            <w:r w:rsidRPr="00C36D71">
              <w:rPr>
                <w:rFonts w:ascii="Segoe UI" w:hAnsi="Segoe UI" w:cs="Segoe UI"/>
                <w:sz w:val="20"/>
                <w:szCs w:val="22"/>
              </w:rPr>
              <w:t>All assessments were completed within 29 days.</w:t>
            </w:r>
          </w:p>
          <w:p w:rsidR="00C36D71" w:rsidRPr="00C36D71" w:rsidRDefault="00C36D71" w:rsidP="00C36D71">
            <w:pPr>
              <w:outlineLvl w:val="0"/>
              <w:rPr>
                <w:rFonts w:ascii="Segoe UI" w:hAnsi="Segoe UI" w:cs="Segoe UI"/>
                <w:sz w:val="20"/>
                <w:szCs w:val="22"/>
              </w:rPr>
            </w:pPr>
          </w:p>
        </w:tc>
      </w:tr>
      <w:tr w:rsidR="00C36D71" w:rsidRPr="00C36D71" w:rsidTr="00E53C01">
        <w:trPr>
          <w:trHeight w:val="1308"/>
        </w:trPr>
        <w:tc>
          <w:tcPr>
            <w:tcW w:w="1135" w:type="dxa"/>
          </w:tcPr>
          <w:p w:rsidR="00C36D71" w:rsidRPr="00C36D71" w:rsidRDefault="00C36D71" w:rsidP="00C36D71">
            <w:pPr>
              <w:ind w:right="-16"/>
              <w:rPr>
                <w:rFonts w:ascii="Segoe UI" w:hAnsi="Segoe UI" w:cs="Segoe UI"/>
                <w:sz w:val="20"/>
                <w:szCs w:val="22"/>
              </w:rPr>
            </w:pPr>
            <w:r w:rsidRPr="00C36D71">
              <w:rPr>
                <w:rFonts w:ascii="Segoe UI" w:hAnsi="Segoe UI" w:cs="Segoe UI"/>
                <w:sz w:val="20"/>
                <w:szCs w:val="22"/>
              </w:rPr>
              <w:t>CAMHS - OCCG</w:t>
            </w:r>
          </w:p>
        </w:tc>
        <w:tc>
          <w:tcPr>
            <w:tcW w:w="709" w:type="dxa"/>
          </w:tcPr>
          <w:p w:rsidR="00C36D71" w:rsidRPr="00E53C01" w:rsidRDefault="00C36D71" w:rsidP="00C36D71">
            <w:pPr>
              <w:ind w:right="-16"/>
              <w:rPr>
                <w:rFonts w:ascii="Segoe UI" w:hAnsi="Segoe UI" w:cs="Segoe UI"/>
                <w:sz w:val="20"/>
                <w:szCs w:val="20"/>
              </w:rPr>
            </w:pPr>
            <w:r w:rsidRPr="00E53C01">
              <w:rPr>
                <w:rFonts w:ascii="Segoe UI" w:hAnsi="Segoe UI" w:cs="Segoe UI"/>
                <w:sz w:val="20"/>
                <w:szCs w:val="20"/>
              </w:rPr>
              <w:t>Sch 4</w:t>
            </w:r>
          </w:p>
        </w:tc>
        <w:tc>
          <w:tcPr>
            <w:tcW w:w="1417" w:type="dxa"/>
          </w:tcPr>
          <w:p w:rsidR="00C36D71" w:rsidRPr="00C36D71" w:rsidRDefault="00C36D71" w:rsidP="00C36D71">
            <w:pPr>
              <w:ind w:right="-16"/>
              <w:rPr>
                <w:rFonts w:ascii="Segoe UI" w:hAnsi="Segoe UI" w:cs="Segoe UI"/>
                <w:sz w:val="20"/>
                <w:szCs w:val="22"/>
              </w:rPr>
            </w:pPr>
            <w:r w:rsidRPr="00C36D71">
              <w:rPr>
                <w:rFonts w:ascii="Segoe UI" w:hAnsi="Segoe UI" w:cs="Segoe UI"/>
                <w:sz w:val="20"/>
                <w:szCs w:val="22"/>
              </w:rPr>
              <w:t>ED Waits</w:t>
            </w:r>
          </w:p>
        </w:tc>
        <w:tc>
          <w:tcPr>
            <w:tcW w:w="851" w:type="dxa"/>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90%</w:t>
            </w:r>
          </w:p>
        </w:tc>
        <w:tc>
          <w:tcPr>
            <w:tcW w:w="850" w:type="dxa"/>
            <w:shd w:val="clear" w:color="auto" w:fill="FF0000"/>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75%</w:t>
            </w:r>
          </w:p>
        </w:tc>
        <w:tc>
          <w:tcPr>
            <w:tcW w:w="4394" w:type="dxa"/>
            <w:shd w:val="clear" w:color="auto" w:fill="FFFFFF" w:themeFill="background1"/>
          </w:tcPr>
          <w:p w:rsidR="00C36D71" w:rsidRPr="00C36D71" w:rsidRDefault="00C36D71" w:rsidP="00C36D71">
            <w:pPr>
              <w:ind w:left="-108" w:right="-108"/>
              <w:rPr>
                <w:noProof/>
              </w:rPr>
            </w:pPr>
            <w:r w:rsidRPr="00C36D71">
              <w:rPr>
                <w:noProof/>
              </w:rPr>
              <w:drawing>
                <wp:inline distT="0" distB="0" distL="0" distR="0" wp14:anchorId="2C819ED0" wp14:editId="03B6517B">
                  <wp:extent cx="2766951" cy="1872578"/>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7158" cy="1893021"/>
                          </a:xfrm>
                          <a:prstGeom prst="rect">
                            <a:avLst/>
                          </a:prstGeom>
                          <a:noFill/>
                          <a:ln>
                            <a:noFill/>
                          </a:ln>
                        </pic:spPr>
                      </pic:pic>
                    </a:graphicData>
                  </a:graphic>
                </wp:inline>
              </w:drawing>
            </w:r>
          </w:p>
        </w:tc>
        <w:tc>
          <w:tcPr>
            <w:tcW w:w="1701" w:type="dxa"/>
            <w:shd w:val="clear" w:color="auto" w:fill="FFFFFF" w:themeFill="background1"/>
          </w:tcPr>
          <w:p w:rsidR="00C36D71" w:rsidRPr="00C36D71" w:rsidRDefault="00C36D71" w:rsidP="00C36D71">
            <w:pPr>
              <w:ind w:right="34"/>
              <w:rPr>
                <w:rFonts w:ascii="Segoe UI" w:hAnsi="Segoe UI" w:cs="Segoe UI"/>
                <w:noProof/>
                <w:sz w:val="20"/>
              </w:rPr>
            </w:pPr>
            <w:r w:rsidRPr="00C36D71">
              <w:rPr>
                <w:rFonts w:ascii="Segoe UI" w:hAnsi="Segoe UI" w:cs="Segoe UI"/>
                <w:noProof/>
                <w:sz w:val="20"/>
              </w:rPr>
              <w:t xml:space="preserve">Extended waiting time possibly resulting in delayed care  </w:t>
            </w:r>
          </w:p>
          <w:p w:rsidR="00C36D71" w:rsidRPr="00C36D71" w:rsidRDefault="00C36D71" w:rsidP="00C36D71">
            <w:pPr>
              <w:ind w:right="176"/>
              <w:rPr>
                <w:rFonts w:ascii="Segoe UI" w:hAnsi="Segoe UI" w:cs="Segoe UI"/>
                <w:sz w:val="20"/>
                <w:szCs w:val="22"/>
              </w:rPr>
            </w:pPr>
          </w:p>
        </w:tc>
        <w:tc>
          <w:tcPr>
            <w:tcW w:w="4111" w:type="dxa"/>
            <w:shd w:val="clear" w:color="auto" w:fill="FFFFFF" w:themeFill="background1"/>
          </w:tcPr>
          <w:p w:rsidR="00C36D71" w:rsidRPr="00C36D71" w:rsidRDefault="00C36D71" w:rsidP="00C36D71">
            <w:pPr>
              <w:outlineLvl w:val="0"/>
              <w:rPr>
                <w:rFonts w:ascii="Segoe UI" w:hAnsi="Segoe UI" w:cs="Segoe UI"/>
                <w:sz w:val="20"/>
                <w:szCs w:val="22"/>
              </w:rPr>
            </w:pPr>
            <w:r w:rsidRPr="00C36D71">
              <w:rPr>
                <w:rFonts w:ascii="Segoe UI" w:hAnsi="Segoe UI" w:cs="Segoe UI"/>
                <w:sz w:val="20"/>
                <w:szCs w:val="22"/>
              </w:rPr>
              <w:t>Baseline Data was collected during Months 7-9 which was an average of 80% compliance, Month 10-12 is based on this baseline + 10%</w:t>
            </w:r>
          </w:p>
          <w:p w:rsidR="00C36D71" w:rsidRPr="00C36D71" w:rsidRDefault="00C36D71" w:rsidP="00C36D71">
            <w:pPr>
              <w:outlineLvl w:val="0"/>
              <w:rPr>
                <w:rFonts w:ascii="Segoe UI" w:hAnsi="Segoe UI" w:cs="Segoe UI"/>
                <w:color w:val="FF0000"/>
                <w:sz w:val="20"/>
                <w:szCs w:val="22"/>
              </w:rPr>
            </w:pPr>
          </w:p>
          <w:p w:rsidR="00C36D71" w:rsidRPr="00E53C01" w:rsidRDefault="00C36D71" w:rsidP="00C36D71">
            <w:pPr>
              <w:outlineLvl w:val="0"/>
              <w:rPr>
                <w:rFonts w:ascii="Segoe UI" w:hAnsi="Segoe UI" w:cs="Segoe UI"/>
                <w:color w:val="FF0000"/>
                <w:sz w:val="20"/>
                <w:szCs w:val="22"/>
              </w:rPr>
            </w:pPr>
            <w:r w:rsidRPr="00C36D71">
              <w:rPr>
                <w:rFonts w:ascii="Segoe UI" w:hAnsi="Segoe UI" w:cs="Segoe UI"/>
                <w:sz w:val="20"/>
                <w:szCs w:val="22"/>
              </w:rPr>
              <w:t xml:space="preserve">During Month 12 performance reduced with only 9/12 referrals being seen within 4 weeks.  All patients were assessed within 32 </w:t>
            </w:r>
            <w:r w:rsidRPr="00E53C01">
              <w:rPr>
                <w:rFonts w:ascii="Segoe UI" w:hAnsi="Segoe UI" w:cs="Segoe UI"/>
                <w:sz w:val="20"/>
                <w:szCs w:val="22"/>
              </w:rPr>
              <w:t>days.</w:t>
            </w:r>
            <w:r w:rsidR="00E53C01" w:rsidRPr="00E53C01">
              <w:rPr>
                <w:rFonts w:ascii="Segoe UI" w:hAnsi="Segoe UI" w:cs="Segoe UI"/>
                <w:sz w:val="20"/>
                <w:szCs w:val="22"/>
              </w:rPr>
              <w:t xml:space="preserve"> A</w:t>
            </w:r>
            <w:r w:rsidRPr="00E53C01">
              <w:rPr>
                <w:rFonts w:ascii="Segoe UI" w:hAnsi="Segoe UI" w:cs="Segoe UI"/>
                <w:sz w:val="20"/>
                <w:szCs w:val="22"/>
              </w:rPr>
              <w:t xml:space="preserve">ction Plan </w:t>
            </w:r>
            <w:r w:rsidRPr="00C36D71">
              <w:rPr>
                <w:rFonts w:ascii="Segoe UI" w:hAnsi="Segoe UI" w:cs="Segoe UI"/>
                <w:sz w:val="20"/>
                <w:szCs w:val="22"/>
              </w:rPr>
              <w:t>in place with team to address the underperformance.</w:t>
            </w:r>
          </w:p>
        </w:tc>
      </w:tr>
      <w:tr w:rsidR="00C36D71" w:rsidRPr="00C36D71" w:rsidTr="00E53C01">
        <w:trPr>
          <w:trHeight w:val="1308"/>
        </w:trPr>
        <w:tc>
          <w:tcPr>
            <w:tcW w:w="1135" w:type="dxa"/>
          </w:tcPr>
          <w:p w:rsidR="00C36D71" w:rsidRPr="00C36D71" w:rsidRDefault="00C36D71" w:rsidP="00C36D71">
            <w:pPr>
              <w:ind w:right="-16"/>
              <w:rPr>
                <w:rFonts w:ascii="Segoe UI" w:hAnsi="Segoe UI" w:cs="Segoe UI"/>
                <w:sz w:val="20"/>
                <w:szCs w:val="22"/>
              </w:rPr>
            </w:pPr>
            <w:r w:rsidRPr="00C36D71">
              <w:rPr>
                <w:rFonts w:ascii="Segoe UI" w:hAnsi="Segoe UI" w:cs="Segoe UI"/>
                <w:sz w:val="20"/>
                <w:szCs w:val="22"/>
              </w:rPr>
              <w:t>CAMHS - OCCG</w:t>
            </w:r>
          </w:p>
        </w:tc>
        <w:tc>
          <w:tcPr>
            <w:tcW w:w="709" w:type="dxa"/>
          </w:tcPr>
          <w:p w:rsidR="00C36D71" w:rsidRPr="00E53C01" w:rsidRDefault="00C36D71" w:rsidP="00C36D71">
            <w:pPr>
              <w:ind w:right="-16"/>
              <w:rPr>
                <w:rFonts w:ascii="Segoe UI" w:hAnsi="Segoe UI" w:cs="Segoe UI"/>
                <w:sz w:val="20"/>
                <w:szCs w:val="20"/>
              </w:rPr>
            </w:pPr>
            <w:r w:rsidRPr="00E53C01">
              <w:rPr>
                <w:rFonts w:ascii="Segoe UI" w:hAnsi="Segoe UI" w:cs="Segoe UI"/>
                <w:sz w:val="20"/>
                <w:szCs w:val="20"/>
              </w:rPr>
              <w:t>E6aii</w:t>
            </w:r>
          </w:p>
        </w:tc>
        <w:tc>
          <w:tcPr>
            <w:tcW w:w="1417" w:type="dxa"/>
          </w:tcPr>
          <w:p w:rsidR="00C36D71" w:rsidRPr="00C36D71" w:rsidRDefault="00C36D71" w:rsidP="00C36D71">
            <w:pPr>
              <w:ind w:right="-16"/>
              <w:rPr>
                <w:rFonts w:ascii="Segoe UI" w:hAnsi="Segoe UI" w:cs="Segoe UI"/>
                <w:sz w:val="20"/>
                <w:szCs w:val="22"/>
              </w:rPr>
            </w:pPr>
            <w:r w:rsidRPr="00C36D71">
              <w:rPr>
                <w:rFonts w:ascii="Segoe UI" w:hAnsi="Segoe UI" w:cs="Segoe UI"/>
                <w:sz w:val="20"/>
                <w:szCs w:val="22"/>
              </w:rPr>
              <w:t>ASD Waits</w:t>
            </w:r>
          </w:p>
        </w:tc>
        <w:tc>
          <w:tcPr>
            <w:tcW w:w="851" w:type="dxa"/>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75%</w:t>
            </w:r>
          </w:p>
        </w:tc>
        <w:tc>
          <w:tcPr>
            <w:tcW w:w="850" w:type="dxa"/>
            <w:shd w:val="clear" w:color="auto" w:fill="FF0000"/>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10%</w:t>
            </w:r>
          </w:p>
        </w:tc>
        <w:tc>
          <w:tcPr>
            <w:tcW w:w="4394" w:type="dxa"/>
            <w:shd w:val="clear" w:color="auto" w:fill="FFFFFF" w:themeFill="background1"/>
          </w:tcPr>
          <w:p w:rsidR="00C36D71" w:rsidRPr="00C36D71" w:rsidRDefault="00C36D71" w:rsidP="00C36D71">
            <w:pPr>
              <w:ind w:left="-108" w:right="-108"/>
              <w:rPr>
                <w:noProof/>
              </w:rPr>
            </w:pPr>
            <w:r w:rsidRPr="00C36D71">
              <w:rPr>
                <w:noProof/>
              </w:rPr>
              <w:drawing>
                <wp:inline distT="0" distB="0" distL="0" distR="0" wp14:anchorId="60422689" wp14:editId="64CD4663">
                  <wp:extent cx="2766951" cy="1864426"/>
                  <wp:effectExtent l="0" t="0" r="0" b="254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74354" cy="1869414"/>
                          </a:xfrm>
                          <a:prstGeom prst="rect">
                            <a:avLst/>
                          </a:prstGeom>
                          <a:noFill/>
                          <a:ln>
                            <a:noFill/>
                          </a:ln>
                        </pic:spPr>
                      </pic:pic>
                    </a:graphicData>
                  </a:graphic>
                </wp:inline>
              </w:drawing>
            </w:r>
          </w:p>
        </w:tc>
        <w:tc>
          <w:tcPr>
            <w:tcW w:w="1701" w:type="dxa"/>
            <w:shd w:val="clear" w:color="auto" w:fill="FFFFFF" w:themeFill="background1"/>
          </w:tcPr>
          <w:p w:rsidR="00C36D71" w:rsidRPr="00C36D71" w:rsidRDefault="00C36D71" w:rsidP="00C36D71">
            <w:pPr>
              <w:ind w:right="34"/>
              <w:rPr>
                <w:rFonts w:ascii="Segoe UI" w:hAnsi="Segoe UI" w:cs="Segoe UI"/>
                <w:noProof/>
                <w:sz w:val="20"/>
              </w:rPr>
            </w:pPr>
            <w:r w:rsidRPr="00C36D71">
              <w:rPr>
                <w:rFonts w:ascii="Segoe UI" w:hAnsi="Segoe UI" w:cs="Segoe UI"/>
                <w:noProof/>
                <w:sz w:val="20"/>
              </w:rPr>
              <w:t xml:space="preserve">Extended waiting time possibly resulting in delayed care  </w:t>
            </w:r>
          </w:p>
          <w:p w:rsidR="00C36D71" w:rsidRPr="00C36D71" w:rsidRDefault="00C36D71" w:rsidP="00C36D71">
            <w:pPr>
              <w:ind w:right="176"/>
              <w:rPr>
                <w:rFonts w:ascii="Segoe UI" w:hAnsi="Segoe UI" w:cs="Segoe UI"/>
                <w:noProof/>
                <w:sz w:val="8"/>
                <w:highlight w:val="yellow"/>
              </w:rPr>
            </w:pPr>
          </w:p>
        </w:tc>
        <w:tc>
          <w:tcPr>
            <w:tcW w:w="4111" w:type="dxa"/>
            <w:shd w:val="clear" w:color="auto" w:fill="auto"/>
          </w:tcPr>
          <w:p w:rsidR="00C36D71" w:rsidRPr="00C36D71" w:rsidRDefault="00C36D71" w:rsidP="00C36D71">
            <w:pPr>
              <w:outlineLvl w:val="0"/>
              <w:rPr>
                <w:rFonts w:ascii="Segoe UI" w:hAnsi="Segoe UI" w:cs="Segoe UI"/>
                <w:sz w:val="20"/>
                <w:szCs w:val="22"/>
                <w:highlight w:val="yellow"/>
              </w:rPr>
            </w:pPr>
            <w:r w:rsidRPr="00C36D71">
              <w:rPr>
                <w:rFonts w:ascii="Segoe UI" w:hAnsi="Segoe UI" w:cs="Segoe UI"/>
                <w:sz w:val="20"/>
                <w:szCs w:val="22"/>
              </w:rPr>
              <w:t>This indicator is for Non Co morbid ASD Assessments, Discussions with OCCG Commissioners have taken place and the service is currently sub-contracting via the ADHD Centre to help with the demand around ASD and a further 90 referrals have been outsourced to help with the demand.  A new service model has been designed and CYP are currently in a tender process for this to commence in 17/18 which should help address the underperformance.</w:t>
            </w:r>
          </w:p>
        </w:tc>
      </w:tr>
      <w:tr w:rsidR="00C36D71" w:rsidRPr="00C36D71" w:rsidTr="00E53C01">
        <w:trPr>
          <w:trHeight w:val="2601"/>
        </w:trPr>
        <w:tc>
          <w:tcPr>
            <w:tcW w:w="1135" w:type="dxa"/>
          </w:tcPr>
          <w:p w:rsidR="00C36D71" w:rsidRPr="00C36D71" w:rsidRDefault="00C36D71" w:rsidP="00C36D71">
            <w:pPr>
              <w:rPr>
                <w:rFonts w:ascii="Segoe UI" w:hAnsi="Segoe UI" w:cs="Segoe UI"/>
                <w:sz w:val="20"/>
                <w:szCs w:val="20"/>
              </w:rPr>
            </w:pPr>
            <w:r w:rsidRPr="00C36D71">
              <w:rPr>
                <w:rFonts w:ascii="Segoe UI" w:hAnsi="Segoe UI" w:cs="Segoe UI"/>
                <w:sz w:val="20"/>
                <w:szCs w:val="20"/>
              </w:rPr>
              <w:t>CAMHS Swindon CCG</w:t>
            </w:r>
          </w:p>
        </w:tc>
        <w:tc>
          <w:tcPr>
            <w:tcW w:w="709" w:type="dxa"/>
          </w:tcPr>
          <w:p w:rsidR="00C36D71" w:rsidRPr="00E53C01" w:rsidRDefault="00C36D71" w:rsidP="00C36D71">
            <w:pPr>
              <w:rPr>
                <w:rFonts w:ascii="Segoe UI" w:hAnsi="Segoe UI" w:cs="Segoe UI"/>
                <w:sz w:val="20"/>
                <w:szCs w:val="20"/>
              </w:rPr>
            </w:pPr>
            <w:r w:rsidRPr="00E53C01">
              <w:rPr>
                <w:rFonts w:ascii="Segoe UI" w:hAnsi="Segoe UI" w:cs="Segoe UI"/>
                <w:sz w:val="20"/>
                <w:szCs w:val="20"/>
              </w:rPr>
              <w:t>PAF</w:t>
            </w:r>
          </w:p>
        </w:tc>
        <w:tc>
          <w:tcPr>
            <w:tcW w:w="1417" w:type="dxa"/>
          </w:tcPr>
          <w:p w:rsidR="00C36D71" w:rsidRPr="00C36D71" w:rsidRDefault="00C36D71" w:rsidP="00C36D71">
            <w:pPr>
              <w:rPr>
                <w:rFonts w:ascii="Segoe UI" w:hAnsi="Segoe UI" w:cs="Segoe UI"/>
                <w:sz w:val="20"/>
                <w:szCs w:val="22"/>
              </w:rPr>
            </w:pPr>
            <w:r w:rsidRPr="00C36D71">
              <w:rPr>
                <w:rFonts w:ascii="Segoe UI" w:hAnsi="Segoe UI" w:cs="Segoe UI"/>
                <w:sz w:val="20"/>
                <w:szCs w:val="22"/>
              </w:rPr>
              <w:t>T3 Completed Episodes of Care</w:t>
            </w:r>
          </w:p>
        </w:tc>
        <w:tc>
          <w:tcPr>
            <w:tcW w:w="851" w:type="dxa"/>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669</w:t>
            </w:r>
          </w:p>
        </w:tc>
        <w:tc>
          <w:tcPr>
            <w:tcW w:w="850" w:type="dxa"/>
            <w:shd w:val="clear" w:color="auto" w:fill="FF0000"/>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538</w:t>
            </w:r>
          </w:p>
        </w:tc>
        <w:tc>
          <w:tcPr>
            <w:tcW w:w="4394" w:type="dxa"/>
            <w:shd w:val="clear" w:color="auto" w:fill="FFFFFF" w:themeFill="background1"/>
          </w:tcPr>
          <w:p w:rsidR="00C36D71" w:rsidRPr="00C36D71" w:rsidRDefault="00C36D71" w:rsidP="00C36D71">
            <w:pPr>
              <w:ind w:left="-108"/>
              <w:rPr>
                <w:rFonts w:ascii="Segoe UI" w:hAnsi="Segoe UI" w:cs="Segoe UI"/>
                <w:noProof/>
                <w:sz w:val="20"/>
                <w:szCs w:val="22"/>
              </w:rPr>
            </w:pPr>
            <w:r w:rsidRPr="00C36D71">
              <w:rPr>
                <w:rFonts w:ascii="Segoe UI" w:hAnsi="Segoe UI" w:cs="Segoe UI"/>
                <w:noProof/>
                <w:sz w:val="20"/>
                <w:szCs w:val="22"/>
              </w:rPr>
              <w:drawing>
                <wp:inline distT="0" distB="0" distL="0" distR="0" wp14:anchorId="4E9697B0" wp14:editId="0246195A">
                  <wp:extent cx="2774584" cy="1698172"/>
                  <wp:effectExtent l="0" t="0" r="6985"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81034" cy="1702120"/>
                          </a:xfrm>
                          <a:prstGeom prst="rect">
                            <a:avLst/>
                          </a:prstGeom>
                          <a:noFill/>
                        </pic:spPr>
                      </pic:pic>
                    </a:graphicData>
                  </a:graphic>
                </wp:inline>
              </w:drawing>
            </w:r>
          </w:p>
        </w:tc>
        <w:tc>
          <w:tcPr>
            <w:tcW w:w="1701" w:type="dxa"/>
            <w:shd w:val="clear" w:color="auto" w:fill="FFFFFF" w:themeFill="background1"/>
          </w:tcPr>
          <w:p w:rsidR="00C36D71" w:rsidRPr="00C36D71" w:rsidRDefault="00C36D71" w:rsidP="00C36D71">
            <w:pPr>
              <w:shd w:val="clear" w:color="auto" w:fill="FFFFFF" w:themeFill="background1"/>
              <w:ind w:right="-108"/>
              <w:rPr>
                <w:rFonts w:ascii="Segoe UI" w:hAnsi="Segoe UI" w:cs="Segoe UI"/>
                <w:noProof/>
                <w:sz w:val="20"/>
                <w:highlight w:val="yellow"/>
              </w:rPr>
            </w:pPr>
            <w:r w:rsidRPr="00C36D71">
              <w:rPr>
                <w:rFonts w:ascii="Segoe UI" w:hAnsi="Segoe UI" w:cs="Segoe UI"/>
                <w:noProof/>
                <w:sz w:val="20"/>
              </w:rPr>
              <w:t>No immeadiate impact</w:t>
            </w:r>
          </w:p>
        </w:tc>
        <w:tc>
          <w:tcPr>
            <w:tcW w:w="4111" w:type="dxa"/>
            <w:shd w:val="clear" w:color="auto" w:fill="FFFFFF" w:themeFill="background1"/>
          </w:tcPr>
          <w:p w:rsidR="00C36D71" w:rsidRPr="00C36D71" w:rsidRDefault="00C36D71" w:rsidP="00C36D71">
            <w:pPr>
              <w:ind w:right="33"/>
              <w:rPr>
                <w:rFonts w:ascii="Segoe UI" w:hAnsi="Segoe UI" w:cs="Segoe UI"/>
                <w:sz w:val="20"/>
                <w:szCs w:val="22"/>
                <w:highlight w:val="yellow"/>
              </w:rPr>
            </w:pPr>
            <w:r w:rsidRPr="00C36D71">
              <w:rPr>
                <w:rFonts w:ascii="Segoe UI" w:hAnsi="Segoe UI" w:cs="Segoe UI"/>
                <w:sz w:val="20"/>
                <w:szCs w:val="22"/>
              </w:rPr>
              <w:t>This indicator is currently being reviewed with Swindon Commissioners and the underperformance is consistent with the last 3 years, therefore target is being reviewed.</w:t>
            </w:r>
          </w:p>
        </w:tc>
      </w:tr>
      <w:tr w:rsidR="00C36D71" w:rsidRPr="00C36D71" w:rsidTr="00E53C01">
        <w:trPr>
          <w:trHeight w:val="2743"/>
        </w:trPr>
        <w:tc>
          <w:tcPr>
            <w:tcW w:w="1135" w:type="dxa"/>
          </w:tcPr>
          <w:p w:rsidR="00C36D71" w:rsidRPr="00C36D71" w:rsidRDefault="00C36D71" w:rsidP="00C36D71">
            <w:pPr>
              <w:rPr>
                <w:rFonts w:ascii="Segoe UI" w:hAnsi="Segoe UI" w:cs="Segoe UI"/>
                <w:sz w:val="20"/>
                <w:szCs w:val="22"/>
              </w:rPr>
            </w:pPr>
            <w:r w:rsidRPr="00C36D71">
              <w:rPr>
                <w:rFonts w:ascii="Segoe UI" w:hAnsi="Segoe UI" w:cs="Segoe UI"/>
                <w:sz w:val="20"/>
                <w:szCs w:val="22"/>
              </w:rPr>
              <w:t>CAMHS Swindon CCG</w:t>
            </w:r>
          </w:p>
        </w:tc>
        <w:tc>
          <w:tcPr>
            <w:tcW w:w="709" w:type="dxa"/>
          </w:tcPr>
          <w:p w:rsidR="00C36D71" w:rsidRPr="00C36D71" w:rsidRDefault="00C36D71" w:rsidP="00C36D71">
            <w:pPr>
              <w:rPr>
                <w:rFonts w:ascii="Segoe UI" w:hAnsi="Segoe UI" w:cs="Segoe UI"/>
                <w:sz w:val="20"/>
                <w:szCs w:val="22"/>
              </w:rPr>
            </w:pPr>
            <w:r w:rsidRPr="00C36D71">
              <w:rPr>
                <w:rFonts w:ascii="Segoe UI" w:hAnsi="Segoe UI" w:cs="Segoe UI"/>
                <w:sz w:val="20"/>
                <w:szCs w:val="20"/>
              </w:rPr>
              <w:t>PAF</w:t>
            </w:r>
          </w:p>
        </w:tc>
        <w:tc>
          <w:tcPr>
            <w:tcW w:w="1417" w:type="dxa"/>
          </w:tcPr>
          <w:p w:rsidR="00C36D71" w:rsidRPr="00C36D71" w:rsidRDefault="00C36D71" w:rsidP="00C36D71">
            <w:pPr>
              <w:rPr>
                <w:rFonts w:ascii="Segoe UI" w:hAnsi="Segoe UI" w:cs="Segoe UI"/>
                <w:b/>
                <w:sz w:val="20"/>
                <w:szCs w:val="22"/>
              </w:rPr>
            </w:pPr>
            <w:r w:rsidRPr="00C36D71">
              <w:rPr>
                <w:rFonts w:ascii="Segoe UI" w:hAnsi="Segoe UI" w:cs="Segoe UI"/>
                <w:sz w:val="20"/>
                <w:szCs w:val="22"/>
              </w:rPr>
              <w:t>Waiting 4 Weeks</w:t>
            </w:r>
          </w:p>
        </w:tc>
        <w:tc>
          <w:tcPr>
            <w:tcW w:w="851" w:type="dxa"/>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90%</w:t>
            </w:r>
          </w:p>
          <w:p w:rsidR="00C36D71" w:rsidRPr="00C36D71" w:rsidRDefault="00C36D71" w:rsidP="00C36D71">
            <w:pPr>
              <w:jc w:val="center"/>
              <w:rPr>
                <w:rFonts w:ascii="Segoe UI" w:hAnsi="Segoe UI" w:cs="Segoe UI"/>
                <w:sz w:val="20"/>
                <w:szCs w:val="22"/>
              </w:rPr>
            </w:pPr>
          </w:p>
        </w:tc>
        <w:tc>
          <w:tcPr>
            <w:tcW w:w="850" w:type="dxa"/>
            <w:shd w:val="clear" w:color="auto" w:fill="FF0000"/>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39%</w:t>
            </w:r>
          </w:p>
          <w:p w:rsidR="00C36D71" w:rsidRPr="00C36D71" w:rsidRDefault="00C36D71" w:rsidP="00C36D71">
            <w:pPr>
              <w:jc w:val="center"/>
              <w:rPr>
                <w:rFonts w:ascii="Segoe UI" w:hAnsi="Segoe UI" w:cs="Segoe UI"/>
                <w:sz w:val="20"/>
                <w:szCs w:val="22"/>
              </w:rPr>
            </w:pPr>
          </w:p>
        </w:tc>
        <w:tc>
          <w:tcPr>
            <w:tcW w:w="4394" w:type="dxa"/>
            <w:shd w:val="clear" w:color="auto" w:fill="FFFFFF" w:themeFill="background1"/>
          </w:tcPr>
          <w:p w:rsidR="00C36D71" w:rsidRPr="00C36D71" w:rsidRDefault="00C36D71" w:rsidP="00C36D71">
            <w:pPr>
              <w:ind w:left="-108" w:right="-107"/>
              <w:rPr>
                <w:rFonts w:ascii="Segoe UI" w:hAnsi="Segoe UI" w:cs="Segoe UI"/>
                <w:sz w:val="20"/>
                <w:szCs w:val="22"/>
              </w:rPr>
            </w:pPr>
            <w:r w:rsidRPr="00C36D71">
              <w:rPr>
                <w:rFonts w:ascii="Segoe UI" w:hAnsi="Segoe UI" w:cs="Segoe UI"/>
                <w:noProof/>
                <w:sz w:val="20"/>
                <w:szCs w:val="22"/>
              </w:rPr>
              <w:drawing>
                <wp:inline distT="0" distB="0" distL="0" distR="0" wp14:anchorId="3C5A2A99" wp14:editId="6A2108AB">
                  <wp:extent cx="2778826" cy="1769423"/>
                  <wp:effectExtent l="0" t="0" r="2540" b="254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4340" cy="1772934"/>
                          </a:xfrm>
                          <a:prstGeom prst="rect">
                            <a:avLst/>
                          </a:prstGeom>
                          <a:noFill/>
                        </pic:spPr>
                      </pic:pic>
                    </a:graphicData>
                  </a:graphic>
                </wp:inline>
              </w:drawing>
            </w:r>
          </w:p>
        </w:tc>
        <w:tc>
          <w:tcPr>
            <w:tcW w:w="1701" w:type="dxa"/>
            <w:shd w:val="clear" w:color="auto" w:fill="FFFFFF" w:themeFill="background1"/>
          </w:tcPr>
          <w:p w:rsidR="00C36D71" w:rsidRPr="00C36D71" w:rsidRDefault="00C36D71" w:rsidP="00C36D71">
            <w:pPr>
              <w:ind w:right="34"/>
              <w:rPr>
                <w:rFonts w:ascii="Segoe UI" w:hAnsi="Segoe UI" w:cs="Segoe UI"/>
                <w:noProof/>
                <w:sz w:val="20"/>
              </w:rPr>
            </w:pPr>
            <w:r w:rsidRPr="00C36D71">
              <w:rPr>
                <w:rFonts w:ascii="Segoe UI" w:hAnsi="Segoe UI" w:cs="Segoe UI"/>
                <w:noProof/>
                <w:sz w:val="20"/>
              </w:rPr>
              <w:t xml:space="preserve">Extended waiting time possibly resulting in delayed care  </w:t>
            </w:r>
          </w:p>
          <w:p w:rsidR="00C36D71" w:rsidRPr="00C36D71" w:rsidRDefault="00C36D71" w:rsidP="00C36D71">
            <w:pPr>
              <w:rPr>
                <w:noProof/>
                <w:sz w:val="20"/>
                <w:highlight w:val="yellow"/>
              </w:rPr>
            </w:pPr>
          </w:p>
        </w:tc>
        <w:tc>
          <w:tcPr>
            <w:tcW w:w="4111" w:type="dxa"/>
            <w:shd w:val="clear" w:color="auto" w:fill="FFFFFF" w:themeFill="background1"/>
          </w:tcPr>
          <w:p w:rsidR="00C36D71" w:rsidRPr="00C36D71" w:rsidRDefault="00C36D71" w:rsidP="00C36D71">
            <w:pPr>
              <w:rPr>
                <w:rFonts w:ascii="Segoe UI" w:hAnsi="Segoe UI" w:cs="Segoe UI"/>
                <w:sz w:val="20"/>
                <w:szCs w:val="22"/>
              </w:rPr>
            </w:pPr>
            <w:r w:rsidRPr="00C36D71">
              <w:rPr>
                <w:rFonts w:ascii="Segoe UI" w:hAnsi="Segoe UI" w:cs="Segoe UI"/>
                <w:sz w:val="20"/>
                <w:szCs w:val="22"/>
              </w:rPr>
              <w:t xml:space="preserve">This issue has been highlighted to the Team through Performance Meetings </w:t>
            </w:r>
          </w:p>
          <w:p w:rsidR="00C36D71" w:rsidRPr="00C36D71" w:rsidRDefault="00C36D71" w:rsidP="00C36D71">
            <w:pPr>
              <w:rPr>
                <w:rFonts w:ascii="Segoe UI" w:hAnsi="Segoe UI" w:cs="Segoe UI"/>
                <w:sz w:val="20"/>
                <w:szCs w:val="22"/>
              </w:rPr>
            </w:pPr>
          </w:p>
          <w:p w:rsidR="00C36D71" w:rsidRPr="00C36D71" w:rsidRDefault="00C36D71" w:rsidP="00E53C01">
            <w:pPr>
              <w:rPr>
                <w:rFonts w:ascii="Segoe UI" w:hAnsi="Segoe UI" w:cs="Segoe UI"/>
                <w:sz w:val="20"/>
                <w:szCs w:val="22"/>
                <w:highlight w:val="yellow"/>
              </w:rPr>
            </w:pPr>
            <w:r w:rsidRPr="00C36D71">
              <w:rPr>
                <w:rFonts w:ascii="Segoe UI" w:hAnsi="Segoe UI" w:cs="Segoe UI"/>
                <w:sz w:val="20"/>
                <w:szCs w:val="22"/>
              </w:rPr>
              <w:t>A new process which has been agreed by commissioners will commence during February patients will need to contact the service to arrange a suitable time to activate the referral.  Swindon CAMHS have seen a 46% increase in referrals during 16-17 compared to 15-16.</w:t>
            </w:r>
          </w:p>
        </w:tc>
      </w:tr>
      <w:tr w:rsidR="00C36D71" w:rsidRPr="00C36D71" w:rsidTr="00E53C01">
        <w:trPr>
          <w:trHeight w:val="2769"/>
        </w:trPr>
        <w:tc>
          <w:tcPr>
            <w:tcW w:w="1135" w:type="dxa"/>
          </w:tcPr>
          <w:p w:rsidR="00C36D71" w:rsidRPr="00C36D71" w:rsidRDefault="00C36D71" w:rsidP="00C36D71">
            <w:pPr>
              <w:rPr>
                <w:rFonts w:ascii="Segoe UI" w:hAnsi="Segoe UI" w:cs="Segoe UI"/>
                <w:sz w:val="20"/>
                <w:szCs w:val="22"/>
              </w:rPr>
            </w:pPr>
            <w:r w:rsidRPr="00C36D71">
              <w:rPr>
                <w:rFonts w:ascii="Segoe UI" w:hAnsi="Segoe UI" w:cs="Segoe UI"/>
                <w:sz w:val="20"/>
                <w:szCs w:val="22"/>
              </w:rPr>
              <w:t>CAMHS Wilts CCG</w:t>
            </w:r>
          </w:p>
        </w:tc>
        <w:tc>
          <w:tcPr>
            <w:tcW w:w="709" w:type="dxa"/>
          </w:tcPr>
          <w:p w:rsidR="00C36D71" w:rsidRPr="00C36D71" w:rsidRDefault="00C36D71" w:rsidP="00C36D71">
            <w:pPr>
              <w:rPr>
                <w:rFonts w:ascii="Segoe UI" w:hAnsi="Segoe UI" w:cs="Segoe UI"/>
                <w:sz w:val="20"/>
                <w:szCs w:val="22"/>
              </w:rPr>
            </w:pPr>
            <w:r w:rsidRPr="00C36D71">
              <w:rPr>
                <w:rFonts w:ascii="Segoe UI" w:hAnsi="Segoe UI" w:cs="Segoe UI"/>
                <w:sz w:val="20"/>
                <w:szCs w:val="20"/>
              </w:rPr>
              <w:t>PAF</w:t>
            </w:r>
          </w:p>
        </w:tc>
        <w:tc>
          <w:tcPr>
            <w:tcW w:w="1417" w:type="dxa"/>
          </w:tcPr>
          <w:p w:rsidR="00C36D71" w:rsidRPr="00C36D71" w:rsidRDefault="00C36D71" w:rsidP="00C36D71">
            <w:pPr>
              <w:rPr>
                <w:rFonts w:ascii="Segoe UI" w:hAnsi="Segoe UI" w:cs="Segoe UI"/>
                <w:sz w:val="20"/>
                <w:szCs w:val="22"/>
              </w:rPr>
            </w:pPr>
            <w:r w:rsidRPr="00C36D71">
              <w:rPr>
                <w:rFonts w:ascii="Segoe UI" w:hAnsi="Segoe UI" w:cs="Segoe UI"/>
                <w:sz w:val="20"/>
                <w:szCs w:val="22"/>
              </w:rPr>
              <w:t>Wilts T3</w:t>
            </w:r>
          </w:p>
          <w:p w:rsidR="00C36D71" w:rsidRPr="00C36D71" w:rsidRDefault="00C36D71" w:rsidP="00C36D71">
            <w:pPr>
              <w:rPr>
                <w:rFonts w:ascii="Segoe UI" w:hAnsi="Segoe UI" w:cs="Segoe UI"/>
                <w:sz w:val="20"/>
                <w:szCs w:val="22"/>
              </w:rPr>
            </w:pPr>
            <w:r w:rsidRPr="00C36D71">
              <w:rPr>
                <w:rFonts w:ascii="Segoe UI" w:hAnsi="Segoe UI" w:cs="Segoe UI"/>
                <w:sz w:val="20"/>
                <w:szCs w:val="22"/>
              </w:rPr>
              <w:t>Waiting 4 Weeks</w:t>
            </w:r>
          </w:p>
        </w:tc>
        <w:tc>
          <w:tcPr>
            <w:tcW w:w="851" w:type="dxa"/>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90%</w:t>
            </w:r>
          </w:p>
        </w:tc>
        <w:tc>
          <w:tcPr>
            <w:tcW w:w="850" w:type="dxa"/>
            <w:shd w:val="clear" w:color="auto" w:fill="FF0000"/>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70%</w:t>
            </w:r>
          </w:p>
        </w:tc>
        <w:tc>
          <w:tcPr>
            <w:tcW w:w="4394" w:type="dxa"/>
            <w:shd w:val="clear" w:color="auto" w:fill="FFFFFF" w:themeFill="background1"/>
          </w:tcPr>
          <w:p w:rsidR="00C36D71" w:rsidRPr="00C36D71" w:rsidRDefault="00C36D71" w:rsidP="00C36D71">
            <w:pPr>
              <w:ind w:left="-111"/>
              <w:rPr>
                <w:rFonts w:ascii="Segoe UI" w:hAnsi="Segoe UI" w:cs="Segoe UI"/>
                <w:b/>
                <w:sz w:val="20"/>
                <w:szCs w:val="22"/>
              </w:rPr>
            </w:pPr>
            <w:r w:rsidRPr="00C36D71">
              <w:rPr>
                <w:rFonts w:ascii="Segoe UI" w:hAnsi="Segoe UI" w:cs="Segoe UI"/>
                <w:b/>
                <w:noProof/>
                <w:sz w:val="20"/>
                <w:szCs w:val="22"/>
              </w:rPr>
              <w:drawing>
                <wp:inline distT="0" distB="0" distL="0" distR="0" wp14:anchorId="7B689663" wp14:editId="765E604D">
                  <wp:extent cx="2778826" cy="1852551"/>
                  <wp:effectExtent l="0" t="0" r="254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85186" cy="1856791"/>
                          </a:xfrm>
                          <a:prstGeom prst="rect">
                            <a:avLst/>
                          </a:prstGeom>
                          <a:noFill/>
                        </pic:spPr>
                      </pic:pic>
                    </a:graphicData>
                  </a:graphic>
                </wp:inline>
              </w:drawing>
            </w:r>
          </w:p>
        </w:tc>
        <w:tc>
          <w:tcPr>
            <w:tcW w:w="1701" w:type="dxa"/>
            <w:shd w:val="clear" w:color="auto" w:fill="FFFFFF" w:themeFill="background1"/>
          </w:tcPr>
          <w:p w:rsidR="00C36D71" w:rsidRPr="00C36D71" w:rsidRDefault="00C36D71" w:rsidP="00C36D71">
            <w:pPr>
              <w:ind w:right="34"/>
              <w:rPr>
                <w:rFonts w:ascii="Segoe UI" w:hAnsi="Segoe UI" w:cs="Segoe UI"/>
                <w:noProof/>
                <w:sz w:val="20"/>
              </w:rPr>
            </w:pPr>
            <w:r w:rsidRPr="00C36D71">
              <w:rPr>
                <w:rFonts w:ascii="Segoe UI" w:hAnsi="Segoe UI" w:cs="Segoe UI"/>
                <w:noProof/>
                <w:sz w:val="20"/>
              </w:rPr>
              <w:t xml:space="preserve">Extended waiting time possibly resulting in delayed care  </w:t>
            </w:r>
          </w:p>
          <w:p w:rsidR="00C36D71" w:rsidRPr="00C36D71" w:rsidRDefault="00C36D71" w:rsidP="00C36D71">
            <w:pPr>
              <w:rPr>
                <w:rFonts w:ascii="Segoe UI" w:hAnsi="Segoe UI" w:cs="Segoe UI"/>
                <w:sz w:val="20"/>
                <w:szCs w:val="22"/>
                <w:highlight w:val="yellow"/>
              </w:rPr>
            </w:pPr>
          </w:p>
        </w:tc>
        <w:tc>
          <w:tcPr>
            <w:tcW w:w="4111" w:type="dxa"/>
            <w:shd w:val="clear" w:color="auto" w:fill="FFFFFF" w:themeFill="background1"/>
          </w:tcPr>
          <w:p w:rsidR="00C36D71" w:rsidRPr="00C36D71" w:rsidRDefault="00C36D71" w:rsidP="00C36D71">
            <w:pPr>
              <w:rPr>
                <w:rFonts w:ascii="Segoe UI" w:hAnsi="Segoe UI" w:cs="Segoe UI"/>
                <w:sz w:val="20"/>
                <w:szCs w:val="22"/>
                <w:highlight w:val="yellow"/>
              </w:rPr>
            </w:pPr>
            <w:r w:rsidRPr="00C36D71">
              <w:rPr>
                <w:rFonts w:ascii="Segoe UI" w:hAnsi="Segoe UI" w:cs="Segoe UI"/>
                <w:sz w:val="20"/>
                <w:szCs w:val="22"/>
              </w:rPr>
              <w:t xml:space="preserve">Wiltshire CAMHS are achieving 100% for patients assessed within 12 weeks; this data includes patient cancellations and breaches due to patient choice.  </w:t>
            </w:r>
          </w:p>
        </w:tc>
      </w:tr>
      <w:tr w:rsidR="00C36D71" w:rsidRPr="00C36D71" w:rsidTr="00E53C01">
        <w:trPr>
          <w:trHeight w:val="2601"/>
        </w:trPr>
        <w:tc>
          <w:tcPr>
            <w:tcW w:w="1135" w:type="dxa"/>
          </w:tcPr>
          <w:p w:rsidR="00C36D71" w:rsidRPr="00C36D71" w:rsidRDefault="00C36D71" w:rsidP="00C36D71">
            <w:pPr>
              <w:rPr>
                <w:rFonts w:ascii="Segoe UI" w:hAnsi="Segoe UI" w:cs="Segoe UI"/>
                <w:sz w:val="20"/>
                <w:szCs w:val="22"/>
              </w:rPr>
            </w:pPr>
            <w:r w:rsidRPr="00C36D71">
              <w:rPr>
                <w:rFonts w:ascii="Segoe UI" w:hAnsi="Segoe UI" w:cs="Segoe UI"/>
                <w:sz w:val="20"/>
                <w:szCs w:val="22"/>
              </w:rPr>
              <w:t>CAMHS BaNES CCG</w:t>
            </w:r>
          </w:p>
        </w:tc>
        <w:tc>
          <w:tcPr>
            <w:tcW w:w="709" w:type="dxa"/>
          </w:tcPr>
          <w:p w:rsidR="00C36D71" w:rsidRPr="00C36D71" w:rsidRDefault="00C36D71" w:rsidP="00C36D71">
            <w:pPr>
              <w:rPr>
                <w:rFonts w:ascii="Segoe UI" w:hAnsi="Segoe UI" w:cs="Segoe UI"/>
                <w:sz w:val="20"/>
                <w:szCs w:val="22"/>
              </w:rPr>
            </w:pPr>
            <w:r w:rsidRPr="00C36D71">
              <w:rPr>
                <w:rFonts w:ascii="Segoe UI" w:hAnsi="Segoe UI" w:cs="Segoe UI"/>
                <w:sz w:val="20"/>
                <w:szCs w:val="20"/>
              </w:rPr>
              <w:t>PAF</w:t>
            </w:r>
          </w:p>
        </w:tc>
        <w:tc>
          <w:tcPr>
            <w:tcW w:w="1417" w:type="dxa"/>
          </w:tcPr>
          <w:p w:rsidR="00C36D71" w:rsidRPr="00C36D71" w:rsidRDefault="00C36D71" w:rsidP="00C36D71">
            <w:pPr>
              <w:rPr>
                <w:rFonts w:ascii="Segoe UI" w:hAnsi="Segoe UI" w:cs="Segoe UI"/>
                <w:sz w:val="20"/>
                <w:szCs w:val="22"/>
              </w:rPr>
            </w:pPr>
            <w:r w:rsidRPr="00C36D71">
              <w:rPr>
                <w:rFonts w:ascii="Segoe UI" w:hAnsi="Segoe UI" w:cs="Segoe UI"/>
                <w:sz w:val="20"/>
                <w:szCs w:val="22"/>
              </w:rPr>
              <w:t>BaNES T3</w:t>
            </w:r>
          </w:p>
          <w:p w:rsidR="00C36D71" w:rsidRPr="00C36D71" w:rsidRDefault="00C36D71" w:rsidP="00C36D71">
            <w:pPr>
              <w:rPr>
                <w:rFonts w:ascii="Segoe UI" w:hAnsi="Segoe UI" w:cs="Segoe UI"/>
                <w:sz w:val="20"/>
                <w:szCs w:val="22"/>
              </w:rPr>
            </w:pPr>
            <w:r w:rsidRPr="00C36D71">
              <w:rPr>
                <w:rFonts w:ascii="Segoe UI" w:hAnsi="Segoe UI" w:cs="Segoe UI"/>
                <w:sz w:val="20"/>
                <w:szCs w:val="22"/>
              </w:rPr>
              <w:t>Waiting 4 Weeks</w:t>
            </w:r>
          </w:p>
        </w:tc>
        <w:tc>
          <w:tcPr>
            <w:tcW w:w="851" w:type="dxa"/>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90%</w:t>
            </w:r>
          </w:p>
        </w:tc>
        <w:tc>
          <w:tcPr>
            <w:tcW w:w="850" w:type="dxa"/>
            <w:shd w:val="clear" w:color="auto" w:fill="FF0000"/>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22%</w:t>
            </w:r>
          </w:p>
        </w:tc>
        <w:tc>
          <w:tcPr>
            <w:tcW w:w="4394" w:type="dxa"/>
            <w:shd w:val="clear" w:color="auto" w:fill="FFFFFF" w:themeFill="background1"/>
          </w:tcPr>
          <w:p w:rsidR="00C36D71" w:rsidRPr="00C36D71" w:rsidRDefault="00C36D71" w:rsidP="00E53C01">
            <w:pPr>
              <w:ind w:left="-108" w:right="-103"/>
              <w:rPr>
                <w:rFonts w:ascii="Segoe UI" w:hAnsi="Segoe UI" w:cs="Segoe UI"/>
                <w:sz w:val="20"/>
                <w:szCs w:val="22"/>
              </w:rPr>
            </w:pPr>
            <w:r w:rsidRPr="00C36D71">
              <w:rPr>
                <w:rFonts w:ascii="Segoe UI" w:hAnsi="Segoe UI" w:cs="Segoe UI"/>
                <w:noProof/>
                <w:sz w:val="20"/>
                <w:szCs w:val="22"/>
              </w:rPr>
              <w:drawing>
                <wp:inline distT="0" distB="0" distL="0" distR="0" wp14:anchorId="1BF263DC" wp14:editId="3CEDB581">
                  <wp:extent cx="2776223" cy="1840676"/>
                  <wp:effectExtent l="0" t="0" r="5080" b="762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90183" cy="1849932"/>
                          </a:xfrm>
                          <a:prstGeom prst="rect">
                            <a:avLst/>
                          </a:prstGeom>
                          <a:noFill/>
                        </pic:spPr>
                      </pic:pic>
                    </a:graphicData>
                  </a:graphic>
                </wp:inline>
              </w:drawing>
            </w:r>
          </w:p>
        </w:tc>
        <w:tc>
          <w:tcPr>
            <w:tcW w:w="1701" w:type="dxa"/>
            <w:shd w:val="clear" w:color="auto" w:fill="FFFFFF" w:themeFill="background1"/>
          </w:tcPr>
          <w:p w:rsidR="00C36D71" w:rsidRPr="00C36D71" w:rsidRDefault="00C36D71" w:rsidP="00C36D71">
            <w:pPr>
              <w:ind w:right="34"/>
              <w:rPr>
                <w:rFonts w:ascii="Segoe UI" w:hAnsi="Segoe UI" w:cs="Segoe UI"/>
                <w:noProof/>
                <w:sz w:val="20"/>
              </w:rPr>
            </w:pPr>
            <w:r w:rsidRPr="00C36D71">
              <w:rPr>
                <w:rFonts w:ascii="Segoe UI" w:hAnsi="Segoe UI" w:cs="Segoe UI"/>
                <w:noProof/>
                <w:sz w:val="20"/>
              </w:rPr>
              <w:t xml:space="preserve">Extended waiting time possibly resulting in delayed care  </w:t>
            </w:r>
          </w:p>
          <w:p w:rsidR="00C36D71" w:rsidRPr="00C36D71" w:rsidRDefault="00C36D71" w:rsidP="00C36D71">
            <w:pPr>
              <w:rPr>
                <w:rFonts w:ascii="Segoe UI" w:hAnsi="Segoe UI" w:cs="Segoe UI"/>
                <w:sz w:val="20"/>
                <w:szCs w:val="22"/>
              </w:rPr>
            </w:pPr>
          </w:p>
        </w:tc>
        <w:tc>
          <w:tcPr>
            <w:tcW w:w="4111" w:type="dxa"/>
            <w:shd w:val="clear" w:color="auto" w:fill="FFFFFF" w:themeFill="background1"/>
          </w:tcPr>
          <w:p w:rsidR="00C36D71" w:rsidRPr="00C36D71" w:rsidRDefault="00C36D71" w:rsidP="00C36D71">
            <w:pPr>
              <w:rPr>
                <w:rFonts w:ascii="Segoe UI" w:hAnsi="Segoe UI" w:cs="Segoe UI"/>
                <w:sz w:val="20"/>
                <w:szCs w:val="22"/>
              </w:rPr>
            </w:pPr>
            <w:r w:rsidRPr="00C36D71">
              <w:rPr>
                <w:rFonts w:ascii="Segoe UI" w:hAnsi="Segoe UI" w:cs="Segoe UI"/>
                <w:sz w:val="20"/>
                <w:szCs w:val="22"/>
              </w:rPr>
              <w:t xml:space="preserve">BaNES CAMHS are achieving 100% for patients assessed within 12 weeks; this week data includes patient cancellations and breaches due to patient choice </w:t>
            </w:r>
          </w:p>
        </w:tc>
      </w:tr>
      <w:tr w:rsidR="00C36D71" w:rsidRPr="00C36D71" w:rsidTr="00E53C01">
        <w:trPr>
          <w:trHeight w:val="2318"/>
        </w:trPr>
        <w:tc>
          <w:tcPr>
            <w:tcW w:w="1135" w:type="dxa"/>
          </w:tcPr>
          <w:p w:rsidR="00C36D71" w:rsidRPr="00C36D71" w:rsidRDefault="00C36D71" w:rsidP="00C36D71">
            <w:pPr>
              <w:rPr>
                <w:rFonts w:ascii="Segoe UI" w:hAnsi="Segoe UI" w:cs="Segoe UI"/>
                <w:sz w:val="20"/>
                <w:szCs w:val="22"/>
              </w:rPr>
            </w:pPr>
            <w:r w:rsidRPr="00C36D71">
              <w:rPr>
                <w:rFonts w:ascii="Segoe UI" w:hAnsi="Segoe UI" w:cs="Segoe UI"/>
                <w:sz w:val="20"/>
                <w:szCs w:val="22"/>
              </w:rPr>
              <w:t>CAMHS BaNES CCG</w:t>
            </w:r>
          </w:p>
        </w:tc>
        <w:tc>
          <w:tcPr>
            <w:tcW w:w="709" w:type="dxa"/>
          </w:tcPr>
          <w:p w:rsidR="00C36D71" w:rsidRPr="00C36D71" w:rsidRDefault="00C36D71" w:rsidP="00C36D71">
            <w:pPr>
              <w:rPr>
                <w:rFonts w:ascii="Segoe UI" w:hAnsi="Segoe UI" w:cs="Segoe UI"/>
                <w:sz w:val="20"/>
                <w:szCs w:val="22"/>
              </w:rPr>
            </w:pPr>
            <w:r w:rsidRPr="00C36D71">
              <w:rPr>
                <w:rFonts w:ascii="Segoe UI" w:hAnsi="Segoe UI" w:cs="Segoe UI"/>
                <w:sz w:val="20"/>
                <w:szCs w:val="20"/>
              </w:rPr>
              <w:t>PAF</w:t>
            </w:r>
          </w:p>
        </w:tc>
        <w:tc>
          <w:tcPr>
            <w:tcW w:w="1417" w:type="dxa"/>
          </w:tcPr>
          <w:p w:rsidR="00C36D71" w:rsidRPr="00C36D71" w:rsidRDefault="00C36D71" w:rsidP="00C36D71">
            <w:pPr>
              <w:rPr>
                <w:rFonts w:ascii="Segoe UI" w:hAnsi="Segoe UI" w:cs="Segoe UI"/>
                <w:sz w:val="20"/>
                <w:szCs w:val="20"/>
              </w:rPr>
            </w:pPr>
            <w:r w:rsidRPr="00C36D71">
              <w:rPr>
                <w:rFonts w:ascii="Segoe UI" w:hAnsi="Segoe UI" w:cs="Segoe UI"/>
                <w:sz w:val="20"/>
                <w:szCs w:val="22"/>
              </w:rPr>
              <w:t>T2 BaNES</w:t>
            </w:r>
          </w:p>
          <w:p w:rsidR="00C36D71" w:rsidRPr="00C36D71" w:rsidRDefault="00C36D71" w:rsidP="00C36D71">
            <w:pPr>
              <w:rPr>
                <w:rFonts w:ascii="Segoe UI" w:hAnsi="Segoe UI" w:cs="Segoe UI"/>
                <w:b/>
                <w:sz w:val="20"/>
                <w:szCs w:val="22"/>
              </w:rPr>
            </w:pPr>
            <w:r w:rsidRPr="00C36D71">
              <w:rPr>
                <w:rFonts w:ascii="Segoe UI" w:hAnsi="Segoe UI" w:cs="Segoe UI"/>
                <w:sz w:val="20"/>
                <w:szCs w:val="20"/>
              </w:rPr>
              <w:t>Waiting 4 Weeks</w:t>
            </w:r>
          </w:p>
        </w:tc>
        <w:tc>
          <w:tcPr>
            <w:tcW w:w="851" w:type="dxa"/>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90%</w:t>
            </w:r>
          </w:p>
        </w:tc>
        <w:tc>
          <w:tcPr>
            <w:tcW w:w="850" w:type="dxa"/>
            <w:shd w:val="clear" w:color="auto" w:fill="FF0000"/>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22%</w:t>
            </w:r>
          </w:p>
        </w:tc>
        <w:tc>
          <w:tcPr>
            <w:tcW w:w="4394" w:type="dxa"/>
            <w:shd w:val="clear" w:color="auto" w:fill="FFFFFF" w:themeFill="background1"/>
          </w:tcPr>
          <w:p w:rsidR="00C36D71" w:rsidRPr="00C36D71" w:rsidRDefault="00C36D71" w:rsidP="00E53C01">
            <w:pPr>
              <w:ind w:left="-108"/>
              <w:rPr>
                <w:rFonts w:ascii="Segoe UI" w:hAnsi="Segoe UI" w:cs="Segoe UI"/>
                <w:sz w:val="20"/>
                <w:szCs w:val="22"/>
              </w:rPr>
            </w:pPr>
            <w:r w:rsidRPr="00C36D71">
              <w:rPr>
                <w:rFonts w:ascii="Segoe UI" w:hAnsi="Segoe UI" w:cs="Segoe UI"/>
                <w:noProof/>
                <w:sz w:val="20"/>
                <w:szCs w:val="22"/>
              </w:rPr>
              <w:drawing>
                <wp:inline distT="0" distB="0" distL="0" distR="0" wp14:anchorId="5C55D3F9" wp14:editId="63B1E60D">
                  <wp:extent cx="2778825" cy="1816924"/>
                  <wp:effectExtent l="0" t="0" r="254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84878" cy="1820882"/>
                          </a:xfrm>
                          <a:prstGeom prst="rect">
                            <a:avLst/>
                          </a:prstGeom>
                          <a:noFill/>
                        </pic:spPr>
                      </pic:pic>
                    </a:graphicData>
                  </a:graphic>
                </wp:inline>
              </w:drawing>
            </w:r>
          </w:p>
        </w:tc>
        <w:tc>
          <w:tcPr>
            <w:tcW w:w="1701" w:type="dxa"/>
            <w:shd w:val="clear" w:color="auto" w:fill="FFFFFF" w:themeFill="background1"/>
          </w:tcPr>
          <w:p w:rsidR="00C36D71" w:rsidRPr="00C36D71" w:rsidRDefault="00C36D71" w:rsidP="00C36D71">
            <w:pPr>
              <w:ind w:right="34"/>
              <w:rPr>
                <w:rFonts w:ascii="Segoe UI" w:hAnsi="Segoe UI" w:cs="Segoe UI"/>
                <w:noProof/>
                <w:sz w:val="20"/>
              </w:rPr>
            </w:pPr>
            <w:r w:rsidRPr="00C36D71">
              <w:rPr>
                <w:rFonts w:ascii="Segoe UI" w:hAnsi="Segoe UI" w:cs="Segoe UI"/>
                <w:noProof/>
                <w:sz w:val="20"/>
              </w:rPr>
              <w:t xml:space="preserve">Extended waiting time possibly resulting in delayed care  </w:t>
            </w:r>
          </w:p>
          <w:p w:rsidR="00C36D71" w:rsidRPr="00C36D71" w:rsidRDefault="00C36D71" w:rsidP="00C36D71">
            <w:pPr>
              <w:rPr>
                <w:rFonts w:ascii="Segoe UI" w:hAnsi="Segoe UI" w:cs="Segoe UI"/>
                <w:sz w:val="20"/>
                <w:szCs w:val="22"/>
              </w:rPr>
            </w:pPr>
          </w:p>
        </w:tc>
        <w:tc>
          <w:tcPr>
            <w:tcW w:w="4111" w:type="dxa"/>
            <w:shd w:val="clear" w:color="auto" w:fill="FFFFFF" w:themeFill="background1"/>
          </w:tcPr>
          <w:p w:rsidR="00C36D71" w:rsidRPr="00C36D71" w:rsidRDefault="00C36D71" w:rsidP="00C36D71">
            <w:pPr>
              <w:rPr>
                <w:rFonts w:ascii="Segoe UI" w:hAnsi="Segoe UI" w:cs="Segoe UI"/>
                <w:sz w:val="20"/>
                <w:szCs w:val="22"/>
              </w:rPr>
            </w:pPr>
            <w:r w:rsidRPr="00C36D71">
              <w:rPr>
                <w:rFonts w:ascii="Segoe UI" w:hAnsi="Segoe UI" w:cs="Segoe UI"/>
                <w:sz w:val="20"/>
                <w:szCs w:val="22"/>
              </w:rPr>
              <w:t xml:space="preserve">BaNES T2 CAMHS are achieving 100% for patients assessed within 12 weeks; this week data includes patient cancellations and breaches due to patient choice.  </w:t>
            </w:r>
          </w:p>
          <w:p w:rsidR="00C36D71" w:rsidRPr="00C36D71" w:rsidRDefault="00C36D71" w:rsidP="00C36D71">
            <w:pPr>
              <w:rPr>
                <w:rFonts w:ascii="Segoe UI" w:hAnsi="Segoe UI" w:cs="Segoe UI"/>
                <w:sz w:val="20"/>
                <w:szCs w:val="22"/>
              </w:rPr>
            </w:pPr>
          </w:p>
          <w:p w:rsidR="00C36D71" w:rsidRPr="00C36D71" w:rsidRDefault="00C36D71" w:rsidP="00C36D71">
            <w:pPr>
              <w:rPr>
                <w:rFonts w:ascii="Segoe UI" w:hAnsi="Segoe UI" w:cs="Segoe UI"/>
                <w:color w:val="000000"/>
                <w:sz w:val="20"/>
                <w:szCs w:val="20"/>
              </w:rPr>
            </w:pPr>
            <w:r w:rsidRPr="00C36D71">
              <w:rPr>
                <w:rFonts w:ascii="Segoe UI" w:hAnsi="Segoe UI" w:cs="Segoe UI"/>
                <w:sz w:val="20"/>
                <w:szCs w:val="22"/>
              </w:rPr>
              <w:t>This service comprises of 3 WTE staff and has seen an increase of 50% of referrals accepted during 16-17 compared to 15-16.</w:t>
            </w:r>
          </w:p>
        </w:tc>
      </w:tr>
      <w:tr w:rsidR="00C36D71" w:rsidRPr="00C36D71" w:rsidTr="00E53C01">
        <w:trPr>
          <w:trHeight w:val="476"/>
        </w:trPr>
        <w:tc>
          <w:tcPr>
            <w:tcW w:w="1135" w:type="dxa"/>
          </w:tcPr>
          <w:p w:rsidR="00C36D71" w:rsidRPr="00C36D71" w:rsidRDefault="00C36D71" w:rsidP="00C36D71">
            <w:pPr>
              <w:rPr>
                <w:rFonts w:ascii="Segoe UI" w:hAnsi="Segoe UI" w:cs="Segoe UI"/>
                <w:sz w:val="20"/>
                <w:szCs w:val="22"/>
              </w:rPr>
            </w:pPr>
            <w:r w:rsidRPr="00C36D71">
              <w:rPr>
                <w:rFonts w:ascii="Segoe UI" w:hAnsi="Segoe UI" w:cs="Segoe UI"/>
                <w:sz w:val="20"/>
                <w:szCs w:val="22"/>
              </w:rPr>
              <w:t>CAMHS BaNES T2</w:t>
            </w:r>
          </w:p>
        </w:tc>
        <w:tc>
          <w:tcPr>
            <w:tcW w:w="709" w:type="dxa"/>
          </w:tcPr>
          <w:p w:rsidR="00C36D71" w:rsidRPr="00C36D71" w:rsidRDefault="00C36D71" w:rsidP="00C36D71">
            <w:pPr>
              <w:rPr>
                <w:rFonts w:ascii="Segoe UI" w:hAnsi="Segoe UI" w:cs="Segoe UI"/>
                <w:sz w:val="20"/>
                <w:szCs w:val="22"/>
              </w:rPr>
            </w:pPr>
            <w:r w:rsidRPr="00C36D71">
              <w:rPr>
                <w:rFonts w:ascii="Segoe UI" w:hAnsi="Segoe UI" w:cs="Segoe UI"/>
                <w:sz w:val="20"/>
                <w:szCs w:val="20"/>
              </w:rPr>
              <w:t>PAF</w:t>
            </w:r>
          </w:p>
        </w:tc>
        <w:tc>
          <w:tcPr>
            <w:tcW w:w="1417" w:type="dxa"/>
          </w:tcPr>
          <w:p w:rsidR="00C36D71" w:rsidRPr="00C36D71" w:rsidRDefault="00C36D71" w:rsidP="00C36D71">
            <w:pPr>
              <w:rPr>
                <w:rFonts w:ascii="Segoe UI" w:hAnsi="Segoe UI" w:cs="Segoe UI"/>
                <w:sz w:val="20"/>
                <w:szCs w:val="22"/>
              </w:rPr>
            </w:pPr>
            <w:r w:rsidRPr="00C36D71">
              <w:rPr>
                <w:rFonts w:ascii="Segoe UI" w:hAnsi="Segoe UI" w:cs="Segoe UI"/>
                <w:sz w:val="20"/>
                <w:szCs w:val="22"/>
              </w:rPr>
              <w:t xml:space="preserve">T2 </w:t>
            </w:r>
          </w:p>
          <w:p w:rsidR="00C36D71" w:rsidRPr="00C36D71" w:rsidRDefault="00C36D71" w:rsidP="00C36D71">
            <w:pPr>
              <w:rPr>
                <w:rFonts w:ascii="Segoe UI" w:hAnsi="Segoe UI" w:cs="Segoe UI"/>
                <w:sz w:val="20"/>
                <w:szCs w:val="22"/>
              </w:rPr>
            </w:pPr>
            <w:r w:rsidRPr="00C36D71">
              <w:rPr>
                <w:rFonts w:ascii="Segoe UI" w:hAnsi="Segoe UI" w:cs="Segoe UI"/>
                <w:sz w:val="20"/>
                <w:szCs w:val="22"/>
              </w:rPr>
              <w:t>Waiting 8 Weeks</w:t>
            </w:r>
          </w:p>
        </w:tc>
        <w:tc>
          <w:tcPr>
            <w:tcW w:w="851" w:type="dxa"/>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100%</w:t>
            </w:r>
          </w:p>
        </w:tc>
        <w:tc>
          <w:tcPr>
            <w:tcW w:w="850" w:type="dxa"/>
            <w:shd w:val="clear" w:color="auto" w:fill="FF0000"/>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78%</w:t>
            </w:r>
          </w:p>
        </w:tc>
        <w:tc>
          <w:tcPr>
            <w:tcW w:w="4394" w:type="dxa"/>
            <w:shd w:val="clear" w:color="auto" w:fill="FFFFFF" w:themeFill="background1"/>
          </w:tcPr>
          <w:p w:rsidR="00C36D71" w:rsidRPr="00C36D71" w:rsidRDefault="00C36D71" w:rsidP="00E53C01">
            <w:pPr>
              <w:ind w:left="-108"/>
              <w:rPr>
                <w:rFonts w:ascii="Segoe UI" w:hAnsi="Segoe UI" w:cs="Segoe UI"/>
                <w:noProof/>
                <w:sz w:val="20"/>
                <w:szCs w:val="22"/>
              </w:rPr>
            </w:pPr>
            <w:r w:rsidRPr="00C36D71">
              <w:rPr>
                <w:rFonts w:ascii="Segoe UI" w:hAnsi="Segoe UI" w:cs="Segoe UI"/>
                <w:noProof/>
                <w:sz w:val="20"/>
                <w:szCs w:val="22"/>
              </w:rPr>
              <w:drawing>
                <wp:inline distT="0" distB="0" distL="0" distR="0" wp14:anchorId="78BEDC73" wp14:editId="4D1C1AB8">
                  <wp:extent cx="2778826" cy="1733798"/>
                  <wp:effectExtent l="0" t="0" r="254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94487" cy="1743569"/>
                          </a:xfrm>
                          <a:prstGeom prst="rect">
                            <a:avLst/>
                          </a:prstGeom>
                          <a:noFill/>
                        </pic:spPr>
                      </pic:pic>
                    </a:graphicData>
                  </a:graphic>
                </wp:inline>
              </w:drawing>
            </w:r>
          </w:p>
        </w:tc>
        <w:tc>
          <w:tcPr>
            <w:tcW w:w="1701" w:type="dxa"/>
            <w:shd w:val="clear" w:color="auto" w:fill="auto"/>
          </w:tcPr>
          <w:p w:rsidR="00C36D71" w:rsidRPr="00C36D71" w:rsidRDefault="00C36D71" w:rsidP="00C36D71">
            <w:pPr>
              <w:ind w:right="34"/>
              <w:rPr>
                <w:rFonts w:ascii="Segoe UI" w:hAnsi="Segoe UI" w:cs="Segoe UI"/>
                <w:noProof/>
                <w:sz w:val="20"/>
              </w:rPr>
            </w:pPr>
            <w:r w:rsidRPr="00C36D71">
              <w:rPr>
                <w:rFonts w:ascii="Segoe UI" w:hAnsi="Segoe UI" w:cs="Segoe UI"/>
                <w:noProof/>
                <w:sz w:val="20"/>
              </w:rPr>
              <w:t xml:space="preserve">Extended waiting time possibly resulting in delayed care  </w:t>
            </w:r>
          </w:p>
          <w:p w:rsidR="00C36D71" w:rsidRPr="00C36D71" w:rsidRDefault="00C36D71" w:rsidP="00C36D71">
            <w:pPr>
              <w:ind w:right="34"/>
              <w:rPr>
                <w:rFonts w:ascii="Segoe UI" w:hAnsi="Segoe UI" w:cs="Segoe UI"/>
                <w:noProof/>
                <w:sz w:val="20"/>
              </w:rPr>
            </w:pPr>
          </w:p>
        </w:tc>
        <w:tc>
          <w:tcPr>
            <w:tcW w:w="4111" w:type="dxa"/>
            <w:shd w:val="clear" w:color="auto" w:fill="auto"/>
          </w:tcPr>
          <w:p w:rsidR="00C36D71" w:rsidRPr="00C36D71" w:rsidRDefault="00C36D71" w:rsidP="00C36D71">
            <w:pPr>
              <w:rPr>
                <w:rFonts w:ascii="Segoe UI" w:hAnsi="Segoe UI" w:cs="Segoe UI"/>
                <w:sz w:val="20"/>
                <w:szCs w:val="22"/>
              </w:rPr>
            </w:pPr>
            <w:r w:rsidRPr="00C36D71">
              <w:rPr>
                <w:rFonts w:ascii="Segoe UI" w:hAnsi="Segoe UI" w:cs="Segoe UI"/>
                <w:sz w:val="20"/>
                <w:szCs w:val="22"/>
              </w:rPr>
              <w:t>BaNES T2 CAMHS are achieving 100% for patients assessed within 12 weeks; this 8 week data includes patient cancellations and breaches due to patient choice.</w:t>
            </w:r>
          </w:p>
          <w:p w:rsidR="00C36D71" w:rsidRPr="00C36D71" w:rsidRDefault="00C36D71" w:rsidP="00C36D71">
            <w:pPr>
              <w:rPr>
                <w:rFonts w:ascii="Segoe UI" w:hAnsi="Segoe UI" w:cs="Segoe UI"/>
                <w:sz w:val="20"/>
                <w:szCs w:val="22"/>
              </w:rPr>
            </w:pPr>
          </w:p>
          <w:p w:rsidR="00C36D71" w:rsidRPr="00C36D71" w:rsidRDefault="00C36D71" w:rsidP="00C36D71">
            <w:pPr>
              <w:rPr>
                <w:rFonts w:ascii="Segoe UI" w:hAnsi="Segoe UI" w:cs="Segoe UI"/>
                <w:sz w:val="20"/>
                <w:szCs w:val="22"/>
              </w:rPr>
            </w:pPr>
            <w:r w:rsidRPr="00C36D71">
              <w:rPr>
                <w:rFonts w:ascii="Segoe UI" w:hAnsi="Segoe UI" w:cs="Segoe UI"/>
                <w:sz w:val="20"/>
                <w:szCs w:val="22"/>
              </w:rPr>
              <w:t>Month 12 14/18 seen within 8 weeks.</w:t>
            </w:r>
          </w:p>
        </w:tc>
      </w:tr>
      <w:tr w:rsidR="00C36D71" w:rsidRPr="00C36D71" w:rsidTr="00E53C01">
        <w:trPr>
          <w:trHeight w:val="2859"/>
        </w:trPr>
        <w:tc>
          <w:tcPr>
            <w:tcW w:w="1135" w:type="dxa"/>
          </w:tcPr>
          <w:p w:rsidR="00C36D71" w:rsidRPr="00C36D71" w:rsidRDefault="00C36D71" w:rsidP="00C36D71">
            <w:pPr>
              <w:rPr>
                <w:rFonts w:ascii="Segoe UI" w:hAnsi="Segoe UI" w:cs="Segoe UI"/>
                <w:sz w:val="20"/>
                <w:szCs w:val="22"/>
              </w:rPr>
            </w:pPr>
            <w:r w:rsidRPr="00C36D71">
              <w:rPr>
                <w:rFonts w:ascii="Segoe UI" w:hAnsi="Segoe UI" w:cs="Segoe UI"/>
                <w:sz w:val="20"/>
                <w:szCs w:val="22"/>
              </w:rPr>
              <w:t>CAMHS Wilts CC</w:t>
            </w:r>
          </w:p>
        </w:tc>
        <w:tc>
          <w:tcPr>
            <w:tcW w:w="709" w:type="dxa"/>
          </w:tcPr>
          <w:p w:rsidR="00C36D71" w:rsidRPr="00C36D71" w:rsidRDefault="00C36D71" w:rsidP="00C36D71">
            <w:pPr>
              <w:rPr>
                <w:rFonts w:ascii="Segoe UI" w:hAnsi="Segoe UI" w:cs="Segoe UI"/>
                <w:sz w:val="20"/>
                <w:szCs w:val="22"/>
              </w:rPr>
            </w:pPr>
            <w:r w:rsidRPr="00C36D71">
              <w:rPr>
                <w:rFonts w:ascii="Segoe UI" w:hAnsi="Segoe UI" w:cs="Segoe UI"/>
                <w:sz w:val="20"/>
                <w:szCs w:val="20"/>
              </w:rPr>
              <w:t>PAF</w:t>
            </w:r>
          </w:p>
        </w:tc>
        <w:tc>
          <w:tcPr>
            <w:tcW w:w="1417" w:type="dxa"/>
          </w:tcPr>
          <w:p w:rsidR="00C36D71" w:rsidRPr="00C36D71" w:rsidRDefault="00C36D71" w:rsidP="00C36D71">
            <w:pPr>
              <w:rPr>
                <w:rFonts w:ascii="Segoe UI" w:hAnsi="Segoe UI" w:cs="Segoe UI"/>
                <w:sz w:val="20"/>
                <w:szCs w:val="22"/>
              </w:rPr>
            </w:pPr>
            <w:r w:rsidRPr="00C36D71">
              <w:rPr>
                <w:rFonts w:ascii="Segoe UI" w:hAnsi="Segoe UI" w:cs="Segoe UI"/>
                <w:sz w:val="20"/>
                <w:szCs w:val="22"/>
              </w:rPr>
              <w:t xml:space="preserve">T2 </w:t>
            </w:r>
          </w:p>
          <w:p w:rsidR="00C36D71" w:rsidRPr="00C36D71" w:rsidRDefault="00C36D71" w:rsidP="00C36D71">
            <w:pPr>
              <w:rPr>
                <w:rFonts w:ascii="Segoe UI" w:hAnsi="Segoe UI" w:cs="Segoe UI"/>
                <w:sz w:val="20"/>
                <w:szCs w:val="22"/>
              </w:rPr>
            </w:pPr>
            <w:r w:rsidRPr="00C36D71">
              <w:rPr>
                <w:rFonts w:ascii="Segoe UI" w:hAnsi="Segoe UI" w:cs="Segoe UI"/>
                <w:sz w:val="20"/>
                <w:szCs w:val="22"/>
              </w:rPr>
              <w:t>Waiting 4 Weeks</w:t>
            </w:r>
          </w:p>
        </w:tc>
        <w:tc>
          <w:tcPr>
            <w:tcW w:w="851" w:type="dxa"/>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90%</w:t>
            </w:r>
          </w:p>
        </w:tc>
        <w:tc>
          <w:tcPr>
            <w:tcW w:w="850" w:type="dxa"/>
            <w:shd w:val="clear" w:color="auto" w:fill="FF0000"/>
            <w:vAlign w:val="center"/>
          </w:tcPr>
          <w:p w:rsidR="00C36D71" w:rsidRPr="00C36D71" w:rsidRDefault="00C36D71" w:rsidP="00C36D71">
            <w:pPr>
              <w:jc w:val="center"/>
              <w:rPr>
                <w:rFonts w:ascii="Segoe UI" w:hAnsi="Segoe UI" w:cs="Segoe UI"/>
                <w:sz w:val="20"/>
                <w:szCs w:val="22"/>
              </w:rPr>
            </w:pPr>
            <w:r w:rsidRPr="00C36D71">
              <w:rPr>
                <w:rFonts w:ascii="Segoe UI" w:hAnsi="Segoe UI" w:cs="Segoe UI"/>
                <w:sz w:val="20"/>
                <w:szCs w:val="22"/>
              </w:rPr>
              <w:t>53%</w:t>
            </w:r>
          </w:p>
        </w:tc>
        <w:tc>
          <w:tcPr>
            <w:tcW w:w="4394" w:type="dxa"/>
            <w:shd w:val="clear" w:color="auto" w:fill="FFFFFF" w:themeFill="background1"/>
          </w:tcPr>
          <w:p w:rsidR="00C36D71" w:rsidRPr="00C36D71" w:rsidRDefault="00C36D71" w:rsidP="00E53C01">
            <w:pPr>
              <w:ind w:left="-108"/>
              <w:rPr>
                <w:rFonts w:ascii="Segoe UI" w:hAnsi="Segoe UI" w:cs="Segoe UI"/>
                <w:sz w:val="20"/>
                <w:szCs w:val="22"/>
              </w:rPr>
            </w:pPr>
            <w:r w:rsidRPr="00C36D71">
              <w:rPr>
                <w:rFonts w:ascii="Segoe UI" w:hAnsi="Segoe UI" w:cs="Segoe UI"/>
                <w:noProof/>
                <w:sz w:val="20"/>
                <w:szCs w:val="22"/>
              </w:rPr>
              <w:drawing>
                <wp:inline distT="0" distB="0" distL="0" distR="0" wp14:anchorId="1D7E888E" wp14:editId="1A496D08">
                  <wp:extent cx="2778826" cy="1840675"/>
                  <wp:effectExtent l="0" t="0" r="2540" b="762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84083" cy="1844157"/>
                          </a:xfrm>
                          <a:prstGeom prst="rect">
                            <a:avLst/>
                          </a:prstGeom>
                          <a:noFill/>
                        </pic:spPr>
                      </pic:pic>
                    </a:graphicData>
                  </a:graphic>
                </wp:inline>
              </w:drawing>
            </w:r>
          </w:p>
        </w:tc>
        <w:tc>
          <w:tcPr>
            <w:tcW w:w="1701" w:type="dxa"/>
            <w:shd w:val="clear" w:color="auto" w:fill="auto"/>
          </w:tcPr>
          <w:p w:rsidR="00C36D71" w:rsidRPr="00C36D71" w:rsidRDefault="00C36D71" w:rsidP="00C36D71">
            <w:pPr>
              <w:ind w:right="34"/>
              <w:rPr>
                <w:rFonts w:ascii="Segoe UI" w:hAnsi="Segoe UI" w:cs="Segoe UI"/>
                <w:noProof/>
                <w:sz w:val="20"/>
              </w:rPr>
            </w:pPr>
            <w:r w:rsidRPr="00C36D71">
              <w:rPr>
                <w:rFonts w:ascii="Segoe UI" w:hAnsi="Segoe UI" w:cs="Segoe UI"/>
                <w:noProof/>
                <w:sz w:val="20"/>
              </w:rPr>
              <w:t xml:space="preserve">Extended waiting time possibly resulting in delayed care  </w:t>
            </w:r>
          </w:p>
          <w:p w:rsidR="00C36D71" w:rsidRPr="00C36D71" w:rsidRDefault="00C36D71" w:rsidP="00C36D71">
            <w:pPr>
              <w:rPr>
                <w:rFonts w:ascii="Segoe UI" w:hAnsi="Segoe UI" w:cs="Segoe UI"/>
                <w:sz w:val="20"/>
                <w:szCs w:val="22"/>
              </w:rPr>
            </w:pPr>
          </w:p>
        </w:tc>
        <w:tc>
          <w:tcPr>
            <w:tcW w:w="4111" w:type="dxa"/>
            <w:shd w:val="clear" w:color="auto" w:fill="auto"/>
          </w:tcPr>
          <w:p w:rsidR="00C36D71" w:rsidRPr="00C36D71" w:rsidRDefault="00C36D71" w:rsidP="00C36D71">
            <w:pPr>
              <w:rPr>
                <w:rFonts w:ascii="Segoe UI" w:hAnsi="Segoe UI" w:cs="Segoe UI"/>
                <w:color w:val="000000"/>
                <w:sz w:val="20"/>
                <w:szCs w:val="20"/>
              </w:rPr>
            </w:pPr>
            <w:r w:rsidRPr="00C36D71">
              <w:rPr>
                <w:rFonts w:ascii="Segoe UI" w:hAnsi="Segoe UI" w:cs="Segoe UI"/>
                <w:sz w:val="20"/>
                <w:szCs w:val="22"/>
              </w:rPr>
              <w:t>Wilts T2 CAMHS are achieving 100% for patients assessed within 12 weeks; this 4 week data includes patient cancellations and breaches due to patient choice.</w:t>
            </w:r>
          </w:p>
        </w:tc>
      </w:tr>
    </w:tbl>
    <w:p w:rsidR="00C36D71" w:rsidRDefault="00C36D71" w:rsidP="003D0593">
      <w:pPr>
        <w:rPr>
          <w:rFonts w:ascii="Segoe UI" w:hAnsi="Segoe UI" w:cs="Segoe UI"/>
          <w:sz w:val="22"/>
          <w:szCs w:val="22"/>
        </w:rPr>
      </w:pPr>
    </w:p>
    <w:p w:rsidR="00C36D71" w:rsidRDefault="00C36D71" w:rsidP="003D0593">
      <w:pPr>
        <w:rPr>
          <w:rFonts w:ascii="Segoe UI" w:hAnsi="Segoe UI" w:cs="Segoe UI"/>
          <w:sz w:val="22"/>
          <w:szCs w:val="22"/>
        </w:rPr>
      </w:pPr>
    </w:p>
    <w:p w:rsidR="00C36D71" w:rsidRDefault="00C36D71" w:rsidP="003D0593">
      <w:pPr>
        <w:rPr>
          <w:rFonts w:ascii="Segoe UI" w:hAnsi="Segoe UI" w:cs="Segoe UI"/>
          <w:sz w:val="22"/>
          <w:szCs w:val="22"/>
        </w:rPr>
      </w:pPr>
    </w:p>
    <w:p w:rsidR="00E53C01" w:rsidRDefault="00E53C01" w:rsidP="003D0593">
      <w:pPr>
        <w:rPr>
          <w:rFonts w:ascii="Segoe UI" w:hAnsi="Segoe UI" w:cs="Segoe UI"/>
          <w:sz w:val="22"/>
          <w:szCs w:val="22"/>
        </w:rPr>
        <w:sectPr w:rsidR="00E53C01" w:rsidSect="00C36D71">
          <w:footerReference w:type="default" r:id="rId43"/>
          <w:type w:val="continuous"/>
          <w:pgSz w:w="16838" w:h="11906" w:orient="landscape"/>
          <w:pgMar w:top="709" w:right="1245" w:bottom="567" w:left="1134" w:header="708" w:footer="221" w:gutter="0"/>
          <w:cols w:space="851"/>
          <w:docGrid w:linePitch="360"/>
        </w:sectPr>
      </w:pPr>
    </w:p>
    <w:p w:rsidR="00C36D71" w:rsidRDefault="00C36D71" w:rsidP="003D0593">
      <w:pPr>
        <w:rPr>
          <w:rFonts w:ascii="Segoe UI" w:hAnsi="Segoe UI" w:cs="Segoe UI"/>
          <w:sz w:val="22"/>
          <w:szCs w:val="22"/>
        </w:rPr>
      </w:pPr>
    </w:p>
    <w:p w:rsidR="0090540B" w:rsidRPr="0090540B" w:rsidRDefault="003226EE" w:rsidP="0090540B">
      <w:pPr>
        <w:shd w:val="clear" w:color="auto" w:fill="0070C0"/>
        <w:tabs>
          <w:tab w:val="left" w:pos="6804"/>
        </w:tabs>
        <w:rPr>
          <w:rFonts w:ascii="Segoe UI" w:hAnsi="Segoe UI" w:cs="Segoe UI"/>
          <w:b/>
          <w:color w:val="FFFFFF" w:themeColor="background1"/>
        </w:rPr>
      </w:pPr>
      <w:r>
        <w:rPr>
          <w:rFonts w:ascii="Segoe UI" w:hAnsi="Segoe UI" w:cs="Segoe UI"/>
          <w:b/>
          <w:color w:val="FFFFFF" w:themeColor="background1"/>
        </w:rPr>
        <w:t xml:space="preserve">LOCAL: Adult of Working Age </w:t>
      </w:r>
      <w:r w:rsidR="003107B7">
        <w:rPr>
          <w:rFonts w:ascii="Segoe UI" w:hAnsi="Segoe UI" w:cs="Segoe UI"/>
          <w:b/>
          <w:color w:val="FFFFFF" w:themeColor="background1"/>
        </w:rPr>
        <w:t>Directorate -</w:t>
      </w:r>
      <w:r>
        <w:rPr>
          <w:rFonts w:ascii="Segoe UI" w:hAnsi="Segoe UI" w:cs="Segoe UI"/>
          <w:b/>
          <w:color w:val="FFFFFF" w:themeColor="background1"/>
        </w:rPr>
        <w:t xml:space="preserve"> M1</w:t>
      </w:r>
      <w:r w:rsidR="00C36D71">
        <w:rPr>
          <w:rFonts w:ascii="Segoe UI" w:hAnsi="Segoe UI" w:cs="Segoe UI"/>
          <w:b/>
          <w:color w:val="FFFFFF" w:themeColor="background1"/>
        </w:rPr>
        <w:t>2</w:t>
      </w:r>
      <w:r>
        <w:rPr>
          <w:rFonts w:ascii="Segoe UI" w:hAnsi="Segoe UI" w:cs="Segoe UI"/>
          <w:b/>
          <w:color w:val="FFFFFF" w:themeColor="background1"/>
        </w:rPr>
        <w:t xml:space="preserve"> FY17</w:t>
      </w:r>
      <w:r w:rsidR="0090540B" w:rsidRPr="0090540B">
        <w:rPr>
          <w:rFonts w:ascii="Segoe UI" w:hAnsi="Segoe UI" w:cs="Segoe UI"/>
          <w:b/>
          <w:color w:val="FFFFFF" w:themeColor="background1"/>
        </w:rPr>
        <w:t xml:space="preserve"> </w:t>
      </w:r>
    </w:p>
    <w:p w:rsidR="0090540B" w:rsidRPr="0090540B" w:rsidRDefault="0090540B" w:rsidP="0090540B">
      <w:pPr>
        <w:rPr>
          <w:rFonts w:ascii="Segoe UI" w:hAnsi="Segoe UI" w:cs="Segoe UI"/>
          <w:b/>
          <w:color w:val="FFFFFF" w:themeColor="background1"/>
          <w:sz w:val="22"/>
        </w:rPr>
      </w:pPr>
    </w:p>
    <w:p w:rsidR="005A2921" w:rsidRDefault="005A2921" w:rsidP="005A2921">
      <w:pPr>
        <w:rPr>
          <w:rFonts w:ascii="Segoe UI" w:hAnsi="Segoe UI" w:cs="Segoe UI"/>
          <w:b/>
          <w:sz w:val="22"/>
          <w:szCs w:val="22"/>
        </w:rPr>
      </w:pPr>
      <w:r w:rsidRPr="005A2921">
        <w:rPr>
          <w:rFonts w:ascii="Segoe UI" w:hAnsi="Segoe UI" w:cs="Segoe UI"/>
          <w:b/>
          <w:sz w:val="22"/>
          <w:szCs w:val="22"/>
        </w:rPr>
        <w:t>Introduction</w:t>
      </w:r>
    </w:p>
    <w:p w:rsidR="005A2921" w:rsidRPr="005A2921" w:rsidRDefault="005A2921" w:rsidP="005A2921">
      <w:pPr>
        <w:rPr>
          <w:rFonts w:ascii="Segoe UI" w:hAnsi="Segoe UI" w:cs="Segoe UI"/>
          <w:b/>
          <w:sz w:val="22"/>
          <w:szCs w:val="22"/>
        </w:rPr>
      </w:pPr>
    </w:p>
    <w:p w:rsidR="005A2921" w:rsidRPr="005A2921" w:rsidRDefault="005A2921" w:rsidP="005A2921">
      <w:pPr>
        <w:rPr>
          <w:rFonts w:ascii="Segoe UI" w:eastAsiaTheme="minorHAnsi" w:hAnsi="Segoe UI" w:cs="Segoe UI"/>
          <w:sz w:val="22"/>
          <w:szCs w:val="22"/>
          <w:lang w:eastAsia="en-US"/>
        </w:rPr>
      </w:pPr>
      <w:r w:rsidRPr="005A2921">
        <w:rPr>
          <w:rFonts w:ascii="Segoe UI" w:eastAsiaTheme="minorHAnsi" w:hAnsi="Segoe UI" w:cs="Segoe UI"/>
          <w:sz w:val="22"/>
          <w:szCs w:val="22"/>
          <w:lang w:eastAsia="en-US"/>
        </w:rPr>
        <w:t xml:space="preserve">The contracts with Oxfordshire and Buckinghamshire CCGs and NHS England stipulate a requirement (within Schedule 4) for the </w:t>
      </w:r>
      <w:r w:rsidRPr="005A2921">
        <w:rPr>
          <w:rFonts w:ascii="Segoe UI" w:eastAsiaTheme="minorHAnsi" w:hAnsi="Segoe UI" w:cs="Segoe UI"/>
          <w:b/>
          <w:sz w:val="22"/>
          <w:szCs w:val="22"/>
          <w:lang w:eastAsia="en-US"/>
        </w:rPr>
        <w:t>Adult Directorate</w:t>
      </w:r>
      <w:r w:rsidRPr="005A2921">
        <w:rPr>
          <w:rFonts w:ascii="Segoe UI" w:eastAsiaTheme="minorHAnsi" w:hAnsi="Segoe UI" w:cs="Segoe UI"/>
          <w:sz w:val="22"/>
          <w:szCs w:val="22"/>
          <w:lang w:eastAsia="en-US"/>
        </w:rPr>
        <w:t xml:space="preserve"> to perform against a set of quality and performance indicators.  </w:t>
      </w:r>
    </w:p>
    <w:p w:rsidR="005A2921" w:rsidRPr="005A2921" w:rsidRDefault="005A2921" w:rsidP="005A2921">
      <w:pPr>
        <w:rPr>
          <w:rFonts w:ascii="Segoe UI" w:eastAsiaTheme="minorHAnsi" w:hAnsi="Segoe UI" w:cs="Segoe UI"/>
          <w:sz w:val="22"/>
          <w:szCs w:val="22"/>
          <w:lang w:eastAsia="en-US"/>
        </w:rPr>
      </w:pPr>
    </w:p>
    <w:p w:rsidR="005A2921" w:rsidRPr="005A2921" w:rsidRDefault="005A2921" w:rsidP="005A2921">
      <w:pPr>
        <w:rPr>
          <w:rFonts w:ascii="Segoe UI" w:hAnsi="Segoe UI" w:cs="Segoe UI"/>
          <w:sz w:val="22"/>
          <w:szCs w:val="22"/>
        </w:rPr>
      </w:pPr>
      <w:r w:rsidRPr="005A2921">
        <w:rPr>
          <w:rFonts w:ascii="Segoe UI" w:hAnsi="Segoe UI" w:cs="Segoe UI"/>
          <w:sz w:val="22"/>
          <w:szCs w:val="22"/>
        </w:rPr>
        <w:t xml:space="preserve">The Adult’s Directorate reports to commissioners as follows: </w:t>
      </w:r>
    </w:p>
    <w:p w:rsidR="005A2921" w:rsidRPr="005A2921" w:rsidRDefault="005A2921" w:rsidP="005A2921">
      <w:pPr>
        <w:rPr>
          <w:rFonts w:ascii="Segoe UI" w:eastAsiaTheme="minorHAnsi" w:hAnsi="Segoe UI" w:cs="Segoe UI"/>
          <w:sz w:val="22"/>
          <w:szCs w:val="22"/>
          <w:lang w:eastAsia="en-US"/>
        </w:rPr>
      </w:pPr>
    </w:p>
    <w:p w:rsidR="005A2921" w:rsidRDefault="005A2921" w:rsidP="005A2921">
      <w:pPr>
        <w:rPr>
          <w:rFonts w:ascii="Segoe UI" w:eastAsiaTheme="minorHAnsi" w:hAnsi="Segoe UI" w:cs="Segoe UI"/>
          <w:b/>
          <w:sz w:val="22"/>
          <w:szCs w:val="22"/>
          <w:lang w:eastAsia="en-US"/>
        </w:rPr>
      </w:pPr>
      <w:r w:rsidRPr="005A2921">
        <w:rPr>
          <w:rFonts w:ascii="Segoe UI" w:eastAsiaTheme="minorHAnsi" w:hAnsi="Segoe UI" w:cs="Segoe UI"/>
          <w:b/>
          <w:sz w:val="22"/>
          <w:szCs w:val="22"/>
          <w:lang w:eastAsia="en-US"/>
        </w:rPr>
        <w:t xml:space="preserve">Oxfordshire CCG </w:t>
      </w:r>
    </w:p>
    <w:p w:rsidR="005A2921" w:rsidRPr="005A2921" w:rsidRDefault="005A2921" w:rsidP="005A2921">
      <w:pPr>
        <w:numPr>
          <w:ilvl w:val="0"/>
          <w:numId w:val="15"/>
        </w:numPr>
        <w:rPr>
          <w:rFonts w:ascii="Segoe UI" w:eastAsiaTheme="minorHAnsi" w:hAnsi="Segoe UI" w:cs="Segoe UI"/>
          <w:sz w:val="22"/>
          <w:szCs w:val="22"/>
          <w:lang w:eastAsia="en-US"/>
        </w:rPr>
      </w:pPr>
      <w:r w:rsidRPr="005A2921">
        <w:rPr>
          <w:rFonts w:ascii="Segoe UI" w:eastAsiaTheme="minorHAnsi" w:hAnsi="Segoe UI" w:cs="Segoe UI"/>
          <w:sz w:val="22"/>
          <w:szCs w:val="22"/>
          <w:lang w:eastAsia="en-US"/>
        </w:rPr>
        <w:t>OBC Incentivised Measures:  5 indicators with targets, reported monthly (7 are baselining)</w:t>
      </w:r>
    </w:p>
    <w:p w:rsidR="005A2921" w:rsidRPr="005A2921" w:rsidRDefault="005A2921" w:rsidP="005A2921">
      <w:pPr>
        <w:numPr>
          <w:ilvl w:val="0"/>
          <w:numId w:val="15"/>
        </w:numPr>
        <w:rPr>
          <w:rFonts w:ascii="Segoe UI" w:eastAsiaTheme="minorHAnsi" w:hAnsi="Segoe UI" w:cs="Segoe UI"/>
          <w:sz w:val="22"/>
          <w:szCs w:val="22"/>
          <w:lang w:eastAsia="en-US"/>
        </w:rPr>
      </w:pPr>
      <w:r w:rsidRPr="005A2921">
        <w:rPr>
          <w:rFonts w:ascii="Segoe UI" w:eastAsiaTheme="minorHAnsi" w:hAnsi="Segoe UI" w:cs="Segoe UI"/>
          <w:sz w:val="22"/>
          <w:szCs w:val="22"/>
          <w:lang w:eastAsia="en-US"/>
        </w:rPr>
        <w:t xml:space="preserve">OBC Schedule 4: 7 indicators with targets, all reported monthly (9 are baselining) </w:t>
      </w:r>
    </w:p>
    <w:p w:rsidR="005A2921" w:rsidRPr="005A2921" w:rsidRDefault="005A2921" w:rsidP="005A2921">
      <w:pPr>
        <w:numPr>
          <w:ilvl w:val="0"/>
          <w:numId w:val="15"/>
        </w:numPr>
        <w:rPr>
          <w:rFonts w:ascii="Segoe UI" w:eastAsiaTheme="minorHAnsi" w:hAnsi="Segoe UI" w:cs="Segoe UI"/>
          <w:sz w:val="22"/>
          <w:szCs w:val="22"/>
          <w:lang w:eastAsia="en-US"/>
        </w:rPr>
      </w:pPr>
      <w:r w:rsidRPr="005A2921">
        <w:rPr>
          <w:rFonts w:ascii="Segoe UI" w:eastAsiaTheme="minorHAnsi" w:hAnsi="Segoe UI" w:cs="Segoe UI"/>
          <w:sz w:val="22"/>
          <w:szCs w:val="22"/>
          <w:lang w:eastAsia="en-US"/>
        </w:rPr>
        <w:t>CCG Schedule 6 indicators, all reported monthly</w:t>
      </w:r>
    </w:p>
    <w:p w:rsidR="005A2921" w:rsidRPr="005A2921" w:rsidRDefault="005A2921" w:rsidP="005A2921">
      <w:pPr>
        <w:numPr>
          <w:ilvl w:val="0"/>
          <w:numId w:val="15"/>
        </w:numPr>
        <w:rPr>
          <w:rFonts w:ascii="Segoe UI" w:eastAsiaTheme="minorHAnsi" w:hAnsi="Segoe UI" w:cs="Segoe UI"/>
          <w:sz w:val="22"/>
          <w:szCs w:val="22"/>
          <w:lang w:eastAsia="en-US"/>
        </w:rPr>
      </w:pPr>
      <w:r w:rsidRPr="005A2921">
        <w:rPr>
          <w:rFonts w:ascii="Segoe UI" w:eastAsiaTheme="minorHAnsi" w:hAnsi="Segoe UI" w:cs="Segoe UI"/>
          <w:sz w:val="22"/>
          <w:szCs w:val="22"/>
          <w:lang w:eastAsia="en-US"/>
        </w:rPr>
        <w:t>Oxon IAPT: 10 indicators, reported monthly</w:t>
      </w:r>
    </w:p>
    <w:p w:rsidR="005A2921" w:rsidRPr="005A2921" w:rsidRDefault="005A2921" w:rsidP="005A2921">
      <w:pPr>
        <w:numPr>
          <w:ilvl w:val="0"/>
          <w:numId w:val="15"/>
        </w:numPr>
        <w:rPr>
          <w:rFonts w:ascii="Segoe UI" w:eastAsiaTheme="minorHAnsi" w:hAnsi="Segoe UI" w:cs="Segoe UI"/>
          <w:sz w:val="22"/>
          <w:szCs w:val="22"/>
          <w:lang w:eastAsia="en-US"/>
        </w:rPr>
      </w:pPr>
      <w:r w:rsidRPr="005A2921">
        <w:rPr>
          <w:rFonts w:ascii="Segoe UI" w:eastAsiaTheme="minorHAnsi" w:hAnsi="Segoe UI" w:cs="Segoe UI"/>
          <w:sz w:val="22"/>
          <w:szCs w:val="22"/>
          <w:lang w:eastAsia="en-US"/>
        </w:rPr>
        <w:t>Wellbeing: 13 indicators, reported monthly</w:t>
      </w:r>
    </w:p>
    <w:p w:rsidR="005A2921" w:rsidRPr="005A2921" w:rsidRDefault="005A2921" w:rsidP="005A2921">
      <w:pPr>
        <w:rPr>
          <w:rFonts w:ascii="Segoe UI" w:hAnsi="Segoe UI" w:cs="Segoe UI"/>
        </w:rPr>
      </w:pPr>
    </w:p>
    <w:p w:rsidR="005A2921" w:rsidRDefault="005A2921" w:rsidP="005A2921">
      <w:pPr>
        <w:rPr>
          <w:rFonts w:ascii="Segoe UI" w:eastAsiaTheme="minorHAnsi" w:hAnsi="Segoe UI" w:cs="Segoe UI"/>
          <w:b/>
          <w:sz w:val="22"/>
          <w:szCs w:val="22"/>
          <w:lang w:eastAsia="en-US"/>
        </w:rPr>
      </w:pPr>
      <w:r w:rsidRPr="005A2921">
        <w:rPr>
          <w:rFonts w:ascii="Segoe UI" w:eastAsiaTheme="minorHAnsi" w:hAnsi="Segoe UI" w:cs="Segoe UI"/>
          <w:b/>
          <w:sz w:val="22"/>
          <w:szCs w:val="22"/>
          <w:lang w:eastAsia="en-US"/>
        </w:rPr>
        <w:t xml:space="preserve">Buckinghamshire </w:t>
      </w:r>
    </w:p>
    <w:p w:rsidR="005A2921" w:rsidRPr="005A2921" w:rsidRDefault="005A2921" w:rsidP="005A2921">
      <w:pPr>
        <w:numPr>
          <w:ilvl w:val="0"/>
          <w:numId w:val="16"/>
        </w:numPr>
        <w:rPr>
          <w:rFonts w:ascii="Segoe UI" w:eastAsiaTheme="minorHAnsi" w:hAnsi="Segoe UI" w:cs="Segoe UI"/>
          <w:sz w:val="22"/>
          <w:szCs w:val="22"/>
          <w:lang w:eastAsia="en-US"/>
        </w:rPr>
      </w:pPr>
      <w:r w:rsidRPr="005A2921">
        <w:rPr>
          <w:rFonts w:ascii="Segoe UI" w:eastAsiaTheme="minorHAnsi" w:hAnsi="Segoe UI" w:cs="Segoe UI"/>
          <w:sz w:val="22"/>
          <w:szCs w:val="22"/>
          <w:lang w:eastAsia="en-US"/>
        </w:rPr>
        <w:t>Aylesbury &amp; Chiltern CCGs: 30 indicators, 22 reported monthly</w:t>
      </w:r>
    </w:p>
    <w:p w:rsidR="005A2921" w:rsidRPr="005A2921" w:rsidRDefault="005A2921" w:rsidP="005A2921">
      <w:pPr>
        <w:numPr>
          <w:ilvl w:val="0"/>
          <w:numId w:val="16"/>
        </w:numPr>
        <w:rPr>
          <w:rFonts w:ascii="Segoe UI" w:eastAsiaTheme="minorHAnsi" w:hAnsi="Segoe UI" w:cs="Segoe UI"/>
          <w:sz w:val="22"/>
          <w:szCs w:val="22"/>
          <w:lang w:eastAsia="en-US"/>
        </w:rPr>
      </w:pPr>
      <w:r w:rsidRPr="005A2921">
        <w:rPr>
          <w:rFonts w:ascii="Segoe UI" w:eastAsiaTheme="minorHAnsi" w:hAnsi="Segoe UI" w:cs="Segoe UI"/>
          <w:sz w:val="22"/>
          <w:szCs w:val="22"/>
          <w:lang w:eastAsia="en-US"/>
        </w:rPr>
        <w:t>Bucks IAPT services: 8 indicators, all reported monthly.</w:t>
      </w:r>
    </w:p>
    <w:p w:rsidR="005A2921" w:rsidRPr="005A2921" w:rsidRDefault="005A2921" w:rsidP="005A2921">
      <w:pPr>
        <w:ind w:left="360"/>
        <w:rPr>
          <w:rFonts w:ascii="Segoe UI" w:eastAsiaTheme="minorHAnsi" w:hAnsi="Segoe UI" w:cs="Segoe UI"/>
          <w:sz w:val="22"/>
          <w:szCs w:val="22"/>
          <w:lang w:eastAsia="en-US"/>
        </w:rPr>
      </w:pPr>
    </w:p>
    <w:p w:rsidR="005A2921" w:rsidRDefault="005A2921" w:rsidP="005A2921">
      <w:pPr>
        <w:rPr>
          <w:rFonts w:ascii="Segoe UI" w:hAnsi="Segoe UI" w:cs="Segoe UI"/>
          <w:b/>
          <w:sz w:val="22"/>
          <w:szCs w:val="22"/>
        </w:rPr>
      </w:pPr>
      <w:r w:rsidRPr="005A2921">
        <w:rPr>
          <w:rFonts w:ascii="Segoe UI" w:hAnsi="Segoe UI" w:cs="Segoe UI"/>
          <w:b/>
          <w:sz w:val="22"/>
          <w:szCs w:val="22"/>
        </w:rPr>
        <w:t>NHS England: Forensic Service</w:t>
      </w:r>
    </w:p>
    <w:p w:rsidR="005A2921" w:rsidRPr="005A2921" w:rsidRDefault="005A2921" w:rsidP="005A2921">
      <w:pPr>
        <w:numPr>
          <w:ilvl w:val="0"/>
          <w:numId w:val="16"/>
        </w:numPr>
        <w:contextualSpacing/>
        <w:rPr>
          <w:rFonts w:ascii="Segoe UI" w:hAnsi="Segoe UI" w:cs="Segoe UI"/>
        </w:rPr>
      </w:pPr>
      <w:r w:rsidRPr="005A2921">
        <w:rPr>
          <w:rFonts w:ascii="Segoe UI" w:hAnsi="Segoe UI" w:cs="Segoe UI"/>
          <w:sz w:val="22"/>
          <w:szCs w:val="22"/>
        </w:rPr>
        <w:t>MSU &amp; LSU Schedule 4:  16 indicators each with targets, 14 of these reported monthly and 2 reported quarterly.</w:t>
      </w:r>
      <w:r w:rsidRPr="005A2921">
        <w:rPr>
          <w:rFonts w:ascii="Segoe UI" w:hAnsi="Segoe UI" w:cs="Segoe UI"/>
        </w:rPr>
        <w:t xml:space="preserve"> </w:t>
      </w:r>
    </w:p>
    <w:p w:rsidR="0090540B" w:rsidRPr="0090540B" w:rsidRDefault="0090540B" w:rsidP="0090540B">
      <w:pPr>
        <w:ind w:left="-142"/>
        <w:rPr>
          <w:rFonts w:ascii="Segoe UI" w:hAnsi="Segoe UI" w:cs="Segoe UI"/>
          <w:b/>
        </w:rPr>
      </w:pPr>
    </w:p>
    <w:p w:rsidR="0090540B" w:rsidRDefault="0090540B" w:rsidP="0090540B">
      <w:pPr>
        <w:ind w:left="-142"/>
        <w:rPr>
          <w:rFonts w:ascii="Segoe UI" w:hAnsi="Segoe UI" w:cs="Segoe UI"/>
          <w:b/>
        </w:rPr>
      </w:pPr>
    </w:p>
    <w:p w:rsidR="005A2921" w:rsidRDefault="005A2921" w:rsidP="0090540B">
      <w:pPr>
        <w:ind w:left="-142"/>
        <w:rPr>
          <w:rFonts w:ascii="Segoe UI" w:hAnsi="Segoe UI" w:cs="Segoe UI"/>
          <w:b/>
        </w:rPr>
      </w:pPr>
    </w:p>
    <w:p w:rsidR="005A2921" w:rsidRPr="0090540B" w:rsidRDefault="005A2921" w:rsidP="0090540B">
      <w:pPr>
        <w:ind w:left="-142"/>
        <w:rPr>
          <w:rFonts w:ascii="Segoe UI" w:hAnsi="Segoe UI" w:cs="Segoe UI"/>
          <w:b/>
        </w:rPr>
      </w:pPr>
    </w:p>
    <w:p w:rsidR="0090540B" w:rsidRPr="0090540B" w:rsidRDefault="0090540B" w:rsidP="0090540B">
      <w:pPr>
        <w:shd w:val="clear" w:color="auto" w:fill="0070C0"/>
        <w:rPr>
          <w:rFonts w:ascii="Segoe UI" w:hAnsi="Segoe UI" w:cs="Segoe UI"/>
          <w:b/>
          <w:color w:val="FFFFFF" w:themeColor="background1"/>
        </w:rPr>
      </w:pPr>
      <w:r w:rsidRPr="0090540B">
        <w:rPr>
          <w:rFonts w:ascii="Segoe UI" w:hAnsi="Segoe UI" w:cs="Segoe UI"/>
          <w:b/>
          <w:color w:val="FFFFFF" w:themeColor="background1"/>
        </w:rPr>
        <w:t xml:space="preserve">Performance Scorecard </w:t>
      </w:r>
    </w:p>
    <w:p w:rsidR="0090540B" w:rsidRPr="0090540B" w:rsidRDefault="0090540B" w:rsidP="0090540B">
      <w:pPr>
        <w:rPr>
          <w:rFonts w:ascii="Segoe UI" w:hAnsi="Segoe UI" w:cs="Segoe UI"/>
          <w:sz w:val="22"/>
        </w:rPr>
      </w:pPr>
    </w:p>
    <w:p w:rsidR="005A2921" w:rsidRPr="005A2921" w:rsidRDefault="005A2921" w:rsidP="005A2921">
      <w:pPr>
        <w:rPr>
          <w:rFonts w:ascii="Segoe UI" w:hAnsi="Segoe UI" w:cs="Segoe UI"/>
          <w:sz w:val="22"/>
        </w:rPr>
      </w:pPr>
      <w:r w:rsidRPr="005A2921">
        <w:rPr>
          <w:rFonts w:ascii="Segoe UI" w:hAnsi="Segoe UI" w:cs="Segoe UI"/>
          <w:sz w:val="22"/>
        </w:rPr>
        <w:t>The Adult Directorate was required to report against 110 indicators in March 2017 (M12)</w:t>
      </w:r>
    </w:p>
    <w:p w:rsidR="005A2921" w:rsidRPr="005A2921" w:rsidRDefault="005A2921" w:rsidP="005A2921">
      <w:pPr>
        <w:rPr>
          <w:rFonts w:ascii="Segoe UI" w:hAnsi="Segoe UI" w:cs="Segoe UI"/>
          <w:sz w:val="22"/>
        </w:rPr>
      </w:pPr>
    </w:p>
    <w:p w:rsidR="005A2921" w:rsidRPr="005A2921" w:rsidRDefault="005A2921" w:rsidP="005A2921">
      <w:pPr>
        <w:rPr>
          <w:rFonts w:ascii="Segoe UI" w:hAnsi="Segoe UI" w:cs="Segoe UI"/>
          <w:sz w:val="22"/>
        </w:rPr>
      </w:pPr>
      <w:r w:rsidRPr="005A2921">
        <w:rPr>
          <w:rFonts w:ascii="Segoe UI" w:hAnsi="Segoe UI" w:cs="Segoe UI"/>
          <w:sz w:val="22"/>
        </w:rPr>
        <w:t xml:space="preserve">Targets/thresholds are applicable to most indicators.  Where there is no target/threshold, the indicator is considered compliant if it is reported. </w:t>
      </w:r>
    </w:p>
    <w:tbl>
      <w:tblPr>
        <w:tblStyle w:val="TableGrid121"/>
        <w:tblpPr w:leftFromText="180" w:rightFromText="180" w:vertAnchor="text" w:horzAnchor="margin" w:tblpXSpec="right" w:tblpY="190"/>
        <w:tblW w:w="0" w:type="auto"/>
        <w:tblLayout w:type="fixed"/>
        <w:tblLook w:val="04A0" w:firstRow="1" w:lastRow="0" w:firstColumn="1" w:lastColumn="0" w:noHBand="0" w:noVBand="1"/>
      </w:tblPr>
      <w:tblGrid>
        <w:gridCol w:w="959"/>
        <w:gridCol w:w="1417"/>
        <w:gridCol w:w="1276"/>
        <w:gridCol w:w="1276"/>
        <w:gridCol w:w="992"/>
        <w:gridCol w:w="986"/>
      </w:tblGrid>
      <w:tr w:rsidR="0090540B" w:rsidRPr="0090540B" w:rsidTr="0090540B">
        <w:trPr>
          <w:trHeight w:val="554"/>
        </w:trPr>
        <w:tc>
          <w:tcPr>
            <w:tcW w:w="959" w:type="dxa"/>
            <w:tcBorders>
              <w:bottom w:val="single" w:sz="4" w:space="0" w:color="auto"/>
            </w:tcBorders>
            <w:vAlign w:val="center"/>
          </w:tcPr>
          <w:p w:rsidR="0090540B" w:rsidRPr="0090540B" w:rsidRDefault="0090540B" w:rsidP="0090540B">
            <w:pPr>
              <w:jc w:val="center"/>
              <w:rPr>
                <w:rFonts w:ascii="Segoe UI" w:hAnsi="Segoe UI" w:cs="Segoe UI"/>
                <w:b/>
                <w:sz w:val="22"/>
              </w:rPr>
            </w:pPr>
            <w:r w:rsidRPr="0090540B">
              <w:rPr>
                <w:rFonts w:ascii="Segoe UI" w:hAnsi="Segoe UI" w:cs="Segoe UI"/>
                <w:b/>
                <w:sz w:val="22"/>
              </w:rPr>
              <w:t>Key:</w:t>
            </w:r>
          </w:p>
        </w:tc>
        <w:tc>
          <w:tcPr>
            <w:tcW w:w="1417" w:type="dxa"/>
            <w:tcBorders>
              <w:bottom w:val="single" w:sz="4" w:space="0" w:color="auto"/>
            </w:tcBorders>
            <w:shd w:val="clear" w:color="auto" w:fill="FF0000"/>
            <w:vAlign w:val="center"/>
          </w:tcPr>
          <w:p w:rsidR="0090540B" w:rsidRPr="0090540B" w:rsidRDefault="0090540B" w:rsidP="0090540B">
            <w:pPr>
              <w:jc w:val="center"/>
              <w:rPr>
                <w:rFonts w:ascii="Segoe UI" w:hAnsi="Segoe UI" w:cs="Segoe UI"/>
                <w:sz w:val="18"/>
                <w:szCs w:val="18"/>
              </w:rPr>
            </w:pPr>
            <w:r w:rsidRPr="0090540B">
              <w:rPr>
                <w:rFonts w:ascii="Segoe UI" w:hAnsi="Segoe UI" w:cs="Segoe UI"/>
                <w:sz w:val="18"/>
                <w:szCs w:val="18"/>
              </w:rPr>
              <w:t>Well Below Target &gt;10%</w:t>
            </w:r>
          </w:p>
        </w:tc>
        <w:tc>
          <w:tcPr>
            <w:tcW w:w="1276" w:type="dxa"/>
            <w:tcBorders>
              <w:bottom w:val="single" w:sz="4" w:space="0" w:color="auto"/>
            </w:tcBorders>
            <w:shd w:val="clear" w:color="auto" w:fill="FFC000"/>
            <w:vAlign w:val="center"/>
          </w:tcPr>
          <w:p w:rsidR="0090540B" w:rsidRPr="0090540B" w:rsidRDefault="0090540B" w:rsidP="0090540B">
            <w:pPr>
              <w:jc w:val="center"/>
              <w:rPr>
                <w:rFonts w:ascii="Segoe UI" w:hAnsi="Segoe UI" w:cs="Segoe UI"/>
                <w:sz w:val="18"/>
                <w:szCs w:val="18"/>
              </w:rPr>
            </w:pPr>
            <w:r w:rsidRPr="0090540B">
              <w:rPr>
                <w:rFonts w:ascii="Segoe UI" w:hAnsi="Segoe UI" w:cs="Segoe UI"/>
                <w:sz w:val="18"/>
                <w:szCs w:val="18"/>
              </w:rPr>
              <w:t>Below Target 5-10%</w:t>
            </w:r>
          </w:p>
        </w:tc>
        <w:tc>
          <w:tcPr>
            <w:tcW w:w="1276" w:type="dxa"/>
            <w:tcBorders>
              <w:bottom w:val="single" w:sz="4" w:space="0" w:color="auto"/>
            </w:tcBorders>
            <w:shd w:val="clear" w:color="auto" w:fill="FFFF00"/>
            <w:vAlign w:val="center"/>
          </w:tcPr>
          <w:p w:rsidR="0090540B" w:rsidRPr="0090540B" w:rsidRDefault="0090540B" w:rsidP="0090540B">
            <w:pPr>
              <w:jc w:val="center"/>
              <w:rPr>
                <w:rFonts w:ascii="Segoe UI" w:hAnsi="Segoe UI" w:cs="Segoe UI"/>
                <w:sz w:val="18"/>
                <w:szCs w:val="18"/>
              </w:rPr>
            </w:pPr>
            <w:r w:rsidRPr="0090540B">
              <w:rPr>
                <w:rFonts w:ascii="Segoe UI" w:hAnsi="Segoe UI" w:cs="Segoe UI"/>
                <w:sz w:val="18"/>
                <w:szCs w:val="18"/>
              </w:rPr>
              <w:t>Near Target &lt;5% under</w:t>
            </w:r>
          </w:p>
        </w:tc>
        <w:tc>
          <w:tcPr>
            <w:tcW w:w="992" w:type="dxa"/>
            <w:tcBorders>
              <w:bottom w:val="single" w:sz="4" w:space="0" w:color="auto"/>
            </w:tcBorders>
            <w:shd w:val="clear" w:color="auto" w:fill="92D050"/>
            <w:vAlign w:val="center"/>
          </w:tcPr>
          <w:p w:rsidR="0090540B" w:rsidRPr="0090540B" w:rsidRDefault="0090540B" w:rsidP="0090540B">
            <w:pPr>
              <w:jc w:val="center"/>
              <w:rPr>
                <w:rFonts w:ascii="Segoe UI" w:hAnsi="Segoe UI" w:cs="Segoe UI"/>
                <w:sz w:val="18"/>
                <w:szCs w:val="18"/>
              </w:rPr>
            </w:pPr>
            <w:r w:rsidRPr="0090540B">
              <w:rPr>
                <w:rFonts w:ascii="Segoe UI" w:hAnsi="Segoe UI" w:cs="Segoe UI"/>
                <w:sz w:val="18"/>
                <w:szCs w:val="18"/>
              </w:rPr>
              <w:t>At Target</w:t>
            </w:r>
          </w:p>
        </w:tc>
        <w:tc>
          <w:tcPr>
            <w:tcW w:w="986" w:type="dxa"/>
            <w:tcBorders>
              <w:bottom w:val="single" w:sz="4" w:space="0" w:color="auto"/>
            </w:tcBorders>
            <w:shd w:val="clear" w:color="auto" w:fill="66FF33"/>
            <w:vAlign w:val="center"/>
          </w:tcPr>
          <w:p w:rsidR="0090540B" w:rsidRPr="0090540B" w:rsidRDefault="0090540B" w:rsidP="0090540B">
            <w:pPr>
              <w:jc w:val="center"/>
              <w:rPr>
                <w:rFonts w:ascii="Segoe UI" w:hAnsi="Segoe UI" w:cs="Segoe UI"/>
                <w:sz w:val="18"/>
                <w:szCs w:val="18"/>
              </w:rPr>
            </w:pPr>
            <w:r w:rsidRPr="0090540B">
              <w:rPr>
                <w:rFonts w:ascii="Segoe UI" w:hAnsi="Segoe UI" w:cs="Segoe UI"/>
                <w:sz w:val="18"/>
                <w:szCs w:val="18"/>
              </w:rPr>
              <w:t xml:space="preserve">Exceeded Target </w:t>
            </w:r>
          </w:p>
        </w:tc>
      </w:tr>
      <w:tr w:rsidR="0090540B" w:rsidRPr="0090540B" w:rsidTr="001E7767">
        <w:trPr>
          <w:trHeight w:val="85"/>
        </w:trPr>
        <w:tc>
          <w:tcPr>
            <w:tcW w:w="6906" w:type="dxa"/>
            <w:gridSpan w:val="6"/>
            <w:tcBorders>
              <w:top w:val="single" w:sz="4" w:space="0" w:color="auto"/>
              <w:left w:val="nil"/>
              <w:bottom w:val="nil"/>
              <w:right w:val="nil"/>
            </w:tcBorders>
          </w:tcPr>
          <w:p w:rsidR="005A2921" w:rsidRPr="0090540B" w:rsidRDefault="005A2921" w:rsidP="0090540B">
            <w:pPr>
              <w:rPr>
                <w:rFonts w:ascii="Segoe UI" w:hAnsi="Segoe UI" w:cs="Segoe UI"/>
                <w:b/>
                <w:sz w:val="22"/>
              </w:rPr>
            </w:pPr>
          </w:p>
        </w:tc>
      </w:tr>
    </w:tbl>
    <w:tbl>
      <w:tblPr>
        <w:tblStyle w:val="TableGrid13"/>
        <w:tblW w:w="6941" w:type="dxa"/>
        <w:tblInd w:w="113" w:type="dxa"/>
        <w:tblLayout w:type="fixed"/>
        <w:tblLook w:val="04A0" w:firstRow="1" w:lastRow="0" w:firstColumn="1" w:lastColumn="0" w:noHBand="0" w:noVBand="1"/>
      </w:tblPr>
      <w:tblGrid>
        <w:gridCol w:w="2972"/>
        <w:gridCol w:w="567"/>
        <w:gridCol w:w="709"/>
        <w:gridCol w:w="567"/>
        <w:gridCol w:w="567"/>
        <w:gridCol w:w="709"/>
        <w:gridCol w:w="850"/>
      </w:tblGrid>
      <w:tr w:rsidR="0090540B" w:rsidRPr="0090540B" w:rsidTr="001E7767">
        <w:tc>
          <w:tcPr>
            <w:tcW w:w="6091" w:type="dxa"/>
            <w:gridSpan w:val="6"/>
          </w:tcPr>
          <w:p w:rsidR="0090540B" w:rsidRPr="0090540B" w:rsidRDefault="0090540B" w:rsidP="0090540B">
            <w:pPr>
              <w:rPr>
                <w:rFonts w:ascii="Segoe UI" w:hAnsi="Segoe UI" w:cs="Segoe UI"/>
                <w:sz w:val="22"/>
              </w:rPr>
            </w:pPr>
          </w:p>
        </w:tc>
        <w:tc>
          <w:tcPr>
            <w:tcW w:w="850" w:type="dxa"/>
          </w:tcPr>
          <w:p w:rsidR="0090540B" w:rsidRPr="0090540B" w:rsidRDefault="0090540B" w:rsidP="0090540B">
            <w:pPr>
              <w:rPr>
                <w:rFonts w:ascii="Segoe UI" w:hAnsi="Segoe UI" w:cs="Segoe UI"/>
                <w:sz w:val="22"/>
              </w:rPr>
            </w:pPr>
            <w:r w:rsidRPr="0090540B">
              <w:rPr>
                <w:rFonts w:ascii="Segoe UI" w:hAnsi="Segoe UI" w:cs="Segoe UI"/>
                <w:sz w:val="22"/>
              </w:rPr>
              <w:t>% met</w:t>
            </w:r>
          </w:p>
        </w:tc>
      </w:tr>
      <w:tr w:rsidR="0090540B" w:rsidRPr="0090540B" w:rsidTr="001E7767">
        <w:tc>
          <w:tcPr>
            <w:tcW w:w="2972" w:type="dxa"/>
          </w:tcPr>
          <w:p w:rsidR="0090540B" w:rsidRPr="0090540B" w:rsidRDefault="0090540B" w:rsidP="0090540B">
            <w:pPr>
              <w:rPr>
                <w:rFonts w:ascii="Segoe UI" w:hAnsi="Segoe UI" w:cs="Segoe UI"/>
                <w:b/>
                <w:sz w:val="22"/>
              </w:rPr>
            </w:pPr>
            <w:r w:rsidRPr="0090540B">
              <w:rPr>
                <w:rFonts w:ascii="Segoe UI" w:hAnsi="Segoe UI" w:cs="Segoe UI"/>
                <w:b/>
                <w:sz w:val="22"/>
              </w:rPr>
              <w:t>All Measures (106)</w:t>
            </w:r>
          </w:p>
        </w:tc>
        <w:tc>
          <w:tcPr>
            <w:tcW w:w="567" w:type="dxa"/>
            <w:shd w:val="clear" w:color="auto" w:fill="FF0000"/>
          </w:tcPr>
          <w:p w:rsidR="0090540B" w:rsidRPr="0090540B" w:rsidRDefault="005A2921" w:rsidP="005A2921">
            <w:pPr>
              <w:jc w:val="center"/>
              <w:rPr>
                <w:rFonts w:ascii="Segoe UI" w:hAnsi="Segoe UI" w:cs="Segoe UI"/>
                <w:sz w:val="22"/>
              </w:rPr>
            </w:pPr>
            <w:r>
              <w:rPr>
                <w:rFonts w:ascii="Segoe UI" w:hAnsi="Segoe UI" w:cs="Segoe UI"/>
                <w:sz w:val="22"/>
              </w:rPr>
              <w:t>18</w:t>
            </w:r>
          </w:p>
        </w:tc>
        <w:tc>
          <w:tcPr>
            <w:tcW w:w="709" w:type="dxa"/>
            <w:shd w:val="clear" w:color="auto" w:fill="FFC000"/>
          </w:tcPr>
          <w:p w:rsidR="0090540B" w:rsidRPr="0090540B" w:rsidRDefault="005A2921" w:rsidP="001E7767">
            <w:pPr>
              <w:jc w:val="center"/>
              <w:rPr>
                <w:rFonts w:ascii="Segoe UI" w:hAnsi="Segoe UI" w:cs="Segoe UI"/>
                <w:sz w:val="22"/>
              </w:rPr>
            </w:pPr>
            <w:r>
              <w:rPr>
                <w:rFonts w:ascii="Segoe UI" w:hAnsi="Segoe UI" w:cs="Segoe UI"/>
                <w:sz w:val="22"/>
              </w:rPr>
              <w:t>9</w:t>
            </w:r>
          </w:p>
        </w:tc>
        <w:tc>
          <w:tcPr>
            <w:tcW w:w="567" w:type="dxa"/>
            <w:shd w:val="clear" w:color="auto" w:fill="FFFF00"/>
          </w:tcPr>
          <w:p w:rsidR="0090540B" w:rsidRPr="0090540B" w:rsidRDefault="005A2921" w:rsidP="001E7767">
            <w:pPr>
              <w:jc w:val="center"/>
              <w:rPr>
                <w:rFonts w:ascii="Segoe UI" w:hAnsi="Segoe UI" w:cs="Segoe UI"/>
                <w:sz w:val="22"/>
              </w:rPr>
            </w:pPr>
            <w:r>
              <w:rPr>
                <w:rFonts w:ascii="Segoe UI" w:hAnsi="Segoe UI" w:cs="Segoe UI"/>
                <w:sz w:val="22"/>
              </w:rPr>
              <w:t>7</w:t>
            </w:r>
          </w:p>
        </w:tc>
        <w:tc>
          <w:tcPr>
            <w:tcW w:w="567" w:type="dxa"/>
            <w:shd w:val="clear" w:color="auto" w:fill="92D050"/>
          </w:tcPr>
          <w:p w:rsidR="0090540B" w:rsidRPr="0090540B" w:rsidRDefault="0090540B" w:rsidP="001E7767">
            <w:pPr>
              <w:jc w:val="center"/>
              <w:rPr>
                <w:rFonts w:ascii="Segoe UI" w:hAnsi="Segoe UI" w:cs="Segoe UI"/>
                <w:sz w:val="22"/>
              </w:rPr>
            </w:pPr>
            <w:r w:rsidRPr="0090540B">
              <w:rPr>
                <w:rFonts w:ascii="Segoe UI" w:hAnsi="Segoe UI" w:cs="Segoe UI"/>
                <w:sz w:val="22"/>
              </w:rPr>
              <w:t>62</w:t>
            </w:r>
          </w:p>
        </w:tc>
        <w:tc>
          <w:tcPr>
            <w:tcW w:w="709" w:type="dxa"/>
            <w:shd w:val="clear" w:color="auto" w:fill="66FF33"/>
          </w:tcPr>
          <w:p w:rsidR="0090540B" w:rsidRPr="0090540B" w:rsidRDefault="005A2921" w:rsidP="001E7767">
            <w:pPr>
              <w:jc w:val="center"/>
              <w:rPr>
                <w:rFonts w:ascii="Segoe UI" w:hAnsi="Segoe UI" w:cs="Segoe UI"/>
                <w:sz w:val="22"/>
              </w:rPr>
            </w:pPr>
            <w:r>
              <w:rPr>
                <w:rFonts w:ascii="Segoe UI" w:hAnsi="Segoe UI" w:cs="Segoe UI"/>
                <w:sz w:val="22"/>
              </w:rPr>
              <w:t>14</w:t>
            </w:r>
          </w:p>
        </w:tc>
        <w:tc>
          <w:tcPr>
            <w:tcW w:w="850" w:type="dxa"/>
            <w:shd w:val="clear" w:color="auto" w:fill="FFFFFF" w:themeFill="background1"/>
          </w:tcPr>
          <w:p w:rsidR="0090540B" w:rsidRPr="0090540B" w:rsidRDefault="005A2921" w:rsidP="0090540B">
            <w:pPr>
              <w:rPr>
                <w:rFonts w:ascii="Segoe UI" w:hAnsi="Segoe UI" w:cs="Segoe UI"/>
                <w:sz w:val="22"/>
              </w:rPr>
            </w:pPr>
            <w:r>
              <w:rPr>
                <w:rFonts w:ascii="Segoe UI" w:hAnsi="Segoe UI" w:cs="Segoe UI"/>
                <w:sz w:val="22"/>
              </w:rPr>
              <w:t>69%</w:t>
            </w:r>
          </w:p>
        </w:tc>
      </w:tr>
    </w:tbl>
    <w:p w:rsidR="0090540B" w:rsidRDefault="0090540B" w:rsidP="0090540B">
      <w:pPr>
        <w:rPr>
          <w:rFonts w:ascii="Segoe UI" w:hAnsi="Segoe UI" w:cs="Segoe UI"/>
          <w:sz w:val="22"/>
        </w:rPr>
      </w:pPr>
    </w:p>
    <w:tbl>
      <w:tblPr>
        <w:tblStyle w:val="TableGrid17"/>
        <w:tblW w:w="6946" w:type="dxa"/>
        <w:tblInd w:w="108" w:type="dxa"/>
        <w:tblLayout w:type="fixed"/>
        <w:tblLook w:val="04A0" w:firstRow="1" w:lastRow="0" w:firstColumn="1" w:lastColumn="0" w:noHBand="0" w:noVBand="1"/>
      </w:tblPr>
      <w:tblGrid>
        <w:gridCol w:w="2977"/>
        <w:gridCol w:w="567"/>
        <w:gridCol w:w="709"/>
        <w:gridCol w:w="567"/>
        <w:gridCol w:w="567"/>
        <w:gridCol w:w="709"/>
        <w:gridCol w:w="850"/>
      </w:tblGrid>
      <w:tr w:rsidR="005A2921" w:rsidRPr="005A2921" w:rsidTr="005A2921">
        <w:tc>
          <w:tcPr>
            <w:tcW w:w="6096" w:type="dxa"/>
            <w:gridSpan w:val="6"/>
          </w:tcPr>
          <w:p w:rsidR="005A2921" w:rsidRPr="005A2921" w:rsidRDefault="005A2921" w:rsidP="005A2921">
            <w:pPr>
              <w:rPr>
                <w:rFonts w:ascii="Segoe UI" w:hAnsi="Segoe UI" w:cs="Segoe UI"/>
                <w:b/>
                <w:sz w:val="20"/>
                <w:szCs w:val="20"/>
              </w:rPr>
            </w:pPr>
            <w:r w:rsidRPr="005A2921">
              <w:rPr>
                <w:rFonts w:ascii="Segoe UI" w:hAnsi="Segoe UI" w:cs="Segoe UI"/>
                <w:b/>
                <w:sz w:val="20"/>
                <w:szCs w:val="20"/>
              </w:rPr>
              <w:t xml:space="preserve">Oxfordshire </w:t>
            </w:r>
          </w:p>
        </w:tc>
        <w:tc>
          <w:tcPr>
            <w:tcW w:w="850"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 met</w:t>
            </w:r>
          </w:p>
        </w:tc>
      </w:tr>
      <w:tr w:rsidR="00244954" w:rsidRPr="005A2921" w:rsidTr="005A2921">
        <w:tc>
          <w:tcPr>
            <w:tcW w:w="2977"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 xml:space="preserve">OBC Incentivised Measures </w:t>
            </w:r>
          </w:p>
        </w:tc>
        <w:tc>
          <w:tcPr>
            <w:tcW w:w="567" w:type="dxa"/>
            <w:shd w:val="clear" w:color="auto" w:fill="FF0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709" w:type="dxa"/>
            <w:shd w:val="clear" w:color="auto" w:fill="FFC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567" w:type="dxa"/>
            <w:shd w:val="clear" w:color="auto" w:fill="FFFF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567" w:type="dxa"/>
            <w:shd w:val="clear" w:color="auto" w:fill="92D05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3</w:t>
            </w:r>
          </w:p>
        </w:tc>
        <w:tc>
          <w:tcPr>
            <w:tcW w:w="709" w:type="dxa"/>
            <w:shd w:val="clear" w:color="auto" w:fill="66FF33"/>
          </w:tcPr>
          <w:p w:rsidR="005A2921" w:rsidRPr="005A2921" w:rsidRDefault="005A2921" w:rsidP="005A2921">
            <w:pPr>
              <w:rPr>
                <w:rFonts w:ascii="Segoe UI" w:hAnsi="Segoe UI" w:cs="Segoe UI"/>
                <w:sz w:val="20"/>
                <w:szCs w:val="20"/>
              </w:rPr>
            </w:pPr>
            <w:r w:rsidRPr="005A2921">
              <w:rPr>
                <w:rFonts w:ascii="Segoe UI" w:hAnsi="Segoe UI" w:cs="Segoe UI"/>
                <w:sz w:val="20"/>
                <w:szCs w:val="20"/>
              </w:rPr>
              <w:t>2</w:t>
            </w:r>
          </w:p>
        </w:tc>
        <w:tc>
          <w:tcPr>
            <w:tcW w:w="850" w:type="dxa"/>
            <w:shd w:val="clear" w:color="auto" w:fill="auto"/>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100%</w:t>
            </w:r>
          </w:p>
        </w:tc>
      </w:tr>
      <w:tr w:rsidR="00244954" w:rsidRPr="005A2921" w:rsidTr="005A2921">
        <w:tc>
          <w:tcPr>
            <w:tcW w:w="2977"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 xml:space="preserve">OBC Schedule 4 </w:t>
            </w:r>
          </w:p>
        </w:tc>
        <w:tc>
          <w:tcPr>
            <w:tcW w:w="567" w:type="dxa"/>
            <w:shd w:val="clear" w:color="auto" w:fill="FF0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w:t>
            </w:r>
          </w:p>
        </w:tc>
        <w:tc>
          <w:tcPr>
            <w:tcW w:w="709" w:type="dxa"/>
            <w:shd w:val="clear" w:color="auto" w:fill="FFC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567" w:type="dxa"/>
            <w:shd w:val="clear" w:color="auto" w:fill="FFFF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w:t>
            </w:r>
          </w:p>
        </w:tc>
        <w:tc>
          <w:tcPr>
            <w:tcW w:w="567" w:type="dxa"/>
            <w:shd w:val="clear" w:color="auto" w:fill="92D05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4</w:t>
            </w:r>
          </w:p>
        </w:tc>
        <w:tc>
          <w:tcPr>
            <w:tcW w:w="709" w:type="dxa"/>
            <w:shd w:val="clear" w:color="auto" w:fill="66FF33"/>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w:t>
            </w:r>
          </w:p>
        </w:tc>
        <w:tc>
          <w:tcPr>
            <w:tcW w:w="850" w:type="dxa"/>
            <w:shd w:val="clear" w:color="auto" w:fill="auto"/>
          </w:tcPr>
          <w:p w:rsidR="005A2921" w:rsidRPr="005A2921" w:rsidRDefault="005A2921" w:rsidP="005A2921">
            <w:pPr>
              <w:rPr>
                <w:rFonts w:ascii="Segoe UI" w:hAnsi="Segoe UI" w:cs="Segoe UI"/>
                <w:sz w:val="20"/>
                <w:szCs w:val="20"/>
              </w:rPr>
            </w:pPr>
            <w:r w:rsidRPr="005A2921">
              <w:rPr>
                <w:rFonts w:ascii="Segoe UI" w:hAnsi="Segoe UI" w:cs="Segoe UI"/>
                <w:sz w:val="20"/>
                <w:szCs w:val="20"/>
              </w:rPr>
              <w:t>71.4%</w:t>
            </w:r>
          </w:p>
        </w:tc>
      </w:tr>
      <w:tr w:rsidR="00244954" w:rsidRPr="005A2921" w:rsidTr="005A2921">
        <w:tc>
          <w:tcPr>
            <w:tcW w:w="2977"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Oxon CCG Schedule 4 Quality Requirements</w:t>
            </w:r>
          </w:p>
        </w:tc>
        <w:tc>
          <w:tcPr>
            <w:tcW w:w="567" w:type="dxa"/>
            <w:shd w:val="clear" w:color="auto" w:fill="FF0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2</w:t>
            </w:r>
          </w:p>
        </w:tc>
        <w:tc>
          <w:tcPr>
            <w:tcW w:w="709" w:type="dxa"/>
            <w:shd w:val="clear" w:color="auto" w:fill="FFC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2</w:t>
            </w:r>
          </w:p>
        </w:tc>
        <w:tc>
          <w:tcPr>
            <w:tcW w:w="567" w:type="dxa"/>
            <w:shd w:val="clear" w:color="auto" w:fill="FFFF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w:t>
            </w:r>
          </w:p>
        </w:tc>
        <w:tc>
          <w:tcPr>
            <w:tcW w:w="567" w:type="dxa"/>
            <w:shd w:val="clear" w:color="auto" w:fill="92D05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w:t>
            </w:r>
          </w:p>
        </w:tc>
        <w:tc>
          <w:tcPr>
            <w:tcW w:w="709" w:type="dxa"/>
            <w:shd w:val="clear" w:color="auto" w:fill="66FF33"/>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850" w:type="dxa"/>
            <w:shd w:val="clear" w:color="auto" w:fill="auto"/>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16.7%</w:t>
            </w:r>
          </w:p>
        </w:tc>
      </w:tr>
      <w:tr w:rsidR="00244954" w:rsidRPr="005A2921" w:rsidTr="005A2921">
        <w:tc>
          <w:tcPr>
            <w:tcW w:w="2977"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 xml:space="preserve">IAPT </w:t>
            </w:r>
          </w:p>
        </w:tc>
        <w:tc>
          <w:tcPr>
            <w:tcW w:w="567" w:type="dxa"/>
            <w:shd w:val="clear" w:color="auto" w:fill="FF0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w:t>
            </w:r>
          </w:p>
        </w:tc>
        <w:tc>
          <w:tcPr>
            <w:tcW w:w="709" w:type="dxa"/>
            <w:shd w:val="clear" w:color="auto" w:fill="FFC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w:t>
            </w:r>
          </w:p>
        </w:tc>
        <w:tc>
          <w:tcPr>
            <w:tcW w:w="567" w:type="dxa"/>
            <w:shd w:val="clear" w:color="auto" w:fill="FFFF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567" w:type="dxa"/>
            <w:shd w:val="clear" w:color="auto" w:fill="92D05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7</w:t>
            </w:r>
          </w:p>
        </w:tc>
        <w:tc>
          <w:tcPr>
            <w:tcW w:w="709" w:type="dxa"/>
            <w:shd w:val="clear" w:color="auto" w:fill="66FF33"/>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w:t>
            </w:r>
          </w:p>
        </w:tc>
        <w:tc>
          <w:tcPr>
            <w:tcW w:w="850" w:type="dxa"/>
            <w:shd w:val="clear" w:color="auto" w:fill="auto"/>
          </w:tcPr>
          <w:p w:rsidR="005A2921" w:rsidRPr="005A2921" w:rsidRDefault="005A2921" w:rsidP="005A2921">
            <w:pPr>
              <w:rPr>
                <w:rFonts w:ascii="Segoe UI" w:hAnsi="Segoe UI" w:cs="Segoe UI"/>
                <w:sz w:val="20"/>
                <w:szCs w:val="20"/>
              </w:rPr>
            </w:pPr>
            <w:r w:rsidRPr="005A2921">
              <w:rPr>
                <w:rFonts w:ascii="Segoe UI" w:hAnsi="Segoe UI" w:cs="Segoe UI"/>
                <w:sz w:val="20"/>
                <w:szCs w:val="20"/>
              </w:rPr>
              <w:t>66.7%</w:t>
            </w:r>
          </w:p>
        </w:tc>
      </w:tr>
      <w:tr w:rsidR="00244954" w:rsidRPr="005A2921" w:rsidTr="005A2921">
        <w:tc>
          <w:tcPr>
            <w:tcW w:w="2977"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Wellbeing Service</w:t>
            </w:r>
          </w:p>
        </w:tc>
        <w:tc>
          <w:tcPr>
            <w:tcW w:w="567" w:type="dxa"/>
            <w:shd w:val="clear" w:color="auto" w:fill="FF0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2</w:t>
            </w:r>
          </w:p>
        </w:tc>
        <w:tc>
          <w:tcPr>
            <w:tcW w:w="709" w:type="dxa"/>
            <w:shd w:val="clear" w:color="auto" w:fill="FFC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2</w:t>
            </w:r>
          </w:p>
        </w:tc>
        <w:tc>
          <w:tcPr>
            <w:tcW w:w="567" w:type="dxa"/>
            <w:shd w:val="clear" w:color="auto" w:fill="FFFF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567" w:type="dxa"/>
            <w:shd w:val="clear" w:color="auto" w:fill="92D05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7</w:t>
            </w:r>
          </w:p>
        </w:tc>
        <w:tc>
          <w:tcPr>
            <w:tcW w:w="709" w:type="dxa"/>
            <w:shd w:val="clear" w:color="auto" w:fill="66FF33"/>
          </w:tcPr>
          <w:p w:rsidR="005A2921" w:rsidRPr="005A2921" w:rsidRDefault="005A2921" w:rsidP="005A2921">
            <w:pPr>
              <w:rPr>
                <w:rFonts w:ascii="Segoe UI" w:hAnsi="Segoe UI" w:cs="Segoe UI"/>
                <w:sz w:val="20"/>
                <w:szCs w:val="20"/>
              </w:rPr>
            </w:pPr>
            <w:r w:rsidRPr="005A2921">
              <w:rPr>
                <w:rFonts w:ascii="Segoe UI" w:hAnsi="Segoe UI" w:cs="Segoe UI"/>
                <w:sz w:val="20"/>
                <w:szCs w:val="20"/>
              </w:rPr>
              <w:t>3</w:t>
            </w:r>
          </w:p>
        </w:tc>
        <w:tc>
          <w:tcPr>
            <w:tcW w:w="850" w:type="dxa"/>
            <w:shd w:val="clear" w:color="auto" w:fill="auto"/>
          </w:tcPr>
          <w:p w:rsidR="005A2921" w:rsidRPr="005A2921" w:rsidRDefault="005A2921" w:rsidP="005A2921">
            <w:pPr>
              <w:rPr>
                <w:rFonts w:ascii="Segoe UI" w:hAnsi="Segoe UI" w:cs="Segoe UI"/>
                <w:sz w:val="20"/>
                <w:szCs w:val="20"/>
              </w:rPr>
            </w:pPr>
            <w:r w:rsidRPr="005A2921">
              <w:rPr>
                <w:rFonts w:ascii="Segoe UI" w:hAnsi="Segoe UI" w:cs="Segoe UI"/>
                <w:sz w:val="20"/>
                <w:szCs w:val="20"/>
              </w:rPr>
              <w:t>71.4%</w:t>
            </w:r>
          </w:p>
        </w:tc>
      </w:tr>
    </w:tbl>
    <w:p w:rsidR="005A2921" w:rsidRPr="00244954" w:rsidRDefault="005A2921" w:rsidP="0090540B">
      <w:pPr>
        <w:rPr>
          <w:rFonts w:ascii="Segoe UI" w:hAnsi="Segoe UI" w:cs="Segoe UI"/>
          <w:sz w:val="20"/>
          <w:szCs w:val="20"/>
        </w:rPr>
      </w:pPr>
    </w:p>
    <w:tbl>
      <w:tblPr>
        <w:tblStyle w:val="TableGrid16"/>
        <w:tblW w:w="6946" w:type="dxa"/>
        <w:tblInd w:w="108" w:type="dxa"/>
        <w:tblLayout w:type="fixed"/>
        <w:tblLook w:val="04A0" w:firstRow="1" w:lastRow="0" w:firstColumn="1" w:lastColumn="0" w:noHBand="0" w:noVBand="1"/>
      </w:tblPr>
      <w:tblGrid>
        <w:gridCol w:w="2977"/>
        <w:gridCol w:w="567"/>
        <w:gridCol w:w="709"/>
        <w:gridCol w:w="567"/>
        <w:gridCol w:w="567"/>
        <w:gridCol w:w="709"/>
        <w:gridCol w:w="850"/>
      </w:tblGrid>
      <w:tr w:rsidR="005A2921" w:rsidRPr="005A2921" w:rsidTr="005A2921">
        <w:tc>
          <w:tcPr>
            <w:tcW w:w="6096" w:type="dxa"/>
            <w:gridSpan w:val="6"/>
          </w:tcPr>
          <w:p w:rsidR="005A2921" w:rsidRPr="005A2921" w:rsidRDefault="005A2921" w:rsidP="005A2921">
            <w:pPr>
              <w:rPr>
                <w:rFonts w:ascii="Segoe UI" w:hAnsi="Segoe UI" w:cs="Segoe UI"/>
                <w:b/>
                <w:sz w:val="20"/>
                <w:szCs w:val="20"/>
              </w:rPr>
            </w:pPr>
            <w:r w:rsidRPr="005A2921">
              <w:rPr>
                <w:rFonts w:ascii="Segoe UI" w:hAnsi="Segoe UI" w:cs="Segoe UI"/>
                <w:b/>
                <w:sz w:val="20"/>
                <w:szCs w:val="20"/>
              </w:rPr>
              <w:t xml:space="preserve">Buckinghamshire </w:t>
            </w:r>
          </w:p>
        </w:tc>
        <w:tc>
          <w:tcPr>
            <w:tcW w:w="850"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 met</w:t>
            </w:r>
          </w:p>
        </w:tc>
      </w:tr>
      <w:tr w:rsidR="00244954" w:rsidRPr="005A2921" w:rsidTr="005A2921">
        <w:tc>
          <w:tcPr>
            <w:tcW w:w="2977"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 xml:space="preserve">Aylesbury </w:t>
            </w:r>
          </w:p>
        </w:tc>
        <w:tc>
          <w:tcPr>
            <w:tcW w:w="567" w:type="dxa"/>
            <w:shd w:val="clear" w:color="auto" w:fill="FF0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4</w:t>
            </w:r>
          </w:p>
        </w:tc>
        <w:tc>
          <w:tcPr>
            <w:tcW w:w="709" w:type="dxa"/>
            <w:shd w:val="clear" w:color="auto" w:fill="FFC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567" w:type="dxa"/>
            <w:shd w:val="clear" w:color="auto" w:fill="FFFF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3</w:t>
            </w:r>
          </w:p>
        </w:tc>
        <w:tc>
          <w:tcPr>
            <w:tcW w:w="567" w:type="dxa"/>
            <w:shd w:val="clear" w:color="auto" w:fill="92D05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5</w:t>
            </w:r>
          </w:p>
        </w:tc>
        <w:tc>
          <w:tcPr>
            <w:tcW w:w="709" w:type="dxa"/>
            <w:shd w:val="clear" w:color="auto" w:fill="66FF33"/>
          </w:tcPr>
          <w:p w:rsidR="005A2921" w:rsidRPr="005A2921" w:rsidRDefault="005A2921" w:rsidP="005A2921">
            <w:pPr>
              <w:rPr>
                <w:rFonts w:ascii="Segoe UI" w:hAnsi="Segoe UI" w:cs="Segoe UI"/>
                <w:sz w:val="20"/>
                <w:szCs w:val="20"/>
              </w:rPr>
            </w:pPr>
            <w:r w:rsidRPr="005A2921">
              <w:rPr>
                <w:rFonts w:ascii="Segoe UI" w:hAnsi="Segoe UI" w:cs="Segoe UI"/>
                <w:sz w:val="20"/>
                <w:szCs w:val="20"/>
              </w:rPr>
              <w:t>2</w:t>
            </w:r>
          </w:p>
        </w:tc>
        <w:tc>
          <w:tcPr>
            <w:tcW w:w="850" w:type="dxa"/>
            <w:shd w:val="clear" w:color="auto" w:fill="auto"/>
          </w:tcPr>
          <w:p w:rsidR="005A2921" w:rsidRPr="005A2921" w:rsidRDefault="005A2921" w:rsidP="005A2921">
            <w:pPr>
              <w:rPr>
                <w:rFonts w:ascii="Segoe UI" w:hAnsi="Segoe UI" w:cs="Segoe UI"/>
                <w:sz w:val="20"/>
                <w:szCs w:val="20"/>
              </w:rPr>
            </w:pPr>
            <w:r w:rsidRPr="005A2921">
              <w:rPr>
                <w:rFonts w:ascii="Segoe UI" w:hAnsi="Segoe UI" w:cs="Segoe UI"/>
                <w:sz w:val="20"/>
                <w:szCs w:val="20"/>
              </w:rPr>
              <w:t>50%</w:t>
            </w:r>
          </w:p>
        </w:tc>
      </w:tr>
      <w:tr w:rsidR="00244954" w:rsidRPr="005A2921" w:rsidTr="005A2921">
        <w:trPr>
          <w:trHeight w:val="255"/>
        </w:trPr>
        <w:tc>
          <w:tcPr>
            <w:tcW w:w="2977"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 xml:space="preserve">Chiltern </w:t>
            </w:r>
          </w:p>
        </w:tc>
        <w:tc>
          <w:tcPr>
            <w:tcW w:w="567" w:type="dxa"/>
            <w:shd w:val="clear" w:color="auto" w:fill="FF0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4</w:t>
            </w:r>
          </w:p>
        </w:tc>
        <w:tc>
          <w:tcPr>
            <w:tcW w:w="709" w:type="dxa"/>
            <w:shd w:val="clear" w:color="auto" w:fill="FFC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2</w:t>
            </w:r>
          </w:p>
        </w:tc>
        <w:tc>
          <w:tcPr>
            <w:tcW w:w="567" w:type="dxa"/>
            <w:shd w:val="clear" w:color="auto" w:fill="FFFF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2</w:t>
            </w:r>
          </w:p>
        </w:tc>
        <w:tc>
          <w:tcPr>
            <w:tcW w:w="567" w:type="dxa"/>
            <w:shd w:val="clear" w:color="auto" w:fill="92D05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5</w:t>
            </w:r>
          </w:p>
        </w:tc>
        <w:tc>
          <w:tcPr>
            <w:tcW w:w="709" w:type="dxa"/>
            <w:shd w:val="clear" w:color="auto" w:fill="66FF33"/>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w:t>
            </w:r>
          </w:p>
        </w:tc>
        <w:tc>
          <w:tcPr>
            <w:tcW w:w="850" w:type="dxa"/>
            <w:shd w:val="clear" w:color="auto" w:fill="auto"/>
          </w:tcPr>
          <w:p w:rsidR="005A2921" w:rsidRPr="005A2921" w:rsidRDefault="005A2921" w:rsidP="005A2921">
            <w:pPr>
              <w:rPr>
                <w:rFonts w:ascii="Segoe UI" w:hAnsi="Segoe UI" w:cs="Segoe UI"/>
                <w:sz w:val="20"/>
                <w:szCs w:val="20"/>
              </w:rPr>
            </w:pPr>
            <w:r w:rsidRPr="005A2921">
              <w:rPr>
                <w:rFonts w:ascii="Segoe UI" w:hAnsi="Segoe UI" w:cs="Segoe UI"/>
                <w:sz w:val="20"/>
                <w:szCs w:val="20"/>
              </w:rPr>
              <w:t>42.8%</w:t>
            </w:r>
          </w:p>
        </w:tc>
      </w:tr>
      <w:tr w:rsidR="00244954" w:rsidRPr="005A2921" w:rsidTr="005A2921">
        <w:trPr>
          <w:trHeight w:val="255"/>
        </w:trPr>
        <w:tc>
          <w:tcPr>
            <w:tcW w:w="2977"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 xml:space="preserve">IAPT </w:t>
            </w:r>
          </w:p>
        </w:tc>
        <w:tc>
          <w:tcPr>
            <w:tcW w:w="567" w:type="dxa"/>
            <w:shd w:val="clear" w:color="auto" w:fill="FF0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709" w:type="dxa"/>
            <w:shd w:val="clear" w:color="auto" w:fill="FFC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567" w:type="dxa"/>
            <w:shd w:val="clear" w:color="auto" w:fill="FFFF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567" w:type="dxa"/>
            <w:shd w:val="clear" w:color="auto" w:fill="92D05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4</w:t>
            </w:r>
          </w:p>
        </w:tc>
        <w:tc>
          <w:tcPr>
            <w:tcW w:w="709" w:type="dxa"/>
            <w:shd w:val="clear" w:color="auto" w:fill="66FF33"/>
          </w:tcPr>
          <w:p w:rsidR="005A2921" w:rsidRPr="005A2921" w:rsidRDefault="005A2921" w:rsidP="005A2921">
            <w:pPr>
              <w:rPr>
                <w:rFonts w:ascii="Segoe UI" w:hAnsi="Segoe UI" w:cs="Segoe UI"/>
                <w:sz w:val="20"/>
                <w:szCs w:val="20"/>
              </w:rPr>
            </w:pPr>
            <w:r w:rsidRPr="005A2921">
              <w:rPr>
                <w:rFonts w:ascii="Segoe UI" w:hAnsi="Segoe UI" w:cs="Segoe UI"/>
                <w:sz w:val="20"/>
                <w:szCs w:val="20"/>
              </w:rPr>
              <w:t>4</w:t>
            </w:r>
          </w:p>
        </w:tc>
        <w:tc>
          <w:tcPr>
            <w:tcW w:w="850" w:type="dxa"/>
            <w:shd w:val="clear" w:color="auto" w:fill="auto"/>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100%</w:t>
            </w:r>
          </w:p>
        </w:tc>
      </w:tr>
    </w:tbl>
    <w:p w:rsidR="005A2921" w:rsidRPr="00244954" w:rsidRDefault="005A2921" w:rsidP="0090540B">
      <w:pPr>
        <w:rPr>
          <w:rFonts w:ascii="Segoe UI" w:hAnsi="Segoe UI" w:cs="Segoe UI"/>
          <w:sz w:val="20"/>
          <w:szCs w:val="20"/>
        </w:rPr>
      </w:pPr>
    </w:p>
    <w:tbl>
      <w:tblPr>
        <w:tblStyle w:val="TableGrid112"/>
        <w:tblW w:w="6946" w:type="dxa"/>
        <w:tblInd w:w="108" w:type="dxa"/>
        <w:tblLayout w:type="fixed"/>
        <w:tblLook w:val="04A0" w:firstRow="1" w:lastRow="0" w:firstColumn="1" w:lastColumn="0" w:noHBand="0" w:noVBand="1"/>
      </w:tblPr>
      <w:tblGrid>
        <w:gridCol w:w="2977"/>
        <w:gridCol w:w="567"/>
        <w:gridCol w:w="709"/>
        <w:gridCol w:w="567"/>
        <w:gridCol w:w="567"/>
        <w:gridCol w:w="709"/>
        <w:gridCol w:w="850"/>
      </w:tblGrid>
      <w:tr w:rsidR="005A2921" w:rsidRPr="005A2921" w:rsidTr="005A2921">
        <w:tc>
          <w:tcPr>
            <w:tcW w:w="6096" w:type="dxa"/>
            <w:gridSpan w:val="6"/>
          </w:tcPr>
          <w:p w:rsidR="005A2921" w:rsidRPr="005A2921" w:rsidRDefault="005A2921" w:rsidP="005A2921">
            <w:pPr>
              <w:rPr>
                <w:rFonts w:ascii="Segoe UI" w:hAnsi="Segoe UI" w:cs="Segoe UI"/>
                <w:b/>
                <w:sz w:val="20"/>
                <w:szCs w:val="20"/>
              </w:rPr>
            </w:pPr>
            <w:r w:rsidRPr="005A2921">
              <w:rPr>
                <w:rFonts w:ascii="Segoe UI" w:hAnsi="Segoe UI" w:cs="Segoe UI"/>
                <w:b/>
                <w:sz w:val="20"/>
                <w:szCs w:val="20"/>
              </w:rPr>
              <w:t>Forensic Service</w:t>
            </w:r>
          </w:p>
        </w:tc>
        <w:tc>
          <w:tcPr>
            <w:tcW w:w="850"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 met</w:t>
            </w:r>
          </w:p>
        </w:tc>
      </w:tr>
      <w:tr w:rsidR="00244954" w:rsidRPr="005A2921" w:rsidTr="005A2921">
        <w:tc>
          <w:tcPr>
            <w:tcW w:w="2977"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LSU Schedule 4</w:t>
            </w:r>
          </w:p>
        </w:tc>
        <w:tc>
          <w:tcPr>
            <w:tcW w:w="567" w:type="dxa"/>
            <w:shd w:val="clear" w:color="auto" w:fill="FF0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2</w:t>
            </w:r>
          </w:p>
        </w:tc>
        <w:tc>
          <w:tcPr>
            <w:tcW w:w="709" w:type="dxa"/>
            <w:shd w:val="clear" w:color="auto" w:fill="FFC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w:t>
            </w:r>
          </w:p>
        </w:tc>
        <w:tc>
          <w:tcPr>
            <w:tcW w:w="567" w:type="dxa"/>
            <w:shd w:val="clear" w:color="auto" w:fill="FFFF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567" w:type="dxa"/>
            <w:shd w:val="clear" w:color="auto" w:fill="92D05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13</w:t>
            </w:r>
          </w:p>
        </w:tc>
        <w:tc>
          <w:tcPr>
            <w:tcW w:w="709" w:type="dxa"/>
            <w:shd w:val="clear" w:color="auto" w:fill="66FF33"/>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850" w:type="dxa"/>
            <w:shd w:val="clear" w:color="auto" w:fill="auto"/>
          </w:tcPr>
          <w:p w:rsidR="005A2921" w:rsidRPr="005A2921" w:rsidRDefault="005A2921" w:rsidP="005A2921">
            <w:pPr>
              <w:rPr>
                <w:rFonts w:ascii="Segoe UI" w:hAnsi="Segoe UI" w:cs="Segoe UI"/>
                <w:sz w:val="20"/>
                <w:szCs w:val="20"/>
              </w:rPr>
            </w:pPr>
            <w:r w:rsidRPr="005A2921">
              <w:rPr>
                <w:rFonts w:ascii="Segoe UI" w:hAnsi="Segoe UI" w:cs="Segoe UI"/>
                <w:sz w:val="20"/>
                <w:szCs w:val="20"/>
              </w:rPr>
              <w:t>81.3%</w:t>
            </w:r>
          </w:p>
        </w:tc>
      </w:tr>
      <w:tr w:rsidR="00244954" w:rsidRPr="005A2921" w:rsidTr="005A2921">
        <w:tc>
          <w:tcPr>
            <w:tcW w:w="2977" w:type="dxa"/>
          </w:tcPr>
          <w:p w:rsidR="005A2921" w:rsidRPr="005A2921" w:rsidRDefault="005A2921" w:rsidP="005A2921">
            <w:pPr>
              <w:rPr>
                <w:rFonts w:ascii="Segoe UI" w:hAnsi="Segoe UI" w:cs="Segoe UI"/>
                <w:sz w:val="20"/>
                <w:szCs w:val="20"/>
              </w:rPr>
            </w:pPr>
            <w:r w:rsidRPr="005A2921">
              <w:rPr>
                <w:rFonts w:ascii="Segoe UI" w:hAnsi="Segoe UI" w:cs="Segoe UI"/>
                <w:sz w:val="20"/>
                <w:szCs w:val="20"/>
              </w:rPr>
              <w:t>MSU Schedule 4</w:t>
            </w:r>
          </w:p>
        </w:tc>
        <w:tc>
          <w:tcPr>
            <w:tcW w:w="567" w:type="dxa"/>
            <w:shd w:val="clear" w:color="auto" w:fill="FF0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2</w:t>
            </w:r>
          </w:p>
        </w:tc>
        <w:tc>
          <w:tcPr>
            <w:tcW w:w="709" w:type="dxa"/>
            <w:shd w:val="clear" w:color="auto" w:fill="FFC0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w:t>
            </w:r>
          </w:p>
        </w:tc>
        <w:tc>
          <w:tcPr>
            <w:tcW w:w="567" w:type="dxa"/>
            <w:shd w:val="clear" w:color="auto" w:fill="FFFF0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567" w:type="dxa"/>
            <w:shd w:val="clear" w:color="auto" w:fill="92D050"/>
          </w:tcPr>
          <w:p w:rsidR="005A2921" w:rsidRPr="005A2921" w:rsidRDefault="005A2921" w:rsidP="005A2921">
            <w:pPr>
              <w:rPr>
                <w:rFonts w:ascii="Segoe UI" w:hAnsi="Segoe UI" w:cs="Segoe UI"/>
                <w:sz w:val="20"/>
                <w:szCs w:val="20"/>
              </w:rPr>
            </w:pPr>
            <w:r w:rsidRPr="005A2921">
              <w:rPr>
                <w:rFonts w:ascii="Segoe UI" w:hAnsi="Segoe UI" w:cs="Segoe UI"/>
                <w:sz w:val="20"/>
                <w:szCs w:val="20"/>
              </w:rPr>
              <w:t>13</w:t>
            </w:r>
          </w:p>
        </w:tc>
        <w:tc>
          <w:tcPr>
            <w:tcW w:w="709" w:type="dxa"/>
            <w:shd w:val="clear" w:color="auto" w:fill="66FF33"/>
          </w:tcPr>
          <w:p w:rsidR="005A2921" w:rsidRPr="005A2921" w:rsidRDefault="005A2921" w:rsidP="005A2921">
            <w:pPr>
              <w:rPr>
                <w:rFonts w:ascii="Segoe UI" w:hAnsi="Segoe UI" w:cs="Segoe UI"/>
                <w:sz w:val="20"/>
                <w:szCs w:val="20"/>
              </w:rPr>
            </w:pPr>
            <w:r w:rsidRPr="005A2921">
              <w:rPr>
                <w:rFonts w:ascii="Segoe UI" w:hAnsi="Segoe UI" w:cs="Segoe UI"/>
                <w:sz w:val="20"/>
                <w:szCs w:val="20"/>
              </w:rPr>
              <w:t>0</w:t>
            </w:r>
          </w:p>
        </w:tc>
        <w:tc>
          <w:tcPr>
            <w:tcW w:w="850" w:type="dxa"/>
            <w:shd w:val="clear" w:color="auto" w:fill="auto"/>
          </w:tcPr>
          <w:p w:rsidR="005A2921" w:rsidRPr="005A2921" w:rsidRDefault="005A2921" w:rsidP="005A2921">
            <w:pPr>
              <w:rPr>
                <w:rFonts w:ascii="Segoe UI" w:hAnsi="Segoe UI" w:cs="Segoe UI"/>
                <w:sz w:val="20"/>
                <w:szCs w:val="20"/>
              </w:rPr>
            </w:pPr>
            <w:r w:rsidRPr="005A2921">
              <w:rPr>
                <w:rFonts w:ascii="Segoe UI" w:hAnsi="Segoe UI" w:cs="Segoe UI"/>
                <w:sz w:val="20"/>
                <w:szCs w:val="20"/>
              </w:rPr>
              <w:t>81.3%</w:t>
            </w:r>
          </w:p>
        </w:tc>
      </w:tr>
    </w:tbl>
    <w:p w:rsidR="0090540B" w:rsidRPr="0090540B" w:rsidRDefault="0090540B" w:rsidP="0090540B">
      <w:pPr>
        <w:rPr>
          <w:rFonts w:ascii="Segoe UI" w:hAnsi="Segoe UI" w:cs="Segoe UI"/>
          <w:sz w:val="22"/>
        </w:rPr>
      </w:pPr>
    </w:p>
    <w:p w:rsidR="005A2921" w:rsidRDefault="005A2921" w:rsidP="0090540B">
      <w:pPr>
        <w:rPr>
          <w:rFonts w:ascii="Segoe UI" w:hAnsi="Segoe UI" w:cs="Segoe UI"/>
          <w:sz w:val="22"/>
        </w:rPr>
        <w:sectPr w:rsidR="005A2921" w:rsidSect="00BC1443">
          <w:type w:val="continuous"/>
          <w:pgSz w:w="16838" w:h="11906" w:orient="landscape"/>
          <w:pgMar w:top="709" w:right="1245" w:bottom="567" w:left="1134" w:header="708" w:footer="221" w:gutter="0"/>
          <w:cols w:num="2" w:space="851"/>
          <w:docGrid w:linePitch="360"/>
        </w:sectPr>
      </w:pPr>
    </w:p>
    <w:tbl>
      <w:tblPr>
        <w:tblStyle w:val="TableGrid"/>
        <w:tblW w:w="0" w:type="auto"/>
        <w:tblInd w:w="-176"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26"/>
        <w:gridCol w:w="3969"/>
      </w:tblGrid>
      <w:tr w:rsidR="00BC1443" w:rsidTr="00244954">
        <w:tc>
          <w:tcPr>
            <w:tcW w:w="426" w:type="dxa"/>
            <w:shd w:val="clear" w:color="auto" w:fill="FF0000"/>
          </w:tcPr>
          <w:p w:rsidR="00BC1443" w:rsidRPr="0096419E" w:rsidRDefault="00BC1443" w:rsidP="004D19A3">
            <w:pPr>
              <w:rPr>
                <w:rFonts w:ascii="Segoe UI" w:hAnsi="Segoe UI" w:cs="Segoe UI"/>
                <w:b/>
              </w:rPr>
            </w:pPr>
            <w:r>
              <w:rPr>
                <w:rFonts w:ascii="Segoe UI" w:hAnsi="Segoe UI" w:cs="Segoe UI"/>
                <w:b/>
              </w:rPr>
              <w:t>R</w:t>
            </w:r>
          </w:p>
        </w:tc>
        <w:tc>
          <w:tcPr>
            <w:tcW w:w="3969" w:type="dxa"/>
            <w:shd w:val="clear" w:color="auto" w:fill="auto"/>
          </w:tcPr>
          <w:p w:rsidR="007A37C3" w:rsidRPr="00BA26C9" w:rsidRDefault="00BC1443" w:rsidP="004D19A3">
            <w:pPr>
              <w:rPr>
                <w:rFonts w:ascii="Segoe UI" w:hAnsi="Segoe UI" w:cs="Segoe UI"/>
                <w:b/>
              </w:rPr>
            </w:pPr>
            <w:r>
              <w:rPr>
                <w:rFonts w:ascii="Segoe UI" w:hAnsi="Segoe UI" w:cs="Segoe UI"/>
                <w:b/>
              </w:rPr>
              <w:t>Red Indicators</w:t>
            </w:r>
          </w:p>
        </w:tc>
      </w:tr>
    </w:tbl>
    <w:p w:rsidR="005A2921" w:rsidRDefault="005A2921" w:rsidP="0090540B">
      <w:pPr>
        <w:spacing w:after="200" w:line="276" w:lineRule="auto"/>
        <w:rPr>
          <w:rFonts w:ascii="Segoe UI" w:hAnsi="Segoe UI" w:cs="Segoe UI"/>
          <w:b/>
          <w:sz w:val="22"/>
          <w:szCs w:val="22"/>
        </w:rPr>
        <w:sectPr w:rsidR="005A2921" w:rsidSect="005A2921">
          <w:type w:val="continuous"/>
          <w:pgSz w:w="16838" w:h="11906" w:orient="landscape"/>
          <w:pgMar w:top="709" w:right="1245" w:bottom="567" w:left="1134" w:header="708" w:footer="221" w:gutter="0"/>
          <w:cols w:space="851"/>
          <w:docGrid w:linePitch="360"/>
        </w:sectPr>
      </w:pPr>
    </w:p>
    <w:p w:rsidR="0090540B" w:rsidRDefault="0090540B" w:rsidP="007A37C3">
      <w:pPr>
        <w:rPr>
          <w:rFonts w:ascii="Segoe UI" w:hAnsi="Segoe UI" w:cs="Segoe UI"/>
          <w:b/>
          <w:sz w:val="22"/>
          <w:szCs w:val="22"/>
        </w:rPr>
      </w:pPr>
    </w:p>
    <w:tbl>
      <w:tblPr>
        <w:tblStyle w:val="TableGrid22"/>
        <w:tblW w:w="15168" w:type="dxa"/>
        <w:tblInd w:w="-176" w:type="dxa"/>
        <w:tblLayout w:type="fixed"/>
        <w:tblLook w:val="04A0" w:firstRow="1" w:lastRow="0" w:firstColumn="1" w:lastColumn="0" w:noHBand="0" w:noVBand="1"/>
      </w:tblPr>
      <w:tblGrid>
        <w:gridCol w:w="1277"/>
        <w:gridCol w:w="708"/>
        <w:gridCol w:w="1843"/>
        <w:gridCol w:w="851"/>
        <w:gridCol w:w="850"/>
        <w:gridCol w:w="3827"/>
        <w:gridCol w:w="1701"/>
        <w:gridCol w:w="4111"/>
      </w:tblGrid>
      <w:tr w:rsidR="007A37C3" w:rsidRPr="005A2921" w:rsidTr="00C36D71">
        <w:trPr>
          <w:tblHeader/>
        </w:trPr>
        <w:tc>
          <w:tcPr>
            <w:tcW w:w="1277" w:type="dxa"/>
            <w:shd w:val="clear" w:color="auto" w:fill="548DD4" w:themeFill="text2" w:themeFillTint="99"/>
          </w:tcPr>
          <w:p w:rsidR="007A37C3" w:rsidRPr="005A2921" w:rsidRDefault="007A37C3" w:rsidP="00C36D71">
            <w:pPr>
              <w:spacing w:before="40" w:after="40"/>
              <w:rPr>
                <w:rFonts w:ascii="Segoe UI" w:hAnsi="Segoe UI" w:cs="Segoe UI"/>
                <w:b/>
                <w:color w:val="FFFFFF" w:themeColor="background1"/>
                <w:sz w:val="20"/>
                <w:szCs w:val="22"/>
              </w:rPr>
            </w:pPr>
            <w:r w:rsidRPr="005A2921">
              <w:rPr>
                <w:rFonts w:ascii="Segoe UI" w:hAnsi="Segoe UI" w:cs="Segoe UI"/>
                <w:b/>
                <w:color w:val="FFFFFF" w:themeColor="background1"/>
                <w:sz w:val="20"/>
                <w:szCs w:val="22"/>
              </w:rPr>
              <w:t xml:space="preserve">Contract </w:t>
            </w:r>
          </w:p>
        </w:tc>
        <w:tc>
          <w:tcPr>
            <w:tcW w:w="708" w:type="dxa"/>
            <w:shd w:val="clear" w:color="auto" w:fill="548DD4" w:themeFill="text2" w:themeFillTint="99"/>
          </w:tcPr>
          <w:p w:rsidR="007A37C3" w:rsidRPr="005A2921" w:rsidRDefault="007A37C3" w:rsidP="00C36D71">
            <w:pPr>
              <w:spacing w:before="40" w:after="40"/>
              <w:rPr>
                <w:rFonts w:ascii="Segoe UI" w:hAnsi="Segoe UI" w:cs="Segoe UI"/>
                <w:b/>
                <w:color w:val="FFFFFF" w:themeColor="background1"/>
                <w:sz w:val="20"/>
                <w:szCs w:val="22"/>
              </w:rPr>
            </w:pPr>
            <w:r w:rsidRPr="005A2921">
              <w:rPr>
                <w:rFonts w:ascii="Segoe UI" w:hAnsi="Segoe UI" w:cs="Segoe UI"/>
                <w:b/>
                <w:color w:val="FFFFFF" w:themeColor="background1"/>
                <w:sz w:val="20"/>
                <w:szCs w:val="22"/>
              </w:rPr>
              <w:t>Ref</w:t>
            </w:r>
          </w:p>
        </w:tc>
        <w:tc>
          <w:tcPr>
            <w:tcW w:w="1843" w:type="dxa"/>
            <w:shd w:val="clear" w:color="auto" w:fill="548DD4" w:themeFill="text2" w:themeFillTint="99"/>
          </w:tcPr>
          <w:p w:rsidR="007A37C3" w:rsidRPr="005A2921" w:rsidRDefault="007A37C3" w:rsidP="00C36D71">
            <w:pPr>
              <w:spacing w:before="40" w:after="40"/>
              <w:rPr>
                <w:rFonts w:ascii="Segoe UI" w:hAnsi="Segoe UI" w:cs="Segoe UI"/>
                <w:b/>
                <w:color w:val="FFFFFF" w:themeColor="background1"/>
                <w:sz w:val="20"/>
                <w:szCs w:val="22"/>
              </w:rPr>
            </w:pPr>
            <w:r w:rsidRPr="005A2921">
              <w:rPr>
                <w:rFonts w:ascii="Segoe UI" w:hAnsi="Segoe UI" w:cs="Segoe UI"/>
                <w:b/>
                <w:color w:val="FFFFFF" w:themeColor="background1"/>
                <w:sz w:val="20"/>
                <w:szCs w:val="22"/>
              </w:rPr>
              <w:t>Measure</w:t>
            </w:r>
          </w:p>
        </w:tc>
        <w:tc>
          <w:tcPr>
            <w:tcW w:w="851" w:type="dxa"/>
            <w:shd w:val="clear" w:color="auto" w:fill="548DD4" w:themeFill="text2" w:themeFillTint="99"/>
          </w:tcPr>
          <w:p w:rsidR="007A37C3" w:rsidRPr="005A2921" w:rsidRDefault="007A37C3" w:rsidP="00C36D71">
            <w:pPr>
              <w:spacing w:before="40" w:after="40"/>
              <w:jc w:val="center"/>
              <w:rPr>
                <w:rFonts w:ascii="Segoe UI" w:hAnsi="Segoe UI" w:cs="Segoe UI"/>
                <w:b/>
                <w:color w:val="FFFFFF" w:themeColor="background1"/>
                <w:sz w:val="20"/>
                <w:szCs w:val="22"/>
              </w:rPr>
            </w:pPr>
            <w:r w:rsidRPr="005A2921">
              <w:rPr>
                <w:rFonts w:ascii="Segoe UI" w:hAnsi="Segoe UI" w:cs="Segoe UI"/>
                <w:b/>
                <w:color w:val="FFFFFF" w:themeColor="background1"/>
                <w:sz w:val="20"/>
                <w:szCs w:val="22"/>
              </w:rPr>
              <w:t>Target</w:t>
            </w:r>
          </w:p>
        </w:tc>
        <w:tc>
          <w:tcPr>
            <w:tcW w:w="850" w:type="dxa"/>
            <w:shd w:val="clear" w:color="auto" w:fill="548DD4" w:themeFill="text2" w:themeFillTint="99"/>
          </w:tcPr>
          <w:p w:rsidR="007A37C3" w:rsidRPr="005A2921" w:rsidRDefault="007A37C3" w:rsidP="00C36D71">
            <w:pPr>
              <w:spacing w:before="40" w:after="40"/>
              <w:jc w:val="center"/>
              <w:rPr>
                <w:rFonts w:ascii="Segoe UI" w:hAnsi="Segoe UI" w:cs="Segoe UI"/>
                <w:b/>
                <w:color w:val="FFFFFF" w:themeColor="background1"/>
                <w:sz w:val="20"/>
                <w:szCs w:val="22"/>
              </w:rPr>
            </w:pPr>
            <w:r w:rsidRPr="005A2921">
              <w:rPr>
                <w:rFonts w:ascii="Segoe UI" w:hAnsi="Segoe UI" w:cs="Segoe UI"/>
                <w:b/>
                <w:color w:val="FFFFFF" w:themeColor="background1"/>
                <w:sz w:val="20"/>
                <w:szCs w:val="22"/>
              </w:rPr>
              <w:t>Actual</w:t>
            </w:r>
          </w:p>
        </w:tc>
        <w:tc>
          <w:tcPr>
            <w:tcW w:w="3827" w:type="dxa"/>
            <w:shd w:val="clear" w:color="auto" w:fill="548DD4" w:themeFill="text2" w:themeFillTint="99"/>
          </w:tcPr>
          <w:p w:rsidR="007A37C3" w:rsidRPr="005A2921" w:rsidRDefault="007A37C3" w:rsidP="00C36D71">
            <w:pPr>
              <w:spacing w:before="40" w:after="40"/>
              <w:jc w:val="center"/>
              <w:rPr>
                <w:rFonts w:ascii="Segoe UI" w:hAnsi="Segoe UI" w:cs="Segoe UI"/>
                <w:b/>
                <w:color w:val="FFFFFF" w:themeColor="background1"/>
                <w:sz w:val="20"/>
                <w:szCs w:val="22"/>
              </w:rPr>
            </w:pPr>
            <w:r w:rsidRPr="005A2921">
              <w:rPr>
                <w:rFonts w:ascii="Segoe UI" w:hAnsi="Segoe UI" w:cs="Segoe UI"/>
                <w:b/>
                <w:color w:val="FFFFFF" w:themeColor="background1"/>
                <w:sz w:val="20"/>
                <w:szCs w:val="22"/>
              </w:rPr>
              <w:t>Trend</w:t>
            </w:r>
          </w:p>
        </w:tc>
        <w:tc>
          <w:tcPr>
            <w:tcW w:w="1701" w:type="dxa"/>
            <w:shd w:val="clear" w:color="auto" w:fill="548DD4" w:themeFill="text2" w:themeFillTint="99"/>
          </w:tcPr>
          <w:p w:rsidR="007A37C3" w:rsidRPr="005A2921" w:rsidRDefault="007A37C3" w:rsidP="00C36D71">
            <w:pPr>
              <w:spacing w:before="40" w:after="40"/>
              <w:jc w:val="center"/>
              <w:rPr>
                <w:rFonts w:ascii="Segoe UI" w:hAnsi="Segoe UI" w:cs="Segoe UI"/>
                <w:b/>
                <w:color w:val="FFFFFF" w:themeColor="background1"/>
                <w:sz w:val="20"/>
                <w:szCs w:val="22"/>
              </w:rPr>
            </w:pPr>
            <w:r w:rsidRPr="005A2921">
              <w:rPr>
                <w:rFonts w:ascii="Segoe UI" w:hAnsi="Segoe UI" w:cs="Segoe UI"/>
                <w:b/>
                <w:color w:val="FFFFFF" w:themeColor="background1"/>
                <w:sz w:val="20"/>
                <w:szCs w:val="22"/>
              </w:rPr>
              <w:t xml:space="preserve">Impact </w:t>
            </w:r>
          </w:p>
        </w:tc>
        <w:tc>
          <w:tcPr>
            <w:tcW w:w="4111" w:type="dxa"/>
            <w:shd w:val="clear" w:color="auto" w:fill="548DD4" w:themeFill="text2" w:themeFillTint="99"/>
          </w:tcPr>
          <w:p w:rsidR="007A37C3" w:rsidRPr="005A2921" w:rsidRDefault="007A37C3" w:rsidP="00C36D71">
            <w:pPr>
              <w:spacing w:before="40" w:after="40"/>
              <w:jc w:val="center"/>
              <w:rPr>
                <w:rFonts w:ascii="Segoe UI" w:hAnsi="Segoe UI" w:cs="Segoe UI"/>
                <w:b/>
                <w:color w:val="FFFFFF" w:themeColor="background1"/>
                <w:sz w:val="20"/>
                <w:szCs w:val="22"/>
              </w:rPr>
            </w:pPr>
            <w:r w:rsidRPr="005A2921">
              <w:rPr>
                <w:rFonts w:ascii="Segoe UI" w:hAnsi="Segoe UI" w:cs="Segoe UI"/>
                <w:b/>
                <w:color w:val="FFFFFF" w:themeColor="background1"/>
                <w:sz w:val="20"/>
                <w:szCs w:val="22"/>
              </w:rPr>
              <w:t>Action and Resolution Timescale</w:t>
            </w:r>
          </w:p>
        </w:tc>
      </w:tr>
      <w:tr w:rsidR="007A37C3" w:rsidRPr="005A2921" w:rsidTr="006165CC">
        <w:trPr>
          <w:trHeight w:val="2488"/>
        </w:trPr>
        <w:tc>
          <w:tcPr>
            <w:tcW w:w="1277" w:type="dxa"/>
          </w:tcPr>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 xml:space="preserve">Oxon OBC Schedule 4 </w:t>
            </w:r>
          </w:p>
        </w:tc>
        <w:tc>
          <w:tcPr>
            <w:tcW w:w="708"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10</w:t>
            </w:r>
          </w:p>
        </w:tc>
        <w:tc>
          <w:tcPr>
            <w:tcW w:w="1843"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Oxon Adult CMHTs - Percentage of referrals categorised as non-urgent that are assessed within 28 calendar days</w:t>
            </w:r>
          </w:p>
        </w:tc>
        <w:tc>
          <w:tcPr>
            <w:tcW w:w="851" w:type="dxa"/>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95%</w:t>
            </w:r>
          </w:p>
        </w:tc>
        <w:tc>
          <w:tcPr>
            <w:tcW w:w="850" w:type="dxa"/>
            <w:shd w:val="clear" w:color="auto" w:fill="FF0000"/>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84%</w:t>
            </w:r>
          </w:p>
        </w:tc>
        <w:tc>
          <w:tcPr>
            <w:tcW w:w="3827" w:type="dxa"/>
          </w:tcPr>
          <w:p w:rsidR="007A37C3" w:rsidRPr="005A2921" w:rsidRDefault="007A37C3" w:rsidP="006165CC">
            <w:pPr>
              <w:ind w:left="-108" w:right="33"/>
              <w:rPr>
                <w:rFonts w:ascii="Segoe UI" w:hAnsi="Segoe UI" w:cs="Segoe UI"/>
                <w:color w:val="000000"/>
                <w:sz w:val="20"/>
                <w:szCs w:val="20"/>
              </w:rPr>
            </w:pPr>
            <w:r w:rsidRPr="005A2921">
              <w:rPr>
                <w:noProof/>
              </w:rPr>
              <w:drawing>
                <wp:inline distT="0" distB="0" distL="0" distR="0" wp14:anchorId="46CA9452" wp14:editId="64A8D6FE">
                  <wp:extent cx="2410691" cy="1615045"/>
                  <wp:effectExtent l="0" t="0" r="27940" b="23495"/>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c>
          <w:tcPr>
            <w:tcW w:w="1701"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Delayed delivery of care.</w:t>
            </w:r>
          </w:p>
        </w:tc>
        <w:tc>
          <w:tcPr>
            <w:tcW w:w="4111" w:type="dxa"/>
          </w:tcPr>
          <w:p w:rsidR="007A37C3" w:rsidRPr="005A2921" w:rsidRDefault="007A37C3" w:rsidP="00C36D71">
            <w:pPr>
              <w:jc w:val="both"/>
              <w:rPr>
                <w:rFonts w:ascii="Segoe UI" w:hAnsi="Segoe UI" w:cs="Segoe UI"/>
                <w:color w:val="000000"/>
                <w:sz w:val="20"/>
                <w:szCs w:val="20"/>
              </w:rPr>
            </w:pPr>
            <w:r w:rsidRPr="005A2921">
              <w:rPr>
                <w:rFonts w:ascii="Segoe UI" w:hAnsi="Segoe UI" w:cs="Segoe UI"/>
                <w:color w:val="000000"/>
                <w:sz w:val="20"/>
                <w:szCs w:val="20"/>
              </w:rPr>
              <w:t xml:space="preserve">Patient cancellations or non-attendance : 21 </w:t>
            </w:r>
          </w:p>
          <w:p w:rsidR="00E53C01" w:rsidRDefault="007A37C3" w:rsidP="00C36D71">
            <w:pPr>
              <w:jc w:val="both"/>
              <w:rPr>
                <w:rFonts w:ascii="Segoe UI" w:hAnsi="Segoe UI" w:cs="Segoe UI"/>
                <w:color w:val="000000"/>
                <w:sz w:val="20"/>
                <w:szCs w:val="20"/>
              </w:rPr>
            </w:pPr>
            <w:r w:rsidRPr="005A2921">
              <w:rPr>
                <w:rFonts w:ascii="Segoe UI" w:hAnsi="Segoe UI" w:cs="Segoe UI"/>
                <w:color w:val="000000"/>
                <w:sz w:val="20"/>
                <w:szCs w:val="20"/>
              </w:rPr>
              <w:t xml:space="preserve">Availability of appointments with </w:t>
            </w:r>
          </w:p>
          <w:p w:rsidR="007A37C3" w:rsidRPr="005A2921" w:rsidRDefault="007A37C3" w:rsidP="00C36D71">
            <w:pPr>
              <w:jc w:val="both"/>
              <w:rPr>
                <w:rFonts w:ascii="Segoe UI" w:hAnsi="Segoe UI" w:cs="Segoe UI"/>
                <w:color w:val="000000"/>
                <w:sz w:val="20"/>
                <w:szCs w:val="20"/>
              </w:rPr>
            </w:pPr>
            <w:r w:rsidRPr="005A2921">
              <w:rPr>
                <w:rFonts w:ascii="Segoe UI" w:hAnsi="Segoe UI" w:cs="Segoe UI"/>
                <w:color w:val="000000"/>
                <w:sz w:val="20"/>
                <w:szCs w:val="20"/>
              </w:rPr>
              <w:t>clinicians: 9</w:t>
            </w:r>
          </w:p>
          <w:p w:rsidR="007A37C3" w:rsidRPr="005A2921" w:rsidRDefault="007A37C3" w:rsidP="00C36D71">
            <w:pPr>
              <w:jc w:val="both"/>
              <w:rPr>
                <w:rFonts w:ascii="Segoe UI" w:hAnsi="Segoe UI" w:cs="Segoe UI"/>
                <w:color w:val="000000"/>
                <w:sz w:val="20"/>
                <w:szCs w:val="20"/>
              </w:rPr>
            </w:pPr>
            <w:r w:rsidRPr="005A2921">
              <w:rPr>
                <w:rFonts w:ascii="Segoe UI" w:hAnsi="Segoe UI" w:cs="Segoe UI"/>
                <w:color w:val="000000"/>
                <w:sz w:val="20"/>
                <w:szCs w:val="20"/>
              </w:rPr>
              <w:t>Reasons unclear: 6</w:t>
            </w:r>
          </w:p>
        </w:tc>
      </w:tr>
      <w:tr w:rsidR="007A37C3" w:rsidRPr="005A2921" w:rsidTr="00C36D71">
        <w:trPr>
          <w:trHeight w:val="476"/>
        </w:trPr>
        <w:tc>
          <w:tcPr>
            <w:tcW w:w="1277" w:type="dxa"/>
          </w:tcPr>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Oxon Schedule 4</w:t>
            </w:r>
          </w:p>
        </w:tc>
        <w:tc>
          <w:tcPr>
            <w:tcW w:w="708"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C2b</w:t>
            </w:r>
          </w:p>
        </w:tc>
        <w:tc>
          <w:tcPr>
            <w:tcW w:w="1843"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Staff up-to-date with Mental Capacity Act safeguarding training</w:t>
            </w:r>
          </w:p>
        </w:tc>
        <w:tc>
          <w:tcPr>
            <w:tcW w:w="851" w:type="dxa"/>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90%</w:t>
            </w:r>
          </w:p>
        </w:tc>
        <w:tc>
          <w:tcPr>
            <w:tcW w:w="850" w:type="dxa"/>
            <w:shd w:val="clear" w:color="auto" w:fill="FF0000"/>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79%</w:t>
            </w:r>
          </w:p>
        </w:tc>
        <w:tc>
          <w:tcPr>
            <w:tcW w:w="3827" w:type="dxa"/>
          </w:tcPr>
          <w:p w:rsidR="007A37C3" w:rsidRPr="005A2921" w:rsidRDefault="007A37C3" w:rsidP="006165CC">
            <w:pPr>
              <w:ind w:left="-108"/>
              <w:rPr>
                <w:rFonts w:ascii="Segoe UI" w:hAnsi="Segoe UI" w:cs="Segoe UI"/>
                <w:color w:val="000000"/>
                <w:sz w:val="20"/>
                <w:szCs w:val="20"/>
              </w:rPr>
            </w:pPr>
            <w:r w:rsidRPr="005A2921">
              <w:rPr>
                <w:noProof/>
              </w:rPr>
              <w:drawing>
                <wp:inline distT="0" distB="0" distL="0" distR="0" wp14:anchorId="3C4CB9DF" wp14:editId="6683738E">
                  <wp:extent cx="2410691" cy="1721922"/>
                  <wp:effectExtent l="0" t="0" r="27940" b="12065"/>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1701" w:type="dxa"/>
          </w:tcPr>
          <w:p w:rsidR="007A37C3" w:rsidRPr="005A2921" w:rsidRDefault="007A37C3" w:rsidP="00C36D71">
            <w:pPr>
              <w:ind w:right="176"/>
              <w:rPr>
                <w:rFonts w:ascii="Segoe UI" w:hAnsi="Segoe UI" w:cs="Segoe UI"/>
                <w:sz w:val="20"/>
                <w:szCs w:val="20"/>
              </w:rPr>
            </w:pPr>
            <w:r w:rsidRPr="005A2921">
              <w:rPr>
                <w:rFonts w:ascii="Segoe UI" w:hAnsi="Segoe UI" w:cs="Segoe UI"/>
                <w:sz w:val="20"/>
                <w:szCs w:val="20"/>
              </w:rPr>
              <w:t xml:space="preserve">Risk to patient care through insufficiently trained staff </w:t>
            </w:r>
          </w:p>
          <w:p w:rsidR="007A37C3" w:rsidRPr="005A2921" w:rsidRDefault="007A37C3" w:rsidP="00C36D71">
            <w:pPr>
              <w:rPr>
                <w:rFonts w:ascii="Segoe UI" w:hAnsi="Segoe UI" w:cs="Segoe UI"/>
                <w:sz w:val="20"/>
                <w:szCs w:val="20"/>
              </w:rPr>
            </w:pPr>
          </w:p>
        </w:tc>
        <w:tc>
          <w:tcPr>
            <w:tcW w:w="4111" w:type="dxa"/>
          </w:tcPr>
          <w:p w:rsidR="007A37C3" w:rsidRPr="005A2921" w:rsidRDefault="007A37C3" w:rsidP="00C36D71">
            <w:pPr>
              <w:rPr>
                <w:rFonts w:ascii="Segoe UI" w:hAnsi="Segoe UI" w:cs="Segoe UI"/>
                <w:color w:val="FF0000"/>
                <w:sz w:val="20"/>
                <w:szCs w:val="20"/>
              </w:rPr>
            </w:pPr>
            <w:r w:rsidRPr="005A2921">
              <w:rPr>
                <w:rFonts w:ascii="Segoe UI" w:hAnsi="Segoe UI" w:cs="Segoe UI"/>
                <w:sz w:val="20"/>
                <w:szCs w:val="20"/>
              </w:rPr>
              <w:t>H</w:t>
            </w:r>
            <w:r>
              <w:rPr>
                <w:rFonts w:ascii="Segoe UI" w:hAnsi="Segoe UI" w:cs="Segoe UI"/>
                <w:sz w:val="20"/>
                <w:szCs w:val="20"/>
              </w:rPr>
              <w:t>eads of Service are</w:t>
            </w:r>
            <w:r w:rsidRPr="005A2921">
              <w:rPr>
                <w:rFonts w:ascii="Segoe UI" w:hAnsi="Segoe UI" w:cs="Segoe UI"/>
                <w:sz w:val="20"/>
                <w:szCs w:val="20"/>
              </w:rPr>
              <w:t xml:space="preserve"> exploring potential to combine Mental Health Act Training with MCA training because they cover the same areas. Estimated </w:t>
            </w:r>
            <w:r w:rsidR="00415D66">
              <w:rPr>
                <w:rFonts w:ascii="Segoe UI" w:hAnsi="Segoe UI" w:cs="Segoe UI"/>
                <w:sz w:val="20"/>
                <w:szCs w:val="20"/>
              </w:rPr>
              <w:t>timescale to improvement - June 2017</w:t>
            </w:r>
            <w:r w:rsidRPr="005A2921">
              <w:rPr>
                <w:rFonts w:ascii="Segoe UI" w:hAnsi="Segoe UI" w:cs="Segoe UI"/>
                <w:sz w:val="20"/>
                <w:szCs w:val="20"/>
              </w:rPr>
              <w:t xml:space="preserve"> </w:t>
            </w:r>
          </w:p>
          <w:p w:rsidR="007A37C3" w:rsidRPr="005A2921" w:rsidRDefault="007A37C3" w:rsidP="00C36D71">
            <w:pPr>
              <w:rPr>
                <w:rFonts w:ascii="Segoe UI" w:hAnsi="Segoe UI" w:cs="Segoe UI"/>
                <w:sz w:val="20"/>
                <w:szCs w:val="20"/>
              </w:rPr>
            </w:pPr>
          </w:p>
        </w:tc>
      </w:tr>
      <w:tr w:rsidR="007A37C3" w:rsidRPr="005A2921" w:rsidTr="00C36D71">
        <w:trPr>
          <w:trHeight w:val="476"/>
        </w:trPr>
        <w:tc>
          <w:tcPr>
            <w:tcW w:w="1277" w:type="dxa"/>
          </w:tcPr>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Oxon Schedule 4</w:t>
            </w:r>
          </w:p>
        </w:tc>
        <w:tc>
          <w:tcPr>
            <w:tcW w:w="708"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C2c</w:t>
            </w:r>
          </w:p>
        </w:tc>
        <w:tc>
          <w:tcPr>
            <w:tcW w:w="1843"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Staff up-to-date with Prevent safeguarding training</w:t>
            </w:r>
          </w:p>
        </w:tc>
        <w:tc>
          <w:tcPr>
            <w:tcW w:w="851" w:type="dxa"/>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90%</w:t>
            </w:r>
          </w:p>
        </w:tc>
        <w:tc>
          <w:tcPr>
            <w:tcW w:w="850" w:type="dxa"/>
            <w:shd w:val="clear" w:color="auto" w:fill="FF0000"/>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71%</w:t>
            </w:r>
          </w:p>
        </w:tc>
        <w:tc>
          <w:tcPr>
            <w:tcW w:w="3827" w:type="dxa"/>
          </w:tcPr>
          <w:p w:rsidR="007A37C3" w:rsidRPr="005A2921" w:rsidRDefault="007A37C3" w:rsidP="006165CC">
            <w:pPr>
              <w:ind w:left="-108"/>
              <w:rPr>
                <w:noProof/>
              </w:rPr>
            </w:pPr>
            <w:r w:rsidRPr="005A2921">
              <w:rPr>
                <w:noProof/>
              </w:rPr>
              <w:drawing>
                <wp:inline distT="0" distB="0" distL="0" distR="0" wp14:anchorId="5BF4FCBB" wp14:editId="60906C38">
                  <wp:extent cx="2410691" cy="1852551"/>
                  <wp:effectExtent l="0" t="0" r="27940" b="14605"/>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c>
          <w:tcPr>
            <w:tcW w:w="1701" w:type="dxa"/>
          </w:tcPr>
          <w:p w:rsidR="007A37C3" w:rsidRPr="005A2921" w:rsidRDefault="007A37C3" w:rsidP="00C36D71">
            <w:pPr>
              <w:ind w:right="176"/>
              <w:rPr>
                <w:rFonts w:ascii="Segoe UI" w:hAnsi="Segoe UI" w:cs="Segoe UI"/>
                <w:sz w:val="20"/>
                <w:szCs w:val="20"/>
              </w:rPr>
            </w:pPr>
            <w:r w:rsidRPr="005A2921">
              <w:rPr>
                <w:rFonts w:ascii="Segoe UI" w:hAnsi="Segoe UI" w:cs="Segoe UI"/>
                <w:sz w:val="20"/>
                <w:szCs w:val="20"/>
              </w:rPr>
              <w:t xml:space="preserve">Risk to patient care through insufficiently trained staff. </w:t>
            </w:r>
          </w:p>
          <w:p w:rsidR="007A37C3" w:rsidRPr="005A2921" w:rsidRDefault="007A37C3" w:rsidP="00C36D71">
            <w:pPr>
              <w:rPr>
                <w:rFonts w:ascii="Segoe UI" w:hAnsi="Segoe UI" w:cs="Segoe UI"/>
                <w:sz w:val="20"/>
                <w:szCs w:val="20"/>
              </w:rPr>
            </w:pPr>
          </w:p>
        </w:tc>
        <w:tc>
          <w:tcPr>
            <w:tcW w:w="4111" w:type="dxa"/>
          </w:tcPr>
          <w:p w:rsidR="00AF424A" w:rsidRPr="005A2921" w:rsidRDefault="00AF424A" w:rsidP="00AF424A">
            <w:pPr>
              <w:jc w:val="both"/>
              <w:rPr>
                <w:rFonts w:ascii="Segoe UI" w:hAnsi="Segoe UI" w:cs="Segoe UI"/>
                <w:color w:val="000000"/>
                <w:sz w:val="20"/>
                <w:szCs w:val="20"/>
              </w:rPr>
            </w:pPr>
            <w:r w:rsidRPr="00AF424A">
              <w:rPr>
                <w:rFonts w:ascii="Segoe UI" w:hAnsi="Segoe UI" w:cs="Segoe UI"/>
                <w:color w:val="000000"/>
                <w:sz w:val="20"/>
                <w:szCs w:val="20"/>
              </w:rPr>
              <w:t xml:space="preserve">Train the trainer sessions have taken place during March and Prevent training has increased from 66% in February to 71% in March.  </w:t>
            </w:r>
          </w:p>
        </w:tc>
      </w:tr>
      <w:tr w:rsidR="007A37C3" w:rsidRPr="005A2921" w:rsidTr="00C36D71">
        <w:trPr>
          <w:trHeight w:val="2591"/>
        </w:trPr>
        <w:tc>
          <w:tcPr>
            <w:tcW w:w="1277" w:type="dxa"/>
          </w:tcPr>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Oxon IAPT</w:t>
            </w:r>
          </w:p>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Wellbeing</w:t>
            </w:r>
          </w:p>
        </w:tc>
        <w:tc>
          <w:tcPr>
            <w:tcW w:w="708"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11</w:t>
            </w:r>
          </w:p>
        </w:tc>
        <w:tc>
          <w:tcPr>
            <w:tcW w:w="1843"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Proportion of patients reporting agree or strongly agree with the statement “The service has helped me understand my problems”</w:t>
            </w:r>
          </w:p>
          <w:p w:rsidR="007A37C3" w:rsidRPr="005A2921" w:rsidRDefault="007A37C3" w:rsidP="00C36D71">
            <w:pPr>
              <w:rPr>
                <w:rFonts w:ascii="Segoe UI" w:hAnsi="Segoe UI" w:cs="Segoe UI"/>
                <w:sz w:val="20"/>
                <w:szCs w:val="20"/>
              </w:rPr>
            </w:pPr>
          </w:p>
        </w:tc>
        <w:tc>
          <w:tcPr>
            <w:tcW w:w="851" w:type="dxa"/>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90%</w:t>
            </w:r>
          </w:p>
        </w:tc>
        <w:tc>
          <w:tcPr>
            <w:tcW w:w="850" w:type="dxa"/>
            <w:shd w:val="clear" w:color="auto" w:fill="FF0000"/>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77%</w:t>
            </w:r>
          </w:p>
        </w:tc>
        <w:tc>
          <w:tcPr>
            <w:tcW w:w="3827" w:type="dxa"/>
          </w:tcPr>
          <w:p w:rsidR="007A37C3" w:rsidRPr="005A2921" w:rsidRDefault="007A37C3" w:rsidP="006165CC">
            <w:pPr>
              <w:ind w:left="-108"/>
              <w:rPr>
                <w:rFonts w:ascii="Segoe UI" w:hAnsi="Segoe UI" w:cs="Segoe UI"/>
                <w:color w:val="000000"/>
                <w:sz w:val="20"/>
                <w:szCs w:val="20"/>
              </w:rPr>
            </w:pPr>
            <w:r w:rsidRPr="005A2921">
              <w:rPr>
                <w:noProof/>
              </w:rPr>
              <w:drawing>
                <wp:inline distT="0" distB="0" distL="0" distR="0" wp14:anchorId="1F949BD4" wp14:editId="232AD4AE">
                  <wp:extent cx="2442949" cy="1685498"/>
                  <wp:effectExtent l="0" t="0" r="14605" b="10160"/>
                  <wp:docPr id="60" name="Chart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c>
        <w:tc>
          <w:tcPr>
            <w:tcW w:w="1701"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 xml:space="preserve">Risk that patients may not be receiving the care that they need. </w:t>
            </w:r>
          </w:p>
        </w:tc>
        <w:tc>
          <w:tcPr>
            <w:tcW w:w="4111" w:type="dxa"/>
          </w:tcPr>
          <w:p w:rsidR="007A37C3" w:rsidRPr="005A2921" w:rsidRDefault="00415D66" w:rsidP="00415D66">
            <w:pPr>
              <w:jc w:val="both"/>
              <w:rPr>
                <w:rFonts w:ascii="Segoe UI" w:hAnsi="Segoe UI" w:cs="Segoe UI"/>
                <w:color w:val="000000"/>
                <w:sz w:val="20"/>
                <w:szCs w:val="20"/>
              </w:rPr>
            </w:pPr>
            <w:r>
              <w:rPr>
                <w:rFonts w:ascii="Segoe UI" w:hAnsi="Segoe UI" w:cs="Segoe UI"/>
                <w:color w:val="000000"/>
                <w:sz w:val="20"/>
                <w:szCs w:val="20"/>
              </w:rPr>
              <w:t>The service is w</w:t>
            </w:r>
            <w:r w:rsidR="007A37C3" w:rsidRPr="005A2921">
              <w:rPr>
                <w:rFonts w:ascii="Segoe UI" w:hAnsi="Segoe UI" w:cs="Segoe UI"/>
                <w:color w:val="000000"/>
                <w:sz w:val="20"/>
                <w:szCs w:val="20"/>
              </w:rPr>
              <w:t xml:space="preserve">orking with subcontracted organisation to improve recording and reporting against this measure. </w:t>
            </w:r>
          </w:p>
        </w:tc>
      </w:tr>
      <w:tr w:rsidR="007A37C3" w:rsidRPr="005A2921" w:rsidTr="00C36D71">
        <w:trPr>
          <w:trHeight w:val="476"/>
        </w:trPr>
        <w:tc>
          <w:tcPr>
            <w:tcW w:w="1277" w:type="dxa"/>
          </w:tcPr>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Oxon IAPT</w:t>
            </w:r>
          </w:p>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Wellbeing</w:t>
            </w:r>
          </w:p>
        </w:tc>
        <w:tc>
          <w:tcPr>
            <w:tcW w:w="708"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11</w:t>
            </w:r>
          </w:p>
        </w:tc>
        <w:tc>
          <w:tcPr>
            <w:tcW w:w="1843"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Proportion of patients reporting agree or strongly agree with the statement “I got the help that mattered to me”</w:t>
            </w:r>
          </w:p>
        </w:tc>
        <w:tc>
          <w:tcPr>
            <w:tcW w:w="851" w:type="dxa"/>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90%</w:t>
            </w:r>
          </w:p>
        </w:tc>
        <w:tc>
          <w:tcPr>
            <w:tcW w:w="850" w:type="dxa"/>
            <w:shd w:val="clear" w:color="auto" w:fill="FF0000"/>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77%</w:t>
            </w:r>
          </w:p>
        </w:tc>
        <w:tc>
          <w:tcPr>
            <w:tcW w:w="3827" w:type="dxa"/>
          </w:tcPr>
          <w:p w:rsidR="007A37C3" w:rsidRPr="005A2921" w:rsidRDefault="007A37C3" w:rsidP="006165CC">
            <w:pPr>
              <w:ind w:left="-108"/>
              <w:rPr>
                <w:rFonts w:ascii="Segoe UI" w:hAnsi="Segoe UI" w:cs="Segoe UI"/>
                <w:color w:val="000000"/>
                <w:sz w:val="20"/>
                <w:szCs w:val="20"/>
              </w:rPr>
            </w:pPr>
            <w:r w:rsidRPr="005A2921">
              <w:rPr>
                <w:noProof/>
              </w:rPr>
              <w:drawing>
                <wp:inline distT="0" distB="0" distL="0" distR="0" wp14:anchorId="3D2DE7AF" wp14:editId="251E0190">
                  <wp:extent cx="2442949" cy="1740089"/>
                  <wp:effectExtent l="0" t="0" r="14605" b="12700"/>
                  <wp:docPr id="61" name="Chart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1701" w:type="dxa"/>
          </w:tcPr>
          <w:p w:rsidR="007A37C3" w:rsidRPr="005A2921" w:rsidRDefault="007A37C3" w:rsidP="00C36D71">
            <w:pPr>
              <w:rPr>
                <w:rFonts w:ascii="Segoe UI" w:hAnsi="Segoe UI" w:cs="Segoe UI"/>
                <w:sz w:val="20"/>
                <w:szCs w:val="22"/>
              </w:rPr>
            </w:pPr>
            <w:r w:rsidRPr="005A2921">
              <w:rPr>
                <w:rFonts w:ascii="Segoe UI" w:hAnsi="Segoe UI" w:cs="Segoe UI"/>
                <w:sz w:val="20"/>
                <w:szCs w:val="22"/>
              </w:rPr>
              <w:t>Risk that patients may not be receiving the care that they need.</w:t>
            </w:r>
          </w:p>
        </w:tc>
        <w:tc>
          <w:tcPr>
            <w:tcW w:w="4111" w:type="dxa"/>
          </w:tcPr>
          <w:p w:rsidR="007A37C3" w:rsidRPr="005A2921" w:rsidRDefault="00415D66" w:rsidP="00C36D71">
            <w:pPr>
              <w:jc w:val="both"/>
              <w:rPr>
                <w:rFonts w:ascii="Segoe UI" w:hAnsi="Segoe UI" w:cs="Segoe UI"/>
                <w:color w:val="000000"/>
                <w:sz w:val="20"/>
                <w:szCs w:val="20"/>
              </w:rPr>
            </w:pPr>
            <w:r>
              <w:rPr>
                <w:rFonts w:ascii="Segoe UI" w:hAnsi="Segoe UI" w:cs="Segoe UI"/>
                <w:color w:val="000000"/>
                <w:sz w:val="20"/>
                <w:szCs w:val="20"/>
              </w:rPr>
              <w:t>The service is w</w:t>
            </w:r>
            <w:r w:rsidR="007A37C3" w:rsidRPr="005A2921">
              <w:rPr>
                <w:rFonts w:ascii="Segoe UI" w:hAnsi="Segoe UI" w:cs="Segoe UI"/>
                <w:color w:val="000000"/>
                <w:sz w:val="20"/>
                <w:szCs w:val="20"/>
              </w:rPr>
              <w:t>orking with subcontracted organisation to improve recording and reporting against this measure.</w:t>
            </w:r>
          </w:p>
        </w:tc>
      </w:tr>
      <w:tr w:rsidR="007A37C3" w:rsidRPr="005A2921" w:rsidTr="00FD02AA">
        <w:trPr>
          <w:trHeight w:val="476"/>
        </w:trPr>
        <w:tc>
          <w:tcPr>
            <w:tcW w:w="1277" w:type="dxa"/>
          </w:tcPr>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 xml:space="preserve">Oxon </w:t>
            </w:r>
            <w:r w:rsidRPr="005A2921">
              <w:rPr>
                <w:rFonts w:ascii="Segoe UI" w:hAnsi="Segoe UI" w:cs="Segoe UI"/>
                <w:sz w:val="16"/>
                <w:szCs w:val="20"/>
              </w:rPr>
              <w:t>IAPT</w:t>
            </w:r>
          </w:p>
        </w:tc>
        <w:tc>
          <w:tcPr>
            <w:tcW w:w="708" w:type="dxa"/>
          </w:tcPr>
          <w:p w:rsidR="007A37C3" w:rsidRPr="005A2921" w:rsidRDefault="007A37C3" w:rsidP="00C36D71">
            <w:pPr>
              <w:rPr>
                <w:rFonts w:ascii="Segoe UI" w:hAnsi="Segoe UI" w:cs="Segoe UI"/>
                <w:sz w:val="20"/>
                <w:szCs w:val="20"/>
              </w:rPr>
            </w:pPr>
          </w:p>
        </w:tc>
        <w:tc>
          <w:tcPr>
            <w:tcW w:w="1843"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Oxon IAPT: length of wait (weeks) Step 3 for CBT</w:t>
            </w:r>
          </w:p>
          <w:p w:rsidR="007A37C3" w:rsidRPr="005A2921" w:rsidRDefault="007A37C3" w:rsidP="00C36D71">
            <w:pPr>
              <w:rPr>
                <w:rFonts w:ascii="Segoe UI" w:hAnsi="Segoe UI" w:cs="Segoe UI"/>
                <w:sz w:val="20"/>
                <w:szCs w:val="20"/>
              </w:rPr>
            </w:pPr>
          </w:p>
        </w:tc>
        <w:tc>
          <w:tcPr>
            <w:tcW w:w="851" w:type="dxa"/>
            <w:vAlign w:val="center"/>
          </w:tcPr>
          <w:p w:rsidR="007A37C3" w:rsidRPr="005A2921" w:rsidRDefault="007A37C3" w:rsidP="00FD02AA">
            <w:pPr>
              <w:jc w:val="center"/>
              <w:rPr>
                <w:rFonts w:ascii="Segoe UI" w:hAnsi="Segoe UI" w:cs="Segoe UI"/>
                <w:sz w:val="20"/>
                <w:szCs w:val="20"/>
              </w:rPr>
            </w:pPr>
            <w:r w:rsidRPr="005A2921">
              <w:rPr>
                <w:rFonts w:ascii="Segoe UI" w:hAnsi="Segoe UI" w:cs="Segoe UI"/>
                <w:sz w:val="20"/>
                <w:szCs w:val="20"/>
              </w:rPr>
              <w:t>4 weeks</w:t>
            </w:r>
          </w:p>
        </w:tc>
        <w:tc>
          <w:tcPr>
            <w:tcW w:w="850" w:type="dxa"/>
            <w:shd w:val="clear" w:color="auto" w:fill="FF0000"/>
            <w:vAlign w:val="center"/>
          </w:tcPr>
          <w:p w:rsidR="007A37C3" w:rsidRPr="005A2921" w:rsidRDefault="007A37C3" w:rsidP="00FD02AA">
            <w:pPr>
              <w:jc w:val="center"/>
              <w:rPr>
                <w:rFonts w:ascii="Segoe UI" w:hAnsi="Segoe UI" w:cs="Segoe UI"/>
                <w:sz w:val="20"/>
                <w:szCs w:val="20"/>
              </w:rPr>
            </w:pPr>
            <w:r w:rsidRPr="005A2921">
              <w:rPr>
                <w:rFonts w:ascii="Segoe UI" w:hAnsi="Segoe UI" w:cs="Segoe UI"/>
                <w:sz w:val="20"/>
                <w:szCs w:val="20"/>
              </w:rPr>
              <w:t>13 weeks</w:t>
            </w:r>
          </w:p>
        </w:tc>
        <w:tc>
          <w:tcPr>
            <w:tcW w:w="3827" w:type="dxa"/>
          </w:tcPr>
          <w:p w:rsidR="007A37C3" w:rsidRPr="005A2921" w:rsidRDefault="007A37C3" w:rsidP="00C36D71">
            <w:pPr>
              <w:ind w:left="-108"/>
              <w:rPr>
                <w:rFonts w:ascii="Segoe UI" w:hAnsi="Segoe UI" w:cs="Segoe UI"/>
                <w:color w:val="000000"/>
                <w:sz w:val="20"/>
                <w:szCs w:val="20"/>
              </w:rPr>
            </w:pPr>
            <w:r w:rsidRPr="005A2921">
              <w:rPr>
                <w:noProof/>
              </w:rPr>
              <w:drawing>
                <wp:inline distT="0" distB="0" distL="0" distR="0" wp14:anchorId="0B2EB4C0" wp14:editId="19D8EF83">
                  <wp:extent cx="2445488" cy="1786270"/>
                  <wp:effectExtent l="0" t="0" r="12065" b="23495"/>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c>
          <w:tcPr>
            <w:tcW w:w="1701"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 xml:space="preserve">Risk that patients may be waiting too long to receive care. </w:t>
            </w:r>
          </w:p>
        </w:tc>
        <w:tc>
          <w:tcPr>
            <w:tcW w:w="4111" w:type="dxa"/>
          </w:tcPr>
          <w:p w:rsidR="007A37C3" w:rsidRPr="005A2921" w:rsidRDefault="007A37C3" w:rsidP="00C36D71">
            <w:pPr>
              <w:jc w:val="both"/>
              <w:rPr>
                <w:rFonts w:ascii="Segoe UI" w:hAnsi="Segoe UI" w:cs="Segoe UI"/>
                <w:sz w:val="20"/>
                <w:szCs w:val="20"/>
              </w:rPr>
            </w:pPr>
            <w:r w:rsidRPr="005A2921">
              <w:rPr>
                <w:rFonts w:ascii="Segoe UI" w:hAnsi="Segoe UI" w:cs="Segoe UI"/>
                <w:sz w:val="20"/>
                <w:szCs w:val="20"/>
              </w:rPr>
              <w:t>A hidden wait occurs when someone has entered treatment but is waiting for further treatment, such as access to a CBT group.  Hidden waits continue to be addressed and we have seen a further reduction in the CBT waiting list. All patients currently being assessed (where clinically appropriate) are offered a Step 3 CBT group.</w:t>
            </w:r>
          </w:p>
          <w:p w:rsidR="007A37C3" w:rsidRPr="005A2921" w:rsidRDefault="007A37C3" w:rsidP="00C36D71">
            <w:pPr>
              <w:rPr>
                <w:rFonts w:ascii="Segoe UI" w:hAnsi="Segoe UI" w:cs="Segoe UI"/>
                <w:sz w:val="20"/>
                <w:szCs w:val="20"/>
              </w:rPr>
            </w:pPr>
          </w:p>
          <w:p w:rsidR="007A37C3" w:rsidRPr="005A2921" w:rsidRDefault="007A37C3" w:rsidP="00C36D71">
            <w:pPr>
              <w:jc w:val="both"/>
              <w:rPr>
                <w:rFonts w:ascii="Segoe UI" w:hAnsi="Segoe UI" w:cs="Segoe UI"/>
                <w:color w:val="000000"/>
                <w:sz w:val="20"/>
                <w:szCs w:val="20"/>
              </w:rPr>
            </w:pPr>
          </w:p>
        </w:tc>
      </w:tr>
      <w:tr w:rsidR="007A37C3" w:rsidRPr="005A2921" w:rsidTr="00C36D71">
        <w:trPr>
          <w:trHeight w:val="476"/>
        </w:trPr>
        <w:tc>
          <w:tcPr>
            <w:tcW w:w="1277" w:type="dxa"/>
          </w:tcPr>
          <w:p w:rsidR="007A37C3" w:rsidRPr="005A2921" w:rsidRDefault="007A37C3" w:rsidP="00C36D71">
            <w:pPr>
              <w:ind w:right="-16"/>
              <w:rPr>
                <w:rFonts w:ascii="Segoe UI" w:hAnsi="Segoe UI" w:cs="Segoe UI"/>
                <w:sz w:val="20"/>
                <w:szCs w:val="22"/>
              </w:rPr>
            </w:pPr>
            <w:r w:rsidRPr="005A2921">
              <w:rPr>
                <w:rFonts w:ascii="Segoe UI" w:hAnsi="Segoe UI" w:cs="Segoe UI"/>
                <w:sz w:val="20"/>
                <w:szCs w:val="22"/>
              </w:rPr>
              <w:t>Aylesbury Schedule 4</w:t>
            </w:r>
          </w:p>
        </w:tc>
        <w:tc>
          <w:tcPr>
            <w:tcW w:w="708" w:type="dxa"/>
          </w:tcPr>
          <w:p w:rsidR="007A37C3" w:rsidRPr="005A2921" w:rsidRDefault="007A37C3" w:rsidP="00C36D71">
            <w:pPr>
              <w:rPr>
                <w:rFonts w:ascii="Segoe UI" w:hAnsi="Segoe UI" w:cs="Segoe UI"/>
                <w:sz w:val="22"/>
                <w:szCs w:val="22"/>
              </w:rPr>
            </w:pPr>
            <w:r w:rsidRPr="005A2921">
              <w:rPr>
                <w:rFonts w:ascii="Segoe UI" w:hAnsi="Segoe UI" w:cs="Segoe UI"/>
                <w:sz w:val="22"/>
                <w:szCs w:val="22"/>
              </w:rPr>
              <w:t>Local 20</w:t>
            </w:r>
          </w:p>
        </w:tc>
        <w:tc>
          <w:tcPr>
            <w:tcW w:w="1843" w:type="dxa"/>
          </w:tcPr>
          <w:p w:rsidR="007A37C3" w:rsidRPr="005A2921" w:rsidRDefault="007A37C3" w:rsidP="00C36D71">
            <w:pPr>
              <w:rPr>
                <w:rFonts w:ascii="Segoe UI" w:hAnsi="Segoe UI" w:cs="Segoe UI"/>
                <w:sz w:val="20"/>
                <w:szCs w:val="18"/>
              </w:rPr>
            </w:pPr>
            <w:r w:rsidRPr="005A2921">
              <w:rPr>
                <w:rFonts w:ascii="Segoe UI" w:hAnsi="Segoe UI" w:cs="Segoe UI"/>
                <w:sz w:val="20"/>
                <w:szCs w:val="18"/>
              </w:rPr>
              <w:t>95% people will have their care reviewed within the timescales specified by the cluster package.</w:t>
            </w:r>
          </w:p>
        </w:tc>
        <w:tc>
          <w:tcPr>
            <w:tcW w:w="851" w:type="dxa"/>
            <w:vAlign w:val="center"/>
          </w:tcPr>
          <w:p w:rsidR="007A37C3" w:rsidRPr="005A2921" w:rsidRDefault="007A37C3" w:rsidP="00C36D71">
            <w:pPr>
              <w:jc w:val="center"/>
              <w:rPr>
                <w:rFonts w:ascii="Segoe UI" w:hAnsi="Segoe UI" w:cs="Segoe UI"/>
                <w:sz w:val="20"/>
                <w:szCs w:val="18"/>
              </w:rPr>
            </w:pPr>
            <w:r w:rsidRPr="005A2921">
              <w:rPr>
                <w:rFonts w:ascii="Segoe UI" w:hAnsi="Segoe UI" w:cs="Segoe UI"/>
                <w:sz w:val="20"/>
                <w:szCs w:val="18"/>
              </w:rPr>
              <w:t>95%</w:t>
            </w:r>
          </w:p>
        </w:tc>
        <w:tc>
          <w:tcPr>
            <w:tcW w:w="850" w:type="dxa"/>
            <w:shd w:val="clear" w:color="auto" w:fill="FF0000"/>
            <w:vAlign w:val="center"/>
          </w:tcPr>
          <w:p w:rsidR="007A37C3" w:rsidRPr="005A2921" w:rsidRDefault="007A37C3" w:rsidP="00C36D71">
            <w:pPr>
              <w:jc w:val="center"/>
              <w:rPr>
                <w:rFonts w:ascii="Segoe UI" w:hAnsi="Segoe UI" w:cs="Segoe UI"/>
                <w:sz w:val="20"/>
                <w:szCs w:val="18"/>
              </w:rPr>
            </w:pPr>
            <w:r w:rsidRPr="005A2921">
              <w:rPr>
                <w:rFonts w:ascii="Segoe UI" w:hAnsi="Segoe UI" w:cs="Segoe UI"/>
                <w:sz w:val="20"/>
                <w:szCs w:val="18"/>
              </w:rPr>
              <w:t>57%</w:t>
            </w:r>
          </w:p>
        </w:tc>
        <w:tc>
          <w:tcPr>
            <w:tcW w:w="3827" w:type="dxa"/>
          </w:tcPr>
          <w:p w:rsidR="007A37C3" w:rsidRPr="005A2921" w:rsidRDefault="007A37C3" w:rsidP="00C36D71">
            <w:pPr>
              <w:ind w:left="-108"/>
              <w:rPr>
                <w:rFonts w:ascii="Segoe UI" w:hAnsi="Segoe UI" w:cs="Segoe UI"/>
                <w:noProof/>
                <w:sz w:val="14"/>
              </w:rPr>
            </w:pPr>
            <w:r w:rsidRPr="005A2921">
              <w:rPr>
                <w:rFonts w:ascii="Segoe UI" w:hAnsi="Segoe UI" w:cs="Segoe UI"/>
                <w:noProof/>
                <w:sz w:val="14"/>
              </w:rPr>
              <w:drawing>
                <wp:inline distT="0" distB="0" distL="0" distR="0" wp14:anchorId="32692C30" wp14:editId="07D0FEBD">
                  <wp:extent cx="2422478" cy="2047164"/>
                  <wp:effectExtent l="0" t="0" r="16510" b="1079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1701" w:type="dxa"/>
          </w:tcPr>
          <w:p w:rsidR="007A37C3" w:rsidRPr="005A2921" w:rsidRDefault="007A37C3" w:rsidP="00C36D71">
            <w:pPr>
              <w:rPr>
                <w:rFonts w:ascii="Segoe UI" w:hAnsi="Segoe UI" w:cs="Segoe UI"/>
                <w:sz w:val="20"/>
                <w:szCs w:val="18"/>
              </w:rPr>
            </w:pPr>
            <w:r w:rsidRPr="005A2921">
              <w:rPr>
                <w:rFonts w:ascii="Segoe UI" w:hAnsi="Segoe UI" w:cs="Segoe UI"/>
                <w:sz w:val="20"/>
                <w:szCs w:val="18"/>
              </w:rPr>
              <w:t xml:space="preserve">Risk that patient care is not being reviewed frequently enough to manage changing needs. </w:t>
            </w:r>
          </w:p>
          <w:p w:rsidR="007A37C3" w:rsidRPr="005A2921" w:rsidRDefault="007A37C3" w:rsidP="00C36D71">
            <w:pPr>
              <w:rPr>
                <w:rFonts w:ascii="Segoe UI" w:hAnsi="Segoe UI" w:cs="Segoe UI"/>
                <w:sz w:val="20"/>
                <w:szCs w:val="18"/>
              </w:rPr>
            </w:pPr>
          </w:p>
          <w:p w:rsidR="007A37C3" w:rsidRPr="005A2921" w:rsidRDefault="007A37C3" w:rsidP="00C36D71">
            <w:pPr>
              <w:rPr>
                <w:rFonts w:ascii="Segoe UI" w:hAnsi="Segoe UI" w:cs="Segoe UI"/>
                <w:sz w:val="20"/>
                <w:szCs w:val="22"/>
              </w:rPr>
            </w:pPr>
          </w:p>
        </w:tc>
        <w:tc>
          <w:tcPr>
            <w:tcW w:w="4111" w:type="dxa"/>
          </w:tcPr>
          <w:p w:rsidR="007A37C3" w:rsidRPr="005A2921" w:rsidRDefault="007A37C3" w:rsidP="00C36D71">
            <w:pPr>
              <w:rPr>
                <w:rFonts w:ascii="Segoe UI" w:hAnsi="Segoe UI" w:cs="Segoe UI"/>
                <w:color w:val="000000"/>
                <w:sz w:val="20"/>
                <w:szCs w:val="18"/>
              </w:rPr>
            </w:pPr>
            <w:r w:rsidRPr="005A2921">
              <w:rPr>
                <w:rFonts w:ascii="Segoe UI" w:hAnsi="Segoe UI" w:cs="Segoe UI"/>
                <w:color w:val="000000"/>
                <w:sz w:val="20"/>
                <w:szCs w:val="18"/>
              </w:rPr>
              <w:t xml:space="preserve">Clinical teams are being sent fortnightly spreadsheets showing both people with cluster reviews coming up and people who have not been assigned a cluster are being sent to the teams. Service managers are managing progress closely.  </w:t>
            </w:r>
          </w:p>
          <w:p w:rsidR="007A37C3" w:rsidRPr="005A2921" w:rsidRDefault="007A37C3" w:rsidP="00C36D71">
            <w:pPr>
              <w:rPr>
                <w:rFonts w:ascii="Segoe UI" w:hAnsi="Segoe UI" w:cs="Segoe UI"/>
                <w:color w:val="000000"/>
                <w:sz w:val="20"/>
                <w:szCs w:val="18"/>
              </w:rPr>
            </w:pPr>
          </w:p>
          <w:p w:rsidR="007A37C3" w:rsidRPr="005A2921" w:rsidRDefault="007A37C3" w:rsidP="00C36D71">
            <w:pPr>
              <w:rPr>
                <w:rFonts w:ascii="Segoe UI" w:hAnsi="Segoe UI" w:cs="Segoe UI"/>
                <w:color w:val="000000"/>
                <w:sz w:val="20"/>
                <w:szCs w:val="18"/>
              </w:rPr>
            </w:pPr>
            <w:r w:rsidRPr="005A2921">
              <w:rPr>
                <w:rFonts w:ascii="Segoe UI" w:hAnsi="Segoe UI" w:cs="Segoe UI"/>
                <w:color w:val="000000"/>
                <w:sz w:val="20"/>
                <w:szCs w:val="18"/>
              </w:rPr>
              <w:t>Estimate 2 months to improvement  (April 2017 data)</w:t>
            </w:r>
          </w:p>
          <w:p w:rsidR="007A37C3" w:rsidRPr="005A2921" w:rsidRDefault="007A37C3" w:rsidP="00C36D71">
            <w:pPr>
              <w:jc w:val="both"/>
              <w:rPr>
                <w:rFonts w:ascii="Segoe UI" w:hAnsi="Segoe UI" w:cs="Segoe UI"/>
                <w:color w:val="000000"/>
                <w:sz w:val="20"/>
                <w:szCs w:val="20"/>
              </w:rPr>
            </w:pPr>
          </w:p>
        </w:tc>
      </w:tr>
      <w:tr w:rsidR="007A37C3" w:rsidRPr="005A2921" w:rsidTr="006165CC">
        <w:trPr>
          <w:trHeight w:val="2808"/>
        </w:trPr>
        <w:tc>
          <w:tcPr>
            <w:tcW w:w="1277" w:type="dxa"/>
          </w:tcPr>
          <w:p w:rsidR="007A37C3" w:rsidRPr="005A2921" w:rsidRDefault="007A37C3" w:rsidP="00C36D71">
            <w:pPr>
              <w:ind w:right="-16"/>
              <w:rPr>
                <w:rFonts w:ascii="Segoe UI" w:hAnsi="Segoe UI" w:cs="Segoe UI"/>
                <w:sz w:val="20"/>
                <w:szCs w:val="22"/>
              </w:rPr>
            </w:pPr>
            <w:r w:rsidRPr="005A2921">
              <w:rPr>
                <w:rFonts w:ascii="Segoe UI" w:hAnsi="Segoe UI" w:cs="Segoe UI"/>
                <w:sz w:val="20"/>
                <w:szCs w:val="22"/>
              </w:rPr>
              <w:t>Chiltern Schedule 4</w:t>
            </w:r>
          </w:p>
        </w:tc>
        <w:tc>
          <w:tcPr>
            <w:tcW w:w="708" w:type="dxa"/>
          </w:tcPr>
          <w:p w:rsidR="007A37C3" w:rsidRPr="005A2921" w:rsidRDefault="007A37C3" w:rsidP="00C36D71">
            <w:pPr>
              <w:rPr>
                <w:rFonts w:ascii="Segoe UI" w:hAnsi="Segoe UI" w:cs="Segoe UI"/>
                <w:sz w:val="20"/>
                <w:szCs w:val="22"/>
              </w:rPr>
            </w:pPr>
            <w:r w:rsidRPr="005A2921">
              <w:rPr>
                <w:rFonts w:ascii="Segoe UI" w:hAnsi="Segoe UI" w:cs="Segoe UI"/>
                <w:sz w:val="20"/>
                <w:szCs w:val="22"/>
              </w:rPr>
              <w:t>Local 20</w:t>
            </w:r>
          </w:p>
        </w:tc>
        <w:tc>
          <w:tcPr>
            <w:tcW w:w="1843" w:type="dxa"/>
          </w:tcPr>
          <w:p w:rsidR="007A37C3" w:rsidRPr="005A2921" w:rsidRDefault="007A37C3" w:rsidP="00C36D71">
            <w:pPr>
              <w:rPr>
                <w:rFonts w:ascii="Segoe UI" w:hAnsi="Segoe UI" w:cs="Segoe UI"/>
                <w:sz w:val="20"/>
                <w:szCs w:val="18"/>
              </w:rPr>
            </w:pPr>
            <w:r w:rsidRPr="005A2921">
              <w:rPr>
                <w:rFonts w:ascii="Segoe UI" w:hAnsi="Segoe UI" w:cs="Segoe UI"/>
                <w:bCs/>
                <w:sz w:val="20"/>
                <w:szCs w:val="18"/>
              </w:rPr>
              <w:t>95% people on CPA will have care review within the timescales specified by the cluster package</w:t>
            </w:r>
          </w:p>
          <w:p w:rsidR="007A37C3" w:rsidRPr="005A2921" w:rsidRDefault="007A37C3" w:rsidP="00C36D71">
            <w:pPr>
              <w:rPr>
                <w:rFonts w:ascii="Segoe UI" w:hAnsi="Segoe UI" w:cs="Segoe UI"/>
                <w:sz w:val="20"/>
                <w:szCs w:val="18"/>
              </w:rPr>
            </w:pPr>
          </w:p>
        </w:tc>
        <w:tc>
          <w:tcPr>
            <w:tcW w:w="851" w:type="dxa"/>
            <w:vAlign w:val="center"/>
          </w:tcPr>
          <w:p w:rsidR="007A37C3" w:rsidRPr="005A2921" w:rsidRDefault="007A37C3" w:rsidP="00C36D71">
            <w:pPr>
              <w:jc w:val="center"/>
              <w:rPr>
                <w:rFonts w:ascii="Segoe UI" w:hAnsi="Segoe UI" w:cs="Segoe UI"/>
                <w:sz w:val="20"/>
                <w:szCs w:val="18"/>
              </w:rPr>
            </w:pPr>
            <w:r w:rsidRPr="005A2921">
              <w:rPr>
                <w:rFonts w:ascii="Segoe UI" w:hAnsi="Segoe UI" w:cs="Segoe UI"/>
                <w:sz w:val="20"/>
                <w:szCs w:val="18"/>
              </w:rPr>
              <w:t>95%</w:t>
            </w:r>
          </w:p>
        </w:tc>
        <w:tc>
          <w:tcPr>
            <w:tcW w:w="850" w:type="dxa"/>
            <w:shd w:val="clear" w:color="auto" w:fill="FF0000"/>
            <w:vAlign w:val="center"/>
          </w:tcPr>
          <w:p w:rsidR="007A37C3" w:rsidRPr="005A2921" w:rsidRDefault="007A37C3" w:rsidP="00C36D71">
            <w:pPr>
              <w:jc w:val="center"/>
              <w:rPr>
                <w:rFonts w:ascii="Segoe UI" w:hAnsi="Segoe UI" w:cs="Segoe UI"/>
                <w:sz w:val="20"/>
                <w:szCs w:val="18"/>
              </w:rPr>
            </w:pPr>
            <w:r w:rsidRPr="005A2921">
              <w:rPr>
                <w:rFonts w:ascii="Segoe UI" w:hAnsi="Segoe UI" w:cs="Segoe UI"/>
                <w:sz w:val="20"/>
                <w:szCs w:val="18"/>
              </w:rPr>
              <w:t>76%</w:t>
            </w:r>
          </w:p>
        </w:tc>
        <w:tc>
          <w:tcPr>
            <w:tcW w:w="3827" w:type="dxa"/>
          </w:tcPr>
          <w:p w:rsidR="007A37C3" w:rsidRPr="005A2921" w:rsidRDefault="007A37C3" w:rsidP="00C36D71">
            <w:pPr>
              <w:ind w:left="-108"/>
              <w:rPr>
                <w:noProof/>
              </w:rPr>
            </w:pPr>
            <w:r w:rsidRPr="005A2921">
              <w:rPr>
                <w:noProof/>
              </w:rPr>
              <w:drawing>
                <wp:inline distT="0" distB="0" distL="0" distR="0" wp14:anchorId="77C94F34" wp14:editId="00F08717">
                  <wp:extent cx="2413590" cy="1839433"/>
                  <wp:effectExtent l="0" t="0" r="25400" b="27940"/>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1701"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 xml:space="preserve">Risk that patient care is not being reviewed frequently enough to manage changing needs. </w:t>
            </w:r>
          </w:p>
          <w:p w:rsidR="007A37C3" w:rsidRPr="005A2921" w:rsidRDefault="007A37C3" w:rsidP="00C36D71">
            <w:pPr>
              <w:rPr>
                <w:rFonts w:ascii="Segoe UI" w:hAnsi="Segoe UI" w:cs="Segoe UI"/>
                <w:sz w:val="20"/>
                <w:szCs w:val="20"/>
              </w:rPr>
            </w:pPr>
          </w:p>
        </w:tc>
        <w:tc>
          <w:tcPr>
            <w:tcW w:w="4111" w:type="dxa"/>
          </w:tcPr>
          <w:p w:rsidR="007A37C3" w:rsidRPr="005A2921" w:rsidRDefault="007A37C3" w:rsidP="00C36D71">
            <w:pPr>
              <w:jc w:val="both"/>
              <w:rPr>
                <w:rFonts w:ascii="Segoe UI" w:hAnsi="Segoe UI" w:cs="Segoe UI"/>
                <w:color w:val="000000"/>
                <w:sz w:val="20"/>
                <w:szCs w:val="20"/>
              </w:rPr>
            </w:pPr>
            <w:r w:rsidRPr="005A2921">
              <w:rPr>
                <w:rFonts w:ascii="Segoe UI" w:hAnsi="Segoe UI" w:cs="Segoe UI"/>
                <w:color w:val="000000"/>
                <w:sz w:val="20"/>
                <w:szCs w:val="20"/>
              </w:rPr>
              <w:t>As above.</w:t>
            </w:r>
          </w:p>
        </w:tc>
      </w:tr>
      <w:tr w:rsidR="007A37C3" w:rsidRPr="005A2921" w:rsidTr="00C36D71">
        <w:trPr>
          <w:trHeight w:val="476"/>
        </w:trPr>
        <w:tc>
          <w:tcPr>
            <w:tcW w:w="1277" w:type="dxa"/>
          </w:tcPr>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Aylesbury Schedule 4</w:t>
            </w:r>
          </w:p>
        </w:tc>
        <w:tc>
          <w:tcPr>
            <w:tcW w:w="708"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Local 20</w:t>
            </w:r>
          </w:p>
        </w:tc>
        <w:tc>
          <w:tcPr>
            <w:tcW w:w="1843"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100% people on CPA will have documented risk assessment</w:t>
            </w:r>
          </w:p>
        </w:tc>
        <w:tc>
          <w:tcPr>
            <w:tcW w:w="851" w:type="dxa"/>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100%</w:t>
            </w:r>
          </w:p>
        </w:tc>
        <w:tc>
          <w:tcPr>
            <w:tcW w:w="850" w:type="dxa"/>
            <w:shd w:val="clear" w:color="auto" w:fill="FF0000"/>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70%</w:t>
            </w:r>
          </w:p>
        </w:tc>
        <w:tc>
          <w:tcPr>
            <w:tcW w:w="3827" w:type="dxa"/>
          </w:tcPr>
          <w:p w:rsidR="007A37C3" w:rsidRPr="005A2921" w:rsidRDefault="007A37C3" w:rsidP="00C36D71">
            <w:pPr>
              <w:ind w:left="-108"/>
              <w:rPr>
                <w:noProof/>
              </w:rPr>
            </w:pPr>
            <w:r w:rsidRPr="005A2921">
              <w:rPr>
                <w:noProof/>
              </w:rPr>
              <w:drawing>
                <wp:inline distT="0" distB="0" distL="0" distR="0" wp14:anchorId="267B20F3" wp14:editId="5CABC878">
                  <wp:extent cx="2422478" cy="1712795"/>
                  <wp:effectExtent l="0" t="0" r="16510" b="20955"/>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1701" w:type="dxa"/>
          </w:tcPr>
          <w:p w:rsidR="007A37C3" w:rsidRPr="005A2921" w:rsidRDefault="007A37C3" w:rsidP="00C36D71">
            <w:pPr>
              <w:rPr>
                <w:rFonts w:ascii="Segoe UI" w:hAnsi="Segoe UI" w:cs="Segoe UI"/>
                <w:sz w:val="20"/>
                <w:szCs w:val="22"/>
              </w:rPr>
            </w:pPr>
            <w:r w:rsidRPr="005A2921">
              <w:rPr>
                <w:rFonts w:ascii="Segoe UI" w:hAnsi="Segoe UI" w:cs="Segoe UI"/>
                <w:sz w:val="20"/>
                <w:szCs w:val="22"/>
              </w:rPr>
              <w:t xml:space="preserve">Patient risks may not be adequately managed. </w:t>
            </w:r>
          </w:p>
        </w:tc>
        <w:tc>
          <w:tcPr>
            <w:tcW w:w="4111" w:type="dxa"/>
          </w:tcPr>
          <w:p w:rsidR="007A37C3" w:rsidRPr="005A2921" w:rsidRDefault="00415D66" w:rsidP="00415D66">
            <w:pPr>
              <w:rPr>
                <w:rFonts w:ascii="Segoe UI" w:hAnsi="Segoe UI" w:cs="Segoe UI"/>
                <w:color w:val="000000"/>
                <w:sz w:val="20"/>
                <w:szCs w:val="20"/>
              </w:rPr>
            </w:pPr>
            <w:r w:rsidRPr="00415D66">
              <w:rPr>
                <w:rFonts w:ascii="Segoe UI" w:hAnsi="Segoe UI" w:cs="Segoe UI"/>
                <w:color w:val="000000"/>
                <w:sz w:val="20"/>
                <w:szCs w:val="20"/>
              </w:rPr>
              <w:t>This piece of work is being taken forward by the team managers and overseen by the service manager. Quality issues are being raised during individual supervision sessions with improvements monitored via the line management process. We have also seen a reduction in scores due to the fidelity of the CPA which we expect to resolve within the next quarter.</w:t>
            </w:r>
          </w:p>
        </w:tc>
      </w:tr>
      <w:tr w:rsidR="00BE524E" w:rsidRPr="005A2921" w:rsidTr="00C36D71">
        <w:trPr>
          <w:trHeight w:val="476"/>
        </w:trPr>
        <w:tc>
          <w:tcPr>
            <w:tcW w:w="1277" w:type="dxa"/>
          </w:tcPr>
          <w:p w:rsidR="00BE524E" w:rsidRPr="005A2921" w:rsidRDefault="00BE524E" w:rsidP="00C36D71">
            <w:pPr>
              <w:ind w:right="-16"/>
              <w:rPr>
                <w:rFonts w:ascii="Segoe UI" w:hAnsi="Segoe UI" w:cs="Segoe UI"/>
                <w:sz w:val="20"/>
                <w:szCs w:val="20"/>
              </w:rPr>
            </w:pPr>
            <w:r w:rsidRPr="005A2921">
              <w:rPr>
                <w:rFonts w:ascii="Segoe UI" w:hAnsi="Segoe UI" w:cs="Segoe UI"/>
                <w:sz w:val="20"/>
                <w:szCs w:val="20"/>
              </w:rPr>
              <w:t>Aylesbury Schedule 4</w:t>
            </w:r>
          </w:p>
        </w:tc>
        <w:tc>
          <w:tcPr>
            <w:tcW w:w="708" w:type="dxa"/>
          </w:tcPr>
          <w:p w:rsidR="00BE524E" w:rsidRPr="005A2921" w:rsidRDefault="00BE524E" w:rsidP="00C36D71">
            <w:pPr>
              <w:rPr>
                <w:rFonts w:ascii="Segoe UI" w:hAnsi="Segoe UI" w:cs="Segoe UI"/>
                <w:sz w:val="20"/>
                <w:szCs w:val="20"/>
              </w:rPr>
            </w:pPr>
            <w:r w:rsidRPr="005A2921">
              <w:rPr>
                <w:rFonts w:ascii="Segoe UI" w:hAnsi="Segoe UI" w:cs="Segoe UI"/>
                <w:sz w:val="20"/>
                <w:szCs w:val="20"/>
              </w:rPr>
              <w:t>Local 16</w:t>
            </w:r>
          </w:p>
        </w:tc>
        <w:tc>
          <w:tcPr>
            <w:tcW w:w="1843" w:type="dxa"/>
          </w:tcPr>
          <w:p w:rsidR="00BE524E" w:rsidRPr="005A2921" w:rsidRDefault="00BE524E" w:rsidP="00C36D71">
            <w:pPr>
              <w:rPr>
                <w:rFonts w:ascii="Segoe UI" w:hAnsi="Segoe UI" w:cs="Segoe UI"/>
                <w:sz w:val="20"/>
                <w:szCs w:val="20"/>
              </w:rPr>
            </w:pPr>
            <w:r w:rsidRPr="005A2921">
              <w:rPr>
                <w:rFonts w:ascii="Segoe UI" w:hAnsi="Segoe UI" w:cs="Segoe UI"/>
                <w:sz w:val="20"/>
                <w:szCs w:val="20"/>
              </w:rPr>
              <w:t>Carers within cluster group 4-17 will report satisfaction with the level of support to the person they care for</w:t>
            </w:r>
          </w:p>
        </w:tc>
        <w:tc>
          <w:tcPr>
            <w:tcW w:w="851" w:type="dxa"/>
            <w:vAlign w:val="center"/>
          </w:tcPr>
          <w:p w:rsidR="00BE524E" w:rsidRPr="005A2921" w:rsidRDefault="00BE524E" w:rsidP="00C36D71">
            <w:pPr>
              <w:jc w:val="center"/>
              <w:rPr>
                <w:rFonts w:ascii="Segoe UI" w:hAnsi="Segoe UI" w:cs="Segoe UI"/>
                <w:sz w:val="20"/>
                <w:szCs w:val="20"/>
              </w:rPr>
            </w:pPr>
            <w:r w:rsidRPr="005A2921">
              <w:rPr>
                <w:rFonts w:ascii="Segoe UI" w:hAnsi="Segoe UI" w:cs="Segoe UI"/>
                <w:sz w:val="20"/>
                <w:szCs w:val="20"/>
              </w:rPr>
              <w:t>90%</w:t>
            </w:r>
          </w:p>
        </w:tc>
        <w:tc>
          <w:tcPr>
            <w:tcW w:w="850" w:type="dxa"/>
            <w:shd w:val="clear" w:color="auto" w:fill="FF0000"/>
            <w:vAlign w:val="center"/>
          </w:tcPr>
          <w:p w:rsidR="00BE524E" w:rsidRPr="005A2921" w:rsidRDefault="00BE524E" w:rsidP="00C36D71">
            <w:pPr>
              <w:jc w:val="center"/>
              <w:rPr>
                <w:rFonts w:ascii="Segoe UI" w:hAnsi="Segoe UI" w:cs="Segoe UI"/>
                <w:sz w:val="20"/>
                <w:szCs w:val="20"/>
              </w:rPr>
            </w:pPr>
            <w:r w:rsidRPr="005A2921">
              <w:rPr>
                <w:rFonts w:ascii="Segoe UI" w:hAnsi="Segoe UI" w:cs="Segoe UI"/>
                <w:sz w:val="20"/>
                <w:szCs w:val="20"/>
              </w:rPr>
              <w:t>66%</w:t>
            </w:r>
          </w:p>
        </w:tc>
        <w:tc>
          <w:tcPr>
            <w:tcW w:w="3827" w:type="dxa"/>
          </w:tcPr>
          <w:p w:rsidR="00BE524E" w:rsidRPr="005A2921" w:rsidRDefault="00BE524E" w:rsidP="00C36D71">
            <w:pPr>
              <w:ind w:left="-108"/>
              <w:rPr>
                <w:noProof/>
              </w:rPr>
            </w:pPr>
            <w:r w:rsidRPr="005A2921">
              <w:rPr>
                <w:noProof/>
              </w:rPr>
              <w:drawing>
                <wp:inline distT="0" distB="0" distL="0" distR="0" wp14:anchorId="611E6C55" wp14:editId="672ED4E4">
                  <wp:extent cx="2422478" cy="1760561"/>
                  <wp:effectExtent l="0" t="0" r="16510" b="11430"/>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1701" w:type="dxa"/>
          </w:tcPr>
          <w:p w:rsidR="00BE524E" w:rsidRPr="005A2921" w:rsidRDefault="00415D66" w:rsidP="00C36D71">
            <w:pPr>
              <w:rPr>
                <w:rFonts w:ascii="Segoe UI" w:hAnsi="Segoe UI" w:cs="Segoe UI"/>
                <w:sz w:val="20"/>
                <w:szCs w:val="22"/>
              </w:rPr>
            </w:pPr>
            <w:r>
              <w:rPr>
                <w:rFonts w:ascii="Segoe UI" w:hAnsi="Segoe UI" w:cs="Segoe UI"/>
                <w:sz w:val="20"/>
                <w:szCs w:val="22"/>
              </w:rPr>
              <w:t>Carer and patient dissatisfaction and lack of support.</w:t>
            </w:r>
          </w:p>
        </w:tc>
        <w:tc>
          <w:tcPr>
            <w:tcW w:w="4111" w:type="dxa"/>
            <w:vMerge w:val="restart"/>
          </w:tcPr>
          <w:p w:rsidR="00BE524E" w:rsidRPr="005A2921" w:rsidRDefault="00BE524E" w:rsidP="00A61B5C">
            <w:pPr>
              <w:rPr>
                <w:rFonts w:ascii="Segoe UI" w:hAnsi="Segoe UI" w:cs="Segoe UI"/>
                <w:color w:val="000000"/>
                <w:sz w:val="20"/>
                <w:szCs w:val="20"/>
              </w:rPr>
            </w:pPr>
            <w:r>
              <w:rPr>
                <w:rFonts w:ascii="Segoe UI" w:hAnsi="Segoe UI" w:cs="Segoe UI"/>
                <w:color w:val="000000"/>
                <w:sz w:val="20"/>
                <w:szCs w:val="20"/>
              </w:rPr>
              <w:t xml:space="preserve">The teams have seen a significant increase in responses in Q4 from both carers and patients following a drive by the service to improve the response rate and capture meaningful feedback. A patient and carer experience and involvement lead has also been appointed and will start in post in May.  They will be working with teams to ensure a positive level of feedback is received and that areas requiring improvement and development are identified from the feedback and worked on.  This will include sharing good practice.  </w:t>
            </w:r>
          </w:p>
        </w:tc>
      </w:tr>
      <w:tr w:rsidR="00BE524E" w:rsidRPr="005A2921" w:rsidTr="00C36D71">
        <w:trPr>
          <w:trHeight w:val="476"/>
        </w:trPr>
        <w:tc>
          <w:tcPr>
            <w:tcW w:w="1277" w:type="dxa"/>
          </w:tcPr>
          <w:p w:rsidR="00BE524E" w:rsidRPr="005A2921" w:rsidRDefault="00BE524E" w:rsidP="00C36D71">
            <w:pPr>
              <w:ind w:right="-16"/>
              <w:rPr>
                <w:rFonts w:ascii="Segoe UI" w:hAnsi="Segoe UI" w:cs="Segoe UI"/>
                <w:sz w:val="20"/>
                <w:szCs w:val="20"/>
              </w:rPr>
            </w:pPr>
            <w:r w:rsidRPr="005A2921">
              <w:rPr>
                <w:rFonts w:ascii="Segoe UI" w:hAnsi="Segoe UI" w:cs="Segoe UI"/>
                <w:sz w:val="20"/>
                <w:szCs w:val="20"/>
              </w:rPr>
              <w:t>Aylesbury Schedule 4</w:t>
            </w:r>
          </w:p>
        </w:tc>
        <w:tc>
          <w:tcPr>
            <w:tcW w:w="708" w:type="dxa"/>
          </w:tcPr>
          <w:p w:rsidR="00BE524E" w:rsidRPr="005A2921" w:rsidRDefault="00BE524E" w:rsidP="00C36D71">
            <w:pPr>
              <w:rPr>
                <w:rFonts w:ascii="Segoe UI" w:hAnsi="Segoe UI" w:cs="Segoe UI"/>
                <w:sz w:val="20"/>
                <w:szCs w:val="20"/>
              </w:rPr>
            </w:pPr>
            <w:r w:rsidRPr="005A2921">
              <w:rPr>
                <w:rFonts w:ascii="Segoe UI" w:hAnsi="Segoe UI" w:cs="Segoe UI"/>
                <w:sz w:val="20"/>
                <w:szCs w:val="20"/>
              </w:rPr>
              <w:t>Local 17</w:t>
            </w:r>
          </w:p>
        </w:tc>
        <w:tc>
          <w:tcPr>
            <w:tcW w:w="1843" w:type="dxa"/>
          </w:tcPr>
          <w:p w:rsidR="00BE524E" w:rsidRPr="005A2921" w:rsidRDefault="00BE524E" w:rsidP="00C36D71">
            <w:pPr>
              <w:rPr>
                <w:rFonts w:ascii="Segoe UI" w:hAnsi="Segoe UI" w:cs="Segoe UI"/>
                <w:sz w:val="20"/>
                <w:szCs w:val="20"/>
              </w:rPr>
            </w:pPr>
            <w:r w:rsidRPr="005A2921">
              <w:rPr>
                <w:rFonts w:ascii="Segoe UI" w:hAnsi="Segoe UI" w:cs="Segoe UI"/>
                <w:sz w:val="20"/>
                <w:szCs w:val="20"/>
              </w:rPr>
              <w:t>Carers within cluster group 4-17 will report satisfaction with the level of support from the service for themselves</w:t>
            </w:r>
          </w:p>
        </w:tc>
        <w:tc>
          <w:tcPr>
            <w:tcW w:w="851" w:type="dxa"/>
            <w:vAlign w:val="center"/>
          </w:tcPr>
          <w:p w:rsidR="00BE524E" w:rsidRPr="005A2921" w:rsidRDefault="00BE524E" w:rsidP="00C36D71">
            <w:pPr>
              <w:jc w:val="center"/>
              <w:rPr>
                <w:rFonts w:ascii="Segoe UI" w:hAnsi="Segoe UI" w:cs="Segoe UI"/>
                <w:sz w:val="20"/>
                <w:szCs w:val="20"/>
              </w:rPr>
            </w:pPr>
            <w:r w:rsidRPr="005A2921">
              <w:rPr>
                <w:rFonts w:ascii="Segoe UI" w:hAnsi="Segoe UI" w:cs="Segoe UI"/>
                <w:sz w:val="20"/>
                <w:szCs w:val="20"/>
              </w:rPr>
              <w:t>90%</w:t>
            </w:r>
          </w:p>
        </w:tc>
        <w:tc>
          <w:tcPr>
            <w:tcW w:w="850" w:type="dxa"/>
            <w:shd w:val="clear" w:color="auto" w:fill="FF0000"/>
            <w:vAlign w:val="center"/>
          </w:tcPr>
          <w:p w:rsidR="00BE524E" w:rsidRPr="005A2921" w:rsidRDefault="00BE524E" w:rsidP="00C36D71">
            <w:pPr>
              <w:jc w:val="center"/>
              <w:rPr>
                <w:rFonts w:ascii="Segoe UI" w:hAnsi="Segoe UI" w:cs="Segoe UI"/>
                <w:sz w:val="20"/>
                <w:szCs w:val="20"/>
              </w:rPr>
            </w:pPr>
            <w:r w:rsidRPr="005A2921">
              <w:rPr>
                <w:rFonts w:ascii="Segoe UI" w:hAnsi="Segoe UI" w:cs="Segoe UI"/>
                <w:sz w:val="20"/>
                <w:szCs w:val="20"/>
              </w:rPr>
              <w:t>63%</w:t>
            </w:r>
          </w:p>
        </w:tc>
        <w:tc>
          <w:tcPr>
            <w:tcW w:w="3827" w:type="dxa"/>
          </w:tcPr>
          <w:p w:rsidR="00BE524E" w:rsidRPr="005A2921" w:rsidRDefault="00BE524E" w:rsidP="00C36D71">
            <w:pPr>
              <w:ind w:left="-108"/>
              <w:rPr>
                <w:noProof/>
              </w:rPr>
            </w:pPr>
            <w:r w:rsidRPr="005A2921">
              <w:rPr>
                <w:noProof/>
              </w:rPr>
              <w:drawing>
                <wp:inline distT="0" distB="0" distL="0" distR="0" wp14:anchorId="0AAA0AC5" wp14:editId="386BD62C">
                  <wp:extent cx="2422566" cy="1876302"/>
                  <wp:effectExtent l="0" t="0" r="15875" b="10160"/>
                  <wp:docPr id="85"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1701" w:type="dxa"/>
          </w:tcPr>
          <w:p w:rsidR="00BE524E" w:rsidRPr="005A2921" w:rsidRDefault="00415D66" w:rsidP="00C36D71">
            <w:pPr>
              <w:rPr>
                <w:rFonts w:ascii="Segoe UI" w:hAnsi="Segoe UI" w:cs="Segoe UI"/>
                <w:sz w:val="20"/>
                <w:szCs w:val="22"/>
              </w:rPr>
            </w:pPr>
            <w:r>
              <w:rPr>
                <w:rFonts w:ascii="Segoe UI" w:hAnsi="Segoe UI" w:cs="Segoe UI"/>
                <w:sz w:val="20"/>
                <w:szCs w:val="22"/>
              </w:rPr>
              <w:t>Carer and patient dissatisfaction and lack of support.</w:t>
            </w:r>
          </w:p>
        </w:tc>
        <w:tc>
          <w:tcPr>
            <w:tcW w:w="4111" w:type="dxa"/>
            <w:vMerge/>
          </w:tcPr>
          <w:p w:rsidR="00BE524E" w:rsidRPr="005A2921" w:rsidRDefault="00BE524E" w:rsidP="00C36D71">
            <w:pPr>
              <w:jc w:val="both"/>
              <w:rPr>
                <w:rFonts w:ascii="Segoe UI" w:hAnsi="Segoe UI" w:cs="Segoe UI"/>
                <w:color w:val="000000"/>
                <w:sz w:val="20"/>
                <w:szCs w:val="20"/>
              </w:rPr>
            </w:pPr>
          </w:p>
        </w:tc>
      </w:tr>
      <w:tr w:rsidR="007A37C3" w:rsidRPr="005A2921" w:rsidTr="00C36D71">
        <w:trPr>
          <w:trHeight w:val="476"/>
        </w:trPr>
        <w:tc>
          <w:tcPr>
            <w:tcW w:w="1277" w:type="dxa"/>
          </w:tcPr>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Chiltern Schedule 4</w:t>
            </w:r>
          </w:p>
        </w:tc>
        <w:tc>
          <w:tcPr>
            <w:tcW w:w="708"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EBS3/ Local 3, 20 &amp; 84</w:t>
            </w:r>
          </w:p>
        </w:tc>
        <w:tc>
          <w:tcPr>
            <w:tcW w:w="1843"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The percentage of Service Users under adult mental illness specialties on CPA who were followed up within 7 days of discharge from psychiatric in-patient care</w:t>
            </w:r>
          </w:p>
        </w:tc>
        <w:tc>
          <w:tcPr>
            <w:tcW w:w="851" w:type="dxa"/>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95%</w:t>
            </w:r>
          </w:p>
        </w:tc>
        <w:tc>
          <w:tcPr>
            <w:tcW w:w="850" w:type="dxa"/>
            <w:shd w:val="clear" w:color="auto" w:fill="FF0000"/>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63%</w:t>
            </w:r>
          </w:p>
        </w:tc>
        <w:tc>
          <w:tcPr>
            <w:tcW w:w="3827" w:type="dxa"/>
          </w:tcPr>
          <w:p w:rsidR="007A37C3" w:rsidRPr="005A2921" w:rsidRDefault="007A37C3" w:rsidP="006165CC">
            <w:pPr>
              <w:ind w:left="-108"/>
              <w:rPr>
                <w:noProof/>
              </w:rPr>
            </w:pPr>
            <w:r w:rsidRPr="005A2921">
              <w:rPr>
                <w:noProof/>
              </w:rPr>
              <w:drawing>
                <wp:inline distT="0" distB="0" distL="0" distR="0" wp14:anchorId="37F297C0" wp14:editId="70B4744B">
                  <wp:extent cx="2422478" cy="1856095"/>
                  <wp:effectExtent l="0" t="0" r="16510" b="11430"/>
                  <wp:docPr id="86"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1701" w:type="dxa"/>
          </w:tcPr>
          <w:p w:rsidR="007A37C3" w:rsidRPr="005A2921" w:rsidRDefault="00415D66" w:rsidP="00C36D71">
            <w:pPr>
              <w:rPr>
                <w:rFonts w:ascii="Segoe UI" w:hAnsi="Segoe UI" w:cs="Segoe UI"/>
                <w:sz w:val="20"/>
                <w:szCs w:val="22"/>
              </w:rPr>
            </w:pPr>
            <w:r w:rsidRPr="005A2921">
              <w:rPr>
                <w:rFonts w:ascii="Segoe UI" w:hAnsi="Segoe UI" w:cs="Segoe UI"/>
                <w:sz w:val="20"/>
                <w:szCs w:val="22"/>
              </w:rPr>
              <w:t>Patient risks may not be adequately managed.</w:t>
            </w:r>
          </w:p>
        </w:tc>
        <w:tc>
          <w:tcPr>
            <w:tcW w:w="4111" w:type="dxa"/>
          </w:tcPr>
          <w:p w:rsidR="007A37C3" w:rsidRPr="005A2921" w:rsidRDefault="007A37C3" w:rsidP="00C36D71">
            <w:pPr>
              <w:jc w:val="both"/>
              <w:rPr>
                <w:rFonts w:ascii="Segoe UI" w:hAnsi="Segoe UI" w:cs="Segoe UI"/>
                <w:color w:val="000000"/>
                <w:sz w:val="20"/>
                <w:szCs w:val="20"/>
              </w:rPr>
            </w:pPr>
            <w:r w:rsidRPr="005A2921">
              <w:rPr>
                <w:rFonts w:ascii="Segoe UI" w:hAnsi="Segoe UI" w:cs="Segoe UI"/>
                <w:color w:val="000000"/>
                <w:sz w:val="20"/>
                <w:szCs w:val="20"/>
              </w:rPr>
              <w:t xml:space="preserve">7 breaches, being followed up for better understanding of what went wrong and to mitigate against future breaches. 6 patients have now been followed up (at time of reporting) longest wait being 18 days. </w:t>
            </w:r>
          </w:p>
        </w:tc>
      </w:tr>
      <w:tr w:rsidR="00BE524E" w:rsidRPr="005A2921" w:rsidTr="00C36D71">
        <w:trPr>
          <w:trHeight w:val="476"/>
        </w:trPr>
        <w:tc>
          <w:tcPr>
            <w:tcW w:w="1277" w:type="dxa"/>
          </w:tcPr>
          <w:p w:rsidR="00BE524E" w:rsidRPr="005A2921" w:rsidRDefault="00BE524E" w:rsidP="00C36D71">
            <w:pPr>
              <w:ind w:right="-16"/>
              <w:rPr>
                <w:rFonts w:ascii="Segoe UI" w:hAnsi="Segoe UI" w:cs="Segoe UI"/>
                <w:sz w:val="20"/>
                <w:szCs w:val="20"/>
              </w:rPr>
            </w:pPr>
            <w:r w:rsidRPr="005A2921">
              <w:rPr>
                <w:rFonts w:ascii="Segoe UI" w:hAnsi="Segoe UI" w:cs="Segoe UI"/>
                <w:sz w:val="20"/>
                <w:szCs w:val="20"/>
              </w:rPr>
              <w:t>Chiltern Schedule 4</w:t>
            </w:r>
          </w:p>
        </w:tc>
        <w:tc>
          <w:tcPr>
            <w:tcW w:w="708" w:type="dxa"/>
          </w:tcPr>
          <w:p w:rsidR="00BE524E" w:rsidRPr="005A2921" w:rsidRDefault="00BE524E" w:rsidP="00C36D71">
            <w:pPr>
              <w:rPr>
                <w:rFonts w:ascii="Segoe UI" w:hAnsi="Segoe UI" w:cs="Segoe UI"/>
                <w:sz w:val="20"/>
                <w:szCs w:val="20"/>
              </w:rPr>
            </w:pPr>
            <w:r w:rsidRPr="005A2921">
              <w:rPr>
                <w:rFonts w:ascii="Segoe UI" w:hAnsi="Segoe UI" w:cs="Segoe UI"/>
                <w:sz w:val="20"/>
                <w:szCs w:val="20"/>
              </w:rPr>
              <w:t>Local 16</w:t>
            </w:r>
          </w:p>
        </w:tc>
        <w:tc>
          <w:tcPr>
            <w:tcW w:w="1843" w:type="dxa"/>
          </w:tcPr>
          <w:p w:rsidR="00BE524E" w:rsidRPr="005A2921" w:rsidRDefault="00BE524E" w:rsidP="00C36D71">
            <w:pPr>
              <w:rPr>
                <w:rFonts w:ascii="Segoe UI" w:hAnsi="Segoe UI" w:cs="Segoe UI"/>
                <w:sz w:val="20"/>
                <w:szCs w:val="20"/>
              </w:rPr>
            </w:pPr>
            <w:r w:rsidRPr="005A2921">
              <w:rPr>
                <w:rFonts w:ascii="Segoe UI" w:hAnsi="Segoe UI" w:cs="Segoe UI"/>
                <w:sz w:val="20"/>
                <w:szCs w:val="20"/>
              </w:rPr>
              <w:t>Carers within cluster group 4-17 will report satisfaction with the level of support to the person they care for</w:t>
            </w:r>
          </w:p>
          <w:p w:rsidR="00BE524E" w:rsidRPr="005A2921" w:rsidRDefault="00BE524E" w:rsidP="00C36D71">
            <w:pPr>
              <w:rPr>
                <w:rFonts w:ascii="Segoe UI" w:hAnsi="Segoe UI" w:cs="Segoe UI"/>
                <w:sz w:val="20"/>
                <w:szCs w:val="20"/>
              </w:rPr>
            </w:pPr>
          </w:p>
        </w:tc>
        <w:tc>
          <w:tcPr>
            <w:tcW w:w="851" w:type="dxa"/>
            <w:vAlign w:val="center"/>
          </w:tcPr>
          <w:p w:rsidR="00BE524E" w:rsidRPr="005A2921" w:rsidRDefault="00BE524E" w:rsidP="00C36D71">
            <w:pPr>
              <w:jc w:val="center"/>
              <w:rPr>
                <w:rFonts w:ascii="Segoe UI" w:hAnsi="Segoe UI" w:cs="Segoe UI"/>
                <w:sz w:val="20"/>
                <w:szCs w:val="20"/>
              </w:rPr>
            </w:pPr>
            <w:r w:rsidRPr="005A2921">
              <w:rPr>
                <w:rFonts w:ascii="Segoe UI" w:hAnsi="Segoe UI" w:cs="Segoe UI"/>
                <w:sz w:val="20"/>
                <w:szCs w:val="20"/>
              </w:rPr>
              <w:t>90%</w:t>
            </w:r>
          </w:p>
        </w:tc>
        <w:tc>
          <w:tcPr>
            <w:tcW w:w="850" w:type="dxa"/>
            <w:shd w:val="clear" w:color="auto" w:fill="FF0000"/>
            <w:vAlign w:val="center"/>
          </w:tcPr>
          <w:p w:rsidR="00BE524E" w:rsidRPr="005A2921" w:rsidRDefault="00BE524E" w:rsidP="00C36D71">
            <w:pPr>
              <w:jc w:val="center"/>
              <w:rPr>
                <w:rFonts w:ascii="Segoe UI" w:hAnsi="Segoe UI" w:cs="Segoe UI"/>
                <w:sz w:val="20"/>
                <w:szCs w:val="20"/>
              </w:rPr>
            </w:pPr>
            <w:r w:rsidRPr="005A2921">
              <w:rPr>
                <w:rFonts w:ascii="Segoe UI" w:hAnsi="Segoe UI" w:cs="Segoe UI"/>
                <w:sz w:val="20"/>
                <w:szCs w:val="20"/>
              </w:rPr>
              <w:t>66%</w:t>
            </w:r>
          </w:p>
        </w:tc>
        <w:tc>
          <w:tcPr>
            <w:tcW w:w="3827" w:type="dxa"/>
          </w:tcPr>
          <w:p w:rsidR="00BE524E" w:rsidRPr="005A2921" w:rsidRDefault="00BE524E" w:rsidP="00C36D71">
            <w:pPr>
              <w:ind w:left="-108"/>
              <w:rPr>
                <w:noProof/>
              </w:rPr>
            </w:pPr>
            <w:r w:rsidRPr="005A2921">
              <w:rPr>
                <w:noProof/>
              </w:rPr>
              <w:drawing>
                <wp:inline distT="0" distB="0" distL="0" distR="0" wp14:anchorId="14E7AB1C" wp14:editId="169C1582">
                  <wp:extent cx="2422566" cy="1531917"/>
                  <wp:effectExtent l="0" t="0" r="15875" b="11430"/>
                  <wp:docPr id="87"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1701" w:type="dxa"/>
          </w:tcPr>
          <w:p w:rsidR="00BE524E" w:rsidRPr="005A2921" w:rsidRDefault="00415D66" w:rsidP="00C36D71">
            <w:pPr>
              <w:rPr>
                <w:rFonts w:ascii="Segoe UI" w:hAnsi="Segoe UI" w:cs="Segoe UI"/>
                <w:sz w:val="20"/>
                <w:szCs w:val="22"/>
              </w:rPr>
            </w:pPr>
            <w:r>
              <w:rPr>
                <w:rFonts w:ascii="Segoe UI" w:hAnsi="Segoe UI" w:cs="Segoe UI"/>
                <w:sz w:val="20"/>
                <w:szCs w:val="22"/>
              </w:rPr>
              <w:t>Carer and patient dissatisfaction and lack of support.</w:t>
            </w:r>
          </w:p>
        </w:tc>
        <w:tc>
          <w:tcPr>
            <w:tcW w:w="4111" w:type="dxa"/>
            <w:vMerge w:val="restart"/>
          </w:tcPr>
          <w:p w:rsidR="00BE524E" w:rsidRPr="005A2921" w:rsidRDefault="00BE524E" w:rsidP="00A61B5C">
            <w:pPr>
              <w:rPr>
                <w:rFonts w:ascii="Segoe UI" w:hAnsi="Segoe UI" w:cs="Segoe UI"/>
                <w:color w:val="000000"/>
                <w:sz w:val="20"/>
                <w:szCs w:val="20"/>
              </w:rPr>
            </w:pPr>
            <w:r>
              <w:rPr>
                <w:rFonts w:ascii="Segoe UI" w:hAnsi="Segoe UI" w:cs="Segoe UI"/>
                <w:color w:val="000000"/>
                <w:sz w:val="20"/>
                <w:szCs w:val="20"/>
              </w:rPr>
              <w:t xml:space="preserve">The teams have seen a significant increase in responses in Q4 from both carers and patients following a drive by the service to improve the response rate and capture meaningful feedback. A patient and carer experience and involvement lead has also been appointed and will start in post in May.  They will be working with teams to ensure a positive level of feedback is received and that areas requiring improvement and development are identified from the feedback and worked on.  This will include sharing good practice.  </w:t>
            </w:r>
          </w:p>
        </w:tc>
      </w:tr>
      <w:tr w:rsidR="00BE524E" w:rsidRPr="005A2921" w:rsidTr="00C36D71">
        <w:trPr>
          <w:trHeight w:val="476"/>
        </w:trPr>
        <w:tc>
          <w:tcPr>
            <w:tcW w:w="1277" w:type="dxa"/>
          </w:tcPr>
          <w:p w:rsidR="00BE524E" w:rsidRPr="005A2921" w:rsidRDefault="00BE524E" w:rsidP="00C36D71">
            <w:pPr>
              <w:ind w:right="-16"/>
              <w:rPr>
                <w:rFonts w:ascii="Segoe UI" w:hAnsi="Segoe UI" w:cs="Segoe UI"/>
                <w:sz w:val="20"/>
                <w:szCs w:val="20"/>
              </w:rPr>
            </w:pPr>
            <w:r w:rsidRPr="005A2921">
              <w:rPr>
                <w:rFonts w:ascii="Segoe UI" w:hAnsi="Segoe UI" w:cs="Segoe UI"/>
                <w:sz w:val="20"/>
                <w:szCs w:val="20"/>
              </w:rPr>
              <w:t>Chiltern Schedule 4</w:t>
            </w:r>
          </w:p>
        </w:tc>
        <w:tc>
          <w:tcPr>
            <w:tcW w:w="708" w:type="dxa"/>
          </w:tcPr>
          <w:p w:rsidR="00BE524E" w:rsidRPr="005A2921" w:rsidRDefault="00BE524E" w:rsidP="00C36D71">
            <w:pPr>
              <w:rPr>
                <w:rFonts w:ascii="Segoe UI" w:hAnsi="Segoe UI" w:cs="Segoe UI"/>
                <w:sz w:val="20"/>
                <w:szCs w:val="20"/>
              </w:rPr>
            </w:pPr>
            <w:r w:rsidRPr="005A2921">
              <w:rPr>
                <w:rFonts w:ascii="Segoe UI" w:hAnsi="Segoe UI" w:cs="Segoe UI"/>
                <w:sz w:val="20"/>
                <w:szCs w:val="20"/>
              </w:rPr>
              <w:t>Local 17</w:t>
            </w:r>
          </w:p>
        </w:tc>
        <w:tc>
          <w:tcPr>
            <w:tcW w:w="1843" w:type="dxa"/>
          </w:tcPr>
          <w:p w:rsidR="00BE524E" w:rsidRPr="005A2921" w:rsidRDefault="00BE524E" w:rsidP="00C36D71">
            <w:pPr>
              <w:rPr>
                <w:rFonts w:ascii="Segoe UI" w:hAnsi="Segoe UI" w:cs="Segoe UI"/>
                <w:sz w:val="20"/>
                <w:szCs w:val="20"/>
              </w:rPr>
            </w:pPr>
            <w:r w:rsidRPr="005A2921">
              <w:rPr>
                <w:rFonts w:ascii="Segoe UI" w:hAnsi="Segoe UI" w:cs="Segoe UI"/>
                <w:sz w:val="20"/>
                <w:szCs w:val="20"/>
              </w:rPr>
              <w:t>Carers within cluster group 4-17 will report satisfaction with the level of support from the service for themselves</w:t>
            </w:r>
          </w:p>
        </w:tc>
        <w:tc>
          <w:tcPr>
            <w:tcW w:w="851" w:type="dxa"/>
            <w:vAlign w:val="center"/>
          </w:tcPr>
          <w:p w:rsidR="00BE524E" w:rsidRPr="005A2921" w:rsidRDefault="00BE524E" w:rsidP="00C36D71">
            <w:pPr>
              <w:jc w:val="center"/>
              <w:rPr>
                <w:rFonts w:ascii="Segoe UI" w:hAnsi="Segoe UI" w:cs="Segoe UI"/>
                <w:sz w:val="20"/>
                <w:szCs w:val="20"/>
              </w:rPr>
            </w:pPr>
            <w:r w:rsidRPr="005A2921">
              <w:rPr>
                <w:rFonts w:ascii="Segoe UI" w:hAnsi="Segoe UI" w:cs="Segoe UI"/>
                <w:sz w:val="20"/>
                <w:szCs w:val="20"/>
              </w:rPr>
              <w:t>90%</w:t>
            </w:r>
          </w:p>
        </w:tc>
        <w:tc>
          <w:tcPr>
            <w:tcW w:w="850" w:type="dxa"/>
            <w:shd w:val="clear" w:color="auto" w:fill="FF0000"/>
            <w:vAlign w:val="center"/>
          </w:tcPr>
          <w:p w:rsidR="00BE524E" w:rsidRPr="005A2921" w:rsidRDefault="00BE524E" w:rsidP="00C36D71">
            <w:pPr>
              <w:jc w:val="center"/>
              <w:rPr>
                <w:rFonts w:ascii="Segoe UI" w:hAnsi="Segoe UI" w:cs="Segoe UI"/>
                <w:sz w:val="20"/>
                <w:szCs w:val="20"/>
              </w:rPr>
            </w:pPr>
            <w:r w:rsidRPr="005A2921">
              <w:rPr>
                <w:rFonts w:ascii="Segoe UI" w:hAnsi="Segoe UI" w:cs="Segoe UI"/>
                <w:sz w:val="20"/>
                <w:szCs w:val="20"/>
              </w:rPr>
              <w:t>63%</w:t>
            </w:r>
          </w:p>
        </w:tc>
        <w:tc>
          <w:tcPr>
            <w:tcW w:w="3827" w:type="dxa"/>
          </w:tcPr>
          <w:p w:rsidR="00BE524E" w:rsidRPr="005A2921" w:rsidRDefault="00BE524E" w:rsidP="00C36D71">
            <w:pPr>
              <w:ind w:left="-108"/>
              <w:rPr>
                <w:noProof/>
              </w:rPr>
            </w:pPr>
            <w:r w:rsidRPr="005A2921">
              <w:rPr>
                <w:noProof/>
              </w:rPr>
              <w:drawing>
                <wp:inline distT="0" distB="0" distL="0" distR="0" wp14:anchorId="7CF1E8E0" wp14:editId="677FD29B">
                  <wp:extent cx="2424223" cy="1743740"/>
                  <wp:effectExtent l="0" t="0" r="14605" b="27940"/>
                  <wp:docPr id="88"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1701" w:type="dxa"/>
          </w:tcPr>
          <w:p w:rsidR="00BE524E" w:rsidRPr="005A2921" w:rsidRDefault="00415D66" w:rsidP="00C36D71">
            <w:pPr>
              <w:rPr>
                <w:rFonts w:ascii="Segoe UI" w:hAnsi="Segoe UI" w:cs="Segoe UI"/>
                <w:sz w:val="20"/>
                <w:szCs w:val="22"/>
              </w:rPr>
            </w:pPr>
            <w:r>
              <w:rPr>
                <w:rFonts w:ascii="Segoe UI" w:hAnsi="Segoe UI" w:cs="Segoe UI"/>
                <w:sz w:val="20"/>
                <w:szCs w:val="22"/>
              </w:rPr>
              <w:t>Carer and patient dissatisfaction and lack of support.</w:t>
            </w:r>
          </w:p>
        </w:tc>
        <w:tc>
          <w:tcPr>
            <w:tcW w:w="4111" w:type="dxa"/>
            <w:vMerge/>
          </w:tcPr>
          <w:p w:rsidR="00BE524E" w:rsidRPr="005A2921" w:rsidRDefault="00BE524E" w:rsidP="00C36D71">
            <w:pPr>
              <w:jc w:val="both"/>
              <w:rPr>
                <w:rFonts w:ascii="Segoe UI" w:hAnsi="Segoe UI" w:cs="Segoe UI"/>
                <w:color w:val="000000"/>
                <w:sz w:val="20"/>
                <w:szCs w:val="20"/>
              </w:rPr>
            </w:pPr>
          </w:p>
        </w:tc>
      </w:tr>
      <w:tr w:rsidR="007A37C3" w:rsidRPr="005A2921" w:rsidTr="00C36D71">
        <w:trPr>
          <w:trHeight w:val="476"/>
        </w:trPr>
        <w:tc>
          <w:tcPr>
            <w:tcW w:w="1277" w:type="dxa"/>
          </w:tcPr>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Forensics</w:t>
            </w:r>
          </w:p>
        </w:tc>
        <w:tc>
          <w:tcPr>
            <w:tcW w:w="708"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LQ 9</w:t>
            </w:r>
          </w:p>
        </w:tc>
        <w:tc>
          <w:tcPr>
            <w:tcW w:w="1843"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 of in-patients who have accessed a routine dental check-up/ examination in the last 12 months</w:t>
            </w:r>
          </w:p>
        </w:tc>
        <w:tc>
          <w:tcPr>
            <w:tcW w:w="851" w:type="dxa"/>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70%</w:t>
            </w:r>
          </w:p>
        </w:tc>
        <w:tc>
          <w:tcPr>
            <w:tcW w:w="850" w:type="dxa"/>
            <w:shd w:val="clear" w:color="auto" w:fill="FF0000"/>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LSU: 51%</w:t>
            </w:r>
          </w:p>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MSU: 44%</w:t>
            </w:r>
          </w:p>
        </w:tc>
        <w:tc>
          <w:tcPr>
            <w:tcW w:w="3827" w:type="dxa"/>
          </w:tcPr>
          <w:p w:rsidR="007A37C3" w:rsidRPr="005A2921" w:rsidRDefault="007A37C3" w:rsidP="00C36D71">
            <w:pPr>
              <w:ind w:left="-108"/>
              <w:rPr>
                <w:rFonts w:ascii="Segoe UI" w:hAnsi="Segoe UI" w:cs="Segoe UI"/>
                <w:color w:val="000000"/>
                <w:sz w:val="20"/>
                <w:szCs w:val="20"/>
              </w:rPr>
            </w:pPr>
            <w:r w:rsidRPr="005A2921">
              <w:rPr>
                <w:noProof/>
              </w:rPr>
              <w:drawing>
                <wp:inline distT="0" distB="0" distL="0" distR="0" wp14:anchorId="610A6D2A" wp14:editId="680AC031">
                  <wp:extent cx="2429302" cy="1665027"/>
                  <wp:effectExtent l="0" t="0" r="9525" b="11430"/>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c>
          <w:tcPr>
            <w:tcW w:w="1701" w:type="dxa"/>
          </w:tcPr>
          <w:p w:rsidR="007A37C3" w:rsidRPr="005A2921" w:rsidRDefault="00415D66" w:rsidP="00C36D71">
            <w:pPr>
              <w:rPr>
                <w:rFonts w:ascii="Segoe UI" w:hAnsi="Segoe UI" w:cs="Segoe UI"/>
                <w:sz w:val="20"/>
                <w:szCs w:val="22"/>
              </w:rPr>
            </w:pPr>
            <w:r w:rsidRPr="005A2921">
              <w:rPr>
                <w:rFonts w:ascii="Segoe UI" w:hAnsi="Segoe UI" w:cs="Segoe UI"/>
                <w:sz w:val="20"/>
                <w:szCs w:val="22"/>
              </w:rPr>
              <w:t>Risk that patients may not be receiving the care that they need.</w:t>
            </w:r>
          </w:p>
        </w:tc>
        <w:tc>
          <w:tcPr>
            <w:tcW w:w="4111" w:type="dxa"/>
          </w:tcPr>
          <w:p w:rsidR="007A37C3" w:rsidRDefault="00DC6D6F" w:rsidP="00F96A88">
            <w:pPr>
              <w:rPr>
                <w:rFonts w:ascii="Segoe UI" w:hAnsi="Segoe UI" w:cs="Segoe UI"/>
                <w:color w:val="000000"/>
                <w:sz w:val="20"/>
                <w:szCs w:val="20"/>
              </w:rPr>
            </w:pPr>
            <w:r>
              <w:rPr>
                <w:rFonts w:ascii="Segoe UI" w:hAnsi="Segoe UI" w:cs="Segoe UI"/>
                <w:color w:val="000000"/>
                <w:sz w:val="20"/>
                <w:szCs w:val="20"/>
              </w:rPr>
              <w:t>Access to routine d</w:t>
            </w:r>
            <w:r w:rsidRPr="00DC6D6F">
              <w:rPr>
                <w:rFonts w:ascii="Segoe UI" w:hAnsi="Segoe UI" w:cs="Segoe UI"/>
                <w:color w:val="000000"/>
                <w:sz w:val="20"/>
                <w:szCs w:val="20"/>
              </w:rPr>
              <w:t>ental services continue to</w:t>
            </w:r>
            <w:r w:rsidR="00DE33A5">
              <w:rPr>
                <w:rFonts w:ascii="Segoe UI" w:hAnsi="Segoe UI" w:cs="Segoe UI"/>
                <w:color w:val="000000"/>
                <w:sz w:val="20"/>
                <w:szCs w:val="20"/>
              </w:rPr>
              <w:t xml:space="preserve"> be</w:t>
            </w:r>
            <w:r w:rsidRPr="00DC6D6F">
              <w:rPr>
                <w:rFonts w:ascii="Segoe UI" w:hAnsi="Segoe UI" w:cs="Segoe UI"/>
                <w:color w:val="000000"/>
                <w:sz w:val="20"/>
                <w:szCs w:val="20"/>
              </w:rPr>
              <w:t xml:space="preserve"> problematic </w:t>
            </w:r>
            <w:r>
              <w:rPr>
                <w:rFonts w:ascii="Segoe UI" w:hAnsi="Segoe UI" w:cs="Segoe UI"/>
                <w:color w:val="000000"/>
                <w:sz w:val="20"/>
                <w:szCs w:val="20"/>
              </w:rPr>
              <w:t xml:space="preserve">in MSU </w:t>
            </w:r>
            <w:r w:rsidRPr="00DC6D6F">
              <w:rPr>
                <w:rFonts w:ascii="Segoe UI" w:hAnsi="Segoe UI" w:cs="Segoe UI"/>
                <w:color w:val="000000"/>
                <w:sz w:val="20"/>
                <w:szCs w:val="20"/>
              </w:rPr>
              <w:t>primarily due to</w:t>
            </w:r>
            <w:r>
              <w:rPr>
                <w:rFonts w:ascii="Segoe UI" w:hAnsi="Segoe UI" w:cs="Segoe UI"/>
                <w:color w:val="000000"/>
                <w:sz w:val="20"/>
                <w:szCs w:val="20"/>
              </w:rPr>
              <w:t xml:space="preserve"> patient leave status</w:t>
            </w:r>
            <w:r w:rsidR="00DE33A5">
              <w:rPr>
                <w:rFonts w:ascii="Segoe UI" w:hAnsi="Segoe UI" w:cs="Segoe UI"/>
                <w:color w:val="000000"/>
                <w:sz w:val="20"/>
                <w:szCs w:val="20"/>
              </w:rPr>
              <w:t>.  D</w:t>
            </w:r>
            <w:r w:rsidR="00494ACA">
              <w:rPr>
                <w:rFonts w:ascii="Segoe UI" w:hAnsi="Segoe UI" w:cs="Segoe UI"/>
                <w:color w:val="000000"/>
                <w:sz w:val="20"/>
                <w:szCs w:val="20"/>
              </w:rPr>
              <w:t>iscussions continue around the possibility of providing an in-reach service but funding appears an issue</w:t>
            </w:r>
            <w:r w:rsidR="00DE33A5">
              <w:rPr>
                <w:rFonts w:ascii="Segoe UI" w:hAnsi="Segoe UI" w:cs="Segoe UI"/>
                <w:color w:val="000000"/>
                <w:sz w:val="20"/>
                <w:szCs w:val="20"/>
              </w:rPr>
              <w:t>. T</w:t>
            </w:r>
            <w:r w:rsidRPr="00DC6D6F">
              <w:rPr>
                <w:rFonts w:ascii="Segoe UI" w:hAnsi="Segoe UI" w:cs="Segoe UI"/>
                <w:color w:val="000000"/>
                <w:sz w:val="20"/>
                <w:szCs w:val="20"/>
              </w:rPr>
              <w:t>his continues to be a work in progress</w:t>
            </w:r>
            <w:r>
              <w:rPr>
                <w:rFonts w:ascii="Segoe UI" w:hAnsi="Segoe UI" w:cs="Segoe UI"/>
                <w:color w:val="000000"/>
                <w:sz w:val="20"/>
                <w:szCs w:val="20"/>
              </w:rPr>
              <w:t>.</w:t>
            </w:r>
          </w:p>
          <w:p w:rsidR="00DC6D6F" w:rsidRPr="005A2921" w:rsidRDefault="00DC6D6F" w:rsidP="00F96A88">
            <w:pPr>
              <w:rPr>
                <w:rFonts w:ascii="Segoe UI" w:hAnsi="Segoe UI" w:cs="Segoe UI"/>
                <w:color w:val="000000"/>
                <w:sz w:val="20"/>
                <w:szCs w:val="20"/>
              </w:rPr>
            </w:pPr>
            <w:r>
              <w:rPr>
                <w:rFonts w:ascii="Segoe UI" w:hAnsi="Segoe UI" w:cs="Segoe UI"/>
                <w:color w:val="000000"/>
                <w:sz w:val="20"/>
                <w:szCs w:val="20"/>
              </w:rPr>
              <w:t>Information has been requested to better underst</w:t>
            </w:r>
            <w:r w:rsidR="00494ACA">
              <w:rPr>
                <w:rFonts w:ascii="Segoe UI" w:hAnsi="Segoe UI" w:cs="Segoe UI"/>
                <w:color w:val="000000"/>
                <w:sz w:val="20"/>
                <w:szCs w:val="20"/>
              </w:rPr>
              <w:t>and the drop in L</w:t>
            </w:r>
            <w:r>
              <w:rPr>
                <w:rFonts w:ascii="Segoe UI" w:hAnsi="Segoe UI" w:cs="Segoe UI"/>
                <w:color w:val="000000"/>
                <w:sz w:val="20"/>
                <w:szCs w:val="20"/>
              </w:rPr>
              <w:t>SU</w:t>
            </w:r>
            <w:r w:rsidR="00494ACA">
              <w:rPr>
                <w:rFonts w:ascii="Segoe UI" w:hAnsi="Segoe UI" w:cs="Segoe UI"/>
                <w:color w:val="000000"/>
                <w:sz w:val="20"/>
                <w:szCs w:val="20"/>
              </w:rPr>
              <w:t>, but is likely to be linked to a change in patient population and presentation.</w:t>
            </w:r>
          </w:p>
        </w:tc>
      </w:tr>
      <w:tr w:rsidR="007A37C3" w:rsidRPr="005A2921" w:rsidTr="00C36D71">
        <w:trPr>
          <w:trHeight w:val="476"/>
        </w:trPr>
        <w:tc>
          <w:tcPr>
            <w:tcW w:w="1277" w:type="dxa"/>
          </w:tcPr>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Forensics</w:t>
            </w:r>
          </w:p>
        </w:tc>
        <w:tc>
          <w:tcPr>
            <w:tcW w:w="708"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LQ 8</w:t>
            </w:r>
          </w:p>
        </w:tc>
        <w:tc>
          <w:tcPr>
            <w:tcW w:w="1843"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 Discharge Summaries  sent to the Service User’s GP and/or Referrer and to any third party provider with 24 hours</w:t>
            </w:r>
          </w:p>
          <w:p w:rsidR="007A37C3" w:rsidRPr="005A2921" w:rsidRDefault="007A37C3" w:rsidP="00C36D71">
            <w:pPr>
              <w:rPr>
                <w:rFonts w:ascii="Segoe UI" w:hAnsi="Segoe UI" w:cs="Segoe UI"/>
                <w:sz w:val="20"/>
                <w:szCs w:val="20"/>
              </w:rPr>
            </w:pPr>
          </w:p>
        </w:tc>
        <w:tc>
          <w:tcPr>
            <w:tcW w:w="851" w:type="dxa"/>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100%</w:t>
            </w:r>
          </w:p>
        </w:tc>
        <w:tc>
          <w:tcPr>
            <w:tcW w:w="850" w:type="dxa"/>
            <w:shd w:val="clear" w:color="auto" w:fill="FF0000"/>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MSU: 0%</w:t>
            </w:r>
          </w:p>
        </w:tc>
        <w:tc>
          <w:tcPr>
            <w:tcW w:w="3827" w:type="dxa"/>
          </w:tcPr>
          <w:p w:rsidR="007A37C3" w:rsidRPr="005A2921" w:rsidRDefault="007A37C3" w:rsidP="00C36D71">
            <w:pPr>
              <w:ind w:left="-108"/>
              <w:rPr>
                <w:rFonts w:ascii="Segoe UI" w:hAnsi="Segoe UI" w:cs="Segoe UI"/>
                <w:color w:val="000000"/>
                <w:sz w:val="20"/>
                <w:szCs w:val="20"/>
              </w:rPr>
            </w:pPr>
            <w:r w:rsidRPr="005A2921">
              <w:rPr>
                <w:noProof/>
              </w:rPr>
              <w:drawing>
                <wp:inline distT="0" distB="0" distL="0" distR="0" wp14:anchorId="0D404285" wp14:editId="75449F3C">
                  <wp:extent cx="2422566" cy="1686296"/>
                  <wp:effectExtent l="0" t="0" r="15875" b="9525"/>
                  <wp:docPr id="90" name="Chart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c>
          <w:tcPr>
            <w:tcW w:w="1701" w:type="dxa"/>
          </w:tcPr>
          <w:p w:rsidR="007A37C3" w:rsidRPr="005A2921" w:rsidRDefault="00415D66" w:rsidP="00C36D71">
            <w:pPr>
              <w:rPr>
                <w:rFonts w:ascii="Segoe UI" w:hAnsi="Segoe UI" w:cs="Segoe UI"/>
                <w:sz w:val="20"/>
                <w:szCs w:val="22"/>
              </w:rPr>
            </w:pPr>
            <w:r>
              <w:rPr>
                <w:rFonts w:ascii="Segoe UI" w:hAnsi="Segoe UI" w:cs="Segoe UI"/>
                <w:sz w:val="20"/>
                <w:szCs w:val="22"/>
              </w:rPr>
              <w:t>Delayed communication of pertinent information to primary care/referrer/third party</w:t>
            </w:r>
          </w:p>
        </w:tc>
        <w:tc>
          <w:tcPr>
            <w:tcW w:w="4111" w:type="dxa"/>
          </w:tcPr>
          <w:p w:rsidR="007A37C3" w:rsidRPr="005A2921" w:rsidRDefault="00494ACA" w:rsidP="00DE33A5">
            <w:pPr>
              <w:rPr>
                <w:rFonts w:ascii="Segoe UI" w:hAnsi="Segoe UI" w:cs="Segoe UI"/>
                <w:color w:val="000000"/>
                <w:sz w:val="20"/>
                <w:szCs w:val="20"/>
              </w:rPr>
            </w:pPr>
            <w:r>
              <w:rPr>
                <w:rFonts w:ascii="Segoe UI" w:hAnsi="Segoe UI" w:cs="Segoe UI"/>
                <w:color w:val="000000"/>
                <w:sz w:val="20"/>
                <w:szCs w:val="20"/>
              </w:rPr>
              <w:t>This is being followed up to better understand why this is not</w:t>
            </w:r>
            <w:r w:rsidR="00016233">
              <w:rPr>
                <w:rFonts w:ascii="Segoe UI" w:hAnsi="Segoe UI" w:cs="Segoe UI"/>
                <w:color w:val="000000"/>
                <w:sz w:val="20"/>
                <w:szCs w:val="20"/>
              </w:rPr>
              <w:t xml:space="preserve"> being achieved and to </w:t>
            </w:r>
            <w:r w:rsidR="00DE33A5">
              <w:rPr>
                <w:rFonts w:ascii="Segoe UI" w:hAnsi="Segoe UI" w:cs="Segoe UI"/>
                <w:color w:val="000000"/>
                <w:sz w:val="20"/>
                <w:szCs w:val="20"/>
              </w:rPr>
              <w:t>reduce the risk of any</w:t>
            </w:r>
            <w:r>
              <w:rPr>
                <w:rFonts w:ascii="Segoe UI" w:hAnsi="Segoe UI" w:cs="Segoe UI"/>
                <w:color w:val="000000"/>
                <w:sz w:val="20"/>
                <w:szCs w:val="20"/>
              </w:rPr>
              <w:t xml:space="preserve"> future breaches.</w:t>
            </w:r>
          </w:p>
        </w:tc>
      </w:tr>
      <w:tr w:rsidR="007A37C3" w:rsidRPr="005A2921" w:rsidTr="00C36D71">
        <w:trPr>
          <w:trHeight w:val="476"/>
        </w:trPr>
        <w:tc>
          <w:tcPr>
            <w:tcW w:w="1277" w:type="dxa"/>
          </w:tcPr>
          <w:p w:rsidR="007A37C3" w:rsidRPr="005A2921" w:rsidRDefault="007A37C3" w:rsidP="00C36D71">
            <w:pPr>
              <w:ind w:right="-16"/>
              <w:rPr>
                <w:rFonts w:ascii="Segoe UI" w:hAnsi="Segoe UI" w:cs="Segoe UI"/>
                <w:sz w:val="20"/>
                <w:szCs w:val="20"/>
              </w:rPr>
            </w:pPr>
            <w:r w:rsidRPr="005A2921">
              <w:rPr>
                <w:rFonts w:ascii="Segoe UI" w:hAnsi="Segoe UI" w:cs="Segoe UI"/>
                <w:sz w:val="20"/>
                <w:szCs w:val="20"/>
              </w:rPr>
              <w:t>Forensics</w:t>
            </w:r>
          </w:p>
        </w:tc>
        <w:tc>
          <w:tcPr>
            <w:tcW w:w="708"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LQ 4</w:t>
            </w:r>
          </w:p>
        </w:tc>
        <w:tc>
          <w:tcPr>
            <w:tcW w:w="1843" w:type="dxa"/>
          </w:tcPr>
          <w:p w:rsidR="007A37C3" w:rsidRPr="005A2921" w:rsidRDefault="007A37C3" w:rsidP="00C36D71">
            <w:pPr>
              <w:rPr>
                <w:rFonts w:ascii="Segoe UI" w:hAnsi="Segoe UI" w:cs="Segoe UI"/>
                <w:sz w:val="20"/>
                <w:szCs w:val="20"/>
              </w:rPr>
            </w:pPr>
            <w:r w:rsidRPr="005A2921">
              <w:rPr>
                <w:rFonts w:ascii="Segoe UI" w:hAnsi="Segoe UI" w:cs="Segoe UI"/>
                <w:sz w:val="20"/>
                <w:szCs w:val="20"/>
              </w:rPr>
              <w:t>% HCR20 completed in 3 months</w:t>
            </w:r>
          </w:p>
          <w:p w:rsidR="007A37C3" w:rsidRPr="005A2921" w:rsidRDefault="007A37C3" w:rsidP="00C36D71">
            <w:pPr>
              <w:rPr>
                <w:rFonts w:ascii="Segoe UI" w:hAnsi="Segoe UI" w:cs="Segoe UI"/>
                <w:sz w:val="20"/>
                <w:szCs w:val="20"/>
              </w:rPr>
            </w:pPr>
          </w:p>
        </w:tc>
        <w:tc>
          <w:tcPr>
            <w:tcW w:w="851" w:type="dxa"/>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95%</w:t>
            </w:r>
          </w:p>
        </w:tc>
        <w:tc>
          <w:tcPr>
            <w:tcW w:w="850" w:type="dxa"/>
            <w:shd w:val="clear" w:color="auto" w:fill="FF0000"/>
            <w:vAlign w:val="center"/>
          </w:tcPr>
          <w:p w:rsidR="007A37C3" w:rsidRPr="005A2921" w:rsidRDefault="007A37C3" w:rsidP="00C36D71">
            <w:pPr>
              <w:jc w:val="center"/>
              <w:rPr>
                <w:rFonts w:ascii="Segoe UI" w:hAnsi="Segoe UI" w:cs="Segoe UI"/>
                <w:sz w:val="20"/>
                <w:szCs w:val="20"/>
              </w:rPr>
            </w:pPr>
            <w:r w:rsidRPr="005A2921">
              <w:rPr>
                <w:rFonts w:ascii="Segoe UI" w:hAnsi="Segoe UI" w:cs="Segoe UI"/>
                <w:sz w:val="20"/>
                <w:szCs w:val="20"/>
              </w:rPr>
              <w:t>LSU: 67%</w:t>
            </w:r>
          </w:p>
        </w:tc>
        <w:tc>
          <w:tcPr>
            <w:tcW w:w="3827" w:type="dxa"/>
          </w:tcPr>
          <w:p w:rsidR="007A37C3" w:rsidRPr="005A2921" w:rsidRDefault="007A37C3" w:rsidP="00C36D71">
            <w:pPr>
              <w:ind w:left="-108"/>
              <w:rPr>
                <w:rFonts w:ascii="Segoe UI" w:hAnsi="Segoe UI" w:cs="Segoe UI"/>
                <w:color w:val="000000"/>
                <w:sz w:val="20"/>
                <w:szCs w:val="20"/>
              </w:rPr>
            </w:pPr>
            <w:r w:rsidRPr="005A2921">
              <w:rPr>
                <w:noProof/>
              </w:rPr>
              <w:drawing>
                <wp:inline distT="0" distB="0" distL="0" distR="0" wp14:anchorId="252ED549" wp14:editId="10B92884">
                  <wp:extent cx="2429302" cy="2047164"/>
                  <wp:effectExtent l="0" t="0" r="9525" b="10795"/>
                  <wp:docPr id="91" name="Chart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c>
          <w:tcPr>
            <w:tcW w:w="1701" w:type="dxa"/>
          </w:tcPr>
          <w:p w:rsidR="007A37C3" w:rsidRPr="005A2921" w:rsidRDefault="007A37C3" w:rsidP="00C36D71">
            <w:pPr>
              <w:rPr>
                <w:rFonts w:ascii="Segoe UI" w:hAnsi="Segoe UI" w:cs="Segoe UI"/>
                <w:sz w:val="20"/>
                <w:szCs w:val="22"/>
              </w:rPr>
            </w:pPr>
          </w:p>
        </w:tc>
        <w:tc>
          <w:tcPr>
            <w:tcW w:w="4111" w:type="dxa"/>
          </w:tcPr>
          <w:p w:rsidR="007A37C3" w:rsidRPr="005A2921" w:rsidRDefault="00494ACA" w:rsidP="00F96A88">
            <w:pPr>
              <w:rPr>
                <w:rFonts w:ascii="Segoe UI" w:hAnsi="Segoe UI" w:cs="Segoe UI"/>
                <w:color w:val="000000"/>
                <w:sz w:val="20"/>
                <w:szCs w:val="20"/>
              </w:rPr>
            </w:pPr>
            <w:r>
              <w:rPr>
                <w:rFonts w:ascii="Segoe UI" w:hAnsi="Segoe UI" w:cs="Segoe UI"/>
                <w:color w:val="000000"/>
                <w:sz w:val="20"/>
                <w:szCs w:val="20"/>
              </w:rPr>
              <w:t>All HCR-20s were completed within 3 months, however, one was not completed on the correct tab in Carenotes, but had, instead, been uploaded.</w:t>
            </w:r>
            <w:r w:rsidR="00016233">
              <w:rPr>
                <w:rFonts w:ascii="Segoe UI" w:hAnsi="Segoe UI" w:cs="Segoe UI"/>
                <w:color w:val="000000"/>
                <w:sz w:val="20"/>
                <w:szCs w:val="20"/>
              </w:rPr>
              <w:t xml:space="preserve">  </w:t>
            </w:r>
            <w:r>
              <w:rPr>
                <w:rFonts w:ascii="Segoe UI" w:hAnsi="Segoe UI" w:cs="Segoe UI"/>
                <w:color w:val="000000"/>
                <w:sz w:val="20"/>
                <w:szCs w:val="20"/>
              </w:rPr>
              <w:t>This issue pertains to only one pat</w:t>
            </w:r>
            <w:r w:rsidR="00B04F1C">
              <w:rPr>
                <w:rFonts w:ascii="Segoe UI" w:hAnsi="Segoe UI" w:cs="Segoe UI"/>
                <w:color w:val="000000"/>
                <w:sz w:val="20"/>
                <w:szCs w:val="20"/>
              </w:rPr>
              <w:t>ient, and is</w:t>
            </w:r>
            <w:r>
              <w:rPr>
                <w:rFonts w:ascii="Segoe UI" w:hAnsi="Segoe UI" w:cs="Segoe UI"/>
                <w:color w:val="000000"/>
                <w:sz w:val="20"/>
                <w:szCs w:val="20"/>
              </w:rPr>
              <w:t xml:space="preserve"> be</w:t>
            </w:r>
            <w:r w:rsidR="00B04F1C">
              <w:rPr>
                <w:rFonts w:ascii="Segoe UI" w:hAnsi="Segoe UI" w:cs="Segoe UI"/>
                <w:color w:val="000000"/>
                <w:sz w:val="20"/>
                <w:szCs w:val="20"/>
              </w:rPr>
              <w:t>ing</w:t>
            </w:r>
            <w:r>
              <w:rPr>
                <w:rFonts w:ascii="Segoe UI" w:hAnsi="Segoe UI" w:cs="Segoe UI"/>
                <w:color w:val="000000"/>
                <w:sz w:val="20"/>
                <w:szCs w:val="20"/>
              </w:rPr>
              <w:t xml:space="preserve"> raised with the clinical team.</w:t>
            </w:r>
          </w:p>
        </w:tc>
      </w:tr>
    </w:tbl>
    <w:p w:rsidR="007A37C3" w:rsidRDefault="007A37C3" w:rsidP="0090540B">
      <w:pPr>
        <w:spacing w:after="200" w:line="276" w:lineRule="auto"/>
        <w:rPr>
          <w:rFonts w:ascii="Segoe UI" w:hAnsi="Segoe UI" w:cs="Segoe UI"/>
          <w:b/>
          <w:sz w:val="22"/>
          <w:szCs w:val="22"/>
        </w:rPr>
      </w:pPr>
    </w:p>
    <w:p w:rsidR="005A2921" w:rsidRDefault="005A2921" w:rsidP="0090540B">
      <w:pPr>
        <w:spacing w:after="200" w:line="276" w:lineRule="auto"/>
        <w:rPr>
          <w:rFonts w:ascii="Segoe UI" w:hAnsi="Segoe UI" w:cs="Segoe UI"/>
          <w:b/>
          <w:sz w:val="22"/>
          <w:szCs w:val="22"/>
        </w:rPr>
      </w:pPr>
    </w:p>
    <w:p w:rsidR="005A2921" w:rsidRDefault="005A2921" w:rsidP="0090540B">
      <w:pPr>
        <w:spacing w:after="200" w:line="276" w:lineRule="auto"/>
        <w:rPr>
          <w:rFonts w:ascii="Segoe UI" w:hAnsi="Segoe UI" w:cs="Segoe UI"/>
          <w:b/>
          <w:sz w:val="22"/>
          <w:szCs w:val="22"/>
        </w:rPr>
        <w:sectPr w:rsidR="005A2921" w:rsidSect="005A2921">
          <w:type w:val="continuous"/>
          <w:pgSz w:w="16838" w:h="11906" w:orient="landscape"/>
          <w:pgMar w:top="709" w:right="1245" w:bottom="567" w:left="1134" w:header="708" w:footer="221" w:gutter="0"/>
          <w:cols w:space="851"/>
          <w:docGrid w:linePitch="360"/>
        </w:sectPr>
      </w:pPr>
    </w:p>
    <w:p w:rsidR="005A2921" w:rsidRDefault="005A2921" w:rsidP="0090540B">
      <w:pPr>
        <w:spacing w:after="200" w:line="276" w:lineRule="auto"/>
        <w:rPr>
          <w:rFonts w:ascii="Segoe UI" w:hAnsi="Segoe UI" w:cs="Segoe UI"/>
          <w:b/>
          <w:sz w:val="22"/>
          <w:szCs w:val="22"/>
        </w:rPr>
      </w:pPr>
    </w:p>
    <w:p w:rsidR="005A2921" w:rsidRDefault="005A2921" w:rsidP="0090540B">
      <w:pPr>
        <w:spacing w:after="200" w:line="276" w:lineRule="auto"/>
        <w:rPr>
          <w:rFonts w:ascii="Segoe UI" w:hAnsi="Segoe UI" w:cs="Segoe UI"/>
          <w:b/>
          <w:sz w:val="22"/>
          <w:szCs w:val="22"/>
        </w:rPr>
      </w:pPr>
    </w:p>
    <w:p w:rsidR="005A2921" w:rsidRDefault="005A2921" w:rsidP="0090540B">
      <w:pPr>
        <w:spacing w:after="200" w:line="276" w:lineRule="auto"/>
        <w:rPr>
          <w:rFonts w:ascii="Segoe UI" w:hAnsi="Segoe UI" w:cs="Segoe UI"/>
          <w:b/>
          <w:sz w:val="22"/>
          <w:szCs w:val="22"/>
        </w:rPr>
      </w:pPr>
    </w:p>
    <w:p w:rsidR="005A2921" w:rsidRDefault="005A2921" w:rsidP="0090540B">
      <w:pPr>
        <w:spacing w:after="200" w:line="276" w:lineRule="auto"/>
        <w:rPr>
          <w:rFonts w:ascii="Segoe UI" w:hAnsi="Segoe UI" w:cs="Segoe UI"/>
          <w:b/>
          <w:sz w:val="22"/>
          <w:szCs w:val="22"/>
        </w:rPr>
      </w:pPr>
    </w:p>
    <w:p w:rsidR="005A2921" w:rsidRPr="0090540B" w:rsidRDefault="005A2921" w:rsidP="0090540B">
      <w:pPr>
        <w:spacing w:after="200" w:line="276" w:lineRule="auto"/>
        <w:rPr>
          <w:rFonts w:ascii="Segoe UI" w:hAnsi="Segoe UI" w:cs="Segoe UI"/>
          <w:b/>
          <w:sz w:val="22"/>
          <w:szCs w:val="22"/>
        </w:rPr>
        <w:sectPr w:rsidR="005A2921" w:rsidRPr="0090540B" w:rsidSect="00BC1443">
          <w:type w:val="continuous"/>
          <w:pgSz w:w="16838" w:h="11906" w:orient="landscape"/>
          <w:pgMar w:top="709" w:right="1245" w:bottom="567" w:left="1134" w:header="708" w:footer="221" w:gutter="0"/>
          <w:cols w:num="2" w:space="851"/>
          <w:docGrid w:linePitch="360"/>
        </w:sectPr>
      </w:pPr>
    </w:p>
    <w:p w:rsidR="0090540B" w:rsidRPr="0090540B" w:rsidRDefault="0090540B" w:rsidP="00C746E4">
      <w:pPr>
        <w:spacing w:after="200" w:line="276" w:lineRule="auto"/>
        <w:rPr>
          <w:rFonts w:ascii="Segoe UI" w:hAnsi="Segoe UI" w:cs="Segoe UI"/>
          <w:sz w:val="22"/>
          <w:szCs w:val="22"/>
        </w:rPr>
      </w:pPr>
    </w:p>
    <w:sectPr w:rsidR="0090540B" w:rsidRPr="0090540B" w:rsidSect="004551C0">
      <w:type w:val="continuous"/>
      <w:pgSz w:w="16838" w:h="11906" w:orient="landscape" w:code="9"/>
      <w:pgMar w:top="1418" w:right="1247" w:bottom="1418" w:left="124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424A" w:rsidRDefault="00AF424A" w:rsidP="00634740">
      <w:r>
        <w:separator/>
      </w:r>
    </w:p>
  </w:endnote>
  <w:endnote w:type="continuationSeparator" w:id="0">
    <w:p w:rsidR="00AF424A" w:rsidRDefault="00AF424A" w:rsidP="00634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egoe UI" w:hAnsi="Segoe UI" w:cs="Segoe UI"/>
        <w:sz w:val="18"/>
        <w:szCs w:val="18"/>
      </w:rPr>
      <w:id w:val="-2117287310"/>
      <w:docPartObj>
        <w:docPartGallery w:val="Page Numbers (Bottom of Page)"/>
        <w:docPartUnique/>
      </w:docPartObj>
    </w:sdtPr>
    <w:sdtEndPr/>
    <w:sdtContent>
      <w:sdt>
        <w:sdtPr>
          <w:rPr>
            <w:rFonts w:ascii="Segoe UI" w:hAnsi="Segoe UI" w:cs="Segoe UI"/>
            <w:sz w:val="18"/>
            <w:szCs w:val="18"/>
          </w:rPr>
          <w:id w:val="98381352"/>
          <w:docPartObj>
            <w:docPartGallery w:val="Page Numbers (Top of Page)"/>
            <w:docPartUnique/>
          </w:docPartObj>
        </w:sdtPr>
        <w:sdtEndPr/>
        <w:sdtContent>
          <w:p w:rsidR="00AF424A" w:rsidRDefault="00AF424A">
            <w:pPr>
              <w:pStyle w:val="Footer"/>
              <w:rPr>
                <w:rFonts w:ascii="Segoe UI" w:hAnsi="Segoe UI" w:cs="Segoe UI"/>
                <w:sz w:val="18"/>
                <w:szCs w:val="18"/>
              </w:rPr>
            </w:pPr>
            <w:r>
              <w:rPr>
                <w:rFonts w:ascii="Segoe UI" w:hAnsi="Segoe UI" w:cs="Segoe UI"/>
                <w:sz w:val="18"/>
                <w:szCs w:val="18"/>
              </w:rPr>
              <w:t>OPD BOARD REPORT M10 v1</w:t>
            </w:r>
          </w:p>
          <w:p w:rsidR="00AF424A" w:rsidRPr="000B7354" w:rsidRDefault="00AF424A" w:rsidP="003D0593">
            <w:pPr>
              <w:pStyle w:val="Footer"/>
              <w:jc w:val="right"/>
              <w:rPr>
                <w:rFonts w:ascii="Segoe UI" w:hAnsi="Segoe UI" w:cs="Segoe UI"/>
                <w:sz w:val="18"/>
                <w:szCs w:val="18"/>
              </w:rPr>
            </w:pPr>
            <w:r w:rsidRPr="000B7354">
              <w:rPr>
                <w:rFonts w:ascii="Segoe UI" w:hAnsi="Segoe UI" w:cs="Segoe UI"/>
                <w:sz w:val="18"/>
                <w:szCs w:val="18"/>
              </w:rPr>
              <w:t xml:space="preserve">Page </w:t>
            </w:r>
            <w:r w:rsidRPr="000B7354">
              <w:rPr>
                <w:rFonts w:ascii="Segoe UI" w:hAnsi="Segoe UI" w:cs="Segoe UI"/>
                <w:bCs/>
                <w:sz w:val="18"/>
                <w:szCs w:val="18"/>
              </w:rPr>
              <w:fldChar w:fldCharType="begin"/>
            </w:r>
            <w:r w:rsidRPr="000B7354">
              <w:rPr>
                <w:rFonts w:ascii="Segoe UI" w:hAnsi="Segoe UI" w:cs="Segoe UI"/>
                <w:bCs/>
                <w:sz w:val="18"/>
                <w:szCs w:val="18"/>
              </w:rPr>
              <w:instrText xml:space="preserve"> PAGE </w:instrText>
            </w:r>
            <w:r w:rsidRPr="000B7354">
              <w:rPr>
                <w:rFonts w:ascii="Segoe UI" w:hAnsi="Segoe UI" w:cs="Segoe UI"/>
                <w:bCs/>
                <w:sz w:val="18"/>
                <w:szCs w:val="18"/>
              </w:rPr>
              <w:fldChar w:fldCharType="separate"/>
            </w:r>
            <w:r w:rsidR="003D24C2">
              <w:rPr>
                <w:rFonts w:ascii="Segoe UI" w:hAnsi="Segoe UI" w:cs="Segoe UI"/>
                <w:bCs/>
                <w:noProof/>
                <w:sz w:val="18"/>
                <w:szCs w:val="18"/>
              </w:rPr>
              <w:t>10</w:t>
            </w:r>
            <w:r w:rsidRPr="000B7354">
              <w:rPr>
                <w:rFonts w:ascii="Segoe UI" w:hAnsi="Segoe UI" w:cs="Segoe UI"/>
                <w:bCs/>
                <w:sz w:val="18"/>
                <w:szCs w:val="18"/>
              </w:rPr>
              <w:fldChar w:fldCharType="end"/>
            </w:r>
            <w:r w:rsidRPr="000B7354">
              <w:rPr>
                <w:rFonts w:ascii="Segoe UI" w:hAnsi="Segoe UI" w:cs="Segoe UI"/>
                <w:sz w:val="18"/>
                <w:szCs w:val="18"/>
              </w:rPr>
              <w:t xml:space="preserve"> of </w:t>
            </w:r>
            <w:r w:rsidRPr="000B7354">
              <w:rPr>
                <w:rFonts w:ascii="Segoe UI" w:hAnsi="Segoe UI" w:cs="Segoe UI"/>
                <w:bCs/>
                <w:sz w:val="18"/>
                <w:szCs w:val="18"/>
              </w:rPr>
              <w:fldChar w:fldCharType="begin"/>
            </w:r>
            <w:r w:rsidRPr="000B7354">
              <w:rPr>
                <w:rFonts w:ascii="Segoe UI" w:hAnsi="Segoe UI" w:cs="Segoe UI"/>
                <w:bCs/>
                <w:sz w:val="18"/>
                <w:szCs w:val="18"/>
              </w:rPr>
              <w:instrText xml:space="preserve"> NUMPAGES  </w:instrText>
            </w:r>
            <w:r w:rsidRPr="000B7354">
              <w:rPr>
                <w:rFonts w:ascii="Segoe UI" w:hAnsi="Segoe UI" w:cs="Segoe UI"/>
                <w:bCs/>
                <w:sz w:val="18"/>
                <w:szCs w:val="18"/>
              </w:rPr>
              <w:fldChar w:fldCharType="separate"/>
            </w:r>
            <w:r w:rsidR="003D24C2">
              <w:rPr>
                <w:rFonts w:ascii="Segoe UI" w:hAnsi="Segoe UI" w:cs="Segoe UI"/>
                <w:bCs/>
                <w:noProof/>
                <w:sz w:val="18"/>
                <w:szCs w:val="18"/>
              </w:rPr>
              <w:t>22</w:t>
            </w:r>
            <w:r w:rsidRPr="000B7354">
              <w:rPr>
                <w:rFonts w:ascii="Segoe UI" w:hAnsi="Segoe UI" w:cs="Segoe UI"/>
                <w:bCs/>
                <w:sz w:val="18"/>
                <w:szCs w:val="18"/>
              </w:rPr>
              <w:fldChar w:fldCharType="end"/>
            </w:r>
          </w:p>
        </w:sdtContent>
      </w:sdt>
    </w:sdtContent>
  </w:sdt>
  <w:p w:rsidR="00AF424A" w:rsidRDefault="00AF424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egoe UI" w:hAnsi="Segoe UI" w:cs="Segoe UI"/>
        <w:sz w:val="18"/>
        <w:szCs w:val="18"/>
      </w:rPr>
      <w:id w:val="-1813859276"/>
      <w:docPartObj>
        <w:docPartGallery w:val="Page Numbers (Bottom of Page)"/>
        <w:docPartUnique/>
      </w:docPartObj>
    </w:sdtPr>
    <w:sdtEndPr/>
    <w:sdtContent>
      <w:sdt>
        <w:sdtPr>
          <w:rPr>
            <w:rFonts w:ascii="Segoe UI" w:hAnsi="Segoe UI" w:cs="Segoe UI"/>
            <w:sz w:val="18"/>
            <w:szCs w:val="18"/>
          </w:rPr>
          <w:id w:val="-2118970225"/>
          <w:docPartObj>
            <w:docPartGallery w:val="Page Numbers (Top of Page)"/>
            <w:docPartUnique/>
          </w:docPartObj>
        </w:sdtPr>
        <w:sdtEndPr/>
        <w:sdtContent>
          <w:p w:rsidR="00AF424A" w:rsidRDefault="00AF424A">
            <w:pPr>
              <w:pStyle w:val="Footer"/>
              <w:rPr>
                <w:rFonts w:ascii="Segoe UI" w:hAnsi="Segoe UI" w:cs="Segoe UI"/>
                <w:sz w:val="18"/>
                <w:szCs w:val="18"/>
              </w:rPr>
            </w:pPr>
            <w:r>
              <w:rPr>
                <w:rFonts w:ascii="Segoe UI" w:hAnsi="Segoe UI" w:cs="Segoe UI"/>
                <w:sz w:val="18"/>
                <w:szCs w:val="18"/>
              </w:rPr>
              <w:t>CYP BOARD REPORT M10v01</w:t>
            </w:r>
          </w:p>
          <w:p w:rsidR="00AF424A" w:rsidRPr="000B7354" w:rsidRDefault="00AF424A" w:rsidP="003D0593">
            <w:pPr>
              <w:pStyle w:val="Footer"/>
              <w:jc w:val="right"/>
              <w:rPr>
                <w:rFonts w:ascii="Segoe UI" w:hAnsi="Segoe UI" w:cs="Segoe UI"/>
                <w:sz w:val="18"/>
                <w:szCs w:val="18"/>
              </w:rPr>
            </w:pPr>
            <w:r w:rsidRPr="000B7354">
              <w:rPr>
                <w:rFonts w:ascii="Segoe UI" w:hAnsi="Segoe UI" w:cs="Segoe UI"/>
                <w:sz w:val="18"/>
                <w:szCs w:val="18"/>
              </w:rPr>
              <w:t xml:space="preserve">Page </w:t>
            </w:r>
            <w:r w:rsidRPr="000B7354">
              <w:rPr>
                <w:rFonts w:ascii="Segoe UI" w:hAnsi="Segoe UI" w:cs="Segoe UI"/>
                <w:bCs/>
                <w:sz w:val="18"/>
                <w:szCs w:val="18"/>
              </w:rPr>
              <w:fldChar w:fldCharType="begin"/>
            </w:r>
            <w:r w:rsidRPr="000B7354">
              <w:rPr>
                <w:rFonts w:ascii="Segoe UI" w:hAnsi="Segoe UI" w:cs="Segoe UI"/>
                <w:bCs/>
                <w:sz w:val="18"/>
                <w:szCs w:val="18"/>
              </w:rPr>
              <w:instrText xml:space="preserve"> PAGE </w:instrText>
            </w:r>
            <w:r w:rsidRPr="000B7354">
              <w:rPr>
                <w:rFonts w:ascii="Segoe UI" w:hAnsi="Segoe UI" w:cs="Segoe UI"/>
                <w:bCs/>
                <w:sz w:val="18"/>
                <w:szCs w:val="18"/>
              </w:rPr>
              <w:fldChar w:fldCharType="separate"/>
            </w:r>
            <w:r w:rsidR="003D24C2">
              <w:rPr>
                <w:rFonts w:ascii="Segoe UI" w:hAnsi="Segoe UI" w:cs="Segoe UI"/>
                <w:bCs/>
                <w:noProof/>
                <w:sz w:val="18"/>
                <w:szCs w:val="18"/>
              </w:rPr>
              <w:t>12</w:t>
            </w:r>
            <w:r w:rsidRPr="000B7354">
              <w:rPr>
                <w:rFonts w:ascii="Segoe UI" w:hAnsi="Segoe UI" w:cs="Segoe UI"/>
                <w:bCs/>
                <w:sz w:val="18"/>
                <w:szCs w:val="18"/>
              </w:rPr>
              <w:fldChar w:fldCharType="end"/>
            </w:r>
            <w:r w:rsidRPr="000B7354">
              <w:rPr>
                <w:rFonts w:ascii="Segoe UI" w:hAnsi="Segoe UI" w:cs="Segoe UI"/>
                <w:sz w:val="18"/>
                <w:szCs w:val="18"/>
              </w:rPr>
              <w:t xml:space="preserve"> of </w:t>
            </w:r>
            <w:r w:rsidRPr="000B7354">
              <w:rPr>
                <w:rFonts w:ascii="Segoe UI" w:hAnsi="Segoe UI" w:cs="Segoe UI"/>
                <w:bCs/>
                <w:sz w:val="18"/>
                <w:szCs w:val="18"/>
              </w:rPr>
              <w:fldChar w:fldCharType="begin"/>
            </w:r>
            <w:r w:rsidRPr="000B7354">
              <w:rPr>
                <w:rFonts w:ascii="Segoe UI" w:hAnsi="Segoe UI" w:cs="Segoe UI"/>
                <w:bCs/>
                <w:sz w:val="18"/>
                <w:szCs w:val="18"/>
              </w:rPr>
              <w:instrText xml:space="preserve"> NUMPAGES  </w:instrText>
            </w:r>
            <w:r w:rsidRPr="000B7354">
              <w:rPr>
                <w:rFonts w:ascii="Segoe UI" w:hAnsi="Segoe UI" w:cs="Segoe UI"/>
                <w:bCs/>
                <w:sz w:val="18"/>
                <w:szCs w:val="18"/>
              </w:rPr>
              <w:fldChar w:fldCharType="separate"/>
            </w:r>
            <w:r w:rsidR="003D24C2">
              <w:rPr>
                <w:rFonts w:ascii="Segoe UI" w:hAnsi="Segoe UI" w:cs="Segoe UI"/>
                <w:bCs/>
                <w:noProof/>
                <w:sz w:val="18"/>
                <w:szCs w:val="18"/>
              </w:rPr>
              <w:t>22</w:t>
            </w:r>
            <w:r w:rsidRPr="000B7354">
              <w:rPr>
                <w:rFonts w:ascii="Segoe UI" w:hAnsi="Segoe UI" w:cs="Segoe UI"/>
                <w:bCs/>
                <w:sz w:val="18"/>
                <w:szCs w:val="18"/>
              </w:rPr>
              <w:fldChar w:fldCharType="end"/>
            </w:r>
          </w:p>
        </w:sdtContent>
      </w:sdt>
    </w:sdtContent>
  </w:sdt>
  <w:p w:rsidR="00AF424A" w:rsidRDefault="00AF424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6093988"/>
      <w:docPartObj>
        <w:docPartGallery w:val="Page Numbers (Bottom of Page)"/>
        <w:docPartUnique/>
      </w:docPartObj>
    </w:sdtPr>
    <w:sdtEndPr>
      <w:rPr>
        <w:noProof/>
      </w:rPr>
    </w:sdtEndPr>
    <w:sdtContent>
      <w:p w:rsidR="00AF424A" w:rsidRDefault="00AF424A">
        <w:pPr>
          <w:pStyle w:val="Footer"/>
          <w:jc w:val="right"/>
        </w:pPr>
        <w:r>
          <w:fldChar w:fldCharType="begin"/>
        </w:r>
        <w:r>
          <w:instrText xml:space="preserve"> PAGE   \* MERGEFORMAT </w:instrText>
        </w:r>
        <w:r>
          <w:fldChar w:fldCharType="separate"/>
        </w:r>
        <w:r w:rsidR="003D24C2">
          <w:rPr>
            <w:noProof/>
          </w:rPr>
          <w:t>22</w:t>
        </w:r>
        <w:r>
          <w:rPr>
            <w:noProof/>
          </w:rPr>
          <w:fldChar w:fldCharType="end"/>
        </w:r>
      </w:p>
    </w:sdtContent>
  </w:sdt>
  <w:p w:rsidR="00AF424A" w:rsidRDefault="00AF424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424A" w:rsidRDefault="00AF424A" w:rsidP="00634740">
      <w:r>
        <w:separator/>
      </w:r>
    </w:p>
  </w:footnote>
  <w:footnote w:type="continuationSeparator" w:id="0">
    <w:p w:rsidR="00AF424A" w:rsidRDefault="00AF424A" w:rsidP="006347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24A" w:rsidRDefault="00AF424A" w:rsidP="00D04AAB">
    <w:pPr>
      <w:pStyle w:val="Header"/>
      <w:jc w:val="right"/>
    </w:pPr>
    <w:r>
      <w:rPr>
        <w:noProof/>
      </w:rPr>
      <w:drawing>
        <wp:inline distT="0" distB="0" distL="0" distR="0" wp14:anchorId="5D6FC1BD" wp14:editId="23684681">
          <wp:extent cx="1862765" cy="406400"/>
          <wp:effectExtent l="0" t="0" r="4445" b="0"/>
          <wp:docPr id="11" name="Picture 11"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7318" cy="4095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24A" w:rsidRDefault="00AF424A" w:rsidP="003D0593">
    <w:pPr>
      <w:pStyle w:val="Header"/>
      <w:jc w:val="right"/>
    </w:pPr>
    <w:r>
      <w:rPr>
        <w:noProof/>
      </w:rPr>
      <w:drawing>
        <wp:inline distT="0" distB="0" distL="0" distR="0" wp14:anchorId="10232C89" wp14:editId="30704F39">
          <wp:extent cx="1762125" cy="409575"/>
          <wp:effectExtent l="0" t="0" r="9525" b="9525"/>
          <wp:docPr id="46" name="Picture 46"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409575"/>
                  </a:xfrm>
                  <a:prstGeom prst="rect">
                    <a:avLst/>
                  </a:prstGeom>
                  <a:noFill/>
                  <a:ln>
                    <a:noFill/>
                  </a:ln>
                </pic:spPr>
              </pic:pic>
            </a:graphicData>
          </a:graphic>
        </wp:inline>
      </w:drawing>
    </w:r>
  </w:p>
  <w:p w:rsidR="00AF424A" w:rsidRDefault="00AF424A" w:rsidP="003D059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C62DB"/>
    <w:multiLevelType w:val="hybridMultilevel"/>
    <w:tmpl w:val="67EC32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036092F"/>
    <w:multiLevelType w:val="hybridMultilevel"/>
    <w:tmpl w:val="08F26DB2"/>
    <w:lvl w:ilvl="0" w:tplc="08090001">
      <w:start w:val="1"/>
      <w:numFmt w:val="bullet"/>
      <w:lvlText w:val=""/>
      <w:lvlJc w:val="left"/>
      <w:pPr>
        <w:ind w:left="720" w:hanging="360"/>
      </w:pPr>
      <w:rPr>
        <w:rFonts w:ascii="Symbol" w:hAnsi="Symbol" w:hint="default"/>
      </w:rPr>
    </w:lvl>
    <w:lvl w:ilvl="1" w:tplc="C0F4C74C">
      <w:numFmt w:val="bullet"/>
      <w:lvlText w:val="•"/>
      <w:lvlJc w:val="left"/>
      <w:pPr>
        <w:ind w:left="1800" w:hanging="720"/>
      </w:pPr>
      <w:rPr>
        <w:rFonts w:ascii="Segoe UI" w:eastAsia="Times New Roman" w:hAnsi="Segoe UI" w:cs="Segoe U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A834A2"/>
    <w:multiLevelType w:val="hybridMultilevel"/>
    <w:tmpl w:val="F8FC7352"/>
    <w:lvl w:ilvl="0" w:tplc="04743C18">
      <w:numFmt w:val="bullet"/>
      <w:lvlText w:val=""/>
      <w:lvlJc w:val="left"/>
      <w:pPr>
        <w:ind w:left="720" w:hanging="360"/>
      </w:pPr>
      <w:rPr>
        <w:rFonts w:ascii="Wingdings" w:eastAsia="Symbol" w:hAnsi="Wingding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756024D"/>
    <w:multiLevelType w:val="hybridMultilevel"/>
    <w:tmpl w:val="D8ACFB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DC3789C"/>
    <w:multiLevelType w:val="hybridMultilevel"/>
    <w:tmpl w:val="875E8A70"/>
    <w:lvl w:ilvl="0" w:tplc="1D687642">
      <w:start w:val="3"/>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F3279C"/>
    <w:multiLevelType w:val="hybridMultilevel"/>
    <w:tmpl w:val="69A08C0C"/>
    <w:lvl w:ilvl="0" w:tplc="1D687642">
      <w:start w:val="3"/>
      <w:numFmt w:val="bullet"/>
      <w:lvlText w:val="-"/>
      <w:lvlJc w:val="left"/>
      <w:pPr>
        <w:ind w:left="720" w:hanging="360"/>
      </w:pPr>
      <w:rPr>
        <w:rFonts w:ascii="Segoe UI" w:eastAsiaTheme="minorHAnsi" w:hAnsi="Segoe UI"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0FF6014"/>
    <w:multiLevelType w:val="hybridMultilevel"/>
    <w:tmpl w:val="4AE23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5646D83"/>
    <w:multiLevelType w:val="hybridMultilevel"/>
    <w:tmpl w:val="369A13F8"/>
    <w:lvl w:ilvl="0" w:tplc="819CC25E">
      <w:numFmt w:val="bullet"/>
      <w:lvlText w:val=""/>
      <w:lvlJc w:val="left"/>
      <w:pPr>
        <w:ind w:left="720" w:hanging="360"/>
      </w:pPr>
      <w:rPr>
        <w:rFonts w:ascii="Wingdings" w:eastAsia="Symbol" w:hAnsi="Wingding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66A2F6A"/>
    <w:multiLevelType w:val="hybridMultilevel"/>
    <w:tmpl w:val="E0407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71B3B02"/>
    <w:multiLevelType w:val="hybridMultilevel"/>
    <w:tmpl w:val="CA188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BF14CF4"/>
    <w:multiLevelType w:val="hybridMultilevel"/>
    <w:tmpl w:val="FE943B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05E2232"/>
    <w:multiLevelType w:val="hybridMultilevel"/>
    <w:tmpl w:val="41CA5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E92C3C"/>
    <w:multiLevelType w:val="hybridMultilevel"/>
    <w:tmpl w:val="6D003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498836E3"/>
    <w:multiLevelType w:val="hybridMultilevel"/>
    <w:tmpl w:val="BC76A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00E6DD1"/>
    <w:multiLevelType w:val="hybridMultilevel"/>
    <w:tmpl w:val="D4569B3E"/>
    <w:lvl w:ilvl="0" w:tplc="F32458BE">
      <w:numFmt w:val="bullet"/>
      <w:lvlText w:val=""/>
      <w:lvlJc w:val="left"/>
      <w:pPr>
        <w:ind w:left="720" w:hanging="360"/>
      </w:pPr>
      <w:rPr>
        <w:rFonts w:ascii="Wingdings" w:eastAsia="Symbol" w:hAnsi="Wingdings"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2124689"/>
    <w:multiLevelType w:val="hybridMultilevel"/>
    <w:tmpl w:val="74C8B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C71B3C"/>
    <w:multiLevelType w:val="hybridMultilevel"/>
    <w:tmpl w:val="FF006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F38298C"/>
    <w:multiLevelType w:val="hybridMultilevel"/>
    <w:tmpl w:val="9294C092"/>
    <w:lvl w:ilvl="0" w:tplc="2B9A14A0">
      <w:start w:val="11"/>
      <w:numFmt w:val="bullet"/>
      <w:lvlText w:val="•"/>
      <w:lvlJc w:val="left"/>
      <w:pPr>
        <w:ind w:left="720" w:hanging="720"/>
      </w:pPr>
      <w:rPr>
        <w:rFonts w:ascii="Segoe UI" w:eastAsia="Times New Roman" w:hAnsi="Segoe UI" w:cs="Segoe U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6342347C"/>
    <w:multiLevelType w:val="hybridMultilevel"/>
    <w:tmpl w:val="91584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6A29B0"/>
    <w:multiLevelType w:val="hybridMultilevel"/>
    <w:tmpl w:val="EDF0A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7E67D9D"/>
    <w:multiLevelType w:val="hybridMultilevel"/>
    <w:tmpl w:val="7690E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6"/>
  </w:num>
  <w:num w:numId="3">
    <w:abstractNumId w:val="15"/>
  </w:num>
  <w:num w:numId="4">
    <w:abstractNumId w:val="7"/>
  </w:num>
  <w:num w:numId="5">
    <w:abstractNumId w:val="12"/>
  </w:num>
  <w:num w:numId="6">
    <w:abstractNumId w:val="14"/>
  </w:num>
  <w:num w:numId="7">
    <w:abstractNumId w:val="2"/>
  </w:num>
  <w:num w:numId="8">
    <w:abstractNumId w:val="1"/>
  </w:num>
  <w:num w:numId="9">
    <w:abstractNumId w:val="17"/>
  </w:num>
  <w:num w:numId="10">
    <w:abstractNumId w:val="11"/>
  </w:num>
  <w:num w:numId="11">
    <w:abstractNumId w:val="16"/>
  </w:num>
  <w:num w:numId="12">
    <w:abstractNumId w:val="13"/>
  </w:num>
  <w:num w:numId="13">
    <w:abstractNumId w:val="18"/>
  </w:num>
  <w:num w:numId="14">
    <w:abstractNumId w:val="3"/>
  </w:num>
  <w:num w:numId="15">
    <w:abstractNumId w:val="4"/>
  </w:num>
  <w:num w:numId="16">
    <w:abstractNumId w:val="5"/>
  </w:num>
  <w:num w:numId="17">
    <w:abstractNumId w:val="20"/>
  </w:num>
  <w:num w:numId="18">
    <w:abstractNumId w:val="0"/>
  </w:num>
  <w:num w:numId="19">
    <w:abstractNumId w:val="10"/>
  </w:num>
  <w:num w:numId="20">
    <w:abstractNumId w:val="9"/>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740"/>
    <w:rsid w:val="0000116A"/>
    <w:rsid w:val="00001E82"/>
    <w:rsid w:val="00002463"/>
    <w:rsid w:val="00002839"/>
    <w:rsid w:val="00003555"/>
    <w:rsid w:val="000039F7"/>
    <w:rsid w:val="00003BBE"/>
    <w:rsid w:val="00003E85"/>
    <w:rsid w:val="00005387"/>
    <w:rsid w:val="00005A97"/>
    <w:rsid w:val="00005BB0"/>
    <w:rsid w:val="00006C01"/>
    <w:rsid w:val="00007260"/>
    <w:rsid w:val="000076C3"/>
    <w:rsid w:val="00007A72"/>
    <w:rsid w:val="00007DA1"/>
    <w:rsid w:val="0001015A"/>
    <w:rsid w:val="000107FF"/>
    <w:rsid w:val="00010BF2"/>
    <w:rsid w:val="000110AE"/>
    <w:rsid w:val="000111C5"/>
    <w:rsid w:val="00011383"/>
    <w:rsid w:val="000114B3"/>
    <w:rsid w:val="00011DBF"/>
    <w:rsid w:val="0001219E"/>
    <w:rsid w:val="000122C6"/>
    <w:rsid w:val="00014036"/>
    <w:rsid w:val="000158F3"/>
    <w:rsid w:val="00015AC1"/>
    <w:rsid w:val="00015F0B"/>
    <w:rsid w:val="00016233"/>
    <w:rsid w:val="0001654A"/>
    <w:rsid w:val="00017D06"/>
    <w:rsid w:val="00017E12"/>
    <w:rsid w:val="0002037B"/>
    <w:rsid w:val="00021605"/>
    <w:rsid w:val="0002183B"/>
    <w:rsid w:val="000218DC"/>
    <w:rsid w:val="00021CF8"/>
    <w:rsid w:val="00021DE5"/>
    <w:rsid w:val="00021EA2"/>
    <w:rsid w:val="00022004"/>
    <w:rsid w:val="00022371"/>
    <w:rsid w:val="00022696"/>
    <w:rsid w:val="00022B5B"/>
    <w:rsid w:val="000234CA"/>
    <w:rsid w:val="00023881"/>
    <w:rsid w:val="00023AFE"/>
    <w:rsid w:val="0002470C"/>
    <w:rsid w:val="00025FED"/>
    <w:rsid w:val="0002666A"/>
    <w:rsid w:val="00026D7F"/>
    <w:rsid w:val="00027254"/>
    <w:rsid w:val="00027DCE"/>
    <w:rsid w:val="000302BF"/>
    <w:rsid w:val="00030717"/>
    <w:rsid w:val="00030720"/>
    <w:rsid w:val="00031078"/>
    <w:rsid w:val="00031522"/>
    <w:rsid w:val="00031948"/>
    <w:rsid w:val="00031A3B"/>
    <w:rsid w:val="0003227D"/>
    <w:rsid w:val="000326F4"/>
    <w:rsid w:val="0003270D"/>
    <w:rsid w:val="00032DEA"/>
    <w:rsid w:val="00033369"/>
    <w:rsid w:val="00033E0D"/>
    <w:rsid w:val="00033EEB"/>
    <w:rsid w:val="0003431D"/>
    <w:rsid w:val="000346B2"/>
    <w:rsid w:val="00034A25"/>
    <w:rsid w:val="00035B8B"/>
    <w:rsid w:val="00035BFF"/>
    <w:rsid w:val="00035D73"/>
    <w:rsid w:val="000360E0"/>
    <w:rsid w:val="000360F0"/>
    <w:rsid w:val="000362A3"/>
    <w:rsid w:val="00036DFF"/>
    <w:rsid w:val="00036E20"/>
    <w:rsid w:val="00037991"/>
    <w:rsid w:val="00037A53"/>
    <w:rsid w:val="00037B6D"/>
    <w:rsid w:val="0004144E"/>
    <w:rsid w:val="00041753"/>
    <w:rsid w:val="00041CCC"/>
    <w:rsid w:val="000424FC"/>
    <w:rsid w:val="00044609"/>
    <w:rsid w:val="00044DF5"/>
    <w:rsid w:val="0004541D"/>
    <w:rsid w:val="000455B5"/>
    <w:rsid w:val="00045E8F"/>
    <w:rsid w:val="00046110"/>
    <w:rsid w:val="00046174"/>
    <w:rsid w:val="00046354"/>
    <w:rsid w:val="0004712C"/>
    <w:rsid w:val="000506F4"/>
    <w:rsid w:val="000521AD"/>
    <w:rsid w:val="0005274F"/>
    <w:rsid w:val="0005282B"/>
    <w:rsid w:val="00052B86"/>
    <w:rsid w:val="00052CCD"/>
    <w:rsid w:val="00054662"/>
    <w:rsid w:val="00054734"/>
    <w:rsid w:val="00055A1D"/>
    <w:rsid w:val="00055C53"/>
    <w:rsid w:val="0005628C"/>
    <w:rsid w:val="000565AD"/>
    <w:rsid w:val="00056998"/>
    <w:rsid w:val="00056C03"/>
    <w:rsid w:val="000573AC"/>
    <w:rsid w:val="0005755C"/>
    <w:rsid w:val="00057F6D"/>
    <w:rsid w:val="0006034F"/>
    <w:rsid w:val="000605B7"/>
    <w:rsid w:val="00060CB6"/>
    <w:rsid w:val="00060F08"/>
    <w:rsid w:val="00061BCD"/>
    <w:rsid w:val="00061C59"/>
    <w:rsid w:val="00061C7D"/>
    <w:rsid w:val="000624E4"/>
    <w:rsid w:val="000636D3"/>
    <w:rsid w:val="00063C44"/>
    <w:rsid w:val="00063E7F"/>
    <w:rsid w:val="0006400F"/>
    <w:rsid w:val="000647EC"/>
    <w:rsid w:val="00064A17"/>
    <w:rsid w:val="00064A30"/>
    <w:rsid w:val="00065235"/>
    <w:rsid w:val="0006531A"/>
    <w:rsid w:val="00065520"/>
    <w:rsid w:val="00065D0F"/>
    <w:rsid w:val="00065DF2"/>
    <w:rsid w:val="0006605F"/>
    <w:rsid w:val="000666FF"/>
    <w:rsid w:val="00066B86"/>
    <w:rsid w:val="0006719D"/>
    <w:rsid w:val="0007085D"/>
    <w:rsid w:val="000708D9"/>
    <w:rsid w:val="00070E58"/>
    <w:rsid w:val="000713A7"/>
    <w:rsid w:val="00071A05"/>
    <w:rsid w:val="00071B46"/>
    <w:rsid w:val="00071C52"/>
    <w:rsid w:val="000722AA"/>
    <w:rsid w:val="000726C5"/>
    <w:rsid w:val="00073053"/>
    <w:rsid w:val="000732AA"/>
    <w:rsid w:val="0007337C"/>
    <w:rsid w:val="00074440"/>
    <w:rsid w:val="00075CE2"/>
    <w:rsid w:val="00075F03"/>
    <w:rsid w:val="000761D9"/>
    <w:rsid w:val="00076825"/>
    <w:rsid w:val="00076F07"/>
    <w:rsid w:val="00076F4B"/>
    <w:rsid w:val="00076FB6"/>
    <w:rsid w:val="00077501"/>
    <w:rsid w:val="00077E27"/>
    <w:rsid w:val="00077E5D"/>
    <w:rsid w:val="00080433"/>
    <w:rsid w:val="000807FB"/>
    <w:rsid w:val="00080E0C"/>
    <w:rsid w:val="00081794"/>
    <w:rsid w:val="0008218C"/>
    <w:rsid w:val="000821CF"/>
    <w:rsid w:val="000821FC"/>
    <w:rsid w:val="00082B68"/>
    <w:rsid w:val="00082BD0"/>
    <w:rsid w:val="00082EDC"/>
    <w:rsid w:val="00083CDF"/>
    <w:rsid w:val="000844A3"/>
    <w:rsid w:val="0008493F"/>
    <w:rsid w:val="00084BE6"/>
    <w:rsid w:val="000852DF"/>
    <w:rsid w:val="00085C11"/>
    <w:rsid w:val="00086255"/>
    <w:rsid w:val="0008669F"/>
    <w:rsid w:val="000866AE"/>
    <w:rsid w:val="00086D3F"/>
    <w:rsid w:val="00086F7C"/>
    <w:rsid w:val="00087314"/>
    <w:rsid w:val="00087C5E"/>
    <w:rsid w:val="00090939"/>
    <w:rsid w:val="00090A7B"/>
    <w:rsid w:val="00091CDD"/>
    <w:rsid w:val="000922FC"/>
    <w:rsid w:val="000928EF"/>
    <w:rsid w:val="00092F65"/>
    <w:rsid w:val="0009391F"/>
    <w:rsid w:val="00093E7D"/>
    <w:rsid w:val="00094116"/>
    <w:rsid w:val="00094200"/>
    <w:rsid w:val="0009432F"/>
    <w:rsid w:val="00094B61"/>
    <w:rsid w:val="000959B3"/>
    <w:rsid w:val="000978DA"/>
    <w:rsid w:val="00097A79"/>
    <w:rsid w:val="000A0380"/>
    <w:rsid w:val="000A060B"/>
    <w:rsid w:val="000A062C"/>
    <w:rsid w:val="000A09DF"/>
    <w:rsid w:val="000A0A5E"/>
    <w:rsid w:val="000A0B4A"/>
    <w:rsid w:val="000A0E27"/>
    <w:rsid w:val="000A1050"/>
    <w:rsid w:val="000A10F9"/>
    <w:rsid w:val="000A19D7"/>
    <w:rsid w:val="000A1F71"/>
    <w:rsid w:val="000A2019"/>
    <w:rsid w:val="000A26A4"/>
    <w:rsid w:val="000A276C"/>
    <w:rsid w:val="000A29F6"/>
    <w:rsid w:val="000A2F9B"/>
    <w:rsid w:val="000A2FB0"/>
    <w:rsid w:val="000A3142"/>
    <w:rsid w:val="000A3287"/>
    <w:rsid w:val="000A33A5"/>
    <w:rsid w:val="000A358E"/>
    <w:rsid w:val="000A3A81"/>
    <w:rsid w:val="000A3E7A"/>
    <w:rsid w:val="000A4F73"/>
    <w:rsid w:val="000A5773"/>
    <w:rsid w:val="000A70C5"/>
    <w:rsid w:val="000A718F"/>
    <w:rsid w:val="000A7927"/>
    <w:rsid w:val="000A7AE1"/>
    <w:rsid w:val="000A7B50"/>
    <w:rsid w:val="000A7CBA"/>
    <w:rsid w:val="000B05D4"/>
    <w:rsid w:val="000B09EE"/>
    <w:rsid w:val="000B116A"/>
    <w:rsid w:val="000B12E3"/>
    <w:rsid w:val="000B19FF"/>
    <w:rsid w:val="000B221F"/>
    <w:rsid w:val="000B2AE2"/>
    <w:rsid w:val="000B2D33"/>
    <w:rsid w:val="000B3092"/>
    <w:rsid w:val="000B3791"/>
    <w:rsid w:val="000B50DD"/>
    <w:rsid w:val="000B50FA"/>
    <w:rsid w:val="000B5A5B"/>
    <w:rsid w:val="000B6EC5"/>
    <w:rsid w:val="000B6EE5"/>
    <w:rsid w:val="000B7508"/>
    <w:rsid w:val="000C0171"/>
    <w:rsid w:val="000C0EDE"/>
    <w:rsid w:val="000C0F34"/>
    <w:rsid w:val="000C1416"/>
    <w:rsid w:val="000C1B33"/>
    <w:rsid w:val="000C1F79"/>
    <w:rsid w:val="000C258E"/>
    <w:rsid w:val="000C2772"/>
    <w:rsid w:val="000C3839"/>
    <w:rsid w:val="000C434F"/>
    <w:rsid w:val="000C45F7"/>
    <w:rsid w:val="000C46C9"/>
    <w:rsid w:val="000C52E5"/>
    <w:rsid w:val="000C6572"/>
    <w:rsid w:val="000C66D4"/>
    <w:rsid w:val="000C6C38"/>
    <w:rsid w:val="000C6CC6"/>
    <w:rsid w:val="000C7C5E"/>
    <w:rsid w:val="000D0298"/>
    <w:rsid w:val="000D1579"/>
    <w:rsid w:val="000D2613"/>
    <w:rsid w:val="000D264A"/>
    <w:rsid w:val="000D300C"/>
    <w:rsid w:val="000D3291"/>
    <w:rsid w:val="000D3A6C"/>
    <w:rsid w:val="000D40DA"/>
    <w:rsid w:val="000D4358"/>
    <w:rsid w:val="000D4F2A"/>
    <w:rsid w:val="000D53B8"/>
    <w:rsid w:val="000D60BC"/>
    <w:rsid w:val="000D6475"/>
    <w:rsid w:val="000D66CB"/>
    <w:rsid w:val="000D6929"/>
    <w:rsid w:val="000D6B27"/>
    <w:rsid w:val="000E0CC2"/>
    <w:rsid w:val="000E0FD5"/>
    <w:rsid w:val="000E147A"/>
    <w:rsid w:val="000E1EBC"/>
    <w:rsid w:val="000E21A3"/>
    <w:rsid w:val="000E2D6E"/>
    <w:rsid w:val="000E2E30"/>
    <w:rsid w:val="000E36EC"/>
    <w:rsid w:val="000E3720"/>
    <w:rsid w:val="000E386B"/>
    <w:rsid w:val="000E3D40"/>
    <w:rsid w:val="000E3E0B"/>
    <w:rsid w:val="000E4409"/>
    <w:rsid w:val="000E455F"/>
    <w:rsid w:val="000E489D"/>
    <w:rsid w:val="000E51FC"/>
    <w:rsid w:val="000E5341"/>
    <w:rsid w:val="000E5B0F"/>
    <w:rsid w:val="000E6064"/>
    <w:rsid w:val="000E692A"/>
    <w:rsid w:val="000E6AF6"/>
    <w:rsid w:val="000E7D6E"/>
    <w:rsid w:val="000F0225"/>
    <w:rsid w:val="000F0A8B"/>
    <w:rsid w:val="000F1279"/>
    <w:rsid w:val="000F17BD"/>
    <w:rsid w:val="000F1BD4"/>
    <w:rsid w:val="000F2593"/>
    <w:rsid w:val="000F2676"/>
    <w:rsid w:val="000F269F"/>
    <w:rsid w:val="000F2AB6"/>
    <w:rsid w:val="000F3A29"/>
    <w:rsid w:val="000F42DE"/>
    <w:rsid w:val="000F501A"/>
    <w:rsid w:val="000F59E8"/>
    <w:rsid w:val="000F5C48"/>
    <w:rsid w:val="000F5DF1"/>
    <w:rsid w:val="000F606A"/>
    <w:rsid w:val="000F6B85"/>
    <w:rsid w:val="000F6F59"/>
    <w:rsid w:val="00100210"/>
    <w:rsid w:val="001005BC"/>
    <w:rsid w:val="001015BE"/>
    <w:rsid w:val="00101A12"/>
    <w:rsid w:val="00103A11"/>
    <w:rsid w:val="00104723"/>
    <w:rsid w:val="001048E3"/>
    <w:rsid w:val="001049EC"/>
    <w:rsid w:val="00104CB3"/>
    <w:rsid w:val="00104E70"/>
    <w:rsid w:val="0010565C"/>
    <w:rsid w:val="0010626D"/>
    <w:rsid w:val="00106CB7"/>
    <w:rsid w:val="00107250"/>
    <w:rsid w:val="00107289"/>
    <w:rsid w:val="00110A5F"/>
    <w:rsid w:val="00110EE4"/>
    <w:rsid w:val="00111116"/>
    <w:rsid w:val="00111540"/>
    <w:rsid w:val="00111DE5"/>
    <w:rsid w:val="00112069"/>
    <w:rsid w:val="00112201"/>
    <w:rsid w:val="00113010"/>
    <w:rsid w:val="001134AB"/>
    <w:rsid w:val="0011372B"/>
    <w:rsid w:val="00113D2E"/>
    <w:rsid w:val="00113F67"/>
    <w:rsid w:val="001147B1"/>
    <w:rsid w:val="0011490C"/>
    <w:rsid w:val="00114BDD"/>
    <w:rsid w:val="00114DFD"/>
    <w:rsid w:val="001150CD"/>
    <w:rsid w:val="00115618"/>
    <w:rsid w:val="001158F7"/>
    <w:rsid w:val="00116D3F"/>
    <w:rsid w:val="00116D9B"/>
    <w:rsid w:val="00117598"/>
    <w:rsid w:val="00117C26"/>
    <w:rsid w:val="001203C4"/>
    <w:rsid w:val="00120B3B"/>
    <w:rsid w:val="00120F66"/>
    <w:rsid w:val="001214AA"/>
    <w:rsid w:val="001219AF"/>
    <w:rsid w:val="001230CB"/>
    <w:rsid w:val="001232B6"/>
    <w:rsid w:val="00123E8A"/>
    <w:rsid w:val="0012473D"/>
    <w:rsid w:val="00124789"/>
    <w:rsid w:val="00124791"/>
    <w:rsid w:val="001252B4"/>
    <w:rsid w:val="00125C54"/>
    <w:rsid w:val="001267D4"/>
    <w:rsid w:val="001269BB"/>
    <w:rsid w:val="001269C4"/>
    <w:rsid w:val="0013017C"/>
    <w:rsid w:val="00130496"/>
    <w:rsid w:val="0013090D"/>
    <w:rsid w:val="00131FE9"/>
    <w:rsid w:val="0013242E"/>
    <w:rsid w:val="001324AC"/>
    <w:rsid w:val="00132D31"/>
    <w:rsid w:val="001332F1"/>
    <w:rsid w:val="00133A0A"/>
    <w:rsid w:val="00134190"/>
    <w:rsid w:val="00135113"/>
    <w:rsid w:val="001356B3"/>
    <w:rsid w:val="00136025"/>
    <w:rsid w:val="00136203"/>
    <w:rsid w:val="00136346"/>
    <w:rsid w:val="00137141"/>
    <w:rsid w:val="00137A5E"/>
    <w:rsid w:val="00137D97"/>
    <w:rsid w:val="00140348"/>
    <w:rsid w:val="00140457"/>
    <w:rsid w:val="00140C2D"/>
    <w:rsid w:val="00141155"/>
    <w:rsid w:val="0014211E"/>
    <w:rsid w:val="00142685"/>
    <w:rsid w:val="00142C93"/>
    <w:rsid w:val="00142F9A"/>
    <w:rsid w:val="00143849"/>
    <w:rsid w:val="00144AE7"/>
    <w:rsid w:val="00144E50"/>
    <w:rsid w:val="001458A2"/>
    <w:rsid w:val="00145CFB"/>
    <w:rsid w:val="00145F4D"/>
    <w:rsid w:val="001460DB"/>
    <w:rsid w:val="0014657E"/>
    <w:rsid w:val="00146AE2"/>
    <w:rsid w:val="00146EC4"/>
    <w:rsid w:val="0015058C"/>
    <w:rsid w:val="0015059D"/>
    <w:rsid w:val="00150E0D"/>
    <w:rsid w:val="001512C6"/>
    <w:rsid w:val="0015186A"/>
    <w:rsid w:val="00151A53"/>
    <w:rsid w:val="00151AC1"/>
    <w:rsid w:val="00152829"/>
    <w:rsid w:val="00152D3B"/>
    <w:rsid w:val="0015352E"/>
    <w:rsid w:val="00154CD8"/>
    <w:rsid w:val="001554AA"/>
    <w:rsid w:val="001560C4"/>
    <w:rsid w:val="001563C1"/>
    <w:rsid w:val="00156471"/>
    <w:rsid w:val="001567D7"/>
    <w:rsid w:val="001567DE"/>
    <w:rsid w:val="00156FEA"/>
    <w:rsid w:val="001574A3"/>
    <w:rsid w:val="001576FF"/>
    <w:rsid w:val="0015770A"/>
    <w:rsid w:val="00157831"/>
    <w:rsid w:val="0016008D"/>
    <w:rsid w:val="001610C8"/>
    <w:rsid w:val="0016149E"/>
    <w:rsid w:val="00161E12"/>
    <w:rsid w:val="0016262F"/>
    <w:rsid w:val="001630A5"/>
    <w:rsid w:val="00163A71"/>
    <w:rsid w:val="00163D10"/>
    <w:rsid w:val="00163E51"/>
    <w:rsid w:val="00163FFB"/>
    <w:rsid w:val="001647FB"/>
    <w:rsid w:val="001648BE"/>
    <w:rsid w:val="00164DA5"/>
    <w:rsid w:val="00165DA7"/>
    <w:rsid w:val="00165F6D"/>
    <w:rsid w:val="0016600D"/>
    <w:rsid w:val="001661AD"/>
    <w:rsid w:val="0016695A"/>
    <w:rsid w:val="0016702C"/>
    <w:rsid w:val="00167DBD"/>
    <w:rsid w:val="00170426"/>
    <w:rsid w:val="0017062C"/>
    <w:rsid w:val="001706FD"/>
    <w:rsid w:val="0017077A"/>
    <w:rsid w:val="001711C2"/>
    <w:rsid w:val="0017190A"/>
    <w:rsid w:val="00171925"/>
    <w:rsid w:val="00171ABF"/>
    <w:rsid w:val="00171CC3"/>
    <w:rsid w:val="0017279D"/>
    <w:rsid w:val="0017320E"/>
    <w:rsid w:val="00173321"/>
    <w:rsid w:val="001740E7"/>
    <w:rsid w:val="0017439F"/>
    <w:rsid w:val="0017440C"/>
    <w:rsid w:val="001756BB"/>
    <w:rsid w:val="001759FA"/>
    <w:rsid w:val="00175A73"/>
    <w:rsid w:val="001766CA"/>
    <w:rsid w:val="00176A65"/>
    <w:rsid w:val="00176F3D"/>
    <w:rsid w:val="001775ED"/>
    <w:rsid w:val="00177952"/>
    <w:rsid w:val="00177AEE"/>
    <w:rsid w:val="00177D85"/>
    <w:rsid w:val="001804EA"/>
    <w:rsid w:val="00180F18"/>
    <w:rsid w:val="00181332"/>
    <w:rsid w:val="00181338"/>
    <w:rsid w:val="00181A9F"/>
    <w:rsid w:val="00181CBF"/>
    <w:rsid w:val="00182186"/>
    <w:rsid w:val="0018300F"/>
    <w:rsid w:val="00184896"/>
    <w:rsid w:val="00184F9F"/>
    <w:rsid w:val="0018534F"/>
    <w:rsid w:val="00185370"/>
    <w:rsid w:val="00185B6B"/>
    <w:rsid w:val="00186431"/>
    <w:rsid w:val="0018691E"/>
    <w:rsid w:val="00186D1B"/>
    <w:rsid w:val="00186DB2"/>
    <w:rsid w:val="001873EC"/>
    <w:rsid w:val="001876D3"/>
    <w:rsid w:val="001914F3"/>
    <w:rsid w:val="0019150D"/>
    <w:rsid w:val="00191907"/>
    <w:rsid w:val="0019335B"/>
    <w:rsid w:val="00193A7D"/>
    <w:rsid w:val="001940EB"/>
    <w:rsid w:val="00195522"/>
    <w:rsid w:val="00195595"/>
    <w:rsid w:val="0019562F"/>
    <w:rsid w:val="0019567A"/>
    <w:rsid w:val="00195E92"/>
    <w:rsid w:val="0019692E"/>
    <w:rsid w:val="0019734A"/>
    <w:rsid w:val="001A02A4"/>
    <w:rsid w:val="001A1BEB"/>
    <w:rsid w:val="001A1D50"/>
    <w:rsid w:val="001A201A"/>
    <w:rsid w:val="001A30B6"/>
    <w:rsid w:val="001A36E5"/>
    <w:rsid w:val="001A3ACC"/>
    <w:rsid w:val="001A3EDB"/>
    <w:rsid w:val="001A41C5"/>
    <w:rsid w:val="001A46D2"/>
    <w:rsid w:val="001A549D"/>
    <w:rsid w:val="001A6430"/>
    <w:rsid w:val="001A6465"/>
    <w:rsid w:val="001B0317"/>
    <w:rsid w:val="001B03B3"/>
    <w:rsid w:val="001B1C01"/>
    <w:rsid w:val="001B1FDA"/>
    <w:rsid w:val="001B205E"/>
    <w:rsid w:val="001B2534"/>
    <w:rsid w:val="001B2F5C"/>
    <w:rsid w:val="001B3E76"/>
    <w:rsid w:val="001B4964"/>
    <w:rsid w:val="001B4F6F"/>
    <w:rsid w:val="001B507A"/>
    <w:rsid w:val="001B5AB9"/>
    <w:rsid w:val="001B62F4"/>
    <w:rsid w:val="001B657B"/>
    <w:rsid w:val="001B6B64"/>
    <w:rsid w:val="001B768B"/>
    <w:rsid w:val="001B780E"/>
    <w:rsid w:val="001B7A2A"/>
    <w:rsid w:val="001B7B8A"/>
    <w:rsid w:val="001C040A"/>
    <w:rsid w:val="001C069D"/>
    <w:rsid w:val="001C0A9A"/>
    <w:rsid w:val="001C0DE2"/>
    <w:rsid w:val="001C125E"/>
    <w:rsid w:val="001C1316"/>
    <w:rsid w:val="001C1844"/>
    <w:rsid w:val="001C1F58"/>
    <w:rsid w:val="001C2904"/>
    <w:rsid w:val="001C295F"/>
    <w:rsid w:val="001C2C72"/>
    <w:rsid w:val="001C39B4"/>
    <w:rsid w:val="001C3EDC"/>
    <w:rsid w:val="001C40E7"/>
    <w:rsid w:val="001C40F4"/>
    <w:rsid w:val="001C449C"/>
    <w:rsid w:val="001C5DC1"/>
    <w:rsid w:val="001C61EF"/>
    <w:rsid w:val="001C6DFB"/>
    <w:rsid w:val="001C6F89"/>
    <w:rsid w:val="001D2B6D"/>
    <w:rsid w:val="001D34BE"/>
    <w:rsid w:val="001D360B"/>
    <w:rsid w:val="001D36AD"/>
    <w:rsid w:val="001D3D1D"/>
    <w:rsid w:val="001D3FFC"/>
    <w:rsid w:val="001D4368"/>
    <w:rsid w:val="001D4749"/>
    <w:rsid w:val="001D49DA"/>
    <w:rsid w:val="001D56F6"/>
    <w:rsid w:val="001D5CC3"/>
    <w:rsid w:val="001D5EDF"/>
    <w:rsid w:val="001D649C"/>
    <w:rsid w:val="001D6B90"/>
    <w:rsid w:val="001E0312"/>
    <w:rsid w:val="001E0610"/>
    <w:rsid w:val="001E1751"/>
    <w:rsid w:val="001E17A6"/>
    <w:rsid w:val="001E1F65"/>
    <w:rsid w:val="001E27BB"/>
    <w:rsid w:val="001E2AB0"/>
    <w:rsid w:val="001E2C15"/>
    <w:rsid w:val="001E2CAC"/>
    <w:rsid w:val="001E3638"/>
    <w:rsid w:val="001E3764"/>
    <w:rsid w:val="001E4263"/>
    <w:rsid w:val="001E4377"/>
    <w:rsid w:val="001E4786"/>
    <w:rsid w:val="001E4F67"/>
    <w:rsid w:val="001E5A36"/>
    <w:rsid w:val="001E720B"/>
    <w:rsid w:val="001E7767"/>
    <w:rsid w:val="001E7A63"/>
    <w:rsid w:val="001E7B43"/>
    <w:rsid w:val="001E7CB2"/>
    <w:rsid w:val="001E7D32"/>
    <w:rsid w:val="001F04FF"/>
    <w:rsid w:val="001F084B"/>
    <w:rsid w:val="001F0BB8"/>
    <w:rsid w:val="001F117B"/>
    <w:rsid w:val="001F2DDB"/>
    <w:rsid w:val="001F3B81"/>
    <w:rsid w:val="001F443C"/>
    <w:rsid w:val="001F45BB"/>
    <w:rsid w:val="001F4ADD"/>
    <w:rsid w:val="001F5354"/>
    <w:rsid w:val="001F5D89"/>
    <w:rsid w:val="001F5E4D"/>
    <w:rsid w:val="001F6B96"/>
    <w:rsid w:val="001F6C3B"/>
    <w:rsid w:val="001F7A34"/>
    <w:rsid w:val="001F7CF4"/>
    <w:rsid w:val="001F7E0D"/>
    <w:rsid w:val="002006AE"/>
    <w:rsid w:val="002007FD"/>
    <w:rsid w:val="00200A5A"/>
    <w:rsid w:val="00200D6D"/>
    <w:rsid w:val="00201486"/>
    <w:rsid w:val="002015BA"/>
    <w:rsid w:val="00201655"/>
    <w:rsid w:val="0020168F"/>
    <w:rsid w:val="002020B0"/>
    <w:rsid w:val="002021B7"/>
    <w:rsid w:val="002026D2"/>
    <w:rsid w:val="00202888"/>
    <w:rsid w:val="00202A3D"/>
    <w:rsid w:val="00203DB3"/>
    <w:rsid w:val="002049F8"/>
    <w:rsid w:val="00205542"/>
    <w:rsid w:val="002056B8"/>
    <w:rsid w:val="00206FD3"/>
    <w:rsid w:val="0020771F"/>
    <w:rsid w:val="00211578"/>
    <w:rsid w:val="00211BB0"/>
    <w:rsid w:val="00212B3E"/>
    <w:rsid w:val="0021318F"/>
    <w:rsid w:val="002131C6"/>
    <w:rsid w:val="002138DF"/>
    <w:rsid w:val="00213B21"/>
    <w:rsid w:val="0021425B"/>
    <w:rsid w:val="00214A1C"/>
    <w:rsid w:val="00215164"/>
    <w:rsid w:val="00215373"/>
    <w:rsid w:val="00215695"/>
    <w:rsid w:val="00215F3E"/>
    <w:rsid w:val="00216D3D"/>
    <w:rsid w:val="00216D94"/>
    <w:rsid w:val="00220107"/>
    <w:rsid w:val="0022173B"/>
    <w:rsid w:val="00222364"/>
    <w:rsid w:val="00222A24"/>
    <w:rsid w:val="002231D6"/>
    <w:rsid w:val="00223355"/>
    <w:rsid w:val="00223A68"/>
    <w:rsid w:val="00223BDE"/>
    <w:rsid w:val="0022471C"/>
    <w:rsid w:val="00224EEE"/>
    <w:rsid w:val="002255F6"/>
    <w:rsid w:val="00225AB7"/>
    <w:rsid w:val="00226070"/>
    <w:rsid w:val="00226DE3"/>
    <w:rsid w:val="00226E4F"/>
    <w:rsid w:val="00226E5E"/>
    <w:rsid w:val="00226FA3"/>
    <w:rsid w:val="002270D3"/>
    <w:rsid w:val="00230184"/>
    <w:rsid w:val="0023051E"/>
    <w:rsid w:val="00230F5F"/>
    <w:rsid w:val="002314D1"/>
    <w:rsid w:val="002314EA"/>
    <w:rsid w:val="00232055"/>
    <w:rsid w:val="002323F6"/>
    <w:rsid w:val="002325A9"/>
    <w:rsid w:val="002325FC"/>
    <w:rsid w:val="00232EC2"/>
    <w:rsid w:val="00232F6C"/>
    <w:rsid w:val="00233500"/>
    <w:rsid w:val="00233714"/>
    <w:rsid w:val="0023397D"/>
    <w:rsid w:val="00233CE0"/>
    <w:rsid w:val="00234A64"/>
    <w:rsid w:val="00234D74"/>
    <w:rsid w:val="00235BCD"/>
    <w:rsid w:val="002362C5"/>
    <w:rsid w:val="00236E78"/>
    <w:rsid w:val="00236FB5"/>
    <w:rsid w:val="00237028"/>
    <w:rsid w:val="00237329"/>
    <w:rsid w:val="00237781"/>
    <w:rsid w:val="0023797B"/>
    <w:rsid w:val="00237DDD"/>
    <w:rsid w:val="002400EE"/>
    <w:rsid w:val="0024096F"/>
    <w:rsid w:val="00240BCC"/>
    <w:rsid w:val="00241060"/>
    <w:rsid w:val="00241706"/>
    <w:rsid w:val="00241762"/>
    <w:rsid w:val="00241A33"/>
    <w:rsid w:val="00241E23"/>
    <w:rsid w:val="00242913"/>
    <w:rsid w:val="00243698"/>
    <w:rsid w:val="00243D06"/>
    <w:rsid w:val="002443D2"/>
    <w:rsid w:val="00244954"/>
    <w:rsid w:val="00244EB8"/>
    <w:rsid w:val="00245DE8"/>
    <w:rsid w:val="00246FD3"/>
    <w:rsid w:val="0025080C"/>
    <w:rsid w:val="00251285"/>
    <w:rsid w:val="002512B2"/>
    <w:rsid w:val="00251903"/>
    <w:rsid w:val="00253D13"/>
    <w:rsid w:val="00253E24"/>
    <w:rsid w:val="00254AC7"/>
    <w:rsid w:val="002552B6"/>
    <w:rsid w:val="002554C7"/>
    <w:rsid w:val="00255A75"/>
    <w:rsid w:val="00255BA4"/>
    <w:rsid w:val="002560B6"/>
    <w:rsid w:val="0025693F"/>
    <w:rsid w:val="00256D58"/>
    <w:rsid w:val="00257077"/>
    <w:rsid w:val="00257E3D"/>
    <w:rsid w:val="002600FE"/>
    <w:rsid w:val="0026057A"/>
    <w:rsid w:val="00260941"/>
    <w:rsid w:val="0026094C"/>
    <w:rsid w:val="00260C60"/>
    <w:rsid w:val="00260F5F"/>
    <w:rsid w:val="0026151B"/>
    <w:rsid w:val="00261E3E"/>
    <w:rsid w:val="00261ED0"/>
    <w:rsid w:val="00262E08"/>
    <w:rsid w:val="0026369D"/>
    <w:rsid w:val="00263C6A"/>
    <w:rsid w:val="00263D91"/>
    <w:rsid w:val="00263FD1"/>
    <w:rsid w:val="0026411A"/>
    <w:rsid w:val="00264AD9"/>
    <w:rsid w:val="00265932"/>
    <w:rsid w:val="00265F6A"/>
    <w:rsid w:val="002665A8"/>
    <w:rsid w:val="00270833"/>
    <w:rsid w:val="00270B9A"/>
    <w:rsid w:val="00271236"/>
    <w:rsid w:val="0027154D"/>
    <w:rsid w:val="00271A9E"/>
    <w:rsid w:val="002738EC"/>
    <w:rsid w:val="002741E3"/>
    <w:rsid w:val="00274963"/>
    <w:rsid w:val="002754D4"/>
    <w:rsid w:val="00275B16"/>
    <w:rsid w:val="00280176"/>
    <w:rsid w:val="00280653"/>
    <w:rsid w:val="00281A8A"/>
    <w:rsid w:val="00282178"/>
    <w:rsid w:val="0028275F"/>
    <w:rsid w:val="00284117"/>
    <w:rsid w:val="00284F1D"/>
    <w:rsid w:val="002857BB"/>
    <w:rsid w:val="00285844"/>
    <w:rsid w:val="002862A0"/>
    <w:rsid w:val="0028664E"/>
    <w:rsid w:val="00286AA9"/>
    <w:rsid w:val="00286AEC"/>
    <w:rsid w:val="002871A3"/>
    <w:rsid w:val="00287AB1"/>
    <w:rsid w:val="00290B3A"/>
    <w:rsid w:val="00290D98"/>
    <w:rsid w:val="00291897"/>
    <w:rsid w:val="002918AC"/>
    <w:rsid w:val="00291E60"/>
    <w:rsid w:val="00291F92"/>
    <w:rsid w:val="002924FF"/>
    <w:rsid w:val="00292744"/>
    <w:rsid w:val="002927EB"/>
    <w:rsid w:val="00292CA0"/>
    <w:rsid w:val="00292E34"/>
    <w:rsid w:val="00292F5A"/>
    <w:rsid w:val="00293096"/>
    <w:rsid w:val="002931E0"/>
    <w:rsid w:val="0029367F"/>
    <w:rsid w:val="00293714"/>
    <w:rsid w:val="00293B33"/>
    <w:rsid w:val="00294A55"/>
    <w:rsid w:val="00294D13"/>
    <w:rsid w:val="00294EE9"/>
    <w:rsid w:val="00295429"/>
    <w:rsid w:val="0029630C"/>
    <w:rsid w:val="00296535"/>
    <w:rsid w:val="002965DE"/>
    <w:rsid w:val="00297635"/>
    <w:rsid w:val="00297E6F"/>
    <w:rsid w:val="002A040A"/>
    <w:rsid w:val="002A0EAD"/>
    <w:rsid w:val="002A156A"/>
    <w:rsid w:val="002A1FF9"/>
    <w:rsid w:val="002A22CB"/>
    <w:rsid w:val="002A2683"/>
    <w:rsid w:val="002A2B99"/>
    <w:rsid w:val="002A327A"/>
    <w:rsid w:val="002A3693"/>
    <w:rsid w:val="002A37F0"/>
    <w:rsid w:val="002A3C24"/>
    <w:rsid w:val="002A4288"/>
    <w:rsid w:val="002A43BA"/>
    <w:rsid w:val="002A4520"/>
    <w:rsid w:val="002A486F"/>
    <w:rsid w:val="002A49DA"/>
    <w:rsid w:val="002A5037"/>
    <w:rsid w:val="002A5075"/>
    <w:rsid w:val="002A5785"/>
    <w:rsid w:val="002A5B23"/>
    <w:rsid w:val="002A7268"/>
    <w:rsid w:val="002A742E"/>
    <w:rsid w:val="002A7480"/>
    <w:rsid w:val="002A7F4C"/>
    <w:rsid w:val="002B026B"/>
    <w:rsid w:val="002B048E"/>
    <w:rsid w:val="002B04F8"/>
    <w:rsid w:val="002B1364"/>
    <w:rsid w:val="002B1991"/>
    <w:rsid w:val="002B1F0C"/>
    <w:rsid w:val="002B2035"/>
    <w:rsid w:val="002B2352"/>
    <w:rsid w:val="002B2431"/>
    <w:rsid w:val="002B255C"/>
    <w:rsid w:val="002B2835"/>
    <w:rsid w:val="002B2A67"/>
    <w:rsid w:val="002B4215"/>
    <w:rsid w:val="002B44DB"/>
    <w:rsid w:val="002B46C9"/>
    <w:rsid w:val="002B484D"/>
    <w:rsid w:val="002B4B39"/>
    <w:rsid w:val="002B5013"/>
    <w:rsid w:val="002B55ED"/>
    <w:rsid w:val="002B5C6B"/>
    <w:rsid w:val="002B5D8C"/>
    <w:rsid w:val="002B6328"/>
    <w:rsid w:val="002B673A"/>
    <w:rsid w:val="002B68DE"/>
    <w:rsid w:val="002B7C5C"/>
    <w:rsid w:val="002C0289"/>
    <w:rsid w:val="002C0A2E"/>
    <w:rsid w:val="002C0D96"/>
    <w:rsid w:val="002C0DCA"/>
    <w:rsid w:val="002C165E"/>
    <w:rsid w:val="002C1D57"/>
    <w:rsid w:val="002C1EB3"/>
    <w:rsid w:val="002C282A"/>
    <w:rsid w:val="002C31B5"/>
    <w:rsid w:val="002C36BA"/>
    <w:rsid w:val="002C49B3"/>
    <w:rsid w:val="002C4B1E"/>
    <w:rsid w:val="002C4BBE"/>
    <w:rsid w:val="002C53B2"/>
    <w:rsid w:val="002C5FC5"/>
    <w:rsid w:val="002C6B65"/>
    <w:rsid w:val="002D05C4"/>
    <w:rsid w:val="002D0A9F"/>
    <w:rsid w:val="002D0C18"/>
    <w:rsid w:val="002D0D33"/>
    <w:rsid w:val="002D175A"/>
    <w:rsid w:val="002D1B9D"/>
    <w:rsid w:val="002D2809"/>
    <w:rsid w:val="002D2B27"/>
    <w:rsid w:val="002D329A"/>
    <w:rsid w:val="002D36A3"/>
    <w:rsid w:val="002D3B10"/>
    <w:rsid w:val="002D3CC0"/>
    <w:rsid w:val="002D3CE4"/>
    <w:rsid w:val="002D40FE"/>
    <w:rsid w:val="002D4C05"/>
    <w:rsid w:val="002D51BD"/>
    <w:rsid w:val="002D565F"/>
    <w:rsid w:val="002D5A26"/>
    <w:rsid w:val="002D5C50"/>
    <w:rsid w:val="002D5F20"/>
    <w:rsid w:val="002D5F66"/>
    <w:rsid w:val="002D6493"/>
    <w:rsid w:val="002D64CD"/>
    <w:rsid w:val="002D6A1B"/>
    <w:rsid w:val="002D77C5"/>
    <w:rsid w:val="002D7BB8"/>
    <w:rsid w:val="002D7E17"/>
    <w:rsid w:val="002E0B73"/>
    <w:rsid w:val="002E0D57"/>
    <w:rsid w:val="002E1613"/>
    <w:rsid w:val="002E163F"/>
    <w:rsid w:val="002E19E0"/>
    <w:rsid w:val="002E20BD"/>
    <w:rsid w:val="002E22BE"/>
    <w:rsid w:val="002E29F6"/>
    <w:rsid w:val="002E2BF4"/>
    <w:rsid w:val="002E338A"/>
    <w:rsid w:val="002E4332"/>
    <w:rsid w:val="002E4491"/>
    <w:rsid w:val="002E4737"/>
    <w:rsid w:val="002E4DB2"/>
    <w:rsid w:val="002E4DEF"/>
    <w:rsid w:val="002E4F7F"/>
    <w:rsid w:val="002E55EB"/>
    <w:rsid w:val="002E56C6"/>
    <w:rsid w:val="002E57A2"/>
    <w:rsid w:val="002E5841"/>
    <w:rsid w:val="002E5D83"/>
    <w:rsid w:val="002E6359"/>
    <w:rsid w:val="002E6A1B"/>
    <w:rsid w:val="002E6C56"/>
    <w:rsid w:val="002E722C"/>
    <w:rsid w:val="002E733C"/>
    <w:rsid w:val="002F0081"/>
    <w:rsid w:val="002F051E"/>
    <w:rsid w:val="002F25E6"/>
    <w:rsid w:val="002F27FC"/>
    <w:rsid w:val="002F2B9C"/>
    <w:rsid w:val="002F2C74"/>
    <w:rsid w:val="002F3D60"/>
    <w:rsid w:val="002F4184"/>
    <w:rsid w:val="002F55F6"/>
    <w:rsid w:val="002F5DAF"/>
    <w:rsid w:val="002F60CC"/>
    <w:rsid w:val="002F60DC"/>
    <w:rsid w:val="002F677F"/>
    <w:rsid w:val="002F693D"/>
    <w:rsid w:val="002F7346"/>
    <w:rsid w:val="002F73D6"/>
    <w:rsid w:val="00300322"/>
    <w:rsid w:val="00300CE1"/>
    <w:rsid w:val="00300DD7"/>
    <w:rsid w:val="00301A56"/>
    <w:rsid w:val="00303BD5"/>
    <w:rsid w:val="003044DA"/>
    <w:rsid w:val="00306A57"/>
    <w:rsid w:val="00306FC1"/>
    <w:rsid w:val="003077A6"/>
    <w:rsid w:val="0031011A"/>
    <w:rsid w:val="003101E6"/>
    <w:rsid w:val="003107B7"/>
    <w:rsid w:val="00310B89"/>
    <w:rsid w:val="00310C2E"/>
    <w:rsid w:val="003114FE"/>
    <w:rsid w:val="00311D63"/>
    <w:rsid w:val="00311F7C"/>
    <w:rsid w:val="00312591"/>
    <w:rsid w:val="00312C5C"/>
    <w:rsid w:val="00313C04"/>
    <w:rsid w:val="00313DD8"/>
    <w:rsid w:val="0031482D"/>
    <w:rsid w:val="00314BAD"/>
    <w:rsid w:val="00314E09"/>
    <w:rsid w:val="00314EF7"/>
    <w:rsid w:val="003156B4"/>
    <w:rsid w:val="003156ED"/>
    <w:rsid w:val="00315789"/>
    <w:rsid w:val="00315A48"/>
    <w:rsid w:val="0031616D"/>
    <w:rsid w:val="003168EE"/>
    <w:rsid w:val="0031731E"/>
    <w:rsid w:val="003177E1"/>
    <w:rsid w:val="00320735"/>
    <w:rsid w:val="00320A92"/>
    <w:rsid w:val="00320DB3"/>
    <w:rsid w:val="003216E7"/>
    <w:rsid w:val="00321747"/>
    <w:rsid w:val="00321793"/>
    <w:rsid w:val="00321B0B"/>
    <w:rsid w:val="00321BA3"/>
    <w:rsid w:val="0032201C"/>
    <w:rsid w:val="003226EE"/>
    <w:rsid w:val="00322835"/>
    <w:rsid w:val="00322E41"/>
    <w:rsid w:val="00323A45"/>
    <w:rsid w:val="00323B75"/>
    <w:rsid w:val="00323E69"/>
    <w:rsid w:val="00324162"/>
    <w:rsid w:val="00324282"/>
    <w:rsid w:val="00324378"/>
    <w:rsid w:val="00324634"/>
    <w:rsid w:val="00325004"/>
    <w:rsid w:val="00325615"/>
    <w:rsid w:val="003259B0"/>
    <w:rsid w:val="00326C3A"/>
    <w:rsid w:val="00326D8C"/>
    <w:rsid w:val="003273E2"/>
    <w:rsid w:val="003275D0"/>
    <w:rsid w:val="00327627"/>
    <w:rsid w:val="0032786F"/>
    <w:rsid w:val="00327C64"/>
    <w:rsid w:val="00327F21"/>
    <w:rsid w:val="003302A8"/>
    <w:rsid w:val="00330346"/>
    <w:rsid w:val="0033042F"/>
    <w:rsid w:val="00331058"/>
    <w:rsid w:val="0033153A"/>
    <w:rsid w:val="003322DE"/>
    <w:rsid w:val="00332B38"/>
    <w:rsid w:val="00333749"/>
    <w:rsid w:val="00333800"/>
    <w:rsid w:val="00334085"/>
    <w:rsid w:val="00334165"/>
    <w:rsid w:val="003344DF"/>
    <w:rsid w:val="00334C06"/>
    <w:rsid w:val="00335349"/>
    <w:rsid w:val="003354E0"/>
    <w:rsid w:val="00336D3E"/>
    <w:rsid w:val="00337A8D"/>
    <w:rsid w:val="00337DC9"/>
    <w:rsid w:val="00340890"/>
    <w:rsid w:val="003417A4"/>
    <w:rsid w:val="00342E2C"/>
    <w:rsid w:val="00343D09"/>
    <w:rsid w:val="00345D1C"/>
    <w:rsid w:val="003463DD"/>
    <w:rsid w:val="00346719"/>
    <w:rsid w:val="00346A52"/>
    <w:rsid w:val="0034719C"/>
    <w:rsid w:val="00347A09"/>
    <w:rsid w:val="0035017F"/>
    <w:rsid w:val="003503ED"/>
    <w:rsid w:val="0035133D"/>
    <w:rsid w:val="003514F8"/>
    <w:rsid w:val="00352078"/>
    <w:rsid w:val="003525A3"/>
    <w:rsid w:val="00352AB5"/>
    <w:rsid w:val="00353F03"/>
    <w:rsid w:val="00354A5B"/>
    <w:rsid w:val="00354F26"/>
    <w:rsid w:val="00355111"/>
    <w:rsid w:val="0035549B"/>
    <w:rsid w:val="00355D48"/>
    <w:rsid w:val="003562B8"/>
    <w:rsid w:val="00356CAD"/>
    <w:rsid w:val="003571BC"/>
    <w:rsid w:val="00357BF1"/>
    <w:rsid w:val="0036158E"/>
    <w:rsid w:val="00361680"/>
    <w:rsid w:val="003617A3"/>
    <w:rsid w:val="00361862"/>
    <w:rsid w:val="00361B42"/>
    <w:rsid w:val="00361E71"/>
    <w:rsid w:val="00362759"/>
    <w:rsid w:val="00362CD5"/>
    <w:rsid w:val="00363407"/>
    <w:rsid w:val="0036442C"/>
    <w:rsid w:val="00364766"/>
    <w:rsid w:val="00364858"/>
    <w:rsid w:val="00364F4B"/>
    <w:rsid w:val="00365BA2"/>
    <w:rsid w:val="00367115"/>
    <w:rsid w:val="003672C2"/>
    <w:rsid w:val="00367416"/>
    <w:rsid w:val="00367741"/>
    <w:rsid w:val="00367CD9"/>
    <w:rsid w:val="003704BE"/>
    <w:rsid w:val="00370A2F"/>
    <w:rsid w:val="00370DEA"/>
    <w:rsid w:val="00370E1E"/>
    <w:rsid w:val="00371A30"/>
    <w:rsid w:val="00371B7D"/>
    <w:rsid w:val="003722DA"/>
    <w:rsid w:val="0037264C"/>
    <w:rsid w:val="003729AA"/>
    <w:rsid w:val="0037340A"/>
    <w:rsid w:val="00373982"/>
    <w:rsid w:val="003739CE"/>
    <w:rsid w:val="00373B08"/>
    <w:rsid w:val="00373B3D"/>
    <w:rsid w:val="0037516C"/>
    <w:rsid w:val="0037569B"/>
    <w:rsid w:val="003756A4"/>
    <w:rsid w:val="003766EA"/>
    <w:rsid w:val="00377F97"/>
    <w:rsid w:val="00380865"/>
    <w:rsid w:val="00381C5A"/>
    <w:rsid w:val="00382613"/>
    <w:rsid w:val="00382C5E"/>
    <w:rsid w:val="00382E6B"/>
    <w:rsid w:val="00383150"/>
    <w:rsid w:val="00383187"/>
    <w:rsid w:val="00383340"/>
    <w:rsid w:val="0038399C"/>
    <w:rsid w:val="00383C96"/>
    <w:rsid w:val="00384143"/>
    <w:rsid w:val="003857B4"/>
    <w:rsid w:val="00385E9C"/>
    <w:rsid w:val="003862DC"/>
    <w:rsid w:val="00386448"/>
    <w:rsid w:val="003865BC"/>
    <w:rsid w:val="0038746E"/>
    <w:rsid w:val="00390995"/>
    <w:rsid w:val="00391612"/>
    <w:rsid w:val="00391BF6"/>
    <w:rsid w:val="00391FED"/>
    <w:rsid w:val="003922AA"/>
    <w:rsid w:val="00392C2F"/>
    <w:rsid w:val="003939D0"/>
    <w:rsid w:val="00393AE1"/>
    <w:rsid w:val="00393F52"/>
    <w:rsid w:val="003943C4"/>
    <w:rsid w:val="0039452D"/>
    <w:rsid w:val="00394A8C"/>
    <w:rsid w:val="00394BA6"/>
    <w:rsid w:val="00395485"/>
    <w:rsid w:val="00395D15"/>
    <w:rsid w:val="00397748"/>
    <w:rsid w:val="0039780F"/>
    <w:rsid w:val="003978E8"/>
    <w:rsid w:val="003979A5"/>
    <w:rsid w:val="003A1188"/>
    <w:rsid w:val="003A14D7"/>
    <w:rsid w:val="003A1964"/>
    <w:rsid w:val="003A1F69"/>
    <w:rsid w:val="003A21E7"/>
    <w:rsid w:val="003A24A2"/>
    <w:rsid w:val="003A2F99"/>
    <w:rsid w:val="003A2FFD"/>
    <w:rsid w:val="003A4EFE"/>
    <w:rsid w:val="003A5194"/>
    <w:rsid w:val="003A5387"/>
    <w:rsid w:val="003A64A9"/>
    <w:rsid w:val="003A676E"/>
    <w:rsid w:val="003A689F"/>
    <w:rsid w:val="003A7082"/>
    <w:rsid w:val="003A76E1"/>
    <w:rsid w:val="003B05DE"/>
    <w:rsid w:val="003B0D67"/>
    <w:rsid w:val="003B11DA"/>
    <w:rsid w:val="003B2433"/>
    <w:rsid w:val="003B2E27"/>
    <w:rsid w:val="003B3095"/>
    <w:rsid w:val="003B3177"/>
    <w:rsid w:val="003B3238"/>
    <w:rsid w:val="003B3E90"/>
    <w:rsid w:val="003B4455"/>
    <w:rsid w:val="003B511E"/>
    <w:rsid w:val="003B523C"/>
    <w:rsid w:val="003B5477"/>
    <w:rsid w:val="003B5E42"/>
    <w:rsid w:val="003B610C"/>
    <w:rsid w:val="003B65DD"/>
    <w:rsid w:val="003B67FE"/>
    <w:rsid w:val="003B6E03"/>
    <w:rsid w:val="003B70C1"/>
    <w:rsid w:val="003B7E8F"/>
    <w:rsid w:val="003C04EB"/>
    <w:rsid w:val="003C0CC5"/>
    <w:rsid w:val="003C1971"/>
    <w:rsid w:val="003C1D5F"/>
    <w:rsid w:val="003C1E67"/>
    <w:rsid w:val="003C23AC"/>
    <w:rsid w:val="003C2626"/>
    <w:rsid w:val="003C2AF2"/>
    <w:rsid w:val="003C2C71"/>
    <w:rsid w:val="003C30B9"/>
    <w:rsid w:val="003C4123"/>
    <w:rsid w:val="003C4B7B"/>
    <w:rsid w:val="003C4CFE"/>
    <w:rsid w:val="003C58BD"/>
    <w:rsid w:val="003C596F"/>
    <w:rsid w:val="003C5C4E"/>
    <w:rsid w:val="003C5F1E"/>
    <w:rsid w:val="003C7997"/>
    <w:rsid w:val="003C7C61"/>
    <w:rsid w:val="003D0295"/>
    <w:rsid w:val="003D0593"/>
    <w:rsid w:val="003D0848"/>
    <w:rsid w:val="003D0D8F"/>
    <w:rsid w:val="003D20DA"/>
    <w:rsid w:val="003D24C2"/>
    <w:rsid w:val="003D26BA"/>
    <w:rsid w:val="003D36EC"/>
    <w:rsid w:val="003D44AF"/>
    <w:rsid w:val="003D471A"/>
    <w:rsid w:val="003D527E"/>
    <w:rsid w:val="003D5AEF"/>
    <w:rsid w:val="003D6F55"/>
    <w:rsid w:val="003D71C4"/>
    <w:rsid w:val="003E001B"/>
    <w:rsid w:val="003E002D"/>
    <w:rsid w:val="003E0539"/>
    <w:rsid w:val="003E0A2B"/>
    <w:rsid w:val="003E0F26"/>
    <w:rsid w:val="003E0FB7"/>
    <w:rsid w:val="003E1211"/>
    <w:rsid w:val="003E2CD6"/>
    <w:rsid w:val="003E3EAA"/>
    <w:rsid w:val="003E472C"/>
    <w:rsid w:val="003E4FAB"/>
    <w:rsid w:val="003E52E3"/>
    <w:rsid w:val="003E5793"/>
    <w:rsid w:val="003E58C7"/>
    <w:rsid w:val="003E5CCF"/>
    <w:rsid w:val="003E5E36"/>
    <w:rsid w:val="003E695A"/>
    <w:rsid w:val="003E69EE"/>
    <w:rsid w:val="003E7010"/>
    <w:rsid w:val="003E7156"/>
    <w:rsid w:val="003E7676"/>
    <w:rsid w:val="003E7E23"/>
    <w:rsid w:val="003E7FFD"/>
    <w:rsid w:val="003F0548"/>
    <w:rsid w:val="003F0D40"/>
    <w:rsid w:val="003F10C4"/>
    <w:rsid w:val="003F15F0"/>
    <w:rsid w:val="003F2D9B"/>
    <w:rsid w:val="003F3874"/>
    <w:rsid w:val="003F3CE3"/>
    <w:rsid w:val="003F3E20"/>
    <w:rsid w:val="003F3FAC"/>
    <w:rsid w:val="003F4630"/>
    <w:rsid w:val="003F4D61"/>
    <w:rsid w:val="003F4F43"/>
    <w:rsid w:val="003F5184"/>
    <w:rsid w:val="003F521B"/>
    <w:rsid w:val="003F5B47"/>
    <w:rsid w:val="003F5E12"/>
    <w:rsid w:val="003F61B4"/>
    <w:rsid w:val="003F67B5"/>
    <w:rsid w:val="003F68BC"/>
    <w:rsid w:val="003F6AE9"/>
    <w:rsid w:val="003F6FC0"/>
    <w:rsid w:val="003F7321"/>
    <w:rsid w:val="003F7463"/>
    <w:rsid w:val="003F7ABE"/>
    <w:rsid w:val="003F7D7B"/>
    <w:rsid w:val="004006B5"/>
    <w:rsid w:val="00400B80"/>
    <w:rsid w:val="004010FE"/>
    <w:rsid w:val="00401C07"/>
    <w:rsid w:val="004023E9"/>
    <w:rsid w:val="00402A21"/>
    <w:rsid w:val="00402D5B"/>
    <w:rsid w:val="00402DF5"/>
    <w:rsid w:val="004034AC"/>
    <w:rsid w:val="00403AE7"/>
    <w:rsid w:val="004040CE"/>
    <w:rsid w:val="00404A95"/>
    <w:rsid w:val="00404BF8"/>
    <w:rsid w:val="00405131"/>
    <w:rsid w:val="00406059"/>
    <w:rsid w:val="004061DC"/>
    <w:rsid w:val="0040658D"/>
    <w:rsid w:val="004067E1"/>
    <w:rsid w:val="00406A61"/>
    <w:rsid w:val="00407004"/>
    <w:rsid w:val="00410343"/>
    <w:rsid w:val="004108DE"/>
    <w:rsid w:val="004115F8"/>
    <w:rsid w:val="00411EFE"/>
    <w:rsid w:val="00412998"/>
    <w:rsid w:val="00412D3F"/>
    <w:rsid w:val="00412EC5"/>
    <w:rsid w:val="004130D3"/>
    <w:rsid w:val="00413ECC"/>
    <w:rsid w:val="00413F03"/>
    <w:rsid w:val="00413F69"/>
    <w:rsid w:val="0041455B"/>
    <w:rsid w:val="004156D0"/>
    <w:rsid w:val="00415D55"/>
    <w:rsid w:val="00415D66"/>
    <w:rsid w:val="004164A5"/>
    <w:rsid w:val="00416575"/>
    <w:rsid w:val="0041748E"/>
    <w:rsid w:val="00420335"/>
    <w:rsid w:val="00420347"/>
    <w:rsid w:val="00420424"/>
    <w:rsid w:val="004207D5"/>
    <w:rsid w:val="00420A26"/>
    <w:rsid w:val="00421578"/>
    <w:rsid w:val="004217D3"/>
    <w:rsid w:val="00421C80"/>
    <w:rsid w:val="00422E6A"/>
    <w:rsid w:val="00422F71"/>
    <w:rsid w:val="0042339D"/>
    <w:rsid w:val="004237B3"/>
    <w:rsid w:val="0042385D"/>
    <w:rsid w:val="00423885"/>
    <w:rsid w:val="00423C2E"/>
    <w:rsid w:val="0042501B"/>
    <w:rsid w:val="00425089"/>
    <w:rsid w:val="0042541C"/>
    <w:rsid w:val="0042553E"/>
    <w:rsid w:val="00425804"/>
    <w:rsid w:val="0042583A"/>
    <w:rsid w:val="00425E5C"/>
    <w:rsid w:val="00426158"/>
    <w:rsid w:val="004262C7"/>
    <w:rsid w:val="004263B4"/>
    <w:rsid w:val="00426EAA"/>
    <w:rsid w:val="00427321"/>
    <w:rsid w:val="004305CD"/>
    <w:rsid w:val="004305E2"/>
    <w:rsid w:val="00430B8F"/>
    <w:rsid w:val="0043109C"/>
    <w:rsid w:val="00431B65"/>
    <w:rsid w:val="0043264A"/>
    <w:rsid w:val="00433AFE"/>
    <w:rsid w:val="00434698"/>
    <w:rsid w:val="00434C72"/>
    <w:rsid w:val="00434EBF"/>
    <w:rsid w:val="004354D7"/>
    <w:rsid w:val="00435D19"/>
    <w:rsid w:val="004363E1"/>
    <w:rsid w:val="00436934"/>
    <w:rsid w:val="00436990"/>
    <w:rsid w:val="00436DE1"/>
    <w:rsid w:val="00437438"/>
    <w:rsid w:val="004404FE"/>
    <w:rsid w:val="00440ADB"/>
    <w:rsid w:val="00440BCC"/>
    <w:rsid w:val="004413D7"/>
    <w:rsid w:val="004418CC"/>
    <w:rsid w:val="00441D65"/>
    <w:rsid w:val="00441DB4"/>
    <w:rsid w:val="004423DE"/>
    <w:rsid w:val="004424CE"/>
    <w:rsid w:val="004424E1"/>
    <w:rsid w:val="004428F9"/>
    <w:rsid w:val="00442AA8"/>
    <w:rsid w:val="00443415"/>
    <w:rsid w:val="00443944"/>
    <w:rsid w:val="00444163"/>
    <w:rsid w:val="00444252"/>
    <w:rsid w:val="004448A4"/>
    <w:rsid w:val="00444A85"/>
    <w:rsid w:val="00444C7E"/>
    <w:rsid w:val="0044503F"/>
    <w:rsid w:val="00445339"/>
    <w:rsid w:val="0044567C"/>
    <w:rsid w:val="00445D14"/>
    <w:rsid w:val="00445F3F"/>
    <w:rsid w:val="004462A0"/>
    <w:rsid w:val="0044636B"/>
    <w:rsid w:val="00446A1F"/>
    <w:rsid w:val="00446AE1"/>
    <w:rsid w:val="00447794"/>
    <w:rsid w:val="00447962"/>
    <w:rsid w:val="00447EC9"/>
    <w:rsid w:val="0045004D"/>
    <w:rsid w:val="00450314"/>
    <w:rsid w:val="00450427"/>
    <w:rsid w:val="0045077D"/>
    <w:rsid w:val="0045088D"/>
    <w:rsid w:val="00450A77"/>
    <w:rsid w:val="00450F0B"/>
    <w:rsid w:val="00451426"/>
    <w:rsid w:val="00451D55"/>
    <w:rsid w:val="004527D9"/>
    <w:rsid w:val="00452B5C"/>
    <w:rsid w:val="00453E0E"/>
    <w:rsid w:val="00453F89"/>
    <w:rsid w:val="004544E6"/>
    <w:rsid w:val="004551C0"/>
    <w:rsid w:val="004557DB"/>
    <w:rsid w:val="00455897"/>
    <w:rsid w:val="004558E8"/>
    <w:rsid w:val="00456979"/>
    <w:rsid w:val="00456B35"/>
    <w:rsid w:val="00456BA3"/>
    <w:rsid w:val="00457570"/>
    <w:rsid w:val="004579F9"/>
    <w:rsid w:val="00457D79"/>
    <w:rsid w:val="00457ECC"/>
    <w:rsid w:val="00457F74"/>
    <w:rsid w:val="00460325"/>
    <w:rsid w:val="0046243B"/>
    <w:rsid w:val="00463378"/>
    <w:rsid w:val="00463723"/>
    <w:rsid w:val="004639E0"/>
    <w:rsid w:val="00463BA8"/>
    <w:rsid w:val="00463DAD"/>
    <w:rsid w:val="00464056"/>
    <w:rsid w:val="004645C3"/>
    <w:rsid w:val="004667D3"/>
    <w:rsid w:val="00466B4B"/>
    <w:rsid w:val="00467E85"/>
    <w:rsid w:val="00470D7C"/>
    <w:rsid w:val="0047117C"/>
    <w:rsid w:val="004713EE"/>
    <w:rsid w:val="00471956"/>
    <w:rsid w:val="004725CE"/>
    <w:rsid w:val="00472803"/>
    <w:rsid w:val="00472AAF"/>
    <w:rsid w:val="00472F74"/>
    <w:rsid w:val="004730F3"/>
    <w:rsid w:val="00473265"/>
    <w:rsid w:val="004732BC"/>
    <w:rsid w:val="004735A1"/>
    <w:rsid w:val="00473F02"/>
    <w:rsid w:val="004743C0"/>
    <w:rsid w:val="00474834"/>
    <w:rsid w:val="004749A6"/>
    <w:rsid w:val="00474B16"/>
    <w:rsid w:val="00474F5B"/>
    <w:rsid w:val="004753F1"/>
    <w:rsid w:val="00475D24"/>
    <w:rsid w:val="00476B1F"/>
    <w:rsid w:val="00477150"/>
    <w:rsid w:val="004773D2"/>
    <w:rsid w:val="004777B4"/>
    <w:rsid w:val="00477847"/>
    <w:rsid w:val="00477B66"/>
    <w:rsid w:val="004802AA"/>
    <w:rsid w:val="00480B5D"/>
    <w:rsid w:val="00481150"/>
    <w:rsid w:val="00481199"/>
    <w:rsid w:val="00481F17"/>
    <w:rsid w:val="00482431"/>
    <w:rsid w:val="00482F56"/>
    <w:rsid w:val="00482FDC"/>
    <w:rsid w:val="00483020"/>
    <w:rsid w:val="00483390"/>
    <w:rsid w:val="004834E3"/>
    <w:rsid w:val="00483B90"/>
    <w:rsid w:val="00484CFF"/>
    <w:rsid w:val="00485630"/>
    <w:rsid w:val="00485837"/>
    <w:rsid w:val="004861E9"/>
    <w:rsid w:val="004864F0"/>
    <w:rsid w:val="00486658"/>
    <w:rsid w:val="004867BA"/>
    <w:rsid w:val="00487061"/>
    <w:rsid w:val="00487DA9"/>
    <w:rsid w:val="004902BE"/>
    <w:rsid w:val="00490368"/>
    <w:rsid w:val="00490454"/>
    <w:rsid w:val="00490CB9"/>
    <w:rsid w:val="004914DC"/>
    <w:rsid w:val="00491773"/>
    <w:rsid w:val="004920A6"/>
    <w:rsid w:val="004928AA"/>
    <w:rsid w:val="00492AEF"/>
    <w:rsid w:val="00492C73"/>
    <w:rsid w:val="00493A2F"/>
    <w:rsid w:val="00493FD7"/>
    <w:rsid w:val="0049422B"/>
    <w:rsid w:val="0049489C"/>
    <w:rsid w:val="00494ACA"/>
    <w:rsid w:val="00494D5A"/>
    <w:rsid w:val="00494E47"/>
    <w:rsid w:val="00494FBC"/>
    <w:rsid w:val="00494FC6"/>
    <w:rsid w:val="00495989"/>
    <w:rsid w:val="00495E49"/>
    <w:rsid w:val="00495FF4"/>
    <w:rsid w:val="004972D2"/>
    <w:rsid w:val="00497AE4"/>
    <w:rsid w:val="004A02E1"/>
    <w:rsid w:val="004A0D5D"/>
    <w:rsid w:val="004A1444"/>
    <w:rsid w:val="004A190F"/>
    <w:rsid w:val="004A2452"/>
    <w:rsid w:val="004A2730"/>
    <w:rsid w:val="004A2AC3"/>
    <w:rsid w:val="004A3642"/>
    <w:rsid w:val="004A44B9"/>
    <w:rsid w:val="004A548A"/>
    <w:rsid w:val="004A54FF"/>
    <w:rsid w:val="004A719D"/>
    <w:rsid w:val="004A72BD"/>
    <w:rsid w:val="004A79C9"/>
    <w:rsid w:val="004A7A75"/>
    <w:rsid w:val="004A7C8C"/>
    <w:rsid w:val="004A7E49"/>
    <w:rsid w:val="004B0842"/>
    <w:rsid w:val="004B1534"/>
    <w:rsid w:val="004B202B"/>
    <w:rsid w:val="004B2598"/>
    <w:rsid w:val="004B3047"/>
    <w:rsid w:val="004B3238"/>
    <w:rsid w:val="004B3860"/>
    <w:rsid w:val="004B3CAF"/>
    <w:rsid w:val="004B3DA5"/>
    <w:rsid w:val="004B4063"/>
    <w:rsid w:val="004B407A"/>
    <w:rsid w:val="004B4563"/>
    <w:rsid w:val="004B4B00"/>
    <w:rsid w:val="004B4CAA"/>
    <w:rsid w:val="004B53EF"/>
    <w:rsid w:val="004B5D97"/>
    <w:rsid w:val="004B5FDE"/>
    <w:rsid w:val="004B69C4"/>
    <w:rsid w:val="004B7EAC"/>
    <w:rsid w:val="004C1120"/>
    <w:rsid w:val="004C1511"/>
    <w:rsid w:val="004C15F7"/>
    <w:rsid w:val="004C1C13"/>
    <w:rsid w:val="004C1CF2"/>
    <w:rsid w:val="004C1E99"/>
    <w:rsid w:val="004C2154"/>
    <w:rsid w:val="004C2991"/>
    <w:rsid w:val="004C3B3A"/>
    <w:rsid w:val="004C4AB2"/>
    <w:rsid w:val="004C4DCA"/>
    <w:rsid w:val="004C4E26"/>
    <w:rsid w:val="004C5B9B"/>
    <w:rsid w:val="004C6516"/>
    <w:rsid w:val="004C66C2"/>
    <w:rsid w:val="004C6BD6"/>
    <w:rsid w:val="004C7701"/>
    <w:rsid w:val="004C7C5E"/>
    <w:rsid w:val="004C7F3A"/>
    <w:rsid w:val="004D0357"/>
    <w:rsid w:val="004D1078"/>
    <w:rsid w:val="004D1624"/>
    <w:rsid w:val="004D16F0"/>
    <w:rsid w:val="004D19A3"/>
    <w:rsid w:val="004D1BE5"/>
    <w:rsid w:val="004D1D8A"/>
    <w:rsid w:val="004D20FD"/>
    <w:rsid w:val="004D411E"/>
    <w:rsid w:val="004D418E"/>
    <w:rsid w:val="004D5097"/>
    <w:rsid w:val="004D5151"/>
    <w:rsid w:val="004D5468"/>
    <w:rsid w:val="004D6F3C"/>
    <w:rsid w:val="004D71E2"/>
    <w:rsid w:val="004D7E92"/>
    <w:rsid w:val="004E0260"/>
    <w:rsid w:val="004E09FD"/>
    <w:rsid w:val="004E170E"/>
    <w:rsid w:val="004E1E45"/>
    <w:rsid w:val="004E27D8"/>
    <w:rsid w:val="004E2BDC"/>
    <w:rsid w:val="004E2C90"/>
    <w:rsid w:val="004E325E"/>
    <w:rsid w:val="004E3642"/>
    <w:rsid w:val="004E3663"/>
    <w:rsid w:val="004E382C"/>
    <w:rsid w:val="004E3BE3"/>
    <w:rsid w:val="004E3C3A"/>
    <w:rsid w:val="004E3D75"/>
    <w:rsid w:val="004E3DFF"/>
    <w:rsid w:val="004E4139"/>
    <w:rsid w:val="004E41D5"/>
    <w:rsid w:val="004E449A"/>
    <w:rsid w:val="004E4ACF"/>
    <w:rsid w:val="004E4E05"/>
    <w:rsid w:val="004E5367"/>
    <w:rsid w:val="004E5503"/>
    <w:rsid w:val="004E61B8"/>
    <w:rsid w:val="004E62B3"/>
    <w:rsid w:val="004E66CD"/>
    <w:rsid w:val="004E6E59"/>
    <w:rsid w:val="004E7BFA"/>
    <w:rsid w:val="004F0CE7"/>
    <w:rsid w:val="004F1601"/>
    <w:rsid w:val="004F193F"/>
    <w:rsid w:val="004F19E8"/>
    <w:rsid w:val="004F2441"/>
    <w:rsid w:val="004F2E1B"/>
    <w:rsid w:val="004F37F3"/>
    <w:rsid w:val="004F3A91"/>
    <w:rsid w:val="004F3ECF"/>
    <w:rsid w:val="004F4194"/>
    <w:rsid w:val="004F4FA3"/>
    <w:rsid w:val="004F542F"/>
    <w:rsid w:val="004F5A89"/>
    <w:rsid w:val="004F5C61"/>
    <w:rsid w:val="005004D8"/>
    <w:rsid w:val="00500EF9"/>
    <w:rsid w:val="00502750"/>
    <w:rsid w:val="00502926"/>
    <w:rsid w:val="00502BDB"/>
    <w:rsid w:val="00503149"/>
    <w:rsid w:val="00503625"/>
    <w:rsid w:val="00503CA3"/>
    <w:rsid w:val="00503EEE"/>
    <w:rsid w:val="005041F9"/>
    <w:rsid w:val="00504231"/>
    <w:rsid w:val="00504247"/>
    <w:rsid w:val="005043BC"/>
    <w:rsid w:val="00504BC6"/>
    <w:rsid w:val="00505177"/>
    <w:rsid w:val="00505D5D"/>
    <w:rsid w:val="00505FC5"/>
    <w:rsid w:val="00507743"/>
    <w:rsid w:val="00507CA0"/>
    <w:rsid w:val="00510767"/>
    <w:rsid w:val="00510857"/>
    <w:rsid w:val="00512003"/>
    <w:rsid w:val="005130EC"/>
    <w:rsid w:val="00513668"/>
    <w:rsid w:val="00513CD8"/>
    <w:rsid w:val="00514894"/>
    <w:rsid w:val="005162FE"/>
    <w:rsid w:val="00516608"/>
    <w:rsid w:val="005167BF"/>
    <w:rsid w:val="005167FF"/>
    <w:rsid w:val="00517040"/>
    <w:rsid w:val="005179F1"/>
    <w:rsid w:val="00517A5C"/>
    <w:rsid w:val="0052016C"/>
    <w:rsid w:val="00520197"/>
    <w:rsid w:val="00520D6E"/>
    <w:rsid w:val="005212FE"/>
    <w:rsid w:val="00521F34"/>
    <w:rsid w:val="0052230F"/>
    <w:rsid w:val="00522398"/>
    <w:rsid w:val="00523B61"/>
    <w:rsid w:val="00524C8B"/>
    <w:rsid w:val="00526462"/>
    <w:rsid w:val="0052731D"/>
    <w:rsid w:val="00527485"/>
    <w:rsid w:val="00527C9F"/>
    <w:rsid w:val="00530667"/>
    <w:rsid w:val="00530F7E"/>
    <w:rsid w:val="00531794"/>
    <w:rsid w:val="00531D09"/>
    <w:rsid w:val="00531E93"/>
    <w:rsid w:val="0053225F"/>
    <w:rsid w:val="005325B6"/>
    <w:rsid w:val="00532D40"/>
    <w:rsid w:val="00532F42"/>
    <w:rsid w:val="0053367E"/>
    <w:rsid w:val="00533824"/>
    <w:rsid w:val="00533B91"/>
    <w:rsid w:val="00534007"/>
    <w:rsid w:val="0053481B"/>
    <w:rsid w:val="00534B87"/>
    <w:rsid w:val="00535A5A"/>
    <w:rsid w:val="00535EE2"/>
    <w:rsid w:val="005361C8"/>
    <w:rsid w:val="00536740"/>
    <w:rsid w:val="00536AC7"/>
    <w:rsid w:val="00536EC9"/>
    <w:rsid w:val="00537185"/>
    <w:rsid w:val="005375D2"/>
    <w:rsid w:val="00537B2F"/>
    <w:rsid w:val="00537D4B"/>
    <w:rsid w:val="00537EBB"/>
    <w:rsid w:val="005405B1"/>
    <w:rsid w:val="005406AF"/>
    <w:rsid w:val="00540B3B"/>
    <w:rsid w:val="0054177E"/>
    <w:rsid w:val="00541A46"/>
    <w:rsid w:val="00541AB6"/>
    <w:rsid w:val="00541BE3"/>
    <w:rsid w:val="00541E6A"/>
    <w:rsid w:val="00542ED2"/>
    <w:rsid w:val="00543105"/>
    <w:rsid w:val="00543222"/>
    <w:rsid w:val="00543372"/>
    <w:rsid w:val="005437A8"/>
    <w:rsid w:val="005439F2"/>
    <w:rsid w:val="0054449B"/>
    <w:rsid w:val="00545031"/>
    <w:rsid w:val="00545CDC"/>
    <w:rsid w:val="00545EE8"/>
    <w:rsid w:val="00545F3E"/>
    <w:rsid w:val="00546422"/>
    <w:rsid w:val="00547298"/>
    <w:rsid w:val="005473CD"/>
    <w:rsid w:val="00547667"/>
    <w:rsid w:val="0055052E"/>
    <w:rsid w:val="005509FF"/>
    <w:rsid w:val="00551013"/>
    <w:rsid w:val="0055109E"/>
    <w:rsid w:val="005511A8"/>
    <w:rsid w:val="00552D39"/>
    <w:rsid w:val="00555250"/>
    <w:rsid w:val="005559CE"/>
    <w:rsid w:val="00555B82"/>
    <w:rsid w:val="00556167"/>
    <w:rsid w:val="00556706"/>
    <w:rsid w:val="005570EF"/>
    <w:rsid w:val="00557135"/>
    <w:rsid w:val="00557467"/>
    <w:rsid w:val="00557B4B"/>
    <w:rsid w:val="00560622"/>
    <w:rsid w:val="00560A38"/>
    <w:rsid w:val="00560F7B"/>
    <w:rsid w:val="005619B3"/>
    <w:rsid w:val="00562135"/>
    <w:rsid w:val="005624E7"/>
    <w:rsid w:val="00562849"/>
    <w:rsid w:val="00562C12"/>
    <w:rsid w:val="00562E09"/>
    <w:rsid w:val="005630D7"/>
    <w:rsid w:val="0056339C"/>
    <w:rsid w:val="00563AC9"/>
    <w:rsid w:val="00563ACB"/>
    <w:rsid w:val="00563D04"/>
    <w:rsid w:val="005640DA"/>
    <w:rsid w:val="00564BCF"/>
    <w:rsid w:val="00564D60"/>
    <w:rsid w:val="0056519D"/>
    <w:rsid w:val="00565266"/>
    <w:rsid w:val="0056549E"/>
    <w:rsid w:val="00566F9D"/>
    <w:rsid w:val="005678AD"/>
    <w:rsid w:val="00567F40"/>
    <w:rsid w:val="005704FE"/>
    <w:rsid w:val="00570D3D"/>
    <w:rsid w:val="00571FDF"/>
    <w:rsid w:val="005722A5"/>
    <w:rsid w:val="005722A7"/>
    <w:rsid w:val="00572E26"/>
    <w:rsid w:val="005732A9"/>
    <w:rsid w:val="00573D0B"/>
    <w:rsid w:val="00573D14"/>
    <w:rsid w:val="00573D2F"/>
    <w:rsid w:val="0057431B"/>
    <w:rsid w:val="00574634"/>
    <w:rsid w:val="005746D0"/>
    <w:rsid w:val="00574FAB"/>
    <w:rsid w:val="00575573"/>
    <w:rsid w:val="0057585A"/>
    <w:rsid w:val="0057637C"/>
    <w:rsid w:val="00576AE3"/>
    <w:rsid w:val="005775CC"/>
    <w:rsid w:val="005806F3"/>
    <w:rsid w:val="00581494"/>
    <w:rsid w:val="00581AA5"/>
    <w:rsid w:val="005820C4"/>
    <w:rsid w:val="005822E8"/>
    <w:rsid w:val="00582E97"/>
    <w:rsid w:val="005848F9"/>
    <w:rsid w:val="00584D2D"/>
    <w:rsid w:val="005859D7"/>
    <w:rsid w:val="00585B70"/>
    <w:rsid w:val="00585BE9"/>
    <w:rsid w:val="00585DAC"/>
    <w:rsid w:val="0058601A"/>
    <w:rsid w:val="00586AB2"/>
    <w:rsid w:val="00586D0E"/>
    <w:rsid w:val="005873AF"/>
    <w:rsid w:val="00587D8E"/>
    <w:rsid w:val="00590084"/>
    <w:rsid w:val="005900A2"/>
    <w:rsid w:val="0059020B"/>
    <w:rsid w:val="00591E47"/>
    <w:rsid w:val="0059252D"/>
    <w:rsid w:val="00592855"/>
    <w:rsid w:val="00592CE0"/>
    <w:rsid w:val="00592F28"/>
    <w:rsid w:val="005942F8"/>
    <w:rsid w:val="00594D40"/>
    <w:rsid w:val="005950E5"/>
    <w:rsid w:val="0059510D"/>
    <w:rsid w:val="005952BE"/>
    <w:rsid w:val="005957BB"/>
    <w:rsid w:val="00595B45"/>
    <w:rsid w:val="00595EF3"/>
    <w:rsid w:val="005976DE"/>
    <w:rsid w:val="00597791"/>
    <w:rsid w:val="00597E44"/>
    <w:rsid w:val="005A0DA5"/>
    <w:rsid w:val="005A0FEF"/>
    <w:rsid w:val="005A14D7"/>
    <w:rsid w:val="005A189F"/>
    <w:rsid w:val="005A1B2B"/>
    <w:rsid w:val="005A1F83"/>
    <w:rsid w:val="005A2486"/>
    <w:rsid w:val="005A287D"/>
    <w:rsid w:val="005A2921"/>
    <w:rsid w:val="005A3041"/>
    <w:rsid w:val="005A3F69"/>
    <w:rsid w:val="005A43A9"/>
    <w:rsid w:val="005A4816"/>
    <w:rsid w:val="005A56C0"/>
    <w:rsid w:val="005A5CE4"/>
    <w:rsid w:val="005A5EDD"/>
    <w:rsid w:val="005A6C6F"/>
    <w:rsid w:val="005A6CBC"/>
    <w:rsid w:val="005A7356"/>
    <w:rsid w:val="005A7997"/>
    <w:rsid w:val="005A7A6D"/>
    <w:rsid w:val="005B0261"/>
    <w:rsid w:val="005B0361"/>
    <w:rsid w:val="005B04A5"/>
    <w:rsid w:val="005B0DB0"/>
    <w:rsid w:val="005B2A2D"/>
    <w:rsid w:val="005B40CC"/>
    <w:rsid w:val="005B5BB0"/>
    <w:rsid w:val="005B6303"/>
    <w:rsid w:val="005B701C"/>
    <w:rsid w:val="005B71C9"/>
    <w:rsid w:val="005B72FF"/>
    <w:rsid w:val="005B7A06"/>
    <w:rsid w:val="005B7B99"/>
    <w:rsid w:val="005C074C"/>
    <w:rsid w:val="005C090A"/>
    <w:rsid w:val="005C0B2E"/>
    <w:rsid w:val="005C0C4E"/>
    <w:rsid w:val="005C0DC7"/>
    <w:rsid w:val="005C280C"/>
    <w:rsid w:val="005C2E58"/>
    <w:rsid w:val="005C2F23"/>
    <w:rsid w:val="005C3A3C"/>
    <w:rsid w:val="005C3F49"/>
    <w:rsid w:val="005C46FB"/>
    <w:rsid w:val="005C5112"/>
    <w:rsid w:val="005C52F2"/>
    <w:rsid w:val="005C5C72"/>
    <w:rsid w:val="005C5F5D"/>
    <w:rsid w:val="005C61B2"/>
    <w:rsid w:val="005C6501"/>
    <w:rsid w:val="005C683C"/>
    <w:rsid w:val="005C6BD7"/>
    <w:rsid w:val="005C771A"/>
    <w:rsid w:val="005C7A2F"/>
    <w:rsid w:val="005D049E"/>
    <w:rsid w:val="005D0A5C"/>
    <w:rsid w:val="005D0A95"/>
    <w:rsid w:val="005D0FCC"/>
    <w:rsid w:val="005D193F"/>
    <w:rsid w:val="005D1DA7"/>
    <w:rsid w:val="005D2040"/>
    <w:rsid w:val="005D2184"/>
    <w:rsid w:val="005D21BA"/>
    <w:rsid w:val="005D2C8C"/>
    <w:rsid w:val="005D33AA"/>
    <w:rsid w:val="005D3CF6"/>
    <w:rsid w:val="005D48AC"/>
    <w:rsid w:val="005D4E61"/>
    <w:rsid w:val="005D60DC"/>
    <w:rsid w:val="005D783E"/>
    <w:rsid w:val="005D78E8"/>
    <w:rsid w:val="005D7B90"/>
    <w:rsid w:val="005D7C2C"/>
    <w:rsid w:val="005D7F21"/>
    <w:rsid w:val="005E0091"/>
    <w:rsid w:val="005E1230"/>
    <w:rsid w:val="005E19CE"/>
    <w:rsid w:val="005E1B22"/>
    <w:rsid w:val="005E30E7"/>
    <w:rsid w:val="005E3723"/>
    <w:rsid w:val="005E42F1"/>
    <w:rsid w:val="005E46C0"/>
    <w:rsid w:val="005E4C99"/>
    <w:rsid w:val="005E50D4"/>
    <w:rsid w:val="005E5151"/>
    <w:rsid w:val="005E598B"/>
    <w:rsid w:val="005E59A4"/>
    <w:rsid w:val="005E619B"/>
    <w:rsid w:val="005E77C1"/>
    <w:rsid w:val="005F0B90"/>
    <w:rsid w:val="005F110D"/>
    <w:rsid w:val="005F185B"/>
    <w:rsid w:val="005F27C2"/>
    <w:rsid w:val="005F2DA4"/>
    <w:rsid w:val="005F3150"/>
    <w:rsid w:val="005F3349"/>
    <w:rsid w:val="005F354F"/>
    <w:rsid w:val="005F3DD8"/>
    <w:rsid w:val="005F4482"/>
    <w:rsid w:val="005F4CFC"/>
    <w:rsid w:val="005F4D56"/>
    <w:rsid w:val="005F4EEE"/>
    <w:rsid w:val="005F5688"/>
    <w:rsid w:val="005F5B2F"/>
    <w:rsid w:val="005F5D4E"/>
    <w:rsid w:val="005F6061"/>
    <w:rsid w:val="005F6DC0"/>
    <w:rsid w:val="005F7520"/>
    <w:rsid w:val="005F7DA1"/>
    <w:rsid w:val="005F7E6D"/>
    <w:rsid w:val="0060002C"/>
    <w:rsid w:val="006008B3"/>
    <w:rsid w:val="00600ECC"/>
    <w:rsid w:val="0060126A"/>
    <w:rsid w:val="0060140F"/>
    <w:rsid w:val="00601428"/>
    <w:rsid w:val="00601A2A"/>
    <w:rsid w:val="006021F0"/>
    <w:rsid w:val="00603A1E"/>
    <w:rsid w:val="00605014"/>
    <w:rsid w:val="00605286"/>
    <w:rsid w:val="0060615F"/>
    <w:rsid w:val="006066A7"/>
    <w:rsid w:val="00607947"/>
    <w:rsid w:val="00607C91"/>
    <w:rsid w:val="00610BBC"/>
    <w:rsid w:val="00612532"/>
    <w:rsid w:val="00612688"/>
    <w:rsid w:val="00612BB9"/>
    <w:rsid w:val="006136A0"/>
    <w:rsid w:val="00613CED"/>
    <w:rsid w:val="00613D76"/>
    <w:rsid w:val="0061409F"/>
    <w:rsid w:val="00614883"/>
    <w:rsid w:val="0061559E"/>
    <w:rsid w:val="00616148"/>
    <w:rsid w:val="006165CC"/>
    <w:rsid w:val="006175A4"/>
    <w:rsid w:val="00620BBB"/>
    <w:rsid w:val="00620FBB"/>
    <w:rsid w:val="006213B7"/>
    <w:rsid w:val="0062144A"/>
    <w:rsid w:val="006217EC"/>
    <w:rsid w:val="00622087"/>
    <w:rsid w:val="00622EC0"/>
    <w:rsid w:val="006231DA"/>
    <w:rsid w:val="006236E3"/>
    <w:rsid w:val="00623915"/>
    <w:rsid w:val="0062422D"/>
    <w:rsid w:val="006244E7"/>
    <w:rsid w:val="00624C6E"/>
    <w:rsid w:val="00624E59"/>
    <w:rsid w:val="006250CC"/>
    <w:rsid w:val="00625D87"/>
    <w:rsid w:val="00625ECC"/>
    <w:rsid w:val="0062623A"/>
    <w:rsid w:val="00627331"/>
    <w:rsid w:val="00627658"/>
    <w:rsid w:val="006278B1"/>
    <w:rsid w:val="00627C51"/>
    <w:rsid w:val="00630DEF"/>
    <w:rsid w:val="00630E41"/>
    <w:rsid w:val="00631293"/>
    <w:rsid w:val="00631D52"/>
    <w:rsid w:val="0063462B"/>
    <w:rsid w:val="00634740"/>
    <w:rsid w:val="0063517D"/>
    <w:rsid w:val="006355F6"/>
    <w:rsid w:val="006360D6"/>
    <w:rsid w:val="00636BA9"/>
    <w:rsid w:val="0063773C"/>
    <w:rsid w:val="0064031C"/>
    <w:rsid w:val="0064046F"/>
    <w:rsid w:val="00640A43"/>
    <w:rsid w:val="00640C75"/>
    <w:rsid w:val="00640DDA"/>
    <w:rsid w:val="00640DED"/>
    <w:rsid w:val="00640E63"/>
    <w:rsid w:val="00640E6F"/>
    <w:rsid w:val="00641505"/>
    <w:rsid w:val="00641F64"/>
    <w:rsid w:val="0064212A"/>
    <w:rsid w:val="006422E1"/>
    <w:rsid w:val="00642643"/>
    <w:rsid w:val="006427AD"/>
    <w:rsid w:val="006429C0"/>
    <w:rsid w:val="00642B26"/>
    <w:rsid w:val="00642BAC"/>
    <w:rsid w:val="00642E21"/>
    <w:rsid w:val="00642F4C"/>
    <w:rsid w:val="006430D8"/>
    <w:rsid w:val="006430E1"/>
    <w:rsid w:val="006435AD"/>
    <w:rsid w:val="0064431C"/>
    <w:rsid w:val="00644C34"/>
    <w:rsid w:val="00645365"/>
    <w:rsid w:val="00645926"/>
    <w:rsid w:val="006464C2"/>
    <w:rsid w:val="006469A7"/>
    <w:rsid w:val="00647347"/>
    <w:rsid w:val="0064742B"/>
    <w:rsid w:val="0064778C"/>
    <w:rsid w:val="00647D61"/>
    <w:rsid w:val="00647EFA"/>
    <w:rsid w:val="00650198"/>
    <w:rsid w:val="00650FAA"/>
    <w:rsid w:val="00651790"/>
    <w:rsid w:val="00652474"/>
    <w:rsid w:val="00652B1D"/>
    <w:rsid w:val="00652C8D"/>
    <w:rsid w:val="006532CE"/>
    <w:rsid w:val="0065370D"/>
    <w:rsid w:val="00653AE7"/>
    <w:rsid w:val="00653CA5"/>
    <w:rsid w:val="0065439A"/>
    <w:rsid w:val="006553E8"/>
    <w:rsid w:val="0065591C"/>
    <w:rsid w:val="0065642D"/>
    <w:rsid w:val="0066075F"/>
    <w:rsid w:val="00661494"/>
    <w:rsid w:val="00661922"/>
    <w:rsid w:val="006619E0"/>
    <w:rsid w:val="006620C0"/>
    <w:rsid w:val="006621BD"/>
    <w:rsid w:val="0066299B"/>
    <w:rsid w:val="00663478"/>
    <w:rsid w:val="0066365F"/>
    <w:rsid w:val="0066395A"/>
    <w:rsid w:val="006657CA"/>
    <w:rsid w:val="00665C8A"/>
    <w:rsid w:val="00666A37"/>
    <w:rsid w:val="00666DEE"/>
    <w:rsid w:val="00666E2C"/>
    <w:rsid w:val="0066714F"/>
    <w:rsid w:val="00667AF9"/>
    <w:rsid w:val="00667F33"/>
    <w:rsid w:val="00667FE5"/>
    <w:rsid w:val="006706C0"/>
    <w:rsid w:val="00670792"/>
    <w:rsid w:val="00670C5B"/>
    <w:rsid w:val="00670D07"/>
    <w:rsid w:val="00671293"/>
    <w:rsid w:val="006721B4"/>
    <w:rsid w:val="00672642"/>
    <w:rsid w:val="006726E9"/>
    <w:rsid w:val="00672B20"/>
    <w:rsid w:val="00672DA4"/>
    <w:rsid w:val="00672F89"/>
    <w:rsid w:val="00673576"/>
    <w:rsid w:val="006735B1"/>
    <w:rsid w:val="00673BA6"/>
    <w:rsid w:val="0067406C"/>
    <w:rsid w:val="00674AC8"/>
    <w:rsid w:val="0067517B"/>
    <w:rsid w:val="00676924"/>
    <w:rsid w:val="00677230"/>
    <w:rsid w:val="00677395"/>
    <w:rsid w:val="0068072A"/>
    <w:rsid w:val="00681740"/>
    <w:rsid w:val="00681943"/>
    <w:rsid w:val="00681C33"/>
    <w:rsid w:val="0068285B"/>
    <w:rsid w:val="00683FEB"/>
    <w:rsid w:val="006844C3"/>
    <w:rsid w:val="0068456D"/>
    <w:rsid w:val="00684727"/>
    <w:rsid w:val="00684ED7"/>
    <w:rsid w:val="006853F7"/>
    <w:rsid w:val="0068565A"/>
    <w:rsid w:val="00686740"/>
    <w:rsid w:val="006868F3"/>
    <w:rsid w:val="006874B1"/>
    <w:rsid w:val="00687585"/>
    <w:rsid w:val="006903D1"/>
    <w:rsid w:val="0069117D"/>
    <w:rsid w:val="00691E61"/>
    <w:rsid w:val="00693210"/>
    <w:rsid w:val="00693636"/>
    <w:rsid w:val="006938B9"/>
    <w:rsid w:val="00693C47"/>
    <w:rsid w:val="006943C6"/>
    <w:rsid w:val="006949CA"/>
    <w:rsid w:val="00694F44"/>
    <w:rsid w:val="00694F69"/>
    <w:rsid w:val="00695849"/>
    <w:rsid w:val="0069669B"/>
    <w:rsid w:val="00696C35"/>
    <w:rsid w:val="00697012"/>
    <w:rsid w:val="006973EB"/>
    <w:rsid w:val="00697F68"/>
    <w:rsid w:val="006A1CFA"/>
    <w:rsid w:val="006A22F7"/>
    <w:rsid w:val="006A38B0"/>
    <w:rsid w:val="006A4389"/>
    <w:rsid w:val="006A633C"/>
    <w:rsid w:val="006A663F"/>
    <w:rsid w:val="006A78F6"/>
    <w:rsid w:val="006A7D46"/>
    <w:rsid w:val="006B027E"/>
    <w:rsid w:val="006B1975"/>
    <w:rsid w:val="006B24D5"/>
    <w:rsid w:val="006B2956"/>
    <w:rsid w:val="006B2B8D"/>
    <w:rsid w:val="006B41C3"/>
    <w:rsid w:val="006B46BA"/>
    <w:rsid w:val="006B4891"/>
    <w:rsid w:val="006B5755"/>
    <w:rsid w:val="006B62DB"/>
    <w:rsid w:val="006B667A"/>
    <w:rsid w:val="006B6968"/>
    <w:rsid w:val="006B73D8"/>
    <w:rsid w:val="006C1101"/>
    <w:rsid w:val="006C11FA"/>
    <w:rsid w:val="006C183F"/>
    <w:rsid w:val="006C1E37"/>
    <w:rsid w:val="006C2B70"/>
    <w:rsid w:val="006C2EFA"/>
    <w:rsid w:val="006C31A6"/>
    <w:rsid w:val="006C3A11"/>
    <w:rsid w:val="006C3E07"/>
    <w:rsid w:val="006C3E1B"/>
    <w:rsid w:val="006C3F3E"/>
    <w:rsid w:val="006C4E73"/>
    <w:rsid w:val="006C4FC1"/>
    <w:rsid w:val="006C5510"/>
    <w:rsid w:val="006C5B7A"/>
    <w:rsid w:val="006C5E9B"/>
    <w:rsid w:val="006C65A7"/>
    <w:rsid w:val="006C672D"/>
    <w:rsid w:val="006C6F26"/>
    <w:rsid w:val="006C7196"/>
    <w:rsid w:val="006C71E9"/>
    <w:rsid w:val="006C79E2"/>
    <w:rsid w:val="006C7B64"/>
    <w:rsid w:val="006C7CED"/>
    <w:rsid w:val="006D0D48"/>
    <w:rsid w:val="006D134A"/>
    <w:rsid w:val="006D16BB"/>
    <w:rsid w:val="006D20B6"/>
    <w:rsid w:val="006D2437"/>
    <w:rsid w:val="006D2BC4"/>
    <w:rsid w:val="006D2CCD"/>
    <w:rsid w:val="006D3080"/>
    <w:rsid w:val="006D3523"/>
    <w:rsid w:val="006D374B"/>
    <w:rsid w:val="006D37A3"/>
    <w:rsid w:val="006D3993"/>
    <w:rsid w:val="006D3B14"/>
    <w:rsid w:val="006D3F4D"/>
    <w:rsid w:val="006D42AA"/>
    <w:rsid w:val="006D42C2"/>
    <w:rsid w:val="006D4698"/>
    <w:rsid w:val="006D519B"/>
    <w:rsid w:val="006D59C8"/>
    <w:rsid w:val="006D5AE3"/>
    <w:rsid w:val="006D5D95"/>
    <w:rsid w:val="006D637A"/>
    <w:rsid w:val="006D63AF"/>
    <w:rsid w:val="006D75F7"/>
    <w:rsid w:val="006D79AB"/>
    <w:rsid w:val="006D7D54"/>
    <w:rsid w:val="006E0598"/>
    <w:rsid w:val="006E0683"/>
    <w:rsid w:val="006E0702"/>
    <w:rsid w:val="006E0CAE"/>
    <w:rsid w:val="006E0F05"/>
    <w:rsid w:val="006E10B1"/>
    <w:rsid w:val="006E14E0"/>
    <w:rsid w:val="006E1824"/>
    <w:rsid w:val="006E1D5E"/>
    <w:rsid w:val="006E205E"/>
    <w:rsid w:val="006E2A1F"/>
    <w:rsid w:val="006E2AD8"/>
    <w:rsid w:val="006E347D"/>
    <w:rsid w:val="006E389C"/>
    <w:rsid w:val="006E3DCF"/>
    <w:rsid w:val="006E4C98"/>
    <w:rsid w:val="006E4D6C"/>
    <w:rsid w:val="006E5D43"/>
    <w:rsid w:val="006E6E99"/>
    <w:rsid w:val="006E7D65"/>
    <w:rsid w:val="006F0115"/>
    <w:rsid w:val="006F0821"/>
    <w:rsid w:val="006F1990"/>
    <w:rsid w:val="006F1DEB"/>
    <w:rsid w:val="006F1EF5"/>
    <w:rsid w:val="006F336F"/>
    <w:rsid w:val="006F3722"/>
    <w:rsid w:val="006F398F"/>
    <w:rsid w:val="006F3C57"/>
    <w:rsid w:val="006F442B"/>
    <w:rsid w:val="006F489A"/>
    <w:rsid w:val="006F4AB4"/>
    <w:rsid w:val="006F5264"/>
    <w:rsid w:val="006F590D"/>
    <w:rsid w:val="006F5A4E"/>
    <w:rsid w:val="006F6B4A"/>
    <w:rsid w:val="006F6F83"/>
    <w:rsid w:val="006F7280"/>
    <w:rsid w:val="006F7310"/>
    <w:rsid w:val="006F7B14"/>
    <w:rsid w:val="00700141"/>
    <w:rsid w:val="00700E82"/>
    <w:rsid w:val="00702535"/>
    <w:rsid w:val="00702CD9"/>
    <w:rsid w:val="00702F83"/>
    <w:rsid w:val="00703A08"/>
    <w:rsid w:val="00704FB1"/>
    <w:rsid w:val="007053C2"/>
    <w:rsid w:val="007059C7"/>
    <w:rsid w:val="00705A1E"/>
    <w:rsid w:val="00706451"/>
    <w:rsid w:val="00707056"/>
    <w:rsid w:val="00707102"/>
    <w:rsid w:val="00707561"/>
    <w:rsid w:val="00707AFC"/>
    <w:rsid w:val="00710233"/>
    <w:rsid w:val="00710EB9"/>
    <w:rsid w:val="007118F3"/>
    <w:rsid w:val="00711F0A"/>
    <w:rsid w:val="00712A52"/>
    <w:rsid w:val="00712FFF"/>
    <w:rsid w:val="007130E8"/>
    <w:rsid w:val="007135DE"/>
    <w:rsid w:val="00713B8A"/>
    <w:rsid w:val="00713CAF"/>
    <w:rsid w:val="00713F67"/>
    <w:rsid w:val="00714306"/>
    <w:rsid w:val="00714BD5"/>
    <w:rsid w:val="007157A5"/>
    <w:rsid w:val="0071623E"/>
    <w:rsid w:val="00716569"/>
    <w:rsid w:val="00716631"/>
    <w:rsid w:val="007167AF"/>
    <w:rsid w:val="00716C66"/>
    <w:rsid w:val="007174C8"/>
    <w:rsid w:val="00717A93"/>
    <w:rsid w:val="00720B5F"/>
    <w:rsid w:val="00720CCD"/>
    <w:rsid w:val="0072105D"/>
    <w:rsid w:val="0072137A"/>
    <w:rsid w:val="00721D4F"/>
    <w:rsid w:val="00721E3B"/>
    <w:rsid w:val="00721FDC"/>
    <w:rsid w:val="00722E42"/>
    <w:rsid w:val="00722F0C"/>
    <w:rsid w:val="00722F64"/>
    <w:rsid w:val="00723091"/>
    <w:rsid w:val="00723DCB"/>
    <w:rsid w:val="007241DE"/>
    <w:rsid w:val="00724D01"/>
    <w:rsid w:val="00724E0D"/>
    <w:rsid w:val="0072531D"/>
    <w:rsid w:val="00725543"/>
    <w:rsid w:val="007255DA"/>
    <w:rsid w:val="0072606F"/>
    <w:rsid w:val="00726855"/>
    <w:rsid w:val="00726CCC"/>
    <w:rsid w:val="00727A03"/>
    <w:rsid w:val="00727C3C"/>
    <w:rsid w:val="0073003B"/>
    <w:rsid w:val="00730476"/>
    <w:rsid w:val="00730584"/>
    <w:rsid w:val="00730DA9"/>
    <w:rsid w:val="0073177D"/>
    <w:rsid w:val="00731B95"/>
    <w:rsid w:val="00731D2C"/>
    <w:rsid w:val="00732127"/>
    <w:rsid w:val="00732C7E"/>
    <w:rsid w:val="007330F2"/>
    <w:rsid w:val="007345CD"/>
    <w:rsid w:val="007346BC"/>
    <w:rsid w:val="00734C9E"/>
    <w:rsid w:val="00734D12"/>
    <w:rsid w:val="00735EBF"/>
    <w:rsid w:val="00737F66"/>
    <w:rsid w:val="0074060E"/>
    <w:rsid w:val="0074062D"/>
    <w:rsid w:val="007412C0"/>
    <w:rsid w:val="00742526"/>
    <w:rsid w:val="007426A6"/>
    <w:rsid w:val="00742DD7"/>
    <w:rsid w:val="0074557F"/>
    <w:rsid w:val="00745F48"/>
    <w:rsid w:val="0074636E"/>
    <w:rsid w:val="007466F3"/>
    <w:rsid w:val="00746C73"/>
    <w:rsid w:val="007479F2"/>
    <w:rsid w:val="007503B5"/>
    <w:rsid w:val="00750A5A"/>
    <w:rsid w:val="00751619"/>
    <w:rsid w:val="0075165F"/>
    <w:rsid w:val="00751D8D"/>
    <w:rsid w:val="00751F6C"/>
    <w:rsid w:val="0075350D"/>
    <w:rsid w:val="00753514"/>
    <w:rsid w:val="00754092"/>
    <w:rsid w:val="007549D6"/>
    <w:rsid w:val="00754AE7"/>
    <w:rsid w:val="00754F01"/>
    <w:rsid w:val="00755AFE"/>
    <w:rsid w:val="007564A6"/>
    <w:rsid w:val="00756A1A"/>
    <w:rsid w:val="007575A4"/>
    <w:rsid w:val="00757667"/>
    <w:rsid w:val="00757EC3"/>
    <w:rsid w:val="00761710"/>
    <w:rsid w:val="00761E0E"/>
    <w:rsid w:val="007626D5"/>
    <w:rsid w:val="007628E5"/>
    <w:rsid w:val="00763659"/>
    <w:rsid w:val="007642FF"/>
    <w:rsid w:val="007646E5"/>
    <w:rsid w:val="00764EA0"/>
    <w:rsid w:val="0076574B"/>
    <w:rsid w:val="00765D86"/>
    <w:rsid w:val="00766018"/>
    <w:rsid w:val="007667EA"/>
    <w:rsid w:val="00767ADB"/>
    <w:rsid w:val="00767F52"/>
    <w:rsid w:val="00770DE9"/>
    <w:rsid w:val="00771608"/>
    <w:rsid w:val="00771CF8"/>
    <w:rsid w:val="00771E42"/>
    <w:rsid w:val="00772343"/>
    <w:rsid w:val="00772A30"/>
    <w:rsid w:val="00772BFA"/>
    <w:rsid w:val="0077337F"/>
    <w:rsid w:val="007747D4"/>
    <w:rsid w:val="007748A5"/>
    <w:rsid w:val="007750B8"/>
    <w:rsid w:val="0077535C"/>
    <w:rsid w:val="007754CF"/>
    <w:rsid w:val="007756DE"/>
    <w:rsid w:val="00775C83"/>
    <w:rsid w:val="00776097"/>
    <w:rsid w:val="007761AC"/>
    <w:rsid w:val="00776EA7"/>
    <w:rsid w:val="00777298"/>
    <w:rsid w:val="0077751E"/>
    <w:rsid w:val="00777616"/>
    <w:rsid w:val="00777773"/>
    <w:rsid w:val="00777A43"/>
    <w:rsid w:val="00777AC2"/>
    <w:rsid w:val="00777B16"/>
    <w:rsid w:val="00780423"/>
    <w:rsid w:val="0078101E"/>
    <w:rsid w:val="00781223"/>
    <w:rsid w:val="00781565"/>
    <w:rsid w:val="0078162D"/>
    <w:rsid w:val="00781C20"/>
    <w:rsid w:val="007820EC"/>
    <w:rsid w:val="00782E62"/>
    <w:rsid w:val="00783202"/>
    <w:rsid w:val="007836DC"/>
    <w:rsid w:val="00783971"/>
    <w:rsid w:val="00783D32"/>
    <w:rsid w:val="0078425A"/>
    <w:rsid w:val="00784C3A"/>
    <w:rsid w:val="007852FE"/>
    <w:rsid w:val="00785DE2"/>
    <w:rsid w:val="00786518"/>
    <w:rsid w:val="007865F0"/>
    <w:rsid w:val="007874A5"/>
    <w:rsid w:val="00787E37"/>
    <w:rsid w:val="007903F8"/>
    <w:rsid w:val="00790CFB"/>
    <w:rsid w:val="00790E4C"/>
    <w:rsid w:val="00791597"/>
    <w:rsid w:val="0079186F"/>
    <w:rsid w:val="00791AE0"/>
    <w:rsid w:val="00791F11"/>
    <w:rsid w:val="00792295"/>
    <w:rsid w:val="00792961"/>
    <w:rsid w:val="0079302C"/>
    <w:rsid w:val="0079337C"/>
    <w:rsid w:val="00793509"/>
    <w:rsid w:val="007941AF"/>
    <w:rsid w:val="00794548"/>
    <w:rsid w:val="00794EC7"/>
    <w:rsid w:val="00794FEA"/>
    <w:rsid w:val="00796376"/>
    <w:rsid w:val="007963D8"/>
    <w:rsid w:val="00796453"/>
    <w:rsid w:val="0079649E"/>
    <w:rsid w:val="00796B4F"/>
    <w:rsid w:val="007A0185"/>
    <w:rsid w:val="007A0F00"/>
    <w:rsid w:val="007A10DE"/>
    <w:rsid w:val="007A2470"/>
    <w:rsid w:val="007A2836"/>
    <w:rsid w:val="007A34AF"/>
    <w:rsid w:val="007A37C3"/>
    <w:rsid w:val="007A3BC2"/>
    <w:rsid w:val="007A445B"/>
    <w:rsid w:val="007A46A1"/>
    <w:rsid w:val="007A4F6A"/>
    <w:rsid w:val="007A52D3"/>
    <w:rsid w:val="007A586C"/>
    <w:rsid w:val="007A741F"/>
    <w:rsid w:val="007B0928"/>
    <w:rsid w:val="007B0E2F"/>
    <w:rsid w:val="007B12F4"/>
    <w:rsid w:val="007B1840"/>
    <w:rsid w:val="007B266C"/>
    <w:rsid w:val="007B3A60"/>
    <w:rsid w:val="007B4F50"/>
    <w:rsid w:val="007B5399"/>
    <w:rsid w:val="007B58F5"/>
    <w:rsid w:val="007B5F68"/>
    <w:rsid w:val="007B6532"/>
    <w:rsid w:val="007B701E"/>
    <w:rsid w:val="007B70B0"/>
    <w:rsid w:val="007B796D"/>
    <w:rsid w:val="007B7C7C"/>
    <w:rsid w:val="007B7C93"/>
    <w:rsid w:val="007C05B3"/>
    <w:rsid w:val="007C3B7F"/>
    <w:rsid w:val="007C5A4A"/>
    <w:rsid w:val="007C64B0"/>
    <w:rsid w:val="007C76C3"/>
    <w:rsid w:val="007C7CA5"/>
    <w:rsid w:val="007D0685"/>
    <w:rsid w:val="007D07CC"/>
    <w:rsid w:val="007D091D"/>
    <w:rsid w:val="007D0AD4"/>
    <w:rsid w:val="007D0BCF"/>
    <w:rsid w:val="007D166C"/>
    <w:rsid w:val="007D21A7"/>
    <w:rsid w:val="007D2926"/>
    <w:rsid w:val="007D2F8D"/>
    <w:rsid w:val="007D39F7"/>
    <w:rsid w:val="007D3A23"/>
    <w:rsid w:val="007D478B"/>
    <w:rsid w:val="007D4791"/>
    <w:rsid w:val="007D47AB"/>
    <w:rsid w:val="007D4848"/>
    <w:rsid w:val="007D4DE1"/>
    <w:rsid w:val="007D58F6"/>
    <w:rsid w:val="007D5A99"/>
    <w:rsid w:val="007D5FDE"/>
    <w:rsid w:val="007D6AB8"/>
    <w:rsid w:val="007D727C"/>
    <w:rsid w:val="007D7B37"/>
    <w:rsid w:val="007D7CC5"/>
    <w:rsid w:val="007E030B"/>
    <w:rsid w:val="007E0D06"/>
    <w:rsid w:val="007E0DD2"/>
    <w:rsid w:val="007E1081"/>
    <w:rsid w:val="007E13BB"/>
    <w:rsid w:val="007E1A4E"/>
    <w:rsid w:val="007E1C1F"/>
    <w:rsid w:val="007E2131"/>
    <w:rsid w:val="007E2715"/>
    <w:rsid w:val="007E2B78"/>
    <w:rsid w:val="007E2D0D"/>
    <w:rsid w:val="007E2DA1"/>
    <w:rsid w:val="007E2EF0"/>
    <w:rsid w:val="007E38F4"/>
    <w:rsid w:val="007E3AFF"/>
    <w:rsid w:val="007E3B86"/>
    <w:rsid w:val="007E4270"/>
    <w:rsid w:val="007E4817"/>
    <w:rsid w:val="007E4A14"/>
    <w:rsid w:val="007E531D"/>
    <w:rsid w:val="007E5AA7"/>
    <w:rsid w:val="007E605A"/>
    <w:rsid w:val="007E60B4"/>
    <w:rsid w:val="007E60E7"/>
    <w:rsid w:val="007E62C5"/>
    <w:rsid w:val="007E6EDF"/>
    <w:rsid w:val="007E75FE"/>
    <w:rsid w:val="007E77DC"/>
    <w:rsid w:val="007F0288"/>
    <w:rsid w:val="007F0FAE"/>
    <w:rsid w:val="007F13A6"/>
    <w:rsid w:val="007F1C99"/>
    <w:rsid w:val="007F2864"/>
    <w:rsid w:val="007F2DAF"/>
    <w:rsid w:val="007F3B50"/>
    <w:rsid w:val="007F3CE2"/>
    <w:rsid w:val="007F5331"/>
    <w:rsid w:val="007F57DC"/>
    <w:rsid w:val="007F643A"/>
    <w:rsid w:val="007F6CE8"/>
    <w:rsid w:val="007F6FC5"/>
    <w:rsid w:val="007F7862"/>
    <w:rsid w:val="007F7932"/>
    <w:rsid w:val="00800324"/>
    <w:rsid w:val="00800608"/>
    <w:rsid w:val="0080091D"/>
    <w:rsid w:val="00800B3F"/>
    <w:rsid w:val="00800E8E"/>
    <w:rsid w:val="00800F2F"/>
    <w:rsid w:val="008012D0"/>
    <w:rsid w:val="008012F7"/>
    <w:rsid w:val="00801595"/>
    <w:rsid w:val="00801AB9"/>
    <w:rsid w:val="00801D81"/>
    <w:rsid w:val="0080248D"/>
    <w:rsid w:val="00802554"/>
    <w:rsid w:val="00803855"/>
    <w:rsid w:val="00804543"/>
    <w:rsid w:val="00804634"/>
    <w:rsid w:val="00804989"/>
    <w:rsid w:val="008054EE"/>
    <w:rsid w:val="008063A7"/>
    <w:rsid w:val="00806524"/>
    <w:rsid w:val="0080682F"/>
    <w:rsid w:val="0080685B"/>
    <w:rsid w:val="00806864"/>
    <w:rsid w:val="008073FB"/>
    <w:rsid w:val="0080780F"/>
    <w:rsid w:val="00807958"/>
    <w:rsid w:val="00807DA9"/>
    <w:rsid w:val="00807E48"/>
    <w:rsid w:val="00807E91"/>
    <w:rsid w:val="008100DE"/>
    <w:rsid w:val="0081039E"/>
    <w:rsid w:val="00810CC0"/>
    <w:rsid w:val="00810FAD"/>
    <w:rsid w:val="00811CEF"/>
    <w:rsid w:val="00811EEF"/>
    <w:rsid w:val="00812B7A"/>
    <w:rsid w:val="00812E8E"/>
    <w:rsid w:val="00813112"/>
    <w:rsid w:val="00813E5A"/>
    <w:rsid w:val="0081402B"/>
    <w:rsid w:val="00814308"/>
    <w:rsid w:val="0081457C"/>
    <w:rsid w:val="008145C1"/>
    <w:rsid w:val="00814D2A"/>
    <w:rsid w:val="00814DDB"/>
    <w:rsid w:val="00816095"/>
    <w:rsid w:val="008162E6"/>
    <w:rsid w:val="008162FB"/>
    <w:rsid w:val="0081654E"/>
    <w:rsid w:val="00816D37"/>
    <w:rsid w:val="008175FB"/>
    <w:rsid w:val="00817BC2"/>
    <w:rsid w:val="00817E66"/>
    <w:rsid w:val="008206B8"/>
    <w:rsid w:val="00820862"/>
    <w:rsid w:val="00821437"/>
    <w:rsid w:val="00821809"/>
    <w:rsid w:val="00821BB8"/>
    <w:rsid w:val="00821E6A"/>
    <w:rsid w:val="008224E1"/>
    <w:rsid w:val="00822A02"/>
    <w:rsid w:val="00822A83"/>
    <w:rsid w:val="00822EB0"/>
    <w:rsid w:val="00822F84"/>
    <w:rsid w:val="00823085"/>
    <w:rsid w:val="0082337A"/>
    <w:rsid w:val="00823580"/>
    <w:rsid w:val="00823585"/>
    <w:rsid w:val="00823D14"/>
    <w:rsid w:val="00823F83"/>
    <w:rsid w:val="008247C6"/>
    <w:rsid w:val="00825022"/>
    <w:rsid w:val="00825A5B"/>
    <w:rsid w:val="00827302"/>
    <w:rsid w:val="0082797A"/>
    <w:rsid w:val="0082799F"/>
    <w:rsid w:val="008279ED"/>
    <w:rsid w:val="00827FC4"/>
    <w:rsid w:val="00830D50"/>
    <w:rsid w:val="008311E8"/>
    <w:rsid w:val="00831B9A"/>
    <w:rsid w:val="00832156"/>
    <w:rsid w:val="00832465"/>
    <w:rsid w:val="00834973"/>
    <w:rsid w:val="00834E7C"/>
    <w:rsid w:val="008354FF"/>
    <w:rsid w:val="0083656D"/>
    <w:rsid w:val="00836B9D"/>
    <w:rsid w:val="008372F6"/>
    <w:rsid w:val="008377CE"/>
    <w:rsid w:val="00840422"/>
    <w:rsid w:val="008407F7"/>
    <w:rsid w:val="00840923"/>
    <w:rsid w:val="0084264D"/>
    <w:rsid w:val="00842D0E"/>
    <w:rsid w:val="0084301E"/>
    <w:rsid w:val="00843C9C"/>
    <w:rsid w:val="00844102"/>
    <w:rsid w:val="008448C9"/>
    <w:rsid w:val="00844AA5"/>
    <w:rsid w:val="00844D4D"/>
    <w:rsid w:val="008455C1"/>
    <w:rsid w:val="00845E5C"/>
    <w:rsid w:val="0084634C"/>
    <w:rsid w:val="008463DE"/>
    <w:rsid w:val="0084688C"/>
    <w:rsid w:val="00846D1A"/>
    <w:rsid w:val="00847289"/>
    <w:rsid w:val="00851123"/>
    <w:rsid w:val="0085119A"/>
    <w:rsid w:val="008518FD"/>
    <w:rsid w:val="008519B1"/>
    <w:rsid w:val="00852981"/>
    <w:rsid w:val="00852D2C"/>
    <w:rsid w:val="00852DAB"/>
    <w:rsid w:val="008533E1"/>
    <w:rsid w:val="00853908"/>
    <w:rsid w:val="00853C2C"/>
    <w:rsid w:val="00853FEF"/>
    <w:rsid w:val="00854093"/>
    <w:rsid w:val="00854E35"/>
    <w:rsid w:val="0085531D"/>
    <w:rsid w:val="0085540B"/>
    <w:rsid w:val="00855711"/>
    <w:rsid w:val="00855CE7"/>
    <w:rsid w:val="0085611C"/>
    <w:rsid w:val="00856781"/>
    <w:rsid w:val="0085693B"/>
    <w:rsid w:val="00856D7D"/>
    <w:rsid w:val="00857A23"/>
    <w:rsid w:val="0086052B"/>
    <w:rsid w:val="0086064B"/>
    <w:rsid w:val="00860C79"/>
    <w:rsid w:val="00860E37"/>
    <w:rsid w:val="00861DA1"/>
    <w:rsid w:val="00862067"/>
    <w:rsid w:val="008622E0"/>
    <w:rsid w:val="0086247E"/>
    <w:rsid w:val="00862993"/>
    <w:rsid w:val="0086334E"/>
    <w:rsid w:val="00863A5D"/>
    <w:rsid w:val="00863D52"/>
    <w:rsid w:val="008643F9"/>
    <w:rsid w:val="008644E4"/>
    <w:rsid w:val="0086463D"/>
    <w:rsid w:val="00864792"/>
    <w:rsid w:val="00865E04"/>
    <w:rsid w:val="00865E7D"/>
    <w:rsid w:val="00866DDD"/>
    <w:rsid w:val="00870537"/>
    <w:rsid w:val="00870DBD"/>
    <w:rsid w:val="008719C2"/>
    <w:rsid w:val="00872431"/>
    <w:rsid w:val="00872919"/>
    <w:rsid w:val="00873294"/>
    <w:rsid w:val="0087386C"/>
    <w:rsid w:val="00873F22"/>
    <w:rsid w:val="00874E6B"/>
    <w:rsid w:val="008750B1"/>
    <w:rsid w:val="00875DA2"/>
    <w:rsid w:val="008760B4"/>
    <w:rsid w:val="008762A2"/>
    <w:rsid w:val="00877110"/>
    <w:rsid w:val="0087742F"/>
    <w:rsid w:val="00877975"/>
    <w:rsid w:val="00880554"/>
    <w:rsid w:val="00880713"/>
    <w:rsid w:val="008822A9"/>
    <w:rsid w:val="0088305B"/>
    <w:rsid w:val="0088313E"/>
    <w:rsid w:val="008832F2"/>
    <w:rsid w:val="00883701"/>
    <w:rsid w:val="0088629B"/>
    <w:rsid w:val="0088649F"/>
    <w:rsid w:val="00886668"/>
    <w:rsid w:val="0088744D"/>
    <w:rsid w:val="00890D09"/>
    <w:rsid w:val="008917C9"/>
    <w:rsid w:val="00891CAD"/>
    <w:rsid w:val="00891E7A"/>
    <w:rsid w:val="00892030"/>
    <w:rsid w:val="00892164"/>
    <w:rsid w:val="008925CC"/>
    <w:rsid w:val="00892835"/>
    <w:rsid w:val="0089396D"/>
    <w:rsid w:val="00894126"/>
    <w:rsid w:val="00894DF7"/>
    <w:rsid w:val="008956EF"/>
    <w:rsid w:val="0089604E"/>
    <w:rsid w:val="008967E4"/>
    <w:rsid w:val="00896ED9"/>
    <w:rsid w:val="00897542"/>
    <w:rsid w:val="0089770F"/>
    <w:rsid w:val="008A065B"/>
    <w:rsid w:val="008A096A"/>
    <w:rsid w:val="008A119F"/>
    <w:rsid w:val="008A22CC"/>
    <w:rsid w:val="008A2B9B"/>
    <w:rsid w:val="008A325E"/>
    <w:rsid w:val="008A48A9"/>
    <w:rsid w:val="008A5540"/>
    <w:rsid w:val="008A6AA9"/>
    <w:rsid w:val="008A713A"/>
    <w:rsid w:val="008B06B3"/>
    <w:rsid w:val="008B0FB5"/>
    <w:rsid w:val="008B145A"/>
    <w:rsid w:val="008B1804"/>
    <w:rsid w:val="008B1B5A"/>
    <w:rsid w:val="008B1EE7"/>
    <w:rsid w:val="008B2083"/>
    <w:rsid w:val="008B21C8"/>
    <w:rsid w:val="008B2694"/>
    <w:rsid w:val="008B2CF3"/>
    <w:rsid w:val="008B3F15"/>
    <w:rsid w:val="008B4A84"/>
    <w:rsid w:val="008B4D9A"/>
    <w:rsid w:val="008B4F24"/>
    <w:rsid w:val="008B50D9"/>
    <w:rsid w:val="008B55A6"/>
    <w:rsid w:val="008B5F20"/>
    <w:rsid w:val="008B60B1"/>
    <w:rsid w:val="008B6849"/>
    <w:rsid w:val="008B6D71"/>
    <w:rsid w:val="008B746D"/>
    <w:rsid w:val="008C00A5"/>
    <w:rsid w:val="008C04C4"/>
    <w:rsid w:val="008C0A90"/>
    <w:rsid w:val="008C0FD7"/>
    <w:rsid w:val="008C1538"/>
    <w:rsid w:val="008C1952"/>
    <w:rsid w:val="008C2792"/>
    <w:rsid w:val="008C449C"/>
    <w:rsid w:val="008C4587"/>
    <w:rsid w:val="008C5183"/>
    <w:rsid w:val="008C55B0"/>
    <w:rsid w:val="008C5B60"/>
    <w:rsid w:val="008C5F1A"/>
    <w:rsid w:val="008C6747"/>
    <w:rsid w:val="008C6A3E"/>
    <w:rsid w:val="008C6D9D"/>
    <w:rsid w:val="008C70EC"/>
    <w:rsid w:val="008C7716"/>
    <w:rsid w:val="008D1740"/>
    <w:rsid w:val="008D26B5"/>
    <w:rsid w:val="008D2A97"/>
    <w:rsid w:val="008D2EAF"/>
    <w:rsid w:val="008D3408"/>
    <w:rsid w:val="008D353B"/>
    <w:rsid w:val="008D3C53"/>
    <w:rsid w:val="008D43FF"/>
    <w:rsid w:val="008D5297"/>
    <w:rsid w:val="008D56FC"/>
    <w:rsid w:val="008D5D71"/>
    <w:rsid w:val="008D5DFD"/>
    <w:rsid w:val="008D5F13"/>
    <w:rsid w:val="008D612A"/>
    <w:rsid w:val="008D62C3"/>
    <w:rsid w:val="008D6371"/>
    <w:rsid w:val="008D64C5"/>
    <w:rsid w:val="008D6672"/>
    <w:rsid w:val="008D6A70"/>
    <w:rsid w:val="008D6AC7"/>
    <w:rsid w:val="008D6D60"/>
    <w:rsid w:val="008D6DE2"/>
    <w:rsid w:val="008D6E17"/>
    <w:rsid w:val="008E2073"/>
    <w:rsid w:val="008E24FD"/>
    <w:rsid w:val="008E256B"/>
    <w:rsid w:val="008E2CD4"/>
    <w:rsid w:val="008E31B5"/>
    <w:rsid w:val="008E3315"/>
    <w:rsid w:val="008E33B1"/>
    <w:rsid w:val="008E37EA"/>
    <w:rsid w:val="008E3F61"/>
    <w:rsid w:val="008E4072"/>
    <w:rsid w:val="008E4157"/>
    <w:rsid w:val="008E44AC"/>
    <w:rsid w:val="008E4600"/>
    <w:rsid w:val="008E48BF"/>
    <w:rsid w:val="008E4D20"/>
    <w:rsid w:val="008E4DAF"/>
    <w:rsid w:val="008E5150"/>
    <w:rsid w:val="008E541E"/>
    <w:rsid w:val="008E5778"/>
    <w:rsid w:val="008E5ABA"/>
    <w:rsid w:val="008E5BB0"/>
    <w:rsid w:val="008E6145"/>
    <w:rsid w:val="008E6F85"/>
    <w:rsid w:val="008E72C9"/>
    <w:rsid w:val="008E7C9E"/>
    <w:rsid w:val="008E7CAA"/>
    <w:rsid w:val="008F0C28"/>
    <w:rsid w:val="008F0FD1"/>
    <w:rsid w:val="008F1906"/>
    <w:rsid w:val="008F1B99"/>
    <w:rsid w:val="008F2389"/>
    <w:rsid w:val="008F2513"/>
    <w:rsid w:val="008F2B6E"/>
    <w:rsid w:val="008F2B76"/>
    <w:rsid w:val="008F366A"/>
    <w:rsid w:val="008F3AFF"/>
    <w:rsid w:val="008F3B3B"/>
    <w:rsid w:val="008F3B72"/>
    <w:rsid w:val="008F3DCB"/>
    <w:rsid w:val="008F3F96"/>
    <w:rsid w:val="008F434A"/>
    <w:rsid w:val="008F4714"/>
    <w:rsid w:val="008F4C2A"/>
    <w:rsid w:val="008F4E18"/>
    <w:rsid w:val="008F6124"/>
    <w:rsid w:val="008F63AB"/>
    <w:rsid w:val="008F6DC5"/>
    <w:rsid w:val="009003B2"/>
    <w:rsid w:val="0090088B"/>
    <w:rsid w:val="009008F6"/>
    <w:rsid w:val="00900D65"/>
    <w:rsid w:val="00900DEE"/>
    <w:rsid w:val="00901E36"/>
    <w:rsid w:val="00901EE0"/>
    <w:rsid w:val="00901FAD"/>
    <w:rsid w:val="0090206A"/>
    <w:rsid w:val="00902972"/>
    <w:rsid w:val="00902EE9"/>
    <w:rsid w:val="00902F7C"/>
    <w:rsid w:val="009030EF"/>
    <w:rsid w:val="00903CE8"/>
    <w:rsid w:val="00903D4E"/>
    <w:rsid w:val="00903F22"/>
    <w:rsid w:val="0090407B"/>
    <w:rsid w:val="009045B6"/>
    <w:rsid w:val="0090540B"/>
    <w:rsid w:val="00905CCF"/>
    <w:rsid w:val="00906BE6"/>
    <w:rsid w:val="00906DC5"/>
    <w:rsid w:val="00907F7E"/>
    <w:rsid w:val="00910019"/>
    <w:rsid w:val="00910867"/>
    <w:rsid w:val="009114FA"/>
    <w:rsid w:val="00912566"/>
    <w:rsid w:val="00914190"/>
    <w:rsid w:val="009141B7"/>
    <w:rsid w:val="00914A3E"/>
    <w:rsid w:val="00915384"/>
    <w:rsid w:val="00915903"/>
    <w:rsid w:val="009164D2"/>
    <w:rsid w:val="00916AB7"/>
    <w:rsid w:val="00916B5C"/>
    <w:rsid w:val="00917E93"/>
    <w:rsid w:val="00921092"/>
    <w:rsid w:val="00921CC5"/>
    <w:rsid w:val="00923263"/>
    <w:rsid w:val="00923D35"/>
    <w:rsid w:val="009240F4"/>
    <w:rsid w:val="00924A26"/>
    <w:rsid w:val="009250C7"/>
    <w:rsid w:val="00925D99"/>
    <w:rsid w:val="00925DCD"/>
    <w:rsid w:val="0092644E"/>
    <w:rsid w:val="00926C15"/>
    <w:rsid w:val="00926C2B"/>
    <w:rsid w:val="00927DAB"/>
    <w:rsid w:val="00927F0F"/>
    <w:rsid w:val="00930089"/>
    <w:rsid w:val="009304DA"/>
    <w:rsid w:val="0093050D"/>
    <w:rsid w:val="0093089B"/>
    <w:rsid w:val="00930949"/>
    <w:rsid w:val="00930F7B"/>
    <w:rsid w:val="00931EFB"/>
    <w:rsid w:val="00932742"/>
    <w:rsid w:val="009328E0"/>
    <w:rsid w:val="009329B1"/>
    <w:rsid w:val="00932CF7"/>
    <w:rsid w:val="00932E03"/>
    <w:rsid w:val="00932E10"/>
    <w:rsid w:val="00933601"/>
    <w:rsid w:val="00933E75"/>
    <w:rsid w:val="00934CEA"/>
    <w:rsid w:val="00934D6B"/>
    <w:rsid w:val="00935141"/>
    <w:rsid w:val="009353BA"/>
    <w:rsid w:val="00935579"/>
    <w:rsid w:val="00935AA2"/>
    <w:rsid w:val="00935E7E"/>
    <w:rsid w:val="009367DD"/>
    <w:rsid w:val="00936B5D"/>
    <w:rsid w:val="009373A1"/>
    <w:rsid w:val="00937D9C"/>
    <w:rsid w:val="00937F19"/>
    <w:rsid w:val="00940105"/>
    <w:rsid w:val="00940E8E"/>
    <w:rsid w:val="00941A0A"/>
    <w:rsid w:val="0094232C"/>
    <w:rsid w:val="0094236E"/>
    <w:rsid w:val="009427AF"/>
    <w:rsid w:val="00943888"/>
    <w:rsid w:val="00943C8D"/>
    <w:rsid w:val="00943F81"/>
    <w:rsid w:val="0094421D"/>
    <w:rsid w:val="00945412"/>
    <w:rsid w:val="009455F0"/>
    <w:rsid w:val="009456EB"/>
    <w:rsid w:val="00946C60"/>
    <w:rsid w:val="00947164"/>
    <w:rsid w:val="009502B0"/>
    <w:rsid w:val="00950BC1"/>
    <w:rsid w:val="009516FF"/>
    <w:rsid w:val="00951CE6"/>
    <w:rsid w:val="009521AC"/>
    <w:rsid w:val="00953668"/>
    <w:rsid w:val="00953878"/>
    <w:rsid w:val="009539F4"/>
    <w:rsid w:val="00953ADD"/>
    <w:rsid w:val="009541BB"/>
    <w:rsid w:val="009545D3"/>
    <w:rsid w:val="009551CB"/>
    <w:rsid w:val="00956118"/>
    <w:rsid w:val="00956773"/>
    <w:rsid w:val="009567AC"/>
    <w:rsid w:val="00956A8B"/>
    <w:rsid w:val="0096036E"/>
    <w:rsid w:val="00960CCC"/>
    <w:rsid w:val="009628A1"/>
    <w:rsid w:val="00962939"/>
    <w:rsid w:val="00963026"/>
    <w:rsid w:val="0096324C"/>
    <w:rsid w:val="009636F8"/>
    <w:rsid w:val="00963800"/>
    <w:rsid w:val="00963806"/>
    <w:rsid w:val="00963A67"/>
    <w:rsid w:val="00963AC6"/>
    <w:rsid w:val="0096419E"/>
    <w:rsid w:val="00964271"/>
    <w:rsid w:val="009644F0"/>
    <w:rsid w:val="00964505"/>
    <w:rsid w:val="00964BE9"/>
    <w:rsid w:val="00964BFD"/>
    <w:rsid w:val="00965706"/>
    <w:rsid w:val="00966270"/>
    <w:rsid w:val="00966507"/>
    <w:rsid w:val="009669A8"/>
    <w:rsid w:val="00967970"/>
    <w:rsid w:val="009710B7"/>
    <w:rsid w:val="00971595"/>
    <w:rsid w:val="009715A7"/>
    <w:rsid w:val="00971734"/>
    <w:rsid w:val="009721A3"/>
    <w:rsid w:val="00972DF8"/>
    <w:rsid w:val="00972EDE"/>
    <w:rsid w:val="00974231"/>
    <w:rsid w:val="009746A1"/>
    <w:rsid w:val="0097681B"/>
    <w:rsid w:val="00976B2D"/>
    <w:rsid w:val="00977E37"/>
    <w:rsid w:val="009816AE"/>
    <w:rsid w:val="00981A0E"/>
    <w:rsid w:val="00982101"/>
    <w:rsid w:val="009828BE"/>
    <w:rsid w:val="00983842"/>
    <w:rsid w:val="00983D76"/>
    <w:rsid w:val="00984026"/>
    <w:rsid w:val="00984A0E"/>
    <w:rsid w:val="00984FA9"/>
    <w:rsid w:val="00985FA0"/>
    <w:rsid w:val="009860C1"/>
    <w:rsid w:val="00986527"/>
    <w:rsid w:val="00986646"/>
    <w:rsid w:val="009866E0"/>
    <w:rsid w:val="00986C44"/>
    <w:rsid w:val="00987125"/>
    <w:rsid w:val="00987257"/>
    <w:rsid w:val="00987463"/>
    <w:rsid w:val="009878B5"/>
    <w:rsid w:val="00987BE6"/>
    <w:rsid w:val="009900CD"/>
    <w:rsid w:val="0099043F"/>
    <w:rsid w:val="00990580"/>
    <w:rsid w:val="009913CA"/>
    <w:rsid w:val="00991C4D"/>
    <w:rsid w:val="00992551"/>
    <w:rsid w:val="009929C3"/>
    <w:rsid w:val="00992A33"/>
    <w:rsid w:val="00994424"/>
    <w:rsid w:val="009944BC"/>
    <w:rsid w:val="00994C3A"/>
    <w:rsid w:val="00994F21"/>
    <w:rsid w:val="009957AE"/>
    <w:rsid w:val="00995CC5"/>
    <w:rsid w:val="0099692F"/>
    <w:rsid w:val="0099737C"/>
    <w:rsid w:val="009A0152"/>
    <w:rsid w:val="009A03F4"/>
    <w:rsid w:val="009A10D6"/>
    <w:rsid w:val="009A1955"/>
    <w:rsid w:val="009A1D43"/>
    <w:rsid w:val="009A2321"/>
    <w:rsid w:val="009A24BC"/>
    <w:rsid w:val="009A3022"/>
    <w:rsid w:val="009A3066"/>
    <w:rsid w:val="009A3A29"/>
    <w:rsid w:val="009A3B4D"/>
    <w:rsid w:val="009A3C27"/>
    <w:rsid w:val="009A4795"/>
    <w:rsid w:val="009A4CCD"/>
    <w:rsid w:val="009A51D9"/>
    <w:rsid w:val="009A5470"/>
    <w:rsid w:val="009A6261"/>
    <w:rsid w:val="009A731E"/>
    <w:rsid w:val="009A74E7"/>
    <w:rsid w:val="009A75CB"/>
    <w:rsid w:val="009A7CB8"/>
    <w:rsid w:val="009B014E"/>
    <w:rsid w:val="009B0DC0"/>
    <w:rsid w:val="009B112F"/>
    <w:rsid w:val="009B14B7"/>
    <w:rsid w:val="009B1980"/>
    <w:rsid w:val="009B1A33"/>
    <w:rsid w:val="009B1DB2"/>
    <w:rsid w:val="009B2A47"/>
    <w:rsid w:val="009B3C15"/>
    <w:rsid w:val="009B3F63"/>
    <w:rsid w:val="009B5516"/>
    <w:rsid w:val="009B5A6C"/>
    <w:rsid w:val="009B5D04"/>
    <w:rsid w:val="009B623B"/>
    <w:rsid w:val="009B6A37"/>
    <w:rsid w:val="009B6B64"/>
    <w:rsid w:val="009B74AD"/>
    <w:rsid w:val="009B7B90"/>
    <w:rsid w:val="009C05D1"/>
    <w:rsid w:val="009C17F1"/>
    <w:rsid w:val="009C21A4"/>
    <w:rsid w:val="009C3175"/>
    <w:rsid w:val="009C479C"/>
    <w:rsid w:val="009C49C6"/>
    <w:rsid w:val="009C5EF5"/>
    <w:rsid w:val="009C64D0"/>
    <w:rsid w:val="009C73D5"/>
    <w:rsid w:val="009C746F"/>
    <w:rsid w:val="009C77A6"/>
    <w:rsid w:val="009C7825"/>
    <w:rsid w:val="009C7935"/>
    <w:rsid w:val="009C7D8C"/>
    <w:rsid w:val="009D0542"/>
    <w:rsid w:val="009D110B"/>
    <w:rsid w:val="009D2009"/>
    <w:rsid w:val="009D2C1E"/>
    <w:rsid w:val="009D2E42"/>
    <w:rsid w:val="009D37AC"/>
    <w:rsid w:val="009D440D"/>
    <w:rsid w:val="009D4672"/>
    <w:rsid w:val="009D4D03"/>
    <w:rsid w:val="009D5AAD"/>
    <w:rsid w:val="009D5B0E"/>
    <w:rsid w:val="009D5CD6"/>
    <w:rsid w:val="009D62FC"/>
    <w:rsid w:val="009D6BD7"/>
    <w:rsid w:val="009D6D29"/>
    <w:rsid w:val="009D7510"/>
    <w:rsid w:val="009D7A06"/>
    <w:rsid w:val="009D7B88"/>
    <w:rsid w:val="009D7BF5"/>
    <w:rsid w:val="009D7CAE"/>
    <w:rsid w:val="009E071C"/>
    <w:rsid w:val="009E0B19"/>
    <w:rsid w:val="009E12C9"/>
    <w:rsid w:val="009E14BC"/>
    <w:rsid w:val="009E1B80"/>
    <w:rsid w:val="009E232C"/>
    <w:rsid w:val="009E25C5"/>
    <w:rsid w:val="009E2847"/>
    <w:rsid w:val="009E310D"/>
    <w:rsid w:val="009E3F36"/>
    <w:rsid w:val="009E4135"/>
    <w:rsid w:val="009E47DD"/>
    <w:rsid w:val="009E4C17"/>
    <w:rsid w:val="009E4D9B"/>
    <w:rsid w:val="009E554D"/>
    <w:rsid w:val="009E5744"/>
    <w:rsid w:val="009E629A"/>
    <w:rsid w:val="009E631C"/>
    <w:rsid w:val="009E6929"/>
    <w:rsid w:val="009E6DB8"/>
    <w:rsid w:val="009E6FC8"/>
    <w:rsid w:val="009E796C"/>
    <w:rsid w:val="009E7E4C"/>
    <w:rsid w:val="009F0238"/>
    <w:rsid w:val="009F0305"/>
    <w:rsid w:val="009F0D44"/>
    <w:rsid w:val="009F0FBD"/>
    <w:rsid w:val="009F1DF6"/>
    <w:rsid w:val="009F2071"/>
    <w:rsid w:val="009F20E9"/>
    <w:rsid w:val="009F220A"/>
    <w:rsid w:val="009F2A5D"/>
    <w:rsid w:val="009F2A9A"/>
    <w:rsid w:val="009F2B42"/>
    <w:rsid w:val="009F2B47"/>
    <w:rsid w:val="009F3063"/>
    <w:rsid w:val="009F3741"/>
    <w:rsid w:val="009F3A7F"/>
    <w:rsid w:val="009F3E12"/>
    <w:rsid w:val="009F4064"/>
    <w:rsid w:val="009F6020"/>
    <w:rsid w:val="009F6471"/>
    <w:rsid w:val="009F6717"/>
    <w:rsid w:val="009F6784"/>
    <w:rsid w:val="009F69EA"/>
    <w:rsid w:val="009F6AB7"/>
    <w:rsid w:val="009F6C80"/>
    <w:rsid w:val="009F778E"/>
    <w:rsid w:val="00A01138"/>
    <w:rsid w:val="00A014A5"/>
    <w:rsid w:val="00A020DB"/>
    <w:rsid w:val="00A023FF"/>
    <w:rsid w:val="00A0255F"/>
    <w:rsid w:val="00A0288D"/>
    <w:rsid w:val="00A02C4C"/>
    <w:rsid w:val="00A02ED3"/>
    <w:rsid w:val="00A03F05"/>
    <w:rsid w:val="00A04BD8"/>
    <w:rsid w:val="00A04F8A"/>
    <w:rsid w:val="00A05361"/>
    <w:rsid w:val="00A05D47"/>
    <w:rsid w:val="00A061A3"/>
    <w:rsid w:val="00A06897"/>
    <w:rsid w:val="00A06E6C"/>
    <w:rsid w:val="00A06EBB"/>
    <w:rsid w:val="00A07AAE"/>
    <w:rsid w:val="00A112BF"/>
    <w:rsid w:val="00A119B5"/>
    <w:rsid w:val="00A11B3F"/>
    <w:rsid w:val="00A1207F"/>
    <w:rsid w:val="00A12227"/>
    <w:rsid w:val="00A128D5"/>
    <w:rsid w:val="00A1294D"/>
    <w:rsid w:val="00A132FA"/>
    <w:rsid w:val="00A13655"/>
    <w:rsid w:val="00A13F9A"/>
    <w:rsid w:val="00A1422B"/>
    <w:rsid w:val="00A143E1"/>
    <w:rsid w:val="00A14AD2"/>
    <w:rsid w:val="00A14D4E"/>
    <w:rsid w:val="00A15F45"/>
    <w:rsid w:val="00A16877"/>
    <w:rsid w:val="00A16C31"/>
    <w:rsid w:val="00A1705E"/>
    <w:rsid w:val="00A178A9"/>
    <w:rsid w:val="00A178E8"/>
    <w:rsid w:val="00A17E51"/>
    <w:rsid w:val="00A17E9C"/>
    <w:rsid w:val="00A201DE"/>
    <w:rsid w:val="00A20F19"/>
    <w:rsid w:val="00A20FE0"/>
    <w:rsid w:val="00A211EC"/>
    <w:rsid w:val="00A21436"/>
    <w:rsid w:val="00A214D1"/>
    <w:rsid w:val="00A21D90"/>
    <w:rsid w:val="00A21EB9"/>
    <w:rsid w:val="00A22117"/>
    <w:rsid w:val="00A22413"/>
    <w:rsid w:val="00A22832"/>
    <w:rsid w:val="00A22D62"/>
    <w:rsid w:val="00A22FFE"/>
    <w:rsid w:val="00A231A2"/>
    <w:rsid w:val="00A23393"/>
    <w:rsid w:val="00A23A58"/>
    <w:rsid w:val="00A25020"/>
    <w:rsid w:val="00A25CF0"/>
    <w:rsid w:val="00A2656F"/>
    <w:rsid w:val="00A26750"/>
    <w:rsid w:val="00A26C3D"/>
    <w:rsid w:val="00A27BA5"/>
    <w:rsid w:val="00A27D49"/>
    <w:rsid w:val="00A30B2B"/>
    <w:rsid w:val="00A30DEE"/>
    <w:rsid w:val="00A30EE4"/>
    <w:rsid w:val="00A31308"/>
    <w:rsid w:val="00A31508"/>
    <w:rsid w:val="00A315E9"/>
    <w:rsid w:val="00A31D8F"/>
    <w:rsid w:val="00A32201"/>
    <w:rsid w:val="00A32BA7"/>
    <w:rsid w:val="00A32E1A"/>
    <w:rsid w:val="00A3363F"/>
    <w:rsid w:val="00A3373A"/>
    <w:rsid w:val="00A33DFD"/>
    <w:rsid w:val="00A34266"/>
    <w:rsid w:val="00A342F1"/>
    <w:rsid w:val="00A343C1"/>
    <w:rsid w:val="00A348E8"/>
    <w:rsid w:val="00A351E1"/>
    <w:rsid w:val="00A35E58"/>
    <w:rsid w:val="00A3621D"/>
    <w:rsid w:val="00A3680A"/>
    <w:rsid w:val="00A373EE"/>
    <w:rsid w:val="00A374D4"/>
    <w:rsid w:val="00A37913"/>
    <w:rsid w:val="00A37BF3"/>
    <w:rsid w:val="00A37F01"/>
    <w:rsid w:val="00A401C0"/>
    <w:rsid w:val="00A4028F"/>
    <w:rsid w:val="00A4036B"/>
    <w:rsid w:val="00A40752"/>
    <w:rsid w:val="00A40822"/>
    <w:rsid w:val="00A41288"/>
    <w:rsid w:val="00A41C89"/>
    <w:rsid w:val="00A42438"/>
    <w:rsid w:val="00A428C4"/>
    <w:rsid w:val="00A4325F"/>
    <w:rsid w:val="00A43F3E"/>
    <w:rsid w:val="00A4438C"/>
    <w:rsid w:val="00A443C3"/>
    <w:rsid w:val="00A4471F"/>
    <w:rsid w:val="00A4511D"/>
    <w:rsid w:val="00A45830"/>
    <w:rsid w:val="00A465BA"/>
    <w:rsid w:val="00A46673"/>
    <w:rsid w:val="00A46914"/>
    <w:rsid w:val="00A469EE"/>
    <w:rsid w:val="00A50933"/>
    <w:rsid w:val="00A50BA0"/>
    <w:rsid w:val="00A512E3"/>
    <w:rsid w:val="00A515BD"/>
    <w:rsid w:val="00A519C8"/>
    <w:rsid w:val="00A51CCC"/>
    <w:rsid w:val="00A523B8"/>
    <w:rsid w:val="00A52799"/>
    <w:rsid w:val="00A53545"/>
    <w:rsid w:val="00A53E4C"/>
    <w:rsid w:val="00A54ECC"/>
    <w:rsid w:val="00A550B6"/>
    <w:rsid w:val="00A5550D"/>
    <w:rsid w:val="00A55A7C"/>
    <w:rsid w:val="00A55D51"/>
    <w:rsid w:val="00A55D64"/>
    <w:rsid w:val="00A562E2"/>
    <w:rsid w:val="00A5671F"/>
    <w:rsid w:val="00A56DEE"/>
    <w:rsid w:val="00A56EDD"/>
    <w:rsid w:val="00A571F2"/>
    <w:rsid w:val="00A57256"/>
    <w:rsid w:val="00A57413"/>
    <w:rsid w:val="00A5761F"/>
    <w:rsid w:val="00A606D0"/>
    <w:rsid w:val="00A60BBB"/>
    <w:rsid w:val="00A60BC3"/>
    <w:rsid w:val="00A61B5C"/>
    <w:rsid w:val="00A62CB8"/>
    <w:rsid w:val="00A62E08"/>
    <w:rsid w:val="00A62F5E"/>
    <w:rsid w:val="00A633A7"/>
    <w:rsid w:val="00A6397D"/>
    <w:rsid w:val="00A65102"/>
    <w:rsid w:val="00A65A03"/>
    <w:rsid w:val="00A65F6E"/>
    <w:rsid w:val="00A660CE"/>
    <w:rsid w:val="00A662BD"/>
    <w:rsid w:val="00A66BF7"/>
    <w:rsid w:val="00A66E5C"/>
    <w:rsid w:val="00A671EC"/>
    <w:rsid w:val="00A674DB"/>
    <w:rsid w:val="00A67C95"/>
    <w:rsid w:val="00A70FFA"/>
    <w:rsid w:val="00A7116D"/>
    <w:rsid w:val="00A7154D"/>
    <w:rsid w:val="00A71D55"/>
    <w:rsid w:val="00A727C9"/>
    <w:rsid w:val="00A72980"/>
    <w:rsid w:val="00A73314"/>
    <w:rsid w:val="00A7370B"/>
    <w:rsid w:val="00A738FE"/>
    <w:rsid w:val="00A73B8F"/>
    <w:rsid w:val="00A73CB5"/>
    <w:rsid w:val="00A73FE6"/>
    <w:rsid w:val="00A744C9"/>
    <w:rsid w:val="00A74EF0"/>
    <w:rsid w:val="00A7544B"/>
    <w:rsid w:val="00A756C1"/>
    <w:rsid w:val="00A75708"/>
    <w:rsid w:val="00A7601E"/>
    <w:rsid w:val="00A7719C"/>
    <w:rsid w:val="00A77BA6"/>
    <w:rsid w:val="00A77D5F"/>
    <w:rsid w:val="00A8080E"/>
    <w:rsid w:val="00A80B34"/>
    <w:rsid w:val="00A8137C"/>
    <w:rsid w:val="00A81AB7"/>
    <w:rsid w:val="00A82105"/>
    <w:rsid w:val="00A829FD"/>
    <w:rsid w:val="00A83192"/>
    <w:rsid w:val="00A83493"/>
    <w:rsid w:val="00A83995"/>
    <w:rsid w:val="00A83EB9"/>
    <w:rsid w:val="00A848C3"/>
    <w:rsid w:val="00A8498C"/>
    <w:rsid w:val="00A84DCA"/>
    <w:rsid w:val="00A84E24"/>
    <w:rsid w:val="00A85595"/>
    <w:rsid w:val="00A85A86"/>
    <w:rsid w:val="00A85F78"/>
    <w:rsid w:val="00A8630B"/>
    <w:rsid w:val="00A8637C"/>
    <w:rsid w:val="00A86A3C"/>
    <w:rsid w:val="00A87E3C"/>
    <w:rsid w:val="00A90B3F"/>
    <w:rsid w:val="00A91702"/>
    <w:rsid w:val="00A92C7D"/>
    <w:rsid w:val="00A9488E"/>
    <w:rsid w:val="00A94EE3"/>
    <w:rsid w:val="00A9586D"/>
    <w:rsid w:val="00A95DC0"/>
    <w:rsid w:val="00A96153"/>
    <w:rsid w:val="00A9630A"/>
    <w:rsid w:val="00A96C67"/>
    <w:rsid w:val="00A96D31"/>
    <w:rsid w:val="00AA03CF"/>
    <w:rsid w:val="00AA0900"/>
    <w:rsid w:val="00AA0959"/>
    <w:rsid w:val="00AA0C0B"/>
    <w:rsid w:val="00AA1C03"/>
    <w:rsid w:val="00AA2232"/>
    <w:rsid w:val="00AA2B60"/>
    <w:rsid w:val="00AA2D2B"/>
    <w:rsid w:val="00AA3254"/>
    <w:rsid w:val="00AA33E6"/>
    <w:rsid w:val="00AA3951"/>
    <w:rsid w:val="00AA3B98"/>
    <w:rsid w:val="00AA4060"/>
    <w:rsid w:val="00AA449D"/>
    <w:rsid w:val="00AA4BB5"/>
    <w:rsid w:val="00AA4D92"/>
    <w:rsid w:val="00AA4F50"/>
    <w:rsid w:val="00AA52DC"/>
    <w:rsid w:val="00AA563E"/>
    <w:rsid w:val="00AA5CB6"/>
    <w:rsid w:val="00AA69F1"/>
    <w:rsid w:val="00AA6FB9"/>
    <w:rsid w:val="00AA7A71"/>
    <w:rsid w:val="00AB110E"/>
    <w:rsid w:val="00AB13CD"/>
    <w:rsid w:val="00AB1CBC"/>
    <w:rsid w:val="00AB1E00"/>
    <w:rsid w:val="00AB2889"/>
    <w:rsid w:val="00AB2EDD"/>
    <w:rsid w:val="00AB3BF5"/>
    <w:rsid w:val="00AB425E"/>
    <w:rsid w:val="00AB5036"/>
    <w:rsid w:val="00AB51F9"/>
    <w:rsid w:val="00AB53B4"/>
    <w:rsid w:val="00AB5EC2"/>
    <w:rsid w:val="00AB6BA9"/>
    <w:rsid w:val="00AB79B6"/>
    <w:rsid w:val="00AC0C45"/>
    <w:rsid w:val="00AC1586"/>
    <w:rsid w:val="00AC1F88"/>
    <w:rsid w:val="00AC28AD"/>
    <w:rsid w:val="00AC343D"/>
    <w:rsid w:val="00AC3D17"/>
    <w:rsid w:val="00AC3E3C"/>
    <w:rsid w:val="00AC4983"/>
    <w:rsid w:val="00AC4D97"/>
    <w:rsid w:val="00AC5752"/>
    <w:rsid w:val="00AC5861"/>
    <w:rsid w:val="00AC5A43"/>
    <w:rsid w:val="00AC5A8D"/>
    <w:rsid w:val="00AC605C"/>
    <w:rsid w:val="00AC6777"/>
    <w:rsid w:val="00AC76E4"/>
    <w:rsid w:val="00AD0814"/>
    <w:rsid w:val="00AD09D7"/>
    <w:rsid w:val="00AD2249"/>
    <w:rsid w:val="00AD301D"/>
    <w:rsid w:val="00AD31E7"/>
    <w:rsid w:val="00AD3270"/>
    <w:rsid w:val="00AD3418"/>
    <w:rsid w:val="00AD442F"/>
    <w:rsid w:val="00AD4C60"/>
    <w:rsid w:val="00AD5600"/>
    <w:rsid w:val="00AD5946"/>
    <w:rsid w:val="00AD626B"/>
    <w:rsid w:val="00AD63FB"/>
    <w:rsid w:val="00AD659C"/>
    <w:rsid w:val="00AD74D6"/>
    <w:rsid w:val="00AE03DE"/>
    <w:rsid w:val="00AE19E2"/>
    <w:rsid w:val="00AE229A"/>
    <w:rsid w:val="00AE23B6"/>
    <w:rsid w:val="00AE2C58"/>
    <w:rsid w:val="00AE3172"/>
    <w:rsid w:val="00AE459B"/>
    <w:rsid w:val="00AE45E5"/>
    <w:rsid w:val="00AE4B92"/>
    <w:rsid w:val="00AE6639"/>
    <w:rsid w:val="00AF13D1"/>
    <w:rsid w:val="00AF2CC3"/>
    <w:rsid w:val="00AF2D94"/>
    <w:rsid w:val="00AF3D0D"/>
    <w:rsid w:val="00AF40B9"/>
    <w:rsid w:val="00AF424A"/>
    <w:rsid w:val="00AF4B65"/>
    <w:rsid w:val="00AF5766"/>
    <w:rsid w:val="00AF625E"/>
    <w:rsid w:val="00AF69FE"/>
    <w:rsid w:val="00AF6C18"/>
    <w:rsid w:val="00AF7300"/>
    <w:rsid w:val="00AF734D"/>
    <w:rsid w:val="00B00178"/>
    <w:rsid w:val="00B00D5F"/>
    <w:rsid w:val="00B01482"/>
    <w:rsid w:val="00B015B1"/>
    <w:rsid w:val="00B01614"/>
    <w:rsid w:val="00B027AA"/>
    <w:rsid w:val="00B02A70"/>
    <w:rsid w:val="00B03660"/>
    <w:rsid w:val="00B03C83"/>
    <w:rsid w:val="00B04EC0"/>
    <w:rsid w:val="00B04F1C"/>
    <w:rsid w:val="00B0536E"/>
    <w:rsid w:val="00B05809"/>
    <w:rsid w:val="00B05953"/>
    <w:rsid w:val="00B05D27"/>
    <w:rsid w:val="00B0611A"/>
    <w:rsid w:val="00B06DC6"/>
    <w:rsid w:val="00B07530"/>
    <w:rsid w:val="00B07B01"/>
    <w:rsid w:val="00B07C67"/>
    <w:rsid w:val="00B07EF1"/>
    <w:rsid w:val="00B10241"/>
    <w:rsid w:val="00B102A8"/>
    <w:rsid w:val="00B10620"/>
    <w:rsid w:val="00B10EFE"/>
    <w:rsid w:val="00B118C5"/>
    <w:rsid w:val="00B11DDC"/>
    <w:rsid w:val="00B11E3A"/>
    <w:rsid w:val="00B121C4"/>
    <w:rsid w:val="00B12E92"/>
    <w:rsid w:val="00B13AF0"/>
    <w:rsid w:val="00B145AF"/>
    <w:rsid w:val="00B14920"/>
    <w:rsid w:val="00B14AEE"/>
    <w:rsid w:val="00B152E5"/>
    <w:rsid w:val="00B15DB1"/>
    <w:rsid w:val="00B16716"/>
    <w:rsid w:val="00B16DC5"/>
    <w:rsid w:val="00B175AC"/>
    <w:rsid w:val="00B17A16"/>
    <w:rsid w:val="00B17C03"/>
    <w:rsid w:val="00B21EB9"/>
    <w:rsid w:val="00B226B9"/>
    <w:rsid w:val="00B23452"/>
    <w:rsid w:val="00B236C9"/>
    <w:rsid w:val="00B24E48"/>
    <w:rsid w:val="00B24F09"/>
    <w:rsid w:val="00B262D2"/>
    <w:rsid w:val="00B26C1A"/>
    <w:rsid w:val="00B26DA1"/>
    <w:rsid w:val="00B27149"/>
    <w:rsid w:val="00B2761B"/>
    <w:rsid w:val="00B27D5A"/>
    <w:rsid w:val="00B30292"/>
    <w:rsid w:val="00B302BA"/>
    <w:rsid w:val="00B30799"/>
    <w:rsid w:val="00B30F68"/>
    <w:rsid w:val="00B314DB"/>
    <w:rsid w:val="00B3166D"/>
    <w:rsid w:val="00B3168F"/>
    <w:rsid w:val="00B31CAF"/>
    <w:rsid w:val="00B32E91"/>
    <w:rsid w:val="00B33DDD"/>
    <w:rsid w:val="00B35107"/>
    <w:rsid w:val="00B35A72"/>
    <w:rsid w:val="00B367F0"/>
    <w:rsid w:val="00B37065"/>
    <w:rsid w:val="00B4028F"/>
    <w:rsid w:val="00B40501"/>
    <w:rsid w:val="00B4071D"/>
    <w:rsid w:val="00B417B2"/>
    <w:rsid w:val="00B419BD"/>
    <w:rsid w:val="00B41F13"/>
    <w:rsid w:val="00B42644"/>
    <w:rsid w:val="00B4342F"/>
    <w:rsid w:val="00B43DA1"/>
    <w:rsid w:val="00B4422E"/>
    <w:rsid w:val="00B4526D"/>
    <w:rsid w:val="00B46339"/>
    <w:rsid w:val="00B4679A"/>
    <w:rsid w:val="00B468B0"/>
    <w:rsid w:val="00B469C6"/>
    <w:rsid w:val="00B507B5"/>
    <w:rsid w:val="00B50A75"/>
    <w:rsid w:val="00B51FDF"/>
    <w:rsid w:val="00B530DD"/>
    <w:rsid w:val="00B568CD"/>
    <w:rsid w:val="00B56ADB"/>
    <w:rsid w:val="00B56BE8"/>
    <w:rsid w:val="00B56C59"/>
    <w:rsid w:val="00B574EA"/>
    <w:rsid w:val="00B60549"/>
    <w:rsid w:val="00B611AC"/>
    <w:rsid w:val="00B61E9A"/>
    <w:rsid w:val="00B6232A"/>
    <w:rsid w:val="00B627EF"/>
    <w:rsid w:val="00B62E7C"/>
    <w:rsid w:val="00B647DD"/>
    <w:rsid w:val="00B64DF7"/>
    <w:rsid w:val="00B64F63"/>
    <w:rsid w:val="00B657F7"/>
    <w:rsid w:val="00B65D1D"/>
    <w:rsid w:val="00B66506"/>
    <w:rsid w:val="00B66677"/>
    <w:rsid w:val="00B66A25"/>
    <w:rsid w:val="00B67331"/>
    <w:rsid w:val="00B67DC3"/>
    <w:rsid w:val="00B70414"/>
    <w:rsid w:val="00B704B7"/>
    <w:rsid w:val="00B70E63"/>
    <w:rsid w:val="00B71EE1"/>
    <w:rsid w:val="00B75581"/>
    <w:rsid w:val="00B756C2"/>
    <w:rsid w:val="00B76591"/>
    <w:rsid w:val="00B7710D"/>
    <w:rsid w:val="00B77998"/>
    <w:rsid w:val="00B81112"/>
    <w:rsid w:val="00B81418"/>
    <w:rsid w:val="00B82113"/>
    <w:rsid w:val="00B82631"/>
    <w:rsid w:val="00B834D4"/>
    <w:rsid w:val="00B84687"/>
    <w:rsid w:val="00B848B9"/>
    <w:rsid w:val="00B84974"/>
    <w:rsid w:val="00B85097"/>
    <w:rsid w:val="00B85921"/>
    <w:rsid w:val="00B85D7D"/>
    <w:rsid w:val="00B862F4"/>
    <w:rsid w:val="00B86C47"/>
    <w:rsid w:val="00B87459"/>
    <w:rsid w:val="00B90361"/>
    <w:rsid w:val="00B90564"/>
    <w:rsid w:val="00B93833"/>
    <w:rsid w:val="00B93EB2"/>
    <w:rsid w:val="00B94270"/>
    <w:rsid w:val="00B9447E"/>
    <w:rsid w:val="00B94B89"/>
    <w:rsid w:val="00B94F1C"/>
    <w:rsid w:val="00B94FBB"/>
    <w:rsid w:val="00B954C6"/>
    <w:rsid w:val="00B95E83"/>
    <w:rsid w:val="00B95EFF"/>
    <w:rsid w:val="00B95FEB"/>
    <w:rsid w:val="00B96236"/>
    <w:rsid w:val="00B9632C"/>
    <w:rsid w:val="00B97460"/>
    <w:rsid w:val="00B9771E"/>
    <w:rsid w:val="00B97941"/>
    <w:rsid w:val="00B97CAB"/>
    <w:rsid w:val="00B97FAF"/>
    <w:rsid w:val="00BA0050"/>
    <w:rsid w:val="00BA1315"/>
    <w:rsid w:val="00BA1C0D"/>
    <w:rsid w:val="00BA26C9"/>
    <w:rsid w:val="00BA2772"/>
    <w:rsid w:val="00BA2D88"/>
    <w:rsid w:val="00BA336B"/>
    <w:rsid w:val="00BA4229"/>
    <w:rsid w:val="00BA541F"/>
    <w:rsid w:val="00BA57B0"/>
    <w:rsid w:val="00BA6143"/>
    <w:rsid w:val="00BA64AB"/>
    <w:rsid w:val="00BA707F"/>
    <w:rsid w:val="00BA7355"/>
    <w:rsid w:val="00BA74AE"/>
    <w:rsid w:val="00BA77DE"/>
    <w:rsid w:val="00BA796C"/>
    <w:rsid w:val="00BB01DF"/>
    <w:rsid w:val="00BB021B"/>
    <w:rsid w:val="00BB0699"/>
    <w:rsid w:val="00BB121A"/>
    <w:rsid w:val="00BB22E1"/>
    <w:rsid w:val="00BB2DE4"/>
    <w:rsid w:val="00BB3021"/>
    <w:rsid w:val="00BB3677"/>
    <w:rsid w:val="00BB6126"/>
    <w:rsid w:val="00BB619C"/>
    <w:rsid w:val="00BB6ADD"/>
    <w:rsid w:val="00BB70A7"/>
    <w:rsid w:val="00BB70FF"/>
    <w:rsid w:val="00BB764D"/>
    <w:rsid w:val="00BB77CA"/>
    <w:rsid w:val="00BB783E"/>
    <w:rsid w:val="00BB7C77"/>
    <w:rsid w:val="00BB7D9A"/>
    <w:rsid w:val="00BB7E39"/>
    <w:rsid w:val="00BC0772"/>
    <w:rsid w:val="00BC134F"/>
    <w:rsid w:val="00BC1443"/>
    <w:rsid w:val="00BC1B2A"/>
    <w:rsid w:val="00BC1BC6"/>
    <w:rsid w:val="00BC1D17"/>
    <w:rsid w:val="00BC1F0A"/>
    <w:rsid w:val="00BC22D9"/>
    <w:rsid w:val="00BC3C44"/>
    <w:rsid w:val="00BC46DD"/>
    <w:rsid w:val="00BC4798"/>
    <w:rsid w:val="00BC4A4F"/>
    <w:rsid w:val="00BC4A59"/>
    <w:rsid w:val="00BC5436"/>
    <w:rsid w:val="00BC580D"/>
    <w:rsid w:val="00BC5DBE"/>
    <w:rsid w:val="00BC6AFF"/>
    <w:rsid w:val="00BC6FF0"/>
    <w:rsid w:val="00BC7E4E"/>
    <w:rsid w:val="00BD091C"/>
    <w:rsid w:val="00BD0C9E"/>
    <w:rsid w:val="00BD14CD"/>
    <w:rsid w:val="00BD19E1"/>
    <w:rsid w:val="00BD1C45"/>
    <w:rsid w:val="00BD1C8E"/>
    <w:rsid w:val="00BD1CAC"/>
    <w:rsid w:val="00BD2797"/>
    <w:rsid w:val="00BD2C59"/>
    <w:rsid w:val="00BD305E"/>
    <w:rsid w:val="00BD33AF"/>
    <w:rsid w:val="00BD3933"/>
    <w:rsid w:val="00BD3A0E"/>
    <w:rsid w:val="00BD3D0F"/>
    <w:rsid w:val="00BD4687"/>
    <w:rsid w:val="00BD49B2"/>
    <w:rsid w:val="00BD4B99"/>
    <w:rsid w:val="00BD4DE4"/>
    <w:rsid w:val="00BD4F3B"/>
    <w:rsid w:val="00BD5384"/>
    <w:rsid w:val="00BD5B95"/>
    <w:rsid w:val="00BD5C87"/>
    <w:rsid w:val="00BD65CF"/>
    <w:rsid w:val="00BD67B3"/>
    <w:rsid w:val="00BD6DD1"/>
    <w:rsid w:val="00BD7627"/>
    <w:rsid w:val="00BE099C"/>
    <w:rsid w:val="00BE0AA3"/>
    <w:rsid w:val="00BE1EFF"/>
    <w:rsid w:val="00BE21F9"/>
    <w:rsid w:val="00BE2625"/>
    <w:rsid w:val="00BE2700"/>
    <w:rsid w:val="00BE279E"/>
    <w:rsid w:val="00BE2E0E"/>
    <w:rsid w:val="00BE3933"/>
    <w:rsid w:val="00BE3C60"/>
    <w:rsid w:val="00BE405F"/>
    <w:rsid w:val="00BE51FC"/>
    <w:rsid w:val="00BE524E"/>
    <w:rsid w:val="00BE641C"/>
    <w:rsid w:val="00BE67EB"/>
    <w:rsid w:val="00BE68F8"/>
    <w:rsid w:val="00BE6944"/>
    <w:rsid w:val="00BE69BE"/>
    <w:rsid w:val="00BE6DE5"/>
    <w:rsid w:val="00BE756F"/>
    <w:rsid w:val="00BE76AD"/>
    <w:rsid w:val="00BE7735"/>
    <w:rsid w:val="00BE79D1"/>
    <w:rsid w:val="00BE7BB1"/>
    <w:rsid w:val="00BF0783"/>
    <w:rsid w:val="00BF111C"/>
    <w:rsid w:val="00BF39F1"/>
    <w:rsid w:val="00BF3DD5"/>
    <w:rsid w:val="00BF40C9"/>
    <w:rsid w:val="00BF4145"/>
    <w:rsid w:val="00BF5258"/>
    <w:rsid w:val="00BF568F"/>
    <w:rsid w:val="00BF6839"/>
    <w:rsid w:val="00BF6933"/>
    <w:rsid w:val="00BF6C9D"/>
    <w:rsid w:val="00BF734C"/>
    <w:rsid w:val="00BF7493"/>
    <w:rsid w:val="00BF762F"/>
    <w:rsid w:val="00C00301"/>
    <w:rsid w:val="00C00892"/>
    <w:rsid w:val="00C00D5F"/>
    <w:rsid w:val="00C01094"/>
    <w:rsid w:val="00C016DA"/>
    <w:rsid w:val="00C01786"/>
    <w:rsid w:val="00C023ED"/>
    <w:rsid w:val="00C02715"/>
    <w:rsid w:val="00C033FA"/>
    <w:rsid w:val="00C034E0"/>
    <w:rsid w:val="00C0462D"/>
    <w:rsid w:val="00C05109"/>
    <w:rsid w:val="00C051F7"/>
    <w:rsid w:val="00C053D2"/>
    <w:rsid w:val="00C055ED"/>
    <w:rsid w:val="00C0561A"/>
    <w:rsid w:val="00C05983"/>
    <w:rsid w:val="00C06046"/>
    <w:rsid w:val="00C0632F"/>
    <w:rsid w:val="00C06369"/>
    <w:rsid w:val="00C0689F"/>
    <w:rsid w:val="00C06A3F"/>
    <w:rsid w:val="00C07FDC"/>
    <w:rsid w:val="00C1070B"/>
    <w:rsid w:val="00C10CEA"/>
    <w:rsid w:val="00C110E1"/>
    <w:rsid w:val="00C11128"/>
    <w:rsid w:val="00C120E5"/>
    <w:rsid w:val="00C12AAC"/>
    <w:rsid w:val="00C137E5"/>
    <w:rsid w:val="00C138D4"/>
    <w:rsid w:val="00C13D91"/>
    <w:rsid w:val="00C13EE9"/>
    <w:rsid w:val="00C14474"/>
    <w:rsid w:val="00C146C8"/>
    <w:rsid w:val="00C14A68"/>
    <w:rsid w:val="00C14FC7"/>
    <w:rsid w:val="00C15005"/>
    <w:rsid w:val="00C1506E"/>
    <w:rsid w:val="00C1590A"/>
    <w:rsid w:val="00C15AE9"/>
    <w:rsid w:val="00C15F09"/>
    <w:rsid w:val="00C164E1"/>
    <w:rsid w:val="00C16A0E"/>
    <w:rsid w:val="00C17360"/>
    <w:rsid w:val="00C1737F"/>
    <w:rsid w:val="00C175EB"/>
    <w:rsid w:val="00C17C27"/>
    <w:rsid w:val="00C17D8D"/>
    <w:rsid w:val="00C20656"/>
    <w:rsid w:val="00C20C66"/>
    <w:rsid w:val="00C21AE1"/>
    <w:rsid w:val="00C22CE4"/>
    <w:rsid w:val="00C233AC"/>
    <w:rsid w:val="00C23570"/>
    <w:rsid w:val="00C23988"/>
    <w:rsid w:val="00C23E37"/>
    <w:rsid w:val="00C23FE9"/>
    <w:rsid w:val="00C242D9"/>
    <w:rsid w:val="00C24B06"/>
    <w:rsid w:val="00C25706"/>
    <w:rsid w:val="00C25804"/>
    <w:rsid w:val="00C2610E"/>
    <w:rsid w:val="00C262DB"/>
    <w:rsid w:val="00C26938"/>
    <w:rsid w:val="00C30151"/>
    <w:rsid w:val="00C30204"/>
    <w:rsid w:val="00C302B9"/>
    <w:rsid w:val="00C30476"/>
    <w:rsid w:val="00C3087D"/>
    <w:rsid w:val="00C30C41"/>
    <w:rsid w:val="00C3103F"/>
    <w:rsid w:val="00C312BD"/>
    <w:rsid w:val="00C319FA"/>
    <w:rsid w:val="00C31E0A"/>
    <w:rsid w:val="00C31F4D"/>
    <w:rsid w:val="00C32065"/>
    <w:rsid w:val="00C32B92"/>
    <w:rsid w:val="00C33162"/>
    <w:rsid w:val="00C332F3"/>
    <w:rsid w:val="00C33DC3"/>
    <w:rsid w:val="00C33DFC"/>
    <w:rsid w:val="00C353F2"/>
    <w:rsid w:val="00C36D71"/>
    <w:rsid w:val="00C37684"/>
    <w:rsid w:val="00C37908"/>
    <w:rsid w:val="00C4046A"/>
    <w:rsid w:val="00C41ADA"/>
    <w:rsid w:val="00C428E5"/>
    <w:rsid w:val="00C43778"/>
    <w:rsid w:val="00C43A27"/>
    <w:rsid w:val="00C4407D"/>
    <w:rsid w:val="00C44DB5"/>
    <w:rsid w:val="00C44FEF"/>
    <w:rsid w:val="00C45109"/>
    <w:rsid w:val="00C45827"/>
    <w:rsid w:val="00C45CC8"/>
    <w:rsid w:val="00C4613F"/>
    <w:rsid w:val="00C46FA6"/>
    <w:rsid w:val="00C474D5"/>
    <w:rsid w:val="00C509B3"/>
    <w:rsid w:val="00C50DEC"/>
    <w:rsid w:val="00C51064"/>
    <w:rsid w:val="00C511AE"/>
    <w:rsid w:val="00C51238"/>
    <w:rsid w:val="00C523F0"/>
    <w:rsid w:val="00C526E2"/>
    <w:rsid w:val="00C52CD4"/>
    <w:rsid w:val="00C5397F"/>
    <w:rsid w:val="00C53C2A"/>
    <w:rsid w:val="00C53DC6"/>
    <w:rsid w:val="00C53E58"/>
    <w:rsid w:val="00C53F46"/>
    <w:rsid w:val="00C54113"/>
    <w:rsid w:val="00C54475"/>
    <w:rsid w:val="00C544BE"/>
    <w:rsid w:val="00C54F4B"/>
    <w:rsid w:val="00C552E5"/>
    <w:rsid w:val="00C558E3"/>
    <w:rsid w:val="00C55C54"/>
    <w:rsid w:val="00C5694F"/>
    <w:rsid w:val="00C56AAA"/>
    <w:rsid w:val="00C574F4"/>
    <w:rsid w:val="00C5755A"/>
    <w:rsid w:val="00C5770A"/>
    <w:rsid w:val="00C57F4B"/>
    <w:rsid w:val="00C601E3"/>
    <w:rsid w:val="00C604D0"/>
    <w:rsid w:val="00C60E6B"/>
    <w:rsid w:val="00C61064"/>
    <w:rsid w:val="00C611F6"/>
    <w:rsid w:val="00C61230"/>
    <w:rsid w:val="00C6173D"/>
    <w:rsid w:val="00C61F44"/>
    <w:rsid w:val="00C61FEC"/>
    <w:rsid w:val="00C620AE"/>
    <w:rsid w:val="00C62658"/>
    <w:rsid w:val="00C62715"/>
    <w:rsid w:val="00C62832"/>
    <w:rsid w:val="00C62C74"/>
    <w:rsid w:val="00C62EF1"/>
    <w:rsid w:val="00C635EB"/>
    <w:rsid w:val="00C63BB0"/>
    <w:rsid w:val="00C64C57"/>
    <w:rsid w:val="00C64D32"/>
    <w:rsid w:val="00C65EBB"/>
    <w:rsid w:val="00C6754E"/>
    <w:rsid w:val="00C67AFA"/>
    <w:rsid w:val="00C67D90"/>
    <w:rsid w:val="00C700BB"/>
    <w:rsid w:val="00C7069A"/>
    <w:rsid w:val="00C706A1"/>
    <w:rsid w:val="00C70834"/>
    <w:rsid w:val="00C70F24"/>
    <w:rsid w:val="00C71082"/>
    <w:rsid w:val="00C711FD"/>
    <w:rsid w:val="00C714AE"/>
    <w:rsid w:val="00C71BD2"/>
    <w:rsid w:val="00C72735"/>
    <w:rsid w:val="00C729CB"/>
    <w:rsid w:val="00C72FC8"/>
    <w:rsid w:val="00C73016"/>
    <w:rsid w:val="00C73BA4"/>
    <w:rsid w:val="00C746E4"/>
    <w:rsid w:val="00C74736"/>
    <w:rsid w:val="00C74AFD"/>
    <w:rsid w:val="00C74F5F"/>
    <w:rsid w:val="00C74F69"/>
    <w:rsid w:val="00C7607B"/>
    <w:rsid w:val="00C76CC2"/>
    <w:rsid w:val="00C7768E"/>
    <w:rsid w:val="00C77FD3"/>
    <w:rsid w:val="00C8078D"/>
    <w:rsid w:val="00C80CC0"/>
    <w:rsid w:val="00C8170A"/>
    <w:rsid w:val="00C82398"/>
    <w:rsid w:val="00C830C5"/>
    <w:rsid w:val="00C8409D"/>
    <w:rsid w:val="00C84889"/>
    <w:rsid w:val="00C84E03"/>
    <w:rsid w:val="00C84E54"/>
    <w:rsid w:val="00C8503D"/>
    <w:rsid w:val="00C85D69"/>
    <w:rsid w:val="00C86D30"/>
    <w:rsid w:val="00C900FE"/>
    <w:rsid w:val="00C901AF"/>
    <w:rsid w:val="00C90B10"/>
    <w:rsid w:val="00C9179A"/>
    <w:rsid w:val="00C9180E"/>
    <w:rsid w:val="00C91CE4"/>
    <w:rsid w:val="00C91D08"/>
    <w:rsid w:val="00C91DEA"/>
    <w:rsid w:val="00C91F18"/>
    <w:rsid w:val="00C92277"/>
    <w:rsid w:val="00C930A9"/>
    <w:rsid w:val="00C93BF4"/>
    <w:rsid w:val="00C946F2"/>
    <w:rsid w:val="00C94A5F"/>
    <w:rsid w:val="00C94B03"/>
    <w:rsid w:val="00C95165"/>
    <w:rsid w:val="00C9522D"/>
    <w:rsid w:val="00C95356"/>
    <w:rsid w:val="00C95CA4"/>
    <w:rsid w:val="00C95DEE"/>
    <w:rsid w:val="00C95E57"/>
    <w:rsid w:val="00C97257"/>
    <w:rsid w:val="00C97429"/>
    <w:rsid w:val="00C97C66"/>
    <w:rsid w:val="00CA1AD7"/>
    <w:rsid w:val="00CA2411"/>
    <w:rsid w:val="00CA27F4"/>
    <w:rsid w:val="00CA29CC"/>
    <w:rsid w:val="00CA3949"/>
    <w:rsid w:val="00CA3A2B"/>
    <w:rsid w:val="00CA3BB4"/>
    <w:rsid w:val="00CA4C66"/>
    <w:rsid w:val="00CA4D9E"/>
    <w:rsid w:val="00CA4FFD"/>
    <w:rsid w:val="00CA5A1A"/>
    <w:rsid w:val="00CA6353"/>
    <w:rsid w:val="00CA64AF"/>
    <w:rsid w:val="00CA6863"/>
    <w:rsid w:val="00CA71AD"/>
    <w:rsid w:val="00CA78BF"/>
    <w:rsid w:val="00CB094D"/>
    <w:rsid w:val="00CB098F"/>
    <w:rsid w:val="00CB0F06"/>
    <w:rsid w:val="00CB10E4"/>
    <w:rsid w:val="00CB20F2"/>
    <w:rsid w:val="00CB2296"/>
    <w:rsid w:val="00CB2A4B"/>
    <w:rsid w:val="00CB35FD"/>
    <w:rsid w:val="00CB49B7"/>
    <w:rsid w:val="00CB4ECE"/>
    <w:rsid w:val="00CB5167"/>
    <w:rsid w:val="00CB55A6"/>
    <w:rsid w:val="00CB561E"/>
    <w:rsid w:val="00CB616F"/>
    <w:rsid w:val="00CB6A13"/>
    <w:rsid w:val="00CB752B"/>
    <w:rsid w:val="00CB7C54"/>
    <w:rsid w:val="00CC1180"/>
    <w:rsid w:val="00CC2181"/>
    <w:rsid w:val="00CC22E2"/>
    <w:rsid w:val="00CC2B0F"/>
    <w:rsid w:val="00CC3368"/>
    <w:rsid w:val="00CC3550"/>
    <w:rsid w:val="00CC3719"/>
    <w:rsid w:val="00CC3D47"/>
    <w:rsid w:val="00CC4E04"/>
    <w:rsid w:val="00CC5059"/>
    <w:rsid w:val="00CC5948"/>
    <w:rsid w:val="00CC61AC"/>
    <w:rsid w:val="00CC6266"/>
    <w:rsid w:val="00CD0481"/>
    <w:rsid w:val="00CD064C"/>
    <w:rsid w:val="00CD06BA"/>
    <w:rsid w:val="00CD1FBA"/>
    <w:rsid w:val="00CD2008"/>
    <w:rsid w:val="00CD3C0F"/>
    <w:rsid w:val="00CD3D98"/>
    <w:rsid w:val="00CD4B19"/>
    <w:rsid w:val="00CD4C4D"/>
    <w:rsid w:val="00CD4D2B"/>
    <w:rsid w:val="00CD4E39"/>
    <w:rsid w:val="00CD51EE"/>
    <w:rsid w:val="00CD56DA"/>
    <w:rsid w:val="00CD64A7"/>
    <w:rsid w:val="00CD71C0"/>
    <w:rsid w:val="00CD7495"/>
    <w:rsid w:val="00CD7CF9"/>
    <w:rsid w:val="00CD7E6B"/>
    <w:rsid w:val="00CE0482"/>
    <w:rsid w:val="00CE1360"/>
    <w:rsid w:val="00CE1832"/>
    <w:rsid w:val="00CE1BF3"/>
    <w:rsid w:val="00CE2AF9"/>
    <w:rsid w:val="00CE31C7"/>
    <w:rsid w:val="00CE325A"/>
    <w:rsid w:val="00CE437C"/>
    <w:rsid w:val="00CE4434"/>
    <w:rsid w:val="00CE446B"/>
    <w:rsid w:val="00CE44ED"/>
    <w:rsid w:val="00CE5C03"/>
    <w:rsid w:val="00CE5F3E"/>
    <w:rsid w:val="00CE7611"/>
    <w:rsid w:val="00CE78F9"/>
    <w:rsid w:val="00CE7A4B"/>
    <w:rsid w:val="00CF0BDD"/>
    <w:rsid w:val="00CF19E5"/>
    <w:rsid w:val="00CF2869"/>
    <w:rsid w:val="00CF2BC2"/>
    <w:rsid w:val="00CF3383"/>
    <w:rsid w:val="00CF37A5"/>
    <w:rsid w:val="00CF3810"/>
    <w:rsid w:val="00CF3EAE"/>
    <w:rsid w:val="00CF3FCE"/>
    <w:rsid w:val="00CF477E"/>
    <w:rsid w:val="00CF4B0C"/>
    <w:rsid w:val="00CF5771"/>
    <w:rsid w:val="00CF5FB7"/>
    <w:rsid w:val="00CF6AFE"/>
    <w:rsid w:val="00CF71C1"/>
    <w:rsid w:val="00CF7423"/>
    <w:rsid w:val="00D004C3"/>
    <w:rsid w:val="00D0059D"/>
    <w:rsid w:val="00D00726"/>
    <w:rsid w:val="00D00A27"/>
    <w:rsid w:val="00D00E45"/>
    <w:rsid w:val="00D02186"/>
    <w:rsid w:val="00D029E6"/>
    <w:rsid w:val="00D03133"/>
    <w:rsid w:val="00D03170"/>
    <w:rsid w:val="00D03864"/>
    <w:rsid w:val="00D03915"/>
    <w:rsid w:val="00D0398B"/>
    <w:rsid w:val="00D03A61"/>
    <w:rsid w:val="00D04AAB"/>
    <w:rsid w:val="00D04E5B"/>
    <w:rsid w:val="00D05078"/>
    <w:rsid w:val="00D0519D"/>
    <w:rsid w:val="00D069F0"/>
    <w:rsid w:val="00D06DC9"/>
    <w:rsid w:val="00D06F02"/>
    <w:rsid w:val="00D071D7"/>
    <w:rsid w:val="00D07678"/>
    <w:rsid w:val="00D07EC5"/>
    <w:rsid w:val="00D1028D"/>
    <w:rsid w:val="00D10308"/>
    <w:rsid w:val="00D106E1"/>
    <w:rsid w:val="00D10C34"/>
    <w:rsid w:val="00D11706"/>
    <w:rsid w:val="00D117AF"/>
    <w:rsid w:val="00D11A06"/>
    <w:rsid w:val="00D11B74"/>
    <w:rsid w:val="00D12958"/>
    <w:rsid w:val="00D12CB2"/>
    <w:rsid w:val="00D12D9F"/>
    <w:rsid w:val="00D1314C"/>
    <w:rsid w:val="00D13331"/>
    <w:rsid w:val="00D13395"/>
    <w:rsid w:val="00D13417"/>
    <w:rsid w:val="00D13952"/>
    <w:rsid w:val="00D13B53"/>
    <w:rsid w:val="00D13C92"/>
    <w:rsid w:val="00D1429B"/>
    <w:rsid w:val="00D143EE"/>
    <w:rsid w:val="00D14994"/>
    <w:rsid w:val="00D1541E"/>
    <w:rsid w:val="00D159F6"/>
    <w:rsid w:val="00D167A9"/>
    <w:rsid w:val="00D17260"/>
    <w:rsid w:val="00D1743D"/>
    <w:rsid w:val="00D1773D"/>
    <w:rsid w:val="00D17F8A"/>
    <w:rsid w:val="00D2104E"/>
    <w:rsid w:val="00D2237A"/>
    <w:rsid w:val="00D2366B"/>
    <w:rsid w:val="00D24891"/>
    <w:rsid w:val="00D24A07"/>
    <w:rsid w:val="00D25DED"/>
    <w:rsid w:val="00D262F4"/>
    <w:rsid w:val="00D264F8"/>
    <w:rsid w:val="00D270A0"/>
    <w:rsid w:val="00D2734E"/>
    <w:rsid w:val="00D27719"/>
    <w:rsid w:val="00D30C4C"/>
    <w:rsid w:val="00D31815"/>
    <w:rsid w:val="00D3188A"/>
    <w:rsid w:val="00D318E8"/>
    <w:rsid w:val="00D320EF"/>
    <w:rsid w:val="00D32422"/>
    <w:rsid w:val="00D32A18"/>
    <w:rsid w:val="00D32B88"/>
    <w:rsid w:val="00D33235"/>
    <w:rsid w:val="00D3470F"/>
    <w:rsid w:val="00D34C57"/>
    <w:rsid w:val="00D34DB7"/>
    <w:rsid w:val="00D35EC3"/>
    <w:rsid w:val="00D368AB"/>
    <w:rsid w:val="00D37636"/>
    <w:rsid w:val="00D404D6"/>
    <w:rsid w:val="00D40A62"/>
    <w:rsid w:val="00D40D20"/>
    <w:rsid w:val="00D40D51"/>
    <w:rsid w:val="00D410D3"/>
    <w:rsid w:val="00D4127B"/>
    <w:rsid w:val="00D41B7C"/>
    <w:rsid w:val="00D41C06"/>
    <w:rsid w:val="00D4243E"/>
    <w:rsid w:val="00D42851"/>
    <w:rsid w:val="00D42DCE"/>
    <w:rsid w:val="00D42E08"/>
    <w:rsid w:val="00D42FDC"/>
    <w:rsid w:val="00D441F9"/>
    <w:rsid w:val="00D446F8"/>
    <w:rsid w:val="00D44FDD"/>
    <w:rsid w:val="00D457AD"/>
    <w:rsid w:val="00D45BFC"/>
    <w:rsid w:val="00D45C92"/>
    <w:rsid w:val="00D4619E"/>
    <w:rsid w:val="00D46264"/>
    <w:rsid w:val="00D4641A"/>
    <w:rsid w:val="00D46951"/>
    <w:rsid w:val="00D47666"/>
    <w:rsid w:val="00D47F6D"/>
    <w:rsid w:val="00D509B4"/>
    <w:rsid w:val="00D50A43"/>
    <w:rsid w:val="00D50BFF"/>
    <w:rsid w:val="00D51744"/>
    <w:rsid w:val="00D522A5"/>
    <w:rsid w:val="00D52DCF"/>
    <w:rsid w:val="00D52EBA"/>
    <w:rsid w:val="00D5417F"/>
    <w:rsid w:val="00D5425E"/>
    <w:rsid w:val="00D54B50"/>
    <w:rsid w:val="00D54C22"/>
    <w:rsid w:val="00D54DB9"/>
    <w:rsid w:val="00D55A6F"/>
    <w:rsid w:val="00D55C4F"/>
    <w:rsid w:val="00D576A3"/>
    <w:rsid w:val="00D57954"/>
    <w:rsid w:val="00D57BD3"/>
    <w:rsid w:val="00D57F5A"/>
    <w:rsid w:val="00D60445"/>
    <w:rsid w:val="00D613BE"/>
    <w:rsid w:val="00D61678"/>
    <w:rsid w:val="00D61F17"/>
    <w:rsid w:val="00D61F41"/>
    <w:rsid w:val="00D62458"/>
    <w:rsid w:val="00D62B07"/>
    <w:rsid w:val="00D635AD"/>
    <w:rsid w:val="00D63BD8"/>
    <w:rsid w:val="00D6430E"/>
    <w:rsid w:val="00D6445F"/>
    <w:rsid w:val="00D64899"/>
    <w:rsid w:val="00D65192"/>
    <w:rsid w:val="00D6531A"/>
    <w:rsid w:val="00D655C3"/>
    <w:rsid w:val="00D65B0A"/>
    <w:rsid w:val="00D65C67"/>
    <w:rsid w:val="00D664F1"/>
    <w:rsid w:val="00D678F1"/>
    <w:rsid w:val="00D67BC9"/>
    <w:rsid w:val="00D67CF6"/>
    <w:rsid w:val="00D67E5D"/>
    <w:rsid w:val="00D67FF1"/>
    <w:rsid w:val="00D709A6"/>
    <w:rsid w:val="00D70D64"/>
    <w:rsid w:val="00D70EDB"/>
    <w:rsid w:val="00D71532"/>
    <w:rsid w:val="00D7173D"/>
    <w:rsid w:val="00D7178D"/>
    <w:rsid w:val="00D71CBD"/>
    <w:rsid w:val="00D71FE5"/>
    <w:rsid w:val="00D7217A"/>
    <w:rsid w:val="00D723A2"/>
    <w:rsid w:val="00D7261D"/>
    <w:rsid w:val="00D729B2"/>
    <w:rsid w:val="00D72A11"/>
    <w:rsid w:val="00D72CE8"/>
    <w:rsid w:val="00D74C6F"/>
    <w:rsid w:val="00D760A6"/>
    <w:rsid w:val="00D764B7"/>
    <w:rsid w:val="00D76AAE"/>
    <w:rsid w:val="00D76E42"/>
    <w:rsid w:val="00D7712E"/>
    <w:rsid w:val="00D77777"/>
    <w:rsid w:val="00D77BF5"/>
    <w:rsid w:val="00D77EBC"/>
    <w:rsid w:val="00D80049"/>
    <w:rsid w:val="00D80266"/>
    <w:rsid w:val="00D803A3"/>
    <w:rsid w:val="00D804EC"/>
    <w:rsid w:val="00D818B4"/>
    <w:rsid w:val="00D81913"/>
    <w:rsid w:val="00D82562"/>
    <w:rsid w:val="00D8297F"/>
    <w:rsid w:val="00D82C43"/>
    <w:rsid w:val="00D82C6E"/>
    <w:rsid w:val="00D832DF"/>
    <w:rsid w:val="00D8335B"/>
    <w:rsid w:val="00D834C5"/>
    <w:rsid w:val="00D83CA1"/>
    <w:rsid w:val="00D84141"/>
    <w:rsid w:val="00D8444D"/>
    <w:rsid w:val="00D84A5A"/>
    <w:rsid w:val="00D850A5"/>
    <w:rsid w:val="00D851BF"/>
    <w:rsid w:val="00D85959"/>
    <w:rsid w:val="00D860EB"/>
    <w:rsid w:val="00D864C2"/>
    <w:rsid w:val="00D8693C"/>
    <w:rsid w:val="00D86BA3"/>
    <w:rsid w:val="00D86D72"/>
    <w:rsid w:val="00D86E2D"/>
    <w:rsid w:val="00D873D3"/>
    <w:rsid w:val="00D8786D"/>
    <w:rsid w:val="00D9004B"/>
    <w:rsid w:val="00D90510"/>
    <w:rsid w:val="00D90B60"/>
    <w:rsid w:val="00D90CFB"/>
    <w:rsid w:val="00D91188"/>
    <w:rsid w:val="00D91306"/>
    <w:rsid w:val="00D915DF"/>
    <w:rsid w:val="00D916C0"/>
    <w:rsid w:val="00D92C61"/>
    <w:rsid w:val="00D9330B"/>
    <w:rsid w:val="00D93948"/>
    <w:rsid w:val="00D94222"/>
    <w:rsid w:val="00D94469"/>
    <w:rsid w:val="00D94801"/>
    <w:rsid w:val="00D94998"/>
    <w:rsid w:val="00D95146"/>
    <w:rsid w:val="00D9518A"/>
    <w:rsid w:val="00D9586D"/>
    <w:rsid w:val="00D95E9C"/>
    <w:rsid w:val="00D961F4"/>
    <w:rsid w:val="00D96BA1"/>
    <w:rsid w:val="00D96D95"/>
    <w:rsid w:val="00D9711B"/>
    <w:rsid w:val="00D97A41"/>
    <w:rsid w:val="00DA14F6"/>
    <w:rsid w:val="00DA1986"/>
    <w:rsid w:val="00DA1CFC"/>
    <w:rsid w:val="00DA1F30"/>
    <w:rsid w:val="00DA2032"/>
    <w:rsid w:val="00DA2134"/>
    <w:rsid w:val="00DA25CF"/>
    <w:rsid w:val="00DA2F9F"/>
    <w:rsid w:val="00DA2FEA"/>
    <w:rsid w:val="00DA313B"/>
    <w:rsid w:val="00DA33CE"/>
    <w:rsid w:val="00DA34BC"/>
    <w:rsid w:val="00DA3732"/>
    <w:rsid w:val="00DA3DED"/>
    <w:rsid w:val="00DA41EF"/>
    <w:rsid w:val="00DA4750"/>
    <w:rsid w:val="00DA5BE4"/>
    <w:rsid w:val="00DA5D9E"/>
    <w:rsid w:val="00DA6586"/>
    <w:rsid w:val="00DA7E57"/>
    <w:rsid w:val="00DB004C"/>
    <w:rsid w:val="00DB0F14"/>
    <w:rsid w:val="00DB27AA"/>
    <w:rsid w:val="00DB343F"/>
    <w:rsid w:val="00DB3825"/>
    <w:rsid w:val="00DB3E8D"/>
    <w:rsid w:val="00DB4614"/>
    <w:rsid w:val="00DB492C"/>
    <w:rsid w:val="00DB4C96"/>
    <w:rsid w:val="00DB4DFA"/>
    <w:rsid w:val="00DB560E"/>
    <w:rsid w:val="00DB5E37"/>
    <w:rsid w:val="00DB618C"/>
    <w:rsid w:val="00DB692F"/>
    <w:rsid w:val="00DB6DCD"/>
    <w:rsid w:val="00DB6FF3"/>
    <w:rsid w:val="00DB70B6"/>
    <w:rsid w:val="00DB7F48"/>
    <w:rsid w:val="00DC0FD2"/>
    <w:rsid w:val="00DC123C"/>
    <w:rsid w:val="00DC1358"/>
    <w:rsid w:val="00DC21E3"/>
    <w:rsid w:val="00DC2215"/>
    <w:rsid w:val="00DC2E5C"/>
    <w:rsid w:val="00DC31CE"/>
    <w:rsid w:val="00DC364C"/>
    <w:rsid w:val="00DC3697"/>
    <w:rsid w:val="00DC3A95"/>
    <w:rsid w:val="00DC4610"/>
    <w:rsid w:val="00DC53DD"/>
    <w:rsid w:val="00DC5939"/>
    <w:rsid w:val="00DC595F"/>
    <w:rsid w:val="00DC6143"/>
    <w:rsid w:val="00DC64B0"/>
    <w:rsid w:val="00DC6D6F"/>
    <w:rsid w:val="00DD01EB"/>
    <w:rsid w:val="00DD1076"/>
    <w:rsid w:val="00DD19C7"/>
    <w:rsid w:val="00DD1DC7"/>
    <w:rsid w:val="00DD2CA0"/>
    <w:rsid w:val="00DD472E"/>
    <w:rsid w:val="00DD533F"/>
    <w:rsid w:val="00DD5368"/>
    <w:rsid w:val="00DE0769"/>
    <w:rsid w:val="00DE0D04"/>
    <w:rsid w:val="00DE0E79"/>
    <w:rsid w:val="00DE0F47"/>
    <w:rsid w:val="00DE0F56"/>
    <w:rsid w:val="00DE0FD1"/>
    <w:rsid w:val="00DE1F3B"/>
    <w:rsid w:val="00DE2F57"/>
    <w:rsid w:val="00DE33A5"/>
    <w:rsid w:val="00DE34AB"/>
    <w:rsid w:val="00DE4657"/>
    <w:rsid w:val="00DE4C50"/>
    <w:rsid w:val="00DE4CD8"/>
    <w:rsid w:val="00DE5148"/>
    <w:rsid w:val="00DE53DC"/>
    <w:rsid w:val="00DE5A75"/>
    <w:rsid w:val="00DE5EA3"/>
    <w:rsid w:val="00DE62CB"/>
    <w:rsid w:val="00DE6FB8"/>
    <w:rsid w:val="00DE73AB"/>
    <w:rsid w:val="00DE758B"/>
    <w:rsid w:val="00DE7980"/>
    <w:rsid w:val="00DE7E0D"/>
    <w:rsid w:val="00DF0694"/>
    <w:rsid w:val="00DF08B4"/>
    <w:rsid w:val="00DF09BB"/>
    <w:rsid w:val="00DF0A32"/>
    <w:rsid w:val="00DF0A7A"/>
    <w:rsid w:val="00DF0AEE"/>
    <w:rsid w:val="00DF0F5E"/>
    <w:rsid w:val="00DF1934"/>
    <w:rsid w:val="00DF2304"/>
    <w:rsid w:val="00DF2745"/>
    <w:rsid w:val="00DF28CB"/>
    <w:rsid w:val="00DF3954"/>
    <w:rsid w:val="00DF3A69"/>
    <w:rsid w:val="00DF42A2"/>
    <w:rsid w:val="00DF4658"/>
    <w:rsid w:val="00DF4D01"/>
    <w:rsid w:val="00DF5B39"/>
    <w:rsid w:val="00DF5D35"/>
    <w:rsid w:val="00DF6363"/>
    <w:rsid w:val="00DF6540"/>
    <w:rsid w:val="00DF6A0D"/>
    <w:rsid w:val="00DF6EB0"/>
    <w:rsid w:val="00DF6FB7"/>
    <w:rsid w:val="00DF7285"/>
    <w:rsid w:val="00E004B4"/>
    <w:rsid w:val="00E004D0"/>
    <w:rsid w:val="00E01440"/>
    <w:rsid w:val="00E0159B"/>
    <w:rsid w:val="00E01716"/>
    <w:rsid w:val="00E01A17"/>
    <w:rsid w:val="00E020B5"/>
    <w:rsid w:val="00E022A7"/>
    <w:rsid w:val="00E02AC5"/>
    <w:rsid w:val="00E02C69"/>
    <w:rsid w:val="00E02E91"/>
    <w:rsid w:val="00E02EA2"/>
    <w:rsid w:val="00E03047"/>
    <w:rsid w:val="00E0324B"/>
    <w:rsid w:val="00E033E6"/>
    <w:rsid w:val="00E035CB"/>
    <w:rsid w:val="00E03AFD"/>
    <w:rsid w:val="00E04D2B"/>
    <w:rsid w:val="00E04E50"/>
    <w:rsid w:val="00E04F63"/>
    <w:rsid w:val="00E0519D"/>
    <w:rsid w:val="00E05656"/>
    <w:rsid w:val="00E05750"/>
    <w:rsid w:val="00E06427"/>
    <w:rsid w:val="00E070CA"/>
    <w:rsid w:val="00E073E8"/>
    <w:rsid w:val="00E076D8"/>
    <w:rsid w:val="00E07D74"/>
    <w:rsid w:val="00E10049"/>
    <w:rsid w:val="00E10520"/>
    <w:rsid w:val="00E10D00"/>
    <w:rsid w:val="00E110AF"/>
    <w:rsid w:val="00E110C8"/>
    <w:rsid w:val="00E111A0"/>
    <w:rsid w:val="00E11474"/>
    <w:rsid w:val="00E11532"/>
    <w:rsid w:val="00E1217B"/>
    <w:rsid w:val="00E137FB"/>
    <w:rsid w:val="00E13DE1"/>
    <w:rsid w:val="00E144C0"/>
    <w:rsid w:val="00E14D52"/>
    <w:rsid w:val="00E16321"/>
    <w:rsid w:val="00E16984"/>
    <w:rsid w:val="00E16989"/>
    <w:rsid w:val="00E16F00"/>
    <w:rsid w:val="00E173BB"/>
    <w:rsid w:val="00E200BB"/>
    <w:rsid w:val="00E2073F"/>
    <w:rsid w:val="00E21592"/>
    <w:rsid w:val="00E21AC5"/>
    <w:rsid w:val="00E23678"/>
    <w:rsid w:val="00E23F8C"/>
    <w:rsid w:val="00E2557F"/>
    <w:rsid w:val="00E262AA"/>
    <w:rsid w:val="00E26F9C"/>
    <w:rsid w:val="00E273DF"/>
    <w:rsid w:val="00E30AB5"/>
    <w:rsid w:val="00E30B01"/>
    <w:rsid w:val="00E314B9"/>
    <w:rsid w:val="00E315E8"/>
    <w:rsid w:val="00E32059"/>
    <w:rsid w:val="00E32D34"/>
    <w:rsid w:val="00E32E0B"/>
    <w:rsid w:val="00E3317F"/>
    <w:rsid w:val="00E33C4A"/>
    <w:rsid w:val="00E35218"/>
    <w:rsid w:val="00E3538D"/>
    <w:rsid w:val="00E36051"/>
    <w:rsid w:val="00E36273"/>
    <w:rsid w:val="00E365F7"/>
    <w:rsid w:val="00E36C94"/>
    <w:rsid w:val="00E36E90"/>
    <w:rsid w:val="00E371B1"/>
    <w:rsid w:val="00E37603"/>
    <w:rsid w:val="00E377AA"/>
    <w:rsid w:val="00E37D87"/>
    <w:rsid w:val="00E40472"/>
    <w:rsid w:val="00E40979"/>
    <w:rsid w:val="00E409DE"/>
    <w:rsid w:val="00E40E57"/>
    <w:rsid w:val="00E4137D"/>
    <w:rsid w:val="00E4223E"/>
    <w:rsid w:val="00E42777"/>
    <w:rsid w:val="00E42834"/>
    <w:rsid w:val="00E44478"/>
    <w:rsid w:val="00E449EF"/>
    <w:rsid w:val="00E44BD2"/>
    <w:rsid w:val="00E44DBD"/>
    <w:rsid w:val="00E44EA4"/>
    <w:rsid w:val="00E45468"/>
    <w:rsid w:val="00E45808"/>
    <w:rsid w:val="00E4603C"/>
    <w:rsid w:val="00E46440"/>
    <w:rsid w:val="00E46FDE"/>
    <w:rsid w:val="00E47406"/>
    <w:rsid w:val="00E476E3"/>
    <w:rsid w:val="00E47821"/>
    <w:rsid w:val="00E507E5"/>
    <w:rsid w:val="00E520C4"/>
    <w:rsid w:val="00E53026"/>
    <w:rsid w:val="00E53458"/>
    <w:rsid w:val="00E53707"/>
    <w:rsid w:val="00E53C01"/>
    <w:rsid w:val="00E54AE3"/>
    <w:rsid w:val="00E54CC4"/>
    <w:rsid w:val="00E55161"/>
    <w:rsid w:val="00E55405"/>
    <w:rsid w:val="00E55C5F"/>
    <w:rsid w:val="00E55FEE"/>
    <w:rsid w:val="00E56B38"/>
    <w:rsid w:val="00E5725E"/>
    <w:rsid w:val="00E57407"/>
    <w:rsid w:val="00E578ED"/>
    <w:rsid w:val="00E57D11"/>
    <w:rsid w:val="00E6017B"/>
    <w:rsid w:val="00E603CE"/>
    <w:rsid w:val="00E61619"/>
    <w:rsid w:val="00E619F2"/>
    <w:rsid w:val="00E61F80"/>
    <w:rsid w:val="00E61FCD"/>
    <w:rsid w:val="00E6217D"/>
    <w:rsid w:val="00E62360"/>
    <w:rsid w:val="00E63F5C"/>
    <w:rsid w:val="00E644BB"/>
    <w:rsid w:val="00E647E6"/>
    <w:rsid w:val="00E64CDE"/>
    <w:rsid w:val="00E65E21"/>
    <w:rsid w:val="00E66D6C"/>
    <w:rsid w:val="00E67212"/>
    <w:rsid w:val="00E67AF4"/>
    <w:rsid w:val="00E67F09"/>
    <w:rsid w:val="00E70685"/>
    <w:rsid w:val="00E70982"/>
    <w:rsid w:val="00E71C20"/>
    <w:rsid w:val="00E72725"/>
    <w:rsid w:val="00E731A2"/>
    <w:rsid w:val="00E738BA"/>
    <w:rsid w:val="00E73B3D"/>
    <w:rsid w:val="00E7417E"/>
    <w:rsid w:val="00E75A5A"/>
    <w:rsid w:val="00E75C94"/>
    <w:rsid w:val="00E760A7"/>
    <w:rsid w:val="00E76955"/>
    <w:rsid w:val="00E76973"/>
    <w:rsid w:val="00E77126"/>
    <w:rsid w:val="00E7728D"/>
    <w:rsid w:val="00E77D16"/>
    <w:rsid w:val="00E77FC2"/>
    <w:rsid w:val="00E8038E"/>
    <w:rsid w:val="00E80E32"/>
    <w:rsid w:val="00E80E3C"/>
    <w:rsid w:val="00E81086"/>
    <w:rsid w:val="00E81514"/>
    <w:rsid w:val="00E817E3"/>
    <w:rsid w:val="00E81852"/>
    <w:rsid w:val="00E82008"/>
    <w:rsid w:val="00E824E5"/>
    <w:rsid w:val="00E8309F"/>
    <w:rsid w:val="00E8351E"/>
    <w:rsid w:val="00E83AC2"/>
    <w:rsid w:val="00E83BE2"/>
    <w:rsid w:val="00E84404"/>
    <w:rsid w:val="00E84637"/>
    <w:rsid w:val="00E84BA7"/>
    <w:rsid w:val="00E84D6B"/>
    <w:rsid w:val="00E84EF3"/>
    <w:rsid w:val="00E852C4"/>
    <w:rsid w:val="00E860FA"/>
    <w:rsid w:val="00E86310"/>
    <w:rsid w:val="00E8657B"/>
    <w:rsid w:val="00E86591"/>
    <w:rsid w:val="00E866C6"/>
    <w:rsid w:val="00E879A6"/>
    <w:rsid w:val="00E87F6D"/>
    <w:rsid w:val="00E87FBB"/>
    <w:rsid w:val="00E91934"/>
    <w:rsid w:val="00E9251F"/>
    <w:rsid w:val="00E92898"/>
    <w:rsid w:val="00E928EF"/>
    <w:rsid w:val="00E9337D"/>
    <w:rsid w:val="00E9357B"/>
    <w:rsid w:val="00E93E92"/>
    <w:rsid w:val="00E947DA"/>
    <w:rsid w:val="00E96429"/>
    <w:rsid w:val="00E964B1"/>
    <w:rsid w:val="00E9653E"/>
    <w:rsid w:val="00E96D84"/>
    <w:rsid w:val="00E97495"/>
    <w:rsid w:val="00EA0FFB"/>
    <w:rsid w:val="00EA120F"/>
    <w:rsid w:val="00EA1CBC"/>
    <w:rsid w:val="00EA1FDC"/>
    <w:rsid w:val="00EA2D70"/>
    <w:rsid w:val="00EA2E4C"/>
    <w:rsid w:val="00EA3441"/>
    <w:rsid w:val="00EA40E6"/>
    <w:rsid w:val="00EA4304"/>
    <w:rsid w:val="00EA4C20"/>
    <w:rsid w:val="00EA54FF"/>
    <w:rsid w:val="00EA57A3"/>
    <w:rsid w:val="00EA6771"/>
    <w:rsid w:val="00EA6963"/>
    <w:rsid w:val="00EA7B1C"/>
    <w:rsid w:val="00EA7BDD"/>
    <w:rsid w:val="00EB0915"/>
    <w:rsid w:val="00EB176A"/>
    <w:rsid w:val="00EB20E2"/>
    <w:rsid w:val="00EB22A9"/>
    <w:rsid w:val="00EB2816"/>
    <w:rsid w:val="00EB2875"/>
    <w:rsid w:val="00EB2DD2"/>
    <w:rsid w:val="00EB3957"/>
    <w:rsid w:val="00EB3D32"/>
    <w:rsid w:val="00EB476C"/>
    <w:rsid w:val="00EB4AF2"/>
    <w:rsid w:val="00EB4E2D"/>
    <w:rsid w:val="00EB5B7C"/>
    <w:rsid w:val="00EB5C5B"/>
    <w:rsid w:val="00EB6067"/>
    <w:rsid w:val="00EB6115"/>
    <w:rsid w:val="00EB643D"/>
    <w:rsid w:val="00EB64AA"/>
    <w:rsid w:val="00EB746A"/>
    <w:rsid w:val="00EB79ED"/>
    <w:rsid w:val="00EB7A21"/>
    <w:rsid w:val="00EB7F93"/>
    <w:rsid w:val="00EC001A"/>
    <w:rsid w:val="00EC0151"/>
    <w:rsid w:val="00EC0D20"/>
    <w:rsid w:val="00EC28C5"/>
    <w:rsid w:val="00EC28E1"/>
    <w:rsid w:val="00EC2B66"/>
    <w:rsid w:val="00EC32F7"/>
    <w:rsid w:val="00EC3422"/>
    <w:rsid w:val="00EC3B18"/>
    <w:rsid w:val="00EC41D9"/>
    <w:rsid w:val="00EC476E"/>
    <w:rsid w:val="00EC4F8B"/>
    <w:rsid w:val="00EC5041"/>
    <w:rsid w:val="00EC5135"/>
    <w:rsid w:val="00EC553B"/>
    <w:rsid w:val="00EC5620"/>
    <w:rsid w:val="00EC67AC"/>
    <w:rsid w:val="00EC783F"/>
    <w:rsid w:val="00ED04C9"/>
    <w:rsid w:val="00ED1601"/>
    <w:rsid w:val="00ED1C91"/>
    <w:rsid w:val="00ED2649"/>
    <w:rsid w:val="00ED3091"/>
    <w:rsid w:val="00ED3308"/>
    <w:rsid w:val="00ED3543"/>
    <w:rsid w:val="00ED3763"/>
    <w:rsid w:val="00ED3C95"/>
    <w:rsid w:val="00ED506E"/>
    <w:rsid w:val="00ED571D"/>
    <w:rsid w:val="00ED6A64"/>
    <w:rsid w:val="00ED6A76"/>
    <w:rsid w:val="00ED6F0F"/>
    <w:rsid w:val="00ED7018"/>
    <w:rsid w:val="00ED7E30"/>
    <w:rsid w:val="00EE0D5A"/>
    <w:rsid w:val="00EE0FD0"/>
    <w:rsid w:val="00EE170B"/>
    <w:rsid w:val="00EE1D23"/>
    <w:rsid w:val="00EE1FC0"/>
    <w:rsid w:val="00EE2BA2"/>
    <w:rsid w:val="00EE2D12"/>
    <w:rsid w:val="00EE3440"/>
    <w:rsid w:val="00EE3C72"/>
    <w:rsid w:val="00EE44FF"/>
    <w:rsid w:val="00EE48D9"/>
    <w:rsid w:val="00EE4F38"/>
    <w:rsid w:val="00EE52EA"/>
    <w:rsid w:val="00EE5E36"/>
    <w:rsid w:val="00EE67FE"/>
    <w:rsid w:val="00EE68B8"/>
    <w:rsid w:val="00EE6EB4"/>
    <w:rsid w:val="00EE7189"/>
    <w:rsid w:val="00EE7634"/>
    <w:rsid w:val="00EE7823"/>
    <w:rsid w:val="00EE7CA7"/>
    <w:rsid w:val="00EF0F85"/>
    <w:rsid w:val="00EF146E"/>
    <w:rsid w:val="00EF1558"/>
    <w:rsid w:val="00EF1590"/>
    <w:rsid w:val="00EF1E02"/>
    <w:rsid w:val="00EF2248"/>
    <w:rsid w:val="00EF28C1"/>
    <w:rsid w:val="00EF32C7"/>
    <w:rsid w:val="00EF335A"/>
    <w:rsid w:val="00EF3793"/>
    <w:rsid w:val="00EF44A9"/>
    <w:rsid w:val="00EF4C01"/>
    <w:rsid w:val="00EF5753"/>
    <w:rsid w:val="00EF5852"/>
    <w:rsid w:val="00EF6152"/>
    <w:rsid w:val="00EF63DA"/>
    <w:rsid w:val="00EF68D3"/>
    <w:rsid w:val="00EF6AF7"/>
    <w:rsid w:val="00EF788A"/>
    <w:rsid w:val="00F002EC"/>
    <w:rsid w:val="00F003F2"/>
    <w:rsid w:val="00F00ACE"/>
    <w:rsid w:val="00F00F40"/>
    <w:rsid w:val="00F01473"/>
    <w:rsid w:val="00F0152A"/>
    <w:rsid w:val="00F0160E"/>
    <w:rsid w:val="00F01892"/>
    <w:rsid w:val="00F02233"/>
    <w:rsid w:val="00F0225E"/>
    <w:rsid w:val="00F03F43"/>
    <w:rsid w:val="00F04BC1"/>
    <w:rsid w:val="00F04D1D"/>
    <w:rsid w:val="00F05C64"/>
    <w:rsid w:val="00F06715"/>
    <w:rsid w:val="00F06911"/>
    <w:rsid w:val="00F06C5C"/>
    <w:rsid w:val="00F06F99"/>
    <w:rsid w:val="00F07434"/>
    <w:rsid w:val="00F07EEF"/>
    <w:rsid w:val="00F07F0C"/>
    <w:rsid w:val="00F10E5E"/>
    <w:rsid w:val="00F11D57"/>
    <w:rsid w:val="00F12E21"/>
    <w:rsid w:val="00F13AAA"/>
    <w:rsid w:val="00F145BF"/>
    <w:rsid w:val="00F156D8"/>
    <w:rsid w:val="00F16552"/>
    <w:rsid w:val="00F16AB9"/>
    <w:rsid w:val="00F179D8"/>
    <w:rsid w:val="00F20958"/>
    <w:rsid w:val="00F20C1C"/>
    <w:rsid w:val="00F20C65"/>
    <w:rsid w:val="00F212B2"/>
    <w:rsid w:val="00F21595"/>
    <w:rsid w:val="00F23060"/>
    <w:rsid w:val="00F231BF"/>
    <w:rsid w:val="00F237BD"/>
    <w:rsid w:val="00F23F1D"/>
    <w:rsid w:val="00F2427D"/>
    <w:rsid w:val="00F2487D"/>
    <w:rsid w:val="00F24DFE"/>
    <w:rsid w:val="00F24FB6"/>
    <w:rsid w:val="00F25017"/>
    <w:rsid w:val="00F255C0"/>
    <w:rsid w:val="00F25F1B"/>
    <w:rsid w:val="00F2601E"/>
    <w:rsid w:val="00F26938"/>
    <w:rsid w:val="00F27153"/>
    <w:rsid w:val="00F2745F"/>
    <w:rsid w:val="00F2788D"/>
    <w:rsid w:val="00F27EE5"/>
    <w:rsid w:val="00F27F0D"/>
    <w:rsid w:val="00F30912"/>
    <w:rsid w:val="00F30F8D"/>
    <w:rsid w:val="00F31107"/>
    <w:rsid w:val="00F31493"/>
    <w:rsid w:val="00F314C7"/>
    <w:rsid w:val="00F31D6F"/>
    <w:rsid w:val="00F3206B"/>
    <w:rsid w:val="00F32181"/>
    <w:rsid w:val="00F32532"/>
    <w:rsid w:val="00F32702"/>
    <w:rsid w:val="00F32E4C"/>
    <w:rsid w:val="00F332F9"/>
    <w:rsid w:val="00F3514F"/>
    <w:rsid w:val="00F35162"/>
    <w:rsid w:val="00F35C2F"/>
    <w:rsid w:val="00F35C97"/>
    <w:rsid w:val="00F36B89"/>
    <w:rsid w:val="00F36C83"/>
    <w:rsid w:val="00F36F93"/>
    <w:rsid w:val="00F37859"/>
    <w:rsid w:val="00F37963"/>
    <w:rsid w:val="00F37B52"/>
    <w:rsid w:val="00F40952"/>
    <w:rsid w:val="00F40D21"/>
    <w:rsid w:val="00F40DD1"/>
    <w:rsid w:val="00F410F2"/>
    <w:rsid w:val="00F41246"/>
    <w:rsid w:val="00F41BC4"/>
    <w:rsid w:val="00F41DE6"/>
    <w:rsid w:val="00F42500"/>
    <w:rsid w:val="00F432BC"/>
    <w:rsid w:val="00F434F7"/>
    <w:rsid w:val="00F43C22"/>
    <w:rsid w:val="00F43C8E"/>
    <w:rsid w:val="00F442D3"/>
    <w:rsid w:val="00F44C5E"/>
    <w:rsid w:val="00F44DE5"/>
    <w:rsid w:val="00F4550F"/>
    <w:rsid w:val="00F45F5D"/>
    <w:rsid w:val="00F46F2C"/>
    <w:rsid w:val="00F500E1"/>
    <w:rsid w:val="00F504FD"/>
    <w:rsid w:val="00F505F7"/>
    <w:rsid w:val="00F50CEE"/>
    <w:rsid w:val="00F51089"/>
    <w:rsid w:val="00F51B93"/>
    <w:rsid w:val="00F52C75"/>
    <w:rsid w:val="00F533EC"/>
    <w:rsid w:val="00F534DC"/>
    <w:rsid w:val="00F53BB5"/>
    <w:rsid w:val="00F5496E"/>
    <w:rsid w:val="00F55011"/>
    <w:rsid w:val="00F5632F"/>
    <w:rsid w:val="00F565A9"/>
    <w:rsid w:val="00F57C17"/>
    <w:rsid w:val="00F602FC"/>
    <w:rsid w:val="00F607CF"/>
    <w:rsid w:val="00F6104B"/>
    <w:rsid w:val="00F6118B"/>
    <w:rsid w:val="00F6132F"/>
    <w:rsid w:val="00F619CC"/>
    <w:rsid w:val="00F61B5F"/>
    <w:rsid w:val="00F64E47"/>
    <w:rsid w:val="00F653EA"/>
    <w:rsid w:val="00F6540E"/>
    <w:rsid w:val="00F65511"/>
    <w:rsid w:val="00F659D6"/>
    <w:rsid w:val="00F65C25"/>
    <w:rsid w:val="00F65D17"/>
    <w:rsid w:val="00F66517"/>
    <w:rsid w:val="00F66C6D"/>
    <w:rsid w:val="00F66ECD"/>
    <w:rsid w:val="00F67196"/>
    <w:rsid w:val="00F67279"/>
    <w:rsid w:val="00F67708"/>
    <w:rsid w:val="00F67CB6"/>
    <w:rsid w:val="00F67D9C"/>
    <w:rsid w:val="00F70B3A"/>
    <w:rsid w:val="00F711D5"/>
    <w:rsid w:val="00F7193F"/>
    <w:rsid w:val="00F7211B"/>
    <w:rsid w:val="00F72584"/>
    <w:rsid w:val="00F725B7"/>
    <w:rsid w:val="00F73195"/>
    <w:rsid w:val="00F74528"/>
    <w:rsid w:val="00F74C28"/>
    <w:rsid w:val="00F74D74"/>
    <w:rsid w:val="00F75BA8"/>
    <w:rsid w:val="00F7615F"/>
    <w:rsid w:val="00F761EE"/>
    <w:rsid w:val="00F763F5"/>
    <w:rsid w:val="00F77557"/>
    <w:rsid w:val="00F776C3"/>
    <w:rsid w:val="00F77C70"/>
    <w:rsid w:val="00F77D69"/>
    <w:rsid w:val="00F77EF8"/>
    <w:rsid w:val="00F81609"/>
    <w:rsid w:val="00F81BDB"/>
    <w:rsid w:val="00F81BE4"/>
    <w:rsid w:val="00F81EB1"/>
    <w:rsid w:val="00F81F5B"/>
    <w:rsid w:val="00F81FD7"/>
    <w:rsid w:val="00F8211B"/>
    <w:rsid w:val="00F825B9"/>
    <w:rsid w:val="00F82614"/>
    <w:rsid w:val="00F83040"/>
    <w:rsid w:val="00F833E1"/>
    <w:rsid w:val="00F83FB3"/>
    <w:rsid w:val="00F845B0"/>
    <w:rsid w:val="00F847C1"/>
    <w:rsid w:val="00F84D8F"/>
    <w:rsid w:val="00F84EAB"/>
    <w:rsid w:val="00F853FA"/>
    <w:rsid w:val="00F857DA"/>
    <w:rsid w:val="00F85A2E"/>
    <w:rsid w:val="00F868A7"/>
    <w:rsid w:val="00F86932"/>
    <w:rsid w:val="00F86DBF"/>
    <w:rsid w:val="00F86E55"/>
    <w:rsid w:val="00F870C5"/>
    <w:rsid w:val="00F876F2"/>
    <w:rsid w:val="00F879A6"/>
    <w:rsid w:val="00F87CC6"/>
    <w:rsid w:val="00F90AE9"/>
    <w:rsid w:val="00F92806"/>
    <w:rsid w:val="00F93200"/>
    <w:rsid w:val="00F93824"/>
    <w:rsid w:val="00F939A9"/>
    <w:rsid w:val="00F94DC8"/>
    <w:rsid w:val="00F9597B"/>
    <w:rsid w:val="00F95B79"/>
    <w:rsid w:val="00F96A88"/>
    <w:rsid w:val="00F96EE4"/>
    <w:rsid w:val="00F9789B"/>
    <w:rsid w:val="00F97D73"/>
    <w:rsid w:val="00FA02D7"/>
    <w:rsid w:val="00FA0534"/>
    <w:rsid w:val="00FA05E3"/>
    <w:rsid w:val="00FA07F3"/>
    <w:rsid w:val="00FA08C0"/>
    <w:rsid w:val="00FA0D57"/>
    <w:rsid w:val="00FA1C3A"/>
    <w:rsid w:val="00FA34F0"/>
    <w:rsid w:val="00FA4033"/>
    <w:rsid w:val="00FA4E1C"/>
    <w:rsid w:val="00FA506F"/>
    <w:rsid w:val="00FA5935"/>
    <w:rsid w:val="00FA6BA5"/>
    <w:rsid w:val="00FA7464"/>
    <w:rsid w:val="00FA7A9B"/>
    <w:rsid w:val="00FA7B10"/>
    <w:rsid w:val="00FB007D"/>
    <w:rsid w:val="00FB00A1"/>
    <w:rsid w:val="00FB02B3"/>
    <w:rsid w:val="00FB20DE"/>
    <w:rsid w:val="00FB34B8"/>
    <w:rsid w:val="00FB375B"/>
    <w:rsid w:val="00FB3F8F"/>
    <w:rsid w:val="00FB45C2"/>
    <w:rsid w:val="00FB4662"/>
    <w:rsid w:val="00FB4DBF"/>
    <w:rsid w:val="00FB56BA"/>
    <w:rsid w:val="00FB655D"/>
    <w:rsid w:val="00FB6E06"/>
    <w:rsid w:val="00FB6FFF"/>
    <w:rsid w:val="00FB7293"/>
    <w:rsid w:val="00FB7477"/>
    <w:rsid w:val="00FB7E21"/>
    <w:rsid w:val="00FC008E"/>
    <w:rsid w:val="00FC05A1"/>
    <w:rsid w:val="00FC0A9B"/>
    <w:rsid w:val="00FC1E49"/>
    <w:rsid w:val="00FC215E"/>
    <w:rsid w:val="00FC29B5"/>
    <w:rsid w:val="00FC2C4B"/>
    <w:rsid w:val="00FC305A"/>
    <w:rsid w:val="00FC30AE"/>
    <w:rsid w:val="00FC354E"/>
    <w:rsid w:val="00FC42DA"/>
    <w:rsid w:val="00FC4846"/>
    <w:rsid w:val="00FC520D"/>
    <w:rsid w:val="00FC53BF"/>
    <w:rsid w:val="00FC62E1"/>
    <w:rsid w:val="00FC6E58"/>
    <w:rsid w:val="00FD02AA"/>
    <w:rsid w:val="00FD038F"/>
    <w:rsid w:val="00FD04AB"/>
    <w:rsid w:val="00FD0E23"/>
    <w:rsid w:val="00FD1611"/>
    <w:rsid w:val="00FD1E4A"/>
    <w:rsid w:val="00FD2C27"/>
    <w:rsid w:val="00FD371C"/>
    <w:rsid w:val="00FD3D9F"/>
    <w:rsid w:val="00FD4957"/>
    <w:rsid w:val="00FD5896"/>
    <w:rsid w:val="00FD5BAE"/>
    <w:rsid w:val="00FD62B2"/>
    <w:rsid w:val="00FD6321"/>
    <w:rsid w:val="00FD6964"/>
    <w:rsid w:val="00FD6C5D"/>
    <w:rsid w:val="00FD7050"/>
    <w:rsid w:val="00FD7B32"/>
    <w:rsid w:val="00FE0B67"/>
    <w:rsid w:val="00FE138C"/>
    <w:rsid w:val="00FE13D4"/>
    <w:rsid w:val="00FE1FEF"/>
    <w:rsid w:val="00FE2114"/>
    <w:rsid w:val="00FE2D41"/>
    <w:rsid w:val="00FE30B4"/>
    <w:rsid w:val="00FE36B1"/>
    <w:rsid w:val="00FE3C68"/>
    <w:rsid w:val="00FE3EF2"/>
    <w:rsid w:val="00FE4285"/>
    <w:rsid w:val="00FE4E38"/>
    <w:rsid w:val="00FE67AF"/>
    <w:rsid w:val="00FE69B1"/>
    <w:rsid w:val="00FE6EDB"/>
    <w:rsid w:val="00FF00F3"/>
    <w:rsid w:val="00FF0144"/>
    <w:rsid w:val="00FF03AC"/>
    <w:rsid w:val="00FF05E4"/>
    <w:rsid w:val="00FF0AED"/>
    <w:rsid w:val="00FF107A"/>
    <w:rsid w:val="00FF1A48"/>
    <w:rsid w:val="00FF1DE0"/>
    <w:rsid w:val="00FF28BA"/>
    <w:rsid w:val="00FF4527"/>
    <w:rsid w:val="00FF494D"/>
    <w:rsid w:val="00FF4C36"/>
    <w:rsid w:val="00FF4EAC"/>
    <w:rsid w:val="00FF574B"/>
    <w:rsid w:val="00FF70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34740"/>
    <w:pPr>
      <w:tabs>
        <w:tab w:val="center" w:pos="4513"/>
        <w:tab w:val="right" w:pos="9026"/>
      </w:tabs>
    </w:pPr>
  </w:style>
  <w:style w:type="character" w:customStyle="1" w:styleId="HeaderChar">
    <w:name w:val="Header Char"/>
    <w:basedOn w:val="DefaultParagraphFont"/>
    <w:link w:val="Header"/>
    <w:rsid w:val="00634740"/>
    <w:rPr>
      <w:sz w:val="24"/>
      <w:szCs w:val="24"/>
    </w:rPr>
  </w:style>
  <w:style w:type="paragraph" w:styleId="Footer">
    <w:name w:val="footer"/>
    <w:basedOn w:val="Normal"/>
    <w:link w:val="FooterChar"/>
    <w:rsid w:val="00634740"/>
    <w:pPr>
      <w:tabs>
        <w:tab w:val="center" w:pos="4513"/>
        <w:tab w:val="right" w:pos="9026"/>
      </w:tabs>
    </w:pPr>
  </w:style>
  <w:style w:type="character" w:customStyle="1" w:styleId="FooterChar">
    <w:name w:val="Footer Char"/>
    <w:basedOn w:val="DefaultParagraphFont"/>
    <w:link w:val="Footer"/>
    <w:rsid w:val="00634740"/>
    <w:rPr>
      <w:sz w:val="24"/>
      <w:szCs w:val="24"/>
    </w:rPr>
  </w:style>
  <w:style w:type="paragraph" w:styleId="BalloonText">
    <w:name w:val="Balloon Text"/>
    <w:basedOn w:val="Normal"/>
    <w:link w:val="BalloonTextChar"/>
    <w:rsid w:val="00634740"/>
    <w:rPr>
      <w:rFonts w:ascii="Tahoma" w:hAnsi="Tahoma" w:cs="Tahoma"/>
      <w:sz w:val="16"/>
      <w:szCs w:val="16"/>
    </w:rPr>
  </w:style>
  <w:style w:type="character" w:customStyle="1" w:styleId="BalloonTextChar">
    <w:name w:val="Balloon Text Char"/>
    <w:basedOn w:val="DefaultParagraphFont"/>
    <w:link w:val="BalloonText"/>
    <w:rsid w:val="00634740"/>
    <w:rPr>
      <w:rFonts w:ascii="Tahoma" w:hAnsi="Tahoma" w:cs="Tahoma"/>
      <w:sz w:val="16"/>
      <w:szCs w:val="16"/>
    </w:rPr>
  </w:style>
  <w:style w:type="paragraph" w:styleId="ListParagraph">
    <w:name w:val="List Paragraph"/>
    <w:basedOn w:val="Normal"/>
    <w:uiPriority w:val="34"/>
    <w:qFormat/>
    <w:rsid w:val="000076C3"/>
    <w:pPr>
      <w:ind w:left="720"/>
      <w:contextualSpacing/>
    </w:pPr>
  </w:style>
  <w:style w:type="table" w:styleId="TableGrid">
    <w:name w:val="Table Grid"/>
    <w:basedOn w:val="TableNormal"/>
    <w:rsid w:val="00772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FE4E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494F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D04A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984A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4551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4551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3D05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9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rsid w:val="009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9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9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5A2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5A2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rsid w:val="005A2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5A2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2449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C36D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6165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382E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34740"/>
    <w:pPr>
      <w:tabs>
        <w:tab w:val="center" w:pos="4513"/>
        <w:tab w:val="right" w:pos="9026"/>
      </w:tabs>
    </w:pPr>
  </w:style>
  <w:style w:type="character" w:customStyle="1" w:styleId="HeaderChar">
    <w:name w:val="Header Char"/>
    <w:basedOn w:val="DefaultParagraphFont"/>
    <w:link w:val="Header"/>
    <w:rsid w:val="00634740"/>
    <w:rPr>
      <w:sz w:val="24"/>
      <w:szCs w:val="24"/>
    </w:rPr>
  </w:style>
  <w:style w:type="paragraph" w:styleId="Footer">
    <w:name w:val="footer"/>
    <w:basedOn w:val="Normal"/>
    <w:link w:val="FooterChar"/>
    <w:rsid w:val="00634740"/>
    <w:pPr>
      <w:tabs>
        <w:tab w:val="center" w:pos="4513"/>
        <w:tab w:val="right" w:pos="9026"/>
      </w:tabs>
    </w:pPr>
  </w:style>
  <w:style w:type="character" w:customStyle="1" w:styleId="FooterChar">
    <w:name w:val="Footer Char"/>
    <w:basedOn w:val="DefaultParagraphFont"/>
    <w:link w:val="Footer"/>
    <w:rsid w:val="00634740"/>
    <w:rPr>
      <w:sz w:val="24"/>
      <w:szCs w:val="24"/>
    </w:rPr>
  </w:style>
  <w:style w:type="paragraph" w:styleId="BalloonText">
    <w:name w:val="Balloon Text"/>
    <w:basedOn w:val="Normal"/>
    <w:link w:val="BalloonTextChar"/>
    <w:rsid w:val="00634740"/>
    <w:rPr>
      <w:rFonts w:ascii="Tahoma" w:hAnsi="Tahoma" w:cs="Tahoma"/>
      <w:sz w:val="16"/>
      <w:szCs w:val="16"/>
    </w:rPr>
  </w:style>
  <w:style w:type="character" w:customStyle="1" w:styleId="BalloonTextChar">
    <w:name w:val="Balloon Text Char"/>
    <w:basedOn w:val="DefaultParagraphFont"/>
    <w:link w:val="BalloonText"/>
    <w:rsid w:val="00634740"/>
    <w:rPr>
      <w:rFonts w:ascii="Tahoma" w:hAnsi="Tahoma" w:cs="Tahoma"/>
      <w:sz w:val="16"/>
      <w:szCs w:val="16"/>
    </w:rPr>
  </w:style>
  <w:style w:type="paragraph" w:styleId="ListParagraph">
    <w:name w:val="List Paragraph"/>
    <w:basedOn w:val="Normal"/>
    <w:uiPriority w:val="34"/>
    <w:qFormat/>
    <w:rsid w:val="000076C3"/>
    <w:pPr>
      <w:ind w:left="720"/>
      <w:contextualSpacing/>
    </w:pPr>
  </w:style>
  <w:style w:type="table" w:styleId="TableGrid">
    <w:name w:val="Table Grid"/>
    <w:basedOn w:val="TableNormal"/>
    <w:rsid w:val="00772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FE4E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494F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rsid w:val="00D04A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984A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4551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4551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3D05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9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9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rsid w:val="009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9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9054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rsid w:val="005A2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rsid w:val="005A2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rsid w:val="005A2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5A29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2449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C36D7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rsid w:val="006165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382E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4071">
      <w:bodyDiv w:val="1"/>
      <w:marLeft w:val="0"/>
      <w:marRight w:val="0"/>
      <w:marTop w:val="0"/>
      <w:marBottom w:val="0"/>
      <w:divBdr>
        <w:top w:val="none" w:sz="0" w:space="0" w:color="auto"/>
        <w:left w:val="none" w:sz="0" w:space="0" w:color="auto"/>
        <w:bottom w:val="none" w:sz="0" w:space="0" w:color="auto"/>
        <w:right w:val="none" w:sz="0" w:space="0" w:color="auto"/>
      </w:divBdr>
    </w:div>
    <w:div w:id="53240083">
      <w:bodyDiv w:val="1"/>
      <w:marLeft w:val="0"/>
      <w:marRight w:val="0"/>
      <w:marTop w:val="0"/>
      <w:marBottom w:val="0"/>
      <w:divBdr>
        <w:top w:val="none" w:sz="0" w:space="0" w:color="auto"/>
        <w:left w:val="none" w:sz="0" w:space="0" w:color="auto"/>
        <w:bottom w:val="none" w:sz="0" w:space="0" w:color="auto"/>
        <w:right w:val="none" w:sz="0" w:space="0" w:color="auto"/>
      </w:divBdr>
    </w:div>
    <w:div w:id="82460744">
      <w:bodyDiv w:val="1"/>
      <w:marLeft w:val="0"/>
      <w:marRight w:val="0"/>
      <w:marTop w:val="0"/>
      <w:marBottom w:val="0"/>
      <w:divBdr>
        <w:top w:val="none" w:sz="0" w:space="0" w:color="auto"/>
        <w:left w:val="none" w:sz="0" w:space="0" w:color="auto"/>
        <w:bottom w:val="none" w:sz="0" w:space="0" w:color="auto"/>
        <w:right w:val="none" w:sz="0" w:space="0" w:color="auto"/>
      </w:divBdr>
    </w:div>
    <w:div w:id="90243812">
      <w:bodyDiv w:val="1"/>
      <w:marLeft w:val="0"/>
      <w:marRight w:val="0"/>
      <w:marTop w:val="0"/>
      <w:marBottom w:val="0"/>
      <w:divBdr>
        <w:top w:val="none" w:sz="0" w:space="0" w:color="auto"/>
        <w:left w:val="none" w:sz="0" w:space="0" w:color="auto"/>
        <w:bottom w:val="none" w:sz="0" w:space="0" w:color="auto"/>
        <w:right w:val="none" w:sz="0" w:space="0" w:color="auto"/>
      </w:divBdr>
    </w:div>
    <w:div w:id="215312506">
      <w:bodyDiv w:val="1"/>
      <w:marLeft w:val="0"/>
      <w:marRight w:val="0"/>
      <w:marTop w:val="0"/>
      <w:marBottom w:val="0"/>
      <w:divBdr>
        <w:top w:val="none" w:sz="0" w:space="0" w:color="auto"/>
        <w:left w:val="none" w:sz="0" w:space="0" w:color="auto"/>
        <w:bottom w:val="none" w:sz="0" w:space="0" w:color="auto"/>
        <w:right w:val="none" w:sz="0" w:space="0" w:color="auto"/>
      </w:divBdr>
    </w:div>
    <w:div w:id="283312516">
      <w:bodyDiv w:val="1"/>
      <w:marLeft w:val="0"/>
      <w:marRight w:val="0"/>
      <w:marTop w:val="0"/>
      <w:marBottom w:val="0"/>
      <w:divBdr>
        <w:top w:val="none" w:sz="0" w:space="0" w:color="auto"/>
        <w:left w:val="none" w:sz="0" w:space="0" w:color="auto"/>
        <w:bottom w:val="none" w:sz="0" w:space="0" w:color="auto"/>
        <w:right w:val="none" w:sz="0" w:space="0" w:color="auto"/>
      </w:divBdr>
    </w:div>
    <w:div w:id="398796178">
      <w:bodyDiv w:val="1"/>
      <w:marLeft w:val="0"/>
      <w:marRight w:val="0"/>
      <w:marTop w:val="0"/>
      <w:marBottom w:val="0"/>
      <w:divBdr>
        <w:top w:val="none" w:sz="0" w:space="0" w:color="auto"/>
        <w:left w:val="none" w:sz="0" w:space="0" w:color="auto"/>
        <w:bottom w:val="none" w:sz="0" w:space="0" w:color="auto"/>
        <w:right w:val="none" w:sz="0" w:space="0" w:color="auto"/>
      </w:divBdr>
    </w:div>
    <w:div w:id="400173612">
      <w:bodyDiv w:val="1"/>
      <w:marLeft w:val="0"/>
      <w:marRight w:val="0"/>
      <w:marTop w:val="0"/>
      <w:marBottom w:val="0"/>
      <w:divBdr>
        <w:top w:val="none" w:sz="0" w:space="0" w:color="auto"/>
        <w:left w:val="none" w:sz="0" w:space="0" w:color="auto"/>
        <w:bottom w:val="none" w:sz="0" w:space="0" w:color="auto"/>
        <w:right w:val="none" w:sz="0" w:space="0" w:color="auto"/>
      </w:divBdr>
    </w:div>
    <w:div w:id="405306115">
      <w:bodyDiv w:val="1"/>
      <w:marLeft w:val="0"/>
      <w:marRight w:val="0"/>
      <w:marTop w:val="0"/>
      <w:marBottom w:val="0"/>
      <w:divBdr>
        <w:top w:val="none" w:sz="0" w:space="0" w:color="auto"/>
        <w:left w:val="none" w:sz="0" w:space="0" w:color="auto"/>
        <w:bottom w:val="none" w:sz="0" w:space="0" w:color="auto"/>
        <w:right w:val="none" w:sz="0" w:space="0" w:color="auto"/>
      </w:divBdr>
    </w:div>
    <w:div w:id="449473605">
      <w:bodyDiv w:val="1"/>
      <w:marLeft w:val="0"/>
      <w:marRight w:val="0"/>
      <w:marTop w:val="0"/>
      <w:marBottom w:val="0"/>
      <w:divBdr>
        <w:top w:val="none" w:sz="0" w:space="0" w:color="auto"/>
        <w:left w:val="none" w:sz="0" w:space="0" w:color="auto"/>
        <w:bottom w:val="none" w:sz="0" w:space="0" w:color="auto"/>
        <w:right w:val="none" w:sz="0" w:space="0" w:color="auto"/>
      </w:divBdr>
    </w:div>
    <w:div w:id="452603455">
      <w:bodyDiv w:val="1"/>
      <w:marLeft w:val="0"/>
      <w:marRight w:val="0"/>
      <w:marTop w:val="0"/>
      <w:marBottom w:val="0"/>
      <w:divBdr>
        <w:top w:val="none" w:sz="0" w:space="0" w:color="auto"/>
        <w:left w:val="none" w:sz="0" w:space="0" w:color="auto"/>
        <w:bottom w:val="none" w:sz="0" w:space="0" w:color="auto"/>
        <w:right w:val="none" w:sz="0" w:space="0" w:color="auto"/>
      </w:divBdr>
    </w:div>
    <w:div w:id="484128326">
      <w:bodyDiv w:val="1"/>
      <w:marLeft w:val="0"/>
      <w:marRight w:val="0"/>
      <w:marTop w:val="0"/>
      <w:marBottom w:val="0"/>
      <w:divBdr>
        <w:top w:val="none" w:sz="0" w:space="0" w:color="auto"/>
        <w:left w:val="none" w:sz="0" w:space="0" w:color="auto"/>
        <w:bottom w:val="none" w:sz="0" w:space="0" w:color="auto"/>
        <w:right w:val="none" w:sz="0" w:space="0" w:color="auto"/>
      </w:divBdr>
    </w:div>
    <w:div w:id="493304781">
      <w:bodyDiv w:val="1"/>
      <w:marLeft w:val="0"/>
      <w:marRight w:val="0"/>
      <w:marTop w:val="0"/>
      <w:marBottom w:val="0"/>
      <w:divBdr>
        <w:top w:val="none" w:sz="0" w:space="0" w:color="auto"/>
        <w:left w:val="none" w:sz="0" w:space="0" w:color="auto"/>
        <w:bottom w:val="none" w:sz="0" w:space="0" w:color="auto"/>
        <w:right w:val="none" w:sz="0" w:space="0" w:color="auto"/>
      </w:divBdr>
    </w:div>
    <w:div w:id="496653277">
      <w:bodyDiv w:val="1"/>
      <w:marLeft w:val="0"/>
      <w:marRight w:val="0"/>
      <w:marTop w:val="0"/>
      <w:marBottom w:val="0"/>
      <w:divBdr>
        <w:top w:val="none" w:sz="0" w:space="0" w:color="auto"/>
        <w:left w:val="none" w:sz="0" w:space="0" w:color="auto"/>
        <w:bottom w:val="none" w:sz="0" w:space="0" w:color="auto"/>
        <w:right w:val="none" w:sz="0" w:space="0" w:color="auto"/>
      </w:divBdr>
    </w:div>
    <w:div w:id="514810537">
      <w:bodyDiv w:val="1"/>
      <w:marLeft w:val="0"/>
      <w:marRight w:val="0"/>
      <w:marTop w:val="0"/>
      <w:marBottom w:val="0"/>
      <w:divBdr>
        <w:top w:val="none" w:sz="0" w:space="0" w:color="auto"/>
        <w:left w:val="none" w:sz="0" w:space="0" w:color="auto"/>
        <w:bottom w:val="none" w:sz="0" w:space="0" w:color="auto"/>
        <w:right w:val="none" w:sz="0" w:space="0" w:color="auto"/>
      </w:divBdr>
    </w:div>
    <w:div w:id="520826525">
      <w:bodyDiv w:val="1"/>
      <w:marLeft w:val="0"/>
      <w:marRight w:val="0"/>
      <w:marTop w:val="0"/>
      <w:marBottom w:val="0"/>
      <w:divBdr>
        <w:top w:val="none" w:sz="0" w:space="0" w:color="auto"/>
        <w:left w:val="none" w:sz="0" w:space="0" w:color="auto"/>
        <w:bottom w:val="none" w:sz="0" w:space="0" w:color="auto"/>
        <w:right w:val="none" w:sz="0" w:space="0" w:color="auto"/>
      </w:divBdr>
    </w:div>
    <w:div w:id="541870497">
      <w:bodyDiv w:val="1"/>
      <w:marLeft w:val="0"/>
      <w:marRight w:val="0"/>
      <w:marTop w:val="0"/>
      <w:marBottom w:val="0"/>
      <w:divBdr>
        <w:top w:val="none" w:sz="0" w:space="0" w:color="auto"/>
        <w:left w:val="none" w:sz="0" w:space="0" w:color="auto"/>
        <w:bottom w:val="none" w:sz="0" w:space="0" w:color="auto"/>
        <w:right w:val="none" w:sz="0" w:space="0" w:color="auto"/>
      </w:divBdr>
    </w:div>
    <w:div w:id="560867116">
      <w:bodyDiv w:val="1"/>
      <w:marLeft w:val="0"/>
      <w:marRight w:val="0"/>
      <w:marTop w:val="0"/>
      <w:marBottom w:val="0"/>
      <w:divBdr>
        <w:top w:val="none" w:sz="0" w:space="0" w:color="auto"/>
        <w:left w:val="none" w:sz="0" w:space="0" w:color="auto"/>
        <w:bottom w:val="none" w:sz="0" w:space="0" w:color="auto"/>
        <w:right w:val="none" w:sz="0" w:space="0" w:color="auto"/>
      </w:divBdr>
    </w:div>
    <w:div w:id="626932345">
      <w:bodyDiv w:val="1"/>
      <w:marLeft w:val="0"/>
      <w:marRight w:val="0"/>
      <w:marTop w:val="0"/>
      <w:marBottom w:val="0"/>
      <w:divBdr>
        <w:top w:val="none" w:sz="0" w:space="0" w:color="auto"/>
        <w:left w:val="none" w:sz="0" w:space="0" w:color="auto"/>
        <w:bottom w:val="none" w:sz="0" w:space="0" w:color="auto"/>
        <w:right w:val="none" w:sz="0" w:space="0" w:color="auto"/>
      </w:divBdr>
    </w:div>
    <w:div w:id="642855819">
      <w:bodyDiv w:val="1"/>
      <w:marLeft w:val="0"/>
      <w:marRight w:val="0"/>
      <w:marTop w:val="0"/>
      <w:marBottom w:val="0"/>
      <w:divBdr>
        <w:top w:val="none" w:sz="0" w:space="0" w:color="auto"/>
        <w:left w:val="none" w:sz="0" w:space="0" w:color="auto"/>
        <w:bottom w:val="none" w:sz="0" w:space="0" w:color="auto"/>
        <w:right w:val="none" w:sz="0" w:space="0" w:color="auto"/>
      </w:divBdr>
    </w:div>
    <w:div w:id="723869512">
      <w:bodyDiv w:val="1"/>
      <w:marLeft w:val="0"/>
      <w:marRight w:val="0"/>
      <w:marTop w:val="0"/>
      <w:marBottom w:val="0"/>
      <w:divBdr>
        <w:top w:val="none" w:sz="0" w:space="0" w:color="auto"/>
        <w:left w:val="none" w:sz="0" w:space="0" w:color="auto"/>
        <w:bottom w:val="none" w:sz="0" w:space="0" w:color="auto"/>
        <w:right w:val="none" w:sz="0" w:space="0" w:color="auto"/>
      </w:divBdr>
    </w:div>
    <w:div w:id="809901487">
      <w:bodyDiv w:val="1"/>
      <w:marLeft w:val="0"/>
      <w:marRight w:val="0"/>
      <w:marTop w:val="0"/>
      <w:marBottom w:val="0"/>
      <w:divBdr>
        <w:top w:val="none" w:sz="0" w:space="0" w:color="auto"/>
        <w:left w:val="none" w:sz="0" w:space="0" w:color="auto"/>
        <w:bottom w:val="none" w:sz="0" w:space="0" w:color="auto"/>
        <w:right w:val="none" w:sz="0" w:space="0" w:color="auto"/>
      </w:divBdr>
    </w:div>
    <w:div w:id="835145505">
      <w:bodyDiv w:val="1"/>
      <w:marLeft w:val="0"/>
      <w:marRight w:val="0"/>
      <w:marTop w:val="0"/>
      <w:marBottom w:val="0"/>
      <w:divBdr>
        <w:top w:val="none" w:sz="0" w:space="0" w:color="auto"/>
        <w:left w:val="none" w:sz="0" w:space="0" w:color="auto"/>
        <w:bottom w:val="none" w:sz="0" w:space="0" w:color="auto"/>
        <w:right w:val="none" w:sz="0" w:space="0" w:color="auto"/>
      </w:divBdr>
    </w:div>
    <w:div w:id="906958154">
      <w:bodyDiv w:val="1"/>
      <w:marLeft w:val="0"/>
      <w:marRight w:val="0"/>
      <w:marTop w:val="0"/>
      <w:marBottom w:val="0"/>
      <w:divBdr>
        <w:top w:val="none" w:sz="0" w:space="0" w:color="auto"/>
        <w:left w:val="none" w:sz="0" w:space="0" w:color="auto"/>
        <w:bottom w:val="none" w:sz="0" w:space="0" w:color="auto"/>
        <w:right w:val="none" w:sz="0" w:space="0" w:color="auto"/>
      </w:divBdr>
    </w:div>
    <w:div w:id="957028634">
      <w:bodyDiv w:val="1"/>
      <w:marLeft w:val="0"/>
      <w:marRight w:val="0"/>
      <w:marTop w:val="0"/>
      <w:marBottom w:val="0"/>
      <w:divBdr>
        <w:top w:val="none" w:sz="0" w:space="0" w:color="auto"/>
        <w:left w:val="none" w:sz="0" w:space="0" w:color="auto"/>
        <w:bottom w:val="none" w:sz="0" w:space="0" w:color="auto"/>
        <w:right w:val="none" w:sz="0" w:space="0" w:color="auto"/>
      </w:divBdr>
    </w:div>
    <w:div w:id="1064909705">
      <w:bodyDiv w:val="1"/>
      <w:marLeft w:val="0"/>
      <w:marRight w:val="0"/>
      <w:marTop w:val="0"/>
      <w:marBottom w:val="0"/>
      <w:divBdr>
        <w:top w:val="none" w:sz="0" w:space="0" w:color="auto"/>
        <w:left w:val="none" w:sz="0" w:space="0" w:color="auto"/>
        <w:bottom w:val="none" w:sz="0" w:space="0" w:color="auto"/>
        <w:right w:val="none" w:sz="0" w:space="0" w:color="auto"/>
      </w:divBdr>
    </w:div>
    <w:div w:id="1084300747">
      <w:bodyDiv w:val="1"/>
      <w:marLeft w:val="0"/>
      <w:marRight w:val="0"/>
      <w:marTop w:val="0"/>
      <w:marBottom w:val="0"/>
      <w:divBdr>
        <w:top w:val="none" w:sz="0" w:space="0" w:color="auto"/>
        <w:left w:val="none" w:sz="0" w:space="0" w:color="auto"/>
        <w:bottom w:val="none" w:sz="0" w:space="0" w:color="auto"/>
        <w:right w:val="none" w:sz="0" w:space="0" w:color="auto"/>
      </w:divBdr>
    </w:div>
    <w:div w:id="1105885101">
      <w:bodyDiv w:val="1"/>
      <w:marLeft w:val="0"/>
      <w:marRight w:val="0"/>
      <w:marTop w:val="0"/>
      <w:marBottom w:val="0"/>
      <w:divBdr>
        <w:top w:val="none" w:sz="0" w:space="0" w:color="auto"/>
        <w:left w:val="none" w:sz="0" w:space="0" w:color="auto"/>
        <w:bottom w:val="none" w:sz="0" w:space="0" w:color="auto"/>
        <w:right w:val="none" w:sz="0" w:space="0" w:color="auto"/>
      </w:divBdr>
    </w:div>
    <w:div w:id="1134561785">
      <w:bodyDiv w:val="1"/>
      <w:marLeft w:val="0"/>
      <w:marRight w:val="0"/>
      <w:marTop w:val="0"/>
      <w:marBottom w:val="0"/>
      <w:divBdr>
        <w:top w:val="none" w:sz="0" w:space="0" w:color="auto"/>
        <w:left w:val="none" w:sz="0" w:space="0" w:color="auto"/>
        <w:bottom w:val="none" w:sz="0" w:space="0" w:color="auto"/>
        <w:right w:val="none" w:sz="0" w:space="0" w:color="auto"/>
      </w:divBdr>
    </w:div>
    <w:div w:id="1145053282">
      <w:bodyDiv w:val="1"/>
      <w:marLeft w:val="0"/>
      <w:marRight w:val="0"/>
      <w:marTop w:val="0"/>
      <w:marBottom w:val="0"/>
      <w:divBdr>
        <w:top w:val="none" w:sz="0" w:space="0" w:color="auto"/>
        <w:left w:val="none" w:sz="0" w:space="0" w:color="auto"/>
        <w:bottom w:val="none" w:sz="0" w:space="0" w:color="auto"/>
        <w:right w:val="none" w:sz="0" w:space="0" w:color="auto"/>
      </w:divBdr>
    </w:div>
    <w:div w:id="1300526912">
      <w:bodyDiv w:val="1"/>
      <w:marLeft w:val="0"/>
      <w:marRight w:val="0"/>
      <w:marTop w:val="0"/>
      <w:marBottom w:val="0"/>
      <w:divBdr>
        <w:top w:val="none" w:sz="0" w:space="0" w:color="auto"/>
        <w:left w:val="none" w:sz="0" w:space="0" w:color="auto"/>
        <w:bottom w:val="none" w:sz="0" w:space="0" w:color="auto"/>
        <w:right w:val="none" w:sz="0" w:space="0" w:color="auto"/>
      </w:divBdr>
    </w:div>
    <w:div w:id="1360425334">
      <w:bodyDiv w:val="1"/>
      <w:marLeft w:val="0"/>
      <w:marRight w:val="0"/>
      <w:marTop w:val="0"/>
      <w:marBottom w:val="0"/>
      <w:divBdr>
        <w:top w:val="none" w:sz="0" w:space="0" w:color="auto"/>
        <w:left w:val="none" w:sz="0" w:space="0" w:color="auto"/>
        <w:bottom w:val="none" w:sz="0" w:space="0" w:color="auto"/>
        <w:right w:val="none" w:sz="0" w:space="0" w:color="auto"/>
      </w:divBdr>
    </w:div>
    <w:div w:id="1422797217">
      <w:bodyDiv w:val="1"/>
      <w:marLeft w:val="0"/>
      <w:marRight w:val="0"/>
      <w:marTop w:val="0"/>
      <w:marBottom w:val="0"/>
      <w:divBdr>
        <w:top w:val="none" w:sz="0" w:space="0" w:color="auto"/>
        <w:left w:val="none" w:sz="0" w:space="0" w:color="auto"/>
        <w:bottom w:val="none" w:sz="0" w:space="0" w:color="auto"/>
        <w:right w:val="none" w:sz="0" w:space="0" w:color="auto"/>
      </w:divBdr>
    </w:div>
    <w:div w:id="1457749343">
      <w:bodyDiv w:val="1"/>
      <w:marLeft w:val="0"/>
      <w:marRight w:val="0"/>
      <w:marTop w:val="0"/>
      <w:marBottom w:val="0"/>
      <w:divBdr>
        <w:top w:val="none" w:sz="0" w:space="0" w:color="auto"/>
        <w:left w:val="none" w:sz="0" w:space="0" w:color="auto"/>
        <w:bottom w:val="none" w:sz="0" w:space="0" w:color="auto"/>
        <w:right w:val="none" w:sz="0" w:space="0" w:color="auto"/>
      </w:divBdr>
    </w:div>
    <w:div w:id="1478496133">
      <w:bodyDiv w:val="1"/>
      <w:marLeft w:val="0"/>
      <w:marRight w:val="0"/>
      <w:marTop w:val="0"/>
      <w:marBottom w:val="0"/>
      <w:divBdr>
        <w:top w:val="none" w:sz="0" w:space="0" w:color="auto"/>
        <w:left w:val="none" w:sz="0" w:space="0" w:color="auto"/>
        <w:bottom w:val="none" w:sz="0" w:space="0" w:color="auto"/>
        <w:right w:val="none" w:sz="0" w:space="0" w:color="auto"/>
      </w:divBdr>
    </w:div>
    <w:div w:id="1482040970">
      <w:bodyDiv w:val="1"/>
      <w:marLeft w:val="0"/>
      <w:marRight w:val="0"/>
      <w:marTop w:val="0"/>
      <w:marBottom w:val="0"/>
      <w:divBdr>
        <w:top w:val="none" w:sz="0" w:space="0" w:color="auto"/>
        <w:left w:val="none" w:sz="0" w:space="0" w:color="auto"/>
        <w:bottom w:val="none" w:sz="0" w:space="0" w:color="auto"/>
        <w:right w:val="none" w:sz="0" w:space="0" w:color="auto"/>
      </w:divBdr>
    </w:div>
    <w:div w:id="1483741134">
      <w:bodyDiv w:val="1"/>
      <w:marLeft w:val="0"/>
      <w:marRight w:val="0"/>
      <w:marTop w:val="0"/>
      <w:marBottom w:val="0"/>
      <w:divBdr>
        <w:top w:val="none" w:sz="0" w:space="0" w:color="auto"/>
        <w:left w:val="none" w:sz="0" w:space="0" w:color="auto"/>
        <w:bottom w:val="none" w:sz="0" w:space="0" w:color="auto"/>
        <w:right w:val="none" w:sz="0" w:space="0" w:color="auto"/>
      </w:divBdr>
    </w:div>
    <w:div w:id="1504078737">
      <w:bodyDiv w:val="1"/>
      <w:marLeft w:val="0"/>
      <w:marRight w:val="0"/>
      <w:marTop w:val="0"/>
      <w:marBottom w:val="0"/>
      <w:divBdr>
        <w:top w:val="none" w:sz="0" w:space="0" w:color="auto"/>
        <w:left w:val="none" w:sz="0" w:space="0" w:color="auto"/>
        <w:bottom w:val="none" w:sz="0" w:space="0" w:color="auto"/>
        <w:right w:val="none" w:sz="0" w:space="0" w:color="auto"/>
      </w:divBdr>
    </w:div>
    <w:div w:id="1529753564">
      <w:bodyDiv w:val="1"/>
      <w:marLeft w:val="0"/>
      <w:marRight w:val="0"/>
      <w:marTop w:val="0"/>
      <w:marBottom w:val="0"/>
      <w:divBdr>
        <w:top w:val="none" w:sz="0" w:space="0" w:color="auto"/>
        <w:left w:val="none" w:sz="0" w:space="0" w:color="auto"/>
        <w:bottom w:val="none" w:sz="0" w:space="0" w:color="auto"/>
        <w:right w:val="none" w:sz="0" w:space="0" w:color="auto"/>
      </w:divBdr>
    </w:div>
    <w:div w:id="1533804635">
      <w:bodyDiv w:val="1"/>
      <w:marLeft w:val="0"/>
      <w:marRight w:val="0"/>
      <w:marTop w:val="0"/>
      <w:marBottom w:val="0"/>
      <w:divBdr>
        <w:top w:val="none" w:sz="0" w:space="0" w:color="auto"/>
        <w:left w:val="none" w:sz="0" w:space="0" w:color="auto"/>
        <w:bottom w:val="none" w:sz="0" w:space="0" w:color="auto"/>
        <w:right w:val="none" w:sz="0" w:space="0" w:color="auto"/>
      </w:divBdr>
    </w:div>
    <w:div w:id="1582173805">
      <w:bodyDiv w:val="1"/>
      <w:marLeft w:val="0"/>
      <w:marRight w:val="0"/>
      <w:marTop w:val="0"/>
      <w:marBottom w:val="0"/>
      <w:divBdr>
        <w:top w:val="none" w:sz="0" w:space="0" w:color="auto"/>
        <w:left w:val="none" w:sz="0" w:space="0" w:color="auto"/>
        <w:bottom w:val="none" w:sz="0" w:space="0" w:color="auto"/>
        <w:right w:val="none" w:sz="0" w:space="0" w:color="auto"/>
      </w:divBdr>
    </w:div>
    <w:div w:id="1675573403">
      <w:bodyDiv w:val="1"/>
      <w:marLeft w:val="0"/>
      <w:marRight w:val="0"/>
      <w:marTop w:val="0"/>
      <w:marBottom w:val="0"/>
      <w:divBdr>
        <w:top w:val="none" w:sz="0" w:space="0" w:color="auto"/>
        <w:left w:val="none" w:sz="0" w:space="0" w:color="auto"/>
        <w:bottom w:val="none" w:sz="0" w:space="0" w:color="auto"/>
        <w:right w:val="none" w:sz="0" w:space="0" w:color="auto"/>
      </w:divBdr>
    </w:div>
    <w:div w:id="1688867188">
      <w:bodyDiv w:val="1"/>
      <w:marLeft w:val="0"/>
      <w:marRight w:val="0"/>
      <w:marTop w:val="0"/>
      <w:marBottom w:val="0"/>
      <w:divBdr>
        <w:top w:val="none" w:sz="0" w:space="0" w:color="auto"/>
        <w:left w:val="none" w:sz="0" w:space="0" w:color="auto"/>
        <w:bottom w:val="none" w:sz="0" w:space="0" w:color="auto"/>
        <w:right w:val="none" w:sz="0" w:space="0" w:color="auto"/>
      </w:divBdr>
    </w:div>
    <w:div w:id="1768959549">
      <w:bodyDiv w:val="1"/>
      <w:marLeft w:val="0"/>
      <w:marRight w:val="0"/>
      <w:marTop w:val="0"/>
      <w:marBottom w:val="0"/>
      <w:divBdr>
        <w:top w:val="none" w:sz="0" w:space="0" w:color="auto"/>
        <w:left w:val="none" w:sz="0" w:space="0" w:color="auto"/>
        <w:bottom w:val="none" w:sz="0" w:space="0" w:color="auto"/>
        <w:right w:val="none" w:sz="0" w:space="0" w:color="auto"/>
      </w:divBdr>
    </w:div>
    <w:div w:id="1777753769">
      <w:bodyDiv w:val="1"/>
      <w:marLeft w:val="0"/>
      <w:marRight w:val="0"/>
      <w:marTop w:val="0"/>
      <w:marBottom w:val="0"/>
      <w:divBdr>
        <w:top w:val="none" w:sz="0" w:space="0" w:color="auto"/>
        <w:left w:val="none" w:sz="0" w:space="0" w:color="auto"/>
        <w:bottom w:val="none" w:sz="0" w:space="0" w:color="auto"/>
        <w:right w:val="none" w:sz="0" w:space="0" w:color="auto"/>
      </w:divBdr>
    </w:div>
    <w:div w:id="1852178943">
      <w:bodyDiv w:val="1"/>
      <w:marLeft w:val="0"/>
      <w:marRight w:val="0"/>
      <w:marTop w:val="0"/>
      <w:marBottom w:val="0"/>
      <w:divBdr>
        <w:top w:val="none" w:sz="0" w:space="0" w:color="auto"/>
        <w:left w:val="none" w:sz="0" w:space="0" w:color="auto"/>
        <w:bottom w:val="none" w:sz="0" w:space="0" w:color="auto"/>
        <w:right w:val="none" w:sz="0" w:space="0" w:color="auto"/>
      </w:divBdr>
    </w:div>
    <w:div w:id="1868714910">
      <w:bodyDiv w:val="1"/>
      <w:marLeft w:val="0"/>
      <w:marRight w:val="0"/>
      <w:marTop w:val="0"/>
      <w:marBottom w:val="0"/>
      <w:divBdr>
        <w:top w:val="none" w:sz="0" w:space="0" w:color="auto"/>
        <w:left w:val="none" w:sz="0" w:space="0" w:color="auto"/>
        <w:bottom w:val="none" w:sz="0" w:space="0" w:color="auto"/>
        <w:right w:val="none" w:sz="0" w:space="0" w:color="auto"/>
      </w:divBdr>
    </w:div>
    <w:div w:id="1872104048">
      <w:bodyDiv w:val="1"/>
      <w:marLeft w:val="0"/>
      <w:marRight w:val="0"/>
      <w:marTop w:val="0"/>
      <w:marBottom w:val="0"/>
      <w:divBdr>
        <w:top w:val="none" w:sz="0" w:space="0" w:color="auto"/>
        <w:left w:val="none" w:sz="0" w:space="0" w:color="auto"/>
        <w:bottom w:val="none" w:sz="0" w:space="0" w:color="auto"/>
        <w:right w:val="none" w:sz="0" w:space="0" w:color="auto"/>
      </w:divBdr>
    </w:div>
    <w:div w:id="1893956452">
      <w:bodyDiv w:val="1"/>
      <w:marLeft w:val="0"/>
      <w:marRight w:val="0"/>
      <w:marTop w:val="0"/>
      <w:marBottom w:val="0"/>
      <w:divBdr>
        <w:top w:val="none" w:sz="0" w:space="0" w:color="auto"/>
        <w:left w:val="none" w:sz="0" w:space="0" w:color="auto"/>
        <w:bottom w:val="none" w:sz="0" w:space="0" w:color="auto"/>
        <w:right w:val="none" w:sz="0" w:space="0" w:color="auto"/>
      </w:divBdr>
    </w:div>
    <w:div w:id="1994408665">
      <w:bodyDiv w:val="1"/>
      <w:marLeft w:val="0"/>
      <w:marRight w:val="0"/>
      <w:marTop w:val="0"/>
      <w:marBottom w:val="0"/>
      <w:divBdr>
        <w:top w:val="none" w:sz="0" w:space="0" w:color="auto"/>
        <w:left w:val="none" w:sz="0" w:space="0" w:color="auto"/>
        <w:bottom w:val="none" w:sz="0" w:space="0" w:color="auto"/>
        <w:right w:val="none" w:sz="0" w:space="0" w:color="auto"/>
      </w:divBdr>
    </w:div>
    <w:div w:id="1994596942">
      <w:bodyDiv w:val="1"/>
      <w:marLeft w:val="0"/>
      <w:marRight w:val="0"/>
      <w:marTop w:val="0"/>
      <w:marBottom w:val="0"/>
      <w:divBdr>
        <w:top w:val="none" w:sz="0" w:space="0" w:color="auto"/>
        <w:left w:val="none" w:sz="0" w:space="0" w:color="auto"/>
        <w:bottom w:val="none" w:sz="0" w:space="0" w:color="auto"/>
        <w:right w:val="none" w:sz="0" w:space="0" w:color="auto"/>
      </w:divBdr>
    </w:div>
    <w:div w:id="2003268947">
      <w:bodyDiv w:val="1"/>
      <w:marLeft w:val="0"/>
      <w:marRight w:val="0"/>
      <w:marTop w:val="0"/>
      <w:marBottom w:val="0"/>
      <w:divBdr>
        <w:top w:val="none" w:sz="0" w:space="0" w:color="auto"/>
        <w:left w:val="none" w:sz="0" w:space="0" w:color="auto"/>
        <w:bottom w:val="none" w:sz="0" w:space="0" w:color="auto"/>
        <w:right w:val="none" w:sz="0" w:space="0" w:color="auto"/>
      </w:divBdr>
    </w:div>
    <w:div w:id="2016616694">
      <w:bodyDiv w:val="1"/>
      <w:marLeft w:val="0"/>
      <w:marRight w:val="0"/>
      <w:marTop w:val="0"/>
      <w:marBottom w:val="0"/>
      <w:divBdr>
        <w:top w:val="none" w:sz="0" w:space="0" w:color="auto"/>
        <w:left w:val="none" w:sz="0" w:space="0" w:color="auto"/>
        <w:bottom w:val="none" w:sz="0" w:space="0" w:color="auto"/>
        <w:right w:val="none" w:sz="0" w:space="0" w:color="auto"/>
      </w:divBdr>
    </w:div>
    <w:div w:id="2046901799">
      <w:bodyDiv w:val="1"/>
      <w:marLeft w:val="0"/>
      <w:marRight w:val="0"/>
      <w:marTop w:val="0"/>
      <w:marBottom w:val="0"/>
      <w:divBdr>
        <w:top w:val="none" w:sz="0" w:space="0" w:color="auto"/>
        <w:left w:val="none" w:sz="0" w:space="0" w:color="auto"/>
        <w:bottom w:val="none" w:sz="0" w:space="0" w:color="auto"/>
        <w:right w:val="none" w:sz="0" w:space="0" w:color="auto"/>
      </w:divBdr>
    </w:div>
    <w:div w:id="2131968405">
      <w:bodyDiv w:val="1"/>
      <w:marLeft w:val="0"/>
      <w:marRight w:val="0"/>
      <w:marTop w:val="0"/>
      <w:marBottom w:val="0"/>
      <w:divBdr>
        <w:top w:val="none" w:sz="0" w:space="0" w:color="auto"/>
        <w:left w:val="none" w:sz="0" w:space="0" w:color="auto"/>
        <w:bottom w:val="none" w:sz="0" w:space="0" w:color="auto"/>
        <w:right w:val="none" w:sz="0" w:space="0" w:color="auto"/>
      </w:divBdr>
    </w:div>
    <w:div w:id="2146700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chart" Target="charts/chart11.xml"/><Relationship Id="rId39" Type="http://schemas.openxmlformats.org/officeDocument/2006/relationships/image" Target="media/image14.png"/><Relationship Id="rId21" Type="http://schemas.openxmlformats.org/officeDocument/2006/relationships/chart" Target="charts/chart6.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chart" Target="charts/chart18.xml"/><Relationship Id="rId50" Type="http://schemas.openxmlformats.org/officeDocument/2006/relationships/chart" Target="charts/chart21.xml"/><Relationship Id="rId55" Type="http://schemas.openxmlformats.org/officeDocument/2006/relationships/chart" Target="charts/chart2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image" Target="media/image16.png"/><Relationship Id="rId54" Type="http://schemas.openxmlformats.org/officeDocument/2006/relationships/chart" Target="charts/chart2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9.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chart" Target="charts/chart16.xml"/><Relationship Id="rId53" Type="http://schemas.openxmlformats.org/officeDocument/2006/relationships/chart" Target="charts/chart24.xml"/><Relationship Id="rId58" Type="http://schemas.openxmlformats.org/officeDocument/2006/relationships/chart" Target="charts/chart29.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image" Target="media/image11.png"/><Relationship Id="rId49" Type="http://schemas.openxmlformats.org/officeDocument/2006/relationships/chart" Target="charts/chart20.xml"/><Relationship Id="rId57" Type="http://schemas.openxmlformats.org/officeDocument/2006/relationships/chart" Target="charts/chart28.xml"/><Relationship Id="rId61"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4.xml"/><Relationship Id="rId31" Type="http://schemas.openxmlformats.org/officeDocument/2006/relationships/image" Target="media/image6.emf"/><Relationship Id="rId44" Type="http://schemas.openxmlformats.org/officeDocument/2006/relationships/chart" Target="charts/chart15.xml"/><Relationship Id="rId52" Type="http://schemas.openxmlformats.org/officeDocument/2006/relationships/chart" Target="charts/chart23.xml"/><Relationship Id="rId60" Type="http://schemas.openxmlformats.org/officeDocument/2006/relationships/chart" Target="charts/chart3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footer" Target="footer2.xml"/><Relationship Id="rId35" Type="http://schemas.openxmlformats.org/officeDocument/2006/relationships/image" Target="media/image10.png"/><Relationship Id="rId43" Type="http://schemas.openxmlformats.org/officeDocument/2006/relationships/footer" Target="footer3.xml"/><Relationship Id="rId48" Type="http://schemas.openxmlformats.org/officeDocument/2006/relationships/chart" Target="charts/chart19.xml"/><Relationship Id="rId56" Type="http://schemas.openxmlformats.org/officeDocument/2006/relationships/chart" Target="charts/chart27.xml"/><Relationship Id="rId8" Type="http://schemas.openxmlformats.org/officeDocument/2006/relationships/endnotes" Target="endnotes.xml"/><Relationship Id="rId51" Type="http://schemas.openxmlformats.org/officeDocument/2006/relationships/chart" Target="charts/chart22.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chart" Target="charts/chart10.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chart" Target="charts/chart17.xml"/><Relationship Id="rId59" Type="http://schemas.openxmlformats.org/officeDocument/2006/relationships/chart" Target="charts/chart3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oleObject" Target="Chart%20in%20Microsoft%20Word" TargetMode="External"/><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764137805099327"/>
          <c:y val="9.8520992366412208E-2"/>
          <c:w val="0.49328138796303572"/>
          <c:h val="0.68323377681238118"/>
        </c:manualLayout>
      </c:layout>
      <c:barChart>
        <c:barDir val="col"/>
        <c:grouping val="stacked"/>
        <c:varyColors val="0"/>
        <c:ser>
          <c:idx val="0"/>
          <c:order val="0"/>
          <c:tx>
            <c:strRef>
              <c:f>Sheet1!$A$28</c:f>
              <c:strCache>
                <c:ptCount val="1"/>
                <c:pt idx="0">
                  <c:v>Target met / exceeded</c:v>
                </c:pt>
              </c:strCache>
            </c:strRef>
          </c:tx>
          <c:spPr>
            <a:solidFill>
              <a:srgbClr val="92D050"/>
            </a:solidFill>
          </c:spPr>
          <c:invertIfNegative val="0"/>
          <c:dLbls>
            <c:showLegendKey val="0"/>
            <c:showVal val="1"/>
            <c:showCatName val="0"/>
            <c:showSerName val="0"/>
            <c:showPercent val="0"/>
            <c:showBubbleSize val="0"/>
            <c:showLeaderLines val="0"/>
          </c:dLbls>
          <c:cat>
            <c:strRef>
              <c:f>Sheet1!$B$26:$D$26</c:f>
              <c:strCache>
                <c:ptCount val="3"/>
                <c:pt idx="0">
                  <c:v>M10</c:v>
                </c:pt>
                <c:pt idx="1">
                  <c:v>M11</c:v>
                </c:pt>
                <c:pt idx="2">
                  <c:v>M12</c:v>
                </c:pt>
              </c:strCache>
            </c:strRef>
          </c:cat>
          <c:val>
            <c:numRef>
              <c:f>Sheet1!$B$28:$D$28</c:f>
              <c:numCache>
                <c:formatCode>General</c:formatCode>
                <c:ptCount val="3"/>
                <c:pt idx="0" formatCode="0">
                  <c:v>1036</c:v>
                </c:pt>
                <c:pt idx="1">
                  <c:v>933</c:v>
                </c:pt>
                <c:pt idx="2">
                  <c:v>1159</c:v>
                </c:pt>
              </c:numCache>
            </c:numRef>
          </c:val>
        </c:ser>
        <c:ser>
          <c:idx val="1"/>
          <c:order val="1"/>
          <c:tx>
            <c:strRef>
              <c:f>Sheet1!$A$29</c:f>
              <c:strCache>
                <c:ptCount val="1"/>
                <c:pt idx="0">
                  <c:v>Target not met</c:v>
                </c:pt>
              </c:strCache>
            </c:strRef>
          </c:tx>
          <c:spPr>
            <a:solidFill>
              <a:srgbClr val="FF0000"/>
            </a:solidFill>
          </c:spPr>
          <c:invertIfNegative val="0"/>
          <c:dLbls>
            <c:showLegendKey val="0"/>
            <c:showVal val="1"/>
            <c:showCatName val="0"/>
            <c:showSerName val="0"/>
            <c:showPercent val="0"/>
            <c:showBubbleSize val="0"/>
            <c:showLeaderLines val="0"/>
          </c:dLbls>
          <c:cat>
            <c:strRef>
              <c:f>Sheet1!$B$26:$D$26</c:f>
              <c:strCache>
                <c:ptCount val="3"/>
                <c:pt idx="0">
                  <c:v>M10</c:v>
                </c:pt>
                <c:pt idx="1">
                  <c:v>M11</c:v>
                </c:pt>
                <c:pt idx="2">
                  <c:v>M12</c:v>
                </c:pt>
              </c:strCache>
            </c:strRef>
          </c:cat>
          <c:val>
            <c:numRef>
              <c:f>Sheet1!$B$29:$D$29</c:f>
              <c:numCache>
                <c:formatCode>General</c:formatCode>
                <c:ptCount val="3"/>
                <c:pt idx="0">
                  <c:v>80</c:v>
                </c:pt>
                <c:pt idx="1">
                  <c:v>84</c:v>
                </c:pt>
                <c:pt idx="2">
                  <c:v>93</c:v>
                </c:pt>
              </c:numCache>
            </c:numRef>
          </c:val>
        </c:ser>
        <c:dLbls>
          <c:showLegendKey val="0"/>
          <c:showVal val="0"/>
          <c:showCatName val="0"/>
          <c:showSerName val="0"/>
          <c:showPercent val="0"/>
          <c:showBubbleSize val="0"/>
        </c:dLbls>
        <c:gapWidth val="75"/>
        <c:overlap val="100"/>
        <c:axId val="23548672"/>
        <c:axId val="23550592"/>
      </c:barChart>
      <c:catAx>
        <c:axId val="23548672"/>
        <c:scaling>
          <c:orientation val="minMax"/>
        </c:scaling>
        <c:delete val="0"/>
        <c:axPos val="b"/>
        <c:title>
          <c:tx>
            <c:rich>
              <a:bodyPr/>
              <a:lstStyle/>
              <a:p>
                <a:pPr>
                  <a:defRPr/>
                </a:pPr>
                <a:r>
                  <a:rPr lang="en-US"/>
                  <a:t>Month FY17</a:t>
                </a:r>
              </a:p>
            </c:rich>
          </c:tx>
          <c:layout/>
          <c:overlay val="0"/>
        </c:title>
        <c:majorTickMark val="none"/>
        <c:minorTickMark val="none"/>
        <c:tickLblPos val="nextTo"/>
        <c:crossAx val="23550592"/>
        <c:crosses val="autoZero"/>
        <c:auto val="1"/>
        <c:lblAlgn val="ctr"/>
        <c:lblOffset val="100"/>
        <c:noMultiLvlLbl val="0"/>
      </c:catAx>
      <c:valAx>
        <c:axId val="23550592"/>
        <c:scaling>
          <c:orientation val="minMax"/>
        </c:scaling>
        <c:delete val="0"/>
        <c:axPos val="l"/>
        <c:majorGridlines/>
        <c:title>
          <c:tx>
            <c:rich>
              <a:bodyPr/>
              <a:lstStyle/>
              <a:p>
                <a:pPr>
                  <a:defRPr/>
                </a:pPr>
                <a:r>
                  <a:rPr lang="en-US"/>
                  <a:t>Number of Indicators</a:t>
                </a:r>
              </a:p>
            </c:rich>
          </c:tx>
          <c:layout>
            <c:manualLayout>
              <c:xMode val="edge"/>
              <c:yMode val="edge"/>
              <c:x val="2.5000000000000001E-2"/>
              <c:y val="0.18040665769921271"/>
            </c:manualLayout>
          </c:layout>
          <c:overlay val="0"/>
        </c:title>
        <c:numFmt formatCode="0" sourceLinked="1"/>
        <c:majorTickMark val="out"/>
        <c:minorTickMark val="none"/>
        <c:tickLblPos val="nextTo"/>
        <c:crossAx val="23548672"/>
        <c:crosses val="autoZero"/>
        <c:crossBetween val="between"/>
      </c:valAx>
    </c:plotArea>
    <c:legend>
      <c:legendPos val="r"/>
      <c:layout>
        <c:manualLayout>
          <c:xMode val="edge"/>
          <c:yMode val="edge"/>
          <c:x val="0.73139403533568903"/>
          <c:y val="0.35118899140470039"/>
          <c:w val="0.2400721784776903"/>
          <c:h val="0.38335949835306921"/>
        </c:manualLayout>
      </c:layout>
      <c:overlay val="0"/>
    </c:legend>
    <c:plotVisOnly val="1"/>
    <c:dispBlanksAs val="gap"/>
    <c:showDLblsOverMax val="0"/>
  </c:chart>
  <c:txPr>
    <a:bodyPr/>
    <a:lstStyle/>
    <a:p>
      <a:pPr>
        <a:defRPr sz="9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672741956206523"/>
          <c:y val="0.10194131668591817"/>
          <c:w val="0.80085746728296658"/>
          <c:h val="0.6801629483814523"/>
        </c:manualLayout>
      </c:layout>
      <c:lineChart>
        <c:grouping val="standard"/>
        <c:varyColors val="0"/>
        <c:ser>
          <c:idx val="0"/>
          <c:order val="0"/>
          <c:marker>
            <c:symbol val="none"/>
          </c:marker>
          <c:trendline>
            <c:spPr>
              <a:ln w="12700" cap="flat" cmpd="sng" algn="ctr">
                <a:solidFill>
                  <a:schemeClr val="accent6">
                    <a:shade val="95000"/>
                    <a:satMod val="105000"/>
                  </a:schemeClr>
                </a:solidFill>
                <a:prstDash val="solid"/>
              </a:ln>
              <a:effectLst/>
            </c:spPr>
            <c:trendlineType val="linear"/>
            <c:dispRSqr val="0"/>
            <c:dispEq val="0"/>
          </c:trendline>
          <c:cat>
            <c:strRef>
              <c:f>LQRs!$B$3:$M$3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LQRs!$B$4:$M$4</c:f>
              <c:numCache>
                <c:formatCode>0%</c:formatCode>
                <c:ptCount val="12"/>
                <c:pt idx="0">
                  <c:v>0.05</c:v>
                </c:pt>
                <c:pt idx="1">
                  <c:v>0.06</c:v>
                </c:pt>
                <c:pt idx="2">
                  <c:v>0.06</c:v>
                </c:pt>
                <c:pt idx="3">
                  <c:v>7.0000000000000007E-2</c:v>
                </c:pt>
                <c:pt idx="4">
                  <c:v>0.06</c:v>
                </c:pt>
                <c:pt idx="5">
                  <c:v>0.06</c:v>
                </c:pt>
                <c:pt idx="6">
                  <c:v>0.06</c:v>
                </c:pt>
                <c:pt idx="7">
                  <c:v>7.0000000000000007E-2</c:v>
                </c:pt>
                <c:pt idx="8">
                  <c:v>0.06</c:v>
                </c:pt>
                <c:pt idx="9">
                  <c:v>0.06</c:v>
                </c:pt>
                <c:pt idx="10">
                  <c:v>7.0000000000000007E-2</c:v>
                </c:pt>
                <c:pt idx="11">
                  <c:v>7.0000000000000007E-2</c:v>
                </c:pt>
              </c:numCache>
            </c:numRef>
          </c:val>
          <c:smooth val="0"/>
        </c:ser>
        <c:ser>
          <c:idx val="1"/>
          <c:order val="1"/>
          <c:marker>
            <c:symbol val="none"/>
          </c:marker>
          <c:cat>
            <c:strRef>
              <c:f>LQRs!$B$3:$M$3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LQRs!$B$5:$M$5</c:f>
              <c:numCache>
                <c:formatCode>0%</c:formatCode>
                <c:ptCount val="12"/>
                <c:pt idx="0">
                  <c:v>0.04</c:v>
                </c:pt>
                <c:pt idx="1">
                  <c:v>0.04</c:v>
                </c:pt>
                <c:pt idx="2">
                  <c:v>0.04</c:v>
                </c:pt>
                <c:pt idx="3">
                  <c:v>0.04</c:v>
                </c:pt>
                <c:pt idx="4">
                  <c:v>0.04</c:v>
                </c:pt>
                <c:pt idx="5">
                  <c:v>0.04</c:v>
                </c:pt>
                <c:pt idx="6">
                  <c:v>0.04</c:v>
                </c:pt>
                <c:pt idx="7">
                  <c:v>0.04</c:v>
                </c:pt>
                <c:pt idx="8">
                  <c:v>0.04</c:v>
                </c:pt>
                <c:pt idx="9">
                  <c:v>0.04</c:v>
                </c:pt>
                <c:pt idx="10">
                  <c:v>0.04</c:v>
                </c:pt>
                <c:pt idx="11">
                  <c:v>0.04</c:v>
                </c:pt>
              </c:numCache>
            </c:numRef>
          </c:val>
          <c:smooth val="0"/>
        </c:ser>
        <c:dLbls>
          <c:showLegendKey val="0"/>
          <c:showVal val="0"/>
          <c:showCatName val="0"/>
          <c:showSerName val="0"/>
          <c:showPercent val="0"/>
          <c:showBubbleSize val="0"/>
        </c:dLbls>
        <c:marker val="1"/>
        <c:smooth val="0"/>
        <c:axId val="92433792"/>
        <c:axId val="92447872"/>
      </c:lineChart>
      <c:catAx>
        <c:axId val="92433792"/>
        <c:scaling>
          <c:orientation val="minMax"/>
        </c:scaling>
        <c:delete val="0"/>
        <c:axPos val="b"/>
        <c:majorTickMark val="out"/>
        <c:minorTickMark val="none"/>
        <c:tickLblPos val="nextTo"/>
        <c:crossAx val="92447872"/>
        <c:crosses val="autoZero"/>
        <c:auto val="1"/>
        <c:lblAlgn val="ctr"/>
        <c:lblOffset val="100"/>
        <c:noMultiLvlLbl val="0"/>
      </c:catAx>
      <c:valAx>
        <c:axId val="92447872"/>
        <c:scaling>
          <c:orientation val="minMax"/>
        </c:scaling>
        <c:delete val="0"/>
        <c:axPos val="l"/>
        <c:majorGridlines/>
        <c:numFmt formatCode="0%" sourceLinked="1"/>
        <c:majorTickMark val="out"/>
        <c:minorTickMark val="none"/>
        <c:tickLblPos val="nextTo"/>
        <c:crossAx val="92433792"/>
        <c:crosses val="autoZero"/>
        <c:crossBetween val="between"/>
      </c:valAx>
    </c:plotArea>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trendline>
            <c:spPr>
              <a:ln w="12700" cap="flat" cmpd="sng" algn="ctr">
                <a:solidFill>
                  <a:schemeClr val="accent6">
                    <a:shade val="95000"/>
                    <a:satMod val="105000"/>
                  </a:schemeClr>
                </a:solidFill>
                <a:prstDash val="solid"/>
              </a:ln>
              <a:effectLst/>
            </c:spPr>
            <c:trendlineType val="linear"/>
            <c:dispRSqr val="0"/>
            <c:dispEq val="0"/>
          </c:trendline>
          <c:cat>
            <c:strRef>
              <c:f>LQRs!$B$33:$M$33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LQRs!$B$34:$M$34</c:f>
              <c:numCache>
                <c:formatCode>General</c:formatCode>
                <c:ptCount val="12"/>
                <c:pt idx="0">
                  <c:v>29</c:v>
                </c:pt>
                <c:pt idx="1">
                  <c:v>35</c:v>
                </c:pt>
                <c:pt idx="2">
                  <c:v>30</c:v>
                </c:pt>
                <c:pt idx="3">
                  <c:v>19</c:v>
                </c:pt>
                <c:pt idx="4">
                  <c:v>27</c:v>
                </c:pt>
                <c:pt idx="5">
                  <c:v>27</c:v>
                </c:pt>
                <c:pt idx="6">
                  <c:v>30</c:v>
                </c:pt>
                <c:pt idx="7">
                  <c:v>38</c:v>
                </c:pt>
                <c:pt idx="8">
                  <c:v>45</c:v>
                </c:pt>
                <c:pt idx="9">
                  <c:v>51</c:v>
                </c:pt>
                <c:pt idx="10">
                  <c:v>51</c:v>
                </c:pt>
                <c:pt idx="11">
                  <c:v>59</c:v>
                </c:pt>
              </c:numCache>
            </c:numRef>
          </c:val>
          <c:smooth val="0"/>
        </c:ser>
        <c:ser>
          <c:idx val="1"/>
          <c:order val="1"/>
          <c:marker>
            <c:symbol val="none"/>
          </c:marker>
          <c:cat>
            <c:strRef>
              <c:f>LQRs!$B$33:$M$33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LQRs!$B$35:$M$35</c:f>
              <c:numCache>
                <c:formatCode>General</c:formatCode>
                <c:ptCount val="12"/>
                <c:pt idx="0">
                  <c:v>25</c:v>
                </c:pt>
                <c:pt idx="1">
                  <c:v>25</c:v>
                </c:pt>
                <c:pt idx="2">
                  <c:v>25</c:v>
                </c:pt>
                <c:pt idx="3">
                  <c:v>25</c:v>
                </c:pt>
                <c:pt idx="4">
                  <c:v>20</c:v>
                </c:pt>
                <c:pt idx="5">
                  <c:v>19</c:v>
                </c:pt>
                <c:pt idx="6">
                  <c:v>18</c:v>
                </c:pt>
                <c:pt idx="7">
                  <c:v>17</c:v>
                </c:pt>
                <c:pt idx="8">
                  <c:v>15</c:v>
                </c:pt>
                <c:pt idx="9">
                  <c:v>15</c:v>
                </c:pt>
                <c:pt idx="10">
                  <c:v>15</c:v>
                </c:pt>
                <c:pt idx="11">
                  <c:v>15</c:v>
                </c:pt>
              </c:numCache>
            </c:numRef>
          </c:val>
          <c:smooth val="0"/>
        </c:ser>
        <c:dLbls>
          <c:showLegendKey val="0"/>
          <c:showVal val="0"/>
          <c:showCatName val="0"/>
          <c:showSerName val="0"/>
          <c:showPercent val="0"/>
          <c:showBubbleSize val="0"/>
        </c:dLbls>
        <c:marker val="1"/>
        <c:smooth val="0"/>
        <c:axId val="92084096"/>
        <c:axId val="92085632"/>
      </c:lineChart>
      <c:catAx>
        <c:axId val="92084096"/>
        <c:scaling>
          <c:orientation val="minMax"/>
        </c:scaling>
        <c:delete val="0"/>
        <c:axPos val="b"/>
        <c:majorTickMark val="out"/>
        <c:minorTickMark val="none"/>
        <c:tickLblPos val="nextTo"/>
        <c:crossAx val="92085632"/>
        <c:crosses val="autoZero"/>
        <c:auto val="1"/>
        <c:lblAlgn val="ctr"/>
        <c:lblOffset val="100"/>
        <c:noMultiLvlLbl val="0"/>
      </c:catAx>
      <c:valAx>
        <c:axId val="92085632"/>
        <c:scaling>
          <c:orientation val="minMax"/>
        </c:scaling>
        <c:delete val="0"/>
        <c:axPos val="l"/>
        <c:majorGridlines/>
        <c:numFmt formatCode="General" sourceLinked="1"/>
        <c:majorTickMark val="out"/>
        <c:minorTickMark val="none"/>
        <c:tickLblPos val="nextTo"/>
        <c:crossAx val="92084096"/>
        <c:crosses val="autoZero"/>
        <c:crossBetween val="between"/>
      </c:valAx>
    </c:plotArea>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Community!$B$17:$M$17</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Community!$B$18:$M$18</c:f>
              <c:numCache>
                <c:formatCode>0%</c:formatCode>
                <c:ptCount val="12"/>
                <c:pt idx="0">
                  <c:v>0.96</c:v>
                </c:pt>
                <c:pt idx="1">
                  <c:v>0.95</c:v>
                </c:pt>
                <c:pt idx="2">
                  <c:v>0.93</c:v>
                </c:pt>
                <c:pt idx="3">
                  <c:v>0.9</c:v>
                </c:pt>
                <c:pt idx="4">
                  <c:v>0.9</c:v>
                </c:pt>
                <c:pt idx="5">
                  <c:v>0.86</c:v>
                </c:pt>
                <c:pt idx="6">
                  <c:v>0.87</c:v>
                </c:pt>
                <c:pt idx="7">
                  <c:v>0.86</c:v>
                </c:pt>
                <c:pt idx="8">
                  <c:v>0.88</c:v>
                </c:pt>
                <c:pt idx="9">
                  <c:v>0.75</c:v>
                </c:pt>
                <c:pt idx="10">
                  <c:v>0.77</c:v>
                </c:pt>
                <c:pt idx="11">
                  <c:v>0.72</c:v>
                </c:pt>
              </c:numCache>
            </c:numRef>
          </c:val>
          <c:smooth val="0"/>
        </c:ser>
        <c:ser>
          <c:idx val="1"/>
          <c:order val="1"/>
          <c:marker>
            <c:symbol val="none"/>
          </c:marker>
          <c:cat>
            <c:strRef>
              <c:f>Community!$B$17:$M$17</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Community!$B$19:$M$19</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dLbls>
          <c:showLegendKey val="0"/>
          <c:showVal val="0"/>
          <c:showCatName val="0"/>
          <c:showSerName val="0"/>
          <c:showPercent val="0"/>
          <c:showBubbleSize val="0"/>
        </c:dLbls>
        <c:marker val="1"/>
        <c:smooth val="0"/>
        <c:axId val="93180288"/>
        <c:axId val="93181824"/>
      </c:lineChart>
      <c:catAx>
        <c:axId val="93180288"/>
        <c:scaling>
          <c:orientation val="minMax"/>
        </c:scaling>
        <c:delete val="0"/>
        <c:axPos val="b"/>
        <c:majorTickMark val="none"/>
        <c:minorTickMark val="none"/>
        <c:tickLblPos val="nextTo"/>
        <c:crossAx val="93181824"/>
        <c:crosses val="autoZero"/>
        <c:auto val="1"/>
        <c:lblAlgn val="ctr"/>
        <c:lblOffset val="100"/>
        <c:noMultiLvlLbl val="0"/>
      </c:catAx>
      <c:valAx>
        <c:axId val="93181824"/>
        <c:scaling>
          <c:orientation val="minMax"/>
          <c:max val="1"/>
          <c:min val="0.4"/>
        </c:scaling>
        <c:delete val="0"/>
        <c:axPos val="l"/>
        <c:majorGridlines/>
        <c:numFmt formatCode="0%" sourceLinked="1"/>
        <c:majorTickMark val="none"/>
        <c:minorTickMark val="none"/>
        <c:tickLblPos val="nextTo"/>
        <c:crossAx val="93180288"/>
        <c:crosses val="autoZero"/>
        <c:crossBetween val="between"/>
        <c:majorUnit val="0.1"/>
        <c:minorUnit val="0.1"/>
      </c:valAx>
    </c:plotArea>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trendline>
            <c:spPr>
              <a:ln>
                <a:solidFill>
                  <a:schemeClr val="accent6">
                    <a:lumMod val="75000"/>
                  </a:schemeClr>
                </a:solidFill>
              </a:ln>
            </c:spPr>
            <c:trendlineType val="linear"/>
            <c:dispRSqr val="0"/>
            <c:dispEq val="0"/>
          </c:trendline>
          <c:cat>
            <c:strRef>
              <c:f>Community!$I$64:$M$64</c:f>
              <c:strCache>
                <c:ptCount val="5"/>
                <c:pt idx="0">
                  <c:v>Nov</c:v>
                </c:pt>
                <c:pt idx="1">
                  <c:v>Dec</c:v>
                </c:pt>
                <c:pt idx="2">
                  <c:v>Jan</c:v>
                </c:pt>
                <c:pt idx="3">
                  <c:v>Feb</c:v>
                </c:pt>
                <c:pt idx="4">
                  <c:v>Mar</c:v>
                </c:pt>
              </c:strCache>
            </c:strRef>
          </c:cat>
          <c:val>
            <c:numRef>
              <c:f>Community!$I$65:$M$65</c:f>
              <c:numCache>
                <c:formatCode>0%</c:formatCode>
                <c:ptCount val="5"/>
                <c:pt idx="0">
                  <c:v>0.64</c:v>
                </c:pt>
                <c:pt idx="1">
                  <c:v>0.64</c:v>
                </c:pt>
                <c:pt idx="2">
                  <c:v>0.63</c:v>
                </c:pt>
                <c:pt idx="3">
                  <c:v>0.45</c:v>
                </c:pt>
                <c:pt idx="4">
                  <c:v>0.83</c:v>
                </c:pt>
              </c:numCache>
            </c:numRef>
          </c:val>
          <c:smooth val="0"/>
        </c:ser>
        <c:ser>
          <c:idx val="1"/>
          <c:order val="1"/>
          <c:marker>
            <c:symbol val="none"/>
          </c:marker>
          <c:cat>
            <c:strRef>
              <c:f>Community!$I$64:$M$64</c:f>
              <c:strCache>
                <c:ptCount val="5"/>
                <c:pt idx="0">
                  <c:v>Nov</c:v>
                </c:pt>
                <c:pt idx="1">
                  <c:v>Dec</c:v>
                </c:pt>
                <c:pt idx="2">
                  <c:v>Jan</c:v>
                </c:pt>
                <c:pt idx="3">
                  <c:v>Feb</c:v>
                </c:pt>
                <c:pt idx="4">
                  <c:v>Mar</c:v>
                </c:pt>
              </c:strCache>
            </c:strRef>
          </c:cat>
          <c:val>
            <c:numRef>
              <c:f>Community!$I$66:$M$66</c:f>
              <c:numCache>
                <c:formatCode>0%</c:formatCode>
                <c:ptCount val="5"/>
                <c:pt idx="0">
                  <c:v>0.95</c:v>
                </c:pt>
                <c:pt idx="1">
                  <c:v>0.95</c:v>
                </c:pt>
                <c:pt idx="2">
                  <c:v>0.95</c:v>
                </c:pt>
                <c:pt idx="3">
                  <c:v>0.95</c:v>
                </c:pt>
                <c:pt idx="4">
                  <c:v>0.95</c:v>
                </c:pt>
              </c:numCache>
            </c:numRef>
          </c:val>
          <c:smooth val="0"/>
        </c:ser>
        <c:dLbls>
          <c:showLegendKey val="0"/>
          <c:showVal val="0"/>
          <c:showCatName val="0"/>
          <c:showSerName val="0"/>
          <c:showPercent val="0"/>
          <c:showBubbleSize val="0"/>
        </c:dLbls>
        <c:marker val="1"/>
        <c:smooth val="0"/>
        <c:axId val="93084288"/>
        <c:axId val="93094272"/>
      </c:lineChart>
      <c:catAx>
        <c:axId val="93084288"/>
        <c:scaling>
          <c:orientation val="minMax"/>
        </c:scaling>
        <c:delete val="0"/>
        <c:axPos val="b"/>
        <c:majorTickMark val="out"/>
        <c:minorTickMark val="none"/>
        <c:tickLblPos val="nextTo"/>
        <c:crossAx val="93094272"/>
        <c:crosses val="autoZero"/>
        <c:auto val="1"/>
        <c:lblAlgn val="ctr"/>
        <c:lblOffset val="100"/>
        <c:noMultiLvlLbl val="0"/>
      </c:catAx>
      <c:valAx>
        <c:axId val="93094272"/>
        <c:scaling>
          <c:orientation val="minMax"/>
        </c:scaling>
        <c:delete val="0"/>
        <c:axPos val="l"/>
        <c:majorGridlines/>
        <c:numFmt formatCode="0%" sourceLinked="1"/>
        <c:majorTickMark val="out"/>
        <c:minorTickMark val="none"/>
        <c:tickLblPos val="nextTo"/>
        <c:crossAx val="93084288"/>
        <c:crosses val="autoZero"/>
        <c:crossBetween val="between"/>
      </c:valAx>
    </c:plotArea>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trendline>
            <c:spPr>
              <a:ln>
                <a:solidFill>
                  <a:srgbClr val="F79646">
                    <a:lumMod val="75000"/>
                  </a:srgbClr>
                </a:solidFill>
              </a:ln>
            </c:spPr>
            <c:trendlineType val="linear"/>
            <c:dispRSqr val="0"/>
            <c:dispEq val="0"/>
          </c:trendline>
          <c:cat>
            <c:strRef>
              <c:f>'[Chart in Microsoft Word]BUCKS'!$B$15:$M$15</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'[Chart in Microsoft Word]BUCKS'!$B$16:$M$16</c:f>
              <c:numCache>
                <c:formatCode>General</c:formatCode>
                <c:ptCount val="12"/>
                <c:pt idx="5" formatCode="0%">
                  <c:v>1</c:v>
                </c:pt>
                <c:pt idx="6" formatCode="0%">
                  <c:v>1</c:v>
                </c:pt>
                <c:pt idx="7" formatCode="0%">
                  <c:v>0.99</c:v>
                </c:pt>
                <c:pt idx="8" formatCode="0%">
                  <c:v>1</c:v>
                </c:pt>
                <c:pt idx="9" formatCode="0%">
                  <c:v>1</c:v>
                </c:pt>
                <c:pt idx="10" formatCode="0%">
                  <c:v>0.81</c:v>
                </c:pt>
                <c:pt idx="11" formatCode="0%">
                  <c:v>0.78</c:v>
                </c:pt>
              </c:numCache>
            </c:numRef>
          </c:val>
          <c:smooth val="0"/>
        </c:ser>
        <c:ser>
          <c:idx val="1"/>
          <c:order val="1"/>
          <c:marker>
            <c:symbol val="none"/>
          </c:marker>
          <c:cat>
            <c:strRef>
              <c:f>'[Chart in Microsoft Word]BUCKS'!$B$15:$M$15</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'[Chart in Microsoft Word]BUCKS'!$B$17:$M$17</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dLbls>
          <c:showLegendKey val="0"/>
          <c:showVal val="0"/>
          <c:showCatName val="0"/>
          <c:showSerName val="0"/>
          <c:showPercent val="0"/>
          <c:showBubbleSize val="0"/>
        </c:dLbls>
        <c:marker val="1"/>
        <c:smooth val="0"/>
        <c:axId val="93521024"/>
        <c:axId val="93522560"/>
      </c:lineChart>
      <c:catAx>
        <c:axId val="93521024"/>
        <c:scaling>
          <c:orientation val="minMax"/>
        </c:scaling>
        <c:delete val="0"/>
        <c:axPos val="b"/>
        <c:majorTickMark val="out"/>
        <c:minorTickMark val="none"/>
        <c:tickLblPos val="nextTo"/>
        <c:crossAx val="93522560"/>
        <c:crosses val="autoZero"/>
        <c:auto val="1"/>
        <c:lblAlgn val="ctr"/>
        <c:lblOffset val="100"/>
        <c:noMultiLvlLbl val="0"/>
      </c:catAx>
      <c:valAx>
        <c:axId val="93522560"/>
        <c:scaling>
          <c:orientation val="minMax"/>
        </c:scaling>
        <c:delete val="0"/>
        <c:axPos val="l"/>
        <c:majorGridlines/>
        <c:numFmt formatCode="0%" sourceLinked="0"/>
        <c:majorTickMark val="out"/>
        <c:minorTickMark val="none"/>
        <c:tickLblPos val="nextTo"/>
        <c:crossAx val="93521024"/>
        <c:crosses val="autoZero"/>
        <c:crossBetween val="between"/>
      </c:valAx>
    </c:plotArea>
    <c:plotVisOnly val="1"/>
    <c:dispBlanksAs val="gap"/>
    <c:showDLblsOverMax val="0"/>
  </c:chart>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58558255084424"/>
          <c:y val="7.2616620629357906E-2"/>
          <c:w val="0.72880205482336102"/>
          <c:h val="0.52481908221324236"/>
        </c:manualLayout>
      </c:layout>
      <c:barChart>
        <c:barDir val="col"/>
        <c:grouping val="clustered"/>
        <c:varyColors val="0"/>
        <c:ser>
          <c:idx val="2"/>
          <c:order val="2"/>
          <c:tx>
            <c:strRef>
              <c:f>'Oxon Data'!$A$86</c:f>
              <c:strCache>
                <c:ptCount val="1"/>
                <c:pt idx="0">
                  <c:v>No. Referrals</c:v>
                </c:pt>
              </c:strCache>
            </c:strRef>
          </c:tx>
          <c:invertIfNegative val="0"/>
          <c:cat>
            <c:strRef>
              <c:f>'Oxon Data'!$B$83:$M$83</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'Oxon Data'!$B$86:$M$86</c:f>
              <c:numCache>
                <c:formatCode>General</c:formatCode>
                <c:ptCount val="12"/>
                <c:pt idx="0">
                  <c:v>150</c:v>
                </c:pt>
                <c:pt idx="1">
                  <c:v>183</c:v>
                </c:pt>
                <c:pt idx="2">
                  <c:v>188</c:v>
                </c:pt>
                <c:pt idx="3">
                  <c:v>222</c:v>
                </c:pt>
                <c:pt idx="4">
                  <c:v>174</c:v>
                </c:pt>
                <c:pt idx="5">
                  <c:v>199</c:v>
                </c:pt>
                <c:pt idx="6">
                  <c:v>166</c:v>
                </c:pt>
                <c:pt idx="7">
                  <c:v>178</c:v>
                </c:pt>
                <c:pt idx="8">
                  <c:v>167</c:v>
                </c:pt>
                <c:pt idx="9">
                  <c:v>197</c:v>
                </c:pt>
                <c:pt idx="10">
                  <c:v>192</c:v>
                </c:pt>
                <c:pt idx="11">
                  <c:v>238</c:v>
                </c:pt>
              </c:numCache>
            </c:numRef>
          </c:val>
        </c:ser>
        <c:dLbls>
          <c:showLegendKey val="0"/>
          <c:showVal val="0"/>
          <c:showCatName val="0"/>
          <c:showSerName val="0"/>
          <c:showPercent val="0"/>
          <c:showBubbleSize val="0"/>
        </c:dLbls>
        <c:gapWidth val="75"/>
        <c:axId val="94847360"/>
        <c:axId val="94833280"/>
      </c:barChart>
      <c:lineChart>
        <c:grouping val="standard"/>
        <c:varyColors val="0"/>
        <c:ser>
          <c:idx val="0"/>
          <c:order val="0"/>
          <c:tx>
            <c:strRef>
              <c:f>'Oxon Data'!$A$84</c:f>
              <c:strCache>
                <c:ptCount val="1"/>
                <c:pt idx="0">
                  <c:v>Assessed %</c:v>
                </c:pt>
              </c:strCache>
            </c:strRef>
          </c:tx>
          <c:marker>
            <c:symbol val="none"/>
          </c:marker>
          <c:trendline>
            <c:spPr>
              <a:ln>
                <a:solidFill>
                  <a:srgbClr val="F79646">
                    <a:lumMod val="75000"/>
                  </a:srgbClr>
                </a:solidFill>
              </a:ln>
            </c:spPr>
            <c:trendlineType val="linear"/>
            <c:dispRSqr val="0"/>
            <c:dispEq val="0"/>
          </c:trendline>
          <c:cat>
            <c:strRef>
              <c:f>'Oxon Data'!$B$83:$M$83</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'Oxon Data'!$B$84:$M$84</c:f>
              <c:numCache>
                <c:formatCode>0.0%</c:formatCode>
                <c:ptCount val="12"/>
                <c:pt idx="0">
                  <c:v>0.98666666666666669</c:v>
                </c:pt>
                <c:pt idx="1">
                  <c:v>0.93442622950819676</c:v>
                </c:pt>
                <c:pt idx="2">
                  <c:v>0.96808510638297873</c:v>
                </c:pt>
                <c:pt idx="3">
                  <c:v>0.95495495495495497</c:v>
                </c:pt>
                <c:pt idx="4">
                  <c:v>0.89655172413793105</c:v>
                </c:pt>
                <c:pt idx="5">
                  <c:v>0.84422110552763818</c:v>
                </c:pt>
                <c:pt idx="6">
                  <c:v>0.81325301204819278</c:v>
                </c:pt>
                <c:pt idx="7">
                  <c:v>0.8146067415730337</c:v>
                </c:pt>
                <c:pt idx="8">
                  <c:v>0.90419161676646709</c:v>
                </c:pt>
                <c:pt idx="9">
                  <c:v>0.78172588832487311</c:v>
                </c:pt>
                <c:pt idx="10">
                  <c:v>0.91</c:v>
                </c:pt>
                <c:pt idx="11">
                  <c:v>0.84</c:v>
                </c:pt>
              </c:numCache>
            </c:numRef>
          </c:val>
          <c:smooth val="0"/>
        </c:ser>
        <c:ser>
          <c:idx val="1"/>
          <c:order val="1"/>
          <c:tx>
            <c:strRef>
              <c:f>'Oxon Data'!$A$85</c:f>
              <c:strCache>
                <c:ptCount val="1"/>
                <c:pt idx="0">
                  <c:v>Target %</c:v>
                </c:pt>
              </c:strCache>
            </c:strRef>
          </c:tx>
          <c:marker>
            <c:symbol val="none"/>
          </c:marker>
          <c:cat>
            <c:strRef>
              <c:f>'Oxon Data'!$B$83:$M$83</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'Oxon Data'!$B$85:$M$85</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dLbls>
          <c:showLegendKey val="0"/>
          <c:showVal val="0"/>
          <c:showCatName val="0"/>
          <c:showSerName val="0"/>
          <c:showPercent val="0"/>
          <c:showBubbleSize val="0"/>
        </c:dLbls>
        <c:marker val="1"/>
        <c:smooth val="0"/>
        <c:axId val="93576576"/>
        <c:axId val="94831744"/>
      </c:lineChart>
      <c:catAx>
        <c:axId val="93576576"/>
        <c:scaling>
          <c:orientation val="minMax"/>
        </c:scaling>
        <c:delete val="0"/>
        <c:axPos val="b"/>
        <c:majorTickMark val="none"/>
        <c:minorTickMark val="none"/>
        <c:tickLblPos val="nextTo"/>
        <c:crossAx val="94831744"/>
        <c:crossesAt val="0"/>
        <c:auto val="1"/>
        <c:lblAlgn val="ctr"/>
        <c:lblOffset val="100"/>
        <c:noMultiLvlLbl val="0"/>
      </c:catAx>
      <c:valAx>
        <c:axId val="94831744"/>
        <c:scaling>
          <c:orientation val="minMax"/>
          <c:max val="1"/>
          <c:min val="0"/>
        </c:scaling>
        <c:delete val="0"/>
        <c:axPos val="l"/>
        <c:numFmt formatCode="0%" sourceLinked="0"/>
        <c:majorTickMark val="none"/>
        <c:minorTickMark val="none"/>
        <c:tickLblPos val="nextTo"/>
        <c:crossAx val="93576576"/>
        <c:crosses val="autoZero"/>
        <c:crossBetween val="between"/>
      </c:valAx>
      <c:valAx>
        <c:axId val="94833280"/>
        <c:scaling>
          <c:orientation val="minMax"/>
        </c:scaling>
        <c:delete val="0"/>
        <c:axPos val="r"/>
        <c:numFmt formatCode="General" sourceLinked="1"/>
        <c:majorTickMark val="out"/>
        <c:minorTickMark val="none"/>
        <c:tickLblPos val="nextTo"/>
        <c:crossAx val="94847360"/>
        <c:crosses val="max"/>
        <c:crossBetween val="between"/>
      </c:valAx>
      <c:catAx>
        <c:axId val="94847360"/>
        <c:scaling>
          <c:orientation val="minMax"/>
        </c:scaling>
        <c:delete val="1"/>
        <c:axPos val="b"/>
        <c:majorTickMark val="out"/>
        <c:minorTickMark val="none"/>
        <c:tickLblPos val="nextTo"/>
        <c:crossAx val="94833280"/>
        <c:crosses val="autoZero"/>
        <c:auto val="1"/>
        <c:lblAlgn val="ctr"/>
        <c:lblOffset val="100"/>
        <c:noMultiLvlLbl val="0"/>
      </c:catAx>
    </c:plotArea>
    <c:legend>
      <c:legendPos val="b"/>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757602423512619"/>
          <c:y val="5.8655754540992477E-2"/>
          <c:w val="0.71572866225946352"/>
          <c:h val="0.50933579434502319"/>
        </c:manualLayout>
      </c:layout>
      <c:barChart>
        <c:barDir val="col"/>
        <c:grouping val="clustered"/>
        <c:varyColors val="0"/>
        <c:ser>
          <c:idx val="2"/>
          <c:order val="2"/>
          <c:tx>
            <c:strRef>
              <c:f>'Oxon Data'!$F$53</c:f>
              <c:strCache>
                <c:ptCount val="1"/>
                <c:pt idx="0">
                  <c:v>No. needing training</c:v>
                </c:pt>
              </c:strCache>
            </c:strRef>
          </c:tx>
          <c:invertIfNegative val="0"/>
          <c:cat>
            <c:strRef>
              <c:f>'Oxon Data'!$G$50:$M$50</c:f>
              <c:strCache>
                <c:ptCount val="7"/>
                <c:pt idx="0">
                  <c:v>Sep</c:v>
                </c:pt>
                <c:pt idx="1">
                  <c:v>Oct</c:v>
                </c:pt>
                <c:pt idx="2">
                  <c:v>Nov</c:v>
                </c:pt>
                <c:pt idx="3">
                  <c:v>Dec</c:v>
                </c:pt>
                <c:pt idx="4">
                  <c:v>Jan</c:v>
                </c:pt>
                <c:pt idx="5">
                  <c:v>Feb</c:v>
                </c:pt>
                <c:pt idx="6">
                  <c:v>Mar</c:v>
                </c:pt>
              </c:strCache>
            </c:strRef>
          </c:cat>
          <c:val>
            <c:numRef>
              <c:f>'Oxon Data'!$G$53:$M$53</c:f>
              <c:numCache>
                <c:formatCode>General</c:formatCode>
                <c:ptCount val="7"/>
                <c:pt idx="0">
                  <c:v>252</c:v>
                </c:pt>
                <c:pt idx="1">
                  <c:v>246</c:v>
                </c:pt>
                <c:pt idx="2">
                  <c:v>252</c:v>
                </c:pt>
                <c:pt idx="3">
                  <c:v>263</c:v>
                </c:pt>
                <c:pt idx="4">
                  <c:v>248</c:v>
                </c:pt>
                <c:pt idx="5">
                  <c:v>249</c:v>
                </c:pt>
                <c:pt idx="6">
                  <c:v>245</c:v>
                </c:pt>
              </c:numCache>
            </c:numRef>
          </c:val>
        </c:ser>
        <c:dLbls>
          <c:showLegendKey val="0"/>
          <c:showVal val="0"/>
          <c:showCatName val="0"/>
          <c:showSerName val="0"/>
          <c:showPercent val="0"/>
          <c:showBubbleSize val="0"/>
        </c:dLbls>
        <c:gapWidth val="75"/>
        <c:axId val="106176896"/>
        <c:axId val="106175104"/>
      </c:barChart>
      <c:lineChart>
        <c:grouping val="standard"/>
        <c:varyColors val="0"/>
        <c:ser>
          <c:idx val="0"/>
          <c:order val="0"/>
          <c:tx>
            <c:strRef>
              <c:f>'Oxon Data'!$F$51</c:f>
              <c:strCache>
                <c:ptCount val="1"/>
                <c:pt idx="0">
                  <c:v>MCP %</c:v>
                </c:pt>
              </c:strCache>
            </c:strRef>
          </c:tx>
          <c:marker>
            <c:symbol val="none"/>
          </c:marker>
          <c:trendline>
            <c:spPr>
              <a:ln>
                <a:solidFill>
                  <a:srgbClr val="F79646">
                    <a:lumMod val="75000"/>
                  </a:srgbClr>
                </a:solidFill>
              </a:ln>
            </c:spPr>
            <c:trendlineType val="linear"/>
            <c:dispRSqr val="0"/>
            <c:dispEq val="0"/>
          </c:trendline>
          <c:cat>
            <c:strRef>
              <c:f>'Oxon Data'!$G$50:$M$50</c:f>
              <c:strCache>
                <c:ptCount val="7"/>
                <c:pt idx="0">
                  <c:v>Sep</c:v>
                </c:pt>
                <c:pt idx="1">
                  <c:v>Oct</c:v>
                </c:pt>
                <c:pt idx="2">
                  <c:v>Nov</c:v>
                </c:pt>
                <c:pt idx="3">
                  <c:v>Dec</c:v>
                </c:pt>
                <c:pt idx="4">
                  <c:v>Jan</c:v>
                </c:pt>
                <c:pt idx="5">
                  <c:v>Feb</c:v>
                </c:pt>
                <c:pt idx="6">
                  <c:v>Mar</c:v>
                </c:pt>
              </c:strCache>
            </c:strRef>
          </c:cat>
          <c:val>
            <c:numRef>
              <c:f>'Oxon Data'!$G$51:$M$51</c:f>
              <c:numCache>
                <c:formatCode>0%</c:formatCode>
                <c:ptCount val="7"/>
                <c:pt idx="0">
                  <c:v>0.73412698412698407</c:v>
                </c:pt>
                <c:pt idx="1">
                  <c:v>0.73170731707317072</c:v>
                </c:pt>
                <c:pt idx="2">
                  <c:v>0.79365079365079361</c:v>
                </c:pt>
                <c:pt idx="3">
                  <c:v>0.77946768060836502</c:v>
                </c:pt>
                <c:pt idx="4">
                  <c:v>0.79</c:v>
                </c:pt>
                <c:pt idx="5">
                  <c:v>0.78</c:v>
                </c:pt>
                <c:pt idx="6">
                  <c:v>0.79</c:v>
                </c:pt>
              </c:numCache>
            </c:numRef>
          </c:val>
          <c:smooth val="0"/>
        </c:ser>
        <c:ser>
          <c:idx val="1"/>
          <c:order val="1"/>
          <c:tx>
            <c:strRef>
              <c:f>'Oxon Data'!$F$52</c:f>
              <c:strCache>
                <c:ptCount val="1"/>
                <c:pt idx="0">
                  <c:v>Target %</c:v>
                </c:pt>
              </c:strCache>
            </c:strRef>
          </c:tx>
          <c:marker>
            <c:symbol val="none"/>
          </c:marker>
          <c:cat>
            <c:strRef>
              <c:f>'Oxon Data'!$G$50:$M$50</c:f>
              <c:strCache>
                <c:ptCount val="7"/>
                <c:pt idx="0">
                  <c:v>Sep</c:v>
                </c:pt>
                <c:pt idx="1">
                  <c:v>Oct</c:v>
                </c:pt>
                <c:pt idx="2">
                  <c:v>Nov</c:v>
                </c:pt>
                <c:pt idx="3">
                  <c:v>Dec</c:v>
                </c:pt>
                <c:pt idx="4">
                  <c:v>Jan</c:v>
                </c:pt>
                <c:pt idx="5">
                  <c:v>Feb</c:v>
                </c:pt>
                <c:pt idx="6">
                  <c:v>Mar</c:v>
                </c:pt>
              </c:strCache>
            </c:strRef>
          </c:cat>
          <c:val>
            <c:numRef>
              <c:f>'Oxon Data'!$G$52:$M$52</c:f>
              <c:numCache>
                <c:formatCode>0.0%</c:formatCode>
                <c:ptCount val="7"/>
                <c:pt idx="0">
                  <c:v>0.9</c:v>
                </c:pt>
                <c:pt idx="1">
                  <c:v>0.9</c:v>
                </c:pt>
                <c:pt idx="2">
                  <c:v>0.9</c:v>
                </c:pt>
                <c:pt idx="3">
                  <c:v>0.9</c:v>
                </c:pt>
                <c:pt idx="4">
                  <c:v>0.9</c:v>
                </c:pt>
                <c:pt idx="5">
                  <c:v>0.9</c:v>
                </c:pt>
                <c:pt idx="6">
                  <c:v>0.9</c:v>
                </c:pt>
              </c:numCache>
            </c:numRef>
          </c:val>
          <c:smooth val="0"/>
        </c:ser>
        <c:dLbls>
          <c:showLegendKey val="0"/>
          <c:showVal val="0"/>
          <c:showCatName val="0"/>
          <c:showSerName val="0"/>
          <c:showPercent val="0"/>
          <c:showBubbleSize val="0"/>
        </c:dLbls>
        <c:marker val="1"/>
        <c:smooth val="0"/>
        <c:axId val="93064576"/>
        <c:axId val="106173568"/>
      </c:lineChart>
      <c:catAx>
        <c:axId val="93064576"/>
        <c:scaling>
          <c:orientation val="minMax"/>
        </c:scaling>
        <c:delete val="0"/>
        <c:axPos val="b"/>
        <c:majorTickMark val="none"/>
        <c:minorTickMark val="none"/>
        <c:tickLblPos val="nextTo"/>
        <c:crossAx val="106173568"/>
        <c:crosses val="autoZero"/>
        <c:auto val="1"/>
        <c:lblAlgn val="ctr"/>
        <c:lblOffset val="100"/>
        <c:noMultiLvlLbl val="0"/>
      </c:catAx>
      <c:valAx>
        <c:axId val="106173568"/>
        <c:scaling>
          <c:orientation val="minMax"/>
        </c:scaling>
        <c:delete val="0"/>
        <c:axPos val="l"/>
        <c:numFmt formatCode="0%" sourceLinked="1"/>
        <c:majorTickMark val="none"/>
        <c:minorTickMark val="none"/>
        <c:tickLblPos val="nextTo"/>
        <c:crossAx val="93064576"/>
        <c:crosses val="autoZero"/>
        <c:crossBetween val="between"/>
      </c:valAx>
      <c:valAx>
        <c:axId val="106175104"/>
        <c:scaling>
          <c:orientation val="minMax"/>
        </c:scaling>
        <c:delete val="0"/>
        <c:axPos val="r"/>
        <c:numFmt formatCode="General" sourceLinked="1"/>
        <c:majorTickMark val="out"/>
        <c:minorTickMark val="none"/>
        <c:tickLblPos val="nextTo"/>
        <c:crossAx val="106176896"/>
        <c:crosses val="max"/>
        <c:crossBetween val="between"/>
      </c:valAx>
      <c:catAx>
        <c:axId val="106176896"/>
        <c:scaling>
          <c:orientation val="minMax"/>
        </c:scaling>
        <c:delete val="1"/>
        <c:axPos val="b"/>
        <c:majorTickMark val="out"/>
        <c:minorTickMark val="none"/>
        <c:tickLblPos val="nextTo"/>
        <c:crossAx val="106175104"/>
        <c:crosses val="autoZero"/>
        <c:auto val="1"/>
        <c:lblAlgn val="ctr"/>
        <c:lblOffset val="100"/>
        <c:noMultiLvlLbl val="0"/>
      </c:catAx>
    </c:plotArea>
    <c:legend>
      <c:legendPos val="b"/>
      <c:layout>
        <c:manualLayout>
          <c:xMode val="edge"/>
          <c:yMode val="edge"/>
          <c:x val="6.7042299932026705E-2"/>
          <c:y val="0.72367758420765538"/>
          <c:w val="0.89089966230512019"/>
          <c:h val="0.24406602439173158"/>
        </c:manualLayout>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0473295886874"/>
          <c:y val="4.6101365583829081E-2"/>
          <c:w val="0.71028324228201112"/>
          <c:h val="0.52552051484433715"/>
        </c:manualLayout>
      </c:layout>
      <c:barChart>
        <c:barDir val="col"/>
        <c:grouping val="clustered"/>
        <c:varyColors val="0"/>
        <c:ser>
          <c:idx val="2"/>
          <c:order val="2"/>
          <c:tx>
            <c:strRef>
              <c:f>'Oxon Data'!$F$58</c:f>
              <c:strCache>
                <c:ptCount val="1"/>
                <c:pt idx="0">
                  <c:v>No. needing training</c:v>
                </c:pt>
              </c:strCache>
            </c:strRef>
          </c:tx>
          <c:invertIfNegative val="0"/>
          <c:cat>
            <c:strRef>
              <c:f>'Oxon Data'!$G$55:$M$55</c:f>
              <c:strCache>
                <c:ptCount val="7"/>
                <c:pt idx="0">
                  <c:v>Sep</c:v>
                </c:pt>
                <c:pt idx="1">
                  <c:v>Oct</c:v>
                </c:pt>
                <c:pt idx="2">
                  <c:v>Nov</c:v>
                </c:pt>
                <c:pt idx="3">
                  <c:v>Dec</c:v>
                </c:pt>
                <c:pt idx="4">
                  <c:v>Jan</c:v>
                </c:pt>
                <c:pt idx="5">
                  <c:v>Feb</c:v>
                </c:pt>
                <c:pt idx="6">
                  <c:v>Mar</c:v>
                </c:pt>
              </c:strCache>
            </c:strRef>
          </c:cat>
          <c:val>
            <c:numRef>
              <c:f>'Oxon Data'!$G$58:$M$58</c:f>
              <c:numCache>
                <c:formatCode>General</c:formatCode>
                <c:ptCount val="7"/>
                <c:pt idx="0">
                  <c:v>232</c:v>
                </c:pt>
                <c:pt idx="1">
                  <c:v>222</c:v>
                </c:pt>
                <c:pt idx="2">
                  <c:v>224</c:v>
                </c:pt>
                <c:pt idx="3">
                  <c:v>229</c:v>
                </c:pt>
                <c:pt idx="4">
                  <c:v>221</c:v>
                </c:pt>
                <c:pt idx="5">
                  <c:v>216</c:v>
                </c:pt>
                <c:pt idx="6">
                  <c:v>217</c:v>
                </c:pt>
              </c:numCache>
            </c:numRef>
          </c:val>
        </c:ser>
        <c:dLbls>
          <c:showLegendKey val="0"/>
          <c:showVal val="0"/>
          <c:showCatName val="0"/>
          <c:showSerName val="0"/>
          <c:showPercent val="0"/>
          <c:showBubbleSize val="0"/>
        </c:dLbls>
        <c:gapWidth val="75"/>
        <c:axId val="106316160"/>
        <c:axId val="106302080"/>
      </c:barChart>
      <c:lineChart>
        <c:grouping val="standard"/>
        <c:varyColors val="0"/>
        <c:ser>
          <c:idx val="0"/>
          <c:order val="0"/>
          <c:tx>
            <c:strRef>
              <c:f>'Oxon Data'!$F$56</c:f>
              <c:strCache>
                <c:ptCount val="1"/>
                <c:pt idx="0">
                  <c:v>Prevent %</c:v>
                </c:pt>
              </c:strCache>
            </c:strRef>
          </c:tx>
          <c:marker>
            <c:symbol val="none"/>
          </c:marker>
          <c:trendline>
            <c:spPr>
              <a:ln>
                <a:solidFill>
                  <a:srgbClr val="F79646">
                    <a:lumMod val="75000"/>
                  </a:srgbClr>
                </a:solidFill>
              </a:ln>
            </c:spPr>
            <c:trendlineType val="linear"/>
            <c:dispRSqr val="0"/>
            <c:dispEq val="0"/>
          </c:trendline>
          <c:cat>
            <c:strRef>
              <c:f>'Oxon Data'!$G$55:$M$55</c:f>
              <c:strCache>
                <c:ptCount val="7"/>
                <c:pt idx="0">
                  <c:v>Sep</c:v>
                </c:pt>
                <c:pt idx="1">
                  <c:v>Oct</c:v>
                </c:pt>
                <c:pt idx="2">
                  <c:v>Nov</c:v>
                </c:pt>
                <c:pt idx="3">
                  <c:v>Dec</c:v>
                </c:pt>
                <c:pt idx="4">
                  <c:v>Jan</c:v>
                </c:pt>
                <c:pt idx="5">
                  <c:v>Feb</c:v>
                </c:pt>
                <c:pt idx="6">
                  <c:v>Mar</c:v>
                </c:pt>
              </c:strCache>
            </c:strRef>
          </c:cat>
          <c:val>
            <c:numRef>
              <c:f>'Oxon Data'!$G$56:$M$56</c:f>
              <c:numCache>
                <c:formatCode>0%</c:formatCode>
                <c:ptCount val="7"/>
                <c:pt idx="0">
                  <c:v>0.5818965517241379</c:v>
                </c:pt>
                <c:pt idx="1">
                  <c:v>0.6216216216216216</c:v>
                </c:pt>
                <c:pt idx="2">
                  <c:v>0.6383928571428571</c:v>
                </c:pt>
                <c:pt idx="3">
                  <c:v>0.64192139737991272</c:v>
                </c:pt>
                <c:pt idx="4">
                  <c:v>0.65</c:v>
                </c:pt>
                <c:pt idx="5">
                  <c:v>0.66</c:v>
                </c:pt>
                <c:pt idx="6">
                  <c:v>0.71</c:v>
                </c:pt>
              </c:numCache>
            </c:numRef>
          </c:val>
          <c:smooth val="0"/>
        </c:ser>
        <c:ser>
          <c:idx val="1"/>
          <c:order val="1"/>
          <c:tx>
            <c:strRef>
              <c:f>'Oxon Data'!$F$57</c:f>
              <c:strCache>
                <c:ptCount val="1"/>
                <c:pt idx="0">
                  <c:v>Target %</c:v>
                </c:pt>
              </c:strCache>
            </c:strRef>
          </c:tx>
          <c:marker>
            <c:symbol val="none"/>
          </c:marker>
          <c:cat>
            <c:strRef>
              <c:f>'Oxon Data'!$G$55:$M$55</c:f>
              <c:strCache>
                <c:ptCount val="7"/>
                <c:pt idx="0">
                  <c:v>Sep</c:v>
                </c:pt>
                <c:pt idx="1">
                  <c:v>Oct</c:v>
                </c:pt>
                <c:pt idx="2">
                  <c:v>Nov</c:v>
                </c:pt>
                <c:pt idx="3">
                  <c:v>Dec</c:v>
                </c:pt>
                <c:pt idx="4">
                  <c:v>Jan</c:v>
                </c:pt>
                <c:pt idx="5">
                  <c:v>Feb</c:v>
                </c:pt>
                <c:pt idx="6">
                  <c:v>Mar</c:v>
                </c:pt>
              </c:strCache>
            </c:strRef>
          </c:cat>
          <c:val>
            <c:numRef>
              <c:f>'Oxon Data'!$G$57:$M$57</c:f>
              <c:numCache>
                <c:formatCode>0.0%</c:formatCode>
                <c:ptCount val="7"/>
                <c:pt idx="0">
                  <c:v>0.9</c:v>
                </c:pt>
                <c:pt idx="1">
                  <c:v>0.9</c:v>
                </c:pt>
                <c:pt idx="2">
                  <c:v>0.9</c:v>
                </c:pt>
                <c:pt idx="3">
                  <c:v>0.9</c:v>
                </c:pt>
                <c:pt idx="4">
                  <c:v>0.9</c:v>
                </c:pt>
                <c:pt idx="5">
                  <c:v>0.9</c:v>
                </c:pt>
                <c:pt idx="6">
                  <c:v>0.9</c:v>
                </c:pt>
              </c:numCache>
            </c:numRef>
          </c:val>
          <c:smooth val="0"/>
        </c:ser>
        <c:dLbls>
          <c:showLegendKey val="0"/>
          <c:showVal val="0"/>
          <c:showCatName val="0"/>
          <c:showSerName val="0"/>
          <c:showPercent val="0"/>
          <c:showBubbleSize val="0"/>
        </c:dLbls>
        <c:marker val="1"/>
        <c:smooth val="0"/>
        <c:axId val="106024320"/>
        <c:axId val="106300544"/>
      </c:lineChart>
      <c:catAx>
        <c:axId val="106024320"/>
        <c:scaling>
          <c:orientation val="minMax"/>
        </c:scaling>
        <c:delete val="0"/>
        <c:axPos val="b"/>
        <c:majorTickMark val="none"/>
        <c:minorTickMark val="none"/>
        <c:tickLblPos val="nextTo"/>
        <c:crossAx val="106300544"/>
        <c:crosses val="autoZero"/>
        <c:auto val="1"/>
        <c:lblAlgn val="ctr"/>
        <c:lblOffset val="100"/>
        <c:noMultiLvlLbl val="0"/>
      </c:catAx>
      <c:valAx>
        <c:axId val="106300544"/>
        <c:scaling>
          <c:orientation val="minMax"/>
        </c:scaling>
        <c:delete val="0"/>
        <c:axPos val="l"/>
        <c:numFmt formatCode="0%" sourceLinked="1"/>
        <c:majorTickMark val="none"/>
        <c:minorTickMark val="none"/>
        <c:tickLblPos val="nextTo"/>
        <c:crossAx val="106024320"/>
        <c:crosses val="autoZero"/>
        <c:crossBetween val="between"/>
      </c:valAx>
      <c:valAx>
        <c:axId val="106302080"/>
        <c:scaling>
          <c:orientation val="minMax"/>
        </c:scaling>
        <c:delete val="0"/>
        <c:axPos val="r"/>
        <c:numFmt formatCode="General" sourceLinked="1"/>
        <c:majorTickMark val="out"/>
        <c:minorTickMark val="none"/>
        <c:tickLblPos val="nextTo"/>
        <c:crossAx val="106316160"/>
        <c:crosses val="max"/>
        <c:crossBetween val="between"/>
      </c:valAx>
      <c:catAx>
        <c:axId val="106316160"/>
        <c:scaling>
          <c:orientation val="minMax"/>
        </c:scaling>
        <c:delete val="1"/>
        <c:axPos val="b"/>
        <c:majorTickMark val="out"/>
        <c:minorTickMark val="none"/>
        <c:tickLblPos val="nextTo"/>
        <c:crossAx val="106302080"/>
        <c:crosses val="autoZero"/>
        <c:auto val="1"/>
        <c:lblAlgn val="ctr"/>
        <c:lblOffset val="100"/>
        <c:noMultiLvlLbl val="0"/>
      </c:catAx>
    </c:plotArea>
    <c:legend>
      <c:legendPos val="b"/>
      <c:layout>
        <c:manualLayout>
          <c:xMode val="edge"/>
          <c:yMode val="edge"/>
          <c:x val="0.10233336396685951"/>
          <c:y val="0.71238756636917833"/>
          <c:w val="0.85029188782830656"/>
          <c:h val="0.25502093349061572"/>
        </c:manualLayout>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'IAPT data'!$G$22</c:f>
              <c:strCache>
                <c:ptCount val="1"/>
                <c:pt idx="0">
                  <c:v>Actual</c:v>
                </c:pt>
              </c:strCache>
            </c:strRef>
          </c:tx>
          <c:marker>
            <c:symbol val="none"/>
          </c:marker>
          <c:trendline>
            <c:spPr>
              <a:ln>
                <a:solidFill>
                  <a:srgbClr val="F79646">
                    <a:lumMod val="75000"/>
                  </a:srgbClr>
                </a:solidFill>
              </a:ln>
            </c:spPr>
            <c:trendlineType val="linear"/>
            <c:dispRSqr val="0"/>
            <c:dispEq val="0"/>
          </c:trendline>
          <c:cat>
            <c:strRef>
              <c:f>'IAPT data'!$H$21:$M$21</c:f>
              <c:strCache>
                <c:ptCount val="6"/>
                <c:pt idx="0">
                  <c:v>Oct</c:v>
                </c:pt>
                <c:pt idx="1">
                  <c:v>Nov</c:v>
                </c:pt>
                <c:pt idx="2">
                  <c:v>Dec</c:v>
                </c:pt>
                <c:pt idx="3">
                  <c:v>Jan</c:v>
                </c:pt>
                <c:pt idx="4">
                  <c:v>Feb</c:v>
                </c:pt>
                <c:pt idx="5">
                  <c:v>Mar</c:v>
                </c:pt>
              </c:strCache>
            </c:strRef>
          </c:cat>
          <c:val>
            <c:numRef>
              <c:f>'IAPT data'!$H$22:$M$22</c:f>
              <c:numCache>
                <c:formatCode>0.0%</c:formatCode>
                <c:ptCount val="6"/>
                <c:pt idx="0">
                  <c:v>0.81499999999999995</c:v>
                </c:pt>
                <c:pt idx="1">
                  <c:v>0.80400000000000005</c:v>
                </c:pt>
                <c:pt idx="2">
                  <c:v>0.79479999999999995</c:v>
                </c:pt>
                <c:pt idx="3">
                  <c:v>0.85</c:v>
                </c:pt>
                <c:pt idx="4">
                  <c:v>0.71</c:v>
                </c:pt>
                <c:pt idx="5">
                  <c:v>0.77</c:v>
                </c:pt>
              </c:numCache>
            </c:numRef>
          </c:val>
          <c:smooth val="0"/>
        </c:ser>
        <c:ser>
          <c:idx val="1"/>
          <c:order val="1"/>
          <c:tx>
            <c:strRef>
              <c:f>'IAPT data'!$G$23</c:f>
              <c:strCache>
                <c:ptCount val="1"/>
                <c:pt idx="0">
                  <c:v>Target</c:v>
                </c:pt>
              </c:strCache>
            </c:strRef>
          </c:tx>
          <c:marker>
            <c:symbol val="none"/>
          </c:marker>
          <c:cat>
            <c:strRef>
              <c:f>'IAPT data'!$H$21:$M$21</c:f>
              <c:strCache>
                <c:ptCount val="6"/>
                <c:pt idx="0">
                  <c:v>Oct</c:v>
                </c:pt>
                <c:pt idx="1">
                  <c:v>Nov</c:v>
                </c:pt>
                <c:pt idx="2">
                  <c:v>Dec</c:v>
                </c:pt>
                <c:pt idx="3">
                  <c:v>Jan</c:v>
                </c:pt>
                <c:pt idx="4">
                  <c:v>Feb</c:v>
                </c:pt>
                <c:pt idx="5">
                  <c:v>Mar</c:v>
                </c:pt>
              </c:strCache>
            </c:strRef>
          </c:cat>
          <c:val>
            <c:numRef>
              <c:f>'IAPT data'!$H$23:$M$23</c:f>
              <c:numCache>
                <c:formatCode>0.0%</c:formatCode>
                <c:ptCount val="6"/>
                <c:pt idx="0">
                  <c:v>0.9</c:v>
                </c:pt>
                <c:pt idx="1">
                  <c:v>0.9</c:v>
                </c:pt>
                <c:pt idx="2">
                  <c:v>0.9</c:v>
                </c:pt>
                <c:pt idx="3">
                  <c:v>0.9</c:v>
                </c:pt>
                <c:pt idx="4">
                  <c:v>0.9</c:v>
                </c:pt>
                <c:pt idx="5">
                  <c:v>0.9</c:v>
                </c:pt>
              </c:numCache>
            </c:numRef>
          </c:val>
          <c:smooth val="0"/>
        </c:ser>
        <c:dLbls>
          <c:showLegendKey val="0"/>
          <c:showVal val="0"/>
          <c:showCatName val="0"/>
          <c:showSerName val="0"/>
          <c:showPercent val="0"/>
          <c:showBubbleSize val="0"/>
        </c:dLbls>
        <c:marker val="1"/>
        <c:smooth val="0"/>
        <c:axId val="106468480"/>
        <c:axId val="106470016"/>
      </c:lineChart>
      <c:catAx>
        <c:axId val="106468480"/>
        <c:scaling>
          <c:orientation val="minMax"/>
        </c:scaling>
        <c:delete val="0"/>
        <c:axPos val="b"/>
        <c:majorTickMark val="none"/>
        <c:minorTickMark val="none"/>
        <c:tickLblPos val="nextTo"/>
        <c:crossAx val="106470016"/>
        <c:crosses val="autoZero"/>
        <c:auto val="1"/>
        <c:lblAlgn val="ctr"/>
        <c:lblOffset val="100"/>
        <c:noMultiLvlLbl val="0"/>
      </c:catAx>
      <c:valAx>
        <c:axId val="106470016"/>
        <c:scaling>
          <c:orientation val="minMax"/>
          <c:max val="1"/>
        </c:scaling>
        <c:delete val="0"/>
        <c:axPos val="l"/>
        <c:numFmt formatCode="0%" sourceLinked="0"/>
        <c:majorTickMark val="none"/>
        <c:minorTickMark val="none"/>
        <c:tickLblPos val="nextTo"/>
        <c:crossAx val="106468480"/>
        <c:crosses val="autoZero"/>
        <c:crossBetween val="between"/>
      </c:valAx>
    </c:plotArea>
    <c:legend>
      <c:legendPos val="b"/>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'IAPT data'!$G$25</c:f>
              <c:strCache>
                <c:ptCount val="1"/>
                <c:pt idx="0">
                  <c:v>Actual</c:v>
                </c:pt>
              </c:strCache>
            </c:strRef>
          </c:tx>
          <c:marker>
            <c:symbol val="none"/>
          </c:marker>
          <c:trendline>
            <c:spPr>
              <a:ln>
                <a:solidFill>
                  <a:srgbClr val="F79646">
                    <a:lumMod val="75000"/>
                  </a:srgbClr>
                </a:solidFill>
              </a:ln>
            </c:spPr>
            <c:trendlineType val="linear"/>
            <c:dispRSqr val="0"/>
            <c:dispEq val="0"/>
          </c:trendline>
          <c:cat>
            <c:strRef>
              <c:f>'IAPT data'!$H$21:$M$21</c:f>
              <c:strCache>
                <c:ptCount val="6"/>
                <c:pt idx="0">
                  <c:v>Oct</c:v>
                </c:pt>
                <c:pt idx="1">
                  <c:v>Nov</c:v>
                </c:pt>
                <c:pt idx="2">
                  <c:v>Dec</c:v>
                </c:pt>
                <c:pt idx="3">
                  <c:v>Jan</c:v>
                </c:pt>
                <c:pt idx="4">
                  <c:v>Feb</c:v>
                </c:pt>
                <c:pt idx="5">
                  <c:v>Mar</c:v>
                </c:pt>
              </c:strCache>
            </c:strRef>
          </c:cat>
          <c:val>
            <c:numRef>
              <c:f>'IAPT data'!$H$25:$M$25</c:f>
              <c:numCache>
                <c:formatCode>0.0%</c:formatCode>
                <c:ptCount val="6"/>
                <c:pt idx="0">
                  <c:v>0.78900000000000003</c:v>
                </c:pt>
                <c:pt idx="1">
                  <c:v>0.72540000000000004</c:v>
                </c:pt>
                <c:pt idx="2">
                  <c:v>0.92300000000000004</c:v>
                </c:pt>
                <c:pt idx="3">
                  <c:v>0.91</c:v>
                </c:pt>
                <c:pt idx="4">
                  <c:v>0.77780000000000005</c:v>
                </c:pt>
                <c:pt idx="5">
                  <c:v>0.77</c:v>
                </c:pt>
              </c:numCache>
            </c:numRef>
          </c:val>
          <c:smooth val="0"/>
        </c:ser>
        <c:ser>
          <c:idx val="1"/>
          <c:order val="1"/>
          <c:tx>
            <c:strRef>
              <c:f>'IAPT data'!$G$26</c:f>
              <c:strCache>
                <c:ptCount val="1"/>
                <c:pt idx="0">
                  <c:v>Target</c:v>
                </c:pt>
              </c:strCache>
            </c:strRef>
          </c:tx>
          <c:marker>
            <c:symbol val="none"/>
          </c:marker>
          <c:cat>
            <c:strRef>
              <c:f>'IAPT data'!$H$21:$M$21</c:f>
              <c:strCache>
                <c:ptCount val="6"/>
                <c:pt idx="0">
                  <c:v>Oct</c:v>
                </c:pt>
                <c:pt idx="1">
                  <c:v>Nov</c:v>
                </c:pt>
                <c:pt idx="2">
                  <c:v>Dec</c:v>
                </c:pt>
                <c:pt idx="3">
                  <c:v>Jan</c:v>
                </c:pt>
                <c:pt idx="4">
                  <c:v>Feb</c:v>
                </c:pt>
                <c:pt idx="5">
                  <c:v>Mar</c:v>
                </c:pt>
              </c:strCache>
            </c:strRef>
          </c:cat>
          <c:val>
            <c:numRef>
              <c:f>'IAPT data'!$H$26:$M$26</c:f>
              <c:numCache>
                <c:formatCode>0.0%</c:formatCode>
                <c:ptCount val="6"/>
                <c:pt idx="0">
                  <c:v>0.9</c:v>
                </c:pt>
                <c:pt idx="1">
                  <c:v>0.9</c:v>
                </c:pt>
                <c:pt idx="2">
                  <c:v>0.9</c:v>
                </c:pt>
                <c:pt idx="3">
                  <c:v>0.9</c:v>
                </c:pt>
                <c:pt idx="4">
                  <c:v>0.9</c:v>
                </c:pt>
                <c:pt idx="5">
                  <c:v>0.9</c:v>
                </c:pt>
              </c:numCache>
            </c:numRef>
          </c:val>
          <c:smooth val="0"/>
        </c:ser>
        <c:dLbls>
          <c:showLegendKey val="0"/>
          <c:showVal val="0"/>
          <c:showCatName val="0"/>
          <c:showSerName val="0"/>
          <c:showPercent val="0"/>
          <c:showBubbleSize val="0"/>
        </c:dLbls>
        <c:marker val="1"/>
        <c:smooth val="0"/>
        <c:axId val="106651648"/>
        <c:axId val="106653184"/>
      </c:lineChart>
      <c:catAx>
        <c:axId val="106651648"/>
        <c:scaling>
          <c:orientation val="minMax"/>
        </c:scaling>
        <c:delete val="0"/>
        <c:axPos val="b"/>
        <c:majorTickMark val="none"/>
        <c:minorTickMark val="none"/>
        <c:tickLblPos val="nextTo"/>
        <c:crossAx val="106653184"/>
        <c:crosses val="autoZero"/>
        <c:auto val="1"/>
        <c:lblAlgn val="ctr"/>
        <c:lblOffset val="100"/>
        <c:noMultiLvlLbl val="0"/>
      </c:catAx>
      <c:valAx>
        <c:axId val="106653184"/>
        <c:scaling>
          <c:orientation val="minMax"/>
        </c:scaling>
        <c:delete val="0"/>
        <c:axPos val="l"/>
        <c:numFmt formatCode="0%" sourceLinked="0"/>
        <c:majorTickMark val="none"/>
        <c:minorTickMark val="none"/>
        <c:tickLblPos val="nextTo"/>
        <c:crossAx val="106651648"/>
        <c:crosses val="autoZero"/>
        <c:crossBetween val="between"/>
      </c:valAx>
    </c:plotArea>
    <c:legend>
      <c:legendPos val="b"/>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8756360871007371"/>
          <c:y val="0.11412037037037037"/>
          <c:w val="0.50842120591539264"/>
          <c:h val="0.65767023913677458"/>
        </c:manualLayout>
      </c:layout>
      <c:lineChart>
        <c:grouping val="standard"/>
        <c:varyColors val="0"/>
        <c:ser>
          <c:idx val="0"/>
          <c:order val="0"/>
          <c:tx>
            <c:strRef>
              <c:f>Sheet1!$A$32</c:f>
              <c:strCache>
                <c:ptCount val="1"/>
                <c:pt idx="0">
                  <c:v>% KPIs achieved</c:v>
                </c:pt>
              </c:strCache>
            </c:strRef>
          </c:tx>
          <c:dLbls>
            <c:showLegendKey val="0"/>
            <c:showVal val="1"/>
            <c:showCatName val="0"/>
            <c:showSerName val="0"/>
            <c:showPercent val="0"/>
            <c:showBubbleSize val="0"/>
            <c:showLeaderLines val="0"/>
          </c:dLbls>
          <c:cat>
            <c:strRef>
              <c:f>Sheet1!$B$31:$D$31</c:f>
              <c:strCache>
                <c:ptCount val="3"/>
                <c:pt idx="0">
                  <c:v>M10</c:v>
                </c:pt>
                <c:pt idx="1">
                  <c:v>M11</c:v>
                </c:pt>
                <c:pt idx="2">
                  <c:v>M12</c:v>
                </c:pt>
              </c:strCache>
            </c:strRef>
          </c:cat>
          <c:val>
            <c:numRef>
              <c:f>Sheet1!$B$32:$D$32</c:f>
              <c:numCache>
                <c:formatCode>0%</c:formatCode>
                <c:ptCount val="3"/>
                <c:pt idx="0">
                  <c:v>0.93</c:v>
                </c:pt>
                <c:pt idx="1">
                  <c:v>0.92</c:v>
                </c:pt>
                <c:pt idx="2">
                  <c:v>0.93</c:v>
                </c:pt>
              </c:numCache>
            </c:numRef>
          </c:val>
          <c:smooth val="0"/>
        </c:ser>
        <c:dLbls>
          <c:showLegendKey val="0"/>
          <c:showVal val="0"/>
          <c:showCatName val="0"/>
          <c:showSerName val="0"/>
          <c:showPercent val="0"/>
          <c:showBubbleSize val="0"/>
        </c:dLbls>
        <c:marker val="1"/>
        <c:smooth val="0"/>
        <c:axId val="23592320"/>
        <c:axId val="82658816"/>
      </c:lineChart>
      <c:catAx>
        <c:axId val="23592320"/>
        <c:scaling>
          <c:orientation val="minMax"/>
        </c:scaling>
        <c:delete val="0"/>
        <c:axPos val="b"/>
        <c:title>
          <c:tx>
            <c:rich>
              <a:bodyPr/>
              <a:lstStyle/>
              <a:p>
                <a:pPr>
                  <a:defRPr/>
                </a:pPr>
                <a:r>
                  <a:rPr lang="en-US"/>
                  <a:t>Month FY17</a:t>
                </a:r>
              </a:p>
            </c:rich>
          </c:tx>
          <c:layout/>
          <c:overlay val="0"/>
        </c:title>
        <c:majorTickMark val="none"/>
        <c:minorTickMark val="none"/>
        <c:tickLblPos val="nextTo"/>
        <c:crossAx val="82658816"/>
        <c:crosses val="autoZero"/>
        <c:auto val="1"/>
        <c:lblAlgn val="ctr"/>
        <c:lblOffset val="100"/>
        <c:noMultiLvlLbl val="0"/>
      </c:catAx>
      <c:valAx>
        <c:axId val="82658816"/>
        <c:scaling>
          <c:orientation val="minMax"/>
          <c:min val="0.8"/>
        </c:scaling>
        <c:delete val="0"/>
        <c:axPos val="l"/>
        <c:majorGridlines/>
        <c:title>
          <c:tx>
            <c:rich>
              <a:bodyPr/>
              <a:lstStyle/>
              <a:p>
                <a:pPr>
                  <a:defRPr/>
                </a:pPr>
                <a:r>
                  <a:rPr lang="en-US"/>
                  <a:t>% compliance</a:t>
                </a:r>
              </a:p>
            </c:rich>
          </c:tx>
          <c:layout>
            <c:manualLayout>
              <c:xMode val="edge"/>
              <c:yMode val="edge"/>
              <c:x val="2.9760028106898668E-2"/>
              <c:y val="0.24323536290636938"/>
            </c:manualLayout>
          </c:layout>
          <c:overlay val="0"/>
        </c:title>
        <c:numFmt formatCode="0%" sourceLinked="1"/>
        <c:majorTickMark val="out"/>
        <c:minorTickMark val="none"/>
        <c:tickLblPos val="nextTo"/>
        <c:crossAx val="23592320"/>
        <c:crosses val="autoZero"/>
        <c:crossBetween val="between"/>
      </c:valAx>
    </c:plotArea>
    <c:legend>
      <c:legendPos val="r"/>
      <c:layout>
        <c:manualLayout>
          <c:xMode val="edge"/>
          <c:yMode val="edge"/>
          <c:x val="0.72729208056390571"/>
          <c:y val="0.36415559876819725"/>
          <c:w val="0.25509576223782687"/>
          <c:h val="0.19912164444790936"/>
        </c:manualLayout>
      </c:layout>
      <c:overlay val="0"/>
    </c:legend>
    <c:plotVisOnly val="1"/>
    <c:dispBlanksAs val="gap"/>
    <c:showDLblsOverMax val="0"/>
  </c:chart>
  <c:txPr>
    <a:bodyPr/>
    <a:lstStyle/>
    <a:p>
      <a:pPr>
        <a:defRPr sz="9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'IAPT data'!$G$10</c:f>
              <c:strCache>
                <c:ptCount val="1"/>
                <c:pt idx="0">
                  <c:v>Actual</c:v>
                </c:pt>
              </c:strCache>
            </c:strRef>
          </c:tx>
          <c:marker>
            <c:symbol val="none"/>
          </c:marker>
          <c:trendline>
            <c:spPr>
              <a:ln>
                <a:solidFill>
                  <a:srgbClr val="F79646">
                    <a:lumMod val="75000"/>
                  </a:srgbClr>
                </a:solidFill>
              </a:ln>
            </c:spPr>
            <c:trendlineType val="linear"/>
            <c:dispRSqr val="0"/>
            <c:dispEq val="0"/>
          </c:trendline>
          <c:cat>
            <c:strRef>
              <c:f>'IAPT data'!$H$9:$M$9</c:f>
              <c:strCache>
                <c:ptCount val="6"/>
                <c:pt idx="0">
                  <c:v>Oct</c:v>
                </c:pt>
                <c:pt idx="1">
                  <c:v>Nov</c:v>
                </c:pt>
                <c:pt idx="2">
                  <c:v>Dec</c:v>
                </c:pt>
                <c:pt idx="3">
                  <c:v>Jan</c:v>
                </c:pt>
                <c:pt idx="4">
                  <c:v>Feb</c:v>
                </c:pt>
                <c:pt idx="5">
                  <c:v>Mar</c:v>
                </c:pt>
              </c:strCache>
            </c:strRef>
          </c:cat>
          <c:val>
            <c:numRef>
              <c:f>'IAPT data'!$H$10:$M$10</c:f>
              <c:numCache>
                <c:formatCode>General</c:formatCode>
                <c:ptCount val="6"/>
                <c:pt idx="0">
                  <c:v>17</c:v>
                </c:pt>
                <c:pt idx="1">
                  <c:v>23</c:v>
                </c:pt>
                <c:pt idx="2">
                  <c:v>19</c:v>
                </c:pt>
                <c:pt idx="3">
                  <c:v>13</c:v>
                </c:pt>
                <c:pt idx="4">
                  <c:v>12</c:v>
                </c:pt>
                <c:pt idx="5">
                  <c:v>13</c:v>
                </c:pt>
              </c:numCache>
            </c:numRef>
          </c:val>
          <c:smooth val="0"/>
        </c:ser>
        <c:ser>
          <c:idx val="1"/>
          <c:order val="1"/>
          <c:tx>
            <c:strRef>
              <c:f>'IAPT data'!$G$11</c:f>
              <c:strCache>
                <c:ptCount val="1"/>
                <c:pt idx="0">
                  <c:v>Target</c:v>
                </c:pt>
              </c:strCache>
            </c:strRef>
          </c:tx>
          <c:marker>
            <c:symbol val="none"/>
          </c:marker>
          <c:cat>
            <c:strRef>
              <c:f>'IAPT data'!$H$9:$M$9</c:f>
              <c:strCache>
                <c:ptCount val="6"/>
                <c:pt idx="0">
                  <c:v>Oct</c:v>
                </c:pt>
                <c:pt idx="1">
                  <c:v>Nov</c:v>
                </c:pt>
                <c:pt idx="2">
                  <c:v>Dec</c:v>
                </c:pt>
                <c:pt idx="3">
                  <c:v>Jan</c:v>
                </c:pt>
                <c:pt idx="4">
                  <c:v>Feb</c:v>
                </c:pt>
                <c:pt idx="5">
                  <c:v>Mar</c:v>
                </c:pt>
              </c:strCache>
            </c:strRef>
          </c:cat>
          <c:val>
            <c:numRef>
              <c:f>'IAPT data'!$H$11:$M$11</c:f>
              <c:numCache>
                <c:formatCode>General</c:formatCode>
                <c:ptCount val="6"/>
                <c:pt idx="0">
                  <c:v>14</c:v>
                </c:pt>
                <c:pt idx="1">
                  <c:v>12</c:v>
                </c:pt>
                <c:pt idx="2">
                  <c:v>10</c:v>
                </c:pt>
                <c:pt idx="3">
                  <c:v>8</c:v>
                </c:pt>
                <c:pt idx="4">
                  <c:v>6</c:v>
                </c:pt>
                <c:pt idx="5">
                  <c:v>4</c:v>
                </c:pt>
              </c:numCache>
            </c:numRef>
          </c:val>
          <c:smooth val="0"/>
        </c:ser>
        <c:dLbls>
          <c:showLegendKey val="0"/>
          <c:showVal val="0"/>
          <c:showCatName val="0"/>
          <c:showSerName val="0"/>
          <c:showPercent val="0"/>
          <c:showBubbleSize val="0"/>
        </c:dLbls>
        <c:marker val="1"/>
        <c:smooth val="0"/>
        <c:axId val="109107840"/>
        <c:axId val="108986752"/>
      </c:lineChart>
      <c:catAx>
        <c:axId val="109107840"/>
        <c:scaling>
          <c:orientation val="minMax"/>
        </c:scaling>
        <c:delete val="0"/>
        <c:axPos val="b"/>
        <c:majorTickMark val="none"/>
        <c:minorTickMark val="none"/>
        <c:tickLblPos val="nextTo"/>
        <c:crossAx val="108986752"/>
        <c:crosses val="autoZero"/>
        <c:auto val="1"/>
        <c:lblAlgn val="ctr"/>
        <c:lblOffset val="100"/>
        <c:noMultiLvlLbl val="0"/>
      </c:catAx>
      <c:valAx>
        <c:axId val="108986752"/>
        <c:scaling>
          <c:orientation val="minMax"/>
        </c:scaling>
        <c:delete val="0"/>
        <c:axPos val="l"/>
        <c:numFmt formatCode="General" sourceLinked="1"/>
        <c:majorTickMark val="none"/>
        <c:minorTickMark val="none"/>
        <c:tickLblPos val="nextTo"/>
        <c:crossAx val="109107840"/>
        <c:crosses val="autoZero"/>
        <c:crossBetween val="between"/>
      </c:valAx>
    </c:plotArea>
    <c:legend>
      <c:legendPos val="b"/>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'Bucks data'!$A$5</c:f>
              <c:strCache>
                <c:ptCount val="1"/>
                <c:pt idx="0">
                  <c:v>Total people to be reviewed</c:v>
                </c:pt>
              </c:strCache>
            </c:strRef>
          </c:tx>
          <c:invertIfNegative val="0"/>
          <c:cat>
            <c:strRef>
              <c:f>'Bucks data'!$B$2:$M$2</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data'!$B$5:$M$5</c:f>
              <c:numCache>
                <c:formatCode>General</c:formatCode>
                <c:ptCount val="12"/>
                <c:pt idx="0">
                  <c:v>37</c:v>
                </c:pt>
                <c:pt idx="1">
                  <c:v>18</c:v>
                </c:pt>
                <c:pt idx="2">
                  <c:v>28</c:v>
                </c:pt>
                <c:pt idx="3">
                  <c:v>31</c:v>
                </c:pt>
                <c:pt idx="4">
                  <c:v>50</c:v>
                </c:pt>
                <c:pt idx="5">
                  <c:v>33</c:v>
                </c:pt>
                <c:pt idx="6">
                  <c:v>24</c:v>
                </c:pt>
                <c:pt idx="7">
                  <c:v>44</c:v>
                </c:pt>
                <c:pt idx="8">
                  <c:v>28</c:v>
                </c:pt>
                <c:pt idx="9">
                  <c:v>44</c:v>
                </c:pt>
                <c:pt idx="10">
                  <c:v>36</c:v>
                </c:pt>
                <c:pt idx="11">
                  <c:v>42</c:v>
                </c:pt>
              </c:numCache>
            </c:numRef>
          </c:val>
        </c:ser>
        <c:dLbls>
          <c:showLegendKey val="0"/>
          <c:showVal val="0"/>
          <c:showCatName val="0"/>
          <c:showSerName val="0"/>
          <c:showPercent val="0"/>
          <c:showBubbleSize val="0"/>
        </c:dLbls>
        <c:gapWidth val="150"/>
        <c:axId val="109371776"/>
        <c:axId val="109361792"/>
      </c:barChart>
      <c:lineChart>
        <c:grouping val="standard"/>
        <c:varyColors val="0"/>
        <c:ser>
          <c:idx val="0"/>
          <c:order val="0"/>
          <c:tx>
            <c:strRef>
              <c:f>'Bucks data'!$A$3</c:f>
              <c:strCache>
                <c:ptCount val="1"/>
                <c:pt idx="0">
                  <c:v>% Reviewed within timescales</c:v>
                </c:pt>
              </c:strCache>
            </c:strRef>
          </c:tx>
          <c:marker>
            <c:symbol val="none"/>
          </c:marker>
          <c:trendline>
            <c:spPr>
              <a:ln>
                <a:solidFill>
                  <a:srgbClr val="F79646">
                    <a:lumMod val="75000"/>
                  </a:srgbClr>
                </a:solidFill>
              </a:ln>
            </c:spPr>
            <c:trendlineType val="linear"/>
            <c:dispRSqr val="0"/>
            <c:dispEq val="0"/>
          </c:trendline>
          <c:cat>
            <c:strRef>
              <c:f>'Bucks data'!$B$2:$M$2</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data'!$B$3:$M$3</c:f>
              <c:numCache>
                <c:formatCode>0%</c:formatCode>
                <c:ptCount val="12"/>
                <c:pt idx="0">
                  <c:v>0.89189189189189189</c:v>
                </c:pt>
                <c:pt idx="1">
                  <c:v>0.83333333333333337</c:v>
                </c:pt>
                <c:pt idx="2">
                  <c:v>0.7857142857142857</c:v>
                </c:pt>
                <c:pt idx="3">
                  <c:v>0.70967741935483875</c:v>
                </c:pt>
                <c:pt idx="4">
                  <c:v>0.8</c:v>
                </c:pt>
                <c:pt idx="5">
                  <c:v>0.5757575757575758</c:v>
                </c:pt>
                <c:pt idx="6">
                  <c:v>0.83333333333333337</c:v>
                </c:pt>
                <c:pt idx="7">
                  <c:v>0.75</c:v>
                </c:pt>
                <c:pt idx="8">
                  <c:v>0.7857142857142857</c:v>
                </c:pt>
                <c:pt idx="9">
                  <c:v>0.77</c:v>
                </c:pt>
                <c:pt idx="10">
                  <c:v>0.61</c:v>
                </c:pt>
                <c:pt idx="11">
                  <c:v>0.56999999999999995</c:v>
                </c:pt>
              </c:numCache>
            </c:numRef>
          </c:val>
          <c:smooth val="0"/>
        </c:ser>
        <c:ser>
          <c:idx val="1"/>
          <c:order val="1"/>
          <c:tx>
            <c:strRef>
              <c:f>'Bucks data'!$A$4</c:f>
              <c:strCache>
                <c:ptCount val="1"/>
                <c:pt idx="0">
                  <c:v>Target %</c:v>
                </c:pt>
              </c:strCache>
            </c:strRef>
          </c:tx>
          <c:marker>
            <c:symbol val="none"/>
          </c:marker>
          <c:cat>
            <c:strRef>
              <c:f>'Bucks data'!$B$2:$M$2</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data'!$B$4:$M$4</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dLbls>
          <c:showLegendKey val="0"/>
          <c:showVal val="0"/>
          <c:showCatName val="0"/>
          <c:showSerName val="0"/>
          <c:showPercent val="0"/>
          <c:showBubbleSize val="0"/>
        </c:dLbls>
        <c:marker val="1"/>
        <c:smooth val="0"/>
        <c:axId val="109346176"/>
        <c:axId val="109360256"/>
      </c:lineChart>
      <c:catAx>
        <c:axId val="109346176"/>
        <c:scaling>
          <c:orientation val="minMax"/>
        </c:scaling>
        <c:delete val="0"/>
        <c:axPos val="b"/>
        <c:majorTickMark val="none"/>
        <c:minorTickMark val="none"/>
        <c:tickLblPos val="nextTo"/>
        <c:crossAx val="109360256"/>
        <c:crosses val="autoZero"/>
        <c:auto val="1"/>
        <c:lblAlgn val="ctr"/>
        <c:lblOffset val="100"/>
        <c:noMultiLvlLbl val="0"/>
      </c:catAx>
      <c:valAx>
        <c:axId val="109360256"/>
        <c:scaling>
          <c:orientation val="minMax"/>
        </c:scaling>
        <c:delete val="0"/>
        <c:axPos val="l"/>
        <c:numFmt formatCode="0%" sourceLinked="1"/>
        <c:majorTickMark val="none"/>
        <c:minorTickMark val="none"/>
        <c:tickLblPos val="nextTo"/>
        <c:crossAx val="109346176"/>
        <c:crosses val="autoZero"/>
        <c:crossBetween val="between"/>
      </c:valAx>
      <c:valAx>
        <c:axId val="109361792"/>
        <c:scaling>
          <c:orientation val="minMax"/>
        </c:scaling>
        <c:delete val="0"/>
        <c:axPos val="r"/>
        <c:numFmt formatCode="General" sourceLinked="1"/>
        <c:majorTickMark val="out"/>
        <c:minorTickMark val="none"/>
        <c:tickLblPos val="nextTo"/>
        <c:crossAx val="109371776"/>
        <c:crosses val="max"/>
        <c:crossBetween val="between"/>
      </c:valAx>
      <c:catAx>
        <c:axId val="109371776"/>
        <c:scaling>
          <c:orientation val="minMax"/>
        </c:scaling>
        <c:delete val="1"/>
        <c:axPos val="b"/>
        <c:majorTickMark val="out"/>
        <c:minorTickMark val="none"/>
        <c:tickLblPos val="nextTo"/>
        <c:crossAx val="109361792"/>
        <c:crosses val="autoZero"/>
        <c:auto val="1"/>
        <c:lblAlgn val="ctr"/>
        <c:lblOffset val="100"/>
        <c:noMultiLvlLbl val="0"/>
      </c:catAx>
    </c:plotArea>
    <c:legend>
      <c:legendPos val="b"/>
      <c:layout>
        <c:manualLayout>
          <c:xMode val="edge"/>
          <c:yMode val="edge"/>
          <c:x val="0.11279824410468521"/>
          <c:y val="0.6267394050146462"/>
          <c:w val="0.83190933033439229"/>
          <c:h val="0.33605026270489319"/>
        </c:manualLayout>
      </c:layout>
      <c:overlay val="0"/>
    </c:legend>
    <c:plotVisOnly val="1"/>
    <c:dispBlanksAs val="gap"/>
    <c:showDLblsOverMax val="0"/>
  </c:chart>
  <c:spPr>
    <a:ln>
      <a:solidFill>
        <a:sysClr val="windowText" lastClr="000000">
          <a:lumMod val="50000"/>
          <a:lumOff val="50000"/>
        </a:sysClr>
      </a:solidFill>
    </a:ln>
  </c:spPr>
  <c:txPr>
    <a:bodyPr/>
    <a:lstStyle/>
    <a:p>
      <a:pPr>
        <a:defRPr sz="800"/>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47056638490677"/>
          <c:y val="7.8966259870782485E-2"/>
          <c:w val="0.68243571857412499"/>
          <c:h val="0.42937013526575507"/>
        </c:manualLayout>
      </c:layout>
      <c:barChart>
        <c:barDir val="col"/>
        <c:grouping val="clustered"/>
        <c:varyColors val="0"/>
        <c:ser>
          <c:idx val="2"/>
          <c:order val="2"/>
          <c:tx>
            <c:strRef>
              <c:f>'Bucks data'!$A$16</c:f>
              <c:strCache>
                <c:ptCount val="1"/>
                <c:pt idx="0">
                  <c:v>Total people to be reviewed</c:v>
                </c:pt>
              </c:strCache>
            </c:strRef>
          </c:tx>
          <c:invertIfNegative val="0"/>
          <c:cat>
            <c:strRef>
              <c:f>'Bucks data'!$B$13:$M$13</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data'!$B$16:$M$16</c:f>
              <c:numCache>
                <c:formatCode>General</c:formatCode>
                <c:ptCount val="12"/>
                <c:pt idx="0">
                  <c:v>51</c:v>
                </c:pt>
                <c:pt idx="1">
                  <c:v>58</c:v>
                </c:pt>
                <c:pt idx="2">
                  <c:v>42</c:v>
                </c:pt>
                <c:pt idx="3">
                  <c:v>34</c:v>
                </c:pt>
                <c:pt idx="4">
                  <c:v>84</c:v>
                </c:pt>
                <c:pt idx="5">
                  <c:v>96</c:v>
                </c:pt>
                <c:pt idx="6">
                  <c:v>77</c:v>
                </c:pt>
                <c:pt idx="7">
                  <c:v>70</c:v>
                </c:pt>
                <c:pt idx="8">
                  <c:v>61</c:v>
                </c:pt>
                <c:pt idx="9">
                  <c:v>66</c:v>
                </c:pt>
                <c:pt idx="10">
                  <c:v>55</c:v>
                </c:pt>
                <c:pt idx="11">
                  <c:v>54</c:v>
                </c:pt>
              </c:numCache>
            </c:numRef>
          </c:val>
        </c:ser>
        <c:dLbls>
          <c:showLegendKey val="0"/>
          <c:showVal val="0"/>
          <c:showCatName val="0"/>
          <c:showSerName val="0"/>
          <c:showPercent val="0"/>
          <c:showBubbleSize val="0"/>
        </c:dLbls>
        <c:gapWidth val="75"/>
        <c:axId val="109625728"/>
        <c:axId val="109615744"/>
      </c:barChart>
      <c:lineChart>
        <c:grouping val="standard"/>
        <c:varyColors val="0"/>
        <c:ser>
          <c:idx val="0"/>
          <c:order val="0"/>
          <c:tx>
            <c:strRef>
              <c:f>'Bucks data'!$A$14</c:f>
              <c:strCache>
                <c:ptCount val="1"/>
                <c:pt idx="0">
                  <c:v>% Reviewed within timescales</c:v>
                </c:pt>
              </c:strCache>
            </c:strRef>
          </c:tx>
          <c:marker>
            <c:symbol val="none"/>
          </c:marker>
          <c:trendline>
            <c:spPr>
              <a:ln>
                <a:solidFill>
                  <a:srgbClr val="F79646">
                    <a:lumMod val="75000"/>
                  </a:srgbClr>
                </a:solidFill>
              </a:ln>
            </c:spPr>
            <c:trendlineType val="linear"/>
            <c:dispRSqr val="0"/>
            <c:dispEq val="0"/>
          </c:trendline>
          <c:cat>
            <c:strRef>
              <c:f>'Bucks data'!$B$13:$M$13</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data'!$B$14:$M$14</c:f>
              <c:numCache>
                <c:formatCode>0%</c:formatCode>
                <c:ptCount val="12"/>
                <c:pt idx="0">
                  <c:v>0.72549019607843135</c:v>
                </c:pt>
                <c:pt idx="1">
                  <c:v>0.7931034482758621</c:v>
                </c:pt>
                <c:pt idx="2">
                  <c:v>0.69047619047619047</c:v>
                </c:pt>
                <c:pt idx="3">
                  <c:v>0.79411764705882348</c:v>
                </c:pt>
                <c:pt idx="4">
                  <c:v>0.59523809523809523</c:v>
                </c:pt>
                <c:pt idx="5">
                  <c:v>0.625</c:v>
                </c:pt>
                <c:pt idx="6">
                  <c:v>0.77922077922077926</c:v>
                </c:pt>
                <c:pt idx="7">
                  <c:v>0.74285714285714288</c:v>
                </c:pt>
                <c:pt idx="8">
                  <c:v>0.70491803278688525</c:v>
                </c:pt>
                <c:pt idx="9">
                  <c:v>0.77</c:v>
                </c:pt>
                <c:pt idx="10">
                  <c:v>0.8</c:v>
                </c:pt>
                <c:pt idx="11">
                  <c:v>0.76</c:v>
                </c:pt>
              </c:numCache>
            </c:numRef>
          </c:val>
          <c:smooth val="0"/>
        </c:ser>
        <c:ser>
          <c:idx val="1"/>
          <c:order val="1"/>
          <c:tx>
            <c:strRef>
              <c:f>'Bucks data'!$A$15</c:f>
              <c:strCache>
                <c:ptCount val="1"/>
                <c:pt idx="0">
                  <c:v>Target %</c:v>
                </c:pt>
              </c:strCache>
            </c:strRef>
          </c:tx>
          <c:marker>
            <c:symbol val="none"/>
          </c:marker>
          <c:cat>
            <c:strRef>
              <c:f>'Bucks data'!$B$13:$M$13</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data'!$B$15:$M$15</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dLbls>
          <c:showLegendKey val="0"/>
          <c:showVal val="0"/>
          <c:showCatName val="0"/>
          <c:showSerName val="0"/>
          <c:showPercent val="0"/>
          <c:showBubbleSize val="0"/>
        </c:dLbls>
        <c:marker val="1"/>
        <c:smooth val="0"/>
        <c:axId val="109612416"/>
        <c:axId val="109614208"/>
      </c:lineChart>
      <c:catAx>
        <c:axId val="109612416"/>
        <c:scaling>
          <c:orientation val="minMax"/>
        </c:scaling>
        <c:delete val="0"/>
        <c:axPos val="b"/>
        <c:majorTickMark val="none"/>
        <c:minorTickMark val="none"/>
        <c:tickLblPos val="nextTo"/>
        <c:crossAx val="109614208"/>
        <c:crosses val="autoZero"/>
        <c:auto val="1"/>
        <c:lblAlgn val="ctr"/>
        <c:lblOffset val="100"/>
        <c:noMultiLvlLbl val="0"/>
      </c:catAx>
      <c:valAx>
        <c:axId val="109614208"/>
        <c:scaling>
          <c:orientation val="minMax"/>
        </c:scaling>
        <c:delete val="0"/>
        <c:axPos val="l"/>
        <c:numFmt formatCode="0%" sourceLinked="1"/>
        <c:majorTickMark val="none"/>
        <c:minorTickMark val="none"/>
        <c:tickLblPos val="nextTo"/>
        <c:crossAx val="109612416"/>
        <c:crosses val="autoZero"/>
        <c:crossBetween val="between"/>
      </c:valAx>
      <c:valAx>
        <c:axId val="109615744"/>
        <c:scaling>
          <c:orientation val="minMax"/>
        </c:scaling>
        <c:delete val="0"/>
        <c:axPos val="r"/>
        <c:numFmt formatCode="General" sourceLinked="1"/>
        <c:majorTickMark val="out"/>
        <c:minorTickMark val="none"/>
        <c:tickLblPos val="nextTo"/>
        <c:crossAx val="109625728"/>
        <c:crosses val="max"/>
        <c:crossBetween val="between"/>
      </c:valAx>
      <c:catAx>
        <c:axId val="109625728"/>
        <c:scaling>
          <c:orientation val="minMax"/>
        </c:scaling>
        <c:delete val="1"/>
        <c:axPos val="b"/>
        <c:majorTickMark val="out"/>
        <c:minorTickMark val="none"/>
        <c:tickLblPos val="nextTo"/>
        <c:crossAx val="109615744"/>
        <c:crosses val="autoZero"/>
        <c:auto val="1"/>
        <c:lblAlgn val="ctr"/>
        <c:lblOffset val="100"/>
        <c:noMultiLvlLbl val="0"/>
      </c:catAx>
    </c:plotArea>
    <c:legend>
      <c:legendPos val="b"/>
      <c:layout>
        <c:manualLayout>
          <c:xMode val="edge"/>
          <c:yMode val="edge"/>
          <c:x val="0.13146957304315932"/>
          <c:y val="0.65301148475225124"/>
          <c:w val="0.83695098718607885"/>
          <c:h val="0.30582681302267417"/>
        </c:manualLayout>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13488799758334"/>
          <c:y val="8.2273747195213159E-2"/>
          <c:w val="0.69847701409208474"/>
          <c:h val="0.42042827107344566"/>
        </c:manualLayout>
      </c:layout>
      <c:barChart>
        <c:barDir val="col"/>
        <c:grouping val="clustered"/>
        <c:varyColors val="0"/>
        <c:ser>
          <c:idx val="2"/>
          <c:order val="2"/>
          <c:tx>
            <c:strRef>
              <c:f>'Bucks data'!$A$31</c:f>
              <c:strCache>
                <c:ptCount val="1"/>
                <c:pt idx="0">
                  <c:v>No. needing assessment (audit)</c:v>
                </c:pt>
              </c:strCache>
            </c:strRef>
          </c:tx>
          <c:invertIfNegative val="0"/>
          <c:cat>
            <c:strRef>
              <c:f>'Bucks data'!$B$28:$M$28</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data'!$B$31:$M$31</c:f>
              <c:numCache>
                <c:formatCode>General</c:formatCode>
                <c:ptCount val="12"/>
                <c:pt idx="0">
                  <c:v>20</c:v>
                </c:pt>
                <c:pt idx="1">
                  <c:v>20</c:v>
                </c:pt>
                <c:pt idx="2">
                  <c:v>20</c:v>
                </c:pt>
                <c:pt idx="3">
                  <c:v>20</c:v>
                </c:pt>
                <c:pt idx="4">
                  <c:v>20</c:v>
                </c:pt>
                <c:pt idx="5">
                  <c:v>20</c:v>
                </c:pt>
                <c:pt idx="6">
                  <c:v>20</c:v>
                </c:pt>
                <c:pt idx="7">
                  <c:v>20</c:v>
                </c:pt>
                <c:pt idx="8">
                  <c:v>20</c:v>
                </c:pt>
                <c:pt idx="9">
                  <c:v>20</c:v>
                </c:pt>
                <c:pt idx="10">
                  <c:v>20</c:v>
                </c:pt>
                <c:pt idx="11">
                  <c:v>20</c:v>
                </c:pt>
              </c:numCache>
            </c:numRef>
          </c:val>
        </c:ser>
        <c:dLbls>
          <c:showLegendKey val="0"/>
          <c:showVal val="0"/>
          <c:showCatName val="0"/>
          <c:showSerName val="0"/>
          <c:showPercent val="0"/>
          <c:showBubbleSize val="0"/>
        </c:dLbls>
        <c:gapWidth val="75"/>
        <c:axId val="109539712"/>
        <c:axId val="109537920"/>
      </c:barChart>
      <c:lineChart>
        <c:grouping val="standard"/>
        <c:varyColors val="0"/>
        <c:ser>
          <c:idx val="0"/>
          <c:order val="0"/>
          <c:tx>
            <c:strRef>
              <c:f>'Bucks data'!$A$29</c:f>
              <c:strCache>
                <c:ptCount val="1"/>
                <c:pt idx="0">
                  <c:v>Aylesbury % risk assessment</c:v>
                </c:pt>
              </c:strCache>
            </c:strRef>
          </c:tx>
          <c:marker>
            <c:symbol val="none"/>
          </c:marker>
          <c:trendline>
            <c:spPr>
              <a:ln>
                <a:solidFill>
                  <a:srgbClr val="F79646">
                    <a:lumMod val="75000"/>
                  </a:srgbClr>
                </a:solidFill>
              </a:ln>
            </c:spPr>
            <c:trendlineType val="linear"/>
            <c:dispRSqr val="0"/>
            <c:dispEq val="0"/>
          </c:trendline>
          <c:cat>
            <c:strRef>
              <c:f>'Bucks data'!$B$28:$M$28</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data'!$B$29:$M$29</c:f>
              <c:numCache>
                <c:formatCode>0%</c:formatCode>
                <c:ptCount val="12"/>
                <c:pt idx="0">
                  <c:v>1</c:v>
                </c:pt>
                <c:pt idx="1">
                  <c:v>1</c:v>
                </c:pt>
                <c:pt idx="2">
                  <c:v>1</c:v>
                </c:pt>
                <c:pt idx="3">
                  <c:v>1</c:v>
                </c:pt>
                <c:pt idx="4">
                  <c:v>1</c:v>
                </c:pt>
                <c:pt idx="5">
                  <c:v>1</c:v>
                </c:pt>
                <c:pt idx="6">
                  <c:v>0.95</c:v>
                </c:pt>
                <c:pt idx="7">
                  <c:v>1</c:v>
                </c:pt>
                <c:pt idx="8">
                  <c:v>1</c:v>
                </c:pt>
                <c:pt idx="9">
                  <c:v>1</c:v>
                </c:pt>
                <c:pt idx="10">
                  <c:v>0.85</c:v>
                </c:pt>
                <c:pt idx="11">
                  <c:v>0.7</c:v>
                </c:pt>
              </c:numCache>
            </c:numRef>
          </c:val>
          <c:smooth val="0"/>
        </c:ser>
        <c:ser>
          <c:idx val="1"/>
          <c:order val="1"/>
          <c:tx>
            <c:strRef>
              <c:f>'Bucks data'!$A$30</c:f>
              <c:strCache>
                <c:ptCount val="1"/>
                <c:pt idx="0">
                  <c:v>Target %</c:v>
                </c:pt>
              </c:strCache>
            </c:strRef>
          </c:tx>
          <c:marker>
            <c:symbol val="none"/>
          </c:marker>
          <c:cat>
            <c:strRef>
              <c:f>'Bucks data'!$B$28:$M$28</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data'!$B$30:$M$30</c:f>
              <c:numCache>
                <c:formatCode>0%</c:formatCode>
                <c:ptCount val="12"/>
                <c:pt idx="0">
                  <c:v>1</c:v>
                </c:pt>
                <c:pt idx="1">
                  <c:v>1</c:v>
                </c:pt>
                <c:pt idx="2">
                  <c:v>1</c:v>
                </c:pt>
                <c:pt idx="3">
                  <c:v>1</c:v>
                </c:pt>
                <c:pt idx="4">
                  <c:v>1</c:v>
                </c:pt>
                <c:pt idx="5">
                  <c:v>1</c:v>
                </c:pt>
                <c:pt idx="6">
                  <c:v>1</c:v>
                </c:pt>
                <c:pt idx="7">
                  <c:v>1</c:v>
                </c:pt>
                <c:pt idx="8">
                  <c:v>1</c:v>
                </c:pt>
                <c:pt idx="9">
                  <c:v>1</c:v>
                </c:pt>
                <c:pt idx="10">
                  <c:v>1</c:v>
                </c:pt>
                <c:pt idx="11">
                  <c:v>1</c:v>
                </c:pt>
              </c:numCache>
            </c:numRef>
          </c:val>
          <c:smooth val="0"/>
        </c:ser>
        <c:dLbls>
          <c:showLegendKey val="0"/>
          <c:showVal val="0"/>
          <c:showCatName val="0"/>
          <c:showSerName val="0"/>
          <c:showPercent val="0"/>
          <c:showBubbleSize val="0"/>
        </c:dLbls>
        <c:marker val="1"/>
        <c:smooth val="0"/>
        <c:axId val="109526400"/>
        <c:axId val="109536384"/>
      </c:lineChart>
      <c:catAx>
        <c:axId val="109526400"/>
        <c:scaling>
          <c:orientation val="minMax"/>
        </c:scaling>
        <c:delete val="0"/>
        <c:axPos val="b"/>
        <c:majorTickMark val="none"/>
        <c:minorTickMark val="none"/>
        <c:tickLblPos val="nextTo"/>
        <c:crossAx val="109536384"/>
        <c:crosses val="autoZero"/>
        <c:auto val="1"/>
        <c:lblAlgn val="ctr"/>
        <c:lblOffset val="100"/>
        <c:noMultiLvlLbl val="0"/>
      </c:catAx>
      <c:valAx>
        <c:axId val="109536384"/>
        <c:scaling>
          <c:orientation val="minMax"/>
          <c:max val="1.1000000000000001"/>
          <c:min val="0"/>
        </c:scaling>
        <c:delete val="0"/>
        <c:axPos val="l"/>
        <c:numFmt formatCode="0%" sourceLinked="1"/>
        <c:majorTickMark val="none"/>
        <c:minorTickMark val="none"/>
        <c:tickLblPos val="nextTo"/>
        <c:crossAx val="109526400"/>
        <c:crosses val="autoZero"/>
        <c:crossBetween val="between"/>
      </c:valAx>
      <c:valAx>
        <c:axId val="109537920"/>
        <c:scaling>
          <c:orientation val="minMax"/>
        </c:scaling>
        <c:delete val="0"/>
        <c:axPos val="r"/>
        <c:numFmt formatCode="General" sourceLinked="1"/>
        <c:majorTickMark val="out"/>
        <c:minorTickMark val="none"/>
        <c:tickLblPos val="nextTo"/>
        <c:crossAx val="109539712"/>
        <c:crosses val="max"/>
        <c:crossBetween val="between"/>
      </c:valAx>
      <c:catAx>
        <c:axId val="109539712"/>
        <c:scaling>
          <c:orientation val="minMax"/>
        </c:scaling>
        <c:delete val="1"/>
        <c:axPos val="b"/>
        <c:majorTickMark val="out"/>
        <c:minorTickMark val="none"/>
        <c:tickLblPos val="nextTo"/>
        <c:crossAx val="109537920"/>
        <c:crosses val="autoZero"/>
        <c:auto val="1"/>
        <c:lblAlgn val="ctr"/>
        <c:lblOffset val="100"/>
        <c:noMultiLvlLbl val="0"/>
      </c:catAx>
    </c:plotArea>
    <c:legend>
      <c:legendPos val="b"/>
      <c:layout>
        <c:manualLayout>
          <c:xMode val="edge"/>
          <c:yMode val="edge"/>
          <c:x val="0.14823001726268756"/>
          <c:y val="0.65967114058386678"/>
          <c:w val="0.77693363152954353"/>
          <c:h val="0.34032885941613317"/>
        </c:manualLayout>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835905746146899"/>
          <c:y val="6.6694865975306189E-2"/>
          <c:w val="0.69809756991436089"/>
          <c:h val="0.59482435071601492"/>
        </c:manualLayout>
      </c:layout>
      <c:barChart>
        <c:barDir val="col"/>
        <c:grouping val="clustered"/>
        <c:varyColors val="0"/>
        <c:ser>
          <c:idx val="2"/>
          <c:order val="2"/>
          <c:tx>
            <c:strRef>
              <c:f>'Bucks data'!$A$122</c:f>
              <c:strCache>
                <c:ptCount val="1"/>
                <c:pt idx="0">
                  <c:v>No. Respondents</c:v>
                </c:pt>
              </c:strCache>
            </c:strRef>
          </c:tx>
          <c:invertIfNegative val="0"/>
          <c:cat>
            <c:strRef>
              <c:f>'Bucks data'!$B$119:$E$119</c:f>
              <c:strCache>
                <c:ptCount val="4"/>
                <c:pt idx="0">
                  <c:v>Q1</c:v>
                </c:pt>
                <c:pt idx="1">
                  <c:v>Q2</c:v>
                </c:pt>
                <c:pt idx="2">
                  <c:v>Q3</c:v>
                </c:pt>
                <c:pt idx="3">
                  <c:v>Q4</c:v>
                </c:pt>
              </c:strCache>
            </c:strRef>
          </c:cat>
          <c:val>
            <c:numRef>
              <c:f>'Bucks data'!$B$122:$E$122</c:f>
              <c:numCache>
                <c:formatCode>General</c:formatCode>
                <c:ptCount val="4"/>
                <c:pt idx="0">
                  <c:v>30</c:v>
                </c:pt>
                <c:pt idx="1">
                  <c:v>14</c:v>
                </c:pt>
                <c:pt idx="2">
                  <c:v>0</c:v>
                </c:pt>
                <c:pt idx="3">
                  <c:v>62</c:v>
                </c:pt>
              </c:numCache>
            </c:numRef>
          </c:val>
        </c:ser>
        <c:dLbls>
          <c:showLegendKey val="0"/>
          <c:showVal val="0"/>
          <c:showCatName val="0"/>
          <c:showSerName val="0"/>
          <c:showPercent val="0"/>
          <c:showBubbleSize val="0"/>
        </c:dLbls>
        <c:gapWidth val="75"/>
        <c:axId val="110121728"/>
        <c:axId val="110103552"/>
      </c:barChart>
      <c:lineChart>
        <c:grouping val="standard"/>
        <c:varyColors val="0"/>
        <c:ser>
          <c:idx val="0"/>
          <c:order val="0"/>
          <c:tx>
            <c:strRef>
              <c:f>'Bucks data'!$A$120</c:f>
              <c:strCache>
                <c:ptCount val="1"/>
                <c:pt idx="0">
                  <c:v>Actual %</c:v>
                </c:pt>
              </c:strCache>
            </c:strRef>
          </c:tx>
          <c:marker>
            <c:symbol val="none"/>
          </c:marker>
          <c:trendline>
            <c:spPr>
              <a:ln>
                <a:solidFill>
                  <a:srgbClr val="F79646">
                    <a:lumMod val="75000"/>
                  </a:srgbClr>
                </a:solidFill>
              </a:ln>
            </c:spPr>
            <c:trendlineType val="linear"/>
            <c:dispRSqr val="0"/>
            <c:dispEq val="0"/>
          </c:trendline>
          <c:cat>
            <c:strRef>
              <c:f>'Bucks data'!$B$119:$E$119</c:f>
              <c:strCache>
                <c:ptCount val="4"/>
                <c:pt idx="0">
                  <c:v>Q1</c:v>
                </c:pt>
                <c:pt idx="1">
                  <c:v>Q2</c:v>
                </c:pt>
                <c:pt idx="2">
                  <c:v>Q3</c:v>
                </c:pt>
                <c:pt idx="3">
                  <c:v>Q4</c:v>
                </c:pt>
              </c:strCache>
            </c:strRef>
          </c:cat>
          <c:val>
            <c:numRef>
              <c:f>'Bucks data'!$B$120:$E$120</c:f>
              <c:numCache>
                <c:formatCode>0%</c:formatCode>
                <c:ptCount val="4"/>
                <c:pt idx="0">
                  <c:v>0.37</c:v>
                </c:pt>
                <c:pt idx="1">
                  <c:v>0.5</c:v>
                </c:pt>
                <c:pt idx="2">
                  <c:v>0</c:v>
                </c:pt>
                <c:pt idx="3">
                  <c:v>0.66</c:v>
                </c:pt>
              </c:numCache>
            </c:numRef>
          </c:val>
          <c:smooth val="0"/>
        </c:ser>
        <c:ser>
          <c:idx val="1"/>
          <c:order val="1"/>
          <c:tx>
            <c:strRef>
              <c:f>'Bucks data'!$A$121</c:f>
              <c:strCache>
                <c:ptCount val="1"/>
                <c:pt idx="0">
                  <c:v>Target %</c:v>
                </c:pt>
              </c:strCache>
            </c:strRef>
          </c:tx>
          <c:marker>
            <c:symbol val="none"/>
          </c:marker>
          <c:cat>
            <c:strRef>
              <c:f>'Bucks data'!$B$119:$E$119</c:f>
              <c:strCache>
                <c:ptCount val="4"/>
                <c:pt idx="0">
                  <c:v>Q1</c:v>
                </c:pt>
                <c:pt idx="1">
                  <c:v>Q2</c:v>
                </c:pt>
                <c:pt idx="2">
                  <c:v>Q3</c:v>
                </c:pt>
                <c:pt idx="3">
                  <c:v>Q4</c:v>
                </c:pt>
              </c:strCache>
            </c:strRef>
          </c:cat>
          <c:val>
            <c:numRef>
              <c:f>'Bucks data'!$B$121:$E$121</c:f>
              <c:numCache>
                <c:formatCode>0%</c:formatCode>
                <c:ptCount val="4"/>
                <c:pt idx="0">
                  <c:v>0.9</c:v>
                </c:pt>
                <c:pt idx="1">
                  <c:v>0.9</c:v>
                </c:pt>
                <c:pt idx="2">
                  <c:v>0.9</c:v>
                </c:pt>
                <c:pt idx="3">
                  <c:v>0.9</c:v>
                </c:pt>
              </c:numCache>
            </c:numRef>
          </c:val>
          <c:smooth val="0"/>
        </c:ser>
        <c:dLbls>
          <c:showLegendKey val="0"/>
          <c:showVal val="0"/>
          <c:showCatName val="0"/>
          <c:showSerName val="0"/>
          <c:showPercent val="0"/>
          <c:showBubbleSize val="0"/>
        </c:dLbls>
        <c:marker val="1"/>
        <c:smooth val="0"/>
        <c:axId val="110100480"/>
        <c:axId val="110102016"/>
      </c:lineChart>
      <c:catAx>
        <c:axId val="110100480"/>
        <c:scaling>
          <c:orientation val="minMax"/>
        </c:scaling>
        <c:delete val="0"/>
        <c:axPos val="b"/>
        <c:majorTickMark val="none"/>
        <c:minorTickMark val="none"/>
        <c:tickLblPos val="nextTo"/>
        <c:crossAx val="110102016"/>
        <c:crosses val="autoZero"/>
        <c:auto val="1"/>
        <c:lblAlgn val="ctr"/>
        <c:lblOffset val="100"/>
        <c:noMultiLvlLbl val="0"/>
      </c:catAx>
      <c:valAx>
        <c:axId val="110102016"/>
        <c:scaling>
          <c:orientation val="minMax"/>
        </c:scaling>
        <c:delete val="0"/>
        <c:axPos val="l"/>
        <c:numFmt formatCode="0%" sourceLinked="1"/>
        <c:majorTickMark val="none"/>
        <c:minorTickMark val="none"/>
        <c:tickLblPos val="nextTo"/>
        <c:crossAx val="110100480"/>
        <c:crosses val="autoZero"/>
        <c:crossBetween val="between"/>
      </c:valAx>
      <c:valAx>
        <c:axId val="110103552"/>
        <c:scaling>
          <c:orientation val="minMax"/>
        </c:scaling>
        <c:delete val="0"/>
        <c:axPos val="r"/>
        <c:numFmt formatCode="General" sourceLinked="1"/>
        <c:majorTickMark val="out"/>
        <c:minorTickMark val="none"/>
        <c:tickLblPos val="nextTo"/>
        <c:crossAx val="110121728"/>
        <c:crosses val="max"/>
        <c:crossBetween val="between"/>
      </c:valAx>
      <c:catAx>
        <c:axId val="110121728"/>
        <c:scaling>
          <c:orientation val="minMax"/>
        </c:scaling>
        <c:delete val="1"/>
        <c:axPos val="b"/>
        <c:majorTickMark val="out"/>
        <c:minorTickMark val="none"/>
        <c:tickLblPos val="nextTo"/>
        <c:crossAx val="110103552"/>
        <c:crosses val="autoZero"/>
        <c:auto val="1"/>
        <c:lblAlgn val="ctr"/>
        <c:lblOffset val="100"/>
        <c:noMultiLvlLbl val="0"/>
      </c:catAx>
    </c:plotArea>
    <c:legend>
      <c:legendPos val="b"/>
      <c:layout>
        <c:manualLayout>
          <c:xMode val="edge"/>
          <c:yMode val="edge"/>
          <c:x val="4.1514349360962759E-2"/>
          <c:y val="0.73619182229268032"/>
          <c:w val="0.86098682627327261"/>
          <c:h val="0.22743140263552139"/>
        </c:manualLayout>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'Bucks data'!$A$129</c:f>
              <c:strCache>
                <c:ptCount val="1"/>
                <c:pt idx="0">
                  <c:v>No. Respondents</c:v>
                </c:pt>
              </c:strCache>
            </c:strRef>
          </c:tx>
          <c:invertIfNegative val="0"/>
          <c:cat>
            <c:strRef>
              <c:f>'Bucks data'!$B$126:$E$126</c:f>
              <c:strCache>
                <c:ptCount val="4"/>
                <c:pt idx="0">
                  <c:v>Q1</c:v>
                </c:pt>
                <c:pt idx="1">
                  <c:v>Q2</c:v>
                </c:pt>
                <c:pt idx="2">
                  <c:v>Q3</c:v>
                </c:pt>
                <c:pt idx="3">
                  <c:v>Q4</c:v>
                </c:pt>
              </c:strCache>
            </c:strRef>
          </c:cat>
          <c:val>
            <c:numRef>
              <c:f>'Bucks data'!$B$129:$E$129</c:f>
              <c:numCache>
                <c:formatCode>General</c:formatCode>
                <c:ptCount val="4"/>
                <c:pt idx="0">
                  <c:v>30</c:v>
                </c:pt>
                <c:pt idx="1">
                  <c:v>14</c:v>
                </c:pt>
                <c:pt idx="2">
                  <c:v>0</c:v>
                </c:pt>
                <c:pt idx="3">
                  <c:v>62</c:v>
                </c:pt>
              </c:numCache>
            </c:numRef>
          </c:val>
        </c:ser>
        <c:dLbls>
          <c:showLegendKey val="0"/>
          <c:showVal val="0"/>
          <c:showCatName val="0"/>
          <c:showSerName val="0"/>
          <c:showPercent val="0"/>
          <c:showBubbleSize val="0"/>
        </c:dLbls>
        <c:gapWidth val="75"/>
        <c:axId val="110437120"/>
        <c:axId val="110431232"/>
      </c:barChart>
      <c:lineChart>
        <c:grouping val="standard"/>
        <c:varyColors val="0"/>
        <c:ser>
          <c:idx val="0"/>
          <c:order val="0"/>
          <c:tx>
            <c:strRef>
              <c:f>'Bucks data'!$A$127</c:f>
              <c:strCache>
                <c:ptCount val="1"/>
                <c:pt idx="0">
                  <c:v>Actual %</c:v>
                </c:pt>
              </c:strCache>
            </c:strRef>
          </c:tx>
          <c:marker>
            <c:symbol val="none"/>
          </c:marker>
          <c:trendline>
            <c:spPr>
              <a:ln>
                <a:solidFill>
                  <a:srgbClr val="F79646">
                    <a:lumMod val="75000"/>
                  </a:srgbClr>
                </a:solidFill>
              </a:ln>
            </c:spPr>
            <c:trendlineType val="linear"/>
            <c:dispRSqr val="0"/>
            <c:dispEq val="0"/>
          </c:trendline>
          <c:cat>
            <c:strRef>
              <c:f>'Bucks data'!$B$126:$E$126</c:f>
              <c:strCache>
                <c:ptCount val="4"/>
                <c:pt idx="0">
                  <c:v>Q1</c:v>
                </c:pt>
                <c:pt idx="1">
                  <c:v>Q2</c:v>
                </c:pt>
                <c:pt idx="2">
                  <c:v>Q3</c:v>
                </c:pt>
                <c:pt idx="3">
                  <c:v>Q4</c:v>
                </c:pt>
              </c:strCache>
            </c:strRef>
          </c:cat>
          <c:val>
            <c:numRef>
              <c:f>'Bucks data'!$B$127:$E$127</c:f>
              <c:numCache>
                <c:formatCode>0%</c:formatCode>
                <c:ptCount val="4"/>
                <c:pt idx="0">
                  <c:v>0.33</c:v>
                </c:pt>
                <c:pt idx="1">
                  <c:v>0.28999999999999998</c:v>
                </c:pt>
                <c:pt idx="2">
                  <c:v>0</c:v>
                </c:pt>
                <c:pt idx="3">
                  <c:v>0.63</c:v>
                </c:pt>
              </c:numCache>
            </c:numRef>
          </c:val>
          <c:smooth val="0"/>
        </c:ser>
        <c:ser>
          <c:idx val="1"/>
          <c:order val="1"/>
          <c:tx>
            <c:strRef>
              <c:f>'Bucks data'!$A$128</c:f>
              <c:strCache>
                <c:ptCount val="1"/>
                <c:pt idx="0">
                  <c:v>Target %</c:v>
                </c:pt>
              </c:strCache>
            </c:strRef>
          </c:tx>
          <c:marker>
            <c:symbol val="none"/>
          </c:marker>
          <c:cat>
            <c:strRef>
              <c:f>'Bucks data'!$B$126:$E$126</c:f>
              <c:strCache>
                <c:ptCount val="4"/>
                <c:pt idx="0">
                  <c:v>Q1</c:v>
                </c:pt>
                <c:pt idx="1">
                  <c:v>Q2</c:v>
                </c:pt>
                <c:pt idx="2">
                  <c:v>Q3</c:v>
                </c:pt>
                <c:pt idx="3">
                  <c:v>Q4</c:v>
                </c:pt>
              </c:strCache>
            </c:strRef>
          </c:cat>
          <c:val>
            <c:numRef>
              <c:f>'Bucks data'!$B$128:$E$128</c:f>
              <c:numCache>
                <c:formatCode>0%</c:formatCode>
                <c:ptCount val="4"/>
                <c:pt idx="0">
                  <c:v>0.9</c:v>
                </c:pt>
                <c:pt idx="1">
                  <c:v>0.9</c:v>
                </c:pt>
                <c:pt idx="2">
                  <c:v>0.9</c:v>
                </c:pt>
                <c:pt idx="3">
                  <c:v>0.9</c:v>
                </c:pt>
              </c:numCache>
            </c:numRef>
          </c:val>
          <c:smooth val="0"/>
        </c:ser>
        <c:dLbls>
          <c:showLegendKey val="0"/>
          <c:showVal val="0"/>
          <c:showCatName val="0"/>
          <c:showSerName val="0"/>
          <c:showPercent val="0"/>
          <c:showBubbleSize val="0"/>
        </c:dLbls>
        <c:marker val="1"/>
        <c:smooth val="0"/>
        <c:axId val="110428160"/>
        <c:axId val="110429696"/>
      </c:lineChart>
      <c:catAx>
        <c:axId val="110428160"/>
        <c:scaling>
          <c:orientation val="minMax"/>
        </c:scaling>
        <c:delete val="0"/>
        <c:axPos val="b"/>
        <c:majorTickMark val="none"/>
        <c:minorTickMark val="none"/>
        <c:tickLblPos val="nextTo"/>
        <c:crossAx val="110429696"/>
        <c:crosses val="autoZero"/>
        <c:auto val="1"/>
        <c:lblAlgn val="ctr"/>
        <c:lblOffset val="100"/>
        <c:noMultiLvlLbl val="0"/>
      </c:catAx>
      <c:valAx>
        <c:axId val="110429696"/>
        <c:scaling>
          <c:orientation val="minMax"/>
        </c:scaling>
        <c:delete val="0"/>
        <c:axPos val="l"/>
        <c:numFmt formatCode="0%" sourceLinked="1"/>
        <c:majorTickMark val="none"/>
        <c:minorTickMark val="none"/>
        <c:tickLblPos val="nextTo"/>
        <c:crossAx val="110428160"/>
        <c:crosses val="autoZero"/>
        <c:crossBetween val="between"/>
      </c:valAx>
      <c:valAx>
        <c:axId val="110431232"/>
        <c:scaling>
          <c:orientation val="minMax"/>
        </c:scaling>
        <c:delete val="0"/>
        <c:axPos val="r"/>
        <c:numFmt formatCode="General" sourceLinked="1"/>
        <c:majorTickMark val="out"/>
        <c:minorTickMark val="none"/>
        <c:tickLblPos val="nextTo"/>
        <c:crossAx val="110437120"/>
        <c:crosses val="max"/>
        <c:crossBetween val="between"/>
      </c:valAx>
      <c:catAx>
        <c:axId val="110437120"/>
        <c:scaling>
          <c:orientation val="minMax"/>
        </c:scaling>
        <c:delete val="1"/>
        <c:axPos val="b"/>
        <c:majorTickMark val="out"/>
        <c:minorTickMark val="none"/>
        <c:tickLblPos val="nextTo"/>
        <c:crossAx val="110431232"/>
        <c:crosses val="autoZero"/>
        <c:auto val="1"/>
        <c:lblAlgn val="ctr"/>
        <c:lblOffset val="100"/>
        <c:noMultiLvlLbl val="0"/>
      </c:catAx>
    </c:plotArea>
    <c:legend>
      <c:legendPos val="b"/>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80277908820153"/>
          <c:y val="7.8431372549019607E-2"/>
          <c:w val="0.73282608123457438"/>
          <c:h val="0.4281838299936338"/>
        </c:manualLayout>
      </c:layout>
      <c:barChart>
        <c:barDir val="col"/>
        <c:grouping val="clustered"/>
        <c:varyColors val="0"/>
        <c:ser>
          <c:idx val="2"/>
          <c:order val="2"/>
          <c:tx>
            <c:strRef>
              <c:f>'Bucks data'!$A$54</c:f>
              <c:strCache>
                <c:ptCount val="1"/>
                <c:pt idx="0">
                  <c:v>No. Discharged</c:v>
                </c:pt>
              </c:strCache>
            </c:strRef>
          </c:tx>
          <c:invertIfNegative val="0"/>
          <c:cat>
            <c:strRef>
              <c:f>'Bucks data'!$B$51:$M$51</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data'!$B$54:$M$54</c:f>
              <c:numCache>
                <c:formatCode>General</c:formatCode>
                <c:ptCount val="12"/>
                <c:pt idx="0">
                  <c:v>17</c:v>
                </c:pt>
                <c:pt idx="1">
                  <c:v>9</c:v>
                </c:pt>
                <c:pt idx="2">
                  <c:v>16</c:v>
                </c:pt>
                <c:pt idx="3">
                  <c:v>12</c:v>
                </c:pt>
                <c:pt idx="4">
                  <c:v>18</c:v>
                </c:pt>
                <c:pt idx="5">
                  <c:v>20</c:v>
                </c:pt>
                <c:pt idx="6">
                  <c:v>9</c:v>
                </c:pt>
                <c:pt idx="7">
                  <c:v>12</c:v>
                </c:pt>
                <c:pt idx="8">
                  <c:v>13</c:v>
                </c:pt>
                <c:pt idx="9">
                  <c:v>9</c:v>
                </c:pt>
                <c:pt idx="10">
                  <c:v>25</c:v>
                </c:pt>
                <c:pt idx="11">
                  <c:v>19</c:v>
                </c:pt>
              </c:numCache>
            </c:numRef>
          </c:val>
        </c:ser>
        <c:dLbls>
          <c:showLegendKey val="0"/>
          <c:showVal val="0"/>
          <c:showCatName val="0"/>
          <c:showSerName val="0"/>
          <c:showPercent val="0"/>
          <c:showBubbleSize val="0"/>
        </c:dLbls>
        <c:gapWidth val="75"/>
        <c:axId val="110756224"/>
        <c:axId val="110885504"/>
      </c:barChart>
      <c:lineChart>
        <c:grouping val="standard"/>
        <c:varyColors val="0"/>
        <c:ser>
          <c:idx val="0"/>
          <c:order val="0"/>
          <c:tx>
            <c:strRef>
              <c:f>'Bucks data'!$A$52</c:f>
              <c:strCache>
                <c:ptCount val="1"/>
                <c:pt idx="0">
                  <c:v>Chiltern % Followed up within 7 days</c:v>
                </c:pt>
              </c:strCache>
            </c:strRef>
          </c:tx>
          <c:marker>
            <c:symbol val="none"/>
          </c:marker>
          <c:trendline>
            <c:spPr>
              <a:ln>
                <a:solidFill>
                  <a:srgbClr val="F79646">
                    <a:lumMod val="75000"/>
                  </a:srgbClr>
                </a:solidFill>
              </a:ln>
            </c:spPr>
            <c:trendlineType val="linear"/>
            <c:dispRSqr val="0"/>
            <c:dispEq val="0"/>
          </c:trendline>
          <c:cat>
            <c:strRef>
              <c:f>'Bucks data'!$B$51:$M$51</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data'!$B$52:$M$52</c:f>
              <c:numCache>
                <c:formatCode>0%</c:formatCode>
                <c:ptCount val="12"/>
                <c:pt idx="0">
                  <c:v>0.88235294117647056</c:v>
                </c:pt>
                <c:pt idx="1">
                  <c:v>0.77777777777777779</c:v>
                </c:pt>
                <c:pt idx="2">
                  <c:v>1</c:v>
                </c:pt>
                <c:pt idx="3">
                  <c:v>0.91666666666666663</c:v>
                </c:pt>
                <c:pt idx="4">
                  <c:v>0.83333333333333337</c:v>
                </c:pt>
                <c:pt idx="5">
                  <c:v>1</c:v>
                </c:pt>
                <c:pt idx="6">
                  <c:v>1</c:v>
                </c:pt>
                <c:pt idx="7">
                  <c:v>0.91666666666666663</c:v>
                </c:pt>
                <c:pt idx="8">
                  <c:v>0.84615384615384615</c:v>
                </c:pt>
                <c:pt idx="9">
                  <c:v>1</c:v>
                </c:pt>
                <c:pt idx="10">
                  <c:v>0.88</c:v>
                </c:pt>
                <c:pt idx="11">
                  <c:v>0.63</c:v>
                </c:pt>
              </c:numCache>
            </c:numRef>
          </c:val>
          <c:smooth val="0"/>
        </c:ser>
        <c:ser>
          <c:idx val="1"/>
          <c:order val="1"/>
          <c:tx>
            <c:strRef>
              <c:f>'Bucks data'!$A$53</c:f>
              <c:strCache>
                <c:ptCount val="1"/>
                <c:pt idx="0">
                  <c:v>Target %</c:v>
                </c:pt>
              </c:strCache>
            </c:strRef>
          </c:tx>
          <c:marker>
            <c:symbol val="none"/>
          </c:marker>
          <c:cat>
            <c:strRef>
              <c:f>'Bucks data'!$B$51:$M$51</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'Bucks data'!$B$53:$M$53</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dLbls>
          <c:showLegendKey val="0"/>
          <c:showVal val="0"/>
          <c:showCatName val="0"/>
          <c:showSerName val="0"/>
          <c:showPercent val="0"/>
          <c:showBubbleSize val="0"/>
        </c:dLbls>
        <c:marker val="1"/>
        <c:smooth val="0"/>
        <c:axId val="110861696"/>
        <c:axId val="110883968"/>
      </c:lineChart>
      <c:catAx>
        <c:axId val="110861696"/>
        <c:scaling>
          <c:orientation val="minMax"/>
        </c:scaling>
        <c:delete val="0"/>
        <c:axPos val="b"/>
        <c:majorTickMark val="none"/>
        <c:minorTickMark val="none"/>
        <c:tickLblPos val="nextTo"/>
        <c:crossAx val="110883968"/>
        <c:crosses val="autoZero"/>
        <c:auto val="1"/>
        <c:lblAlgn val="ctr"/>
        <c:lblOffset val="100"/>
        <c:noMultiLvlLbl val="0"/>
      </c:catAx>
      <c:valAx>
        <c:axId val="110883968"/>
        <c:scaling>
          <c:orientation val="minMax"/>
          <c:max val="1"/>
        </c:scaling>
        <c:delete val="0"/>
        <c:axPos val="l"/>
        <c:numFmt formatCode="0%" sourceLinked="1"/>
        <c:majorTickMark val="none"/>
        <c:minorTickMark val="none"/>
        <c:tickLblPos val="nextTo"/>
        <c:crossAx val="110861696"/>
        <c:crosses val="autoZero"/>
        <c:crossBetween val="between"/>
      </c:valAx>
      <c:valAx>
        <c:axId val="110885504"/>
        <c:scaling>
          <c:orientation val="minMax"/>
        </c:scaling>
        <c:delete val="0"/>
        <c:axPos val="r"/>
        <c:numFmt formatCode="General" sourceLinked="1"/>
        <c:majorTickMark val="out"/>
        <c:minorTickMark val="none"/>
        <c:tickLblPos val="nextTo"/>
        <c:crossAx val="110756224"/>
        <c:crosses val="max"/>
        <c:crossBetween val="between"/>
      </c:valAx>
      <c:catAx>
        <c:axId val="110756224"/>
        <c:scaling>
          <c:orientation val="minMax"/>
        </c:scaling>
        <c:delete val="1"/>
        <c:axPos val="b"/>
        <c:majorTickMark val="out"/>
        <c:minorTickMark val="none"/>
        <c:tickLblPos val="nextTo"/>
        <c:crossAx val="110885504"/>
        <c:crosses val="autoZero"/>
        <c:auto val="1"/>
        <c:lblAlgn val="ctr"/>
        <c:lblOffset val="100"/>
        <c:noMultiLvlLbl val="0"/>
      </c:catAx>
    </c:plotArea>
    <c:legend>
      <c:legendPos val="b"/>
      <c:layout>
        <c:manualLayout>
          <c:xMode val="edge"/>
          <c:yMode val="edge"/>
          <c:x val="7.5118285005322513E-2"/>
          <c:y val="0.63486879335154978"/>
          <c:w val="0.92295317749707528"/>
          <c:h val="0.32410517780609288"/>
        </c:manualLayout>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109307437487747"/>
          <c:y val="9.4909404659188956E-2"/>
          <c:w val="0.727643677567827"/>
          <c:h val="0.5014613466673008"/>
        </c:manualLayout>
      </c:layout>
      <c:barChart>
        <c:barDir val="col"/>
        <c:grouping val="clustered"/>
        <c:varyColors val="0"/>
        <c:ser>
          <c:idx val="2"/>
          <c:order val="2"/>
          <c:tx>
            <c:strRef>
              <c:f>'Bucks data'!$A$135</c:f>
              <c:strCache>
                <c:ptCount val="1"/>
                <c:pt idx="0">
                  <c:v>No. Respondents</c:v>
                </c:pt>
              </c:strCache>
            </c:strRef>
          </c:tx>
          <c:invertIfNegative val="0"/>
          <c:cat>
            <c:strRef>
              <c:f>'Bucks data'!$B$132:$E$132</c:f>
              <c:strCache>
                <c:ptCount val="4"/>
                <c:pt idx="0">
                  <c:v>Q1</c:v>
                </c:pt>
                <c:pt idx="1">
                  <c:v>Q2</c:v>
                </c:pt>
                <c:pt idx="2">
                  <c:v>Q3</c:v>
                </c:pt>
                <c:pt idx="3">
                  <c:v>Q4</c:v>
                </c:pt>
              </c:strCache>
            </c:strRef>
          </c:cat>
          <c:val>
            <c:numRef>
              <c:f>'Bucks data'!$B$135:$E$135</c:f>
              <c:numCache>
                <c:formatCode>General</c:formatCode>
                <c:ptCount val="4"/>
                <c:pt idx="0">
                  <c:v>16</c:v>
                </c:pt>
                <c:pt idx="1">
                  <c:v>10</c:v>
                </c:pt>
                <c:pt idx="2">
                  <c:v>9</c:v>
                </c:pt>
                <c:pt idx="3">
                  <c:v>62</c:v>
                </c:pt>
              </c:numCache>
            </c:numRef>
          </c:val>
        </c:ser>
        <c:dLbls>
          <c:showLegendKey val="0"/>
          <c:showVal val="0"/>
          <c:showCatName val="0"/>
          <c:showSerName val="0"/>
          <c:showPercent val="0"/>
          <c:showBubbleSize val="0"/>
        </c:dLbls>
        <c:gapWidth val="75"/>
        <c:axId val="111198592"/>
        <c:axId val="111192704"/>
      </c:barChart>
      <c:lineChart>
        <c:grouping val="standard"/>
        <c:varyColors val="0"/>
        <c:ser>
          <c:idx val="0"/>
          <c:order val="0"/>
          <c:tx>
            <c:strRef>
              <c:f>'Bucks data'!$A$133</c:f>
              <c:strCache>
                <c:ptCount val="1"/>
                <c:pt idx="0">
                  <c:v>Actual %</c:v>
                </c:pt>
              </c:strCache>
            </c:strRef>
          </c:tx>
          <c:marker>
            <c:symbol val="none"/>
          </c:marker>
          <c:trendline>
            <c:spPr>
              <a:ln>
                <a:solidFill>
                  <a:srgbClr val="F79646">
                    <a:lumMod val="75000"/>
                  </a:srgbClr>
                </a:solidFill>
              </a:ln>
            </c:spPr>
            <c:trendlineType val="linear"/>
            <c:dispRSqr val="0"/>
            <c:dispEq val="0"/>
          </c:trendline>
          <c:cat>
            <c:strRef>
              <c:f>'Bucks data'!$B$132:$E$132</c:f>
              <c:strCache>
                <c:ptCount val="4"/>
                <c:pt idx="0">
                  <c:v>Q1</c:v>
                </c:pt>
                <c:pt idx="1">
                  <c:v>Q2</c:v>
                </c:pt>
                <c:pt idx="2">
                  <c:v>Q3</c:v>
                </c:pt>
                <c:pt idx="3">
                  <c:v>Q4</c:v>
                </c:pt>
              </c:strCache>
            </c:strRef>
          </c:cat>
          <c:val>
            <c:numRef>
              <c:f>'Bucks data'!$B$133:$E$133</c:f>
              <c:numCache>
                <c:formatCode>0%</c:formatCode>
                <c:ptCount val="4"/>
                <c:pt idx="0">
                  <c:v>0.25</c:v>
                </c:pt>
                <c:pt idx="1">
                  <c:v>0.9</c:v>
                </c:pt>
                <c:pt idx="2">
                  <c:v>0.67</c:v>
                </c:pt>
                <c:pt idx="3">
                  <c:v>0.66</c:v>
                </c:pt>
              </c:numCache>
            </c:numRef>
          </c:val>
          <c:smooth val="0"/>
        </c:ser>
        <c:ser>
          <c:idx val="1"/>
          <c:order val="1"/>
          <c:tx>
            <c:strRef>
              <c:f>'Bucks data'!$A$134</c:f>
              <c:strCache>
                <c:ptCount val="1"/>
                <c:pt idx="0">
                  <c:v>Target %</c:v>
                </c:pt>
              </c:strCache>
            </c:strRef>
          </c:tx>
          <c:marker>
            <c:symbol val="none"/>
          </c:marker>
          <c:cat>
            <c:strRef>
              <c:f>'Bucks data'!$B$132:$E$132</c:f>
              <c:strCache>
                <c:ptCount val="4"/>
                <c:pt idx="0">
                  <c:v>Q1</c:v>
                </c:pt>
                <c:pt idx="1">
                  <c:v>Q2</c:v>
                </c:pt>
                <c:pt idx="2">
                  <c:v>Q3</c:v>
                </c:pt>
                <c:pt idx="3">
                  <c:v>Q4</c:v>
                </c:pt>
              </c:strCache>
            </c:strRef>
          </c:cat>
          <c:val>
            <c:numRef>
              <c:f>'Bucks data'!$B$134:$E$134</c:f>
              <c:numCache>
                <c:formatCode>0%</c:formatCode>
                <c:ptCount val="4"/>
                <c:pt idx="0">
                  <c:v>0.9</c:v>
                </c:pt>
                <c:pt idx="1">
                  <c:v>0.9</c:v>
                </c:pt>
                <c:pt idx="2">
                  <c:v>0.9</c:v>
                </c:pt>
                <c:pt idx="3">
                  <c:v>0.9</c:v>
                </c:pt>
              </c:numCache>
            </c:numRef>
          </c:val>
          <c:smooth val="0"/>
        </c:ser>
        <c:dLbls>
          <c:showLegendKey val="0"/>
          <c:showVal val="0"/>
          <c:showCatName val="0"/>
          <c:showSerName val="0"/>
          <c:showPercent val="0"/>
          <c:showBubbleSize val="0"/>
        </c:dLbls>
        <c:marker val="1"/>
        <c:smooth val="0"/>
        <c:axId val="111181184"/>
        <c:axId val="111191168"/>
      </c:lineChart>
      <c:catAx>
        <c:axId val="111181184"/>
        <c:scaling>
          <c:orientation val="minMax"/>
        </c:scaling>
        <c:delete val="0"/>
        <c:axPos val="b"/>
        <c:majorTickMark val="none"/>
        <c:minorTickMark val="none"/>
        <c:tickLblPos val="nextTo"/>
        <c:crossAx val="111191168"/>
        <c:crosses val="autoZero"/>
        <c:auto val="1"/>
        <c:lblAlgn val="ctr"/>
        <c:lblOffset val="100"/>
        <c:noMultiLvlLbl val="0"/>
      </c:catAx>
      <c:valAx>
        <c:axId val="111191168"/>
        <c:scaling>
          <c:orientation val="minMax"/>
        </c:scaling>
        <c:delete val="0"/>
        <c:axPos val="l"/>
        <c:numFmt formatCode="0%" sourceLinked="1"/>
        <c:majorTickMark val="none"/>
        <c:minorTickMark val="none"/>
        <c:tickLblPos val="nextTo"/>
        <c:crossAx val="111181184"/>
        <c:crosses val="autoZero"/>
        <c:crossBetween val="between"/>
      </c:valAx>
      <c:valAx>
        <c:axId val="111192704"/>
        <c:scaling>
          <c:orientation val="minMax"/>
        </c:scaling>
        <c:delete val="0"/>
        <c:axPos val="r"/>
        <c:numFmt formatCode="General" sourceLinked="1"/>
        <c:majorTickMark val="out"/>
        <c:minorTickMark val="none"/>
        <c:tickLblPos val="nextTo"/>
        <c:crossAx val="111198592"/>
        <c:crosses val="max"/>
        <c:crossBetween val="between"/>
      </c:valAx>
      <c:catAx>
        <c:axId val="111198592"/>
        <c:scaling>
          <c:orientation val="minMax"/>
        </c:scaling>
        <c:delete val="1"/>
        <c:axPos val="b"/>
        <c:majorTickMark val="out"/>
        <c:minorTickMark val="none"/>
        <c:tickLblPos val="nextTo"/>
        <c:crossAx val="111192704"/>
        <c:crosses val="autoZero"/>
        <c:auto val="1"/>
        <c:lblAlgn val="ctr"/>
        <c:lblOffset val="100"/>
        <c:noMultiLvlLbl val="0"/>
      </c:catAx>
    </c:plotArea>
    <c:legend>
      <c:legendPos val="b"/>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2"/>
          <c:tx>
            <c:strRef>
              <c:f>'Bucks data'!$A$142</c:f>
              <c:strCache>
                <c:ptCount val="1"/>
                <c:pt idx="0">
                  <c:v>No. Respondents</c:v>
                </c:pt>
              </c:strCache>
            </c:strRef>
          </c:tx>
          <c:invertIfNegative val="0"/>
          <c:cat>
            <c:strRef>
              <c:f>'Bucks data'!$B$139:$E$139</c:f>
              <c:strCache>
                <c:ptCount val="4"/>
                <c:pt idx="0">
                  <c:v>Q1</c:v>
                </c:pt>
                <c:pt idx="1">
                  <c:v>Q2</c:v>
                </c:pt>
                <c:pt idx="2">
                  <c:v>Q3</c:v>
                </c:pt>
                <c:pt idx="3">
                  <c:v>Q4</c:v>
                </c:pt>
              </c:strCache>
            </c:strRef>
          </c:cat>
          <c:val>
            <c:numRef>
              <c:f>'Bucks data'!$B$142:$E$142</c:f>
              <c:numCache>
                <c:formatCode>General</c:formatCode>
                <c:ptCount val="4"/>
                <c:pt idx="0">
                  <c:v>16</c:v>
                </c:pt>
                <c:pt idx="1">
                  <c:v>10</c:v>
                </c:pt>
                <c:pt idx="2">
                  <c:v>9</c:v>
                </c:pt>
                <c:pt idx="3">
                  <c:v>62</c:v>
                </c:pt>
              </c:numCache>
            </c:numRef>
          </c:val>
        </c:ser>
        <c:dLbls>
          <c:showLegendKey val="0"/>
          <c:showVal val="0"/>
          <c:showCatName val="0"/>
          <c:showSerName val="0"/>
          <c:showPercent val="0"/>
          <c:showBubbleSize val="0"/>
        </c:dLbls>
        <c:gapWidth val="75"/>
        <c:axId val="111448448"/>
        <c:axId val="111442560"/>
      </c:barChart>
      <c:lineChart>
        <c:grouping val="standard"/>
        <c:varyColors val="0"/>
        <c:ser>
          <c:idx val="0"/>
          <c:order val="0"/>
          <c:tx>
            <c:strRef>
              <c:f>'Bucks data'!$A$140</c:f>
              <c:strCache>
                <c:ptCount val="1"/>
                <c:pt idx="0">
                  <c:v>Actual %</c:v>
                </c:pt>
              </c:strCache>
            </c:strRef>
          </c:tx>
          <c:marker>
            <c:symbol val="none"/>
          </c:marker>
          <c:trendline>
            <c:spPr>
              <a:ln>
                <a:solidFill>
                  <a:srgbClr val="F79646">
                    <a:lumMod val="75000"/>
                  </a:srgbClr>
                </a:solidFill>
              </a:ln>
            </c:spPr>
            <c:trendlineType val="linear"/>
            <c:dispRSqr val="0"/>
            <c:dispEq val="0"/>
          </c:trendline>
          <c:cat>
            <c:strRef>
              <c:f>'Bucks data'!$B$139:$E$139</c:f>
              <c:strCache>
                <c:ptCount val="4"/>
                <c:pt idx="0">
                  <c:v>Q1</c:v>
                </c:pt>
                <c:pt idx="1">
                  <c:v>Q2</c:v>
                </c:pt>
                <c:pt idx="2">
                  <c:v>Q3</c:v>
                </c:pt>
                <c:pt idx="3">
                  <c:v>Q4</c:v>
                </c:pt>
              </c:strCache>
            </c:strRef>
          </c:cat>
          <c:val>
            <c:numRef>
              <c:f>'Bucks data'!$B$140:$E$140</c:f>
              <c:numCache>
                <c:formatCode>0%</c:formatCode>
                <c:ptCount val="4"/>
                <c:pt idx="0">
                  <c:v>0.38</c:v>
                </c:pt>
                <c:pt idx="1">
                  <c:v>0.6</c:v>
                </c:pt>
                <c:pt idx="2">
                  <c:v>0.67</c:v>
                </c:pt>
                <c:pt idx="3">
                  <c:v>0.63</c:v>
                </c:pt>
              </c:numCache>
            </c:numRef>
          </c:val>
          <c:smooth val="0"/>
        </c:ser>
        <c:ser>
          <c:idx val="1"/>
          <c:order val="1"/>
          <c:tx>
            <c:strRef>
              <c:f>'Bucks data'!$A$141</c:f>
              <c:strCache>
                <c:ptCount val="1"/>
                <c:pt idx="0">
                  <c:v>Target %</c:v>
                </c:pt>
              </c:strCache>
            </c:strRef>
          </c:tx>
          <c:marker>
            <c:symbol val="none"/>
          </c:marker>
          <c:cat>
            <c:strRef>
              <c:f>'Bucks data'!$B$139:$E$139</c:f>
              <c:strCache>
                <c:ptCount val="4"/>
                <c:pt idx="0">
                  <c:v>Q1</c:v>
                </c:pt>
                <c:pt idx="1">
                  <c:v>Q2</c:v>
                </c:pt>
                <c:pt idx="2">
                  <c:v>Q3</c:v>
                </c:pt>
                <c:pt idx="3">
                  <c:v>Q4</c:v>
                </c:pt>
              </c:strCache>
            </c:strRef>
          </c:cat>
          <c:val>
            <c:numRef>
              <c:f>'Bucks data'!$B$141:$E$141</c:f>
              <c:numCache>
                <c:formatCode>0%</c:formatCode>
                <c:ptCount val="4"/>
                <c:pt idx="0">
                  <c:v>0.9</c:v>
                </c:pt>
                <c:pt idx="1">
                  <c:v>0.9</c:v>
                </c:pt>
                <c:pt idx="2">
                  <c:v>0.9</c:v>
                </c:pt>
                <c:pt idx="3">
                  <c:v>0.9</c:v>
                </c:pt>
              </c:numCache>
            </c:numRef>
          </c:val>
          <c:smooth val="0"/>
        </c:ser>
        <c:dLbls>
          <c:showLegendKey val="0"/>
          <c:showVal val="0"/>
          <c:showCatName val="0"/>
          <c:showSerName val="0"/>
          <c:showPercent val="0"/>
          <c:showBubbleSize val="0"/>
        </c:dLbls>
        <c:marker val="1"/>
        <c:smooth val="0"/>
        <c:axId val="111435136"/>
        <c:axId val="111441024"/>
      </c:lineChart>
      <c:catAx>
        <c:axId val="111435136"/>
        <c:scaling>
          <c:orientation val="minMax"/>
        </c:scaling>
        <c:delete val="0"/>
        <c:axPos val="b"/>
        <c:majorTickMark val="none"/>
        <c:minorTickMark val="none"/>
        <c:tickLblPos val="nextTo"/>
        <c:crossAx val="111441024"/>
        <c:crosses val="autoZero"/>
        <c:auto val="1"/>
        <c:lblAlgn val="ctr"/>
        <c:lblOffset val="100"/>
        <c:noMultiLvlLbl val="0"/>
      </c:catAx>
      <c:valAx>
        <c:axId val="111441024"/>
        <c:scaling>
          <c:orientation val="minMax"/>
        </c:scaling>
        <c:delete val="0"/>
        <c:axPos val="l"/>
        <c:numFmt formatCode="0%" sourceLinked="1"/>
        <c:majorTickMark val="none"/>
        <c:minorTickMark val="none"/>
        <c:tickLblPos val="nextTo"/>
        <c:crossAx val="111435136"/>
        <c:crosses val="autoZero"/>
        <c:crossBetween val="between"/>
      </c:valAx>
      <c:valAx>
        <c:axId val="111442560"/>
        <c:scaling>
          <c:orientation val="minMax"/>
        </c:scaling>
        <c:delete val="0"/>
        <c:axPos val="r"/>
        <c:numFmt formatCode="General" sourceLinked="1"/>
        <c:majorTickMark val="out"/>
        <c:minorTickMark val="none"/>
        <c:tickLblPos val="nextTo"/>
        <c:crossAx val="111448448"/>
        <c:crosses val="max"/>
        <c:crossBetween val="between"/>
      </c:valAx>
      <c:catAx>
        <c:axId val="111448448"/>
        <c:scaling>
          <c:orientation val="minMax"/>
        </c:scaling>
        <c:delete val="1"/>
        <c:axPos val="b"/>
        <c:majorTickMark val="out"/>
        <c:minorTickMark val="none"/>
        <c:tickLblPos val="nextTo"/>
        <c:crossAx val="111442560"/>
        <c:crosses val="autoZero"/>
        <c:auto val="1"/>
        <c:lblAlgn val="ctr"/>
        <c:lblOffset val="100"/>
        <c:noMultiLvlLbl val="0"/>
      </c:catAx>
    </c:plotArea>
    <c:legend>
      <c:legendPos val="b"/>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426823786033727"/>
          <c:y val="6.8431718419888599E-2"/>
          <c:w val="0.76546163808761214"/>
          <c:h val="0.58043191836293329"/>
        </c:manualLayout>
      </c:layout>
      <c:lineChart>
        <c:grouping val="standard"/>
        <c:varyColors val="0"/>
        <c:ser>
          <c:idx val="0"/>
          <c:order val="0"/>
          <c:tx>
            <c:strRef>
              <c:f>'Forensics data'!$A$50</c:f>
              <c:strCache>
                <c:ptCount val="1"/>
                <c:pt idx="0">
                  <c:v>MSU Actual%</c:v>
                </c:pt>
              </c:strCache>
            </c:strRef>
          </c:tx>
          <c:marker>
            <c:symbol val="none"/>
          </c:marker>
          <c:cat>
            <c:strRef>
              <c:f>'Forensics data'!$B$49:$E$49</c:f>
              <c:strCache>
                <c:ptCount val="4"/>
                <c:pt idx="0">
                  <c:v>Q1</c:v>
                </c:pt>
                <c:pt idx="1">
                  <c:v>Q2</c:v>
                </c:pt>
                <c:pt idx="2">
                  <c:v>Q3</c:v>
                </c:pt>
                <c:pt idx="3">
                  <c:v>Q4</c:v>
                </c:pt>
              </c:strCache>
            </c:strRef>
          </c:cat>
          <c:val>
            <c:numRef>
              <c:f>'Forensics data'!$B$50:$E$50</c:f>
              <c:numCache>
                <c:formatCode>0%</c:formatCode>
                <c:ptCount val="4"/>
                <c:pt idx="0">
                  <c:v>0.44</c:v>
                </c:pt>
                <c:pt idx="1">
                  <c:v>0.45</c:v>
                </c:pt>
                <c:pt idx="2">
                  <c:v>0.42</c:v>
                </c:pt>
                <c:pt idx="3">
                  <c:v>0.44</c:v>
                </c:pt>
              </c:numCache>
            </c:numRef>
          </c:val>
          <c:smooth val="0"/>
        </c:ser>
        <c:ser>
          <c:idx val="1"/>
          <c:order val="1"/>
          <c:tx>
            <c:strRef>
              <c:f>'Forensics data'!$A$51</c:f>
              <c:strCache>
                <c:ptCount val="1"/>
                <c:pt idx="0">
                  <c:v>Target %</c:v>
                </c:pt>
              </c:strCache>
            </c:strRef>
          </c:tx>
          <c:marker>
            <c:symbol val="none"/>
          </c:marker>
          <c:cat>
            <c:strRef>
              <c:f>'Forensics data'!$B$49:$E$49</c:f>
              <c:strCache>
                <c:ptCount val="4"/>
                <c:pt idx="0">
                  <c:v>Q1</c:v>
                </c:pt>
                <c:pt idx="1">
                  <c:v>Q2</c:v>
                </c:pt>
                <c:pt idx="2">
                  <c:v>Q3</c:v>
                </c:pt>
                <c:pt idx="3">
                  <c:v>Q4</c:v>
                </c:pt>
              </c:strCache>
            </c:strRef>
          </c:cat>
          <c:val>
            <c:numRef>
              <c:f>'Forensics data'!$B$51:$E$51</c:f>
              <c:numCache>
                <c:formatCode>0%</c:formatCode>
                <c:ptCount val="4"/>
                <c:pt idx="0">
                  <c:v>0.7</c:v>
                </c:pt>
                <c:pt idx="1">
                  <c:v>0.7</c:v>
                </c:pt>
                <c:pt idx="2">
                  <c:v>0.7</c:v>
                </c:pt>
                <c:pt idx="3">
                  <c:v>0.7</c:v>
                </c:pt>
              </c:numCache>
            </c:numRef>
          </c:val>
          <c:smooth val="0"/>
        </c:ser>
        <c:ser>
          <c:idx val="2"/>
          <c:order val="2"/>
          <c:tx>
            <c:strRef>
              <c:f>'Forensics data'!$A$52</c:f>
              <c:strCache>
                <c:ptCount val="1"/>
                <c:pt idx="0">
                  <c:v>LSU Actual %</c:v>
                </c:pt>
              </c:strCache>
            </c:strRef>
          </c:tx>
          <c:marker>
            <c:symbol val="none"/>
          </c:marker>
          <c:cat>
            <c:strRef>
              <c:f>'Forensics data'!$B$49:$E$49</c:f>
              <c:strCache>
                <c:ptCount val="4"/>
                <c:pt idx="0">
                  <c:v>Q1</c:v>
                </c:pt>
                <c:pt idx="1">
                  <c:v>Q2</c:v>
                </c:pt>
                <c:pt idx="2">
                  <c:v>Q3</c:v>
                </c:pt>
                <c:pt idx="3">
                  <c:v>Q4</c:v>
                </c:pt>
              </c:strCache>
            </c:strRef>
          </c:cat>
          <c:val>
            <c:numRef>
              <c:f>'Forensics data'!$B$52:$E$52</c:f>
              <c:numCache>
                <c:formatCode>0%</c:formatCode>
                <c:ptCount val="4"/>
                <c:pt idx="0">
                  <c:v>0.65</c:v>
                </c:pt>
                <c:pt idx="1">
                  <c:v>0.63</c:v>
                </c:pt>
                <c:pt idx="2">
                  <c:v>0.67</c:v>
                </c:pt>
                <c:pt idx="3">
                  <c:v>0.51</c:v>
                </c:pt>
              </c:numCache>
            </c:numRef>
          </c:val>
          <c:smooth val="0"/>
        </c:ser>
        <c:dLbls>
          <c:showLegendKey val="0"/>
          <c:showVal val="0"/>
          <c:showCatName val="0"/>
          <c:showSerName val="0"/>
          <c:showPercent val="0"/>
          <c:showBubbleSize val="0"/>
        </c:dLbls>
        <c:marker val="1"/>
        <c:smooth val="0"/>
        <c:axId val="111744512"/>
        <c:axId val="111746048"/>
      </c:lineChart>
      <c:catAx>
        <c:axId val="111744512"/>
        <c:scaling>
          <c:orientation val="minMax"/>
        </c:scaling>
        <c:delete val="0"/>
        <c:axPos val="b"/>
        <c:majorTickMark val="none"/>
        <c:minorTickMark val="none"/>
        <c:tickLblPos val="nextTo"/>
        <c:crossAx val="111746048"/>
        <c:crosses val="autoZero"/>
        <c:auto val="1"/>
        <c:lblAlgn val="ctr"/>
        <c:lblOffset val="100"/>
        <c:noMultiLvlLbl val="0"/>
      </c:catAx>
      <c:valAx>
        <c:axId val="111746048"/>
        <c:scaling>
          <c:orientation val="minMax"/>
          <c:max val="1"/>
        </c:scaling>
        <c:delete val="0"/>
        <c:axPos val="l"/>
        <c:numFmt formatCode="0%" sourceLinked="1"/>
        <c:majorTickMark val="none"/>
        <c:minorTickMark val="none"/>
        <c:tickLblPos val="nextTo"/>
        <c:crossAx val="111744512"/>
        <c:crosses val="autoZero"/>
        <c:crossBetween val="between"/>
      </c:valAx>
    </c:plotArea>
    <c:legend>
      <c:legendPos val="b"/>
      <c:layout>
        <c:manualLayout>
          <c:xMode val="edge"/>
          <c:yMode val="edge"/>
          <c:x val="0.12881714380874396"/>
          <c:y val="0.78330657948684534"/>
          <c:w val="0.74236571238251203"/>
          <c:h val="0.17943152252203695"/>
        </c:manualLayout>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83573928258968"/>
          <c:y val="7.3587478394468969E-2"/>
          <c:w val="0.50773206474190724"/>
          <c:h val="0.73837718455924717"/>
        </c:manualLayout>
      </c:layout>
      <c:lineChart>
        <c:grouping val="standard"/>
        <c:varyColors val="0"/>
        <c:ser>
          <c:idx val="0"/>
          <c:order val="0"/>
          <c:tx>
            <c:strRef>
              <c:f>Sheet1!$A$40</c:f>
              <c:strCache>
                <c:ptCount val="1"/>
                <c:pt idx="0">
                  <c:v>National</c:v>
                </c:pt>
              </c:strCache>
            </c:strRef>
          </c:tx>
          <c:cat>
            <c:strRef>
              <c:f>Sheet1!$B$39:$D$39</c:f>
              <c:strCache>
                <c:ptCount val="3"/>
                <c:pt idx="0">
                  <c:v>M10</c:v>
                </c:pt>
                <c:pt idx="1">
                  <c:v>M11</c:v>
                </c:pt>
                <c:pt idx="2">
                  <c:v>M12</c:v>
                </c:pt>
              </c:strCache>
            </c:strRef>
          </c:cat>
          <c:val>
            <c:numRef>
              <c:f>Sheet1!$B$40:$D$40</c:f>
              <c:numCache>
                <c:formatCode>0%</c:formatCode>
                <c:ptCount val="3"/>
                <c:pt idx="0">
                  <c:v>0.76</c:v>
                </c:pt>
                <c:pt idx="1">
                  <c:v>0.71</c:v>
                </c:pt>
                <c:pt idx="2">
                  <c:v>0.75</c:v>
                </c:pt>
              </c:numCache>
            </c:numRef>
          </c:val>
          <c:smooth val="0"/>
        </c:ser>
        <c:ser>
          <c:idx val="1"/>
          <c:order val="1"/>
          <c:tx>
            <c:strRef>
              <c:f>Sheet1!$A$42</c:f>
              <c:strCache>
                <c:ptCount val="1"/>
                <c:pt idx="0">
                  <c:v>Older Peoples  (OPD)</c:v>
                </c:pt>
              </c:strCache>
            </c:strRef>
          </c:tx>
          <c:cat>
            <c:strRef>
              <c:f>Sheet1!$B$39:$D$39</c:f>
              <c:strCache>
                <c:ptCount val="3"/>
                <c:pt idx="0">
                  <c:v>M10</c:v>
                </c:pt>
                <c:pt idx="1">
                  <c:v>M11</c:v>
                </c:pt>
                <c:pt idx="2">
                  <c:v>M12</c:v>
                </c:pt>
              </c:strCache>
            </c:strRef>
          </c:cat>
          <c:val>
            <c:numRef>
              <c:f>Sheet1!$B$42:$D$42</c:f>
              <c:numCache>
                <c:formatCode>0%</c:formatCode>
                <c:ptCount val="3"/>
                <c:pt idx="0">
                  <c:v>0.84</c:v>
                </c:pt>
                <c:pt idx="1">
                  <c:v>0.82278481012658233</c:v>
                </c:pt>
                <c:pt idx="2">
                  <c:v>0.78</c:v>
                </c:pt>
              </c:numCache>
            </c:numRef>
          </c:val>
          <c:smooth val="0"/>
        </c:ser>
        <c:ser>
          <c:idx val="2"/>
          <c:order val="2"/>
          <c:tx>
            <c:strRef>
              <c:f>Sheet1!$A$43</c:f>
              <c:strCache>
                <c:ptCount val="1"/>
                <c:pt idx="0">
                  <c:v>Children &amp; Young People (CYP)</c:v>
                </c:pt>
              </c:strCache>
            </c:strRef>
          </c:tx>
          <c:cat>
            <c:strRef>
              <c:f>Sheet1!$B$39:$D$39</c:f>
              <c:strCache>
                <c:ptCount val="3"/>
                <c:pt idx="0">
                  <c:v>M10</c:v>
                </c:pt>
                <c:pt idx="1">
                  <c:v>M11</c:v>
                </c:pt>
                <c:pt idx="2">
                  <c:v>M12</c:v>
                </c:pt>
              </c:strCache>
            </c:strRef>
          </c:cat>
          <c:val>
            <c:numRef>
              <c:f>Sheet1!$B$43:$D$43</c:f>
              <c:numCache>
                <c:formatCode>0%</c:formatCode>
                <c:ptCount val="3"/>
                <c:pt idx="0">
                  <c:v>0.97</c:v>
                </c:pt>
                <c:pt idx="1">
                  <c:v>0.96210268948655253</c:v>
                </c:pt>
                <c:pt idx="2">
                  <c:v>0.97</c:v>
                </c:pt>
              </c:numCache>
            </c:numRef>
          </c:val>
          <c:smooth val="0"/>
        </c:ser>
        <c:ser>
          <c:idx val="3"/>
          <c:order val="3"/>
          <c:tx>
            <c:strRef>
              <c:f>Sheet1!$A$44</c:f>
              <c:strCache>
                <c:ptCount val="1"/>
                <c:pt idx="0">
                  <c:v>Adults of Working Age (AWA)</c:v>
                </c:pt>
              </c:strCache>
            </c:strRef>
          </c:tx>
          <c:cat>
            <c:strRef>
              <c:f>Sheet1!$B$39:$D$39</c:f>
              <c:strCache>
                <c:ptCount val="3"/>
                <c:pt idx="0">
                  <c:v>M10</c:v>
                </c:pt>
                <c:pt idx="1">
                  <c:v>M11</c:v>
                </c:pt>
                <c:pt idx="2">
                  <c:v>M12</c:v>
                </c:pt>
              </c:strCache>
            </c:strRef>
          </c:cat>
          <c:val>
            <c:numRef>
              <c:f>Sheet1!$B$44:$D$44</c:f>
              <c:numCache>
                <c:formatCode>0%</c:formatCode>
                <c:ptCount val="3"/>
                <c:pt idx="0">
                  <c:v>0.68</c:v>
                </c:pt>
                <c:pt idx="1">
                  <c:v>0.66666666666666663</c:v>
                </c:pt>
                <c:pt idx="2">
                  <c:v>0.69</c:v>
                </c:pt>
              </c:numCache>
            </c:numRef>
          </c:val>
          <c:smooth val="0"/>
        </c:ser>
        <c:dLbls>
          <c:showLegendKey val="0"/>
          <c:showVal val="0"/>
          <c:showCatName val="0"/>
          <c:showSerName val="0"/>
          <c:showPercent val="0"/>
          <c:showBubbleSize val="0"/>
        </c:dLbls>
        <c:marker val="1"/>
        <c:smooth val="0"/>
        <c:axId val="85028864"/>
        <c:axId val="85030784"/>
      </c:lineChart>
      <c:catAx>
        <c:axId val="85028864"/>
        <c:scaling>
          <c:orientation val="minMax"/>
        </c:scaling>
        <c:delete val="0"/>
        <c:axPos val="b"/>
        <c:title>
          <c:tx>
            <c:rich>
              <a:bodyPr/>
              <a:lstStyle/>
              <a:p>
                <a:pPr>
                  <a:defRPr/>
                </a:pPr>
                <a:r>
                  <a:rPr lang="en-GB"/>
                  <a:t>Month FY17</a:t>
                </a:r>
              </a:p>
            </c:rich>
          </c:tx>
          <c:layout/>
          <c:overlay val="0"/>
        </c:title>
        <c:majorTickMark val="none"/>
        <c:minorTickMark val="none"/>
        <c:tickLblPos val="nextTo"/>
        <c:crossAx val="85030784"/>
        <c:crosses val="autoZero"/>
        <c:auto val="1"/>
        <c:lblAlgn val="ctr"/>
        <c:lblOffset val="100"/>
        <c:noMultiLvlLbl val="0"/>
      </c:catAx>
      <c:valAx>
        <c:axId val="85030784"/>
        <c:scaling>
          <c:orientation val="minMax"/>
          <c:min val="0.5"/>
        </c:scaling>
        <c:delete val="0"/>
        <c:axPos val="l"/>
        <c:majorGridlines/>
        <c:title>
          <c:tx>
            <c:rich>
              <a:bodyPr/>
              <a:lstStyle/>
              <a:p>
                <a:pPr>
                  <a:defRPr/>
                </a:pPr>
                <a:r>
                  <a:rPr lang="en-US"/>
                  <a:t>% KPIs achieved</a:t>
                </a:r>
              </a:p>
            </c:rich>
          </c:tx>
          <c:layout/>
          <c:overlay val="0"/>
        </c:title>
        <c:numFmt formatCode="0%" sourceLinked="1"/>
        <c:majorTickMark val="out"/>
        <c:minorTickMark val="none"/>
        <c:tickLblPos val="nextTo"/>
        <c:crossAx val="85028864"/>
        <c:crosses val="autoZero"/>
        <c:crossBetween val="between"/>
      </c:valAx>
    </c:plotArea>
    <c:legend>
      <c:legendPos val="r"/>
      <c:layout>
        <c:manualLayout>
          <c:xMode val="edge"/>
          <c:yMode val="edge"/>
          <c:x val="0.68645669291338585"/>
          <c:y val="0.22222905063696305"/>
          <c:w val="0.29687664041994749"/>
          <c:h val="0.52302157352282186"/>
        </c:manualLayout>
      </c:layout>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50447906435675"/>
          <c:y val="8.3220446614411137E-2"/>
          <c:w val="0.77644399954592824"/>
          <c:h val="0.42157865859987842"/>
        </c:manualLayout>
      </c:layout>
      <c:barChart>
        <c:barDir val="col"/>
        <c:grouping val="clustered"/>
        <c:varyColors val="0"/>
        <c:ser>
          <c:idx val="2"/>
          <c:order val="2"/>
          <c:tx>
            <c:strRef>
              <c:f>'Forensics data'!$A$58</c:f>
              <c:strCache>
                <c:ptCount val="1"/>
                <c:pt idx="0">
                  <c:v>No. of Discharges</c:v>
                </c:pt>
              </c:strCache>
            </c:strRef>
          </c:tx>
          <c:invertIfNegative val="0"/>
          <c:cat>
            <c:strRef>
              <c:f>'Forensics data'!$B$55:$K$55</c:f>
              <c:strCache>
                <c:ptCount val="10"/>
                <c:pt idx="0">
                  <c:v>Jun</c:v>
                </c:pt>
                <c:pt idx="1">
                  <c:v>Jul</c:v>
                </c:pt>
                <c:pt idx="2">
                  <c:v>Aug </c:v>
                </c:pt>
                <c:pt idx="3">
                  <c:v>Sep</c:v>
                </c:pt>
                <c:pt idx="4">
                  <c:v>Oct</c:v>
                </c:pt>
                <c:pt idx="5">
                  <c:v>Nov</c:v>
                </c:pt>
                <c:pt idx="6">
                  <c:v>Dec</c:v>
                </c:pt>
                <c:pt idx="7">
                  <c:v>Jan</c:v>
                </c:pt>
                <c:pt idx="8">
                  <c:v>Feb</c:v>
                </c:pt>
                <c:pt idx="9">
                  <c:v>Mar</c:v>
                </c:pt>
              </c:strCache>
            </c:strRef>
          </c:cat>
          <c:val>
            <c:numRef>
              <c:f>'Forensics data'!$B$58:$K$58</c:f>
              <c:numCache>
                <c:formatCode>General</c:formatCode>
                <c:ptCount val="10"/>
                <c:pt idx="0">
                  <c:v>1</c:v>
                </c:pt>
                <c:pt idx="1">
                  <c:v>3</c:v>
                </c:pt>
                <c:pt idx="2">
                  <c:v>1</c:v>
                </c:pt>
                <c:pt idx="3">
                  <c:v>3</c:v>
                </c:pt>
                <c:pt idx="4">
                  <c:v>1</c:v>
                </c:pt>
                <c:pt idx="5">
                  <c:v>0</c:v>
                </c:pt>
                <c:pt idx="6">
                  <c:v>1</c:v>
                </c:pt>
                <c:pt idx="7">
                  <c:v>0</c:v>
                </c:pt>
                <c:pt idx="8">
                  <c:v>3</c:v>
                </c:pt>
                <c:pt idx="9">
                  <c:v>2</c:v>
                </c:pt>
              </c:numCache>
            </c:numRef>
          </c:val>
        </c:ser>
        <c:dLbls>
          <c:showLegendKey val="0"/>
          <c:showVal val="0"/>
          <c:showCatName val="0"/>
          <c:showSerName val="0"/>
          <c:showPercent val="0"/>
          <c:showBubbleSize val="0"/>
        </c:dLbls>
        <c:gapWidth val="75"/>
        <c:axId val="112262144"/>
        <c:axId val="112260608"/>
      </c:barChart>
      <c:lineChart>
        <c:grouping val="standard"/>
        <c:varyColors val="0"/>
        <c:ser>
          <c:idx val="0"/>
          <c:order val="0"/>
          <c:tx>
            <c:strRef>
              <c:f>'Forensics data'!$A$56</c:f>
              <c:strCache>
                <c:ptCount val="1"/>
                <c:pt idx="0">
                  <c:v>MSU Actual %</c:v>
                </c:pt>
              </c:strCache>
            </c:strRef>
          </c:tx>
          <c:marker>
            <c:symbol val="none"/>
          </c:marker>
          <c:trendline>
            <c:spPr>
              <a:ln>
                <a:solidFill>
                  <a:srgbClr val="F79646">
                    <a:lumMod val="75000"/>
                  </a:srgbClr>
                </a:solidFill>
              </a:ln>
            </c:spPr>
            <c:trendlineType val="linear"/>
            <c:dispRSqr val="0"/>
            <c:dispEq val="0"/>
          </c:trendline>
          <c:cat>
            <c:strRef>
              <c:f>'Forensics data'!$B$55:$K$55</c:f>
              <c:strCache>
                <c:ptCount val="10"/>
                <c:pt idx="0">
                  <c:v>Jun</c:v>
                </c:pt>
                <c:pt idx="1">
                  <c:v>Jul</c:v>
                </c:pt>
                <c:pt idx="2">
                  <c:v>Aug </c:v>
                </c:pt>
                <c:pt idx="3">
                  <c:v>Sep</c:v>
                </c:pt>
                <c:pt idx="4">
                  <c:v>Oct</c:v>
                </c:pt>
                <c:pt idx="5">
                  <c:v>Nov</c:v>
                </c:pt>
                <c:pt idx="6">
                  <c:v>Dec</c:v>
                </c:pt>
                <c:pt idx="7">
                  <c:v>Jan</c:v>
                </c:pt>
                <c:pt idx="8">
                  <c:v>Feb</c:v>
                </c:pt>
                <c:pt idx="9">
                  <c:v>Mar</c:v>
                </c:pt>
              </c:strCache>
            </c:strRef>
          </c:cat>
          <c:val>
            <c:numRef>
              <c:f>'Forensics data'!$B$56:$K$56</c:f>
              <c:numCache>
                <c:formatCode>0%</c:formatCode>
                <c:ptCount val="10"/>
                <c:pt idx="0">
                  <c:v>1</c:v>
                </c:pt>
                <c:pt idx="1">
                  <c:v>0.33333333333333331</c:v>
                </c:pt>
                <c:pt idx="2">
                  <c:v>1</c:v>
                </c:pt>
                <c:pt idx="3">
                  <c:v>0.33333333333333331</c:v>
                </c:pt>
                <c:pt idx="4">
                  <c:v>1</c:v>
                </c:pt>
                <c:pt idx="5">
                  <c:v>0</c:v>
                </c:pt>
                <c:pt idx="6">
                  <c:v>1</c:v>
                </c:pt>
                <c:pt idx="7">
                  <c:v>0</c:v>
                </c:pt>
                <c:pt idx="8">
                  <c:v>0</c:v>
                </c:pt>
                <c:pt idx="9">
                  <c:v>0</c:v>
                </c:pt>
              </c:numCache>
            </c:numRef>
          </c:val>
          <c:smooth val="0"/>
        </c:ser>
        <c:ser>
          <c:idx val="1"/>
          <c:order val="1"/>
          <c:tx>
            <c:strRef>
              <c:f>'Forensics data'!$A$57</c:f>
              <c:strCache>
                <c:ptCount val="1"/>
                <c:pt idx="0">
                  <c:v>Target %</c:v>
                </c:pt>
              </c:strCache>
            </c:strRef>
          </c:tx>
          <c:marker>
            <c:symbol val="none"/>
          </c:marker>
          <c:cat>
            <c:strRef>
              <c:f>'Forensics data'!$B$55:$K$55</c:f>
              <c:strCache>
                <c:ptCount val="10"/>
                <c:pt idx="0">
                  <c:v>Jun</c:v>
                </c:pt>
                <c:pt idx="1">
                  <c:v>Jul</c:v>
                </c:pt>
                <c:pt idx="2">
                  <c:v>Aug </c:v>
                </c:pt>
                <c:pt idx="3">
                  <c:v>Sep</c:v>
                </c:pt>
                <c:pt idx="4">
                  <c:v>Oct</c:v>
                </c:pt>
                <c:pt idx="5">
                  <c:v>Nov</c:v>
                </c:pt>
                <c:pt idx="6">
                  <c:v>Dec</c:v>
                </c:pt>
                <c:pt idx="7">
                  <c:v>Jan</c:v>
                </c:pt>
                <c:pt idx="8">
                  <c:v>Feb</c:v>
                </c:pt>
                <c:pt idx="9">
                  <c:v>Mar</c:v>
                </c:pt>
              </c:strCache>
            </c:strRef>
          </c:cat>
          <c:val>
            <c:numRef>
              <c:f>'Forensics data'!$B$57:$K$57</c:f>
              <c:numCache>
                <c:formatCode>0%</c:formatCode>
                <c:ptCount val="10"/>
                <c:pt idx="0">
                  <c:v>1</c:v>
                </c:pt>
                <c:pt idx="1">
                  <c:v>1</c:v>
                </c:pt>
                <c:pt idx="2">
                  <c:v>1</c:v>
                </c:pt>
                <c:pt idx="3">
                  <c:v>1</c:v>
                </c:pt>
                <c:pt idx="4">
                  <c:v>1</c:v>
                </c:pt>
                <c:pt idx="5">
                  <c:v>1</c:v>
                </c:pt>
                <c:pt idx="6">
                  <c:v>1</c:v>
                </c:pt>
                <c:pt idx="7">
                  <c:v>1</c:v>
                </c:pt>
                <c:pt idx="8">
                  <c:v>1</c:v>
                </c:pt>
                <c:pt idx="9">
                  <c:v>1</c:v>
                </c:pt>
              </c:numCache>
            </c:numRef>
          </c:val>
          <c:smooth val="0"/>
        </c:ser>
        <c:dLbls>
          <c:showLegendKey val="0"/>
          <c:showVal val="0"/>
          <c:showCatName val="0"/>
          <c:showSerName val="0"/>
          <c:showPercent val="0"/>
          <c:showBubbleSize val="0"/>
        </c:dLbls>
        <c:marker val="1"/>
        <c:smooth val="0"/>
        <c:axId val="112244992"/>
        <c:axId val="112259072"/>
      </c:lineChart>
      <c:catAx>
        <c:axId val="112244992"/>
        <c:scaling>
          <c:orientation val="minMax"/>
        </c:scaling>
        <c:delete val="0"/>
        <c:axPos val="b"/>
        <c:majorTickMark val="none"/>
        <c:minorTickMark val="none"/>
        <c:tickLblPos val="nextTo"/>
        <c:crossAx val="112259072"/>
        <c:crosses val="autoZero"/>
        <c:auto val="1"/>
        <c:lblAlgn val="ctr"/>
        <c:lblOffset val="100"/>
        <c:noMultiLvlLbl val="0"/>
      </c:catAx>
      <c:valAx>
        <c:axId val="112259072"/>
        <c:scaling>
          <c:orientation val="minMax"/>
          <c:max val="1"/>
        </c:scaling>
        <c:delete val="0"/>
        <c:axPos val="l"/>
        <c:numFmt formatCode="0%" sourceLinked="1"/>
        <c:majorTickMark val="none"/>
        <c:minorTickMark val="none"/>
        <c:tickLblPos val="nextTo"/>
        <c:crossAx val="112244992"/>
        <c:crosses val="autoZero"/>
        <c:crossBetween val="between"/>
      </c:valAx>
      <c:valAx>
        <c:axId val="112260608"/>
        <c:scaling>
          <c:orientation val="minMax"/>
        </c:scaling>
        <c:delete val="0"/>
        <c:axPos val="r"/>
        <c:numFmt formatCode="General" sourceLinked="1"/>
        <c:majorTickMark val="out"/>
        <c:minorTickMark val="none"/>
        <c:tickLblPos val="nextTo"/>
        <c:crossAx val="112262144"/>
        <c:crosses val="max"/>
        <c:crossBetween val="between"/>
        <c:majorUnit val="1"/>
      </c:valAx>
      <c:catAx>
        <c:axId val="112262144"/>
        <c:scaling>
          <c:orientation val="minMax"/>
        </c:scaling>
        <c:delete val="1"/>
        <c:axPos val="b"/>
        <c:majorTickMark val="out"/>
        <c:minorTickMark val="none"/>
        <c:tickLblPos val="nextTo"/>
        <c:crossAx val="112260608"/>
        <c:crosses val="autoZero"/>
        <c:auto val="1"/>
        <c:lblAlgn val="ctr"/>
        <c:lblOffset val="100"/>
        <c:noMultiLvlLbl val="0"/>
      </c:catAx>
    </c:plotArea>
    <c:legend>
      <c:legendPos val="b"/>
      <c:layout>
        <c:manualLayout>
          <c:xMode val="edge"/>
          <c:yMode val="edge"/>
          <c:x val="0.14332964777536922"/>
          <c:y val="0.64858697747527316"/>
          <c:w val="0.78348830249429835"/>
          <c:h val="0.30540176353478993"/>
        </c:manualLayout>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93285214348207"/>
          <c:y val="6.9218117906413801E-2"/>
          <c:w val="0.77559259973019845"/>
          <c:h val="0.54260723615694684"/>
        </c:manualLayout>
      </c:layout>
      <c:barChart>
        <c:barDir val="col"/>
        <c:grouping val="clustered"/>
        <c:varyColors val="0"/>
        <c:ser>
          <c:idx val="2"/>
          <c:order val="2"/>
          <c:tx>
            <c:strRef>
              <c:f>'Forensics data'!$A$43</c:f>
              <c:strCache>
                <c:ptCount val="1"/>
                <c:pt idx="0">
                  <c:v>Number of admissions in the past 3 months</c:v>
                </c:pt>
              </c:strCache>
            </c:strRef>
          </c:tx>
          <c:invertIfNegative val="0"/>
          <c:cat>
            <c:strRef>
              <c:f>'Forensics data'!$B$40:$M$40</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'Forensics data'!$B$43:$M$43</c:f>
              <c:numCache>
                <c:formatCode>General</c:formatCode>
                <c:ptCount val="12"/>
                <c:pt idx="0">
                  <c:v>2</c:v>
                </c:pt>
                <c:pt idx="1">
                  <c:v>0</c:v>
                </c:pt>
                <c:pt idx="2">
                  <c:v>1</c:v>
                </c:pt>
                <c:pt idx="3">
                  <c:v>3</c:v>
                </c:pt>
                <c:pt idx="4">
                  <c:v>2</c:v>
                </c:pt>
                <c:pt idx="5">
                  <c:v>0</c:v>
                </c:pt>
                <c:pt idx="6">
                  <c:v>1</c:v>
                </c:pt>
                <c:pt idx="7">
                  <c:v>0</c:v>
                </c:pt>
                <c:pt idx="8">
                  <c:v>3</c:v>
                </c:pt>
                <c:pt idx="9">
                  <c:v>2</c:v>
                </c:pt>
                <c:pt idx="10">
                  <c:v>0</c:v>
                </c:pt>
                <c:pt idx="11">
                  <c:v>3</c:v>
                </c:pt>
              </c:numCache>
            </c:numRef>
          </c:val>
        </c:ser>
        <c:dLbls>
          <c:showLegendKey val="0"/>
          <c:showVal val="0"/>
          <c:showCatName val="0"/>
          <c:showSerName val="0"/>
          <c:showPercent val="0"/>
          <c:showBubbleSize val="0"/>
        </c:dLbls>
        <c:gapWidth val="75"/>
        <c:axId val="112516096"/>
        <c:axId val="112514560"/>
      </c:barChart>
      <c:lineChart>
        <c:grouping val="standard"/>
        <c:varyColors val="0"/>
        <c:ser>
          <c:idx val="0"/>
          <c:order val="0"/>
          <c:tx>
            <c:strRef>
              <c:f>'Forensics data'!$A$41</c:f>
              <c:strCache>
                <c:ptCount val="1"/>
                <c:pt idx="0">
                  <c:v>LSU % HCR20 completed in 3 months</c:v>
                </c:pt>
              </c:strCache>
            </c:strRef>
          </c:tx>
          <c:marker>
            <c:symbol val="none"/>
          </c:marker>
          <c:trendline>
            <c:spPr>
              <a:ln>
                <a:solidFill>
                  <a:srgbClr val="F79646">
                    <a:lumMod val="75000"/>
                  </a:srgbClr>
                </a:solidFill>
              </a:ln>
            </c:spPr>
            <c:trendlineType val="linear"/>
            <c:dispRSqr val="0"/>
            <c:dispEq val="0"/>
          </c:trendline>
          <c:cat>
            <c:strRef>
              <c:f>'Forensics data'!$B$40:$M$40</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'Forensics data'!$B$41:$M$41</c:f>
              <c:numCache>
                <c:formatCode>0%</c:formatCode>
                <c:ptCount val="12"/>
                <c:pt idx="0">
                  <c:v>1</c:v>
                </c:pt>
                <c:pt idx="1">
                  <c:v>0</c:v>
                </c:pt>
                <c:pt idx="2">
                  <c:v>1</c:v>
                </c:pt>
                <c:pt idx="3">
                  <c:v>0.66666666666666663</c:v>
                </c:pt>
                <c:pt idx="4">
                  <c:v>1</c:v>
                </c:pt>
                <c:pt idx="5">
                  <c:v>0</c:v>
                </c:pt>
                <c:pt idx="6">
                  <c:v>1</c:v>
                </c:pt>
                <c:pt idx="7">
                  <c:v>0</c:v>
                </c:pt>
                <c:pt idx="8">
                  <c:v>1</c:v>
                </c:pt>
                <c:pt idx="9">
                  <c:v>1</c:v>
                </c:pt>
                <c:pt idx="10">
                  <c:v>0</c:v>
                </c:pt>
                <c:pt idx="11">
                  <c:v>0.66666666666666663</c:v>
                </c:pt>
              </c:numCache>
            </c:numRef>
          </c:val>
          <c:smooth val="0"/>
        </c:ser>
        <c:ser>
          <c:idx val="1"/>
          <c:order val="1"/>
          <c:tx>
            <c:strRef>
              <c:f>'Forensics data'!$A$42</c:f>
              <c:strCache>
                <c:ptCount val="1"/>
                <c:pt idx="0">
                  <c:v>Target %</c:v>
                </c:pt>
              </c:strCache>
            </c:strRef>
          </c:tx>
          <c:marker>
            <c:symbol val="none"/>
          </c:marker>
          <c:cat>
            <c:strRef>
              <c:f>'Forensics data'!$B$40:$M$40</c:f>
              <c:strCache>
                <c:ptCount val="12"/>
                <c:pt idx="0">
                  <c:v>Apr</c:v>
                </c:pt>
                <c:pt idx="1">
                  <c:v>May</c:v>
                </c:pt>
                <c:pt idx="2">
                  <c:v>Jun</c:v>
                </c:pt>
                <c:pt idx="3">
                  <c:v>Jul</c:v>
                </c:pt>
                <c:pt idx="4">
                  <c:v>Aug </c:v>
                </c:pt>
                <c:pt idx="5">
                  <c:v>Sep</c:v>
                </c:pt>
                <c:pt idx="6">
                  <c:v>Oct</c:v>
                </c:pt>
                <c:pt idx="7">
                  <c:v>Nov</c:v>
                </c:pt>
                <c:pt idx="8">
                  <c:v>Dec</c:v>
                </c:pt>
                <c:pt idx="9">
                  <c:v>Jan</c:v>
                </c:pt>
                <c:pt idx="10">
                  <c:v>Feb</c:v>
                </c:pt>
                <c:pt idx="11">
                  <c:v>Mar</c:v>
                </c:pt>
              </c:strCache>
            </c:strRef>
          </c:cat>
          <c:val>
            <c:numRef>
              <c:f>'Forensics data'!$B$42:$M$42</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dLbls>
          <c:showLegendKey val="0"/>
          <c:showVal val="0"/>
          <c:showCatName val="0"/>
          <c:showSerName val="0"/>
          <c:showPercent val="0"/>
          <c:showBubbleSize val="0"/>
        </c:dLbls>
        <c:marker val="1"/>
        <c:smooth val="0"/>
        <c:axId val="112503040"/>
        <c:axId val="112513024"/>
      </c:lineChart>
      <c:catAx>
        <c:axId val="112503040"/>
        <c:scaling>
          <c:orientation val="minMax"/>
        </c:scaling>
        <c:delete val="0"/>
        <c:axPos val="b"/>
        <c:majorTickMark val="none"/>
        <c:minorTickMark val="none"/>
        <c:tickLblPos val="nextTo"/>
        <c:crossAx val="112513024"/>
        <c:crosses val="autoZero"/>
        <c:auto val="1"/>
        <c:lblAlgn val="ctr"/>
        <c:lblOffset val="100"/>
        <c:noMultiLvlLbl val="0"/>
      </c:catAx>
      <c:valAx>
        <c:axId val="112513024"/>
        <c:scaling>
          <c:orientation val="minMax"/>
          <c:max val="1"/>
        </c:scaling>
        <c:delete val="0"/>
        <c:axPos val="l"/>
        <c:numFmt formatCode="0%" sourceLinked="1"/>
        <c:majorTickMark val="none"/>
        <c:minorTickMark val="none"/>
        <c:tickLblPos val="nextTo"/>
        <c:crossAx val="112503040"/>
        <c:crosses val="autoZero"/>
        <c:crossBetween val="between"/>
      </c:valAx>
      <c:valAx>
        <c:axId val="112514560"/>
        <c:scaling>
          <c:orientation val="minMax"/>
          <c:max val="4"/>
        </c:scaling>
        <c:delete val="0"/>
        <c:axPos val="r"/>
        <c:numFmt formatCode="General" sourceLinked="1"/>
        <c:majorTickMark val="out"/>
        <c:minorTickMark val="none"/>
        <c:tickLblPos val="nextTo"/>
        <c:crossAx val="112516096"/>
        <c:crosses val="max"/>
        <c:crossBetween val="between"/>
        <c:majorUnit val="1"/>
      </c:valAx>
      <c:catAx>
        <c:axId val="112516096"/>
        <c:scaling>
          <c:orientation val="minMax"/>
        </c:scaling>
        <c:delete val="1"/>
        <c:axPos val="b"/>
        <c:majorTickMark val="out"/>
        <c:minorTickMark val="none"/>
        <c:tickLblPos val="nextTo"/>
        <c:crossAx val="112514560"/>
        <c:crosses val="autoZero"/>
        <c:auto val="1"/>
        <c:lblAlgn val="ctr"/>
        <c:lblOffset val="100"/>
        <c:noMultiLvlLbl val="0"/>
      </c:catAx>
    </c:plotArea>
    <c:legend>
      <c:legendPos val="b"/>
      <c:layout>
        <c:manualLayout>
          <c:xMode val="edge"/>
          <c:yMode val="edge"/>
          <c:x val="7.4473655395665098E-2"/>
          <c:y val="0.76023708896795761"/>
          <c:w val="0.86034877508024943"/>
          <c:h val="0.23056623041573726"/>
        </c:manualLayout>
      </c:layout>
      <c:overlay val="0"/>
    </c:legend>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cat>
            <c:strRef>
              <c:f>NQRs!$F$16:$Q$16</c:f>
              <c:strCache>
                <c:ptCount val="12"/>
                <c:pt idx="0">
                  <c:v>Apr</c:v>
                </c:pt>
                <c:pt idx="1">
                  <c:v>May</c:v>
                </c:pt>
                <c:pt idx="2">
                  <c:v>Jun</c:v>
                </c:pt>
                <c:pt idx="3">
                  <c:v>Jul </c:v>
                </c:pt>
                <c:pt idx="4">
                  <c:v>Aug</c:v>
                </c:pt>
                <c:pt idx="5">
                  <c:v>Sept</c:v>
                </c:pt>
                <c:pt idx="6">
                  <c:v>Oct</c:v>
                </c:pt>
                <c:pt idx="7">
                  <c:v>Nov</c:v>
                </c:pt>
                <c:pt idx="8">
                  <c:v>Dec</c:v>
                </c:pt>
                <c:pt idx="9">
                  <c:v>Jan</c:v>
                </c:pt>
                <c:pt idx="10">
                  <c:v>Feb</c:v>
                </c:pt>
                <c:pt idx="11">
                  <c:v>Mar</c:v>
                </c:pt>
              </c:strCache>
            </c:strRef>
          </c:cat>
          <c:val>
            <c:numRef>
              <c:f>NQRs!$F$17:$Q$17</c:f>
              <c:numCache>
                <c:formatCode>0%</c:formatCode>
                <c:ptCount val="12"/>
                <c:pt idx="0">
                  <c:v>0.64</c:v>
                </c:pt>
                <c:pt idx="1">
                  <c:v>0.84</c:v>
                </c:pt>
                <c:pt idx="2">
                  <c:v>0.81</c:v>
                </c:pt>
                <c:pt idx="3">
                  <c:v>0.69</c:v>
                </c:pt>
                <c:pt idx="4">
                  <c:v>0.81</c:v>
                </c:pt>
                <c:pt idx="5">
                  <c:v>0.68</c:v>
                </c:pt>
                <c:pt idx="6">
                  <c:v>0.69</c:v>
                </c:pt>
                <c:pt idx="7">
                  <c:v>0.57999999999999996</c:v>
                </c:pt>
                <c:pt idx="8">
                  <c:v>0.57999999999999996</c:v>
                </c:pt>
                <c:pt idx="9">
                  <c:v>0.49</c:v>
                </c:pt>
                <c:pt idx="10">
                  <c:v>0.46</c:v>
                </c:pt>
                <c:pt idx="11">
                  <c:v>0.66</c:v>
                </c:pt>
              </c:numCache>
            </c:numRef>
          </c:val>
          <c:smooth val="0"/>
        </c:ser>
        <c:ser>
          <c:idx val="1"/>
          <c:order val="1"/>
          <c:marker>
            <c:symbol val="none"/>
          </c:marker>
          <c:cat>
            <c:strRef>
              <c:f>NQRs!$F$16:$Q$16</c:f>
              <c:strCache>
                <c:ptCount val="12"/>
                <c:pt idx="0">
                  <c:v>Apr</c:v>
                </c:pt>
                <c:pt idx="1">
                  <c:v>May</c:v>
                </c:pt>
                <c:pt idx="2">
                  <c:v>Jun</c:v>
                </c:pt>
                <c:pt idx="3">
                  <c:v>Jul </c:v>
                </c:pt>
                <c:pt idx="4">
                  <c:v>Aug</c:v>
                </c:pt>
                <c:pt idx="5">
                  <c:v>Sept</c:v>
                </c:pt>
                <c:pt idx="6">
                  <c:v>Oct</c:v>
                </c:pt>
                <c:pt idx="7">
                  <c:v>Nov</c:v>
                </c:pt>
                <c:pt idx="8">
                  <c:v>Dec</c:v>
                </c:pt>
                <c:pt idx="9">
                  <c:v>Jan</c:v>
                </c:pt>
                <c:pt idx="10">
                  <c:v>Feb</c:v>
                </c:pt>
                <c:pt idx="11">
                  <c:v>Mar</c:v>
                </c:pt>
              </c:strCache>
            </c:strRef>
          </c:cat>
          <c:val>
            <c:numRef>
              <c:f>NQRs!$F$18:$Q$18</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ser>
          <c:idx val="2"/>
          <c:order val="2"/>
          <c:marker>
            <c:symbol val="none"/>
          </c:marker>
          <c:cat>
            <c:strRef>
              <c:f>NQRs!$F$16:$Q$16</c:f>
              <c:strCache>
                <c:ptCount val="12"/>
                <c:pt idx="0">
                  <c:v>Apr</c:v>
                </c:pt>
                <c:pt idx="1">
                  <c:v>May</c:v>
                </c:pt>
                <c:pt idx="2">
                  <c:v>Jun</c:v>
                </c:pt>
                <c:pt idx="3">
                  <c:v>Jul </c:v>
                </c:pt>
                <c:pt idx="4">
                  <c:v>Aug</c:v>
                </c:pt>
                <c:pt idx="5">
                  <c:v>Sept</c:v>
                </c:pt>
                <c:pt idx="6">
                  <c:v>Oct</c:v>
                </c:pt>
                <c:pt idx="7">
                  <c:v>Nov</c:v>
                </c:pt>
                <c:pt idx="8">
                  <c:v>Dec</c:v>
                </c:pt>
                <c:pt idx="9">
                  <c:v>Jan</c:v>
                </c:pt>
                <c:pt idx="10">
                  <c:v>Feb</c:v>
                </c:pt>
                <c:pt idx="11">
                  <c:v>Mar</c:v>
                </c:pt>
              </c:strCache>
            </c:strRef>
          </c:cat>
          <c:val>
            <c:numRef>
              <c:f>NQRs!$F$19:$Q$19</c:f>
              <c:numCache>
                <c:formatCode>General</c:formatCode>
                <c:ptCount val="12"/>
              </c:numCache>
            </c:numRef>
          </c:val>
          <c:smooth val="0"/>
        </c:ser>
        <c:dLbls>
          <c:showLegendKey val="0"/>
          <c:showVal val="0"/>
          <c:showCatName val="0"/>
          <c:showSerName val="0"/>
          <c:showPercent val="0"/>
          <c:showBubbleSize val="0"/>
        </c:dLbls>
        <c:marker val="1"/>
        <c:smooth val="0"/>
        <c:axId val="85116800"/>
        <c:axId val="85118336"/>
      </c:lineChart>
      <c:catAx>
        <c:axId val="85116800"/>
        <c:scaling>
          <c:orientation val="minMax"/>
        </c:scaling>
        <c:delete val="0"/>
        <c:axPos val="b"/>
        <c:majorTickMark val="none"/>
        <c:minorTickMark val="none"/>
        <c:tickLblPos val="nextTo"/>
        <c:crossAx val="85118336"/>
        <c:crosses val="autoZero"/>
        <c:auto val="1"/>
        <c:lblAlgn val="ctr"/>
        <c:lblOffset val="100"/>
        <c:noMultiLvlLbl val="0"/>
      </c:catAx>
      <c:valAx>
        <c:axId val="85118336"/>
        <c:scaling>
          <c:orientation val="minMax"/>
        </c:scaling>
        <c:delete val="0"/>
        <c:axPos val="l"/>
        <c:majorGridlines/>
        <c:numFmt formatCode="0%" sourceLinked="1"/>
        <c:majorTickMark val="none"/>
        <c:minorTickMark val="none"/>
        <c:tickLblPos val="nextTo"/>
        <c:crossAx val="85116800"/>
        <c:crosses val="autoZero"/>
        <c:crossBetween val="between"/>
      </c:valAx>
    </c:plotArea>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cat>
            <c:strRef>
              <c:f>NQRs!$B$31:$M$31</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NQRs!$B$32:$M$32</c:f>
              <c:numCache>
                <c:formatCode>0%</c:formatCode>
                <c:ptCount val="12"/>
                <c:pt idx="0">
                  <c:v>0.84</c:v>
                </c:pt>
                <c:pt idx="1">
                  <c:v>0.86</c:v>
                </c:pt>
                <c:pt idx="2">
                  <c:v>0.89</c:v>
                </c:pt>
                <c:pt idx="3">
                  <c:v>0.86</c:v>
                </c:pt>
                <c:pt idx="4">
                  <c:v>0.89</c:v>
                </c:pt>
                <c:pt idx="5">
                  <c:v>0.86</c:v>
                </c:pt>
                <c:pt idx="6">
                  <c:v>0.88</c:v>
                </c:pt>
                <c:pt idx="7">
                  <c:v>0.87</c:v>
                </c:pt>
                <c:pt idx="8">
                  <c:v>0.82</c:v>
                </c:pt>
                <c:pt idx="9">
                  <c:v>0.8</c:v>
                </c:pt>
                <c:pt idx="10">
                  <c:v>0.86</c:v>
                </c:pt>
                <c:pt idx="11">
                  <c:v>0.81</c:v>
                </c:pt>
              </c:numCache>
            </c:numRef>
          </c:val>
          <c:smooth val="0"/>
        </c:ser>
        <c:ser>
          <c:idx val="1"/>
          <c:order val="1"/>
          <c:marker>
            <c:symbol val="none"/>
          </c:marker>
          <c:cat>
            <c:strRef>
              <c:f>NQRs!$B$31:$M$31</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NQRs!$B$33:$M$33</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dLbls>
          <c:showLegendKey val="0"/>
          <c:showVal val="0"/>
          <c:showCatName val="0"/>
          <c:showSerName val="0"/>
          <c:showPercent val="0"/>
          <c:showBubbleSize val="0"/>
        </c:dLbls>
        <c:marker val="1"/>
        <c:smooth val="0"/>
        <c:axId val="85339520"/>
        <c:axId val="85349504"/>
      </c:lineChart>
      <c:catAx>
        <c:axId val="85339520"/>
        <c:scaling>
          <c:orientation val="minMax"/>
        </c:scaling>
        <c:delete val="0"/>
        <c:axPos val="b"/>
        <c:majorTickMark val="none"/>
        <c:minorTickMark val="none"/>
        <c:tickLblPos val="nextTo"/>
        <c:crossAx val="85349504"/>
        <c:crosses val="autoZero"/>
        <c:auto val="1"/>
        <c:lblAlgn val="ctr"/>
        <c:lblOffset val="100"/>
        <c:noMultiLvlLbl val="0"/>
      </c:catAx>
      <c:valAx>
        <c:axId val="85349504"/>
        <c:scaling>
          <c:orientation val="minMax"/>
        </c:scaling>
        <c:delete val="0"/>
        <c:axPos val="l"/>
        <c:majorGridlines/>
        <c:numFmt formatCode="0%" sourceLinked="1"/>
        <c:majorTickMark val="none"/>
        <c:minorTickMark val="none"/>
        <c:tickLblPos val="nextTo"/>
        <c:crossAx val="85339520"/>
        <c:crosses val="autoZero"/>
        <c:crossBetween val="between"/>
      </c:valAx>
    </c:plotArea>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cat>
            <c:strRef>
              <c:f>NQRs!$B$3:$M$3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NQRs!$B$4:$M$4</c:f>
              <c:numCache>
                <c:formatCode>0%</c:formatCode>
                <c:ptCount val="12"/>
                <c:pt idx="0">
                  <c:v>0.11</c:v>
                </c:pt>
                <c:pt idx="1">
                  <c:v>0.06</c:v>
                </c:pt>
                <c:pt idx="2">
                  <c:v>0.11</c:v>
                </c:pt>
                <c:pt idx="3">
                  <c:v>0.26</c:v>
                </c:pt>
                <c:pt idx="4">
                  <c:v>0.21</c:v>
                </c:pt>
                <c:pt idx="5">
                  <c:v>0.15</c:v>
                </c:pt>
                <c:pt idx="6">
                  <c:v>0.14000000000000001</c:v>
                </c:pt>
                <c:pt idx="7">
                  <c:v>0.09</c:v>
                </c:pt>
                <c:pt idx="8">
                  <c:v>0.13</c:v>
                </c:pt>
                <c:pt idx="9">
                  <c:v>0.06</c:v>
                </c:pt>
                <c:pt idx="10">
                  <c:v>0.11</c:v>
                </c:pt>
                <c:pt idx="11">
                  <c:v>0.09</c:v>
                </c:pt>
              </c:numCache>
            </c:numRef>
          </c:val>
          <c:smooth val="0"/>
        </c:ser>
        <c:ser>
          <c:idx val="1"/>
          <c:order val="1"/>
          <c:marker>
            <c:symbol val="none"/>
          </c:marker>
          <c:cat>
            <c:strRef>
              <c:f>NQRs!$B$3:$M$3</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NQRs!$B$5:$M$5</c:f>
              <c:numCache>
                <c:formatCode>0%</c:formatCode>
                <c:ptCount val="12"/>
                <c:pt idx="0">
                  <c:v>0.02</c:v>
                </c:pt>
                <c:pt idx="1">
                  <c:v>0.02</c:v>
                </c:pt>
                <c:pt idx="2">
                  <c:v>0.02</c:v>
                </c:pt>
                <c:pt idx="3">
                  <c:v>0.02</c:v>
                </c:pt>
                <c:pt idx="4">
                  <c:v>0.02</c:v>
                </c:pt>
                <c:pt idx="5">
                  <c:v>0.02</c:v>
                </c:pt>
                <c:pt idx="6">
                  <c:v>0.02</c:v>
                </c:pt>
                <c:pt idx="7">
                  <c:v>0.02</c:v>
                </c:pt>
                <c:pt idx="8">
                  <c:v>0.02</c:v>
                </c:pt>
                <c:pt idx="9">
                  <c:v>0.02</c:v>
                </c:pt>
                <c:pt idx="10">
                  <c:v>0.02</c:v>
                </c:pt>
                <c:pt idx="11">
                  <c:v>0.02</c:v>
                </c:pt>
              </c:numCache>
            </c:numRef>
          </c:val>
          <c:smooth val="0"/>
        </c:ser>
        <c:dLbls>
          <c:showLegendKey val="0"/>
          <c:showVal val="0"/>
          <c:showCatName val="0"/>
          <c:showSerName val="0"/>
          <c:showPercent val="0"/>
          <c:showBubbleSize val="0"/>
        </c:dLbls>
        <c:marker val="1"/>
        <c:smooth val="0"/>
        <c:axId val="86767104"/>
        <c:axId val="86768640"/>
      </c:lineChart>
      <c:catAx>
        <c:axId val="86767104"/>
        <c:scaling>
          <c:orientation val="minMax"/>
        </c:scaling>
        <c:delete val="0"/>
        <c:axPos val="b"/>
        <c:majorTickMark val="out"/>
        <c:minorTickMark val="none"/>
        <c:tickLblPos val="nextTo"/>
        <c:crossAx val="86768640"/>
        <c:crosses val="autoZero"/>
        <c:auto val="1"/>
        <c:lblAlgn val="ctr"/>
        <c:lblOffset val="100"/>
        <c:noMultiLvlLbl val="0"/>
      </c:catAx>
      <c:valAx>
        <c:axId val="86768640"/>
        <c:scaling>
          <c:orientation val="minMax"/>
        </c:scaling>
        <c:delete val="0"/>
        <c:axPos val="l"/>
        <c:majorGridlines/>
        <c:numFmt formatCode="0%" sourceLinked="1"/>
        <c:majorTickMark val="out"/>
        <c:minorTickMark val="none"/>
        <c:tickLblPos val="nextTo"/>
        <c:crossAx val="86767104"/>
        <c:crosses val="autoZero"/>
        <c:crossBetween val="between"/>
      </c:valAx>
    </c:plotArea>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2489165598487"/>
          <c:y val="0.14185755993983898"/>
          <c:w val="0.82475566135628398"/>
          <c:h val="0.61697177740422893"/>
        </c:manualLayout>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NQRs!$B$45:$M$45</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NQRs!$B$46:$M$46</c:f>
              <c:numCache>
                <c:formatCode>0%</c:formatCode>
                <c:ptCount val="12"/>
                <c:pt idx="0">
                  <c:v>0.84</c:v>
                </c:pt>
                <c:pt idx="1">
                  <c:v>0.83</c:v>
                </c:pt>
                <c:pt idx="2">
                  <c:v>0.81</c:v>
                </c:pt>
                <c:pt idx="3">
                  <c:v>0.76</c:v>
                </c:pt>
                <c:pt idx="4">
                  <c:v>0.82</c:v>
                </c:pt>
                <c:pt idx="5">
                  <c:v>0.85</c:v>
                </c:pt>
                <c:pt idx="6">
                  <c:v>0.85</c:v>
                </c:pt>
                <c:pt idx="7">
                  <c:v>0.86</c:v>
                </c:pt>
                <c:pt idx="8">
                  <c:v>0.74</c:v>
                </c:pt>
                <c:pt idx="9">
                  <c:v>0.79</c:v>
                </c:pt>
                <c:pt idx="10">
                  <c:v>0.77</c:v>
                </c:pt>
                <c:pt idx="11">
                  <c:v>0.83</c:v>
                </c:pt>
              </c:numCache>
            </c:numRef>
          </c:val>
          <c:smooth val="0"/>
        </c:ser>
        <c:ser>
          <c:idx val="1"/>
          <c:order val="1"/>
          <c:marker>
            <c:symbol val="none"/>
          </c:marker>
          <c:cat>
            <c:strRef>
              <c:f>NQRs!$B$45:$M$45</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NQRs!$B$47:$M$47</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dLbls>
          <c:showLegendKey val="0"/>
          <c:showVal val="0"/>
          <c:showCatName val="0"/>
          <c:showSerName val="0"/>
          <c:showPercent val="0"/>
          <c:showBubbleSize val="0"/>
        </c:dLbls>
        <c:marker val="1"/>
        <c:smooth val="0"/>
        <c:axId val="91475968"/>
        <c:axId val="91477504"/>
      </c:lineChart>
      <c:catAx>
        <c:axId val="91475968"/>
        <c:scaling>
          <c:orientation val="minMax"/>
        </c:scaling>
        <c:delete val="0"/>
        <c:axPos val="b"/>
        <c:majorTickMark val="none"/>
        <c:minorTickMark val="none"/>
        <c:tickLblPos val="nextTo"/>
        <c:crossAx val="91477504"/>
        <c:crosses val="autoZero"/>
        <c:auto val="1"/>
        <c:lblAlgn val="ctr"/>
        <c:lblOffset val="100"/>
        <c:noMultiLvlLbl val="0"/>
      </c:catAx>
      <c:valAx>
        <c:axId val="91477504"/>
        <c:scaling>
          <c:orientation val="minMax"/>
          <c:min val="0.5"/>
        </c:scaling>
        <c:delete val="0"/>
        <c:axPos val="l"/>
        <c:majorGridlines/>
        <c:numFmt formatCode="0%" sourceLinked="1"/>
        <c:majorTickMark val="none"/>
        <c:minorTickMark val="none"/>
        <c:tickLblPos val="nextTo"/>
        <c:crossAx val="91475968"/>
        <c:crosses val="autoZero"/>
        <c:crossBetween val="between"/>
        <c:majorUnit val="0.1"/>
      </c:valAx>
    </c:plotArea>
    <c:plotVisOnly val="1"/>
    <c:dispBlanksAs val="gap"/>
    <c:showDLblsOverMax val="0"/>
  </c:chart>
  <c:spPr>
    <a:noFill/>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marker>
            <c:symbol val="none"/>
          </c:marker>
          <c:trendline>
            <c:spPr>
              <a:ln w="9525" cap="flat" cmpd="sng" algn="ctr">
                <a:solidFill>
                  <a:schemeClr val="accent6">
                    <a:shade val="95000"/>
                    <a:satMod val="105000"/>
                  </a:schemeClr>
                </a:solidFill>
                <a:prstDash val="solid"/>
              </a:ln>
              <a:effectLst/>
            </c:spPr>
            <c:trendlineType val="linear"/>
            <c:dispRSqr val="0"/>
            <c:dispEq val="0"/>
          </c:trendline>
          <c:cat>
            <c:strRef>
              <c:f>LQRs!$B$48:$M$48</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LQRs!$B$49:$M$49</c:f>
              <c:numCache>
                <c:formatCode>General</c:formatCode>
                <c:ptCount val="12"/>
                <c:pt idx="5" formatCode="0%">
                  <c:v>0.11</c:v>
                </c:pt>
                <c:pt idx="6" formatCode="0%">
                  <c:v>0.11</c:v>
                </c:pt>
                <c:pt idx="7" formatCode="0%">
                  <c:v>0.05</c:v>
                </c:pt>
                <c:pt idx="8" formatCode="0%">
                  <c:v>0.05</c:v>
                </c:pt>
                <c:pt idx="9" formatCode="0%">
                  <c:v>0.1</c:v>
                </c:pt>
                <c:pt idx="10" formatCode="0%">
                  <c:v>0.15</c:v>
                </c:pt>
                <c:pt idx="11" formatCode="0%">
                  <c:v>0.11</c:v>
                </c:pt>
              </c:numCache>
            </c:numRef>
          </c:val>
          <c:smooth val="0"/>
        </c:ser>
        <c:ser>
          <c:idx val="1"/>
          <c:order val="1"/>
          <c:marker>
            <c:symbol val="none"/>
          </c:marker>
          <c:cat>
            <c:strRef>
              <c:f>LQRs!$B$48:$M$48</c:f>
              <c:strCache>
                <c:ptCount val="12"/>
                <c:pt idx="0">
                  <c:v>Apr</c:v>
                </c:pt>
                <c:pt idx="1">
                  <c:v>May</c:v>
                </c:pt>
                <c:pt idx="2">
                  <c:v>June</c:v>
                </c:pt>
                <c:pt idx="3">
                  <c:v>July </c:v>
                </c:pt>
                <c:pt idx="4">
                  <c:v>Aug</c:v>
                </c:pt>
                <c:pt idx="5">
                  <c:v>Sept</c:v>
                </c:pt>
                <c:pt idx="6">
                  <c:v>Oct</c:v>
                </c:pt>
                <c:pt idx="7">
                  <c:v>Nov</c:v>
                </c:pt>
                <c:pt idx="8">
                  <c:v>Dec</c:v>
                </c:pt>
                <c:pt idx="9">
                  <c:v>Jan</c:v>
                </c:pt>
                <c:pt idx="10">
                  <c:v>Feb</c:v>
                </c:pt>
                <c:pt idx="11">
                  <c:v>Mar</c:v>
                </c:pt>
              </c:strCache>
            </c:strRef>
          </c:cat>
          <c:val>
            <c:numRef>
              <c:f>LQRs!$B$50:$M$50</c:f>
              <c:numCache>
                <c:formatCode>0%</c:formatCode>
                <c:ptCount val="12"/>
                <c:pt idx="0">
                  <c:v>0.9</c:v>
                </c:pt>
                <c:pt idx="1">
                  <c:v>0.9</c:v>
                </c:pt>
                <c:pt idx="2">
                  <c:v>0.9</c:v>
                </c:pt>
                <c:pt idx="3">
                  <c:v>0.9</c:v>
                </c:pt>
                <c:pt idx="4">
                  <c:v>0.9</c:v>
                </c:pt>
                <c:pt idx="5">
                  <c:v>0.9</c:v>
                </c:pt>
                <c:pt idx="6">
                  <c:v>0.9</c:v>
                </c:pt>
                <c:pt idx="7">
                  <c:v>0.9</c:v>
                </c:pt>
                <c:pt idx="8">
                  <c:v>0.9</c:v>
                </c:pt>
                <c:pt idx="9">
                  <c:v>0.9</c:v>
                </c:pt>
                <c:pt idx="10">
                  <c:v>0.9</c:v>
                </c:pt>
                <c:pt idx="11">
                  <c:v>0.9</c:v>
                </c:pt>
              </c:numCache>
            </c:numRef>
          </c:val>
          <c:smooth val="0"/>
        </c:ser>
        <c:dLbls>
          <c:showLegendKey val="0"/>
          <c:showVal val="0"/>
          <c:showCatName val="0"/>
          <c:showSerName val="0"/>
          <c:showPercent val="0"/>
          <c:showBubbleSize val="0"/>
        </c:dLbls>
        <c:marker val="1"/>
        <c:smooth val="0"/>
        <c:axId val="91371776"/>
        <c:axId val="91381760"/>
      </c:lineChart>
      <c:catAx>
        <c:axId val="91371776"/>
        <c:scaling>
          <c:orientation val="minMax"/>
        </c:scaling>
        <c:delete val="0"/>
        <c:axPos val="b"/>
        <c:majorTickMark val="none"/>
        <c:minorTickMark val="none"/>
        <c:tickLblPos val="nextTo"/>
        <c:crossAx val="91381760"/>
        <c:crosses val="autoZero"/>
        <c:auto val="1"/>
        <c:lblAlgn val="ctr"/>
        <c:lblOffset val="100"/>
        <c:noMultiLvlLbl val="0"/>
      </c:catAx>
      <c:valAx>
        <c:axId val="91381760"/>
        <c:scaling>
          <c:orientation val="minMax"/>
          <c:min val="0"/>
        </c:scaling>
        <c:delete val="0"/>
        <c:axPos val="l"/>
        <c:majorGridlines/>
        <c:numFmt formatCode="General" sourceLinked="1"/>
        <c:majorTickMark val="none"/>
        <c:minorTickMark val="none"/>
        <c:tickLblPos val="nextTo"/>
        <c:crossAx val="91371776"/>
        <c:crosses val="autoZero"/>
        <c:crossBetween val="between"/>
      </c:valAx>
    </c:plotArea>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marker>
            <c:symbol val="none"/>
          </c:marker>
          <c:trendline>
            <c:spPr>
              <a:ln>
                <a:solidFill>
                  <a:srgbClr val="F79646">
                    <a:lumMod val="75000"/>
                  </a:srgbClr>
                </a:solidFill>
              </a:ln>
            </c:spPr>
            <c:trendlineType val="linear"/>
            <c:dispRSqr val="0"/>
            <c:dispEq val="0"/>
          </c:trendline>
          <c:cat>
            <c:strRef>
              <c:f>Community!$B$79:$M$79</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Community!$B$80:$M$80</c:f>
              <c:numCache>
                <c:formatCode>0%</c:formatCode>
                <c:ptCount val="12"/>
                <c:pt idx="0">
                  <c:v>1</c:v>
                </c:pt>
                <c:pt idx="1">
                  <c:v>1</c:v>
                </c:pt>
                <c:pt idx="2">
                  <c:v>1</c:v>
                </c:pt>
                <c:pt idx="3">
                  <c:v>1</c:v>
                </c:pt>
                <c:pt idx="4">
                  <c:v>0.75</c:v>
                </c:pt>
                <c:pt idx="5">
                  <c:v>1</c:v>
                </c:pt>
                <c:pt idx="6">
                  <c:v>1</c:v>
                </c:pt>
                <c:pt idx="7">
                  <c:v>1</c:v>
                </c:pt>
                <c:pt idx="8">
                  <c:v>0.83333333333333337</c:v>
                </c:pt>
                <c:pt idx="9">
                  <c:v>1</c:v>
                </c:pt>
                <c:pt idx="10">
                  <c:v>1</c:v>
                </c:pt>
                <c:pt idx="11">
                  <c:v>0.8</c:v>
                </c:pt>
              </c:numCache>
            </c:numRef>
          </c:val>
          <c:smooth val="0"/>
        </c:ser>
        <c:ser>
          <c:idx val="1"/>
          <c:order val="1"/>
          <c:marker>
            <c:symbol val="none"/>
          </c:marker>
          <c:cat>
            <c:strRef>
              <c:f>Community!$B$79:$M$79</c:f>
              <c:strCache>
                <c:ptCount val="12"/>
                <c:pt idx="0">
                  <c:v>Apr</c:v>
                </c:pt>
                <c:pt idx="1">
                  <c:v>May</c:v>
                </c:pt>
                <c:pt idx="2">
                  <c:v>Jun</c:v>
                </c:pt>
                <c:pt idx="3">
                  <c:v>Jul</c:v>
                </c:pt>
                <c:pt idx="4">
                  <c:v>Aug</c:v>
                </c:pt>
                <c:pt idx="5">
                  <c:v>Sep</c:v>
                </c:pt>
                <c:pt idx="6">
                  <c:v>Oct</c:v>
                </c:pt>
                <c:pt idx="7">
                  <c:v>Nov</c:v>
                </c:pt>
                <c:pt idx="8">
                  <c:v>Dec</c:v>
                </c:pt>
                <c:pt idx="9">
                  <c:v>Jan</c:v>
                </c:pt>
                <c:pt idx="10">
                  <c:v>Feb</c:v>
                </c:pt>
                <c:pt idx="11">
                  <c:v>Mar</c:v>
                </c:pt>
              </c:strCache>
            </c:strRef>
          </c:cat>
          <c:val>
            <c:numRef>
              <c:f>Community!$B$81:$M$81</c:f>
              <c:numCache>
                <c:formatCode>0%</c:formatCode>
                <c:ptCount val="12"/>
                <c:pt idx="0">
                  <c:v>0.95</c:v>
                </c:pt>
                <c:pt idx="1">
                  <c:v>0.95</c:v>
                </c:pt>
                <c:pt idx="2">
                  <c:v>0.95</c:v>
                </c:pt>
                <c:pt idx="3">
                  <c:v>0.95</c:v>
                </c:pt>
                <c:pt idx="4">
                  <c:v>0.95</c:v>
                </c:pt>
                <c:pt idx="5">
                  <c:v>0.95</c:v>
                </c:pt>
                <c:pt idx="6">
                  <c:v>0.95</c:v>
                </c:pt>
                <c:pt idx="7">
                  <c:v>0.95</c:v>
                </c:pt>
                <c:pt idx="8">
                  <c:v>0.95</c:v>
                </c:pt>
                <c:pt idx="9">
                  <c:v>0.95</c:v>
                </c:pt>
                <c:pt idx="10">
                  <c:v>0.95</c:v>
                </c:pt>
                <c:pt idx="11">
                  <c:v>0.95</c:v>
                </c:pt>
              </c:numCache>
            </c:numRef>
          </c:val>
          <c:smooth val="0"/>
        </c:ser>
        <c:dLbls>
          <c:showLegendKey val="0"/>
          <c:showVal val="0"/>
          <c:showCatName val="0"/>
          <c:showSerName val="0"/>
          <c:showPercent val="0"/>
          <c:showBubbleSize val="0"/>
        </c:dLbls>
        <c:marker val="1"/>
        <c:smooth val="0"/>
        <c:axId val="91944064"/>
        <c:axId val="91945600"/>
      </c:lineChart>
      <c:catAx>
        <c:axId val="91944064"/>
        <c:scaling>
          <c:orientation val="minMax"/>
        </c:scaling>
        <c:delete val="0"/>
        <c:axPos val="b"/>
        <c:majorTickMark val="out"/>
        <c:minorTickMark val="none"/>
        <c:tickLblPos val="nextTo"/>
        <c:crossAx val="91945600"/>
        <c:crosses val="autoZero"/>
        <c:auto val="1"/>
        <c:lblAlgn val="ctr"/>
        <c:lblOffset val="100"/>
        <c:noMultiLvlLbl val="0"/>
      </c:catAx>
      <c:valAx>
        <c:axId val="91945600"/>
        <c:scaling>
          <c:orientation val="minMax"/>
        </c:scaling>
        <c:delete val="0"/>
        <c:axPos val="l"/>
        <c:majorGridlines/>
        <c:numFmt formatCode="0%" sourceLinked="1"/>
        <c:majorTickMark val="out"/>
        <c:minorTickMark val="none"/>
        <c:tickLblPos val="nextTo"/>
        <c:crossAx val="91944064"/>
        <c:crosses val="autoZero"/>
        <c:crossBetween val="between"/>
      </c:valAx>
    </c:plotArea>
    <c:plotVisOnly val="1"/>
    <c:dispBlanksAs val="gap"/>
    <c:showDLblsOverMax val="0"/>
  </c:chart>
  <c:spPr>
    <a:ln>
      <a:solidFill>
        <a:sysClr val="windowText" lastClr="000000">
          <a:lumMod val="50000"/>
          <a:lumOff val="50000"/>
        </a:sysClr>
      </a:solidFill>
    </a:ln>
  </c:spPr>
  <c:txPr>
    <a:bodyPr/>
    <a:lstStyle/>
    <a:p>
      <a:pPr>
        <a:defRPr sz="700">
          <a:latin typeface="Segoe UI" panose="020B0502040204020203" pitchFamily="34" charset="0"/>
          <a:ea typeface="Segoe UI" panose="020B0502040204020203" pitchFamily="34" charset="0"/>
          <a:cs typeface="Segoe UI" panose="020B0502040204020203" pitchFamily="34"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960FB-29D7-4908-B25F-8C271F6FF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4444</Words>
  <Characters>23533</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Oxford Health NHS Foundation Trust</Company>
  <LinksUpToDate>false</LinksUpToDate>
  <CharactersWithSpaces>27922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Hunt Charlotte (RNU) Oxford Health</dc:creator>
  <cp:lastModifiedBy>Syd Admin</cp:lastModifiedBy>
  <cp:revision>3</cp:revision>
  <cp:lastPrinted>2017-05-31T13:29:00Z</cp:lastPrinted>
  <dcterms:created xsi:type="dcterms:W3CDTF">2017-05-22T15:09:00Z</dcterms:created>
  <dcterms:modified xsi:type="dcterms:W3CDTF">2017-05-31T13:30:00Z</dcterms:modified>
</cp:coreProperties>
</file>