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DA106A" w:rsidP="0086436B">
      <w:pPr>
        <w:ind w:right="-900"/>
        <w:jc w:val="right"/>
        <w:rPr>
          <w:lang w:val="en-GB"/>
        </w:rPr>
      </w:pPr>
      <w:r>
        <w:rPr>
          <w:noProof/>
          <w:lang w:val="en-GB" w:eastAsia="en-GB"/>
        </w:rPr>
        <w:drawing>
          <wp:inline distT="0" distB="0" distL="0" distR="0" wp14:anchorId="464F67FC" wp14:editId="6F550A1B">
            <wp:extent cx="2552065" cy="499745"/>
            <wp:effectExtent l="19050" t="0" r="63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065" cy="499745"/>
                    </a:xfrm>
                    <a:prstGeom prst="rect">
                      <a:avLst/>
                    </a:prstGeom>
                    <a:noFill/>
                    <a:ln w="9525">
                      <a:noFill/>
                      <a:miter lim="800000"/>
                      <a:headEnd/>
                      <a:tailEnd/>
                    </a:ln>
                  </pic:spPr>
                </pic:pic>
              </a:graphicData>
            </a:graphic>
          </wp:inline>
        </w:drawing>
      </w:r>
    </w:p>
    <w:p w:rsidR="005D3499" w:rsidRDefault="005D3499"/>
    <w:p w:rsidR="005D3499" w:rsidRDefault="005D3499">
      <w:pPr>
        <w:jc w:val="center"/>
        <w:rPr>
          <w:rFonts w:ascii="Frutiger" w:hAnsi="Frutiger"/>
        </w:rPr>
      </w:pPr>
      <w:bookmarkStart w:id="0" w:name="_GoBack"/>
      <w:bookmarkEnd w:id="0"/>
    </w:p>
    <w:p w:rsidR="005D3499" w:rsidRDefault="005D3499" w:rsidP="006D305A"/>
    <w:p w:rsidR="005D3499" w:rsidRDefault="005D3499" w:rsidP="006D305A"/>
    <w:p w:rsidR="005D3499" w:rsidRDefault="005D3499" w:rsidP="006D305A"/>
    <w:p w:rsidR="005D3499" w:rsidRDefault="005D3499" w:rsidP="006D305A">
      <w:pPr>
        <w:rPr>
          <w:sz w:val="28"/>
        </w:rPr>
      </w:pPr>
    </w:p>
    <w:p w:rsidR="00E13639" w:rsidRPr="006D305A" w:rsidRDefault="005D3499" w:rsidP="006D305A">
      <w:pPr>
        <w:jc w:val="center"/>
        <w:rPr>
          <w:b/>
          <w:sz w:val="32"/>
          <w:szCs w:val="32"/>
        </w:rPr>
      </w:pPr>
      <w:r w:rsidRPr="006D305A">
        <w:rPr>
          <w:b/>
          <w:sz w:val="32"/>
          <w:szCs w:val="32"/>
        </w:rPr>
        <w:t xml:space="preserve">Report to the Meeting </w:t>
      </w:r>
      <w:r w:rsidR="00B50D5E" w:rsidRPr="006D305A">
        <w:rPr>
          <w:b/>
          <w:sz w:val="32"/>
          <w:szCs w:val="32"/>
        </w:rPr>
        <w:t>of the</w:t>
      </w:r>
    </w:p>
    <w:p w:rsidR="002821F8" w:rsidRPr="006D305A" w:rsidRDefault="00B50D5E" w:rsidP="006D305A">
      <w:pPr>
        <w:jc w:val="center"/>
        <w:rPr>
          <w:b/>
          <w:sz w:val="32"/>
          <w:szCs w:val="32"/>
        </w:rPr>
      </w:pPr>
      <w:r w:rsidRPr="006D305A">
        <w:rPr>
          <w:b/>
          <w:sz w:val="32"/>
          <w:szCs w:val="32"/>
        </w:rPr>
        <w:t xml:space="preserve">Oxford Health NHS </w:t>
      </w:r>
      <w:r w:rsidR="002821F8" w:rsidRPr="006D305A">
        <w:rPr>
          <w:b/>
          <w:sz w:val="32"/>
          <w:szCs w:val="32"/>
        </w:rPr>
        <w:t>Foundation Trust</w:t>
      </w:r>
    </w:p>
    <w:p w:rsidR="005D3499" w:rsidRDefault="005D3499" w:rsidP="006D305A">
      <w:pPr>
        <w:jc w:val="center"/>
      </w:pPr>
      <w:r w:rsidRPr="006D305A">
        <w:rPr>
          <w:b/>
          <w:sz w:val="32"/>
          <w:szCs w:val="32"/>
        </w:rPr>
        <w:t>Board</w:t>
      </w:r>
      <w:r w:rsidR="002821F8" w:rsidRPr="006D305A">
        <w:rPr>
          <w:b/>
          <w:sz w:val="32"/>
          <w:szCs w:val="32"/>
        </w:rPr>
        <w:t xml:space="preserve"> of Directors</w:t>
      </w:r>
    </w:p>
    <w:p w:rsidR="005D3499" w:rsidRDefault="005D3499" w:rsidP="00A85311">
      <w:pPr>
        <w:rPr>
          <w:rFonts w:cs="Arial"/>
          <w:b/>
        </w:rPr>
      </w:pPr>
    </w:p>
    <w:p w:rsidR="005D3499" w:rsidRDefault="00533D50">
      <w:pPr>
        <w:jc w:val="center"/>
        <w:rPr>
          <w:rFonts w:cs="Arial"/>
          <w:b/>
        </w:rPr>
      </w:pPr>
      <w:r>
        <w:rPr>
          <w:rFonts w:cs="Arial"/>
          <w:b/>
        </w:rPr>
        <w:t>March 2017</w:t>
      </w:r>
    </w:p>
    <w:p w:rsidR="005D3499" w:rsidRDefault="005D3499">
      <w:pPr>
        <w:jc w:val="center"/>
        <w:rPr>
          <w:rFonts w:cs="Arial"/>
          <w:b/>
        </w:rPr>
      </w:pPr>
    </w:p>
    <w:p w:rsidR="005D3499" w:rsidRPr="006D305A" w:rsidRDefault="00B466A4">
      <w:pPr>
        <w:jc w:val="center"/>
        <w:rPr>
          <w:rFonts w:cs="Arial"/>
          <w:b/>
          <w:sz w:val="32"/>
          <w:szCs w:val="32"/>
        </w:rPr>
      </w:pPr>
      <w:r w:rsidRPr="006D305A">
        <w:rPr>
          <w:rFonts w:cs="Arial"/>
          <w:b/>
          <w:sz w:val="32"/>
          <w:szCs w:val="32"/>
        </w:rPr>
        <w:t xml:space="preserve">Research and Development </w:t>
      </w:r>
      <w:r w:rsidR="00D936BB" w:rsidRPr="006D305A">
        <w:rPr>
          <w:rFonts w:cs="Arial"/>
          <w:b/>
          <w:sz w:val="32"/>
          <w:szCs w:val="32"/>
        </w:rPr>
        <w:t>R</w:t>
      </w:r>
      <w:r w:rsidRPr="006D305A">
        <w:rPr>
          <w:rFonts w:cs="Arial"/>
          <w:b/>
          <w:sz w:val="32"/>
          <w:szCs w:val="32"/>
        </w:rPr>
        <w:t>eport</w:t>
      </w:r>
    </w:p>
    <w:p w:rsidR="006D305A" w:rsidRDefault="006D305A">
      <w:pPr>
        <w:spacing w:before="0" w:after="0"/>
        <w:jc w:val="left"/>
        <w:rPr>
          <w:rFonts w:cs="Arial"/>
          <w:b/>
        </w:rPr>
      </w:pPr>
      <w:r>
        <w:rPr>
          <w:rFonts w:cs="Arial"/>
          <w:b/>
        </w:rPr>
        <w:br w:type="page"/>
      </w:r>
    </w:p>
    <w:p w:rsidR="00D903E6" w:rsidRDefault="00AE5B3B">
      <w:pPr>
        <w:pStyle w:val="TOC1"/>
        <w:tabs>
          <w:tab w:val="left" w:pos="480"/>
          <w:tab w:val="right" w:leader="dot" w:pos="9629"/>
        </w:tabs>
        <w:rPr>
          <w:rFonts w:asciiTheme="minorHAnsi" w:eastAsiaTheme="minorEastAsia" w:hAnsiTheme="minorHAnsi" w:cstheme="minorBidi"/>
          <w:noProof/>
          <w:sz w:val="22"/>
          <w:szCs w:val="22"/>
          <w:lang w:val="en-GB" w:eastAsia="en-GB"/>
        </w:rPr>
      </w:pPr>
      <w:r>
        <w:lastRenderedPageBreak/>
        <w:fldChar w:fldCharType="begin"/>
      </w:r>
      <w:r>
        <w:instrText xml:space="preserve"> TOC \o "1-2" \h \z \u </w:instrText>
      </w:r>
      <w:r>
        <w:fldChar w:fldCharType="separate"/>
      </w:r>
      <w:hyperlink w:anchor="_Toc476822087" w:history="1">
        <w:r w:rsidR="00D903E6" w:rsidRPr="001E37B0">
          <w:rPr>
            <w:rStyle w:val="Hyperlink"/>
            <w:rFonts w:eastAsiaTheme="majorEastAsia"/>
            <w:noProof/>
          </w:rPr>
          <w:t>1</w:t>
        </w:r>
        <w:r w:rsidR="00D903E6">
          <w:rPr>
            <w:rFonts w:asciiTheme="minorHAnsi" w:eastAsiaTheme="minorEastAsia" w:hAnsiTheme="minorHAnsi" w:cstheme="minorBidi"/>
            <w:noProof/>
            <w:sz w:val="22"/>
            <w:szCs w:val="22"/>
            <w:lang w:val="en-GB" w:eastAsia="en-GB"/>
          </w:rPr>
          <w:tab/>
        </w:r>
        <w:r w:rsidR="00D903E6" w:rsidRPr="001E37B0">
          <w:rPr>
            <w:rStyle w:val="Hyperlink"/>
            <w:rFonts w:eastAsiaTheme="majorEastAsia"/>
            <w:noProof/>
          </w:rPr>
          <w:t>Clinical Quality and Care</w:t>
        </w:r>
        <w:r w:rsidR="00D903E6">
          <w:rPr>
            <w:noProof/>
            <w:webHidden/>
          </w:rPr>
          <w:tab/>
        </w:r>
        <w:r w:rsidR="00D903E6">
          <w:rPr>
            <w:noProof/>
            <w:webHidden/>
          </w:rPr>
          <w:fldChar w:fldCharType="begin"/>
        </w:r>
        <w:r w:rsidR="00D903E6">
          <w:rPr>
            <w:noProof/>
            <w:webHidden/>
          </w:rPr>
          <w:instrText xml:space="preserve"> PAGEREF _Toc476822087 \h </w:instrText>
        </w:r>
        <w:r w:rsidR="00D903E6">
          <w:rPr>
            <w:noProof/>
            <w:webHidden/>
          </w:rPr>
        </w:r>
        <w:r w:rsidR="00D903E6">
          <w:rPr>
            <w:noProof/>
            <w:webHidden/>
          </w:rPr>
          <w:fldChar w:fldCharType="separate"/>
        </w:r>
        <w:r w:rsidR="00D903E6">
          <w:rPr>
            <w:noProof/>
            <w:webHidden/>
          </w:rPr>
          <w:t>4</w:t>
        </w:r>
        <w:r w:rsidR="00D903E6">
          <w:rPr>
            <w:noProof/>
            <w:webHidden/>
          </w:rPr>
          <w:fldChar w:fldCharType="end"/>
        </w:r>
      </w:hyperlink>
    </w:p>
    <w:p w:rsidR="00D903E6" w:rsidRDefault="007D1D2D">
      <w:pPr>
        <w:pStyle w:val="TOC1"/>
        <w:tabs>
          <w:tab w:val="left" w:pos="480"/>
          <w:tab w:val="right" w:leader="dot" w:pos="9629"/>
        </w:tabs>
        <w:rPr>
          <w:rFonts w:asciiTheme="minorHAnsi" w:eastAsiaTheme="minorEastAsia" w:hAnsiTheme="minorHAnsi" w:cstheme="minorBidi"/>
          <w:noProof/>
          <w:sz w:val="22"/>
          <w:szCs w:val="22"/>
          <w:lang w:val="en-GB" w:eastAsia="en-GB"/>
        </w:rPr>
      </w:pPr>
      <w:hyperlink w:anchor="_Toc476822088" w:history="1">
        <w:r w:rsidR="00D903E6" w:rsidRPr="001E37B0">
          <w:rPr>
            <w:rStyle w:val="Hyperlink"/>
            <w:rFonts w:eastAsiaTheme="majorEastAsia"/>
            <w:noProof/>
          </w:rPr>
          <w:t>2</w:t>
        </w:r>
        <w:r w:rsidR="00D903E6">
          <w:rPr>
            <w:rFonts w:asciiTheme="minorHAnsi" w:eastAsiaTheme="minorEastAsia" w:hAnsiTheme="minorHAnsi" w:cstheme="minorBidi"/>
            <w:noProof/>
            <w:sz w:val="22"/>
            <w:szCs w:val="22"/>
            <w:lang w:val="en-GB" w:eastAsia="en-GB"/>
          </w:rPr>
          <w:tab/>
        </w:r>
        <w:r w:rsidR="00D903E6" w:rsidRPr="001E37B0">
          <w:rPr>
            <w:rStyle w:val="Hyperlink"/>
            <w:rFonts w:eastAsiaTheme="majorEastAsia"/>
            <w:noProof/>
          </w:rPr>
          <w:t>Networks and Collaborations</w:t>
        </w:r>
        <w:r w:rsidR="00D903E6">
          <w:rPr>
            <w:noProof/>
            <w:webHidden/>
          </w:rPr>
          <w:tab/>
        </w:r>
        <w:r w:rsidR="00D903E6">
          <w:rPr>
            <w:noProof/>
            <w:webHidden/>
          </w:rPr>
          <w:fldChar w:fldCharType="begin"/>
        </w:r>
        <w:r w:rsidR="00D903E6">
          <w:rPr>
            <w:noProof/>
            <w:webHidden/>
          </w:rPr>
          <w:instrText xml:space="preserve"> PAGEREF _Toc476822088 \h </w:instrText>
        </w:r>
        <w:r w:rsidR="00D903E6">
          <w:rPr>
            <w:noProof/>
            <w:webHidden/>
          </w:rPr>
        </w:r>
        <w:r w:rsidR="00D903E6">
          <w:rPr>
            <w:noProof/>
            <w:webHidden/>
          </w:rPr>
          <w:fldChar w:fldCharType="separate"/>
        </w:r>
        <w:r w:rsidR="00D903E6">
          <w:rPr>
            <w:noProof/>
            <w:webHidden/>
          </w:rPr>
          <w:t>4</w:t>
        </w:r>
        <w:r w:rsidR="00D903E6">
          <w:rPr>
            <w:noProof/>
            <w:webHidden/>
          </w:rPr>
          <w:fldChar w:fldCharType="end"/>
        </w:r>
      </w:hyperlink>
    </w:p>
    <w:p w:rsidR="00D903E6" w:rsidRDefault="007D1D2D">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76822089" w:history="1">
        <w:r w:rsidR="00D903E6" w:rsidRPr="001E37B0">
          <w:rPr>
            <w:rStyle w:val="Hyperlink"/>
            <w:noProof/>
            <w:lang w:val="en-GB"/>
          </w:rPr>
          <w:t>2.1</w:t>
        </w:r>
        <w:r w:rsidR="00D903E6">
          <w:rPr>
            <w:rFonts w:asciiTheme="minorHAnsi" w:eastAsiaTheme="minorEastAsia" w:hAnsiTheme="minorHAnsi" w:cstheme="minorBidi"/>
            <w:noProof/>
            <w:sz w:val="22"/>
            <w:szCs w:val="22"/>
            <w:lang w:val="en-GB" w:eastAsia="en-GB"/>
          </w:rPr>
          <w:tab/>
        </w:r>
        <w:r w:rsidR="00D903E6" w:rsidRPr="001E37B0">
          <w:rPr>
            <w:rStyle w:val="Hyperlink"/>
            <w:noProof/>
            <w:lang w:val="en-GB"/>
          </w:rPr>
          <w:t>Oxford Academic Health Science Network (OAHSN)</w:t>
        </w:r>
        <w:r w:rsidR="00D903E6">
          <w:rPr>
            <w:noProof/>
            <w:webHidden/>
          </w:rPr>
          <w:tab/>
        </w:r>
        <w:r w:rsidR="00D903E6">
          <w:rPr>
            <w:noProof/>
            <w:webHidden/>
          </w:rPr>
          <w:fldChar w:fldCharType="begin"/>
        </w:r>
        <w:r w:rsidR="00D903E6">
          <w:rPr>
            <w:noProof/>
            <w:webHidden/>
          </w:rPr>
          <w:instrText xml:space="preserve"> PAGEREF _Toc476822089 \h </w:instrText>
        </w:r>
        <w:r w:rsidR="00D903E6">
          <w:rPr>
            <w:noProof/>
            <w:webHidden/>
          </w:rPr>
        </w:r>
        <w:r w:rsidR="00D903E6">
          <w:rPr>
            <w:noProof/>
            <w:webHidden/>
          </w:rPr>
          <w:fldChar w:fldCharType="separate"/>
        </w:r>
        <w:r w:rsidR="00D903E6">
          <w:rPr>
            <w:noProof/>
            <w:webHidden/>
          </w:rPr>
          <w:t>4</w:t>
        </w:r>
        <w:r w:rsidR="00D903E6">
          <w:rPr>
            <w:noProof/>
            <w:webHidden/>
          </w:rPr>
          <w:fldChar w:fldCharType="end"/>
        </w:r>
      </w:hyperlink>
    </w:p>
    <w:p w:rsidR="00D903E6" w:rsidRDefault="007D1D2D">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76822090" w:history="1">
        <w:r w:rsidR="00D903E6" w:rsidRPr="001E37B0">
          <w:rPr>
            <w:rStyle w:val="Hyperlink"/>
            <w:rFonts w:eastAsiaTheme="majorEastAsia"/>
            <w:noProof/>
          </w:rPr>
          <w:t>2.2</w:t>
        </w:r>
        <w:r w:rsidR="00D903E6">
          <w:rPr>
            <w:rFonts w:asciiTheme="minorHAnsi" w:eastAsiaTheme="minorEastAsia" w:hAnsiTheme="minorHAnsi" w:cstheme="minorBidi"/>
            <w:noProof/>
            <w:sz w:val="22"/>
            <w:szCs w:val="22"/>
            <w:lang w:val="en-GB" w:eastAsia="en-GB"/>
          </w:rPr>
          <w:tab/>
        </w:r>
        <w:r w:rsidR="00D903E6" w:rsidRPr="001E37B0">
          <w:rPr>
            <w:rStyle w:val="Hyperlink"/>
            <w:rFonts w:eastAsiaTheme="majorEastAsia"/>
            <w:noProof/>
          </w:rPr>
          <w:t>Oxford Academic Health Sciences Centre (AHSC)</w:t>
        </w:r>
        <w:r w:rsidR="00D903E6">
          <w:rPr>
            <w:noProof/>
            <w:webHidden/>
          </w:rPr>
          <w:tab/>
        </w:r>
        <w:r w:rsidR="00D903E6">
          <w:rPr>
            <w:noProof/>
            <w:webHidden/>
          </w:rPr>
          <w:fldChar w:fldCharType="begin"/>
        </w:r>
        <w:r w:rsidR="00D903E6">
          <w:rPr>
            <w:noProof/>
            <w:webHidden/>
          </w:rPr>
          <w:instrText xml:space="preserve"> PAGEREF _Toc476822090 \h </w:instrText>
        </w:r>
        <w:r w:rsidR="00D903E6">
          <w:rPr>
            <w:noProof/>
            <w:webHidden/>
          </w:rPr>
        </w:r>
        <w:r w:rsidR="00D903E6">
          <w:rPr>
            <w:noProof/>
            <w:webHidden/>
          </w:rPr>
          <w:fldChar w:fldCharType="separate"/>
        </w:r>
        <w:r w:rsidR="00D903E6">
          <w:rPr>
            <w:noProof/>
            <w:webHidden/>
          </w:rPr>
          <w:t>8</w:t>
        </w:r>
        <w:r w:rsidR="00D903E6">
          <w:rPr>
            <w:noProof/>
            <w:webHidden/>
          </w:rPr>
          <w:fldChar w:fldCharType="end"/>
        </w:r>
      </w:hyperlink>
    </w:p>
    <w:p w:rsidR="00D903E6" w:rsidRDefault="007D1D2D">
      <w:pPr>
        <w:pStyle w:val="TOC1"/>
        <w:tabs>
          <w:tab w:val="left" w:pos="480"/>
          <w:tab w:val="right" w:leader="dot" w:pos="9629"/>
        </w:tabs>
        <w:rPr>
          <w:rFonts w:asciiTheme="minorHAnsi" w:eastAsiaTheme="minorEastAsia" w:hAnsiTheme="minorHAnsi" w:cstheme="minorBidi"/>
          <w:noProof/>
          <w:sz w:val="22"/>
          <w:szCs w:val="22"/>
          <w:lang w:val="en-GB" w:eastAsia="en-GB"/>
        </w:rPr>
      </w:pPr>
      <w:hyperlink w:anchor="_Toc476822091" w:history="1">
        <w:r w:rsidR="00D903E6" w:rsidRPr="001E37B0">
          <w:rPr>
            <w:rStyle w:val="Hyperlink"/>
            <w:rFonts w:eastAsiaTheme="majorEastAsia"/>
            <w:noProof/>
          </w:rPr>
          <w:t>3</w:t>
        </w:r>
        <w:r w:rsidR="00D903E6">
          <w:rPr>
            <w:rFonts w:asciiTheme="minorHAnsi" w:eastAsiaTheme="minorEastAsia" w:hAnsiTheme="minorHAnsi" w:cstheme="minorBidi"/>
            <w:noProof/>
            <w:sz w:val="22"/>
            <w:szCs w:val="22"/>
            <w:lang w:val="en-GB" w:eastAsia="en-GB"/>
          </w:rPr>
          <w:tab/>
        </w:r>
        <w:r w:rsidR="00D903E6" w:rsidRPr="001E37B0">
          <w:rPr>
            <w:rStyle w:val="Hyperlink"/>
            <w:rFonts w:eastAsiaTheme="majorEastAsia"/>
            <w:noProof/>
          </w:rPr>
          <w:t>National Institute of Health Research Infrastructure</w:t>
        </w:r>
        <w:r w:rsidR="00D903E6">
          <w:rPr>
            <w:noProof/>
            <w:webHidden/>
          </w:rPr>
          <w:tab/>
        </w:r>
        <w:r w:rsidR="00D903E6">
          <w:rPr>
            <w:noProof/>
            <w:webHidden/>
          </w:rPr>
          <w:fldChar w:fldCharType="begin"/>
        </w:r>
        <w:r w:rsidR="00D903E6">
          <w:rPr>
            <w:noProof/>
            <w:webHidden/>
          </w:rPr>
          <w:instrText xml:space="preserve"> PAGEREF _Toc476822091 \h </w:instrText>
        </w:r>
        <w:r w:rsidR="00D903E6">
          <w:rPr>
            <w:noProof/>
            <w:webHidden/>
          </w:rPr>
        </w:r>
        <w:r w:rsidR="00D903E6">
          <w:rPr>
            <w:noProof/>
            <w:webHidden/>
          </w:rPr>
          <w:fldChar w:fldCharType="separate"/>
        </w:r>
        <w:r w:rsidR="00D903E6">
          <w:rPr>
            <w:noProof/>
            <w:webHidden/>
          </w:rPr>
          <w:t>8</w:t>
        </w:r>
        <w:r w:rsidR="00D903E6">
          <w:rPr>
            <w:noProof/>
            <w:webHidden/>
          </w:rPr>
          <w:fldChar w:fldCharType="end"/>
        </w:r>
      </w:hyperlink>
    </w:p>
    <w:p w:rsidR="00D903E6" w:rsidRDefault="007D1D2D">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76822092" w:history="1">
        <w:r w:rsidR="00D903E6" w:rsidRPr="001E37B0">
          <w:rPr>
            <w:rStyle w:val="Hyperlink"/>
            <w:rFonts w:eastAsiaTheme="majorEastAsia"/>
            <w:noProof/>
          </w:rPr>
          <w:t>3.1</w:t>
        </w:r>
        <w:r w:rsidR="00D903E6">
          <w:rPr>
            <w:rFonts w:asciiTheme="minorHAnsi" w:eastAsiaTheme="minorEastAsia" w:hAnsiTheme="minorHAnsi" w:cstheme="minorBidi"/>
            <w:noProof/>
            <w:sz w:val="22"/>
            <w:szCs w:val="22"/>
            <w:lang w:val="en-GB" w:eastAsia="en-GB"/>
          </w:rPr>
          <w:tab/>
        </w:r>
        <w:r w:rsidR="00D903E6" w:rsidRPr="001E37B0">
          <w:rPr>
            <w:rStyle w:val="Hyperlink"/>
            <w:rFonts w:eastAsiaTheme="majorEastAsia"/>
            <w:noProof/>
          </w:rPr>
          <w:t>NIHR Collaboration in Leadership in Applied Health Research and Care (CLAHRC)</w:t>
        </w:r>
        <w:r w:rsidR="00D903E6">
          <w:rPr>
            <w:noProof/>
            <w:webHidden/>
          </w:rPr>
          <w:tab/>
        </w:r>
        <w:r w:rsidR="00D903E6">
          <w:rPr>
            <w:noProof/>
            <w:webHidden/>
          </w:rPr>
          <w:fldChar w:fldCharType="begin"/>
        </w:r>
        <w:r w:rsidR="00D903E6">
          <w:rPr>
            <w:noProof/>
            <w:webHidden/>
          </w:rPr>
          <w:instrText xml:space="preserve"> PAGEREF _Toc476822092 \h </w:instrText>
        </w:r>
        <w:r w:rsidR="00D903E6">
          <w:rPr>
            <w:noProof/>
            <w:webHidden/>
          </w:rPr>
        </w:r>
        <w:r w:rsidR="00D903E6">
          <w:rPr>
            <w:noProof/>
            <w:webHidden/>
          </w:rPr>
          <w:fldChar w:fldCharType="separate"/>
        </w:r>
        <w:r w:rsidR="00D903E6">
          <w:rPr>
            <w:noProof/>
            <w:webHidden/>
          </w:rPr>
          <w:t>8</w:t>
        </w:r>
        <w:r w:rsidR="00D903E6">
          <w:rPr>
            <w:noProof/>
            <w:webHidden/>
          </w:rPr>
          <w:fldChar w:fldCharType="end"/>
        </w:r>
      </w:hyperlink>
    </w:p>
    <w:p w:rsidR="00D903E6" w:rsidRDefault="007D1D2D">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76822093" w:history="1">
        <w:r w:rsidR="00D903E6" w:rsidRPr="001E37B0">
          <w:rPr>
            <w:rStyle w:val="Hyperlink"/>
            <w:rFonts w:eastAsiaTheme="majorEastAsia"/>
            <w:noProof/>
          </w:rPr>
          <w:t>3.2</w:t>
        </w:r>
        <w:r w:rsidR="00D903E6">
          <w:rPr>
            <w:rFonts w:asciiTheme="minorHAnsi" w:eastAsiaTheme="minorEastAsia" w:hAnsiTheme="minorHAnsi" w:cstheme="minorBidi"/>
            <w:noProof/>
            <w:sz w:val="22"/>
            <w:szCs w:val="22"/>
            <w:lang w:val="en-GB" w:eastAsia="en-GB"/>
          </w:rPr>
          <w:tab/>
        </w:r>
        <w:r w:rsidR="00D903E6" w:rsidRPr="001E37B0">
          <w:rPr>
            <w:rStyle w:val="Hyperlink"/>
            <w:rFonts w:eastAsiaTheme="majorEastAsia"/>
            <w:noProof/>
          </w:rPr>
          <w:t>NIHR Diagnostic Evidence Co-operative (DEC)</w:t>
        </w:r>
        <w:r w:rsidR="00D903E6">
          <w:rPr>
            <w:noProof/>
            <w:webHidden/>
          </w:rPr>
          <w:tab/>
        </w:r>
        <w:r w:rsidR="00D903E6">
          <w:rPr>
            <w:noProof/>
            <w:webHidden/>
          </w:rPr>
          <w:fldChar w:fldCharType="begin"/>
        </w:r>
        <w:r w:rsidR="00D903E6">
          <w:rPr>
            <w:noProof/>
            <w:webHidden/>
          </w:rPr>
          <w:instrText xml:space="preserve"> PAGEREF _Toc476822093 \h </w:instrText>
        </w:r>
        <w:r w:rsidR="00D903E6">
          <w:rPr>
            <w:noProof/>
            <w:webHidden/>
          </w:rPr>
        </w:r>
        <w:r w:rsidR="00D903E6">
          <w:rPr>
            <w:noProof/>
            <w:webHidden/>
          </w:rPr>
          <w:fldChar w:fldCharType="separate"/>
        </w:r>
        <w:r w:rsidR="00D903E6">
          <w:rPr>
            <w:noProof/>
            <w:webHidden/>
          </w:rPr>
          <w:t>10</w:t>
        </w:r>
        <w:r w:rsidR="00D903E6">
          <w:rPr>
            <w:noProof/>
            <w:webHidden/>
          </w:rPr>
          <w:fldChar w:fldCharType="end"/>
        </w:r>
      </w:hyperlink>
    </w:p>
    <w:p w:rsidR="00D903E6" w:rsidRDefault="007D1D2D">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76822094" w:history="1">
        <w:r w:rsidR="00D903E6" w:rsidRPr="001E37B0">
          <w:rPr>
            <w:rStyle w:val="Hyperlink"/>
            <w:rFonts w:eastAsiaTheme="majorEastAsia"/>
            <w:noProof/>
          </w:rPr>
          <w:t>3.3</w:t>
        </w:r>
        <w:r w:rsidR="00D903E6">
          <w:rPr>
            <w:rFonts w:asciiTheme="minorHAnsi" w:eastAsiaTheme="minorEastAsia" w:hAnsiTheme="minorHAnsi" w:cstheme="minorBidi"/>
            <w:noProof/>
            <w:sz w:val="22"/>
            <w:szCs w:val="22"/>
            <w:lang w:val="en-GB" w:eastAsia="en-GB"/>
          </w:rPr>
          <w:tab/>
        </w:r>
        <w:r w:rsidR="00D903E6" w:rsidRPr="001E37B0">
          <w:rPr>
            <w:rStyle w:val="Hyperlink"/>
            <w:rFonts w:eastAsiaTheme="majorEastAsia"/>
            <w:noProof/>
          </w:rPr>
          <w:t>MedTech and In Vitro Diagnostic Co-operatives (MIC)</w:t>
        </w:r>
        <w:r w:rsidR="00D903E6">
          <w:rPr>
            <w:noProof/>
            <w:webHidden/>
          </w:rPr>
          <w:tab/>
        </w:r>
        <w:r w:rsidR="00D903E6">
          <w:rPr>
            <w:noProof/>
            <w:webHidden/>
          </w:rPr>
          <w:fldChar w:fldCharType="begin"/>
        </w:r>
        <w:r w:rsidR="00D903E6">
          <w:rPr>
            <w:noProof/>
            <w:webHidden/>
          </w:rPr>
          <w:instrText xml:space="preserve"> PAGEREF _Toc476822094 \h </w:instrText>
        </w:r>
        <w:r w:rsidR="00D903E6">
          <w:rPr>
            <w:noProof/>
            <w:webHidden/>
          </w:rPr>
        </w:r>
        <w:r w:rsidR="00D903E6">
          <w:rPr>
            <w:noProof/>
            <w:webHidden/>
          </w:rPr>
          <w:fldChar w:fldCharType="separate"/>
        </w:r>
        <w:r w:rsidR="00D903E6">
          <w:rPr>
            <w:noProof/>
            <w:webHidden/>
          </w:rPr>
          <w:t>11</w:t>
        </w:r>
        <w:r w:rsidR="00D903E6">
          <w:rPr>
            <w:noProof/>
            <w:webHidden/>
          </w:rPr>
          <w:fldChar w:fldCharType="end"/>
        </w:r>
      </w:hyperlink>
    </w:p>
    <w:p w:rsidR="00D903E6" w:rsidRDefault="007D1D2D">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76822095" w:history="1">
        <w:r w:rsidR="00D903E6" w:rsidRPr="001E37B0">
          <w:rPr>
            <w:rStyle w:val="Hyperlink"/>
            <w:rFonts w:eastAsiaTheme="majorEastAsia"/>
            <w:noProof/>
          </w:rPr>
          <w:t>3.4</w:t>
        </w:r>
        <w:r w:rsidR="00D903E6">
          <w:rPr>
            <w:rFonts w:asciiTheme="minorHAnsi" w:eastAsiaTheme="minorEastAsia" w:hAnsiTheme="minorHAnsi" w:cstheme="minorBidi"/>
            <w:noProof/>
            <w:sz w:val="22"/>
            <w:szCs w:val="22"/>
            <w:lang w:val="en-GB" w:eastAsia="en-GB"/>
          </w:rPr>
          <w:tab/>
        </w:r>
        <w:r w:rsidR="00D903E6" w:rsidRPr="001E37B0">
          <w:rPr>
            <w:rStyle w:val="Hyperlink"/>
            <w:rFonts w:eastAsiaTheme="majorEastAsia"/>
            <w:noProof/>
          </w:rPr>
          <w:t>NIHR Oxford cognitive health Clinical Research Facility (CRF)</w:t>
        </w:r>
        <w:r w:rsidR="00D903E6">
          <w:rPr>
            <w:noProof/>
            <w:webHidden/>
          </w:rPr>
          <w:tab/>
        </w:r>
        <w:r w:rsidR="00D903E6">
          <w:rPr>
            <w:noProof/>
            <w:webHidden/>
          </w:rPr>
          <w:fldChar w:fldCharType="begin"/>
        </w:r>
        <w:r w:rsidR="00D903E6">
          <w:rPr>
            <w:noProof/>
            <w:webHidden/>
          </w:rPr>
          <w:instrText xml:space="preserve"> PAGEREF _Toc476822095 \h </w:instrText>
        </w:r>
        <w:r w:rsidR="00D903E6">
          <w:rPr>
            <w:noProof/>
            <w:webHidden/>
          </w:rPr>
        </w:r>
        <w:r w:rsidR="00D903E6">
          <w:rPr>
            <w:noProof/>
            <w:webHidden/>
          </w:rPr>
          <w:fldChar w:fldCharType="separate"/>
        </w:r>
        <w:r w:rsidR="00D903E6">
          <w:rPr>
            <w:noProof/>
            <w:webHidden/>
          </w:rPr>
          <w:t>12</w:t>
        </w:r>
        <w:r w:rsidR="00D903E6">
          <w:rPr>
            <w:noProof/>
            <w:webHidden/>
          </w:rPr>
          <w:fldChar w:fldCharType="end"/>
        </w:r>
      </w:hyperlink>
    </w:p>
    <w:p w:rsidR="00D903E6" w:rsidRDefault="007D1D2D">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76822096" w:history="1">
        <w:r w:rsidR="00D903E6" w:rsidRPr="001E37B0">
          <w:rPr>
            <w:rStyle w:val="Hyperlink"/>
            <w:rFonts w:eastAsiaTheme="majorEastAsia"/>
            <w:noProof/>
          </w:rPr>
          <w:t>3.5</w:t>
        </w:r>
        <w:r w:rsidR="00D903E6">
          <w:rPr>
            <w:rFonts w:asciiTheme="minorHAnsi" w:eastAsiaTheme="minorEastAsia" w:hAnsiTheme="minorHAnsi" w:cstheme="minorBidi"/>
            <w:noProof/>
            <w:sz w:val="22"/>
            <w:szCs w:val="22"/>
            <w:lang w:val="en-GB" w:eastAsia="en-GB"/>
          </w:rPr>
          <w:tab/>
        </w:r>
        <w:r w:rsidR="00D903E6" w:rsidRPr="001E37B0">
          <w:rPr>
            <w:rStyle w:val="Hyperlink"/>
            <w:rFonts w:eastAsiaTheme="majorEastAsia"/>
            <w:noProof/>
          </w:rPr>
          <w:t>NIHR Biomedical Research Centre (BRC)</w:t>
        </w:r>
        <w:r w:rsidR="00D903E6">
          <w:rPr>
            <w:noProof/>
            <w:webHidden/>
          </w:rPr>
          <w:tab/>
        </w:r>
        <w:r w:rsidR="00D903E6">
          <w:rPr>
            <w:noProof/>
            <w:webHidden/>
          </w:rPr>
          <w:fldChar w:fldCharType="begin"/>
        </w:r>
        <w:r w:rsidR="00D903E6">
          <w:rPr>
            <w:noProof/>
            <w:webHidden/>
          </w:rPr>
          <w:instrText xml:space="preserve"> PAGEREF _Toc476822096 \h </w:instrText>
        </w:r>
        <w:r w:rsidR="00D903E6">
          <w:rPr>
            <w:noProof/>
            <w:webHidden/>
          </w:rPr>
        </w:r>
        <w:r w:rsidR="00D903E6">
          <w:rPr>
            <w:noProof/>
            <w:webHidden/>
          </w:rPr>
          <w:fldChar w:fldCharType="separate"/>
        </w:r>
        <w:r w:rsidR="00D903E6">
          <w:rPr>
            <w:noProof/>
            <w:webHidden/>
          </w:rPr>
          <w:t>15</w:t>
        </w:r>
        <w:r w:rsidR="00D903E6">
          <w:rPr>
            <w:noProof/>
            <w:webHidden/>
          </w:rPr>
          <w:fldChar w:fldCharType="end"/>
        </w:r>
      </w:hyperlink>
    </w:p>
    <w:p w:rsidR="00D903E6" w:rsidRDefault="007D1D2D">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76822097" w:history="1">
        <w:r w:rsidR="00D903E6" w:rsidRPr="001E37B0">
          <w:rPr>
            <w:rStyle w:val="Hyperlink"/>
            <w:rFonts w:eastAsiaTheme="majorEastAsia"/>
            <w:noProof/>
          </w:rPr>
          <w:t>3.6</w:t>
        </w:r>
        <w:r w:rsidR="00D903E6">
          <w:rPr>
            <w:rFonts w:asciiTheme="minorHAnsi" w:eastAsiaTheme="minorEastAsia" w:hAnsiTheme="minorHAnsi" w:cstheme="minorBidi"/>
            <w:noProof/>
            <w:sz w:val="22"/>
            <w:szCs w:val="22"/>
            <w:lang w:val="en-GB" w:eastAsia="en-GB"/>
          </w:rPr>
          <w:tab/>
        </w:r>
        <w:r w:rsidR="00D903E6" w:rsidRPr="001E37B0">
          <w:rPr>
            <w:rStyle w:val="Hyperlink"/>
            <w:rFonts w:eastAsiaTheme="majorEastAsia"/>
            <w:noProof/>
          </w:rPr>
          <w:t>NIHR Clinical Research Network (CRN)</w:t>
        </w:r>
        <w:r w:rsidR="00D903E6">
          <w:rPr>
            <w:noProof/>
            <w:webHidden/>
          </w:rPr>
          <w:tab/>
        </w:r>
        <w:r w:rsidR="00D903E6">
          <w:rPr>
            <w:noProof/>
            <w:webHidden/>
          </w:rPr>
          <w:fldChar w:fldCharType="begin"/>
        </w:r>
        <w:r w:rsidR="00D903E6">
          <w:rPr>
            <w:noProof/>
            <w:webHidden/>
          </w:rPr>
          <w:instrText xml:space="preserve"> PAGEREF _Toc476822097 \h </w:instrText>
        </w:r>
        <w:r w:rsidR="00D903E6">
          <w:rPr>
            <w:noProof/>
            <w:webHidden/>
          </w:rPr>
        </w:r>
        <w:r w:rsidR="00D903E6">
          <w:rPr>
            <w:noProof/>
            <w:webHidden/>
          </w:rPr>
          <w:fldChar w:fldCharType="separate"/>
        </w:r>
        <w:r w:rsidR="00D903E6">
          <w:rPr>
            <w:noProof/>
            <w:webHidden/>
          </w:rPr>
          <w:t>18</w:t>
        </w:r>
        <w:r w:rsidR="00D903E6">
          <w:rPr>
            <w:noProof/>
            <w:webHidden/>
          </w:rPr>
          <w:fldChar w:fldCharType="end"/>
        </w:r>
      </w:hyperlink>
    </w:p>
    <w:p w:rsidR="00D903E6" w:rsidRDefault="007D1D2D">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76822098" w:history="1">
        <w:r w:rsidR="00D903E6" w:rsidRPr="001E37B0">
          <w:rPr>
            <w:rStyle w:val="Hyperlink"/>
            <w:rFonts w:eastAsiaTheme="majorEastAsia"/>
            <w:noProof/>
          </w:rPr>
          <w:t>3.7</w:t>
        </w:r>
        <w:r w:rsidR="00D903E6">
          <w:rPr>
            <w:rFonts w:asciiTheme="minorHAnsi" w:eastAsiaTheme="minorEastAsia" w:hAnsiTheme="minorHAnsi" w:cstheme="minorBidi"/>
            <w:noProof/>
            <w:sz w:val="22"/>
            <w:szCs w:val="22"/>
            <w:lang w:val="en-GB" w:eastAsia="en-GB"/>
          </w:rPr>
          <w:tab/>
        </w:r>
        <w:r w:rsidR="00D903E6" w:rsidRPr="001E37B0">
          <w:rPr>
            <w:rStyle w:val="Hyperlink"/>
            <w:rFonts w:eastAsiaTheme="majorEastAsia"/>
            <w:noProof/>
          </w:rPr>
          <w:t>Summary of Funding Timeframes</w:t>
        </w:r>
        <w:r w:rsidR="00D903E6">
          <w:rPr>
            <w:noProof/>
            <w:webHidden/>
          </w:rPr>
          <w:tab/>
        </w:r>
        <w:r w:rsidR="00D903E6">
          <w:rPr>
            <w:noProof/>
            <w:webHidden/>
          </w:rPr>
          <w:fldChar w:fldCharType="begin"/>
        </w:r>
        <w:r w:rsidR="00D903E6">
          <w:rPr>
            <w:noProof/>
            <w:webHidden/>
          </w:rPr>
          <w:instrText xml:space="preserve"> PAGEREF _Toc476822098 \h </w:instrText>
        </w:r>
        <w:r w:rsidR="00D903E6">
          <w:rPr>
            <w:noProof/>
            <w:webHidden/>
          </w:rPr>
        </w:r>
        <w:r w:rsidR="00D903E6">
          <w:rPr>
            <w:noProof/>
            <w:webHidden/>
          </w:rPr>
          <w:fldChar w:fldCharType="separate"/>
        </w:r>
        <w:r w:rsidR="00D903E6">
          <w:rPr>
            <w:noProof/>
            <w:webHidden/>
          </w:rPr>
          <w:t>19</w:t>
        </w:r>
        <w:r w:rsidR="00D903E6">
          <w:rPr>
            <w:noProof/>
            <w:webHidden/>
          </w:rPr>
          <w:fldChar w:fldCharType="end"/>
        </w:r>
      </w:hyperlink>
    </w:p>
    <w:p w:rsidR="00D903E6" w:rsidRDefault="007D1D2D">
      <w:pPr>
        <w:pStyle w:val="TOC1"/>
        <w:tabs>
          <w:tab w:val="left" w:pos="480"/>
          <w:tab w:val="right" w:leader="dot" w:pos="9629"/>
        </w:tabs>
        <w:rPr>
          <w:rFonts w:asciiTheme="minorHAnsi" w:eastAsiaTheme="minorEastAsia" w:hAnsiTheme="minorHAnsi" w:cstheme="minorBidi"/>
          <w:noProof/>
          <w:sz w:val="22"/>
          <w:szCs w:val="22"/>
          <w:lang w:val="en-GB" w:eastAsia="en-GB"/>
        </w:rPr>
      </w:pPr>
      <w:hyperlink w:anchor="_Toc476822099" w:history="1">
        <w:r w:rsidR="00D903E6" w:rsidRPr="001E37B0">
          <w:rPr>
            <w:rStyle w:val="Hyperlink"/>
            <w:rFonts w:eastAsiaTheme="majorEastAsia"/>
            <w:noProof/>
          </w:rPr>
          <w:t>4</w:t>
        </w:r>
        <w:r w:rsidR="00D903E6">
          <w:rPr>
            <w:rFonts w:asciiTheme="minorHAnsi" w:eastAsiaTheme="minorEastAsia" w:hAnsiTheme="minorHAnsi" w:cstheme="minorBidi"/>
            <w:noProof/>
            <w:sz w:val="22"/>
            <w:szCs w:val="22"/>
            <w:lang w:val="en-GB" w:eastAsia="en-GB"/>
          </w:rPr>
          <w:tab/>
        </w:r>
        <w:r w:rsidR="00D903E6" w:rsidRPr="001E37B0">
          <w:rPr>
            <w:rStyle w:val="Hyperlink"/>
            <w:rFonts w:eastAsiaTheme="majorEastAsia"/>
            <w:noProof/>
          </w:rPr>
          <w:t>Research Set Up, Management and Governance</w:t>
        </w:r>
        <w:r w:rsidR="00D903E6">
          <w:rPr>
            <w:noProof/>
            <w:webHidden/>
          </w:rPr>
          <w:tab/>
        </w:r>
        <w:r w:rsidR="00D903E6">
          <w:rPr>
            <w:noProof/>
            <w:webHidden/>
          </w:rPr>
          <w:fldChar w:fldCharType="begin"/>
        </w:r>
        <w:r w:rsidR="00D903E6">
          <w:rPr>
            <w:noProof/>
            <w:webHidden/>
          </w:rPr>
          <w:instrText xml:space="preserve"> PAGEREF _Toc476822099 \h </w:instrText>
        </w:r>
        <w:r w:rsidR="00D903E6">
          <w:rPr>
            <w:noProof/>
            <w:webHidden/>
          </w:rPr>
        </w:r>
        <w:r w:rsidR="00D903E6">
          <w:rPr>
            <w:noProof/>
            <w:webHidden/>
          </w:rPr>
          <w:fldChar w:fldCharType="separate"/>
        </w:r>
        <w:r w:rsidR="00D903E6">
          <w:rPr>
            <w:noProof/>
            <w:webHidden/>
          </w:rPr>
          <w:t>19</w:t>
        </w:r>
        <w:r w:rsidR="00D903E6">
          <w:rPr>
            <w:noProof/>
            <w:webHidden/>
          </w:rPr>
          <w:fldChar w:fldCharType="end"/>
        </w:r>
      </w:hyperlink>
    </w:p>
    <w:p w:rsidR="00D903E6" w:rsidRDefault="007D1D2D">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76822100" w:history="1">
        <w:r w:rsidR="00D903E6" w:rsidRPr="001E37B0">
          <w:rPr>
            <w:rStyle w:val="Hyperlink"/>
            <w:rFonts w:eastAsiaTheme="majorEastAsia"/>
            <w:noProof/>
            <w:lang w:val="en-GB"/>
          </w:rPr>
          <w:t>4.1</w:t>
        </w:r>
        <w:r w:rsidR="00D903E6">
          <w:rPr>
            <w:rFonts w:asciiTheme="minorHAnsi" w:eastAsiaTheme="minorEastAsia" w:hAnsiTheme="minorHAnsi" w:cstheme="minorBidi"/>
            <w:noProof/>
            <w:sz w:val="22"/>
            <w:szCs w:val="22"/>
            <w:lang w:val="en-GB" w:eastAsia="en-GB"/>
          </w:rPr>
          <w:tab/>
        </w:r>
        <w:r w:rsidR="00D903E6" w:rsidRPr="001E37B0">
          <w:rPr>
            <w:rStyle w:val="Hyperlink"/>
            <w:rFonts w:eastAsiaTheme="majorEastAsia"/>
            <w:noProof/>
            <w:lang w:val="en-GB"/>
          </w:rPr>
          <w:t>Contract Review Processes</w:t>
        </w:r>
        <w:r w:rsidR="00D903E6">
          <w:rPr>
            <w:noProof/>
            <w:webHidden/>
          </w:rPr>
          <w:tab/>
        </w:r>
        <w:r w:rsidR="00D903E6">
          <w:rPr>
            <w:noProof/>
            <w:webHidden/>
          </w:rPr>
          <w:fldChar w:fldCharType="begin"/>
        </w:r>
        <w:r w:rsidR="00D903E6">
          <w:rPr>
            <w:noProof/>
            <w:webHidden/>
          </w:rPr>
          <w:instrText xml:space="preserve"> PAGEREF _Toc476822100 \h </w:instrText>
        </w:r>
        <w:r w:rsidR="00D903E6">
          <w:rPr>
            <w:noProof/>
            <w:webHidden/>
          </w:rPr>
        </w:r>
        <w:r w:rsidR="00D903E6">
          <w:rPr>
            <w:noProof/>
            <w:webHidden/>
          </w:rPr>
          <w:fldChar w:fldCharType="separate"/>
        </w:r>
        <w:r w:rsidR="00D903E6">
          <w:rPr>
            <w:noProof/>
            <w:webHidden/>
          </w:rPr>
          <w:t>19</w:t>
        </w:r>
        <w:r w:rsidR="00D903E6">
          <w:rPr>
            <w:noProof/>
            <w:webHidden/>
          </w:rPr>
          <w:fldChar w:fldCharType="end"/>
        </w:r>
      </w:hyperlink>
    </w:p>
    <w:p w:rsidR="00D903E6" w:rsidRDefault="007D1D2D">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76822101" w:history="1">
        <w:r w:rsidR="00D903E6" w:rsidRPr="001E37B0">
          <w:rPr>
            <w:rStyle w:val="Hyperlink"/>
            <w:rFonts w:eastAsiaTheme="majorEastAsia"/>
            <w:noProof/>
          </w:rPr>
          <w:t>4.2</w:t>
        </w:r>
        <w:r w:rsidR="00D903E6">
          <w:rPr>
            <w:rFonts w:asciiTheme="minorHAnsi" w:eastAsiaTheme="minorEastAsia" w:hAnsiTheme="minorHAnsi" w:cstheme="minorBidi"/>
            <w:noProof/>
            <w:sz w:val="22"/>
            <w:szCs w:val="22"/>
            <w:lang w:val="en-GB" w:eastAsia="en-GB"/>
          </w:rPr>
          <w:tab/>
        </w:r>
        <w:r w:rsidR="00D903E6" w:rsidRPr="001E37B0">
          <w:rPr>
            <w:rStyle w:val="Hyperlink"/>
            <w:rFonts w:eastAsiaTheme="majorEastAsia"/>
            <w:noProof/>
          </w:rPr>
          <w:t>Expressions of Interest</w:t>
        </w:r>
        <w:r w:rsidR="00D903E6">
          <w:rPr>
            <w:noProof/>
            <w:webHidden/>
          </w:rPr>
          <w:tab/>
        </w:r>
        <w:r w:rsidR="00D903E6">
          <w:rPr>
            <w:noProof/>
            <w:webHidden/>
          </w:rPr>
          <w:fldChar w:fldCharType="begin"/>
        </w:r>
        <w:r w:rsidR="00D903E6">
          <w:rPr>
            <w:noProof/>
            <w:webHidden/>
          </w:rPr>
          <w:instrText xml:space="preserve"> PAGEREF _Toc476822101 \h </w:instrText>
        </w:r>
        <w:r w:rsidR="00D903E6">
          <w:rPr>
            <w:noProof/>
            <w:webHidden/>
          </w:rPr>
        </w:r>
        <w:r w:rsidR="00D903E6">
          <w:rPr>
            <w:noProof/>
            <w:webHidden/>
          </w:rPr>
          <w:fldChar w:fldCharType="separate"/>
        </w:r>
        <w:r w:rsidR="00D903E6">
          <w:rPr>
            <w:noProof/>
            <w:webHidden/>
          </w:rPr>
          <w:t>19</w:t>
        </w:r>
        <w:r w:rsidR="00D903E6">
          <w:rPr>
            <w:noProof/>
            <w:webHidden/>
          </w:rPr>
          <w:fldChar w:fldCharType="end"/>
        </w:r>
      </w:hyperlink>
    </w:p>
    <w:p w:rsidR="00D903E6" w:rsidRDefault="007D1D2D">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76822102" w:history="1">
        <w:r w:rsidR="00D903E6" w:rsidRPr="001E37B0">
          <w:rPr>
            <w:rStyle w:val="Hyperlink"/>
            <w:rFonts w:eastAsiaTheme="majorEastAsia"/>
            <w:noProof/>
            <w:lang w:val="en-GB"/>
          </w:rPr>
          <w:t>4.3</w:t>
        </w:r>
        <w:r w:rsidR="00D903E6">
          <w:rPr>
            <w:rFonts w:asciiTheme="minorHAnsi" w:eastAsiaTheme="minorEastAsia" w:hAnsiTheme="minorHAnsi" w:cstheme="minorBidi"/>
            <w:noProof/>
            <w:sz w:val="22"/>
            <w:szCs w:val="22"/>
            <w:lang w:val="en-GB" w:eastAsia="en-GB"/>
          </w:rPr>
          <w:tab/>
        </w:r>
        <w:r w:rsidR="00D903E6" w:rsidRPr="001E37B0">
          <w:rPr>
            <w:rStyle w:val="Hyperlink"/>
            <w:rFonts w:eastAsiaTheme="majorEastAsia"/>
            <w:noProof/>
            <w:lang w:val="en-GB"/>
          </w:rPr>
          <w:t>Research Pipeline</w:t>
        </w:r>
        <w:r w:rsidR="00D903E6">
          <w:rPr>
            <w:noProof/>
            <w:webHidden/>
          </w:rPr>
          <w:tab/>
        </w:r>
        <w:r w:rsidR="00D903E6">
          <w:rPr>
            <w:noProof/>
            <w:webHidden/>
          </w:rPr>
          <w:fldChar w:fldCharType="begin"/>
        </w:r>
        <w:r w:rsidR="00D903E6">
          <w:rPr>
            <w:noProof/>
            <w:webHidden/>
          </w:rPr>
          <w:instrText xml:space="preserve"> PAGEREF _Toc476822102 \h </w:instrText>
        </w:r>
        <w:r w:rsidR="00D903E6">
          <w:rPr>
            <w:noProof/>
            <w:webHidden/>
          </w:rPr>
        </w:r>
        <w:r w:rsidR="00D903E6">
          <w:rPr>
            <w:noProof/>
            <w:webHidden/>
          </w:rPr>
          <w:fldChar w:fldCharType="separate"/>
        </w:r>
        <w:r w:rsidR="00D903E6">
          <w:rPr>
            <w:noProof/>
            <w:webHidden/>
          </w:rPr>
          <w:t>20</w:t>
        </w:r>
        <w:r w:rsidR="00D903E6">
          <w:rPr>
            <w:noProof/>
            <w:webHidden/>
          </w:rPr>
          <w:fldChar w:fldCharType="end"/>
        </w:r>
      </w:hyperlink>
    </w:p>
    <w:p w:rsidR="00D903E6" w:rsidRDefault="007D1D2D">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76822103" w:history="1">
        <w:r w:rsidR="00D903E6" w:rsidRPr="001E37B0">
          <w:rPr>
            <w:rStyle w:val="Hyperlink"/>
            <w:rFonts w:eastAsiaTheme="majorEastAsia"/>
            <w:noProof/>
            <w:lang w:val="en-GB"/>
          </w:rPr>
          <w:t>4.4</w:t>
        </w:r>
        <w:r w:rsidR="00D903E6">
          <w:rPr>
            <w:rFonts w:asciiTheme="minorHAnsi" w:eastAsiaTheme="minorEastAsia" w:hAnsiTheme="minorHAnsi" w:cstheme="minorBidi"/>
            <w:noProof/>
            <w:sz w:val="22"/>
            <w:szCs w:val="22"/>
            <w:lang w:val="en-GB" w:eastAsia="en-GB"/>
          </w:rPr>
          <w:tab/>
        </w:r>
        <w:r w:rsidR="00D903E6" w:rsidRPr="001E37B0">
          <w:rPr>
            <w:rStyle w:val="Hyperlink"/>
            <w:rFonts w:eastAsiaTheme="majorEastAsia"/>
            <w:noProof/>
            <w:lang w:val="en-GB"/>
          </w:rPr>
          <w:t>Health Research Authority (HRA)</w:t>
        </w:r>
        <w:r w:rsidR="00D903E6">
          <w:rPr>
            <w:noProof/>
            <w:webHidden/>
          </w:rPr>
          <w:tab/>
        </w:r>
        <w:r w:rsidR="00D903E6">
          <w:rPr>
            <w:noProof/>
            <w:webHidden/>
          </w:rPr>
          <w:fldChar w:fldCharType="begin"/>
        </w:r>
        <w:r w:rsidR="00D903E6">
          <w:rPr>
            <w:noProof/>
            <w:webHidden/>
          </w:rPr>
          <w:instrText xml:space="preserve"> PAGEREF _Toc476822103 \h </w:instrText>
        </w:r>
        <w:r w:rsidR="00D903E6">
          <w:rPr>
            <w:noProof/>
            <w:webHidden/>
          </w:rPr>
        </w:r>
        <w:r w:rsidR="00D903E6">
          <w:rPr>
            <w:noProof/>
            <w:webHidden/>
          </w:rPr>
          <w:fldChar w:fldCharType="separate"/>
        </w:r>
        <w:r w:rsidR="00D903E6">
          <w:rPr>
            <w:noProof/>
            <w:webHidden/>
          </w:rPr>
          <w:t>20</w:t>
        </w:r>
        <w:r w:rsidR="00D903E6">
          <w:rPr>
            <w:noProof/>
            <w:webHidden/>
          </w:rPr>
          <w:fldChar w:fldCharType="end"/>
        </w:r>
      </w:hyperlink>
    </w:p>
    <w:p w:rsidR="00D903E6" w:rsidRDefault="007D1D2D">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76822104" w:history="1">
        <w:r w:rsidR="00D903E6" w:rsidRPr="001E37B0">
          <w:rPr>
            <w:rStyle w:val="Hyperlink"/>
            <w:rFonts w:eastAsiaTheme="majorEastAsia"/>
            <w:noProof/>
          </w:rPr>
          <w:t>4.5</w:t>
        </w:r>
        <w:r w:rsidR="00D903E6">
          <w:rPr>
            <w:rFonts w:asciiTheme="minorHAnsi" w:eastAsiaTheme="minorEastAsia" w:hAnsiTheme="minorHAnsi" w:cstheme="minorBidi"/>
            <w:noProof/>
            <w:sz w:val="22"/>
            <w:szCs w:val="22"/>
            <w:lang w:val="en-GB" w:eastAsia="en-GB"/>
          </w:rPr>
          <w:tab/>
        </w:r>
        <w:r w:rsidR="00D903E6" w:rsidRPr="001E37B0">
          <w:rPr>
            <w:rStyle w:val="Hyperlink"/>
            <w:rFonts w:eastAsiaTheme="majorEastAsia"/>
            <w:noProof/>
          </w:rPr>
          <w:t>Study Data Capture</w:t>
        </w:r>
        <w:r w:rsidR="00D903E6">
          <w:rPr>
            <w:noProof/>
            <w:webHidden/>
          </w:rPr>
          <w:tab/>
        </w:r>
        <w:r w:rsidR="00D903E6">
          <w:rPr>
            <w:noProof/>
            <w:webHidden/>
          </w:rPr>
          <w:fldChar w:fldCharType="begin"/>
        </w:r>
        <w:r w:rsidR="00D903E6">
          <w:rPr>
            <w:noProof/>
            <w:webHidden/>
          </w:rPr>
          <w:instrText xml:space="preserve"> PAGEREF _Toc476822104 \h </w:instrText>
        </w:r>
        <w:r w:rsidR="00D903E6">
          <w:rPr>
            <w:noProof/>
            <w:webHidden/>
          </w:rPr>
        </w:r>
        <w:r w:rsidR="00D903E6">
          <w:rPr>
            <w:noProof/>
            <w:webHidden/>
          </w:rPr>
          <w:fldChar w:fldCharType="separate"/>
        </w:r>
        <w:r w:rsidR="00D903E6">
          <w:rPr>
            <w:noProof/>
            <w:webHidden/>
          </w:rPr>
          <w:t>21</w:t>
        </w:r>
        <w:r w:rsidR="00D903E6">
          <w:rPr>
            <w:noProof/>
            <w:webHidden/>
          </w:rPr>
          <w:fldChar w:fldCharType="end"/>
        </w:r>
      </w:hyperlink>
    </w:p>
    <w:p w:rsidR="00D903E6" w:rsidRDefault="007D1D2D">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76822105" w:history="1">
        <w:r w:rsidR="00D903E6" w:rsidRPr="001E37B0">
          <w:rPr>
            <w:rStyle w:val="Hyperlink"/>
            <w:rFonts w:eastAsiaTheme="majorEastAsia"/>
            <w:noProof/>
          </w:rPr>
          <w:t>4.6</w:t>
        </w:r>
        <w:r w:rsidR="00D903E6">
          <w:rPr>
            <w:rFonts w:asciiTheme="minorHAnsi" w:eastAsiaTheme="minorEastAsia" w:hAnsiTheme="minorHAnsi" w:cstheme="minorBidi"/>
            <w:noProof/>
            <w:sz w:val="22"/>
            <w:szCs w:val="22"/>
            <w:lang w:val="en-GB" w:eastAsia="en-GB"/>
          </w:rPr>
          <w:tab/>
        </w:r>
        <w:r w:rsidR="00D903E6" w:rsidRPr="001E37B0">
          <w:rPr>
            <w:rStyle w:val="Hyperlink"/>
            <w:rFonts w:eastAsiaTheme="majorEastAsia"/>
            <w:noProof/>
          </w:rPr>
          <w:t>Monitoring and Auditing of Research Projects</w:t>
        </w:r>
        <w:r w:rsidR="00D903E6">
          <w:rPr>
            <w:noProof/>
            <w:webHidden/>
          </w:rPr>
          <w:tab/>
        </w:r>
        <w:r w:rsidR="00D903E6">
          <w:rPr>
            <w:noProof/>
            <w:webHidden/>
          </w:rPr>
          <w:fldChar w:fldCharType="begin"/>
        </w:r>
        <w:r w:rsidR="00D903E6">
          <w:rPr>
            <w:noProof/>
            <w:webHidden/>
          </w:rPr>
          <w:instrText xml:space="preserve"> PAGEREF _Toc476822105 \h </w:instrText>
        </w:r>
        <w:r w:rsidR="00D903E6">
          <w:rPr>
            <w:noProof/>
            <w:webHidden/>
          </w:rPr>
        </w:r>
        <w:r w:rsidR="00D903E6">
          <w:rPr>
            <w:noProof/>
            <w:webHidden/>
          </w:rPr>
          <w:fldChar w:fldCharType="separate"/>
        </w:r>
        <w:r w:rsidR="00D903E6">
          <w:rPr>
            <w:noProof/>
            <w:webHidden/>
          </w:rPr>
          <w:t>21</w:t>
        </w:r>
        <w:r w:rsidR="00D903E6">
          <w:rPr>
            <w:noProof/>
            <w:webHidden/>
          </w:rPr>
          <w:fldChar w:fldCharType="end"/>
        </w:r>
      </w:hyperlink>
    </w:p>
    <w:p w:rsidR="00D903E6" w:rsidRDefault="007D1D2D">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76822106" w:history="1">
        <w:r w:rsidR="00D903E6" w:rsidRPr="001E37B0">
          <w:rPr>
            <w:rStyle w:val="Hyperlink"/>
            <w:rFonts w:eastAsiaTheme="majorEastAsia"/>
            <w:noProof/>
          </w:rPr>
          <w:t>4.7</w:t>
        </w:r>
        <w:r w:rsidR="00D903E6">
          <w:rPr>
            <w:rFonts w:asciiTheme="minorHAnsi" w:eastAsiaTheme="minorEastAsia" w:hAnsiTheme="minorHAnsi" w:cstheme="minorBidi"/>
            <w:noProof/>
            <w:sz w:val="22"/>
            <w:szCs w:val="22"/>
            <w:lang w:val="en-GB" w:eastAsia="en-GB"/>
          </w:rPr>
          <w:tab/>
        </w:r>
        <w:r w:rsidR="00D903E6" w:rsidRPr="001E37B0">
          <w:rPr>
            <w:rStyle w:val="Hyperlink"/>
            <w:rFonts w:eastAsiaTheme="majorEastAsia"/>
            <w:noProof/>
          </w:rPr>
          <w:t>Safety Reporting</w:t>
        </w:r>
        <w:r w:rsidR="00D903E6">
          <w:rPr>
            <w:noProof/>
            <w:webHidden/>
          </w:rPr>
          <w:tab/>
        </w:r>
        <w:r w:rsidR="00D903E6">
          <w:rPr>
            <w:noProof/>
            <w:webHidden/>
          </w:rPr>
          <w:fldChar w:fldCharType="begin"/>
        </w:r>
        <w:r w:rsidR="00D903E6">
          <w:rPr>
            <w:noProof/>
            <w:webHidden/>
          </w:rPr>
          <w:instrText xml:space="preserve"> PAGEREF _Toc476822106 \h </w:instrText>
        </w:r>
        <w:r w:rsidR="00D903E6">
          <w:rPr>
            <w:noProof/>
            <w:webHidden/>
          </w:rPr>
        </w:r>
        <w:r w:rsidR="00D903E6">
          <w:rPr>
            <w:noProof/>
            <w:webHidden/>
          </w:rPr>
          <w:fldChar w:fldCharType="separate"/>
        </w:r>
        <w:r w:rsidR="00D903E6">
          <w:rPr>
            <w:noProof/>
            <w:webHidden/>
          </w:rPr>
          <w:t>21</w:t>
        </w:r>
        <w:r w:rsidR="00D903E6">
          <w:rPr>
            <w:noProof/>
            <w:webHidden/>
          </w:rPr>
          <w:fldChar w:fldCharType="end"/>
        </w:r>
      </w:hyperlink>
    </w:p>
    <w:p w:rsidR="00D903E6" w:rsidRDefault="007D1D2D">
      <w:pPr>
        <w:pStyle w:val="TOC1"/>
        <w:tabs>
          <w:tab w:val="left" w:pos="480"/>
          <w:tab w:val="right" w:leader="dot" w:pos="9629"/>
        </w:tabs>
        <w:rPr>
          <w:rFonts w:asciiTheme="minorHAnsi" w:eastAsiaTheme="minorEastAsia" w:hAnsiTheme="minorHAnsi" w:cstheme="minorBidi"/>
          <w:noProof/>
          <w:sz w:val="22"/>
          <w:szCs w:val="22"/>
          <w:lang w:val="en-GB" w:eastAsia="en-GB"/>
        </w:rPr>
      </w:pPr>
      <w:hyperlink w:anchor="_Toc476822107" w:history="1">
        <w:r w:rsidR="00D903E6" w:rsidRPr="001E37B0">
          <w:rPr>
            <w:rStyle w:val="Hyperlink"/>
            <w:rFonts w:eastAsiaTheme="majorEastAsia"/>
            <w:noProof/>
          </w:rPr>
          <w:t>5</w:t>
        </w:r>
        <w:r w:rsidR="00D903E6">
          <w:rPr>
            <w:rFonts w:asciiTheme="minorHAnsi" w:eastAsiaTheme="minorEastAsia" w:hAnsiTheme="minorHAnsi" w:cstheme="minorBidi"/>
            <w:noProof/>
            <w:sz w:val="22"/>
            <w:szCs w:val="22"/>
            <w:lang w:val="en-GB" w:eastAsia="en-GB"/>
          </w:rPr>
          <w:tab/>
        </w:r>
        <w:r w:rsidR="00D903E6" w:rsidRPr="001E37B0">
          <w:rPr>
            <w:rStyle w:val="Hyperlink"/>
            <w:rFonts w:eastAsiaTheme="majorEastAsia"/>
            <w:noProof/>
          </w:rPr>
          <w:t>Studies and Participant Recruitment</w:t>
        </w:r>
        <w:r w:rsidR="00D903E6">
          <w:rPr>
            <w:noProof/>
            <w:webHidden/>
          </w:rPr>
          <w:tab/>
        </w:r>
        <w:r w:rsidR="00D903E6">
          <w:rPr>
            <w:noProof/>
            <w:webHidden/>
          </w:rPr>
          <w:fldChar w:fldCharType="begin"/>
        </w:r>
        <w:r w:rsidR="00D903E6">
          <w:rPr>
            <w:noProof/>
            <w:webHidden/>
          </w:rPr>
          <w:instrText xml:space="preserve"> PAGEREF _Toc476822107 \h </w:instrText>
        </w:r>
        <w:r w:rsidR="00D903E6">
          <w:rPr>
            <w:noProof/>
            <w:webHidden/>
          </w:rPr>
        </w:r>
        <w:r w:rsidR="00D903E6">
          <w:rPr>
            <w:noProof/>
            <w:webHidden/>
          </w:rPr>
          <w:fldChar w:fldCharType="separate"/>
        </w:r>
        <w:r w:rsidR="00D903E6">
          <w:rPr>
            <w:noProof/>
            <w:webHidden/>
          </w:rPr>
          <w:t>21</w:t>
        </w:r>
        <w:r w:rsidR="00D903E6">
          <w:rPr>
            <w:noProof/>
            <w:webHidden/>
          </w:rPr>
          <w:fldChar w:fldCharType="end"/>
        </w:r>
      </w:hyperlink>
    </w:p>
    <w:p w:rsidR="00D903E6" w:rsidRDefault="007D1D2D">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76822108" w:history="1">
        <w:r w:rsidR="00D903E6" w:rsidRPr="001E37B0">
          <w:rPr>
            <w:rStyle w:val="Hyperlink"/>
            <w:rFonts w:eastAsiaTheme="majorEastAsia"/>
            <w:noProof/>
            <w:lang w:val="en-GB"/>
          </w:rPr>
          <w:t>5.1</w:t>
        </w:r>
        <w:r w:rsidR="00D903E6">
          <w:rPr>
            <w:rFonts w:asciiTheme="minorHAnsi" w:eastAsiaTheme="minorEastAsia" w:hAnsiTheme="minorHAnsi" w:cstheme="minorBidi"/>
            <w:noProof/>
            <w:sz w:val="22"/>
            <w:szCs w:val="22"/>
            <w:lang w:val="en-GB" w:eastAsia="en-GB"/>
          </w:rPr>
          <w:tab/>
        </w:r>
        <w:r w:rsidR="00D903E6" w:rsidRPr="001E37B0">
          <w:rPr>
            <w:rStyle w:val="Hyperlink"/>
            <w:rFonts w:eastAsiaTheme="majorEastAsia"/>
            <w:noProof/>
            <w:lang w:val="en-GB"/>
          </w:rPr>
          <w:t>Studies</w:t>
        </w:r>
        <w:r w:rsidR="00D903E6">
          <w:rPr>
            <w:noProof/>
            <w:webHidden/>
          </w:rPr>
          <w:tab/>
        </w:r>
        <w:r w:rsidR="00D903E6">
          <w:rPr>
            <w:noProof/>
            <w:webHidden/>
          </w:rPr>
          <w:fldChar w:fldCharType="begin"/>
        </w:r>
        <w:r w:rsidR="00D903E6">
          <w:rPr>
            <w:noProof/>
            <w:webHidden/>
          </w:rPr>
          <w:instrText xml:space="preserve"> PAGEREF _Toc476822108 \h </w:instrText>
        </w:r>
        <w:r w:rsidR="00D903E6">
          <w:rPr>
            <w:noProof/>
            <w:webHidden/>
          </w:rPr>
        </w:r>
        <w:r w:rsidR="00D903E6">
          <w:rPr>
            <w:noProof/>
            <w:webHidden/>
          </w:rPr>
          <w:fldChar w:fldCharType="separate"/>
        </w:r>
        <w:r w:rsidR="00D903E6">
          <w:rPr>
            <w:noProof/>
            <w:webHidden/>
          </w:rPr>
          <w:t>21</w:t>
        </w:r>
        <w:r w:rsidR="00D903E6">
          <w:rPr>
            <w:noProof/>
            <w:webHidden/>
          </w:rPr>
          <w:fldChar w:fldCharType="end"/>
        </w:r>
      </w:hyperlink>
    </w:p>
    <w:p w:rsidR="00D903E6" w:rsidRDefault="007D1D2D">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76822109" w:history="1">
        <w:r w:rsidR="00D903E6" w:rsidRPr="001E37B0">
          <w:rPr>
            <w:rStyle w:val="Hyperlink"/>
            <w:rFonts w:eastAsiaTheme="majorEastAsia"/>
            <w:noProof/>
            <w:lang w:val="en-GB"/>
          </w:rPr>
          <w:t>5.2</w:t>
        </w:r>
        <w:r w:rsidR="00D903E6">
          <w:rPr>
            <w:rFonts w:asciiTheme="minorHAnsi" w:eastAsiaTheme="minorEastAsia" w:hAnsiTheme="minorHAnsi" w:cstheme="minorBidi"/>
            <w:noProof/>
            <w:sz w:val="22"/>
            <w:szCs w:val="22"/>
            <w:lang w:val="en-GB" w:eastAsia="en-GB"/>
          </w:rPr>
          <w:tab/>
        </w:r>
        <w:r w:rsidR="00D903E6" w:rsidRPr="001E37B0">
          <w:rPr>
            <w:rStyle w:val="Hyperlink"/>
            <w:rFonts w:eastAsiaTheme="majorEastAsia"/>
            <w:noProof/>
            <w:lang w:val="en-GB"/>
          </w:rPr>
          <w:t>Participant Recruitment</w:t>
        </w:r>
        <w:r w:rsidR="00D903E6">
          <w:rPr>
            <w:noProof/>
            <w:webHidden/>
          </w:rPr>
          <w:tab/>
        </w:r>
        <w:r w:rsidR="00D903E6">
          <w:rPr>
            <w:noProof/>
            <w:webHidden/>
          </w:rPr>
          <w:fldChar w:fldCharType="begin"/>
        </w:r>
        <w:r w:rsidR="00D903E6">
          <w:rPr>
            <w:noProof/>
            <w:webHidden/>
          </w:rPr>
          <w:instrText xml:space="preserve"> PAGEREF _Toc476822109 \h </w:instrText>
        </w:r>
        <w:r w:rsidR="00D903E6">
          <w:rPr>
            <w:noProof/>
            <w:webHidden/>
          </w:rPr>
        </w:r>
        <w:r w:rsidR="00D903E6">
          <w:rPr>
            <w:noProof/>
            <w:webHidden/>
          </w:rPr>
          <w:fldChar w:fldCharType="separate"/>
        </w:r>
        <w:r w:rsidR="00D903E6">
          <w:rPr>
            <w:noProof/>
            <w:webHidden/>
          </w:rPr>
          <w:t>22</w:t>
        </w:r>
        <w:r w:rsidR="00D903E6">
          <w:rPr>
            <w:noProof/>
            <w:webHidden/>
          </w:rPr>
          <w:fldChar w:fldCharType="end"/>
        </w:r>
      </w:hyperlink>
    </w:p>
    <w:p w:rsidR="00D903E6" w:rsidRDefault="007D1D2D">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76822110" w:history="1">
        <w:r w:rsidR="00D903E6" w:rsidRPr="001E37B0">
          <w:rPr>
            <w:rStyle w:val="Hyperlink"/>
            <w:rFonts w:eastAsiaTheme="majorEastAsia"/>
            <w:noProof/>
            <w:lang w:val="en-GB"/>
          </w:rPr>
          <w:t>5.3</w:t>
        </w:r>
        <w:r w:rsidR="00D903E6">
          <w:rPr>
            <w:rFonts w:asciiTheme="minorHAnsi" w:eastAsiaTheme="minorEastAsia" w:hAnsiTheme="minorHAnsi" w:cstheme="minorBidi"/>
            <w:noProof/>
            <w:sz w:val="22"/>
            <w:szCs w:val="22"/>
            <w:lang w:val="en-GB" w:eastAsia="en-GB"/>
          </w:rPr>
          <w:tab/>
        </w:r>
        <w:r w:rsidR="00D903E6" w:rsidRPr="001E37B0">
          <w:rPr>
            <w:rStyle w:val="Hyperlink"/>
            <w:rFonts w:eastAsiaTheme="majorEastAsia"/>
            <w:noProof/>
            <w:lang w:val="en-GB"/>
          </w:rPr>
          <w:t>NIHR Metrics and Targets</w:t>
        </w:r>
        <w:r w:rsidR="00D903E6">
          <w:rPr>
            <w:noProof/>
            <w:webHidden/>
          </w:rPr>
          <w:tab/>
        </w:r>
        <w:r w:rsidR="00D903E6">
          <w:rPr>
            <w:noProof/>
            <w:webHidden/>
          </w:rPr>
          <w:fldChar w:fldCharType="begin"/>
        </w:r>
        <w:r w:rsidR="00D903E6">
          <w:rPr>
            <w:noProof/>
            <w:webHidden/>
          </w:rPr>
          <w:instrText xml:space="preserve"> PAGEREF _Toc476822110 \h </w:instrText>
        </w:r>
        <w:r w:rsidR="00D903E6">
          <w:rPr>
            <w:noProof/>
            <w:webHidden/>
          </w:rPr>
        </w:r>
        <w:r w:rsidR="00D903E6">
          <w:rPr>
            <w:noProof/>
            <w:webHidden/>
          </w:rPr>
          <w:fldChar w:fldCharType="separate"/>
        </w:r>
        <w:r w:rsidR="00D903E6">
          <w:rPr>
            <w:noProof/>
            <w:webHidden/>
          </w:rPr>
          <w:t>23</w:t>
        </w:r>
        <w:r w:rsidR="00D903E6">
          <w:rPr>
            <w:noProof/>
            <w:webHidden/>
          </w:rPr>
          <w:fldChar w:fldCharType="end"/>
        </w:r>
      </w:hyperlink>
    </w:p>
    <w:p w:rsidR="00D903E6" w:rsidRDefault="007D1D2D">
      <w:pPr>
        <w:pStyle w:val="TOC1"/>
        <w:tabs>
          <w:tab w:val="left" w:pos="480"/>
          <w:tab w:val="right" w:leader="dot" w:pos="9629"/>
        </w:tabs>
        <w:rPr>
          <w:rFonts w:asciiTheme="minorHAnsi" w:eastAsiaTheme="minorEastAsia" w:hAnsiTheme="minorHAnsi" w:cstheme="minorBidi"/>
          <w:noProof/>
          <w:sz w:val="22"/>
          <w:szCs w:val="22"/>
          <w:lang w:val="en-GB" w:eastAsia="en-GB"/>
        </w:rPr>
      </w:pPr>
      <w:hyperlink w:anchor="_Toc476822111" w:history="1">
        <w:r w:rsidR="00D903E6" w:rsidRPr="001E37B0">
          <w:rPr>
            <w:rStyle w:val="Hyperlink"/>
            <w:rFonts w:eastAsiaTheme="majorEastAsia"/>
            <w:noProof/>
          </w:rPr>
          <w:t>6</w:t>
        </w:r>
        <w:r w:rsidR="00D903E6">
          <w:rPr>
            <w:rFonts w:asciiTheme="minorHAnsi" w:eastAsiaTheme="minorEastAsia" w:hAnsiTheme="minorHAnsi" w:cstheme="minorBidi"/>
            <w:noProof/>
            <w:sz w:val="22"/>
            <w:szCs w:val="22"/>
            <w:lang w:val="en-GB" w:eastAsia="en-GB"/>
          </w:rPr>
          <w:tab/>
        </w:r>
        <w:r w:rsidR="00D903E6" w:rsidRPr="001E37B0">
          <w:rPr>
            <w:rStyle w:val="Hyperlink"/>
            <w:rFonts w:eastAsiaTheme="majorEastAsia"/>
            <w:noProof/>
          </w:rPr>
          <w:t>Pharmacy</w:t>
        </w:r>
        <w:r w:rsidR="00D903E6">
          <w:rPr>
            <w:noProof/>
            <w:webHidden/>
          </w:rPr>
          <w:tab/>
        </w:r>
        <w:r w:rsidR="00D903E6">
          <w:rPr>
            <w:noProof/>
            <w:webHidden/>
          </w:rPr>
          <w:fldChar w:fldCharType="begin"/>
        </w:r>
        <w:r w:rsidR="00D903E6">
          <w:rPr>
            <w:noProof/>
            <w:webHidden/>
          </w:rPr>
          <w:instrText xml:space="preserve"> PAGEREF _Toc476822111 \h </w:instrText>
        </w:r>
        <w:r w:rsidR="00D903E6">
          <w:rPr>
            <w:noProof/>
            <w:webHidden/>
          </w:rPr>
        </w:r>
        <w:r w:rsidR="00D903E6">
          <w:rPr>
            <w:noProof/>
            <w:webHidden/>
          </w:rPr>
          <w:fldChar w:fldCharType="separate"/>
        </w:r>
        <w:r w:rsidR="00D903E6">
          <w:rPr>
            <w:noProof/>
            <w:webHidden/>
          </w:rPr>
          <w:t>23</w:t>
        </w:r>
        <w:r w:rsidR="00D903E6">
          <w:rPr>
            <w:noProof/>
            <w:webHidden/>
          </w:rPr>
          <w:fldChar w:fldCharType="end"/>
        </w:r>
      </w:hyperlink>
    </w:p>
    <w:p w:rsidR="00D903E6" w:rsidRDefault="007D1D2D">
      <w:pPr>
        <w:pStyle w:val="TOC1"/>
        <w:tabs>
          <w:tab w:val="left" w:pos="480"/>
          <w:tab w:val="right" w:leader="dot" w:pos="9629"/>
        </w:tabs>
        <w:rPr>
          <w:rFonts w:asciiTheme="minorHAnsi" w:eastAsiaTheme="minorEastAsia" w:hAnsiTheme="minorHAnsi" w:cstheme="minorBidi"/>
          <w:noProof/>
          <w:sz w:val="22"/>
          <w:szCs w:val="22"/>
          <w:lang w:val="en-GB" w:eastAsia="en-GB"/>
        </w:rPr>
      </w:pPr>
      <w:hyperlink w:anchor="_Toc476822112" w:history="1">
        <w:r w:rsidR="00D903E6" w:rsidRPr="001E37B0">
          <w:rPr>
            <w:rStyle w:val="Hyperlink"/>
            <w:rFonts w:eastAsiaTheme="majorEastAsia"/>
            <w:noProof/>
          </w:rPr>
          <w:t>7</w:t>
        </w:r>
        <w:r w:rsidR="00D903E6">
          <w:rPr>
            <w:rFonts w:asciiTheme="minorHAnsi" w:eastAsiaTheme="minorEastAsia" w:hAnsiTheme="minorHAnsi" w:cstheme="minorBidi"/>
            <w:noProof/>
            <w:sz w:val="22"/>
            <w:szCs w:val="22"/>
            <w:lang w:val="en-GB" w:eastAsia="en-GB"/>
          </w:rPr>
          <w:tab/>
        </w:r>
        <w:r w:rsidR="00D903E6" w:rsidRPr="001E37B0">
          <w:rPr>
            <w:rStyle w:val="Hyperlink"/>
            <w:rFonts w:eastAsiaTheme="majorEastAsia"/>
            <w:noProof/>
          </w:rPr>
          <w:t>Case Records Interactive Search (CRIS)</w:t>
        </w:r>
        <w:r w:rsidR="00D903E6">
          <w:rPr>
            <w:noProof/>
            <w:webHidden/>
          </w:rPr>
          <w:tab/>
        </w:r>
        <w:r w:rsidR="00D903E6">
          <w:rPr>
            <w:noProof/>
            <w:webHidden/>
          </w:rPr>
          <w:fldChar w:fldCharType="begin"/>
        </w:r>
        <w:r w:rsidR="00D903E6">
          <w:rPr>
            <w:noProof/>
            <w:webHidden/>
          </w:rPr>
          <w:instrText xml:space="preserve"> PAGEREF _Toc476822112 \h </w:instrText>
        </w:r>
        <w:r w:rsidR="00D903E6">
          <w:rPr>
            <w:noProof/>
            <w:webHidden/>
          </w:rPr>
        </w:r>
        <w:r w:rsidR="00D903E6">
          <w:rPr>
            <w:noProof/>
            <w:webHidden/>
          </w:rPr>
          <w:fldChar w:fldCharType="separate"/>
        </w:r>
        <w:r w:rsidR="00D903E6">
          <w:rPr>
            <w:noProof/>
            <w:webHidden/>
          </w:rPr>
          <w:t>24</w:t>
        </w:r>
        <w:r w:rsidR="00D903E6">
          <w:rPr>
            <w:noProof/>
            <w:webHidden/>
          </w:rPr>
          <w:fldChar w:fldCharType="end"/>
        </w:r>
      </w:hyperlink>
    </w:p>
    <w:p w:rsidR="00D903E6" w:rsidRDefault="007D1D2D">
      <w:pPr>
        <w:pStyle w:val="TOC1"/>
        <w:tabs>
          <w:tab w:val="left" w:pos="480"/>
          <w:tab w:val="right" w:leader="dot" w:pos="9629"/>
        </w:tabs>
        <w:rPr>
          <w:rFonts w:asciiTheme="minorHAnsi" w:eastAsiaTheme="minorEastAsia" w:hAnsiTheme="minorHAnsi" w:cstheme="minorBidi"/>
          <w:noProof/>
          <w:sz w:val="22"/>
          <w:szCs w:val="22"/>
          <w:lang w:val="en-GB" w:eastAsia="en-GB"/>
        </w:rPr>
      </w:pPr>
      <w:hyperlink w:anchor="_Toc476822113" w:history="1">
        <w:r w:rsidR="00D903E6" w:rsidRPr="001E37B0">
          <w:rPr>
            <w:rStyle w:val="Hyperlink"/>
            <w:rFonts w:eastAsiaTheme="majorEastAsia"/>
            <w:noProof/>
          </w:rPr>
          <w:t>8</w:t>
        </w:r>
        <w:r w:rsidR="00D903E6">
          <w:rPr>
            <w:rFonts w:asciiTheme="minorHAnsi" w:eastAsiaTheme="minorEastAsia" w:hAnsiTheme="minorHAnsi" w:cstheme="minorBidi"/>
            <w:noProof/>
            <w:sz w:val="22"/>
            <w:szCs w:val="22"/>
            <w:lang w:val="en-GB" w:eastAsia="en-GB"/>
          </w:rPr>
          <w:tab/>
        </w:r>
        <w:r w:rsidR="00D903E6" w:rsidRPr="001E37B0">
          <w:rPr>
            <w:rStyle w:val="Hyperlink"/>
            <w:rFonts w:eastAsiaTheme="majorEastAsia"/>
            <w:noProof/>
          </w:rPr>
          <w:t>Trust Governance and Reporting Mechanisms</w:t>
        </w:r>
        <w:r w:rsidR="00D903E6">
          <w:rPr>
            <w:noProof/>
            <w:webHidden/>
          </w:rPr>
          <w:tab/>
        </w:r>
        <w:r w:rsidR="00D903E6">
          <w:rPr>
            <w:noProof/>
            <w:webHidden/>
          </w:rPr>
          <w:fldChar w:fldCharType="begin"/>
        </w:r>
        <w:r w:rsidR="00D903E6">
          <w:rPr>
            <w:noProof/>
            <w:webHidden/>
          </w:rPr>
          <w:instrText xml:space="preserve"> PAGEREF _Toc476822113 \h </w:instrText>
        </w:r>
        <w:r w:rsidR="00D903E6">
          <w:rPr>
            <w:noProof/>
            <w:webHidden/>
          </w:rPr>
        </w:r>
        <w:r w:rsidR="00D903E6">
          <w:rPr>
            <w:noProof/>
            <w:webHidden/>
          </w:rPr>
          <w:fldChar w:fldCharType="separate"/>
        </w:r>
        <w:r w:rsidR="00D903E6">
          <w:rPr>
            <w:noProof/>
            <w:webHidden/>
          </w:rPr>
          <w:t>24</w:t>
        </w:r>
        <w:r w:rsidR="00D903E6">
          <w:rPr>
            <w:noProof/>
            <w:webHidden/>
          </w:rPr>
          <w:fldChar w:fldCharType="end"/>
        </w:r>
      </w:hyperlink>
    </w:p>
    <w:p w:rsidR="00D903E6" w:rsidRDefault="007D1D2D">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76822114" w:history="1">
        <w:r w:rsidR="00D903E6" w:rsidRPr="001E37B0">
          <w:rPr>
            <w:rStyle w:val="Hyperlink"/>
            <w:rFonts w:eastAsiaTheme="majorEastAsia"/>
            <w:noProof/>
            <w:lang w:val="en-GB"/>
          </w:rPr>
          <w:t>8.1</w:t>
        </w:r>
        <w:r w:rsidR="00D903E6">
          <w:rPr>
            <w:rFonts w:asciiTheme="minorHAnsi" w:eastAsiaTheme="minorEastAsia" w:hAnsiTheme="minorHAnsi" w:cstheme="minorBidi"/>
            <w:noProof/>
            <w:sz w:val="22"/>
            <w:szCs w:val="22"/>
            <w:lang w:val="en-GB" w:eastAsia="en-GB"/>
          </w:rPr>
          <w:tab/>
        </w:r>
        <w:r w:rsidR="00D903E6" w:rsidRPr="001E37B0">
          <w:rPr>
            <w:rStyle w:val="Hyperlink"/>
            <w:rFonts w:eastAsiaTheme="majorEastAsia"/>
            <w:noProof/>
            <w:lang w:val="en-GB"/>
          </w:rPr>
          <w:t>Responsibilities of the RMG:</w:t>
        </w:r>
        <w:r w:rsidR="00D903E6">
          <w:rPr>
            <w:noProof/>
            <w:webHidden/>
          </w:rPr>
          <w:tab/>
        </w:r>
        <w:r w:rsidR="00D903E6">
          <w:rPr>
            <w:noProof/>
            <w:webHidden/>
          </w:rPr>
          <w:fldChar w:fldCharType="begin"/>
        </w:r>
        <w:r w:rsidR="00D903E6">
          <w:rPr>
            <w:noProof/>
            <w:webHidden/>
          </w:rPr>
          <w:instrText xml:space="preserve"> PAGEREF _Toc476822114 \h </w:instrText>
        </w:r>
        <w:r w:rsidR="00D903E6">
          <w:rPr>
            <w:noProof/>
            <w:webHidden/>
          </w:rPr>
        </w:r>
        <w:r w:rsidR="00D903E6">
          <w:rPr>
            <w:noProof/>
            <w:webHidden/>
          </w:rPr>
          <w:fldChar w:fldCharType="separate"/>
        </w:r>
        <w:r w:rsidR="00D903E6">
          <w:rPr>
            <w:noProof/>
            <w:webHidden/>
          </w:rPr>
          <w:t>25</w:t>
        </w:r>
        <w:r w:rsidR="00D903E6">
          <w:rPr>
            <w:noProof/>
            <w:webHidden/>
          </w:rPr>
          <w:fldChar w:fldCharType="end"/>
        </w:r>
      </w:hyperlink>
    </w:p>
    <w:p w:rsidR="00D903E6" w:rsidRDefault="007D1D2D">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76822115" w:history="1">
        <w:r w:rsidR="00D903E6" w:rsidRPr="001E37B0">
          <w:rPr>
            <w:rStyle w:val="Hyperlink"/>
            <w:rFonts w:eastAsiaTheme="majorEastAsia"/>
            <w:noProof/>
            <w:lang w:val="en-GB"/>
          </w:rPr>
          <w:t>8.2</w:t>
        </w:r>
        <w:r w:rsidR="00D903E6">
          <w:rPr>
            <w:rFonts w:asciiTheme="minorHAnsi" w:eastAsiaTheme="minorEastAsia" w:hAnsiTheme="minorHAnsi" w:cstheme="minorBidi"/>
            <w:noProof/>
            <w:sz w:val="22"/>
            <w:szCs w:val="22"/>
            <w:lang w:val="en-GB" w:eastAsia="en-GB"/>
          </w:rPr>
          <w:tab/>
        </w:r>
        <w:r w:rsidR="00D903E6" w:rsidRPr="001E37B0">
          <w:rPr>
            <w:rStyle w:val="Hyperlink"/>
            <w:rFonts w:eastAsiaTheme="majorEastAsia"/>
            <w:noProof/>
            <w:lang w:val="en-GB"/>
          </w:rPr>
          <w:t>Reporting and Governance</w:t>
        </w:r>
        <w:r w:rsidR="00D903E6">
          <w:rPr>
            <w:noProof/>
            <w:webHidden/>
          </w:rPr>
          <w:tab/>
        </w:r>
        <w:r w:rsidR="00D903E6">
          <w:rPr>
            <w:noProof/>
            <w:webHidden/>
          </w:rPr>
          <w:fldChar w:fldCharType="begin"/>
        </w:r>
        <w:r w:rsidR="00D903E6">
          <w:rPr>
            <w:noProof/>
            <w:webHidden/>
          </w:rPr>
          <w:instrText xml:space="preserve"> PAGEREF _Toc476822115 \h </w:instrText>
        </w:r>
        <w:r w:rsidR="00D903E6">
          <w:rPr>
            <w:noProof/>
            <w:webHidden/>
          </w:rPr>
        </w:r>
        <w:r w:rsidR="00D903E6">
          <w:rPr>
            <w:noProof/>
            <w:webHidden/>
          </w:rPr>
          <w:fldChar w:fldCharType="separate"/>
        </w:r>
        <w:r w:rsidR="00D903E6">
          <w:rPr>
            <w:noProof/>
            <w:webHidden/>
          </w:rPr>
          <w:t>25</w:t>
        </w:r>
        <w:r w:rsidR="00D903E6">
          <w:rPr>
            <w:noProof/>
            <w:webHidden/>
          </w:rPr>
          <w:fldChar w:fldCharType="end"/>
        </w:r>
      </w:hyperlink>
    </w:p>
    <w:p w:rsidR="00D903E6" w:rsidRDefault="007D1D2D">
      <w:pPr>
        <w:pStyle w:val="TOC1"/>
        <w:tabs>
          <w:tab w:val="left" w:pos="480"/>
          <w:tab w:val="right" w:leader="dot" w:pos="9629"/>
        </w:tabs>
        <w:rPr>
          <w:rFonts w:asciiTheme="minorHAnsi" w:eastAsiaTheme="minorEastAsia" w:hAnsiTheme="minorHAnsi" w:cstheme="minorBidi"/>
          <w:noProof/>
          <w:sz w:val="22"/>
          <w:szCs w:val="22"/>
          <w:lang w:val="en-GB" w:eastAsia="en-GB"/>
        </w:rPr>
      </w:pPr>
      <w:hyperlink w:anchor="_Toc476822116" w:history="1">
        <w:r w:rsidR="00D903E6" w:rsidRPr="001E37B0">
          <w:rPr>
            <w:rStyle w:val="Hyperlink"/>
            <w:rFonts w:eastAsiaTheme="majorEastAsia"/>
            <w:noProof/>
          </w:rPr>
          <w:t>9</w:t>
        </w:r>
        <w:r w:rsidR="00D903E6">
          <w:rPr>
            <w:rFonts w:asciiTheme="minorHAnsi" w:eastAsiaTheme="minorEastAsia" w:hAnsiTheme="minorHAnsi" w:cstheme="minorBidi"/>
            <w:noProof/>
            <w:sz w:val="22"/>
            <w:szCs w:val="22"/>
            <w:lang w:val="en-GB" w:eastAsia="en-GB"/>
          </w:rPr>
          <w:tab/>
        </w:r>
        <w:r w:rsidR="00D903E6" w:rsidRPr="001E37B0">
          <w:rPr>
            <w:rStyle w:val="Hyperlink"/>
            <w:rFonts w:eastAsiaTheme="majorEastAsia"/>
            <w:noProof/>
          </w:rPr>
          <w:t>Finance</w:t>
        </w:r>
        <w:r w:rsidR="00D903E6">
          <w:rPr>
            <w:noProof/>
            <w:webHidden/>
          </w:rPr>
          <w:tab/>
        </w:r>
        <w:r w:rsidR="00D903E6">
          <w:rPr>
            <w:noProof/>
            <w:webHidden/>
          </w:rPr>
          <w:fldChar w:fldCharType="begin"/>
        </w:r>
        <w:r w:rsidR="00D903E6">
          <w:rPr>
            <w:noProof/>
            <w:webHidden/>
          </w:rPr>
          <w:instrText xml:space="preserve"> PAGEREF _Toc476822116 \h </w:instrText>
        </w:r>
        <w:r w:rsidR="00D903E6">
          <w:rPr>
            <w:noProof/>
            <w:webHidden/>
          </w:rPr>
        </w:r>
        <w:r w:rsidR="00D903E6">
          <w:rPr>
            <w:noProof/>
            <w:webHidden/>
          </w:rPr>
          <w:fldChar w:fldCharType="separate"/>
        </w:r>
        <w:r w:rsidR="00D903E6">
          <w:rPr>
            <w:noProof/>
            <w:webHidden/>
          </w:rPr>
          <w:t>26</w:t>
        </w:r>
        <w:r w:rsidR="00D903E6">
          <w:rPr>
            <w:noProof/>
            <w:webHidden/>
          </w:rPr>
          <w:fldChar w:fldCharType="end"/>
        </w:r>
      </w:hyperlink>
    </w:p>
    <w:p w:rsidR="00D903E6" w:rsidRDefault="007D1D2D">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76822117" w:history="1">
        <w:r w:rsidR="00D903E6" w:rsidRPr="001E37B0">
          <w:rPr>
            <w:rStyle w:val="Hyperlink"/>
            <w:rFonts w:eastAsiaTheme="majorEastAsia"/>
            <w:noProof/>
          </w:rPr>
          <w:t>9.1</w:t>
        </w:r>
        <w:r w:rsidR="00D903E6">
          <w:rPr>
            <w:rFonts w:asciiTheme="minorHAnsi" w:eastAsiaTheme="minorEastAsia" w:hAnsiTheme="minorHAnsi" w:cstheme="minorBidi"/>
            <w:noProof/>
            <w:sz w:val="22"/>
            <w:szCs w:val="22"/>
            <w:lang w:val="en-GB" w:eastAsia="en-GB"/>
          </w:rPr>
          <w:tab/>
        </w:r>
        <w:r w:rsidR="00D903E6" w:rsidRPr="001E37B0">
          <w:rPr>
            <w:rStyle w:val="Hyperlink"/>
            <w:rFonts w:eastAsiaTheme="majorEastAsia"/>
            <w:noProof/>
          </w:rPr>
          <w:t>FY17 Performance</w:t>
        </w:r>
        <w:r w:rsidR="00D903E6">
          <w:rPr>
            <w:noProof/>
            <w:webHidden/>
          </w:rPr>
          <w:tab/>
        </w:r>
        <w:r w:rsidR="00D903E6">
          <w:rPr>
            <w:noProof/>
            <w:webHidden/>
          </w:rPr>
          <w:fldChar w:fldCharType="begin"/>
        </w:r>
        <w:r w:rsidR="00D903E6">
          <w:rPr>
            <w:noProof/>
            <w:webHidden/>
          </w:rPr>
          <w:instrText xml:space="preserve"> PAGEREF _Toc476822117 \h </w:instrText>
        </w:r>
        <w:r w:rsidR="00D903E6">
          <w:rPr>
            <w:noProof/>
            <w:webHidden/>
          </w:rPr>
        </w:r>
        <w:r w:rsidR="00D903E6">
          <w:rPr>
            <w:noProof/>
            <w:webHidden/>
          </w:rPr>
          <w:fldChar w:fldCharType="separate"/>
        </w:r>
        <w:r w:rsidR="00D903E6">
          <w:rPr>
            <w:noProof/>
            <w:webHidden/>
          </w:rPr>
          <w:t>26</w:t>
        </w:r>
        <w:r w:rsidR="00D903E6">
          <w:rPr>
            <w:noProof/>
            <w:webHidden/>
          </w:rPr>
          <w:fldChar w:fldCharType="end"/>
        </w:r>
      </w:hyperlink>
    </w:p>
    <w:p w:rsidR="00D903E6" w:rsidRDefault="007D1D2D">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76822118" w:history="1">
        <w:r w:rsidR="00D903E6" w:rsidRPr="001E37B0">
          <w:rPr>
            <w:rStyle w:val="Hyperlink"/>
            <w:rFonts w:eastAsiaTheme="majorEastAsia"/>
            <w:noProof/>
          </w:rPr>
          <w:t>9.2</w:t>
        </w:r>
        <w:r w:rsidR="00D903E6">
          <w:rPr>
            <w:rFonts w:asciiTheme="minorHAnsi" w:eastAsiaTheme="minorEastAsia" w:hAnsiTheme="minorHAnsi" w:cstheme="minorBidi"/>
            <w:noProof/>
            <w:sz w:val="22"/>
            <w:szCs w:val="22"/>
            <w:lang w:val="en-GB" w:eastAsia="en-GB"/>
          </w:rPr>
          <w:tab/>
        </w:r>
        <w:r w:rsidR="00D903E6" w:rsidRPr="001E37B0">
          <w:rPr>
            <w:rStyle w:val="Hyperlink"/>
            <w:rFonts w:eastAsiaTheme="majorEastAsia"/>
            <w:noProof/>
          </w:rPr>
          <w:t>Research Capability Funding (RCF)</w:t>
        </w:r>
        <w:r w:rsidR="00D903E6">
          <w:rPr>
            <w:noProof/>
            <w:webHidden/>
          </w:rPr>
          <w:tab/>
        </w:r>
        <w:r w:rsidR="00D903E6">
          <w:rPr>
            <w:noProof/>
            <w:webHidden/>
          </w:rPr>
          <w:fldChar w:fldCharType="begin"/>
        </w:r>
        <w:r w:rsidR="00D903E6">
          <w:rPr>
            <w:noProof/>
            <w:webHidden/>
          </w:rPr>
          <w:instrText xml:space="preserve"> PAGEREF _Toc476822118 \h </w:instrText>
        </w:r>
        <w:r w:rsidR="00D903E6">
          <w:rPr>
            <w:noProof/>
            <w:webHidden/>
          </w:rPr>
        </w:r>
        <w:r w:rsidR="00D903E6">
          <w:rPr>
            <w:noProof/>
            <w:webHidden/>
          </w:rPr>
          <w:fldChar w:fldCharType="separate"/>
        </w:r>
        <w:r w:rsidR="00D903E6">
          <w:rPr>
            <w:noProof/>
            <w:webHidden/>
          </w:rPr>
          <w:t>27</w:t>
        </w:r>
        <w:r w:rsidR="00D903E6">
          <w:rPr>
            <w:noProof/>
            <w:webHidden/>
          </w:rPr>
          <w:fldChar w:fldCharType="end"/>
        </w:r>
      </w:hyperlink>
    </w:p>
    <w:p w:rsidR="00D903E6" w:rsidRDefault="007D1D2D">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76822119" w:history="1">
        <w:r w:rsidR="00D903E6" w:rsidRPr="001E37B0">
          <w:rPr>
            <w:rStyle w:val="Hyperlink"/>
            <w:rFonts w:eastAsiaTheme="majorEastAsia"/>
            <w:noProof/>
          </w:rPr>
          <w:t>9.3</w:t>
        </w:r>
        <w:r w:rsidR="00D903E6">
          <w:rPr>
            <w:rFonts w:asciiTheme="minorHAnsi" w:eastAsiaTheme="minorEastAsia" w:hAnsiTheme="minorHAnsi" w:cstheme="minorBidi"/>
            <w:noProof/>
            <w:sz w:val="22"/>
            <w:szCs w:val="22"/>
            <w:lang w:val="en-GB" w:eastAsia="en-GB"/>
          </w:rPr>
          <w:tab/>
        </w:r>
        <w:r w:rsidR="00D903E6" w:rsidRPr="001E37B0">
          <w:rPr>
            <w:rStyle w:val="Hyperlink"/>
            <w:rFonts w:eastAsiaTheme="majorEastAsia"/>
            <w:noProof/>
          </w:rPr>
          <w:t>Clinical Research Facility (CRF)</w:t>
        </w:r>
        <w:r w:rsidR="00D903E6">
          <w:rPr>
            <w:noProof/>
            <w:webHidden/>
          </w:rPr>
          <w:tab/>
        </w:r>
        <w:r w:rsidR="00D903E6">
          <w:rPr>
            <w:noProof/>
            <w:webHidden/>
          </w:rPr>
          <w:fldChar w:fldCharType="begin"/>
        </w:r>
        <w:r w:rsidR="00D903E6">
          <w:rPr>
            <w:noProof/>
            <w:webHidden/>
          </w:rPr>
          <w:instrText xml:space="preserve"> PAGEREF _Toc476822119 \h </w:instrText>
        </w:r>
        <w:r w:rsidR="00D903E6">
          <w:rPr>
            <w:noProof/>
            <w:webHidden/>
          </w:rPr>
        </w:r>
        <w:r w:rsidR="00D903E6">
          <w:rPr>
            <w:noProof/>
            <w:webHidden/>
          </w:rPr>
          <w:fldChar w:fldCharType="separate"/>
        </w:r>
        <w:r w:rsidR="00D903E6">
          <w:rPr>
            <w:noProof/>
            <w:webHidden/>
          </w:rPr>
          <w:t>27</w:t>
        </w:r>
        <w:r w:rsidR="00D903E6">
          <w:rPr>
            <w:noProof/>
            <w:webHidden/>
          </w:rPr>
          <w:fldChar w:fldCharType="end"/>
        </w:r>
      </w:hyperlink>
    </w:p>
    <w:p w:rsidR="00D903E6" w:rsidRDefault="007D1D2D">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76822120" w:history="1">
        <w:r w:rsidR="00D903E6" w:rsidRPr="001E37B0">
          <w:rPr>
            <w:rStyle w:val="Hyperlink"/>
            <w:rFonts w:eastAsiaTheme="majorEastAsia"/>
            <w:noProof/>
          </w:rPr>
          <w:t>9.4</w:t>
        </w:r>
        <w:r w:rsidR="00D903E6">
          <w:rPr>
            <w:rFonts w:asciiTheme="minorHAnsi" w:eastAsiaTheme="minorEastAsia" w:hAnsiTheme="minorHAnsi" w:cstheme="minorBidi"/>
            <w:noProof/>
            <w:sz w:val="22"/>
            <w:szCs w:val="22"/>
            <w:lang w:val="en-GB" w:eastAsia="en-GB"/>
          </w:rPr>
          <w:tab/>
        </w:r>
        <w:r w:rsidR="00D903E6" w:rsidRPr="001E37B0">
          <w:rPr>
            <w:rStyle w:val="Hyperlink"/>
            <w:rFonts w:eastAsiaTheme="majorEastAsia"/>
            <w:noProof/>
          </w:rPr>
          <w:t>Clinical Research Network: Thames Valley and South Midlands (CRN)</w:t>
        </w:r>
        <w:r w:rsidR="00D903E6">
          <w:rPr>
            <w:noProof/>
            <w:webHidden/>
          </w:rPr>
          <w:tab/>
        </w:r>
        <w:r w:rsidR="00D903E6">
          <w:rPr>
            <w:noProof/>
            <w:webHidden/>
          </w:rPr>
          <w:fldChar w:fldCharType="begin"/>
        </w:r>
        <w:r w:rsidR="00D903E6">
          <w:rPr>
            <w:noProof/>
            <w:webHidden/>
          </w:rPr>
          <w:instrText xml:space="preserve"> PAGEREF _Toc476822120 \h </w:instrText>
        </w:r>
        <w:r w:rsidR="00D903E6">
          <w:rPr>
            <w:noProof/>
            <w:webHidden/>
          </w:rPr>
        </w:r>
        <w:r w:rsidR="00D903E6">
          <w:rPr>
            <w:noProof/>
            <w:webHidden/>
          </w:rPr>
          <w:fldChar w:fldCharType="separate"/>
        </w:r>
        <w:r w:rsidR="00D903E6">
          <w:rPr>
            <w:noProof/>
            <w:webHidden/>
          </w:rPr>
          <w:t>28</w:t>
        </w:r>
        <w:r w:rsidR="00D903E6">
          <w:rPr>
            <w:noProof/>
            <w:webHidden/>
          </w:rPr>
          <w:fldChar w:fldCharType="end"/>
        </w:r>
      </w:hyperlink>
    </w:p>
    <w:p w:rsidR="00D903E6" w:rsidRDefault="007D1D2D">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76822121" w:history="1">
        <w:r w:rsidR="00D903E6" w:rsidRPr="001E37B0">
          <w:rPr>
            <w:rStyle w:val="Hyperlink"/>
            <w:rFonts w:eastAsiaTheme="majorEastAsia"/>
            <w:noProof/>
          </w:rPr>
          <w:t>9.5</w:t>
        </w:r>
        <w:r w:rsidR="00D903E6">
          <w:rPr>
            <w:rFonts w:asciiTheme="minorHAnsi" w:eastAsiaTheme="minorEastAsia" w:hAnsiTheme="minorHAnsi" w:cstheme="minorBidi"/>
            <w:noProof/>
            <w:sz w:val="22"/>
            <w:szCs w:val="22"/>
            <w:lang w:val="en-GB" w:eastAsia="en-GB"/>
          </w:rPr>
          <w:tab/>
        </w:r>
        <w:r w:rsidR="00D903E6" w:rsidRPr="001E37B0">
          <w:rPr>
            <w:rStyle w:val="Hyperlink"/>
            <w:rFonts w:eastAsiaTheme="majorEastAsia"/>
            <w:noProof/>
          </w:rPr>
          <w:t>Collaboration in Leadership in Applied Health Research and Care (CLAHRC)</w:t>
        </w:r>
        <w:r w:rsidR="00D903E6">
          <w:rPr>
            <w:noProof/>
            <w:webHidden/>
          </w:rPr>
          <w:tab/>
        </w:r>
        <w:r w:rsidR="00D903E6">
          <w:rPr>
            <w:noProof/>
            <w:webHidden/>
          </w:rPr>
          <w:fldChar w:fldCharType="begin"/>
        </w:r>
        <w:r w:rsidR="00D903E6">
          <w:rPr>
            <w:noProof/>
            <w:webHidden/>
          </w:rPr>
          <w:instrText xml:space="preserve"> PAGEREF _Toc476822121 \h </w:instrText>
        </w:r>
        <w:r w:rsidR="00D903E6">
          <w:rPr>
            <w:noProof/>
            <w:webHidden/>
          </w:rPr>
        </w:r>
        <w:r w:rsidR="00D903E6">
          <w:rPr>
            <w:noProof/>
            <w:webHidden/>
          </w:rPr>
          <w:fldChar w:fldCharType="separate"/>
        </w:r>
        <w:r w:rsidR="00D903E6">
          <w:rPr>
            <w:noProof/>
            <w:webHidden/>
          </w:rPr>
          <w:t>28</w:t>
        </w:r>
        <w:r w:rsidR="00D903E6">
          <w:rPr>
            <w:noProof/>
            <w:webHidden/>
          </w:rPr>
          <w:fldChar w:fldCharType="end"/>
        </w:r>
      </w:hyperlink>
    </w:p>
    <w:p w:rsidR="00D903E6" w:rsidRDefault="007D1D2D">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76822122" w:history="1">
        <w:r w:rsidR="00D903E6" w:rsidRPr="001E37B0">
          <w:rPr>
            <w:rStyle w:val="Hyperlink"/>
            <w:rFonts w:eastAsiaTheme="majorEastAsia"/>
            <w:noProof/>
          </w:rPr>
          <w:t>9.6</w:t>
        </w:r>
        <w:r w:rsidR="00D903E6">
          <w:rPr>
            <w:rFonts w:asciiTheme="minorHAnsi" w:eastAsiaTheme="minorEastAsia" w:hAnsiTheme="minorHAnsi" w:cstheme="minorBidi"/>
            <w:noProof/>
            <w:sz w:val="22"/>
            <w:szCs w:val="22"/>
            <w:lang w:val="en-GB" w:eastAsia="en-GB"/>
          </w:rPr>
          <w:tab/>
        </w:r>
        <w:r w:rsidR="00D903E6" w:rsidRPr="001E37B0">
          <w:rPr>
            <w:rStyle w:val="Hyperlink"/>
            <w:rFonts w:eastAsiaTheme="majorEastAsia"/>
            <w:noProof/>
          </w:rPr>
          <w:t>R&amp;D Income Summary FY17/8</w:t>
        </w:r>
        <w:r w:rsidR="00D903E6">
          <w:rPr>
            <w:noProof/>
            <w:webHidden/>
          </w:rPr>
          <w:tab/>
        </w:r>
        <w:r w:rsidR="00D903E6">
          <w:rPr>
            <w:noProof/>
            <w:webHidden/>
          </w:rPr>
          <w:fldChar w:fldCharType="begin"/>
        </w:r>
        <w:r w:rsidR="00D903E6">
          <w:rPr>
            <w:noProof/>
            <w:webHidden/>
          </w:rPr>
          <w:instrText xml:space="preserve"> PAGEREF _Toc476822122 \h </w:instrText>
        </w:r>
        <w:r w:rsidR="00D903E6">
          <w:rPr>
            <w:noProof/>
            <w:webHidden/>
          </w:rPr>
        </w:r>
        <w:r w:rsidR="00D903E6">
          <w:rPr>
            <w:noProof/>
            <w:webHidden/>
          </w:rPr>
          <w:fldChar w:fldCharType="separate"/>
        </w:r>
        <w:r w:rsidR="00D903E6">
          <w:rPr>
            <w:noProof/>
            <w:webHidden/>
          </w:rPr>
          <w:t>30</w:t>
        </w:r>
        <w:r w:rsidR="00D903E6">
          <w:rPr>
            <w:noProof/>
            <w:webHidden/>
          </w:rPr>
          <w:fldChar w:fldCharType="end"/>
        </w:r>
      </w:hyperlink>
    </w:p>
    <w:p w:rsidR="00D903E6" w:rsidRDefault="007D1D2D">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76822123" w:history="1">
        <w:r w:rsidR="00D903E6" w:rsidRPr="001E37B0">
          <w:rPr>
            <w:rStyle w:val="Hyperlink"/>
            <w:rFonts w:eastAsiaTheme="majorEastAsia"/>
            <w:noProof/>
          </w:rPr>
          <w:t>9.7</w:t>
        </w:r>
        <w:r w:rsidR="00D903E6">
          <w:rPr>
            <w:rFonts w:asciiTheme="minorHAnsi" w:eastAsiaTheme="minorEastAsia" w:hAnsiTheme="minorHAnsi" w:cstheme="minorBidi"/>
            <w:noProof/>
            <w:sz w:val="22"/>
            <w:szCs w:val="22"/>
            <w:lang w:val="en-GB" w:eastAsia="en-GB"/>
          </w:rPr>
          <w:tab/>
        </w:r>
        <w:r w:rsidR="00D903E6" w:rsidRPr="001E37B0">
          <w:rPr>
            <w:rStyle w:val="Hyperlink"/>
            <w:rFonts w:eastAsiaTheme="majorEastAsia"/>
            <w:noProof/>
          </w:rPr>
          <w:t>Grant Applications</w:t>
        </w:r>
        <w:r w:rsidR="00D903E6">
          <w:rPr>
            <w:noProof/>
            <w:webHidden/>
          </w:rPr>
          <w:tab/>
        </w:r>
        <w:r w:rsidR="00D903E6">
          <w:rPr>
            <w:noProof/>
            <w:webHidden/>
          </w:rPr>
          <w:fldChar w:fldCharType="begin"/>
        </w:r>
        <w:r w:rsidR="00D903E6">
          <w:rPr>
            <w:noProof/>
            <w:webHidden/>
          </w:rPr>
          <w:instrText xml:space="preserve"> PAGEREF _Toc476822123 \h </w:instrText>
        </w:r>
        <w:r w:rsidR="00D903E6">
          <w:rPr>
            <w:noProof/>
            <w:webHidden/>
          </w:rPr>
        </w:r>
        <w:r w:rsidR="00D903E6">
          <w:rPr>
            <w:noProof/>
            <w:webHidden/>
          </w:rPr>
          <w:fldChar w:fldCharType="separate"/>
        </w:r>
        <w:r w:rsidR="00D903E6">
          <w:rPr>
            <w:noProof/>
            <w:webHidden/>
          </w:rPr>
          <w:t>30</w:t>
        </w:r>
        <w:r w:rsidR="00D903E6">
          <w:rPr>
            <w:noProof/>
            <w:webHidden/>
          </w:rPr>
          <w:fldChar w:fldCharType="end"/>
        </w:r>
      </w:hyperlink>
    </w:p>
    <w:p w:rsidR="00D903E6" w:rsidRDefault="007D1D2D">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76822124" w:history="1">
        <w:r w:rsidR="00D903E6" w:rsidRPr="001E37B0">
          <w:rPr>
            <w:rStyle w:val="Hyperlink"/>
            <w:rFonts w:eastAsiaTheme="majorEastAsia"/>
            <w:noProof/>
          </w:rPr>
          <w:t>9.8</w:t>
        </w:r>
        <w:r w:rsidR="00D903E6">
          <w:rPr>
            <w:rFonts w:asciiTheme="minorHAnsi" w:eastAsiaTheme="minorEastAsia" w:hAnsiTheme="minorHAnsi" w:cstheme="minorBidi"/>
            <w:noProof/>
            <w:sz w:val="22"/>
            <w:szCs w:val="22"/>
            <w:lang w:val="en-GB" w:eastAsia="en-GB"/>
          </w:rPr>
          <w:tab/>
        </w:r>
        <w:r w:rsidR="00D903E6" w:rsidRPr="001E37B0">
          <w:rPr>
            <w:rStyle w:val="Hyperlink"/>
            <w:rFonts w:eastAsiaTheme="majorEastAsia"/>
            <w:noProof/>
          </w:rPr>
          <w:t>Risks - Redundancy Costs</w:t>
        </w:r>
        <w:r w:rsidR="00D903E6">
          <w:rPr>
            <w:noProof/>
            <w:webHidden/>
          </w:rPr>
          <w:tab/>
        </w:r>
        <w:r w:rsidR="00D903E6">
          <w:rPr>
            <w:noProof/>
            <w:webHidden/>
          </w:rPr>
          <w:fldChar w:fldCharType="begin"/>
        </w:r>
        <w:r w:rsidR="00D903E6">
          <w:rPr>
            <w:noProof/>
            <w:webHidden/>
          </w:rPr>
          <w:instrText xml:space="preserve"> PAGEREF _Toc476822124 \h </w:instrText>
        </w:r>
        <w:r w:rsidR="00D903E6">
          <w:rPr>
            <w:noProof/>
            <w:webHidden/>
          </w:rPr>
        </w:r>
        <w:r w:rsidR="00D903E6">
          <w:rPr>
            <w:noProof/>
            <w:webHidden/>
          </w:rPr>
          <w:fldChar w:fldCharType="separate"/>
        </w:r>
        <w:r w:rsidR="00D903E6">
          <w:rPr>
            <w:noProof/>
            <w:webHidden/>
          </w:rPr>
          <w:t>31</w:t>
        </w:r>
        <w:r w:rsidR="00D903E6">
          <w:rPr>
            <w:noProof/>
            <w:webHidden/>
          </w:rPr>
          <w:fldChar w:fldCharType="end"/>
        </w:r>
      </w:hyperlink>
    </w:p>
    <w:p w:rsidR="00D903E6" w:rsidRDefault="007D1D2D">
      <w:pPr>
        <w:pStyle w:val="TOC2"/>
        <w:tabs>
          <w:tab w:val="left" w:pos="880"/>
          <w:tab w:val="right" w:leader="dot" w:pos="9629"/>
        </w:tabs>
        <w:rPr>
          <w:rFonts w:asciiTheme="minorHAnsi" w:eastAsiaTheme="minorEastAsia" w:hAnsiTheme="minorHAnsi" w:cstheme="minorBidi"/>
          <w:noProof/>
          <w:sz w:val="22"/>
          <w:szCs w:val="22"/>
          <w:lang w:val="en-GB" w:eastAsia="en-GB"/>
        </w:rPr>
      </w:pPr>
      <w:hyperlink w:anchor="_Toc476822125" w:history="1">
        <w:r w:rsidR="00D903E6" w:rsidRPr="001E37B0">
          <w:rPr>
            <w:rStyle w:val="Hyperlink"/>
            <w:rFonts w:eastAsiaTheme="majorEastAsia"/>
            <w:noProof/>
          </w:rPr>
          <w:t>9.9</w:t>
        </w:r>
        <w:r w:rsidR="00D903E6">
          <w:rPr>
            <w:rFonts w:asciiTheme="minorHAnsi" w:eastAsiaTheme="minorEastAsia" w:hAnsiTheme="minorHAnsi" w:cstheme="minorBidi"/>
            <w:noProof/>
            <w:sz w:val="22"/>
            <w:szCs w:val="22"/>
            <w:lang w:val="en-GB" w:eastAsia="en-GB"/>
          </w:rPr>
          <w:tab/>
        </w:r>
        <w:r w:rsidR="00D903E6" w:rsidRPr="001E37B0">
          <w:rPr>
            <w:rStyle w:val="Hyperlink"/>
            <w:rFonts w:eastAsiaTheme="majorEastAsia"/>
            <w:noProof/>
          </w:rPr>
          <w:t>Oxford Academic Health Science Network (OAHSN)</w:t>
        </w:r>
        <w:r w:rsidR="00D903E6">
          <w:rPr>
            <w:noProof/>
            <w:webHidden/>
          </w:rPr>
          <w:tab/>
        </w:r>
        <w:r w:rsidR="00D903E6">
          <w:rPr>
            <w:noProof/>
            <w:webHidden/>
          </w:rPr>
          <w:fldChar w:fldCharType="begin"/>
        </w:r>
        <w:r w:rsidR="00D903E6">
          <w:rPr>
            <w:noProof/>
            <w:webHidden/>
          </w:rPr>
          <w:instrText xml:space="preserve"> PAGEREF _Toc476822125 \h </w:instrText>
        </w:r>
        <w:r w:rsidR="00D903E6">
          <w:rPr>
            <w:noProof/>
            <w:webHidden/>
          </w:rPr>
        </w:r>
        <w:r w:rsidR="00D903E6">
          <w:rPr>
            <w:noProof/>
            <w:webHidden/>
          </w:rPr>
          <w:fldChar w:fldCharType="separate"/>
        </w:r>
        <w:r w:rsidR="00D903E6">
          <w:rPr>
            <w:noProof/>
            <w:webHidden/>
          </w:rPr>
          <w:t>31</w:t>
        </w:r>
        <w:r w:rsidR="00D903E6">
          <w:rPr>
            <w:noProof/>
            <w:webHidden/>
          </w:rPr>
          <w:fldChar w:fldCharType="end"/>
        </w:r>
      </w:hyperlink>
    </w:p>
    <w:p w:rsidR="00D903E6" w:rsidRDefault="007D1D2D">
      <w:pPr>
        <w:pStyle w:val="TOC1"/>
        <w:tabs>
          <w:tab w:val="left" w:pos="660"/>
          <w:tab w:val="right" w:leader="dot" w:pos="9629"/>
        </w:tabs>
        <w:rPr>
          <w:rFonts w:asciiTheme="minorHAnsi" w:eastAsiaTheme="minorEastAsia" w:hAnsiTheme="minorHAnsi" w:cstheme="minorBidi"/>
          <w:noProof/>
          <w:sz w:val="22"/>
          <w:szCs w:val="22"/>
          <w:lang w:val="en-GB" w:eastAsia="en-GB"/>
        </w:rPr>
      </w:pPr>
      <w:hyperlink w:anchor="_Toc476822126" w:history="1">
        <w:r w:rsidR="00D903E6" w:rsidRPr="001E37B0">
          <w:rPr>
            <w:rStyle w:val="Hyperlink"/>
            <w:rFonts w:eastAsiaTheme="majorEastAsia"/>
            <w:noProof/>
          </w:rPr>
          <w:t>10</w:t>
        </w:r>
        <w:r w:rsidR="00D903E6">
          <w:rPr>
            <w:rFonts w:asciiTheme="minorHAnsi" w:eastAsiaTheme="minorEastAsia" w:hAnsiTheme="minorHAnsi" w:cstheme="minorBidi"/>
            <w:noProof/>
            <w:sz w:val="22"/>
            <w:szCs w:val="22"/>
            <w:lang w:val="en-GB" w:eastAsia="en-GB"/>
          </w:rPr>
          <w:tab/>
        </w:r>
        <w:r w:rsidR="00D903E6" w:rsidRPr="001E37B0">
          <w:rPr>
            <w:rStyle w:val="Hyperlink"/>
            <w:rFonts w:eastAsiaTheme="majorEastAsia"/>
            <w:noProof/>
          </w:rPr>
          <w:t>Staffing</w:t>
        </w:r>
        <w:r w:rsidR="00D903E6">
          <w:rPr>
            <w:noProof/>
            <w:webHidden/>
          </w:rPr>
          <w:tab/>
        </w:r>
        <w:r w:rsidR="00D903E6">
          <w:rPr>
            <w:noProof/>
            <w:webHidden/>
          </w:rPr>
          <w:fldChar w:fldCharType="begin"/>
        </w:r>
        <w:r w:rsidR="00D903E6">
          <w:rPr>
            <w:noProof/>
            <w:webHidden/>
          </w:rPr>
          <w:instrText xml:space="preserve"> PAGEREF _Toc476822126 \h </w:instrText>
        </w:r>
        <w:r w:rsidR="00D903E6">
          <w:rPr>
            <w:noProof/>
            <w:webHidden/>
          </w:rPr>
        </w:r>
        <w:r w:rsidR="00D903E6">
          <w:rPr>
            <w:noProof/>
            <w:webHidden/>
          </w:rPr>
          <w:fldChar w:fldCharType="separate"/>
        </w:r>
        <w:r w:rsidR="00D903E6">
          <w:rPr>
            <w:noProof/>
            <w:webHidden/>
          </w:rPr>
          <w:t>32</w:t>
        </w:r>
        <w:r w:rsidR="00D903E6">
          <w:rPr>
            <w:noProof/>
            <w:webHidden/>
          </w:rPr>
          <w:fldChar w:fldCharType="end"/>
        </w:r>
      </w:hyperlink>
    </w:p>
    <w:p w:rsidR="00D903E6" w:rsidRDefault="007D1D2D">
      <w:pPr>
        <w:pStyle w:val="TOC1"/>
        <w:tabs>
          <w:tab w:val="left" w:pos="660"/>
          <w:tab w:val="right" w:leader="dot" w:pos="9629"/>
        </w:tabs>
        <w:rPr>
          <w:rFonts w:asciiTheme="minorHAnsi" w:eastAsiaTheme="minorEastAsia" w:hAnsiTheme="minorHAnsi" w:cstheme="minorBidi"/>
          <w:noProof/>
          <w:sz w:val="22"/>
          <w:szCs w:val="22"/>
          <w:lang w:val="en-GB" w:eastAsia="en-GB"/>
        </w:rPr>
      </w:pPr>
      <w:hyperlink w:anchor="_Toc476822127" w:history="1">
        <w:r w:rsidR="00D903E6" w:rsidRPr="001E37B0">
          <w:rPr>
            <w:rStyle w:val="Hyperlink"/>
            <w:rFonts w:eastAsiaTheme="majorEastAsia"/>
            <w:noProof/>
          </w:rPr>
          <w:t>11</w:t>
        </w:r>
        <w:r w:rsidR="00D903E6">
          <w:rPr>
            <w:rFonts w:asciiTheme="minorHAnsi" w:eastAsiaTheme="minorEastAsia" w:hAnsiTheme="minorHAnsi" w:cstheme="minorBidi"/>
            <w:noProof/>
            <w:sz w:val="22"/>
            <w:szCs w:val="22"/>
            <w:lang w:val="en-GB" w:eastAsia="en-GB"/>
          </w:rPr>
          <w:tab/>
        </w:r>
        <w:r w:rsidR="00D903E6" w:rsidRPr="001E37B0">
          <w:rPr>
            <w:rStyle w:val="Hyperlink"/>
            <w:rFonts w:eastAsiaTheme="majorEastAsia"/>
            <w:noProof/>
          </w:rPr>
          <w:t>Estates</w:t>
        </w:r>
        <w:r w:rsidR="00D903E6">
          <w:rPr>
            <w:noProof/>
            <w:webHidden/>
          </w:rPr>
          <w:tab/>
        </w:r>
        <w:r w:rsidR="00D903E6">
          <w:rPr>
            <w:noProof/>
            <w:webHidden/>
          </w:rPr>
          <w:fldChar w:fldCharType="begin"/>
        </w:r>
        <w:r w:rsidR="00D903E6">
          <w:rPr>
            <w:noProof/>
            <w:webHidden/>
          </w:rPr>
          <w:instrText xml:space="preserve"> PAGEREF _Toc476822127 \h </w:instrText>
        </w:r>
        <w:r w:rsidR="00D903E6">
          <w:rPr>
            <w:noProof/>
            <w:webHidden/>
          </w:rPr>
        </w:r>
        <w:r w:rsidR="00D903E6">
          <w:rPr>
            <w:noProof/>
            <w:webHidden/>
          </w:rPr>
          <w:fldChar w:fldCharType="separate"/>
        </w:r>
        <w:r w:rsidR="00D903E6">
          <w:rPr>
            <w:noProof/>
            <w:webHidden/>
          </w:rPr>
          <w:t>32</w:t>
        </w:r>
        <w:r w:rsidR="00D903E6">
          <w:rPr>
            <w:noProof/>
            <w:webHidden/>
          </w:rPr>
          <w:fldChar w:fldCharType="end"/>
        </w:r>
      </w:hyperlink>
    </w:p>
    <w:p w:rsidR="00D903E6" w:rsidRDefault="007D1D2D">
      <w:pPr>
        <w:pStyle w:val="TOC1"/>
        <w:tabs>
          <w:tab w:val="left" w:pos="660"/>
          <w:tab w:val="right" w:leader="dot" w:pos="9629"/>
        </w:tabs>
        <w:rPr>
          <w:rFonts w:asciiTheme="minorHAnsi" w:eastAsiaTheme="minorEastAsia" w:hAnsiTheme="minorHAnsi" w:cstheme="minorBidi"/>
          <w:noProof/>
          <w:sz w:val="22"/>
          <w:szCs w:val="22"/>
          <w:lang w:val="en-GB" w:eastAsia="en-GB"/>
        </w:rPr>
      </w:pPr>
      <w:hyperlink w:anchor="_Toc476822128" w:history="1">
        <w:r w:rsidR="00D903E6" w:rsidRPr="001E37B0">
          <w:rPr>
            <w:rStyle w:val="Hyperlink"/>
            <w:rFonts w:eastAsiaTheme="majorEastAsia"/>
            <w:noProof/>
          </w:rPr>
          <w:t>12</w:t>
        </w:r>
        <w:r w:rsidR="00D903E6">
          <w:rPr>
            <w:rFonts w:asciiTheme="minorHAnsi" w:eastAsiaTheme="minorEastAsia" w:hAnsiTheme="minorHAnsi" w:cstheme="minorBidi"/>
            <w:noProof/>
            <w:sz w:val="22"/>
            <w:szCs w:val="22"/>
            <w:lang w:val="en-GB" w:eastAsia="en-GB"/>
          </w:rPr>
          <w:tab/>
        </w:r>
        <w:r w:rsidR="00D903E6" w:rsidRPr="001E37B0">
          <w:rPr>
            <w:rStyle w:val="Hyperlink"/>
            <w:rFonts w:eastAsiaTheme="majorEastAsia"/>
            <w:noProof/>
          </w:rPr>
          <w:t>Communications</w:t>
        </w:r>
        <w:r w:rsidR="00D903E6">
          <w:rPr>
            <w:noProof/>
            <w:webHidden/>
          </w:rPr>
          <w:tab/>
        </w:r>
        <w:r w:rsidR="00D903E6">
          <w:rPr>
            <w:noProof/>
            <w:webHidden/>
          </w:rPr>
          <w:fldChar w:fldCharType="begin"/>
        </w:r>
        <w:r w:rsidR="00D903E6">
          <w:rPr>
            <w:noProof/>
            <w:webHidden/>
          </w:rPr>
          <w:instrText xml:space="preserve"> PAGEREF _Toc476822128 \h </w:instrText>
        </w:r>
        <w:r w:rsidR="00D903E6">
          <w:rPr>
            <w:noProof/>
            <w:webHidden/>
          </w:rPr>
        </w:r>
        <w:r w:rsidR="00D903E6">
          <w:rPr>
            <w:noProof/>
            <w:webHidden/>
          </w:rPr>
          <w:fldChar w:fldCharType="separate"/>
        </w:r>
        <w:r w:rsidR="00D903E6">
          <w:rPr>
            <w:noProof/>
            <w:webHidden/>
          </w:rPr>
          <w:t>33</w:t>
        </w:r>
        <w:r w:rsidR="00D903E6">
          <w:rPr>
            <w:noProof/>
            <w:webHidden/>
          </w:rPr>
          <w:fldChar w:fldCharType="end"/>
        </w:r>
      </w:hyperlink>
    </w:p>
    <w:p w:rsidR="00AE5B3B" w:rsidRDefault="00AE5B3B" w:rsidP="00AE5B3B">
      <w:pPr>
        <w:pStyle w:val="Heading1"/>
        <w:numPr>
          <w:ilvl w:val="0"/>
          <w:numId w:val="0"/>
        </w:numPr>
        <w:rPr>
          <w:b w:val="0"/>
        </w:rPr>
      </w:pPr>
      <w:r>
        <w:fldChar w:fldCharType="end"/>
      </w:r>
    </w:p>
    <w:p w:rsidR="00BA3B3E" w:rsidRPr="004C59FB" w:rsidRDefault="00361EDC" w:rsidP="008B3DA8">
      <w:pPr>
        <w:pStyle w:val="Heading1"/>
      </w:pPr>
      <w:r>
        <w:br w:type="page"/>
      </w:r>
      <w:bookmarkStart w:id="1" w:name="_Toc476822087"/>
      <w:r w:rsidR="00B466A4" w:rsidRPr="004C59FB">
        <w:lastRenderedPageBreak/>
        <w:t>Clinical Quality and Care</w:t>
      </w:r>
      <w:bookmarkEnd w:id="1"/>
    </w:p>
    <w:p w:rsidR="004C59FB" w:rsidRDefault="004C59FB" w:rsidP="004C59FB">
      <w:pPr>
        <w:rPr>
          <w:lang w:val="en-GB"/>
        </w:rPr>
      </w:pPr>
      <w:r w:rsidRPr="004C59FB">
        <w:rPr>
          <w:lang w:val="en-GB"/>
        </w:rPr>
        <w:t xml:space="preserve">Participation in research produces widespread benefits for patients and, more generally, improvements in quality of care.  A Censuswide comsumer poll of 3,000 people in England, commissioned by the NIHR published data in September 2014 saying that 95% of those as responding stated that it is very important that the NHS carries out clinical research, with 85% or people agreeing that they would be very or somewhat willing to take part if they were diagnosed with a medical condition or disease.  This accounted for the main factor that was most likely to motivate them into taking part, along with if a friend/family member was taken seriously ill and didn’t have the treatment they needed.  The majority of those surveyed said that clinical research takes place within the NHS, Universities and Clinical Trials Units.  Oxford health NHS FT has strong links to the University of Oxford, </w:t>
      </w:r>
      <w:r>
        <w:rPr>
          <w:lang w:val="en-GB"/>
        </w:rPr>
        <w:t xml:space="preserve">which </w:t>
      </w:r>
      <w:r w:rsidRPr="004C59FB">
        <w:rPr>
          <w:lang w:val="en-GB"/>
        </w:rPr>
        <w:t>has been rated as the world’s best university</w:t>
      </w:r>
      <w:r>
        <w:rPr>
          <w:lang w:val="en-GB"/>
        </w:rPr>
        <w:t xml:space="preserve"> </w:t>
      </w:r>
      <w:r w:rsidRPr="004C59FB">
        <w:rPr>
          <w:lang w:val="en-GB"/>
        </w:rPr>
        <w:t>for clinical, pre-clinical and health subjects for the past 5 years (2011-</w:t>
      </w:r>
      <w:r>
        <w:rPr>
          <w:lang w:val="en-GB"/>
        </w:rPr>
        <w:t xml:space="preserve"> </w:t>
      </w:r>
      <w:r w:rsidRPr="004C59FB">
        <w:rPr>
          <w:lang w:val="en-GB"/>
        </w:rPr>
        <w:t>2016 THE World University Rankings), top ranked in the Research</w:t>
      </w:r>
      <w:r>
        <w:rPr>
          <w:lang w:val="en-GB"/>
        </w:rPr>
        <w:t xml:space="preserve"> </w:t>
      </w:r>
      <w:r w:rsidRPr="004C59FB">
        <w:rPr>
          <w:lang w:val="en-GB"/>
        </w:rPr>
        <w:t>Excellence Framework 2014 for research quality in Psychology,</w:t>
      </w:r>
      <w:r>
        <w:rPr>
          <w:lang w:val="en-GB"/>
        </w:rPr>
        <w:t xml:space="preserve"> </w:t>
      </w:r>
      <w:r w:rsidRPr="004C59FB">
        <w:rPr>
          <w:lang w:val="en-GB"/>
        </w:rPr>
        <w:t>Psychiatry and Neuroscience and third highest University in the areas of</w:t>
      </w:r>
      <w:r>
        <w:rPr>
          <w:lang w:val="en-GB"/>
        </w:rPr>
        <w:t xml:space="preserve"> </w:t>
      </w:r>
      <w:r w:rsidRPr="004C59FB">
        <w:rPr>
          <w:lang w:val="en-GB"/>
        </w:rPr>
        <w:t>mental health and dementia in the RAND report commissioned by NIHR in</w:t>
      </w:r>
      <w:r>
        <w:rPr>
          <w:lang w:val="en-GB"/>
        </w:rPr>
        <w:t xml:space="preserve"> </w:t>
      </w:r>
      <w:r w:rsidRPr="004C59FB">
        <w:rPr>
          <w:lang w:val="en-GB"/>
        </w:rPr>
        <w:t>2015</w:t>
      </w:r>
      <w:r>
        <w:rPr>
          <w:lang w:val="en-GB"/>
        </w:rPr>
        <w:t xml:space="preserve">.  In addition </w:t>
      </w:r>
      <w:r w:rsidRPr="004C59FB">
        <w:rPr>
          <w:lang w:val="en-GB"/>
        </w:rPr>
        <w:t>Oxford Health NHS Foundation Trust was the top ranked mental</w:t>
      </w:r>
      <w:r>
        <w:rPr>
          <w:lang w:val="en-GB"/>
        </w:rPr>
        <w:t xml:space="preserve"> </w:t>
      </w:r>
      <w:r w:rsidRPr="004C59FB">
        <w:rPr>
          <w:lang w:val="en-GB"/>
        </w:rPr>
        <w:t>health Trust in the Mental Health Highlight Area in the NIHR RAND report</w:t>
      </w:r>
      <w:r>
        <w:rPr>
          <w:lang w:val="en-GB"/>
        </w:rPr>
        <w:t xml:space="preserve"> </w:t>
      </w:r>
    </w:p>
    <w:p w:rsidR="009B51DB" w:rsidRPr="00745EAC" w:rsidRDefault="009B51DB" w:rsidP="004C59FB">
      <w:pPr>
        <w:pStyle w:val="Heading1"/>
      </w:pPr>
      <w:bookmarkStart w:id="2" w:name="_Toc476822088"/>
      <w:r w:rsidRPr="00745EAC">
        <w:t>Networks and Collaborations</w:t>
      </w:r>
      <w:bookmarkEnd w:id="2"/>
    </w:p>
    <w:p w:rsidR="00621761" w:rsidRDefault="00A75A77" w:rsidP="00621761">
      <w:pPr>
        <w:pStyle w:val="Heading2"/>
        <w:rPr>
          <w:rFonts w:eastAsia="Times New Roman" w:cs="Times New Roman"/>
          <w:bCs w:val="0"/>
          <w:sz w:val="28"/>
          <w:szCs w:val="20"/>
          <w:lang w:val="en-GB"/>
        </w:rPr>
      </w:pPr>
      <w:bookmarkStart w:id="3" w:name="_Toc476822089"/>
      <w:r>
        <w:rPr>
          <w:rFonts w:eastAsia="Times New Roman" w:cs="Times New Roman"/>
          <w:bCs w:val="0"/>
          <w:sz w:val="28"/>
          <w:szCs w:val="20"/>
          <w:lang w:val="en-GB"/>
        </w:rPr>
        <w:t>O</w:t>
      </w:r>
      <w:r w:rsidR="007B1D54">
        <w:rPr>
          <w:rFonts w:eastAsia="Times New Roman" w:cs="Times New Roman"/>
          <w:bCs w:val="0"/>
          <w:sz w:val="28"/>
          <w:szCs w:val="20"/>
          <w:lang w:val="en-GB"/>
        </w:rPr>
        <w:t>xford Ac</w:t>
      </w:r>
      <w:r w:rsidR="00A014D6">
        <w:rPr>
          <w:rFonts w:eastAsia="Times New Roman" w:cs="Times New Roman"/>
          <w:bCs w:val="0"/>
          <w:sz w:val="28"/>
          <w:szCs w:val="20"/>
          <w:lang w:val="en-GB"/>
        </w:rPr>
        <w:t>a</w:t>
      </w:r>
      <w:r w:rsidR="007B1D54">
        <w:rPr>
          <w:rFonts w:eastAsia="Times New Roman" w:cs="Times New Roman"/>
          <w:bCs w:val="0"/>
          <w:sz w:val="28"/>
          <w:szCs w:val="20"/>
          <w:lang w:val="en-GB"/>
        </w:rPr>
        <w:t>demic Health Science Network (O</w:t>
      </w:r>
      <w:r w:rsidR="00621761" w:rsidRPr="00A75A77">
        <w:rPr>
          <w:rFonts w:eastAsia="Times New Roman" w:cs="Times New Roman"/>
          <w:bCs w:val="0"/>
          <w:sz w:val="28"/>
          <w:szCs w:val="20"/>
          <w:lang w:val="en-GB"/>
        </w:rPr>
        <w:t>AHSN</w:t>
      </w:r>
      <w:r w:rsidR="007B1D54">
        <w:rPr>
          <w:rFonts w:eastAsia="Times New Roman" w:cs="Times New Roman"/>
          <w:bCs w:val="0"/>
          <w:sz w:val="28"/>
          <w:szCs w:val="20"/>
          <w:lang w:val="en-GB"/>
        </w:rPr>
        <w:t>)</w:t>
      </w:r>
      <w:bookmarkEnd w:id="3"/>
      <w:r w:rsidR="00621761" w:rsidRPr="00A75A77">
        <w:rPr>
          <w:rFonts w:eastAsia="Times New Roman" w:cs="Times New Roman"/>
          <w:bCs w:val="0"/>
          <w:sz w:val="28"/>
          <w:szCs w:val="20"/>
          <w:lang w:val="en-GB"/>
        </w:rPr>
        <w:t xml:space="preserve"> </w:t>
      </w:r>
    </w:p>
    <w:p w:rsidR="003B7375" w:rsidRPr="003B7375" w:rsidRDefault="003B7375" w:rsidP="003B7375">
      <w:pPr>
        <w:rPr>
          <w:lang w:val="en-GB"/>
        </w:rPr>
      </w:pPr>
      <w:r>
        <w:rPr>
          <w:lang w:val="en-GB"/>
        </w:rPr>
        <w:t xml:space="preserve">The OAHSN announced in February 2017 that </w:t>
      </w:r>
      <w:r w:rsidR="00C5192B">
        <w:rPr>
          <w:lang w:val="en-GB"/>
        </w:rPr>
        <w:t xml:space="preserve">the </w:t>
      </w:r>
      <w:r>
        <w:rPr>
          <w:lang w:val="en-GB"/>
        </w:rPr>
        <w:t>AHSNs will be relicensed from 2018, however there will be significantly less funding, with an indication that core funding will be further reduced to 40% of the initial 2013 funding. Current funding for network managers and relevant staff will continue until June 2017, with funding for clinical PAs continuing until the end of March 2017.  Consultation processes will be initiated in line with appropriate Human Resource processes.  These changes are necessary to ensure the OAHSN partnership aligns future work programmes to national priorities and expectations                 (</w:t>
      </w:r>
      <w:hyperlink r:id="rId10" w:history="1">
        <w:r w:rsidRPr="003F0AB4">
          <w:rPr>
            <w:rStyle w:val="Hyperlink"/>
            <w:lang w:val="en-GB"/>
          </w:rPr>
          <w:t>http://www.oxfordahsn.org/wp-content/uploads/2017/02/170202-Oxford-AHSN-Board-decision-letter-2-Feb-17.pdf</w:t>
        </w:r>
      </w:hyperlink>
      <w:r>
        <w:rPr>
          <w:lang w:val="en-GB"/>
        </w:rPr>
        <w:t>)</w:t>
      </w:r>
    </w:p>
    <w:p w:rsidR="007B1D54" w:rsidRDefault="007B1D54" w:rsidP="007B1D54">
      <w:pPr>
        <w:rPr>
          <w:lang w:val="en-GB"/>
        </w:rPr>
      </w:pPr>
      <w:r>
        <w:rPr>
          <w:lang w:val="en-GB"/>
        </w:rPr>
        <w:t xml:space="preserve">Oxford Health NHS FT is hosting three OAHSN themes; </w:t>
      </w:r>
    </w:p>
    <w:p w:rsidR="007B1D54" w:rsidRDefault="007B1D54" w:rsidP="00546388">
      <w:pPr>
        <w:pStyle w:val="ListParagraph"/>
        <w:numPr>
          <w:ilvl w:val="0"/>
          <w:numId w:val="4"/>
        </w:numPr>
        <w:rPr>
          <w:lang w:val="en-GB"/>
        </w:rPr>
      </w:pPr>
      <w:r>
        <w:rPr>
          <w:lang w:val="en-GB"/>
        </w:rPr>
        <w:t>Early interven</w:t>
      </w:r>
      <w:r w:rsidR="005A4731">
        <w:rPr>
          <w:lang w:val="en-GB"/>
        </w:rPr>
        <w:t>tion led by Prof Belinda Lennox and Dr Matthew Broome for the Thames Valley, Matt Williams (Manager)</w:t>
      </w:r>
    </w:p>
    <w:p w:rsidR="007B1D54" w:rsidRDefault="007B1D54" w:rsidP="00546388">
      <w:pPr>
        <w:pStyle w:val="ListParagraph"/>
        <w:numPr>
          <w:ilvl w:val="0"/>
          <w:numId w:val="4"/>
        </w:numPr>
        <w:rPr>
          <w:lang w:val="en-GB"/>
        </w:rPr>
      </w:pPr>
      <w:r>
        <w:rPr>
          <w:lang w:val="en-GB"/>
        </w:rPr>
        <w:t>Anxiety and Depression led by Prof David Clark and Ineke Wolsey</w:t>
      </w:r>
      <w:r w:rsidR="001C75B9">
        <w:rPr>
          <w:lang w:val="en-GB"/>
        </w:rPr>
        <w:t xml:space="preserve"> (Manager)</w:t>
      </w:r>
    </w:p>
    <w:p w:rsidR="007B1D54" w:rsidRDefault="007B1D54" w:rsidP="00546388">
      <w:pPr>
        <w:pStyle w:val="ListParagraph"/>
        <w:numPr>
          <w:ilvl w:val="0"/>
          <w:numId w:val="4"/>
        </w:numPr>
        <w:rPr>
          <w:lang w:val="en-GB"/>
        </w:rPr>
      </w:pPr>
      <w:r>
        <w:rPr>
          <w:lang w:val="en-GB"/>
        </w:rPr>
        <w:t>Dementia led by Dr Rupert McShane</w:t>
      </w:r>
    </w:p>
    <w:p w:rsidR="00ED3544" w:rsidRPr="00ED3544" w:rsidRDefault="00ED3544" w:rsidP="00ED3544">
      <w:pPr>
        <w:keepNext/>
        <w:keepLines/>
        <w:numPr>
          <w:ilvl w:val="2"/>
          <w:numId w:val="3"/>
        </w:numPr>
        <w:tabs>
          <w:tab w:val="num" w:pos="360"/>
        </w:tabs>
        <w:spacing w:before="200" w:after="0"/>
        <w:ind w:left="0" w:firstLine="0"/>
        <w:outlineLvl w:val="2"/>
        <w:rPr>
          <w:rFonts w:eastAsiaTheme="majorEastAsia" w:cstheme="majorBidi"/>
          <w:b/>
          <w:bCs/>
          <w:lang w:val="en-GB"/>
        </w:rPr>
      </w:pPr>
      <w:r w:rsidRPr="00ED3544">
        <w:rPr>
          <w:rFonts w:eastAsiaTheme="majorEastAsia" w:cstheme="majorBidi"/>
          <w:b/>
          <w:bCs/>
          <w:lang w:val="en-GB"/>
        </w:rPr>
        <w:t>Early Intervention Theme</w:t>
      </w:r>
    </w:p>
    <w:p w:rsidR="00ED3544" w:rsidRDefault="00ED3544" w:rsidP="00ED3544">
      <w:pPr>
        <w:rPr>
          <w:lang w:val="en-GB"/>
        </w:rPr>
      </w:pPr>
      <w:r w:rsidRPr="00ED3544">
        <w:rPr>
          <w:lang w:val="en-GB"/>
        </w:rPr>
        <w:t xml:space="preserve">In 2015, NHS England (South) commissioned Oxford Academic Health Science Network (AHSN) to establish the South Region EIP Programme. </w:t>
      </w:r>
      <w:r>
        <w:rPr>
          <w:lang w:val="en-GB"/>
        </w:rPr>
        <w:t>The South Region spans across the south of England covering a population of over 15 million, 50 Clinical Commissioning Groups and 16 mental health providers.</w:t>
      </w:r>
    </w:p>
    <w:p w:rsidR="00ED3544" w:rsidRDefault="00ED3544" w:rsidP="00ED3544">
      <w:pPr>
        <w:rPr>
          <w:lang w:val="en-GB"/>
        </w:rPr>
      </w:pPr>
    </w:p>
    <w:p w:rsidR="00ED3544" w:rsidRPr="00ED3544" w:rsidRDefault="00ED3544" w:rsidP="00ED3544">
      <w:pPr>
        <w:rPr>
          <w:lang w:val="en-GB"/>
        </w:rPr>
      </w:pPr>
      <w:r>
        <w:rPr>
          <w:noProof/>
          <w:lang w:val="en-GB" w:eastAsia="en-GB"/>
        </w:rPr>
        <w:drawing>
          <wp:inline distT="0" distB="0" distL="0" distR="0">
            <wp:extent cx="6113780" cy="2562225"/>
            <wp:effectExtent l="0" t="0" r="127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3780" cy="2562225"/>
                    </a:xfrm>
                    <a:prstGeom prst="rect">
                      <a:avLst/>
                    </a:prstGeom>
                    <a:noFill/>
                    <a:ln>
                      <a:noFill/>
                    </a:ln>
                  </pic:spPr>
                </pic:pic>
              </a:graphicData>
            </a:graphic>
          </wp:inline>
        </w:drawing>
      </w:r>
    </w:p>
    <w:p w:rsidR="00ED3544" w:rsidRPr="00ED3544" w:rsidRDefault="00ED3544" w:rsidP="00ED3544">
      <w:pPr>
        <w:rPr>
          <w:lang w:val="en-GB"/>
        </w:rPr>
      </w:pPr>
      <w:r w:rsidRPr="00ED3544">
        <w:rPr>
          <w:lang w:val="en-GB"/>
        </w:rPr>
        <w:t>The highlights from the South EIP Annual Report 2016-2017 are:</w:t>
      </w:r>
    </w:p>
    <w:p w:rsidR="00ED3544" w:rsidRPr="00ED3544" w:rsidRDefault="00ED3544" w:rsidP="00ED3544">
      <w:pPr>
        <w:numPr>
          <w:ilvl w:val="0"/>
          <w:numId w:val="24"/>
        </w:numPr>
        <w:rPr>
          <w:lang w:val="en-GB"/>
        </w:rPr>
      </w:pPr>
      <w:r w:rsidRPr="00ED3544">
        <w:rPr>
          <w:lang w:val="en-GB"/>
        </w:rPr>
        <w:t xml:space="preserve">All 16 providers have reported achievement of the 14-day referral to treatment time standard. </w:t>
      </w:r>
    </w:p>
    <w:p w:rsidR="00ED3544" w:rsidRPr="00ED3544" w:rsidRDefault="00ED3544" w:rsidP="00ED3544">
      <w:pPr>
        <w:numPr>
          <w:ilvl w:val="0"/>
          <w:numId w:val="24"/>
        </w:numPr>
        <w:rPr>
          <w:lang w:val="en-GB"/>
        </w:rPr>
      </w:pPr>
      <w:r w:rsidRPr="00ED3544">
        <w:rPr>
          <w:lang w:val="en-GB"/>
        </w:rPr>
        <w:t>The percentage of people waiting no longer than 14 days for treatment has risen from 64% in September 2015, to 83% in September 2016</w:t>
      </w:r>
    </w:p>
    <w:p w:rsidR="00ED3544" w:rsidRPr="00ED3544" w:rsidRDefault="00ED3544" w:rsidP="00ED3544">
      <w:pPr>
        <w:numPr>
          <w:ilvl w:val="0"/>
          <w:numId w:val="24"/>
        </w:numPr>
        <w:rPr>
          <w:lang w:val="en-GB"/>
        </w:rPr>
      </w:pPr>
      <w:r w:rsidRPr="00ED3544">
        <w:rPr>
          <w:lang w:val="en-GB"/>
        </w:rPr>
        <w:t xml:space="preserve">Of the 1,722 who were reported to be smokers 65.8% were referred to Smoking Cessation services, an increase from 21% in 2015 </w:t>
      </w:r>
    </w:p>
    <w:p w:rsidR="00ED3544" w:rsidRPr="00ED3544" w:rsidRDefault="00ED3544" w:rsidP="00ED3544">
      <w:pPr>
        <w:numPr>
          <w:ilvl w:val="0"/>
          <w:numId w:val="24"/>
        </w:numPr>
        <w:rPr>
          <w:lang w:val="en-GB"/>
        </w:rPr>
      </w:pPr>
      <w:r w:rsidRPr="00ED3544">
        <w:rPr>
          <w:lang w:val="en-GB"/>
        </w:rPr>
        <w:t>The proportion of individuals and families receiving Family Interventions for Psychosis has also risen from 17% in 2015 to 24.9% in 2016</w:t>
      </w:r>
    </w:p>
    <w:p w:rsidR="00ED3544" w:rsidRPr="00ED3544" w:rsidRDefault="00ED3544" w:rsidP="00ED3544">
      <w:pPr>
        <w:numPr>
          <w:ilvl w:val="0"/>
          <w:numId w:val="24"/>
        </w:numPr>
        <w:rPr>
          <w:lang w:val="en-GB"/>
        </w:rPr>
      </w:pPr>
      <w:r w:rsidRPr="00ED3544">
        <w:rPr>
          <w:lang w:val="en-GB"/>
        </w:rPr>
        <w:t>There is an average spend of £5,203.37per person accessing EIP in the region, ranging from £2,599.89 to £8,057.63 per person with psychosis. None achieved the estimated £8,250 spend per patient required to ensure access to fully NICE concordant care.</w:t>
      </w:r>
    </w:p>
    <w:p w:rsidR="00ED3544" w:rsidRPr="00ED3544" w:rsidRDefault="00ED3544" w:rsidP="00ED3544">
      <w:pPr>
        <w:numPr>
          <w:ilvl w:val="0"/>
          <w:numId w:val="24"/>
        </w:numPr>
        <w:rPr>
          <w:lang w:val="en-GB"/>
        </w:rPr>
      </w:pPr>
      <w:r w:rsidRPr="00ED3544">
        <w:rPr>
          <w:lang w:val="en-GB"/>
        </w:rPr>
        <w:t>Eleven EIP providers out of the 16 providers have seen an increase in their annual budget for EIP whilst 3 have seen no change and 2 have reported a decrease in their EIP annual budgets.</w:t>
      </w:r>
    </w:p>
    <w:p w:rsidR="00ED3544" w:rsidRPr="00ED3544" w:rsidRDefault="00ED3544" w:rsidP="00ED3544">
      <w:pPr>
        <w:numPr>
          <w:ilvl w:val="0"/>
          <w:numId w:val="24"/>
        </w:numPr>
        <w:rPr>
          <w:lang w:val="en-GB"/>
        </w:rPr>
      </w:pPr>
      <w:r w:rsidRPr="00ED3544">
        <w:rPr>
          <w:lang w:val="en-GB"/>
        </w:rPr>
        <w:t>12.4 % of people with first episode psychosis had received 2 or more sessions of Cognitive Behavioural Therapy for psychosis (CBTp). It is important to note that NICE guidelines for psychosis and schizophrenia recommend 16 sessions of CBTp. To reduce the ambiguity of what is meant by ‘delivery of CBT for Psychosis’ the audit asked EIP teams to state the number of people who had accessed 2 or more sessions of CBTp.</w:t>
      </w:r>
    </w:p>
    <w:p w:rsidR="00ED3544" w:rsidRPr="00ED3544" w:rsidRDefault="00ED3544" w:rsidP="00ED3544">
      <w:pPr>
        <w:numPr>
          <w:ilvl w:val="0"/>
          <w:numId w:val="24"/>
        </w:numPr>
        <w:rPr>
          <w:lang w:val="en-GB"/>
        </w:rPr>
      </w:pPr>
      <w:r w:rsidRPr="00ED3544">
        <w:rPr>
          <w:lang w:val="en-GB"/>
        </w:rPr>
        <w:t>41.5% people with first episode psychosis in our region received a comprehensive physical health check. This falls significantly short of the 90% target, set nationally via the physical health Commissioning for Quality and Innovation (CQUIN) standard</w:t>
      </w:r>
    </w:p>
    <w:p w:rsidR="00ED3544" w:rsidRDefault="00ED3544" w:rsidP="00ED3544">
      <w:pPr>
        <w:rPr>
          <w:lang w:val="en-GB"/>
        </w:rPr>
      </w:pPr>
      <w:r w:rsidRPr="00ED3544">
        <w:rPr>
          <w:lang w:val="en-GB"/>
        </w:rPr>
        <w:lastRenderedPageBreak/>
        <w:t>Whilst some of the above achievements are encouraging, the general lack of extra investment in EIP continues to pose the greatest risk to delivering the EIP standards.</w:t>
      </w:r>
    </w:p>
    <w:p w:rsidR="0002363D" w:rsidRDefault="0002363D" w:rsidP="0002363D">
      <w:pPr>
        <w:pStyle w:val="Heading4"/>
        <w:rPr>
          <w:lang w:val="en-GB"/>
        </w:rPr>
      </w:pPr>
      <w:r>
        <w:rPr>
          <w:lang w:val="en-GB"/>
        </w:rPr>
        <w:t>Findings specific to OHFT</w:t>
      </w:r>
    </w:p>
    <w:p w:rsidR="0002363D" w:rsidRDefault="0002363D" w:rsidP="00ED3544">
      <w:pPr>
        <w:pStyle w:val="ListParagraph"/>
        <w:numPr>
          <w:ilvl w:val="0"/>
          <w:numId w:val="25"/>
        </w:numPr>
        <w:rPr>
          <w:lang w:val="en-GB"/>
        </w:rPr>
      </w:pPr>
      <w:r w:rsidRPr="0002363D">
        <w:rPr>
          <w:lang w:val="en-GB"/>
        </w:rPr>
        <w:t>Number of people accessing EIP - There has been an overall increase in caseloads across the region from 4205 in 2015/16 to 4369 in 2016/17, a 4% change.  OHFT has seen an increase in the EIP caseload over 43% during that period, with an increase in caseload from 292 to 427.</w:t>
      </w:r>
    </w:p>
    <w:p w:rsidR="00ED3544" w:rsidRPr="0002363D" w:rsidRDefault="0002363D" w:rsidP="00ED3544">
      <w:pPr>
        <w:pStyle w:val="ListParagraph"/>
        <w:numPr>
          <w:ilvl w:val="0"/>
          <w:numId w:val="25"/>
        </w:numPr>
        <w:rPr>
          <w:lang w:val="en-GB"/>
        </w:rPr>
      </w:pPr>
      <w:r w:rsidRPr="0002363D">
        <w:rPr>
          <w:lang w:val="en-GB"/>
        </w:rPr>
        <w:t>First Episode of Psychosis (FEP) Caseload as Percentage of Predicted Prevalence (16-65 year populations) – OHFT is showing a FEP caseloads as percentage of prevalence of 54%, with the regional average being 51%</w:t>
      </w:r>
    </w:p>
    <w:p w:rsidR="0002363D" w:rsidRDefault="00611032" w:rsidP="00ED3544">
      <w:pPr>
        <w:pStyle w:val="ListParagraph"/>
        <w:numPr>
          <w:ilvl w:val="0"/>
          <w:numId w:val="25"/>
        </w:numPr>
        <w:rPr>
          <w:lang w:val="en-GB"/>
        </w:rPr>
      </w:pPr>
      <w:r>
        <w:rPr>
          <w:lang w:val="en-GB"/>
        </w:rPr>
        <w:t>EIP Annual budgets – The overall EIP budget has increased from £19,126,957 in 2015/16 to £22,186,963 in 2016/2017 (16% increase).  OHFT has seen an increase of 32% funding from £1,364,578 to £1,795,881.</w:t>
      </w:r>
    </w:p>
    <w:p w:rsidR="00611032" w:rsidRPr="0002363D" w:rsidRDefault="00611032" w:rsidP="00611032">
      <w:pPr>
        <w:pStyle w:val="ListParagraph"/>
        <w:numPr>
          <w:ilvl w:val="0"/>
          <w:numId w:val="25"/>
        </w:numPr>
        <w:rPr>
          <w:lang w:val="en-GB"/>
        </w:rPr>
      </w:pPr>
      <w:r>
        <w:rPr>
          <w:lang w:val="en-GB"/>
        </w:rPr>
        <w:t xml:space="preserve">EIP investment per patient – The regional investment per patient has risen from </w:t>
      </w:r>
      <w:r w:rsidRPr="00611032">
        <w:rPr>
          <w:lang w:val="en-GB"/>
        </w:rPr>
        <w:t>£4,428.68</w:t>
      </w:r>
      <w:r>
        <w:rPr>
          <w:lang w:val="en-GB"/>
        </w:rPr>
        <w:t xml:space="preserve"> to</w:t>
      </w:r>
      <w:r w:rsidRPr="00611032">
        <w:rPr>
          <w:lang w:val="en-GB"/>
        </w:rPr>
        <w:t xml:space="preserve"> £5,203.37 (12</w:t>
      </w:r>
      <w:r>
        <w:rPr>
          <w:lang w:val="en-GB"/>
        </w:rPr>
        <w:t>% increase</w:t>
      </w:r>
      <w:r w:rsidRPr="00611032">
        <w:rPr>
          <w:lang w:val="en-GB"/>
        </w:rPr>
        <w:t>)</w:t>
      </w:r>
      <w:r>
        <w:rPr>
          <w:lang w:val="en-GB"/>
        </w:rPr>
        <w:t xml:space="preserve"> over the last 2 years. OHFT has seen a   decrease per patient from </w:t>
      </w:r>
      <w:r w:rsidRPr="00611032">
        <w:rPr>
          <w:lang w:val="en-GB"/>
        </w:rPr>
        <w:t xml:space="preserve">£4,673.21 </w:t>
      </w:r>
      <w:r>
        <w:rPr>
          <w:lang w:val="en-GB"/>
        </w:rPr>
        <w:t xml:space="preserve">to </w:t>
      </w:r>
      <w:r w:rsidRPr="00611032">
        <w:rPr>
          <w:lang w:val="en-GB"/>
        </w:rPr>
        <w:t>£4,205.81</w:t>
      </w:r>
      <w:r>
        <w:rPr>
          <w:lang w:val="en-GB"/>
        </w:rPr>
        <w:t xml:space="preserve"> (10% decrease) during this time.</w:t>
      </w:r>
    </w:p>
    <w:p w:rsidR="003B7375" w:rsidRPr="003B7375" w:rsidRDefault="003B7375" w:rsidP="003B7375">
      <w:pPr>
        <w:keepNext/>
        <w:keepLines/>
        <w:numPr>
          <w:ilvl w:val="2"/>
          <w:numId w:val="3"/>
        </w:numPr>
        <w:tabs>
          <w:tab w:val="num" w:pos="360"/>
        </w:tabs>
        <w:spacing w:before="200" w:after="0"/>
        <w:ind w:left="0" w:firstLine="0"/>
        <w:outlineLvl w:val="2"/>
        <w:rPr>
          <w:rFonts w:eastAsiaTheme="majorEastAsia" w:cstheme="majorBidi"/>
          <w:b/>
          <w:bCs/>
        </w:rPr>
      </w:pPr>
      <w:r w:rsidRPr="003B7375">
        <w:rPr>
          <w:rFonts w:eastAsiaTheme="majorEastAsia" w:cstheme="majorBidi"/>
          <w:b/>
          <w:bCs/>
        </w:rPr>
        <w:t>Anxiety and Depression Theme</w:t>
      </w:r>
    </w:p>
    <w:p w:rsidR="003B7375" w:rsidRPr="003B7375" w:rsidRDefault="003B7375" w:rsidP="003B7375">
      <w:r w:rsidRPr="003B7375">
        <w:t xml:space="preserve">The Anxiety and Depression Network had been awarded a further two years funding until April 2018 to continue its work in improving patient outcomes and reducing variation in psychological treatments for common mental health disorders (Improving Access to Psychological Therapies - IAPT services). </w:t>
      </w:r>
      <w:r w:rsidRPr="005B06EF">
        <w:t>However,</w:t>
      </w:r>
      <w:r w:rsidRPr="003B7375">
        <w:t xml:space="preserve"> the Oxford</w:t>
      </w:r>
      <w:r w:rsidR="00C5192B">
        <w:t xml:space="preserve"> </w:t>
      </w:r>
      <w:r w:rsidRPr="003B7375">
        <w:t>AHSN has decided to refocus its activity and ‘defund’ all clinical networks half way through this funding period leaving the A&amp;D Network in a difficult position, unable to fulfill its commitments unless alternative funding can be found. Our service leads and commissioners have found the network very valuable and have expressed a wish to continue and we are currently looking for alternative funding.</w:t>
      </w:r>
    </w:p>
    <w:p w:rsidR="003B7375" w:rsidRPr="003B7375" w:rsidRDefault="003B7375" w:rsidP="003B7375">
      <w:pPr>
        <w:pStyle w:val="Heading4"/>
      </w:pPr>
      <w:r w:rsidRPr="003B7375">
        <w:t>Project 1: Enhancing recovery rates in IAPT services</w:t>
      </w:r>
    </w:p>
    <w:p w:rsidR="003B7375" w:rsidRPr="003B7375" w:rsidRDefault="003B7375" w:rsidP="003B7375">
      <w:r w:rsidRPr="005B06EF">
        <w:t xml:space="preserve">The A&amp;D network is pleased to report that enhanced recovery rates achieved to date have been maintained </w:t>
      </w:r>
      <w:r w:rsidRPr="005B06EF">
        <w:rPr>
          <w:i/>
        </w:rPr>
        <w:t xml:space="preserve">and </w:t>
      </w:r>
      <w:r w:rsidRPr="005B06EF">
        <w:t>services continue to increase their absolute numbers of patients successfully treated without increased resources. This increased efficiency is thought to be partly due to services getting even better all the time at accurate</w:t>
      </w:r>
      <w:r w:rsidRPr="003B7375">
        <w:t xml:space="preserve"> assessments and therefore right treatment first time (the network initiated ICD coding workshops facilitated by a national expert when it had become evident that there was a clear relationship between accurate and high rates of ICD coding at assessment and recovery rates). The network also provided free of charge advanced and bespoke training and development opportunities to staff on treatment of some of the anxiety disorders which are not achieving high enough recovery rates such as Agoraphobia, Panic Disorder, PTSD and Social Anxiety Disorder which has resulted in better outcomes for patients.</w:t>
      </w:r>
    </w:p>
    <w:p w:rsidR="003B7375" w:rsidRPr="005B06EF" w:rsidRDefault="003B7375" w:rsidP="003B7375">
      <w:r w:rsidRPr="005B06EF">
        <w:t>The network is half way through its’ first pilot for the Durability of Clinical Gains study which aims to look at long-term clinical gains as well as effective relapse prevention strategies including post-discharge support and Mindfulness courses.</w:t>
      </w:r>
    </w:p>
    <w:p w:rsidR="003B7375" w:rsidRPr="005B06EF" w:rsidRDefault="003B7375" w:rsidP="003B7375">
      <w:r w:rsidRPr="005B06EF">
        <w:lastRenderedPageBreak/>
        <w:t>The Durability of clinical gains project has seen a high level of participation from our very successful and participative Patient Forum which meets every 2 months to provide hands-on support and consultation and feedback to all our projects.</w:t>
      </w:r>
    </w:p>
    <w:p w:rsidR="003B7375" w:rsidRPr="003B7375" w:rsidRDefault="003B7375" w:rsidP="003B7375">
      <w:pPr>
        <w:pStyle w:val="Heading4"/>
      </w:pPr>
      <w:r w:rsidRPr="003B7375">
        <w:t>Dissemination of new service innovations</w:t>
      </w:r>
    </w:p>
    <w:p w:rsidR="003B7375" w:rsidRPr="005B06EF" w:rsidRDefault="003B7375" w:rsidP="005B06EF">
      <w:r w:rsidRPr="005B06EF">
        <w:t>The A&amp;D network pro-actively supported successful bids for new funding for Early Implementer Integrated IAPT projects across Thames Valley. These are additional, co-located services which will provide integrated treatments for patients suffering with Long Term Conditions and co-morbid anxiety and/or depression. The Network was also instrumental in securing £60,000 for a health economics evaluation of the above projects looking at use of primary and secondary care health care services before and after treatment. We are very pleased to be working on this with Professor David Stuckler, Professor of Political Economy and Sociology at the University of Oxford. At the time of writing this report it is not clear how we can deliver on our commitments for this.</w:t>
      </w:r>
    </w:p>
    <w:p w:rsidR="003B7375" w:rsidRPr="003B7375" w:rsidRDefault="003B7375" w:rsidP="003B7375">
      <w:pPr>
        <w:pStyle w:val="Heading4"/>
      </w:pPr>
      <w:r w:rsidRPr="003B7375">
        <w:t>Collecting Routine outcome Measures in CAMHs: Children and Young People (CYP) IAPT project</w:t>
      </w:r>
    </w:p>
    <w:p w:rsidR="003B7375" w:rsidRPr="00AB26FD" w:rsidRDefault="003B7375" w:rsidP="003B7375">
      <w:pPr>
        <w:rPr>
          <w:highlight w:val="green"/>
        </w:rPr>
      </w:pPr>
      <w:r w:rsidRPr="003B7375">
        <w:t xml:space="preserve">Work continues with all CAMHs services to continuously improve ROMs collection but the challenges in this area are greater than ever although we have seen a small percentage increase in the vast majority of services. The network has started additional activity in an effort to bring about change including work on attitudes to collecting outcome measures (staff) and relevance of some of the outcome measures used (patients). We have also evaluated the effectiveness of teaching sessions on collecting outcome measures and made changes as a result. </w:t>
      </w:r>
    </w:p>
    <w:p w:rsidR="00533D50" w:rsidRPr="00D25B5D" w:rsidRDefault="008C2E8A" w:rsidP="00DE738A">
      <w:pPr>
        <w:pStyle w:val="Heading3"/>
      </w:pPr>
      <w:r w:rsidRPr="00D25B5D">
        <w:t>Dementia Theme</w:t>
      </w:r>
    </w:p>
    <w:p w:rsidR="002A587F" w:rsidRDefault="002A587F" w:rsidP="002A587F">
      <w:r>
        <w:t>The position of the AHSN Dementia Clinical Network is in transition at present because of the decision to stop funding the Dementia and other Clinical Networks from June.  It is currently waiting to hear whether the CLAHRC are able to fund the manager and clinical PAs time. This will impact on the decision regarding the pursuit of MSNAP accreditation in Oxford Health.  Additional funding will also be sought for Maureen Cundell two days weekly on this, or its replacement, quality improvement programme.  Currently, the plan is that this will be funded internally through her clinical team, though this is not finalised.</w:t>
      </w:r>
    </w:p>
    <w:p w:rsidR="002A587F" w:rsidRDefault="002A587F" w:rsidP="002A587F">
      <w:r>
        <w:t>If supported by the CLARHC is agreed then two new areas</w:t>
      </w:r>
      <w:r w:rsidRPr="002A587F">
        <w:t xml:space="preserve"> </w:t>
      </w:r>
      <w:r>
        <w:t xml:space="preserve">will be pursued: driving assessment and imaging.  </w:t>
      </w:r>
    </w:p>
    <w:p w:rsidR="002A587F" w:rsidRDefault="002A587F" w:rsidP="002A587F">
      <w:pPr>
        <w:pStyle w:val="ListParagraph"/>
        <w:numPr>
          <w:ilvl w:val="0"/>
          <w:numId w:val="32"/>
        </w:numPr>
      </w:pPr>
      <w:r>
        <w:t>The Driving project has two arms.  The first is exploring the introduction of a computerised cognitive testing battery which is run by a Canadian company.  Ultimately, the success of this pilot will depend on how patient the company is with rather slow progress in its introduction, and on NICE’s view of the battery.  The second is exploring the use of a telematics dongle to derive a signature of safety to drive in older people.</w:t>
      </w:r>
    </w:p>
    <w:p w:rsidR="002A587F" w:rsidRDefault="002A587F" w:rsidP="002A587F">
      <w:pPr>
        <w:pStyle w:val="ListParagraph"/>
        <w:numPr>
          <w:ilvl w:val="0"/>
          <w:numId w:val="32"/>
        </w:numPr>
      </w:pPr>
      <w:r>
        <w:t>The imaging project aims to work with the BRC to make research imaging available clinically, and to introduce software for automatic assessment of hippocampal volumes.</w:t>
      </w:r>
    </w:p>
    <w:p w:rsidR="002A587F" w:rsidRDefault="002A587F" w:rsidP="002A587F"/>
    <w:p w:rsidR="002A587F" w:rsidRDefault="002A587F" w:rsidP="002A587F">
      <w:r>
        <w:lastRenderedPageBreak/>
        <w:t>There is an expectation to expand the webinar programme in conjunction with HETV to support the use this platform across a broader range of subject areas.</w:t>
      </w:r>
    </w:p>
    <w:p w:rsidR="002A587F" w:rsidRDefault="002A587F" w:rsidP="002A587F">
      <w:r>
        <w:t>The care home and post diagnostic support networks will continue as now, helping interest groups to develop quality improvement initiatives</w:t>
      </w:r>
    </w:p>
    <w:p w:rsidR="002A587F" w:rsidRDefault="002A587F" w:rsidP="002A587F">
      <w:pPr>
        <w:rPr>
          <w:highlight w:val="yellow"/>
        </w:rPr>
      </w:pPr>
      <w:r>
        <w:t>The ‘young people in dementia’ workstream is completed.</w:t>
      </w:r>
    </w:p>
    <w:p w:rsidR="00AE5B3B" w:rsidRPr="00AB26FD" w:rsidRDefault="00AE5B3B" w:rsidP="00533D50">
      <w:pPr>
        <w:pStyle w:val="Heading2"/>
      </w:pPr>
      <w:bookmarkStart w:id="4" w:name="_Toc476822090"/>
      <w:r w:rsidRPr="00AB26FD">
        <w:t xml:space="preserve">Oxford Academic </w:t>
      </w:r>
      <w:r w:rsidR="00DE738A" w:rsidRPr="00AB26FD">
        <w:t>Health Sciences Centre (AHSC)</w:t>
      </w:r>
      <w:bookmarkEnd w:id="4"/>
    </w:p>
    <w:p w:rsidR="00AB26FD" w:rsidRPr="00AB26FD" w:rsidRDefault="00AB26FD" w:rsidP="00AB26FD">
      <w:r w:rsidRPr="00AB26FD">
        <w:t>The ASHC will submit a separate report to the Board regarding activity across the four partner organization in Oxford.  These reports will be on a biannual basis</w:t>
      </w:r>
    </w:p>
    <w:p w:rsidR="00C14366" w:rsidRPr="00C14366" w:rsidRDefault="00C14366" w:rsidP="00C14366">
      <w:pPr>
        <w:pStyle w:val="Heading1"/>
        <w:rPr>
          <w:rStyle w:val="Emphasis"/>
          <w:i w:val="0"/>
          <w:iCs w:val="0"/>
        </w:rPr>
      </w:pPr>
      <w:bookmarkStart w:id="5" w:name="_Toc476822091"/>
      <w:r w:rsidRPr="00C14366">
        <w:rPr>
          <w:rStyle w:val="Emphasis"/>
          <w:i w:val="0"/>
          <w:iCs w:val="0"/>
        </w:rPr>
        <w:t>National Institute of Health Research Infrastructure</w:t>
      </w:r>
      <w:bookmarkEnd w:id="5"/>
    </w:p>
    <w:p w:rsidR="00614F94" w:rsidRPr="00D25B5D" w:rsidRDefault="00942E7A" w:rsidP="00533D50">
      <w:pPr>
        <w:pStyle w:val="Heading2"/>
      </w:pPr>
      <w:bookmarkStart w:id="6" w:name="_Toc476822092"/>
      <w:r w:rsidRPr="00D25B5D">
        <w:t xml:space="preserve">NIHR </w:t>
      </w:r>
      <w:r w:rsidR="00614F94" w:rsidRPr="00D25B5D">
        <w:t>Collaboration in Leadership in Applied Health Research and Care (CLAHRC)</w:t>
      </w:r>
      <w:bookmarkEnd w:id="6"/>
    </w:p>
    <w:p w:rsidR="00D25B5D" w:rsidRDefault="00D25B5D" w:rsidP="00D25B5D">
      <w:pPr>
        <w:pStyle w:val="Heading3"/>
        <w:rPr>
          <w:rFonts w:eastAsia="Times New Roman"/>
        </w:rPr>
      </w:pPr>
      <w:r>
        <w:rPr>
          <w:rFonts w:eastAsia="Times New Roman"/>
        </w:rPr>
        <w:t>Project Update</w:t>
      </w:r>
    </w:p>
    <w:p w:rsidR="00D25B5D" w:rsidRPr="00F029A1" w:rsidRDefault="00D25B5D" w:rsidP="00D25B5D">
      <w:r>
        <w:t>The project update spreadsheet presented to the CLAHRC Management Board on February 7 2017 has been supplied to inform the Trust Board as per the approved lines of reporting.</w:t>
      </w:r>
    </w:p>
    <w:p w:rsidR="00D25B5D" w:rsidRDefault="00D25B5D" w:rsidP="00D25B5D">
      <w:pPr>
        <w:pStyle w:val="Heading4"/>
        <w:rPr>
          <w:rFonts w:eastAsia="Times New Roman"/>
        </w:rPr>
      </w:pPr>
      <w:r>
        <w:rPr>
          <w:rFonts w:eastAsia="Times New Roman"/>
        </w:rPr>
        <w:t>The</w:t>
      </w:r>
      <w:r>
        <w:t>m</w:t>
      </w:r>
      <w:r>
        <w:rPr>
          <w:rFonts w:eastAsia="Times New Roman"/>
        </w:rPr>
        <w:t>e 1 – Service Redesign</w:t>
      </w:r>
    </w:p>
    <w:p w:rsidR="00D25B5D" w:rsidRPr="005D7D1B" w:rsidRDefault="00D25B5D" w:rsidP="00D25B5D">
      <w:r>
        <w:t>The following projects have been adopted to the Theme 1 portfolio:</w:t>
      </w:r>
    </w:p>
    <w:tbl>
      <w:tblPr>
        <w:tblW w:w="9540" w:type="dxa"/>
        <w:jc w:val="center"/>
        <w:tblLook w:val="04A0" w:firstRow="1" w:lastRow="0" w:firstColumn="1" w:lastColumn="0" w:noHBand="0" w:noVBand="1"/>
      </w:tblPr>
      <w:tblGrid>
        <w:gridCol w:w="1660"/>
        <w:gridCol w:w="5400"/>
        <w:gridCol w:w="2480"/>
      </w:tblGrid>
      <w:tr w:rsidR="00D25B5D" w:rsidRPr="00ED31AA" w:rsidTr="005528E0">
        <w:trPr>
          <w:trHeight w:val="518"/>
          <w:jc w:val="center"/>
        </w:trPr>
        <w:tc>
          <w:tcPr>
            <w:tcW w:w="1660" w:type="dxa"/>
            <w:tcBorders>
              <w:top w:val="single" w:sz="8" w:space="0" w:color="auto"/>
              <w:left w:val="single" w:sz="4" w:space="0" w:color="auto"/>
              <w:bottom w:val="single" w:sz="8" w:space="0" w:color="auto"/>
              <w:right w:val="single" w:sz="4" w:space="0" w:color="auto"/>
            </w:tcBorders>
            <w:shd w:val="clear" w:color="auto" w:fill="548DD4" w:themeFill="text2" w:themeFillTint="99"/>
            <w:vAlign w:val="center"/>
            <w:hideMark/>
          </w:tcPr>
          <w:p w:rsidR="00D25B5D" w:rsidRPr="00ED31AA" w:rsidRDefault="00D25B5D" w:rsidP="005528E0">
            <w:pPr>
              <w:spacing w:after="0"/>
              <w:rPr>
                <w:rFonts w:cs="Arial"/>
                <w:b/>
                <w:bCs/>
                <w:color w:val="FFFFFF"/>
                <w:lang w:eastAsia="en-GB"/>
              </w:rPr>
            </w:pPr>
            <w:r w:rsidRPr="00ED31AA">
              <w:rPr>
                <w:rFonts w:cs="Arial"/>
                <w:b/>
                <w:bCs/>
                <w:color w:val="FFFFFF"/>
                <w:lang w:eastAsia="en-GB"/>
              </w:rPr>
              <w:t>Project Code</w:t>
            </w:r>
          </w:p>
        </w:tc>
        <w:tc>
          <w:tcPr>
            <w:tcW w:w="5400" w:type="dxa"/>
            <w:tcBorders>
              <w:top w:val="single" w:sz="8" w:space="0" w:color="auto"/>
              <w:left w:val="nil"/>
              <w:bottom w:val="single" w:sz="8" w:space="0" w:color="auto"/>
              <w:right w:val="single" w:sz="4" w:space="0" w:color="auto"/>
            </w:tcBorders>
            <w:shd w:val="clear" w:color="auto" w:fill="548DD4" w:themeFill="text2" w:themeFillTint="99"/>
            <w:vAlign w:val="center"/>
            <w:hideMark/>
          </w:tcPr>
          <w:p w:rsidR="00D25B5D" w:rsidRPr="00ED31AA" w:rsidRDefault="00D25B5D" w:rsidP="005528E0">
            <w:pPr>
              <w:spacing w:after="0"/>
              <w:jc w:val="center"/>
              <w:rPr>
                <w:rFonts w:cs="Arial"/>
                <w:b/>
                <w:bCs/>
                <w:color w:val="FFFFFF"/>
                <w:lang w:eastAsia="en-GB"/>
              </w:rPr>
            </w:pPr>
            <w:r w:rsidRPr="00ED31AA">
              <w:rPr>
                <w:rFonts w:cs="Arial"/>
                <w:b/>
                <w:bCs/>
                <w:color w:val="FFFFFF"/>
                <w:lang w:eastAsia="en-GB"/>
              </w:rPr>
              <w:t xml:space="preserve">Project Title </w:t>
            </w:r>
          </w:p>
        </w:tc>
        <w:tc>
          <w:tcPr>
            <w:tcW w:w="2480" w:type="dxa"/>
            <w:tcBorders>
              <w:top w:val="single" w:sz="8" w:space="0" w:color="auto"/>
              <w:left w:val="nil"/>
              <w:bottom w:val="single" w:sz="8" w:space="0" w:color="auto"/>
              <w:right w:val="single" w:sz="4" w:space="0" w:color="auto"/>
            </w:tcBorders>
            <w:shd w:val="clear" w:color="auto" w:fill="548DD4" w:themeFill="text2" w:themeFillTint="99"/>
            <w:vAlign w:val="center"/>
            <w:hideMark/>
          </w:tcPr>
          <w:p w:rsidR="00D25B5D" w:rsidRPr="00ED31AA" w:rsidRDefault="00D25B5D" w:rsidP="005528E0">
            <w:pPr>
              <w:spacing w:after="0"/>
              <w:jc w:val="center"/>
              <w:rPr>
                <w:rFonts w:cs="Arial"/>
                <w:b/>
                <w:bCs/>
                <w:color w:val="FFFFFF"/>
                <w:lang w:eastAsia="en-GB"/>
              </w:rPr>
            </w:pPr>
            <w:r w:rsidRPr="00ED31AA">
              <w:rPr>
                <w:rFonts w:cs="Arial"/>
                <w:b/>
                <w:bCs/>
                <w:color w:val="FFFFFF"/>
                <w:lang w:eastAsia="en-GB"/>
              </w:rPr>
              <w:t>Project Lead</w:t>
            </w:r>
          </w:p>
        </w:tc>
      </w:tr>
      <w:tr w:rsidR="00D25B5D" w:rsidRPr="005A6FC3" w:rsidTr="005528E0">
        <w:trPr>
          <w:trHeight w:val="518"/>
          <w:jc w:val="center"/>
        </w:trPr>
        <w:tc>
          <w:tcPr>
            <w:tcW w:w="1660" w:type="dxa"/>
            <w:tcBorders>
              <w:top w:val="single" w:sz="8" w:space="0" w:color="auto"/>
              <w:left w:val="single" w:sz="4" w:space="0" w:color="auto"/>
              <w:bottom w:val="single" w:sz="8" w:space="0" w:color="auto"/>
              <w:right w:val="single" w:sz="4" w:space="0" w:color="auto"/>
            </w:tcBorders>
            <w:shd w:val="clear" w:color="auto" w:fill="auto"/>
            <w:vAlign w:val="center"/>
          </w:tcPr>
          <w:p w:rsidR="00D25B5D" w:rsidRPr="005A6FC3" w:rsidRDefault="00D25B5D" w:rsidP="005528E0">
            <w:pPr>
              <w:spacing w:after="0"/>
              <w:jc w:val="center"/>
              <w:rPr>
                <w:rFonts w:cs="Arial"/>
                <w:bCs/>
                <w:lang w:eastAsia="en-GB"/>
              </w:rPr>
            </w:pPr>
            <w:r w:rsidRPr="005A6FC3">
              <w:rPr>
                <w:rFonts w:cs="Arial"/>
                <w:bCs/>
                <w:lang w:eastAsia="en-GB"/>
              </w:rPr>
              <w:t>P2-1.08</w:t>
            </w:r>
          </w:p>
        </w:tc>
        <w:tc>
          <w:tcPr>
            <w:tcW w:w="5400" w:type="dxa"/>
            <w:tcBorders>
              <w:top w:val="single" w:sz="8" w:space="0" w:color="auto"/>
              <w:left w:val="nil"/>
              <w:bottom w:val="single" w:sz="8" w:space="0" w:color="auto"/>
              <w:right w:val="single" w:sz="4" w:space="0" w:color="auto"/>
            </w:tcBorders>
            <w:shd w:val="clear" w:color="auto" w:fill="auto"/>
            <w:vAlign w:val="center"/>
          </w:tcPr>
          <w:p w:rsidR="00D25B5D" w:rsidRPr="005A6FC3" w:rsidRDefault="00D25B5D" w:rsidP="005528E0">
            <w:pPr>
              <w:spacing w:after="0"/>
              <w:jc w:val="left"/>
              <w:rPr>
                <w:rFonts w:cs="Arial"/>
                <w:bCs/>
                <w:lang w:eastAsia="en-GB"/>
              </w:rPr>
            </w:pPr>
            <w:r w:rsidRPr="005A6FC3">
              <w:rPr>
                <w:rFonts w:cs="Arial"/>
                <w:bCs/>
                <w:lang w:eastAsia="en-GB"/>
              </w:rPr>
              <w:t>Evaluation of integrated CAMHS model in Buckinghamshire</w:t>
            </w:r>
          </w:p>
        </w:tc>
        <w:tc>
          <w:tcPr>
            <w:tcW w:w="2480" w:type="dxa"/>
            <w:tcBorders>
              <w:top w:val="single" w:sz="8" w:space="0" w:color="auto"/>
              <w:left w:val="nil"/>
              <w:bottom w:val="single" w:sz="8" w:space="0" w:color="auto"/>
              <w:right w:val="single" w:sz="4" w:space="0" w:color="auto"/>
            </w:tcBorders>
            <w:shd w:val="clear" w:color="auto" w:fill="auto"/>
            <w:vAlign w:val="center"/>
          </w:tcPr>
          <w:p w:rsidR="00D25B5D" w:rsidRPr="005A6FC3" w:rsidRDefault="00D25B5D" w:rsidP="005528E0">
            <w:pPr>
              <w:spacing w:after="0"/>
              <w:jc w:val="left"/>
              <w:rPr>
                <w:rFonts w:cs="Arial"/>
                <w:bCs/>
                <w:lang w:eastAsia="en-GB"/>
              </w:rPr>
            </w:pPr>
            <w:r w:rsidRPr="005A6FC3">
              <w:rPr>
                <w:rFonts w:cs="Arial"/>
                <w:bCs/>
                <w:lang w:eastAsia="en-GB"/>
              </w:rPr>
              <w:t>Mina Fazel/Apostolos Tsiachristas</w:t>
            </w:r>
          </w:p>
        </w:tc>
      </w:tr>
      <w:tr w:rsidR="00D25B5D" w:rsidRPr="00ED31AA" w:rsidTr="005528E0">
        <w:trPr>
          <w:trHeight w:val="524"/>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D25B5D" w:rsidRPr="00ED31AA" w:rsidRDefault="00D25B5D" w:rsidP="005528E0">
            <w:pPr>
              <w:spacing w:after="0"/>
              <w:jc w:val="center"/>
              <w:rPr>
                <w:rFonts w:cs="Arial"/>
                <w:bCs/>
                <w:color w:val="000000"/>
                <w:lang w:eastAsia="en-GB"/>
              </w:rPr>
            </w:pPr>
            <w:r w:rsidRPr="00ED31AA">
              <w:rPr>
                <w:rFonts w:cs="Arial"/>
                <w:bCs/>
                <w:color w:val="000000"/>
                <w:lang w:eastAsia="en-GB"/>
              </w:rPr>
              <w:t>P2-1.12</w:t>
            </w:r>
          </w:p>
        </w:tc>
        <w:tc>
          <w:tcPr>
            <w:tcW w:w="5400" w:type="dxa"/>
            <w:tcBorders>
              <w:top w:val="nil"/>
              <w:left w:val="nil"/>
              <w:bottom w:val="single" w:sz="4" w:space="0" w:color="auto"/>
              <w:right w:val="single" w:sz="4" w:space="0" w:color="auto"/>
            </w:tcBorders>
            <w:shd w:val="clear" w:color="auto" w:fill="auto"/>
            <w:vAlign w:val="center"/>
            <w:hideMark/>
          </w:tcPr>
          <w:p w:rsidR="00D25B5D" w:rsidRPr="00ED31AA" w:rsidRDefault="00D25B5D" w:rsidP="005528E0">
            <w:pPr>
              <w:spacing w:after="0"/>
              <w:rPr>
                <w:rFonts w:cs="Arial"/>
                <w:bCs/>
                <w:color w:val="000000"/>
                <w:lang w:eastAsia="en-GB"/>
              </w:rPr>
            </w:pPr>
            <w:r w:rsidRPr="00ED31AA">
              <w:rPr>
                <w:rFonts w:cs="Arial"/>
                <w:bCs/>
                <w:color w:val="000000"/>
                <w:lang w:eastAsia="en-GB"/>
              </w:rPr>
              <w:t>Pilot Study of True Colours in BIRSH (Brief Interventions for Repeat Self-harm) outpatients</w:t>
            </w:r>
            <w:r>
              <w:rPr>
                <w:rFonts w:cs="Arial"/>
                <w:bCs/>
                <w:color w:val="000000"/>
                <w:lang w:eastAsia="en-GB"/>
              </w:rPr>
              <w:t xml:space="preserve"> </w:t>
            </w:r>
            <w:r w:rsidRPr="005A6FC3">
              <w:rPr>
                <w:rFonts w:cs="Arial"/>
                <w:bCs/>
                <w:color w:val="FF0000"/>
                <w:lang w:eastAsia="en-GB"/>
              </w:rPr>
              <w:t>BOLT ON AWARD</w:t>
            </w:r>
          </w:p>
        </w:tc>
        <w:tc>
          <w:tcPr>
            <w:tcW w:w="2480" w:type="dxa"/>
            <w:tcBorders>
              <w:top w:val="nil"/>
              <w:left w:val="nil"/>
              <w:bottom w:val="single" w:sz="4" w:space="0" w:color="auto"/>
              <w:right w:val="single" w:sz="4" w:space="0" w:color="auto"/>
            </w:tcBorders>
            <w:shd w:val="clear" w:color="auto" w:fill="auto"/>
            <w:noWrap/>
            <w:vAlign w:val="center"/>
            <w:hideMark/>
          </w:tcPr>
          <w:p w:rsidR="00D25B5D" w:rsidRPr="00ED31AA" w:rsidRDefault="00D25B5D" w:rsidP="005528E0">
            <w:pPr>
              <w:spacing w:after="0"/>
              <w:rPr>
                <w:rFonts w:cs="Arial"/>
                <w:color w:val="000000"/>
                <w:lang w:eastAsia="en-GB"/>
              </w:rPr>
            </w:pPr>
            <w:r w:rsidRPr="00ED31AA">
              <w:rPr>
                <w:rFonts w:cs="Arial"/>
                <w:color w:val="000000"/>
                <w:lang w:eastAsia="en-GB"/>
              </w:rPr>
              <w:t>Keith Hawton</w:t>
            </w:r>
          </w:p>
        </w:tc>
      </w:tr>
    </w:tbl>
    <w:p w:rsidR="00D25B5D" w:rsidRDefault="00D25B5D" w:rsidP="00D25B5D">
      <w:pPr>
        <w:spacing w:after="0"/>
        <w:rPr>
          <w:rFonts w:cs="Arial"/>
        </w:rPr>
      </w:pPr>
      <w:r w:rsidRPr="00ED31AA">
        <w:rPr>
          <w:rFonts w:cs="Arial"/>
        </w:rPr>
        <w:t>P2-1.08 CAHMS Evaluation has now received approval and recruitment for both a quantitative and qualitative researcher post is underway. Advertising for a CLAHRC funded research assistant embedded in the RA team within Oxford Health is ongoing.</w:t>
      </w:r>
    </w:p>
    <w:p w:rsidR="00D25B5D" w:rsidRDefault="00D25B5D" w:rsidP="00D25B5D">
      <w:pPr>
        <w:spacing w:after="0"/>
        <w:rPr>
          <w:rFonts w:cs="Arial"/>
        </w:rPr>
      </w:pPr>
    </w:p>
    <w:p w:rsidR="00D25B5D" w:rsidRDefault="00D25B5D" w:rsidP="00D25B5D">
      <w:pPr>
        <w:spacing w:after="0"/>
        <w:rPr>
          <w:rFonts w:cs="Arial"/>
        </w:rPr>
      </w:pPr>
    </w:p>
    <w:p w:rsidR="00D25B5D" w:rsidRDefault="00D25B5D" w:rsidP="00D25B5D">
      <w:pPr>
        <w:spacing w:after="0"/>
      </w:pPr>
    </w:p>
    <w:p w:rsidR="00D25B5D" w:rsidRPr="00D25B5D" w:rsidRDefault="00D25B5D" w:rsidP="00D25B5D">
      <w:pPr>
        <w:pStyle w:val="Heading4"/>
      </w:pPr>
      <w:r>
        <w:lastRenderedPageBreak/>
        <w:t>Theme 6</w:t>
      </w:r>
    </w:p>
    <w:tbl>
      <w:tblPr>
        <w:tblW w:w="9540" w:type="dxa"/>
        <w:jc w:val="center"/>
        <w:tblLook w:val="04A0" w:firstRow="1" w:lastRow="0" w:firstColumn="1" w:lastColumn="0" w:noHBand="0" w:noVBand="1"/>
      </w:tblPr>
      <w:tblGrid>
        <w:gridCol w:w="1369"/>
        <w:gridCol w:w="5691"/>
        <w:gridCol w:w="2480"/>
      </w:tblGrid>
      <w:tr w:rsidR="00D25B5D" w:rsidRPr="00ED31AA" w:rsidTr="00D25B5D">
        <w:trPr>
          <w:trHeight w:val="518"/>
          <w:jc w:val="center"/>
        </w:trPr>
        <w:tc>
          <w:tcPr>
            <w:tcW w:w="1369" w:type="dxa"/>
            <w:tcBorders>
              <w:top w:val="single" w:sz="8" w:space="0" w:color="auto"/>
              <w:left w:val="single" w:sz="4" w:space="0" w:color="auto"/>
              <w:bottom w:val="single" w:sz="8" w:space="0" w:color="auto"/>
              <w:right w:val="single" w:sz="4" w:space="0" w:color="auto"/>
            </w:tcBorders>
            <w:shd w:val="clear" w:color="auto" w:fill="548DD4" w:themeFill="text2" w:themeFillTint="99"/>
            <w:vAlign w:val="center"/>
            <w:hideMark/>
          </w:tcPr>
          <w:p w:rsidR="00D25B5D" w:rsidRPr="00ED31AA" w:rsidRDefault="00D25B5D" w:rsidP="005528E0">
            <w:pPr>
              <w:spacing w:after="0"/>
              <w:rPr>
                <w:rFonts w:cs="Arial"/>
                <w:b/>
                <w:bCs/>
                <w:color w:val="FFFFFF"/>
                <w:lang w:eastAsia="en-GB"/>
              </w:rPr>
            </w:pPr>
            <w:r w:rsidRPr="00ED31AA">
              <w:rPr>
                <w:rFonts w:cs="Arial"/>
                <w:b/>
                <w:bCs/>
                <w:color w:val="FFFFFF"/>
                <w:lang w:eastAsia="en-GB"/>
              </w:rPr>
              <w:t>Project Code</w:t>
            </w:r>
          </w:p>
        </w:tc>
        <w:tc>
          <w:tcPr>
            <w:tcW w:w="5691" w:type="dxa"/>
            <w:tcBorders>
              <w:top w:val="single" w:sz="8" w:space="0" w:color="auto"/>
              <w:left w:val="nil"/>
              <w:bottom w:val="single" w:sz="8" w:space="0" w:color="auto"/>
              <w:right w:val="single" w:sz="4" w:space="0" w:color="auto"/>
            </w:tcBorders>
            <w:shd w:val="clear" w:color="auto" w:fill="548DD4" w:themeFill="text2" w:themeFillTint="99"/>
            <w:vAlign w:val="center"/>
            <w:hideMark/>
          </w:tcPr>
          <w:p w:rsidR="00D25B5D" w:rsidRPr="00ED31AA" w:rsidRDefault="00D25B5D" w:rsidP="005528E0">
            <w:pPr>
              <w:spacing w:after="0"/>
              <w:jc w:val="center"/>
              <w:rPr>
                <w:rFonts w:cs="Arial"/>
                <w:b/>
                <w:bCs/>
                <w:color w:val="FFFFFF"/>
                <w:lang w:eastAsia="en-GB"/>
              </w:rPr>
            </w:pPr>
            <w:r w:rsidRPr="00ED31AA">
              <w:rPr>
                <w:rFonts w:cs="Arial"/>
                <w:b/>
                <w:bCs/>
                <w:color w:val="FFFFFF"/>
                <w:lang w:eastAsia="en-GB"/>
              </w:rPr>
              <w:t xml:space="preserve">Project Title </w:t>
            </w:r>
          </w:p>
        </w:tc>
        <w:tc>
          <w:tcPr>
            <w:tcW w:w="2480" w:type="dxa"/>
            <w:tcBorders>
              <w:top w:val="single" w:sz="8" w:space="0" w:color="auto"/>
              <w:left w:val="nil"/>
              <w:bottom w:val="single" w:sz="8" w:space="0" w:color="auto"/>
              <w:right w:val="single" w:sz="4" w:space="0" w:color="auto"/>
            </w:tcBorders>
            <w:shd w:val="clear" w:color="auto" w:fill="548DD4" w:themeFill="text2" w:themeFillTint="99"/>
            <w:vAlign w:val="center"/>
            <w:hideMark/>
          </w:tcPr>
          <w:p w:rsidR="00D25B5D" w:rsidRPr="00ED31AA" w:rsidRDefault="00D25B5D" w:rsidP="005528E0">
            <w:pPr>
              <w:spacing w:after="0"/>
              <w:jc w:val="center"/>
              <w:rPr>
                <w:rFonts w:cs="Arial"/>
                <w:b/>
                <w:bCs/>
                <w:color w:val="FFFFFF"/>
                <w:lang w:eastAsia="en-GB"/>
              </w:rPr>
            </w:pPr>
            <w:r w:rsidRPr="00ED31AA">
              <w:rPr>
                <w:rFonts w:cs="Arial"/>
                <w:b/>
                <w:bCs/>
                <w:color w:val="FFFFFF"/>
                <w:lang w:eastAsia="en-GB"/>
              </w:rPr>
              <w:t>Project Lead</w:t>
            </w:r>
          </w:p>
        </w:tc>
      </w:tr>
      <w:tr w:rsidR="00D25B5D" w:rsidRPr="005A6FC3" w:rsidTr="00D25B5D">
        <w:trPr>
          <w:trHeight w:val="518"/>
          <w:jc w:val="center"/>
        </w:trPr>
        <w:tc>
          <w:tcPr>
            <w:tcW w:w="1369" w:type="dxa"/>
            <w:tcBorders>
              <w:top w:val="single" w:sz="8" w:space="0" w:color="auto"/>
              <w:left w:val="single" w:sz="4" w:space="0" w:color="auto"/>
              <w:bottom w:val="single" w:sz="8" w:space="0" w:color="auto"/>
              <w:right w:val="single" w:sz="4" w:space="0" w:color="auto"/>
            </w:tcBorders>
            <w:shd w:val="clear" w:color="auto" w:fill="auto"/>
            <w:vAlign w:val="center"/>
          </w:tcPr>
          <w:p w:rsidR="00D25B5D" w:rsidRPr="005A6FC3" w:rsidRDefault="00D25B5D" w:rsidP="005528E0">
            <w:pPr>
              <w:spacing w:after="0"/>
              <w:jc w:val="center"/>
              <w:rPr>
                <w:rFonts w:cs="Arial"/>
                <w:bCs/>
                <w:lang w:eastAsia="en-GB"/>
              </w:rPr>
            </w:pPr>
            <w:r>
              <w:rPr>
                <w:rFonts w:cs="Arial"/>
                <w:bCs/>
                <w:lang w:eastAsia="en-GB"/>
              </w:rPr>
              <w:t>P2-6.05</w:t>
            </w:r>
          </w:p>
        </w:tc>
        <w:tc>
          <w:tcPr>
            <w:tcW w:w="5691" w:type="dxa"/>
            <w:tcBorders>
              <w:top w:val="single" w:sz="8" w:space="0" w:color="auto"/>
              <w:left w:val="nil"/>
              <w:bottom w:val="single" w:sz="8" w:space="0" w:color="auto"/>
              <w:right w:val="single" w:sz="4" w:space="0" w:color="auto"/>
            </w:tcBorders>
            <w:shd w:val="clear" w:color="auto" w:fill="auto"/>
            <w:vAlign w:val="center"/>
          </w:tcPr>
          <w:p w:rsidR="00D25B5D" w:rsidRPr="005A6FC3" w:rsidRDefault="00D25B5D" w:rsidP="005528E0">
            <w:pPr>
              <w:spacing w:after="0"/>
              <w:jc w:val="left"/>
              <w:rPr>
                <w:rFonts w:cs="Arial"/>
                <w:bCs/>
                <w:lang w:eastAsia="en-GB"/>
              </w:rPr>
            </w:pPr>
            <w:r w:rsidRPr="00653126">
              <w:rPr>
                <w:rFonts w:cs="Arial"/>
                <w:bCs/>
                <w:lang w:eastAsia="en-GB"/>
              </w:rPr>
              <w:t>Baseline measures of cardiovascular disease risk and glycaemic control among participants in a low energy diet trial (DROPLET)</w:t>
            </w:r>
            <w:r>
              <w:rPr>
                <w:rFonts w:cs="Arial"/>
                <w:bCs/>
                <w:lang w:eastAsia="en-GB"/>
              </w:rPr>
              <w:t xml:space="preserve"> </w:t>
            </w:r>
            <w:r w:rsidRPr="005A6FC3">
              <w:rPr>
                <w:rFonts w:cs="Arial"/>
                <w:bCs/>
                <w:color w:val="FF0000"/>
                <w:lang w:eastAsia="en-GB"/>
              </w:rPr>
              <w:t>BOLT ON AWARD</w:t>
            </w:r>
          </w:p>
        </w:tc>
        <w:tc>
          <w:tcPr>
            <w:tcW w:w="2480" w:type="dxa"/>
            <w:tcBorders>
              <w:top w:val="single" w:sz="8" w:space="0" w:color="auto"/>
              <w:left w:val="nil"/>
              <w:bottom w:val="single" w:sz="8" w:space="0" w:color="auto"/>
              <w:right w:val="single" w:sz="4" w:space="0" w:color="auto"/>
            </w:tcBorders>
            <w:shd w:val="clear" w:color="auto" w:fill="auto"/>
            <w:vAlign w:val="center"/>
          </w:tcPr>
          <w:p w:rsidR="00D25B5D" w:rsidRPr="005A6FC3" w:rsidRDefault="00D25B5D" w:rsidP="005528E0">
            <w:pPr>
              <w:spacing w:after="0"/>
              <w:jc w:val="left"/>
              <w:rPr>
                <w:rFonts w:cs="Arial"/>
                <w:bCs/>
                <w:lang w:eastAsia="en-GB"/>
              </w:rPr>
            </w:pPr>
            <w:r>
              <w:rPr>
                <w:rFonts w:cs="Arial"/>
                <w:bCs/>
                <w:lang w:eastAsia="en-GB"/>
              </w:rPr>
              <w:t>Nerys Astbury</w:t>
            </w:r>
          </w:p>
        </w:tc>
      </w:tr>
      <w:tr w:rsidR="00D25B5D" w:rsidRPr="005A6FC3" w:rsidTr="00D25B5D">
        <w:trPr>
          <w:trHeight w:val="518"/>
          <w:jc w:val="center"/>
        </w:trPr>
        <w:tc>
          <w:tcPr>
            <w:tcW w:w="1369" w:type="dxa"/>
            <w:tcBorders>
              <w:top w:val="single" w:sz="8" w:space="0" w:color="auto"/>
              <w:left w:val="single" w:sz="4" w:space="0" w:color="auto"/>
              <w:bottom w:val="single" w:sz="8" w:space="0" w:color="auto"/>
              <w:right w:val="single" w:sz="4" w:space="0" w:color="auto"/>
            </w:tcBorders>
            <w:shd w:val="clear" w:color="auto" w:fill="auto"/>
            <w:vAlign w:val="center"/>
          </w:tcPr>
          <w:p w:rsidR="00D25B5D" w:rsidRDefault="00D25B5D" w:rsidP="005528E0">
            <w:pPr>
              <w:spacing w:after="0"/>
              <w:jc w:val="center"/>
              <w:rPr>
                <w:rFonts w:cs="Arial"/>
                <w:bCs/>
                <w:lang w:eastAsia="en-GB"/>
              </w:rPr>
            </w:pPr>
            <w:r>
              <w:rPr>
                <w:rFonts w:cs="Arial"/>
                <w:bCs/>
                <w:lang w:eastAsia="en-GB"/>
              </w:rPr>
              <w:t>P2-6.06</w:t>
            </w:r>
          </w:p>
        </w:tc>
        <w:tc>
          <w:tcPr>
            <w:tcW w:w="5691" w:type="dxa"/>
            <w:tcBorders>
              <w:top w:val="single" w:sz="8" w:space="0" w:color="auto"/>
              <w:left w:val="nil"/>
              <w:bottom w:val="single" w:sz="8" w:space="0" w:color="auto"/>
              <w:right w:val="single" w:sz="4" w:space="0" w:color="auto"/>
            </w:tcBorders>
            <w:shd w:val="clear" w:color="auto" w:fill="auto"/>
            <w:vAlign w:val="center"/>
          </w:tcPr>
          <w:p w:rsidR="00D25B5D" w:rsidRPr="005A6FC3" w:rsidRDefault="00D25B5D" w:rsidP="005528E0">
            <w:pPr>
              <w:spacing w:after="0"/>
              <w:jc w:val="left"/>
              <w:rPr>
                <w:rFonts w:cs="Arial"/>
                <w:bCs/>
                <w:lang w:eastAsia="en-GB"/>
              </w:rPr>
            </w:pPr>
            <w:r>
              <w:rPr>
                <w:rFonts w:cs="Arial"/>
                <w:bCs/>
                <w:lang w:eastAsia="en-GB"/>
              </w:rPr>
              <w:t>Salt Switch APP</w:t>
            </w:r>
            <w:r w:rsidRPr="005A6FC3">
              <w:rPr>
                <w:rFonts w:cs="Arial"/>
                <w:bCs/>
                <w:color w:val="FF0000"/>
                <w:lang w:eastAsia="en-GB"/>
              </w:rPr>
              <w:t xml:space="preserve"> BOLT ON AWARD</w:t>
            </w:r>
          </w:p>
        </w:tc>
        <w:tc>
          <w:tcPr>
            <w:tcW w:w="2480" w:type="dxa"/>
            <w:tcBorders>
              <w:top w:val="single" w:sz="8" w:space="0" w:color="auto"/>
              <w:left w:val="nil"/>
              <w:bottom w:val="single" w:sz="8" w:space="0" w:color="auto"/>
              <w:right w:val="single" w:sz="4" w:space="0" w:color="auto"/>
            </w:tcBorders>
            <w:shd w:val="clear" w:color="auto" w:fill="auto"/>
            <w:vAlign w:val="center"/>
          </w:tcPr>
          <w:p w:rsidR="00D25B5D" w:rsidRPr="005A6FC3" w:rsidRDefault="00D25B5D" w:rsidP="005528E0">
            <w:pPr>
              <w:spacing w:after="0"/>
              <w:jc w:val="left"/>
              <w:rPr>
                <w:rFonts w:cs="Arial"/>
                <w:bCs/>
                <w:lang w:eastAsia="en-GB"/>
              </w:rPr>
            </w:pPr>
            <w:r>
              <w:rPr>
                <w:rFonts w:cs="Arial"/>
                <w:bCs/>
                <w:lang w:eastAsia="en-GB"/>
              </w:rPr>
              <w:t>Sarah Payne Riches</w:t>
            </w:r>
          </w:p>
        </w:tc>
      </w:tr>
      <w:tr w:rsidR="00D25B5D" w:rsidRPr="005A6FC3" w:rsidTr="00D25B5D">
        <w:trPr>
          <w:trHeight w:val="518"/>
          <w:jc w:val="center"/>
        </w:trPr>
        <w:tc>
          <w:tcPr>
            <w:tcW w:w="1369" w:type="dxa"/>
            <w:tcBorders>
              <w:top w:val="single" w:sz="8" w:space="0" w:color="auto"/>
              <w:left w:val="single" w:sz="4" w:space="0" w:color="auto"/>
              <w:bottom w:val="single" w:sz="8" w:space="0" w:color="auto"/>
              <w:right w:val="single" w:sz="4" w:space="0" w:color="auto"/>
            </w:tcBorders>
            <w:shd w:val="clear" w:color="auto" w:fill="auto"/>
            <w:vAlign w:val="center"/>
          </w:tcPr>
          <w:p w:rsidR="00D25B5D" w:rsidRDefault="00D25B5D" w:rsidP="005528E0">
            <w:pPr>
              <w:spacing w:after="0"/>
              <w:jc w:val="center"/>
              <w:rPr>
                <w:rFonts w:cs="Arial"/>
                <w:bCs/>
                <w:lang w:eastAsia="en-GB"/>
              </w:rPr>
            </w:pPr>
            <w:r>
              <w:rPr>
                <w:rFonts w:cs="Arial"/>
                <w:bCs/>
                <w:lang w:eastAsia="en-GB"/>
              </w:rPr>
              <w:t>P2-6.07</w:t>
            </w:r>
          </w:p>
        </w:tc>
        <w:tc>
          <w:tcPr>
            <w:tcW w:w="5691" w:type="dxa"/>
            <w:tcBorders>
              <w:top w:val="single" w:sz="8" w:space="0" w:color="auto"/>
              <w:left w:val="nil"/>
              <w:bottom w:val="single" w:sz="8" w:space="0" w:color="auto"/>
              <w:right w:val="single" w:sz="4" w:space="0" w:color="auto"/>
            </w:tcBorders>
            <w:shd w:val="clear" w:color="auto" w:fill="auto"/>
            <w:vAlign w:val="center"/>
          </w:tcPr>
          <w:p w:rsidR="00D25B5D" w:rsidRPr="005A6FC3" w:rsidRDefault="00D25B5D" w:rsidP="005528E0">
            <w:pPr>
              <w:spacing w:after="0"/>
              <w:jc w:val="left"/>
              <w:rPr>
                <w:rFonts w:cs="Arial"/>
                <w:bCs/>
                <w:lang w:eastAsia="en-GB"/>
              </w:rPr>
            </w:pPr>
            <w:r>
              <w:rPr>
                <w:rFonts w:cs="Arial"/>
                <w:bCs/>
                <w:lang w:eastAsia="en-GB"/>
              </w:rPr>
              <w:t xml:space="preserve">Online Supermarket </w:t>
            </w:r>
            <w:r w:rsidRPr="005A6FC3">
              <w:rPr>
                <w:rFonts w:cs="Arial"/>
                <w:bCs/>
                <w:color w:val="FF0000"/>
                <w:lang w:eastAsia="en-GB"/>
              </w:rPr>
              <w:t>BOLT ON AWARD</w:t>
            </w:r>
          </w:p>
        </w:tc>
        <w:tc>
          <w:tcPr>
            <w:tcW w:w="2480" w:type="dxa"/>
            <w:tcBorders>
              <w:top w:val="single" w:sz="8" w:space="0" w:color="auto"/>
              <w:left w:val="nil"/>
              <w:bottom w:val="single" w:sz="8" w:space="0" w:color="auto"/>
              <w:right w:val="single" w:sz="4" w:space="0" w:color="auto"/>
            </w:tcBorders>
            <w:shd w:val="clear" w:color="auto" w:fill="auto"/>
            <w:vAlign w:val="center"/>
          </w:tcPr>
          <w:p w:rsidR="00D25B5D" w:rsidRPr="005A6FC3" w:rsidRDefault="00D25B5D" w:rsidP="005528E0">
            <w:pPr>
              <w:spacing w:after="0"/>
              <w:jc w:val="left"/>
              <w:rPr>
                <w:rFonts w:cs="Arial"/>
                <w:bCs/>
                <w:lang w:eastAsia="en-GB"/>
              </w:rPr>
            </w:pPr>
            <w:r>
              <w:rPr>
                <w:rFonts w:cs="Arial"/>
                <w:bCs/>
                <w:lang w:eastAsia="en-GB"/>
              </w:rPr>
              <w:t>Sarah Payne Riches</w:t>
            </w:r>
          </w:p>
        </w:tc>
      </w:tr>
    </w:tbl>
    <w:p w:rsidR="00D25B5D" w:rsidRPr="00536773" w:rsidRDefault="00D25B5D" w:rsidP="00D25B5D">
      <w:pPr>
        <w:pStyle w:val="Heading4"/>
        <w:rPr>
          <w:rFonts w:eastAsia="Times New Roman"/>
        </w:rPr>
      </w:pPr>
      <w:r w:rsidRPr="00536773">
        <w:rPr>
          <w:rFonts w:eastAsia="Times New Roman"/>
        </w:rPr>
        <w:t>General Update</w:t>
      </w:r>
    </w:p>
    <w:p w:rsidR="00D25B5D" w:rsidRDefault="00D25B5D" w:rsidP="00D25B5D">
      <w:r>
        <w:t xml:space="preserve">The CLAHRC continues to generate impact in the form of academic publications, patient benefit and cost savings to the NHS. </w:t>
      </w:r>
    </w:p>
    <w:p w:rsidR="00D25B5D" w:rsidRDefault="00D25B5D" w:rsidP="00D25B5D">
      <w:r>
        <w:t>Following a recent bolt on project funding round (up to a maximum of £10,000 to be spent within financial year 2016/17) 4 additional projects were funded (P2-1.12; P2-6.05; P2-6.06; P2-6.07).</w:t>
      </w:r>
    </w:p>
    <w:p w:rsidR="00D25B5D" w:rsidRPr="00D96C37" w:rsidRDefault="00D25B5D" w:rsidP="00D25B5D">
      <w:pPr>
        <w:rPr>
          <w:rFonts w:eastAsia="Calibri" w:cs="Arial"/>
        </w:rPr>
      </w:pPr>
      <w:r w:rsidRPr="00D96C37">
        <w:rPr>
          <w:rFonts w:eastAsia="Calibri" w:cs="Arial"/>
        </w:rPr>
        <w:t xml:space="preserve">The Department of Health are undertaking a 2 month rapid review of the infrastructure due for refunding, including the CLAHRC’s. Following this consultation period, it is expected that a decision on whether CLAHRC’s will be offered another funding competition will be announced within 3 months. </w:t>
      </w:r>
    </w:p>
    <w:p w:rsidR="00D25B5D" w:rsidRPr="00D25B5D" w:rsidRDefault="00D25B5D" w:rsidP="00D25B5D">
      <w:pPr>
        <w:rPr>
          <w:rFonts w:eastAsia="Calibri" w:cs="Arial"/>
        </w:rPr>
      </w:pPr>
      <w:r w:rsidRPr="00D96C37">
        <w:rPr>
          <w:rFonts w:eastAsia="Calibri" w:cs="Arial"/>
        </w:rPr>
        <w:t>Tony Sotirou outlined at the Directors meeting that Chris Whitty will be conducting an exercise requesting that the infrastructure identify research questions that are a priority for addressing the public health issues for the next 10 – 20 years.</w:t>
      </w:r>
    </w:p>
    <w:p w:rsidR="00D25B5D" w:rsidRDefault="00D25B5D" w:rsidP="00D25B5D">
      <w:r>
        <w:t>The CLAHRC Annual Symposium is scheduled for June 6 2017. The CLAHRC are working closely with Oxford Health to showcase innovative CLAHRC collaborative projects as well as trust successes in self-management (Recovery College). The Symposium will bring our collaborators together to review the successes of the CLAHRC and form links to feed into the CLAHRC 3 bid.</w:t>
      </w:r>
    </w:p>
    <w:p w:rsidR="00D25B5D" w:rsidRDefault="00D25B5D" w:rsidP="00D25B5D">
      <w:r>
        <w:t>The Management Board (February 7, 2017) approved a more ambitious program of PPI work as a strong foundation of PPI has been successfully embedded in the CLAHRC. A program of PPI research will be jointly funded by the BRC and CLAHRC starting April 1, 2017 and lead by Professor Louise Locock. In addition, the CLAHRC are linking with the NIHR Infrastructure in the region to plan a series of PPI led science week style events.</w:t>
      </w:r>
    </w:p>
    <w:p w:rsidR="00D25B5D" w:rsidRDefault="00D25B5D" w:rsidP="00D25B5D">
      <w:r>
        <w:t xml:space="preserve">The CLAHRC are planning to hold a joint Industry event in collaboration with the CRN and AHSN in September 2017 with the 1 aim of strengthening industry links across our organisations and to identify areas of potential collaboration and innovative areas of technology. </w:t>
      </w:r>
    </w:p>
    <w:p w:rsidR="00D25B5D" w:rsidRPr="00D25B5D" w:rsidRDefault="00D25B5D" w:rsidP="00D25B5D">
      <w:pPr>
        <w:rPr>
          <w:highlight w:val="yellow"/>
        </w:rPr>
      </w:pPr>
    </w:p>
    <w:p w:rsidR="00ED1B8F" w:rsidRPr="00D25B5D" w:rsidRDefault="007D630D" w:rsidP="00533D50">
      <w:pPr>
        <w:pStyle w:val="Heading2"/>
      </w:pPr>
      <w:bookmarkStart w:id="7" w:name="_Toc476822093"/>
      <w:r w:rsidRPr="00D25B5D">
        <w:lastRenderedPageBreak/>
        <w:t xml:space="preserve">NIHR </w:t>
      </w:r>
      <w:r w:rsidR="00BC0FD1" w:rsidRPr="00D25B5D">
        <w:t>Diagnostic Evidence Co-operative (</w:t>
      </w:r>
      <w:r w:rsidR="00621761" w:rsidRPr="00D25B5D">
        <w:t>DEC</w:t>
      </w:r>
      <w:r w:rsidR="00BC0FD1" w:rsidRPr="00D25B5D">
        <w:t>)</w:t>
      </w:r>
      <w:bookmarkEnd w:id="7"/>
    </w:p>
    <w:p w:rsidR="00431B44" w:rsidRDefault="00431B44" w:rsidP="00431B44">
      <w:pPr>
        <w:pStyle w:val="ListParagraph"/>
        <w:numPr>
          <w:ilvl w:val="0"/>
          <w:numId w:val="33"/>
        </w:numPr>
      </w:pPr>
      <w:r>
        <w:t>There have been 15 formal company interactions in the last year, covering mental health, cardiovascular, infection and antimicrobial prescribing, wearable patient monitoring, and multiplex diagnostic platforms which have the potential to cover a range of conditions.</w:t>
      </w:r>
    </w:p>
    <w:p w:rsidR="00431B44" w:rsidRDefault="00431B44" w:rsidP="00431B44">
      <w:pPr>
        <w:pStyle w:val="ListParagraph"/>
        <w:numPr>
          <w:ilvl w:val="0"/>
          <w:numId w:val="33"/>
        </w:numPr>
      </w:pPr>
      <w:r>
        <w:t xml:space="preserve">A Paper on point of care (POC) diagnostic needs in primary care, UK specific, has been published in Family Practice (https://academic.oup.com/fampra/article-lookup/doi/10.1093/fampra/cmw018) </w:t>
      </w:r>
    </w:p>
    <w:p w:rsidR="00431B44" w:rsidRDefault="00431B44" w:rsidP="00431B44">
      <w:pPr>
        <w:pStyle w:val="ListParagraph"/>
        <w:numPr>
          <w:ilvl w:val="0"/>
          <w:numId w:val="33"/>
        </w:numPr>
      </w:pPr>
      <w:r>
        <w:t>Professor Ann Van den Bruel and Dr Philip Turner contributed content to the O’Neill Review on Antimicrobial Resistance in 2016. Professor Van den Bruel was subsequently interviewed on the topic on the BBC News</w:t>
      </w:r>
    </w:p>
    <w:p w:rsidR="00431B44" w:rsidRDefault="00431B44" w:rsidP="00431B44">
      <w:pPr>
        <w:pStyle w:val="ListParagraph"/>
        <w:numPr>
          <w:ilvl w:val="0"/>
          <w:numId w:val="33"/>
        </w:numPr>
      </w:pPr>
      <w:r>
        <w:t>Dr Philip Turner spoke at Public Health England’s Tuberculosis symposium at the Royal College of Surgeons in October 2016</w:t>
      </w:r>
    </w:p>
    <w:p w:rsidR="00431B44" w:rsidRDefault="00431B44" w:rsidP="00431B44">
      <w:pPr>
        <w:pStyle w:val="ListParagraph"/>
        <w:numPr>
          <w:ilvl w:val="0"/>
          <w:numId w:val="33"/>
        </w:numPr>
      </w:pPr>
      <w:r>
        <w:t>Innovate UK Small Business Research Initiative Phase I Award: This industry collaboration award covered the development of a point-of-care test for chronic obstructive pulmonary disease (COPD) exacerbations in primary care, with the aim to stratify patients to treatment with antibiotics or steroids. The DEC performed a health economics modelling exercise and provided clinical and methodological guidance throughout. Funded to £150K, this project completed in December 2016</w:t>
      </w:r>
    </w:p>
    <w:p w:rsidR="00431B44" w:rsidRDefault="00431B44" w:rsidP="00431B44">
      <w:pPr>
        <w:pStyle w:val="ListParagraph"/>
        <w:numPr>
          <w:ilvl w:val="0"/>
          <w:numId w:val="33"/>
        </w:numPr>
      </w:pPr>
      <w:r>
        <w:t>Innovate UK Small Business Research Initiative Phase II project: We have continued to support our phase I collaborator (above) to apply for Phase II funding. The second phase of funding (worth £2m total if funded) will cover the continued development and trialling of the proposed diagnostic for COPD exacerbations</w:t>
      </w:r>
    </w:p>
    <w:p w:rsidR="00431B44" w:rsidRDefault="00431B44" w:rsidP="00431B44">
      <w:pPr>
        <w:pStyle w:val="ListParagraph"/>
        <w:numPr>
          <w:ilvl w:val="0"/>
          <w:numId w:val="33"/>
        </w:numPr>
      </w:pPr>
      <w:r>
        <w:t>Innovate UK Innovation in Health and Life Sciences Round 1 call: The DEC and other collaborators supported 2 industry-led applications to this call, covering the prioritisation of biomarkers on a new point-of-care multiplex diagnostic, and an advanced diagnostic for fatty liver disease</w:t>
      </w:r>
    </w:p>
    <w:p w:rsidR="00431B44" w:rsidRDefault="00431B44" w:rsidP="00431B44">
      <w:pPr>
        <w:pStyle w:val="ListParagraph"/>
        <w:numPr>
          <w:ilvl w:val="0"/>
          <w:numId w:val="33"/>
        </w:numPr>
      </w:pPr>
      <w:r>
        <w:t>Small Business Research Initiative (SBRI Healthcare, General Practice of the Future: The DEC supported three industry collaboration applications for this call, covering diagnostics for colorectal cancer, and two different multiplex diagnostic platforms.</w:t>
      </w:r>
    </w:p>
    <w:p w:rsidR="00431B44" w:rsidRDefault="00431B44" w:rsidP="00431B44">
      <w:pPr>
        <w:pStyle w:val="ListParagraph"/>
        <w:numPr>
          <w:ilvl w:val="0"/>
          <w:numId w:val="33"/>
        </w:numPr>
      </w:pPr>
      <w:r>
        <w:t>NIHR i4i: The DEC together with researchers from the Oxford University Hospitals and the University of Manchester Hospitals supported an industry led application to i4i to cover the development of a diagnostic to assist in the rule-out of acute myocardial infarction.</w:t>
      </w:r>
    </w:p>
    <w:p w:rsidR="00431B44" w:rsidRDefault="00431B44" w:rsidP="00431B44">
      <w:pPr>
        <w:pStyle w:val="ListParagraph"/>
        <w:numPr>
          <w:ilvl w:val="0"/>
          <w:numId w:val="33"/>
        </w:numPr>
      </w:pPr>
      <w:r>
        <w:t>Projects being prepared for publication include a review of existing horizon scan reports on the level of evidence for new tests, a review on diagnostic accuracy evidence informing health economic analyses, and real world validation of POC tests in urgent care settings</w:t>
      </w:r>
    </w:p>
    <w:p w:rsidR="00431B44" w:rsidRDefault="00431B44" w:rsidP="00431B44">
      <w:pPr>
        <w:pStyle w:val="ListParagraph"/>
        <w:numPr>
          <w:ilvl w:val="0"/>
          <w:numId w:val="33"/>
        </w:numPr>
      </w:pPr>
      <w:r>
        <w:t xml:space="preserve">Ongoing projects include a collaboration with the OUH Clinical biochemistry laboratory to evaluate normal ranges and correlations of tests taken in the </w:t>
      </w:r>
      <w:r>
        <w:lastRenderedPageBreak/>
        <w:t>community, A systematic review of the impact of various POC tests on patient outcomes and a methods comparison study of different thermometry devices</w:t>
      </w:r>
    </w:p>
    <w:p w:rsidR="00431B44" w:rsidRDefault="00431B44" w:rsidP="00431B44">
      <w:pPr>
        <w:pStyle w:val="ListParagraph"/>
        <w:numPr>
          <w:ilvl w:val="0"/>
          <w:numId w:val="33"/>
        </w:numPr>
      </w:pPr>
      <w:r>
        <w:t>The next Diagnostics Forum will be from 16-17 May 2017 at Lady Margaret Hall with the theme 'Diagnostics in Times of Change'</w:t>
      </w:r>
    </w:p>
    <w:p w:rsidR="00431B44" w:rsidRDefault="00431B44" w:rsidP="00431B44">
      <w:pPr>
        <w:pStyle w:val="ListParagraph"/>
        <w:numPr>
          <w:ilvl w:val="0"/>
          <w:numId w:val="33"/>
        </w:numPr>
      </w:pPr>
      <w:r>
        <w:t>The Diagnostic Evidence Workshop was held at Worcester College in September 2016, with another scheduled for autumn this year (we were able to provide a number of MRC-funded places to SMEs at the last workshop)</w:t>
      </w:r>
    </w:p>
    <w:p w:rsidR="00431B44" w:rsidRDefault="00431B44" w:rsidP="00431B44">
      <w:pPr>
        <w:pStyle w:val="ListParagraph"/>
        <w:numPr>
          <w:ilvl w:val="0"/>
          <w:numId w:val="33"/>
        </w:numPr>
      </w:pPr>
      <w:r>
        <w:t>The UK’s first national AMR diagnostic workshop was organised by the DEC in January in Oxford in collaboration with Leeds DEC and the Knowledge Transfer Network</w:t>
      </w:r>
    </w:p>
    <w:p w:rsidR="00431B44" w:rsidRDefault="00431B44" w:rsidP="00431B44">
      <w:pPr>
        <w:pStyle w:val="ListParagraph"/>
        <w:numPr>
          <w:ilvl w:val="0"/>
          <w:numId w:val="33"/>
        </w:numPr>
      </w:pPr>
      <w:r>
        <w:t>The DEC has been funded through the MRC Pathway to Discovery fund to run a series of 6 health technology for tomorrow seminars, covering e-health, wearable technologies and imaging devices for use in acute community settings. Companies developing exciting technologies are invited to present at the seminars, which are followed by panel discussions and networking sessions</w:t>
      </w:r>
    </w:p>
    <w:p w:rsidR="00431B44" w:rsidRDefault="00431B44" w:rsidP="00431B44">
      <w:pPr>
        <w:pStyle w:val="Heading2"/>
      </w:pPr>
      <w:bookmarkStart w:id="8" w:name="_Toc476822094"/>
      <w:r>
        <w:t>MedTech and In Vitro Diagnostic Co-operatives (MIC)</w:t>
      </w:r>
      <w:bookmarkEnd w:id="8"/>
    </w:p>
    <w:p w:rsidR="00431B44" w:rsidRDefault="00431B44" w:rsidP="00431B44">
      <w:r>
        <w:t>The newly established NIHR MIC aim to provide research infrastructure funding of £14m over five years for leading NHS Organisations to act as centres of expertise:</w:t>
      </w:r>
    </w:p>
    <w:p w:rsidR="00431B44" w:rsidRDefault="00431B44" w:rsidP="00431B44">
      <w:pPr>
        <w:pStyle w:val="ListParagraph"/>
        <w:numPr>
          <w:ilvl w:val="0"/>
          <w:numId w:val="34"/>
        </w:numPr>
      </w:pPr>
      <w:r>
        <w:t>To develop new concepts, demonstrate proof of principle and devise research protocols for new medical devices, healthcare technologies or technology-dependent interventions that are applicable across the NHS. This will address clinical areas or themes of high morbidity and unmet need for NHS patients and healthcare technology users, which have not benefited from a high degree of innovation;</w:t>
      </w:r>
    </w:p>
    <w:p w:rsidR="00431B44" w:rsidRDefault="00431B44" w:rsidP="00431B44">
      <w:r>
        <w:t>and/or</w:t>
      </w:r>
    </w:p>
    <w:p w:rsidR="00431B44" w:rsidRDefault="00431B44" w:rsidP="00431B44">
      <w:pPr>
        <w:pStyle w:val="ListParagraph"/>
        <w:numPr>
          <w:ilvl w:val="0"/>
          <w:numId w:val="34"/>
        </w:numPr>
      </w:pPr>
      <w:r>
        <w:t>To catalyse the generation of evidence on commercially-supplied IVDs that is required by the NHS and by industry. This will be developed through follow-on research funded from other sources and includes evidence that demonstrates the benefit to patients and the healthcare service. The focus here will be on clinical areas or themes where evidence of the clinical validity, clinical utility, cost-effectiveness and care pathway benefits of IVDs has the potential to lead to improvements in healthcare services and the quality of life of NHS patients.</w:t>
      </w:r>
    </w:p>
    <w:p w:rsidR="008B7779" w:rsidRDefault="008B7779" w:rsidP="008B7779">
      <w:r w:rsidRPr="008B7779">
        <w:t>NIHR MICs will replace the current NIHR Healthcare Technology Co-operatives and NIHR Diagnostic Evidence Co-operatives but will incorporate and retain the remits of both</w:t>
      </w:r>
      <w:r>
        <w:t>.</w:t>
      </w:r>
    </w:p>
    <w:p w:rsidR="00431B44" w:rsidRPr="008B7779" w:rsidRDefault="00431B44" w:rsidP="00431B44">
      <w:r>
        <w:t xml:space="preserve">Oxford Health NHS FT, in partnership with the </w:t>
      </w:r>
      <w:r w:rsidRPr="00431B44">
        <w:t xml:space="preserve">Oxford AHSN, Oxfordshire CCG and Oxford University Innovation applied for a MIC in Community Healthcare in the recent funding round. </w:t>
      </w:r>
      <w:r w:rsidR="008B7779">
        <w:t>A decision regarding successful applications is currently pending, with funding due to start in January 2018.</w:t>
      </w:r>
    </w:p>
    <w:p w:rsidR="004C59FB" w:rsidRPr="00C14366" w:rsidRDefault="009E2BDF" w:rsidP="004C59FB">
      <w:pPr>
        <w:pStyle w:val="Heading2"/>
      </w:pPr>
      <w:bookmarkStart w:id="9" w:name="_Toc476822095"/>
      <w:r w:rsidRPr="00C14366">
        <w:lastRenderedPageBreak/>
        <w:t xml:space="preserve">NIHR </w:t>
      </w:r>
      <w:r w:rsidR="00942E7A" w:rsidRPr="00C14366">
        <w:t xml:space="preserve">Oxford </w:t>
      </w:r>
      <w:r w:rsidR="00C97A4D" w:rsidRPr="00C14366">
        <w:t>cognitive</w:t>
      </w:r>
      <w:r w:rsidR="00942E7A" w:rsidRPr="00C14366">
        <w:t xml:space="preserve"> health Clinical Research Facility (</w:t>
      </w:r>
      <w:r w:rsidRPr="00C14366">
        <w:t>CRF</w:t>
      </w:r>
      <w:r w:rsidR="00942E7A" w:rsidRPr="00C14366">
        <w:t>)</w:t>
      </w:r>
      <w:bookmarkEnd w:id="9"/>
    </w:p>
    <w:p w:rsidR="0009786B" w:rsidRDefault="0009786B" w:rsidP="0009786B">
      <w:r>
        <w:t>The CRF is a single managed entity hosted by OUH in partnership with OHNHS Foundation Trust. The CRF provides a flexible and integrated neuroscience resource that facilitates the efficient and timely conduct of experimental neuroscience including high intensity early phase experimental medicine research and early phase clinical trials.</w:t>
      </w:r>
    </w:p>
    <w:p w:rsidR="0009786B" w:rsidRDefault="0009786B" w:rsidP="0009786B">
      <w:r>
        <w:t>The main research areas include; Adult Mental Health Disorders, Dementia, Precision Psychological Treatments and Neurologi</w:t>
      </w:r>
      <w:r w:rsidR="00CE2E28">
        <w:t>c</w:t>
      </w:r>
      <w:r>
        <w:t xml:space="preserve">al Conditions. </w:t>
      </w:r>
    </w:p>
    <w:p w:rsidR="0009786B" w:rsidRDefault="0009786B" w:rsidP="0009786B">
      <w:pPr>
        <w:pStyle w:val="Heading3"/>
      </w:pPr>
      <w:r>
        <w:t>Outputs</w:t>
      </w:r>
    </w:p>
    <w:p w:rsidR="0009786B" w:rsidRDefault="0009786B" w:rsidP="0009786B">
      <w:r>
        <w:t>Data submitted for the annual return on activity between 1st April 2015 and 31st march 2016 shows that 44 studies were undertaken, with 2902 subjects recruited to those studies during the time frame.  In addition the CRF has produced 37 publications in peer reviewed journals.</w:t>
      </w:r>
    </w:p>
    <w:p w:rsidR="0009786B" w:rsidRDefault="0009786B" w:rsidP="0009786B">
      <w:r>
        <w:t xml:space="preserve">The CRF provides specialist clinical research study and trial support for many activities for a range of studies, including both commercial and non-commercial sponsors studies, with a focus on experimental medicine. </w:t>
      </w:r>
    </w:p>
    <w:p w:rsidR="0009786B" w:rsidRDefault="0009786B" w:rsidP="0009786B">
      <w:pPr>
        <w:pStyle w:val="Heading4"/>
        <w:numPr>
          <w:ilvl w:val="0"/>
          <w:numId w:val="0"/>
        </w:numPr>
        <w:ind w:left="864" w:hanging="864"/>
      </w:pPr>
      <w:r>
        <w:t xml:space="preserve">Key examples of the research undertaken </w:t>
      </w:r>
    </w:p>
    <w:p w:rsidR="0009786B" w:rsidRDefault="0009786B" w:rsidP="0009786B">
      <w:pPr>
        <w:pStyle w:val="ListParagraph"/>
        <w:numPr>
          <w:ilvl w:val="0"/>
          <w:numId w:val="26"/>
        </w:numPr>
      </w:pPr>
      <w:r>
        <w:t xml:space="preserve">A randomised, double-blind, placebo-controlled, single-dose, study of the effects of SEP 363856 and Amisulpride on bold fMRI signal in healthy male and female volunteers with high or low schizotype characteristics.  This study was a collaboration between UO and p1Vital (SME) funded commercially (Sunovion). This was the first phase 1 study incorporating markers of efficacy with a novel candidate treatment (SEP 363856) for positive and negative symptoms in schizophrenia.  Preclinical data suggested key effects of this compound on neurochemical and behavioural markers for schizophrenia, but its effects on humans were unknown.  </w:t>
      </w:r>
    </w:p>
    <w:p w:rsidR="0009786B" w:rsidRDefault="0009786B" w:rsidP="0009786B">
      <w:pPr>
        <w:pStyle w:val="ListParagraph"/>
        <w:numPr>
          <w:ilvl w:val="0"/>
          <w:numId w:val="26"/>
        </w:numPr>
      </w:pPr>
      <w:r>
        <w:t>Exploration of the short-term physical and psychological effects of lithium in mood instability. (OXLITH) The Oxford Lithium Trial is a double-blind, randomised, placebo-controlled study of 6-week lithium treatment in participants with bipolar disorder and mood instability, designed to develop a valid experimental medicine model for bipolar disorder.  The aim is to identify early clinical, neurocognitive and biological effects that may predict treatment response and inform drug development. The capacity to deliver this trial is an example of the CRF being central to the integration of both translational neuroscience and the clinical service, e.g. specialist scanning expertise and facilities are on site as is the Bipolar Disorder Research Clinic. OXLITH’s aim is to improve the understanding of underlying mechanisms in bipolar disorder and inform badly needed new drug treatments for mood stabilisation.</w:t>
      </w:r>
    </w:p>
    <w:p w:rsidR="0009786B" w:rsidRDefault="0009786B" w:rsidP="0009786B">
      <w:pPr>
        <w:pStyle w:val="ListParagraph"/>
        <w:numPr>
          <w:ilvl w:val="0"/>
          <w:numId w:val="26"/>
        </w:numPr>
      </w:pPr>
      <w:r>
        <w:t>Stem cells for Biological Assays of Novel drugs and predictive toxicology, (</w:t>
      </w:r>
      <w:hyperlink r:id="rId12" w:history="1">
        <w:r w:rsidRPr="00255230">
          <w:rPr>
            <w:rStyle w:val="Hyperlink"/>
          </w:rPr>
          <w:t>www.stembancc.org</w:t>
        </w:r>
      </w:hyperlink>
      <w:r>
        <w:t xml:space="preserve"> ). This is a high profile EU Innovative Medicines Initiative (IMI), biorepository cohort study. The aim of the project is to generate and characterize 1,500 human induced pluripotent stem (iPS) cell lines to improve the drug development process in neuropsychiatry and other disorders. StemBANCC partners include pharmaceutical companies (e.g. Roche, Merck, Eli Lilly, Pfizer, Astra Zeneca), research institutions and small and medium enterprises. The CRF </w:t>
      </w:r>
      <w:r>
        <w:lastRenderedPageBreak/>
        <w:t>has recruited and screened the Bipolar Cohort to target and are completing the follow up phase of the study.</w:t>
      </w:r>
    </w:p>
    <w:p w:rsidR="0009786B" w:rsidRDefault="0009786B" w:rsidP="0009786B">
      <w:pPr>
        <w:pStyle w:val="ListParagraph"/>
        <w:numPr>
          <w:ilvl w:val="0"/>
          <w:numId w:val="26"/>
        </w:numPr>
      </w:pPr>
      <w:r>
        <w:t xml:space="preserve">Collaborative Oxford Network for Bipolar Research to Improve Outcomes (CONBRIO). The cognitive neuroscience of mood instability. COMET ('Cognition and Mood Evolution across Time') aims to explore mood instability and cognitive function in individuals who show symptoms of mood disorder, and compares this to individuals without mood instability thereby identifying novel phenotypes. Mood instability and cognitive function is assessed using daily app-based tasks presented on an iPad, as well as MRI and MEG neuroimaging. “Wearable" technologies are used to capture activity patterns and physical state to better understand the underlying neurobiology and physiology of mood instability as well as identify potential treatment targets. </w:t>
      </w:r>
    </w:p>
    <w:p w:rsidR="0009786B" w:rsidRDefault="0009786B" w:rsidP="0009786B">
      <w:pPr>
        <w:pStyle w:val="ListParagraph"/>
        <w:numPr>
          <w:ilvl w:val="0"/>
          <w:numId w:val="26"/>
        </w:numPr>
      </w:pPr>
      <w:r>
        <w:t>A clinical biomarker study of immunological phenotypes associated with monoaminergic anti-depressant response, and the brain and cognitive phenotypes associated with variation in peripheral C-reactive protein (CRP) levels, in patients with major depressive disorder (MDD). This study (BIOdep) is designed to identify peripheral and central markers of neuroinflammation in depression and is a  ‘Wellcome Trust Consortium for Neuroimmunology of Mood Disorders and Alzheimer’s Disease’ study a  public-private partnership with collaborations between 7 academic and 4 industry partners (Janssen, Lundbeck, GSK, Pfizer) looking at the effect of inflammation on Alzheimer’s disease and treatment-resistant depression.</w:t>
      </w:r>
    </w:p>
    <w:p w:rsidR="0009786B" w:rsidRDefault="0009786B" w:rsidP="0009786B">
      <w:pPr>
        <w:pStyle w:val="ListParagraph"/>
        <w:numPr>
          <w:ilvl w:val="0"/>
          <w:numId w:val="26"/>
        </w:numPr>
      </w:pPr>
      <w:r>
        <w:t>Investigating the physiological effects of tACS using TMS (transcranial magnetic stimulation). This study investigates the physiological underpinnings of oscillatory activity in the brain, using TMS to probe excitatory and inhibitory activity, before, during and after driving oscillations at specific frequencies using transcranial alternating current stimulation (tACS).  The work will not only allow us to understand more about the pathophysiological processes underlying abnormalities in a range of clinical conditions, the first step in developing treatment strategies, but will allow us also to explore the potential of driving oscillatory activity using tACS as a putative therapeutic intervention.</w:t>
      </w:r>
    </w:p>
    <w:p w:rsidR="0009786B" w:rsidRDefault="0009786B" w:rsidP="0009786B">
      <w:pPr>
        <w:pStyle w:val="ListParagraph"/>
        <w:numPr>
          <w:ilvl w:val="0"/>
          <w:numId w:val="26"/>
        </w:numPr>
      </w:pPr>
      <w:r>
        <w:t xml:space="preserve">Improving patient assessment after stroke: The Cambridge and Oxford Automated Screening Test (COAST). COAST a collaboration with an SME OUNCE technology, aims to develop an automated screening test on a tablet platform, integrating the Oxford Cognitive Screen and the Cambridge cognitive battery BRIDGE. </w:t>
      </w:r>
    </w:p>
    <w:p w:rsidR="0009786B" w:rsidRDefault="0009786B" w:rsidP="0009786B">
      <w:pPr>
        <w:pStyle w:val="ListParagraph"/>
        <w:numPr>
          <w:ilvl w:val="0"/>
          <w:numId w:val="26"/>
        </w:numPr>
      </w:pPr>
      <w:r>
        <w:t>Industry funded high intensity trials over the past year have been primarily in dementia research. They included A randomised, placebo-controlled, parallel-group, double-blind, efficacy and safety trial of MK-8931 in subjects with mild to moderate Alzheimer's disease. (EPOCH). MK-8931 is a BACE-1 inhibitor which aims to slow the progression of Alzheimer's Disease by reducing cerebral amyloid production, and therefore the formation of amyloid plaques, which are a key pathological marker of AD.</w:t>
      </w:r>
    </w:p>
    <w:p w:rsidR="0009786B" w:rsidRDefault="0009786B" w:rsidP="0009786B">
      <w:pPr>
        <w:pStyle w:val="ListParagraph"/>
        <w:numPr>
          <w:ilvl w:val="0"/>
          <w:numId w:val="26"/>
        </w:numPr>
      </w:pPr>
      <w:r>
        <w:t xml:space="preserve">Psychological Studies - The psychological treatment research conducted on OxCADAT benefits from a close collaborative relationship with the AHSN Depression and Anxiety Network. This network oversees all of the Improving </w:t>
      </w:r>
      <w:r>
        <w:lastRenderedPageBreak/>
        <w:t>Access to Psychological Therapies services in the Thames Valley area (12 Clinical Commissioning Groups and treatment of over 30,000 patients per year). This ensures that the treatment developments that arise from OxCADAT’s research are rapidly disseminated in the local NHS with the outcomes that they achieve being closely monitored</w:t>
      </w:r>
    </w:p>
    <w:p w:rsidR="0009786B" w:rsidRDefault="0009786B" w:rsidP="0009786B">
      <w:pPr>
        <w:pStyle w:val="Heading3"/>
      </w:pPr>
      <w:r>
        <w:t>Occupancy</w:t>
      </w:r>
    </w:p>
    <w:p w:rsidR="0009786B" w:rsidRDefault="0009786B" w:rsidP="0009786B">
      <w:r>
        <w:t xml:space="preserve">The occupancy metrics reported in the 2015/16 NIHR annual return reflected a weighted average across the three sites which make up the Oxford Cognitive Health Clinical Research Facility. Data for the Warneford site is collected electronically with data for the non-Warneford sites collected annually via a manual process. </w:t>
      </w:r>
    </w:p>
    <w:p w:rsidR="0009786B" w:rsidRDefault="0009786B" w:rsidP="0009786B">
      <w:r>
        <w:t>The 2015/16 occupancy of 62% reflected a 3% increase on the 59% reported for FY15.</w:t>
      </w:r>
    </w:p>
    <w:p w:rsidR="0009786B" w:rsidRDefault="0009786B" w:rsidP="0009786B">
      <w:r>
        <w:t>The Warneford site is the largest element of the facility and its occupancy during the period was 44% compared to 36% for the previous year.</w:t>
      </w:r>
    </w:p>
    <w:p w:rsidR="0009786B" w:rsidRDefault="0009786B" w:rsidP="0009786B">
      <w:pPr>
        <w:pStyle w:val="Heading3"/>
      </w:pPr>
      <w:r>
        <w:t>Renewal of CRF funding</w:t>
      </w:r>
    </w:p>
    <w:p w:rsidR="0009786B" w:rsidRDefault="0009786B" w:rsidP="0009786B">
      <w:r>
        <w:t xml:space="preserve">The CRF was awarded renewal of NIHR funding (3.7M over 5 yrs) commencing April 2017. The funding is hosted by OUH. </w:t>
      </w:r>
    </w:p>
    <w:p w:rsidR="0009786B" w:rsidRDefault="0009786B" w:rsidP="0009786B">
      <w:r>
        <w:t>The CRF sites had originally included the Warneford, Experimental Psychology and a research centre at the John Radcliffe. Following the OH BRC award the CRF has realigned resources to be fully consistent with the scope and priorities of the funding stream. A key objective is to maximize alignment with BRC themes.</w:t>
      </w:r>
    </w:p>
    <w:p w:rsidR="0009786B" w:rsidRDefault="0009786B" w:rsidP="0009786B">
      <w:r>
        <w:t xml:space="preserve">As such CRF support will be removed from Experimental Psychology, and will be extended into the acute (physical) hospital setting by an extension of the Acute Vascular Imaging Centre (AVIC) which now includes dedicated beds in addition to the acute imaging facilities and hyperacute capacity. </w:t>
      </w:r>
    </w:p>
    <w:p w:rsidR="0009786B" w:rsidRDefault="0009786B" w:rsidP="0009786B">
      <w:pPr>
        <w:pStyle w:val="Heading3"/>
      </w:pPr>
      <w:r>
        <w:t>Strategy and research Objectives</w:t>
      </w:r>
    </w:p>
    <w:p w:rsidR="0009786B" w:rsidRDefault="0009786B" w:rsidP="0009786B">
      <w:r>
        <w:t>The strategy and objectives remain largely unchanged. The primary objective is to deliver new therapies tailored to the needs of individual patients by breaking down disciplinary boundaries, taking advantage of scientific, technical and infrastructural capabilities that cut across disorders.</w:t>
      </w:r>
    </w:p>
    <w:p w:rsidR="0009786B" w:rsidRDefault="0009786B" w:rsidP="0009786B">
      <w:pPr>
        <w:pStyle w:val="Heading4"/>
      </w:pPr>
      <w:r>
        <w:t>Short-term objectives</w:t>
      </w:r>
    </w:p>
    <w:p w:rsidR="0009786B" w:rsidRDefault="0009786B" w:rsidP="0009786B">
      <w:r>
        <w:t xml:space="preserve">To build further the capability in translational neuroscience, to support phase Ib-III trials of pharmacological and psychological interventions and, working in partnership, to create a seamless cross AHSC ecosystem for clinical research in Oxford. A specific, overarching objective is to ensure that the CRF is closely aligned with the plans for the £250 million UK Dementia Research Institute. There is to be an expansion of capabilities at the John Radcliffe Hospital, to support more medically intensive experimental medicine studies in neuroscience. This development will also allow expansion of the clinical focus to include neurological conditions including multiple sclerosis, epilepsy, stroke and Parkinson’s Disease.   In addition there is increased working closely with industry with plans to develop more strategic relationships in the drug discovery for mental health. </w:t>
      </w:r>
    </w:p>
    <w:p w:rsidR="0009786B" w:rsidRDefault="0009786B" w:rsidP="0009786B">
      <w:pPr>
        <w:pStyle w:val="Heading4"/>
      </w:pPr>
      <w:r>
        <w:lastRenderedPageBreak/>
        <w:t>Medium-term objectives:</w:t>
      </w:r>
    </w:p>
    <w:p w:rsidR="0009786B" w:rsidRDefault="0009786B" w:rsidP="0009786B">
      <w:r>
        <w:t>To realise plans for purpose built integrated and coordinated neuroscience research and clinical facilities across Oxford. Work has been initiated for a joint University-NHS Masterplan to develop the Warneford as a Brain Health Centre for translational neuroscience. The Masterplan is driving the joint development, the first stage of which is the £4.5 million upgrade of the Oxford Centre for Human Brain Activity (opened April 2016). At the John Radcliffe Hospital, a key objective is to support medically intensive, including hyperacute, studies needing collocated intensive care facilities</w:t>
      </w:r>
    </w:p>
    <w:p w:rsidR="0009786B" w:rsidRDefault="0009786B" w:rsidP="0009786B">
      <w:pPr>
        <w:pStyle w:val="Heading4"/>
      </w:pPr>
      <w:r>
        <w:t>Long-term objective</w:t>
      </w:r>
    </w:p>
    <w:p w:rsidR="0009786B" w:rsidRDefault="0009786B" w:rsidP="0009786B">
      <w:r>
        <w:t xml:space="preserve">To deliver an efficient translational pipeline, </w:t>
      </w:r>
      <w:r w:rsidR="00CE2E28">
        <w:t>fueled</w:t>
      </w:r>
      <w:r>
        <w:t xml:space="preserve"> by Oxford’s unrivalled scientific infrastructure and expertise, deploying the very best science to deliver new therapies for patients mental, cognitive and neurological disorders.  </w:t>
      </w:r>
    </w:p>
    <w:p w:rsidR="0009786B" w:rsidRDefault="0009786B" w:rsidP="0009786B">
      <w:pPr>
        <w:pStyle w:val="Heading4"/>
      </w:pPr>
      <w:r>
        <w:t>Implications of revised CRF from April 2017</w:t>
      </w:r>
    </w:p>
    <w:p w:rsidR="0009786B" w:rsidRDefault="0009786B" w:rsidP="0009786B">
      <w:pPr>
        <w:pStyle w:val="ListParagraph"/>
        <w:numPr>
          <w:ilvl w:val="0"/>
          <w:numId w:val="27"/>
        </w:numPr>
      </w:pPr>
      <w:r>
        <w:t>Staff and Management. Discussions are underway with key colleagues at the Warnefored, AVIC, OHFT, OUH to ensure staff resources and management are developed collaboratively and efficiently.</w:t>
      </w:r>
    </w:p>
    <w:p w:rsidR="0009786B" w:rsidRDefault="0009786B" w:rsidP="0009786B">
      <w:pPr>
        <w:pStyle w:val="ListParagraph"/>
        <w:numPr>
          <w:ilvl w:val="0"/>
          <w:numId w:val="27"/>
        </w:numPr>
      </w:pPr>
      <w:r>
        <w:t>Recruitment numbers. The realignment of resources mean that there will be a key focus on high intensity experimental medicine studies which by their nature is likely to mean lower overall annual recruitment numbers. It is important when considering numbers recruited that the ‘intensity’ (ie s</w:t>
      </w:r>
      <w:r w:rsidR="00AB26FD">
        <w:t xml:space="preserve">taff/infrastructure resources) </w:t>
      </w:r>
      <w:r>
        <w:t xml:space="preserve">is considered at the same time. </w:t>
      </w:r>
    </w:p>
    <w:p w:rsidR="00B27ADA" w:rsidRPr="001C75B9" w:rsidRDefault="00B27ADA" w:rsidP="00B27ADA">
      <w:pPr>
        <w:pStyle w:val="Heading2"/>
      </w:pPr>
      <w:bookmarkStart w:id="10" w:name="_Toc476822096"/>
      <w:r w:rsidRPr="001C75B9">
        <w:t>NIHR B</w:t>
      </w:r>
      <w:r w:rsidR="00332216" w:rsidRPr="001C75B9">
        <w:t xml:space="preserve">iomedical </w:t>
      </w:r>
      <w:r w:rsidRPr="001C75B9">
        <w:t>R</w:t>
      </w:r>
      <w:r w:rsidR="00332216" w:rsidRPr="001C75B9">
        <w:t xml:space="preserve">esearch </w:t>
      </w:r>
      <w:r w:rsidRPr="001C75B9">
        <w:t>C</w:t>
      </w:r>
      <w:r w:rsidR="00332216" w:rsidRPr="001C75B9">
        <w:t>entre</w:t>
      </w:r>
      <w:r w:rsidR="00C14366" w:rsidRPr="001C75B9">
        <w:t xml:space="preserve"> (BRC)</w:t>
      </w:r>
      <w:bookmarkEnd w:id="10"/>
    </w:p>
    <w:p w:rsidR="00AB26FD" w:rsidRDefault="00C14366" w:rsidP="00C14366">
      <w:r w:rsidRPr="00C14366">
        <w:t xml:space="preserve">Oxford Health NHS FT </w:t>
      </w:r>
      <w:r w:rsidR="00AB26FD">
        <w:t xml:space="preserve">(OHFT) </w:t>
      </w:r>
      <w:r w:rsidRPr="00C14366">
        <w:t xml:space="preserve">in partnership with the University of Oxford </w:t>
      </w:r>
      <w:r w:rsidR="00AB26FD">
        <w:t xml:space="preserve">(UO) </w:t>
      </w:r>
      <w:r w:rsidRPr="00C14366">
        <w:t xml:space="preserve">submitted a full BRC application in June 2016. </w:t>
      </w:r>
      <w:r w:rsidR="00AB26FD">
        <w:t>In September 2016 the partners were notified that the application was successful for the establishment of the only completely new BRC awarded in the 2016 round</w:t>
      </w:r>
      <w:r w:rsidR="00882224">
        <w:t xml:space="preserve"> and are to receive £12.8 million over the next five years</w:t>
      </w:r>
      <w:r w:rsidR="00AB26FD">
        <w:t xml:space="preserve">. This is particularly important in the area of mental health and dementia as OH BRC is only the second BRC </w:t>
      </w:r>
      <w:r w:rsidR="00882224">
        <w:t xml:space="preserve">(South London and Maudsley NHS FT (SLaM)) </w:t>
      </w:r>
      <w:r w:rsidR="00AB26FD">
        <w:t>in this area of medicine</w:t>
      </w:r>
      <w:r w:rsidR="00882224">
        <w:t>, although other comprehensive BRCs (Cambridge University Hospitals NHS Foundation Trust, University College London Hospitals NHS Foundation Trust, University Hospitals Bristol NHS Foundation Trust) to receive funding for specific mental health and dementia themes.</w:t>
      </w:r>
    </w:p>
    <w:p w:rsidR="00AB26FD" w:rsidRDefault="00AB26FD" w:rsidP="00AB26FD">
      <w:r>
        <w:t xml:space="preserve">The hub of the new centre will be based at </w:t>
      </w:r>
      <w:r w:rsidR="00882224">
        <w:t>OHFT</w:t>
      </w:r>
      <w:r>
        <w:t xml:space="preserve"> Warneford Hospital site. The site also houses the University of Oxford’s Department of Psychiatry and its associated research centres and facilities.</w:t>
      </w:r>
    </w:p>
    <w:p w:rsidR="00C14366" w:rsidRPr="00C14366" w:rsidRDefault="00C14366" w:rsidP="00C14366">
      <w:r w:rsidRPr="00C14366">
        <w:t>The strategy is to bring the best science to the complex problems facing research into mental disorders and dementia with the aim to use digital and other new technologies to produce scalable solutions with global application and transform our discovery science into new treatments and diagnostic tools, delivering precision care that is strongly informed by patient involvement, ethical and economic consideration.</w:t>
      </w:r>
    </w:p>
    <w:p w:rsidR="00C14366" w:rsidRPr="00C14366" w:rsidRDefault="00C14366" w:rsidP="00882224">
      <w:pPr>
        <w:pStyle w:val="Heading3"/>
      </w:pPr>
      <w:r w:rsidRPr="00C14366">
        <w:lastRenderedPageBreak/>
        <w:t>Overarching short – term objectives</w:t>
      </w:r>
    </w:p>
    <w:p w:rsidR="00C14366" w:rsidRPr="00C14366" w:rsidRDefault="00C14366" w:rsidP="00C14366">
      <w:pPr>
        <w:numPr>
          <w:ilvl w:val="0"/>
          <w:numId w:val="18"/>
        </w:numPr>
      </w:pPr>
      <w:r w:rsidRPr="00C14366">
        <w:t xml:space="preserve">Establish the </w:t>
      </w:r>
      <w:r w:rsidR="00882224">
        <w:t>OH</w:t>
      </w:r>
      <w:r w:rsidRPr="00C14366">
        <w:t xml:space="preserve"> BRC with effective management structure and cross-theme collaboration, ensuring that infrastructure is developed to facilitate conduct of externally funded research.</w:t>
      </w:r>
    </w:p>
    <w:p w:rsidR="00C14366" w:rsidRPr="00C14366" w:rsidRDefault="00C14366" w:rsidP="00C14366">
      <w:pPr>
        <w:numPr>
          <w:ilvl w:val="0"/>
          <w:numId w:val="18"/>
        </w:numPr>
      </w:pPr>
      <w:r w:rsidRPr="00C14366">
        <w:t>Deliver a fully developed Patient &amp; Public Involvement strategy</w:t>
      </w:r>
    </w:p>
    <w:p w:rsidR="00C14366" w:rsidRPr="00C14366" w:rsidRDefault="00C14366" w:rsidP="00C14366">
      <w:pPr>
        <w:numPr>
          <w:ilvl w:val="0"/>
          <w:numId w:val="18"/>
        </w:numPr>
      </w:pPr>
      <w:r w:rsidRPr="00C14366">
        <w:t>Establish an effective clinical interface for the BRC between basic research and clinical care</w:t>
      </w:r>
    </w:p>
    <w:p w:rsidR="00C14366" w:rsidRPr="00C14366" w:rsidRDefault="00C14366" w:rsidP="00882224">
      <w:pPr>
        <w:pStyle w:val="Heading3"/>
      </w:pPr>
      <w:r w:rsidRPr="00C14366">
        <w:t>Long Term Objectives</w:t>
      </w:r>
    </w:p>
    <w:p w:rsidR="00C14366" w:rsidRPr="00C14366" w:rsidRDefault="00C14366" w:rsidP="00C14366">
      <w:pPr>
        <w:numPr>
          <w:ilvl w:val="0"/>
          <w:numId w:val="19"/>
        </w:numPr>
      </w:pPr>
      <w:r w:rsidRPr="00C14366">
        <w:t>Deliver high level of leveraged funding and value for money from NIHR investment</w:t>
      </w:r>
    </w:p>
    <w:p w:rsidR="00C14366" w:rsidRPr="00C14366" w:rsidRDefault="00C14366" w:rsidP="00C14366">
      <w:pPr>
        <w:numPr>
          <w:ilvl w:val="0"/>
          <w:numId w:val="19"/>
        </w:numPr>
      </w:pPr>
      <w:r w:rsidRPr="00C14366">
        <w:t>Provide demonstrable and effective translation of basic science into benefits for patients</w:t>
      </w:r>
    </w:p>
    <w:p w:rsidR="00C14366" w:rsidRPr="00C14366" w:rsidRDefault="00C14366" w:rsidP="00C14366">
      <w:pPr>
        <w:numPr>
          <w:ilvl w:val="0"/>
          <w:numId w:val="19"/>
        </w:numPr>
      </w:pPr>
      <w:r w:rsidRPr="00C14366">
        <w:t>Realise our vision of a Brain Health Centre on the Warneford site</w:t>
      </w:r>
    </w:p>
    <w:p w:rsidR="00C14366" w:rsidRDefault="00C14366" w:rsidP="00C14366">
      <w:pPr>
        <w:numPr>
          <w:ilvl w:val="0"/>
          <w:numId w:val="19"/>
        </w:numPr>
      </w:pPr>
      <w:r w:rsidRPr="00C14366">
        <w:t>Transform research in psychiatry by incorporating the full potential of biomedical concepts and advances</w:t>
      </w:r>
    </w:p>
    <w:p w:rsidR="00882224" w:rsidRDefault="00882224" w:rsidP="00882224">
      <w:pPr>
        <w:pStyle w:val="Heading3"/>
      </w:pPr>
      <w:r>
        <w:t>BRC Themes</w:t>
      </w:r>
    </w:p>
    <w:p w:rsidR="00882224" w:rsidRDefault="00882224" w:rsidP="00882224">
      <w:pPr>
        <w:pStyle w:val="ListParagraph"/>
        <w:numPr>
          <w:ilvl w:val="0"/>
          <w:numId w:val="30"/>
        </w:numPr>
      </w:pPr>
      <w:r w:rsidRPr="00882224">
        <w:rPr>
          <w:b/>
          <w:i/>
        </w:rPr>
        <w:t xml:space="preserve">Adult Mental Health: Innovation in Diagnosis and Treatment (Theme Lead: </w:t>
      </w:r>
      <w:r>
        <w:rPr>
          <w:b/>
          <w:i/>
        </w:rPr>
        <w:t xml:space="preserve">Professor </w:t>
      </w:r>
      <w:r w:rsidRPr="00882224">
        <w:rPr>
          <w:b/>
          <w:i/>
        </w:rPr>
        <w:t>Paul Harrison)</w:t>
      </w:r>
      <w:r>
        <w:t xml:space="preserve"> - The aim of the t</w:t>
      </w:r>
      <w:r w:rsidRPr="00882224">
        <w:t>heme is to transform the technical and conceptual approaches to adult psychiatric disorders, innovating and implementing new diagnostic and therapeutic advances to provide more eff</w:t>
      </w:r>
      <w:r>
        <w:t>ective, and more cost-effective</w:t>
      </w:r>
      <w:r w:rsidRPr="00882224">
        <w:t xml:space="preserve"> care.</w:t>
      </w:r>
    </w:p>
    <w:p w:rsidR="00882224" w:rsidRDefault="00882224" w:rsidP="00882224">
      <w:pPr>
        <w:pStyle w:val="ListParagraph"/>
        <w:numPr>
          <w:ilvl w:val="0"/>
          <w:numId w:val="30"/>
        </w:numPr>
      </w:pPr>
      <w:r w:rsidRPr="00882224">
        <w:rPr>
          <w:b/>
          <w:i/>
        </w:rPr>
        <w:t>Older adults and dementia (Theme Lead: Professor Clare Mackay</w:t>
      </w:r>
      <w:r>
        <w:t xml:space="preserve">) - The aim of this theme is to preserve cognitive health in later life. The BRC experimental medicine infrastructure will work synergistically with £150 million external funded molecule-to-man platforms and scientific programmes, and its extensive external collaborations to identify and test interventions that will delay onset and slow progression of age related cognitive decline. </w:t>
      </w:r>
    </w:p>
    <w:p w:rsidR="00882224" w:rsidRDefault="00882224" w:rsidP="00882224">
      <w:pPr>
        <w:pStyle w:val="ListParagraph"/>
        <w:numPr>
          <w:ilvl w:val="0"/>
          <w:numId w:val="30"/>
        </w:numPr>
      </w:pPr>
      <w:r w:rsidRPr="00882224">
        <w:rPr>
          <w:b/>
          <w:i/>
        </w:rPr>
        <w:t>Precision Psychological Treatments (Theme Lead: Professor Anke Ehlers)</w:t>
      </w:r>
      <w:r>
        <w:t xml:space="preserve"> - The aim of this theme is to capitalise on the digital revolution to develop and further refine classleading psychological treatments and to develop delivery systems that vastly increase their scope for ameliorating mental health problems. </w:t>
      </w:r>
    </w:p>
    <w:p w:rsidR="00882224" w:rsidRDefault="00882224" w:rsidP="00882224">
      <w:pPr>
        <w:pStyle w:val="Heading3"/>
      </w:pPr>
      <w:r>
        <w:t>BRC Cross Cutting Themes</w:t>
      </w:r>
    </w:p>
    <w:p w:rsidR="00882224" w:rsidRDefault="00882224" w:rsidP="00882224">
      <w:pPr>
        <w:pStyle w:val="ListParagraph"/>
        <w:numPr>
          <w:ilvl w:val="0"/>
          <w:numId w:val="30"/>
        </w:numPr>
      </w:pPr>
      <w:r w:rsidRPr="00882224">
        <w:rPr>
          <w:b/>
          <w:i/>
        </w:rPr>
        <w:t>Informatics/digital health (Theme Lead: Professor Simon Lovestone)</w:t>
      </w:r>
      <w:r>
        <w:t xml:space="preserve"> - The aim of this cross-cutting theme is to add strength and depth to Research Themes by building on existing platforms developed at Oxford, and through working with the Research and national collaborations, develop an integrated approach to using multiple data streams for translational research and experimental medicine in mental health and dementia. </w:t>
      </w:r>
    </w:p>
    <w:p w:rsidR="00882224" w:rsidRDefault="00882224" w:rsidP="00882224">
      <w:pPr>
        <w:pStyle w:val="ListParagraph"/>
        <w:numPr>
          <w:ilvl w:val="0"/>
          <w:numId w:val="30"/>
        </w:numPr>
      </w:pPr>
      <w:r w:rsidRPr="00882224">
        <w:rPr>
          <w:b/>
          <w:i/>
        </w:rPr>
        <w:t xml:space="preserve">Neuroimaging and Cognitive Neuroscience (Theme Lead: Professor Kia Nobre) - </w:t>
      </w:r>
      <w:r>
        <w:t xml:space="preserve">The development of sensitive biomarkers is essential for patient </w:t>
      </w:r>
      <w:r>
        <w:lastRenderedPageBreak/>
        <w:t xml:space="preserve">stratification and treatment evaluation for clinical trials. The Cognitive and Imaging Biomarkers theme will establish a comprehensive ‘Brain Health Assessment’, comprised of a menu of well validated, targeted, and sensitive cognitive and imaging assessments, designed in partnership with clinicians and patients, for application in experimental medicine. </w:t>
      </w:r>
    </w:p>
    <w:p w:rsidR="00882224" w:rsidRDefault="00882224" w:rsidP="00882224">
      <w:pPr>
        <w:pStyle w:val="ListParagraph"/>
        <w:numPr>
          <w:ilvl w:val="0"/>
          <w:numId w:val="30"/>
        </w:numPr>
      </w:pPr>
      <w:r w:rsidRPr="00882224">
        <w:rPr>
          <w:b/>
          <w:i/>
        </w:rPr>
        <w:t>Clinical research infrastructure and experimental medicine (Theme Lead: Professor Catherine Harmer)</w:t>
      </w:r>
      <w:r>
        <w:t xml:space="preserve">- This theme will transform the methodology and structure for informed decision making about novel treatment development and RCT design. This enables early identification and testing of new treatments for mental and cognitive disorders. It also provides a vehicle for precision treatment based on validated markers of individual therapeutic response. </w:t>
      </w:r>
    </w:p>
    <w:p w:rsidR="00A84E59" w:rsidRDefault="00A84E59" w:rsidP="00A84E59">
      <w:pPr>
        <w:pStyle w:val="ListParagraph"/>
        <w:numPr>
          <w:ilvl w:val="0"/>
          <w:numId w:val="30"/>
        </w:numPr>
      </w:pPr>
      <w:r w:rsidRPr="00A84E59">
        <w:rPr>
          <w:b/>
        </w:rPr>
        <w:t>Patient and Public Involvement and Ethics (Lead: Professor Ilina Singh)</w:t>
      </w:r>
      <w:r>
        <w:rPr>
          <w:b/>
        </w:rPr>
        <w:t xml:space="preserve"> </w:t>
      </w:r>
      <w:r>
        <w:t xml:space="preserve">-This theme will </w:t>
      </w:r>
      <w:r w:rsidRPr="00A84E59">
        <w:t>develop an ethical framework for PPI in mental health, to ensure that PPI has explicit and sturdy</w:t>
      </w:r>
      <w:r>
        <w:t xml:space="preserve"> </w:t>
      </w:r>
      <w:r w:rsidRPr="00A84E59">
        <w:t>ethical foundations and to provide guidance to researchers, funders, industry and policy-makers on the</w:t>
      </w:r>
      <w:r>
        <w:t xml:space="preserve"> </w:t>
      </w:r>
      <w:r w:rsidRPr="00A84E59">
        <w:t xml:space="preserve">moral challenges of PPI, and how to resolve them. </w:t>
      </w:r>
      <w:r>
        <w:t>it</w:t>
      </w:r>
      <w:r w:rsidRPr="00A84E59">
        <w:t xml:space="preserve"> will enable PPI to become a substantive element</w:t>
      </w:r>
      <w:r>
        <w:t xml:space="preserve"> </w:t>
      </w:r>
      <w:r w:rsidRPr="00A84E59">
        <w:t>of good research</w:t>
      </w:r>
      <w:r>
        <w:t>.</w:t>
      </w:r>
    </w:p>
    <w:p w:rsidR="00A84E59" w:rsidRPr="00A84E59" w:rsidRDefault="00A84E59" w:rsidP="00A84E59">
      <w:pPr>
        <w:pStyle w:val="ListParagraph"/>
        <w:numPr>
          <w:ilvl w:val="0"/>
          <w:numId w:val="30"/>
        </w:numPr>
      </w:pPr>
      <w:r w:rsidRPr="00A84E59">
        <w:rPr>
          <w:b/>
          <w:i/>
        </w:rPr>
        <w:t xml:space="preserve">Education and Training (Lead: Professor Elizabeth Tunbridge)- </w:t>
      </w:r>
      <w:r>
        <w:t xml:space="preserve">This theme will </w:t>
      </w:r>
      <w:r w:rsidRPr="00A84E59">
        <w:t xml:space="preserve"> work closely with other mental health and dementia themes fun</w:t>
      </w:r>
      <w:r>
        <w:t xml:space="preserve">ded in the 2016 to increase opportunities and </w:t>
      </w:r>
      <w:r w:rsidRPr="00A84E59">
        <w:t xml:space="preserve">build </w:t>
      </w:r>
      <w:r>
        <w:t>upon</w:t>
      </w:r>
      <w:r w:rsidRPr="00A84E59">
        <w:t xml:space="preserve"> the Oxford Health (OH)/Oxford University (OU) partnership’s world-class biomedical and clinical</w:t>
      </w:r>
      <w:r>
        <w:t xml:space="preserve"> training </w:t>
      </w:r>
      <w:r w:rsidRPr="00A84E59">
        <w:t>to equip staff and trainees with the unique skills required for successful translational mental health</w:t>
      </w:r>
      <w:r>
        <w:t xml:space="preserve"> </w:t>
      </w:r>
      <w:r w:rsidRPr="00A84E59">
        <w:t>research.</w:t>
      </w:r>
    </w:p>
    <w:p w:rsidR="00C14366" w:rsidRDefault="00882224" w:rsidP="00882224">
      <w:pPr>
        <w:pStyle w:val="Heading3"/>
      </w:pPr>
      <w:r w:rsidRPr="00882224">
        <w:t>BRC Preparations</w:t>
      </w:r>
    </w:p>
    <w:p w:rsidR="00882224" w:rsidRDefault="00882224" w:rsidP="00882224">
      <w:r>
        <w:t xml:space="preserve">Preparations for the start of the BRC in April 2017 have seen a hive of </w:t>
      </w:r>
      <w:r w:rsidR="00A84E59">
        <w:t>activity:</w:t>
      </w:r>
    </w:p>
    <w:p w:rsidR="00401EC2" w:rsidRDefault="00A84E59" w:rsidP="00401EC2">
      <w:pPr>
        <w:pStyle w:val="ListParagraph"/>
        <w:numPr>
          <w:ilvl w:val="0"/>
          <w:numId w:val="31"/>
        </w:numPr>
      </w:pPr>
      <w:r w:rsidRPr="00401EC2">
        <w:rPr>
          <w:b/>
        </w:rPr>
        <w:t>BRC Theme leaders meetings</w:t>
      </w:r>
      <w:r>
        <w:t xml:space="preserve"> have been established.  The group meets on a monthly basis to discuss and optimize budgets</w:t>
      </w:r>
      <w:r w:rsidR="00401EC2">
        <w:t xml:space="preserve"> and synergies across the themes in order to maximize outputs.</w:t>
      </w:r>
    </w:p>
    <w:p w:rsidR="00A84E59" w:rsidRDefault="00401EC2" w:rsidP="00401EC2">
      <w:pPr>
        <w:pStyle w:val="ListParagraph"/>
        <w:numPr>
          <w:ilvl w:val="0"/>
          <w:numId w:val="31"/>
        </w:numPr>
      </w:pPr>
      <w:r>
        <w:rPr>
          <w:b/>
        </w:rPr>
        <w:t xml:space="preserve">BRC Steering Committee </w:t>
      </w:r>
      <w:r w:rsidRPr="00401EC2">
        <w:t>has been established.  The</w:t>
      </w:r>
      <w:r>
        <w:rPr>
          <w:b/>
        </w:rPr>
        <w:t xml:space="preserve"> </w:t>
      </w:r>
      <w:r>
        <w:t>committee</w:t>
      </w:r>
      <w:r w:rsidRPr="00401EC2">
        <w:t xml:space="preserve"> </w:t>
      </w:r>
      <w:r>
        <w:t xml:space="preserve">will be </w:t>
      </w:r>
      <w:r w:rsidRPr="00401EC2">
        <w:t xml:space="preserve">responsible for the operational, strategic and scientific direction of the NIHR Oxford Health </w:t>
      </w:r>
      <w:r>
        <w:t>BRC</w:t>
      </w:r>
      <w:r w:rsidRPr="00401EC2">
        <w:t>.</w:t>
      </w:r>
      <w:r w:rsidR="005B06EF">
        <w:t xml:space="preserve">  Terms of Reference appended to this document</w:t>
      </w:r>
    </w:p>
    <w:p w:rsidR="00A84E59" w:rsidRDefault="00401EC2" w:rsidP="00882224">
      <w:pPr>
        <w:pStyle w:val="ListParagraph"/>
        <w:numPr>
          <w:ilvl w:val="0"/>
          <w:numId w:val="31"/>
        </w:numPr>
      </w:pPr>
      <w:r w:rsidRPr="00401EC2">
        <w:rPr>
          <w:b/>
        </w:rPr>
        <w:t xml:space="preserve">Theme Budgets.  </w:t>
      </w:r>
      <w:r w:rsidR="00A84E59">
        <w:t>The Head of R&amp;D Finance has wo</w:t>
      </w:r>
      <w:r>
        <w:t>rked with the theme leads to set budgets over first and second years of the funding award</w:t>
      </w:r>
    </w:p>
    <w:p w:rsidR="00401EC2" w:rsidRDefault="00401EC2" w:rsidP="00882224">
      <w:pPr>
        <w:pStyle w:val="ListParagraph"/>
        <w:numPr>
          <w:ilvl w:val="0"/>
          <w:numId w:val="31"/>
        </w:numPr>
      </w:pPr>
      <w:r>
        <w:rPr>
          <w:b/>
        </w:rPr>
        <w:t>Funding of posts:</w:t>
      </w:r>
      <w:r>
        <w:t xml:space="preserve"> It has been agreed that the funding of new posts will be on a fixed term contract for three years with a potential of extension following a mid-term review.  Where possible new posts will be NHS employed.</w:t>
      </w:r>
    </w:p>
    <w:p w:rsidR="00401EC2" w:rsidRDefault="00401EC2" w:rsidP="00882224">
      <w:pPr>
        <w:pStyle w:val="ListParagraph"/>
        <w:numPr>
          <w:ilvl w:val="0"/>
          <w:numId w:val="31"/>
        </w:numPr>
      </w:pPr>
      <w:r>
        <w:rPr>
          <w:b/>
        </w:rPr>
        <w:t>Year 1 Funding:</w:t>
      </w:r>
      <w:r>
        <w:t xml:space="preserve"> The funding for year one is 50% of that of the remaining four years.  This year one funding is primarily to support existing posts that enabled the BRC bid.  Discussion are ongoing and plans are forming for the funding of posts from year 2 onwards</w:t>
      </w:r>
    </w:p>
    <w:p w:rsidR="00401EC2" w:rsidRDefault="00401EC2" w:rsidP="00882224">
      <w:pPr>
        <w:pStyle w:val="ListParagraph"/>
        <w:numPr>
          <w:ilvl w:val="0"/>
          <w:numId w:val="31"/>
        </w:numPr>
      </w:pPr>
      <w:r>
        <w:rPr>
          <w:b/>
        </w:rPr>
        <w:t xml:space="preserve">Governance Structures </w:t>
      </w:r>
      <w:r w:rsidRPr="00401EC2">
        <w:t>have been established</w:t>
      </w:r>
      <w:r>
        <w:t xml:space="preserve">.  The newly established Research Management Group (RMG) will receive quarterly reports from the BRC and provide </w:t>
      </w:r>
      <w:r>
        <w:lastRenderedPageBreak/>
        <w:t xml:space="preserve">an opportunity for additional strategic collaborations across NIHR infrastructure in Oxford. (see section </w:t>
      </w:r>
      <w:r>
        <w:fldChar w:fldCharType="begin"/>
      </w:r>
      <w:r>
        <w:instrText xml:space="preserve"> REF _Ref476044542 \r \h </w:instrText>
      </w:r>
      <w:r>
        <w:fldChar w:fldCharType="separate"/>
      </w:r>
      <w:r>
        <w:t>8</w:t>
      </w:r>
      <w:r>
        <w:fldChar w:fldCharType="end"/>
      </w:r>
      <w:r>
        <w:t>)</w:t>
      </w:r>
    </w:p>
    <w:p w:rsidR="00000531" w:rsidRDefault="009E3676" w:rsidP="00000531">
      <w:pPr>
        <w:pStyle w:val="ListParagraph"/>
        <w:numPr>
          <w:ilvl w:val="0"/>
          <w:numId w:val="31"/>
        </w:numPr>
      </w:pPr>
      <w:r>
        <w:rPr>
          <w:b/>
        </w:rPr>
        <w:t xml:space="preserve">Contracting.  </w:t>
      </w:r>
      <w:r w:rsidRPr="009E3676">
        <w:t xml:space="preserve">The </w:t>
      </w:r>
      <w:r>
        <w:t>NIHR have recently released the BRC Contract for review.  A co-ordinated response from across both Oxford BRCs is underway.</w:t>
      </w:r>
    </w:p>
    <w:p w:rsidR="009E3676" w:rsidRDefault="00000531" w:rsidP="00882224">
      <w:pPr>
        <w:pStyle w:val="ListParagraph"/>
        <w:numPr>
          <w:ilvl w:val="0"/>
          <w:numId w:val="31"/>
        </w:numPr>
      </w:pPr>
      <w:r>
        <w:rPr>
          <w:b/>
        </w:rPr>
        <w:t>Reporting and Metrics.</w:t>
      </w:r>
      <w:r>
        <w:t xml:space="preserve">  Work is to start on the mechanisms for data collection for the NIHR quarterly and annual returns.  Discussion taking place with OUH to establish a potential mechanism using existing data capture tools.</w:t>
      </w:r>
    </w:p>
    <w:p w:rsidR="00000531" w:rsidRDefault="00000531" w:rsidP="00882224">
      <w:pPr>
        <w:pStyle w:val="ListParagraph"/>
        <w:numPr>
          <w:ilvl w:val="0"/>
          <w:numId w:val="31"/>
        </w:numPr>
      </w:pPr>
      <w:r>
        <w:rPr>
          <w:b/>
        </w:rPr>
        <w:t>Collaborations with other BRCs.</w:t>
      </w:r>
      <w:r>
        <w:t xml:space="preserve">  Contact has been made with other BRCs to look at synergies and ways of collaborating across the NIHR infrastructure.</w:t>
      </w:r>
    </w:p>
    <w:p w:rsidR="00C447F8" w:rsidRDefault="00C447F8" w:rsidP="00882224">
      <w:pPr>
        <w:pStyle w:val="ListParagraph"/>
        <w:numPr>
          <w:ilvl w:val="0"/>
          <w:numId w:val="31"/>
        </w:numPr>
      </w:pPr>
      <w:r>
        <w:rPr>
          <w:b/>
        </w:rPr>
        <w:t>Launch Event.</w:t>
      </w:r>
      <w:r>
        <w:t xml:space="preserve">  A launch event is scheduled for 31</w:t>
      </w:r>
      <w:r w:rsidRPr="00C447F8">
        <w:rPr>
          <w:vertAlign w:val="superscript"/>
        </w:rPr>
        <w:t>st</w:t>
      </w:r>
      <w:r>
        <w:t xml:space="preserve"> of March to officially open the OH BRC.</w:t>
      </w:r>
    </w:p>
    <w:p w:rsidR="00C447F8" w:rsidRDefault="00C447F8" w:rsidP="00882224">
      <w:pPr>
        <w:pStyle w:val="ListParagraph"/>
        <w:numPr>
          <w:ilvl w:val="0"/>
          <w:numId w:val="31"/>
        </w:numPr>
      </w:pPr>
      <w:r>
        <w:rPr>
          <w:b/>
        </w:rPr>
        <w:t>Signs.</w:t>
      </w:r>
      <w:r>
        <w:t xml:space="preserve">  New signs are being approved and ordered for display around the Warneford site to direct people to the appropriate locations.</w:t>
      </w:r>
    </w:p>
    <w:p w:rsidR="00C447F8" w:rsidRPr="00882224" w:rsidRDefault="00C447F8" w:rsidP="00882224">
      <w:pPr>
        <w:pStyle w:val="ListParagraph"/>
        <w:numPr>
          <w:ilvl w:val="0"/>
          <w:numId w:val="31"/>
        </w:numPr>
      </w:pPr>
      <w:r>
        <w:rPr>
          <w:b/>
        </w:rPr>
        <w:t>BRC Website.</w:t>
      </w:r>
      <w:r>
        <w:t xml:space="preserve">  A new BRC website is currently under construction</w:t>
      </w:r>
    </w:p>
    <w:p w:rsidR="00CF076D" w:rsidRDefault="00CF076D" w:rsidP="00CF076D">
      <w:pPr>
        <w:pStyle w:val="Heading2"/>
      </w:pPr>
      <w:bookmarkStart w:id="11" w:name="_Toc476822097"/>
      <w:r w:rsidRPr="00C337A1">
        <w:t xml:space="preserve">NIHR </w:t>
      </w:r>
      <w:r w:rsidR="00C9023E">
        <w:t>Clinical Research Network (</w:t>
      </w:r>
      <w:r w:rsidRPr="00C337A1">
        <w:t>CRN</w:t>
      </w:r>
      <w:r w:rsidR="00C9023E">
        <w:t>)</w:t>
      </w:r>
      <w:bookmarkEnd w:id="11"/>
    </w:p>
    <w:p w:rsidR="00D078D4" w:rsidRDefault="00D078D4" w:rsidP="00D078D4">
      <w:r>
        <w:t>OHFT remains the top recruiting NHS trust to the mental health portfolio, and CRN: TV&amp;SM being the top network for recruitment to the mental health portfolio. There are a wide range of studies (trials and observational research) available for a range of service users (bipolar, schizophrenia, MDD, sleep disorders, psychosis). The Research Implementation Manager who led the successful team of research assistants embedded within clinical teams resigned in December 2016</w:t>
      </w:r>
      <w:r w:rsidR="000B2FA3">
        <w:t>.  The post has since</w:t>
      </w:r>
      <w:r>
        <w:t xml:space="preserve"> been filled by an internal candidate progressing their career</w:t>
      </w:r>
      <w:r w:rsidR="000B2FA3">
        <w:t>.</w:t>
      </w:r>
    </w:p>
    <w:p w:rsidR="00D078D4" w:rsidRDefault="00D078D4" w:rsidP="00D078D4">
      <w:r>
        <w:t xml:space="preserve">The Oxfordshire </w:t>
      </w:r>
      <w:r w:rsidR="000B2FA3">
        <w:t xml:space="preserve">out of hours </w:t>
      </w:r>
      <w:r>
        <w:t>services are now running an antibiotic study, and another study is in set up in the service.</w:t>
      </w:r>
      <w:r w:rsidR="000B2FA3">
        <w:t xml:space="preserve">  This is a wonderful opportunity to expand the research portfolio to non-mental health and dementia.</w:t>
      </w:r>
    </w:p>
    <w:p w:rsidR="00D078D4" w:rsidRDefault="00D078D4" w:rsidP="00D078D4">
      <w:r>
        <w:t>Recruitment to dementia studies is strong, and the CRN has already exceeded its recruitment target, with OHFT contributing 455 of the target of 1300. Six of the studies currently recruiting are commercial trials. All these trials have met 70 day target and have or are expected to meet/exceed recruitment targets. Notably the Merck APECS trial randomized 11 participants (target 6), and was the highest recruiting NHS site in the UK.</w:t>
      </w:r>
    </w:p>
    <w:p w:rsidR="00910A4E" w:rsidRDefault="00910A4E" w:rsidP="00D078D4">
      <w:r>
        <w:t>Further work needs to be completed if OHFT are to be included in the single costings for commercial studies as current proposals would incur a cost to the Trust and there are no funding to subsidise commercially funded studies.</w:t>
      </w:r>
    </w:p>
    <w:p w:rsidR="00D078D4" w:rsidRDefault="000B2FA3" w:rsidP="00D078D4">
      <w:r>
        <w:t>Due to increased experimental studies running in the Clinical Research Facility, the CRN is working with the T</w:t>
      </w:r>
      <w:r w:rsidR="00D078D4">
        <w:t xml:space="preserve">rust on a business case to </w:t>
      </w:r>
      <w:r>
        <w:t>conduct</w:t>
      </w:r>
      <w:r w:rsidR="00D078D4">
        <w:t xml:space="preserve"> late</w:t>
      </w:r>
      <w:r>
        <w:t>r</w:t>
      </w:r>
      <w:r w:rsidR="00D078D4">
        <w:t xml:space="preserve"> phase trials outside of the CRF. The Whiteleaf Centre as well as either Warneford or Littlemore sites are being investigated.</w:t>
      </w:r>
    </w:p>
    <w:p w:rsidR="00C5192B" w:rsidRPr="00243F6E" w:rsidRDefault="00C5192B" w:rsidP="00C5192B">
      <w:pPr>
        <w:pStyle w:val="Heading2"/>
      </w:pPr>
      <w:bookmarkStart w:id="12" w:name="_Toc476822098"/>
      <w:r w:rsidRPr="00243F6E">
        <w:lastRenderedPageBreak/>
        <w:t>Summary of Funding Timeframes</w:t>
      </w:r>
      <w:bookmarkEnd w:id="12"/>
    </w:p>
    <w:tbl>
      <w:tblPr>
        <w:tblStyle w:val="TableGrid"/>
        <w:tblW w:w="0" w:type="auto"/>
        <w:tblLook w:val="04A0" w:firstRow="1" w:lastRow="0" w:firstColumn="1" w:lastColumn="0" w:noHBand="0" w:noVBand="1"/>
      </w:tblPr>
      <w:tblGrid>
        <w:gridCol w:w="2577"/>
        <w:gridCol w:w="2067"/>
        <w:gridCol w:w="5103"/>
      </w:tblGrid>
      <w:tr w:rsidR="00910A4E" w:rsidRPr="00910A4E" w:rsidTr="00910A4E">
        <w:tc>
          <w:tcPr>
            <w:tcW w:w="2577" w:type="dxa"/>
            <w:shd w:val="clear" w:color="auto" w:fill="548DD4" w:themeFill="text2" w:themeFillTint="99"/>
          </w:tcPr>
          <w:p w:rsidR="00C5192B" w:rsidRPr="00910A4E" w:rsidRDefault="00C5192B" w:rsidP="00C5192B">
            <w:pPr>
              <w:rPr>
                <w:b/>
                <w:color w:val="FFFFFF" w:themeColor="background1"/>
              </w:rPr>
            </w:pPr>
            <w:r w:rsidRPr="00910A4E">
              <w:rPr>
                <w:b/>
                <w:color w:val="FFFFFF" w:themeColor="background1"/>
              </w:rPr>
              <w:t>Infrastructure/Award</w:t>
            </w:r>
          </w:p>
        </w:tc>
        <w:tc>
          <w:tcPr>
            <w:tcW w:w="2067" w:type="dxa"/>
            <w:shd w:val="clear" w:color="auto" w:fill="548DD4" w:themeFill="text2" w:themeFillTint="99"/>
          </w:tcPr>
          <w:p w:rsidR="00C5192B" w:rsidRPr="00910A4E" w:rsidRDefault="00C5192B" w:rsidP="00C5192B">
            <w:pPr>
              <w:rPr>
                <w:b/>
                <w:color w:val="FFFFFF" w:themeColor="background1"/>
              </w:rPr>
            </w:pPr>
            <w:r w:rsidRPr="00910A4E">
              <w:rPr>
                <w:b/>
                <w:color w:val="FFFFFF" w:themeColor="background1"/>
              </w:rPr>
              <w:t>Current funding timeframe</w:t>
            </w:r>
          </w:p>
        </w:tc>
        <w:tc>
          <w:tcPr>
            <w:tcW w:w="5103" w:type="dxa"/>
            <w:shd w:val="clear" w:color="auto" w:fill="548DD4" w:themeFill="text2" w:themeFillTint="99"/>
          </w:tcPr>
          <w:p w:rsidR="00C5192B" w:rsidRPr="00910A4E" w:rsidRDefault="00C5192B" w:rsidP="00C5192B">
            <w:pPr>
              <w:rPr>
                <w:b/>
                <w:color w:val="FFFFFF" w:themeColor="background1"/>
              </w:rPr>
            </w:pPr>
            <w:r w:rsidRPr="00910A4E">
              <w:rPr>
                <w:b/>
                <w:color w:val="FFFFFF" w:themeColor="background1"/>
              </w:rPr>
              <w:t>Renewal/relicensing timeframes</w:t>
            </w:r>
          </w:p>
        </w:tc>
      </w:tr>
      <w:tr w:rsidR="00C5192B" w:rsidTr="00C5192B">
        <w:tc>
          <w:tcPr>
            <w:tcW w:w="2577" w:type="dxa"/>
          </w:tcPr>
          <w:p w:rsidR="00C5192B" w:rsidRDefault="00C5192B" w:rsidP="00243F6E">
            <w:pPr>
              <w:spacing w:before="60" w:after="60"/>
            </w:pPr>
            <w:r>
              <w:t>AHSN</w:t>
            </w:r>
          </w:p>
        </w:tc>
        <w:tc>
          <w:tcPr>
            <w:tcW w:w="2067" w:type="dxa"/>
          </w:tcPr>
          <w:p w:rsidR="00C5192B" w:rsidRDefault="00C5192B" w:rsidP="00243F6E">
            <w:pPr>
              <w:spacing w:before="60" w:after="60"/>
              <w:jc w:val="left"/>
            </w:pPr>
            <w:r>
              <w:t>2013 to 2018</w:t>
            </w:r>
          </w:p>
        </w:tc>
        <w:tc>
          <w:tcPr>
            <w:tcW w:w="5103" w:type="dxa"/>
          </w:tcPr>
          <w:p w:rsidR="00C5192B" w:rsidRDefault="00243F6E" w:rsidP="00243F6E">
            <w:pPr>
              <w:spacing w:before="60" w:after="60"/>
              <w:jc w:val="left"/>
            </w:pPr>
            <w:r>
              <w:t xml:space="preserve">March </w:t>
            </w:r>
            <w:r w:rsidR="00C5192B">
              <w:t>2018</w:t>
            </w:r>
            <w:r>
              <w:t>, although funding may now cease in July 2017 with limited renewal</w:t>
            </w:r>
          </w:p>
        </w:tc>
      </w:tr>
      <w:tr w:rsidR="00C5192B" w:rsidTr="00C5192B">
        <w:tc>
          <w:tcPr>
            <w:tcW w:w="2577" w:type="dxa"/>
          </w:tcPr>
          <w:p w:rsidR="00C5192B" w:rsidRDefault="00C5192B" w:rsidP="00243F6E">
            <w:pPr>
              <w:spacing w:before="60" w:after="60"/>
            </w:pPr>
            <w:r>
              <w:t>AHSC</w:t>
            </w:r>
          </w:p>
        </w:tc>
        <w:tc>
          <w:tcPr>
            <w:tcW w:w="2067" w:type="dxa"/>
          </w:tcPr>
          <w:p w:rsidR="00C5192B" w:rsidRDefault="00C5192B" w:rsidP="00243F6E">
            <w:pPr>
              <w:spacing w:before="60" w:after="60"/>
              <w:jc w:val="left"/>
            </w:pPr>
            <w:r>
              <w:t>2014 to 2019</w:t>
            </w:r>
          </w:p>
        </w:tc>
        <w:tc>
          <w:tcPr>
            <w:tcW w:w="5103" w:type="dxa"/>
          </w:tcPr>
          <w:p w:rsidR="00C5192B" w:rsidRDefault="00C5192B" w:rsidP="00243F6E">
            <w:pPr>
              <w:spacing w:before="60" w:after="60"/>
              <w:jc w:val="left"/>
            </w:pPr>
            <w:r>
              <w:t>2019</w:t>
            </w:r>
          </w:p>
        </w:tc>
      </w:tr>
      <w:tr w:rsidR="00C5192B" w:rsidTr="00C5192B">
        <w:tc>
          <w:tcPr>
            <w:tcW w:w="2577" w:type="dxa"/>
          </w:tcPr>
          <w:p w:rsidR="00C5192B" w:rsidRDefault="00C5192B" w:rsidP="00243F6E">
            <w:pPr>
              <w:spacing w:before="60" w:after="60"/>
            </w:pPr>
            <w:r>
              <w:t>CLAHRC</w:t>
            </w:r>
          </w:p>
        </w:tc>
        <w:tc>
          <w:tcPr>
            <w:tcW w:w="2067" w:type="dxa"/>
          </w:tcPr>
          <w:p w:rsidR="00C5192B" w:rsidRDefault="00C5192B" w:rsidP="00243F6E">
            <w:pPr>
              <w:spacing w:before="60" w:after="60"/>
              <w:jc w:val="left"/>
            </w:pPr>
            <w:r>
              <w:t>Jan 2013 to Dec 2018</w:t>
            </w:r>
          </w:p>
        </w:tc>
        <w:tc>
          <w:tcPr>
            <w:tcW w:w="5103" w:type="dxa"/>
          </w:tcPr>
          <w:p w:rsidR="00C5192B" w:rsidRDefault="00D922B4" w:rsidP="00243F6E">
            <w:pPr>
              <w:spacing w:before="60" w:after="60"/>
              <w:jc w:val="left"/>
            </w:pPr>
            <w:r>
              <w:t xml:space="preserve">To be confirmed. </w:t>
            </w:r>
            <w:r w:rsidR="00C5192B">
              <w:t>Potential call for renewal in late 2017 for funding to commence in January 2019</w:t>
            </w:r>
          </w:p>
        </w:tc>
      </w:tr>
      <w:tr w:rsidR="00D922B4" w:rsidTr="00C5192B">
        <w:tc>
          <w:tcPr>
            <w:tcW w:w="2577" w:type="dxa"/>
          </w:tcPr>
          <w:p w:rsidR="00D922B4" w:rsidRDefault="00D922B4" w:rsidP="00243F6E">
            <w:pPr>
              <w:spacing w:before="60" w:after="60"/>
            </w:pPr>
            <w:r>
              <w:t>DEC</w:t>
            </w:r>
          </w:p>
        </w:tc>
        <w:tc>
          <w:tcPr>
            <w:tcW w:w="2067" w:type="dxa"/>
          </w:tcPr>
          <w:p w:rsidR="00D922B4" w:rsidRDefault="00243F6E" w:rsidP="00243F6E">
            <w:pPr>
              <w:spacing w:before="60" w:after="60"/>
              <w:jc w:val="left"/>
            </w:pPr>
            <w:r>
              <w:t>Extended until Dec 2017</w:t>
            </w:r>
          </w:p>
        </w:tc>
        <w:tc>
          <w:tcPr>
            <w:tcW w:w="5103" w:type="dxa"/>
          </w:tcPr>
          <w:p w:rsidR="00D922B4" w:rsidRDefault="00D922B4" w:rsidP="00243F6E">
            <w:pPr>
              <w:spacing w:before="60" w:after="60"/>
              <w:jc w:val="left"/>
            </w:pPr>
            <w:r>
              <w:t>Replaced by MIC</w:t>
            </w:r>
          </w:p>
        </w:tc>
      </w:tr>
      <w:tr w:rsidR="00D922B4" w:rsidTr="00C5192B">
        <w:tc>
          <w:tcPr>
            <w:tcW w:w="2577" w:type="dxa"/>
          </w:tcPr>
          <w:p w:rsidR="00D922B4" w:rsidRDefault="00D922B4" w:rsidP="00243F6E">
            <w:pPr>
              <w:spacing w:before="60" w:after="60"/>
            </w:pPr>
            <w:r>
              <w:t>MIC</w:t>
            </w:r>
          </w:p>
        </w:tc>
        <w:tc>
          <w:tcPr>
            <w:tcW w:w="2067" w:type="dxa"/>
          </w:tcPr>
          <w:p w:rsidR="00D922B4" w:rsidRDefault="00243F6E" w:rsidP="00243F6E">
            <w:pPr>
              <w:spacing w:before="60" w:after="60"/>
              <w:jc w:val="left"/>
            </w:pPr>
            <w:r>
              <w:t>NA</w:t>
            </w:r>
          </w:p>
        </w:tc>
        <w:tc>
          <w:tcPr>
            <w:tcW w:w="5103" w:type="dxa"/>
          </w:tcPr>
          <w:p w:rsidR="00D922B4" w:rsidRDefault="00243F6E" w:rsidP="00243F6E">
            <w:pPr>
              <w:spacing w:before="60" w:after="60"/>
              <w:jc w:val="left"/>
            </w:pPr>
            <w:r>
              <w:t>Jan 218 to Dec 2022</w:t>
            </w:r>
          </w:p>
        </w:tc>
      </w:tr>
      <w:tr w:rsidR="00C5192B" w:rsidTr="00C5192B">
        <w:tc>
          <w:tcPr>
            <w:tcW w:w="2577" w:type="dxa"/>
          </w:tcPr>
          <w:p w:rsidR="00C5192B" w:rsidRDefault="00C5192B" w:rsidP="00243F6E">
            <w:pPr>
              <w:spacing w:before="60" w:after="60"/>
            </w:pPr>
            <w:r>
              <w:t>CRF</w:t>
            </w:r>
          </w:p>
        </w:tc>
        <w:tc>
          <w:tcPr>
            <w:tcW w:w="2067" w:type="dxa"/>
          </w:tcPr>
          <w:p w:rsidR="00C5192B" w:rsidRDefault="00D922B4" w:rsidP="00243F6E">
            <w:pPr>
              <w:spacing w:before="60" w:after="60"/>
              <w:jc w:val="left"/>
            </w:pPr>
            <w:r>
              <w:t>Sept 2012 to March 2017</w:t>
            </w:r>
          </w:p>
        </w:tc>
        <w:tc>
          <w:tcPr>
            <w:tcW w:w="5103" w:type="dxa"/>
          </w:tcPr>
          <w:p w:rsidR="00C5192B" w:rsidRDefault="00D922B4" w:rsidP="00243F6E">
            <w:pPr>
              <w:spacing w:before="60" w:after="60"/>
              <w:jc w:val="left"/>
            </w:pPr>
            <w:r>
              <w:t>Successful application for funding from April 2017 to March 2022</w:t>
            </w:r>
          </w:p>
        </w:tc>
      </w:tr>
      <w:tr w:rsidR="00C5192B" w:rsidTr="00C5192B">
        <w:tc>
          <w:tcPr>
            <w:tcW w:w="2577" w:type="dxa"/>
          </w:tcPr>
          <w:p w:rsidR="00C5192B" w:rsidRDefault="00D922B4" w:rsidP="00243F6E">
            <w:pPr>
              <w:spacing w:before="60" w:after="60"/>
            </w:pPr>
            <w:r>
              <w:t>BRC</w:t>
            </w:r>
          </w:p>
        </w:tc>
        <w:tc>
          <w:tcPr>
            <w:tcW w:w="2067" w:type="dxa"/>
          </w:tcPr>
          <w:p w:rsidR="00C5192B" w:rsidRDefault="00D922B4" w:rsidP="00243F6E">
            <w:pPr>
              <w:spacing w:before="60" w:after="60"/>
              <w:jc w:val="left"/>
            </w:pPr>
            <w:r>
              <w:t>NA</w:t>
            </w:r>
          </w:p>
        </w:tc>
        <w:tc>
          <w:tcPr>
            <w:tcW w:w="5103" w:type="dxa"/>
          </w:tcPr>
          <w:p w:rsidR="00C5192B" w:rsidRDefault="00D922B4" w:rsidP="00243F6E">
            <w:pPr>
              <w:spacing w:before="60" w:after="60"/>
              <w:jc w:val="left"/>
            </w:pPr>
            <w:r w:rsidRPr="00D922B4">
              <w:t>Successful application for funding from April 2017 to March 2022</w:t>
            </w:r>
          </w:p>
        </w:tc>
      </w:tr>
      <w:tr w:rsidR="00C5192B" w:rsidTr="00C5192B">
        <w:tc>
          <w:tcPr>
            <w:tcW w:w="2577" w:type="dxa"/>
          </w:tcPr>
          <w:p w:rsidR="00C5192B" w:rsidRDefault="00D922B4" w:rsidP="00243F6E">
            <w:pPr>
              <w:spacing w:before="60" w:after="60"/>
            </w:pPr>
            <w:r>
              <w:t>CRN</w:t>
            </w:r>
          </w:p>
        </w:tc>
        <w:tc>
          <w:tcPr>
            <w:tcW w:w="2067" w:type="dxa"/>
          </w:tcPr>
          <w:p w:rsidR="00C5192B" w:rsidRDefault="00D922B4" w:rsidP="00243F6E">
            <w:pPr>
              <w:spacing w:before="60" w:after="60"/>
              <w:jc w:val="left"/>
            </w:pPr>
            <w:r>
              <w:t>April 2014 to March 2019</w:t>
            </w:r>
          </w:p>
        </w:tc>
        <w:tc>
          <w:tcPr>
            <w:tcW w:w="5103" w:type="dxa"/>
          </w:tcPr>
          <w:p w:rsidR="00C5192B" w:rsidRDefault="00D922B4" w:rsidP="00243F6E">
            <w:pPr>
              <w:spacing w:before="60" w:after="60"/>
              <w:jc w:val="left"/>
            </w:pPr>
            <w:r>
              <w:t>To be confirmed</w:t>
            </w:r>
          </w:p>
        </w:tc>
      </w:tr>
    </w:tbl>
    <w:p w:rsidR="00D03AD6" w:rsidRDefault="006A1A07" w:rsidP="00D03AD6">
      <w:pPr>
        <w:pStyle w:val="Heading1"/>
      </w:pPr>
      <w:bookmarkStart w:id="13" w:name="_Toc476822099"/>
      <w:r>
        <w:t>Research</w:t>
      </w:r>
      <w:r w:rsidR="00D03AD6" w:rsidRPr="006D7D89">
        <w:t xml:space="preserve"> </w:t>
      </w:r>
      <w:r w:rsidR="00533D50">
        <w:t>Set Up</w:t>
      </w:r>
      <w:r w:rsidR="00085240">
        <w:t xml:space="preserve">, </w:t>
      </w:r>
      <w:r w:rsidR="00533D50">
        <w:t xml:space="preserve">Management </w:t>
      </w:r>
      <w:r w:rsidR="00085240">
        <w:t xml:space="preserve">and </w:t>
      </w:r>
      <w:r w:rsidR="00D03AD6" w:rsidRPr="006D7D89">
        <w:t>Governance</w:t>
      </w:r>
      <w:bookmarkEnd w:id="13"/>
    </w:p>
    <w:p w:rsidR="00085240" w:rsidRPr="00085240" w:rsidRDefault="00085240" w:rsidP="00085240">
      <w:pPr>
        <w:pStyle w:val="Heading2"/>
        <w:rPr>
          <w:lang w:val="en-GB"/>
        </w:rPr>
      </w:pPr>
      <w:bookmarkStart w:id="14" w:name="_Toc476822100"/>
      <w:r w:rsidRPr="00085240">
        <w:rPr>
          <w:lang w:val="en-GB"/>
        </w:rPr>
        <w:t>Contract Review Processes</w:t>
      </w:r>
      <w:bookmarkEnd w:id="14"/>
    </w:p>
    <w:p w:rsidR="00085240" w:rsidRDefault="00085240" w:rsidP="00085240">
      <w:pPr>
        <w:rPr>
          <w:lang w:val="en-GB"/>
        </w:rPr>
      </w:pPr>
      <w:r w:rsidRPr="00085240">
        <w:rPr>
          <w:lang w:val="en-GB"/>
        </w:rPr>
        <w:t xml:space="preserve">An agreement between OHFT and OUHFT to undertake the review of non-standard or modified contracts from a legal perspective to ensure the Trust obligations are appropriate is ongoing and working effectively.  </w:t>
      </w:r>
    </w:p>
    <w:p w:rsidR="00085240" w:rsidRDefault="00085240" w:rsidP="00085240">
      <w:pPr>
        <w:pStyle w:val="Heading2"/>
      </w:pPr>
      <w:bookmarkStart w:id="15" w:name="_Toc476822101"/>
      <w:r>
        <w:t>Expressions of Interest</w:t>
      </w:r>
      <w:bookmarkEnd w:id="15"/>
    </w:p>
    <w:p w:rsidR="00085240" w:rsidRDefault="00085240" w:rsidP="00085240">
      <w:r w:rsidRPr="00AB5786">
        <w:t xml:space="preserve">The Trust regularly receives </w:t>
      </w:r>
      <w:r>
        <w:t>queries from commercial sponsors and researchers</w:t>
      </w:r>
      <w:r w:rsidRPr="00AB5786">
        <w:t xml:space="preserve"> to </w:t>
      </w:r>
      <w:r>
        <w:t>determine</w:t>
      </w:r>
      <w:r w:rsidRPr="00AB5786">
        <w:t xml:space="preserve"> </w:t>
      </w:r>
      <w:r>
        <w:t xml:space="preserve">OHFT </w:t>
      </w:r>
      <w:r w:rsidRPr="00AB5786">
        <w:t xml:space="preserve">interest or potential capacity </w:t>
      </w:r>
      <w:r>
        <w:t>within a</w:t>
      </w:r>
      <w:r w:rsidRPr="00AB5786">
        <w:t xml:space="preserve"> clinical service to deliver a research project.  Once completed the sponsor will determine whether they want to pursue the setting up of the study within the Trust and will conduct a site visit to review facilities etc.  Once the sponsor has satisfied their requirements it may lead to the set up and conduct of the study within the Trust.  </w:t>
      </w:r>
    </w:p>
    <w:p w:rsidR="00D25B5D" w:rsidRDefault="00D25B5D" w:rsidP="00085240"/>
    <w:p w:rsidR="00D25B5D" w:rsidRDefault="00D25B5D" w:rsidP="00085240"/>
    <w:p w:rsidR="00D25B5D" w:rsidRDefault="00D25B5D" w:rsidP="00085240"/>
    <w:tbl>
      <w:tblPr>
        <w:tblStyle w:val="TableGrid"/>
        <w:tblW w:w="9889" w:type="dxa"/>
        <w:tblLook w:val="04A0" w:firstRow="1" w:lastRow="0" w:firstColumn="1" w:lastColumn="0" w:noHBand="0" w:noVBand="1"/>
      </w:tblPr>
      <w:tblGrid>
        <w:gridCol w:w="3936"/>
        <w:gridCol w:w="2126"/>
        <w:gridCol w:w="1701"/>
        <w:gridCol w:w="2126"/>
      </w:tblGrid>
      <w:tr w:rsidR="00085240" w:rsidTr="00D25B5D">
        <w:trPr>
          <w:trHeight w:val="340"/>
        </w:trPr>
        <w:tc>
          <w:tcPr>
            <w:tcW w:w="3936" w:type="dxa"/>
            <w:shd w:val="clear" w:color="auto" w:fill="548DD4" w:themeFill="text2" w:themeFillTint="99"/>
          </w:tcPr>
          <w:p w:rsidR="00085240" w:rsidRDefault="00085240" w:rsidP="00C63D77"/>
        </w:tc>
        <w:tc>
          <w:tcPr>
            <w:tcW w:w="2126" w:type="dxa"/>
            <w:shd w:val="clear" w:color="auto" w:fill="548DD4" w:themeFill="text2" w:themeFillTint="99"/>
          </w:tcPr>
          <w:p w:rsidR="00085240" w:rsidRPr="00FA1D93" w:rsidRDefault="00085240" w:rsidP="00C63D77">
            <w:pPr>
              <w:jc w:val="center"/>
              <w:rPr>
                <w:b/>
                <w:color w:val="FFFFFF" w:themeColor="background1"/>
              </w:rPr>
            </w:pPr>
            <w:r w:rsidRPr="00FA1D93">
              <w:rPr>
                <w:b/>
                <w:color w:val="FFFFFF" w:themeColor="background1"/>
              </w:rPr>
              <w:t>1st April 2015 to 31st March 2016</w:t>
            </w:r>
          </w:p>
        </w:tc>
        <w:tc>
          <w:tcPr>
            <w:tcW w:w="1701" w:type="dxa"/>
            <w:shd w:val="clear" w:color="auto" w:fill="548DD4" w:themeFill="text2" w:themeFillTint="99"/>
          </w:tcPr>
          <w:p w:rsidR="00085240" w:rsidRPr="00FA1D93" w:rsidRDefault="00085240" w:rsidP="00C63D77">
            <w:pPr>
              <w:jc w:val="center"/>
              <w:rPr>
                <w:b/>
                <w:color w:val="FFFFFF" w:themeColor="background1"/>
              </w:rPr>
            </w:pPr>
            <w:r w:rsidRPr="00FA1D93">
              <w:rPr>
                <w:b/>
                <w:color w:val="FFFFFF" w:themeColor="background1"/>
              </w:rPr>
              <w:t>1st April 2016 to date</w:t>
            </w:r>
          </w:p>
        </w:tc>
        <w:tc>
          <w:tcPr>
            <w:tcW w:w="2126" w:type="dxa"/>
            <w:shd w:val="clear" w:color="auto" w:fill="548DD4" w:themeFill="text2" w:themeFillTint="99"/>
          </w:tcPr>
          <w:p w:rsidR="00085240" w:rsidRPr="00FA1D93" w:rsidRDefault="00085240" w:rsidP="00C63D77">
            <w:pPr>
              <w:jc w:val="center"/>
              <w:rPr>
                <w:b/>
                <w:color w:val="FFFFFF" w:themeColor="background1"/>
              </w:rPr>
            </w:pPr>
            <w:r>
              <w:rPr>
                <w:b/>
                <w:color w:val="FFFFFF" w:themeColor="background1"/>
              </w:rPr>
              <w:t>April 2016 to end of Feb 2017</w:t>
            </w:r>
          </w:p>
        </w:tc>
      </w:tr>
      <w:tr w:rsidR="00085240" w:rsidTr="00D25B5D">
        <w:trPr>
          <w:trHeight w:val="340"/>
        </w:trPr>
        <w:tc>
          <w:tcPr>
            <w:tcW w:w="3936" w:type="dxa"/>
          </w:tcPr>
          <w:p w:rsidR="00085240" w:rsidRDefault="00085240" w:rsidP="00C63D77">
            <w:r>
              <w:t>Number of Expressions of interest</w:t>
            </w:r>
          </w:p>
        </w:tc>
        <w:tc>
          <w:tcPr>
            <w:tcW w:w="2126" w:type="dxa"/>
          </w:tcPr>
          <w:p w:rsidR="00085240" w:rsidRDefault="00085240" w:rsidP="00C63D77">
            <w:pPr>
              <w:jc w:val="center"/>
            </w:pPr>
            <w:r>
              <w:t>101</w:t>
            </w:r>
          </w:p>
        </w:tc>
        <w:tc>
          <w:tcPr>
            <w:tcW w:w="1701" w:type="dxa"/>
          </w:tcPr>
          <w:p w:rsidR="00085240" w:rsidRDefault="00085240" w:rsidP="00C63D77">
            <w:pPr>
              <w:jc w:val="center"/>
            </w:pPr>
            <w:r>
              <w:t>44</w:t>
            </w:r>
          </w:p>
        </w:tc>
        <w:tc>
          <w:tcPr>
            <w:tcW w:w="2126" w:type="dxa"/>
          </w:tcPr>
          <w:p w:rsidR="00085240" w:rsidRDefault="00085240" w:rsidP="00C63D77">
            <w:pPr>
              <w:jc w:val="center"/>
            </w:pPr>
            <w:r>
              <w:t>73</w:t>
            </w:r>
          </w:p>
        </w:tc>
      </w:tr>
      <w:tr w:rsidR="00085240" w:rsidTr="00D25B5D">
        <w:trPr>
          <w:trHeight w:val="340"/>
        </w:trPr>
        <w:tc>
          <w:tcPr>
            <w:tcW w:w="3936" w:type="dxa"/>
          </w:tcPr>
          <w:p w:rsidR="00085240" w:rsidRDefault="00085240" w:rsidP="00C63D77">
            <w:r>
              <w:t>Number of Expressions of interest that led to study set up</w:t>
            </w:r>
          </w:p>
        </w:tc>
        <w:tc>
          <w:tcPr>
            <w:tcW w:w="2126" w:type="dxa"/>
          </w:tcPr>
          <w:p w:rsidR="00085240" w:rsidRDefault="00085240" w:rsidP="00C63D77">
            <w:pPr>
              <w:jc w:val="center"/>
            </w:pPr>
            <w:r>
              <w:t>67</w:t>
            </w:r>
          </w:p>
        </w:tc>
        <w:tc>
          <w:tcPr>
            <w:tcW w:w="1701" w:type="dxa"/>
          </w:tcPr>
          <w:p w:rsidR="00085240" w:rsidRDefault="00085240" w:rsidP="00C63D77">
            <w:pPr>
              <w:jc w:val="center"/>
            </w:pPr>
            <w:r>
              <w:t>6</w:t>
            </w:r>
          </w:p>
        </w:tc>
        <w:tc>
          <w:tcPr>
            <w:tcW w:w="2126" w:type="dxa"/>
          </w:tcPr>
          <w:p w:rsidR="00085240" w:rsidRDefault="00085240" w:rsidP="00C63D77">
            <w:pPr>
              <w:jc w:val="center"/>
            </w:pPr>
            <w:r>
              <w:t>25</w:t>
            </w:r>
          </w:p>
        </w:tc>
      </w:tr>
    </w:tbl>
    <w:p w:rsidR="00085240" w:rsidRPr="00085240" w:rsidRDefault="00085240" w:rsidP="00085240">
      <w:pPr>
        <w:pStyle w:val="Heading2"/>
        <w:rPr>
          <w:lang w:val="en-GB"/>
        </w:rPr>
      </w:pPr>
      <w:bookmarkStart w:id="16" w:name="_Toc476822102"/>
      <w:r>
        <w:rPr>
          <w:lang w:val="en-GB"/>
        </w:rPr>
        <w:t>Research Pipeline</w:t>
      </w:r>
      <w:bookmarkEnd w:id="16"/>
    </w:p>
    <w:p w:rsidR="00085240" w:rsidRDefault="00085240" w:rsidP="00085240">
      <w:pPr>
        <w:rPr>
          <w:lang w:val="en-GB"/>
        </w:rPr>
      </w:pPr>
      <w:r w:rsidRPr="00085240">
        <w:rPr>
          <w:lang w:val="en-GB"/>
        </w:rPr>
        <w:t xml:space="preserve">Routine </w:t>
      </w:r>
      <w:r>
        <w:rPr>
          <w:lang w:val="en-GB"/>
        </w:rPr>
        <w:t>p</w:t>
      </w:r>
      <w:r w:rsidRPr="00085240">
        <w:rPr>
          <w:lang w:val="en-GB"/>
        </w:rPr>
        <w:t>ipeline meetings ass</w:t>
      </w:r>
      <w:r>
        <w:rPr>
          <w:lang w:val="en-GB"/>
        </w:rPr>
        <w:t>ess capacity and capability of</w:t>
      </w:r>
      <w:r w:rsidRPr="00085240">
        <w:rPr>
          <w:lang w:val="en-GB"/>
        </w:rPr>
        <w:t xml:space="preserve"> clinical trial research</w:t>
      </w:r>
      <w:r>
        <w:rPr>
          <w:lang w:val="en-GB"/>
        </w:rPr>
        <w:t xml:space="preserve"> taking place within the Trust.   This</w:t>
      </w:r>
      <w:r w:rsidRPr="00085240">
        <w:rPr>
          <w:lang w:val="en-GB"/>
        </w:rPr>
        <w:t xml:space="preserve"> requires specific directorate and finance autho</w:t>
      </w:r>
      <w:r>
        <w:rPr>
          <w:lang w:val="en-GB"/>
        </w:rPr>
        <w:t>rization for most</w:t>
      </w:r>
      <w:r w:rsidRPr="00085240">
        <w:rPr>
          <w:lang w:val="en-GB"/>
        </w:rPr>
        <w:t xml:space="preserve"> studies.  If the study is a clinical trial involving drugs feasibility will also be assessed by the CRF Clinical Lead, Division 4 Research Delivery Manager and the NIHR Mental Health Lead, TV&amp;SMCRN.</w:t>
      </w:r>
    </w:p>
    <w:p w:rsidR="00085240" w:rsidRPr="00085240" w:rsidRDefault="00085240" w:rsidP="00085240">
      <w:pPr>
        <w:pStyle w:val="Heading2"/>
        <w:rPr>
          <w:lang w:val="en-GB"/>
        </w:rPr>
      </w:pPr>
      <w:bookmarkStart w:id="17" w:name="_Toc476822103"/>
      <w:r>
        <w:rPr>
          <w:lang w:val="en-GB"/>
        </w:rPr>
        <w:t>Health Research Authority (HRA)</w:t>
      </w:r>
      <w:bookmarkEnd w:id="17"/>
    </w:p>
    <w:p w:rsidR="00085240" w:rsidRDefault="00085240" w:rsidP="00085240">
      <w:r>
        <w:t xml:space="preserve">The new HRA process has not been without its issues and has taken some time to bed in and for Trusts to fully understand the implications and to develop new systems to accommodate this new process.  The HRA has been inundated with requests for approvals and has acknowledged a large backlog of studies that are now being cleared and processing times are now coming down.  However unlike the Research Ethics Committees, the HRA are not restricted by timelines so the ability of researchers to predict the timeframe for HRA approval to be completed is somewhat limited. </w:t>
      </w:r>
    </w:p>
    <w:p w:rsidR="00085240" w:rsidRDefault="00085240" w:rsidP="00085240">
      <w:r>
        <w:t>In terms of the R&amp;D office processes it is expected that Sponsors to provide a completed Statement of Activity (SoA) form at the earliest opportunity to the R&amp;D office.</w:t>
      </w:r>
    </w:p>
    <w:p w:rsidR="00085240" w:rsidRDefault="00085240" w:rsidP="00085240">
      <w:r>
        <w:t>The R&amp;D office will ensure that an appropriate feasibility assessment is completed, ahead of HRA approval being issued.  Once HRA approval is in place the R&amp;D office will issue a letter confirming capacity and capability.  In addition the Trust will provide the sponsor with a pdf copy of the agreed SoA form, which will form an agreement between the Trust and the sponsor for the research project ahead of the research commencing.  The SoA form should be the same version as that listed in the HRA approval letter via the Pipeline Meetings attended by the Head of R&amp;D Finance, the Research Support Manager, CRF manager/s and the Research Delivery Manager (CRN: TVSM)</w:t>
      </w:r>
    </w:p>
    <w:p w:rsidR="00085240" w:rsidRDefault="00085240" w:rsidP="00085240">
      <w:r>
        <w:t>If the sponsor requires a more formal contract to be in place then the sponsor should forward a copy of the agreement to the R&amp;D office at the earliest opportunity.  The Trust will expect sponsors to use the standard commercial and non-commercial model agreements to be used where appropriate. A full costing template will need to be completed and provided at the same time to enable the contract and costing review to commence ahead of HRA approval.  Once the contract is fully executed the Trust will issue a formal letter confirming capacity and capability ahead of the research commencing.</w:t>
      </w:r>
    </w:p>
    <w:p w:rsidR="00085240" w:rsidRDefault="00085240" w:rsidP="00085240">
      <w:r>
        <w:lastRenderedPageBreak/>
        <w:t>The R&amp;D office will work with researchers and sponsors to ensure a swift process of confirming the Trust’s capacity and capability to deliver the study to time and target.  The team require that authorisation has been obtained from the appropriate Service Director, responsible for the Directorate where the research activity will take place before Trust Management Approval is provided to the research team.</w:t>
      </w:r>
    </w:p>
    <w:p w:rsidR="00085240" w:rsidRDefault="00085240" w:rsidP="00085240">
      <w:pPr>
        <w:pStyle w:val="Heading2"/>
      </w:pPr>
      <w:bookmarkStart w:id="18" w:name="_Toc476822104"/>
      <w:r>
        <w:t>Study Data Capture</w:t>
      </w:r>
      <w:bookmarkEnd w:id="18"/>
    </w:p>
    <w:p w:rsidR="00085240" w:rsidRDefault="00085240" w:rsidP="00085240">
      <w:r w:rsidRPr="00085240">
        <w:t xml:space="preserve">The </w:t>
      </w:r>
      <w:r>
        <w:t>R&amp;D office</w:t>
      </w:r>
      <w:r w:rsidRPr="00085240">
        <w:t xml:space="preserve"> rec</w:t>
      </w:r>
      <w:r>
        <w:t>eived an updated version of the</w:t>
      </w:r>
      <w:r w:rsidRPr="00085240">
        <w:t xml:space="preserve"> Research Portfolio Management System (RPMS) in January 2017</w:t>
      </w:r>
      <w:r>
        <w:t>.</w:t>
      </w:r>
      <w:r w:rsidRPr="00085240">
        <w:t xml:space="preserve"> The RPMS runs on the OXNET server, a secure NHS server system.  The updated database has some new and enhanced functions and will be used to its full potential to provide reports and data on research activity, including recruitment, to ensure a more robust and accurate understanding of research activity taking place within the Trust.  The R&amp;D </w:t>
      </w:r>
      <w:r>
        <w:t xml:space="preserve">office </w:t>
      </w:r>
      <w:r w:rsidRPr="00085240">
        <w:t xml:space="preserve">are being supported by </w:t>
      </w:r>
      <w:r>
        <w:t>the system developer</w:t>
      </w:r>
      <w:r w:rsidRPr="00085240">
        <w:t xml:space="preserve"> to ensure a speedy understanding and usage of the new system.</w:t>
      </w:r>
    </w:p>
    <w:p w:rsidR="0024251F" w:rsidRDefault="0024251F" w:rsidP="0024251F">
      <w:pPr>
        <w:pStyle w:val="Heading2"/>
      </w:pPr>
      <w:bookmarkStart w:id="19" w:name="_Toc476822105"/>
      <w:r>
        <w:t>Monitoring and Auditing of Research Projects</w:t>
      </w:r>
      <w:bookmarkEnd w:id="19"/>
    </w:p>
    <w:p w:rsidR="0024251F" w:rsidRDefault="0024251F" w:rsidP="0024251F">
      <w:r>
        <w:t>Auditing visits for a number of studies hosted by the Trust have been arranged and will shortly take place for some of the Trust hosted research projects.</w:t>
      </w:r>
    </w:p>
    <w:p w:rsidR="0024251F" w:rsidRDefault="0024251F" w:rsidP="0024251F">
      <w:pPr>
        <w:pStyle w:val="Heading2"/>
      </w:pPr>
      <w:bookmarkStart w:id="20" w:name="_Toc476822106"/>
      <w:r>
        <w:t>Safety Reporting</w:t>
      </w:r>
      <w:bookmarkEnd w:id="20"/>
    </w:p>
    <w:p w:rsidR="0024251F" w:rsidRDefault="0024251F" w:rsidP="0024251F">
      <w:r w:rsidRPr="0024251F">
        <w:t xml:space="preserve">The safety </w:t>
      </w:r>
      <w:r>
        <w:t>group</w:t>
      </w:r>
      <w:r w:rsidRPr="0024251F">
        <w:t xml:space="preserve"> has been assessing </w:t>
      </w:r>
      <w:r>
        <w:t>serious adverse events (</w:t>
      </w:r>
      <w:r w:rsidRPr="0024251F">
        <w:t>SAE</w:t>
      </w:r>
      <w:r>
        <w:t>)</w:t>
      </w:r>
      <w:r w:rsidRPr="0024251F">
        <w:t xml:space="preserve"> reports for trends and potential areas of concern.  A report was presented of all SAEs logged for review by the SC to the newly created Research Management Group meeting in January 2017.  The Trust’s Ulysses system also provides details on serious adverse events involving Trust patients and is an additional system for maintaining patient safety oversight.  </w:t>
      </w:r>
    </w:p>
    <w:p w:rsidR="00D03AD6" w:rsidRDefault="009B51DB" w:rsidP="006D7D89">
      <w:pPr>
        <w:pStyle w:val="Heading1"/>
      </w:pPr>
      <w:bookmarkStart w:id="21" w:name="_Toc476822107"/>
      <w:r w:rsidRPr="00AB2DE4">
        <w:t>Studies and Participant Recruitment</w:t>
      </w:r>
      <w:bookmarkEnd w:id="21"/>
    </w:p>
    <w:p w:rsidR="0024251F" w:rsidRDefault="0024251F" w:rsidP="0024251F">
      <w:pPr>
        <w:pStyle w:val="Heading2"/>
        <w:rPr>
          <w:lang w:val="en-GB"/>
        </w:rPr>
      </w:pPr>
      <w:bookmarkStart w:id="22" w:name="_Toc476822108"/>
      <w:r>
        <w:rPr>
          <w:lang w:val="en-GB"/>
        </w:rPr>
        <w:t>Studies</w:t>
      </w:r>
      <w:bookmarkEnd w:id="22"/>
    </w:p>
    <w:p w:rsidR="0024251F" w:rsidRDefault="0024251F" w:rsidP="0024251F">
      <w:pPr>
        <w:rPr>
          <w:lang w:val="en-GB"/>
        </w:rPr>
      </w:pPr>
      <w:r w:rsidRPr="0024251F">
        <w:rPr>
          <w:lang w:val="en-GB"/>
        </w:rPr>
        <w:t>The number of research studies ongoing within the Trust at the end of Jan 2017 was 104, 60 of which are adopted onto the NIHR portfolio.  The graph below shows the increase in the number of portfolio studies over the last six years</w:t>
      </w:r>
      <w:r>
        <w:rPr>
          <w:lang w:val="en-GB"/>
        </w:rPr>
        <w:t>.</w:t>
      </w:r>
    </w:p>
    <w:p w:rsidR="0024251F" w:rsidRPr="0024251F" w:rsidRDefault="0024251F" w:rsidP="0024251F">
      <w:pPr>
        <w:jc w:val="center"/>
        <w:rPr>
          <w:lang w:val="en-GB"/>
        </w:rPr>
      </w:pPr>
      <w:r>
        <w:rPr>
          <w:noProof/>
          <w:lang w:val="en-GB" w:eastAsia="en-GB"/>
        </w:rPr>
        <w:lastRenderedPageBreak/>
        <w:drawing>
          <wp:inline distT="0" distB="0" distL="0" distR="0" wp14:anchorId="52C352D1" wp14:editId="2A4CEDAD">
            <wp:extent cx="5039832" cy="3058824"/>
            <wp:effectExtent l="0" t="0" r="889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1582" cy="3059886"/>
                    </a:xfrm>
                    <a:prstGeom prst="rect">
                      <a:avLst/>
                    </a:prstGeom>
                    <a:noFill/>
                  </pic:spPr>
                </pic:pic>
              </a:graphicData>
            </a:graphic>
          </wp:inline>
        </w:drawing>
      </w:r>
    </w:p>
    <w:p w:rsidR="0024251F" w:rsidRDefault="0024251F" w:rsidP="0024251F">
      <w:pPr>
        <w:pStyle w:val="Heading2"/>
        <w:rPr>
          <w:lang w:val="en-GB"/>
        </w:rPr>
      </w:pPr>
      <w:bookmarkStart w:id="23" w:name="_Toc476822109"/>
      <w:r>
        <w:rPr>
          <w:lang w:val="en-GB"/>
        </w:rPr>
        <w:t>Participant Recruitment</w:t>
      </w:r>
      <w:bookmarkEnd w:id="23"/>
    </w:p>
    <w:p w:rsidR="0024251F" w:rsidRDefault="0024251F" w:rsidP="0024251F">
      <w:pPr>
        <w:rPr>
          <w:lang w:val="en-GB"/>
        </w:rPr>
      </w:pPr>
      <w:r w:rsidRPr="0024251F">
        <w:rPr>
          <w:lang w:val="en-GB"/>
        </w:rPr>
        <w:t xml:space="preserve">The figure below shows the number of participants recruited to research studies over the past six years.  The NIHR publishes league tables on an annual basis and these appear different to the figures collected internally due to reporting differences and potential lag time.  Currently the number of participants recruited to NIHR portfolio studies </w:t>
      </w:r>
      <w:r w:rsidR="002F00D2">
        <w:rPr>
          <w:lang w:val="en-GB"/>
        </w:rPr>
        <w:t>to date for</w:t>
      </w:r>
      <w:r w:rsidRPr="0024251F">
        <w:rPr>
          <w:lang w:val="en-GB"/>
        </w:rPr>
        <w:t xml:space="preserve"> 2016/201</w:t>
      </w:r>
      <w:r>
        <w:rPr>
          <w:lang w:val="en-GB"/>
        </w:rPr>
        <w:t>7</w:t>
      </w:r>
      <w:r w:rsidR="002F00D2">
        <w:rPr>
          <w:lang w:val="en-GB"/>
        </w:rPr>
        <w:t xml:space="preserve"> is estimated to be 1639</w:t>
      </w:r>
      <w:r w:rsidRPr="0024251F">
        <w:rPr>
          <w:lang w:val="en-GB"/>
        </w:rPr>
        <w:t xml:space="preserve"> into NIHR portfolio studies and </w:t>
      </w:r>
      <w:r w:rsidR="002F00D2">
        <w:rPr>
          <w:lang w:val="en-GB"/>
        </w:rPr>
        <w:t>342</w:t>
      </w:r>
      <w:r w:rsidRPr="0024251F">
        <w:rPr>
          <w:lang w:val="en-GB"/>
        </w:rPr>
        <w:t xml:space="preserve"> participants into non portfolio studies.  </w:t>
      </w:r>
      <w:r w:rsidR="002F00D2">
        <w:rPr>
          <w:lang w:val="en-GB"/>
        </w:rPr>
        <w:t>The data was migrated between two systems during the years, although data has not been lost work is ongoing to ensure accurate capture of recruitment figures.</w:t>
      </w:r>
    </w:p>
    <w:p w:rsidR="0024251F" w:rsidRDefault="0024251F" w:rsidP="0024251F">
      <w:pPr>
        <w:jc w:val="center"/>
        <w:rPr>
          <w:lang w:val="en-GB"/>
        </w:rPr>
      </w:pPr>
      <w:r>
        <w:rPr>
          <w:noProof/>
          <w:lang w:val="en-GB" w:eastAsia="en-GB"/>
        </w:rPr>
        <w:drawing>
          <wp:inline distT="0" distB="0" distL="0" distR="0" wp14:anchorId="6446BFD7" wp14:editId="093A8B94">
            <wp:extent cx="4584700" cy="27559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1759F2" w:rsidRDefault="00533D50" w:rsidP="00533D50">
      <w:pPr>
        <w:pStyle w:val="Heading2"/>
        <w:rPr>
          <w:lang w:val="en-GB"/>
        </w:rPr>
      </w:pPr>
      <w:bookmarkStart w:id="24" w:name="_Toc476822110"/>
      <w:r>
        <w:rPr>
          <w:lang w:val="en-GB"/>
        </w:rPr>
        <w:lastRenderedPageBreak/>
        <w:t>NIHR Metrics and Targets</w:t>
      </w:r>
      <w:bookmarkEnd w:id="24"/>
    </w:p>
    <w:p w:rsidR="0024251F" w:rsidRDefault="0024251F" w:rsidP="0024251F">
      <w:pPr>
        <w:rPr>
          <w:lang w:val="en-GB"/>
        </w:rPr>
      </w:pPr>
      <w:r w:rsidRPr="0024251F">
        <w:rPr>
          <w:lang w:val="en-GB"/>
        </w:rPr>
        <w:t xml:space="preserve">NHS organisations are expected to provide the NIHR with quarterly Performance Initiation and Delivery (PID) reports, detailing the number of studies that recruit the first participant into a clinical trial within 70 days of the organisation receiving a valid research application  and the number of </w:t>
      </w:r>
      <w:r w:rsidR="00D078D4">
        <w:rPr>
          <w:lang w:val="en-GB"/>
        </w:rPr>
        <w:t xml:space="preserve">commercially sponsored and funded </w:t>
      </w:r>
      <w:r w:rsidRPr="0024251F">
        <w:rPr>
          <w:lang w:val="en-GB"/>
        </w:rPr>
        <w:t xml:space="preserve">studies recruiting the expected number of participants (time to target).  </w:t>
      </w:r>
    </w:p>
    <w:p w:rsidR="0024251F" w:rsidRDefault="0024251F" w:rsidP="0024251F">
      <w:pPr>
        <w:rPr>
          <w:lang w:val="en-GB"/>
        </w:rPr>
      </w:pPr>
      <w:r>
        <w:rPr>
          <w:lang w:val="en-GB"/>
        </w:rPr>
        <w:t xml:space="preserve">Of the eight </w:t>
      </w:r>
      <w:r w:rsidR="00D078D4">
        <w:rPr>
          <w:lang w:val="en-GB"/>
        </w:rPr>
        <w:t xml:space="preserve">clinical </w:t>
      </w:r>
      <w:r>
        <w:rPr>
          <w:lang w:val="en-GB"/>
        </w:rPr>
        <w:t xml:space="preserve">trials submitted to the NIHR for initiating research, five were included in the analysis and all five met the target of recruiting the first participant within 70 days.  </w:t>
      </w:r>
    </w:p>
    <w:p w:rsidR="0024251F" w:rsidRPr="0024251F" w:rsidRDefault="0024251F" w:rsidP="0024251F">
      <w:pPr>
        <w:rPr>
          <w:lang w:val="en-GB"/>
        </w:rPr>
      </w:pPr>
      <w:r>
        <w:rPr>
          <w:lang w:val="en-GB"/>
        </w:rPr>
        <w:t>Two trials were included in the analysis for the time to target metrics</w:t>
      </w:r>
      <w:r w:rsidR="00D078D4">
        <w:rPr>
          <w:lang w:val="en-GB"/>
        </w:rPr>
        <w:t xml:space="preserve"> of commercially sponsored and funded </w:t>
      </w:r>
      <w:r>
        <w:rPr>
          <w:lang w:val="en-GB"/>
        </w:rPr>
        <w:t>studies</w:t>
      </w:r>
      <w:r w:rsidR="00D078D4">
        <w:rPr>
          <w:lang w:val="en-GB"/>
        </w:rPr>
        <w:t>, of which both</w:t>
      </w:r>
      <w:r>
        <w:rPr>
          <w:lang w:val="en-GB"/>
        </w:rPr>
        <w:t xml:space="preserve"> had met the target recruitment upon study closure.</w:t>
      </w:r>
    </w:p>
    <w:p w:rsidR="0024251F" w:rsidRDefault="0024251F" w:rsidP="0024251F">
      <w:pPr>
        <w:rPr>
          <w:lang w:val="en-GB"/>
        </w:rPr>
      </w:pPr>
      <w:r w:rsidRPr="0024251F">
        <w:rPr>
          <w:lang w:val="en-GB"/>
        </w:rPr>
        <w:t>There is an expectation that these metrics will continue under the new HRA system, although data on ‘receipt of a full research document set’ is more difficult to capture due to this new process.</w:t>
      </w:r>
    </w:p>
    <w:p w:rsidR="0024251F" w:rsidRDefault="0024251F" w:rsidP="0024251F">
      <w:pPr>
        <w:rPr>
          <w:lang w:val="en-GB"/>
        </w:rPr>
      </w:pPr>
    </w:p>
    <w:p w:rsidR="0024251F" w:rsidRPr="0024251F" w:rsidRDefault="0024251F" w:rsidP="0024251F">
      <w:pPr>
        <w:jc w:val="center"/>
        <w:rPr>
          <w:lang w:val="en-GB"/>
        </w:rPr>
      </w:pPr>
      <w:r>
        <w:rPr>
          <w:noProof/>
          <w:lang w:val="en-GB" w:eastAsia="en-GB"/>
        </w:rPr>
        <w:drawing>
          <wp:inline distT="0" distB="0" distL="0" distR="0" wp14:anchorId="26095288" wp14:editId="4EAFF3DD">
            <wp:extent cx="4780040" cy="2473173"/>
            <wp:effectExtent l="0" t="0" r="190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88862" cy="2477737"/>
                    </a:xfrm>
                    <a:prstGeom prst="rect">
                      <a:avLst/>
                    </a:prstGeom>
                    <a:noFill/>
                  </pic:spPr>
                </pic:pic>
              </a:graphicData>
            </a:graphic>
          </wp:inline>
        </w:drawing>
      </w:r>
    </w:p>
    <w:p w:rsidR="00005A07" w:rsidRPr="000D70C4" w:rsidRDefault="00005A07" w:rsidP="009F05D8">
      <w:pPr>
        <w:pStyle w:val="Heading1"/>
      </w:pPr>
      <w:bookmarkStart w:id="25" w:name="_Toc476822111"/>
      <w:r w:rsidRPr="000D70C4">
        <w:t>Pharmacy</w:t>
      </w:r>
      <w:bookmarkEnd w:id="25"/>
    </w:p>
    <w:p w:rsidR="000D70C4" w:rsidRPr="000D70C4" w:rsidRDefault="000D70C4" w:rsidP="000D70C4">
      <w:r w:rsidRPr="000D70C4">
        <w:t>There are currently 17 Clinical trials of I</w:t>
      </w:r>
      <w:r>
        <w:t xml:space="preserve">nvestigational </w:t>
      </w:r>
      <w:r w:rsidRPr="000D70C4">
        <w:t>M</w:t>
      </w:r>
      <w:r>
        <w:t xml:space="preserve">edicinal </w:t>
      </w:r>
      <w:r w:rsidRPr="000D70C4">
        <w:t>P</w:t>
      </w:r>
      <w:r>
        <w:t>roduct</w:t>
      </w:r>
      <w:r w:rsidRPr="000D70C4">
        <w:t xml:space="preserve">s (CTIMPs) open for recruitment, with another </w:t>
      </w:r>
      <w:r>
        <w:t>three</w:t>
      </w:r>
      <w:r w:rsidRPr="000D70C4">
        <w:t xml:space="preserve"> in contract negotiotions.  Most of the medicines for these studies are stored at CPSU in Kennington, where they are managed by the pharmacy clinical trials team.  </w:t>
      </w:r>
    </w:p>
    <w:p w:rsidR="000D70C4" w:rsidRPr="000D70C4" w:rsidRDefault="000D70C4" w:rsidP="000D70C4">
      <w:r>
        <w:t xml:space="preserve">There is one CTIMP </w:t>
      </w:r>
      <w:r w:rsidRPr="000D70C4">
        <w:t xml:space="preserve">recruiting patients from Abingdon Out of Hours </w:t>
      </w:r>
      <w:r>
        <w:t xml:space="preserve">(OOH) </w:t>
      </w:r>
      <w:r w:rsidRPr="000D70C4">
        <w:t xml:space="preserve">service and in that case the clinical trials medicines are stored in the OOH site.  The lead research pharmacist was involved in setting up this trial on this site.  Further clinical trials are being considered for this site.  </w:t>
      </w:r>
    </w:p>
    <w:p w:rsidR="000D70C4" w:rsidRPr="000D70C4" w:rsidRDefault="000D70C4" w:rsidP="000D70C4">
      <w:pPr>
        <w:rPr>
          <w:b/>
          <w:sz w:val="28"/>
          <w:szCs w:val="20"/>
          <w:u w:val="single"/>
        </w:rPr>
      </w:pPr>
      <w:r w:rsidRPr="000D70C4">
        <w:t xml:space="preserve">There are plans in place to develop the ECT suite at the Whiteleaf as a site for hosting clinical trials of medicines.  Currently the plan is for these clinical trial medicines to be stored and dispensed from CPSU, Kennington.  In time there may be scope to develop a </w:t>
      </w:r>
      <w:r w:rsidRPr="000D70C4">
        <w:lastRenderedPageBreak/>
        <w:t>temperature controlled storage area at the Whiteleaf centre, where clinical trial medicines could be kept.</w:t>
      </w:r>
    </w:p>
    <w:p w:rsidR="009F05D8" w:rsidRDefault="009F05D8" w:rsidP="000D70C4">
      <w:pPr>
        <w:pStyle w:val="Heading1"/>
      </w:pPr>
      <w:bookmarkStart w:id="26" w:name="_Toc476822112"/>
      <w:r w:rsidRPr="004B5709">
        <w:t>C</w:t>
      </w:r>
      <w:r w:rsidR="009672E7" w:rsidRPr="004B5709">
        <w:t>ase</w:t>
      </w:r>
      <w:r w:rsidRPr="004B5709">
        <w:t xml:space="preserve"> Records Interactive Search</w:t>
      </w:r>
      <w:r w:rsidR="00367C18" w:rsidRPr="004B5709">
        <w:t xml:space="preserve"> (CRIS)</w:t>
      </w:r>
      <w:bookmarkEnd w:id="26"/>
    </w:p>
    <w:p w:rsidR="00533D50" w:rsidRPr="00533D50" w:rsidRDefault="00533D50" w:rsidP="00533D50">
      <w:pPr>
        <w:rPr>
          <w:lang w:val="en-GB"/>
        </w:rPr>
      </w:pPr>
      <w:r w:rsidRPr="00533D50">
        <w:rPr>
          <w:lang w:val="en-GB"/>
        </w:rPr>
        <w:t xml:space="preserve">CRIS Oversight Group meetings are attended monthly to discuss submitted applications and monitor the audit of CRIS searches.  The group is chaired by the Medical Director and Caldicott Guardian and is attended by the CRIS Coordinator, Director of IT, Head of Information Governance, Head of R&amp;D, two Carer/patient representatives, representatives from the trust Clinical Directorates, Trust Audit Team and University.  </w:t>
      </w:r>
    </w:p>
    <w:p w:rsidR="00533D50" w:rsidRPr="00533D50" w:rsidRDefault="00533D50" w:rsidP="00533D50">
      <w:pPr>
        <w:rPr>
          <w:lang w:val="en-GB"/>
        </w:rPr>
      </w:pPr>
      <w:r w:rsidRPr="00533D50">
        <w:rPr>
          <w:lang w:val="en-GB"/>
        </w:rPr>
        <w:t>To date 10 applications have been approved by the Oversight Group, 8 of which are research questions, one service evaluation and one clinical audit question.  CRIS users currently have access to a static data set from five years of Rio electronic health records and testing has now started on UK CRIS which will move to a live data set via CareNote and it will also offer opportunities for federated searches with the participating UK CRIS Trusts.  The planned live date for UK CRIS is now 31st March 2017.</w:t>
      </w:r>
    </w:p>
    <w:p w:rsidR="00533D50" w:rsidRPr="00533D50" w:rsidRDefault="00533D50" w:rsidP="00533D50">
      <w:pPr>
        <w:rPr>
          <w:lang w:val="en-GB"/>
        </w:rPr>
      </w:pPr>
      <w:r w:rsidRPr="00533D50">
        <w:rPr>
          <w:lang w:val="en-GB"/>
        </w:rPr>
        <w:t xml:space="preserve">The service evaluation search is now complete and a report has been submitted to the Trust’s Drugs &amp; Therapeutics Group.  It will be used along with other supporting information relating to lisedaxamfetamine (evidence, licence etc) to make a request to Area prescribing committees in Oxfordshire and Buckinghamshire to include the drug in our shared care guidelines for ADHD. </w:t>
      </w:r>
    </w:p>
    <w:p w:rsidR="00533D50" w:rsidRPr="00533D50" w:rsidRDefault="00533D50" w:rsidP="00533D50">
      <w:pPr>
        <w:rPr>
          <w:lang w:val="en-GB"/>
        </w:rPr>
      </w:pPr>
      <w:r w:rsidRPr="00533D50">
        <w:rPr>
          <w:lang w:val="en-GB"/>
        </w:rPr>
        <w:t>The CRIS coordinator (Tanya Smith) is currently working closely with researchers, Trust clinicians and the clinical audit team to further promote CRIS.  She ran two workshops at the Annual Medical Staffing Conference on 5th October 2016 at Sudbury House Hotel in Faringdon which provided an overview of CRIS to encourage further applications.  She has received further interest after this conference.</w:t>
      </w:r>
    </w:p>
    <w:p w:rsidR="00533D50" w:rsidRPr="00533D50" w:rsidRDefault="00533D50" w:rsidP="00533D50">
      <w:pPr>
        <w:rPr>
          <w:lang w:val="en-GB"/>
        </w:rPr>
      </w:pPr>
      <w:r>
        <w:rPr>
          <w:lang w:val="en-GB"/>
        </w:rPr>
        <w:t>There are</w:t>
      </w:r>
      <w:r w:rsidRPr="00533D50">
        <w:rPr>
          <w:lang w:val="en-GB"/>
        </w:rPr>
        <w:t xml:space="preserve"> now have a number of natural language processing (NLP) collaborations set up and further collaborations are also still in progress.  These will provide the CRIS users with an automatic text reading facility for extracting relevant data from the free text fields within CRIS.  Agreements have been set up via the research passport system for our collaborators at Manchester University and research passports are in progress for researcher at Wolverhampton University.  All authorised researchers are provided with a virtual desktop, created by the Trust IT department, which restricts both access to the data and prevents the data from being removed from the Trust firewalls.  </w:t>
      </w:r>
    </w:p>
    <w:p w:rsidR="00533D50" w:rsidRPr="00533D50" w:rsidRDefault="00533D50" w:rsidP="00533D50">
      <w:pPr>
        <w:rPr>
          <w:lang w:val="en-GB"/>
        </w:rPr>
      </w:pPr>
      <w:r w:rsidRPr="00533D50">
        <w:rPr>
          <w:lang w:val="en-GB"/>
        </w:rPr>
        <w:t>Consent for Contact is still in progress.  CareNotes has now been updated to allow this information can be captured, in accordance with the CRIS ethics application.  Once UK CRIS goes live the clinical teams will be contacted regarding this process.</w:t>
      </w:r>
    </w:p>
    <w:p w:rsidR="005A49DB" w:rsidRPr="00C14366" w:rsidRDefault="005A49DB" w:rsidP="005A49DB">
      <w:pPr>
        <w:pStyle w:val="Heading1"/>
      </w:pPr>
      <w:bookmarkStart w:id="27" w:name="_Ref476044542"/>
      <w:bookmarkStart w:id="28" w:name="_Toc476822113"/>
      <w:r w:rsidRPr="00C14366">
        <w:t>Trust Governance and Reporting Mechanisms</w:t>
      </w:r>
      <w:bookmarkEnd w:id="27"/>
      <w:bookmarkEnd w:id="28"/>
    </w:p>
    <w:p w:rsidR="00283916" w:rsidRPr="00283916" w:rsidRDefault="00E8138D" w:rsidP="00283916">
      <w:r>
        <w:rPr>
          <w:lang w:val="en-GB"/>
        </w:rPr>
        <w:t xml:space="preserve">With the coming on line of the BRC funding </w:t>
      </w:r>
      <w:r w:rsidR="00243F6E">
        <w:rPr>
          <w:lang w:val="en-GB"/>
        </w:rPr>
        <w:t>it seems like the ideal opportunity to bring together stakeholders from research interested parties on a regular basis.  Therefore a Research Management Group (RMG)</w:t>
      </w:r>
      <w:r w:rsidR="00283916">
        <w:rPr>
          <w:lang w:val="en-GB"/>
        </w:rPr>
        <w:t xml:space="preserve">.  </w:t>
      </w:r>
      <w:r w:rsidR="00243F6E">
        <w:rPr>
          <w:lang w:val="en-GB"/>
        </w:rPr>
        <w:t xml:space="preserve"> </w:t>
      </w:r>
      <w:r w:rsidR="00283916" w:rsidRPr="00283916">
        <w:t xml:space="preserve">The RMG is constituted as a stakeholder committee of those involved in research across the geographical coverage of Oxford Health NHS FT. </w:t>
      </w:r>
    </w:p>
    <w:p w:rsidR="00243F6E" w:rsidRPr="00283916" w:rsidRDefault="00243F6E" w:rsidP="00283916">
      <w:pPr>
        <w:pStyle w:val="ListParagraph"/>
        <w:numPr>
          <w:ilvl w:val="0"/>
          <w:numId w:val="28"/>
        </w:numPr>
        <w:spacing w:before="60" w:after="60"/>
        <w:ind w:left="714" w:hanging="357"/>
        <w:rPr>
          <w:lang w:val="en-GB"/>
        </w:rPr>
      </w:pPr>
      <w:r w:rsidRPr="00283916">
        <w:rPr>
          <w:lang w:val="en-GB"/>
        </w:rPr>
        <w:lastRenderedPageBreak/>
        <w:t>OHFT R&amp;D</w:t>
      </w:r>
    </w:p>
    <w:p w:rsidR="00243F6E" w:rsidRPr="00283916" w:rsidRDefault="00243F6E" w:rsidP="00283916">
      <w:pPr>
        <w:pStyle w:val="ListParagraph"/>
        <w:numPr>
          <w:ilvl w:val="0"/>
          <w:numId w:val="28"/>
        </w:numPr>
        <w:spacing w:before="60" w:after="60"/>
        <w:ind w:left="714" w:hanging="357"/>
        <w:rPr>
          <w:lang w:val="en-GB"/>
        </w:rPr>
      </w:pPr>
      <w:r w:rsidRPr="00283916">
        <w:rPr>
          <w:lang w:val="en-GB"/>
        </w:rPr>
        <w:t>OHFT Clinical Directorates</w:t>
      </w:r>
    </w:p>
    <w:p w:rsidR="00283916" w:rsidRPr="00283916" w:rsidRDefault="00283916" w:rsidP="00283916">
      <w:pPr>
        <w:pStyle w:val="ListParagraph"/>
        <w:numPr>
          <w:ilvl w:val="0"/>
          <w:numId w:val="28"/>
        </w:numPr>
        <w:spacing w:before="60" w:after="60"/>
        <w:ind w:left="714" w:hanging="357"/>
        <w:rPr>
          <w:lang w:val="en-GB"/>
        </w:rPr>
      </w:pPr>
      <w:r w:rsidRPr="00283916">
        <w:rPr>
          <w:lang w:val="en-GB"/>
        </w:rPr>
        <w:t>OHFT Biomedical Research Centre</w:t>
      </w:r>
      <w:r>
        <w:rPr>
          <w:lang w:val="en-GB"/>
        </w:rPr>
        <w:t xml:space="preserve"> (BRC)</w:t>
      </w:r>
    </w:p>
    <w:p w:rsidR="00283916" w:rsidRPr="00283916" w:rsidRDefault="00283916" w:rsidP="00283916">
      <w:pPr>
        <w:pStyle w:val="ListParagraph"/>
        <w:numPr>
          <w:ilvl w:val="0"/>
          <w:numId w:val="28"/>
        </w:numPr>
        <w:spacing w:before="60" w:after="60"/>
        <w:ind w:left="714" w:hanging="357"/>
        <w:rPr>
          <w:lang w:val="en-GB"/>
        </w:rPr>
      </w:pPr>
      <w:r w:rsidRPr="00283916">
        <w:rPr>
          <w:lang w:val="en-GB"/>
        </w:rPr>
        <w:t xml:space="preserve">Clinical Research Facility </w:t>
      </w:r>
      <w:r>
        <w:rPr>
          <w:lang w:val="en-GB"/>
        </w:rPr>
        <w:t>(CRF)</w:t>
      </w:r>
    </w:p>
    <w:p w:rsidR="00283916" w:rsidRPr="00283916" w:rsidRDefault="00283916" w:rsidP="00283916">
      <w:pPr>
        <w:pStyle w:val="ListParagraph"/>
        <w:numPr>
          <w:ilvl w:val="0"/>
          <w:numId w:val="28"/>
        </w:numPr>
        <w:spacing w:before="60" w:after="60"/>
        <w:ind w:left="714" w:hanging="357"/>
        <w:rPr>
          <w:lang w:val="en-GB"/>
        </w:rPr>
      </w:pPr>
      <w:r w:rsidRPr="00283916">
        <w:rPr>
          <w:lang w:val="en-GB"/>
        </w:rPr>
        <w:t xml:space="preserve">Collaboration for Leadership in Applied Health Research and Care </w:t>
      </w:r>
      <w:r>
        <w:rPr>
          <w:lang w:val="en-GB"/>
        </w:rPr>
        <w:t>(CLAHRC)</w:t>
      </w:r>
    </w:p>
    <w:p w:rsidR="00283916" w:rsidRPr="00283916" w:rsidRDefault="00283916" w:rsidP="00283916">
      <w:pPr>
        <w:pStyle w:val="ListParagraph"/>
        <w:numPr>
          <w:ilvl w:val="0"/>
          <w:numId w:val="28"/>
        </w:numPr>
        <w:spacing w:before="60" w:after="60"/>
        <w:ind w:left="714" w:hanging="357"/>
        <w:rPr>
          <w:lang w:val="en-GB"/>
        </w:rPr>
      </w:pPr>
      <w:r w:rsidRPr="00283916">
        <w:rPr>
          <w:lang w:val="en-GB"/>
        </w:rPr>
        <w:t>Diagnostics Evidence Cooperative</w:t>
      </w:r>
      <w:r>
        <w:rPr>
          <w:lang w:val="en-GB"/>
        </w:rPr>
        <w:t xml:space="preserve"> (DEC)</w:t>
      </w:r>
    </w:p>
    <w:p w:rsidR="005A49DB" w:rsidRDefault="00283916" w:rsidP="00283916">
      <w:pPr>
        <w:pStyle w:val="ListParagraph"/>
        <w:numPr>
          <w:ilvl w:val="0"/>
          <w:numId w:val="28"/>
        </w:numPr>
        <w:spacing w:before="60" w:after="60"/>
        <w:ind w:left="714" w:hanging="357"/>
        <w:rPr>
          <w:lang w:val="en-GB"/>
        </w:rPr>
      </w:pPr>
      <w:r w:rsidRPr="00283916">
        <w:rPr>
          <w:lang w:val="en-GB"/>
        </w:rPr>
        <w:t>Thames Valley and South Midlands Clinical Research Network</w:t>
      </w:r>
      <w:r>
        <w:rPr>
          <w:lang w:val="en-GB"/>
        </w:rPr>
        <w:t xml:space="preserve"> (CRN)</w:t>
      </w:r>
    </w:p>
    <w:p w:rsidR="00283916" w:rsidRDefault="00283916" w:rsidP="00283916">
      <w:pPr>
        <w:pStyle w:val="ListParagraph"/>
        <w:numPr>
          <w:ilvl w:val="0"/>
          <w:numId w:val="28"/>
        </w:numPr>
        <w:spacing w:before="60" w:after="60"/>
        <w:ind w:left="714" w:hanging="357"/>
        <w:rPr>
          <w:lang w:val="en-GB"/>
        </w:rPr>
      </w:pPr>
      <w:r>
        <w:rPr>
          <w:lang w:val="en-GB"/>
        </w:rPr>
        <w:t>Oxford University</w:t>
      </w:r>
    </w:p>
    <w:p w:rsidR="00283916" w:rsidRDefault="00283916" w:rsidP="00283916">
      <w:pPr>
        <w:pStyle w:val="ListParagraph"/>
        <w:numPr>
          <w:ilvl w:val="0"/>
          <w:numId w:val="28"/>
        </w:numPr>
        <w:spacing w:before="60" w:after="60"/>
        <w:ind w:left="714" w:hanging="357"/>
        <w:rPr>
          <w:lang w:val="en-GB"/>
        </w:rPr>
      </w:pPr>
      <w:r>
        <w:rPr>
          <w:lang w:val="en-GB"/>
        </w:rPr>
        <w:t>Oxford University Hospitals</w:t>
      </w:r>
    </w:p>
    <w:p w:rsidR="00283916" w:rsidRDefault="00283916" w:rsidP="00283916">
      <w:pPr>
        <w:pStyle w:val="ListParagraph"/>
        <w:numPr>
          <w:ilvl w:val="0"/>
          <w:numId w:val="28"/>
        </w:numPr>
        <w:spacing w:before="60" w:after="60"/>
        <w:ind w:left="714" w:hanging="357"/>
        <w:rPr>
          <w:lang w:val="en-GB"/>
        </w:rPr>
      </w:pPr>
      <w:r>
        <w:rPr>
          <w:lang w:val="en-GB"/>
        </w:rPr>
        <w:t>Oxford Academic Health Science Network (AHSN)</w:t>
      </w:r>
    </w:p>
    <w:p w:rsidR="00283916" w:rsidRPr="00283916" w:rsidRDefault="00283916" w:rsidP="00283916">
      <w:pPr>
        <w:pStyle w:val="ListParagraph"/>
        <w:numPr>
          <w:ilvl w:val="0"/>
          <w:numId w:val="28"/>
        </w:numPr>
        <w:spacing w:before="60" w:after="60"/>
        <w:ind w:left="714" w:hanging="357"/>
        <w:rPr>
          <w:lang w:val="en-GB"/>
        </w:rPr>
      </w:pPr>
      <w:r>
        <w:rPr>
          <w:lang w:val="en-GB"/>
        </w:rPr>
        <w:t>Oxford Academic Health Science Centre (AHSC)</w:t>
      </w:r>
    </w:p>
    <w:p w:rsidR="00283916" w:rsidRDefault="00283916" w:rsidP="00283916">
      <w:pPr>
        <w:pStyle w:val="Heading2"/>
        <w:rPr>
          <w:lang w:val="en-GB"/>
        </w:rPr>
      </w:pPr>
      <w:bookmarkStart w:id="29" w:name="_Toc476822114"/>
      <w:r>
        <w:rPr>
          <w:lang w:val="en-GB"/>
        </w:rPr>
        <w:t>Responsibilities of the RMG:</w:t>
      </w:r>
      <w:bookmarkEnd w:id="29"/>
    </w:p>
    <w:p w:rsidR="00283916" w:rsidRPr="00283916" w:rsidRDefault="00283916" w:rsidP="00283916">
      <w:pPr>
        <w:pStyle w:val="ListParagraph"/>
        <w:numPr>
          <w:ilvl w:val="0"/>
          <w:numId w:val="29"/>
        </w:numPr>
        <w:spacing w:before="60" w:after="60"/>
        <w:rPr>
          <w:lang w:val="en-GB"/>
        </w:rPr>
      </w:pPr>
      <w:r>
        <w:rPr>
          <w:lang w:val="en-GB"/>
        </w:rPr>
        <w:t>R</w:t>
      </w:r>
      <w:r w:rsidRPr="00283916">
        <w:rPr>
          <w:lang w:val="en-GB"/>
        </w:rPr>
        <w:t>esponsible for the strategic and scientific direction of the research undertaken with or in partnership with OHFT.</w:t>
      </w:r>
    </w:p>
    <w:p w:rsidR="00283916" w:rsidRPr="00283916" w:rsidRDefault="00283916" w:rsidP="00283916">
      <w:pPr>
        <w:pStyle w:val="ListParagraph"/>
        <w:numPr>
          <w:ilvl w:val="0"/>
          <w:numId w:val="29"/>
        </w:numPr>
        <w:spacing w:before="60" w:after="60"/>
        <w:rPr>
          <w:lang w:val="en-GB"/>
        </w:rPr>
      </w:pPr>
      <w:r>
        <w:rPr>
          <w:lang w:val="en-GB"/>
        </w:rPr>
        <w:t>A</w:t>
      </w:r>
      <w:r w:rsidRPr="00283916">
        <w:rPr>
          <w:lang w:val="en-GB"/>
        </w:rPr>
        <w:t xml:space="preserve">ccountable for the assurances made to the Trust to ensure fulfilment of its responsibilities as a host organisation </w:t>
      </w:r>
    </w:p>
    <w:p w:rsidR="00283916" w:rsidRPr="00283916" w:rsidRDefault="00283916" w:rsidP="00283916">
      <w:pPr>
        <w:pStyle w:val="ListParagraph"/>
        <w:numPr>
          <w:ilvl w:val="0"/>
          <w:numId w:val="29"/>
        </w:numPr>
        <w:spacing w:before="60" w:after="60"/>
        <w:rPr>
          <w:lang w:val="en-GB"/>
        </w:rPr>
      </w:pPr>
      <w:r w:rsidRPr="00283916">
        <w:rPr>
          <w:lang w:val="en-GB"/>
        </w:rPr>
        <w:t>Oversee and monitor the financial position of research where there is involvement of the Trust and receive reports from the Head of R&amp;D Finance which will highlight major areas of expenditure, anticipated changes or impacts on budgets and related funding.</w:t>
      </w:r>
    </w:p>
    <w:p w:rsidR="00283916" w:rsidRDefault="0006290A" w:rsidP="0006290A">
      <w:pPr>
        <w:pStyle w:val="ListParagraph"/>
        <w:numPr>
          <w:ilvl w:val="0"/>
          <w:numId w:val="29"/>
        </w:numPr>
        <w:spacing w:before="60" w:after="60"/>
        <w:rPr>
          <w:lang w:val="en-GB"/>
        </w:rPr>
      </w:pPr>
      <w:r>
        <w:rPr>
          <w:lang w:val="en-GB"/>
        </w:rPr>
        <w:t>R</w:t>
      </w:r>
      <w:r w:rsidR="00283916" w:rsidRPr="0006290A">
        <w:rPr>
          <w:lang w:val="en-GB"/>
        </w:rPr>
        <w:t>eceive quarterly reports from the following groups detailing metrics pertaining to activity, staffing, financial summary, areas of compliance/good practice, areas of unsatisfactory compliance/areas of risk, future issues or concerns and recommendations/discussion.</w:t>
      </w:r>
    </w:p>
    <w:p w:rsidR="0006290A" w:rsidRPr="0006290A" w:rsidRDefault="0006290A" w:rsidP="0006290A">
      <w:pPr>
        <w:pStyle w:val="ListParagraph"/>
        <w:numPr>
          <w:ilvl w:val="1"/>
          <w:numId w:val="29"/>
        </w:numPr>
        <w:spacing w:before="60" w:after="60"/>
        <w:rPr>
          <w:lang w:val="en-GB"/>
        </w:rPr>
      </w:pPr>
      <w:r w:rsidRPr="0006290A">
        <w:rPr>
          <w:lang w:val="en-GB"/>
        </w:rPr>
        <w:t>OHFT Biomedical Research Centre</w:t>
      </w:r>
    </w:p>
    <w:p w:rsidR="0006290A" w:rsidRPr="0006290A" w:rsidRDefault="0006290A" w:rsidP="0006290A">
      <w:pPr>
        <w:pStyle w:val="ListParagraph"/>
        <w:numPr>
          <w:ilvl w:val="1"/>
          <w:numId w:val="29"/>
        </w:numPr>
        <w:spacing w:before="60" w:after="60"/>
        <w:rPr>
          <w:lang w:val="en-GB"/>
        </w:rPr>
      </w:pPr>
      <w:r w:rsidRPr="0006290A">
        <w:rPr>
          <w:lang w:val="en-GB"/>
        </w:rPr>
        <w:t xml:space="preserve">Clinical Research Facility </w:t>
      </w:r>
    </w:p>
    <w:p w:rsidR="0006290A" w:rsidRPr="0006290A" w:rsidRDefault="0006290A" w:rsidP="0006290A">
      <w:pPr>
        <w:pStyle w:val="ListParagraph"/>
        <w:numPr>
          <w:ilvl w:val="1"/>
          <w:numId w:val="29"/>
        </w:numPr>
        <w:spacing w:before="60" w:after="60"/>
        <w:rPr>
          <w:lang w:val="en-GB"/>
        </w:rPr>
      </w:pPr>
      <w:r w:rsidRPr="0006290A">
        <w:rPr>
          <w:lang w:val="en-GB"/>
        </w:rPr>
        <w:t xml:space="preserve">Collaboration for Leadership in Applied Health Research and Care </w:t>
      </w:r>
    </w:p>
    <w:p w:rsidR="0006290A" w:rsidRPr="0006290A" w:rsidRDefault="0006290A" w:rsidP="0006290A">
      <w:pPr>
        <w:pStyle w:val="ListParagraph"/>
        <w:numPr>
          <w:ilvl w:val="1"/>
          <w:numId w:val="29"/>
        </w:numPr>
        <w:spacing w:before="60" w:after="60"/>
        <w:rPr>
          <w:lang w:val="en-GB"/>
        </w:rPr>
      </w:pPr>
      <w:r w:rsidRPr="0006290A">
        <w:rPr>
          <w:lang w:val="en-GB"/>
        </w:rPr>
        <w:t>Diagnostics Evidence Cooperative</w:t>
      </w:r>
    </w:p>
    <w:p w:rsidR="0006290A" w:rsidRPr="0006290A" w:rsidRDefault="0006290A" w:rsidP="0006290A">
      <w:pPr>
        <w:pStyle w:val="ListParagraph"/>
        <w:numPr>
          <w:ilvl w:val="1"/>
          <w:numId w:val="29"/>
        </w:numPr>
        <w:spacing w:before="60" w:after="60"/>
        <w:rPr>
          <w:lang w:val="en-GB"/>
        </w:rPr>
      </w:pPr>
      <w:r w:rsidRPr="0006290A">
        <w:rPr>
          <w:lang w:val="en-GB"/>
        </w:rPr>
        <w:t xml:space="preserve">Thames Valley and South Midlands Clinical Research Network </w:t>
      </w:r>
    </w:p>
    <w:p w:rsidR="0006290A" w:rsidRPr="0006290A" w:rsidRDefault="0006290A" w:rsidP="0006290A">
      <w:pPr>
        <w:pStyle w:val="ListParagraph"/>
        <w:numPr>
          <w:ilvl w:val="1"/>
          <w:numId w:val="29"/>
        </w:numPr>
        <w:spacing w:before="60" w:after="60"/>
        <w:rPr>
          <w:lang w:val="en-GB"/>
        </w:rPr>
      </w:pPr>
      <w:r w:rsidRPr="0006290A">
        <w:rPr>
          <w:lang w:val="en-GB"/>
        </w:rPr>
        <w:t xml:space="preserve">Case Records Interactive Search </w:t>
      </w:r>
    </w:p>
    <w:p w:rsidR="0006290A" w:rsidRPr="0006290A" w:rsidRDefault="0006290A" w:rsidP="0006290A">
      <w:pPr>
        <w:pStyle w:val="ListParagraph"/>
        <w:numPr>
          <w:ilvl w:val="1"/>
          <w:numId w:val="29"/>
        </w:numPr>
        <w:spacing w:before="60" w:after="60"/>
        <w:rPr>
          <w:lang w:val="en-GB"/>
        </w:rPr>
      </w:pPr>
      <w:r w:rsidRPr="0006290A">
        <w:rPr>
          <w:lang w:val="en-GB"/>
        </w:rPr>
        <w:t>Research Feasibility, Set-Up, Delivery and Management (including quality assurance)</w:t>
      </w:r>
    </w:p>
    <w:p w:rsidR="0006290A" w:rsidRPr="0006290A" w:rsidRDefault="0006290A" w:rsidP="0006290A">
      <w:pPr>
        <w:pStyle w:val="ListParagraph"/>
        <w:numPr>
          <w:ilvl w:val="1"/>
          <w:numId w:val="29"/>
        </w:numPr>
        <w:spacing w:before="60" w:after="60"/>
        <w:rPr>
          <w:lang w:val="en-GB"/>
        </w:rPr>
      </w:pPr>
      <w:r w:rsidRPr="0006290A">
        <w:rPr>
          <w:lang w:val="en-GB"/>
        </w:rPr>
        <w:t>Research Pharmacy</w:t>
      </w:r>
    </w:p>
    <w:p w:rsidR="0006290A" w:rsidRPr="0006290A" w:rsidRDefault="0006290A" w:rsidP="0006290A">
      <w:pPr>
        <w:pStyle w:val="ListParagraph"/>
        <w:numPr>
          <w:ilvl w:val="1"/>
          <w:numId w:val="29"/>
        </w:numPr>
        <w:spacing w:before="60" w:after="60"/>
        <w:rPr>
          <w:lang w:val="en-GB"/>
        </w:rPr>
      </w:pPr>
      <w:r>
        <w:rPr>
          <w:lang w:val="en-GB"/>
        </w:rPr>
        <w:t xml:space="preserve">Research </w:t>
      </w:r>
      <w:r w:rsidRPr="0006290A">
        <w:rPr>
          <w:lang w:val="en-GB"/>
        </w:rPr>
        <w:t xml:space="preserve">Finance </w:t>
      </w:r>
    </w:p>
    <w:p w:rsidR="0006290A" w:rsidRDefault="0006290A" w:rsidP="0006290A">
      <w:pPr>
        <w:pStyle w:val="Heading2"/>
        <w:rPr>
          <w:lang w:val="en-GB"/>
        </w:rPr>
      </w:pPr>
      <w:bookmarkStart w:id="30" w:name="_Toc476822115"/>
      <w:r>
        <w:rPr>
          <w:lang w:val="en-GB"/>
        </w:rPr>
        <w:t>Reporting and Governance</w:t>
      </w:r>
      <w:bookmarkEnd w:id="30"/>
    </w:p>
    <w:p w:rsidR="0006290A" w:rsidRDefault="0006290A" w:rsidP="0006290A">
      <w:pPr>
        <w:rPr>
          <w:lang w:val="en-GB"/>
        </w:rPr>
      </w:pPr>
      <w:r w:rsidRPr="0006290A">
        <w:rPr>
          <w:lang w:val="en-GB"/>
        </w:rPr>
        <w:t>The RMG is a high level committee established to drive the collaborative research strategy across the Trust</w:t>
      </w:r>
      <w:r>
        <w:rPr>
          <w:lang w:val="en-GB"/>
        </w:rPr>
        <w:t xml:space="preserve">.  The RMG </w:t>
      </w:r>
      <w:r w:rsidRPr="0006290A">
        <w:rPr>
          <w:lang w:val="en-GB"/>
        </w:rPr>
        <w:t xml:space="preserve">will provide information and assurances to the Trust on the various research activities undertaken in conjunction with OHFT, including OHFT BRC, CRF, </w:t>
      </w:r>
      <w:r w:rsidR="00C14366">
        <w:rPr>
          <w:lang w:val="en-GB"/>
        </w:rPr>
        <w:t>CLAHRC,</w:t>
      </w:r>
      <w:r w:rsidRPr="0006290A">
        <w:rPr>
          <w:lang w:val="en-GB"/>
        </w:rPr>
        <w:t xml:space="preserve"> DEC, TV&amp;SM CRN,  Case Records Interactive Search (CRIS),  Research </w:t>
      </w:r>
      <w:r w:rsidRPr="0006290A">
        <w:rPr>
          <w:lang w:val="en-GB"/>
        </w:rPr>
        <w:lastRenderedPageBreak/>
        <w:t>Feasibility, Set-Up, Delivery and Management (including quality assurance),</w:t>
      </w:r>
      <w:r>
        <w:rPr>
          <w:lang w:val="en-GB"/>
        </w:rPr>
        <w:t xml:space="preserve">  Pharmacy and Research Finance, with a summary RMG report being submitted to the </w:t>
      </w:r>
      <w:r w:rsidRPr="0006290A">
        <w:rPr>
          <w:lang w:val="en-GB"/>
        </w:rPr>
        <w:t>Quality S</w:t>
      </w:r>
      <w:r>
        <w:rPr>
          <w:lang w:val="en-GB"/>
        </w:rPr>
        <w:t>ub Committee: Effectiveness on a quarterly basis.</w:t>
      </w:r>
    </w:p>
    <w:p w:rsidR="0006290A" w:rsidRDefault="0006290A" w:rsidP="0006290A">
      <w:pPr>
        <w:jc w:val="center"/>
        <w:rPr>
          <w:lang w:val="en-GB"/>
        </w:rPr>
      </w:pPr>
      <w:r>
        <w:rPr>
          <w:noProof/>
          <w:lang w:val="en-GB" w:eastAsia="en-GB"/>
        </w:rPr>
        <w:drawing>
          <wp:inline distT="0" distB="0" distL="0" distR="0" wp14:anchorId="02F0690A">
            <wp:extent cx="3934098" cy="2328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4893" cy="2329001"/>
                    </a:xfrm>
                    <a:prstGeom prst="rect">
                      <a:avLst/>
                    </a:prstGeom>
                    <a:noFill/>
                  </pic:spPr>
                </pic:pic>
              </a:graphicData>
            </a:graphic>
          </wp:inline>
        </w:drawing>
      </w:r>
    </w:p>
    <w:p w:rsidR="0006290A" w:rsidRPr="0006290A" w:rsidRDefault="0006290A" w:rsidP="0006290A">
      <w:pPr>
        <w:rPr>
          <w:lang w:val="en-GB"/>
        </w:rPr>
      </w:pPr>
    </w:p>
    <w:p w:rsidR="00BD2181" w:rsidRPr="00401EC2" w:rsidRDefault="009B51DB" w:rsidP="00401EC2">
      <w:pPr>
        <w:pStyle w:val="Heading1"/>
      </w:pPr>
      <w:bookmarkStart w:id="31" w:name="_Toc476822116"/>
      <w:r w:rsidRPr="00401EC2">
        <w:t>Finance</w:t>
      </w:r>
      <w:bookmarkEnd w:id="31"/>
      <w:r w:rsidR="00F62EF5" w:rsidRPr="00401EC2">
        <w:t xml:space="preserve"> </w:t>
      </w:r>
    </w:p>
    <w:p w:rsidR="00ED7D4C" w:rsidRPr="005761AD" w:rsidRDefault="00ED7D4C" w:rsidP="00ED7D4C">
      <w:pPr>
        <w:rPr>
          <w:lang w:val="en-GB"/>
        </w:rPr>
      </w:pPr>
      <w:r w:rsidRPr="005761AD">
        <w:rPr>
          <w:lang w:val="en-GB"/>
        </w:rPr>
        <w:t xml:space="preserve">The Trust receives research funding from various commercial and non-commercial </w:t>
      </w:r>
      <w:r>
        <w:rPr>
          <w:lang w:val="en-GB"/>
        </w:rPr>
        <w:t xml:space="preserve">organisations. </w:t>
      </w:r>
      <w:r w:rsidRPr="005761AD">
        <w:rPr>
          <w:lang w:val="en-GB"/>
        </w:rPr>
        <w:t>These funding streams are outlined in the table below along with the FY17 budget</w:t>
      </w:r>
      <w:r>
        <w:rPr>
          <w:lang w:val="en-GB"/>
        </w:rPr>
        <w:t>ed values</w:t>
      </w:r>
      <w:r w:rsidRPr="005761AD">
        <w:rPr>
          <w:lang w:val="en-GB"/>
        </w:rPr>
        <w:t xml:space="preserve">. </w:t>
      </w:r>
    </w:p>
    <w:tbl>
      <w:tblPr>
        <w:tblStyle w:val="TableGrid"/>
        <w:tblpPr w:leftFromText="180" w:rightFromText="180" w:vertAnchor="text" w:horzAnchor="page" w:tblpX="1595" w:tblpY="48"/>
        <w:tblW w:w="7857" w:type="dxa"/>
        <w:tblLook w:val="04A0" w:firstRow="1" w:lastRow="0" w:firstColumn="1" w:lastColumn="0" w:noHBand="0" w:noVBand="1"/>
      </w:tblPr>
      <w:tblGrid>
        <w:gridCol w:w="6094"/>
        <w:gridCol w:w="1763"/>
      </w:tblGrid>
      <w:tr w:rsidR="00ED7D4C" w:rsidRPr="0059735A" w:rsidTr="00C63D77">
        <w:trPr>
          <w:trHeight w:val="22"/>
        </w:trPr>
        <w:tc>
          <w:tcPr>
            <w:tcW w:w="6094" w:type="dxa"/>
            <w:shd w:val="clear" w:color="auto" w:fill="8DB3E2" w:themeFill="text2" w:themeFillTint="66"/>
          </w:tcPr>
          <w:p w:rsidR="00ED7D4C" w:rsidRPr="0059735A" w:rsidRDefault="00ED7D4C" w:rsidP="00C63D77">
            <w:pPr>
              <w:spacing w:before="0" w:after="100" w:afterAutospacing="1"/>
              <w:rPr>
                <w:rFonts w:ascii="Calibri" w:hAnsi="Calibri" w:cs="Calibri"/>
                <w:b/>
                <w:sz w:val="20"/>
                <w:szCs w:val="20"/>
                <w:lang w:eastAsia="en-GB"/>
              </w:rPr>
            </w:pPr>
            <w:r w:rsidRPr="0059735A">
              <w:rPr>
                <w:rFonts w:ascii="Calibri" w:hAnsi="Calibri" w:cs="Calibri"/>
                <w:b/>
                <w:sz w:val="20"/>
                <w:szCs w:val="20"/>
                <w:lang w:eastAsia="en-GB"/>
              </w:rPr>
              <w:t>Type</w:t>
            </w:r>
          </w:p>
        </w:tc>
        <w:tc>
          <w:tcPr>
            <w:tcW w:w="1763" w:type="dxa"/>
            <w:tcBorders>
              <w:bottom w:val="single" w:sz="4" w:space="0" w:color="auto"/>
            </w:tcBorders>
            <w:shd w:val="clear" w:color="auto" w:fill="8DB3E2" w:themeFill="text2" w:themeFillTint="66"/>
          </w:tcPr>
          <w:p w:rsidR="00ED7D4C" w:rsidRPr="0059735A" w:rsidRDefault="00ED7D4C" w:rsidP="00C63D77">
            <w:pPr>
              <w:spacing w:before="0" w:after="100" w:afterAutospacing="1"/>
              <w:jc w:val="center"/>
              <w:rPr>
                <w:rFonts w:ascii="Calibri" w:hAnsi="Calibri" w:cs="Calibri"/>
                <w:b/>
                <w:sz w:val="20"/>
                <w:szCs w:val="20"/>
                <w:lang w:eastAsia="en-GB"/>
              </w:rPr>
            </w:pPr>
            <w:r w:rsidRPr="0059735A">
              <w:rPr>
                <w:rFonts w:ascii="Calibri" w:hAnsi="Calibri" w:cs="Calibri"/>
                <w:b/>
                <w:sz w:val="20"/>
                <w:szCs w:val="20"/>
                <w:lang w:eastAsia="en-GB"/>
              </w:rPr>
              <w:t>FY17</w:t>
            </w:r>
          </w:p>
        </w:tc>
      </w:tr>
      <w:tr w:rsidR="00ED7D4C" w:rsidRPr="005761AD" w:rsidTr="00C63D77">
        <w:trPr>
          <w:trHeight w:val="22"/>
        </w:trPr>
        <w:tc>
          <w:tcPr>
            <w:tcW w:w="6094" w:type="dxa"/>
          </w:tcPr>
          <w:p w:rsidR="00ED7D4C" w:rsidRPr="0059735A" w:rsidRDefault="00ED7D4C" w:rsidP="00C63D77">
            <w:pPr>
              <w:spacing w:before="0" w:after="100" w:afterAutospacing="1"/>
              <w:rPr>
                <w:rFonts w:ascii="Calibri" w:hAnsi="Calibri" w:cs="Calibri"/>
                <w:b/>
                <w:sz w:val="20"/>
                <w:szCs w:val="20"/>
                <w:lang w:eastAsia="en-GB"/>
              </w:rPr>
            </w:pPr>
            <w:r w:rsidRPr="0059735A">
              <w:rPr>
                <w:rFonts w:ascii="Calibri" w:hAnsi="Calibri" w:cs="Calibri"/>
                <w:b/>
                <w:sz w:val="20"/>
                <w:szCs w:val="20"/>
                <w:lang w:eastAsia="en-GB"/>
              </w:rPr>
              <w:t>National Institute for Health Research</w:t>
            </w:r>
            <w:r>
              <w:rPr>
                <w:rFonts w:ascii="Calibri" w:hAnsi="Calibri" w:cs="Calibri"/>
                <w:b/>
                <w:sz w:val="20"/>
                <w:szCs w:val="20"/>
                <w:lang w:eastAsia="en-GB"/>
              </w:rPr>
              <w:t xml:space="preserve"> (NIHR)</w:t>
            </w:r>
          </w:p>
        </w:tc>
        <w:tc>
          <w:tcPr>
            <w:tcW w:w="1763" w:type="dxa"/>
            <w:shd w:val="clear" w:color="auto" w:fill="auto"/>
          </w:tcPr>
          <w:p w:rsidR="00ED7D4C" w:rsidRPr="0059735A" w:rsidRDefault="00ED7D4C" w:rsidP="00C63D77">
            <w:pPr>
              <w:spacing w:before="0" w:after="100" w:afterAutospacing="1"/>
              <w:jc w:val="center"/>
              <w:rPr>
                <w:rFonts w:ascii="Calibri" w:hAnsi="Calibri" w:cs="Calibri"/>
                <w:sz w:val="20"/>
                <w:szCs w:val="20"/>
                <w:lang w:eastAsia="en-GB"/>
              </w:rPr>
            </w:pPr>
          </w:p>
        </w:tc>
      </w:tr>
      <w:tr w:rsidR="00ED7D4C" w:rsidRPr="005761AD" w:rsidTr="00C63D77">
        <w:trPr>
          <w:trHeight w:val="22"/>
        </w:trPr>
        <w:tc>
          <w:tcPr>
            <w:tcW w:w="6094" w:type="dxa"/>
          </w:tcPr>
          <w:p w:rsidR="00ED7D4C" w:rsidRPr="0059735A" w:rsidRDefault="00ED7D4C" w:rsidP="00C63D77">
            <w:pPr>
              <w:spacing w:before="0" w:after="100" w:afterAutospacing="1"/>
              <w:rPr>
                <w:rFonts w:ascii="Calibri" w:hAnsi="Calibri" w:cs="Calibri"/>
                <w:sz w:val="20"/>
                <w:szCs w:val="20"/>
                <w:lang w:eastAsia="en-GB"/>
              </w:rPr>
            </w:pPr>
            <w:r w:rsidRPr="0059735A">
              <w:rPr>
                <w:rFonts w:ascii="Calibri" w:hAnsi="Calibri" w:cs="Calibri"/>
                <w:sz w:val="20"/>
                <w:szCs w:val="20"/>
                <w:lang w:eastAsia="en-GB"/>
              </w:rPr>
              <w:t xml:space="preserve">Study income </w:t>
            </w:r>
          </w:p>
        </w:tc>
        <w:tc>
          <w:tcPr>
            <w:tcW w:w="1763" w:type="dxa"/>
            <w:shd w:val="clear" w:color="auto" w:fill="auto"/>
          </w:tcPr>
          <w:p w:rsidR="00ED7D4C" w:rsidRPr="0059735A" w:rsidRDefault="00ED7D4C" w:rsidP="00C63D77">
            <w:pPr>
              <w:spacing w:before="0" w:after="100" w:afterAutospacing="1"/>
              <w:jc w:val="center"/>
              <w:rPr>
                <w:rFonts w:ascii="Calibri" w:hAnsi="Calibri" w:cs="Calibri"/>
                <w:sz w:val="20"/>
                <w:szCs w:val="20"/>
                <w:lang w:eastAsia="en-GB"/>
              </w:rPr>
            </w:pPr>
            <w:r>
              <w:rPr>
                <w:rFonts w:ascii="Calibri" w:hAnsi="Calibri" w:cs="Calibri"/>
                <w:sz w:val="20"/>
                <w:szCs w:val="20"/>
                <w:lang w:eastAsia="en-GB"/>
              </w:rPr>
              <w:t>856</w:t>
            </w:r>
          </w:p>
        </w:tc>
      </w:tr>
      <w:tr w:rsidR="00ED7D4C" w:rsidRPr="005761AD" w:rsidTr="00C63D77">
        <w:trPr>
          <w:trHeight w:val="22"/>
        </w:trPr>
        <w:tc>
          <w:tcPr>
            <w:tcW w:w="6094" w:type="dxa"/>
          </w:tcPr>
          <w:p w:rsidR="00ED7D4C" w:rsidRPr="0059735A" w:rsidRDefault="00ED7D4C" w:rsidP="00C63D77">
            <w:pPr>
              <w:spacing w:before="0" w:after="100" w:afterAutospacing="1"/>
              <w:rPr>
                <w:rFonts w:ascii="Calibri" w:hAnsi="Calibri" w:cs="Calibri"/>
                <w:sz w:val="20"/>
                <w:szCs w:val="20"/>
                <w:lang w:eastAsia="en-GB"/>
              </w:rPr>
            </w:pPr>
            <w:r w:rsidRPr="0059735A">
              <w:rPr>
                <w:rFonts w:ascii="Calibri" w:hAnsi="Calibri" w:cs="Calibri"/>
                <w:sz w:val="20"/>
                <w:szCs w:val="20"/>
                <w:lang w:eastAsia="en-GB"/>
              </w:rPr>
              <w:t>Clinical Research Facility via OUH</w:t>
            </w:r>
          </w:p>
        </w:tc>
        <w:tc>
          <w:tcPr>
            <w:tcW w:w="1763" w:type="dxa"/>
            <w:shd w:val="clear" w:color="auto" w:fill="auto"/>
          </w:tcPr>
          <w:p w:rsidR="00ED7D4C" w:rsidRPr="0059735A" w:rsidRDefault="00ED7D4C" w:rsidP="00C63D77">
            <w:pPr>
              <w:spacing w:before="0" w:after="100" w:afterAutospacing="1"/>
              <w:jc w:val="center"/>
              <w:rPr>
                <w:rFonts w:ascii="Calibri" w:hAnsi="Calibri" w:cs="Calibri"/>
                <w:sz w:val="20"/>
                <w:szCs w:val="20"/>
                <w:lang w:eastAsia="en-GB"/>
              </w:rPr>
            </w:pPr>
            <w:r w:rsidRPr="0059735A">
              <w:rPr>
                <w:rFonts w:ascii="Calibri" w:hAnsi="Calibri" w:cs="Calibri"/>
                <w:sz w:val="20"/>
                <w:szCs w:val="20"/>
                <w:lang w:eastAsia="en-GB"/>
              </w:rPr>
              <w:t>717</w:t>
            </w:r>
          </w:p>
        </w:tc>
      </w:tr>
      <w:tr w:rsidR="00ED7D4C" w:rsidRPr="005761AD" w:rsidTr="00C63D77">
        <w:trPr>
          <w:trHeight w:val="22"/>
        </w:trPr>
        <w:tc>
          <w:tcPr>
            <w:tcW w:w="6094" w:type="dxa"/>
          </w:tcPr>
          <w:p w:rsidR="00ED7D4C" w:rsidRPr="0059735A" w:rsidRDefault="00ED7D4C" w:rsidP="00C63D77">
            <w:pPr>
              <w:spacing w:before="0" w:after="100" w:afterAutospacing="1"/>
              <w:rPr>
                <w:rFonts w:ascii="Calibri" w:hAnsi="Calibri" w:cs="Calibri"/>
                <w:sz w:val="20"/>
                <w:szCs w:val="20"/>
                <w:lang w:eastAsia="en-GB"/>
              </w:rPr>
            </w:pPr>
            <w:r w:rsidRPr="0059735A">
              <w:rPr>
                <w:rFonts w:ascii="Calibri" w:hAnsi="Calibri" w:cs="Calibri"/>
                <w:sz w:val="20"/>
                <w:szCs w:val="20"/>
                <w:lang w:eastAsia="en-GB"/>
              </w:rPr>
              <w:t>CLAHRC</w:t>
            </w:r>
          </w:p>
        </w:tc>
        <w:tc>
          <w:tcPr>
            <w:tcW w:w="1763" w:type="dxa"/>
            <w:shd w:val="clear" w:color="auto" w:fill="auto"/>
          </w:tcPr>
          <w:p w:rsidR="00ED7D4C" w:rsidRPr="0059735A" w:rsidRDefault="00ED7D4C" w:rsidP="00C63D77">
            <w:pPr>
              <w:spacing w:before="0" w:after="100" w:afterAutospacing="1"/>
              <w:jc w:val="center"/>
              <w:rPr>
                <w:rFonts w:ascii="Calibri" w:hAnsi="Calibri" w:cs="Calibri"/>
                <w:sz w:val="20"/>
                <w:szCs w:val="20"/>
                <w:lang w:eastAsia="en-GB"/>
              </w:rPr>
            </w:pPr>
            <w:r w:rsidRPr="0059735A">
              <w:rPr>
                <w:rFonts w:ascii="Calibri" w:hAnsi="Calibri" w:cs="Calibri"/>
                <w:sz w:val="20"/>
                <w:szCs w:val="20"/>
                <w:lang w:eastAsia="en-GB"/>
              </w:rPr>
              <w:t>2,000</w:t>
            </w:r>
          </w:p>
        </w:tc>
      </w:tr>
      <w:tr w:rsidR="00ED7D4C" w:rsidRPr="005761AD" w:rsidTr="00C63D77">
        <w:trPr>
          <w:trHeight w:val="22"/>
        </w:trPr>
        <w:tc>
          <w:tcPr>
            <w:tcW w:w="6094" w:type="dxa"/>
          </w:tcPr>
          <w:p w:rsidR="00ED7D4C" w:rsidRPr="0059735A" w:rsidRDefault="00ED7D4C" w:rsidP="00C63D77">
            <w:pPr>
              <w:spacing w:before="0" w:after="100" w:afterAutospacing="1"/>
              <w:rPr>
                <w:rFonts w:ascii="Calibri" w:hAnsi="Calibri" w:cs="Calibri"/>
                <w:sz w:val="20"/>
                <w:szCs w:val="20"/>
                <w:lang w:eastAsia="en-GB"/>
              </w:rPr>
            </w:pPr>
            <w:r w:rsidRPr="0059735A">
              <w:rPr>
                <w:rFonts w:ascii="Calibri" w:hAnsi="Calibri" w:cs="Calibri"/>
                <w:sz w:val="20"/>
                <w:szCs w:val="20"/>
                <w:lang w:eastAsia="en-GB"/>
              </w:rPr>
              <w:t xml:space="preserve">RCF </w:t>
            </w:r>
          </w:p>
        </w:tc>
        <w:tc>
          <w:tcPr>
            <w:tcW w:w="1763" w:type="dxa"/>
            <w:shd w:val="clear" w:color="auto" w:fill="auto"/>
          </w:tcPr>
          <w:p w:rsidR="00ED7D4C" w:rsidRPr="0059735A" w:rsidRDefault="00ED7D4C" w:rsidP="00C63D77">
            <w:pPr>
              <w:spacing w:before="0" w:after="100" w:afterAutospacing="1"/>
              <w:jc w:val="center"/>
              <w:rPr>
                <w:rFonts w:ascii="Calibri" w:hAnsi="Calibri" w:cs="Calibri"/>
                <w:sz w:val="20"/>
                <w:szCs w:val="20"/>
                <w:lang w:eastAsia="en-GB"/>
              </w:rPr>
            </w:pPr>
            <w:r>
              <w:rPr>
                <w:rFonts w:ascii="Calibri" w:hAnsi="Calibri" w:cs="Calibri"/>
                <w:sz w:val="20"/>
                <w:szCs w:val="20"/>
                <w:lang w:eastAsia="en-GB"/>
              </w:rPr>
              <w:t>1,045</w:t>
            </w:r>
          </w:p>
        </w:tc>
      </w:tr>
      <w:tr w:rsidR="00ED7D4C" w:rsidRPr="005761AD" w:rsidTr="00C63D77">
        <w:trPr>
          <w:trHeight w:val="22"/>
        </w:trPr>
        <w:tc>
          <w:tcPr>
            <w:tcW w:w="6094" w:type="dxa"/>
            <w:tcBorders>
              <w:bottom w:val="single" w:sz="4" w:space="0" w:color="auto"/>
            </w:tcBorders>
            <w:shd w:val="clear" w:color="auto" w:fill="auto"/>
          </w:tcPr>
          <w:p w:rsidR="00ED7D4C" w:rsidRPr="0059735A" w:rsidRDefault="00ED7D4C" w:rsidP="00C63D77">
            <w:pPr>
              <w:spacing w:before="0" w:after="100" w:afterAutospacing="1"/>
              <w:rPr>
                <w:rFonts w:ascii="Calibri" w:hAnsi="Calibri" w:cs="Calibri"/>
                <w:sz w:val="20"/>
                <w:szCs w:val="20"/>
                <w:lang w:eastAsia="en-GB"/>
              </w:rPr>
            </w:pPr>
            <w:r w:rsidRPr="0059735A">
              <w:rPr>
                <w:rFonts w:ascii="Calibri" w:hAnsi="Calibri" w:cs="Calibri"/>
                <w:sz w:val="20"/>
                <w:szCs w:val="20"/>
                <w:lang w:eastAsia="en-GB"/>
              </w:rPr>
              <w:t>NIHR Final Payments</w:t>
            </w:r>
          </w:p>
        </w:tc>
        <w:tc>
          <w:tcPr>
            <w:tcW w:w="1763" w:type="dxa"/>
            <w:tcBorders>
              <w:bottom w:val="single" w:sz="4" w:space="0" w:color="auto"/>
            </w:tcBorders>
            <w:shd w:val="clear" w:color="auto" w:fill="auto"/>
          </w:tcPr>
          <w:p w:rsidR="00ED7D4C" w:rsidRPr="0059735A" w:rsidRDefault="00ED7D4C" w:rsidP="00C63D77">
            <w:pPr>
              <w:spacing w:before="0" w:after="100" w:afterAutospacing="1"/>
              <w:jc w:val="center"/>
              <w:rPr>
                <w:rFonts w:ascii="Calibri" w:hAnsi="Calibri" w:cs="Calibri"/>
                <w:sz w:val="20"/>
                <w:szCs w:val="20"/>
                <w:lang w:eastAsia="en-GB"/>
              </w:rPr>
            </w:pPr>
            <w:r>
              <w:rPr>
                <w:rFonts w:ascii="Calibri" w:hAnsi="Calibri" w:cs="Calibri"/>
                <w:sz w:val="20"/>
                <w:szCs w:val="20"/>
                <w:lang w:eastAsia="en-GB"/>
              </w:rPr>
              <w:t>173</w:t>
            </w:r>
          </w:p>
        </w:tc>
      </w:tr>
      <w:tr w:rsidR="00ED7D4C" w:rsidRPr="005761AD" w:rsidTr="00C63D77">
        <w:trPr>
          <w:trHeight w:val="22"/>
        </w:trPr>
        <w:tc>
          <w:tcPr>
            <w:tcW w:w="6094" w:type="dxa"/>
            <w:shd w:val="clear" w:color="auto" w:fill="8DB3E2" w:themeFill="text2" w:themeFillTint="66"/>
          </w:tcPr>
          <w:p w:rsidR="00ED7D4C" w:rsidRPr="0059735A" w:rsidRDefault="00ED7D4C" w:rsidP="00C63D77">
            <w:pPr>
              <w:spacing w:before="0" w:after="100" w:afterAutospacing="1"/>
              <w:rPr>
                <w:rFonts w:ascii="Calibri" w:hAnsi="Calibri" w:cs="Calibri"/>
                <w:b/>
                <w:sz w:val="20"/>
                <w:szCs w:val="20"/>
                <w:lang w:eastAsia="en-GB"/>
              </w:rPr>
            </w:pPr>
            <w:r w:rsidRPr="0059735A">
              <w:rPr>
                <w:rFonts w:ascii="Calibri" w:hAnsi="Calibri" w:cs="Calibri"/>
                <w:b/>
                <w:sz w:val="20"/>
                <w:szCs w:val="20"/>
                <w:lang w:eastAsia="en-GB"/>
              </w:rPr>
              <w:t>Total</w:t>
            </w:r>
          </w:p>
        </w:tc>
        <w:tc>
          <w:tcPr>
            <w:tcW w:w="1763" w:type="dxa"/>
            <w:tcBorders>
              <w:bottom w:val="single" w:sz="4" w:space="0" w:color="auto"/>
            </w:tcBorders>
            <w:shd w:val="clear" w:color="auto" w:fill="8DB3E2" w:themeFill="text2" w:themeFillTint="66"/>
          </w:tcPr>
          <w:p w:rsidR="00ED7D4C" w:rsidRPr="0059735A" w:rsidRDefault="00ED7D4C" w:rsidP="00C63D77">
            <w:pPr>
              <w:spacing w:before="0" w:after="100" w:afterAutospacing="1"/>
              <w:jc w:val="center"/>
              <w:rPr>
                <w:rFonts w:ascii="Calibri" w:hAnsi="Calibri" w:cs="Calibri"/>
                <w:b/>
                <w:sz w:val="20"/>
                <w:szCs w:val="20"/>
                <w:lang w:eastAsia="en-GB"/>
              </w:rPr>
            </w:pPr>
            <w:r>
              <w:rPr>
                <w:rFonts w:ascii="Calibri" w:hAnsi="Calibri" w:cs="Calibri"/>
                <w:b/>
                <w:sz w:val="20"/>
                <w:szCs w:val="20"/>
                <w:lang w:eastAsia="en-GB"/>
              </w:rPr>
              <w:t>4,791</w:t>
            </w:r>
          </w:p>
        </w:tc>
      </w:tr>
      <w:tr w:rsidR="00ED7D4C" w:rsidRPr="005761AD" w:rsidTr="00C63D77">
        <w:trPr>
          <w:trHeight w:val="22"/>
        </w:trPr>
        <w:tc>
          <w:tcPr>
            <w:tcW w:w="6094" w:type="dxa"/>
          </w:tcPr>
          <w:p w:rsidR="00ED7D4C" w:rsidRPr="0059735A" w:rsidRDefault="00ED7D4C" w:rsidP="00C63D77">
            <w:pPr>
              <w:spacing w:before="0" w:after="100" w:afterAutospacing="1"/>
              <w:rPr>
                <w:rFonts w:ascii="Calibri" w:hAnsi="Calibri" w:cs="Calibri"/>
                <w:b/>
                <w:sz w:val="20"/>
                <w:szCs w:val="20"/>
                <w:lang w:eastAsia="en-GB"/>
              </w:rPr>
            </w:pPr>
            <w:r w:rsidRPr="0059735A">
              <w:rPr>
                <w:rFonts w:ascii="Calibri" w:hAnsi="Calibri" w:cs="Calibri"/>
                <w:b/>
                <w:sz w:val="20"/>
                <w:szCs w:val="20"/>
                <w:lang w:eastAsia="en-GB"/>
              </w:rPr>
              <w:t xml:space="preserve">Other </w:t>
            </w:r>
            <w:r>
              <w:rPr>
                <w:rFonts w:ascii="Calibri" w:hAnsi="Calibri" w:cs="Calibri"/>
                <w:b/>
                <w:sz w:val="20"/>
                <w:szCs w:val="20"/>
                <w:lang w:eastAsia="en-GB"/>
              </w:rPr>
              <w:t>Funding</w:t>
            </w:r>
          </w:p>
        </w:tc>
        <w:tc>
          <w:tcPr>
            <w:tcW w:w="1763" w:type="dxa"/>
            <w:shd w:val="clear" w:color="auto" w:fill="auto"/>
          </w:tcPr>
          <w:p w:rsidR="00ED7D4C" w:rsidRPr="0059735A" w:rsidRDefault="00ED7D4C" w:rsidP="00C63D77">
            <w:pPr>
              <w:spacing w:before="0" w:after="100" w:afterAutospacing="1"/>
              <w:jc w:val="center"/>
              <w:rPr>
                <w:rFonts w:ascii="Calibri" w:hAnsi="Calibri" w:cs="Calibri"/>
                <w:sz w:val="20"/>
                <w:szCs w:val="20"/>
                <w:lang w:eastAsia="en-GB"/>
              </w:rPr>
            </w:pPr>
          </w:p>
        </w:tc>
      </w:tr>
      <w:tr w:rsidR="00ED7D4C" w:rsidRPr="005761AD" w:rsidTr="00C63D77">
        <w:trPr>
          <w:trHeight w:val="22"/>
        </w:trPr>
        <w:tc>
          <w:tcPr>
            <w:tcW w:w="6094" w:type="dxa"/>
          </w:tcPr>
          <w:p w:rsidR="00ED7D4C" w:rsidRPr="0059735A" w:rsidRDefault="00ED7D4C" w:rsidP="00C63D77">
            <w:pPr>
              <w:spacing w:before="0" w:after="100" w:afterAutospacing="1"/>
              <w:rPr>
                <w:rFonts w:ascii="Calibri" w:hAnsi="Calibri" w:cs="Calibri"/>
                <w:sz w:val="20"/>
                <w:szCs w:val="20"/>
                <w:lang w:eastAsia="en-GB"/>
              </w:rPr>
            </w:pPr>
            <w:r w:rsidRPr="0059735A">
              <w:rPr>
                <w:rFonts w:ascii="Calibri" w:hAnsi="Calibri" w:cs="Calibri"/>
                <w:sz w:val="20"/>
                <w:szCs w:val="20"/>
                <w:lang w:eastAsia="en-GB"/>
              </w:rPr>
              <w:t>TVCLRN \ CRN</w:t>
            </w:r>
            <w:r>
              <w:rPr>
                <w:rFonts w:ascii="Calibri" w:hAnsi="Calibri" w:cs="Calibri"/>
                <w:sz w:val="20"/>
                <w:szCs w:val="20"/>
                <w:lang w:eastAsia="en-GB"/>
              </w:rPr>
              <w:t xml:space="preserve"> Core Funding</w:t>
            </w:r>
          </w:p>
        </w:tc>
        <w:tc>
          <w:tcPr>
            <w:tcW w:w="1763" w:type="dxa"/>
            <w:shd w:val="clear" w:color="auto" w:fill="auto"/>
          </w:tcPr>
          <w:p w:rsidR="00ED7D4C" w:rsidRPr="0059735A" w:rsidRDefault="00ED7D4C" w:rsidP="00C63D77">
            <w:pPr>
              <w:spacing w:before="0" w:after="100" w:afterAutospacing="1"/>
              <w:jc w:val="center"/>
              <w:rPr>
                <w:rFonts w:ascii="Calibri" w:hAnsi="Calibri" w:cs="Calibri"/>
                <w:sz w:val="20"/>
                <w:szCs w:val="20"/>
                <w:lang w:eastAsia="en-GB"/>
              </w:rPr>
            </w:pPr>
            <w:r>
              <w:rPr>
                <w:rFonts w:ascii="Calibri" w:hAnsi="Calibri" w:cs="Calibri"/>
                <w:sz w:val="20"/>
                <w:szCs w:val="20"/>
                <w:lang w:eastAsia="en-GB"/>
              </w:rPr>
              <w:t>860</w:t>
            </w:r>
          </w:p>
        </w:tc>
      </w:tr>
      <w:tr w:rsidR="00ED7D4C" w:rsidRPr="005761AD" w:rsidTr="00C63D77">
        <w:trPr>
          <w:trHeight w:val="22"/>
        </w:trPr>
        <w:tc>
          <w:tcPr>
            <w:tcW w:w="6094" w:type="dxa"/>
          </w:tcPr>
          <w:p w:rsidR="00ED7D4C" w:rsidRPr="0059735A" w:rsidRDefault="00ED7D4C" w:rsidP="00C63D77">
            <w:pPr>
              <w:spacing w:before="0" w:after="100" w:afterAutospacing="1"/>
              <w:rPr>
                <w:rFonts w:ascii="Calibri" w:hAnsi="Calibri" w:cs="Calibri"/>
                <w:sz w:val="20"/>
                <w:szCs w:val="20"/>
                <w:lang w:eastAsia="en-GB"/>
              </w:rPr>
            </w:pPr>
            <w:r w:rsidRPr="0059735A">
              <w:rPr>
                <w:rFonts w:ascii="Calibri" w:hAnsi="Calibri" w:cs="Calibri"/>
                <w:sz w:val="20"/>
                <w:szCs w:val="20"/>
                <w:lang w:eastAsia="en-GB"/>
              </w:rPr>
              <w:t>TVCLRN \ CRN</w:t>
            </w:r>
            <w:r>
              <w:rPr>
                <w:rFonts w:ascii="Calibri" w:hAnsi="Calibri" w:cs="Calibri"/>
                <w:sz w:val="20"/>
                <w:szCs w:val="20"/>
                <w:lang w:eastAsia="en-GB"/>
              </w:rPr>
              <w:t xml:space="preserve"> Network Funding</w:t>
            </w:r>
          </w:p>
        </w:tc>
        <w:tc>
          <w:tcPr>
            <w:tcW w:w="1763" w:type="dxa"/>
            <w:shd w:val="clear" w:color="auto" w:fill="auto"/>
          </w:tcPr>
          <w:p w:rsidR="00ED7D4C" w:rsidRPr="0059735A" w:rsidRDefault="00ED7D4C" w:rsidP="00C63D77">
            <w:pPr>
              <w:spacing w:before="0" w:after="100" w:afterAutospacing="1"/>
              <w:jc w:val="center"/>
              <w:rPr>
                <w:rFonts w:ascii="Calibri" w:hAnsi="Calibri" w:cs="Calibri"/>
                <w:sz w:val="20"/>
                <w:szCs w:val="20"/>
                <w:lang w:eastAsia="en-GB"/>
              </w:rPr>
            </w:pPr>
            <w:r>
              <w:rPr>
                <w:rFonts w:ascii="Calibri" w:hAnsi="Calibri" w:cs="Calibri"/>
                <w:sz w:val="20"/>
                <w:szCs w:val="20"/>
                <w:lang w:eastAsia="en-GB"/>
              </w:rPr>
              <w:t>381</w:t>
            </w:r>
          </w:p>
        </w:tc>
      </w:tr>
      <w:tr w:rsidR="00ED7D4C" w:rsidRPr="005761AD" w:rsidTr="00C63D77">
        <w:trPr>
          <w:trHeight w:val="22"/>
        </w:trPr>
        <w:tc>
          <w:tcPr>
            <w:tcW w:w="6094" w:type="dxa"/>
          </w:tcPr>
          <w:p w:rsidR="00ED7D4C" w:rsidRPr="0059735A" w:rsidRDefault="00ED7D4C" w:rsidP="00C63D77">
            <w:pPr>
              <w:spacing w:before="0" w:after="100" w:afterAutospacing="1"/>
              <w:rPr>
                <w:rFonts w:ascii="Calibri" w:hAnsi="Calibri" w:cs="Calibri"/>
                <w:sz w:val="20"/>
                <w:szCs w:val="20"/>
                <w:lang w:eastAsia="en-GB"/>
              </w:rPr>
            </w:pPr>
            <w:r>
              <w:rPr>
                <w:rFonts w:ascii="Calibri" w:hAnsi="Calibri" w:cs="Calibri"/>
                <w:sz w:val="20"/>
                <w:szCs w:val="20"/>
                <w:lang w:eastAsia="en-GB"/>
              </w:rPr>
              <w:t>N</w:t>
            </w:r>
            <w:r w:rsidRPr="0059735A">
              <w:rPr>
                <w:rFonts w:ascii="Calibri" w:hAnsi="Calibri" w:cs="Calibri"/>
                <w:sz w:val="20"/>
                <w:szCs w:val="20"/>
                <w:lang w:eastAsia="en-GB"/>
              </w:rPr>
              <w:t xml:space="preserve">on-NIHR </w:t>
            </w:r>
            <w:r>
              <w:rPr>
                <w:rFonts w:ascii="Calibri" w:hAnsi="Calibri" w:cs="Calibri"/>
                <w:sz w:val="20"/>
                <w:szCs w:val="20"/>
                <w:lang w:eastAsia="en-GB"/>
              </w:rPr>
              <w:t xml:space="preserve">CRF </w:t>
            </w:r>
            <w:r w:rsidRPr="0059735A">
              <w:rPr>
                <w:rFonts w:ascii="Calibri" w:hAnsi="Calibri" w:cs="Calibri"/>
                <w:sz w:val="20"/>
                <w:szCs w:val="20"/>
                <w:lang w:eastAsia="en-GB"/>
              </w:rPr>
              <w:t>Income</w:t>
            </w:r>
          </w:p>
        </w:tc>
        <w:tc>
          <w:tcPr>
            <w:tcW w:w="1763" w:type="dxa"/>
            <w:shd w:val="clear" w:color="auto" w:fill="auto"/>
          </w:tcPr>
          <w:p w:rsidR="00ED7D4C" w:rsidRPr="0059735A" w:rsidRDefault="00ED7D4C" w:rsidP="00C63D77">
            <w:pPr>
              <w:spacing w:before="0" w:after="100" w:afterAutospacing="1"/>
              <w:jc w:val="center"/>
              <w:rPr>
                <w:rFonts w:ascii="Calibri" w:hAnsi="Calibri" w:cs="Calibri"/>
                <w:sz w:val="20"/>
                <w:szCs w:val="20"/>
                <w:lang w:eastAsia="en-GB"/>
              </w:rPr>
            </w:pPr>
            <w:r w:rsidRPr="0059735A">
              <w:rPr>
                <w:rFonts w:ascii="Calibri" w:hAnsi="Calibri" w:cs="Calibri"/>
                <w:sz w:val="20"/>
                <w:szCs w:val="20"/>
                <w:lang w:eastAsia="en-GB"/>
              </w:rPr>
              <w:t>7</w:t>
            </w:r>
            <w:r>
              <w:rPr>
                <w:rFonts w:ascii="Calibri" w:hAnsi="Calibri" w:cs="Calibri"/>
                <w:sz w:val="20"/>
                <w:szCs w:val="20"/>
                <w:lang w:eastAsia="en-GB"/>
              </w:rPr>
              <w:t>4</w:t>
            </w:r>
          </w:p>
        </w:tc>
      </w:tr>
      <w:tr w:rsidR="00ED7D4C" w:rsidRPr="005761AD" w:rsidTr="00C63D77">
        <w:trPr>
          <w:trHeight w:val="22"/>
        </w:trPr>
        <w:tc>
          <w:tcPr>
            <w:tcW w:w="6094" w:type="dxa"/>
          </w:tcPr>
          <w:p w:rsidR="00ED7D4C" w:rsidRPr="0059735A" w:rsidRDefault="00ED7D4C" w:rsidP="00C63D77">
            <w:pPr>
              <w:spacing w:before="0" w:after="100" w:afterAutospacing="1"/>
              <w:rPr>
                <w:rFonts w:ascii="Calibri" w:hAnsi="Calibri" w:cs="Calibri"/>
                <w:sz w:val="20"/>
                <w:szCs w:val="20"/>
                <w:lang w:eastAsia="en-GB"/>
              </w:rPr>
            </w:pPr>
            <w:r>
              <w:rPr>
                <w:rFonts w:ascii="Calibri" w:hAnsi="Calibri" w:cs="Calibri"/>
                <w:sz w:val="20"/>
                <w:szCs w:val="20"/>
                <w:lang w:eastAsia="en-GB"/>
              </w:rPr>
              <w:t>Other grants (as lead)</w:t>
            </w:r>
          </w:p>
        </w:tc>
        <w:tc>
          <w:tcPr>
            <w:tcW w:w="1763" w:type="dxa"/>
            <w:shd w:val="clear" w:color="auto" w:fill="auto"/>
          </w:tcPr>
          <w:p w:rsidR="00ED7D4C" w:rsidRPr="0059735A" w:rsidRDefault="00ED7D4C" w:rsidP="00C63D77">
            <w:pPr>
              <w:spacing w:before="0" w:after="100" w:afterAutospacing="1"/>
              <w:jc w:val="center"/>
              <w:rPr>
                <w:rFonts w:ascii="Calibri" w:hAnsi="Calibri" w:cs="Calibri"/>
                <w:sz w:val="20"/>
                <w:szCs w:val="20"/>
                <w:lang w:eastAsia="en-GB"/>
              </w:rPr>
            </w:pPr>
            <w:r>
              <w:rPr>
                <w:rFonts w:ascii="Calibri" w:hAnsi="Calibri" w:cs="Calibri"/>
                <w:sz w:val="20"/>
                <w:szCs w:val="20"/>
                <w:lang w:eastAsia="en-GB"/>
              </w:rPr>
              <w:t>191</w:t>
            </w:r>
          </w:p>
        </w:tc>
      </w:tr>
      <w:tr w:rsidR="00ED7D4C" w:rsidRPr="005761AD" w:rsidTr="00C63D77">
        <w:trPr>
          <w:trHeight w:val="22"/>
        </w:trPr>
        <w:tc>
          <w:tcPr>
            <w:tcW w:w="6094" w:type="dxa"/>
          </w:tcPr>
          <w:p w:rsidR="00ED7D4C" w:rsidRPr="0059735A" w:rsidRDefault="00ED7D4C" w:rsidP="00C63D77">
            <w:pPr>
              <w:spacing w:before="0" w:after="100" w:afterAutospacing="1"/>
              <w:rPr>
                <w:rFonts w:ascii="Calibri" w:hAnsi="Calibri" w:cs="Calibri"/>
                <w:sz w:val="20"/>
                <w:szCs w:val="20"/>
                <w:lang w:eastAsia="en-GB"/>
              </w:rPr>
            </w:pPr>
            <w:r w:rsidRPr="0059735A">
              <w:rPr>
                <w:rFonts w:ascii="Calibri" w:hAnsi="Calibri" w:cs="Calibri"/>
                <w:sz w:val="20"/>
                <w:szCs w:val="20"/>
                <w:lang w:eastAsia="en-GB"/>
              </w:rPr>
              <w:t xml:space="preserve">Sub-contracted grants </w:t>
            </w:r>
          </w:p>
        </w:tc>
        <w:tc>
          <w:tcPr>
            <w:tcW w:w="1763" w:type="dxa"/>
            <w:shd w:val="clear" w:color="auto" w:fill="auto"/>
          </w:tcPr>
          <w:p w:rsidR="00ED7D4C" w:rsidRPr="0059735A" w:rsidRDefault="00ED7D4C" w:rsidP="00C63D77">
            <w:pPr>
              <w:spacing w:before="0" w:after="100" w:afterAutospacing="1"/>
              <w:jc w:val="center"/>
              <w:rPr>
                <w:rFonts w:ascii="Calibri" w:hAnsi="Calibri" w:cs="Calibri"/>
                <w:sz w:val="20"/>
                <w:szCs w:val="20"/>
                <w:lang w:eastAsia="en-GB"/>
              </w:rPr>
            </w:pPr>
            <w:r w:rsidRPr="0059735A">
              <w:rPr>
                <w:rFonts w:ascii="Calibri" w:hAnsi="Calibri" w:cs="Calibri"/>
                <w:sz w:val="20"/>
                <w:szCs w:val="20"/>
                <w:lang w:eastAsia="en-GB"/>
              </w:rPr>
              <w:t>22</w:t>
            </w:r>
            <w:r>
              <w:rPr>
                <w:rFonts w:ascii="Calibri" w:hAnsi="Calibri" w:cs="Calibri"/>
                <w:sz w:val="20"/>
                <w:szCs w:val="20"/>
                <w:lang w:eastAsia="en-GB"/>
              </w:rPr>
              <w:t>6</w:t>
            </w:r>
          </w:p>
        </w:tc>
      </w:tr>
      <w:tr w:rsidR="00ED7D4C" w:rsidRPr="005761AD" w:rsidTr="00C63D77">
        <w:trPr>
          <w:trHeight w:val="22"/>
        </w:trPr>
        <w:tc>
          <w:tcPr>
            <w:tcW w:w="6094" w:type="dxa"/>
            <w:tcBorders>
              <w:bottom w:val="single" w:sz="4" w:space="0" w:color="auto"/>
            </w:tcBorders>
          </w:tcPr>
          <w:p w:rsidR="00ED7D4C" w:rsidRPr="0059735A" w:rsidRDefault="00ED7D4C" w:rsidP="00C63D77">
            <w:pPr>
              <w:spacing w:before="0" w:after="100" w:afterAutospacing="1"/>
              <w:rPr>
                <w:rFonts w:ascii="Calibri" w:hAnsi="Calibri" w:cs="Calibri"/>
                <w:sz w:val="20"/>
                <w:szCs w:val="20"/>
                <w:lang w:eastAsia="en-GB"/>
              </w:rPr>
            </w:pPr>
            <w:r w:rsidRPr="0059735A">
              <w:rPr>
                <w:rFonts w:ascii="Calibri" w:hAnsi="Calibri" w:cs="Calibri"/>
                <w:sz w:val="20"/>
                <w:szCs w:val="20"/>
                <w:lang w:eastAsia="en-GB"/>
              </w:rPr>
              <w:t xml:space="preserve">Dendron related </w:t>
            </w:r>
          </w:p>
        </w:tc>
        <w:tc>
          <w:tcPr>
            <w:tcW w:w="1763" w:type="dxa"/>
            <w:tcBorders>
              <w:bottom w:val="single" w:sz="4" w:space="0" w:color="auto"/>
            </w:tcBorders>
            <w:shd w:val="clear" w:color="auto" w:fill="auto"/>
          </w:tcPr>
          <w:p w:rsidR="00ED7D4C" w:rsidRPr="0059735A" w:rsidRDefault="00ED7D4C" w:rsidP="00C63D77">
            <w:pPr>
              <w:spacing w:before="0" w:after="100" w:afterAutospacing="1"/>
              <w:jc w:val="center"/>
              <w:rPr>
                <w:rFonts w:ascii="Calibri" w:hAnsi="Calibri" w:cs="Calibri"/>
                <w:sz w:val="20"/>
                <w:szCs w:val="20"/>
                <w:lang w:eastAsia="en-GB"/>
              </w:rPr>
            </w:pPr>
            <w:r w:rsidRPr="0059735A">
              <w:rPr>
                <w:rFonts w:ascii="Calibri" w:hAnsi="Calibri" w:cs="Calibri"/>
                <w:sz w:val="20"/>
                <w:szCs w:val="20"/>
                <w:lang w:eastAsia="en-GB"/>
              </w:rPr>
              <w:t>1</w:t>
            </w:r>
            <w:r>
              <w:rPr>
                <w:rFonts w:ascii="Calibri" w:hAnsi="Calibri" w:cs="Calibri"/>
                <w:sz w:val="20"/>
                <w:szCs w:val="20"/>
                <w:lang w:eastAsia="en-GB"/>
              </w:rPr>
              <w:t>1</w:t>
            </w:r>
            <w:r w:rsidRPr="0059735A">
              <w:rPr>
                <w:rFonts w:ascii="Calibri" w:hAnsi="Calibri" w:cs="Calibri"/>
                <w:sz w:val="20"/>
                <w:szCs w:val="20"/>
                <w:lang w:eastAsia="en-GB"/>
              </w:rPr>
              <w:t>7</w:t>
            </w:r>
          </w:p>
        </w:tc>
      </w:tr>
      <w:tr w:rsidR="00ED7D4C" w:rsidRPr="0059735A" w:rsidTr="00C63D77">
        <w:trPr>
          <w:trHeight w:val="22"/>
        </w:trPr>
        <w:tc>
          <w:tcPr>
            <w:tcW w:w="6094" w:type="dxa"/>
            <w:shd w:val="clear" w:color="auto" w:fill="8DB3E2" w:themeFill="text2" w:themeFillTint="66"/>
          </w:tcPr>
          <w:p w:rsidR="00ED7D4C" w:rsidRPr="0059735A" w:rsidRDefault="00ED7D4C" w:rsidP="00C63D77">
            <w:pPr>
              <w:spacing w:before="0" w:after="100" w:afterAutospacing="1"/>
              <w:rPr>
                <w:rFonts w:ascii="Calibri" w:hAnsi="Calibri" w:cs="Calibri"/>
                <w:b/>
                <w:sz w:val="20"/>
                <w:szCs w:val="20"/>
                <w:lang w:eastAsia="en-GB"/>
              </w:rPr>
            </w:pPr>
            <w:r w:rsidRPr="0059735A">
              <w:rPr>
                <w:rFonts w:ascii="Calibri" w:hAnsi="Calibri" w:cs="Calibri"/>
                <w:b/>
                <w:sz w:val="20"/>
                <w:szCs w:val="20"/>
                <w:lang w:eastAsia="en-GB"/>
              </w:rPr>
              <w:t>Total</w:t>
            </w:r>
          </w:p>
        </w:tc>
        <w:tc>
          <w:tcPr>
            <w:tcW w:w="1763" w:type="dxa"/>
            <w:shd w:val="clear" w:color="auto" w:fill="8DB3E2" w:themeFill="text2" w:themeFillTint="66"/>
          </w:tcPr>
          <w:p w:rsidR="00ED7D4C" w:rsidRPr="0059735A" w:rsidRDefault="00ED7D4C" w:rsidP="00C63D77">
            <w:pPr>
              <w:spacing w:before="0" w:after="100" w:afterAutospacing="1"/>
              <w:jc w:val="center"/>
              <w:rPr>
                <w:rFonts w:ascii="Calibri" w:hAnsi="Calibri" w:cs="Calibri"/>
                <w:b/>
                <w:sz w:val="20"/>
                <w:szCs w:val="20"/>
                <w:lang w:eastAsia="en-GB"/>
              </w:rPr>
            </w:pPr>
            <w:r>
              <w:rPr>
                <w:rFonts w:ascii="Calibri" w:hAnsi="Calibri" w:cs="Calibri"/>
                <w:b/>
                <w:sz w:val="20"/>
                <w:szCs w:val="20"/>
                <w:lang w:eastAsia="en-GB"/>
              </w:rPr>
              <w:t>6,640</w:t>
            </w:r>
          </w:p>
        </w:tc>
      </w:tr>
    </w:tbl>
    <w:p w:rsidR="00ED7D4C" w:rsidRPr="005761AD" w:rsidRDefault="00ED7D4C" w:rsidP="00ED7D4C">
      <w:pPr>
        <w:rPr>
          <w:i/>
          <w:lang w:val="en-GB"/>
        </w:rPr>
      </w:pPr>
    </w:p>
    <w:p w:rsidR="00ED7D4C" w:rsidRPr="005761AD" w:rsidRDefault="00ED7D4C" w:rsidP="00ED7D4C">
      <w:pPr>
        <w:rPr>
          <w:i/>
          <w:lang w:val="en-GB"/>
        </w:rPr>
      </w:pPr>
    </w:p>
    <w:p w:rsidR="00ED7D4C" w:rsidRDefault="00ED7D4C" w:rsidP="00ED7D4C">
      <w:pPr>
        <w:rPr>
          <w:lang w:val="en-GB"/>
        </w:rPr>
      </w:pPr>
    </w:p>
    <w:p w:rsidR="00ED7D4C" w:rsidRDefault="00ED7D4C" w:rsidP="00ED7D4C">
      <w:pPr>
        <w:rPr>
          <w:lang w:val="en-GB"/>
        </w:rPr>
      </w:pPr>
    </w:p>
    <w:p w:rsidR="00ED7D4C" w:rsidRDefault="00ED7D4C" w:rsidP="00ED7D4C">
      <w:pPr>
        <w:rPr>
          <w:lang w:val="en-GB"/>
        </w:rPr>
      </w:pPr>
    </w:p>
    <w:p w:rsidR="00D25B5D" w:rsidRDefault="00D25B5D" w:rsidP="00ED7D4C">
      <w:pPr>
        <w:rPr>
          <w:lang w:val="en-GB"/>
        </w:rPr>
      </w:pPr>
    </w:p>
    <w:p w:rsidR="00D25B5D" w:rsidRDefault="00D25B5D" w:rsidP="00ED7D4C">
      <w:pPr>
        <w:rPr>
          <w:lang w:val="en-GB"/>
        </w:rPr>
      </w:pPr>
    </w:p>
    <w:p w:rsidR="00D25B5D" w:rsidRDefault="00D25B5D" w:rsidP="00ED7D4C">
      <w:pPr>
        <w:rPr>
          <w:lang w:val="en-GB"/>
        </w:rPr>
      </w:pPr>
    </w:p>
    <w:p w:rsidR="00D25B5D" w:rsidRDefault="00D25B5D" w:rsidP="00ED7D4C">
      <w:pPr>
        <w:rPr>
          <w:lang w:val="en-GB"/>
        </w:rPr>
      </w:pPr>
    </w:p>
    <w:p w:rsidR="00ED7D4C" w:rsidRPr="005761AD" w:rsidRDefault="00ED7D4C" w:rsidP="00ED7D4C">
      <w:pPr>
        <w:rPr>
          <w:lang w:val="en-GB"/>
        </w:rPr>
      </w:pPr>
      <w:r w:rsidRPr="005761AD">
        <w:rPr>
          <w:lang w:val="en-GB"/>
        </w:rPr>
        <w:t>The NIHR, Department of Health and CRN require the completion of detailed quarterly and annual returns to ensure all funding is used appropriately and within the year awarded. Any unused funding would need to be returned to the relevant funding organisation.</w:t>
      </w:r>
    </w:p>
    <w:p w:rsidR="00ED7D4C" w:rsidRPr="00ED7D4C" w:rsidRDefault="00ED7D4C" w:rsidP="00ED7D4C">
      <w:pPr>
        <w:pStyle w:val="Heading2"/>
      </w:pPr>
      <w:bookmarkStart w:id="32" w:name="_Toc441061221"/>
      <w:bookmarkStart w:id="33" w:name="_Toc476822117"/>
      <w:r w:rsidRPr="00ED7D4C">
        <w:t>FY17 Performance</w:t>
      </w:r>
      <w:bookmarkEnd w:id="32"/>
      <w:bookmarkEnd w:id="33"/>
    </w:p>
    <w:p w:rsidR="00C5192B" w:rsidRDefault="00ED7D4C" w:rsidP="00ED7D4C">
      <w:pPr>
        <w:rPr>
          <w:lang w:val="en-GB"/>
        </w:rPr>
      </w:pPr>
      <w:r w:rsidRPr="00650C79">
        <w:rPr>
          <w:lang w:val="en-GB"/>
        </w:rPr>
        <w:t xml:space="preserve">At the end of period </w:t>
      </w:r>
      <w:r>
        <w:rPr>
          <w:lang w:val="en-GB"/>
        </w:rPr>
        <w:t>10</w:t>
      </w:r>
      <w:r w:rsidRPr="00650C79">
        <w:rPr>
          <w:lang w:val="en-GB"/>
        </w:rPr>
        <w:t xml:space="preserve"> the R&amp;D performance </w:t>
      </w:r>
      <w:r>
        <w:rPr>
          <w:lang w:val="en-GB"/>
        </w:rPr>
        <w:t>was</w:t>
      </w:r>
      <w:r w:rsidRPr="00650C79">
        <w:rPr>
          <w:lang w:val="en-GB"/>
        </w:rPr>
        <w:t xml:space="preserve"> broadly in line with budget and it is expected to meet its budgeted £72k contribution to overheads target</w:t>
      </w:r>
      <w:r>
        <w:rPr>
          <w:lang w:val="en-GB"/>
        </w:rPr>
        <w:t xml:space="preserve"> this financial year</w:t>
      </w:r>
      <w:r w:rsidRPr="00650C79">
        <w:rPr>
          <w:lang w:val="en-GB"/>
        </w:rPr>
        <w:t>.</w:t>
      </w:r>
    </w:p>
    <w:p w:rsidR="00ED7D4C" w:rsidRPr="00ED7D4C" w:rsidRDefault="00ED7D4C" w:rsidP="00ED7D4C">
      <w:pPr>
        <w:pStyle w:val="Heading2"/>
      </w:pPr>
      <w:bookmarkStart w:id="34" w:name="_Toc441061222"/>
      <w:bookmarkStart w:id="35" w:name="_Toc476822118"/>
      <w:r w:rsidRPr="00ED7D4C">
        <w:lastRenderedPageBreak/>
        <w:t>Research Capability Funding (RCF)</w:t>
      </w:r>
      <w:bookmarkEnd w:id="34"/>
      <w:bookmarkEnd w:id="35"/>
    </w:p>
    <w:p w:rsidR="00ED7D4C" w:rsidRPr="00650C79" w:rsidRDefault="00ED7D4C" w:rsidP="00ED7D4C">
      <w:pPr>
        <w:rPr>
          <w:lang w:val="en-GB"/>
        </w:rPr>
      </w:pPr>
      <w:r w:rsidRPr="00650C79">
        <w:rPr>
          <w:lang w:val="en-GB"/>
        </w:rPr>
        <w:t xml:space="preserve">Research active NHS organisations receive RCF to enable them to meet some, or all, of the research-related component of the salary of their researchers and research support staff working on clinical and applied health research, where that component is not already provided by another funding source. </w:t>
      </w:r>
    </w:p>
    <w:p w:rsidR="00ED7D4C" w:rsidRPr="00650C79" w:rsidRDefault="00ED7D4C" w:rsidP="00ED7D4C">
      <w:pPr>
        <w:rPr>
          <w:lang w:val="en-GB"/>
        </w:rPr>
      </w:pPr>
      <w:r w:rsidRPr="00650C79">
        <w:rPr>
          <w:lang w:val="en-GB"/>
        </w:rPr>
        <w:t xml:space="preserve">The annual RCF allocation combines a percentage of the NIHR funding received in the previous calendar year with an allowance for each Senior Investigator associated with Trust. </w:t>
      </w:r>
    </w:p>
    <w:p w:rsidR="00ED7D4C" w:rsidRPr="00ED7D4C" w:rsidRDefault="00ED7D4C" w:rsidP="00283916">
      <w:pPr>
        <w:pStyle w:val="Heading4"/>
      </w:pPr>
      <w:bookmarkStart w:id="36" w:name="_Toc441061223"/>
      <w:r w:rsidRPr="00ED7D4C">
        <w:t>FY17 RCF Allocation</w:t>
      </w:r>
      <w:bookmarkEnd w:id="36"/>
    </w:p>
    <w:p w:rsidR="00ED7D4C" w:rsidRPr="00650C79" w:rsidRDefault="00ED7D4C" w:rsidP="00ED7D4C">
      <w:pPr>
        <w:rPr>
          <w:i/>
        </w:rPr>
      </w:pPr>
      <w:r w:rsidRPr="00650C79">
        <w:rPr>
          <w:lang w:val="en-GB"/>
        </w:rPr>
        <w:t>The FY17 RCF allocation is £1.045m which is a reduction of £0.365m on FY16 as detailed below:</w:t>
      </w:r>
      <w:r w:rsidRPr="00650C79">
        <w:rPr>
          <w:i/>
        </w:rPr>
        <w:t xml:space="preserve"> </w:t>
      </w:r>
    </w:p>
    <w:tbl>
      <w:tblPr>
        <w:tblStyle w:val="TableGrid"/>
        <w:tblW w:w="0" w:type="auto"/>
        <w:tblInd w:w="108" w:type="dxa"/>
        <w:tblLook w:val="04A0" w:firstRow="1" w:lastRow="0" w:firstColumn="1" w:lastColumn="0" w:noHBand="0" w:noVBand="1"/>
      </w:tblPr>
      <w:tblGrid>
        <w:gridCol w:w="3544"/>
        <w:gridCol w:w="992"/>
        <w:gridCol w:w="5211"/>
      </w:tblGrid>
      <w:tr w:rsidR="00ED7D4C" w:rsidRPr="005761AD" w:rsidTr="00C63D77">
        <w:tc>
          <w:tcPr>
            <w:tcW w:w="3544" w:type="dxa"/>
          </w:tcPr>
          <w:p w:rsidR="00ED7D4C" w:rsidRPr="00840A9E" w:rsidRDefault="00ED7D4C" w:rsidP="00C63D77">
            <w:pPr>
              <w:spacing w:before="0" w:after="0"/>
              <w:rPr>
                <w:rFonts w:ascii="Calibri" w:hAnsi="Calibri" w:cs="Calibri"/>
                <w:sz w:val="20"/>
                <w:szCs w:val="20"/>
                <w:lang w:eastAsia="en-GB"/>
              </w:rPr>
            </w:pPr>
            <w:r w:rsidRPr="00840A9E">
              <w:rPr>
                <w:rFonts w:ascii="Calibri" w:hAnsi="Calibri" w:cs="Calibri"/>
                <w:sz w:val="20"/>
                <w:szCs w:val="20"/>
                <w:lang w:eastAsia="en-GB"/>
              </w:rPr>
              <w:t xml:space="preserve">Reduced study related RCF  </w:t>
            </w:r>
          </w:p>
        </w:tc>
        <w:tc>
          <w:tcPr>
            <w:tcW w:w="992" w:type="dxa"/>
          </w:tcPr>
          <w:p w:rsidR="00ED7D4C" w:rsidRPr="00840A9E" w:rsidRDefault="00ED7D4C" w:rsidP="00C63D77">
            <w:pPr>
              <w:spacing w:before="0" w:after="0"/>
              <w:jc w:val="center"/>
              <w:rPr>
                <w:rFonts w:ascii="Calibri" w:hAnsi="Calibri" w:cs="Calibri"/>
                <w:sz w:val="20"/>
                <w:szCs w:val="20"/>
                <w:lang w:eastAsia="en-GB"/>
              </w:rPr>
            </w:pPr>
            <w:r w:rsidRPr="00840A9E">
              <w:rPr>
                <w:rFonts w:ascii="Calibri" w:hAnsi="Calibri" w:cs="Calibri"/>
                <w:sz w:val="20"/>
                <w:szCs w:val="20"/>
                <w:lang w:eastAsia="en-GB"/>
              </w:rPr>
              <w:t>(£366k)</w:t>
            </w:r>
          </w:p>
        </w:tc>
        <w:tc>
          <w:tcPr>
            <w:tcW w:w="5211" w:type="dxa"/>
          </w:tcPr>
          <w:p w:rsidR="00ED7D4C" w:rsidRPr="00840A9E" w:rsidRDefault="00ED7D4C" w:rsidP="00C63D77">
            <w:pPr>
              <w:spacing w:before="0" w:after="0"/>
              <w:rPr>
                <w:rFonts w:ascii="Calibri" w:hAnsi="Calibri" w:cs="Calibri"/>
                <w:sz w:val="20"/>
                <w:szCs w:val="20"/>
                <w:lang w:eastAsia="en-GB"/>
              </w:rPr>
            </w:pPr>
            <w:r w:rsidRPr="00840A9E">
              <w:rPr>
                <w:rFonts w:ascii="Calibri" w:hAnsi="Calibri" w:cs="Calibri"/>
                <w:sz w:val="20"/>
                <w:szCs w:val="20"/>
                <w:lang w:eastAsia="en-GB"/>
              </w:rPr>
              <w:t>Less study income (£359k), reduced NIHR rate (£7k)</w:t>
            </w:r>
          </w:p>
        </w:tc>
      </w:tr>
      <w:tr w:rsidR="00ED7D4C" w:rsidRPr="005761AD" w:rsidTr="00C63D77">
        <w:tc>
          <w:tcPr>
            <w:tcW w:w="3544" w:type="dxa"/>
          </w:tcPr>
          <w:p w:rsidR="00ED7D4C" w:rsidRPr="00840A9E" w:rsidRDefault="00ED7D4C" w:rsidP="00C63D77">
            <w:pPr>
              <w:spacing w:before="0" w:after="0"/>
              <w:rPr>
                <w:rFonts w:ascii="Calibri" w:hAnsi="Calibri" w:cs="Calibri"/>
                <w:sz w:val="20"/>
                <w:szCs w:val="20"/>
                <w:lang w:eastAsia="en-GB"/>
              </w:rPr>
            </w:pPr>
            <w:r w:rsidRPr="00840A9E">
              <w:rPr>
                <w:rFonts w:ascii="Calibri" w:hAnsi="Calibri" w:cs="Calibri"/>
                <w:sz w:val="20"/>
                <w:szCs w:val="20"/>
                <w:lang w:eastAsia="en-GB"/>
              </w:rPr>
              <w:t>Increased Infrastructure related RCF</w:t>
            </w:r>
          </w:p>
        </w:tc>
        <w:tc>
          <w:tcPr>
            <w:tcW w:w="992" w:type="dxa"/>
          </w:tcPr>
          <w:p w:rsidR="00ED7D4C" w:rsidRPr="00840A9E" w:rsidRDefault="00ED7D4C" w:rsidP="00C63D77">
            <w:pPr>
              <w:spacing w:before="0" w:after="0"/>
              <w:jc w:val="center"/>
              <w:rPr>
                <w:rFonts w:ascii="Calibri" w:hAnsi="Calibri" w:cs="Calibri"/>
                <w:sz w:val="20"/>
                <w:szCs w:val="20"/>
                <w:lang w:eastAsia="en-GB"/>
              </w:rPr>
            </w:pPr>
            <w:r w:rsidRPr="00840A9E">
              <w:rPr>
                <w:rFonts w:ascii="Calibri" w:hAnsi="Calibri" w:cs="Calibri"/>
                <w:sz w:val="20"/>
                <w:szCs w:val="20"/>
                <w:lang w:eastAsia="en-GB"/>
              </w:rPr>
              <w:t>£151k</w:t>
            </w:r>
          </w:p>
        </w:tc>
        <w:tc>
          <w:tcPr>
            <w:tcW w:w="5211" w:type="dxa"/>
          </w:tcPr>
          <w:p w:rsidR="00ED7D4C" w:rsidRPr="00840A9E" w:rsidRDefault="00ED7D4C" w:rsidP="00C63D77">
            <w:pPr>
              <w:spacing w:before="0" w:after="0"/>
              <w:rPr>
                <w:rFonts w:ascii="Calibri" w:hAnsi="Calibri" w:cs="Calibri"/>
                <w:sz w:val="20"/>
                <w:szCs w:val="20"/>
                <w:lang w:eastAsia="en-GB"/>
              </w:rPr>
            </w:pPr>
            <w:r w:rsidRPr="00840A9E">
              <w:rPr>
                <w:rFonts w:ascii="Calibri" w:hAnsi="Calibri" w:cs="Calibri"/>
                <w:sz w:val="20"/>
                <w:szCs w:val="20"/>
                <w:lang w:eastAsia="en-GB"/>
              </w:rPr>
              <w:t>More infrastructure income £178k, reduced NIHR rate (£27k)</w:t>
            </w:r>
          </w:p>
        </w:tc>
      </w:tr>
      <w:tr w:rsidR="00ED7D4C" w:rsidRPr="005761AD" w:rsidTr="00C63D77">
        <w:tc>
          <w:tcPr>
            <w:tcW w:w="3544" w:type="dxa"/>
            <w:tcBorders>
              <w:bottom w:val="single" w:sz="4" w:space="0" w:color="auto"/>
            </w:tcBorders>
          </w:tcPr>
          <w:p w:rsidR="00ED7D4C" w:rsidRPr="00840A9E" w:rsidRDefault="00ED7D4C" w:rsidP="00C63D77">
            <w:pPr>
              <w:spacing w:before="0" w:after="0"/>
              <w:rPr>
                <w:rFonts w:ascii="Calibri" w:hAnsi="Calibri" w:cs="Calibri"/>
                <w:sz w:val="20"/>
                <w:szCs w:val="20"/>
                <w:lang w:eastAsia="en-GB"/>
              </w:rPr>
            </w:pPr>
            <w:r w:rsidRPr="00840A9E">
              <w:rPr>
                <w:rFonts w:ascii="Calibri" w:hAnsi="Calibri" w:cs="Calibri"/>
                <w:sz w:val="20"/>
                <w:szCs w:val="20"/>
                <w:lang w:eastAsia="en-GB"/>
              </w:rPr>
              <w:t>Reduced Senior Investigator RCF</w:t>
            </w:r>
          </w:p>
        </w:tc>
        <w:tc>
          <w:tcPr>
            <w:tcW w:w="992" w:type="dxa"/>
            <w:tcBorders>
              <w:bottom w:val="single" w:sz="4" w:space="0" w:color="auto"/>
            </w:tcBorders>
          </w:tcPr>
          <w:p w:rsidR="00ED7D4C" w:rsidRPr="00840A9E" w:rsidRDefault="00ED7D4C" w:rsidP="00C63D77">
            <w:pPr>
              <w:spacing w:before="0" w:after="0"/>
              <w:jc w:val="center"/>
              <w:rPr>
                <w:rFonts w:ascii="Calibri" w:hAnsi="Calibri" w:cs="Calibri"/>
                <w:sz w:val="20"/>
                <w:szCs w:val="20"/>
                <w:lang w:eastAsia="en-GB"/>
              </w:rPr>
            </w:pPr>
            <w:r w:rsidRPr="00840A9E">
              <w:rPr>
                <w:rFonts w:ascii="Calibri" w:hAnsi="Calibri" w:cs="Calibri"/>
                <w:sz w:val="20"/>
                <w:szCs w:val="20"/>
                <w:lang w:eastAsia="en-GB"/>
              </w:rPr>
              <w:t>(£150k)</w:t>
            </w:r>
          </w:p>
        </w:tc>
        <w:tc>
          <w:tcPr>
            <w:tcW w:w="5211" w:type="dxa"/>
            <w:tcBorders>
              <w:bottom w:val="single" w:sz="4" w:space="0" w:color="auto"/>
            </w:tcBorders>
          </w:tcPr>
          <w:p w:rsidR="00ED7D4C" w:rsidRPr="00840A9E" w:rsidRDefault="00ED7D4C" w:rsidP="00C63D77">
            <w:pPr>
              <w:spacing w:before="0" w:after="0"/>
              <w:rPr>
                <w:rFonts w:ascii="Calibri" w:hAnsi="Calibri" w:cs="Calibri"/>
                <w:sz w:val="20"/>
                <w:szCs w:val="20"/>
                <w:lang w:eastAsia="en-GB"/>
              </w:rPr>
            </w:pPr>
            <w:r w:rsidRPr="00840A9E">
              <w:rPr>
                <w:rFonts w:ascii="Calibri" w:hAnsi="Calibri" w:cs="Calibri"/>
                <w:sz w:val="20"/>
                <w:szCs w:val="20"/>
                <w:lang w:eastAsia="en-GB"/>
              </w:rPr>
              <w:t>Net reduction of two investigators at £75k each</w:t>
            </w:r>
          </w:p>
        </w:tc>
      </w:tr>
      <w:tr w:rsidR="00ED7D4C" w:rsidRPr="005761AD" w:rsidTr="00C63D77">
        <w:tc>
          <w:tcPr>
            <w:tcW w:w="3544" w:type="dxa"/>
            <w:shd w:val="clear" w:color="auto" w:fill="95B3D7" w:themeFill="accent1" w:themeFillTint="99"/>
          </w:tcPr>
          <w:p w:rsidR="00ED7D4C" w:rsidRPr="00840A9E" w:rsidRDefault="00ED7D4C" w:rsidP="00C63D77">
            <w:pPr>
              <w:spacing w:before="0" w:after="0"/>
              <w:rPr>
                <w:rFonts w:ascii="Calibri" w:hAnsi="Calibri" w:cs="Calibri"/>
                <w:sz w:val="20"/>
                <w:szCs w:val="20"/>
                <w:lang w:eastAsia="en-GB"/>
              </w:rPr>
            </w:pPr>
            <w:r w:rsidRPr="00840A9E">
              <w:rPr>
                <w:rFonts w:ascii="Calibri" w:hAnsi="Calibri" w:cs="Calibri"/>
                <w:sz w:val="20"/>
                <w:szCs w:val="20"/>
                <w:lang w:eastAsia="en-GB"/>
              </w:rPr>
              <w:t>Total</w:t>
            </w:r>
            <w:r w:rsidRPr="00840A9E">
              <w:rPr>
                <w:rFonts w:ascii="Calibri" w:hAnsi="Calibri" w:cs="Calibri"/>
                <w:sz w:val="20"/>
                <w:szCs w:val="20"/>
                <w:lang w:eastAsia="en-GB"/>
              </w:rPr>
              <w:tab/>
            </w:r>
          </w:p>
        </w:tc>
        <w:tc>
          <w:tcPr>
            <w:tcW w:w="992" w:type="dxa"/>
            <w:shd w:val="clear" w:color="auto" w:fill="95B3D7" w:themeFill="accent1" w:themeFillTint="99"/>
          </w:tcPr>
          <w:p w:rsidR="00ED7D4C" w:rsidRPr="00840A9E" w:rsidRDefault="00ED7D4C" w:rsidP="00C63D77">
            <w:pPr>
              <w:spacing w:before="0" w:after="0"/>
              <w:jc w:val="center"/>
              <w:rPr>
                <w:rFonts w:ascii="Calibri" w:hAnsi="Calibri" w:cs="Calibri"/>
                <w:sz w:val="20"/>
                <w:szCs w:val="20"/>
                <w:lang w:eastAsia="en-GB"/>
              </w:rPr>
            </w:pPr>
            <w:r w:rsidRPr="00840A9E">
              <w:rPr>
                <w:rFonts w:ascii="Calibri" w:hAnsi="Calibri" w:cs="Calibri"/>
                <w:sz w:val="20"/>
                <w:szCs w:val="20"/>
                <w:lang w:eastAsia="en-GB"/>
              </w:rPr>
              <w:t>(£365k)</w:t>
            </w:r>
          </w:p>
        </w:tc>
        <w:tc>
          <w:tcPr>
            <w:tcW w:w="5211" w:type="dxa"/>
            <w:shd w:val="clear" w:color="auto" w:fill="95B3D7" w:themeFill="accent1" w:themeFillTint="99"/>
          </w:tcPr>
          <w:p w:rsidR="00ED7D4C" w:rsidRPr="00840A9E" w:rsidRDefault="00ED7D4C" w:rsidP="00C63D77">
            <w:pPr>
              <w:spacing w:before="0" w:after="0"/>
              <w:rPr>
                <w:rFonts w:ascii="Calibri" w:hAnsi="Calibri" w:cs="Calibri"/>
                <w:sz w:val="20"/>
                <w:szCs w:val="20"/>
                <w:lang w:eastAsia="en-GB"/>
              </w:rPr>
            </w:pPr>
          </w:p>
        </w:tc>
      </w:tr>
    </w:tbl>
    <w:p w:rsidR="00ED7D4C" w:rsidRPr="005761AD" w:rsidRDefault="00ED7D4C" w:rsidP="00ED7D4C">
      <w:pPr>
        <w:rPr>
          <w:i/>
          <w:sz w:val="18"/>
          <w:szCs w:val="18"/>
          <w:lang w:val="en-GB"/>
        </w:rPr>
      </w:pPr>
      <w:r w:rsidRPr="005761AD">
        <w:rPr>
          <w:lang w:val="en-GB"/>
        </w:rPr>
        <w:t>The Trust splits its RCF income between that earned by the Trust and Department of Psychiatry and that from the Department of Primary Care, the breakdown and year on year movements are shown in the table below:</w:t>
      </w:r>
    </w:p>
    <w:tbl>
      <w:tblPr>
        <w:tblStyle w:val="TableGrid"/>
        <w:tblW w:w="9781" w:type="dxa"/>
        <w:tblInd w:w="108" w:type="dxa"/>
        <w:tblLayout w:type="fixed"/>
        <w:tblLook w:val="04A0" w:firstRow="1" w:lastRow="0" w:firstColumn="1" w:lastColumn="0" w:noHBand="0" w:noVBand="1"/>
      </w:tblPr>
      <w:tblGrid>
        <w:gridCol w:w="2977"/>
        <w:gridCol w:w="2835"/>
        <w:gridCol w:w="2835"/>
        <w:gridCol w:w="1134"/>
      </w:tblGrid>
      <w:tr w:rsidR="00ED7D4C" w:rsidRPr="005761AD" w:rsidTr="00C63D77">
        <w:trPr>
          <w:trHeight w:val="405"/>
        </w:trPr>
        <w:tc>
          <w:tcPr>
            <w:tcW w:w="2977" w:type="dxa"/>
            <w:tcBorders>
              <w:top w:val="single" w:sz="12" w:space="0" w:color="auto"/>
              <w:left w:val="single" w:sz="12" w:space="0" w:color="auto"/>
            </w:tcBorders>
            <w:shd w:val="clear" w:color="auto" w:fill="95B3D7" w:themeFill="accent1" w:themeFillTint="99"/>
          </w:tcPr>
          <w:p w:rsidR="00ED7D4C" w:rsidRPr="00840A9E" w:rsidRDefault="00ED7D4C" w:rsidP="00C63D77">
            <w:pPr>
              <w:spacing w:before="0"/>
              <w:rPr>
                <w:rFonts w:ascii="Calibri" w:hAnsi="Calibri" w:cs="Calibri"/>
                <w:sz w:val="20"/>
                <w:szCs w:val="20"/>
                <w:lang w:eastAsia="en-GB"/>
              </w:rPr>
            </w:pPr>
            <w:r w:rsidRPr="00840A9E">
              <w:rPr>
                <w:rFonts w:ascii="Calibri" w:hAnsi="Calibri" w:cs="Calibri"/>
                <w:sz w:val="20"/>
                <w:szCs w:val="20"/>
                <w:lang w:eastAsia="en-GB"/>
              </w:rPr>
              <w:t>FY17</w:t>
            </w:r>
          </w:p>
        </w:tc>
        <w:tc>
          <w:tcPr>
            <w:tcW w:w="2835" w:type="dxa"/>
            <w:tcBorders>
              <w:top w:val="single" w:sz="12" w:space="0" w:color="auto"/>
            </w:tcBorders>
            <w:shd w:val="clear" w:color="auto" w:fill="95B3D7" w:themeFill="accent1" w:themeFillTint="99"/>
          </w:tcPr>
          <w:p w:rsidR="00ED7D4C" w:rsidRPr="00840A9E" w:rsidRDefault="00ED7D4C" w:rsidP="00C63D77">
            <w:pPr>
              <w:spacing w:before="0" w:after="0"/>
              <w:jc w:val="center"/>
              <w:rPr>
                <w:rFonts w:ascii="Calibri" w:hAnsi="Calibri" w:cs="Calibri"/>
                <w:sz w:val="20"/>
                <w:szCs w:val="20"/>
                <w:lang w:eastAsia="en-GB"/>
              </w:rPr>
            </w:pPr>
            <w:r w:rsidRPr="00840A9E">
              <w:rPr>
                <w:rFonts w:ascii="Calibri" w:hAnsi="Calibri" w:cs="Calibri"/>
                <w:sz w:val="20"/>
                <w:szCs w:val="20"/>
                <w:lang w:eastAsia="en-GB"/>
              </w:rPr>
              <w:t>Department of Psychiatry \ Trust (including CLAHRC)</w:t>
            </w:r>
          </w:p>
        </w:tc>
        <w:tc>
          <w:tcPr>
            <w:tcW w:w="2835" w:type="dxa"/>
            <w:tcBorders>
              <w:top w:val="single" w:sz="12" w:space="0" w:color="auto"/>
            </w:tcBorders>
            <w:shd w:val="clear" w:color="auto" w:fill="95B3D7" w:themeFill="accent1" w:themeFillTint="99"/>
          </w:tcPr>
          <w:p w:rsidR="00ED7D4C" w:rsidRPr="00840A9E" w:rsidRDefault="00ED7D4C" w:rsidP="00C63D77">
            <w:pPr>
              <w:spacing w:before="0"/>
              <w:jc w:val="center"/>
              <w:rPr>
                <w:rFonts w:ascii="Calibri" w:hAnsi="Calibri" w:cs="Calibri"/>
                <w:sz w:val="20"/>
                <w:szCs w:val="20"/>
                <w:lang w:eastAsia="en-GB"/>
              </w:rPr>
            </w:pPr>
            <w:r w:rsidRPr="00840A9E">
              <w:rPr>
                <w:rFonts w:ascii="Calibri" w:hAnsi="Calibri" w:cs="Calibri"/>
                <w:sz w:val="20"/>
                <w:szCs w:val="20"/>
                <w:lang w:eastAsia="en-GB"/>
              </w:rPr>
              <w:t>Department of Primary Care</w:t>
            </w:r>
          </w:p>
        </w:tc>
        <w:tc>
          <w:tcPr>
            <w:tcW w:w="1134" w:type="dxa"/>
            <w:tcBorders>
              <w:top w:val="single" w:sz="12" w:space="0" w:color="auto"/>
              <w:left w:val="single" w:sz="12" w:space="0" w:color="auto"/>
              <w:right w:val="single" w:sz="12" w:space="0" w:color="auto"/>
            </w:tcBorders>
            <w:shd w:val="clear" w:color="auto" w:fill="95B3D7" w:themeFill="accent1" w:themeFillTint="99"/>
          </w:tcPr>
          <w:p w:rsidR="00ED7D4C" w:rsidRPr="00840A9E" w:rsidRDefault="00ED7D4C" w:rsidP="00C63D77">
            <w:pPr>
              <w:spacing w:before="0"/>
              <w:jc w:val="center"/>
              <w:rPr>
                <w:rFonts w:ascii="Calibri" w:hAnsi="Calibri" w:cs="Calibri"/>
                <w:sz w:val="20"/>
                <w:szCs w:val="20"/>
                <w:lang w:eastAsia="en-GB"/>
              </w:rPr>
            </w:pPr>
            <w:r w:rsidRPr="00840A9E">
              <w:rPr>
                <w:rFonts w:ascii="Calibri" w:hAnsi="Calibri" w:cs="Calibri"/>
                <w:sz w:val="20"/>
                <w:szCs w:val="20"/>
                <w:lang w:eastAsia="en-GB"/>
              </w:rPr>
              <w:t>Total</w:t>
            </w:r>
          </w:p>
        </w:tc>
      </w:tr>
      <w:tr w:rsidR="00ED7D4C" w:rsidRPr="005761AD" w:rsidTr="00C63D77">
        <w:trPr>
          <w:trHeight w:val="161"/>
        </w:trPr>
        <w:tc>
          <w:tcPr>
            <w:tcW w:w="2977" w:type="dxa"/>
            <w:tcBorders>
              <w:left w:val="single" w:sz="12" w:space="0" w:color="auto"/>
              <w:bottom w:val="single" w:sz="4" w:space="0" w:color="auto"/>
            </w:tcBorders>
          </w:tcPr>
          <w:p w:rsidR="00ED7D4C" w:rsidRPr="00840A9E" w:rsidRDefault="00ED7D4C" w:rsidP="00C63D77">
            <w:pPr>
              <w:spacing w:before="0" w:after="0"/>
              <w:rPr>
                <w:rFonts w:ascii="Calibri" w:hAnsi="Calibri" w:cs="Calibri"/>
                <w:sz w:val="20"/>
                <w:szCs w:val="20"/>
                <w:lang w:eastAsia="en-GB"/>
              </w:rPr>
            </w:pPr>
            <w:r w:rsidRPr="00840A9E">
              <w:rPr>
                <w:rFonts w:ascii="Calibri" w:hAnsi="Calibri" w:cs="Calibri"/>
                <w:sz w:val="20"/>
                <w:szCs w:val="20"/>
                <w:lang w:eastAsia="en-GB"/>
              </w:rPr>
              <w:t xml:space="preserve">Senior Investigators (SI) </w:t>
            </w:r>
          </w:p>
        </w:tc>
        <w:tc>
          <w:tcPr>
            <w:tcW w:w="2835" w:type="dxa"/>
            <w:tcBorders>
              <w:bottom w:val="single" w:sz="4" w:space="0" w:color="auto"/>
            </w:tcBorders>
          </w:tcPr>
          <w:p w:rsidR="00ED7D4C" w:rsidRPr="00840A9E" w:rsidRDefault="00ED7D4C" w:rsidP="00C63D77">
            <w:pPr>
              <w:spacing w:before="0" w:after="0"/>
              <w:jc w:val="center"/>
              <w:rPr>
                <w:rFonts w:ascii="Calibri" w:hAnsi="Calibri" w:cs="Calibri"/>
                <w:sz w:val="20"/>
                <w:szCs w:val="20"/>
                <w:lang w:eastAsia="en-GB"/>
              </w:rPr>
            </w:pPr>
            <w:r w:rsidRPr="00840A9E">
              <w:rPr>
                <w:rFonts w:ascii="Calibri" w:hAnsi="Calibri" w:cs="Calibri"/>
                <w:sz w:val="20"/>
                <w:szCs w:val="20"/>
                <w:lang w:eastAsia="en-GB"/>
              </w:rPr>
              <w:t>Keith Hawton, Guy Goodwin, John Geddes, Mike Sharpe</w:t>
            </w:r>
          </w:p>
        </w:tc>
        <w:tc>
          <w:tcPr>
            <w:tcW w:w="2835" w:type="dxa"/>
            <w:tcBorders>
              <w:bottom w:val="single" w:sz="4" w:space="0" w:color="auto"/>
            </w:tcBorders>
          </w:tcPr>
          <w:p w:rsidR="00ED7D4C" w:rsidRPr="00840A9E" w:rsidRDefault="00ED7D4C" w:rsidP="00C63D77">
            <w:pPr>
              <w:spacing w:before="0" w:after="0"/>
              <w:jc w:val="center"/>
              <w:rPr>
                <w:rFonts w:ascii="Calibri" w:hAnsi="Calibri" w:cs="Calibri"/>
                <w:sz w:val="20"/>
                <w:szCs w:val="20"/>
                <w:lang w:eastAsia="en-GB"/>
              </w:rPr>
            </w:pPr>
            <w:r w:rsidRPr="00840A9E">
              <w:rPr>
                <w:rFonts w:ascii="Calibri" w:hAnsi="Calibri" w:cs="Calibri"/>
                <w:sz w:val="20"/>
                <w:szCs w:val="20"/>
                <w:lang w:eastAsia="en-GB"/>
              </w:rPr>
              <w:t>Sue Ziebland, David Mant, Trisha Greenhalgh, Andrew Farmer</w:t>
            </w:r>
          </w:p>
        </w:tc>
        <w:tc>
          <w:tcPr>
            <w:tcW w:w="1134" w:type="dxa"/>
            <w:tcBorders>
              <w:left w:val="single" w:sz="12" w:space="0" w:color="auto"/>
              <w:bottom w:val="single" w:sz="4" w:space="0" w:color="auto"/>
              <w:right w:val="single" w:sz="12" w:space="0" w:color="auto"/>
            </w:tcBorders>
          </w:tcPr>
          <w:p w:rsidR="00ED7D4C" w:rsidRPr="00840A9E" w:rsidRDefault="00ED7D4C" w:rsidP="00C63D77">
            <w:pPr>
              <w:spacing w:before="0" w:after="0"/>
              <w:jc w:val="center"/>
              <w:rPr>
                <w:rFonts w:ascii="Calibri" w:hAnsi="Calibri" w:cs="Calibri"/>
                <w:sz w:val="20"/>
                <w:szCs w:val="20"/>
                <w:lang w:eastAsia="en-GB"/>
              </w:rPr>
            </w:pPr>
          </w:p>
        </w:tc>
      </w:tr>
      <w:tr w:rsidR="00ED7D4C" w:rsidRPr="005761AD" w:rsidTr="00C63D77">
        <w:trPr>
          <w:trHeight w:val="36"/>
        </w:trPr>
        <w:tc>
          <w:tcPr>
            <w:tcW w:w="2977" w:type="dxa"/>
            <w:tcBorders>
              <w:left w:val="single" w:sz="12" w:space="0" w:color="auto"/>
            </w:tcBorders>
            <w:shd w:val="clear" w:color="auto" w:fill="95B3D7" w:themeFill="accent1" w:themeFillTint="99"/>
          </w:tcPr>
          <w:p w:rsidR="00ED7D4C" w:rsidRPr="00840A9E" w:rsidRDefault="00ED7D4C" w:rsidP="00C63D77">
            <w:pPr>
              <w:spacing w:before="0" w:after="0"/>
              <w:rPr>
                <w:rFonts w:ascii="Calibri" w:hAnsi="Calibri" w:cs="Calibri"/>
                <w:sz w:val="20"/>
                <w:szCs w:val="20"/>
                <w:lang w:eastAsia="en-GB"/>
              </w:rPr>
            </w:pPr>
            <w:r w:rsidRPr="00840A9E">
              <w:rPr>
                <w:rFonts w:ascii="Calibri" w:hAnsi="Calibri" w:cs="Calibri"/>
                <w:sz w:val="20"/>
                <w:szCs w:val="20"/>
                <w:lang w:eastAsia="en-GB"/>
              </w:rPr>
              <w:t>SI related RCF (£75k)</w:t>
            </w:r>
          </w:p>
        </w:tc>
        <w:tc>
          <w:tcPr>
            <w:tcW w:w="2835" w:type="dxa"/>
            <w:shd w:val="clear" w:color="auto" w:fill="95B3D7" w:themeFill="accent1" w:themeFillTint="99"/>
          </w:tcPr>
          <w:p w:rsidR="00ED7D4C" w:rsidRPr="00840A9E" w:rsidRDefault="00ED7D4C" w:rsidP="00C63D77">
            <w:pPr>
              <w:spacing w:before="0" w:after="0"/>
              <w:jc w:val="right"/>
              <w:rPr>
                <w:rFonts w:ascii="Calibri" w:hAnsi="Calibri" w:cs="Calibri"/>
                <w:sz w:val="20"/>
                <w:szCs w:val="20"/>
                <w:lang w:eastAsia="en-GB"/>
              </w:rPr>
            </w:pPr>
            <w:r w:rsidRPr="00840A9E">
              <w:rPr>
                <w:rFonts w:ascii="Calibri" w:hAnsi="Calibri" w:cs="Calibri"/>
                <w:sz w:val="20"/>
                <w:szCs w:val="20"/>
                <w:lang w:eastAsia="en-GB"/>
              </w:rPr>
              <w:t>£0.300m</w:t>
            </w:r>
          </w:p>
        </w:tc>
        <w:tc>
          <w:tcPr>
            <w:tcW w:w="2835" w:type="dxa"/>
            <w:shd w:val="clear" w:color="auto" w:fill="95B3D7" w:themeFill="accent1" w:themeFillTint="99"/>
          </w:tcPr>
          <w:p w:rsidR="00ED7D4C" w:rsidRPr="00840A9E" w:rsidRDefault="00ED7D4C" w:rsidP="00C63D77">
            <w:pPr>
              <w:spacing w:before="0" w:after="0"/>
              <w:jc w:val="right"/>
              <w:rPr>
                <w:rFonts w:ascii="Calibri" w:hAnsi="Calibri" w:cs="Calibri"/>
                <w:sz w:val="20"/>
                <w:szCs w:val="20"/>
                <w:lang w:eastAsia="en-GB"/>
              </w:rPr>
            </w:pPr>
            <w:r w:rsidRPr="00840A9E">
              <w:rPr>
                <w:rFonts w:ascii="Calibri" w:hAnsi="Calibri" w:cs="Calibri"/>
                <w:sz w:val="20"/>
                <w:szCs w:val="20"/>
                <w:lang w:eastAsia="en-GB"/>
              </w:rPr>
              <w:t>£0.300m</w:t>
            </w:r>
          </w:p>
        </w:tc>
        <w:tc>
          <w:tcPr>
            <w:tcW w:w="1134" w:type="dxa"/>
            <w:tcBorders>
              <w:left w:val="single" w:sz="12" w:space="0" w:color="auto"/>
              <w:right w:val="single" w:sz="12" w:space="0" w:color="auto"/>
            </w:tcBorders>
            <w:shd w:val="clear" w:color="auto" w:fill="95B3D7" w:themeFill="accent1" w:themeFillTint="99"/>
          </w:tcPr>
          <w:p w:rsidR="00ED7D4C" w:rsidRPr="00840A9E" w:rsidRDefault="00ED7D4C" w:rsidP="00C63D77">
            <w:pPr>
              <w:spacing w:before="0" w:after="0"/>
              <w:jc w:val="right"/>
              <w:rPr>
                <w:rFonts w:ascii="Calibri" w:hAnsi="Calibri" w:cs="Calibri"/>
                <w:sz w:val="20"/>
                <w:szCs w:val="20"/>
                <w:lang w:eastAsia="en-GB"/>
              </w:rPr>
            </w:pPr>
            <w:r w:rsidRPr="00840A9E">
              <w:rPr>
                <w:rFonts w:ascii="Calibri" w:hAnsi="Calibri" w:cs="Calibri"/>
                <w:sz w:val="20"/>
                <w:szCs w:val="20"/>
                <w:lang w:eastAsia="en-GB"/>
              </w:rPr>
              <w:t>£0.600m</w:t>
            </w:r>
          </w:p>
        </w:tc>
      </w:tr>
      <w:tr w:rsidR="00ED7D4C" w:rsidRPr="005761AD" w:rsidTr="00C63D77">
        <w:trPr>
          <w:trHeight w:val="317"/>
        </w:trPr>
        <w:tc>
          <w:tcPr>
            <w:tcW w:w="2977" w:type="dxa"/>
            <w:tcBorders>
              <w:left w:val="single" w:sz="12" w:space="0" w:color="auto"/>
              <w:bottom w:val="single" w:sz="4" w:space="0" w:color="auto"/>
            </w:tcBorders>
          </w:tcPr>
          <w:p w:rsidR="00ED7D4C" w:rsidRPr="00840A9E" w:rsidRDefault="00ED7D4C" w:rsidP="00C63D77">
            <w:pPr>
              <w:spacing w:before="0" w:after="0"/>
              <w:rPr>
                <w:rFonts w:ascii="Calibri" w:hAnsi="Calibri" w:cs="Calibri"/>
                <w:sz w:val="20"/>
                <w:szCs w:val="20"/>
                <w:lang w:eastAsia="en-GB"/>
              </w:rPr>
            </w:pPr>
            <w:r w:rsidRPr="00840A9E">
              <w:rPr>
                <w:rFonts w:ascii="Calibri" w:hAnsi="Calibri" w:cs="Calibri"/>
                <w:sz w:val="20"/>
                <w:szCs w:val="20"/>
                <w:lang w:eastAsia="en-GB"/>
              </w:rPr>
              <w:t>Study funding</w:t>
            </w:r>
          </w:p>
        </w:tc>
        <w:tc>
          <w:tcPr>
            <w:tcW w:w="2835" w:type="dxa"/>
            <w:tcBorders>
              <w:bottom w:val="single" w:sz="4" w:space="0" w:color="auto"/>
            </w:tcBorders>
          </w:tcPr>
          <w:p w:rsidR="00ED7D4C" w:rsidRPr="00840A9E" w:rsidRDefault="00ED7D4C" w:rsidP="00C63D77">
            <w:pPr>
              <w:spacing w:before="0" w:after="0"/>
              <w:rPr>
                <w:rFonts w:ascii="Calibri" w:hAnsi="Calibri" w:cs="Calibri"/>
                <w:sz w:val="20"/>
                <w:szCs w:val="20"/>
                <w:lang w:eastAsia="en-GB"/>
              </w:rPr>
            </w:pPr>
            <w:r w:rsidRPr="00840A9E">
              <w:rPr>
                <w:rFonts w:ascii="Calibri" w:hAnsi="Calibri" w:cs="Calibri"/>
                <w:sz w:val="20"/>
                <w:szCs w:val="20"/>
                <w:lang w:eastAsia="en-GB"/>
              </w:rPr>
              <w:t>£0.284m</w:t>
            </w:r>
          </w:p>
        </w:tc>
        <w:tc>
          <w:tcPr>
            <w:tcW w:w="2835" w:type="dxa"/>
            <w:tcBorders>
              <w:bottom w:val="single" w:sz="4" w:space="0" w:color="auto"/>
            </w:tcBorders>
          </w:tcPr>
          <w:p w:rsidR="00ED7D4C" w:rsidRPr="00840A9E" w:rsidRDefault="00ED7D4C" w:rsidP="00C63D77">
            <w:pPr>
              <w:spacing w:before="0" w:after="0"/>
              <w:rPr>
                <w:rFonts w:ascii="Calibri" w:hAnsi="Calibri" w:cs="Calibri"/>
                <w:sz w:val="20"/>
                <w:szCs w:val="20"/>
                <w:lang w:eastAsia="en-GB"/>
              </w:rPr>
            </w:pPr>
            <w:r w:rsidRPr="00840A9E">
              <w:rPr>
                <w:rFonts w:ascii="Calibri" w:hAnsi="Calibri" w:cs="Calibri"/>
                <w:sz w:val="20"/>
                <w:szCs w:val="20"/>
                <w:lang w:eastAsia="en-GB"/>
              </w:rPr>
              <w:t>-</w:t>
            </w:r>
          </w:p>
        </w:tc>
        <w:tc>
          <w:tcPr>
            <w:tcW w:w="1134" w:type="dxa"/>
            <w:tcBorders>
              <w:left w:val="single" w:sz="12" w:space="0" w:color="auto"/>
              <w:bottom w:val="single" w:sz="4" w:space="0" w:color="auto"/>
              <w:right w:val="single" w:sz="12" w:space="0" w:color="auto"/>
            </w:tcBorders>
          </w:tcPr>
          <w:p w:rsidR="00ED7D4C" w:rsidRPr="00840A9E" w:rsidRDefault="00ED7D4C" w:rsidP="00C63D77">
            <w:pPr>
              <w:spacing w:before="0" w:after="0"/>
              <w:rPr>
                <w:rFonts w:ascii="Calibri" w:hAnsi="Calibri" w:cs="Calibri"/>
                <w:sz w:val="20"/>
                <w:szCs w:val="20"/>
                <w:lang w:eastAsia="en-GB"/>
              </w:rPr>
            </w:pPr>
          </w:p>
        </w:tc>
      </w:tr>
      <w:tr w:rsidR="00ED7D4C" w:rsidRPr="005761AD" w:rsidTr="00C63D77">
        <w:trPr>
          <w:trHeight w:val="270"/>
        </w:trPr>
        <w:tc>
          <w:tcPr>
            <w:tcW w:w="2977" w:type="dxa"/>
            <w:tcBorders>
              <w:left w:val="single" w:sz="12" w:space="0" w:color="auto"/>
            </w:tcBorders>
            <w:shd w:val="clear" w:color="auto" w:fill="95B3D7" w:themeFill="accent1" w:themeFillTint="99"/>
          </w:tcPr>
          <w:p w:rsidR="00ED7D4C" w:rsidRPr="00840A9E" w:rsidRDefault="00ED7D4C" w:rsidP="00C63D77">
            <w:pPr>
              <w:spacing w:before="0" w:after="0"/>
              <w:rPr>
                <w:rFonts w:ascii="Calibri" w:hAnsi="Calibri" w:cs="Calibri"/>
                <w:sz w:val="20"/>
                <w:szCs w:val="20"/>
                <w:lang w:eastAsia="en-GB"/>
              </w:rPr>
            </w:pPr>
            <w:r w:rsidRPr="00840A9E">
              <w:rPr>
                <w:rFonts w:ascii="Calibri" w:hAnsi="Calibri" w:cs="Calibri"/>
                <w:sz w:val="20"/>
                <w:szCs w:val="20"/>
                <w:lang w:eastAsia="en-GB"/>
              </w:rPr>
              <w:t>Study related RCF</w:t>
            </w:r>
          </w:p>
        </w:tc>
        <w:tc>
          <w:tcPr>
            <w:tcW w:w="2835" w:type="dxa"/>
            <w:shd w:val="clear" w:color="auto" w:fill="95B3D7" w:themeFill="accent1" w:themeFillTint="99"/>
          </w:tcPr>
          <w:p w:rsidR="00ED7D4C" w:rsidRPr="00840A9E" w:rsidRDefault="00ED7D4C" w:rsidP="00C63D77">
            <w:pPr>
              <w:spacing w:before="0" w:after="0"/>
              <w:jc w:val="right"/>
              <w:rPr>
                <w:rFonts w:ascii="Calibri" w:hAnsi="Calibri" w:cs="Calibri"/>
                <w:sz w:val="20"/>
                <w:szCs w:val="20"/>
                <w:lang w:eastAsia="en-GB"/>
              </w:rPr>
            </w:pPr>
            <w:r w:rsidRPr="00840A9E">
              <w:rPr>
                <w:rFonts w:ascii="Calibri" w:hAnsi="Calibri" w:cs="Calibri"/>
                <w:sz w:val="20"/>
                <w:szCs w:val="20"/>
                <w:lang w:eastAsia="en-GB"/>
              </w:rPr>
              <w:t>£0.095m</w:t>
            </w:r>
          </w:p>
        </w:tc>
        <w:tc>
          <w:tcPr>
            <w:tcW w:w="2835" w:type="dxa"/>
            <w:shd w:val="clear" w:color="auto" w:fill="95B3D7" w:themeFill="accent1" w:themeFillTint="99"/>
          </w:tcPr>
          <w:p w:rsidR="00ED7D4C" w:rsidRPr="00840A9E" w:rsidRDefault="00ED7D4C" w:rsidP="00C63D77">
            <w:pPr>
              <w:spacing w:before="0" w:after="0"/>
              <w:jc w:val="right"/>
              <w:rPr>
                <w:rFonts w:ascii="Calibri" w:hAnsi="Calibri" w:cs="Calibri"/>
                <w:sz w:val="20"/>
                <w:szCs w:val="20"/>
                <w:lang w:eastAsia="en-GB"/>
              </w:rPr>
            </w:pPr>
            <w:r w:rsidRPr="00840A9E">
              <w:rPr>
                <w:rFonts w:ascii="Calibri" w:hAnsi="Calibri" w:cs="Calibri"/>
                <w:sz w:val="20"/>
                <w:szCs w:val="20"/>
                <w:lang w:eastAsia="en-GB"/>
              </w:rPr>
              <w:t>-</w:t>
            </w:r>
          </w:p>
        </w:tc>
        <w:tc>
          <w:tcPr>
            <w:tcW w:w="1134" w:type="dxa"/>
            <w:tcBorders>
              <w:left w:val="single" w:sz="12" w:space="0" w:color="auto"/>
              <w:right w:val="single" w:sz="12" w:space="0" w:color="auto"/>
            </w:tcBorders>
            <w:shd w:val="clear" w:color="auto" w:fill="95B3D7" w:themeFill="accent1" w:themeFillTint="99"/>
          </w:tcPr>
          <w:p w:rsidR="00ED7D4C" w:rsidRPr="00840A9E" w:rsidRDefault="00ED7D4C" w:rsidP="00C63D77">
            <w:pPr>
              <w:spacing w:before="0" w:after="0"/>
              <w:jc w:val="right"/>
              <w:rPr>
                <w:rFonts w:ascii="Calibri" w:hAnsi="Calibri" w:cs="Calibri"/>
                <w:sz w:val="20"/>
                <w:szCs w:val="20"/>
                <w:lang w:eastAsia="en-GB"/>
              </w:rPr>
            </w:pPr>
            <w:r w:rsidRPr="00840A9E">
              <w:rPr>
                <w:rFonts w:ascii="Calibri" w:hAnsi="Calibri" w:cs="Calibri"/>
                <w:sz w:val="20"/>
                <w:szCs w:val="20"/>
                <w:lang w:eastAsia="en-GB"/>
              </w:rPr>
              <w:t>£0.095m</w:t>
            </w:r>
          </w:p>
        </w:tc>
      </w:tr>
      <w:tr w:rsidR="00ED7D4C" w:rsidRPr="005761AD" w:rsidTr="00C63D77">
        <w:trPr>
          <w:trHeight w:val="317"/>
        </w:trPr>
        <w:tc>
          <w:tcPr>
            <w:tcW w:w="2977" w:type="dxa"/>
            <w:tcBorders>
              <w:left w:val="single" w:sz="12" w:space="0" w:color="auto"/>
            </w:tcBorders>
          </w:tcPr>
          <w:p w:rsidR="00ED7D4C" w:rsidRPr="00840A9E" w:rsidRDefault="00ED7D4C" w:rsidP="00C63D77">
            <w:pPr>
              <w:spacing w:before="0" w:after="0"/>
              <w:rPr>
                <w:rFonts w:ascii="Calibri" w:hAnsi="Calibri" w:cs="Calibri"/>
                <w:sz w:val="20"/>
                <w:szCs w:val="20"/>
                <w:lang w:eastAsia="en-GB"/>
              </w:rPr>
            </w:pPr>
            <w:r w:rsidRPr="00840A9E">
              <w:rPr>
                <w:rFonts w:ascii="Calibri" w:hAnsi="Calibri" w:cs="Calibri"/>
                <w:sz w:val="20"/>
                <w:szCs w:val="20"/>
                <w:lang w:eastAsia="en-GB"/>
              </w:rPr>
              <w:t>Infrastructure funding -    CLAHRC</w:t>
            </w:r>
          </w:p>
          <w:p w:rsidR="00ED7D4C" w:rsidRPr="00840A9E" w:rsidRDefault="00ED7D4C" w:rsidP="00C63D77">
            <w:pPr>
              <w:spacing w:before="0" w:after="0"/>
              <w:ind w:left="360"/>
              <w:rPr>
                <w:rFonts w:ascii="Calibri" w:hAnsi="Calibri" w:cs="Calibri"/>
                <w:sz w:val="20"/>
                <w:szCs w:val="20"/>
                <w:lang w:eastAsia="en-GB"/>
              </w:rPr>
            </w:pPr>
            <w:r w:rsidRPr="00840A9E">
              <w:rPr>
                <w:rFonts w:ascii="Calibri" w:hAnsi="Calibri" w:cs="Calibri"/>
                <w:sz w:val="20"/>
                <w:szCs w:val="20"/>
                <w:lang w:eastAsia="en-GB"/>
              </w:rPr>
              <w:t xml:space="preserve">                                     DEC</w:t>
            </w:r>
          </w:p>
        </w:tc>
        <w:tc>
          <w:tcPr>
            <w:tcW w:w="2835" w:type="dxa"/>
          </w:tcPr>
          <w:p w:rsidR="00ED7D4C" w:rsidRPr="00840A9E" w:rsidRDefault="00ED7D4C" w:rsidP="00C63D77">
            <w:pPr>
              <w:spacing w:before="0" w:after="0"/>
              <w:rPr>
                <w:rFonts w:ascii="Calibri" w:hAnsi="Calibri" w:cs="Calibri"/>
                <w:sz w:val="20"/>
                <w:szCs w:val="20"/>
                <w:lang w:eastAsia="en-GB"/>
              </w:rPr>
            </w:pPr>
            <w:r w:rsidRPr="00840A9E">
              <w:rPr>
                <w:rFonts w:ascii="Calibri" w:hAnsi="Calibri" w:cs="Calibri"/>
                <w:sz w:val="20"/>
                <w:szCs w:val="20"/>
                <w:lang w:eastAsia="en-GB"/>
              </w:rPr>
              <w:t>£2.0m</w:t>
            </w:r>
          </w:p>
        </w:tc>
        <w:tc>
          <w:tcPr>
            <w:tcW w:w="2835" w:type="dxa"/>
          </w:tcPr>
          <w:p w:rsidR="00ED7D4C" w:rsidRPr="00840A9E" w:rsidRDefault="00ED7D4C" w:rsidP="00C63D77">
            <w:pPr>
              <w:spacing w:before="0" w:after="0"/>
              <w:rPr>
                <w:rFonts w:ascii="Calibri" w:hAnsi="Calibri" w:cs="Calibri"/>
                <w:sz w:val="20"/>
                <w:szCs w:val="20"/>
                <w:lang w:eastAsia="en-GB"/>
              </w:rPr>
            </w:pPr>
          </w:p>
          <w:p w:rsidR="00ED7D4C" w:rsidRPr="00840A9E" w:rsidRDefault="00ED7D4C" w:rsidP="00C63D77">
            <w:pPr>
              <w:spacing w:before="0" w:after="0"/>
              <w:rPr>
                <w:rFonts w:ascii="Calibri" w:hAnsi="Calibri" w:cs="Calibri"/>
                <w:sz w:val="20"/>
                <w:szCs w:val="20"/>
                <w:lang w:eastAsia="en-GB"/>
              </w:rPr>
            </w:pPr>
            <w:r w:rsidRPr="00840A9E">
              <w:rPr>
                <w:rFonts w:ascii="Calibri" w:hAnsi="Calibri" w:cs="Calibri"/>
                <w:sz w:val="20"/>
                <w:szCs w:val="20"/>
                <w:lang w:eastAsia="en-GB"/>
              </w:rPr>
              <w:t>£0.271m</w:t>
            </w:r>
          </w:p>
        </w:tc>
        <w:tc>
          <w:tcPr>
            <w:tcW w:w="1134" w:type="dxa"/>
            <w:tcBorders>
              <w:left w:val="single" w:sz="12" w:space="0" w:color="auto"/>
              <w:right w:val="single" w:sz="12" w:space="0" w:color="auto"/>
            </w:tcBorders>
          </w:tcPr>
          <w:p w:rsidR="00ED7D4C" w:rsidRPr="00840A9E" w:rsidRDefault="00ED7D4C" w:rsidP="00C63D77">
            <w:pPr>
              <w:spacing w:before="0" w:after="0"/>
              <w:rPr>
                <w:rFonts w:ascii="Calibri" w:hAnsi="Calibri" w:cs="Calibri"/>
                <w:sz w:val="20"/>
                <w:szCs w:val="20"/>
                <w:lang w:eastAsia="en-GB"/>
              </w:rPr>
            </w:pPr>
          </w:p>
        </w:tc>
      </w:tr>
      <w:tr w:rsidR="00ED7D4C" w:rsidRPr="005761AD" w:rsidTr="00C63D77">
        <w:trPr>
          <w:trHeight w:val="33"/>
        </w:trPr>
        <w:tc>
          <w:tcPr>
            <w:tcW w:w="2977" w:type="dxa"/>
            <w:tcBorders>
              <w:left w:val="single" w:sz="12" w:space="0" w:color="auto"/>
              <w:bottom w:val="single" w:sz="4" w:space="0" w:color="auto"/>
            </w:tcBorders>
            <w:shd w:val="clear" w:color="auto" w:fill="95B3D7" w:themeFill="accent1" w:themeFillTint="99"/>
          </w:tcPr>
          <w:p w:rsidR="00ED7D4C" w:rsidRPr="00840A9E" w:rsidRDefault="00ED7D4C" w:rsidP="00C63D77">
            <w:pPr>
              <w:spacing w:before="0" w:after="0"/>
              <w:rPr>
                <w:rFonts w:ascii="Calibri" w:hAnsi="Calibri" w:cs="Calibri"/>
                <w:sz w:val="20"/>
                <w:szCs w:val="20"/>
                <w:lang w:eastAsia="en-GB"/>
              </w:rPr>
            </w:pPr>
            <w:r w:rsidRPr="00840A9E">
              <w:rPr>
                <w:rFonts w:ascii="Calibri" w:hAnsi="Calibri" w:cs="Calibri"/>
                <w:sz w:val="20"/>
                <w:szCs w:val="20"/>
                <w:lang w:eastAsia="en-GB"/>
              </w:rPr>
              <w:t>Infrastructure  related RCF</w:t>
            </w:r>
          </w:p>
        </w:tc>
        <w:tc>
          <w:tcPr>
            <w:tcW w:w="2835" w:type="dxa"/>
            <w:tcBorders>
              <w:bottom w:val="single" w:sz="4" w:space="0" w:color="auto"/>
            </w:tcBorders>
            <w:shd w:val="clear" w:color="auto" w:fill="95B3D7" w:themeFill="accent1" w:themeFillTint="99"/>
          </w:tcPr>
          <w:p w:rsidR="00ED7D4C" w:rsidRPr="00840A9E" w:rsidRDefault="00ED7D4C" w:rsidP="00C63D77">
            <w:pPr>
              <w:spacing w:before="0" w:after="0"/>
              <w:jc w:val="right"/>
              <w:rPr>
                <w:rFonts w:ascii="Calibri" w:hAnsi="Calibri" w:cs="Calibri"/>
                <w:sz w:val="20"/>
                <w:szCs w:val="20"/>
                <w:lang w:eastAsia="en-GB"/>
              </w:rPr>
            </w:pPr>
            <w:r w:rsidRPr="00840A9E">
              <w:rPr>
                <w:rFonts w:ascii="Calibri" w:hAnsi="Calibri" w:cs="Calibri"/>
                <w:sz w:val="20"/>
                <w:szCs w:val="20"/>
                <w:lang w:eastAsia="en-GB"/>
              </w:rPr>
              <w:t>£0.308m</w:t>
            </w:r>
          </w:p>
        </w:tc>
        <w:tc>
          <w:tcPr>
            <w:tcW w:w="2835" w:type="dxa"/>
            <w:tcBorders>
              <w:bottom w:val="single" w:sz="4" w:space="0" w:color="auto"/>
            </w:tcBorders>
            <w:shd w:val="clear" w:color="auto" w:fill="95B3D7" w:themeFill="accent1" w:themeFillTint="99"/>
          </w:tcPr>
          <w:p w:rsidR="00ED7D4C" w:rsidRPr="00840A9E" w:rsidRDefault="00ED7D4C" w:rsidP="00C63D77">
            <w:pPr>
              <w:spacing w:before="0" w:after="0"/>
              <w:jc w:val="right"/>
              <w:rPr>
                <w:rFonts w:ascii="Calibri" w:hAnsi="Calibri" w:cs="Calibri"/>
                <w:sz w:val="20"/>
                <w:szCs w:val="20"/>
                <w:lang w:eastAsia="en-GB"/>
              </w:rPr>
            </w:pPr>
            <w:r w:rsidRPr="00840A9E">
              <w:rPr>
                <w:rFonts w:ascii="Calibri" w:hAnsi="Calibri" w:cs="Calibri"/>
                <w:sz w:val="20"/>
                <w:szCs w:val="20"/>
                <w:lang w:eastAsia="en-GB"/>
              </w:rPr>
              <w:t>£0.042m</w:t>
            </w:r>
          </w:p>
        </w:tc>
        <w:tc>
          <w:tcPr>
            <w:tcW w:w="1134" w:type="dxa"/>
            <w:tcBorders>
              <w:left w:val="single" w:sz="12" w:space="0" w:color="auto"/>
              <w:bottom w:val="single" w:sz="4" w:space="0" w:color="auto"/>
              <w:right w:val="single" w:sz="12" w:space="0" w:color="auto"/>
            </w:tcBorders>
            <w:shd w:val="clear" w:color="auto" w:fill="95B3D7" w:themeFill="accent1" w:themeFillTint="99"/>
          </w:tcPr>
          <w:p w:rsidR="00ED7D4C" w:rsidRPr="00840A9E" w:rsidRDefault="00ED7D4C" w:rsidP="00C63D77">
            <w:pPr>
              <w:spacing w:before="0" w:after="0"/>
              <w:jc w:val="right"/>
              <w:rPr>
                <w:rFonts w:ascii="Calibri" w:hAnsi="Calibri" w:cs="Calibri"/>
                <w:sz w:val="20"/>
                <w:szCs w:val="20"/>
                <w:lang w:eastAsia="en-GB"/>
              </w:rPr>
            </w:pPr>
            <w:r w:rsidRPr="00840A9E">
              <w:rPr>
                <w:rFonts w:ascii="Calibri" w:hAnsi="Calibri" w:cs="Calibri"/>
                <w:sz w:val="20"/>
                <w:szCs w:val="20"/>
                <w:lang w:eastAsia="en-GB"/>
              </w:rPr>
              <w:t>£0.350m</w:t>
            </w:r>
          </w:p>
        </w:tc>
      </w:tr>
      <w:tr w:rsidR="00ED7D4C" w:rsidRPr="005761AD" w:rsidTr="00C63D77">
        <w:trPr>
          <w:trHeight w:val="36"/>
        </w:trPr>
        <w:tc>
          <w:tcPr>
            <w:tcW w:w="2977" w:type="dxa"/>
            <w:tcBorders>
              <w:left w:val="single" w:sz="12" w:space="0" w:color="auto"/>
              <w:bottom w:val="single" w:sz="12" w:space="0" w:color="auto"/>
            </w:tcBorders>
            <w:shd w:val="clear" w:color="auto" w:fill="FFFFFF" w:themeFill="background1"/>
          </w:tcPr>
          <w:p w:rsidR="00ED7D4C" w:rsidRPr="00840A9E" w:rsidRDefault="00ED7D4C" w:rsidP="00C63D77">
            <w:pPr>
              <w:spacing w:before="0" w:after="0"/>
              <w:rPr>
                <w:rFonts w:ascii="Calibri" w:hAnsi="Calibri" w:cs="Calibri"/>
                <w:sz w:val="20"/>
                <w:szCs w:val="20"/>
                <w:lang w:eastAsia="en-GB"/>
              </w:rPr>
            </w:pPr>
            <w:r w:rsidRPr="00840A9E">
              <w:rPr>
                <w:rFonts w:ascii="Calibri" w:hAnsi="Calibri" w:cs="Calibri"/>
                <w:sz w:val="20"/>
                <w:szCs w:val="20"/>
                <w:lang w:eastAsia="en-GB"/>
              </w:rPr>
              <w:t>Strategic contribution</w:t>
            </w:r>
          </w:p>
        </w:tc>
        <w:tc>
          <w:tcPr>
            <w:tcW w:w="2835" w:type="dxa"/>
            <w:tcBorders>
              <w:bottom w:val="single" w:sz="12" w:space="0" w:color="auto"/>
            </w:tcBorders>
            <w:shd w:val="clear" w:color="auto" w:fill="FFFFFF" w:themeFill="background1"/>
          </w:tcPr>
          <w:p w:rsidR="00ED7D4C" w:rsidRPr="00840A9E" w:rsidRDefault="00ED7D4C" w:rsidP="00C63D77">
            <w:pPr>
              <w:spacing w:before="0" w:after="0"/>
              <w:jc w:val="right"/>
              <w:rPr>
                <w:rFonts w:ascii="Calibri" w:hAnsi="Calibri" w:cs="Calibri"/>
                <w:sz w:val="20"/>
                <w:szCs w:val="20"/>
                <w:lang w:eastAsia="en-GB"/>
              </w:rPr>
            </w:pPr>
            <w:r w:rsidRPr="00840A9E">
              <w:rPr>
                <w:rFonts w:ascii="Calibri" w:hAnsi="Calibri" w:cs="Calibri"/>
                <w:sz w:val="20"/>
                <w:szCs w:val="20"/>
                <w:lang w:eastAsia="en-GB"/>
              </w:rPr>
              <w:t>£0.037m</w:t>
            </w:r>
          </w:p>
        </w:tc>
        <w:tc>
          <w:tcPr>
            <w:tcW w:w="2835" w:type="dxa"/>
            <w:tcBorders>
              <w:bottom w:val="single" w:sz="12" w:space="0" w:color="auto"/>
            </w:tcBorders>
            <w:shd w:val="clear" w:color="auto" w:fill="FFFFFF" w:themeFill="background1"/>
          </w:tcPr>
          <w:p w:rsidR="00ED7D4C" w:rsidRPr="00840A9E" w:rsidRDefault="00ED7D4C" w:rsidP="00C63D77">
            <w:pPr>
              <w:spacing w:before="0" w:after="0"/>
              <w:jc w:val="right"/>
              <w:rPr>
                <w:rFonts w:ascii="Calibri" w:hAnsi="Calibri" w:cs="Calibri"/>
                <w:sz w:val="20"/>
                <w:szCs w:val="20"/>
                <w:lang w:eastAsia="en-GB"/>
              </w:rPr>
            </w:pPr>
            <w:r w:rsidRPr="00840A9E">
              <w:rPr>
                <w:rFonts w:ascii="Calibri" w:hAnsi="Calibri" w:cs="Calibri"/>
                <w:sz w:val="20"/>
                <w:szCs w:val="20"/>
                <w:lang w:eastAsia="en-GB"/>
              </w:rPr>
              <w:t>(£0.037m)</w:t>
            </w:r>
          </w:p>
        </w:tc>
        <w:tc>
          <w:tcPr>
            <w:tcW w:w="1134" w:type="dxa"/>
            <w:tcBorders>
              <w:left w:val="single" w:sz="12" w:space="0" w:color="auto"/>
              <w:bottom w:val="single" w:sz="12" w:space="0" w:color="auto"/>
              <w:right w:val="single" w:sz="12" w:space="0" w:color="auto"/>
            </w:tcBorders>
            <w:shd w:val="clear" w:color="auto" w:fill="FFFFFF" w:themeFill="background1"/>
          </w:tcPr>
          <w:p w:rsidR="00ED7D4C" w:rsidRPr="00840A9E" w:rsidRDefault="00ED7D4C" w:rsidP="00C63D77">
            <w:pPr>
              <w:spacing w:before="0" w:after="0"/>
              <w:jc w:val="right"/>
              <w:rPr>
                <w:rFonts w:ascii="Calibri" w:hAnsi="Calibri" w:cs="Calibri"/>
                <w:sz w:val="20"/>
                <w:szCs w:val="20"/>
                <w:lang w:eastAsia="en-GB"/>
              </w:rPr>
            </w:pPr>
            <w:r w:rsidRPr="00840A9E">
              <w:rPr>
                <w:rFonts w:ascii="Calibri" w:hAnsi="Calibri" w:cs="Calibri"/>
                <w:sz w:val="20"/>
                <w:szCs w:val="20"/>
                <w:lang w:eastAsia="en-GB"/>
              </w:rPr>
              <w:t>-</w:t>
            </w:r>
          </w:p>
        </w:tc>
      </w:tr>
      <w:tr w:rsidR="00ED7D4C" w:rsidRPr="005761AD" w:rsidTr="00C63D77">
        <w:trPr>
          <w:trHeight w:val="36"/>
        </w:trPr>
        <w:tc>
          <w:tcPr>
            <w:tcW w:w="2977" w:type="dxa"/>
            <w:tcBorders>
              <w:top w:val="single" w:sz="12" w:space="0" w:color="auto"/>
              <w:left w:val="single" w:sz="12" w:space="0" w:color="auto"/>
              <w:bottom w:val="single" w:sz="12" w:space="0" w:color="auto"/>
            </w:tcBorders>
            <w:shd w:val="clear" w:color="auto" w:fill="95B3D7" w:themeFill="accent1" w:themeFillTint="99"/>
          </w:tcPr>
          <w:p w:rsidR="00ED7D4C" w:rsidRPr="00840A9E" w:rsidRDefault="00ED7D4C" w:rsidP="00C63D77">
            <w:pPr>
              <w:spacing w:before="0" w:after="0"/>
              <w:rPr>
                <w:rFonts w:ascii="Calibri" w:hAnsi="Calibri" w:cs="Calibri"/>
                <w:sz w:val="20"/>
                <w:szCs w:val="20"/>
                <w:lang w:eastAsia="en-GB"/>
              </w:rPr>
            </w:pPr>
            <w:r w:rsidRPr="00840A9E">
              <w:rPr>
                <w:rFonts w:ascii="Calibri" w:hAnsi="Calibri" w:cs="Calibri"/>
                <w:sz w:val="20"/>
                <w:szCs w:val="20"/>
                <w:lang w:eastAsia="en-GB"/>
              </w:rPr>
              <w:t>Total</w:t>
            </w:r>
          </w:p>
        </w:tc>
        <w:tc>
          <w:tcPr>
            <w:tcW w:w="2835" w:type="dxa"/>
            <w:tcBorders>
              <w:top w:val="single" w:sz="12" w:space="0" w:color="auto"/>
              <w:bottom w:val="single" w:sz="12" w:space="0" w:color="auto"/>
            </w:tcBorders>
            <w:shd w:val="clear" w:color="auto" w:fill="95B3D7" w:themeFill="accent1" w:themeFillTint="99"/>
          </w:tcPr>
          <w:p w:rsidR="00ED7D4C" w:rsidRPr="00840A9E" w:rsidRDefault="00ED7D4C" w:rsidP="00C63D77">
            <w:pPr>
              <w:spacing w:before="0" w:after="0"/>
              <w:jc w:val="right"/>
              <w:rPr>
                <w:rFonts w:ascii="Calibri" w:hAnsi="Calibri" w:cs="Calibri"/>
                <w:sz w:val="20"/>
                <w:szCs w:val="20"/>
                <w:lang w:eastAsia="en-GB"/>
              </w:rPr>
            </w:pPr>
            <w:r w:rsidRPr="00840A9E">
              <w:rPr>
                <w:rFonts w:ascii="Calibri" w:hAnsi="Calibri" w:cs="Calibri"/>
                <w:sz w:val="20"/>
                <w:szCs w:val="20"/>
                <w:lang w:eastAsia="en-GB"/>
              </w:rPr>
              <w:t>£0.740m</w:t>
            </w:r>
          </w:p>
        </w:tc>
        <w:tc>
          <w:tcPr>
            <w:tcW w:w="2835" w:type="dxa"/>
            <w:tcBorders>
              <w:top w:val="single" w:sz="12" w:space="0" w:color="auto"/>
              <w:bottom w:val="single" w:sz="12" w:space="0" w:color="auto"/>
            </w:tcBorders>
            <w:shd w:val="clear" w:color="auto" w:fill="95B3D7" w:themeFill="accent1" w:themeFillTint="99"/>
          </w:tcPr>
          <w:p w:rsidR="00ED7D4C" w:rsidRPr="00840A9E" w:rsidRDefault="00ED7D4C" w:rsidP="00C63D77">
            <w:pPr>
              <w:spacing w:before="0" w:after="0"/>
              <w:jc w:val="right"/>
              <w:rPr>
                <w:rFonts w:ascii="Calibri" w:hAnsi="Calibri" w:cs="Calibri"/>
                <w:sz w:val="20"/>
                <w:szCs w:val="20"/>
                <w:lang w:eastAsia="en-GB"/>
              </w:rPr>
            </w:pPr>
            <w:r w:rsidRPr="00840A9E">
              <w:rPr>
                <w:rFonts w:ascii="Calibri" w:hAnsi="Calibri" w:cs="Calibri"/>
                <w:sz w:val="20"/>
                <w:szCs w:val="20"/>
                <w:lang w:eastAsia="en-GB"/>
              </w:rPr>
              <w:t>£0.305m</w:t>
            </w:r>
          </w:p>
        </w:tc>
        <w:tc>
          <w:tcPr>
            <w:tcW w:w="1134"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ED7D4C" w:rsidRPr="00840A9E" w:rsidRDefault="00ED7D4C" w:rsidP="00C63D77">
            <w:pPr>
              <w:spacing w:before="0" w:after="0"/>
              <w:jc w:val="right"/>
              <w:rPr>
                <w:rFonts w:ascii="Calibri" w:hAnsi="Calibri" w:cs="Calibri"/>
                <w:sz w:val="20"/>
                <w:szCs w:val="20"/>
                <w:lang w:eastAsia="en-GB"/>
              </w:rPr>
            </w:pPr>
            <w:r w:rsidRPr="00840A9E">
              <w:rPr>
                <w:rFonts w:ascii="Calibri" w:hAnsi="Calibri" w:cs="Calibri"/>
                <w:sz w:val="20"/>
                <w:szCs w:val="20"/>
                <w:lang w:eastAsia="en-GB"/>
              </w:rPr>
              <w:t>£1,045m</w:t>
            </w:r>
          </w:p>
        </w:tc>
      </w:tr>
      <w:tr w:rsidR="00ED7D4C" w:rsidRPr="005761AD" w:rsidTr="00C63D77">
        <w:trPr>
          <w:trHeight w:val="36"/>
        </w:trPr>
        <w:tc>
          <w:tcPr>
            <w:tcW w:w="2977" w:type="dxa"/>
            <w:tcBorders>
              <w:top w:val="single" w:sz="12" w:space="0" w:color="auto"/>
              <w:left w:val="single" w:sz="12" w:space="0" w:color="auto"/>
            </w:tcBorders>
            <w:shd w:val="clear" w:color="auto" w:fill="auto"/>
          </w:tcPr>
          <w:p w:rsidR="00ED7D4C" w:rsidRPr="00840A9E" w:rsidRDefault="00ED7D4C" w:rsidP="00C63D77">
            <w:pPr>
              <w:spacing w:before="0" w:after="0"/>
              <w:rPr>
                <w:rFonts w:ascii="Calibri" w:hAnsi="Calibri" w:cs="Calibri"/>
                <w:sz w:val="20"/>
                <w:szCs w:val="20"/>
                <w:lang w:eastAsia="en-GB"/>
              </w:rPr>
            </w:pPr>
            <w:r w:rsidRPr="00840A9E">
              <w:rPr>
                <w:rFonts w:ascii="Calibri" w:hAnsi="Calibri" w:cs="Calibri"/>
                <w:sz w:val="20"/>
                <w:szCs w:val="20"/>
                <w:lang w:eastAsia="en-GB"/>
              </w:rPr>
              <w:t>FY16</w:t>
            </w:r>
          </w:p>
        </w:tc>
        <w:tc>
          <w:tcPr>
            <w:tcW w:w="2835" w:type="dxa"/>
            <w:tcBorders>
              <w:top w:val="single" w:sz="12" w:space="0" w:color="auto"/>
            </w:tcBorders>
            <w:shd w:val="clear" w:color="auto" w:fill="auto"/>
          </w:tcPr>
          <w:p w:rsidR="00ED7D4C" w:rsidRPr="00840A9E" w:rsidRDefault="00ED7D4C" w:rsidP="00C63D77">
            <w:pPr>
              <w:spacing w:before="0" w:after="0"/>
              <w:jc w:val="right"/>
              <w:rPr>
                <w:rFonts w:ascii="Calibri" w:hAnsi="Calibri" w:cs="Calibri"/>
                <w:sz w:val="20"/>
                <w:szCs w:val="20"/>
                <w:lang w:eastAsia="en-GB"/>
              </w:rPr>
            </w:pPr>
            <w:r w:rsidRPr="00840A9E">
              <w:rPr>
                <w:rFonts w:ascii="Calibri" w:hAnsi="Calibri" w:cs="Calibri"/>
                <w:sz w:val="20"/>
                <w:szCs w:val="20"/>
                <w:lang w:eastAsia="en-GB"/>
              </w:rPr>
              <w:t>£1,115m</w:t>
            </w:r>
          </w:p>
        </w:tc>
        <w:tc>
          <w:tcPr>
            <w:tcW w:w="2835" w:type="dxa"/>
            <w:tcBorders>
              <w:top w:val="single" w:sz="12" w:space="0" w:color="auto"/>
            </w:tcBorders>
            <w:shd w:val="clear" w:color="auto" w:fill="auto"/>
          </w:tcPr>
          <w:p w:rsidR="00ED7D4C" w:rsidRPr="00840A9E" w:rsidRDefault="00ED7D4C" w:rsidP="00C63D77">
            <w:pPr>
              <w:spacing w:before="0" w:after="0"/>
              <w:jc w:val="right"/>
              <w:rPr>
                <w:rFonts w:ascii="Calibri" w:hAnsi="Calibri" w:cs="Calibri"/>
                <w:sz w:val="20"/>
                <w:szCs w:val="20"/>
                <w:lang w:eastAsia="en-GB"/>
              </w:rPr>
            </w:pPr>
            <w:r w:rsidRPr="00840A9E">
              <w:rPr>
                <w:rFonts w:ascii="Calibri" w:hAnsi="Calibri" w:cs="Calibri"/>
                <w:sz w:val="20"/>
                <w:szCs w:val="20"/>
                <w:lang w:eastAsia="en-GB"/>
              </w:rPr>
              <w:t>£0.295m</w:t>
            </w:r>
          </w:p>
        </w:tc>
        <w:tc>
          <w:tcPr>
            <w:tcW w:w="1134" w:type="dxa"/>
            <w:tcBorders>
              <w:top w:val="single" w:sz="12" w:space="0" w:color="auto"/>
              <w:left w:val="single" w:sz="12" w:space="0" w:color="auto"/>
              <w:right w:val="single" w:sz="12" w:space="0" w:color="auto"/>
            </w:tcBorders>
            <w:shd w:val="clear" w:color="auto" w:fill="auto"/>
          </w:tcPr>
          <w:p w:rsidR="00ED7D4C" w:rsidRPr="00840A9E" w:rsidRDefault="00ED7D4C" w:rsidP="00C63D77">
            <w:pPr>
              <w:spacing w:before="0" w:after="0"/>
              <w:jc w:val="right"/>
              <w:rPr>
                <w:rFonts w:ascii="Calibri" w:hAnsi="Calibri" w:cs="Calibri"/>
                <w:sz w:val="20"/>
                <w:szCs w:val="20"/>
                <w:lang w:eastAsia="en-GB"/>
              </w:rPr>
            </w:pPr>
            <w:r w:rsidRPr="00840A9E">
              <w:rPr>
                <w:rFonts w:ascii="Calibri" w:hAnsi="Calibri" w:cs="Calibri"/>
                <w:sz w:val="20"/>
                <w:szCs w:val="20"/>
                <w:lang w:eastAsia="en-GB"/>
              </w:rPr>
              <w:t>£1,410m</w:t>
            </w:r>
          </w:p>
        </w:tc>
      </w:tr>
      <w:tr w:rsidR="00ED7D4C" w:rsidRPr="005761AD" w:rsidTr="00C63D77">
        <w:trPr>
          <w:trHeight w:val="36"/>
        </w:trPr>
        <w:tc>
          <w:tcPr>
            <w:tcW w:w="2977" w:type="dxa"/>
            <w:tcBorders>
              <w:left w:val="single" w:sz="12" w:space="0" w:color="auto"/>
              <w:bottom w:val="single" w:sz="12" w:space="0" w:color="auto"/>
            </w:tcBorders>
            <w:shd w:val="clear" w:color="auto" w:fill="95B3D7" w:themeFill="accent1" w:themeFillTint="99"/>
          </w:tcPr>
          <w:p w:rsidR="00ED7D4C" w:rsidRPr="005761AD" w:rsidRDefault="00ED7D4C" w:rsidP="00C63D77">
            <w:pPr>
              <w:spacing w:before="0" w:after="0"/>
              <w:rPr>
                <w:i/>
                <w:sz w:val="18"/>
                <w:szCs w:val="18"/>
                <w:lang w:val="en-GB"/>
              </w:rPr>
            </w:pPr>
            <w:r w:rsidRPr="005761AD">
              <w:rPr>
                <w:i/>
                <w:sz w:val="18"/>
                <w:szCs w:val="18"/>
                <w:lang w:val="en-GB"/>
              </w:rPr>
              <w:t>Increase \ (Decrease) on FY16</w:t>
            </w:r>
          </w:p>
        </w:tc>
        <w:tc>
          <w:tcPr>
            <w:tcW w:w="2835" w:type="dxa"/>
            <w:tcBorders>
              <w:bottom w:val="single" w:sz="12" w:space="0" w:color="auto"/>
            </w:tcBorders>
            <w:shd w:val="clear" w:color="auto" w:fill="95B3D7" w:themeFill="accent1" w:themeFillTint="99"/>
          </w:tcPr>
          <w:p w:rsidR="00ED7D4C" w:rsidRPr="005761AD" w:rsidRDefault="00ED7D4C" w:rsidP="00C63D77">
            <w:pPr>
              <w:spacing w:before="0" w:after="0"/>
              <w:jc w:val="right"/>
              <w:rPr>
                <w:i/>
                <w:sz w:val="18"/>
                <w:szCs w:val="18"/>
                <w:lang w:val="en-GB"/>
              </w:rPr>
            </w:pPr>
            <w:r w:rsidRPr="005761AD">
              <w:rPr>
                <w:i/>
                <w:sz w:val="18"/>
                <w:szCs w:val="18"/>
                <w:lang w:val="en-GB"/>
              </w:rPr>
              <w:t>(£0.375m)</w:t>
            </w:r>
          </w:p>
        </w:tc>
        <w:tc>
          <w:tcPr>
            <w:tcW w:w="2835" w:type="dxa"/>
            <w:tcBorders>
              <w:bottom w:val="single" w:sz="12" w:space="0" w:color="auto"/>
            </w:tcBorders>
            <w:shd w:val="clear" w:color="auto" w:fill="95B3D7" w:themeFill="accent1" w:themeFillTint="99"/>
          </w:tcPr>
          <w:p w:rsidR="00ED7D4C" w:rsidRPr="005761AD" w:rsidRDefault="00ED7D4C" w:rsidP="00C63D77">
            <w:pPr>
              <w:spacing w:before="0" w:after="0"/>
              <w:jc w:val="right"/>
              <w:rPr>
                <w:i/>
                <w:sz w:val="18"/>
                <w:szCs w:val="18"/>
                <w:lang w:val="en-GB"/>
              </w:rPr>
            </w:pPr>
            <w:r w:rsidRPr="005761AD">
              <w:rPr>
                <w:i/>
                <w:sz w:val="18"/>
                <w:szCs w:val="18"/>
                <w:lang w:val="en-GB"/>
              </w:rPr>
              <w:t>£0.010m</w:t>
            </w:r>
          </w:p>
        </w:tc>
        <w:tc>
          <w:tcPr>
            <w:tcW w:w="1134" w:type="dxa"/>
            <w:tcBorders>
              <w:left w:val="single" w:sz="12" w:space="0" w:color="auto"/>
              <w:bottom w:val="single" w:sz="12" w:space="0" w:color="auto"/>
              <w:right w:val="single" w:sz="12" w:space="0" w:color="auto"/>
            </w:tcBorders>
            <w:shd w:val="clear" w:color="auto" w:fill="95B3D7" w:themeFill="accent1" w:themeFillTint="99"/>
          </w:tcPr>
          <w:p w:rsidR="00ED7D4C" w:rsidRPr="005761AD" w:rsidRDefault="00ED7D4C" w:rsidP="00C63D77">
            <w:pPr>
              <w:spacing w:before="0" w:after="0"/>
              <w:jc w:val="right"/>
              <w:rPr>
                <w:i/>
                <w:sz w:val="18"/>
                <w:szCs w:val="18"/>
                <w:lang w:val="en-GB"/>
              </w:rPr>
            </w:pPr>
            <w:r w:rsidRPr="005761AD">
              <w:rPr>
                <w:i/>
                <w:sz w:val="18"/>
                <w:szCs w:val="18"/>
                <w:lang w:val="en-GB"/>
              </w:rPr>
              <w:t>(£0.365m)</w:t>
            </w:r>
          </w:p>
        </w:tc>
      </w:tr>
    </w:tbl>
    <w:p w:rsidR="00ED7D4C" w:rsidRPr="00ED7D4C" w:rsidRDefault="00ED7D4C" w:rsidP="00ED7D4C">
      <w:pPr>
        <w:pStyle w:val="Heading2"/>
      </w:pPr>
      <w:bookmarkStart w:id="37" w:name="_Toc441061224"/>
      <w:bookmarkStart w:id="38" w:name="_Toc476822119"/>
      <w:r>
        <w:t>Clini</w:t>
      </w:r>
      <w:r w:rsidRPr="00ED7D4C">
        <w:t>cal Research Facility (CRF)</w:t>
      </w:r>
      <w:bookmarkEnd w:id="37"/>
      <w:bookmarkEnd w:id="38"/>
    </w:p>
    <w:p w:rsidR="00ED7D4C" w:rsidRDefault="00ED7D4C" w:rsidP="00ED7D4C">
      <w:pPr>
        <w:rPr>
          <w:lang w:val="en-GB"/>
        </w:rPr>
      </w:pPr>
      <w:r w:rsidRPr="00650C79">
        <w:rPr>
          <w:lang w:val="en-GB"/>
        </w:rPr>
        <w:t xml:space="preserve">The </w:t>
      </w:r>
      <w:r>
        <w:rPr>
          <w:lang w:val="en-GB"/>
        </w:rPr>
        <w:t xml:space="preserve">existing </w:t>
      </w:r>
      <w:r w:rsidRPr="00650C79">
        <w:rPr>
          <w:lang w:val="en-GB"/>
        </w:rPr>
        <w:t xml:space="preserve">NIHR CRF </w:t>
      </w:r>
      <w:r>
        <w:rPr>
          <w:lang w:val="en-GB"/>
        </w:rPr>
        <w:t xml:space="preserve">award which comes to an end in March 2017 </w:t>
      </w:r>
      <w:r w:rsidRPr="00650C79">
        <w:rPr>
          <w:lang w:val="en-GB"/>
        </w:rPr>
        <w:t xml:space="preserve">encompasses activities taking place at the Department of Experimental Psychology (OxCADAT and OxCNC) and the Charles Wolfson Clinical Neuroscience Facility at the John Radcliffe Hospital as well as those on the Warneford site. The Warneford site CRF operates as one unit containing </w:t>
      </w:r>
      <w:r>
        <w:rPr>
          <w:lang w:val="en-GB"/>
        </w:rPr>
        <w:t>eight c</w:t>
      </w:r>
      <w:r w:rsidRPr="00650C79">
        <w:rPr>
          <w:lang w:val="en-GB"/>
        </w:rPr>
        <w:t>linical rooms, pharmacy</w:t>
      </w:r>
      <w:r>
        <w:rPr>
          <w:lang w:val="en-GB"/>
        </w:rPr>
        <w:t xml:space="preserve"> area</w:t>
      </w:r>
      <w:r w:rsidRPr="00650C79">
        <w:rPr>
          <w:lang w:val="en-GB"/>
        </w:rPr>
        <w:t>, meeting room and associated office space although it is funded from a combination of NIHR and non-NIHR sources as detail below.</w:t>
      </w:r>
    </w:p>
    <w:p w:rsidR="00D25B5D" w:rsidRDefault="00D25B5D" w:rsidP="00ED7D4C">
      <w:pPr>
        <w:rPr>
          <w:lang w:val="en-GB"/>
        </w:rPr>
      </w:pPr>
    </w:p>
    <w:p w:rsidR="00D25B5D" w:rsidRPr="00650C79" w:rsidRDefault="00D25B5D" w:rsidP="00ED7D4C">
      <w:pPr>
        <w:rPr>
          <w:lang w:val="en-GB"/>
        </w:rPr>
      </w:pPr>
    </w:p>
    <w:tbl>
      <w:tblPr>
        <w:tblStyle w:val="TableGrid"/>
        <w:tblpPr w:leftFromText="180" w:rightFromText="180" w:vertAnchor="text" w:horzAnchor="margin" w:tblpY="334"/>
        <w:tblW w:w="9496" w:type="dxa"/>
        <w:tblLayout w:type="fixed"/>
        <w:tblLook w:val="04A0" w:firstRow="1" w:lastRow="0" w:firstColumn="1" w:lastColumn="0" w:noHBand="0" w:noVBand="1"/>
      </w:tblPr>
      <w:tblGrid>
        <w:gridCol w:w="7549"/>
        <w:gridCol w:w="1947"/>
      </w:tblGrid>
      <w:tr w:rsidR="00ED7D4C" w:rsidRPr="00650C79" w:rsidTr="00C63D77">
        <w:trPr>
          <w:trHeight w:val="273"/>
        </w:trPr>
        <w:tc>
          <w:tcPr>
            <w:tcW w:w="7549" w:type="dxa"/>
            <w:tcBorders>
              <w:bottom w:val="single" w:sz="4" w:space="0" w:color="auto"/>
            </w:tcBorders>
            <w:shd w:val="clear" w:color="auto" w:fill="8DB3E2" w:themeFill="text2" w:themeFillTint="66"/>
          </w:tcPr>
          <w:p w:rsidR="00ED7D4C" w:rsidRPr="005761AD" w:rsidRDefault="00ED7D4C" w:rsidP="00C63D77">
            <w:pPr>
              <w:spacing w:before="100" w:beforeAutospacing="1" w:after="100" w:afterAutospacing="1"/>
              <w:jc w:val="center"/>
              <w:rPr>
                <w:i/>
                <w:sz w:val="20"/>
                <w:szCs w:val="20"/>
                <w:lang w:val="en-GB"/>
              </w:rPr>
            </w:pPr>
          </w:p>
        </w:tc>
        <w:tc>
          <w:tcPr>
            <w:tcW w:w="1947" w:type="dxa"/>
            <w:tcBorders>
              <w:bottom w:val="single" w:sz="4" w:space="0" w:color="auto"/>
            </w:tcBorders>
            <w:shd w:val="clear" w:color="auto" w:fill="8DB3E2" w:themeFill="text2" w:themeFillTint="66"/>
          </w:tcPr>
          <w:p w:rsidR="00ED7D4C" w:rsidRPr="005761AD" w:rsidRDefault="00ED7D4C" w:rsidP="00C63D77">
            <w:pPr>
              <w:spacing w:before="0" w:after="0"/>
              <w:jc w:val="center"/>
              <w:rPr>
                <w:i/>
                <w:sz w:val="20"/>
                <w:szCs w:val="20"/>
                <w:lang w:val="en-GB"/>
              </w:rPr>
            </w:pPr>
            <w:r w:rsidRPr="00840A9E">
              <w:rPr>
                <w:rFonts w:ascii="Calibri" w:hAnsi="Calibri" w:cs="Calibri"/>
                <w:sz w:val="20"/>
                <w:szCs w:val="20"/>
                <w:lang w:eastAsia="en-GB"/>
              </w:rPr>
              <w:t>FY17 Budget</w:t>
            </w:r>
          </w:p>
        </w:tc>
      </w:tr>
      <w:tr w:rsidR="00ED7D4C" w:rsidRPr="00650C79" w:rsidTr="00C63D77">
        <w:trPr>
          <w:trHeight w:val="265"/>
        </w:trPr>
        <w:tc>
          <w:tcPr>
            <w:tcW w:w="7549" w:type="dxa"/>
            <w:shd w:val="clear" w:color="auto" w:fill="auto"/>
          </w:tcPr>
          <w:p w:rsidR="00ED7D4C" w:rsidRPr="00840A9E" w:rsidRDefault="00ED7D4C" w:rsidP="00C63D77">
            <w:pPr>
              <w:spacing w:before="0" w:after="100" w:afterAutospacing="1"/>
              <w:rPr>
                <w:rFonts w:ascii="Calibri" w:hAnsi="Calibri" w:cs="Calibri"/>
                <w:sz w:val="20"/>
                <w:szCs w:val="20"/>
                <w:lang w:eastAsia="en-GB"/>
              </w:rPr>
            </w:pPr>
            <w:r w:rsidRPr="00840A9E">
              <w:rPr>
                <w:rFonts w:ascii="Calibri" w:hAnsi="Calibri" w:cs="Calibri"/>
                <w:sz w:val="20"/>
                <w:szCs w:val="20"/>
                <w:lang w:eastAsia="en-GB"/>
              </w:rPr>
              <w:t>Expenditure</w:t>
            </w:r>
          </w:p>
        </w:tc>
        <w:tc>
          <w:tcPr>
            <w:tcW w:w="1947" w:type="dxa"/>
            <w:tcBorders>
              <w:right w:val="single" w:sz="4" w:space="0" w:color="auto"/>
            </w:tcBorders>
            <w:shd w:val="clear" w:color="auto" w:fill="auto"/>
            <w:vAlign w:val="center"/>
          </w:tcPr>
          <w:p w:rsidR="00ED7D4C" w:rsidRPr="00840A9E" w:rsidRDefault="00ED7D4C" w:rsidP="00C63D77">
            <w:pPr>
              <w:spacing w:before="0" w:after="100" w:afterAutospacing="1"/>
              <w:jc w:val="center"/>
              <w:rPr>
                <w:rFonts w:ascii="Calibri" w:hAnsi="Calibri" w:cs="Calibri"/>
                <w:sz w:val="20"/>
                <w:szCs w:val="20"/>
                <w:lang w:eastAsia="en-GB"/>
              </w:rPr>
            </w:pPr>
            <w:r w:rsidRPr="00840A9E">
              <w:rPr>
                <w:rFonts w:ascii="Calibri" w:hAnsi="Calibri" w:cs="Calibri"/>
                <w:sz w:val="20"/>
                <w:szCs w:val="20"/>
                <w:lang w:eastAsia="en-GB"/>
              </w:rPr>
              <w:t>(901)</w:t>
            </w:r>
          </w:p>
        </w:tc>
      </w:tr>
      <w:tr w:rsidR="00ED7D4C" w:rsidRPr="00650C79" w:rsidTr="00C63D77">
        <w:trPr>
          <w:trHeight w:val="206"/>
        </w:trPr>
        <w:tc>
          <w:tcPr>
            <w:tcW w:w="7549" w:type="dxa"/>
          </w:tcPr>
          <w:p w:rsidR="00ED7D4C" w:rsidRPr="007436C6" w:rsidRDefault="00ED7D4C" w:rsidP="00C63D77">
            <w:pPr>
              <w:spacing w:before="0" w:after="100" w:afterAutospacing="1"/>
              <w:rPr>
                <w:rFonts w:ascii="Calibri" w:hAnsi="Calibri" w:cs="Calibri"/>
                <w:sz w:val="20"/>
                <w:szCs w:val="20"/>
                <w:lang w:eastAsia="en-GB"/>
              </w:rPr>
            </w:pPr>
            <w:r w:rsidRPr="007436C6">
              <w:rPr>
                <w:rFonts w:ascii="Calibri" w:hAnsi="Calibri" w:cs="Calibri"/>
                <w:sz w:val="20"/>
                <w:szCs w:val="20"/>
                <w:lang w:eastAsia="en-GB"/>
              </w:rPr>
              <w:t>Funding</w:t>
            </w:r>
          </w:p>
        </w:tc>
        <w:tc>
          <w:tcPr>
            <w:tcW w:w="1947" w:type="dxa"/>
            <w:tcBorders>
              <w:right w:val="single" w:sz="4" w:space="0" w:color="auto"/>
            </w:tcBorders>
            <w:vAlign w:val="center"/>
          </w:tcPr>
          <w:p w:rsidR="00ED7D4C" w:rsidRPr="00840A9E" w:rsidRDefault="00ED7D4C" w:rsidP="00C63D77">
            <w:pPr>
              <w:spacing w:before="0" w:after="100" w:afterAutospacing="1"/>
              <w:jc w:val="center"/>
              <w:rPr>
                <w:rFonts w:ascii="Calibri" w:hAnsi="Calibri" w:cs="Calibri"/>
                <w:sz w:val="20"/>
                <w:szCs w:val="20"/>
                <w:lang w:eastAsia="en-GB"/>
              </w:rPr>
            </w:pPr>
          </w:p>
        </w:tc>
      </w:tr>
      <w:tr w:rsidR="00ED7D4C" w:rsidRPr="00650C79" w:rsidTr="00C63D77">
        <w:trPr>
          <w:trHeight w:val="206"/>
        </w:trPr>
        <w:tc>
          <w:tcPr>
            <w:tcW w:w="7549" w:type="dxa"/>
          </w:tcPr>
          <w:p w:rsidR="00ED7D4C" w:rsidRPr="00840A9E" w:rsidRDefault="00ED7D4C" w:rsidP="00C63D77">
            <w:pPr>
              <w:spacing w:before="0" w:after="100" w:afterAutospacing="1"/>
              <w:rPr>
                <w:rFonts w:ascii="Calibri" w:hAnsi="Calibri" w:cs="Calibri"/>
                <w:sz w:val="20"/>
                <w:szCs w:val="20"/>
                <w:lang w:eastAsia="en-GB"/>
              </w:rPr>
            </w:pPr>
            <w:r w:rsidRPr="00840A9E">
              <w:rPr>
                <w:rFonts w:ascii="Calibri" w:hAnsi="Calibri" w:cs="Calibri"/>
                <w:sz w:val="20"/>
                <w:szCs w:val="20"/>
                <w:lang w:eastAsia="en-GB"/>
              </w:rPr>
              <w:t>NIHR Funding (funding in place until Mar 2017)</w:t>
            </w:r>
          </w:p>
        </w:tc>
        <w:tc>
          <w:tcPr>
            <w:tcW w:w="1947" w:type="dxa"/>
            <w:tcBorders>
              <w:right w:val="single" w:sz="4" w:space="0" w:color="auto"/>
            </w:tcBorders>
            <w:vAlign w:val="center"/>
          </w:tcPr>
          <w:p w:rsidR="00ED7D4C" w:rsidRPr="00840A9E" w:rsidRDefault="00ED7D4C" w:rsidP="00C63D77">
            <w:pPr>
              <w:spacing w:before="0" w:after="100" w:afterAutospacing="1"/>
              <w:jc w:val="center"/>
              <w:rPr>
                <w:rFonts w:ascii="Calibri" w:hAnsi="Calibri" w:cs="Calibri"/>
                <w:sz w:val="20"/>
                <w:szCs w:val="20"/>
                <w:lang w:eastAsia="en-GB"/>
              </w:rPr>
            </w:pPr>
            <w:r w:rsidRPr="00840A9E">
              <w:rPr>
                <w:rFonts w:ascii="Calibri" w:hAnsi="Calibri" w:cs="Calibri"/>
                <w:sz w:val="20"/>
                <w:szCs w:val="20"/>
                <w:lang w:eastAsia="en-GB"/>
              </w:rPr>
              <w:t>717</w:t>
            </w:r>
          </w:p>
        </w:tc>
      </w:tr>
      <w:tr w:rsidR="00ED7D4C" w:rsidRPr="00650C79" w:rsidTr="00C63D77">
        <w:trPr>
          <w:trHeight w:val="206"/>
        </w:trPr>
        <w:tc>
          <w:tcPr>
            <w:tcW w:w="7549" w:type="dxa"/>
            <w:tcBorders>
              <w:bottom w:val="single" w:sz="4" w:space="0" w:color="auto"/>
            </w:tcBorders>
          </w:tcPr>
          <w:p w:rsidR="00ED7D4C" w:rsidRPr="00840A9E" w:rsidRDefault="00ED7D4C" w:rsidP="00C63D77">
            <w:pPr>
              <w:spacing w:before="0" w:after="100" w:afterAutospacing="1"/>
              <w:rPr>
                <w:rFonts w:ascii="Calibri" w:hAnsi="Calibri" w:cs="Calibri"/>
                <w:sz w:val="20"/>
                <w:szCs w:val="20"/>
                <w:lang w:eastAsia="en-GB"/>
              </w:rPr>
            </w:pPr>
            <w:r w:rsidRPr="00840A9E">
              <w:rPr>
                <w:rFonts w:ascii="Calibri" w:hAnsi="Calibri" w:cs="Calibri"/>
                <w:sz w:val="20"/>
                <w:szCs w:val="20"/>
                <w:lang w:eastAsia="en-GB"/>
              </w:rPr>
              <w:t>CRN: TV SM annual funding</w:t>
            </w:r>
          </w:p>
        </w:tc>
        <w:tc>
          <w:tcPr>
            <w:tcW w:w="1947" w:type="dxa"/>
            <w:tcBorders>
              <w:bottom w:val="single" w:sz="4" w:space="0" w:color="auto"/>
              <w:right w:val="single" w:sz="4" w:space="0" w:color="auto"/>
            </w:tcBorders>
            <w:vAlign w:val="center"/>
          </w:tcPr>
          <w:p w:rsidR="00ED7D4C" w:rsidRPr="00840A9E" w:rsidRDefault="00ED7D4C" w:rsidP="00C63D77">
            <w:pPr>
              <w:spacing w:before="0" w:after="100" w:afterAutospacing="1"/>
              <w:jc w:val="center"/>
              <w:rPr>
                <w:rFonts w:ascii="Calibri" w:hAnsi="Calibri" w:cs="Calibri"/>
                <w:sz w:val="20"/>
                <w:szCs w:val="20"/>
                <w:lang w:eastAsia="en-GB"/>
              </w:rPr>
            </w:pPr>
            <w:r w:rsidRPr="00840A9E">
              <w:rPr>
                <w:rFonts w:ascii="Calibri" w:hAnsi="Calibri" w:cs="Calibri"/>
                <w:sz w:val="20"/>
                <w:szCs w:val="20"/>
                <w:lang w:eastAsia="en-GB"/>
              </w:rPr>
              <w:t>98</w:t>
            </w:r>
          </w:p>
        </w:tc>
      </w:tr>
      <w:tr w:rsidR="00ED7D4C" w:rsidRPr="00650C79" w:rsidTr="00C63D77">
        <w:trPr>
          <w:trHeight w:val="70"/>
        </w:trPr>
        <w:tc>
          <w:tcPr>
            <w:tcW w:w="7549" w:type="dxa"/>
            <w:tcBorders>
              <w:top w:val="nil"/>
            </w:tcBorders>
          </w:tcPr>
          <w:p w:rsidR="00ED7D4C" w:rsidRPr="00840A9E" w:rsidRDefault="00ED7D4C" w:rsidP="00C63D77">
            <w:pPr>
              <w:spacing w:before="100" w:beforeAutospacing="1" w:after="100" w:afterAutospacing="1"/>
              <w:rPr>
                <w:rFonts w:ascii="Calibri" w:hAnsi="Calibri" w:cs="Calibri"/>
                <w:sz w:val="20"/>
                <w:szCs w:val="20"/>
                <w:lang w:eastAsia="en-GB"/>
              </w:rPr>
            </w:pPr>
            <w:r w:rsidRPr="00840A9E">
              <w:rPr>
                <w:rFonts w:ascii="Calibri" w:hAnsi="Calibri" w:cs="Calibri"/>
                <w:sz w:val="20"/>
                <w:szCs w:val="20"/>
                <w:lang w:eastAsia="en-GB"/>
              </w:rPr>
              <w:t>Research Capability Funding (RCF)</w:t>
            </w:r>
            <w:r>
              <w:rPr>
                <w:rFonts w:ascii="Calibri" w:hAnsi="Calibri" w:cs="Calibri"/>
                <w:sz w:val="20"/>
                <w:szCs w:val="20"/>
                <w:lang w:eastAsia="en-GB"/>
              </w:rPr>
              <w:t xml:space="preserve"> and other study income</w:t>
            </w:r>
          </w:p>
        </w:tc>
        <w:tc>
          <w:tcPr>
            <w:tcW w:w="1947" w:type="dxa"/>
            <w:tcBorders>
              <w:top w:val="nil"/>
              <w:right w:val="single" w:sz="4" w:space="0" w:color="auto"/>
            </w:tcBorders>
            <w:vAlign w:val="center"/>
          </w:tcPr>
          <w:p w:rsidR="00ED7D4C" w:rsidRPr="00840A9E" w:rsidRDefault="00ED7D4C" w:rsidP="00C63D77">
            <w:pPr>
              <w:spacing w:before="0" w:after="100" w:afterAutospacing="1"/>
              <w:jc w:val="center"/>
              <w:rPr>
                <w:rFonts w:ascii="Calibri" w:hAnsi="Calibri" w:cs="Calibri"/>
                <w:sz w:val="20"/>
                <w:szCs w:val="20"/>
                <w:lang w:eastAsia="en-GB"/>
              </w:rPr>
            </w:pPr>
            <w:r>
              <w:rPr>
                <w:rFonts w:ascii="Calibri" w:hAnsi="Calibri" w:cs="Calibri"/>
                <w:sz w:val="20"/>
                <w:szCs w:val="20"/>
                <w:lang w:eastAsia="en-GB"/>
              </w:rPr>
              <w:t>86</w:t>
            </w:r>
          </w:p>
        </w:tc>
      </w:tr>
    </w:tbl>
    <w:p w:rsidR="00ED7D4C" w:rsidRDefault="00ED7D4C" w:rsidP="00ED7D4C">
      <w:pPr>
        <w:rPr>
          <w:lang w:val="en-GB"/>
        </w:rPr>
      </w:pPr>
      <w:r w:rsidRPr="00650C79">
        <w:rPr>
          <w:lang w:val="en-GB"/>
        </w:rPr>
        <w:t xml:space="preserve">At the end of period </w:t>
      </w:r>
      <w:r>
        <w:rPr>
          <w:lang w:val="en-GB"/>
        </w:rPr>
        <w:t>10</w:t>
      </w:r>
      <w:r w:rsidRPr="00650C79">
        <w:rPr>
          <w:lang w:val="en-GB"/>
        </w:rPr>
        <w:t xml:space="preserve"> the </w:t>
      </w:r>
      <w:r>
        <w:rPr>
          <w:lang w:val="en-GB"/>
        </w:rPr>
        <w:t xml:space="preserve">CRF </w:t>
      </w:r>
      <w:r w:rsidRPr="00650C79">
        <w:rPr>
          <w:lang w:val="en-GB"/>
        </w:rPr>
        <w:t xml:space="preserve">performance is broadly in line with budget and it </w:t>
      </w:r>
      <w:r>
        <w:rPr>
          <w:lang w:val="en-GB"/>
        </w:rPr>
        <w:t>is forecast to be in a similar position at year end.</w:t>
      </w:r>
    </w:p>
    <w:p w:rsidR="00ED7D4C" w:rsidRPr="00ED7D4C" w:rsidRDefault="00ED7D4C" w:rsidP="00ED7D4C">
      <w:pPr>
        <w:pStyle w:val="Heading2"/>
      </w:pPr>
      <w:bookmarkStart w:id="39" w:name="_Toc441061225"/>
      <w:bookmarkStart w:id="40" w:name="_Toc476822120"/>
      <w:r w:rsidRPr="00ED7D4C">
        <w:t>Clinical Research Network: Thames Valley and South Midlands (CRN)</w:t>
      </w:r>
      <w:bookmarkEnd w:id="39"/>
      <w:bookmarkEnd w:id="40"/>
    </w:p>
    <w:p w:rsidR="00ED7D4C" w:rsidRPr="00650C79" w:rsidRDefault="00ED7D4C" w:rsidP="00ED7D4C">
      <w:pPr>
        <w:rPr>
          <w:lang w:val="en-GB"/>
        </w:rPr>
      </w:pPr>
      <w:r w:rsidRPr="00650C79">
        <w:rPr>
          <w:lang w:val="en-GB"/>
        </w:rPr>
        <w:t xml:space="preserve">The budgeted FY17 funding from the CRN </w:t>
      </w:r>
      <w:r>
        <w:rPr>
          <w:lang w:val="en-GB"/>
        </w:rPr>
        <w:t xml:space="preserve">of </w:t>
      </w:r>
      <w:r w:rsidRPr="00650C79">
        <w:rPr>
          <w:lang w:val="en-GB"/>
        </w:rPr>
        <w:t>£</w:t>
      </w:r>
      <w:r>
        <w:rPr>
          <w:lang w:val="en-GB"/>
        </w:rPr>
        <w:t>860k for core staff and £381k for hosted network staff is shown in the table below along with the forecast year end position.</w:t>
      </w:r>
    </w:p>
    <w:tbl>
      <w:tblPr>
        <w:tblStyle w:val="TableGrid"/>
        <w:tblW w:w="9639" w:type="dxa"/>
        <w:tblInd w:w="108" w:type="dxa"/>
        <w:tblLayout w:type="fixed"/>
        <w:tblLook w:val="04A0" w:firstRow="1" w:lastRow="0" w:firstColumn="1" w:lastColumn="0" w:noHBand="0" w:noVBand="1"/>
      </w:tblPr>
      <w:tblGrid>
        <w:gridCol w:w="1985"/>
        <w:gridCol w:w="4394"/>
        <w:gridCol w:w="1843"/>
        <w:gridCol w:w="1417"/>
      </w:tblGrid>
      <w:tr w:rsidR="00ED7D4C" w:rsidRPr="005761AD" w:rsidTr="00C63D77">
        <w:trPr>
          <w:trHeight w:val="397"/>
        </w:trPr>
        <w:tc>
          <w:tcPr>
            <w:tcW w:w="1985" w:type="dxa"/>
            <w:shd w:val="clear" w:color="auto" w:fill="8DB3E2" w:themeFill="text2" w:themeFillTint="66"/>
          </w:tcPr>
          <w:p w:rsidR="00ED7D4C" w:rsidRPr="00C125CF" w:rsidRDefault="00ED7D4C" w:rsidP="00C63D77">
            <w:pPr>
              <w:spacing w:before="0" w:after="0"/>
              <w:rPr>
                <w:rFonts w:ascii="Calibri" w:hAnsi="Calibri" w:cs="Calibri"/>
                <w:b/>
                <w:sz w:val="20"/>
                <w:szCs w:val="20"/>
                <w:lang w:eastAsia="en-GB"/>
              </w:rPr>
            </w:pPr>
            <w:r w:rsidRPr="00C125CF">
              <w:rPr>
                <w:rFonts w:ascii="Calibri" w:hAnsi="Calibri" w:cs="Calibri"/>
                <w:b/>
                <w:sz w:val="20"/>
                <w:szCs w:val="20"/>
                <w:lang w:eastAsia="en-GB"/>
              </w:rPr>
              <w:t>Division</w:t>
            </w:r>
          </w:p>
        </w:tc>
        <w:tc>
          <w:tcPr>
            <w:tcW w:w="4394" w:type="dxa"/>
            <w:shd w:val="clear" w:color="auto" w:fill="8DB3E2" w:themeFill="text2" w:themeFillTint="66"/>
          </w:tcPr>
          <w:p w:rsidR="00ED7D4C" w:rsidRPr="00C125CF" w:rsidRDefault="00ED7D4C" w:rsidP="00C63D77">
            <w:pPr>
              <w:spacing w:before="0" w:after="0"/>
              <w:jc w:val="left"/>
              <w:rPr>
                <w:rFonts w:ascii="Calibri" w:hAnsi="Calibri" w:cs="Calibri"/>
                <w:b/>
                <w:sz w:val="20"/>
                <w:szCs w:val="20"/>
                <w:lang w:eastAsia="en-GB"/>
              </w:rPr>
            </w:pPr>
            <w:r w:rsidRPr="00C125CF">
              <w:rPr>
                <w:rFonts w:ascii="Calibri" w:hAnsi="Calibri" w:cs="Calibri"/>
                <w:b/>
                <w:sz w:val="20"/>
                <w:szCs w:val="20"/>
                <w:lang w:eastAsia="en-GB"/>
              </w:rPr>
              <w:t>Specialty</w:t>
            </w:r>
          </w:p>
        </w:tc>
        <w:tc>
          <w:tcPr>
            <w:tcW w:w="1843" w:type="dxa"/>
            <w:shd w:val="clear" w:color="auto" w:fill="8DB3E2" w:themeFill="text2" w:themeFillTint="66"/>
          </w:tcPr>
          <w:p w:rsidR="00ED7D4C" w:rsidRPr="00C125CF" w:rsidRDefault="00ED7D4C" w:rsidP="00C63D77">
            <w:pPr>
              <w:spacing w:before="0" w:after="0"/>
              <w:jc w:val="center"/>
              <w:rPr>
                <w:rFonts w:ascii="Calibri" w:hAnsi="Calibri" w:cs="Calibri"/>
                <w:b/>
                <w:sz w:val="20"/>
                <w:szCs w:val="20"/>
                <w:lang w:eastAsia="en-GB"/>
              </w:rPr>
            </w:pPr>
            <w:r w:rsidRPr="00C125CF">
              <w:rPr>
                <w:rFonts w:ascii="Calibri" w:hAnsi="Calibri" w:cs="Calibri"/>
                <w:b/>
                <w:sz w:val="20"/>
                <w:szCs w:val="20"/>
                <w:lang w:eastAsia="en-GB"/>
              </w:rPr>
              <w:t>FY17 Budget(£k)</w:t>
            </w:r>
          </w:p>
        </w:tc>
        <w:tc>
          <w:tcPr>
            <w:tcW w:w="1417" w:type="dxa"/>
            <w:shd w:val="clear" w:color="auto" w:fill="8DB3E2" w:themeFill="text2" w:themeFillTint="66"/>
          </w:tcPr>
          <w:p w:rsidR="00ED7D4C" w:rsidRPr="00C125CF" w:rsidRDefault="00ED7D4C" w:rsidP="00C63D77">
            <w:pPr>
              <w:spacing w:before="0" w:after="0"/>
              <w:jc w:val="center"/>
              <w:rPr>
                <w:rFonts w:ascii="Calibri" w:hAnsi="Calibri" w:cs="Calibri"/>
                <w:b/>
                <w:sz w:val="20"/>
                <w:szCs w:val="20"/>
                <w:lang w:eastAsia="en-GB"/>
              </w:rPr>
            </w:pPr>
            <w:r w:rsidRPr="00C125CF">
              <w:rPr>
                <w:rFonts w:ascii="Calibri" w:hAnsi="Calibri" w:cs="Calibri"/>
                <w:b/>
                <w:sz w:val="20"/>
                <w:szCs w:val="20"/>
                <w:lang w:eastAsia="en-GB"/>
              </w:rPr>
              <w:t>Forecast(£k)</w:t>
            </w:r>
          </w:p>
        </w:tc>
      </w:tr>
      <w:tr w:rsidR="00ED7D4C" w:rsidRPr="005761AD" w:rsidTr="00C63D77">
        <w:trPr>
          <w:trHeight w:val="290"/>
        </w:trPr>
        <w:tc>
          <w:tcPr>
            <w:tcW w:w="1985" w:type="dxa"/>
            <w:vAlign w:val="center"/>
          </w:tcPr>
          <w:p w:rsidR="00ED7D4C" w:rsidRPr="00C125CF" w:rsidRDefault="00ED7D4C" w:rsidP="00C63D77">
            <w:pPr>
              <w:spacing w:before="0" w:after="0"/>
              <w:jc w:val="left"/>
              <w:rPr>
                <w:rFonts w:ascii="Calibri" w:hAnsi="Calibri" w:cs="Calibri"/>
                <w:b/>
                <w:sz w:val="20"/>
                <w:szCs w:val="20"/>
                <w:lang w:eastAsia="en-GB"/>
              </w:rPr>
            </w:pPr>
            <w:r w:rsidRPr="00C125CF">
              <w:rPr>
                <w:rFonts w:ascii="Calibri" w:hAnsi="Calibri" w:cs="Calibri"/>
                <w:b/>
                <w:sz w:val="20"/>
                <w:szCs w:val="20"/>
                <w:lang w:eastAsia="en-GB"/>
              </w:rPr>
              <w:t>Core Allocation</w:t>
            </w:r>
          </w:p>
        </w:tc>
        <w:tc>
          <w:tcPr>
            <w:tcW w:w="4394" w:type="dxa"/>
            <w:vAlign w:val="center"/>
          </w:tcPr>
          <w:p w:rsidR="00ED7D4C" w:rsidRPr="00A10E78" w:rsidRDefault="00ED7D4C" w:rsidP="00C63D77">
            <w:pPr>
              <w:spacing w:before="0" w:after="0"/>
              <w:jc w:val="left"/>
              <w:rPr>
                <w:rFonts w:ascii="Calibri" w:hAnsi="Calibri" w:cs="Calibri"/>
                <w:sz w:val="20"/>
                <w:szCs w:val="20"/>
                <w:lang w:eastAsia="en-GB"/>
              </w:rPr>
            </w:pPr>
          </w:p>
        </w:tc>
        <w:tc>
          <w:tcPr>
            <w:tcW w:w="1843" w:type="dxa"/>
          </w:tcPr>
          <w:p w:rsidR="00ED7D4C" w:rsidRPr="00A10E78" w:rsidRDefault="00ED7D4C" w:rsidP="00C63D77">
            <w:pPr>
              <w:spacing w:before="0" w:after="0"/>
              <w:jc w:val="center"/>
              <w:rPr>
                <w:rFonts w:ascii="Calibri" w:hAnsi="Calibri" w:cs="Calibri"/>
                <w:sz w:val="20"/>
                <w:szCs w:val="20"/>
                <w:lang w:eastAsia="en-GB"/>
              </w:rPr>
            </w:pPr>
          </w:p>
        </w:tc>
        <w:tc>
          <w:tcPr>
            <w:tcW w:w="1417" w:type="dxa"/>
          </w:tcPr>
          <w:p w:rsidR="00ED7D4C" w:rsidRPr="00A10E78" w:rsidRDefault="00ED7D4C" w:rsidP="00C63D77">
            <w:pPr>
              <w:spacing w:before="0" w:after="0"/>
              <w:jc w:val="center"/>
              <w:rPr>
                <w:rFonts w:ascii="Calibri" w:hAnsi="Calibri" w:cs="Calibri"/>
                <w:sz w:val="20"/>
                <w:szCs w:val="20"/>
                <w:lang w:eastAsia="en-GB"/>
              </w:rPr>
            </w:pPr>
          </w:p>
        </w:tc>
      </w:tr>
      <w:tr w:rsidR="00ED7D4C" w:rsidRPr="005761AD" w:rsidTr="00C63D77">
        <w:trPr>
          <w:trHeight w:val="290"/>
        </w:trPr>
        <w:tc>
          <w:tcPr>
            <w:tcW w:w="1985" w:type="dxa"/>
            <w:vAlign w:val="center"/>
          </w:tcPr>
          <w:p w:rsidR="00ED7D4C" w:rsidRPr="00A10E78" w:rsidRDefault="00ED7D4C" w:rsidP="00C63D77">
            <w:pPr>
              <w:spacing w:before="0" w:after="0"/>
              <w:jc w:val="left"/>
              <w:rPr>
                <w:rFonts w:ascii="Calibri" w:hAnsi="Calibri" w:cs="Calibri"/>
                <w:sz w:val="20"/>
                <w:szCs w:val="20"/>
                <w:lang w:eastAsia="en-GB"/>
              </w:rPr>
            </w:pPr>
            <w:r w:rsidRPr="00A10E78">
              <w:rPr>
                <w:rFonts w:ascii="Calibri" w:hAnsi="Calibri" w:cs="Calibri"/>
                <w:sz w:val="20"/>
                <w:szCs w:val="20"/>
                <w:lang w:eastAsia="en-GB"/>
              </w:rPr>
              <w:t>Division 4</w:t>
            </w:r>
          </w:p>
        </w:tc>
        <w:tc>
          <w:tcPr>
            <w:tcW w:w="4394" w:type="dxa"/>
            <w:vAlign w:val="center"/>
          </w:tcPr>
          <w:p w:rsidR="00ED7D4C" w:rsidRPr="00A10E78" w:rsidRDefault="00ED7D4C" w:rsidP="00C63D77">
            <w:pPr>
              <w:spacing w:before="0" w:after="0"/>
              <w:jc w:val="left"/>
              <w:rPr>
                <w:rFonts w:ascii="Calibri" w:hAnsi="Calibri" w:cs="Calibri"/>
                <w:sz w:val="20"/>
                <w:szCs w:val="20"/>
                <w:lang w:eastAsia="en-GB"/>
              </w:rPr>
            </w:pPr>
            <w:r w:rsidRPr="00A10E78">
              <w:rPr>
                <w:rFonts w:ascii="Calibri" w:hAnsi="Calibri" w:cs="Calibri"/>
                <w:sz w:val="20"/>
                <w:szCs w:val="20"/>
                <w:lang w:eastAsia="en-GB"/>
              </w:rPr>
              <w:t xml:space="preserve">Mental Health </w:t>
            </w:r>
          </w:p>
        </w:tc>
        <w:tc>
          <w:tcPr>
            <w:tcW w:w="1843" w:type="dxa"/>
          </w:tcPr>
          <w:p w:rsidR="00ED7D4C" w:rsidRPr="00A10E78" w:rsidRDefault="00ED7D4C" w:rsidP="00C63D77">
            <w:pPr>
              <w:spacing w:before="0" w:after="0"/>
              <w:jc w:val="center"/>
              <w:rPr>
                <w:rFonts w:ascii="Calibri" w:hAnsi="Calibri" w:cs="Calibri"/>
                <w:sz w:val="20"/>
                <w:szCs w:val="20"/>
                <w:lang w:eastAsia="en-GB"/>
              </w:rPr>
            </w:pPr>
            <w:r w:rsidRPr="00A10E78">
              <w:rPr>
                <w:rFonts w:ascii="Calibri" w:hAnsi="Calibri" w:cs="Calibri"/>
                <w:sz w:val="20"/>
                <w:szCs w:val="20"/>
                <w:lang w:eastAsia="en-GB"/>
              </w:rPr>
              <w:t>438</w:t>
            </w:r>
          </w:p>
        </w:tc>
        <w:tc>
          <w:tcPr>
            <w:tcW w:w="1417" w:type="dxa"/>
          </w:tcPr>
          <w:p w:rsidR="00ED7D4C" w:rsidRPr="00A10E78" w:rsidRDefault="00ED7D4C" w:rsidP="00C63D77">
            <w:pPr>
              <w:spacing w:before="0" w:after="0"/>
              <w:jc w:val="center"/>
              <w:rPr>
                <w:rFonts w:ascii="Calibri" w:hAnsi="Calibri" w:cs="Calibri"/>
                <w:sz w:val="20"/>
                <w:szCs w:val="20"/>
                <w:lang w:eastAsia="en-GB"/>
              </w:rPr>
            </w:pPr>
            <w:r w:rsidRPr="00A10E78">
              <w:rPr>
                <w:rFonts w:ascii="Calibri" w:hAnsi="Calibri" w:cs="Calibri"/>
                <w:sz w:val="20"/>
                <w:szCs w:val="20"/>
                <w:lang w:eastAsia="en-GB"/>
              </w:rPr>
              <w:t>466</w:t>
            </w:r>
          </w:p>
        </w:tc>
      </w:tr>
      <w:tr w:rsidR="00ED7D4C" w:rsidRPr="005761AD" w:rsidTr="00C63D77">
        <w:trPr>
          <w:trHeight w:val="280"/>
        </w:trPr>
        <w:tc>
          <w:tcPr>
            <w:tcW w:w="1985" w:type="dxa"/>
            <w:vAlign w:val="center"/>
          </w:tcPr>
          <w:p w:rsidR="00ED7D4C" w:rsidRPr="00A10E78" w:rsidRDefault="00ED7D4C" w:rsidP="00C63D77">
            <w:pPr>
              <w:spacing w:before="0" w:after="0"/>
              <w:jc w:val="left"/>
              <w:rPr>
                <w:rFonts w:ascii="Calibri" w:hAnsi="Calibri" w:cs="Calibri"/>
                <w:sz w:val="20"/>
                <w:szCs w:val="20"/>
                <w:lang w:eastAsia="en-GB"/>
              </w:rPr>
            </w:pPr>
          </w:p>
        </w:tc>
        <w:tc>
          <w:tcPr>
            <w:tcW w:w="4394" w:type="dxa"/>
            <w:vAlign w:val="center"/>
          </w:tcPr>
          <w:p w:rsidR="00ED7D4C" w:rsidRPr="00A10E78" w:rsidRDefault="00ED7D4C" w:rsidP="00C63D77">
            <w:pPr>
              <w:spacing w:before="0" w:after="0"/>
              <w:jc w:val="left"/>
              <w:rPr>
                <w:rFonts w:ascii="Calibri" w:hAnsi="Calibri" w:cs="Calibri"/>
                <w:sz w:val="20"/>
                <w:szCs w:val="20"/>
                <w:lang w:eastAsia="en-GB"/>
              </w:rPr>
            </w:pPr>
            <w:r w:rsidRPr="00A10E78">
              <w:rPr>
                <w:rFonts w:ascii="Calibri" w:hAnsi="Calibri" w:cs="Calibri"/>
                <w:sz w:val="20"/>
                <w:szCs w:val="20"/>
                <w:lang w:eastAsia="en-GB"/>
              </w:rPr>
              <w:t>Dendron and Neurological disorders (Dendron)</w:t>
            </w:r>
          </w:p>
        </w:tc>
        <w:tc>
          <w:tcPr>
            <w:tcW w:w="1843" w:type="dxa"/>
          </w:tcPr>
          <w:p w:rsidR="00ED7D4C" w:rsidRPr="00A10E78" w:rsidRDefault="00ED7D4C" w:rsidP="00C63D77">
            <w:pPr>
              <w:spacing w:before="0" w:after="0"/>
              <w:jc w:val="center"/>
              <w:rPr>
                <w:rFonts w:ascii="Calibri" w:hAnsi="Calibri" w:cs="Calibri"/>
                <w:sz w:val="20"/>
                <w:szCs w:val="20"/>
                <w:lang w:eastAsia="en-GB"/>
              </w:rPr>
            </w:pPr>
            <w:r w:rsidRPr="00A10E78">
              <w:rPr>
                <w:rFonts w:ascii="Calibri" w:hAnsi="Calibri" w:cs="Calibri"/>
                <w:sz w:val="20"/>
                <w:szCs w:val="20"/>
                <w:lang w:eastAsia="en-GB"/>
              </w:rPr>
              <w:t>137</w:t>
            </w:r>
          </w:p>
        </w:tc>
        <w:tc>
          <w:tcPr>
            <w:tcW w:w="1417" w:type="dxa"/>
          </w:tcPr>
          <w:p w:rsidR="00ED7D4C" w:rsidRPr="00A10E78" w:rsidRDefault="00ED7D4C" w:rsidP="00C63D77">
            <w:pPr>
              <w:spacing w:before="0" w:after="0"/>
              <w:jc w:val="center"/>
              <w:rPr>
                <w:rFonts w:ascii="Calibri" w:hAnsi="Calibri" w:cs="Calibri"/>
                <w:sz w:val="20"/>
                <w:szCs w:val="20"/>
                <w:lang w:eastAsia="en-GB"/>
              </w:rPr>
            </w:pPr>
            <w:r w:rsidRPr="00A10E78">
              <w:rPr>
                <w:rFonts w:ascii="Calibri" w:hAnsi="Calibri" w:cs="Calibri"/>
                <w:sz w:val="20"/>
                <w:szCs w:val="20"/>
                <w:lang w:eastAsia="en-GB"/>
              </w:rPr>
              <w:t>123</w:t>
            </w:r>
          </w:p>
        </w:tc>
      </w:tr>
      <w:tr w:rsidR="00ED7D4C" w:rsidRPr="005761AD" w:rsidTr="00C63D77">
        <w:trPr>
          <w:trHeight w:val="270"/>
        </w:trPr>
        <w:tc>
          <w:tcPr>
            <w:tcW w:w="1985" w:type="dxa"/>
            <w:vAlign w:val="center"/>
          </w:tcPr>
          <w:p w:rsidR="00ED7D4C" w:rsidRPr="00A10E78" w:rsidRDefault="00ED7D4C" w:rsidP="00C63D77">
            <w:pPr>
              <w:spacing w:before="0" w:after="0"/>
              <w:jc w:val="left"/>
              <w:rPr>
                <w:rFonts w:ascii="Calibri" w:hAnsi="Calibri" w:cs="Calibri"/>
                <w:sz w:val="20"/>
                <w:szCs w:val="20"/>
                <w:lang w:eastAsia="en-GB"/>
              </w:rPr>
            </w:pPr>
          </w:p>
        </w:tc>
        <w:tc>
          <w:tcPr>
            <w:tcW w:w="4394" w:type="dxa"/>
            <w:vAlign w:val="center"/>
          </w:tcPr>
          <w:p w:rsidR="00ED7D4C" w:rsidRPr="00A10E78" w:rsidRDefault="00ED7D4C" w:rsidP="00C63D77">
            <w:pPr>
              <w:spacing w:before="0" w:after="0"/>
              <w:jc w:val="left"/>
              <w:rPr>
                <w:rFonts w:ascii="Calibri" w:hAnsi="Calibri" w:cs="Calibri"/>
                <w:sz w:val="20"/>
                <w:szCs w:val="20"/>
                <w:lang w:eastAsia="en-GB"/>
              </w:rPr>
            </w:pPr>
            <w:r w:rsidRPr="00A10E78">
              <w:rPr>
                <w:rFonts w:ascii="Calibri" w:hAnsi="Calibri" w:cs="Calibri"/>
                <w:sz w:val="20"/>
                <w:szCs w:val="20"/>
                <w:lang w:eastAsia="en-GB"/>
              </w:rPr>
              <w:t>Division-wide (Division 4)</w:t>
            </w:r>
          </w:p>
        </w:tc>
        <w:tc>
          <w:tcPr>
            <w:tcW w:w="1843" w:type="dxa"/>
          </w:tcPr>
          <w:p w:rsidR="00ED7D4C" w:rsidRPr="00A10E78" w:rsidRDefault="00ED7D4C" w:rsidP="00C63D77">
            <w:pPr>
              <w:spacing w:before="0" w:after="0"/>
              <w:jc w:val="center"/>
              <w:rPr>
                <w:rFonts w:ascii="Calibri" w:hAnsi="Calibri" w:cs="Calibri"/>
                <w:sz w:val="20"/>
                <w:szCs w:val="20"/>
                <w:lang w:eastAsia="en-GB"/>
              </w:rPr>
            </w:pPr>
            <w:r w:rsidRPr="00A10E78">
              <w:rPr>
                <w:rFonts w:ascii="Calibri" w:hAnsi="Calibri" w:cs="Calibri"/>
                <w:sz w:val="20"/>
                <w:szCs w:val="20"/>
                <w:lang w:eastAsia="en-GB"/>
              </w:rPr>
              <w:t>196</w:t>
            </w:r>
          </w:p>
        </w:tc>
        <w:tc>
          <w:tcPr>
            <w:tcW w:w="1417" w:type="dxa"/>
          </w:tcPr>
          <w:p w:rsidR="00ED7D4C" w:rsidRPr="00A10E78" w:rsidRDefault="00ED7D4C" w:rsidP="00C63D77">
            <w:pPr>
              <w:spacing w:before="0" w:after="0"/>
              <w:jc w:val="center"/>
              <w:rPr>
                <w:rFonts w:ascii="Calibri" w:hAnsi="Calibri" w:cs="Calibri"/>
                <w:sz w:val="20"/>
                <w:szCs w:val="20"/>
                <w:lang w:eastAsia="en-GB"/>
              </w:rPr>
            </w:pPr>
            <w:r w:rsidRPr="00A10E78">
              <w:rPr>
                <w:rFonts w:ascii="Calibri" w:hAnsi="Calibri" w:cs="Calibri"/>
                <w:sz w:val="20"/>
                <w:szCs w:val="20"/>
                <w:lang w:eastAsia="en-GB"/>
              </w:rPr>
              <w:t>191</w:t>
            </w:r>
          </w:p>
        </w:tc>
      </w:tr>
      <w:tr w:rsidR="00ED7D4C" w:rsidRPr="005761AD" w:rsidTr="00C63D77">
        <w:trPr>
          <w:trHeight w:val="262"/>
        </w:trPr>
        <w:tc>
          <w:tcPr>
            <w:tcW w:w="1985" w:type="dxa"/>
            <w:vAlign w:val="center"/>
          </w:tcPr>
          <w:p w:rsidR="00ED7D4C" w:rsidRPr="00A10E78" w:rsidRDefault="00ED7D4C" w:rsidP="00C63D77">
            <w:pPr>
              <w:spacing w:before="0" w:after="0"/>
              <w:jc w:val="left"/>
              <w:rPr>
                <w:rFonts w:ascii="Calibri" w:hAnsi="Calibri" w:cs="Calibri"/>
                <w:sz w:val="20"/>
                <w:szCs w:val="20"/>
                <w:lang w:eastAsia="en-GB"/>
              </w:rPr>
            </w:pPr>
            <w:r w:rsidRPr="00A10E78">
              <w:rPr>
                <w:rFonts w:ascii="Calibri" w:hAnsi="Calibri" w:cs="Calibri"/>
                <w:sz w:val="20"/>
                <w:szCs w:val="20"/>
                <w:lang w:eastAsia="en-GB"/>
              </w:rPr>
              <w:t>Cross-Divisional</w:t>
            </w:r>
          </w:p>
        </w:tc>
        <w:tc>
          <w:tcPr>
            <w:tcW w:w="4394" w:type="dxa"/>
            <w:vAlign w:val="center"/>
          </w:tcPr>
          <w:p w:rsidR="00ED7D4C" w:rsidRPr="00A10E78" w:rsidRDefault="00ED7D4C" w:rsidP="00C63D77">
            <w:pPr>
              <w:spacing w:before="0" w:after="0"/>
              <w:jc w:val="left"/>
              <w:rPr>
                <w:rFonts w:ascii="Calibri" w:hAnsi="Calibri" w:cs="Calibri"/>
                <w:sz w:val="20"/>
                <w:szCs w:val="20"/>
                <w:lang w:eastAsia="en-GB"/>
              </w:rPr>
            </w:pPr>
          </w:p>
        </w:tc>
        <w:tc>
          <w:tcPr>
            <w:tcW w:w="1843" w:type="dxa"/>
          </w:tcPr>
          <w:p w:rsidR="00ED7D4C" w:rsidRPr="00A10E78" w:rsidRDefault="00ED7D4C" w:rsidP="00C63D77">
            <w:pPr>
              <w:spacing w:before="0" w:after="0"/>
              <w:jc w:val="center"/>
              <w:rPr>
                <w:rFonts w:ascii="Calibri" w:hAnsi="Calibri" w:cs="Calibri"/>
                <w:sz w:val="20"/>
                <w:szCs w:val="20"/>
                <w:lang w:eastAsia="en-GB"/>
              </w:rPr>
            </w:pPr>
            <w:r w:rsidRPr="00A10E78">
              <w:rPr>
                <w:rFonts w:ascii="Calibri" w:hAnsi="Calibri" w:cs="Calibri"/>
                <w:sz w:val="20"/>
                <w:szCs w:val="20"/>
                <w:lang w:eastAsia="en-GB"/>
              </w:rPr>
              <w:t>62</w:t>
            </w:r>
          </w:p>
        </w:tc>
        <w:tc>
          <w:tcPr>
            <w:tcW w:w="1417" w:type="dxa"/>
          </w:tcPr>
          <w:p w:rsidR="00ED7D4C" w:rsidRPr="00A10E78" w:rsidRDefault="00ED7D4C" w:rsidP="00C63D77">
            <w:pPr>
              <w:spacing w:before="0" w:after="0"/>
              <w:jc w:val="center"/>
              <w:rPr>
                <w:rFonts w:ascii="Calibri" w:hAnsi="Calibri" w:cs="Calibri"/>
                <w:sz w:val="20"/>
                <w:szCs w:val="20"/>
                <w:lang w:eastAsia="en-GB"/>
              </w:rPr>
            </w:pPr>
            <w:r w:rsidRPr="00A10E78">
              <w:rPr>
                <w:rFonts w:ascii="Calibri" w:hAnsi="Calibri" w:cs="Calibri"/>
                <w:sz w:val="20"/>
                <w:szCs w:val="20"/>
                <w:lang w:eastAsia="en-GB"/>
              </w:rPr>
              <w:t>75</w:t>
            </w:r>
          </w:p>
        </w:tc>
      </w:tr>
      <w:tr w:rsidR="00ED7D4C" w:rsidRPr="005761AD" w:rsidTr="00C63D77">
        <w:trPr>
          <w:trHeight w:val="340"/>
        </w:trPr>
        <w:tc>
          <w:tcPr>
            <w:tcW w:w="1985" w:type="dxa"/>
            <w:tcBorders>
              <w:bottom w:val="single" w:sz="4" w:space="0" w:color="auto"/>
            </w:tcBorders>
            <w:vAlign w:val="center"/>
          </w:tcPr>
          <w:p w:rsidR="00ED7D4C" w:rsidRPr="00A10E78" w:rsidRDefault="00ED7D4C" w:rsidP="00C63D77">
            <w:pPr>
              <w:spacing w:before="0" w:after="0"/>
              <w:jc w:val="left"/>
              <w:rPr>
                <w:rFonts w:ascii="Calibri" w:hAnsi="Calibri" w:cs="Calibri"/>
                <w:sz w:val="20"/>
                <w:szCs w:val="20"/>
                <w:lang w:eastAsia="en-GB"/>
              </w:rPr>
            </w:pPr>
          </w:p>
        </w:tc>
        <w:tc>
          <w:tcPr>
            <w:tcW w:w="4394" w:type="dxa"/>
            <w:tcBorders>
              <w:bottom w:val="single" w:sz="4" w:space="0" w:color="auto"/>
            </w:tcBorders>
            <w:vAlign w:val="center"/>
          </w:tcPr>
          <w:p w:rsidR="00ED7D4C" w:rsidRPr="00A10E78" w:rsidRDefault="00ED7D4C" w:rsidP="00C63D77">
            <w:pPr>
              <w:spacing w:before="0" w:after="0"/>
              <w:jc w:val="left"/>
              <w:rPr>
                <w:rFonts w:ascii="Calibri" w:hAnsi="Calibri" w:cs="Calibri"/>
                <w:sz w:val="20"/>
                <w:szCs w:val="20"/>
                <w:lang w:eastAsia="en-GB"/>
              </w:rPr>
            </w:pPr>
            <w:r w:rsidRPr="00A10E78">
              <w:rPr>
                <w:rFonts w:ascii="Calibri" w:hAnsi="Calibri" w:cs="Calibri"/>
                <w:sz w:val="20"/>
                <w:szCs w:val="20"/>
                <w:lang w:eastAsia="en-GB"/>
              </w:rPr>
              <w:t>Contingency &amp; Other</w:t>
            </w:r>
          </w:p>
        </w:tc>
        <w:tc>
          <w:tcPr>
            <w:tcW w:w="1843" w:type="dxa"/>
            <w:tcBorders>
              <w:bottom w:val="single" w:sz="4" w:space="0" w:color="auto"/>
            </w:tcBorders>
          </w:tcPr>
          <w:p w:rsidR="00ED7D4C" w:rsidRPr="00A10E78" w:rsidRDefault="00ED7D4C" w:rsidP="00C63D77">
            <w:pPr>
              <w:spacing w:before="0" w:after="0"/>
              <w:jc w:val="center"/>
              <w:rPr>
                <w:rFonts w:ascii="Calibri" w:hAnsi="Calibri" w:cs="Calibri"/>
                <w:sz w:val="20"/>
                <w:szCs w:val="20"/>
                <w:lang w:eastAsia="en-GB"/>
              </w:rPr>
            </w:pPr>
            <w:r w:rsidRPr="00A10E78">
              <w:rPr>
                <w:rFonts w:ascii="Calibri" w:hAnsi="Calibri" w:cs="Calibri"/>
                <w:sz w:val="20"/>
                <w:szCs w:val="20"/>
                <w:lang w:eastAsia="en-GB"/>
              </w:rPr>
              <w:t>27</w:t>
            </w:r>
          </w:p>
        </w:tc>
        <w:tc>
          <w:tcPr>
            <w:tcW w:w="1417" w:type="dxa"/>
            <w:tcBorders>
              <w:bottom w:val="single" w:sz="4" w:space="0" w:color="auto"/>
            </w:tcBorders>
          </w:tcPr>
          <w:p w:rsidR="00ED7D4C" w:rsidRPr="00A10E78" w:rsidRDefault="00ED7D4C" w:rsidP="00C63D77">
            <w:pPr>
              <w:spacing w:before="0" w:after="0"/>
              <w:jc w:val="center"/>
              <w:rPr>
                <w:rFonts w:ascii="Calibri" w:hAnsi="Calibri" w:cs="Calibri"/>
                <w:sz w:val="20"/>
                <w:szCs w:val="20"/>
                <w:lang w:eastAsia="en-GB"/>
              </w:rPr>
            </w:pPr>
            <w:r w:rsidRPr="00A10E78">
              <w:rPr>
                <w:rFonts w:ascii="Calibri" w:hAnsi="Calibri" w:cs="Calibri"/>
                <w:sz w:val="20"/>
                <w:szCs w:val="20"/>
                <w:lang w:eastAsia="en-GB"/>
              </w:rPr>
              <w:t>5</w:t>
            </w:r>
          </w:p>
        </w:tc>
      </w:tr>
      <w:tr w:rsidR="00ED7D4C" w:rsidRPr="00C125CF" w:rsidTr="00C63D77">
        <w:trPr>
          <w:trHeight w:val="275"/>
        </w:trPr>
        <w:tc>
          <w:tcPr>
            <w:tcW w:w="1985" w:type="dxa"/>
            <w:tcBorders>
              <w:bottom w:val="single" w:sz="4" w:space="0" w:color="auto"/>
            </w:tcBorders>
            <w:shd w:val="clear" w:color="auto" w:fill="8DB3E2" w:themeFill="text2" w:themeFillTint="66"/>
          </w:tcPr>
          <w:p w:rsidR="00ED7D4C" w:rsidRPr="00C125CF" w:rsidRDefault="00ED7D4C" w:rsidP="00C63D77">
            <w:pPr>
              <w:spacing w:before="0" w:after="0"/>
              <w:rPr>
                <w:rFonts w:ascii="Calibri" w:hAnsi="Calibri" w:cs="Calibri"/>
                <w:b/>
                <w:sz w:val="20"/>
                <w:szCs w:val="20"/>
                <w:lang w:eastAsia="en-GB"/>
              </w:rPr>
            </w:pPr>
            <w:r w:rsidRPr="00C125CF">
              <w:rPr>
                <w:rFonts w:ascii="Calibri" w:hAnsi="Calibri" w:cs="Calibri"/>
                <w:b/>
                <w:sz w:val="20"/>
                <w:szCs w:val="20"/>
                <w:lang w:eastAsia="en-GB"/>
              </w:rPr>
              <w:t>Total</w:t>
            </w:r>
          </w:p>
        </w:tc>
        <w:tc>
          <w:tcPr>
            <w:tcW w:w="4394" w:type="dxa"/>
            <w:tcBorders>
              <w:bottom w:val="single" w:sz="4" w:space="0" w:color="auto"/>
            </w:tcBorders>
            <w:shd w:val="clear" w:color="auto" w:fill="8DB3E2" w:themeFill="text2" w:themeFillTint="66"/>
          </w:tcPr>
          <w:p w:rsidR="00ED7D4C" w:rsidRPr="00C125CF" w:rsidRDefault="00ED7D4C" w:rsidP="00C63D77">
            <w:pPr>
              <w:spacing w:before="0" w:after="0"/>
              <w:jc w:val="center"/>
              <w:rPr>
                <w:rFonts w:ascii="Calibri" w:hAnsi="Calibri" w:cs="Calibri"/>
                <w:b/>
                <w:sz w:val="20"/>
                <w:szCs w:val="20"/>
                <w:lang w:eastAsia="en-GB"/>
              </w:rPr>
            </w:pPr>
          </w:p>
        </w:tc>
        <w:tc>
          <w:tcPr>
            <w:tcW w:w="1843" w:type="dxa"/>
            <w:tcBorders>
              <w:bottom w:val="single" w:sz="4" w:space="0" w:color="auto"/>
            </w:tcBorders>
            <w:shd w:val="clear" w:color="auto" w:fill="8DB3E2" w:themeFill="text2" w:themeFillTint="66"/>
          </w:tcPr>
          <w:p w:rsidR="00ED7D4C" w:rsidRPr="00C125CF" w:rsidRDefault="00ED7D4C" w:rsidP="00C63D77">
            <w:pPr>
              <w:spacing w:before="0" w:after="0"/>
              <w:jc w:val="center"/>
              <w:rPr>
                <w:rFonts w:ascii="Calibri" w:hAnsi="Calibri" w:cs="Calibri"/>
                <w:b/>
                <w:sz w:val="20"/>
                <w:szCs w:val="20"/>
                <w:lang w:eastAsia="en-GB"/>
              </w:rPr>
            </w:pPr>
            <w:r w:rsidRPr="00C125CF">
              <w:rPr>
                <w:rFonts w:ascii="Calibri" w:hAnsi="Calibri" w:cs="Calibri"/>
                <w:b/>
                <w:sz w:val="20"/>
                <w:szCs w:val="20"/>
                <w:lang w:eastAsia="en-GB"/>
              </w:rPr>
              <w:t>860</w:t>
            </w:r>
          </w:p>
        </w:tc>
        <w:tc>
          <w:tcPr>
            <w:tcW w:w="1417" w:type="dxa"/>
            <w:tcBorders>
              <w:bottom w:val="single" w:sz="4" w:space="0" w:color="auto"/>
            </w:tcBorders>
            <w:shd w:val="clear" w:color="auto" w:fill="8DB3E2" w:themeFill="text2" w:themeFillTint="66"/>
          </w:tcPr>
          <w:p w:rsidR="00ED7D4C" w:rsidRPr="00C125CF" w:rsidRDefault="00ED7D4C" w:rsidP="00C63D77">
            <w:pPr>
              <w:spacing w:before="0" w:after="0"/>
              <w:jc w:val="center"/>
              <w:rPr>
                <w:rFonts w:ascii="Calibri" w:hAnsi="Calibri" w:cs="Calibri"/>
                <w:b/>
                <w:sz w:val="20"/>
                <w:szCs w:val="20"/>
                <w:lang w:eastAsia="en-GB"/>
              </w:rPr>
            </w:pPr>
            <w:r w:rsidRPr="00C125CF">
              <w:rPr>
                <w:rFonts w:ascii="Calibri" w:hAnsi="Calibri" w:cs="Calibri"/>
                <w:b/>
                <w:sz w:val="20"/>
                <w:szCs w:val="20"/>
                <w:lang w:eastAsia="en-GB"/>
              </w:rPr>
              <w:t>860</w:t>
            </w:r>
          </w:p>
        </w:tc>
      </w:tr>
      <w:tr w:rsidR="00ED7D4C" w:rsidRPr="005761AD" w:rsidTr="00C63D77">
        <w:trPr>
          <w:trHeight w:val="275"/>
        </w:trPr>
        <w:tc>
          <w:tcPr>
            <w:tcW w:w="1985" w:type="dxa"/>
            <w:shd w:val="clear" w:color="auto" w:fill="auto"/>
            <w:vAlign w:val="center"/>
          </w:tcPr>
          <w:p w:rsidR="00ED7D4C" w:rsidRPr="00C125CF" w:rsidRDefault="00ED7D4C" w:rsidP="00C63D77">
            <w:pPr>
              <w:spacing w:before="0" w:after="0"/>
              <w:jc w:val="left"/>
              <w:rPr>
                <w:rFonts w:ascii="Calibri" w:hAnsi="Calibri" w:cs="Calibri"/>
                <w:b/>
                <w:sz w:val="20"/>
                <w:szCs w:val="20"/>
                <w:lang w:eastAsia="en-GB"/>
              </w:rPr>
            </w:pPr>
            <w:r w:rsidRPr="00C125CF">
              <w:rPr>
                <w:rFonts w:ascii="Calibri" w:hAnsi="Calibri" w:cs="Calibri"/>
                <w:b/>
                <w:sz w:val="20"/>
                <w:szCs w:val="20"/>
                <w:lang w:eastAsia="en-GB"/>
              </w:rPr>
              <w:t>Network staff</w:t>
            </w:r>
          </w:p>
        </w:tc>
        <w:tc>
          <w:tcPr>
            <w:tcW w:w="4394" w:type="dxa"/>
            <w:shd w:val="clear" w:color="auto" w:fill="auto"/>
            <w:vAlign w:val="center"/>
          </w:tcPr>
          <w:p w:rsidR="00ED7D4C" w:rsidRPr="00C125CF" w:rsidRDefault="00ED7D4C" w:rsidP="00C63D77">
            <w:pPr>
              <w:spacing w:before="0" w:after="0"/>
              <w:jc w:val="left"/>
              <w:rPr>
                <w:rFonts w:ascii="Calibri" w:hAnsi="Calibri" w:cs="Calibri"/>
                <w:b/>
                <w:sz w:val="20"/>
                <w:szCs w:val="20"/>
                <w:lang w:eastAsia="en-GB"/>
              </w:rPr>
            </w:pPr>
          </w:p>
        </w:tc>
        <w:tc>
          <w:tcPr>
            <w:tcW w:w="1843" w:type="dxa"/>
            <w:shd w:val="clear" w:color="auto" w:fill="auto"/>
          </w:tcPr>
          <w:p w:rsidR="00ED7D4C" w:rsidRPr="00A10E78" w:rsidRDefault="00ED7D4C" w:rsidP="00C63D77">
            <w:pPr>
              <w:spacing w:before="0" w:after="0"/>
              <w:jc w:val="center"/>
              <w:rPr>
                <w:rFonts w:ascii="Calibri" w:hAnsi="Calibri" w:cs="Calibri"/>
                <w:sz w:val="20"/>
                <w:szCs w:val="20"/>
                <w:lang w:eastAsia="en-GB"/>
              </w:rPr>
            </w:pPr>
          </w:p>
        </w:tc>
        <w:tc>
          <w:tcPr>
            <w:tcW w:w="1417" w:type="dxa"/>
            <w:shd w:val="clear" w:color="auto" w:fill="auto"/>
          </w:tcPr>
          <w:p w:rsidR="00ED7D4C" w:rsidRPr="00A10E78" w:rsidRDefault="00ED7D4C" w:rsidP="00C63D77">
            <w:pPr>
              <w:spacing w:before="0" w:after="0"/>
              <w:jc w:val="center"/>
              <w:rPr>
                <w:rFonts w:ascii="Calibri" w:hAnsi="Calibri" w:cs="Calibri"/>
                <w:sz w:val="20"/>
                <w:szCs w:val="20"/>
                <w:lang w:eastAsia="en-GB"/>
              </w:rPr>
            </w:pPr>
          </w:p>
        </w:tc>
      </w:tr>
      <w:tr w:rsidR="00ED7D4C" w:rsidRPr="005761AD" w:rsidTr="00C63D77">
        <w:trPr>
          <w:trHeight w:val="275"/>
        </w:trPr>
        <w:tc>
          <w:tcPr>
            <w:tcW w:w="1985" w:type="dxa"/>
            <w:shd w:val="clear" w:color="auto" w:fill="auto"/>
            <w:vAlign w:val="center"/>
          </w:tcPr>
          <w:p w:rsidR="00ED7D4C" w:rsidRPr="00A10E78" w:rsidRDefault="00ED7D4C" w:rsidP="00C63D77">
            <w:pPr>
              <w:spacing w:before="0" w:after="0"/>
              <w:jc w:val="left"/>
              <w:rPr>
                <w:rFonts w:ascii="Calibri" w:hAnsi="Calibri" w:cs="Calibri"/>
                <w:sz w:val="20"/>
                <w:szCs w:val="20"/>
                <w:lang w:eastAsia="en-GB"/>
              </w:rPr>
            </w:pPr>
            <w:r w:rsidRPr="00A10E78">
              <w:rPr>
                <w:rFonts w:ascii="Calibri" w:hAnsi="Calibri" w:cs="Calibri"/>
                <w:sz w:val="20"/>
                <w:szCs w:val="20"/>
                <w:lang w:eastAsia="en-GB"/>
              </w:rPr>
              <w:t>Division 4</w:t>
            </w:r>
          </w:p>
        </w:tc>
        <w:tc>
          <w:tcPr>
            <w:tcW w:w="4394" w:type="dxa"/>
            <w:shd w:val="clear" w:color="auto" w:fill="auto"/>
            <w:vAlign w:val="center"/>
          </w:tcPr>
          <w:p w:rsidR="00ED7D4C" w:rsidRPr="00A10E78" w:rsidRDefault="00ED7D4C" w:rsidP="00C63D77">
            <w:pPr>
              <w:spacing w:before="0" w:after="0"/>
              <w:jc w:val="left"/>
              <w:rPr>
                <w:rFonts w:ascii="Calibri" w:hAnsi="Calibri" w:cs="Calibri"/>
                <w:sz w:val="20"/>
                <w:szCs w:val="20"/>
                <w:lang w:eastAsia="en-GB"/>
              </w:rPr>
            </w:pPr>
            <w:r w:rsidRPr="00A10E78">
              <w:rPr>
                <w:rFonts w:ascii="Calibri" w:hAnsi="Calibri" w:cs="Calibri"/>
                <w:sz w:val="20"/>
                <w:szCs w:val="20"/>
                <w:lang w:eastAsia="en-GB"/>
              </w:rPr>
              <w:t xml:space="preserve">Mental Health </w:t>
            </w:r>
          </w:p>
        </w:tc>
        <w:tc>
          <w:tcPr>
            <w:tcW w:w="1843" w:type="dxa"/>
            <w:shd w:val="clear" w:color="auto" w:fill="auto"/>
          </w:tcPr>
          <w:p w:rsidR="00ED7D4C" w:rsidRPr="00A10E78" w:rsidRDefault="00ED7D4C" w:rsidP="00C63D77">
            <w:pPr>
              <w:spacing w:before="0" w:after="0"/>
              <w:jc w:val="center"/>
              <w:rPr>
                <w:rFonts w:ascii="Calibri" w:hAnsi="Calibri" w:cs="Calibri"/>
                <w:sz w:val="20"/>
                <w:szCs w:val="20"/>
                <w:lang w:eastAsia="en-GB"/>
              </w:rPr>
            </w:pPr>
            <w:r w:rsidRPr="00A10E78">
              <w:rPr>
                <w:rFonts w:ascii="Calibri" w:hAnsi="Calibri" w:cs="Calibri"/>
                <w:sz w:val="20"/>
                <w:szCs w:val="20"/>
                <w:lang w:eastAsia="en-GB"/>
              </w:rPr>
              <w:t>12</w:t>
            </w:r>
          </w:p>
        </w:tc>
        <w:tc>
          <w:tcPr>
            <w:tcW w:w="1417" w:type="dxa"/>
            <w:shd w:val="clear" w:color="auto" w:fill="auto"/>
          </w:tcPr>
          <w:p w:rsidR="00ED7D4C" w:rsidRPr="00A10E78" w:rsidRDefault="00ED7D4C" w:rsidP="00C63D77">
            <w:pPr>
              <w:spacing w:before="0" w:after="0"/>
              <w:jc w:val="center"/>
              <w:rPr>
                <w:rFonts w:ascii="Calibri" w:hAnsi="Calibri" w:cs="Calibri"/>
                <w:sz w:val="20"/>
                <w:szCs w:val="20"/>
                <w:lang w:eastAsia="en-GB"/>
              </w:rPr>
            </w:pPr>
            <w:r w:rsidRPr="00A10E78">
              <w:rPr>
                <w:rFonts w:ascii="Calibri" w:hAnsi="Calibri" w:cs="Calibri"/>
                <w:sz w:val="20"/>
                <w:szCs w:val="20"/>
                <w:lang w:eastAsia="en-GB"/>
              </w:rPr>
              <w:t>12</w:t>
            </w:r>
          </w:p>
        </w:tc>
      </w:tr>
      <w:tr w:rsidR="00ED7D4C" w:rsidRPr="005761AD" w:rsidTr="00C63D77">
        <w:trPr>
          <w:trHeight w:val="275"/>
        </w:trPr>
        <w:tc>
          <w:tcPr>
            <w:tcW w:w="1985" w:type="dxa"/>
            <w:shd w:val="clear" w:color="auto" w:fill="auto"/>
            <w:vAlign w:val="center"/>
          </w:tcPr>
          <w:p w:rsidR="00ED7D4C" w:rsidRPr="00A10E78" w:rsidRDefault="00ED7D4C" w:rsidP="00C63D77">
            <w:pPr>
              <w:spacing w:before="0" w:after="0"/>
              <w:jc w:val="left"/>
              <w:rPr>
                <w:rFonts w:ascii="Calibri" w:hAnsi="Calibri" w:cs="Calibri"/>
                <w:sz w:val="20"/>
                <w:szCs w:val="20"/>
                <w:lang w:eastAsia="en-GB"/>
              </w:rPr>
            </w:pPr>
          </w:p>
        </w:tc>
        <w:tc>
          <w:tcPr>
            <w:tcW w:w="4394" w:type="dxa"/>
            <w:shd w:val="clear" w:color="auto" w:fill="auto"/>
            <w:vAlign w:val="center"/>
          </w:tcPr>
          <w:p w:rsidR="00ED7D4C" w:rsidRPr="00A10E78" w:rsidRDefault="00ED7D4C" w:rsidP="00C63D77">
            <w:pPr>
              <w:spacing w:before="0" w:after="0"/>
              <w:jc w:val="left"/>
              <w:rPr>
                <w:rFonts w:ascii="Calibri" w:hAnsi="Calibri" w:cs="Calibri"/>
                <w:sz w:val="20"/>
                <w:szCs w:val="20"/>
                <w:lang w:eastAsia="en-GB"/>
              </w:rPr>
            </w:pPr>
            <w:r w:rsidRPr="00A10E78">
              <w:rPr>
                <w:rFonts w:ascii="Calibri" w:hAnsi="Calibri" w:cs="Calibri"/>
                <w:sz w:val="20"/>
                <w:szCs w:val="20"/>
                <w:lang w:eastAsia="en-GB"/>
              </w:rPr>
              <w:t>Dendron and Neurological disorders (Dendron)</w:t>
            </w:r>
          </w:p>
        </w:tc>
        <w:tc>
          <w:tcPr>
            <w:tcW w:w="1843" w:type="dxa"/>
            <w:shd w:val="clear" w:color="auto" w:fill="auto"/>
          </w:tcPr>
          <w:p w:rsidR="00ED7D4C" w:rsidRPr="00A10E78" w:rsidRDefault="00ED7D4C" w:rsidP="00C63D77">
            <w:pPr>
              <w:spacing w:before="0" w:after="0"/>
              <w:jc w:val="center"/>
              <w:rPr>
                <w:rFonts w:ascii="Calibri" w:hAnsi="Calibri" w:cs="Calibri"/>
                <w:sz w:val="20"/>
                <w:szCs w:val="20"/>
                <w:lang w:eastAsia="en-GB"/>
              </w:rPr>
            </w:pPr>
            <w:r w:rsidRPr="00A10E78">
              <w:rPr>
                <w:rFonts w:ascii="Calibri" w:hAnsi="Calibri" w:cs="Calibri"/>
                <w:sz w:val="20"/>
                <w:szCs w:val="20"/>
                <w:lang w:eastAsia="en-GB"/>
              </w:rPr>
              <w:t>47</w:t>
            </w:r>
          </w:p>
        </w:tc>
        <w:tc>
          <w:tcPr>
            <w:tcW w:w="1417" w:type="dxa"/>
            <w:shd w:val="clear" w:color="auto" w:fill="auto"/>
          </w:tcPr>
          <w:p w:rsidR="00ED7D4C" w:rsidRPr="00A10E78" w:rsidRDefault="00ED7D4C" w:rsidP="00C63D77">
            <w:pPr>
              <w:spacing w:before="0" w:after="0"/>
              <w:jc w:val="center"/>
              <w:rPr>
                <w:rFonts w:ascii="Calibri" w:hAnsi="Calibri" w:cs="Calibri"/>
                <w:sz w:val="20"/>
                <w:szCs w:val="20"/>
                <w:lang w:eastAsia="en-GB"/>
              </w:rPr>
            </w:pPr>
            <w:r w:rsidRPr="00A10E78">
              <w:rPr>
                <w:rFonts w:ascii="Calibri" w:hAnsi="Calibri" w:cs="Calibri"/>
                <w:sz w:val="20"/>
                <w:szCs w:val="20"/>
                <w:lang w:eastAsia="en-GB"/>
              </w:rPr>
              <w:t>41</w:t>
            </w:r>
          </w:p>
        </w:tc>
      </w:tr>
      <w:tr w:rsidR="00ED7D4C" w:rsidRPr="005761AD" w:rsidTr="00C63D77">
        <w:trPr>
          <w:trHeight w:val="275"/>
        </w:trPr>
        <w:tc>
          <w:tcPr>
            <w:tcW w:w="1985" w:type="dxa"/>
            <w:shd w:val="clear" w:color="auto" w:fill="auto"/>
            <w:vAlign w:val="center"/>
          </w:tcPr>
          <w:p w:rsidR="00ED7D4C" w:rsidRPr="00A10E78" w:rsidRDefault="00ED7D4C" w:rsidP="00C63D77">
            <w:pPr>
              <w:spacing w:before="0" w:after="0"/>
              <w:jc w:val="left"/>
              <w:rPr>
                <w:rFonts w:ascii="Calibri" w:hAnsi="Calibri" w:cs="Calibri"/>
                <w:sz w:val="20"/>
                <w:szCs w:val="20"/>
                <w:lang w:eastAsia="en-GB"/>
              </w:rPr>
            </w:pPr>
          </w:p>
        </w:tc>
        <w:tc>
          <w:tcPr>
            <w:tcW w:w="4394" w:type="dxa"/>
            <w:shd w:val="clear" w:color="auto" w:fill="auto"/>
            <w:vAlign w:val="center"/>
          </w:tcPr>
          <w:p w:rsidR="00ED7D4C" w:rsidRPr="00A10E78" w:rsidRDefault="00ED7D4C" w:rsidP="00C63D77">
            <w:pPr>
              <w:spacing w:before="0" w:after="0"/>
              <w:jc w:val="left"/>
              <w:rPr>
                <w:rFonts w:ascii="Calibri" w:hAnsi="Calibri" w:cs="Calibri"/>
                <w:sz w:val="20"/>
                <w:szCs w:val="20"/>
                <w:lang w:eastAsia="en-GB"/>
              </w:rPr>
            </w:pPr>
            <w:r w:rsidRPr="00A10E78">
              <w:rPr>
                <w:rFonts w:ascii="Calibri" w:hAnsi="Calibri" w:cs="Calibri"/>
                <w:sz w:val="20"/>
                <w:szCs w:val="20"/>
                <w:lang w:eastAsia="en-GB"/>
              </w:rPr>
              <w:t>Division-wide (Division 4)</w:t>
            </w:r>
          </w:p>
        </w:tc>
        <w:tc>
          <w:tcPr>
            <w:tcW w:w="1843" w:type="dxa"/>
            <w:shd w:val="clear" w:color="auto" w:fill="auto"/>
          </w:tcPr>
          <w:p w:rsidR="00ED7D4C" w:rsidRPr="00A10E78" w:rsidRDefault="00ED7D4C" w:rsidP="00C63D77">
            <w:pPr>
              <w:spacing w:before="0" w:after="0"/>
              <w:jc w:val="center"/>
              <w:rPr>
                <w:rFonts w:ascii="Calibri" w:hAnsi="Calibri" w:cs="Calibri"/>
                <w:sz w:val="20"/>
                <w:szCs w:val="20"/>
                <w:lang w:eastAsia="en-GB"/>
              </w:rPr>
            </w:pPr>
            <w:r w:rsidRPr="00A10E78">
              <w:rPr>
                <w:rFonts w:ascii="Calibri" w:hAnsi="Calibri" w:cs="Calibri"/>
                <w:sz w:val="20"/>
                <w:szCs w:val="20"/>
                <w:lang w:eastAsia="en-GB"/>
              </w:rPr>
              <w:t>3</w:t>
            </w:r>
          </w:p>
        </w:tc>
        <w:tc>
          <w:tcPr>
            <w:tcW w:w="1417" w:type="dxa"/>
            <w:shd w:val="clear" w:color="auto" w:fill="auto"/>
          </w:tcPr>
          <w:p w:rsidR="00ED7D4C" w:rsidRPr="00A10E78" w:rsidRDefault="00ED7D4C" w:rsidP="00C63D77">
            <w:pPr>
              <w:spacing w:before="0" w:after="0"/>
              <w:jc w:val="center"/>
              <w:rPr>
                <w:rFonts w:ascii="Calibri" w:hAnsi="Calibri" w:cs="Calibri"/>
                <w:sz w:val="20"/>
                <w:szCs w:val="20"/>
                <w:lang w:eastAsia="en-GB"/>
              </w:rPr>
            </w:pPr>
            <w:r w:rsidRPr="00A10E78">
              <w:rPr>
                <w:rFonts w:ascii="Calibri" w:hAnsi="Calibri" w:cs="Calibri"/>
                <w:sz w:val="20"/>
                <w:szCs w:val="20"/>
                <w:lang w:eastAsia="en-GB"/>
              </w:rPr>
              <w:t>3</w:t>
            </w:r>
          </w:p>
        </w:tc>
      </w:tr>
      <w:tr w:rsidR="00ED7D4C" w:rsidRPr="005761AD" w:rsidTr="00C63D77">
        <w:trPr>
          <w:trHeight w:val="275"/>
        </w:trPr>
        <w:tc>
          <w:tcPr>
            <w:tcW w:w="1985" w:type="dxa"/>
            <w:shd w:val="clear" w:color="auto" w:fill="auto"/>
            <w:vAlign w:val="center"/>
          </w:tcPr>
          <w:p w:rsidR="00ED7D4C" w:rsidRPr="00A10E78" w:rsidRDefault="00ED7D4C" w:rsidP="00C63D77">
            <w:pPr>
              <w:spacing w:before="0" w:after="0"/>
              <w:jc w:val="left"/>
              <w:rPr>
                <w:rFonts w:ascii="Calibri" w:hAnsi="Calibri" w:cs="Calibri"/>
                <w:sz w:val="20"/>
                <w:szCs w:val="20"/>
                <w:lang w:eastAsia="en-GB"/>
              </w:rPr>
            </w:pPr>
            <w:r w:rsidRPr="00A10E78">
              <w:rPr>
                <w:rFonts w:ascii="Calibri" w:hAnsi="Calibri" w:cs="Calibri"/>
                <w:sz w:val="20"/>
                <w:szCs w:val="20"/>
                <w:lang w:eastAsia="en-GB"/>
              </w:rPr>
              <w:t>Division 5</w:t>
            </w:r>
          </w:p>
        </w:tc>
        <w:tc>
          <w:tcPr>
            <w:tcW w:w="4394" w:type="dxa"/>
            <w:shd w:val="clear" w:color="auto" w:fill="auto"/>
            <w:vAlign w:val="center"/>
          </w:tcPr>
          <w:p w:rsidR="00ED7D4C" w:rsidRPr="00A10E78" w:rsidRDefault="00ED7D4C" w:rsidP="00C63D77">
            <w:pPr>
              <w:spacing w:before="0" w:after="0"/>
              <w:jc w:val="left"/>
              <w:rPr>
                <w:rFonts w:ascii="Calibri" w:hAnsi="Calibri" w:cs="Calibri"/>
                <w:sz w:val="20"/>
                <w:szCs w:val="20"/>
                <w:lang w:eastAsia="en-GB"/>
              </w:rPr>
            </w:pPr>
            <w:r w:rsidRPr="00A10E78">
              <w:rPr>
                <w:rFonts w:ascii="Calibri" w:hAnsi="Calibri" w:cs="Calibri"/>
                <w:sz w:val="20"/>
                <w:szCs w:val="20"/>
                <w:lang w:eastAsia="en-GB"/>
              </w:rPr>
              <w:t>Primary Care and Ageing</w:t>
            </w:r>
          </w:p>
        </w:tc>
        <w:tc>
          <w:tcPr>
            <w:tcW w:w="1843" w:type="dxa"/>
            <w:shd w:val="clear" w:color="auto" w:fill="auto"/>
          </w:tcPr>
          <w:p w:rsidR="00ED7D4C" w:rsidRPr="00A10E78" w:rsidRDefault="00ED7D4C" w:rsidP="00C63D77">
            <w:pPr>
              <w:spacing w:before="0" w:after="0"/>
              <w:jc w:val="center"/>
              <w:rPr>
                <w:rFonts w:ascii="Calibri" w:hAnsi="Calibri" w:cs="Calibri"/>
                <w:sz w:val="20"/>
                <w:szCs w:val="20"/>
                <w:lang w:eastAsia="en-GB"/>
              </w:rPr>
            </w:pPr>
            <w:r w:rsidRPr="00A10E78">
              <w:rPr>
                <w:rFonts w:ascii="Calibri" w:hAnsi="Calibri" w:cs="Calibri"/>
                <w:sz w:val="20"/>
                <w:szCs w:val="20"/>
                <w:lang w:eastAsia="en-GB"/>
              </w:rPr>
              <w:t>261</w:t>
            </w:r>
          </w:p>
        </w:tc>
        <w:tc>
          <w:tcPr>
            <w:tcW w:w="1417" w:type="dxa"/>
            <w:shd w:val="clear" w:color="auto" w:fill="auto"/>
          </w:tcPr>
          <w:p w:rsidR="00ED7D4C" w:rsidRPr="00A10E78" w:rsidRDefault="00ED7D4C" w:rsidP="00C63D77">
            <w:pPr>
              <w:spacing w:before="0" w:after="0"/>
              <w:jc w:val="center"/>
              <w:rPr>
                <w:rFonts w:ascii="Calibri" w:hAnsi="Calibri" w:cs="Calibri"/>
                <w:sz w:val="20"/>
                <w:szCs w:val="20"/>
                <w:lang w:eastAsia="en-GB"/>
              </w:rPr>
            </w:pPr>
            <w:r w:rsidRPr="00A10E78">
              <w:rPr>
                <w:rFonts w:ascii="Calibri" w:hAnsi="Calibri" w:cs="Calibri"/>
                <w:sz w:val="20"/>
                <w:szCs w:val="20"/>
                <w:lang w:eastAsia="en-GB"/>
              </w:rPr>
              <w:t>245</w:t>
            </w:r>
          </w:p>
        </w:tc>
      </w:tr>
      <w:tr w:rsidR="00ED7D4C" w:rsidRPr="005761AD" w:rsidTr="00C63D77">
        <w:trPr>
          <w:trHeight w:val="275"/>
        </w:trPr>
        <w:tc>
          <w:tcPr>
            <w:tcW w:w="1985" w:type="dxa"/>
            <w:tcBorders>
              <w:bottom w:val="single" w:sz="4" w:space="0" w:color="auto"/>
            </w:tcBorders>
            <w:shd w:val="clear" w:color="auto" w:fill="auto"/>
            <w:vAlign w:val="center"/>
          </w:tcPr>
          <w:p w:rsidR="00ED7D4C" w:rsidRPr="00A10E78" w:rsidRDefault="00ED7D4C" w:rsidP="00C63D77">
            <w:pPr>
              <w:spacing w:before="0" w:after="0"/>
              <w:jc w:val="left"/>
              <w:rPr>
                <w:rFonts w:ascii="Calibri" w:hAnsi="Calibri" w:cs="Calibri"/>
                <w:sz w:val="20"/>
                <w:szCs w:val="20"/>
                <w:lang w:eastAsia="en-GB"/>
              </w:rPr>
            </w:pPr>
          </w:p>
        </w:tc>
        <w:tc>
          <w:tcPr>
            <w:tcW w:w="4394" w:type="dxa"/>
            <w:tcBorders>
              <w:bottom w:val="single" w:sz="4" w:space="0" w:color="auto"/>
            </w:tcBorders>
            <w:shd w:val="clear" w:color="auto" w:fill="auto"/>
            <w:vAlign w:val="center"/>
          </w:tcPr>
          <w:p w:rsidR="00ED7D4C" w:rsidRPr="00A10E78" w:rsidRDefault="00ED7D4C" w:rsidP="00C63D77">
            <w:pPr>
              <w:spacing w:before="0" w:after="0"/>
              <w:jc w:val="left"/>
              <w:rPr>
                <w:rFonts w:ascii="Calibri" w:hAnsi="Calibri" w:cs="Calibri"/>
                <w:sz w:val="20"/>
                <w:szCs w:val="20"/>
                <w:lang w:eastAsia="en-GB"/>
              </w:rPr>
            </w:pPr>
            <w:r w:rsidRPr="00A10E78">
              <w:rPr>
                <w:rFonts w:ascii="Calibri" w:hAnsi="Calibri" w:cs="Calibri"/>
                <w:sz w:val="20"/>
                <w:szCs w:val="20"/>
                <w:lang w:eastAsia="en-GB"/>
              </w:rPr>
              <w:t>Neurological Disorders (Memory Clinics)</w:t>
            </w:r>
          </w:p>
        </w:tc>
        <w:tc>
          <w:tcPr>
            <w:tcW w:w="1843" w:type="dxa"/>
            <w:tcBorders>
              <w:bottom w:val="single" w:sz="4" w:space="0" w:color="auto"/>
            </w:tcBorders>
            <w:shd w:val="clear" w:color="auto" w:fill="auto"/>
          </w:tcPr>
          <w:p w:rsidR="00ED7D4C" w:rsidRPr="00A10E78" w:rsidRDefault="00ED7D4C" w:rsidP="00C63D77">
            <w:pPr>
              <w:spacing w:before="0" w:after="0"/>
              <w:jc w:val="center"/>
              <w:rPr>
                <w:rFonts w:ascii="Calibri" w:hAnsi="Calibri" w:cs="Calibri"/>
                <w:sz w:val="20"/>
                <w:szCs w:val="20"/>
                <w:lang w:eastAsia="en-GB"/>
              </w:rPr>
            </w:pPr>
            <w:r w:rsidRPr="00A10E78">
              <w:rPr>
                <w:rFonts w:ascii="Calibri" w:hAnsi="Calibri" w:cs="Calibri"/>
                <w:sz w:val="20"/>
                <w:szCs w:val="20"/>
                <w:lang w:eastAsia="en-GB"/>
              </w:rPr>
              <w:t>7</w:t>
            </w:r>
          </w:p>
        </w:tc>
        <w:tc>
          <w:tcPr>
            <w:tcW w:w="1417" w:type="dxa"/>
            <w:tcBorders>
              <w:bottom w:val="single" w:sz="4" w:space="0" w:color="auto"/>
            </w:tcBorders>
            <w:shd w:val="clear" w:color="auto" w:fill="auto"/>
          </w:tcPr>
          <w:p w:rsidR="00ED7D4C" w:rsidRPr="00A10E78" w:rsidRDefault="00ED7D4C" w:rsidP="00C63D77">
            <w:pPr>
              <w:spacing w:before="0" w:after="0"/>
              <w:jc w:val="center"/>
              <w:rPr>
                <w:rFonts w:ascii="Calibri" w:hAnsi="Calibri" w:cs="Calibri"/>
                <w:sz w:val="20"/>
                <w:szCs w:val="20"/>
                <w:lang w:eastAsia="en-GB"/>
              </w:rPr>
            </w:pPr>
            <w:r w:rsidRPr="00A10E78">
              <w:rPr>
                <w:rFonts w:ascii="Calibri" w:hAnsi="Calibri" w:cs="Calibri"/>
                <w:sz w:val="20"/>
                <w:szCs w:val="20"/>
                <w:lang w:eastAsia="en-GB"/>
              </w:rPr>
              <w:t>31</w:t>
            </w:r>
          </w:p>
        </w:tc>
      </w:tr>
      <w:tr w:rsidR="00ED7D4C" w:rsidRPr="005761AD" w:rsidTr="00C63D77">
        <w:trPr>
          <w:trHeight w:val="275"/>
        </w:trPr>
        <w:tc>
          <w:tcPr>
            <w:tcW w:w="1985" w:type="dxa"/>
            <w:tcBorders>
              <w:bottom w:val="single" w:sz="4" w:space="0" w:color="auto"/>
            </w:tcBorders>
            <w:shd w:val="clear" w:color="auto" w:fill="auto"/>
            <w:vAlign w:val="center"/>
          </w:tcPr>
          <w:p w:rsidR="00ED7D4C" w:rsidRPr="00A10E78" w:rsidRDefault="00ED7D4C" w:rsidP="00C63D77">
            <w:pPr>
              <w:spacing w:before="0" w:after="0"/>
              <w:jc w:val="left"/>
              <w:rPr>
                <w:rFonts w:ascii="Calibri" w:hAnsi="Calibri" w:cs="Calibri"/>
                <w:sz w:val="20"/>
                <w:szCs w:val="20"/>
                <w:lang w:eastAsia="en-GB"/>
              </w:rPr>
            </w:pPr>
            <w:r w:rsidRPr="00A10E78">
              <w:rPr>
                <w:rFonts w:ascii="Calibri" w:hAnsi="Calibri" w:cs="Calibri"/>
                <w:sz w:val="20"/>
                <w:szCs w:val="20"/>
                <w:lang w:eastAsia="en-GB"/>
              </w:rPr>
              <w:t>Cross-Divisional</w:t>
            </w:r>
          </w:p>
        </w:tc>
        <w:tc>
          <w:tcPr>
            <w:tcW w:w="4394" w:type="dxa"/>
            <w:tcBorders>
              <w:bottom w:val="single" w:sz="4" w:space="0" w:color="auto"/>
            </w:tcBorders>
            <w:shd w:val="clear" w:color="auto" w:fill="auto"/>
            <w:vAlign w:val="center"/>
          </w:tcPr>
          <w:p w:rsidR="00ED7D4C" w:rsidRPr="00A10E78" w:rsidRDefault="00ED7D4C" w:rsidP="00C63D77">
            <w:pPr>
              <w:spacing w:before="0" w:after="0"/>
              <w:jc w:val="left"/>
              <w:rPr>
                <w:rFonts w:ascii="Calibri" w:hAnsi="Calibri" w:cs="Calibri"/>
                <w:sz w:val="20"/>
                <w:szCs w:val="20"/>
                <w:lang w:eastAsia="en-GB"/>
              </w:rPr>
            </w:pPr>
          </w:p>
        </w:tc>
        <w:tc>
          <w:tcPr>
            <w:tcW w:w="1843" w:type="dxa"/>
            <w:tcBorders>
              <w:bottom w:val="single" w:sz="4" w:space="0" w:color="auto"/>
            </w:tcBorders>
            <w:shd w:val="clear" w:color="auto" w:fill="auto"/>
          </w:tcPr>
          <w:p w:rsidR="00ED7D4C" w:rsidRPr="00A10E78" w:rsidRDefault="00ED7D4C" w:rsidP="00C63D77">
            <w:pPr>
              <w:spacing w:before="0" w:after="0"/>
              <w:jc w:val="center"/>
              <w:rPr>
                <w:rFonts w:ascii="Calibri" w:hAnsi="Calibri" w:cs="Calibri"/>
                <w:sz w:val="20"/>
                <w:szCs w:val="20"/>
                <w:lang w:eastAsia="en-GB"/>
              </w:rPr>
            </w:pPr>
            <w:r w:rsidRPr="00A10E78">
              <w:rPr>
                <w:rFonts w:ascii="Calibri" w:hAnsi="Calibri" w:cs="Calibri"/>
                <w:sz w:val="20"/>
                <w:szCs w:val="20"/>
                <w:lang w:eastAsia="en-GB"/>
              </w:rPr>
              <w:t>51</w:t>
            </w:r>
          </w:p>
        </w:tc>
        <w:tc>
          <w:tcPr>
            <w:tcW w:w="1417" w:type="dxa"/>
            <w:tcBorders>
              <w:bottom w:val="single" w:sz="4" w:space="0" w:color="auto"/>
            </w:tcBorders>
            <w:shd w:val="clear" w:color="auto" w:fill="auto"/>
          </w:tcPr>
          <w:p w:rsidR="00ED7D4C" w:rsidRPr="00A10E78" w:rsidRDefault="00ED7D4C" w:rsidP="00C63D77">
            <w:pPr>
              <w:spacing w:before="0" w:after="0"/>
              <w:jc w:val="center"/>
              <w:rPr>
                <w:rFonts w:ascii="Calibri" w:hAnsi="Calibri" w:cs="Calibri"/>
                <w:sz w:val="20"/>
                <w:szCs w:val="20"/>
                <w:lang w:eastAsia="en-GB"/>
              </w:rPr>
            </w:pPr>
            <w:r w:rsidRPr="00A10E78">
              <w:rPr>
                <w:rFonts w:ascii="Calibri" w:hAnsi="Calibri" w:cs="Calibri"/>
                <w:sz w:val="20"/>
                <w:szCs w:val="20"/>
                <w:lang w:eastAsia="en-GB"/>
              </w:rPr>
              <w:t>48</w:t>
            </w:r>
          </w:p>
        </w:tc>
      </w:tr>
      <w:tr w:rsidR="00ED7D4C" w:rsidRPr="005761AD" w:rsidTr="00C63D77">
        <w:trPr>
          <w:trHeight w:val="275"/>
        </w:trPr>
        <w:tc>
          <w:tcPr>
            <w:tcW w:w="1985" w:type="dxa"/>
            <w:shd w:val="clear" w:color="auto" w:fill="8DB3E2" w:themeFill="text2" w:themeFillTint="66"/>
          </w:tcPr>
          <w:p w:rsidR="00ED7D4C" w:rsidRPr="00C125CF" w:rsidRDefault="00ED7D4C" w:rsidP="00C63D77">
            <w:pPr>
              <w:spacing w:before="0" w:after="0"/>
              <w:rPr>
                <w:rFonts w:ascii="Calibri" w:hAnsi="Calibri" w:cs="Calibri"/>
                <w:b/>
                <w:sz w:val="20"/>
                <w:szCs w:val="20"/>
                <w:lang w:eastAsia="en-GB"/>
              </w:rPr>
            </w:pPr>
            <w:r w:rsidRPr="00C125CF">
              <w:rPr>
                <w:rFonts w:ascii="Calibri" w:hAnsi="Calibri" w:cs="Calibri"/>
                <w:b/>
                <w:sz w:val="20"/>
                <w:szCs w:val="20"/>
                <w:lang w:eastAsia="en-GB"/>
              </w:rPr>
              <w:t>Total</w:t>
            </w:r>
          </w:p>
        </w:tc>
        <w:tc>
          <w:tcPr>
            <w:tcW w:w="4394" w:type="dxa"/>
            <w:shd w:val="clear" w:color="auto" w:fill="8DB3E2" w:themeFill="text2" w:themeFillTint="66"/>
          </w:tcPr>
          <w:p w:rsidR="00ED7D4C" w:rsidRPr="00C125CF" w:rsidRDefault="00ED7D4C" w:rsidP="00C63D77">
            <w:pPr>
              <w:spacing w:before="0" w:after="0"/>
              <w:jc w:val="center"/>
              <w:rPr>
                <w:rFonts w:ascii="Calibri" w:hAnsi="Calibri" w:cs="Calibri"/>
                <w:b/>
                <w:sz w:val="20"/>
                <w:szCs w:val="20"/>
                <w:lang w:eastAsia="en-GB"/>
              </w:rPr>
            </w:pPr>
          </w:p>
        </w:tc>
        <w:tc>
          <w:tcPr>
            <w:tcW w:w="1843" w:type="dxa"/>
            <w:shd w:val="clear" w:color="auto" w:fill="8DB3E2" w:themeFill="text2" w:themeFillTint="66"/>
          </w:tcPr>
          <w:p w:rsidR="00ED7D4C" w:rsidRPr="00C125CF" w:rsidRDefault="00ED7D4C" w:rsidP="00C63D77">
            <w:pPr>
              <w:spacing w:before="0" w:after="0"/>
              <w:jc w:val="center"/>
              <w:rPr>
                <w:rFonts w:ascii="Calibri" w:hAnsi="Calibri" w:cs="Calibri"/>
                <w:b/>
                <w:sz w:val="20"/>
                <w:szCs w:val="20"/>
                <w:lang w:eastAsia="en-GB"/>
              </w:rPr>
            </w:pPr>
            <w:r w:rsidRPr="00C125CF">
              <w:rPr>
                <w:rFonts w:ascii="Calibri" w:hAnsi="Calibri" w:cs="Calibri"/>
                <w:b/>
                <w:sz w:val="20"/>
                <w:szCs w:val="20"/>
                <w:lang w:eastAsia="en-GB"/>
              </w:rPr>
              <w:t>381</w:t>
            </w:r>
          </w:p>
        </w:tc>
        <w:tc>
          <w:tcPr>
            <w:tcW w:w="1417" w:type="dxa"/>
            <w:shd w:val="clear" w:color="auto" w:fill="8DB3E2" w:themeFill="text2" w:themeFillTint="66"/>
          </w:tcPr>
          <w:p w:rsidR="00ED7D4C" w:rsidRPr="00C125CF" w:rsidRDefault="00ED7D4C" w:rsidP="00C63D77">
            <w:pPr>
              <w:spacing w:before="0" w:after="0"/>
              <w:jc w:val="center"/>
              <w:rPr>
                <w:rFonts w:ascii="Calibri" w:hAnsi="Calibri" w:cs="Calibri"/>
                <w:b/>
                <w:sz w:val="20"/>
                <w:szCs w:val="20"/>
                <w:lang w:eastAsia="en-GB"/>
              </w:rPr>
            </w:pPr>
            <w:r w:rsidRPr="00C125CF">
              <w:rPr>
                <w:rFonts w:ascii="Calibri" w:hAnsi="Calibri" w:cs="Calibri"/>
                <w:b/>
                <w:sz w:val="20"/>
                <w:szCs w:val="20"/>
                <w:lang w:eastAsia="en-GB"/>
              </w:rPr>
              <w:t>380</w:t>
            </w:r>
          </w:p>
        </w:tc>
      </w:tr>
    </w:tbl>
    <w:p w:rsidR="00ED7D4C" w:rsidRPr="00ED7D4C" w:rsidRDefault="00ED7D4C" w:rsidP="00ED7D4C">
      <w:pPr>
        <w:pStyle w:val="Heading2"/>
      </w:pPr>
      <w:bookmarkStart w:id="41" w:name="_Toc441061230"/>
      <w:bookmarkStart w:id="42" w:name="_Toc476822121"/>
      <w:bookmarkStart w:id="43" w:name="_Toc441061226"/>
      <w:r w:rsidRPr="00ED7D4C">
        <w:t>Collaboration in Leadership in Applied Health Research and Care (CLAHRC)</w:t>
      </w:r>
      <w:bookmarkEnd w:id="41"/>
      <w:bookmarkEnd w:id="42"/>
    </w:p>
    <w:p w:rsidR="00ED7D4C" w:rsidRDefault="00ED7D4C" w:rsidP="00ED7D4C">
      <w:r>
        <w:t>The CLAHRC award commenced in Jan</w:t>
      </w:r>
      <w:r w:rsidRPr="00650C79">
        <w:t xml:space="preserve">uary 2014 </w:t>
      </w:r>
      <w:r>
        <w:t xml:space="preserve">will run until December 2018 and is led </w:t>
      </w:r>
      <w:r w:rsidRPr="00650C79">
        <w:t xml:space="preserve">by Professor Richard Hobbs from the University of Oxford, Department of Primary Care. </w:t>
      </w:r>
    </w:p>
    <w:p w:rsidR="00ED7D4C" w:rsidRPr="00ED7D4C" w:rsidRDefault="00ED7D4C" w:rsidP="00ED7D4C">
      <w:pPr>
        <w:pStyle w:val="Heading3"/>
      </w:pPr>
      <w:bookmarkStart w:id="44" w:name="_Toc441061231"/>
      <w:r w:rsidRPr="00ED7D4C">
        <w:t>CLAHRC Budgets</w:t>
      </w:r>
      <w:bookmarkEnd w:id="44"/>
    </w:p>
    <w:p w:rsidR="00ED7D4C" w:rsidRDefault="00ED7D4C" w:rsidP="00ED7D4C">
      <w:r w:rsidRPr="00650C79">
        <w:t xml:space="preserve">The CLAHRC theme budgets have been </w:t>
      </w:r>
      <w:r>
        <w:t xml:space="preserve">allocated </w:t>
      </w:r>
      <w:r w:rsidRPr="00650C79">
        <w:t xml:space="preserve">in two phases. Phase 1 in 2014 for the first 2 ¼ years and phase 2 in 2015 following </w:t>
      </w:r>
      <w:r>
        <w:t xml:space="preserve">a </w:t>
      </w:r>
      <w:r w:rsidRPr="00650C79">
        <w:t>mid-term review for the remaining 2 ¾ years. The budgets are listed below:</w:t>
      </w:r>
    </w:p>
    <w:p w:rsidR="00D25B5D" w:rsidRDefault="00D25B5D" w:rsidP="00ED7D4C"/>
    <w:p w:rsidR="00D25B5D" w:rsidRDefault="00D25B5D" w:rsidP="00ED7D4C"/>
    <w:tbl>
      <w:tblPr>
        <w:tblStyle w:val="TableGrid"/>
        <w:tblW w:w="9364" w:type="dxa"/>
        <w:tblInd w:w="392" w:type="dxa"/>
        <w:tblLayout w:type="fixed"/>
        <w:tblLook w:val="04A0" w:firstRow="1" w:lastRow="0" w:firstColumn="1" w:lastColumn="0" w:noHBand="0" w:noVBand="1"/>
      </w:tblPr>
      <w:tblGrid>
        <w:gridCol w:w="4536"/>
        <w:gridCol w:w="1984"/>
        <w:gridCol w:w="1134"/>
        <w:gridCol w:w="851"/>
        <w:gridCol w:w="859"/>
      </w:tblGrid>
      <w:tr w:rsidR="00ED7D4C" w:rsidRPr="00770C6D" w:rsidTr="00C63D77">
        <w:trPr>
          <w:trHeight w:val="245"/>
        </w:trPr>
        <w:tc>
          <w:tcPr>
            <w:tcW w:w="4536" w:type="dxa"/>
            <w:shd w:val="clear" w:color="auto" w:fill="8DB3E2" w:themeFill="text2" w:themeFillTint="66"/>
            <w:noWrap/>
            <w:hideMark/>
          </w:tcPr>
          <w:p w:rsidR="00ED7D4C" w:rsidRPr="00075030" w:rsidRDefault="00ED7D4C" w:rsidP="00C63D77">
            <w:pPr>
              <w:spacing w:before="0" w:after="0"/>
              <w:rPr>
                <w:rFonts w:ascii="Calibri" w:hAnsi="Calibri" w:cs="Calibri"/>
                <w:b/>
                <w:sz w:val="20"/>
                <w:szCs w:val="20"/>
                <w:lang w:eastAsia="en-GB"/>
              </w:rPr>
            </w:pPr>
            <w:r w:rsidRPr="00075030">
              <w:rPr>
                <w:rFonts w:ascii="Calibri" w:hAnsi="Calibri" w:cs="Calibri"/>
                <w:b/>
                <w:sz w:val="20"/>
                <w:szCs w:val="20"/>
                <w:lang w:eastAsia="en-GB"/>
              </w:rPr>
              <w:lastRenderedPageBreak/>
              <w:t>Phase 1 Budgets</w:t>
            </w:r>
          </w:p>
        </w:tc>
        <w:tc>
          <w:tcPr>
            <w:tcW w:w="1984" w:type="dxa"/>
            <w:shd w:val="clear" w:color="auto" w:fill="8DB3E2" w:themeFill="text2" w:themeFillTint="66"/>
          </w:tcPr>
          <w:p w:rsidR="00ED7D4C" w:rsidRPr="00075030" w:rsidRDefault="00ED7D4C" w:rsidP="00C63D77">
            <w:pPr>
              <w:spacing w:before="0" w:after="0"/>
              <w:rPr>
                <w:rFonts w:ascii="Calibri" w:hAnsi="Calibri" w:cs="Calibri"/>
                <w:b/>
                <w:sz w:val="20"/>
                <w:szCs w:val="20"/>
                <w:lang w:eastAsia="en-GB"/>
              </w:rPr>
            </w:pPr>
            <w:r w:rsidRPr="00075030">
              <w:rPr>
                <w:rFonts w:ascii="Calibri" w:hAnsi="Calibri" w:cs="Calibri"/>
                <w:b/>
                <w:sz w:val="20"/>
                <w:szCs w:val="20"/>
                <w:lang w:eastAsia="en-GB"/>
              </w:rPr>
              <w:t>Theme Lead</w:t>
            </w:r>
          </w:p>
        </w:tc>
        <w:tc>
          <w:tcPr>
            <w:tcW w:w="1134" w:type="dxa"/>
            <w:shd w:val="clear" w:color="auto" w:fill="8DB3E2" w:themeFill="text2" w:themeFillTint="66"/>
          </w:tcPr>
          <w:p w:rsidR="00ED7D4C" w:rsidRPr="00075030" w:rsidRDefault="00ED7D4C" w:rsidP="00C63D77">
            <w:pPr>
              <w:spacing w:before="0" w:after="0"/>
              <w:jc w:val="center"/>
              <w:rPr>
                <w:rFonts w:ascii="Calibri" w:hAnsi="Calibri" w:cs="Calibri"/>
                <w:b/>
                <w:sz w:val="20"/>
                <w:szCs w:val="20"/>
                <w:lang w:eastAsia="en-GB"/>
              </w:rPr>
            </w:pPr>
            <w:r w:rsidRPr="00075030">
              <w:rPr>
                <w:rFonts w:ascii="Calibri" w:hAnsi="Calibri" w:cs="Calibri"/>
                <w:b/>
                <w:sz w:val="20"/>
                <w:szCs w:val="20"/>
                <w:lang w:eastAsia="en-GB"/>
              </w:rPr>
              <w:t xml:space="preserve">FY14 </w:t>
            </w:r>
          </w:p>
          <w:p w:rsidR="00ED7D4C" w:rsidRPr="00075030" w:rsidRDefault="00ED7D4C" w:rsidP="00C63D77">
            <w:pPr>
              <w:spacing w:before="0" w:after="0"/>
              <w:jc w:val="center"/>
              <w:rPr>
                <w:rFonts w:ascii="Calibri" w:hAnsi="Calibri" w:cs="Calibri"/>
                <w:b/>
                <w:sz w:val="20"/>
                <w:szCs w:val="20"/>
                <w:lang w:eastAsia="en-GB"/>
              </w:rPr>
            </w:pPr>
            <w:r w:rsidRPr="00075030">
              <w:rPr>
                <w:rFonts w:ascii="Calibri" w:hAnsi="Calibri" w:cs="Calibri"/>
                <w:b/>
                <w:sz w:val="20"/>
                <w:szCs w:val="20"/>
                <w:lang w:eastAsia="en-GB"/>
              </w:rPr>
              <w:t>(3 mths)</w:t>
            </w:r>
          </w:p>
        </w:tc>
        <w:tc>
          <w:tcPr>
            <w:tcW w:w="851" w:type="dxa"/>
            <w:shd w:val="clear" w:color="auto" w:fill="8DB3E2" w:themeFill="text2" w:themeFillTint="66"/>
          </w:tcPr>
          <w:p w:rsidR="00ED7D4C" w:rsidRPr="00075030" w:rsidRDefault="00ED7D4C" w:rsidP="00C63D77">
            <w:pPr>
              <w:spacing w:before="0" w:after="0"/>
              <w:jc w:val="right"/>
              <w:rPr>
                <w:rFonts w:ascii="Calibri" w:hAnsi="Calibri" w:cs="Calibri"/>
                <w:b/>
                <w:sz w:val="20"/>
                <w:szCs w:val="20"/>
                <w:lang w:eastAsia="en-GB"/>
              </w:rPr>
            </w:pPr>
            <w:r w:rsidRPr="00075030">
              <w:rPr>
                <w:rFonts w:ascii="Calibri" w:hAnsi="Calibri" w:cs="Calibri"/>
                <w:b/>
                <w:sz w:val="20"/>
                <w:szCs w:val="20"/>
                <w:lang w:eastAsia="en-GB"/>
              </w:rPr>
              <w:t>FY15</w:t>
            </w:r>
          </w:p>
        </w:tc>
        <w:tc>
          <w:tcPr>
            <w:tcW w:w="859" w:type="dxa"/>
            <w:shd w:val="clear" w:color="auto" w:fill="8DB3E2" w:themeFill="text2" w:themeFillTint="66"/>
            <w:hideMark/>
          </w:tcPr>
          <w:p w:rsidR="00ED7D4C" w:rsidRPr="00075030" w:rsidRDefault="00ED7D4C" w:rsidP="00C63D77">
            <w:pPr>
              <w:spacing w:before="0" w:after="0"/>
              <w:jc w:val="right"/>
              <w:rPr>
                <w:rFonts w:ascii="Calibri" w:hAnsi="Calibri" w:cs="Calibri"/>
                <w:b/>
                <w:sz w:val="20"/>
                <w:szCs w:val="20"/>
                <w:lang w:eastAsia="en-GB"/>
              </w:rPr>
            </w:pPr>
            <w:r w:rsidRPr="00075030">
              <w:rPr>
                <w:rFonts w:ascii="Calibri" w:hAnsi="Calibri" w:cs="Calibri"/>
                <w:b/>
                <w:sz w:val="20"/>
                <w:szCs w:val="20"/>
                <w:lang w:eastAsia="en-GB"/>
              </w:rPr>
              <w:t>FY16</w:t>
            </w:r>
          </w:p>
        </w:tc>
      </w:tr>
      <w:tr w:rsidR="00ED7D4C" w:rsidRPr="00770C6D" w:rsidTr="00C63D77">
        <w:trPr>
          <w:trHeight w:val="264"/>
        </w:trPr>
        <w:tc>
          <w:tcPr>
            <w:tcW w:w="4536" w:type="dxa"/>
            <w:noWrap/>
            <w:hideMark/>
          </w:tcPr>
          <w:p w:rsidR="00ED7D4C" w:rsidRPr="00A10E78" w:rsidRDefault="00ED7D4C" w:rsidP="00C63D77">
            <w:pPr>
              <w:spacing w:before="0" w:after="0"/>
              <w:rPr>
                <w:rFonts w:ascii="Calibri" w:hAnsi="Calibri" w:cs="Calibri"/>
                <w:sz w:val="20"/>
                <w:szCs w:val="20"/>
                <w:lang w:eastAsia="en-GB"/>
              </w:rPr>
            </w:pPr>
            <w:r w:rsidRPr="00A10E78">
              <w:rPr>
                <w:rFonts w:ascii="Calibri" w:hAnsi="Calibri" w:cs="Calibri"/>
                <w:sz w:val="20"/>
                <w:szCs w:val="20"/>
                <w:lang w:eastAsia="en-GB"/>
              </w:rPr>
              <w:t>Better Management of Psychiatric comorbidities</w:t>
            </w:r>
          </w:p>
        </w:tc>
        <w:tc>
          <w:tcPr>
            <w:tcW w:w="1984" w:type="dxa"/>
            <w:noWrap/>
          </w:tcPr>
          <w:p w:rsidR="00ED7D4C" w:rsidRPr="00A10E78" w:rsidRDefault="00ED7D4C" w:rsidP="00C63D77">
            <w:pPr>
              <w:spacing w:before="0" w:after="0"/>
              <w:rPr>
                <w:rFonts w:ascii="Calibri" w:hAnsi="Calibri" w:cs="Calibri"/>
                <w:sz w:val="20"/>
                <w:szCs w:val="20"/>
                <w:lang w:eastAsia="en-GB"/>
              </w:rPr>
            </w:pPr>
            <w:r w:rsidRPr="00A10E78">
              <w:rPr>
                <w:rFonts w:ascii="Calibri" w:hAnsi="Calibri" w:cs="Calibri"/>
                <w:sz w:val="20"/>
                <w:szCs w:val="20"/>
                <w:lang w:eastAsia="en-GB"/>
              </w:rPr>
              <w:t>Mike Sharpe</w:t>
            </w:r>
          </w:p>
        </w:tc>
        <w:tc>
          <w:tcPr>
            <w:tcW w:w="1134" w:type="dxa"/>
            <w:shd w:val="clear" w:color="auto" w:fill="auto"/>
          </w:tcPr>
          <w:p w:rsidR="00ED7D4C" w:rsidRPr="00A10E78" w:rsidRDefault="00ED7D4C" w:rsidP="00C63D77">
            <w:pPr>
              <w:spacing w:before="0" w:after="0"/>
              <w:jc w:val="right"/>
              <w:rPr>
                <w:rFonts w:ascii="Calibri" w:hAnsi="Calibri" w:cs="Calibri"/>
                <w:sz w:val="20"/>
                <w:szCs w:val="20"/>
                <w:lang w:eastAsia="en-GB"/>
              </w:rPr>
            </w:pPr>
            <w:r w:rsidRPr="00A10E78">
              <w:rPr>
                <w:rFonts w:ascii="Calibri" w:hAnsi="Calibri" w:cs="Calibri"/>
                <w:sz w:val="20"/>
                <w:szCs w:val="20"/>
                <w:lang w:eastAsia="en-GB"/>
              </w:rPr>
              <w:t>14</w:t>
            </w:r>
          </w:p>
        </w:tc>
        <w:tc>
          <w:tcPr>
            <w:tcW w:w="851" w:type="dxa"/>
            <w:shd w:val="clear" w:color="auto" w:fill="auto"/>
          </w:tcPr>
          <w:p w:rsidR="00ED7D4C" w:rsidRPr="00A10E78" w:rsidRDefault="00ED7D4C" w:rsidP="00C63D77">
            <w:pPr>
              <w:spacing w:before="0" w:after="0"/>
              <w:jc w:val="right"/>
              <w:rPr>
                <w:rFonts w:ascii="Calibri" w:hAnsi="Calibri" w:cs="Calibri"/>
                <w:sz w:val="20"/>
                <w:szCs w:val="20"/>
                <w:lang w:eastAsia="en-GB"/>
              </w:rPr>
            </w:pPr>
            <w:r w:rsidRPr="00A10E78">
              <w:rPr>
                <w:rFonts w:ascii="Calibri" w:hAnsi="Calibri" w:cs="Calibri"/>
                <w:sz w:val="20"/>
                <w:szCs w:val="20"/>
                <w:lang w:eastAsia="en-GB"/>
              </w:rPr>
              <w:t>161</w:t>
            </w:r>
          </w:p>
        </w:tc>
        <w:tc>
          <w:tcPr>
            <w:tcW w:w="859" w:type="dxa"/>
            <w:shd w:val="clear" w:color="auto" w:fill="auto"/>
            <w:noWrap/>
            <w:hideMark/>
          </w:tcPr>
          <w:p w:rsidR="00ED7D4C" w:rsidRPr="00A10E78" w:rsidRDefault="00ED7D4C" w:rsidP="00C63D77">
            <w:pPr>
              <w:spacing w:before="0" w:after="0"/>
              <w:jc w:val="right"/>
              <w:rPr>
                <w:rFonts w:ascii="Calibri" w:hAnsi="Calibri" w:cs="Calibri"/>
                <w:sz w:val="20"/>
                <w:szCs w:val="20"/>
                <w:lang w:eastAsia="en-GB"/>
              </w:rPr>
            </w:pPr>
            <w:r w:rsidRPr="00A10E78">
              <w:rPr>
                <w:rFonts w:ascii="Calibri" w:hAnsi="Calibri" w:cs="Calibri"/>
                <w:sz w:val="20"/>
                <w:szCs w:val="20"/>
                <w:lang w:eastAsia="en-GB"/>
              </w:rPr>
              <w:t>370</w:t>
            </w:r>
          </w:p>
        </w:tc>
      </w:tr>
      <w:tr w:rsidR="00ED7D4C" w:rsidRPr="00770C6D" w:rsidTr="00C63D77">
        <w:trPr>
          <w:trHeight w:val="264"/>
        </w:trPr>
        <w:tc>
          <w:tcPr>
            <w:tcW w:w="4536" w:type="dxa"/>
            <w:noWrap/>
            <w:hideMark/>
          </w:tcPr>
          <w:p w:rsidR="00ED7D4C" w:rsidRPr="00A10E78" w:rsidRDefault="00ED7D4C" w:rsidP="00C63D77">
            <w:pPr>
              <w:spacing w:before="0" w:after="0"/>
              <w:rPr>
                <w:rFonts w:ascii="Calibri" w:hAnsi="Calibri" w:cs="Calibri"/>
                <w:sz w:val="20"/>
                <w:szCs w:val="20"/>
                <w:lang w:eastAsia="en-GB"/>
              </w:rPr>
            </w:pPr>
            <w:r w:rsidRPr="00A10E78">
              <w:rPr>
                <w:rFonts w:ascii="Calibri" w:hAnsi="Calibri" w:cs="Calibri"/>
                <w:sz w:val="20"/>
                <w:szCs w:val="20"/>
                <w:lang w:eastAsia="en-GB"/>
              </w:rPr>
              <w:t>Health Behavior and Behavioral Interventions</w:t>
            </w:r>
          </w:p>
        </w:tc>
        <w:tc>
          <w:tcPr>
            <w:tcW w:w="1984" w:type="dxa"/>
            <w:noWrap/>
          </w:tcPr>
          <w:p w:rsidR="00ED7D4C" w:rsidRPr="00A10E78" w:rsidRDefault="00ED7D4C" w:rsidP="00C63D77">
            <w:pPr>
              <w:spacing w:before="0" w:after="0"/>
              <w:rPr>
                <w:rFonts w:ascii="Calibri" w:hAnsi="Calibri" w:cs="Calibri"/>
                <w:sz w:val="20"/>
                <w:szCs w:val="20"/>
                <w:lang w:eastAsia="en-GB"/>
              </w:rPr>
            </w:pPr>
            <w:r w:rsidRPr="00A10E78">
              <w:rPr>
                <w:rFonts w:ascii="Calibri" w:hAnsi="Calibri" w:cs="Calibri"/>
                <w:sz w:val="20"/>
                <w:szCs w:val="20"/>
                <w:lang w:eastAsia="en-GB"/>
              </w:rPr>
              <w:t>Sarah Lamb</w:t>
            </w:r>
          </w:p>
        </w:tc>
        <w:tc>
          <w:tcPr>
            <w:tcW w:w="1134" w:type="dxa"/>
            <w:shd w:val="clear" w:color="auto" w:fill="auto"/>
          </w:tcPr>
          <w:p w:rsidR="00ED7D4C" w:rsidRPr="00A10E78" w:rsidRDefault="00ED7D4C" w:rsidP="00C63D77">
            <w:pPr>
              <w:spacing w:before="0" w:after="0"/>
              <w:jc w:val="right"/>
              <w:rPr>
                <w:rFonts w:ascii="Calibri" w:hAnsi="Calibri" w:cs="Calibri"/>
                <w:sz w:val="20"/>
                <w:szCs w:val="20"/>
                <w:lang w:eastAsia="en-GB"/>
              </w:rPr>
            </w:pPr>
            <w:r w:rsidRPr="00A10E78">
              <w:rPr>
                <w:rFonts w:ascii="Calibri" w:hAnsi="Calibri" w:cs="Calibri"/>
                <w:sz w:val="20"/>
                <w:szCs w:val="20"/>
                <w:lang w:eastAsia="en-GB"/>
              </w:rPr>
              <w:t>38</w:t>
            </w:r>
          </w:p>
        </w:tc>
        <w:tc>
          <w:tcPr>
            <w:tcW w:w="851" w:type="dxa"/>
            <w:shd w:val="clear" w:color="auto" w:fill="auto"/>
          </w:tcPr>
          <w:p w:rsidR="00ED7D4C" w:rsidRPr="00A10E78" w:rsidRDefault="00ED7D4C" w:rsidP="00C63D77">
            <w:pPr>
              <w:spacing w:before="0" w:after="0"/>
              <w:jc w:val="right"/>
              <w:rPr>
                <w:rFonts w:ascii="Calibri" w:hAnsi="Calibri" w:cs="Calibri"/>
                <w:sz w:val="20"/>
                <w:szCs w:val="20"/>
                <w:lang w:eastAsia="en-GB"/>
              </w:rPr>
            </w:pPr>
            <w:r w:rsidRPr="00A10E78">
              <w:rPr>
                <w:rFonts w:ascii="Calibri" w:hAnsi="Calibri" w:cs="Calibri"/>
                <w:sz w:val="20"/>
                <w:szCs w:val="20"/>
                <w:lang w:eastAsia="en-GB"/>
              </w:rPr>
              <w:t>168</w:t>
            </w:r>
          </w:p>
        </w:tc>
        <w:tc>
          <w:tcPr>
            <w:tcW w:w="859" w:type="dxa"/>
            <w:shd w:val="clear" w:color="auto" w:fill="auto"/>
            <w:noWrap/>
            <w:hideMark/>
          </w:tcPr>
          <w:p w:rsidR="00ED7D4C" w:rsidRPr="00A10E78" w:rsidRDefault="00ED7D4C" w:rsidP="00C63D77">
            <w:pPr>
              <w:spacing w:before="0" w:after="0"/>
              <w:jc w:val="right"/>
              <w:rPr>
                <w:rFonts w:ascii="Calibri" w:hAnsi="Calibri" w:cs="Calibri"/>
                <w:sz w:val="20"/>
                <w:szCs w:val="20"/>
                <w:lang w:eastAsia="en-GB"/>
              </w:rPr>
            </w:pPr>
            <w:r w:rsidRPr="00A10E78">
              <w:rPr>
                <w:rFonts w:ascii="Calibri" w:hAnsi="Calibri" w:cs="Calibri"/>
                <w:sz w:val="20"/>
                <w:szCs w:val="20"/>
                <w:lang w:eastAsia="en-GB"/>
              </w:rPr>
              <w:t>336</w:t>
            </w:r>
          </w:p>
        </w:tc>
      </w:tr>
      <w:tr w:rsidR="00ED7D4C" w:rsidRPr="00770C6D" w:rsidTr="00C63D77">
        <w:trPr>
          <w:trHeight w:val="264"/>
        </w:trPr>
        <w:tc>
          <w:tcPr>
            <w:tcW w:w="4536" w:type="dxa"/>
            <w:noWrap/>
            <w:hideMark/>
          </w:tcPr>
          <w:p w:rsidR="00ED7D4C" w:rsidRPr="00A10E78" w:rsidRDefault="00ED7D4C" w:rsidP="00C63D77">
            <w:pPr>
              <w:spacing w:before="0" w:after="0"/>
              <w:rPr>
                <w:rFonts w:ascii="Calibri" w:hAnsi="Calibri" w:cs="Calibri"/>
                <w:sz w:val="20"/>
                <w:szCs w:val="20"/>
                <w:lang w:eastAsia="en-GB"/>
              </w:rPr>
            </w:pPr>
            <w:r w:rsidRPr="00A10E78">
              <w:rPr>
                <w:rFonts w:ascii="Calibri" w:hAnsi="Calibri" w:cs="Calibri"/>
                <w:sz w:val="20"/>
                <w:szCs w:val="20"/>
                <w:lang w:eastAsia="en-GB"/>
              </w:rPr>
              <w:t>Early Intervention and Service Innovation</w:t>
            </w:r>
          </w:p>
        </w:tc>
        <w:tc>
          <w:tcPr>
            <w:tcW w:w="1984" w:type="dxa"/>
            <w:noWrap/>
          </w:tcPr>
          <w:p w:rsidR="00ED7D4C" w:rsidRPr="00A10E78" w:rsidRDefault="00ED7D4C" w:rsidP="00C63D77">
            <w:pPr>
              <w:spacing w:before="0" w:after="0"/>
              <w:rPr>
                <w:rFonts w:ascii="Calibri" w:hAnsi="Calibri" w:cs="Calibri"/>
                <w:sz w:val="20"/>
                <w:szCs w:val="20"/>
                <w:lang w:eastAsia="en-GB"/>
              </w:rPr>
            </w:pPr>
            <w:r w:rsidRPr="00A10E78">
              <w:rPr>
                <w:rFonts w:ascii="Calibri" w:hAnsi="Calibri" w:cs="Calibri"/>
                <w:sz w:val="20"/>
                <w:szCs w:val="20"/>
                <w:lang w:eastAsia="en-GB"/>
              </w:rPr>
              <w:t>John Geddes</w:t>
            </w:r>
          </w:p>
        </w:tc>
        <w:tc>
          <w:tcPr>
            <w:tcW w:w="1134" w:type="dxa"/>
            <w:shd w:val="clear" w:color="auto" w:fill="auto"/>
          </w:tcPr>
          <w:p w:rsidR="00ED7D4C" w:rsidRPr="00A10E78" w:rsidRDefault="00ED7D4C" w:rsidP="00C63D77">
            <w:pPr>
              <w:spacing w:before="0" w:after="0"/>
              <w:jc w:val="right"/>
              <w:rPr>
                <w:rFonts w:ascii="Calibri" w:hAnsi="Calibri" w:cs="Calibri"/>
                <w:sz w:val="20"/>
                <w:szCs w:val="20"/>
                <w:lang w:eastAsia="en-GB"/>
              </w:rPr>
            </w:pPr>
            <w:r w:rsidRPr="00A10E78">
              <w:rPr>
                <w:rFonts w:ascii="Calibri" w:hAnsi="Calibri" w:cs="Calibri"/>
                <w:sz w:val="20"/>
                <w:szCs w:val="20"/>
                <w:lang w:eastAsia="en-GB"/>
              </w:rPr>
              <w:t>16</w:t>
            </w:r>
          </w:p>
        </w:tc>
        <w:tc>
          <w:tcPr>
            <w:tcW w:w="851" w:type="dxa"/>
            <w:shd w:val="clear" w:color="auto" w:fill="auto"/>
          </w:tcPr>
          <w:p w:rsidR="00ED7D4C" w:rsidRPr="00A10E78" w:rsidRDefault="00ED7D4C" w:rsidP="00C63D77">
            <w:pPr>
              <w:spacing w:before="0" w:after="0"/>
              <w:jc w:val="right"/>
              <w:rPr>
                <w:rFonts w:ascii="Calibri" w:hAnsi="Calibri" w:cs="Calibri"/>
                <w:sz w:val="20"/>
                <w:szCs w:val="20"/>
                <w:lang w:eastAsia="en-GB"/>
              </w:rPr>
            </w:pPr>
            <w:r w:rsidRPr="00A10E78">
              <w:rPr>
                <w:rFonts w:ascii="Calibri" w:hAnsi="Calibri" w:cs="Calibri"/>
                <w:sz w:val="20"/>
                <w:szCs w:val="20"/>
                <w:lang w:eastAsia="en-GB"/>
              </w:rPr>
              <w:t>144</w:t>
            </w:r>
          </w:p>
        </w:tc>
        <w:tc>
          <w:tcPr>
            <w:tcW w:w="859" w:type="dxa"/>
            <w:shd w:val="clear" w:color="auto" w:fill="auto"/>
            <w:noWrap/>
            <w:hideMark/>
          </w:tcPr>
          <w:p w:rsidR="00ED7D4C" w:rsidRPr="00A10E78" w:rsidRDefault="00ED7D4C" w:rsidP="00C63D77">
            <w:pPr>
              <w:spacing w:before="0" w:after="0"/>
              <w:jc w:val="right"/>
              <w:rPr>
                <w:rFonts w:ascii="Calibri" w:hAnsi="Calibri" w:cs="Calibri"/>
                <w:sz w:val="20"/>
                <w:szCs w:val="20"/>
                <w:lang w:eastAsia="en-GB"/>
              </w:rPr>
            </w:pPr>
            <w:r w:rsidRPr="00A10E78">
              <w:rPr>
                <w:rFonts w:ascii="Calibri" w:hAnsi="Calibri" w:cs="Calibri"/>
                <w:sz w:val="20"/>
                <w:szCs w:val="20"/>
                <w:lang w:eastAsia="en-GB"/>
              </w:rPr>
              <w:t>318</w:t>
            </w:r>
          </w:p>
        </w:tc>
      </w:tr>
      <w:tr w:rsidR="00ED7D4C" w:rsidRPr="00770C6D" w:rsidTr="00C63D77">
        <w:trPr>
          <w:trHeight w:val="264"/>
        </w:trPr>
        <w:tc>
          <w:tcPr>
            <w:tcW w:w="4536" w:type="dxa"/>
            <w:noWrap/>
            <w:hideMark/>
          </w:tcPr>
          <w:p w:rsidR="00ED7D4C" w:rsidRPr="00A10E78" w:rsidRDefault="00ED7D4C" w:rsidP="00C63D77">
            <w:pPr>
              <w:spacing w:before="0" w:after="0"/>
              <w:rPr>
                <w:rFonts w:ascii="Calibri" w:hAnsi="Calibri" w:cs="Calibri"/>
                <w:sz w:val="20"/>
                <w:szCs w:val="20"/>
                <w:lang w:eastAsia="en-GB"/>
              </w:rPr>
            </w:pPr>
            <w:r w:rsidRPr="00A10E78">
              <w:rPr>
                <w:rFonts w:ascii="Calibri" w:hAnsi="Calibri" w:cs="Calibri"/>
                <w:sz w:val="20"/>
                <w:szCs w:val="20"/>
                <w:lang w:eastAsia="en-GB"/>
              </w:rPr>
              <w:t>Patient Self-Management (Chronic Disease)</w:t>
            </w:r>
          </w:p>
        </w:tc>
        <w:tc>
          <w:tcPr>
            <w:tcW w:w="1984" w:type="dxa"/>
            <w:noWrap/>
          </w:tcPr>
          <w:p w:rsidR="00ED7D4C" w:rsidRPr="00A10E78" w:rsidRDefault="00ED7D4C" w:rsidP="00C63D77">
            <w:pPr>
              <w:spacing w:before="0" w:after="0"/>
              <w:rPr>
                <w:rFonts w:ascii="Calibri" w:hAnsi="Calibri" w:cs="Calibri"/>
                <w:sz w:val="20"/>
                <w:szCs w:val="20"/>
                <w:lang w:eastAsia="en-GB"/>
              </w:rPr>
            </w:pPr>
            <w:r w:rsidRPr="00A10E78">
              <w:rPr>
                <w:rFonts w:ascii="Calibri" w:hAnsi="Calibri" w:cs="Calibri"/>
                <w:sz w:val="20"/>
                <w:szCs w:val="20"/>
                <w:lang w:eastAsia="en-GB"/>
              </w:rPr>
              <w:t>Richard McManus</w:t>
            </w:r>
          </w:p>
        </w:tc>
        <w:tc>
          <w:tcPr>
            <w:tcW w:w="1134" w:type="dxa"/>
            <w:shd w:val="clear" w:color="auto" w:fill="auto"/>
          </w:tcPr>
          <w:p w:rsidR="00ED7D4C" w:rsidRPr="00A10E78" w:rsidRDefault="00ED7D4C" w:rsidP="00C63D77">
            <w:pPr>
              <w:spacing w:before="0" w:after="0"/>
              <w:jc w:val="right"/>
              <w:rPr>
                <w:rFonts w:ascii="Calibri" w:hAnsi="Calibri" w:cs="Calibri"/>
                <w:sz w:val="20"/>
                <w:szCs w:val="20"/>
                <w:lang w:eastAsia="en-GB"/>
              </w:rPr>
            </w:pPr>
            <w:r w:rsidRPr="00A10E78">
              <w:rPr>
                <w:rFonts w:ascii="Calibri" w:hAnsi="Calibri" w:cs="Calibri"/>
                <w:sz w:val="20"/>
                <w:szCs w:val="20"/>
                <w:lang w:eastAsia="en-GB"/>
              </w:rPr>
              <w:t>46</w:t>
            </w:r>
          </w:p>
        </w:tc>
        <w:tc>
          <w:tcPr>
            <w:tcW w:w="851" w:type="dxa"/>
            <w:shd w:val="clear" w:color="auto" w:fill="auto"/>
          </w:tcPr>
          <w:p w:rsidR="00ED7D4C" w:rsidRPr="00A10E78" w:rsidRDefault="00ED7D4C" w:rsidP="00C63D77">
            <w:pPr>
              <w:spacing w:before="0" w:after="0"/>
              <w:jc w:val="right"/>
              <w:rPr>
                <w:rFonts w:ascii="Calibri" w:hAnsi="Calibri" w:cs="Calibri"/>
                <w:sz w:val="20"/>
                <w:szCs w:val="20"/>
                <w:lang w:eastAsia="en-GB"/>
              </w:rPr>
            </w:pPr>
            <w:r w:rsidRPr="00A10E78">
              <w:rPr>
                <w:rFonts w:ascii="Calibri" w:hAnsi="Calibri" w:cs="Calibri"/>
                <w:sz w:val="20"/>
                <w:szCs w:val="20"/>
                <w:lang w:eastAsia="en-GB"/>
              </w:rPr>
              <w:t>226</w:t>
            </w:r>
          </w:p>
        </w:tc>
        <w:tc>
          <w:tcPr>
            <w:tcW w:w="859" w:type="dxa"/>
            <w:shd w:val="clear" w:color="auto" w:fill="auto"/>
            <w:noWrap/>
            <w:hideMark/>
          </w:tcPr>
          <w:p w:rsidR="00ED7D4C" w:rsidRPr="00A10E78" w:rsidRDefault="00ED7D4C" w:rsidP="00C63D77">
            <w:pPr>
              <w:spacing w:before="0" w:after="0"/>
              <w:jc w:val="right"/>
              <w:rPr>
                <w:rFonts w:ascii="Calibri" w:hAnsi="Calibri" w:cs="Calibri"/>
                <w:sz w:val="20"/>
                <w:szCs w:val="20"/>
                <w:lang w:eastAsia="en-GB"/>
              </w:rPr>
            </w:pPr>
            <w:r w:rsidRPr="00A10E78">
              <w:rPr>
                <w:rFonts w:ascii="Calibri" w:hAnsi="Calibri" w:cs="Calibri"/>
                <w:sz w:val="20"/>
                <w:szCs w:val="20"/>
                <w:lang w:eastAsia="en-GB"/>
              </w:rPr>
              <w:t>380</w:t>
            </w:r>
          </w:p>
        </w:tc>
      </w:tr>
      <w:tr w:rsidR="00ED7D4C" w:rsidRPr="00770C6D" w:rsidTr="00C63D77">
        <w:trPr>
          <w:trHeight w:val="264"/>
        </w:trPr>
        <w:tc>
          <w:tcPr>
            <w:tcW w:w="4536" w:type="dxa"/>
            <w:noWrap/>
            <w:hideMark/>
          </w:tcPr>
          <w:p w:rsidR="00ED7D4C" w:rsidRPr="00A10E78" w:rsidRDefault="00ED7D4C" w:rsidP="00C63D77">
            <w:pPr>
              <w:spacing w:before="0" w:after="0"/>
              <w:rPr>
                <w:rFonts w:ascii="Calibri" w:hAnsi="Calibri" w:cs="Calibri"/>
                <w:sz w:val="20"/>
                <w:szCs w:val="20"/>
                <w:lang w:eastAsia="en-GB"/>
              </w:rPr>
            </w:pPr>
            <w:r w:rsidRPr="00A10E78">
              <w:rPr>
                <w:rFonts w:ascii="Calibri" w:hAnsi="Calibri" w:cs="Calibri"/>
                <w:sz w:val="20"/>
                <w:szCs w:val="20"/>
                <w:lang w:eastAsia="en-GB"/>
              </w:rPr>
              <w:t>Patient experience and PROMS</w:t>
            </w:r>
          </w:p>
        </w:tc>
        <w:tc>
          <w:tcPr>
            <w:tcW w:w="1984" w:type="dxa"/>
            <w:noWrap/>
          </w:tcPr>
          <w:p w:rsidR="00ED7D4C" w:rsidRPr="00A10E78" w:rsidRDefault="00ED7D4C" w:rsidP="00C63D77">
            <w:pPr>
              <w:spacing w:before="0" w:after="0"/>
              <w:rPr>
                <w:rFonts w:ascii="Calibri" w:hAnsi="Calibri" w:cs="Calibri"/>
                <w:sz w:val="20"/>
                <w:szCs w:val="20"/>
                <w:lang w:eastAsia="en-GB"/>
              </w:rPr>
            </w:pPr>
            <w:r w:rsidRPr="00A10E78">
              <w:rPr>
                <w:rFonts w:ascii="Calibri" w:hAnsi="Calibri" w:cs="Calibri"/>
                <w:sz w:val="20"/>
                <w:szCs w:val="20"/>
                <w:lang w:eastAsia="en-GB"/>
              </w:rPr>
              <w:t>Ray Fitzpatrick</w:t>
            </w:r>
          </w:p>
        </w:tc>
        <w:tc>
          <w:tcPr>
            <w:tcW w:w="1134" w:type="dxa"/>
            <w:shd w:val="clear" w:color="auto" w:fill="auto"/>
          </w:tcPr>
          <w:p w:rsidR="00ED7D4C" w:rsidRPr="00A10E78" w:rsidRDefault="00ED7D4C" w:rsidP="00C63D77">
            <w:pPr>
              <w:spacing w:before="0" w:after="0"/>
              <w:jc w:val="right"/>
              <w:rPr>
                <w:rFonts w:ascii="Calibri" w:hAnsi="Calibri" w:cs="Calibri"/>
                <w:sz w:val="20"/>
                <w:szCs w:val="20"/>
                <w:lang w:eastAsia="en-GB"/>
              </w:rPr>
            </w:pPr>
            <w:r w:rsidRPr="00A10E78">
              <w:rPr>
                <w:rFonts w:ascii="Calibri" w:hAnsi="Calibri" w:cs="Calibri"/>
                <w:sz w:val="20"/>
                <w:szCs w:val="20"/>
                <w:lang w:eastAsia="en-GB"/>
              </w:rPr>
              <w:t>55</w:t>
            </w:r>
          </w:p>
        </w:tc>
        <w:tc>
          <w:tcPr>
            <w:tcW w:w="851" w:type="dxa"/>
            <w:shd w:val="clear" w:color="auto" w:fill="auto"/>
          </w:tcPr>
          <w:p w:rsidR="00ED7D4C" w:rsidRPr="00A10E78" w:rsidRDefault="00ED7D4C" w:rsidP="00C63D77">
            <w:pPr>
              <w:spacing w:before="0" w:after="0"/>
              <w:jc w:val="right"/>
              <w:rPr>
                <w:rFonts w:ascii="Calibri" w:hAnsi="Calibri" w:cs="Calibri"/>
                <w:sz w:val="20"/>
                <w:szCs w:val="20"/>
                <w:lang w:eastAsia="en-GB"/>
              </w:rPr>
            </w:pPr>
            <w:r w:rsidRPr="00A10E78">
              <w:rPr>
                <w:rFonts w:ascii="Calibri" w:hAnsi="Calibri" w:cs="Calibri"/>
                <w:sz w:val="20"/>
                <w:szCs w:val="20"/>
                <w:lang w:eastAsia="en-GB"/>
              </w:rPr>
              <w:t>187</w:t>
            </w:r>
          </w:p>
        </w:tc>
        <w:tc>
          <w:tcPr>
            <w:tcW w:w="859" w:type="dxa"/>
            <w:shd w:val="clear" w:color="auto" w:fill="auto"/>
            <w:noWrap/>
            <w:hideMark/>
          </w:tcPr>
          <w:p w:rsidR="00ED7D4C" w:rsidRPr="00A10E78" w:rsidRDefault="00ED7D4C" w:rsidP="00C63D77">
            <w:pPr>
              <w:spacing w:before="0" w:after="0"/>
              <w:jc w:val="right"/>
              <w:rPr>
                <w:rFonts w:ascii="Calibri" w:hAnsi="Calibri" w:cs="Calibri"/>
                <w:sz w:val="20"/>
                <w:szCs w:val="20"/>
                <w:lang w:eastAsia="en-GB"/>
              </w:rPr>
            </w:pPr>
            <w:r w:rsidRPr="00A10E78">
              <w:rPr>
                <w:rFonts w:ascii="Calibri" w:hAnsi="Calibri" w:cs="Calibri"/>
                <w:sz w:val="20"/>
                <w:szCs w:val="20"/>
                <w:lang w:eastAsia="en-GB"/>
              </w:rPr>
              <w:t>346</w:t>
            </w:r>
          </w:p>
        </w:tc>
      </w:tr>
      <w:tr w:rsidR="00ED7D4C" w:rsidRPr="00770C6D" w:rsidTr="00C63D77">
        <w:trPr>
          <w:trHeight w:val="264"/>
        </w:trPr>
        <w:tc>
          <w:tcPr>
            <w:tcW w:w="4536" w:type="dxa"/>
            <w:tcBorders>
              <w:bottom w:val="single" w:sz="4" w:space="0" w:color="auto"/>
            </w:tcBorders>
            <w:noWrap/>
            <w:hideMark/>
          </w:tcPr>
          <w:p w:rsidR="00ED7D4C" w:rsidRPr="00A10E78" w:rsidRDefault="00ED7D4C" w:rsidP="00C63D77">
            <w:pPr>
              <w:spacing w:before="0" w:after="0"/>
              <w:rPr>
                <w:rFonts w:ascii="Calibri" w:hAnsi="Calibri" w:cs="Calibri"/>
                <w:sz w:val="20"/>
                <w:szCs w:val="20"/>
                <w:lang w:eastAsia="en-GB"/>
              </w:rPr>
            </w:pPr>
            <w:r w:rsidRPr="00A10E78">
              <w:rPr>
                <w:rFonts w:ascii="Calibri" w:hAnsi="Calibri" w:cs="Calibri"/>
                <w:sz w:val="20"/>
                <w:szCs w:val="20"/>
                <w:lang w:eastAsia="en-GB"/>
              </w:rPr>
              <w:t>Central and Support Costs</w:t>
            </w:r>
          </w:p>
        </w:tc>
        <w:tc>
          <w:tcPr>
            <w:tcW w:w="1984" w:type="dxa"/>
            <w:tcBorders>
              <w:bottom w:val="single" w:sz="4" w:space="0" w:color="auto"/>
            </w:tcBorders>
            <w:noWrap/>
          </w:tcPr>
          <w:p w:rsidR="00ED7D4C" w:rsidRPr="00A10E78" w:rsidRDefault="00ED7D4C" w:rsidP="00C63D77">
            <w:pPr>
              <w:spacing w:before="0" w:after="0"/>
              <w:rPr>
                <w:rFonts w:ascii="Calibri" w:hAnsi="Calibri" w:cs="Calibri"/>
                <w:sz w:val="20"/>
                <w:szCs w:val="20"/>
                <w:lang w:eastAsia="en-GB"/>
              </w:rPr>
            </w:pPr>
            <w:r w:rsidRPr="00A10E78">
              <w:rPr>
                <w:rFonts w:ascii="Calibri" w:hAnsi="Calibri" w:cs="Calibri"/>
                <w:sz w:val="20"/>
                <w:szCs w:val="20"/>
                <w:lang w:eastAsia="en-GB"/>
              </w:rPr>
              <w:t>Richard Hobbs</w:t>
            </w:r>
          </w:p>
        </w:tc>
        <w:tc>
          <w:tcPr>
            <w:tcW w:w="1134" w:type="dxa"/>
            <w:tcBorders>
              <w:bottom w:val="single" w:sz="4" w:space="0" w:color="auto"/>
            </w:tcBorders>
            <w:shd w:val="clear" w:color="auto" w:fill="auto"/>
          </w:tcPr>
          <w:p w:rsidR="00ED7D4C" w:rsidRPr="00A10E78" w:rsidRDefault="00ED7D4C" w:rsidP="00C63D77">
            <w:pPr>
              <w:spacing w:before="0" w:after="0"/>
              <w:jc w:val="right"/>
              <w:rPr>
                <w:rFonts w:ascii="Calibri" w:hAnsi="Calibri" w:cs="Calibri"/>
                <w:sz w:val="20"/>
                <w:szCs w:val="20"/>
                <w:lang w:eastAsia="en-GB"/>
              </w:rPr>
            </w:pPr>
            <w:r w:rsidRPr="00A10E78">
              <w:rPr>
                <w:rFonts w:ascii="Calibri" w:hAnsi="Calibri" w:cs="Calibri"/>
                <w:sz w:val="20"/>
                <w:szCs w:val="20"/>
                <w:lang w:eastAsia="en-GB"/>
              </w:rPr>
              <w:t>81</w:t>
            </w:r>
          </w:p>
        </w:tc>
        <w:tc>
          <w:tcPr>
            <w:tcW w:w="851" w:type="dxa"/>
            <w:tcBorders>
              <w:bottom w:val="single" w:sz="4" w:space="0" w:color="auto"/>
            </w:tcBorders>
            <w:shd w:val="clear" w:color="auto" w:fill="auto"/>
          </w:tcPr>
          <w:p w:rsidR="00ED7D4C" w:rsidRPr="00A10E78" w:rsidRDefault="00ED7D4C" w:rsidP="00C63D77">
            <w:pPr>
              <w:spacing w:before="0" w:after="0"/>
              <w:jc w:val="right"/>
              <w:rPr>
                <w:rFonts w:ascii="Calibri" w:hAnsi="Calibri" w:cs="Calibri"/>
                <w:sz w:val="20"/>
                <w:szCs w:val="20"/>
                <w:lang w:eastAsia="en-GB"/>
              </w:rPr>
            </w:pPr>
            <w:r w:rsidRPr="00A10E78">
              <w:rPr>
                <w:rFonts w:ascii="Calibri" w:hAnsi="Calibri" w:cs="Calibri"/>
                <w:sz w:val="20"/>
                <w:szCs w:val="20"/>
                <w:lang w:eastAsia="en-GB"/>
              </w:rPr>
              <w:t>364</w:t>
            </w:r>
          </w:p>
        </w:tc>
        <w:tc>
          <w:tcPr>
            <w:tcW w:w="859" w:type="dxa"/>
            <w:tcBorders>
              <w:bottom w:val="single" w:sz="4" w:space="0" w:color="auto"/>
            </w:tcBorders>
            <w:shd w:val="clear" w:color="auto" w:fill="auto"/>
            <w:noWrap/>
            <w:hideMark/>
          </w:tcPr>
          <w:p w:rsidR="00ED7D4C" w:rsidRPr="00A10E78" w:rsidRDefault="00ED7D4C" w:rsidP="00C63D77">
            <w:pPr>
              <w:spacing w:before="0" w:after="0"/>
              <w:jc w:val="right"/>
              <w:rPr>
                <w:rFonts w:ascii="Calibri" w:hAnsi="Calibri" w:cs="Calibri"/>
                <w:sz w:val="20"/>
                <w:szCs w:val="20"/>
                <w:lang w:eastAsia="en-GB"/>
              </w:rPr>
            </w:pPr>
            <w:r w:rsidRPr="00A10E78">
              <w:rPr>
                <w:rFonts w:ascii="Calibri" w:hAnsi="Calibri" w:cs="Calibri"/>
                <w:sz w:val="20"/>
                <w:szCs w:val="20"/>
                <w:lang w:eastAsia="en-GB"/>
              </w:rPr>
              <w:t>250</w:t>
            </w:r>
          </w:p>
        </w:tc>
      </w:tr>
      <w:tr w:rsidR="00ED7D4C" w:rsidRPr="00075030" w:rsidTr="00C63D77">
        <w:trPr>
          <w:trHeight w:val="278"/>
        </w:trPr>
        <w:tc>
          <w:tcPr>
            <w:tcW w:w="4536" w:type="dxa"/>
            <w:shd w:val="clear" w:color="auto" w:fill="8DB3E2" w:themeFill="text2" w:themeFillTint="66"/>
            <w:noWrap/>
            <w:hideMark/>
          </w:tcPr>
          <w:p w:rsidR="00ED7D4C" w:rsidRPr="00075030" w:rsidRDefault="00ED7D4C" w:rsidP="00C63D77">
            <w:pPr>
              <w:spacing w:before="0" w:after="0"/>
              <w:rPr>
                <w:rFonts w:ascii="Calibri" w:hAnsi="Calibri" w:cs="Calibri"/>
                <w:b/>
                <w:sz w:val="20"/>
                <w:szCs w:val="20"/>
                <w:lang w:eastAsia="en-GB"/>
              </w:rPr>
            </w:pPr>
            <w:r w:rsidRPr="00075030">
              <w:rPr>
                <w:rFonts w:ascii="Calibri" w:hAnsi="Calibri" w:cs="Calibri"/>
                <w:b/>
                <w:sz w:val="20"/>
                <w:szCs w:val="20"/>
                <w:lang w:eastAsia="en-GB"/>
              </w:rPr>
              <w:t>Total</w:t>
            </w:r>
          </w:p>
        </w:tc>
        <w:tc>
          <w:tcPr>
            <w:tcW w:w="1984" w:type="dxa"/>
            <w:shd w:val="clear" w:color="auto" w:fill="8DB3E2" w:themeFill="text2" w:themeFillTint="66"/>
            <w:noWrap/>
          </w:tcPr>
          <w:p w:rsidR="00ED7D4C" w:rsidRPr="00075030" w:rsidRDefault="00ED7D4C" w:rsidP="00C63D77">
            <w:pPr>
              <w:spacing w:before="0" w:after="0"/>
              <w:rPr>
                <w:rFonts w:ascii="Calibri" w:hAnsi="Calibri" w:cs="Calibri"/>
                <w:b/>
                <w:sz w:val="20"/>
                <w:szCs w:val="20"/>
                <w:lang w:eastAsia="en-GB"/>
              </w:rPr>
            </w:pPr>
          </w:p>
        </w:tc>
        <w:tc>
          <w:tcPr>
            <w:tcW w:w="1134" w:type="dxa"/>
            <w:shd w:val="clear" w:color="auto" w:fill="8DB3E2" w:themeFill="text2" w:themeFillTint="66"/>
          </w:tcPr>
          <w:p w:rsidR="00ED7D4C" w:rsidRPr="00075030" w:rsidRDefault="00ED7D4C" w:rsidP="00C63D77">
            <w:pPr>
              <w:spacing w:before="0" w:after="0"/>
              <w:jc w:val="right"/>
              <w:rPr>
                <w:rFonts w:ascii="Calibri" w:hAnsi="Calibri" w:cs="Calibri"/>
                <w:b/>
                <w:sz w:val="20"/>
                <w:szCs w:val="20"/>
                <w:lang w:eastAsia="en-GB"/>
              </w:rPr>
            </w:pPr>
            <w:r w:rsidRPr="00075030">
              <w:rPr>
                <w:rFonts w:ascii="Calibri" w:hAnsi="Calibri" w:cs="Calibri"/>
                <w:b/>
                <w:sz w:val="20"/>
                <w:szCs w:val="20"/>
                <w:lang w:eastAsia="en-GB"/>
              </w:rPr>
              <w:t>250</w:t>
            </w:r>
          </w:p>
        </w:tc>
        <w:tc>
          <w:tcPr>
            <w:tcW w:w="851" w:type="dxa"/>
            <w:shd w:val="clear" w:color="auto" w:fill="8DB3E2" w:themeFill="text2" w:themeFillTint="66"/>
          </w:tcPr>
          <w:p w:rsidR="00ED7D4C" w:rsidRPr="00075030" w:rsidRDefault="00ED7D4C" w:rsidP="00C63D77">
            <w:pPr>
              <w:spacing w:before="0" w:after="0"/>
              <w:jc w:val="right"/>
              <w:rPr>
                <w:rFonts w:ascii="Calibri" w:hAnsi="Calibri" w:cs="Calibri"/>
                <w:b/>
                <w:sz w:val="20"/>
                <w:szCs w:val="20"/>
                <w:lang w:eastAsia="en-GB"/>
              </w:rPr>
            </w:pPr>
            <w:r w:rsidRPr="00075030">
              <w:rPr>
                <w:rFonts w:ascii="Calibri" w:hAnsi="Calibri" w:cs="Calibri"/>
                <w:b/>
                <w:sz w:val="20"/>
                <w:szCs w:val="20"/>
                <w:lang w:eastAsia="en-GB"/>
              </w:rPr>
              <w:t>1,250</w:t>
            </w:r>
          </w:p>
        </w:tc>
        <w:tc>
          <w:tcPr>
            <w:tcW w:w="859" w:type="dxa"/>
            <w:shd w:val="clear" w:color="auto" w:fill="8DB3E2" w:themeFill="text2" w:themeFillTint="66"/>
            <w:noWrap/>
            <w:hideMark/>
          </w:tcPr>
          <w:p w:rsidR="00ED7D4C" w:rsidRPr="00075030" w:rsidRDefault="00ED7D4C" w:rsidP="00C63D77">
            <w:pPr>
              <w:spacing w:before="0" w:after="0"/>
              <w:jc w:val="right"/>
              <w:rPr>
                <w:rFonts w:ascii="Calibri" w:hAnsi="Calibri" w:cs="Calibri"/>
                <w:b/>
                <w:sz w:val="20"/>
                <w:szCs w:val="20"/>
                <w:lang w:eastAsia="en-GB"/>
              </w:rPr>
            </w:pPr>
            <w:r w:rsidRPr="00075030">
              <w:rPr>
                <w:rFonts w:ascii="Calibri" w:hAnsi="Calibri" w:cs="Calibri"/>
                <w:b/>
                <w:sz w:val="20"/>
                <w:szCs w:val="20"/>
                <w:lang w:eastAsia="en-GB"/>
              </w:rPr>
              <w:t>2,000</w:t>
            </w:r>
          </w:p>
        </w:tc>
      </w:tr>
    </w:tbl>
    <w:p w:rsidR="00ED7D4C" w:rsidRDefault="00ED7D4C" w:rsidP="00ED7D4C">
      <w:pPr>
        <w:rPr>
          <w:i/>
          <w:sz w:val="4"/>
          <w:szCs w:val="4"/>
        </w:rPr>
      </w:pPr>
    </w:p>
    <w:tbl>
      <w:tblPr>
        <w:tblStyle w:val="TableGrid"/>
        <w:tblW w:w="9395" w:type="dxa"/>
        <w:tblInd w:w="392" w:type="dxa"/>
        <w:tblLayout w:type="fixed"/>
        <w:tblLook w:val="04A0" w:firstRow="1" w:lastRow="0" w:firstColumn="1" w:lastColumn="0" w:noHBand="0" w:noVBand="1"/>
      </w:tblPr>
      <w:tblGrid>
        <w:gridCol w:w="3685"/>
        <w:gridCol w:w="2127"/>
        <w:gridCol w:w="850"/>
        <w:gridCol w:w="851"/>
        <w:gridCol w:w="1134"/>
        <w:gridCol w:w="748"/>
      </w:tblGrid>
      <w:tr w:rsidR="00ED7D4C" w:rsidRPr="00770C6D" w:rsidTr="00C63D77">
        <w:trPr>
          <w:trHeight w:val="233"/>
        </w:trPr>
        <w:tc>
          <w:tcPr>
            <w:tcW w:w="3685" w:type="dxa"/>
            <w:shd w:val="clear" w:color="auto" w:fill="8DB3E2" w:themeFill="text2" w:themeFillTint="66"/>
            <w:noWrap/>
            <w:hideMark/>
          </w:tcPr>
          <w:p w:rsidR="00ED7D4C" w:rsidRPr="00075030" w:rsidRDefault="00ED7D4C" w:rsidP="00C63D77">
            <w:pPr>
              <w:spacing w:before="0" w:after="0"/>
              <w:rPr>
                <w:rFonts w:ascii="Calibri" w:hAnsi="Calibri" w:cs="Calibri"/>
                <w:b/>
                <w:sz w:val="20"/>
                <w:szCs w:val="20"/>
                <w:lang w:eastAsia="en-GB"/>
              </w:rPr>
            </w:pPr>
            <w:r w:rsidRPr="00075030">
              <w:rPr>
                <w:rFonts w:ascii="Calibri" w:hAnsi="Calibri" w:cs="Calibri"/>
                <w:b/>
                <w:sz w:val="20"/>
                <w:szCs w:val="20"/>
                <w:lang w:eastAsia="en-GB"/>
              </w:rPr>
              <w:t>Phase 2 Budgets</w:t>
            </w:r>
          </w:p>
        </w:tc>
        <w:tc>
          <w:tcPr>
            <w:tcW w:w="2127" w:type="dxa"/>
            <w:shd w:val="clear" w:color="auto" w:fill="8DB3E2" w:themeFill="text2" w:themeFillTint="66"/>
          </w:tcPr>
          <w:p w:rsidR="00ED7D4C" w:rsidRPr="00075030" w:rsidRDefault="00ED7D4C" w:rsidP="00C63D77">
            <w:pPr>
              <w:spacing w:before="0" w:after="0"/>
              <w:rPr>
                <w:rFonts w:ascii="Calibri" w:hAnsi="Calibri" w:cs="Calibri"/>
                <w:b/>
                <w:sz w:val="20"/>
                <w:szCs w:val="20"/>
                <w:lang w:eastAsia="en-GB"/>
              </w:rPr>
            </w:pPr>
            <w:r w:rsidRPr="00075030">
              <w:rPr>
                <w:rFonts w:ascii="Calibri" w:hAnsi="Calibri" w:cs="Calibri"/>
                <w:b/>
                <w:sz w:val="20"/>
                <w:szCs w:val="20"/>
                <w:lang w:eastAsia="en-GB"/>
              </w:rPr>
              <w:t>Theme Lead</w:t>
            </w:r>
          </w:p>
        </w:tc>
        <w:tc>
          <w:tcPr>
            <w:tcW w:w="850" w:type="dxa"/>
            <w:tcBorders>
              <w:bottom w:val="single" w:sz="4" w:space="0" w:color="auto"/>
            </w:tcBorders>
            <w:shd w:val="clear" w:color="auto" w:fill="8DB3E2" w:themeFill="text2" w:themeFillTint="66"/>
          </w:tcPr>
          <w:p w:rsidR="00ED7D4C" w:rsidRPr="00075030" w:rsidRDefault="00ED7D4C" w:rsidP="00C63D77">
            <w:pPr>
              <w:spacing w:before="0" w:after="0"/>
              <w:jc w:val="right"/>
              <w:rPr>
                <w:rFonts w:ascii="Calibri" w:hAnsi="Calibri" w:cs="Calibri"/>
                <w:b/>
                <w:sz w:val="20"/>
                <w:szCs w:val="20"/>
                <w:lang w:eastAsia="en-GB"/>
              </w:rPr>
            </w:pPr>
            <w:r w:rsidRPr="00075030">
              <w:rPr>
                <w:rFonts w:ascii="Calibri" w:hAnsi="Calibri" w:cs="Calibri"/>
                <w:b/>
                <w:sz w:val="20"/>
                <w:szCs w:val="20"/>
                <w:lang w:eastAsia="en-GB"/>
              </w:rPr>
              <w:t>FY17</w:t>
            </w:r>
          </w:p>
        </w:tc>
        <w:tc>
          <w:tcPr>
            <w:tcW w:w="851" w:type="dxa"/>
            <w:tcBorders>
              <w:bottom w:val="single" w:sz="4" w:space="0" w:color="auto"/>
            </w:tcBorders>
            <w:shd w:val="clear" w:color="auto" w:fill="8DB3E2" w:themeFill="text2" w:themeFillTint="66"/>
          </w:tcPr>
          <w:p w:rsidR="00ED7D4C" w:rsidRPr="00075030" w:rsidRDefault="00ED7D4C" w:rsidP="00C63D77">
            <w:pPr>
              <w:spacing w:before="0" w:after="0"/>
              <w:jc w:val="right"/>
              <w:rPr>
                <w:rFonts w:ascii="Calibri" w:hAnsi="Calibri" w:cs="Calibri"/>
                <w:b/>
                <w:sz w:val="20"/>
                <w:szCs w:val="20"/>
                <w:lang w:eastAsia="en-GB"/>
              </w:rPr>
            </w:pPr>
            <w:r w:rsidRPr="00075030">
              <w:rPr>
                <w:rFonts w:ascii="Calibri" w:hAnsi="Calibri" w:cs="Calibri"/>
                <w:b/>
                <w:sz w:val="20"/>
                <w:szCs w:val="20"/>
                <w:lang w:eastAsia="en-GB"/>
              </w:rPr>
              <w:t>FY18</w:t>
            </w:r>
          </w:p>
        </w:tc>
        <w:tc>
          <w:tcPr>
            <w:tcW w:w="1134" w:type="dxa"/>
            <w:tcBorders>
              <w:bottom w:val="single" w:sz="4" w:space="0" w:color="auto"/>
            </w:tcBorders>
            <w:shd w:val="clear" w:color="auto" w:fill="8DB3E2" w:themeFill="text2" w:themeFillTint="66"/>
            <w:hideMark/>
          </w:tcPr>
          <w:p w:rsidR="00ED7D4C" w:rsidRDefault="00ED7D4C" w:rsidP="00C63D77">
            <w:pPr>
              <w:spacing w:before="0" w:after="0"/>
              <w:jc w:val="right"/>
              <w:rPr>
                <w:rFonts w:ascii="Calibri" w:hAnsi="Calibri" w:cs="Calibri"/>
                <w:b/>
                <w:sz w:val="20"/>
                <w:szCs w:val="20"/>
                <w:lang w:eastAsia="en-GB"/>
              </w:rPr>
            </w:pPr>
            <w:r w:rsidRPr="00075030">
              <w:rPr>
                <w:rFonts w:ascii="Calibri" w:hAnsi="Calibri" w:cs="Calibri"/>
                <w:b/>
                <w:sz w:val="20"/>
                <w:szCs w:val="20"/>
                <w:lang w:eastAsia="en-GB"/>
              </w:rPr>
              <w:t xml:space="preserve">FY19 </w:t>
            </w:r>
          </w:p>
          <w:p w:rsidR="00ED7D4C" w:rsidRPr="00075030" w:rsidRDefault="00ED7D4C" w:rsidP="00C63D77">
            <w:pPr>
              <w:spacing w:before="0" w:after="0"/>
              <w:jc w:val="right"/>
              <w:rPr>
                <w:rFonts w:ascii="Calibri" w:hAnsi="Calibri" w:cs="Calibri"/>
                <w:b/>
                <w:sz w:val="20"/>
                <w:szCs w:val="20"/>
                <w:lang w:eastAsia="en-GB"/>
              </w:rPr>
            </w:pPr>
            <w:r w:rsidRPr="00075030">
              <w:rPr>
                <w:rFonts w:ascii="Calibri" w:hAnsi="Calibri" w:cs="Calibri"/>
                <w:b/>
                <w:sz w:val="20"/>
                <w:szCs w:val="20"/>
                <w:lang w:eastAsia="en-GB"/>
              </w:rPr>
              <w:t xml:space="preserve">(9 </w:t>
            </w:r>
            <w:r>
              <w:rPr>
                <w:rFonts w:ascii="Calibri" w:hAnsi="Calibri" w:cs="Calibri"/>
                <w:b/>
                <w:sz w:val="20"/>
                <w:szCs w:val="20"/>
                <w:lang w:eastAsia="en-GB"/>
              </w:rPr>
              <w:t>m</w:t>
            </w:r>
            <w:r w:rsidRPr="00075030">
              <w:rPr>
                <w:rFonts w:ascii="Calibri" w:hAnsi="Calibri" w:cs="Calibri"/>
                <w:b/>
                <w:sz w:val="20"/>
                <w:szCs w:val="20"/>
                <w:lang w:eastAsia="en-GB"/>
              </w:rPr>
              <w:t>onths)</w:t>
            </w:r>
          </w:p>
        </w:tc>
        <w:tc>
          <w:tcPr>
            <w:tcW w:w="748" w:type="dxa"/>
            <w:tcBorders>
              <w:bottom w:val="single" w:sz="4" w:space="0" w:color="auto"/>
            </w:tcBorders>
            <w:shd w:val="clear" w:color="auto" w:fill="8DB3E2" w:themeFill="text2" w:themeFillTint="66"/>
          </w:tcPr>
          <w:p w:rsidR="00ED7D4C" w:rsidRPr="00075030" w:rsidRDefault="00ED7D4C" w:rsidP="00C63D77">
            <w:pPr>
              <w:spacing w:before="0" w:after="0"/>
              <w:jc w:val="right"/>
              <w:rPr>
                <w:rFonts w:ascii="Calibri" w:hAnsi="Calibri" w:cs="Calibri"/>
                <w:b/>
                <w:sz w:val="20"/>
                <w:szCs w:val="20"/>
                <w:lang w:eastAsia="en-GB"/>
              </w:rPr>
            </w:pPr>
            <w:r w:rsidRPr="00075030">
              <w:rPr>
                <w:rFonts w:ascii="Calibri" w:hAnsi="Calibri" w:cs="Calibri"/>
                <w:b/>
                <w:sz w:val="20"/>
                <w:szCs w:val="20"/>
                <w:lang w:eastAsia="en-GB"/>
              </w:rPr>
              <w:t>Total</w:t>
            </w:r>
          </w:p>
        </w:tc>
      </w:tr>
      <w:tr w:rsidR="00ED7D4C" w:rsidRPr="00770C6D" w:rsidTr="00C63D77">
        <w:trPr>
          <w:trHeight w:val="251"/>
        </w:trPr>
        <w:tc>
          <w:tcPr>
            <w:tcW w:w="3685" w:type="dxa"/>
            <w:noWrap/>
          </w:tcPr>
          <w:p w:rsidR="00ED7D4C" w:rsidRPr="00075030" w:rsidRDefault="00ED7D4C" w:rsidP="00C63D77">
            <w:pPr>
              <w:spacing w:before="0" w:after="0"/>
              <w:rPr>
                <w:rFonts w:ascii="Calibri" w:hAnsi="Calibri" w:cs="Calibri"/>
                <w:sz w:val="20"/>
                <w:szCs w:val="20"/>
                <w:lang w:eastAsia="en-GB"/>
              </w:rPr>
            </w:pPr>
            <w:r w:rsidRPr="00075030">
              <w:rPr>
                <w:rFonts w:ascii="Calibri" w:hAnsi="Calibri" w:cs="Calibri"/>
                <w:sz w:val="20"/>
                <w:szCs w:val="20"/>
                <w:lang w:eastAsia="en-GB"/>
              </w:rPr>
              <w:t>Service redesign</w:t>
            </w:r>
          </w:p>
        </w:tc>
        <w:tc>
          <w:tcPr>
            <w:tcW w:w="2127" w:type="dxa"/>
            <w:noWrap/>
          </w:tcPr>
          <w:p w:rsidR="00ED7D4C" w:rsidRPr="00075030" w:rsidRDefault="00ED7D4C" w:rsidP="00C63D77">
            <w:pPr>
              <w:spacing w:before="0" w:after="0"/>
              <w:rPr>
                <w:rFonts w:ascii="Calibri" w:hAnsi="Calibri" w:cs="Calibri"/>
                <w:sz w:val="20"/>
                <w:szCs w:val="20"/>
                <w:lang w:eastAsia="en-GB"/>
              </w:rPr>
            </w:pPr>
            <w:r w:rsidRPr="00075030">
              <w:rPr>
                <w:rFonts w:ascii="Calibri" w:hAnsi="Calibri" w:cs="Calibri"/>
                <w:sz w:val="20"/>
                <w:szCs w:val="20"/>
                <w:lang w:eastAsia="en-GB"/>
              </w:rPr>
              <w:t>Belinda Lennox</w:t>
            </w:r>
          </w:p>
        </w:tc>
        <w:tc>
          <w:tcPr>
            <w:tcW w:w="850" w:type="dxa"/>
            <w:shd w:val="clear" w:color="auto" w:fill="auto"/>
          </w:tcPr>
          <w:p w:rsidR="00ED7D4C" w:rsidRPr="00075030" w:rsidRDefault="00ED7D4C" w:rsidP="00C63D77">
            <w:pPr>
              <w:spacing w:before="0" w:after="0"/>
              <w:jc w:val="right"/>
              <w:rPr>
                <w:rFonts w:ascii="Calibri" w:hAnsi="Calibri" w:cs="Calibri"/>
                <w:sz w:val="20"/>
                <w:szCs w:val="20"/>
                <w:lang w:eastAsia="en-GB"/>
              </w:rPr>
            </w:pPr>
            <w:r w:rsidRPr="00075030">
              <w:rPr>
                <w:rFonts w:ascii="Calibri" w:hAnsi="Calibri" w:cs="Calibri"/>
                <w:sz w:val="20"/>
                <w:szCs w:val="20"/>
                <w:lang w:eastAsia="en-GB"/>
              </w:rPr>
              <w:t>312</w:t>
            </w:r>
          </w:p>
        </w:tc>
        <w:tc>
          <w:tcPr>
            <w:tcW w:w="851" w:type="dxa"/>
            <w:shd w:val="clear" w:color="auto" w:fill="auto"/>
          </w:tcPr>
          <w:p w:rsidR="00ED7D4C" w:rsidRPr="00075030" w:rsidRDefault="00ED7D4C" w:rsidP="00C63D77">
            <w:pPr>
              <w:spacing w:before="0" w:after="0"/>
              <w:jc w:val="right"/>
              <w:rPr>
                <w:rFonts w:ascii="Calibri" w:hAnsi="Calibri" w:cs="Calibri"/>
                <w:sz w:val="20"/>
                <w:szCs w:val="20"/>
                <w:lang w:eastAsia="en-GB"/>
              </w:rPr>
            </w:pPr>
            <w:r w:rsidRPr="00075030">
              <w:rPr>
                <w:rFonts w:ascii="Calibri" w:hAnsi="Calibri" w:cs="Calibri"/>
                <w:sz w:val="20"/>
                <w:szCs w:val="20"/>
                <w:lang w:eastAsia="en-GB"/>
              </w:rPr>
              <w:t>135</w:t>
            </w:r>
          </w:p>
        </w:tc>
        <w:tc>
          <w:tcPr>
            <w:tcW w:w="1134" w:type="dxa"/>
            <w:shd w:val="clear" w:color="auto" w:fill="auto"/>
            <w:noWrap/>
          </w:tcPr>
          <w:p w:rsidR="00ED7D4C" w:rsidRPr="00075030" w:rsidRDefault="00ED7D4C" w:rsidP="00C63D77">
            <w:pPr>
              <w:spacing w:before="0" w:after="0"/>
              <w:jc w:val="right"/>
              <w:rPr>
                <w:rFonts w:ascii="Calibri" w:hAnsi="Calibri" w:cs="Calibri"/>
                <w:sz w:val="20"/>
                <w:szCs w:val="20"/>
                <w:lang w:eastAsia="en-GB"/>
              </w:rPr>
            </w:pPr>
            <w:r w:rsidRPr="00075030">
              <w:rPr>
                <w:rFonts w:ascii="Calibri" w:hAnsi="Calibri" w:cs="Calibri"/>
                <w:sz w:val="20"/>
                <w:szCs w:val="20"/>
                <w:lang w:eastAsia="en-GB"/>
              </w:rPr>
              <w:t>104</w:t>
            </w:r>
          </w:p>
        </w:tc>
        <w:tc>
          <w:tcPr>
            <w:tcW w:w="748" w:type="dxa"/>
            <w:shd w:val="clear" w:color="auto" w:fill="auto"/>
          </w:tcPr>
          <w:p w:rsidR="00ED7D4C" w:rsidRPr="00075030" w:rsidRDefault="00ED7D4C" w:rsidP="00C63D77">
            <w:pPr>
              <w:spacing w:before="0" w:after="0"/>
              <w:jc w:val="right"/>
              <w:rPr>
                <w:rFonts w:ascii="Calibri" w:hAnsi="Calibri" w:cs="Calibri"/>
                <w:sz w:val="20"/>
                <w:szCs w:val="20"/>
                <w:lang w:eastAsia="en-GB"/>
              </w:rPr>
            </w:pPr>
            <w:r w:rsidRPr="00075030">
              <w:rPr>
                <w:rFonts w:ascii="Calibri" w:hAnsi="Calibri" w:cs="Calibri"/>
                <w:sz w:val="20"/>
                <w:szCs w:val="20"/>
                <w:lang w:eastAsia="en-GB"/>
              </w:rPr>
              <w:t>551</w:t>
            </w:r>
          </w:p>
        </w:tc>
      </w:tr>
      <w:tr w:rsidR="00ED7D4C" w:rsidRPr="00770C6D" w:rsidTr="00C63D77">
        <w:trPr>
          <w:trHeight w:val="251"/>
        </w:trPr>
        <w:tc>
          <w:tcPr>
            <w:tcW w:w="3685" w:type="dxa"/>
            <w:noWrap/>
          </w:tcPr>
          <w:p w:rsidR="00ED7D4C" w:rsidRPr="00075030" w:rsidRDefault="00ED7D4C" w:rsidP="00C63D77">
            <w:pPr>
              <w:spacing w:before="0" w:after="0"/>
              <w:rPr>
                <w:rFonts w:ascii="Calibri" w:hAnsi="Calibri" w:cs="Calibri"/>
                <w:sz w:val="20"/>
                <w:szCs w:val="20"/>
                <w:lang w:eastAsia="en-GB"/>
              </w:rPr>
            </w:pPr>
            <w:r w:rsidRPr="00075030">
              <w:rPr>
                <w:rFonts w:ascii="Calibri" w:hAnsi="Calibri" w:cs="Calibri"/>
                <w:sz w:val="20"/>
                <w:szCs w:val="20"/>
                <w:lang w:eastAsia="en-GB"/>
              </w:rPr>
              <w:t>Behavior change – exercise and rehab</w:t>
            </w:r>
          </w:p>
        </w:tc>
        <w:tc>
          <w:tcPr>
            <w:tcW w:w="2127" w:type="dxa"/>
            <w:noWrap/>
          </w:tcPr>
          <w:p w:rsidR="00ED7D4C" w:rsidRPr="00075030" w:rsidRDefault="00ED7D4C" w:rsidP="00C63D77">
            <w:pPr>
              <w:spacing w:before="0" w:after="0"/>
              <w:rPr>
                <w:rFonts w:ascii="Calibri" w:hAnsi="Calibri" w:cs="Calibri"/>
                <w:sz w:val="20"/>
                <w:szCs w:val="20"/>
                <w:lang w:eastAsia="en-GB"/>
              </w:rPr>
            </w:pPr>
            <w:r w:rsidRPr="00075030">
              <w:rPr>
                <w:rFonts w:ascii="Calibri" w:hAnsi="Calibri" w:cs="Calibri"/>
                <w:sz w:val="20"/>
                <w:szCs w:val="20"/>
                <w:lang w:eastAsia="en-GB"/>
              </w:rPr>
              <w:t>Sarah Lamb</w:t>
            </w:r>
          </w:p>
        </w:tc>
        <w:tc>
          <w:tcPr>
            <w:tcW w:w="850" w:type="dxa"/>
            <w:shd w:val="clear" w:color="auto" w:fill="auto"/>
          </w:tcPr>
          <w:p w:rsidR="00ED7D4C" w:rsidRPr="00075030" w:rsidRDefault="00ED7D4C" w:rsidP="00C63D77">
            <w:pPr>
              <w:spacing w:before="0" w:after="0"/>
              <w:jc w:val="right"/>
              <w:rPr>
                <w:rFonts w:ascii="Calibri" w:hAnsi="Calibri" w:cs="Calibri"/>
                <w:sz w:val="20"/>
                <w:szCs w:val="20"/>
                <w:lang w:eastAsia="en-GB"/>
              </w:rPr>
            </w:pPr>
            <w:r w:rsidRPr="00075030">
              <w:rPr>
                <w:rFonts w:ascii="Calibri" w:hAnsi="Calibri" w:cs="Calibri"/>
                <w:sz w:val="20"/>
                <w:szCs w:val="20"/>
                <w:lang w:eastAsia="en-GB"/>
              </w:rPr>
              <w:t>267</w:t>
            </w:r>
          </w:p>
        </w:tc>
        <w:tc>
          <w:tcPr>
            <w:tcW w:w="851" w:type="dxa"/>
            <w:shd w:val="clear" w:color="auto" w:fill="auto"/>
          </w:tcPr>
          <w:p w:rsidR="00ED7D4C" w:rsidRPr="00075030" w:rsidRDefault="00ED7D4C" w:rsidP="00C63D77">
            <w:pPr>
              <w:spacing w:before="0" w:after="0"/>
              <w:jc w:val="right"/>
              <w:rPr>
                <w:rFonts w:ascii="Calibri" w:hAnsi="Calibri" w:cs="Calibri"/>
                <w:sz w:val="20"/>
                <w:szCs w:val="20"/>
                <w:lang w:eastAsia="en-GB"/>
              </w:rPr>
            </w:pPr>
            <w:r w:rsidRPr="00075030">
              <w:rPr>
                <w:rFonts w:ascii="Calibri" w:hAnsi="Calibri" w:cs="Calibri"/>
                <w:sz w:val="20"/>
                <w:szCs w:val="20"/>
                <w:lang w:eastAsia="en-GB"/>
              </w:rPr>
              <w:t>248</w:t>
            </w:r>
          </w:p>
        </w:tc>
        <w:tc>
          <w:tcPr>
            <w:tcW w:w="1134" w:type="dxa"/>
            <w:shd w:val="clear" w:color="auto" w:fill="auto"/>
            <w:noWrap/>
          </w:tcPr>
          <w:p w:rsidR="00ED7D4C" w:rsidRPr="00075030" w:rsidRDefault="00ED7D4C" w:rsidP="00C63D77">
            <w:pPr>
              <w:spacing w:before="0" w:after="0"/>
              <w:jc w:val="right"/>
              <w:rPr>
                <w:rFonts w:ascii="Calibri" w:hAnsi="Calibri" w:cs="Calibri"/>
                <w:sz w:val="20"/>
                <w:szCs w:val="20"/>
                <w:lang w:eastAsia="en-GB"/>
              </w:rPr>
            </w:pPr>
            <w:r w:rsidRPr="00075030">
              <w:rPr>
                <w:rFonts w:ascii="Calibri" w:hAnsi="Calibri" w:cs="Calibri"/>
                <w:sz w:val="20"/>
                <w:szCs w:val="20"/>
                <w:lang w:eastAsia="en-GB"/>
              </w:rPr>
              <w:t>160</w:t>
            </w:r>
          </w:p>
        </w:tc>
        <w:tc>
          <w:tcPr>
            <w:tcW w:w="748" w:type="dxa"/>
            <w:shd w:val="clear" w:color="auto" w:fill="auto"/>
          </w:tcPr>
          <w:p w:rsidR="00ED7D4C" w:rsidRPr="00075030" w:rsidRDefault="00ED7D4C" w:rsidP="00C63D77">
            <w:pPr>
              <w:spacing w:before="0" w:after="0"/>
              <w:jc w:val="right"/>
              <w:rPr>
                <w:rFonts w:ascii="Calibri" w:hAnsi="Calibri" w:cs="Calibri"/>
                <w:sz w:val="20"/>
                <w:szCs w:val="20"/>
                <w:lang w:eastAsia="en-GB"/>
              </w:rPr>
            </w:pPr>
            <w:r w:rsidRPr="00075030">
              <w:rPr>
                <w:rFonts w:ascii="Calibri" w:hAnsi="Calibri" w:cs="Calibri"/>
                <w:sz w:val="20"/>
                <w:szCs w:val="20"/>
                <w:lang w:eastAsia="en-GB"/>
              </w:rPr>
              <w:t>677</w:t>
            </w:r>
          </w:p>
        </w:tc>
      </w:tr>
      <w:tr w:rsidR="00ED7D4C" w:rsidRPr="00770C6D" w:rsidTr="00C63D77">
        <w:trPr>
          <w:trHeight w:val="251"/>
        </w:trPr>
        <w:tc>
          <w:tcPr>
            <w:tcW w:w="3685" w:type="dxa"/>
            <w:noWrap/>
          </w:tcPr>
          <w:p w:rsidR="00ED7D4C" w:rsidRPr="00075030" w:rsidRDefault="00ED7D4C" w:rsidP="00C63D77">
            <w:pPr>
              <w:spacing w:before="0" w:after="0"/>
              <w:rPr>
                <w:rFonts w:ascii="Calibri" w:hAnsi="Calibri" w:cs="Calibri"/>
                <w:sz w:val="20"/>
                <w:szCs w:val="20"/>
                <w:lang w:eastAsia="en-GB"/>
              </w:rPr>
            </w:pPr>
            <w:r w:rsidRPr="00075030">
              <w:rPr>
                <w:rFonts w:ascii="Calibri" w:hAnsi="Calibri" w:cs="Calibri"/>
                <w:sz w:val="20"/>
                <w:szCs w:val="20"/>
                <w:lang w:eastAsia="en-GB"/>
              </w:rPr>
              <w:t>PROMS</w:t>
            </w:r>
          </w:p>
        </w:tc>
        <w:tc>
          <w:tcPr>
            <w:tcW w:w="2127" w:type="dxa"/>
            <w:noWrap/>
          </w:tcPr>
          <w:p w:rsidR="00ED7D4C" w:rsidRPr="00075030" w:rsidRDefault="00ED7D4C" w:rsidP="00C63D77">
            <w:pPr>
              <w:spacing w:before="0" w:after="0"/>
              <w:rPr>
                <w:rFonts w:ascii="Calibri" w:hAnsi="Calibri" w:cs="Calibri"/>
                <w:sz w:val="20"/>
                <w:szCs w:val="20"/>
                <w:lang w:eastAsia="en-GB"/>
              </w:rPr>
            </w:pPr>
            <w:r w:rsidRPr="00075030">
              <w:rPr>
                <w:rFonts w:ascii="Calibri" w:hAnsi="Calibri" w:cs="Calibri"/>
                <w:sz w:val="20"/>
                <w:szCs w:val="20"/>
                <w:lang w:eastAsia="en-GB"/>
              </w:rPr>
              <w:t>Ray Fitzpatrick</w:t>
            </w:r>
          </w:p>
        </w:tc>
        <w:tc>
          <w:tcPr>
            <w:tcW w:w="850" w:type="dxa"/>
            <w:shd w:val="clear" w:color="auto" w:fill="auto"/>
          </w:tcPr>
          <w:p w:rsidR="00ED7D4C" w:rsidRPr="00075030" w:rsidRDefault="00ED7D4C" w:rsidP="00C63D77">
            <w:pPr>
              <w:spacing w:before="0" w:after="0"/>
              <w:jc w:val="right"/>
              <w:rPr>
                <w:rFonts w:ascii="Calibri" w:hAnsi="Calibri" w:cs="Calibri"/>
                <w:sz w:val="20"/>
                <w:szCs w:val="20"/>
                <w:lang w:eastAsia="en-GB"/>
              </w:rPr>
            </w:pPr>
            <w:r w:rsidRPr="00075030">
              <w:rPr>
                <w:rFonts w:ascii="Calibri" w:hAnsi="Calibri" w:cs="Calibri"/>
                <w:sz w:val="20"/>
                <w:szCs w:val="20"/>
                <w:lang w:eastAsia="en-GB"/>
              </w:rPr>
              <w:t>191</w:t>
            </w:r>
          </w:p>
        </w:tc>
        <w:tc>
          <w:tcPr>
            <w:tcW w:w="851" w:type="dxa"/>
            <w:shd w:val="clear" w:color="auto" w:fill="auto"/>
          </w:tcPr>
          <w:p w:rsidR="00ED7D4C" w:rsidRPr="00075030" w:rsidRDefault="00ED7D4C" w:rsidP="00C63D77">
            <w:pPr>
              <w:spacing w:before="0" w:after="0"/>
              <w:jc w:val="right"/>
              <w:rPr>
                <w:rFonts w:ascii="Calibri" w:hAnsi="Calibri" w:cs="Calibri"/>
                <w:sz w:val="20"/>
                <w:szCs w:val="20"/>
                <w:lang w:eastAsia="en-GB"/>
              </w:rPr>
            </w:pPr>
            <w:r w:rsidRPr="00075030">
              <w:rPr>
                <w:rFonts w:ascii="Calibri" w:hAnsi="Calibri" w:cs="Calibri"/>
                <w:sz w:val="20"/>
                <w:szCs w:val="20"/>
                <w:lang w:eastAsia="en-GB"/>
              </w:rPr>
              <w:t>229</w:t>
            </w:r>
          </w:p>
        </w:tc>
        <w:tc>
          <w:tcPr>
            <w:tcW w:w="1134" w:type="dxa"/>
            <w:shd w:val="clear" w:color="auto" w:fill="auto"/>
            <w:noWrap/>
          </w:tcPr>
          <w:p w:rsidR="00ED7D4C" w:rsidRPr="00075030" w:rsidRDefault="00ED7D4C" w:rsidP="00C63D77">
            <w:pPr>
              <w:spacing w:before="0" w:after="0"/>
              <w:jc w:val="right"/>
              <w:rPr>
                <w:rFonts w:ascii="Calibri" w:hAnsi="Calibri" w:cs="Calibri"/>
                <w:sz w:val="20"/>
                <w:szCs w:val="20"/>
                <w:lang w:eastAsia="en-GB"/>
              </w:rPr>
            </w:pPr>
            <w:r w:rsidRPr="00075030">
              <w:rPr>
                <w:rFonts w:ascii="Calibri" w:hAnsi="Calibri" w:cs="Calibri"/>
                <w:sz w:val="20"/>
                <w:szCs w:val="20"/>
                <w:lang w:eastAsia="en-GB"/>
              </w:rPr>
              <w:t>182</w:t>
            </w:r>
          </w:p>
        </w:tc>
        <w:tc>
          <w:tcPr>
            <w:tcW w:w="748" w:type="dxa"/>
            <w:shd w:val="clear" w:color="auto" w:fill="auto"/>
          </w:tcPr>
          <w:p w:rsidR="00ED7D4C" w:rsidRPr="00075030" w:rsidRDefault="00ED7D4C" w:rsidP="00C63D77">
            <w:pPr>
              <w:spacing w:before="0" w:after="0"/>
              <w:jc w:val="right"/>
              <w:rPr>
                <w:rFonts w:ascii="Calibri" w:hAnsi="Calibri" w:cs="Calibri"/>
                <w:sz w:val="20"/>
                <w:szCs w:val="20"/>
                <w:lang w:eastAsia="en-GB"/>
              </w:rPr>
            </w:pPr>
            <w:r w:rsidRPr="00075030">
              <w:rPr>
                <w:rFonts w:ascii="Calibri" w:hAnsi="Calibri" w:cs="Calibri"/>
                <w:sz w:val="20"/>
                <w:szCs w:val="20"/>
                <w:lang w:eastAsia="en-GB"/>
              </w:rPr>
              <w:t>601</w:t>
            </w:r>
          </w:p>
        </w:tc>
      </w:tr>
      <w:tr w:rsidR="00ED7D4C" w:rsidRPr="00770C6D" w:rsidTr="00C63D77">
        <w:trPr>
          <w:trHeight w:val="251"/>
        </w:trPr>
        <w:tc>
          <w:tcPr>
            <w:tcW w:w="3685" w:type="dxa"/>
            <w:noWrap/>
          </w:tcPr>
          <w:p w:rsidR="00ED7D4C" w:rsidRPr="00075030" w:rsidRDefault="00ED7D4C" w:rsidP="00C63D77">
            <w:pPr>
              <w:spacing w:before="0" w:after="0"/>
              <w:rPr>
                <w:rFonts w:ascii="Calibri" w:hAnsi="Calibri" w:cs="Calibri"/>
                <w:sz w:val="20"/>
                <w:szCs w:val="20"/>
                <w:lang w:eastAsia="en-GB"/>
              </w:rPr>
            </w:pPr>
            <w:r w:rsidRPr="00075030">
              <w:rPr>
                <w:rFonts w:ascii="Calibri" w:hAnsi="Calibri" w:cs="Calibri"/>
                <w:sz w:val="20"/>
                <w:szCs w:val="20"/>
                <w:lang w:eastAsia="en-GB"/>
              </w:rPr>
              <w:t>Multi-morbidity</w:t>
            </w:r>
          </w:p>
        </w:tc>
        <w:tc>
          <w:tcPr>
            <w:tcW w:w="2127" w:type="dxa"/>
            <w:noWrap/>
          </w:tcPr>
          <w:p w:rsidR="00ED7D4C" w:rsidRPr="00075030" w:rsidRDefault="00ED7D4C" w:rsidP="00C63D77">
            <w:pPr>
              <w:spacing w:before="0" w:after="0"/>
              <w:rPr>
                <w:rFonts w:ascii="Calibri" w:hAnsi="Calibri" w:cs="Calibri"/>
                <w:sz w:val="20"/>
                <w:szCs w:val="20"/>
                <w:lang w:eastAsia="en-GB"/>
              </w:rPr>
            </w:pPr>
            <w:r w:rsidRPr="00075030">
              <w:rPr>
                <w:rFonts w:ascii="Calibri" w:hAnsi="Calibri" w:cs="Calibri"/>
                <w:sz w:val="20"/>
                <w:szCs w:val="20"/>
                <w:lang w:eastAsia="en-GB"/>
              </w:rPr>
              <w:t>Mike Sharpe</w:t>
            </w:r>
          </w:p>
        </w:tc>
        <w:tc>
          <w:tcPr>
            <w:tcW w:w="850" w:type="dxa"/>
            <w:shd w:val="clear" w:color="auto" w:fill="auto"/>
          </w:tcPr>
          <w:p w:rsidR="00ED7D4C" w:rsidRPr="00075030" w:rsidRDefault="00ED7D4C" w:rsidP="00C63D77">
            <w:pPr>
              <w:spacing w:before="0" w:after="0"/>
              <w:jc w:val="right"/>
              <w:rPr>
                <w:rFonts w:ascii="Calibri" w:hAnsi="Calibri" w:cs="Calibri"/>
                <w:sz w:val="20"/>
                <w:szCs w:val="20"/>
                <w:lang w:eastAsia="en-GB"/>
              </w:rPr>
            </w:pPr>
            <w:r w:rsidRPr="00075030">
              <w:rPr>
                <w:rFonts w:ascii="Calibri" w:hAnsi="Calibri" w:cs="Calibri"/>
                <w:sz w:val="20"/>
                <w:szCs w:val="20"/>
                <w:lang w:eastAsia="en-GB"/>
              </w:rPr>
              <w:t>123</w:t>
            </w:r>
          </w:p>
        </w:tc>
        <w:tc>
          <w:tcPr>
            <w:tcW w:w="851" w:type="dxa"/>
            <w:shd w:val="clear" w:color="auto" w:fill="auto"/>
          </w:tcPr>
          <w:p w:rsidR="00ED7D4C" w:rsidRPr="00075030" w:rsidRDefault="00ED7D4C" w:rsidP="00C63D77">
            <w:pPr>
              <w:spacing w:before="0" w:after="0"/>
              <w:jc w:val="right"/>
              <w:rPr>
                <w:rFonts w:ascii="Calibri" w:hAnsi="Calibri" w:cs="Calibri"/>
                <w:sz w:val="20"/>
                <w:szCs w:val="20"/>
                <w:lang w:eastAsia="en-GB"/>
              </w:rPr>
            </w:pPr>
            <w:r w:rsidRPr="00075030">
              <w:rPr>
                <w:rFonts w:ascii="Calibri" w:hAnsi="Calibri" w:cs="Calibri"/>
                <w:sz w:val="20"/>
                <w:szCs w:val="20"/>
                <w:lang w:eastAsia="en-GB"/>
              </w:rPr>
              <w:t>118</w:t>
            </w:r>
          </w:p>
        </w:tc>
        <w:tc>
          <w:tcPr>
            <w:tcW w:w="1134" w:type="dxa"/>
            <w:shd w:val="clear" w:color="auto" w:fill="auto"/>
            <w:noWrap/>
          </w:tcPr>
          <w:p w:rsidR="00ED7D4C" w:rsidRPr="00075030" w:rsidRDefault="00ED7D4C" w:rsidP="00C63D77">
            <w:pPr>
              <w:spacing w:before="0" w:after="0"/>
              <w:jc w:val="right"/>
              <w:rPr>
                <w:rFonts w:ascii="Calibri" w:hAnsi="Calibri" w:cs="Calibri"/>
                <w:sz w:val="20"/>
                <w:szCs w:val="20"/>
                <w:lang w:eastAsia="en-GB"/>
              </w:rPr>
            </w:pPr>
            <w:r w:rsidRPr="00075030">
              <w:rPr>
                <w:rFonts w:ascii="Calibri" w:hAnsi="Calibri" w:cs="Calibri"/>
                <w:sz w:val="20"/>
                <w:szCs w:val="20"/>
                <w:lang w:eastAsia="en-GB"/>
              </w:rPr>
              <w:t>101</w:t>
            </w:r>
          </w:p>
        </w:tc>
        <w:tc>
          <w:tcPr>
            <w:tcW w:w="748" w:type="dxa"/>
            <w:shd w:val="clear" w:color="auto" w:fill="auto"/>
          </w:tcPr>
          <w:p w:rsidR="00ED7D4C" w:rsidRPr="00075030" w:rsidRDefault="00ED7D4C" w:rsidP="00C63D77">
            <w:pPr>
              <w:spacing w:before="0" w:after="0"/>
              <w:jc w:val="right"/>
              <w:rPr>
                <w:rFonts w:ascii="Calibri" w:hAnsi="Calibri" w:cs="Calibri"/>
                <w:sz w:val="20"/>
                <w:szCs w:val="20"/>
                <w:lang w:eastAsia="en-GB"/>
              </w:rPr>
            </w:pPr>
            <w:r w:rsidRPr="00075030">
              <w:rPr>
                <w:rFonts w:ascii="Calibri" w:hAnsi="Calibri" w:cs="Calibri"/>
                <w:sz w:val="20"/>
                <w:szCs w:val="20"/>
                <w:lang w:eastAsia="en-GB"/>
              </w:rPr>
              <w:t>342</w:t>
            </w:r>
          </w:p>
        </w:tc>
      </w:tr>
      <w:tr w:rsidR="00ED7D4C" w:rsidRPr="00770C6D" w:rsidTr="00C63D77">
        <w:trPr>
          <w:trHeight w:val="251"/>
        </w:trPr>
        <w:tc>
          <w:tcPr>
            <w:tcW w:w="3685" w:type="dxa"/>
            <w:noWrap/>
          </w:tcPr>
          <w:p w:rsidR="00ED7D4C" w:rsidRPr="00075030" w:rsidRDefault="00ED7D4C" w:rsidP="00C63D77">
            <w:pPr>
              <w:spacing w:before="0" w:after="0"/>
              <w:rPr>
                <w:rFonts w:ascii="Calibri" w:hAnsi="Calibri" w:cs="Calibri"/>
                <w:sz w:val="20"/>
                <w:szCs w:val="20"/>
                <w:lang w:eastAsia="en-GB"/>
              </w:rPr>
            </w:pPr>
            <w:r w:rsidRPr="00075030">
              <w:rPr>
                <w:rFonts w:ascii="Calibri" w:hAnsi="Calibri" w:cs="Calibri"/>
                <w:sz w:val="20"/>
                <w:szCs w:val="20"/>
                <w:lang w:eastAsia="en-GB"/>
              </w:rPr>
              <w:t>Patient self-management</w:t>
            </w:r>
          </w:p>
        </w:tc>
        <w:tc>
          <w:tcPr>
            <w:tcW w:w="2127" w:type="dxa"/>
            <w:noWrap/>
          </w:tcPr>
          <w:p w:rsidR="00ED7D4C" w:rsidRPr="00075030" w:rsidRDefault="00ED7D4C" w:rsidP="00C63D77">
            <w:pPr>
              <w:spacing w:before="0" w:after="0"/>
              <w:rPr>
                <w:rFonts w:ascii="Calibri" w:hAnsi="Calibri" w:cs="Calibri"/>
                <w:sz w:val="20"/>
                <w:szCs w:val="20"/>
                <w:lang w:eastAsia="en-GB"/>
              </w:rPr>
            </w:pPr>
            <w:r w:rsidRPr="00075030">
              <w:rPr>
                <w:rFonts w:ascii="Calibri" w:hAnsi="Calibri" w:cs="Calibri"/>
                <w:sz w:val="20"/>
                <w:szCs w:val="20"/>
                <w:lang w:eastAsia="en-GB"/>
              </w:rPr>
              <w:t>Richard McManus</w:t>
            </w:r>
          </w:p>
        </w:tc>
        <w:tc>
          <w:tcPr>
            <w:tcW w:w="850" w:type="dxa"/>
            <w:shd w:val="clear" w:color="auto" w:fill="auto"/>
          </w:tcPr>
          <w:p w:rsidR="00ED7D4C" w:rsidRPr="00075030" w:rsidRDefault="00ED7D4C" w:rsidP="00C63D77">
            <w:pPr>
              <w:spacing w:before="0" w:after="0"/>
              <w:jc w:val="right"/>
              <w:rPr>
                <w:rFonts w:ascii="Calibri" w:hAnsi="Calibri" w:cs="Calibri"/>
                <w:sz w:val="20"/>
                <w:szCs w:val="20"/>
                <w:lang w:eastAsia="en-GB"/>
              </w:rPr>
            </w:pPr>
            <w:r w:rsidRPr="00075030">
              <w:rPr>
                <w:rFonts w:ascii="Calibri" w:hAnsi="Calibri" w:cs="Calibri"/>
                <w:sz w:val="20"/>
                <w:szCs w:val="20"/>
                <w:lang w:eastAsia="en-GB"/>
              </w:rPr>
              <w:t>362</w:t>
            </w:r>
          </w:p>
        </w:tc>
        <w:tc>
          <w:tcPr>
            <w:tcW w:w="851" w:type="dxa"/>
            <w:shd w:val="clear" w:color="auto" w:fill="auto"/>
          </w:tcPr>
          <w:p w:rsidR="00ED7D4C" w:rsidRPr="00075030" w:rsidRDefault="00ED7D4C" w:rsidP="00C63D77">
            <w:pPr>
              <w:spacing w:before="0" w:after="0"/>
              <w:jc w:val="right"/>
              <w:rPr>
                <w:rFonts w:ascii="Calibri" w:hAnsi="Calibri" w:cs="Calibri"/>
                <w:sz w:val="20"/>
                <w:szCs w:val="20"/>
                <w:lang w:eastAsia="en-GB"/>
              </w:rPr>
            </w:pPr>
            <w:r w:rsidRPr="00075030">
              <w:rPr>
                <w:rFonts w:ascii="Calibri" w:hAnsi="Calibri" w:cs="Calibri"/>
                <w:sz w:val="20"/>
                <w:szCs w:val="20"/>
                <w:lang w:eastAsia="en-GB"/>
              </w:rPr>
              <w:t>356</w:t>
            </w:r>
          </w:p>
        </w:tc>
        <w:tc>
          <w:tcPr>
            <w:tcW w:w="1134" w:type="dxa"/>
            <w:shd w:val="clear" w:color="auto" w:fill="auto"/>
            <w:noWrap/>
          </w:tcPr>
          <w:p w:rsidR="00ED7D4C" w:rsidRPr="00075030" w:rsidRDefault="00ED7D4C" w:rsidP="00C63D77">
            <w:pPr>
              <w:spacing w:before="0" w:after="0"/>
              <w:jc w:val="right"/>
              <w:rPr>
                <w:rFonts w:ascii="Calibri" w:hAnsi="Calibri" w:cs="Calibri"/>
                <w:sz w:val="20"/>
                <w:szCs w:val="20"/>
                <w:lang w:eastAsia="en-GB"/>
              </w:rPr>
            </w:pPr>
            <w:r w:rsidRPr="00075030">
              <w:rPr>
                <w:rFonts w:ascii="Calibri" w:hAnsi="Calibri" w:cs="Calibri"/>
                <w:sz w:val="20"/>
                <w:szCs w:val="20"/>
                <w:lang w:eastAsia="en-GB"/>
              </w:rPr>
              <w:t>175</w:t>
            </w:r>
          </w:p>
        </w:tc>
        <w:tc>
          <w:tcPr>
            <w:tcW w:w="748" w:type="dxa"/>
            <w:shd w:val="clear" w:color="auto" w:fill="auto"/>
          </w:tcPr>
          <w:p w:rsidR="00ED7D4C" w:rsidRPr="00075030" w:rsidRDefault="00ED7D4C" w:rsidP="00C63D77">
            <w:pPr>
              <w:spacing w:before="0" w:after="0"/>
              <w:jc w:val="right"/>
              <w:rPr>
                <w:rFonts w:ascii="Calibri" w:hAnsi="Calibri" w:cs="Calibri"/>
                <w:sz w:val="20"/>
                <w:szCs w:val="20"/>
                <w:lang w:eastAsia="en-GB"/>
              </w:rPr>
            </w:pPr>
            <w:r w:rsidRPr="00075030">
              <w:rPr>
                <w:rFonts w:ascii="Calibri" w:hAnsi="Calibri" w:cs="Calibri"/>
                <w:sz w:val="20"/>
                <w:szCs w:val="20"/>
                <w:lang w:eastAsia="en-GB"/>
              </w:rPr>
              <w:t>893</w:t>
            </w:r>
          </w:p>
        </w:tc>
      </w:tr>
      <w:tr w:rsidR="00ED7D4C" w:rsidRPr="00770C6D" w:rsidTr="00C63D77">
        <w:trPr>
          <w:trHeight w:val="251"/>
        </w:trPr>
        <w:tc>
          <w:tcPr>
            <w:tcW w:w="3685" w:type="dxa"/>
            <w:tcBorders>
              <w:bottom w:val="single" w:sz="4" w:space="0" w:color="auto"/>
            </w:tcBorders>
            <w:noWrap/>
          </w:tcPr>
          <w:p w:rsidR="00ED7D4C" w:rsidRPr="00075030" w:rsidRDefault="00ED7D4C" w:rsidP="00C63D77">
            <w:pPr>
              <w:spacing w:before="0" w:after="0"/>
              <w:rPr>
                <w:rFonts w:ascii="Calibri" w:hAnsi="Calibri" w:cs="Calibri"/>
                <w:sz w:val="20"/>
                <w:szCs w:val="20"/>
                <w:lang w:eastAsia="en-GB"/>
              </w:rPr>
            </w:pPr>
            <w:r w:rsidRPr="00075030">
              <w:rPr>
                <w:rFonts w:ascii="Calibri" w:hAnsi="Calibri" w:cs="Calibri"/>
                <w:sz w:val="20"/>
                <w:szCs w:val="20"/>
                <w:lang w:eastAsia="en-GB"/>
              </w:rPr>
              <w:t>Behavior change – weight and obesity</w:t>
            </w:r>
          </w:p>
        </w:tc>
        <w:tc>
          <w:tcPr>
            <w:tcW w:w="2127" w:type="dxa"/>
            <w:tcBorders>
              <w:bottom w:val="single" w:sz="4" w:space="0" w:color="auto"/>
            </w:tcBorders>
            <w:noWrap/>
          </w:tcPr>
          <w:p w:rsidR="00ED7D4C" w:rsidRPr="00075030" w:rsidRDefault="00ED7D4C" w:rsidP="00C63D77">
            <w:pPr>
              <w:spacing w:before="0" w:after="0"/>
              <w:rPr>
                <w:rFonts w:ascii="Calibri" w:hAnsi="Calibri" w:cs="Calibri"/>
                <w:sz w:val="20"/>
                <w:szCs w:val="20"/>
                <w:lang w:eastAsia="en-GB"/>
              </w:rPr>
            </w:pPr>
            <w:r w:rsidRPr="00075030">
              <w:rPr>
                <w:rFonts w:ascii="Calibri" w:hAnsi="Calibri" w:cs="Calibri"/>
                <w:sz w:val="20"/>
                <w:szCs w:val="20"/>
                <w:lang w:eastAsia="en-GB"/>
              </w:rPr>
              <w:t>Susan Jepp</w:t>
            </w:r>
          </w:p>
        </w:tc>
        <w:tc>
          <w:tcPr>
            <w:tcW w:w="850" w:type="dxa"/>
            <w:tcBorders>
              <w:bottom w:val="single" w:sz="4" w:space="0" w:color="auto"/>
            </w:tcBorders>
            <w:shd w:val="clear" w:color="auto" w:fill="auto"/>
          </w:tcPr>
          <w:p w:rsidR="00ED7D4C" w:rsidRPr="00075030" w:rsidRDefault="00ED7D4C" w:rsidP="00C63D77">
            <w:pPr>
              <w:spacing w:before="0" w:after="0"/>
              <w:jc w:val="right"/>
              <w:rPr>
                <w:rFonts w:ascii="Calibri" w:hAnsi="Calibri" w:cs="Calibri"/>
                <w:sz w:val="20"/>
                <w:szCs w:val="20"/>
                <w:lang w:eastAsia="en-GB"/>
              </w:rPr>
            </w:pPr>
            <w:r w:rsidRPr="00075030">
              <w:rPr>
                <w:rFonts w:ascii="Calibri" w:hAnsi="Calibri" w:cs="Calibri"/>
                <w:sz w:val="20"/>
                <w:szCs w:val="20"/>
                <w:lang w:eastAsia="en-GB"/>
              </w:rPr>
              <w:t>268</w:t>
            </w:r>
          </w:p>
        </w:tc>
        <w:tc>
          <w:tcPr>
            <w:tcW w:w="851" w:type="dxa"/>
            <w:tcBorders>
              <w:bottom w:val="single" w:sz="4" w:space="0" w:color="auto"/>
            </w:tcBorders>
            <w:shd w:val="clear" w:color="auto" w:fill="auto"/>
          </w:tcPr>
          <w:p w:rsidR="00ED7D4C" w:rsidRPr="00075030" w:rsidRDefault="00ED7D4C" w:rsidP="00C63D77">
            <w:pPr>
              <w:spacing w:before="0" w:after="0"/>
              <w:jc w:val="right"/>
              <w:rPr>
                <w:rFonts w:ascii="Calibri" w:hAnsi="Calibri" w:cs="Calibri"/>
                <w:sz w:val="20"/>
                <w:szCs w:val="20"/>
                <w:lang w:eastAsia="en-GB"/>
              </w:rPr>
            </w:pPr>
            <w:r w:rsidRPr="00075030">
              <w:rPr>
                <w:rFonts w:ascii="Calibri" w:hAnsi="Calibri" w:cs="Calibri"/>
                <w:sz w:val="20"/>
                <w:szCs w:val="20"/>
                <w:lang w:eastAsia="en-GB"/>
              </w:rPr>
              <w:t>217</w:t>
            </w:r>
          </w:p>
        </w:tc>
        <w:tc>
          <w:tcPr>
            <w:tcW w:w="1134" w:type="dxa"/>
            <w:tcBorders>
              <w:bottom w:val="single" w:sz="4" w:space="0" w:color="auto"/>
            </w:tcBorders>
            <w:shd w:val="clear" w:color="auto" w:fill="auto"/>
            <w:noWrap/>
          </w:tcPr>
          <w:p w:rsidR="00ED7D4C" w:rsidRPr="00075030" w:rsidRDefault="00ED7D4C" w:rsidP="00C63D77">
            <w:pPr>
              <w:spacing w:before="0" w:after="0"/>
              <w:jc w:val="right"/>
              <w:rPr>
                <w:rFonts w:ascii="Calibri" w:hAnsi="Calibri" w:cs="Calibri"/>
                <w:sz w:val="20"/>
                <w:szCs w:val="20"/>
                <w:lang w:eastAsia="en-GB"/>
              </w:rPr>
            </w:pPr>
            <w:r w:rsidRPr="00075030">
              <w:rPr>
                <w:rFonts w:ascii="Calibri" w:hAnsi="Calibri" w:cs="Calibri"/>
                <w:sz w:val="20"/>
                <w:szCs w:val="20"/>
                <w:lang w:eastAsia="en-GB"/>
              </w:rPr>
              <w:t>155</w:t>
            </w:r>
          </w:p>
        </w:tc>
        <w:tc>
          <w:tcPr>
            <w:tcW w:w="748" w:type="dxa"/>
            <w:tcBorders>
              <w:bottom w:val="single" w:sz="4" w:space="0" w:color="auto"/>
            </w:tcBorders>
            <w:shd w:val="clear" w:color="auto" w:fill="auto"/>
          </w:tcPr>
          <w:p w:rsidR="00ED7D4C" w:rsidRPr="00075030" w:rsidRDefault="00ED7D4C" w:rsidP="00C63D77">
            <w:pPr>
              <w:spacing w:before="0" w:after="0"/>
              <w:jc w:val="right"/>
              <w:rPr>
                <w:rFonts w:ascii="Calibri" w:hAnsi="Calibri" w:cs="Calibri"/>
                <w:sz w:val="20"/>
                <w:szCs w:val="20"/>
                <w:lang w:eastAsia="en-GB"/>
              </w:rPr>
            </w:pPr>
            <w:r w:rsidRPr="00075030">
              <w:rPr>
                <w:rFonts w:ascii="Calibri" w:hAnsi="Calibri" w:cs="Calibri"/>
                <w:sz w:val="20"/>
                <w:szCs w:val="20"/>
                <w:lang w:eastAsia="en-GB"/>
              </w:rPr>
              <w:t>641</w:t>
            </w:r>
          </w:p>
        </w:tc>
      </w:tr>
      <w:tr w:rsidR="00ED7D4C" w:rsidRPr="00770C6D" w:rsidTr="00C63D77">
        <w:trPr>
          <w:trHeight w:val="251"/>
        </w:trPr>
        <w:tc>
          <w:tcPr>
            <w:tcW w:w="3685" w:type="dxa"/>
            <w:tcBorders>
              <w:bottom w:val="single" w:sz="4" w:space="0" w:color="auto"/>
            </w:tcBorders>
            <w:noWrap/>
          </w:tcPr>
          <w:p w:rsidR="00ED7D4C" w:rsidRPr="00075030" w:rsidRDefault="00ED7D4C" w:rsidP="00C63D77">
            <w:pPr>
              <w:spacing w:before="0" w:after="0"/>
              <w:rPr>
                <w:rFonts w:ascii="Calibri" w:hAnsi="Calibri" w:cs="Calibri"/>
                <w:sz w:val="20"/>
                <w:szCs w:val="20"/>
                <w:lang w:eastAsia="en-GB"/>
              </w:rPr>
            </w:pPr>
            <w:r w:rsidRPr="00075030">
              <w:rPr>
                <w:rFonts w:ascii="Calibri" w:hAnsi="Calibri" w:cs="Calibri"/>
                <w:sz w:val="20"/>
                <w:szCs w:val="20"/>
                <w:lang w:eastAsia="en-GB"/>
              </w:rPr>
              <w:t>Central and Support Costs</w:t>
            </w:r>
          </w:p>
        </w:tc>
        <w:tc>
          <w:tcPr>
            <w:tcW w:w="2127" w:type="dxa"/>
            <w:tcBorders>
              <w:bottom w:val="single" w:sz="4" w:space="0" w:color="auto"/>
            </w:tcBorders>
            <w:noWrap/>
          </w:tcPr>
          <w:p w:rsidR="00ED7D4C" w:rsidRPr="00075030" w:rsidRDefault="00ED7D4C" w:rsidP="00C63D77">
            <w:pPr>
              <w:spacing w:before="0" w:after="0"/>
              <w:rPr>
                <w:rFonts w:ascii="Calibri" w:hAnsi="Calibri" w:cs="Calibri"/>
                <w:sz w:val="20"/>
                <w:szCs w:val="20"/>
                <w:lang w:eastAsia="en-GB"/>
              </w:rPr>
            </w:pPr>
            <w:r w:rsidRPr="00075030">
              <w:rPr>
                <w:rFonts w:ascii="Calibri" w:hAnsi="Calibri" w:cs="Calibri"/>
                <w:sz w:val="20"/>
                <w:szCs w:val="20"/>
                <w:lang w:eastAsia="en-GB"/>
              </w:rPr>
              <w:t>Richard Hobbs</w:t>
            </w:r>
          </w:p>
        </w:tc>
        <w:tc>
          <w:tcPr>
            <w:tcW w:w="850" w:type="dxa"/>
            <w:tcBorders>
              <w:bottom w:val="single" w:sz="4" w:space="0" w:color="auto"/>
            </w:tcBorders>
            <w:shd w:val="clear" w:color="auto" w:fill="auto"/>
          </w:tcPr>
          <w:p w:rsidR="00ED7D4C" w:rsidRPr="00075030" w:rsidRDefault="00ED7D4C" w:rsidP="00C63D77">
            <w:pPr>
              <w:spacing w:before="0" w:after="0"/>
              <w:jc w:val="right"/>
              <w:rPr>
                <w:rFonts w:ascii="Calibri" w:hAnsi="Calibri" w:cs="Calibri"/>
                <w:sz w:val="20"/>
                <w:szCs w:val="20"/>
                <w:lang w:eastAsia="en-GB"/>
              </w:rPr>
            </w:pPr>
            <w:r w:rsidRPr="00075030">
              <w:rPr>
                <w:rFonts w:ascii="Calibri" w:hAnsi="Calibri" w:cs="Calibri"/>
                <w:sz w:val="20"/>
                <w:szCs w:val="20"/>
                <w:lang w:eastAsia="en-GB"/>
              </w:rPr>
              <w:t>477</w:t>
            </w:r>
          </w:p>
        </w:tc>
        <w:tc>
          <w:tcPr>
            <w:tcW w:w="851" w:type="dxa"/>
            <w:tcBorders>
              <w:bottom w:val="single" w:sz="4" w:space="0" w:color="auto"/>
            </w:tcBorders>
            <w:shd w:val="clear" w:color="auto" w:fill="auto"/>
          </w:tcPr>
          <w:p w:rsidR="00ED7D4C" w:rsidRPr="00075030" w:rsidRDefault="00ED7D4C" w:rsidP="00C63D77">
            <w:pPr>
              <w:spacing w:before="0" w:after="0"/>
              <w:jc w:val="right"/>
              <w:rPr>
                <w:rFonts w:ascii="Calibri" w:hAnsi="Calibri" w:cs="Calibri"/>
                <w:sz w:val="20"/>
                <w:szCs w:val="20"/>
                <w:lang w:eastAsia="en-GB"/>
              </w:rPr>
            </w:pPr>
            <w:r w:rsidRPr="00075030">
              <w:rPr>
                <w:rFonts w:ascii="Calibri" w:hAnsi="Calibri" w:cs="Calibri"/>
                <w:sz w:val="20"/>
                <w:szCs w:val="20"/>
                <w:lang w:eastAsia="en-GB"/>
              </w:rPr>
              <w:t>697</w:t>
            </w:r>
          </w:p>
        </w:tc>
        <w:tc>
          <w:tcPr>
            <w:tcW w:w="1134" w:type="dxa"/>
            <w:tcBorders>
              <w:bottom w:val="single" w:sz="4" w:space="0" w:color="auto"/>
            </w:tcBorders>
            <w:shd w:val="clear" w:color="auto" w:fill="auto"/>
            <w:noWrap/>
          </w:tcPr>
          <w:p w:rsidR="00ED7D4C" w:rsidRPr="00075030" w:rsidRDefault="00ED7D4C" w:rsidP="00C63D77">
            <w:pPr>
              <w:spacing w:before="0" w:after="0"/>
              <w:jc w:val="right"/>
              <w:rPr>
                <w:rFonts w:ascii="Calibri" w:hAnsi="Calibri" w:cs="Calibri"/>
                <w:sz w:val="20"/>
                <w:szCs w:val="20"/>
                <w:lang w:eastAsia="en-GB"/>
              </w:rPr>
            </w:pPr>
            <w:r w:rsidRPr="00075030">
              <w:rPr>
                <w:rFonts w:ascii="Calibri" w:hAnsi="Calibri" w:cs="Calibri"/>
                <w:sz w:val="20"/>
                <w:szCs w:val="20"/>
                <w:lang w:eastAsia="en-GB"/>
              </w:rPr>
              <w:t>623</w:t>
            </w:r>
          </w:p>
        </w:tc>
        <w:tc>
          <w:tcPr>
            <w:tcW w:w="748" w:type="dxa"/>
            <w:tcBorders>
              <w:bottom w:val="single" w:sz="4" w:space="0" w:color="auto"/>
            </w:tcBorders>
            <w:shd w:val="clear" w:color="auto" w:fill="auto"/>
          </w:tcPr>
          <w:p w:rsidR="00ED7D4C" w:rsidRPr="00075030" w:rsidRDefault="00ED7D4C" w:rsidP="00C63D77">
            <w:pPr>
              <w:spacing w:before="0" w:after="0"/>
              <w:jc w:val="right"/>
              <w:rPr>
                <w:rFonts w:ascii="Calibri" w:hAnsi="Calibri" w:cs="Calibri"/>
                <w:sz w:val="20"/>
                <w:szCs w:val="20"/>
                <w:lang w:eastAsia="en-GB"/>
              </w:rPr>
            </w:pPr>
            <w:r w:rsidRPr="00075030">
              <w:rPr>
                <w:rFonts w:ascii="Calibri" w:hAnsi="Calibri" w:cs="Calibri"/>
                <w:sz w:val="20"/>
                <w:szCs w:val="20"/>
                <w:lang w:eastAsia="en-GB"/>
              </w:rPr>
              <w:t>1,795</w:t>
            </w:r>
          </w:p>
        </w:tc>
      </w:tr>
      <w:tr w:rsidR="00ED7D4C" w:rsidRPr="00770C6D" w:rsidTr="00C63D77">
        <w:trPr>
          <w:trHeight w:val="264"/>
        </w:trPr>
        <w:tc>
          <w:tcPr>
            <w:tcW w:w="3685" w:type="dxa"/>
            <w:shd w:val="clear" w:color="auto" w:fill="8DB3E2" w:themeFill="text2" w:themeFillTint="66"/>
            <w:noWrap/>
            <w:hideMark/>
          </w:tcPr>
          <w:p w:rsidR="00ED7D4C" w:rsidRPr="00075030" w:rsidRDefault="00ED7D4C" w:rsidP="00C63D77">
            <w:pPr>
              <w:spacing w:before="0" w:after="0"/>
              <w:rPr>
                <w:rFonts w:ascii="Calibri" w:hAnsi="Calibri" w:cs="Calibri"/>
                <w:sz w:val="20"/>
                <w:szCs w:val="20"/>
                <w:lang w:eastAsia="en-GB"/>
              </w:rPr>
            </w:pPr>
            <w:r w:rsidRPr="00075030">
              <w:rPr>
                <w:rFonts w:ascii="Calibri" w:hAnsi="Calibri" w:cs="Calibri"/>
                <w:sz w:val="20"/>
                <w:szCs w:val="20"/>
                <w:lang w:eastAsia="en-GB"/>
              </w:rPr>
              <w:t>Total</w:t>
            </w:r>
          </w:p>
        </w:tc>
        <w:tc>
          <w:tcPr>
            <w:tcW w:w="2127" w:type="dxa"/>
            <w:shd w:val="clear" w:color="auto" w:fill="8DB3E2" w:themeFill="text2" w:themeFillTint="66"/>
            <w:noWrap/>
          </w:tcPr>
          <w:p w:rsidR="00ED7D4C" w:rsidRPr="00075030" w:rsidRDefault="00ED7D4C" w:rsidP="00C63D77">
            <w:pPr>
              <w:spacing w:before="0" w:after="0"/>
              <w:rPr>
                <w:rFonts w:ascii="Calibri" w:hAnsi="Calibri" w:cs="Calibri"/>
                <w:sz w:val="20"/>
                <w:szCs w:val="20"/>
                <w:lang w:eastAsia="en-GB"/>
              </w:rPr>
            </w:pPr>
          </w:p>
        </w:tc>
        <w:tc>
          <w:tcPr>
            <w:tcW w:w="850" w:type="dxa"/>
            <w:shd w:val="clear" w:color="auto" w:fill="8DB3E2" w:themeFill="text2" w:themeFillTint="66"/>
          </w:tcPr>
          <w:p w:rsidR="00ED7D4C" w:rsidRPr="00075030" w:rsidRDefault="00ED7D4C" w:rsidP="00C63D77">
            <w:pPr>
              <w:spacing w:before="0" w:after="0"/>
              <w:jc w:val="right"/>
              <w:rPr>
                <w:rFonts w:ascii="Calibri" w:hAnsi="Calibri" w:cs="Calibri"/>
                <w:b/>
                <w:sz w:val="20"/>
                <w:szCs w:val="20"/>
                <w:lang w:eastAsia="en-GB"/>
              </w:rPr>
            </w:pPr>
            <w:r w:rsidRPr="00075030">
              <w:rPr>
                <w:rFonts w:ascii="Calibri" w:hAnsi="Calibri" w:cs="Calibri"/>
                <w:b/>
                <w:sz w:val="20"/>
                <w:szCs w:val="20"/>
                <w:lang w:eastAsia="en-GB"/>
              </w:rPr>
              <w:t>2,000</w:t>
            </w:r>
          </w:p>
        </w:tc>
        <w:tc>
          <w:tcPr>
            <w:tcW w:w="851" w:type="dxa"/>
            <w:shd w:val="clear" w:color="auto" w:fill="8DB3E2" w:themeFill="text2" w:themeFillTint="66"/>
          </w:tcPr>
          <w:p w:rsidR="00ED7D4C" w:rsidRPr="00075030" w:rsidRDefault="00ED7D4C" w:rsidP="00C63D77">
            <w:pPr>
              <w:spacing w:before="0" w:after="0"/>
              <w:jc w:val="right"/>
              <w:rPr>
                <w:rFonts w:ascii="Calibri" w:hAnsi="Calibri" w:cs="Calibri"/>
                <w:b/>
                <w:sz w:val="20"/>
                <w:szCs w:val="20"/>
                <w:lang w:eastAsia="en-GB"/>
              </w:rPr>
            </w:pPr>
            <w:r w:rsidRPr="00075030">
              <w:rPr>
                <w:rFonts w:ascii="Calibri" w:hAnsi="Calibri" w:cs="Calibri"/>
                <w:b/>
                <w:sz w:val="20"/>
                <w:szCs w:val="20"/>
                <w:lang w:eastAsia="en-GB"/>
              </w:rPr>
              <w:t>2,000</w:t>
            </w:r>
          </w:p>
        </w:tc>
        <w:tc>
          <w:tcPr>
            <w:tcW w:w="1134" w:type="dxa"/>
            <w:shd w:val="clear" w:color="auto" w:fill="8DB3E2" w:themeFill="text2" w:themeFillTint="66"/>
            <w:noWrap/>
            <w:hideMark/>
          </w:tcPr>
          <w:p w:rsidR="00ED7D4C" w:rsidRPr="00075030" w:rsidRDefault="00ED7D4C" w:rsidP="00C63D77">
            <w:pPr>
              <w:spacing w:before="0" w:after="0"/>
              <w:jc w:val="right"/>
              <w:rPr>
                <w:rFonts w:ascii="Calibri" w:hAnsi="Calibri" w:cs="Calibri"/>
                <w:b/>
                <w:sz w:val="20"/>
                <w:szCs w:val="20"/>
                <w:lang w:eastAsia="en-GB"/>
              </w:rPr>
            </w:pPr>
            <w:r w:rsidRPr="00075030">
              <w:rPr>
                <w:rFonts w:ascii="Calibri" w:hAnsi="Calibri" w:cs="Calibri"/>
                <w:b/>
                <w:sz w:val="20"/>
                <w:szCs w:val="20"/>
                <w:lang w:eastAsia="en-GB"/>
              </w:rPr>
              <w:t>1,500</w:t>
            </w:r>
          </w:p>
        </w:tc>
        <w:tc>
          <w:tcPr>
            <w:tcW w:w="748" w:type="dxa"/>
            <w:shd w:val="clear" w:color="auto" w:fill="8DB3E2" w:themeFill="text2" w:themeFillTint="66"/>
          </w:tcPr>
          <w:p w:rsidR="00ED7D4C" w:rsidRPr="00075030" w:rsidRDefault="00ED7D4C" w:rsidP="00C63D77">
            <w:pPr>
              <w:spacing w:before="0" w:after="0"/>
              <w:jc w:val="right"/>
              <w:rPr>
                <w:rFonts w:ascii="Calibri" w:hAnsi="Calibri" w:cs="Calibri"/>
                <w:b/>
                <w:sz w:val="20"/>
                <w:szCs w:val="20"/>
                <w:lang w:eastAsia="en-GB"/>
              </w:rPr>
            </w:pPr>
            <w:r w:rsidRPr="00075030">
              <w:rPr>
                <w:rFonts w:ascii="Calibri" w:hAnsi="Calibri" w:cs="Calibri"/>
                <w:b/>
                <w:sz w:val="20"/>
                <w:szCs w:val="20"/>
                <w:lang w:eastAsia="en-GB"/>
              </w:rPr>
              <w:t>5,500</w:t>
            </w:r>
          </w:p>
        </w:tc>
      </w:tr>
    </w:tbl>
    <w:p w:rsidR="00ED7D4C" w:rsidRPr="00ED7D4C" w:rsidRDefault="00ED7D4C" w:rsidP="00ED7D4C">
      <w:pPr>
        <w:pStyle w:val="Heading3"/>
      </w:pPr>
      <w:bookmarkStart w:id="45" w:name="_Toc441061232"/>
      <w:r w:rsidRPr="00ED7D4C">
        <w:t>Performance</w:t>
      </w:r>
      <w:bookmarkEnd w:id="45"/>
    </w:p>
    <w:p w:rsidR="00ED7D4C" w:rsidRPr="00650C79" w:rsidRDefault="00ED7D4C" w:rsidP="00ED7D4C">
      <w:r w:rsidRPr="00650C79">
        <w:t xml:space="preserve">The actual expenditure </w:t>
      </w:r>
      <w:r>
        <w:t>is forecast to</w:t>
      </w:r>
      <w:r w:rsidRPr="00650C79">
        <w:t xml:space="preserve"> be in line with budget at year end.</w:t>
      </w:r>
    </w:p>
    <w:p w:rsidR="00ED7D4C" w:rsidRPr="00ED7D4C" w:rsidRDefault="00ED7D4C" w:rsidP="00ED7D4C">
      <w:pPr>
        <w:pStyle w:val="Heading3"/>
      </w:pPr>
      <w:r w:rsidRPr="00ED7D4C">
        <w:t>Matched Funding</w:t>
      </w:r>
    </w:p>
    <w:p w:rsidR="00ED7D4C" w:rsidRDefault="00ED7D4C" w:rsidP="00ED7D4C">
      <w:r>
        <w:t>A fundamental requirement of the CLAHRC is the need to demonstrate matched funding committed by other organizations linked to CLAHRC activities. This needs to be at least to the same level as the NIHR funding. Identification of this funding is an on-going process involving the senior management team and theme leads. Based on current information the amounts identified are shown in the table below along with the minimum required by the NIHR and the amounts included in the application:</w:t>
      </w:r>
    </w:p>
    <w:tbl>
      <w:tblPr>
        <w:tblW w:w="9214" w:type="dxa"/>
        <w:tblInd w:w="392" w:type="dxa"/>
        <w:tblCellMar>
          <w:left w:w="0" w:type="dxa"/>
          <w:right w:w="0" w:type="dxa"/>
        </w:tblCellMar>
        <w:tblLook w:val="04A0" w:firstRow="1" w:lastRow="0" w:firstColumn="1" w:lastColumn="0" w:noHBand="0" w:noVBand="1"/>
      </w:tblPr>
      <w:tblGrid>
        <w:gridCol w:w="3396"/>
        <w:gridCol w:w="1831"/>
        <w:gridCol w:w="1482"/>
        <w:gridCol w:w="1371"/>
        <w:gridCol w:w="1134"/>
      </w:tblGrid>
      <w:tr w:rsidR="00ED7D4C" w:rsidRPr="005761AD" w:rsidTr="00C63D77">
        <w:trPr>
          <w:trHeight w:val="20"/>
        </w:trPr>
        <w:tc>
          <w:tcPr>
            <w:tcW w:w="3396" w:type="dxa"/>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rsidR="00ED7D4C" w:rsidRPr="00075030" w:rsidRDefault="00ED7D4C" w:rsidP="00C63D77">
            <w:pPr>
              <w:spacing w:before="0" w:after="0"/>
              <w:rPr>
                <w:rFonts w:ascii="Calibri" w:hAnsi="Calibri" w:cs="Calibri"/>
                <w:sz w:val="20"/>
                <w:szCs w:val="20"/>
                <w:lang w:eastAsia="en-GB"/>
              </w:rPr>
            </w:pPr>
            <w:r w:rsidRPr="00075030">
              <w:rPr>
                <w:rFonts w:ascii="Calibri" w:hAnsi="Calibri" w:cs="Calibri"/>
                <w:sz w:val="20"/>
                <w:szCs w:val="20"/>
                <w:lang w:eastAsia="en-GB"/>
              </w:rPr>
              <w:t>Matched Funding (£k)</w:t>
            </w:r>
          </w:p>
        </w:tc>
        <w:tc>
          <w:tcPr>
            <w:tcW w:w="1831"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hideMark/>
          </w:tcPr>
          <w:p w:rsidR="00ED7D4C" w:rsidRPr="00075030" w:rsidRDefault="00ED7D4C" w:rsidP="00C63D77">
            <w:pPr>
              <w:spacing w:before="0" w:after="0"/>
              <w:jc w:val="center"/>
              <w:rPr>
                <w:rFonts w:ascii="Calibri" w:hAnsi="Calibri" w:cs="Calibri"/>
                <w:sz w:val="20"/>
                <w:szCs w:val="20"/>
                <w:lang w:eastAsia="en-GB"/>
              </w:rPr>
            </w:pPr>
            <w:r w:rsidRPr="00075030">
              <w:rPr>
                <w:rFonts w:ascii="Calibri" w:hAnsi="Calibri" w:cs="Calibri"/>
                <w:sz w:val="20"/>
                <w:szCs w:val="20"/>
                <w:lang w:eastAsia="en-GB"/>
              </w:rPr>
              <w:t>2016/17</w:t>
            </w:r>
          </w:p>
        </w:tc>
        <w:tc>
          <w:tcPr>
            <w:tcW w:w="1482"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hideMark/>
          </w:tcPr>
          <w:p w:rsidR="00ED7D4C" w:rsidRPr="00075030" w:rsidRDefault="00ED7D4C" w:rsidP="00C63D77">
            <w:pPr>
              <w:spacing w:before="0" w:after="0"/>
              <w:jc w:val="center"/>
              <w:rPr>
                <w:rFonts w:ascii="Calibri" w:hAnsi="Calibri" w:cs="Calibri"/>
                <w:sz w:val="20"/>
                <w:szCs w:val="20"/>
                <w:lang w:eastAsia="en-GB"/>
              </w:rPr>
            </w:pPr>
            <w:r w:rsidRPr="00075030">
              <w:rPr>
                <w:rFonts w:ascii="Calibri" w:hAnsi="Calibri" w:cs="Calibri"/>
                <w:sz w:val="20"/>
                <w:szCs w:val="20"/>
                <w:lang w:eastAsia="en-GB"/>
              </w:rPr>
              <w:t>2017/18</w:t>
            </w:r>
          </w:p>
        </w:tc>
        <w:tc>
          <w:tcPr>
            <w:tcW w:w="1371"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hideMark/>
          </w:tcPr>
          <w:p w:rsidR="00ED7D4C" w:rsidRPr="00075030" w:rsidRDefault="00ED7D4C" w:rsidP="00C63D77">
            <w:pPr>
              <w:spacing w:before="0" w:after="0"/>
              <w:jc w:val="center"/>
              <w:rPr>
                <w:rFonts w:ascii="Calibri" w:hAnsi="Calibri" w:cs="Calibri"/>
                <w:sz w:val="20"/>
                <w:szCs w:val="20"/>
                <w:lang w:eastAsia="en-GB"/>
              </w:rPr>
            </w:pPr>
            <w:r w:rsidRPr="00075030">
              <w:rPr>
                <w:rFonts w:ascii="Calibri" w:hAnsi="Calibri" w:cs="Calibri"/>
                <w:sz w:val="20"/>
                <w:szCs w:val="20"/>
                <w:lang w:eastAsia="en-GB"/>
              </w:rPr>
              <w:t>2018/19</w:t>
            </w:r>
          </w:p>
        </w:tc>
        <w:tc>
          <w:tcPr>
            <w:tcW w:w="1134"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hideMark/>
          </w:tcPr>
          <w:p w:rsidR="00ED7D4C" w:rsidRPr="00075030" w:rsidRDefault="00ED7D4C" w:rsidP="00C63D77">
            <w:pPr>
              <w:spacing w:before="0" w:after="0"/>
              <w:jc w:val="center"/>
              <w:rPr>
                <w:rFonts w:ascii="Calibri" w:hAnsi="Calibri" w:cs="Calibri"/>
                <w:sz w:val="20"/>
                <w:szCs w:val="20"/>
                <w:lang w:eastAsia="en-GB"/>
              </w:rPr>
            </w:pPr>
            <w:r w:rsidRPr="00075030">
              <w:rPr>
                <w:rFonts w:ascii="Calibri" w:hAnsi="Calibri" w:cs="Calibri"/>
                <w:sz w:val="20"/>
                <w:szCs w:val="20"/>
                <w:lang w:eastAsia="en-GB"/>
              </w:rPr>
              <w:t>Total</w:t>
            </w:r>
          </w:p>
        </w:tc>
      </w:tr>
      <w:tr w:rsidR="00ED7D4C" w:rsidRPr="005761AD" w:rsidTr="00C63D77">
        <w:trPr>
          <w:trHeight w:val="20"/>
        </w:trPr>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7D4C" w:rsidRPr="00075030" w:rsidRDefault="00ED7D4C" w:rsidP="00C63D77">
            <w:pPr>
              <w:spacing w:before="0" w:after="0"/>
              <w:rPr>
                <w:rFonts w:ascii="Calibri" w:hAnsi="Calibri" w:cs="Calibri"/>
                <w:sz w:val="20"/>
                <w:szCs w:val="20"/>
                <w:lang w:eastAsia="en-GB"/>
              </w:rPr>
            </w:pPr>
            <w:r w:rsidRPr="00075030">
              <w:rPr>
                <w:rFonts w:ascii="Calibri" w:hAnsi="Calibri" w:cs="Calibri"/>
                <w:sz w:val="20"/>
                <w:szCs w:val="20"/>
                <w:lang w:eastAsia="en-GB"/>
              </w:rPr>
              <w:t>Matched Funding identified</w:t>
            </w:r>
          </w:p>
        </w:tc>
        <w:tc>
          <w:tcPr>
            <w:tcW w:w="1831" w:type="dxa"/>
            <w:tcBorders>
              <w:top w:val="nil"/>
              <w:left w:val="nil"/>
              <w:bottom w:val="single" w:sz="8" w:space="0" w:color="auto"/>
              <w:right w:val="single" w:sz="8" w:space="0" w:color="auto"/>
            </w:tcBorders>
            <w:tcMar>
              <w:top w:w="0" w:type="dxa"/>
              <w:left w:w="108" w:type="dxa"/>
              <w:bottom w:w="0" w:type="dxa"/>
              <w:right w:w="108" w:type="dxa"/>
            </w:tcMar>
            <w:hideMark/>
          </w:tcPr>
          <w:p w:rsidR="00ED7D4C" w:rsidRPr="00075030" w:rsidRDefault="00ED7D4C" w:rsidP="00C63D77">
            <w:pPr>
              <w:spacing w:before="0" w:after="0"/>
              <w:jc w:val="center"/>
              <w:rPr>
                <w:rFonts w:ascii="Calibri" w:hAnsi="Calibri" w:cs="Calibri"/>
                <w:sz w:val="20"/>
                <w:szCs w:val="20"/>
                <w:lang w:eastAsia="en-GB"/>
              </w:rPr>
            </w:pPr>
            <w:r>
              <w:rPr>
                <w:rFonts w:ascii="Calibri" w:hAnsi="Calibri" w:cs="Calibri"/>
                <w:sz w:val="20"/>
                <w:szCs w:val="20"/>
                <w:lang w:eastAsia="en-GB"/>
              </w:rPr>
              <w:t>3,102</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ED7D4C" w:rsidRPr="00075030" w:rsidRDefault="00ED7D4C" w:rsidP="00C63D77">
            <w:pPr>
              <w:spacing w:before="0" w:after="0"/>
              <w:jc w:val="center"/>
              <w:rPr>
                <w:rFonts w:ascii="Calibri" w:hAnsi="Calibri" w:cs="Calibri"/>
                <w:sz w:val="20"/>
                <w:szCs w:val="20"/>
                <w:lang w:eastAsia="en-GB"/>
              </w:rPr>
            </w:pPr>
            <w:r>
              <w:rPr>
                <w:rFonts w:ascii="Calibri" w:hAnsi="Calibri" w:cs="Calibri"/>
                <w:sz w:val="20"/>
                <w:szCs w:val="20"/>
                <w:lang w:eastAsia="en-GB"/>
              </w:rPr>
              <w:t>1,457</w:t>
            </w:r>
          </w:p>
        </w:tc>
        <w:tc>
          <w:tcPr>
            <w:tcW w:w="1371" w:type="dxa"/>
            <w:tcBorders>
              <w:top w:val="nil"/>
              <w:left w:val="nil"/>
              <w:bottom w:val="single" w:sz="8" w:space="0" w:color="auto"/>
              <w:right w:val="single" w:sz="8" w:space="0" w:color="auto"/>
            </w:tcBorders>
            <w:tcMar>
              <w:top w:w="0" w:type="dxa"/>
              <w:left w:w="108" w:type="dxa"/>
              <w:bottom w:w="0" w:type="dxa"/>
              <w:right w:w="108" w:type="dxa"/>
            </w:tcMar>
            <w:hideMark/>
          </w:tcPr>
          <w:p w:rsidR="00ED7D4C" w:rsidRPr="00075030" w:rsidRDefault="00ED7D4C" w:rsidP="00C63D77">
            <w:pPr>
              <w:spacing w:before="0" w:after="0"/>
              <w:jc w:val="center"/>
              <w:rPr>
                <w:rFonts w:ascii="Calibri" w:hAnsi="Calibri" w:cs="Calibri"/>
                <w:sz w:val="20"/>
                <w:szCs w:val="20"/>
                <w:lang w:eastAsia="en-GB"/>
              </w:rPr>
            </w:pPr>
            <w:r>
              <w:rPr>
                <w:rFonts w:ascii="Calibri" w:hAnsi="Calibri" w:cs="Calibri"/>
                <w:sz w:val="20"/>
                <w:szCs w:val="20"/>
                <w:lang w:eastAsia="en-GB"/>
              </w:rPr>
              <w:t>1,057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D7D4C" w:rsidRPr="00075030" w:rsidRDefault="00ED7D4C" w:rsidP="00C63D77">
            <w:pPr>
              <w:spacing w:before="0" w:after="0"/>
              <w:jc w:val="center"/>
              <w:rPr>
                <w:rFonts w:ascii="Calibri" w:hAnsi="Calibri" w:cs="Calibri"/>
                <w:sz w:val="20"/>
                <w:szCs w:val="20"/>
                <w:lang w:eastAsia="en-GB"/>
              </w:rPr>
            </w:pPr>
            <w:r>
              <w:rPr>
                <w:rFonts w:ascii="Calibri" w:hAnsi="Calibri" w:cs="Calibri"/>
                <w:sz w:val="20"/>
                <w:szCs w:val="20"/>
                <w:lang w:eastAsia="en-GB"/>
              </w:rPr>
              <w:t>5.616</w:t>
            </w:r>
          </w:p>
        </w:tc>
      </w:tr>
      <w:tr w:rsidR="00ED7D4C" w:rsidRPr="005761AD" w:rsidTr="00C63D77">
        <w:trPr>
          <w:trHeight w:val="20"/>
        </w:trPr>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7D4C" w:rsidRPr="00075030" w:rsidRDefault="00ED7D4C" w:rsidP="00C63D77">
            <w:pPr>
              <w:spacing w:before="0" w:after="0"/>
              <w:rPr>
                <w:rFonts w:ascii="Calibri" w:hAnsi="Calibri" w:cs="Calibri"/>
                <w:sz w:val="20"/>
                <w:szCs w:val="20"/>
                <w:lang w:eastAsia="en-GB"/>
              </w:rPr>
            </w:pPr>
            <w:r w:rsidRPr="00075030">
              <w:rPr>
                <w:rFonts w:ascii="Calibri" w:hAnsi="Calibri" w:cs="Calibri"/>
                <w:sz w:val="20"/>
                <w:szCs w:val="20"/>
                <w:lang w:eastAsia="en-GB"/>
              </w:rPr>
              <w:t>Minimum required by the NIHR</w:t>
            </w:r>
          </w:p>
        </w:tc>
        <w:tc>
          <w:tcPr>
            <w:tcW w:w="1831" w:type="dxa"/>
            <w:tcBorders>
              <w:top w:val="nil"/>
              <w:left w:val="nil"/>
              <w:bottom w:val="single" w:sz="8" w:space="0" w:color="auto"/>
              <w:right w:val="single" w:sz="8" w:space="0" w:color="auto"/>
            </w:tcBorders>
            <w:tcMar>
              <w:top w:w="0" w:type="dxa"/>
              <w:left w:w="108" w:type="dxa"/>
              <w:bottom w:w="0" w:type="dxa"/>
              <w:right w:w="108" w:type="dxa"/>
            </w:tcMar>
            <w:hideMark/>
          </w:tcPr>
          <w:p w:rsidR="00ED7D4C" w:rsidRPr="00075030" w:rsidRDefault="00ED7D4C" w:rsidP="00C63D77">
            <w:pPr>
              <w:spacing w:before="0" w:after="0"/>
              <w:jc w:val="center"/>
              <w:rPr>
                <w:rFonts w:ascii="Calibri" w:hAnsi="Calibri" w:cs="Calibri"/>
                <w:sz w:val="20"/>
                <w:szCs w:val="20"/>
                <w:lang w:eastAsia="en-GB"/>
              </w:rPr>
            </w:pPr>
            <w:r w:rsidRPr="00075030">
              <w:rPr>
                <w:rFonts w:ascii="Calibri" w:hAnsi="Calibri" w:cs="Calibri"/>
                <w:sz w:val="20"/>
                <w:szCs w:val="20"/>
                <w:lang w:eastAsia="en-GB"/>
              </w:rPr>
              <w:t>2,000</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ED7D4C" w:rsidRPr="00075030" w:rsidRDefault="00ED7D4C" w:rsidP="00C63D77">
            <w:pPr>
              <w:spacing w:before="0" w:after="0"/>
              <w:jc w:val="center"/>
              <w:rPr>
                <w:rFonts w:ascii="Calibri" w:hAnsi="Calibri" w:cs="Calibri"/>
                <w:sz w:val="20"/>
                <w:szCs w:val="20"/>
                <w:lang w:eastAsia="en-GB"/>
              </w:rPr>
            </w:pPr>
            <w:r w:rsidRPr="00075030">
              <w:rPr>
                <w:rFonts w:ascii="Calibri" w:hAnsi="Calibri" w:cs="Calibri"/>
                <w:sz w:val="20"/>
                <w:szCs w:val="20"/>
                <w:lang w:eastAsia="en-GB"/>
              </w:rPr>
              <w:t>2,000</w:t>
            </w:r>
          </w:p>
        </w:tc>
        <w:tc>
          <w:tcPr>
            <w:tcW w:w="1371" w:type="dxa"/>
            <w:tcBorders>
              <w:top w:val="nil"/>
              <w:left w:val="nil"/>
              <w:bottom w:val="single" w:sz="8" w:space="0" w:color="auto"/>
              <w:right w:val="single" w:sz="8" w:space="0" w:color="auto"/>
            </w:tcBorders>
            <w:tcMar>
              <w:top w:w="0" w:type="dxa"/>
              <w:left w:w="108" w:type="dxa"/>
              <w:bottom w:w="0" w:type="dxa"/>
              <w:right w:w="108" w:type="dxa"/>
            </w:tcMar>
            <w:hideMark/>
          </w:tcPr>
          <w:p w:rsidR="00ED7D4C" w:rsidRPr="00075030" w:rsidRDefault="00ED7D4C" w:rsidP="00C63D77">
            <w:pPr>
              <w:spacing w:before="0" w:after="0"/>
              <w:jc w:val="center"/>
              <w:rPr>
                <w:rFonts w:ascii="Calibri" w:hAnsi="Calibri" w:cs="Calibri"/>
                <w:sz w:val="20"/>
                <w:szCs w:val="20"/>
                <w:lang w:eastAsia="en-GB"/>
              </w:rPr>
            </w:pPr>
            <w:r w:rsidRPr="00075030">
              <w:rPr>
                <w:rFonts w:ascii="Calibri" w:hAnsi="Calibri" w:cs="Calibri"/>
                <w:sz w:val="20"/>
                <w:szCs w:val="20"/>
                <w:lang w:eastAsia="en-GB"/>
              </w:rPr>
              <w:t>1,500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D7D4C" w:rsidRPr="00075030" w:rsidRDefault="00ED7D4C" w:rsidP="00C63D77">
            <w:pPr>
              <w:spacing w:before="0" w:after="0"/>
              <w:jc w:val="center"/>
              <w:rPr>
                <w:rFonts w:ascii="Calibri" w:hAnsi="Calibri" w:cs="Calibri"/>
                <w:sz w:val="20"/>
                <w:szCs w:val="20"/>
                <w:lang w:eastAsia="en-GB"/>
              </w:rPr>
            </w:pPr>
            <w:r w:rsidRPr="00075030">
              <w:rPr>
                <w:rFonts w:ascii="Calibri" w:hAnsi="Calibri" w:cs="Calibri"/>
                <w:sz w:val="20"/>
                <w:szCs w:val="20"/>
                <w:lang w:eastAsia="en-GB"/>
              </w:rPr>
              <w:t>5,500</w:t>
            </w:r>
          </w:p>
        </w:tc>
      </w:tr>
      <w:tr w:rsidR="00ED7D4C" w:rsidRPr="005761AD" w:rsidTr="00C63D77">
        <w:trPr>
          <w:trHeight w:val="20"/>
        </w:trPr>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7D4C" w:rsidRPr="00075030" w:rsidRDefault="00ED7D4C" w:rsidP="00C63D77">
            <w:pPr>
              <w:spacing w:before="0" w:after="0"/>
              <w:rPr>
                <w:rFonts w:ascii="Calibri" w:hAnsi="Calibri" w:cs="Calibri"/>
                <w:sz w:val="20"/>
                <w:szCs w:val="20"/>
                <w:lang w:eastAsia="en-GB"/>
              </w:rPr>
            </w:pPr>
            <w:r w:rsidRPr="00075030">
              <w:rPr>
                <w:rFonts w:ascii="Calibri" w:hAnsi="Calibri" w:cs="Calibri"/>
                <w:sz w:val="20"/>
                <w:szCs w:val="20"/>
                <w:lang w:eastAsia="en-GB"/>
              </w:rPr>
              <w:t>Included within the application</w:t>
            </w:r>
          </w:p>
        </w:tc>
        <w:tc>
          <w:tcPr>
            <w:tcW w:w="1831" w:type="dxa"/>
            <w:tcBorders>
              <w:top w:val="nil"/>
              <w:left w:val="nil"/>
              <w:bottom w:val="single" w:sz="8" w:space="0" w:color="auto"/>
              <w:right w:val="single" w:sz="8" w:space="0" w:color="auto"/>
            </w:tcBorders>
            <w:tcMar>
              <w:top w:w="0" w:type="dxa"/>
              <w:left w:w="108" w:type="dxa"/>
              <w:bottom w:w="0" w:type="dxa"/>
              <w:right w:w="108" w:type="dxa"/>
            </w:tcMar>
            <w:hideMark/>
          </w:tcPr>
          <w:p w:rsidR="00ED7D4C" w:rsidRPr="00075030" w:rsidRDefault="00ED7D4C" w:rsidP="00C63D77">
            <w:pPr>
              <w:spacing w:before="0" w:after="0"/>
              <w:jc w:val="center"/>
              <w:rPr>
                <w:rFonts w:ascii="Calibri" w:hAnsi="Calibri" w:cs="Calibri"/>
                <w:sz w:val="20"/>
                <w:szCs w:val="20"/>
                <w:lang w:eastAsia="en-GB"/>
              </w:rPr>
            </w:pPr>
            <w:r w:rsidRPr="00075030">
              <w:rPr>
                <w:rFonts w:ascii="Calibri" w:hAnsi="Calibri" w:cs="Calibri"/>
                <w:sz w:val="20"/>
                <w:szCs w:val="20"/>
                <w:lang w:eastAsia="en-GB"/>
              </w:rPr>
              <w:t>2,078</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ED7D4C" w:rsidRPr="00075030" w:rsidRDefault="00ED7D4C" w:rsidP="00C63D77">
            <w:pPr>
              <w:spacing w:before="0" w:after="0"/>
              <w:jc w:val="center"/>
              <w:rPr>
                <w:rFonts w:ascii="Calibri" w:hAnsi="Calibri" w:cs="Calibri"/>
                <w:sz w:val="20"/>
                <w:szCs w:val="20"/>
                <w:lang w:eastAsia="en-GB"/>
              </w:rPr>
            </w:pPr>
            <w:r w:rsidRPr="00075030">
              <w:rPr>
                <w:rFonts w:ascii="Calibri" w:hAnsi="Calibri" w:cs="Calibri"/>
                <w:sz w:val="20"/>
                <w:szCs w:val="20"/>
                <w:lang w:eastAsia="en-GB"/>
              </w:rPr>
              <w:t>2,075</w:t>
            </w:r>
          </w:p>
        </w:tc>
        <w:tc>
          <w:tcPr>
            <w:tcW w:w="1371" w:type="dxa"/>
            <w:tcBorders>
              <w:top w:val="nil"/>
              <w:left w:val="nil"/>
              <w:bottom w:val="single" w:sz="8" w:space="0" w:color="auto"/>
              <w:right w:val="single" w:sz="8" w:space="0" w:color="auto"/>
            </w:tcBorders>
            <w:tcMar>
              <w:top w:w="0" w:type="dxa"/>
              <w:left w:w="108" w:type="dxa"/>
              <w:bottom w:w="0" w:type="dxa"/>
              <w:right w:w="108" w:type="dxa"/>
            </w:tcMar>
            <w:hideMark/>
          </w:tcPr>
          <w:p w:rsidR="00ED7D4C" w:rsidRPr="00075030" w:rsidRDefault="00ED7D4C" w:rsidP="00C63D77">
            <w:pPr>
              <w:spacing w:before="0" w:after="0"/>
              <w:jc w:val="center"/>
              <w:rPr>
                <w:rFonts w:ascii="Calibri" w:hAnsi="Calibri" w:cs="Calibri"/>
                <w:sz w:val="20"/>
                <w:szCs w:val="20"/>
                <w:lang w:eastAsia="en-GB"/>
              </w:rPr>
            </w:pPr>
            <w:r w:rsidRPr="00075030">
              <w:rPr>
                <w:rFonts w:ascii="Calibri" w:hAnsi="Calibri" w:cs="Calibri"/>
                <w:sz w:val="20"/>
                <w:szCs w:val="20"/>
                <w:lang w:eastAsia="en-GB"/>
              </w:rPr>
              <w:t>1,606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D7D4C" w:rsidRPr="00075030" w:rsidRDefault="00ED7D4C" w:rsidP="00C63D77">
            <w:pPr>
              <w:spacing w:before="0" w:after="0"/>
              <w:jc w:val="center"/>
              <w:rPr>
                <w:rFonts w:ascii="Calibri" w:hAnsi="Calibri" w:cs="Calibri"/>
                <w:sz w:val="20"/>
                <w:szCs w:val="20"/>
                <w:lang w:eastAsia="en-GB"/>
              </w:rPr>
            </w:pPr>
            <w:r w:rsidRPr="00075030">
              <w:rPr>
                <w:rFonts w:ascii="Calibri" w:hAnsi="Calibri" w:cs="Calibri"/>
                <w:sz w:val="20"/>
                <w:szCs w:val="20"/>
                <w:lang w:eastAsia="en-GB"/>
              </w:rPr>
              <w:t>5,759</w:t>
            </w:r>
          </w:p>
        </w:tc>
      </w:tr>
    </w:tbl>
    <w:p w:rsidR="00D25B5D" w:rsidRDefault="00D25B5D" w:rsidP="00D25B5D">
      <w:pPr>
        <w:pStyle w:val="Heading2"/>
        <w:numPr>
          <w:ilvl w:val="0"/>
          <w:numId w:val="0"/>
        </w:numPr>
        <w:ind w:left="578"/>
      </w:pPr>
      <w:bookmarkStart w:id="46" w:name="_Toc441061227"/>
      <w:bookmarkEnd w:id="43"/>
    </w:p>
    <w:p w:rsidR="00D25B5D" w:rsidRDefault="00D25B5D" w:rsidP="00D25B5D"/>
    <w:p w:rsidR="00D25B5D" w:rsidRDefault="00D25B5D" w:rsidP="00D25B5D"/>
    <w:p w:rsidR="00D25B5D" w:rsidRDefault="00D25B5D" w:rsidP="00D25B5D"/>
    <w:p w:rsidR="00D25B5D" w:rsidRDefault="00D25B5D" w:rsidP="00D25B5D"/>
    <w:p w:rsidR="00D25B5D" w:rsidRPr="00D25B5D" w:rsidRDefault="00D25B5D" w:rsidP="00D25B5D"/>
    <w:p w:rsidR="00ED7D4C" w:rsidRPr="00ED7D4C" w:rsidRDefault="00ED7D4C" w:rsidP="00ED7D4C">
      <w:pPr>
        <w:pStyle w:val="Heading2"/>
      </w:pPr>
      <w:bookmarkStart w:id="47" w:name="_Toc476822122"/>
      <w:r w:rsidRPr="00ED7D4C">
        <w:lastRenderedPageBreak/>
        <w:t>R&amp;D Income Summary FY17</w:t>
      </w:r>
      <w:bookmarkEnd w:id="46"/>
      <w:r w:rsidRPr="00ED7D4C">
        <w:t>/8</w:t>
      </w:r>
      <w:bookmarkEnd w:id="47"/>
      <w:r w:rsidRPr="00ED7D4C">
        <w:t xml:space="preserve"> </w:t>
      </w:r>
    </w:p>
    <w:p w:rsidR="00ED7D4C" w:rsidRPr="007376EA" w:rsidRDefault="00ED7D4C" w:rsidP="00ED7D4C">
      <w:r w:rsidRPr="007376EA">
        <w:t xml:space="preserve">The level of research funding is predicted to </w:t>
      </w:r>
      <w:r>
        <w:t xml:space="preserve">increase by </w:t>
      </w:r>
      <w:r w:rsidRPr="007376EA">
        <w:t>£1</w:t>
      </w:r>
      <w:r>
        <w:t>.525m in FY18 as shown below</w:t>
      </w:r>
      <w:r w:rsidRPr="007376EA">
        <w:t xml:space="preserve"> </w:t>
      </w:r>
    </w:p>
    <w:tbl>
      <w:tblPr>
        <w:tblStyle w:val="TableGrid"/>
        <w:tblpPr w:leftFromText="180" w:rightFromText="180" w:vertAnchor="text" w:horzAnchor="page" w:tblpX="1595" w:tblpY="48"/>
        <w:tblW w:w="9180" w:type="dxa"/>
        <w:tblLook w:val="04A0" w:firstRow="1" w:lastRow="0" w:firstColumn="1" w:lastColumn="0" w:noHBand="0" w:noVBand="1"/>
      </w:tblPr>
      <w:tblGrid>
        <w:gridCol w:w="2802"/>
        <w:gridCol w:w="992"/>
        <w:gridCol w:w="992"/>
        <w:gridCol w:w="4394"/>
      </w:tblGrid>
      <w:tr w:rsidR="00ED7D4C" w:rsidRPr="0059735A" w:rsidTr="00C63D77">
        <w:trPr>
          <w:trHeight w:val="22"/>
        </w:trPr>
        <w:tc>
          <w:tcPr>
            <w:tcW w:w="2802" w:type="dxa"/>
            <w:shd w:val="clear" w:color="auto" w:fill="8DB3E2" w:themeFill="text2" w:themeFillTint="66"/>
          </w:tcPr>
          <w:p w:rsidR="00ED7D4C" w:rsidRPr="0059735A" w:rsidRDefault="00ED7D4C" w:rsidP="00C63D77">
            <w:pPr>
              <w:spacing w:before="0" w:after="100" w:afterAutospacing="1"/>
              <w:rPr>
                <w:rFonts w:ascii="Calibri" w:hAnsi="Calibri" w:cs="Calibri"/>
                <w:b/>
                <w:sz w:val="20"/>
                <w:szCs w:val="20"/>
                <w:lang w:eastAsia="en-GB"/>
              </w:rPr>
            </w:pPr>
            <w:r w:rsidRPr="0059735A">
              <w:rPr>
                <w:rFonts w:ascii="Calibri" w:hAnsi="Calibri" w:cs="Calibri"/>
                <w:b/>
                <w:sz w:val="20"/>
                <w:szCs w:val="20"/>
                <w:lang w:eastAsia="en-GB"/>
              </w:rPr>
              <w:t>Type</w:t>
            </w:r>
          </w:p>
        </w:tc>
        <w:tc>
          <w:tcPr>
            <w:tcW w:w="992" w:type="dxa"/>
            <w:tcBorders>
              <w:bottom w:val="single" w:sz="4" w:space="0" w:color="auto"/>
            </w:tcBorders>
            <w:shd w:val="clear" w:color="auto" w:fill="8DB3E2" w:themeFill="text2" w:themeFillTint="66"/>
          </w:tcPr>
          <w:p w:rsidR="00ED7D4C" w:rsidRPr="0059735A" w:rsidRDefault="00ED7D4C" w:rsidP="00C63D77">
            <w:pPr>
              <w:spacing w:before="0" w:after="100" w:afterAutospacing="1"/>
              <w:jc w:val="center"/>
              <w:rPr>
                <w:rFonts w:ascii="Calibri" w:hAnsi="Calibri" w:cs="Calibri"/>
                <w:b/>
                <w:sz w:val="20"/>
                <w:szCs w:val="20"/>
                <w:lang w:eastAsia="en-GB"/>
              </w:rPr>
            </w:pPr>
            <w:r w:rsidRPr="0059735A">
              <w:rPr>
                <w:rFonts w:ascii="Calibri" w:hAnsi="Calibri" w:cs="Calibri"/>
                <w:b/>
                <w:sz w:val="20"/>
                <w:szCs w:val="20"/>
                <w:lang w:eastAsia="en-GB"/>
              </w:rPr>
              <w:t>FY1</w:t>
            </w:r>
            <w:r>
              <w:rPr>
                <w:rFonts w:ascii="Calibri" w:hAnsi="Calibri" w:cs="Calibri"/>
                <w:b/>
                <w:sz w:val="20"/>
                <w:szCs w:val="20"/>
                <w:lang w:eastAsia="en-GB"/>
              </w:rPr>
              <w:t>7 £k</w:t>
            </w:r>
          </w:p>
        </w:tc>
        <w:tc>
          <w:tcPr>
            <w:tcW w:w="992" w:type="dxa"/>
            <w:tcBorders>
              <w:bottom w:val="single" w:sz="4" w:space="0" w:color="auto"/>
            </w:tcBorders>
            <w:shd w:val="clear" w:color="auto" w:fill="8DB3E2" w:themeFill="text2" w:themeFillTint="66"/>
          </w:tcPr>
          <w:p w:rsidR="00ED7D4C" w:rsidRPr="0059735A" w:rsidRDefault="00ED7D4C" w:rsidP="00C63D77">
            <w:pPr>
              <w:spacing w:before="0" w:after="100" w:afterAutospacing="1"/>
              <w:jc w:val="center"/>
              <w:rPr>
                <w:rFonts w:ascii="Calibri" w:hAnsi="Calibri" w:cs="Calibri"/>
                <w:b/>
                <w:sz w:val="20"/>
                <w:szCs w:val="20"/>
                <w:lang w:eastAsia="en-GB"/>
              </w:rPr>
            </w:pPr>
            <w:r>
              <w:rPr>
                <w:rFonts w:ascii="Calibri" w:hAnsi="Calibri" w:cs="Calibri"/>
                <w:b/>
                <w:sz w:val="20"/>
                <w:szCs w:val="20"/>
                <w:lang w:eastAsia="en-GB"/>
              </w:rPr>
              <w:t>FY18 £k</w:t>
            </w:r>
          </w:p>
        </w:tc>
        <w:tc>
          <w:tcPr>
            <w:tcW w:w="4394" w:type="dxa"/>
            <w:tcBorders>
              <w:bottom w:val="single" w:sz="4" w:space="0" w:color="auto"/>
            </w:tcBorders>
            <w:shd w:val="clear" w:color="auto" w:fill="8DB3E2" w:themeFill="text2" w:themeFillTint="66"/>
          </w:tcPr>
          <w:p w:rsidR="00ED7D4C" w:rsidRDefault="00ED7D4C" w:rsidP="00C63D77">
            <w:pPr>
              <w:spacing w:before="0" w:after="100" w:afterAutospacing="1"/>
              <w:jc w:val="center"/>
              <w:rPr>
                <w:rFonts w:ascii="Calibri" w:hAnsi="Calibri" w:cs="Calibri"/>
                <w:b/>
                <w:sz w:val="20"/>
                <w:szCs w:val="20"/>
                <w:lang w:eastAsia="en-GB"/>
              </w:rPr>
            </w:pPr>
          </w:p>
        </w:tc>
      </w:tr>
      <w:tr w:rsidR="00ED7D4C" w:rsidRPr="005761AD" w:rsidTr="00C63D77">
        <w:trPr>
          <w:trHeight w:val="22"/>
        </w:trPr>
        <w:tc>
          <w:tcPr>
            <w:tcW w:w="2802" w:type="dxa"/>
          </w:tcPr>
          <w:p w:rsidR="00ED7D4C" w:rsidRPr="0059735A" w:rsidRDefault="00ED7D4C" w:rsidP="00C63D77">
            <w:pPr>
              <w:spacing w:before="0" w:after="100" w:afterAutospacing="1"/>
              <w:rPr>
                <w:rFonts w:ascii="Calibri" w:hAnsi="Calibri" w:cs="Calibri"/>
                <w:b/>
                <w:sz w:val="20"/>
                <w:szCs w:val="20"/>
                <w:lang w:eastAsia="en-GB"/>
              </w:rPr>
            </w:pPr>
            <w:r w:rsidRPr="0059735A">
              <w:rPr>
                <w:rFonts w:ascii="Calibri" w:hAnsi="Calibri" w:cs="Calibri"/>
                <w:b/>
                <w:sz w:val="20"/>
                <w:szCs w:val="20"/>
                <w:lang w:eastAsia="en-GB"/>
              </w:rPr>
              <w:t>N</w:t>
            </w:r>
            <w:r>
              <w:rPr>
                <w:rFonts w:ascii="Calibri" w:hAnsi="Calibri" w:cs="Calibri"/>
                <w:b/>
                <w:sz w:val="20"/>
                <w:szCs w:val="20"/>
                <w:lang w:eastAsia="en-GB"/>
              </w:rPr>
              <w:t>IHR</w:t>
            </w:r>
          </w:p>
        </w:tc>
        <w:tc>
          <w:tcPr>
            <w:tcW w:w="992" w:type="dxa"/>
            <w:shd w:val="clear" w:color="auto" w:fill="auto"/>
          </w:tcPr>
          <w:p w:rsidR="00ED7D4C" w:rsidRPr="0059735A" w:rsidRDefault="00ED7D4C" w:rsidP="00C63D77">
            <w:pPr>
              <w:spacing w:before="0" w:after="100" w:afterAutospacing="1"/>
              <w:jc w:val="center"/>
              <w:rPr>
                <w:rFonts w:ascii="Calibri" w:hAnsi="Calibri" w:cs="Calibri"/>
                <w:sz w:val="20"/>
                <w:szCs w:val="20"/>
                <w:lang w:eastAsia="en-GB"/>
              </w:rPr>
            </w:pPr>
          </w:p>
        </w:tc>
        <w:tc>
          <w:tcPr>
            <w:tcW w:w="992" w:type="dxa"/>
          </w:tcPr>
          <w:p w:rsidR="00ED7D4C" w:rsidRPr="0059735A" w:rsidRDefault="00ED7D4C" w:rsidP="00C63D77">
            <w:pPr>
              <w:spacing w:before="0" w:after="100" w:afterAutospacing="1"/>
              <w:jc w:val="center"/>
              <w:rPr>
                <w:rFonts w:ascii="Calibri" w:hAnsi="Calibri" w:cs="Calibri"/>
                <w:sz w:val="20"/>
                <w:szCs w:val="20"/>
                <w:lang w:eastAsia="en-GB"/>
              </w:rPr>
            </w:pPr>
          </w:p>
        </w:tc>
        <w:tc>
          <w:tcPr>
            <w:tcW w:w="4394" w:type="dxa"/>
          </w:tcPr>
          <w:p w:rsidR="00ED7D4C" w:rsidRPr="0059735A" w:rsidRDefault="00ED7D4C" w:rsidP="00C63D77">
            <w:pPr>
              <w:spacing w:before="0" w:after="100" w:afterAutospacing="1"/>
              <w:jc w:val="center"/>
              <w:rPr>
                <w:rFonts w:ascii="Calibri" w:hAnsi="Calibri" w:cs="Calibri"/>
                <w:sz w:val="20"/>
                <w:szCs w:val="20"/>
                <w:lang w:eastAsia="en-GB"/>
              </w:rPr>
            </w:pPr>
          </w:p>
        </w:tc>
      </w:tr>
      <w:tr w:rsidR="00ED7D4C" w:rsidRPr="005761AD" w:rsidTr="00C63D77">
        <w:trPr>
          <w:trHeight w:val="22"/>
        </w:trPr>
        <w:tc>
          <w:tcPr>
            <w:tcW w:w="2802" w:type="dxa"/>
          </w:tcPr>
          <w:p w:rsidR="00ED7D4C" w:rsidRPr="0059735A" w:rsidRDefault="00ED7D4C" w:rsidP="00C63D77">
            <w:pPr>
              <w:spacing w:before="0" w:after="100" w:afterAutospacing="1"/>
              <w:rPr>
                <w:rFonts w:ascii="Calibri" w:hAnsi="Calibri" w:cs="Calibri"/>
                <w:sz w:val="20"/>
                <w:szCs w:val="20"/>
                <w:lang w:eastAsia="en-GB"/>
              </w:rPr>
            </w:pPr>
            <w:r w:rsidRPr="0059735A">
              <w:rPr>
                <w:rFonts w:ascii="Calibri" w:hAnsi="Calibri" w:cs="Calibri"/>
                <w:sz w:val="20"/>
                <w:szCs w:val="20"/>
                <w:lang w:eastAsia="en-GB"/>
              </w:rPr>
              <w:t xml:space="preserve">Study income </w:t>
            </w:r>
          </w:p>
        </w:tc>
        <w:tc>
          <w:tcPr>
            <w:tcW w:w="992" w:type="dxa"/>
            <w:shd w:val="clear" w:color="auto" w:fill="auto"/>
          </w:tcPr>
          <w:p w:rsidR="00ED7D4C" w:rsidRPr="0059735A" w:rsidRDefault="00ED7D4C" w:rsidP="00C63D77">
            <w:pPr>
              <w:spacing w:before="0" w:after="100" w:afterAutospacing="1"/>
              <w:jc w:val="center"/>
              <w:rPr>
                <w:rFonts w:ascii="Calibri" w:hAnsi="Calibri" w:cs="Calibri"/>
                <w:sz w:val="20"/>
                <w:szCs w:val="20"/>
                <w:lang w:eastAsia="en-GB"/>
              </w:rPr>
            </w:pPr>
            <w:r>
              <w:rPr>
                <w:rFonts w:ascii="Calibri" w:hAnsi="Calibri" w:cs="Calibri"/>
                <w:sz w:val="20"/>
                <w:szCs w:val="20"/>
                <w:lang w:eastAsia="en-GB"/>
              </w:rPr>
              <w:t>856</w:t>
            </w:r>
          </w:p>
        </w:tc>
        <w:tc>
          <w:tcPr>
            <w:tcW w:w="992" w:type="dxa"/>
          </w:tcPr>
          <w:p w:rsidR="00ED7D4C" w:rsidRDefault="00ED7D4C" w:rsidP="00C63D77">
            <w:pPr>
              <w:spacing w:before="0" w:after="100" w:afterAutospacing="1"/>
              <w:jc w:val="center"/>
              <w:rPr>
                <w:rFonts w:ascii="Calibri" w:hAnsi="Calibri" w:cs="Calibri"/>
                <w:sz w:val="20"/>
                <w:szCs w:val="20"/>
                <w:lang w:eastAsia="en-GB"/>
              </w:rPr>
            </w:pPr>
            <w:r>
              <w:rPr>
                <w:rFonts w:ascii="Calibri" w:hAnsi="Calibri" w:cs="Calibri"/>
                <w:sz w:val="20"/>
                <w:szCs w:val="20"/>
                <w:lang w:eastAsia="en-GB"/>
              </w:rPr>
              <w:t>1,120</w:t>
            </w:r>
          </w:p>
        </w:tc>
        <w:tc>
          <w:tcPr>
            <w:tcW w:w="4394" w:type="dxa"/>
          </w:tcPr>
          <w:p w:rsidR="00ED7D4C" w:rsidRDefault="00ED7D4C" w:rsidP="00C63D77">
            <w:pPr>
              <w:spacing w:before="0" w:after="100" w:afterAutospacing="1"/>
              <w:jc w:val="center"/>
              <w:rPr>
                <w:rFonts w:ascii="Calibri" w:hAnsi="Calibri" w:cs="Calibri"/>
                <w:sz w:val="20"/>
                <w:szCs w:val="20"/>
                <w:lang w:eastAsia="en-GB"/>
              </w:rPr>
            </w:pPr>
            <w:r>
              <w:rPr>
                <w:rFonts w:ascii="Calibri" w:hAnsi="Calibri" w:cs="Calibri"/>
                <w:sz w:val="20"/>
                <w:szCs w:val="20"/>
                <w:lang w:eastAsia="en-GB"/>
              </w:rPr>
              <w:t>Two £2m plus Primary Care led grants starting soon</w:t>
            </w:r>
          </w:p>
        </w:tc>
      </w:tr>
      <w:tr w:rsidR="00ED7D4C" w:rsidRPr="005761AD" w:rsidTr="00C63D77">
        <w:trPr>
          <w:trHeight w:val="22"/>
        </w:trPr>
        <w:tc>
          <w:tcPr>
            <w:tcW w:w="2802" w:type="dxa"/>
          </w:tcPr>
          <w:p w:rsidR="00ED7D4C" w:rsidRPr="0059735A" w:rsidRDefault="00ED7D4C" w:rsidP="00C63D77">
            <w:pPr>
              <w:spacing w:before="0" w:after="100" w:afterAutospacing="1"/>
              <w:rPr>
                <w:rFonts w:ascii="Calibri" w:hAnsi="Calibri" w:cs="Calibri"/>
                <w:sz w:val="20"/>
                <w:szCs w:val="20"/>
                <w:lang w:eastAsia="en-GB"/>
              </w:rPr>
            </w:pPr>
            <w:r w:rsidRPr="0059735A">
              <w:rPr>
                <w:rFonts w:ascii="Calibri" w:hAnsi="Calibri" w:cs="Calibri"/>
                <w:sz w:val="20"/>
                <w:szCs w:val="20"/>
                <w:lang w:eastAsia="en-GB"/>
              </w:rPr>
              <w:t>Clinical Research Facility via OUH</w:t>
            </w:r>
          </w:p>
        </w:tc>
        <w:tc>
          <w:tcPr>
            <w:tcW w:w="992" w:type="dxa"/>
            <w:shd w:val="clear" w:color="auto" w:fill="auto"/>
          </w:tcPr>
          <w:p w:rsidR="00ED7D4C" w:rsidRPr="0059735A" w:rsidRDefault="00ED7D4C" w:rsidP="00C63D77">
            <w:pPr>
              <w:spacing w:before="0" w:after="100" w:afterAutospacing="1"/>
              <w:jc w:val="center"/>
              <w:rPr>
                <w:rFonts w:ascii="Calibri" w:hAnsi="Calibri" w:cs="Calibri"/>
                <w:sz w:val="20"/>
                <w:szCs w:val="20"/>
                <w:lang w:eastAsia="en-GB"/>
              </w:rPr>
            </w:pPr>
            <w:r w:rsidRPr="0059735A">
              <w:rPr>
                <w:rFonts w:ascii="Calibri" w:hAnsi="Calibri" w:cs="Calibri"/>
                <w:sz w:val="20"/>
                <w:szCs w:val="20"/>
                <w:lang w:eastAsia="en-GB"/>
              </w:rPr>
              <w:t>717</w:t>
            </w:r>
          </w:p>
        </w:tc>
        <w:tc>
          <w:tcPr>
            <w:tcW w:w="992" w:type="dxa"/>
          </w:tcPr>
          <w:p w:rsidR="00ED7D4C" w:rsidRPr="0059735A" w:rsidRDefault="00ED7D4C" w:rsidP="00C63D77">
            <w:pPr>
              <w:spacing w:before="0" w:after="100" w:afterAutospacing="1"/>
              <w:jc w:val="center"/>
              <w:rPr>
                <w:rFonts w:ascii="Calibri" w:hAnsi="Calibri" w:cs="Calibri"/>
                <w:sz w:val="20"/>
                <w:szCs w:val="20"/>
                <w:lang w:eastAsia="en-GB"/>
              </w:rPr>
            </w:pPr>
            <w:r>
              <w:rPr>
                <w:rFonts w:ascii="Calibri" w:hAnsi="Calibri" w:cs="Calibri"/>
                <w:sz w:val="20"/>
                <w:szCs w:val="20"/>
                <w:lang w:eastAsia="en-GB"/>
              </w:rPr>
              <w:t>658</w:t>
            </w:r>
          </w:p>
        </w:tc>
        <w:tc>
          <w:tcPr>
            <w:tcW w:w="4394" w:type="dxa"/>
          </w:tcPr>
          <w:p w:rsidR="00ED7D4C" w:rsidRDefault="00ED7D4C" w:rsidP="00C63D77">
            <w:pPr>
              <w:spacing w:before="0" w:after="100" w:afterAutospacing="1"/>
              <w:jc w:val="center"/>
              <w:rPr>
                <w:rFonts w:ascii="Calibri" w:hAnsi="Calibri" w:cs="Calibri"/>
                <w:sz w:val="20"/>
                <w:szCs w:val="20"/>
                <w:lang w:eastAsia="en-GB"/>
              </w:rPr>
            </w:pPr>
            <w:r>
              <w:rPr>
                <w:rFonts w:ascii="Calibri" w:hAnsi="Calibri" w:cs="Calibri"/>
                <w:sz w:val="20"/>
                <w:szCs w:val="20"/>
                <w:lang w:eastAsia="en-GB"/>
              </w:rPr>
              <w:t>Same amount for CRF 1 and 2 but CRF 1 was over a shorted period</w:t>
            </w:r>
          </w:p>
        </w:tc>
      </w:tr>
      <w:tr w:rsidR="00ED7D4C" w:rsidRPr="005761AD" w:rsidTr="00C63D77">
        <w:trPr>
          <w:trHeight w:val="22"/>
        </w:trPr>
        <w:tc>
          <w:tcPr>
            <w:tcW w:w="2802" w:type="dxa"/>
          </w:tcPr>
          <w:p w:rsidR="00ED7D4C" w:rsidRPr="0059735A" w:rsidRDefault="00ED7D4C" w:rsidP="00C63D77">
            <w:pPr>
              <w:spacing w:before="0" w:after="100" w:afterAutospacing="1"/>
              <w:rPr>
                <w:rFonts w:ascii="Calibri" w:hAnsi="Calibri" w:cs="Calibri"/>
                <w:sz w:val="20"/>
                <w:szCs w:val="20"/>
                <w:lang w:eastAsia="en-GB"/>
              </w:rPr>
            </w:pPr>
            <w:r w:rsidRPr="0059735A">
              <w:rPr>
                <w:rFonts w:ascii="Calibri" w:hAnsi="Calibri" w:cs="Calibri"/>
                <w:sz w:val="20"/>
                <w:szCs w:val="20"/>
                <w:lang w:eastAsia="en-GB"/>
              </w:rPr>
              <w:t>CLAHRC</w:t>
            </w:r>
          </w:p>
        </w:tc>
        <w:tc>
          <w:tcPr>
            <w:tcW w:w="992" w:type="dxa"/>
            <w:shd w:val="clear" w:color="auto" w:fill="auto"/>
          </w:tcPr>
          <w:p w:rsidR="00ED7D4C" w:rsidRPr="0059735A" w:rsidRDefault="00ED7D4C" w:rsidP="00C63D77">
            <w:pPr>
              <w:spacing w:before="0" w:after="100" w:afterAutospacing="1"/>
              <w:jc w:val="center"/>
              <w:rPr>
                <w:rFonts w:ascii="Calibri" w:hAnsi="Calibri" w:cs="Calibri"/>
                <w:sz w:val="20"/>
                <w:szCs w:val="20"/>
                <w:lang w:eastAsia="en-GB"/>
              </w:rPr>
            </w:pPr>
            <w:r w:rsidRPr="0059735A">
              <w:rPr>
                <w:rFonts w:ascii="Calibri" w:hAnsi="Calibri" w:cs="Calibri"/>
                <w:sz w:val="20"/>
                <w:szCs w:val="20"/>
                <w:lang w:eastAsia="en-GB"/>
              </w:rPr>
              <w:t>2,000</w:t>
            </w:r>
          </w:p>
        </w:tc>
        <w:tc>
          <w:tcPr>
            <w:tcW w:w="992" w:type="dxa"/>
          </w:tcPr>
          <w:p w:rsidR="00ED7D4C" w:rsidRPr="0059735A" w:rsidRDefault="00ED7D4C" w:rsidP="00C63D77">
            <w:pPr>
              <w:spacing w:before="0" w:after="100" w:afterAutospacing="1"/>
              <w:jc w:val="center"/>
              <w:rPr>
                <w:rFonts w:ascii="Calibri" w:hAnsi="Calibri" w:cs="Calibri"/>
                <w:sz w:val="20"/>
                <w:szCs w:val="20"/>
                <w:lang w:eastAsia="en-GB"/>
              </w:rPr>
            </w:pPr>
            <w:r>
              <w:rPr>
                <w:rFonts w:ascii="Calibri" w:hAnsi="Calibri" w:cs="Calibri"/>
                <w:sz w:val="20"/>
                <w:szCs w:val="20"/>
                <w:lang w:eastAsia="en-GB"/>
              </w:rPr>
              <w:t>2,000</w:t>
            </w:r>
          </w:p>
        </w:tc>
        <w:tc>
          <w:tcPr>
            <w:tcW w:w="4394" w:type="dxa"/>
          </w:tcPr>
          <w:p w:rsidR="00ED7D4C" w:rsidRDefault="00ED7D4C" w:rsidP="00C63D77">
            <w:pPr>
              <w:spacing w:before="0" w:after="100" w:afterAutospacing="1"/>
              <w:jc w:val="center"/>
              <w:rPr>
                <w:rFonts w:ascii="Calibri" w:hAnsi="Calibri" w:cs="Calibri"/>
                <w:sz w:val="20"/>
                <w:szCs w:val="20"/>
                <w:lang w:eastAsia="en-GB"/>
              </w:rPr>
            </w:pPr>
          </w:p>
        </w:tc>
      </w:tr>
      <w:tr w:rsidR="00ED7D4C" w:rsidRPr="005761AD" w:rsidTr="00C63D77">
        <w:trPr>
          <w:trHeight w:val="22"/>
        </w:trPr>
        <w:tc>
          <w:tcPr>
            <w:tcW w:w="2802" w:type="dxa"/>
          </w:tcPr>
          <w:p w:rsidR="00ED7D4C" w:rsidRPr="0059735A" w:rsidRDefault="00ED7D4C" w:rsidP="00C63D77">
            <w:pPr>
              <w:spacing w:before="0" w:after="100" w:afterAutospacing="1"/>
              <w:rPr>
                <w:rFonts w:ascii="Calibri" w:hAnsi="Calibri" w:cs="Calibri"/>
                <w:sz w:val="20"/>
                <w:szCs w:val="20"/>
                <w:lang w:eastAsia="en-GB"/>
              </w:rPr>
            </w:pPr>
            <w:r>
              <w:rPr>
                <w:rFonts w:ascii="Calibri" w:hAnsi="Calibri" w:cs="Calibri"/>
                <w:sz w:val="20"/>
                <w:szCs w:val="20"/>
                <w:lang w:eastAsia="en-GB"/>
              </w:rPr>
              <w:t>BRC</w:t>
            </w:r>
          </w:p>
        </w:tc>
        <w:tc>
          <w:tcPr>
            <w:tcW w:w="992" w:type="dxa"/>
            <w:shd w:val="clear" w:color="auto" w:fill="auto"/>
          </w:tcPr>
          <w:p w:rsidR="00ED7D4C" w:rsidRDefault="00ED7D4C" w:rsidP="00C63D77">
            <w:pPr>
              <w:spacing w:before="0" w:after="100" w:afterAutospacing="1"/>
              <w:jc w:val="center"/>
              <w:rPr>
                <w:rFonts w:ascii="Calibri" w:hAnsi="Calibri" w:cs="Calibri"/>
                <w:sz w:val="20"/>
                <w:szCs w:val="20"/>
                <w:lang w:eastAsia="en-GB"/>
              </w:rPr>
            </w:pPr>
            <w:r>
              <w:rPr>
                <w:rFonts w:ascii="Calibri" w:hAnsi="Calibri" w:cs="Calibri"/>
                <w:sz w:val="20"/>
                <w:szCs w:val="20"/>
                <w:lang w:eastAsia="en-GB"/>
              </w:rPr>
              <w:t>-</w:t>
            </w:r>
          </w:p>
        </w:tc>
        <w:tc>
          <w:tcPr>
            <w:tcW w:w="992" w:type="dxa"/>
          </w:tcPr>
          <w:p w:rsidR="00ED7D4C" w:rsidRDefault="00ED7D4C" w:rsidP="00C63D77">
            <w:pPr>
              <w:spacing w:before="0" w:after="100" w:afterAutospacing="1"/>
              <w:jc w:val="center"/>
              <w:rPr>
                <w:rFonts w:ascii="Calibri" w:hAnsi="Calibri" w:cs="Calibri"/>
                <w:sz w:val="20"/>
                <w:szCs w:val="20"/>
                <w:lang w:eastAsia="en-GB"/>
              </w:rPr>
            </w:pPr>
            <w:r>
              <w:rPr>
                <w:rFonts w:ascii="Calibri" w:hAnsi="Calibri" w:cs="Calibri"/>
                <w:sz w:val="20"/>
                <w:szCs w:val="20"/>
                <w:lang w:eastAsia="en-GB"/>
              </w:rPr>
              <w:t>1,499</w:t>
            </w:r>
          </w:p>
        </w:tc>
        <w:tc>
          <w:tcPr>
            <w:tcW w:w="4394" w:type="dxa"/>
          </w:tcPr>
          <w:p w:rsidR="00ED7D4C" w:rsidRDefault="00ED7D4C" w:rsidP="00C63D77">
            <w:pPr>
              <w:spacing w:before="0" w:after="100" w:afterAutospacing="1"/>
              <w:jc w:val="center"/>
              <w:rPr>
                <w:rFonts w:ascii="Calibri" w:hAnsi="Calibri" w:cs="Calibri"/>
                <w:sz w:val="20"/>
                <w:szCs w:val="20"/>
                <w:lang w:eastAsia="en-GB"/>
              </w:rPr>
            </w:pPr>
          </w:p>
        </w:tc>
      </w:tr>
      <w:tr w:rsidR="00ED7D4C" w:rsidRPr="005761AD" w:rsidTr="00C63D77">
        <w:trPr>
          <w:trHeight w:val="22"/>
        </w:trPr>
        <w:tc>
          <w:tcPr>
            <w:tcW w:w="2802" w:type="dxa"/>
          </w:tcPr>
          <w:p w:rsidR="00ED7D4C" w:rsidRPr="0059735A" w:rsidRDefault="00ED7D4C" w:rsidP="00C63D77">
            <w:pPr>
              <w:spacing w:before="0" w:after="100" w:afterAutospacing="1"/>
              <w:rPr>
                <w:rFonts w:ascii="Calibri" w:hAnsi="Calibri" w:cs="Calibri"/>
                <w:sz w:val="20"/>
                <w:szCs w:val="20"/>
                <w:lang w:eastAsia="en-GB"/>
              </w:rPr>
            </w:pPr>
            <w:r w:rsidRPr="0059735A">
              <w:rPr>
                <w:rFonts w:ascii="Calibri" w:hAnsi="Calibri" w:cs="Calibri"/>
                <w:sz w:val="20"/>
                <w:szCs w:val="20"/>
                <w:lang w:eastAsia="en-GB"/>
              </w:rPr>
              <w:t xml:space="preserve">RCF </w:t>
            </w:r>
          </w:p>
        </w:tc>
        <w:tc>
          <w:tcPr>
            <w:tcW w:w="992" w:type="dxa"/>
            <w:shd w:val="clear" w:color="auto" w:fill="auto"/>
          </w:tcPr>
          <w:p w:rsidR="00ED7D4C" w:rsidRPr="0059735A" w:rsidRDefault="00ED7D4C" w:rsidP="00C63D77">
            <w:pPr>
              <w:spacing w:before="0" w:after="100" w:afterAutospacing="1"/>
              <w:jc w:val="center"/>
              <w:rPr>
                <w:rFonts w:ascii="Calibri" w:hAnsi="Calibri" w:cs="Calibri"/>
                <w:sz w:val="20"/>
                <w:szCs w:val="20"/>
                <w:lang w:eastAsia="en-GB"/>
              </w:rPr>
            </w:pPr>
            <w:r>
              <w:rPr>
                <w:rFonts w:ascii="Calibri" w:hAnsi="Calibri" w:cs="Calibri"/>
                <w:sz w:val="20"/>
                <w:szCs w:val="20"/>
                <w:lang w:eastAsia="en-GB"/>
              </w:rPr>
              <w:t>1,045</w:t>
            </w:r>
          </w:p>
        </w:tc>
        <w:tc>
          <w:tcPr>
            <w:tcW w:w="992" w:type="dxa"/>
          </w:tcPr>
          <w:p w:rsidR="00ED7D4C" w:rsidRDefault="00ED7D4C" w:rsidP="00C63D77">
            <w:pPr>
              <w:spacing w:before="0" w:after="100" w:afterAutospacing="1"/>
              <w:jc w:val="center"/>
              <w:rPr>
                <w:rFonts w:ascii="Calibri" w:hAnsi="Calibri" w:cs="Calibri"/>
                <w:sz w:val="20"/>
                <w:szCs w:val="20"/>
                <w:lang w:eastAsia="en-GB"/>
              </w:rPr>
            </w:pPr>
            <w:r>
              <w:rPr>
                <w:rFonts w:ascii="Calibri" w:hAnsi="Calibri" w:cs="Calibri"/>
                <w:sz w:val="20"/>
                <w:szCs w:val="20"/>
                <w:lang w:eastAsia="en-GB"/>
              </w:rPr>
              <w:t>868</w:t>
            </w:r>
          </w:p>
        </w:tc>
        <w:tc>
          <w:tcPr>
            <w:tcW w:w="4394" w:type="dxa"/>
          </w:tcPr>
          <w:p w:rsidR="00ED7D4C" w:rsidRDefault="00ED7D4C" w:rsidP="00C63D77">
            <w:pPr>
              <w:spacing w:before="0" w:after="100" w:afterAutospacing="1"/>
              <w:jc w:val="center"/>
              <w:rPr>
                <w:rFonts w:ascii="Calibri" w:hAnsi="Calibri" w:cs="Calibri"/>
                <w:sz w:val="20"/>
                <w:szCs w:val="20"/>
                <w:lang w:eastAsia="en-GB"/>
              </w:rPr>
            </w:pPr>
            <w:r>
              <w:rPr>
                <w:rFonts w:ascii="Calibri" w:hAnsi="Calibri" w:cs="Calibri"/>
                <w:sz w:val="20"/>
                <w:szCs w:val="20"/>
                <w:lang w:eastAsia="en-GB"/>
              </w:rPr>
              <w:t>The completion of a number of large grants has impacted the FY18 RCF and the effect of the grants listed above will not be seen until FY19</w:t>
            </w:r>
          </w:p>
        </w:tc>
      </w:tr>
      <w:tr w:rsidR="00ED7D4C" w:rsidRPr="005761AD" w:rsidTr="00C63D77">
        <w:trPr>
          <w:trHeight w:val="22"/>
        </w:trPr>
        <w:tc>
          <w:tcPr>
            <w:tcW w:w="2802" w:type="dxa"/>
            <w:tcBorders>
              <w:bottom w:val="single" w:sz="4" w:space="0" w:color="auto"/>
            </w:tcBorders>
            <w:shd w:val="clear" w:color="auto" w:fill="auto"/>
          </w:tcPr>
          <w:p w:rsidR="00ED7D4C" w:rsidRPr="0059735A" w:rsidRDefault="00ED7D4C" w:rsidP="00C63D77">
            <w:pPr>
              <w:spacing w:before="0" w:after="100" w:afterAutospacing="1"/>
              <w:rPr>
                <w:rFonts w:ascii="Calibri" w:hAnsi="Calibri" w:cs="Calibri"/>
                <w:sz w:val="20"/>
                <w:szCs w:val="20"/>
                <w:lang w:eastAsia="en-GB"/>
              </w:rPr>
            </w:pPr>
            <w:r w:rsidRPr="0059735A">
              <w:rPr>
                <w:rFonts w:ascii="Calibri" w:hAnsi="Calibri" w:cs="Calibri"/>
                <w:sz w:val="20"/>
                <w:szCs w:val="20"/>
                <w:lang w:eastAsia="en-GB"/>
              </w:rPr>
              <w:t>NIHR Final Payments</w:t>
            </w:r>
          </w:p>
        </w:tc>
        <w:tc>
          <w:tcPr>
            <w:tcW w:w="992" w:type="dxa"/>
            <w:tcBorders>
              <w:bottom w:val="single" w:sz="4" w:space="0" w:color="auto"/>
            </w:tcBorders>
            <w:shd w:val="clear" w:color="auto" w:fill="auto"/>
          </w:tcPr>
          <w:p w:rsidR="00ED7D4C" w:rsidRPr="0059735A" w:rsidRDefault="00ED7D4C" w:rsidP="00C63D77">
            <w:pPr>
              <w:spacing w:before="0" w:after="100" w:afterAutospacing="1"/>
              <w:jc w:val="center"/>
              <w:rPr>
                <w:rFonts w:ascii="Calibri" w:hAnsi="Calibri" w:cs="Calibri"/>
                <w:sz w:val="20"/>
                <w:szCs w:val="20"/>
                <w:lang w:eastAsia="en-GB"/>
              </w:rPr>
            </w:pPr>
            <w:r>
              <w:rPr>
                <w:rFonts w:ascii="Calibri" w:hAnsi="Calibri" w:cs="Calibri"/>
                <w:sz w:val="20"/>
                <w:szCs w:val="20"/>
                <w:lang w:eastAsia="en-GB"/>
              </w:rPr>
              <w:t>173</w:t>
            </w:r>
          </w:p>
        </w:tc>
        <w:tc>
          <w:tcPr>
            <w:tcW w:w="992" w:type="dxa"/>
            <w:tcBorders>
              <w:bottom w:val="single" w:sz="4" w:space="0" w:color="auto"/>
            </w:tcBorders>
          </w:tcPr>
          <w:p w:rsidR="00ED7D4C" w:rsidRDefault="00ED7D4C" w:rsidP="00C63D77">
            <w:pPr>
              <w:spacing w:before="0" w:after="100" w:afterAutospacing="1"/>
              <w:jc w:val="center"/>
              <w:rPr>
                <w:rFonts w:ascii="Calibri" w:hAnsi="Calibri" w:cs="Calibri"/>
                <w:sz w:val="20"/>
                <w:szCs w:val="20"/>
                <w:lang w:eastAsia="en-GB"/>
              </w:rPr>
            </w:pPr>
            <w:r>
              <w:rPr>
                <w:rFonts w:ascii="Calibri" w:hAnsi="Calibri" w:cs="Calibri"/>
                <w:sz w:val="20"/>
                <w:szCs w:val="20"/>
                <w:lang w:eastAsia="en-GB"/>
              </w:rPr>
              <w:t>-</w:t>
            </w:r>
          </w:p>
        </w:tc>
        <w:tc>
          <w:tcPr>
            <w:tcW w:w="4394" w:type="dxa"/>
            <w:tcBorders>
              <w:bottom w:val="single" w:sz="4" w:space="0" w:color="auto"/>
            </w:tcBorders>
          </w:tcPr>
          <w:p w:rsidR="00ED7D4C" w:rsidRDefault="00ED7D4C" w:rsidP="00C63D77">
            <w:pPr>
              <w:spacing w:before="0" w:after="100" w:afterAutospacing="1"/>
              <w:jc w:val="center"/>
              <w:rPr>
                <w:rFonts w:ascii="Calibri" w:hAnsi="Calibri" w:cs="Calibri"/>
                <w:sz w:val="20"/>
                <w:szCs w:val="20"/>
                <w:lang w:eastAsia="en-GB"/>
              </w:rPr>
            </w:pPr>
            <w:r>
              <w:rPr>
                <w:rFonts w:ascii="Calibri" w:hAnsi="Calibri" w:cs="Calibri"/>
                <w:sz w:val="20"/>
                <w:szCs w:val="20"/>
                <w:lang w:eastAsia="en-GB"/>
              </w:rPr>
              <w:t>All final payments have now been accounted for</w:t>
            </w:r>
          </w:p>
        </w:tc>
      </w:tr>
      <w:tr w:rsidR="00ED7D4C" w:rsidRPr="005761AD" w:rsidTr="00C63D77">
        <w:trPr>
          <w:trHeight w:val="22"/>
        </w:trPr>
        <w:tc>
          <w:tcPr>
            <w:tcW w:w="2802" w:type="dxa"/>
            <w:shd w:val="clear" w:color="auto" w:fill="8DB3E2" w:themeFill="text2" w:themeFillTint="66"/>
          </w:tcPr>
          <w:p w:rsidR="00ED7D4C" w:rsidRPr="0059735A" w:rsidRDefault="00ED7D4C" w:rsidP="00C63D77">
            <w:pPr>
              <w:spacing w:before="0" w:after="100" w:afterAutospacing="1"/>
              <w:rPr>
                <w:rFonts w:ascii="Calibri" w:hAnsi="Calibri" w:cs="Calibri"/>
                <w:b/>
                <w:sz w:val="20"/>
                <w:szCs w:val="20"/>
                <w:lang w:eastAsia="en-GB"/>
              </w:rPr>
            </w:pPr>
            <w:r w:rsidRPr="0059735A">
              <w:rPr>
                <w:rFonts w:ascii="Calibri" w:hAnsi="Calibri" w:cs="Calibri"/>
                <w:b/>
                <w:sz w:val="20"/>
                <w:szCs w:val="20"/>
                <w:lang w:eastAsia="en-GB"/>
              </w:rPr>
              <w:t>Total</w:t>
            </w:r>
          </w:p>
        </w:tc>
        <w:tc>
          <w:tcPr>
            <w:tcW w:w="992" w:type="dxa"/>
            <w:tcBorders>
              <w:bottom w:val="single" w:sz="4" w:space="0" w:color="auto"/>
            </w:tcBorders>
            <w:shd w:val="clear" w:color="auto" w:fill="8DB3E2" w:themeFill="text2" w:themeFillTint="66"/>
          </w:tcPr>
          <w:p w:rsidR="00ED7D4C" w:rsidRPr="0059735A" w:rsidRDefault="00ED7D4C" w:rsidP="00C63D77">
            <w:pPr>
              <w:spacing w:before="0" w:after="100" w:afterAutospacing="1"/>
              <w:jc w:val="center"/>
              <w:rPr>
                <w:rFonts w:ascii="Calibri" w:hAnsi="Calibri" w:cs="Calibri"/>
                <w:b/>
                <w:sz w:val="20"/>
                <w:szCs w:val="20"/>
                <w:lang w:eastAsia="en-GB"/>
              </w:rPr>
            </w:pPr>
            <w:r>
              <w:rPr>
                <w:rFonts w:ascii="Calibri" w:hAnsi="Calibri" w:cs="Calibri"/>
                <w:b/>
                <w:sz w:val="20"/>
                <w:szCs w:val="20"/>
                <w:lang w:eastAsia="en-GB"/>
              </w:rPr>
              <w:t>4,791</w:t>
            </w:r>
          </w:p>
        </w:tc>
        <w:tc>
          <w:tcPr>
            <w:tcW w:w="992" w:type="dxa"/>
            <w:tcBorders>
              <w:bottom w:val="single" w:sz="4" w:space="0" w:color="auto"/>
            </w:tcBorders>
            <w:shd w:val="clear" w:color="auto" w:fill="8DB3E2" w:themeFill="text2" w:themeFillTint="66"/>
          </w:tcPr>
          <w:p w:rsidR="00ED7D4C" w:rsidRDefault="00ED7D4C" w:rsidP="00C63D77">
            <w:pPr>
              <w:spacing w:before="0" w:after="100" w:afterAutospacing="1"/>
              <w:jc w:val="center"/>
              <w:rPr>
                <w:rFonts w:ascii="Calibri" w:hAnsi="Calibri" w:cs="Calibri"/>
                <w:b/>
                <w:sz w:val="20"/>
                <w:szCs w:val="20"/>
                <w:lang w:eastAsia="en-GB"/>
              </w:rPr>
            </w:pPr>
            <w:r>
              <w:rPr>
                <w:rFonts w:ascii="Calibri" w:hAnsi="Calibri" w:cs="Calibri"/>
                <w:b/>
                <w:sz w:val="20"/>
                <w:szCs w:val="20"/>
                <w:lang w:eastAsia="en-GB"/>
              </w:rPr>
              <w:t>6,145</w:t>
            </w:r>
          </w:p>
        </w:tc>
        <w:tc>
          <w:tcPr>
            <w:tcW w:w="4394" w:type="dxa"/>
            <w:tcBorders>
              <w:bottom w:val="single" w:sz="4" w:space="0" w:color="auto"/>
            </w:tcBorders>
            <w:shd w:val="clear" w:color="auto" w:fill="8DB3E2" w:themeFill="text2" w:themeFillTint="66"/>
          </w:tcPr>
          <w:p w:rsidR="00ED7D4C" w:rsidRDefault="00ED7D4C" w:rsidP="00C63D77">
            <w:pPr>
              <w:spacing w:before="0" w:after="100" w:afterAutospacing="1"/>
              <w:jc w:val="center"/>
              <w:rPr>
                <w:rFonts w:ascii="Calibri" w:hAnsi="Calibri" w:cs="Calibri"/>
                <w:b/>
                <w:sz w:val="20"/>
                <w:szCs w:val="20"/>
                <w:lang w:eastAsia="en-GB"/>
              </w:rPr>
            </w:pPr>
          </w:p>
        </w:tc>
      </w:tr>
      <w:tr w:rsidR="00ED7D4C" w:rsidRPr="005761AD" w:rsidTr="00C63D77">
        <w:trPr>
          <w:trHeight w:val="22"/>
        </w:trPr>
        <w:tc>
          <w:tcPr>
            <w:tcW w:w="2802" w:type="dxa"/>
          </w:tcPr>
          <w:p w:rsidR="00ED7D4C" w:rsidRPr="0059735A" w:rsidRDefault="00ED7D4C" w:rsidP="00C63D77">
            <w:pPr>
              <w:spacing w:before="0" w:after="100" w:afterAutospacing="1"/>
              <w:rPr>
                <w:rFonts w:ascii="Calibri" w:hAnsi="Calibri" w:cs="Calibri"/>
                <w:b/>
                <w:sz w:val="20"/>
                <w:szCs w:val="20"/>
                <w:lang w:eastAsia="en-GB"/>
              </w:rPr>
            </w:pPr>
            <w:r w:rsidRPr="0059735A">
              <w:rPr>
                <w:rFonts w:ascii="Calibri" w:hAnsi="Calibri" w:cs="Calibri"/>
                <w:b/>
                <w:sz w:val="20"/>
                <w:szCs w:val="20"/>
                <w:lang w:eastAsia="en-GB"/>
              </w:rPr>
              <w:t xml:space="preserve">Other </w:t>
            </w:r>
            <w:r>
              <w:rPr>
                <w:rFonts w:ascii="Calibri" w:hAnsi="Calibri" w:cs="Calibri"/>
                <w:b/>
                <w:sz w:val="20"/>
                <w:szCs w:val="20"/>
                <w:lang w:eastAsia="en-GB"/>
              </w:rPr>
              <w:t>Funding</w:t>
            </w:r>
          </w:p>
        </w:tc>
        <w:tc>
          <w:tcPr>
            <w:tcW w:w="992" w:type="dxa"/>
            <w:shd w:val="clear" w:color="auto" w:fill="auto"/>
          </w:tcPr>
          <w:p w:rsidR="00ED7D4C" w:rsidRPr="0059735A" w:rsidRDefault="00ED7D4C" w:rsidP="00C63D77">
            <w:pPr>
              <w:spacing w:before="0" w:after="100" w:afterAutospacing="1"/>
              <w:jc w:val="center"/>
              <w:rPr>
                <w:rFonts w:ascii="Calibri" w:hAnsi="Calibri" w:cs="Calibri"/>
                <w:sz w:val="20"/>
                <w:szCs w:val="20"/>
                <w:lang w:eastAsia="en-GB"/>
              </w:rPr>
            </w:pPr>
          </w:p>
        </w:tc>
        <w:tc>
          <w:tcPr>
            <w:tcW w:w="992" w:type="dxa"/>
          </w:tcPr>
          <w:p w:rsidR="00ED7D4C" w:rsidRPr="0059735A" w:rsidRDefault="00ED7D4C" w:rsidP="00C63D77">
            <w:pPr>
              <w:spacing w:before="0" w:after="100" w:afterAutospacing="1"/>
              <w:jc w:val="center"/>
              <w:rPr>
                <w:rFonts w:ascii="Calibri" w:hAnsi="Calibri" w:cs="Calibri"/>
                <w:sz w:val="20"/>
                <w:szCs w:val="20"/>
                <w:lang w:eastAsia="en-GB"/>
              </w:rPr>
            </w:pPr>
          </w:p>
        </w:tc>
        <w:tc>
          <w:tcPr>
            <w:tcW w:w="4394" w:type="dxa"/>
          </w:tcPr>
          <w:p w:rsidR="00ED7D4C" w:rsidRPr="0059735A" w:rsidRDefault="00ED7D4C" w:rsidP="00C63D77">
            <w:pPr>
              <w:spacing w:before="0" w:after="100" w:afterAutospacing="1"/>
              <w:jc w:val="center"/>
              <w:rPr>
                <w:rFonts w:ascii="Calibri" w:hAnsi="Calibri" w:cs="Calibri"/>
                <w:sz w:val="20"/>
                <w:szCs w:val="20"/>
                <w:lang w:eastAsia="en-GB"/>
              </w:rPr>
            </w:pPr>
          </w:p>
        </w:tc>
      </w:tr>
      <w:tr w:rsidR="00ED7D4C" w:rsidRPr="005761AD" w:rsidTr="00C63D77">
        <w:trPr>
          <w:trHeight w:val="410"/>
        </w:trPr>
        <w:tc>
          <w:tcPr>
            <w:tcW w:w="2802" w:type="dxa"/>
          </w:tcPr>
          <w:p w:rsidR="00ED7D4C" w:rsidRPr="0059735A" w:rsidRDefault="00ED7D4C" w:rsidP="00C63D77">
            <w:pPr>
              <w:spacing w:before="0" w:after="100" w:afterAutospacing="1"/>
              <w:rPr>
                <w:rFonts w:ascii="Calibri" w:hAnsi="Calibri" w:cs="Calibri"/>
                <w:sz w:val="20"/>
                <w:szCs w:val="20"/>
                <w:lang w:eastAsia="en-GB"/>
              </w:rPr>
            </w:pPr>
            <w:r w:rsidRPr="0059735A">
              <w:rPr>
                <w:rFonts w:ascii="Calibri" w:hAnsi="Calibri" w:cs="Calibri"/>
                <w:sz w:val="20"/>
                <w:szCs w:val="20"/>
                <w:lang w:eastAsia="en-GB"/>
              </w:rPr>
              <w:t xml:space="preserve">TVCLRN </w:t>
            </w:r>
            <w:r>
              <w:rPr>
                <w:rFonts w:ascii="Calibri" w:hAnsi="Calibri" w:cs="Calibri"/>
                <w:sz w:val="20"/>
                <w:szCs w:val="20"/>
                <w:lang w:eastAsia="en-GB"/>
              </w:rPr>
              <w:t>Core Funding</w:t>
            </w:r>
          </w:p>
        </w:tc>
        <w:tc>
          <w:tcPr>
            <w:tcW w:w="992" w:type="dxa"/>
            <w:shd w:val="clear" w:color="auto" w:fill="auto"/>
          </w:tcPr>
          <w:p w:rsidR="00ED7D4C" w:rsidRPr="0059735A" w:rsidRDefault="00ED7D4C" w:rsidP="00C63D77">
            <w:pPr>
              <w:spacing w:before="0" w:after="100" w:afterAutospacing="1"/>
              <w:jc w:val="center"/>
              <w:rPr>
                <w:rFonts w:ascii="Calibri" w:hAnsi="Calibri" w:cs="Calibri"/>
                <w:sz w:val="20"/>
                <w:szCs w:val="20"/>
                <w:lang w:eastAsia="en-GB"/>
              </w:rPr>
            </w:pPr>
            <w:r>
              <w:rPr>
                <w:rFonts w:ascii="Calibri" w:hAnsi="Calibri" w:cs="Calibri"/>
                <w:sz w:val="20"/>
                <w:szCs w:val="20"/>
                <w:lang w:eastAsia="en-GB"/>
              </w:rPr>
              <w:t>860</w:t>
            </w:r>
          </w:p>
        </w:tc>
        <w:tc>
          <w:tcPr>
            <w:tcW w:w="992" w:type="dxa"/>
          </w:tcPr>
          <w:p w:rsidR="00ED7D4C" w:rsidRDefault="00ED7D4C" w:rsidP="00C63D77">
            <w:pPr>
              <w:spacing w:before="0" w:after="100" w:afterAutospacing="1"/>
              <w:jc w:val="center"/>
              <w:rPr>
                <w:rFonts w:ascii="Calibri" w:hAnsi="Calibri" w:cs="Calibri"/>
                <w:sz w:val="20"/>
                <w:szCs w:val="20"/>
                <w:lang w:eastAsia="en-GB"/>
              </w:rPr>
            </w:pPr>
            <w:r>
              <w:rPr>
                <w:rFonts w:ascii="Calibri" w:hAnsi="Calibri" w:cs="Calibri"/>
                <w:sz w:val="20"/>
                <w:szCs w:val="20"/>
                <w:lang w:eastAsia="en-GB"/>
              </w:rPr>
              <w:t>860</w:t>
            </w:r>
          </w:p>
        </w:tc>
        <w:tc>
          <w:tcPr>
            <w:tcW w:w="4394" w:type="dxa"/>
            <w:vMerge w:val="restart"/>
          </w:tcPr>
          <w:p w:rsidR="00ED7D4C" w:rsidRDefault="00ED7D4C" w:rsidP="00C63D77">
            <w:pPr>
              <w:spacing w:before="0" w:after="100" w:afterAutospacing="1"/>
              <w:jc w:val="center"/>
              <w:rPr>
                <w:rFonts w:ascii="Calibri" w:hAnsi="Calibri" w:cs="Calibri"/>
                <w:sz w:val="20"/>
                <w:szCs w:val="20"/>
                <w:lang w:eastAsia="en-GB"/>
              </w:rPr>
            </w:pPr>
            <w:r>
              <w:rPr>
                <w:rFonts w:ascii="Calibri" w:hAnsi="Calibri" w:cs="Calibri"/>
                <w:sz w:val="20"/>
                <w:szCs w:val="20"/>
                <w:lang w:eastAsia="en-GB"/>
              </w:rPr>
              <w:t>As at 25</w:t>
            </w:r>
            <w:r w:rsidRPr="00207FA4">
              <w:rPr>
                <w:rFonts w:ascii="Calibri" w:hAnsi="Calibri" w:cs="Calibri"/>
                <w:sz w:val="20"/>
                <w:szCs w:val="20"/>
                <w:vertAlign w:val="superscript"/>
                <w:lang w:eastAsia="en-GB"/>
              </w:rPr>
              <w:t>th</w:t>
            </w:r>
            <w:r>
              <w:rPr>
                <w:rFonts w:ascii="Calibri" w:hAnsi="Calibri" w:cs="Calibri"/>
                <w:sz w:val="20"/>
                <w:szCs w:val="20"/>
                <w:lang w:eastAsia="en-GB"/>
              </w:rPr>
              <w:t xml:space="preserve"> Feb no detailed information received from the CRN regarding the FY18 budget other than an indication it will be in line with FY17</w:t>
            </w:r>
          </w:p>
        </w:tc>
      </w:tr>
      <w:tr w:rsidR="00ED7D4C" w:rsidRPr="005761AD" w:rsidTr="00C63D77">
        <w:trPr>
          <w:trHeight w:val="22"/>
        </w:trPr>
        <w:tc>
          <w:tcPr>
            <w:tcW w:w="2802" w:type="dxa"/>
          </w:tcPr>
          <w:p w:rsidR="00ED7D4C" w:rsidRPr="0059735A" w:rsidRDefault="00ED7D4C" w:rsidP="00C63D77">
            <w:pPr>
              <w:spacing w:before="0" w:after="100" w:afterAutospacing="1"/>
              <w:rPr>
                <w:rFonts w:ascii="Calibri" w:hAnsi="Calibri" w:cs="Calibri"/>
                <w:sz w:val="20"/>
                <w:szCs w:val="20"/>
                <w:lang w:eastAsia="en-GB"/>
              </w:rPr>
            </w:pPr>
            <w:r w:rsidRPr="0059735A">
              <w:rPr>
                <w:rFonts w:ascii="Calibri" w:hAnsi="Calibri" w:cs="Calibri"/>
                <w:sz w:val="20"/>
                <w:szCs w:val="20"/>
                <w:lang w:eastAsia="en-GB"/>
              </w:rPr>
              <w:t xml:space="preserve">TVCLRN </w:t>
            </w:r>
            <w:r>
              <w:rPr>
                <w:rFonts w:ascii="Calibri" w:hAnsi="Calibri" w:cs="Calibri"/>
                <w:sz w:val="20"/>
                <w:szCs w:val="20"/>
                <w:lang w:eastAsia="en-GB"/>
              </w:rPr>
              <w:t>Network Funding</w:t>
            </w:r>
          </w:p>
        </w:tc>
        <w:tc>
          <w:tcPr>
            <w:tcW w:w="992" w:type="dxa"/>
            <w:shd w:val="clear" w:color="auto" w:fill="auto"/>
          </w:tcPr>
          <w:p w:rsidR="00ED7D4C" w:rsidRPr="0059735A" w:rsidRDefault="00ED7D4C" w:rsidP="00C63D77">
            <w:pPr>
              <w:spacing w:before="0" w:after="100" w:afterAutospacing="1"/>
              <w:jc w:val="center"/>
              <w:rPr>
                <w:rFonts w:ascii="Calibri" w:hAnsi="Calibri" w:cs="Calibri"/>
                <w:sz w:val="20"/>
                <w:szCs w:val="20"/>
                <w:lang w:eastAsia="en-GB"/>
              </w:rPr>
            </w:pPr>
            <w:r>
              <w:rPr>
                <w:rFonts w:ascii="Calibri" w:hAnsi="Calibri" w:cs="Calibri"/>
                <w:sz w:val="20"/>
                <w:szCs w:val="20"/>
                <w:lang w:eastAsia="en-GB"/>
              </w:rPr>
              <w:t>381</w:t>
            </w:r>
          </w:p>
        </w:tc>
        <w:tc>
          <w:tcPr>
            <w:tcW w:w="992" w:type="dxa"/>
          </w:tcPr>
          <w:p w:rsidR="00ED7D4C" w:rsidRDefault="00ED7D4C" w:rsidP="00C63D77">
            <w:pPr>
              <w:spacing w:before="0" w:after="100" w:afterAutospacing="1"/>
              <w:jc w:val="center"/>
              <w:rPr>
                <w:rFonts w:ascii="Calibri" w:hAnsi="Calibri" w:cs="Calibri"/>
                <w:sz w:val="20"/>
                <w:szCs w:val="20"/>
                <w:lang w:eastAsia="en-GB"/>
              </w:rPr>
            </w:pPr>
            <w:r>
              <w:rPr>
                <w:rFonts w:ascii="Calibri" w:hAnsi="Calibri" w:cs="Calibri"/>
                <w:sz w:val="20"/>
                <w:szCs w:val="20"/>
                <w:lang w:eastAsia="en-GB"/>
              </w:rPr>
              <w:t>381</w:t>
            </w:r>
          </w:p>
        </w:tc>
        <w:tc>
          <w:tcPr>
            <w:tcW w:w="4394" w:type="dxa"/>
            <w:vMerge/>
          </w:tcPr>
          <w:p w:rsidR="00ED7D4C" w:rsidRDefault="00ED7D4C" w:rsidP="00C63D77">
            <w:pPr>
              <w:spacing w:before="0" w:after="100" w:afterAutospacing="1"/>
              <w:jc w:val="center"/>
              <w:rPr>
                <w:rFonts w:ascii="Calibri" w:hAnsi="Calibri" w:cs="Calibri"/>
                <w:sz w:val="20"/>
                <w:szCs w:val="20"/>
                <w:lang w:eastAsia="en-GB"/>
              </w:rPr>
            </w:pPr>
          </w:p>
        </w:tc>
      </w:tr>
      <w:tr w:rsidR="00ED7D4C" w:rsidRPr="005761AD" w:rsidTr="00C63D77">
        <w:trPr>
          <w:trHeight w:val="22"/>
        </w:trPr>
        <w:tc>
          <w:tcPr>
            <w:tcW w:w="2802" w:type="dxa"/>
          </w:tcPr>
          <w:p w:rsidR="00ED7D4C" w:rsidRPr="0059735A" w:rsidRDefault="00ED7D4C" w:rsidP="00C63D77">
            <w:pPr>
              <w:spacing w:before="0" w:after="100" w:afterAutospacing="1"/>
              <w:rPr>
                <w:rFonts w:ascii="Calibri" w:hAnsi="Calibri" w:cs="Calibri"/>
                <w:sz w:val="20"/>
                <w:szCs w:val="20"/>
                <w:lang w:eastAsia="en-GB"/>
              </w:rPr>
            </w:pPr>
            <w:r>
              <w:rPr>
                <w:rFonts w:ascii="Calibri" w:hAnsi="Calibri" w:cs="Calibri"/>
                <w:sz w:val="20"/>
                <w:szCs w:val="20"/>
                <w:lang w:eastAsia="en-GB"/>
              </w:rPr>
              <w:t>N</w:t>
            </w:r>
            <w:r w:rsidRPr="0059735A">
              <w:rPr>
                <w:rFonts w:ascii="Calibri" w:hAnsi="Calibri" w:cs="Calibri"/>
                <w:sz w:val="20"/>
                <w:szCs w:val="20"/>
                <w:lang w:eastAsia="en-GB"/>
              </w:rPr>
              <w:t xml:space="preserve">on-NIHR </w:t>
            </w:r>
            <w:r>
              <w:rPr>
                <w:rFonts w:ascii="Calibri" w:hAnsi="Calibri" w:cs="Calibri"/>
                <w:sz w:val="20"/>
                <w:szCs w:val="20"/>
                <w:lang w:eastAsia="en-GB"/>
              </w:rPr>
              <w:t xml:space="preserve">CRF </w:t>
            </w:r>
            <w:r w:rsidRPr="0059735A">
              <w:rPr>
                <w:rFonts w:ascii="Calibri" w:hAnsi="Calibri" w:cs="Calibri"/>
                <w:sz w:val="20"/>
                <w:szCs w:val="20"/>
                <w:lang w:eastAsia="en-GB"/>
              </w:rPr>
              <w:t>Income</w:t>
            </w:r>
          </w:p>
        </w:tc>
        <w:tc>
          <w:tcPr>
            <w:tcW w:w="992" w:type="dxa"/>
            <w:shd w:val="clear" w:color="auto" w:fill="auto"/>
          </w:tcPr>
          <w:p w:rsidR="00ED7D4C" w:rsidRPr="0059735A" w:rsidRDefault="00ED7D4C" w:rsidP="00C63D77">
            <w:pPr>
              <w:spacing w:before="0" w:after="100" w:afterAutospacing="1"/>
              <w:jc w:val="center"/>
              <w:rPr>
                <w:rFonts w:ascii="Calibri" w:hAnsi="Calibri" w:cs="Calibri"/>
                <w:sz w:val="20"/>
                <w:szCs w:val="20"/>
                <w:lang w:eastAsia="en-GB"/>
              </w:rPr>
            </w:pPr>
            <w:r w:rsidRPr="0059735A">
              <w:rPr>
                <w:rFonts w:ascii="Calibri" w:hAnsi="Calibri" w:cs="Calibri"/>
                <w:sz w:val="20"/>
                <w:szCs w:val="20"/>
                <w:lang w:eastAsia="en-GB"/>
              </w:rPr>
              <w:t>7</w:t>
            </w:r>
            <w:r>
              <w:rPr>
                <w:rFonts w:ascii="Calibri" w:hAnsi="Calibri" w:cs="Calibri"/>
                <w:sz w:val="20"/>
                <w:szCs w:val="20"/>
                <w:lang w:eastAsia="en-GB"/>
              </w:rPr>
              <w:t>4</w:t>
            </w:r>
          </w:p>
        </w:tc>
        <w:tc>
          <w:tcPr>
            <w:tcW w:w="992" w:type="dxa"/>
          </w:tcPr>
          <w:p w:rsidR="00ED7D4C" w:rsidRPr="0059735A" w:rsidRDefault="00ED7D4C" w:rsidP="00C63D77">
            <w:pPr>
              <w:spacing w:before="0" w:after="100" w:afterAutospacing="1"/>
              <w:jc w:val="center"/>
              <w:rPr>
                <w:rFonts w:ascii="Calibri" w:hAnsi="Calibri" w:cs="Calibri"/>
                <w:sz w:val="20"/>
                <w:szCs w:val="20"/>
                <w:lang w:eastAsia="en-GB"/>
              </w:rPr>
            </w:pPr>
            <w:r>
              <w:rPr>
                <w:rFonts w:ascii="Calibri" w:hAnsi="Calibri" w:cs="Calibri"/>
                <w:sz w:val="20"/>
                <w:szCs w:val="20"/>
                <w:lang w:eastAsia="en-GB"/>
              </w:rPr>
              <w:t>194</w:t>
            </w:r>
          </w:p>
        </w:tc>
        <w:tc>
          <w:tcPr>
            <w:tcW w:w="4394" w:type="dxa"/>
          </w:tcPr>
          <w:p w:rsidR="00ED7D4C" w:rsidRDefault="00ED7D4C" w:rsidP="00C63D77">
            <w:pPr>
              <w:spacing w:before="0" w:after="100" w:afterAutospacing="1"/>
              <w:jc w:val="center"/>
              <w:rPr>
                <w:rFonts w:ascii="Calibri" w:hAnsi="Calibri" w:cs="Calibri"/>
                <w:sz w:val="20"/>
                <w:szCs w:val="20"/>
                <w:lang w:eastAsia="en-GB"/>
              </w:rPr>
            </w:pPr>
            <w:r>
              <w:rPr>
                <w:rFonts w:ascii="Calibri" w:hAnsi="Calibri" w:cs="Calibri"/>
                <w:sz w:val="20"/>
                <w:szCs w:val="20"/>
                <w:lang w:eastAsia="en-GB"/>
              </w:rPr>
              <w:t>A number of studies currently in set-up</w:t>
            </w:r>
          </w:p>
        </w:tc>
      </w:tr>
      <w:tr w:rsidR="00ED7D4C" w:rsidRPr="005761AD" w:rsidTr="00C63D77">
        <w:trPr>
          <w:trHeight w:val="22"/>
        </w:trPr>
        <w:tc>
          <w:tcPr>
            <w:tcW w:w="2802" w:type="dxa"/>
          </w:tcPr>
          <w:p w:rsidR="00ED7D4C" w:rsidRPr="0059735A" w:rsidRDefault="00ED7D4C" w:rsidP="00C63D77">
            <w:pPr>
              <w:spacing w:before="0" w:after="100" w:afterAutospacing="1"/>
              <w:rPr>
                <w:rFonts w:ascii="Calibri" w:hAnsi="Calibri" w:cs="Calibri"/>
                <w:sz w:val="20"/>
                <w:szCs w:val="20"/>
                <w:lang w:eastAsia="en-GB"/>
              </w:rPr>
            </w:pPr>
            <w:r>
              <w:rPr>
                <w:rFonts w:ascii="Calibri" w:hAnsi="Calibri" w:cs="Calibri"/>
                <w:sz w:val="20"/>
                <w:szCs w:val="20"/>
                <w:lang w:eastAsia="en-GB"/>
              </w:rPr>
              <w:t>Other grants (as lead)</w:t>
            </w:r>
          </w:p>
        </w:tc>
        <w:tc>
          <w:tcPr>
            <w:tcW w:w="992" w:type="dxa"/>
            <w:shd w:val="clear" w:color="auto" w:fill="auto"/>
          </w:tcPr>
          <w:p w:rsidR="00ED7D4C" w:rsidRPr="0059735A" w:rsidRDefault="00ED7D4C" w:rsidP="00C63D77">
            <w:pPr>
              <w:spacing w:before="0" w:after="100" w:afterAutospacing="1"/>
              <w:jc w:val="center"/>
              <w:rPr>
                <w:rFonts w:ascii="Calibri" w:hAnsi="Calibri" w:cs="Calibri"/>
                <w:sz w:val="20"/>
                <w:szCs w:val="20"/>
                <w:lang w:eastAsia="en-GB"/>
              </w:rPr>
            </w:pPr>
            <w:r>
              <w:rPr>
                <w:rFonts w:ascii="Calibri" w:hAnsi="Calibri" w:cs="Calibri"/>
                <w:sz w:val="20"/>
                <w:szCs w:val="20"/>
                <w:lang w:eastAsia="en-GB"/>
              </w:rPr>
              <w:t>191</w:t>
            </w:r>
          </w:p>
        </w:tc>
        <w:tc>
          <w:tcPr>
            <w:tcW w:w="992" w:type="dxa"/>
          </w:tcPr>
          <w:p w:rsidR="00ED7D4C" w:rsidRDefault="00ED7D4C" w:rsidP="00C63D77">
            <w:pPr>
              <w:spacing w:before="0" w:after="100" w:afterAutospacing="1"/>
              <w:jc w:val="center"/>
              <w:rPr>
                <w:rFonts w:ascii="Calibri" w:hAnsi="Calibri" w:cs="Calibri"/>
                <w:sz w:val="20"/>
                <w:szCs w:val="20"/>
                <w:lang w:eastAsia="en-GB"/>
              </w:rPr>
            </w:pPr>
            <w:r>
              <w:rPr>
                <w:rFonts w:ascii="Calibri" w:hAnsi="Calibri" w:cs="Calibri"/>
                <w:sz w:val="20"/>
                <w:szCs w:val="20"/>
                <w:lang w:eastAsia="en-GB"/>
              </w:rPr>
              <w:t>48</w:t>
            </w:r>
          </w:p>
        </w:tc>
        <w:tc>
          <w:tcPr>
            <w:tcW w:w="4394" w:type="dxa"/>
          </w:tcPr>
          <w:p w:rsidR="00ED7D4C" w:rsidRDefault="00ED7D4C" w:rsidP="00C63D77">
            <w:pPr>
              <w:spacing w:before="0" w:after="100" w:afterAutospacing="1"/>
              <w:jc w:val="center"/>
              <w:rPr>
                <w:rFonts w:ascii="Calibri" w:hAnsi="Calibri" w:cs="Calibri"/>
                <w:sz w:val="20"/>
                <w:szCs w:val="20"/>
                <w:lang w:eastAsia="en-GB"/>
              </w:rPr>
            </w:pPr>
            <w:r>
              <w:rPr>
                <w:rFonts w:ascii="Calibri" w:hAnsi="Calibri" w:cs="Calibri"/>
                <w:sz w:val="20"/>
                <w:szCs w:val="20"/>
                <w:lang w:eastAsia="en-GB"/>
              </w:rPr>
              <w:t>Studies coming to an end</w:t>
            </w:r>
          </w:p>
        </w:tc>
      </w:tr>
      <w:tr w:rsidR="00ED7D4C" w:rsidRPr="005761AD" w:rsidTr="00C63D77">
        <w:trPr>
          <w:trHeight w:val="22"/>
        </w:trPr>
        <w:tc>
          <w:tcPr>
            <w:tcW w:w="2802" w:type="dxa"/>
          </w:tcPr>
          <w:p w:rsidR="00ED7D4C" w:rsidRPr="0059735A" w:rsidRDefault="00ED7D4C" w:rsidP="00C63D77">
            <w:pPr>
              <w:spacing w:before="0" w:after="100" w:afterAutospacing="1"/>
              <w:rPr>
                <w:rFonts w:ascii="Calibri" w:hAnsi="Calibri" w:cs="Calibri"/>
                <w:sz w:val="20"/>
                <w:szCs w:val="20"/>
                <w:lang w:eastAsia="en-GB"/>
              </w:rPr>
            </w:pPr>
            <w:r w:rsidRPr="0059735A">
              <w:rPr>
                <w:rFonts w:ascii="Calibri" w:hAnsi="Calibri" w:cs="Calibri"/>
                <w:sz w:val="20"/>
                <w:szCs w:val="20"/>
                <w:lang w:eastAsia="en-GB"/>
              </w:rPr>
              <w:t xml:space="preserve">Sub-contracted grants </w:t>
            </w:r>
          </w:p>
        </w:tc>
        <w:tc>
          <w:tcPr>
            <w:tcW w:w="992" w:type="dxa"/>
            <w:shd w:val="clear" w:color="auto" w:fill="auto"/>
          </w:tcPr>
          <w:p w:rsidR="00ED7D4C" w:rsidRPr="0059735A" w:rsidRDefault="00ED7D4C" w:rsidP="00C63D77">
            <w:pPr>
              <w:spacing w:before="0" w:after="100" w:afterAutospacing="1"/>
              <w:jc w:val="center"/>
              <w:rPr>
                <w:rFonts w:ascii="Calibri" w:hAnsi="Calibri" w:cs="Calibri"/>
                <w:sz w:val="20"/>
                <w:szCs w:val="20"/>
                <w:lang w:eastAsia="en-GB"/>
              </w:rPr>
            </w:pPr>
            <w:r w:rsidRPr="0059735A">
              <w:rPr>
                <w:rFonts w:ascii="Calibri" w:hAnsi="Calibri" w:cs="Calibri"/>
                <w:sz w:val="20"/>
                <w:szCs w:val="20"/>
                <w:lang w:eastAsia="en-GB"/>
              </w:rPr>
              <w:t>22</w:t>
            </w:r>
            <w:r>
              <w:rPr>
                <w:rFonts w:ascii="Calibri" w:hAnsi="Calibri" w:cs="Calibri"/>
                <w:sz w:val="20"/>
                <w:szCs w:val="20"/>
                <w:lang w:eastAsia="en-GB"/>
              </w:rPr>
              <w:t>6</w:t>
            </w:r>
          </w:p>
        </w:tc>
        <w:tc>
          <w:tcPr>
            <w:tcW w:w="992" w:type="dxa"/>
          </w:tcPr>
          <w:p w:rsidR="00ED7D4C" w:rsidRPr="0059735A" w:rsidRDefault="00ED7D4C" w:rsidP="00C63D77">
            <w:pPr>
              <w:spacing w:before="0" w:after="100" w:afterAutospacing="1"/>
              <w:jc w:val="center"/>
              <w:rPr>
                <w:rFonts w:ascii="Calibri" w:hAnsi="Calibri" w:cs="Calibri"/>
                <w:sz w:val="20"/>
                <w:szCs w:val="20"/>
                <w:lang w:eastAsia="en-GB"/>
              </w:rPr>
            </w:pPr>
            <w:r>
              <w:rPr>
                <w:rFonts w:ascii="Calibri" w:hAnsi="Calibri" w:cs="Calibri"/>
                <w:sz w:val="20"/>
                <w:szCs w:val="20"/>
                <w:lang w:eastAsia="en-GB"/>
              </w:rPr>
              <w:t>420</w:t>
            </w:r>
          </w:p>
        </w:tc>
        <w:tc>
          <w:tcPr>
            <w:tcW w:w="4394" w:type="dxa"/>
          </w:tcPr>
          <w:p w:rsidR="00ED7D4C" w:rsidRDefault="00ED7D4C" w:rsidP="00C63D77">
            <w:pPr>
              <w:spacing w:before="0" w:after="100" w:afterAutospacing="1"/>
              <w:jc w:val="center"/>
              <w:rPr>
                <w:rFonts w:ascii="Calibri" w:hAnsi="Calibri" w:cs="Calibri"/>
                <w:sz w:val="20"/>
                <w:szCs w:val="20"/>
                <w:lang w:eastAsia="en-GB"/>
              </w:rPr>
            </w:pPr>
            <w:r>
              <w:rPr>
                <w:rFonts w:ascii="Calibri" w:hAnsi="Calibri" w:cs="Calibri"/>
                <w:sz w:val="20"/>
                <w:szCs w:val="20"/>
                <w:lang w:eastAsia="en-GB"/>
              </w:rPr>
              <w:t>A number of grants currently in set-up</w:t>
            </w:r>
          </w:p>
        </w:tc>
      </w:tr>
      <w:tr w:rsidR="00ED7D4C" w:rsidRPr="005761AD" w:rsidTr="00C63D77">
        <w:trPr>
          <w:trHeight w:val="22"/>
        </w:trPr>
        <w:tc>
          <w:tcPr>
            <w:tcW w:w="2802" w:type="dxa"/>
            <w:tcBorders>
              <w:bottom w:val="single" w:sz="4" w:space="0" w:color="auto"/>
            </w:tcBorders>
          </w:tcPr>
          <w:p w:rsidR="00ED7D4C" w:rsidRPr="0059735A" w:rsidRDefault="00ED7D4C" w:rsidP="00C63D77">
            <w:pPr>
              <w:spacing w:before="0" w:after="100" w:afterAutospacing="1"/>
              <w:rPr>
                <w:rFonts w:ascii="Calibri" w:hAnsi="Calibri" w:cs="Calibri"/>
                <w:sz w:val="20"/>
                <w:szCs w:val="20"/>
                <w:lang w:eastAsia="en-GB"/>
              </w:rPr>
            </w:pPr>
            <w:r w:rsidRPr="0059735A">
              <w:rPr>
                <w:rFonts w:ascii="Calibri" w:hAnsi="Calibri" w:cs="Calibri"/>
                <w:sz w:val="20"/>
                <w:szCs w:val="20"/>
                <w:lang w:eastAsia="en-GB"/>
              </w:rPr>
              <w:t xml:space="preserve">Dendron related </w:t>
            </w:r>
          </w:p>
        </w:tc>
        <w:tc>
          <w:tcPr>
            <w:tcW w:w="992" w:type="dxa"/>
            <w:tcBorders>
              <w:bottom w:val="single" w:sz="4" w:space="0" w:color="auto"/>
            </w:tcBorders>
            <w:shd w:val="clear" w:color="auto" w:fill="auto"/>
          </w:tcPr>
          <w:p w:rsidR="00ED7D4C" w:rsidRPr="0059735A" w:rsidRDefault="00ED7D4C" w:rsidP="00C63D77">
            <w:pPr>
              <w:spacing w:before="0" w:after="100" w:afterAutospacing="1"/>
              <w:jc w:val="center"/>
              <w:rPr>
                <w:rFonts w:ascii="Calibri" w:hAnsi="Calibri" w:cs="Calibri"/>
                <w:sz w:val="20"/>
                <w:szCs w:val="20"/>
                <w:lang w:eastAsia="en-GB"/>
              </w:rPr>
            </w:pPr>
            <w:r w:rsidRPr="0059735A">
              <w:rPr>
                <w:rFonts w:ascii="Calibri" w:hAnsi="Calibri" w:cs="Calibri"/>
                <w:sz w:val="20"/>
                <w:szCs w:val="20"/>
                <w:lang w:eastAsia="en-GB"/>
              </w:rPr>
              <w:t>1</w:t>
            </w:r>
            <w:r>
              <w:rPr>
                <w:rFonts w:ascii="Calibri" w:hAnsi="Calibri" w:cs="Calibri"/>
                <w:sz w:val="20"/>
                <w:szCs w:val="20"/>
                <w:lang w:eastAsia="en-GB"/>
              </w:rPr>
              <w:t>1</w:t>
            </w:r>
            <w:r w:rsidRPr="0059735A">
              <w:rPr>
                <w:rFonts w:ascii="Calibri" w:hAnsi="Calibri" w:cs="Calibri"/>
                <w:sz w:val="20"/>
                <w:szCs w:val="20"/>
                <w:lang w:eastAsia="en-GB"/>
              </w:rPr>
              <w:t>7</w:t>
            </w:r>
          </w:p>
        </w:tc>
        <w:tc>
          <w:tcPr>
            <w:tcW w:w="992" w:type="dxa"/>
            <w:tcBorders>
              <w:bottom w:val="single" w:sz="4" w:space="0" w:color="auto"/>
            </w:tcBorders>
          </w:tcPr>
          <w:p w:rsidR="00ED7D4C" w:rsidRPr="0059735A" w:rsidRDefault="00ED7D4C" w:rsidP="00C63D77">
            <w:pPr>
              <w:spacing w:before="0" w:after="100" w:afterAutospacing="1"/>
              <w:jc w:val="center"/>
              <w:rPr>
                <w:rFonts w:ascii="Calibri" w:hAnsi="Calibri" w:cs="Calibri"/>
                <w:sz w:val="20"/>
                <w:szCs w:val="20"/>
                <w:lang w:eastAsia="en-GB"/>
              </w:rPr>
            </w:pPr>
            <w:r>
              <w:rPr>
                <w:rFonts w:ascii="Calibri" w:hAnsi="Calibri" w:cs="Calibri"/>
                <w:sz w:val="20"/>
                <w:szCs w:val="20"/>
                <w:lang w:eastAsia="en-GB"/>
              </w:rPr>
              <w:t>117</w:t>
            </w:r>
          </w:p>
        </w:tc>
        <w:tc>
          <w:tcPr>
            <w:tcW w:w="4394" w:type="dxa"/>
            <w:tcBorders>
              <w:bottom w:val="single" w:sz="4" w:space="0" w:color="auto"/>
            </w:tcBorders>
          </w:tcPr>
          <w:p w:rsidR="00ED7D4C" w:rsidRDefault="00ED7D4C" w:rsidP="00C63D77">
            <w:pPr>
              <w:spacing w:before="0" w:after="100" w:afterAutospacing="1"/>
              <w:jc w:val="center"/>
              <w:rPr>
                <w:rFonts w:ascii="Calibri" w:hAnsi="Calibri" w:cs="Calibri"/>
                <w:sz w:val="20"/>
                <w:szCs w:val="20"/>
                <w:lang w:eastAsia="en-GB"/>
              </w:rPr>
            </w:pPr>
          </w:p>
        </w:tc>
      </w:tr>
      <w:tr w:rsidR="00ED7D4C" w:rsidRPr="0059735A" w:rsidTr="00C63D77">
        <w:trPr>
          <w:trHeight w:val="22"/>
        </w:trPr>
        <w:tc>
          <w:tcPr>
            <w:tcW w:w="2802" w:type="dxa"/>
            <w:shd w:val="clear" w:color="auto" w:fill="8DB3E2" w:themeFill="text2" w:themeFillTint="66"/>
          </w:tcPr>
          <w:p w:rsidR="00ED7D4C" w:rsidRPr="0059735A" w:rsidRDefault="00ED7D4C" w:rsidP="00C63D77">
            <w:pPr>
              <w:spacing w:before="0" w:after="100" w:afterAutospacing="1"/>
              <w:rPr>
                <w:rFonts w:ascii="Calibri" w:hAnsi="Calibri" w:cs="Calibri"/>
                <w:b/>
                <w:sz w:val="20"/>
                <w:szCs w:val="20"/>
                <w:lang w:eastAsia="en-GB"/>
              </w:rPr>
            </w:pPr>
            <w:r w:rsidRPr="0059735A">
              <w:rPr>
                <w:rFonts w:ascii="Calibri" w:hAnsi="Calibri" w:cs="Calibri"/>
                <w:b/>
                <w:sz w:val="20"/>
                <w:szCs w:val="20"/>
                <w:lang w:eastAsia="en-GB"/>
              </w:rPr>
              <w:t>Total</w:t>
            </w:r>
          </w:p>
        </w:tc>
        <w:tc>
          <w:tcPr>
            <w:tcW w:w="992" w:type="dxa"/>
            <w:shd w:val="clear" w:color="auto" w:fill="8DB3E2" w:themeFill="text2" w:themeFillTint="66"/>
          </w:tcPr>
          <w:p w:rsidR="00ED7D4C" w:rsidRPr="0059735A" w:rsidRDefault="00ED7D4C" w:rsidP="00C63D77">
            <w:pPr>
              <w:spacing w:before="0" w:after="100" w:afterAutospacing="1"/>
              <w:jc w:val="center"/>
              <w:rPr>
                <w:rFonts w:ascii="Calibri" w:hAnsi="Calibri" w:cs="Calibri"/>
                <w:b/>
                <w:sz w:val="20"/>
                <w:szCs w:val="20"/>
                <w:lang w:eastAsia="en-GB"/>
              </w:rPr>
            </w:pPr>
            <w:r>
              <w:rPr>
                <w:rFonts w:ascii="Calibri" w:hAnsi="Calibri" w:cs="Calibri"/>
                <w:b/>
                <w:sz w:val="20"/>
                <w:szCs w:val="20"/>
                <w:lang w:eastAsia="en-GB"/>
              </w:rPr>
              <w:t>6,640</w:t>
            </w:r>
          </w:p>
        </w:tc>
        <w:tc>
          <w:tcPr>
            <w:tcW w:w="992" w:type="dxa"/>
            <w:shd w:val="clear" w:color="auto" w:fill="8DB3E2" w:themeFill="text2" w:themeFillTint="66"/>
          </w:tcPr>
          <w:p w:rsidR="00ED7D4C" w:rsidRDefault="00ED7D4C" w:rsidP="00C63D77">
            <w:pPr>
              <w:spacing w:before="0" w:after="100" w:afterAutospacing="1"/>
              <w:jc w:val="center"/>
              <w:rPr>
                <w:rFonts w:ascii="Calibri" w:hAnsi="Calibri" w:cs="Calibri"/>
                <w:b/>
                <w:sz w:val="20"/>
                <w:szCs w:val="20"/>
                <w:lang w:eastAsia="en-GB"/>
              </w:rPr>
            </w:pPr>
            <w:r>
              <w:rPr>
                <w:rFonts w:ascii="Calibri" w:hAnsi="Calibri" w:cs="Calibri"/>
                <w:b/>
                <w:sz w:val="20"/>
                <w:szCs w:val="20"/>
                <w:lang w:eastAsia="en-GB"/>
              </w:rPr>
              <w:t>8,165</w:t>
            </w:r>
          </w:p>
        </w:tc>
        <w:tc>
          <w:tcPr>
            <w:tcW w:w="4394" w:type="dxa"/>
            <w:shd w:val="clear" w:color="auto" w:fill="8DB3E2" w:themeFill="text2" w:themeFillTint="66"/>
          </w:tcPr>
          <w:p w:rsidR="00ED7D4C" w:rsidRDefault="00ED7D4C" w:rsidP="00C63D77">
            <w:pPr>
              <w:spacing w:before="0" w:after="100" w:afterAutospacing="1"/>
              <w:jc w:val="center"/>
              <w:rPr>
                <w:rFonts w:ascii="Calibri" w:hAnsi="Calibri" w:cs="Calibri"/>
                <w:b/>
                <w:sz w:val="20"/>
                <w:szCs w:val="20"/>
                <w:lang w:eastAsia="en-GB"/>
              </w:rPr>
            </w:pPr>
          </w:p>
        </w:tc>
      </w:tr>
    </w:tbl>
    <w:p w:rsidR="00ED7D4C" w:rsidRPr="00ED7D4C" w:rsidRDefault="00ED7D4C" w:rsidP="00ED7D4C">
      <w:pPr>
        <w:pStyle w:val="Heading2"/>
      </w:pPr>
      <w:bookmarkStart w:id="48" w:name="_Toc476822123"/>
      <w:bookmarkStart w:id="49" w:name="_Toc441061228"/>
      <w:r w:rsidRPr="00ED7D4C">
        <w:t>Grant Applications</w:t>
      </w:r>
      <w:bookmarkEnd w:id="48"/>
    </w:p>
    <w:p w:rsidR="00ED7D4C" w:rsidRPr="00BE6756" w:rsidRDefault="00ED7D4C" w:rsidP="00ED7D4C">
      <w:r>
        <w:t xml:space="preserve">Grant applications take place on a regular basis submitted by various individuals and to a number of different funding bodies, activity since November 2014 is shown in the table below; </w:t>
      </w:r>
    </w:p>
    <w:tbl>
      <w:tblPr>
        <w:tblStyle w:val="TableGrid"/>
        <w:tblW w:w="9009" w:type="dxa"/>
        <w:tblInd w:w="534" w:type="dxa"/>
        <w:tblLook w:val="04A0" w:firstRow="1" w:lastRow="0" w:firstColumn="1" w:lastColumn="0" w:noHBand="0" w:noVBand="1"/>
      </w:tblPr>
      <w:tblGrid>
        <w:gridCol w:w="2835"/>
        <w:gridCol w:w="1559"/>
        <w:gridCol w:w="1559"/>
        <w:gridCol w:w="1559"/>
        <w:gridCol w:w="1497"/>
      </w:tblGrid>
      <w:tr w:rsidR="00ED7D4C" w:rsidRPr="00BE6756" w:rsidTr="00C63D77">
        <w:trPr>
          <w:trHeight w:val="693"/>
        </w:trPr>
        <w:tc>
          <w:tcPr>
            <w:tcW w:w="2835" w:type="dxa"/>
            <w:shd w:val="clear" w:color="auto" w:fill="8DB3E2" w:themeFill="text2" w:themeFillTint="66"/>
            <w:vAlign w:val="center"/>
          </w:tcPr>
          <w:p w:rsidR="00ED7D4C" w:rsidRPr="00BE6756" w:rsidRDefault="00ED7D4C" w:rsidP="00C63D77">
            <w:pPr>
              <w:spacing w:before="0" w:after="0"/>
              <w:rPr>
                <w:rFonts w:ascii="Calibri" w:hAnsi="Calibri" w:cs="Calibri"/>
                <w:sz w:val="20"/>
                <w:szCs w:val="20"/>
                <w:lang w:eastAsia="en-GB"/>
              </w:rPr>
            </w:pPr>
          </w:p>
        </w:tc>
        <w:tc>
          <w:tcPr>
            <w:tcW w:w="1559" w:type="dxa"/>
            <w:shd w:val="clear" w:color="auto" w:fill="8DB3E2" w:themeFill="text2" w:themeFillTint="66"/>
            <w:vAlign w:val="center"/>
          </w:tcPr>
          <w:p w:rsidR="00ED7D4C" w:rsidRPr="00BE6756" w:rsidRDefault="00ED7D4C" w:rsidP="00C63D77">
            <w:pPr>
              <w:spacing w:before="0" w:after="0"/>
              <w:jc w:val="right"/>
              <w:rPr>
                <w:rFonts w:ascii="Calibri" w:hAnsi="Calibri" w:cs="Calibri"/>
                <w:b/>
                <w:sz w:val="20"/>
                <w:szCs w:val="20"/>
                <w:lang w:eastAsia="en-GB"/>
              </w:rPr>
            </w:pPr>
            <w:r w:rsidRPr="00BE6756">
              <w:rPr>
                <w:rFonts w:ascii="Calibri" w:hAnsi="Calibri" w:cs="Calibri"/>
                <w:b/>
                <w:sz w:val="20"/>
                <w:szCs w:val="20"/>
                <w:lang w:eastAsia="en-GB"/>
              </w:rPr>
              <w:t>FY15 (Nov-Mar)</w:t>
            </w:r>
          </w:p>
        </w:tc>
        <w:tc>
          <w:tcPr>
            <w:tcW w:w="1559" w:type="dxa"/>
            <w:shd w:val="clear" w:color="auto" w:fill="8DB3E2" w:themeFill="text2" w:themeFillTint="66"/>
            <w:vAlign w:val="center"/>
          </w:tcPr>
          <w:p w:rsidR="00ED7D4C" w:rsidRPr="00BE6756" w:rsidRDefault="00ED7D4C" w:rsidP="00C63D77">
            <w:pPr>
              <w:spacing w:before="0" w:after="0"/>
              <w:jc w:val="right"/>
              <w:rPr>
                <w:rFonts w:ascii="Calibri" w:hAnsi="Calibri" w:cs="Calibri"/>
                <w:b/>
                <w:sz w:val="20"/>
                <w:szCs w:val="20"/>
                <w:lang w:eastAsia="en-GB"/>
              </w:rPr>
            </w:pPr>
            <w:r w:rsidRPr="00BE6756">
              <w:rPr>
                <w:rFonts w:ascii="Calibri" w:hAnsi="Calibri" w:cs="Calibri"/>
                <w:b/>
                <w:sz w:val="20"/>
                <w:szCs w:val="20"/>
                <w:lang w:eastAsia="en-GB"/>
              </w:rPr>
              <w:t>FY16 (Apr-Mar)</w:t>
            </w:r>
          </w:p>
        </w:tc>
        <w:tc>
          <w:tcPr>
            <w:tcW w:w="1559" w:type="dxa"/>
            <w:shd w:val="clear" w:color="auto" w:fill="8DB3E2" w:themeFill="text2" w:themeFillTint="66"/>
            <w:vAlign w:val="center"/>
          </w:tcPr>
          <w:p w:rsidR="00ED7D4C" w:rsidRPr="00BE6756" w:rsidRDefault="00ED7D4C" w:rsidP="00C63D77">
            <w:pPr>
              <w:spacing w:before="0" w:after="0"/>
              <w:jc w:val="right"/>
              <w:rPr>
                <w:rFonts w:ascii="Calibri" w:hAnsi="Calibri" w:cs="Calibri"/>
                <w:b/>
                <w:sz w:val="20"/>
                <w:szCs w:val="20"/>
                <w:lang w:eastAsia="en-GB"/>
              </w:rPr>
            </w:pPr>
            <w:r w:rsidRPr="00BE6756">
              <w:rPr>
                <w:rFonts w:ascii="Calibri" w:hAnsi="Calibri" w:cs="Calibri"/>
                <w:b/>
                <w:sz w:val="20"/>
                <w:szCs w:val="20"/>
                <w:lang w:eastAsia="en-GB"/>
              </w:rPr>
              <w:t>FY17 (Apr-Dec)</w:t>
            </w:r>
          </w:p>
        </w:tc>
        <w:tc>
          <w:tcPr>
            <w:tcW w:w="1497" w:type="dxa"/>
            <w:shd w:val="clear" w:color="auto" w:fill="8DB3E2" w:themeFill="text2" w:themeFillTint="66"/>
            <w:vAlign w:val="center"/>
          </w:tcPr>
          <w:p w:rsidR="00ED7D4C" w:rsidRPr="00BE6756" w:rsidRDefault="00ED7D4C" w:rsidP="00C63D77">
            <w:pPr>
              <w:spacing w:before="0" w:after="0"/>
              <w:jc w:val="right"/>
              <w:rPr>
                <w:rFonts w:ascii="Calibri" w:hAnsi="Calibri" w:cs="Calibri"/>
                <w:b/>
                <w:sz w:val="20"/>
                <w:szCs w:val="20"/>
                <w:lang w:eastAsia="en-GB"/>
              </w:rPr>
            </w:pPr>
            <w:r w:rsidRPr="00BE6756">
              <w:rPr>
                <w:rFonts w:ascii="Calibri" w:hAnsi="Calibri" w:cs="Calibri"/>
                <w:b/>
                <w:sz w:val="20"/>
                <w:szCs w:val="20"/>
                <w:lang w:eastAsia="en-GB"/>
              </w:rPr>
              <w:t>Total</w:t>
            </w:r>
          </w:p>
        </w:tc>
      </w:tr>
      <w:tr w:rsidR="00ED7D4C" w:rsidRPr="007436F6" w:rsidTr="00C63D77">
        <w:trPr>
          <w:trHeight w:val="20"/>
        </w:trPr>
        <w:tc>
          <w:tcPr>
            <w:tcW w:w="2835" w:type="dxa"/>
            <w:vAlign w:val="center"/>
          </w:tcPr>
          <w:p w:rsidR="00ED7D4C" w:rsidRPr="00BE6756" w:rsidRDefault="00ED7D4C" w:rsidP="00C63D77">
            <w:pPr>
              <w:spacing w:before="0" w:after="100" w:afterAutospacing="1"/>
              <w:rPr>
                <w:rFonts w:ascii="Calibri" w:hAnsi="Calibri" w:cs="Calibri"/>
                <w:sz w:val="20"/>
                <w:szCs w:val="20"/>
                <w:lang w:eastAsia="en-GB"/>
              </w:rPr>
            </w:pPr>
            <w:r w:rsidRPr="00BE6756">
              <w:rPr>
                <w:rFonts w:ascii="Calibri" w:hAnsi="Calibri" w:cs="Calibri"/>
                <w:sz w:val="20"/>
                <w:szCs w:val="20"/>
                <w:lang w:eastAsia="en-GB"/>
              </w:rPr>
              <w:t>Outcomes of Grants submitted</w:t>
            </w:r>
          </w:p>
        </w:tc>
        <w:tc>
          <w:tcPr>
            <w:tcW w:w="1559" w:type="dxa"/>
            <w:vAlign w:val="center"/>
          </w:tcPr>
          <w:p w:rsidR="00ED7D4C" w:rsidRPr="00BE6756" w:rsidRDefault="00ED7D4C" w:rsidP="00C63D77">
            <w:pPr>
              <w:spacing w:before="0" w:after="100" w:afterAutospacing="1"/>
              <w:jc w:val="center"/>
              <w:rPr>
                <w:rFonts w:ascii="Calibri" w:hAnsi="Calibri" w:cs="Calibri"/>
                <w:sz w:val="20"/>
                <w:szCs w:val="20"/>
                <w:lang w:eastAsia="en-GB"/>
              </w:rPr>
            </w:pPr>
          </w:p>
        </w:tc>
        <w:tc>
          <w:tcPr>
            <w:tcW w:w="1559" w:type="dxa"/>
            <w:vAlign w:val="center"/>
          </w:tcPr>
          <w:p w:rsidR="00ED7D4C" w:rsidRPr="00BE6756" w:rsidRDefault="00ED7D4C" w:rsidP="00C63D77">
            <w:pPr>
              <w:spacing w:before="0" w:after="100" w:afterAutospacing="1"/>
              <w:jc w:val="center"/>
              <w:rPr>
                <w:rFonts w:ascii="Calibri" w:hAnsi="Calibri" w:cs="Calibri"/>
                <w:sz w:val="20"/>
                <w:szCs w:val="20"/>
                <w:lang w:eastAsia="en-GB"/>
              </w:rPr>
            </w:pPr>
          </w:p>
        </w:tc>
        <w:tc>
          <w:tcPr>
            <w:tcW w:w="1559" w:type="dxa"/>
            <w:vAlign w:val="center"/>
          </w:tcPr>
          <w:p w:rsidR="00ED7D4C" w:rsidRPr="00BE6756" w:rsidRDefault="00ED7D4C" w:rsidP="00C63D77">
            <w:pPr>
              <w:spacing w:before="0" w:after="100" w:afterAutospacing="1"/>
              <w:jc w:val="center"/>
              <w:rPr>
                <w:rFonts w:ascii="Calibri" w:hAnsi="Calibri" w:cs="Calibri"/>
                <w:sz w:val="20"/>
                <w:szCs w:val="20"/>
                <w:lang w:eastAsia="en-GB"/>
              </w:rPr>
            </w:pPr>
          </w:p>
        </w:tc>
        <w:tc>
          <w:tcPr>
            <w:tcW w:w="1497" w:type="dxa"/>
            <w:vAlign w:val="center"/>
          </w:tcPr>
          <w:p w:rsidR="00ED7D4C" w:rsidRPr="00BE6756" w:rsidRDefault="00ED7D4C" w:rsidP="00C63D77">
            <w:pPr>
              <w:spacing w:before="0" w:after="100" w:afterAutospacing="1"/>
              <w:jc w:val="center"/>
              <w:rPr>
                <w:rFonts w:ascii="Calibri" w:hAnsi="Calibri" w:cs="Calibri"/>
                <w:sz w:val="20"/>
                <w:szCs w:val="20"/>
                <w:lang w:eastAsia="en-GB"/>
              </w:rPr>
            </w:pPr>
          </w:p>
        </w:tc>
      </w:tr>
      <w:tr w:rsidR="00ED7D4C" w:rsidRPr="007436F6" w:rsidTr="00C63D77">
        <w:trPr>
          <w:trHeight w:val="20"/>
        </w:trPr>
        <w:tc>
          <w:tcPr>
            <w:tcW w:w="2835" w:type="dxa"/>
            <w:vAlign w:val="center"/>
          </w:tcPr>
          <w:p w:rsidR="00ED7D4C" w:rsidRPr="00BE6756" w:rsidRDefault="00ED7D4C" w:rsidP="00C63D77">
            <w:pPr>
              <w:spacing w:before="0" w:after="100" w:afterAutospacing="1"/>
              <w:rPr>
                <w:rFonts w:ascii="Calibri" w:hAnsi="Calibri" w:cs="Calibri"/>
                <w:sz w:val="20"/>
                <w:szCs w:val="20"/>
                <w:lang w:eastAsia="en-GB"/>
              </w:rPr>
            </w:pPr>
            <w:r w:rsidRPr="00BE6756">
              <w:rPr>
                <w:rFonts w:ascii="Calibri" w:hAnsi="Calibri" w:cs="Calibri"/>
                <w:sz w:val="20"/>
                <w:szCs w:val="20"/>
                <w:lang w:eastAsia="en-GB"/>
              </w:rPr>
              <w:t xml:space="preserve">Awarded </w:t>
            </w:r>
          </w:p>
        </w:tc>
        <w:tc>
          <w:tcPr>
            <w:tcW w:w="1559" w:type="dxa"/>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1</w:t>
            </w:r>
          </w:p>
        </w:tc>
        <w:tc>
          <w:tcPr>
            <w:tcW w:w="1559" w:type="dxa"/>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11</w:t>
            </w:r>
          </w:p>
        </w:tc>
        <w:tc>
          <w:tcPr>
            <w:tcW w:w="1559" w:type="dxa"/>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6</w:t>
            </w:r>
          </w:p>
        </w:tc>
        <w:tc>
          <w:tcPr>
            <w:tcW w:w="1497" w:type="dxa"/>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18</w:t>
            </w:r>
          </w:p>
        </w:tc>
      </w:tr>
      <w:tr w:rsidR="00ED7D4C" w:rsidRPr="007436F6" w:rsidTr="00C63D77">
        <w:trPr>
          <w:trHeight w:val="20"/>
        </w:trPr>
        <w:tc>
          <w:tcPr>
            <w:tcW w:w="2835" w:type="dxa"/>
          </w:tcPr>
          <w:p w:rsidR="00ED7D4C" w:rsidRPr="00BE6756" w:rsidRDefault="00ED7D4C" w:rsidP="00C63D77">
            <w:pPr>
              <w:spacing w:before="0" w:after="100" w:afterAutospacing="1"/>
              <w:rPr>
                <w:rFonts w:ascii="Calibri" w:hAnsi="Calibri" w:cs="Calibri"/>
                <w:sz w:val="20"/>
                <w:szCs w:val="20"/>
                <w:lang w:eastAsia="en-GB"/>
              </w:rPr>
            </w:pPr>
            <w:r w:rsidRPr="00BE6756">
              <w:rPr>
                <w:rFonts w:ascii="Calibri" w:hAnsi="Calibri" w:cs="Calibri"/>
                <w:sz w:val="20"/>
                <w:szCs w:val="20"/>
                <w:lang w:eastAsia="en-GB"/>
              </w:rPr>
              <w:t>Unsuccessful</w:t>
            </w:r>
          </w:p>
        </w:tc>
        <w:tc>
          <w:tcPr>
            <w:tcW w:w="1559" w:type="dxa"/>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14</w:t>
            </w:r>
          </w:p>
        </w:tc>
        <w:tc>
          <w:tcPr>
            <w:tcW w:w="1559" w:type="dxa"/>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18</w:t>
            </w:r>
          </w:p>
        </w:tc>
        <w:tc>
          <w:tcPr>
            <w:tcW w:w="1559" w:type="dxa"/>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6</w:t>
            </w:r>
          </w:p>
        </w:tc>
        <w:tc>
          <w:tcPr>
            <w:tcW w:w="1497" w:type="dxa"/>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38</w:t>
            </w:r>
          </w:p>
        </w:tc>
      </w:tr>
      <w:tr w:rsidR="00ED7D4C" w:rsidRPr="007436F6" w:rsidTr="00C63D77">
        <w:trPr>
          <w:trHeight w:val="20"/>
        </w:trPr>
        <w:tc>
          <w:tcPr>
            <w:tcW w:w="2835" w:type="dxa"/>
            <w:tcBorders>
              <w:bottom w:val="single" w:sz="4" w:space="0" w:color="auto"/>
            </w:tcBorders>
            <w:vAlign w:val="center"/>
          </w:tcPr>
          <w:p w:rsidR="00ED7D4C" w:rsidRPr="00BE6756" w:rsidRDefault="00ED7D4C" w:rsidP="00C63D77">
            <w:pPr>
              <w:spacing w:before="0" w:after="100" w:afterAutospacing="1"/>
              <w:rPr>
                <w:rFonts w:ascii="Calibri" w:hAnsi="Calibri" w:cs="Calibri"/>
                <w:sz w:val="20"/>
                <w:szCs w:val="20"/>
                <w:lang w:eastAsia="en-GB"/>
              </w:rPr>
            </w:pPr>
            <w:r w:rsidRPr="00BE6756">
              <w:rPr>
                <w:rFonts w:ascii="Calibri" w:hAnsi="Calibri" w:cs="Calibri"/>
                <w:sz w:val="20"/>
                <w:szCs w:val="20"/>
                <w:lang w:eastAsia="en-GB"/>
              </w:rPr>
              <w:t>Submitted</w:t>
            </w:r>
          </w:p>
        </w:tc>
        <w:tc>
          <w:tcPr>
            <w:tcW w:w="1559" w:type="dxa"/>
            <w:tcBorders>
              <w:bottom w:val="single" w:sz="4" w:space="0" w:color="auto"/>
            </w:tcBorders>
            <w:vAlign w:val="center"/>
          </w:tcPr>
          <w:p w:rsidR="00ED7D4C" w:rsidRPr="00BE6756" w:rsidRDefault="00ED7D4C" w:rsidP="00C63D77">
            <w:pPr>
              <w:spacing w:before="0" w:after="100" w:afterAutospacing="1"/>
              <w:jc w:val="right"/>
              <w:rPr>
                <w:rFonts w:ascii="Calibri" w:hAnsi="Calibri" w:cs="Calibri"/>
                <w:sz w:val="20"/>
                <w:szCs w:val="20"/>
                <w:lang w:eastAsia="en-GB"/>
              </w:rPr>
            </w:pPr>
          </w:p>
        </w:tc>
        <w:tc>
          <w:tcPr>
            <w:tcW w:w="1559" w:type="dxa"/>
            <w:tcBorders>
              <w:bottom w:val="single" w:sz="4" w:space="0" w:color="auto"/>
            </w:tcBorders>
            <w:vAlign w:val="center"/>
          </w:tcPr>
          <w:p w:rsidR="00ED7D4C" w:rsidRPr="00BE6756" w:rsidRDefault="00ED7D4C" w:rsidP="00C63D77">
            <w:pPr>
              <w:spacing w:before="0" w:after="100" w:afterAutospacing="1"/>
              <w:jc w:val="right"/>
              <w:rPr>
                <w:rFonts w:ascii="Calibri" w:hAnsi="Calibri" w:cs="Calibri"/>
                <w:sz w:val="20"/>
                <w:szCs w:val="20"/>
                <w:lang w:eastAsia="en-GB"/>
              </w:rPr>
            </w:pPr>
          </w:p>
        </w:tc>
        <w:tc>
          <w:tcPr>
            <w:tcW w:w="1559" w:type="dxa"/>
            <w:tcBorders>
              <w:bottom w:val="single" w:sz="4" w:space="0" w:color="auto"/>
            </w:tcBorders>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14</w:t>
            </w:r>
          </w:p>
        </w:tc>
        <w:tc>
          <w:tcPr>
            <w:tcW w:w="1497" w:type="dxa"/>
            <w:tcBorders>
              <w:bottom w:val="single" w:sz="4" w:space="0" w:color="auto"/>
            </w:tcBorders>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14</w:t>
            </w:r>
          </w:p>
        </w:tc>
      </w:tr>
      <w:tr w:rsidR="00ED7D4C" w:rsidRPr="007436F6" w:rsidTr="00C63D77">
        <w:trPr>
          <w:trHeight w:val="290"/>
        </w:trPr>
        <w:tc>
          <w:tcPr>
            <w:tcW w:w="2835" w:type="dxa"/>
            <w:shd w:val="clear" w:color="auto" w:fill="8DB3E2" w:themeFill="text2" w:themeFillTint="66"/>
            <w:vAlign w:val="center"/>
          </w:tcPr>
          <w:p w:rsidR="00ED7D4C" w:rsidRPr="00BE6756" w:rsidRDefault="00ED7D4C" w:rsidP="00C63D77">
            <w:pPr>
              <w:spacing w:before="0" w:after="100" w:afterAutospacing="1"/>
              <w:rPr>
                <w:rFonts w:ascii="Calibri" w:hAnsi="Calibri" w:cs="Calibri"/>
                <w:b/>
                <w:sz w:val="20"/>
                <w:szCs w:val="20"/>
                <w:lang w:eastAsia="en-GB"/>
              </w:rPr>
            </w:pPr>
            <w:r w:rsidRPr="00BE6756">
              <w:rPr>
                <w:rFonts w:ascii="Calibri" w:hAnsi="Calibri" w:cs="Calibri"/>
                <w:b/>
                <w:sz w:val="20"/>
                <w:szCs w:val="20"/>
                <w:lang w:eastAsia="en-GB"/>
              </w:rPr>
              <w:t>Total</w:t>
            </w:r>
          </w:p>
        </w:tc>
        <w:tc>
          <w:tcPr>
            <w:tcW w:w="1559" w:type="dxa"/>
            <w:shd w:val="clear" w:color="auto" w:fill="8DB3E2" w:themeFill="text2" w:themeFillTint="66"/>
            <w:vAlign w:val="center"/>
          </w:tcPr>
          <w:p w:rsidR="00ED7D4C" w:rsidRPr="00BE6756" w:rsidRDefault="00ED7D4C" w:rsidP="00C63D77">
            <w:pPr>
              <w:spacing w:before="0" w:after="100" w:afterAutospacing="1"/>
              <w:jc w:val="right"/>
              <w:rPr>
                <w:rFonts w:ascii="Calibri" w:hAnsi="Calibri" w:cs="Calibri"/>
                <w:b/>
                <w:sz w:val="20"/>
                <w:szCs w:val="20"/>
                <w:lang w:eastAsia="en-GB"/>
              </w:rPr>
            </w:pPr>
            <w:r w:rsidRPr="00BE6756">
              <w:rPr>
                <w:rFonts w:ascii="Calibri" w:hAnsi="Calibri" w:cs="Calibri"/>
                <w:b/>
                <w:sz w:val="20"/>
                <w:szCs w:val="20"/>
                <w:lang w:eastAsia="en-GB"/>
              </w:rPr>
              <w:t>15</w:t>
            </w:r>
          </w:p>
        </w:tc>
        <w:tc>
          <w:tcPr>
            <w:tcW w:w="1559" w:type="dxa"/>
            <w:shd w:val="clear" w:color="auto" w:fill="8DB3E2" w:themeFill="text2" w:themeFillTint="66"/>
            <w:vAlign w:val="center"/>
          </w:tcPr>
          <w:p w:rsidR="00ED7D4C" w:rsidRPr="00BE6756" w:rsidRDefault="00ED7D4C" w:rsidP="00C63D77">
            <w:pPr>
              <w:spacing w:before="0" w:after="100" w:afterAutospacing="1"/>
              <w:jc w:val="right"/>
              <w:rPr>
                <w:rFonts w:ascii="Calibri" w:hAnsi="Calibri" w:cs="Calibri"/>
                <w:b/>
                <w:sz w:val="20"/>
                <w:szCs w:val="20"/>
                <w:lang w:eastAsia="en-GB"/>
              </w:rPr>
            </w:pPr>
            <w:r w:rsidRPr="00BE6756">
              <w:rPr>
                <w:rFonts w:ascii="Calibri" w:hAnsi="Calibri" w:cs="Calibri"/>
                <w:b/>
                <w:sz w:val="20"/>
                <w:szCs w:val="20"/>
                <w:lang w:eastAsia="en-GB"/>
              </w:rPr>
              <w:t>29</w:t>
            </w:r>
          </w:p>
        </w:tc>
        <w:tc>
          <w:tcPr>
            <w:tcW w:w="1559" w:type="dxa"/>
            <w:shd w:val="clear" w:color="auto" w:fill="8DB3E2" w:themeFill="text2" w:themeFillTint="66"/>
            <w:vAlign w:val="center"/>
          </w:tcPr>
          <w:p w:rsidR="00ED7D4C" w:rsidRPr="00BE6756" w:rsidRDefault="00ED7D4C" w:rsidP="00C63D77">
            <w:pPr>
              <w:spacing w:before="0" w:after="100" w:afterAutospacing="1"/>
              <w:jc w:val="right"/>
              <w:rPr>
                <w:rFonts w:ascii="Calibri" w:hAnsi="Calibri" w:cs="Calibri"/>
                <w:b/>
                <w:sz w:val="20"/>
                <w:szCs w:val="20"/>
                <w:lang w:eastAsia="en-GB"/>
              </w:rPr>
            </w:pPr>
            <w:r w:rsidRPr="00BE6756">
              <w:rPr>
                <w:rFonts w:ascii="Calibri" w:hAnsi="Calibri" w:cs="Calibri"/>
                <w:b/>
                <w:sz w:val="20"/>
                <w:szCs w:val="20"/>
                <w:lang w:eastAsia="en-GB"/>
              </w:rPr>
              <w:t>26</w:t>
            </w:r>
          </w:p>
        </w:tc>
        <w:tc>
          <w:tcPr>
            <w:tcW w:w="1497" w:type="dxa"/>
            <w:shd w:val="clear" w:color="auto" w:fill="8DB3E2" w:themeFill="text2" w:themeFillTint="66"/>
            <w:vAlign w:val="center"/>
          </w:tcPr>
          <w:p w:rsidR="00ED7D4C" w:rsidRPr="00BE6756" w:rsidRDefault="00ED7D4C" w:rsidP="00C63D77">
            <w:pPr>
              <w:spacing w:before="0" w:after="100" w:afterAutospacing="1"/>
              <w:jc w:val="right"/>
              <w:rPr>
                <w:rFonts w:ascii="Calibri" w:hAnsi="Calibri" w:cs="Calibri"/>
                <w:b/>
                <w:sz w:val="20"/>
                <w:szCs w:val="20"/>
                <w:lang w:eastAsia="en-GB"/>
              </w:rPr>
            </w:pPr>
            <w:r w:rsidRPr="00BE6756">
              <w:rPr>
                <w:rFonts w:ascii="Calibri" w:hAnsi="Calibri" w:cs="Calibri"/>
                <w:b/>
                <w:sz w:val="20"/>
                <w:szCs w:val="20"/>
                <w:lang w:eastAsia="en-GB"/>
              </w:rPr>
              <w:t>70</w:t>
            </w:r>
          </w:p>
        </w:tc>
      </w:tr>
      <w:tr w:rsidR="00ED7D4C" w:rsidRPr="007436F6" w:rsidTr="00C63D77">
        <w:trPr>
          <w:trHeight w:val="20"/>
        </w:trPr>
        <w:tc>
          <w:tcPr>
            <w:tcW w:w="2835" w:type="dxa"/>
            <w:vAlign w:val="center"/>
          </w:tcPr>
          <w:p w:rsidR="00ED7D4C" w:rsidRPr="00BE6756" w:rsidRDefault="00ED7D4C" w:rsidP="00C63D77">
            <w:pPr>
              <w:spacing w:before="0" w:after="100" w:afterAutospacing="1"/>
              <w:rPr>
                <w:rFonts w:ascii="Calibri" w:hAnsi="Calibri" w:cs="Calibri"/>
                <w:sz w:val="20"/>
                <w:szCs w:val="20"/>
                <w:lang w:eastAsia="en-GB"/>
              </w:rPr>
            </w:pPr>
            <w:r w:rsidRPr="00BE6756">
              <w:rPr>
                <w:rFonts w:ascii="Calibri" w:hAnsi="Calibri" w:cs="Calibri"/>
                <w:sz w:val="20"/>
                <w:szCs w:val="20"/>
                <w:lang w:eastAsia="en-GB"/>
              </w:rPr>
              <w:t>Funding applications</w:t>
            </w:r>
          </w:p>
        </w:tc>
        <w:tc>
          <w:tcPr>
            <w:tcW w:w="1559" w:type="dxa"/>
            <w:vAlign w:val="center"/>
          </w:tcPr>
          <w:p w:rsidR="00ED7D4C" w:rsidRPr="00BE6756" w:rsidRDefault="00ED7D4C" w:rsidP="00C63D77">
            <w:pPr>
              <w:spacing w:before="0" w:after="100" w:afterAutospacing="1"/>
              <w:jc w:val="right"/>
              <w:rPr>
                <w:rFonts w:ascii="Calibri" w:hAnsi="Calibri" w:cs="Calibri"/>
                <w:sz w:val="20"/>
                <w:szCs w:val="20"/>
                <w:lang w:eastAsia="en-GB"/>
              </w:rPr>
            </w:pPr>
          </w:p>
        </w:tc>
        <w:tc>
          <w:tcPr>
            <w:tcW w:w="1559" w:type="dxa"/>
            <w:vAlign w:val="center"/>
          </w:tcPr>
          <w:p w:rsidR="00ED7D4C" w:rsidRPr="00BE6756" w:rsidRDefault="00ED7D4C" w:rsidP="00C63D77">
            <w:pPr>
              <w:spacing w:before="0" w:after="100" w:afterAutospacing="1"/>
              <w:jc w:val="right"/>
              <w:rPr>
                <w:rFonts w:ascii="Calibri" w:hAnsi="Calibri" w:cs="Calibri"/>
                <w:sz w:val="20"/>
                <w:szCs w:val="20"/>
                <w:lang w:eastAsia="en-GB"/>
              </w:rPr>
            </w:pPr>
          </w:p>
        </w:tc>
        <w:tc>
          <w:tcPr>
            <w:tcW w:w="1559" w:type="dxa"/>
            <w:vAlign w:val="center"/>
          </w:tcPr>
          <w:p w:rsidR="00ED7D4C" w:rsidRPr="00BE6756" w:rsidRDefault="00ED7D4C" w:rsidP="00C63D77">
            <w:pPr>
              <w:spacing w:before="0" w:after="100" w:afterAutospacing="1"/>
              <w:jc w:val="right"/>
              <w:rPr>
                <w:rFonts w:ascii="Calibri" w:hAnsi="Calibri" w:cs="Calibri"/>
                <w:sz w:val="20"/>
                <w:szCs w:val="20"/>
                <w:lang w:eastAsia="en-GB"/>
              </w:rPr>
            </w:pPr>
          </w:p>
        </w:tc>
        <w:tc>
          <w:tcPr>
            <w:tcW w:w="1497" w:type="dxa"/>
            <w:vAlign w:val="center"/>
          </w:tcPr>
          <w:p w:rsidR="00ED7D4C" w:rsidRPr="00BE6756" w:rsidRDefault="00ED7D4C" w:rsidP="00C63D77">
            <w:pPr>
              <w:spacing w:before="0" w:after="100" w:afterAutospacing="1"/>
              <w:jc w:val="right"/>
              <w:rPr>
                <w:rFonts w:ascii="Calibri" w:hAnsi="Calibri" w:cs="Calibri"/>
                <w:sz w:val="20"/>
                <w:szCs w:val="20"/>
                <w:lang w:eastAsia="en-GB"/>
              </w:rPr>
            </w:pPr>
          </w:p>
        </w:tc>
      </w:tr>
      <w:tr w:rsidR="00ED7D4C" w:rsidRPr="007436F6" w:rsidTr="00C63D77">
        <w:trPr>
          <w:trHeight w:val="20"/>
        </w:trPr>
        <w:tc>
          <w:tcPr>
            <w:tcW w:w="2835" w:type="dxa"/>
            <w:vAlign w:val="center"/>
          </w:tcPr>
          <w:p w:rsidR="00ED7D4C" w:rsidRPr="00BE6756" w:rsidRDefault="00ED7D4C" w:rsidP="00C63D77">
            <w:pPr>
              <w:spacing w:before="0" w:after="100" w:afterAutospacing="1"/>
              <w:rPr>
                <w:rFonts w:ascii="Calibri" w:hAnsi="Calibri" w:cs="Calibri"/>
                <w:sz w:val="20"/>
                <w:szCs w:val="20"/>
                <w:lang w:eastAsia="en-GB"/>
              </w:rPr>
            </w:pPr>
            <w:r w:rsidRPr="00BE6756">
              <w:rPr>
                <w:rFonts w:ascii="Calibri" w:hAnsi="Calibri" w:cs="Calibri"/>
                <w:sz w:val="20"/>
                <w:szCs w:val="20"/>
                <w:lang w:eastAsia="en-GB"/>
              </w:rPr>
              <w:t>NIHR</w:t>
            </w:r>
          </w:p>
        </w:tc>
        <w:tc>
          <w:tcPr>
            <w:tcW w:w="1559" w:type="dxa"/>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6</w:t>
            </w:r>
          </w:p>
        </w:tc>
        <w:tc>
          <w:tcPr>
            <w:tcW w:w="1559" w:type="dxa"/>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12</w:t>
            </w:r>
          </w:p>
        </w:tc>
        <w:tc>
          <w:tcPr>
            <w:tcW w:w="1559" w:type="dxa"/>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9</w:t>
            </w:r>
          </w:p>
        </w:tc>
        <w:tc>
          <w:tcPr>
            <w:tcW w:w="1497" w:type="dxa"/>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27</w:t>
            </w:r>
          </w:p>
        </w:tc>
      </w:tr>
      <w:tr w:rsidR="00ED7D4C" w:rsidRPr="007436F6" w:rsidTr="00C63D77">
        <w:trPr>
          <w:trHeight w:val="20"/>
        </w:trPr>
        <w:tc>
          <w:tcPr>
            <w:tcW w:w="2835" w:type="dxa"/>
            <w:vAlign w:val="center"/>
          </w:tcPr>
          <w:p w:rsidR="00ED7D4C" w:rsidRPr="00BE6756" w:rsidRDefault="00ED7D4C" w:rsidP="00C63D77">
            <w:pPr>
              <w:spacing w:before="0" w:after="100" w:afterAutospacing="1"/>
              <w:rPr>
                <w:rFonts w:ascii="Calibri" w:hAnsi="Calibri" w:cs="Calibri"/>
                <w:sz w:val="20"/>
                <w:szCs w:val="20"/>
                <w:lang w:eastAsia="en-GB"/>
              </w:rPr>
            </w:pPr>
            <w:r w:rsidRPr="00BE6756">
              <w:rPr>
                <w:rFonts w:ascii="Calibri" w:hAnsi="Calibri" w:cs="Calibri"/>
                <w:sz w:val="20"/>
                <w:szCs w:val="20"/>
                <w:lang w:eastAsia="en-GB"/>
              </w:rPr>
              <w:t>Health Foundation</w:t>
            </w:r>
          </w:p>
        </w:tc>
        <w:tc>
          <w:tcPr>
            <w:tcW w:w="1559" w:type="dxa"/>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2</w:t>
            </w:r>
          </w:p>
        </w:tc>
        <w:tc>
          <w:tcPr>
            <w:tcW w:w="1559" w:type="dxa"/>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1</w:t>
            </w:r>
          </w:p>
        </w:tc>
        <w:tc>
          <w:tcPr>
            <w:tcW w:w="1559" w:type="dxa"/>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1</w:t>
            </w:r>
          </w:p>
        </w:tc>
        <w:tc>
          <w:tcPr>
            <w:tcW w:w="1497" w:type="dxa"/>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4</w:t>
            </w:r>
          </w:p>
        </w:tc>
      </w:tr>
      <w:tr w:rsidR="00ED7D4C" w:rsidRPr="007436F6" w:rsidTr="00C63D77">
        <w:trPr>
          <w:trHeight w:val="20"/>
        </w:trPr>
        <w:tc>
          <w:tcPr>
            <w:tcW w:w="2835" w:type="dxa"/>
            <w:vAlign w:val="center"/>
          </w:tcPr>
          <w:p w:rsidR="00ED7D4C" w:rsidRPr="00BE6756" w:rsidRDefault="00ED7D4C" w:rsidP="00C63D77">
            <w:pPr>
              <w:spacing w:before="0" w:after="100" w:afterAutospacing="1"/>
              <w:rPr>
                <w:rFonts w:ascii="Calibri" w:hAnsi="Calibri" w:cs="Calibri"/>
                <w:sz w:val="20"/>
                <w:szCs w:val="20"/>
                <w:lang w:eastAsia="en-GB"/>
              </w:rPr>
            </w:pPr>
            <w:r w:rsidRPr="00BE6756">
              <w:rPr>
                <w:rFonts w:ascii="Calibri" w:hAnsi="Calibri" w:cs="Calibri"/>
                <w:sz w:val="20"/>
                <w:szCs w:val="20"/>
                <w:lang w:eastAsia="en-GB"/>
              </w:rPr>
              <w:t>OHSRC</w:t>
            </w:r>
          </w:p>
        </w:tc>
        <w:tc>
          <w:tcPr>
            <w:tcW w:w="1559" w:type="dxa"/>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2</w:t>
            </w:r>
          </w:p>
        </w:tc>
        <w:tc>
          <w:tcPr>
            <w:tcW w:w="1559" w:type="dxa"/>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1</w:t>
            </w:r>
          </w:p>
        </w:tc>
        <w:tc>
          <w:tcPr>
            <w:tcW w:w="1559" w:type="dxa"/>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w:t>
            </w:r>
          </w:p>
        </w:tc>
        <w:tc>
          <w:tcPr>
            <w:tcW w:w="1497" w:type="dxa"/>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3</w:t>
            </w:r>
          </w:p>
        </w:tc>
      </w:tr>
      <w:tr w:rsidR="00ED7D4C" w:rsidRPr="007436F6" w:rsidTr="00C63D77">
        <w:trPr>
          <w:trHeight w:val="20"/>
        </w:trPr>
        <w:tc>
          <w:tcPr>
            <w:tcW w:w="2835" w:type="dxa"/>
            <w:vAlign w:val="center"/>
          </w:tcPr>
          <w:p w:rsidR="00ED7D4C" w:rsidRPr="00BE6756" w:rsidRDefault="00ED7D4C" w:rsidP="00C63D77">
            <w:pPr>
              <w:spacing w:before="0" w:after="100" w:afterAutospacing="1"/>
              <w:rPr>
                <w:rFonts w:ascii="Calibri" w:hAnsi="Calibri" w:cs="Calibri"/>
                <w:sz w:val="20"/>
                <w:szCs w:val="20"/>
                <w:lang w:eastAsia="en-GB"/>
              </w:rPr>
            </w:pPr>
            <w:r w:rsidRPr="00BE6756">
              <w:rPr>
                <w:rFonts w:ascii="Calibri" w:hAnsi="Calibri" w:cs="Calibri"/>
                <w:sz w:val="20"/>
                <w:szCs w:val="20"/>
                <w:lang w:eastAsia="en-GB"/>
              </w:rPr>
              <w:t>CSO, Scotland</w:t>
            </w:r>
          </w:p>
        </w:tc>
        <w:tc>
          <w:tcPr>
            <w:tcW w:w="1559" w:type="dxa"/>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w:t>
            </w:r>
          </w:p>
        </w:tc>
        <w:tc>
          <w:tcPr>
            <w:tcW w:w="1559" w:type="dxa"/>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1</w:t>
            </w:r>
          </w:p>
        </w:tc>
        <w:tc>
          <w:tcPr>
            <w:tcW w:w="1559" w:type="dxa"/>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w:t>
            </w:r>
          </w:p>
        </w:tc>
        <w:tc>
          <w:tcPr>
            <w:tcW w:w="1497" w:type="dxa"/>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1</w:t>
            </w:r>
          </w:p>
        </w:tc>
      </w:tr>
      <w:tr w:rsidR="00ED7D4C" w:rsidRPr="007436F6" w:rsidTr="00C63D77">
        <w:trPr>
          <w:trHeight w:val="20"/>
        </w:trPr>
        <w:tc>
          <w:tcPr>
            <w:tcW w:w="2835" w:type="dxa"/>
            <w:tcBorders>
              <w:bottom w:val="single" w:sz="4" w:space="0" w:color="auto"/>
            </w:tcBorders>
            <w:vAlign w:val="center"/>
          </w:tcPr>
          <w:p w:rsidR="00ED7D4C" w:rsidRPr="00BE6756" w:rsidRDefault="00ED7D4C" w:rsidP="00C63D77">
            <w:pPr>
              <w:spacing w:before="0" w:after="100" w:afterAutospacing="1"/>
              <w:rPr>
                <w:rFonts w:ascii="Calibri" w:hAnsi="Calibri" w:cs="Calibri"/>
                <w:sz w:val="20"/>
                <w:szCs w:val="20"/>
                <w:lang w:eastAsia="en-GB"/>
              </w:rPr>
            </w:pPr>
            <w:r w:rsidRPr="00BE6756">
              <w:rPr>
                <w:rFonts w:ascii="Calibri" w:hAnsi="Calibri" w:cs="Calibri"/>
                <w:sz w:val="20"/>
                <w:szCs w:val="20"/>
                <w:lang w:eastAsia="en-GB"/>
              </w:rPr>
              <w:t>Research Councils UK (RCUK)</w:t>
            </w:r>
          </w:p>
        </w:tc>
        <w:tc>
          <w:tcPr>
            <w:tcW w:w="1559" w:type="dxa"/>
            <w:tcBorders>
              <w:bottom w:val="single" w:sz="4" w:space="0" w:color="auto"/>
            </w:tcBorders>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1</w:t>
            </w:r>
          </w:p>
        </w:tc>
        <w:tc>
          <w:tcPr>
            <w:tcW w:w="1559" w:type="dxa"/>
            <w:tcBorders>
              <w:bottom w:val="single" w:sz="4" w:space="0" w:color="auto"/>
            </w:tcBorders>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w:t>
            </w:r>
          </w:p>
        </w:tc>
        <w:tc>
          <w:tcPr>
            <w:tcW w:w="1559" w:type="dxa"/>
            <w:tcBorders>
              <w:bottom w:val="single" w:sz="4" w:space="0" w:color="auto"/>
            </w:tcBorders>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w:t>
            </w:r>
          </w:p>
        </w:tc>
        <w:tc>
          <w:tcPr>
            <w:tcW w:w="1497" w:type="dxa"/>
            <w:tcBorders>
              <w:bottom w:val="single" w:sz="4" w:space="0" w:color="auto"/>
            </w:tcBorders>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1</w:t>
            </w:r>
          </w:p>
        </w:tc>
      </w:tr>
      <w:tr w:rsidR="00ED7D4C" w:rsidRPr="007436F6" w:rsidTr="00C63D77">
        <w:trPr>
          <w:trHeight w:val="20"/>
        </w:trPr>
        <w:tc>
          <w:tcPr>
            <w:tcW w:w="2835" w:type="dxa"/>
            <w:tcBorders>
              <w:bottom w:val="single" w:sz="4" w:space="0" w:color="auto"/>
            </w:tcBorders>
            <w:vAlign w:val="center"/>
          </w:tcPr>
          <w:p w:rsidR="00ED7D4C" w:rsidRPr="00BE6756" w:rsidRDefault="00ED7D4C" w:rsidP="00C63D77">
            <w:pPr>
              <w:spacing w:before="0" w:after="100" w:afterAutospacing="1"/>
              <w:rPr>
                <w:rFonts w:ascii="Calibri" w:hAnsi="Calibri" w:cs="Calibri"/>
                <w:sz w:val="20"/>
                <w:szCs w:val="20"/>
                <w:lang w:eastAsia="en-GB"/>
              </w:rPr>
            </w:pPr>
            <w:r w:rsidRPr="00BE6756">
              <w:rPr>
                <w:rFonts w:ascii="Calibri" w:hAnsi="Calibri" w:cs="Calibri"/>
                <w:sz w:val="20"/>
                <w:szCs w:val="20"/>
                <w:lang w:eastAsia="en-GB"/>
              </w:rPr>
              <w:t>MRC</w:t>
            </w:r>
          </w:p>
        </w:tc>
        <w:tc>
          <w:tcPr>
            <w:tcW w:w="1559" w:type="dxa"/>
            <w:tcBorders>
              <w:bottom w:val="single" w:sz="4" w:space="0" w:color="auto"/>
            </w:tcBorders>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w:t>
            </w:r>
          </w:p>
        </w:tc>
        <w:tc>
          <w:tcPr>
            <w:tcW w:w="1559" w:type="dxa"/>
            <w:tcBorders>
              <w:bottom w:val="single" w:sz="4" w:space="0" w:color="auto"/>
            </w:tcBorders>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w:t>
            </w:r>
          </w:p>
        </w:tc>
        <w:tc>
          <w:tcPr>
            <w:tcW w:w="1559" w:type="dxa"/>
            <w:tcBorders>
              <w:bottom w:val="single" w:sz="4" w:space="0" w:color="auto"/>
            </w:tcBorders>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1</w:t>
            </w:r>
          </w:p>
        </w:tc>
        <w:tc>
          <w:tcPr>
            <w:tcW w:w="1497" w:type="dxa"/>
            <w:tcBorders>
              <w:bottom w:val="single" w:sz="4" w:space="0" w:color="auto"/>
            </w:tcBorders>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1</w:t>
            </w:r>
          </w:p>
        </w:tc>
      </w:tr>
      <w:tr w:rsidR="00ED7D4C" w:rsidRPr="007436F6" w:rsidTr="00C63D77">
        <w:trPr>
          <w:trHeight w:val="20"/>
        </w:trPr>
        <w:tc>
          <w:tcPr>
            <w:tcW w:w="2835" w:type="dxa"/>
            <w:tcBorders>
              <w:bottom w:val="single" w:sz="4" w:space="0" w:color="auto"/>
            </w:tcBorders>
            <w:vAlign w:val="center"/>
          </w:tcPr>
          <w:p w:rsidR="00ED7D4C" w:rsidRPr="00BE6756" w:rsidRDefault="00ED7D4C" w:rsidP="00C63D77">
            <w:pPr>
              <w:spacing w:before="0" w:after="100" w:afterAutospacing="1"/>
              <w:rPr>
                <w:rFonts w:ascii="Calibri" w:hAnsi="Calibri" w:cs="Calibri"/>
                <w:sz w:val="20"/>
                <w:szCs w:val="20"/>
                <w:lang w:eastAsia="en-GB"/>
              </w:rPr>
            </w:pPr>
            <w:r w:rsidRPr="00BE6756">
              <w:rPr>
                <w:rFonts w:ascii="Calibri" w:hAnsi="Calibri" w:cs="Calibri"/>
                <w:sz w:val="20"/>
                <w:szCs w:val="20"/>
                <w:lang w:eastAsia="en-GB"/>
              </w:rPr>
              <w:t>Sub-contracted</w:t>
            </w:r>
          </w:p>
        </w:tc>
        <w:tc>
          <w:tcPr>
            <w:tcW w:w="1559" w:type="dxa"/>
            <w:tcBorders>
              <w:bottom w:val="single" w:sz="4" w:space="0" w:color="auto"/>
            </w:tcBorders>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4</w:t>
            </w:r>
          </w:p>
        </w:tc>
        <w:tc>
          <w:tcPr>
            <w:tcW w:w="1559" w:type="dxa"/>
            <w:tcBorders>
              <w:bottom w:val="single" w:sz="4" w:space="0" w:color="auto"/>
            </w:tcBorders>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14</w:t>
            </w:r>
          </w:p>
        </w:tc>
        <w:tc>
          <w:tcPr>
            <w:tcW w:w="1559" w:type="dxa"/>
            <w:tcBorders>
              <w:bottom w:val="single" w:sz="4" w:space="0" w:color="auto"/>
            </w:tcBorders>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23</w:t>
            </w:r>
          </w:p>
        </w:tc>
        <w:tc>
          <w:tcPr>
            <w:tcW w:w="1497" w:type="dxa"/>
            <w:tcBorders>
              <w:bottom w:val="single" w:sz="4" w:space="0" w:color="auto"/>
            </w:tcBorders>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41</w:t>
            </w:r>
          </w:p>
        </w:tc>
      </w:tr>
      <w:tr w:rsidR="00ED7D4C" w:rsidRPr="00BE6756" w:rsidTr="00C63D77">
        <w:trPr>
          <w:trHeight w:val="20"/>
        </w:trPr>
        <w:tc>
          <w:tcPr>
            <w:tcW w:w="2835" w:type="dxa"/>
            <w:tcBorders>
              <w:bottom w:val="single" w:sz="4" w:space="0" w:color="auto"/>
            </w:tcBorders>
            <w:shd w:val="clear" w:color="auto" w:fill="8DB3E2" w:themeFill="text2" w:themeFillTint="66"/>
            <w:vAlign w:val="center"/>
          </w:tcPr>
          <w:p w:rsidR="00ED7D4C" w:rsidRPr="00BE6756" w:rsidRDefault="00ED7D4C" w:rsidP="00C63D77">
            <w:pPr>
              <w:spacing w:before="0" w:after="100" w:afterAutospacing="1"/>
              <w:rPr>
                <w:rFonts w:ascii="Calibri" w:hAnsi="Calibri" w:cs="Calibri"/>
                <w:b/>
                <w:sz w:val="20"/>
                <w:szCs w:val="20"/>
                <w:lang w:eastAsia="en-GB"/>
              </w:rPr>
            </w:pPr>
            <w:r w:rsidRPr="00BE6756">
              <w:rPr>
                <w:rFonts w:ascii="Calibri" w:hAnsi="Calibri" w:cs="Calibri"/>
                <w:b/>
                <w:sz w:val="20"/>
                <w:szCs w:val="20"/>
                <w:lang w:eastAsia="en-GB"/>
              </w:rPr>
              <w:t>Total</w:t>
            </w:r>
          </w:p>
        </w:tc>
        <w:tc>
          <w:tcPr>
            <w:tcW w:w="1559" w:type="dxa"/>
            <w:tcBorders>
              <w:bottom w:val="single" w:sz="4" w:space="0" w:color="auto"/>
            </w:tcBorders>
            <w:shd w:val="clear" w:color="auto" w:fill="8DB3E2" w:themeFill="text2" w:themeFillTint="66"/>
            <w:vAlign w:val="center"/>
          </w:tcPr>
          <w:p w:rsidR="00ED7D4C" w:rsidRPr="00BE6756" w:rsidRDefault="00ED7D4C" w:rsidP="00C63D77">
            <w:pPr>
              <w:spacing w:before="0" w:after="100" w:afterAutospacing="1"/>
              <w:jc w:val="right"/>
              <w:rPr>
                <w:rFonts w:ascii="Calibri" w:hAnsi="Calibri" w:cs="Calibri"/>
                <w:b/>
                <w:sz w:val="20"/>
                <w:szCs w:val="20"/>
                <w:lang w:eastAsia="en-GB"/>
              </w:rPr>
            </w:pPr>
            <w:r w:rsidRPr="00BE6756">
              <w:rPr>
                <w:rFonts w:ascii="Calibri" w:hAnsi="Calibri" w:cs="Calibri"/>
                <w:b/>
                <w:sz w:val="20"/>
                <w:szCs w:val="20"/>
                <w:lang w:eastAsia="en-GB"/>
              </w:rPr>
              <w:t>15</w:t>
            </w:r>
          </w:p>
        </w:tc>
        <w:tc>
          <w:tcPr>
            <w:tcW w:w="1559" w:type="dxa"/>
            <w:tcBorders>
              <w:bottom w:val="single" w:sz="4" w:space="0" w:color="auto"/>
            </w:tcBorders>
            <w:shd w:val="clear" w:color="auto" w:fill="8DB3E2" w:themeFill="text2" w:themeFillTint="66"/>
            <w:vAlign w:val="center"/>
          </w:tcPr>
          <w:p w:rsidR="00ED7D4C" w:rsidRPr="00BE6756" w:rsidRDefault="00ED7D4C" w:rsidP="00C63D77">
            <w:pPr>
              <w:spacing w:before="0" w:after="100" w:afterAutospacing="1"/>
              <w:jc w:val="right"/>
              <w:rPr>
                <w:rFonts w:ascii="Calibri" w:hAnsi="Calibri" w:cs="Calibri"/>
                <w:b/>
                <w:sz w:val="20"/>
                <w:szCs w:val="20"/>
                <w:lang w:eastAsia="en-GB"/>
              </w:rPr>
            </w:pPr>
            <w:r w:rsidRPr="00BE6756">
              <w:rPr>
                <w:rFonts w:ascii="Calibri" w:hAnsi="Calibri" w:cs="Calibri"/>
                <w:b/>
                <w:sz w:val="20"/>
                <w:szCs w:val="20"/>
                <w:lang w:eastAsia="en-GB"/>
              </w:rPr>
              <w:t>29</w:t>
            </w:r>
          </w:p>
        </w:tc>
        <w:tc>
          <w:tcPr>
            <w:tcW w:w="1559" w:type="dxa"/>
            <w:tcBorders>
              <w:bottom w:val="single" w:sz="4" w:space="0" w:color="auto"/>
            </w:tcBorders>
            <w:shd w:val="clear" w:color="auto" w:fill="8DB3E2" w:themeFill="text2" w:themeFillTint="66"/>
            <w:vAlign w:val="center"/>
          </w:tcPr>
          <w:p w:rsidR="00ED7D4C" w:rsidRPr="00BE6756" w:rsidRDefault="00ED7D4C" w:rsidP="00C63D77">
            <w:pPr>
              <w:spacing w:before="0" w:after="100" w:afterAutospacing="1"/>
              <w:jc w:val="right"/>
              <w:rPr>
                <w:rFonts w:ascii="Calibri" w:hAnsi="Calibri" w:cs="Calibri"/>
                <w:b/>
                <w:sz w:val="20"/>
                <w:szCs w:val="20"/>
                <w:lang w:eastAsia="en-GB"/>
              </w:rPr>
            </w:pPr>
            <w:r w:rsidRPr="00BE6756">
              <w:rPr>
                <w:rFonts w:ascii="Calibri" w:hAnsi="Calibri" w:cs="Calibri"/>
                <w:b/>
                <w:sz w:val="20"/>
                <w:szCs w:val="20"/>
                <w:lang w:eastAsia="en-GB"/>
              </w:rPr>
              <w:t>34</w:t>
            </w:r>
          </w:p>
        </w:tc>
        <w:tc>
          <w:tcPr>
            <w:tcW w:w="1497" w:type="dxa"/>
            <w:tcBorders>
              <w:bottom w:val="single" w:sz="4" w:space="0" w:color="auto"/>
            </w:tcBorders>
            <w:shd w:val="clear" w:color="auto" w:fill="8DB3E2" w:themeFill="text2" w:themeFillTint="66"/>
            <w:vAlign w:val="center"/>
          </w:tcPr>
          <w:p w:rsidR="00ED7D4C" w:rsidRPr="00BE6756" w:rsidRDefault="00ED7D4C" w:rsidP="00C63D77">
            <w:pPr>
              <w:spacing w:before="0" w:after="100" w:afterAutospacing="1"/>
              <w:jc w:val="right"/>
              <w:rPr>
                <w:rFonts w:ascii="Calibri" w:hAnsi="Calibri" w:cs="Calibri"/>
                <w:b/>
                <w:sz w:val="20"/>
                <w:szCs w:val="20"/>
                <w:lang w:eastAsia="en-GB"/>
              </w:rPr>
            </w:pPr>
            <w:r w:rsidRPr="00BE6756">
              <w:rPr>
                <w:rFonts w:ascii="Calibri" w:hAnsi="Calibri" w:cs="Calibri"/>
                <w:b/>
                <w:sz w:val="20"/>
                <w:szCs w:val="20"/>
                <w:lang w:eastAsia="en-GB"/>
              </w:rPr>
              <w:t>78</w:t>
            </w:r>
          </w:p>
        </w:tc>
      </w:tr>
      <w:tr w:rsidR="00ED7D4C" w:rsidRPr="00754A64" w:rsidTr="00C63D77">
        <w:trPr>
          <w:trHeight w:val="20"/>
        </w:trPr>
        <w:tc>
          <w:tcPr>
            <w:tcW w:w="2835" w:type="dxa"/>
            <w:shd w:val="clear" w:color="auto" w:fill="auto"/>
            <w:vAlign w:val="center"/>
          </w:tcPr>
          <w:p w:rsidR="00ED7D4C" w:rsidRPr="00BE6756" w:rsidRDefault="00ED7D4C" w:rsidP="00C63D77">
            <w:pPr>
              <w:spacing w:before="0" w:after="100" w:afterAutospacing="1"/>
              <w:rPr>
                <w:rFonts w:ascii="Calibri" w:hAnsi="Calibri" w:cs="Calibri"/>
                <w:sz w:val="20"/>
                <w:szCs w:val="20"/>
                <w:lang w:eastAsia="en-GB"/>
              </w:rPr>
            </w:pPr>
            <w:r w:rsidRPr="00BE6756">
              <w:rPr>
                <w:rFonts w:ascii="Calibri" w:hAnsi="Calibri" w:cs="Calibri"/>
                <w:sz w:val="20"/>
                <w:szCs w:val="20"/>
                <w:lang w:eastAsia="en-GB"/>
              </w:rPr>
              <w:t>Funding Requested (£)</w:t>
            </w:r>
          </w:p>
        </w:tc>
        <w:tc>
          <w:tcPr>
            <w:tcW w:w="1559" w:type="dxa"/>
            <w:shd w:val="clear" w:color="auto" w:fill="auto"/>
            <w:vAlign w:val="center"/>
          </w:tcPr>
          <w:p w:rsidR="00ED7D4C" w:rsidRPr="00BE6756" w:rsidRDefault="00ED7D4C" w:rsidP="00C63D77">
            <w:pPr>
              <w:spacing w:before="0" w:after="100" w:afterAutospacing="1"/>
              <w:jc w:val="center"/>
              <w:rPr>
                <w:rFonts w:ascii="Calibri" w:hAnsi="Calibri" w:cs="Calibri"/>
                <w:sz w:val="20"/>
                <w:szCs w:val="20"/>
                <w:lang w:eastAsia="en-GB"/>
              </w:rPr>
            </w:pPr>
          </w:p>
        </w:tc>
        <w:tc>
          <w:tcPr>
            <w:tcW w:w="1559" w:type="dxa"/>
            <w:shd w:val="clear" w:color="auto" w:fill="auto"/>
            <w:vAlign w:val="center"/>
          </w:tcPr>
          <w:p w:rsidR="00ED7D4C" w:rsidRPr="00BE6756" w:rsidRDefault="00ED7D4C" w:rsidP="00C63D77">
            <w:pPr>
              <w:spacing w:before="0" w:after="100" w:afterAutospacing="1"/>
              <w:jc w:val="center"/>
              <w:rPr>
                <w:rFonts w:ascii="Calibri" w:hAnsi="Calibri" w:cs="Calibri"/>
                <w:sz w:val="20"/>
                <w:szCs w:val="20"/>
                <w:lang w:eastAsia="en-GB"/>
              </w:rPr>
            </w:pPr>
          </w:p>
        </w:tc>
        <w:tc>
          <w:tcPr>
            <w:tcW w:w="1559" w:type="dxa"/>
            <w:shd w:val="clear" w:color="auto" w:fill="auto"/>
            <w:vAlign w:val="center"/>
          </w:tcPr>
          <w:p w:rsidR="00ED7D4C" w:rsidRPr="00BE6756" w:rsidRDefault="00ED7D4C" w:rsidP="00C63D77">
            <w:pPr>
              <w:spacing w:before="0" w:after="100" w:afterAutospacing="1"/>
              <w:jc w:val="center"/>
              <w:rPr>
                <w:rFonts w:ascii="Calibri" w:hAnsi="Calibri" w:cs="Calibri"/>
                <w:sz w:val="20"/>
                <w:szCs w:val="20"/>
                <w:lang w:eastAsia="en-GB"/>
              </w:rPr>
            </w:pPr>
          </w:p>
        </w:tc>
        <w:tc>
          <w:tcPr>
            <w:tcW w:w="1497" w:type="dxa"/>
            <w:shd w:val="clear" w:color="auto" w:fill="auto"/>
            <w:vAlign w:val="center"/>
          </w:tcPr>
          <w:p w:rsidR="00ED7D4C" w:rsidRPr="00BE6756" w:rsidRDefault="00ED7D4C" w:rsidP="00C63D77">
            <w:pPr>
              <w:spacing w:before="0" w:after="100" w:afterAutospacing="1"/>
              <w:jc w:val="center"/>
              <w:rPr>
                <w:rFonts w:ascii="Calibri" w:hAnsi="Calibri" w:cs="Calibri"/>
                <w:sz w:val="20"/>
                <w:szCs w:val="20"/>
                <w:lang w:eastAsia="en-GB"/>
              </w:rPr>
            </w:pPr>
          </w:p>
        </w:tc>
      </w:tr>
      <w:tr w:rsidR="00ED7D4C" w:rsidRPr="00754A64" w:rsidTr="00C63D77">
        <w:trPr>
          <w:trHeight w:val="20"/>
        </w:trPr>
        <w:tc>
          <w:tcPr>
            <w:tcW w:w="2835" w:type="dxa"/>
            <w:shd w:val="clear" w:color="auto" w:fill="auto"/>
            <w:vAlign w:val="center"/>
          </w:tcPr>
          <w:p w:rsidR="00ED7D4C" w:rsidRPr="00BE6756" w:rsidRDefault="00ED7D4C" w:rsidP="00C63D77">
            <w:pPr>
              <w:spacing w:before="0" w:after="100" w:afterAutospacing="1"/>
              <w:rPr>
                <w:rFonts w:ascii="Calibri" w:hAnsi="Calibri" w:cs="Calibri"/>
                <w:sz w:val="20"/>
                <w:szCs w:val="20"/>
                <w:lang w:eastAsia="en-GB"/>
              </w:rPr>
            </w:pPr>
            <w:r w:rsidRPr="00BE6756">
              <w:rPr>
                <w:rFonts w:ascii="Calibri" w:hAnsi="Calibri" w:cs="Calibri"/>
                <w:sz w:val="20"/>
                <w:szCs w:val="20"/>
                <w:lang w:eastAsia="en-GB"/>
              </w:rPr>
              <w:t>NIHR</w:t>
            </w:r>
          </w:p>
        </w:tc>
        <w:tc>
          <w:tcPr>
            <w:tcW w:w="1559"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 xml:space="preserve">    3,295,000</w:t>
            </w:r>
          </w:p>
        </w:tc>
        <w:tc>
          <w:tcPr>
            <w:tcW w:w="1559"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9,058,000</w:t>
            </w:r>
          </w:p>
        </w:tc>
        <w:tc>
          <w:tcPr>
            <w:tcW w:w="1559"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19,132,509</w:t>
            </w:r>
          </w:p>
        </w:tc>
        <w:tc>
          <w:tcPr>
            <w:tcW w:w="1497"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31,485,509</w:t>
            </w:r>
          </w:p>
        </w:tc>
      </w:tr>
      <w:tr w:rsidR="00ED7D4C" w:rsidRPr="00754A64" w:rsidTr="00C63D77">
        <w:trPr>
          <w:trHeight w:val="20"/>
        </w:trPr>
        <w:tc>
          <w:tcPr>
            <w:tcW w:w="2835" w:type="dxa"/>
            <w:shd w:val="clear" w:color="auto" w:fill="auto"/>
            <w:vAlign w:val="center"/>
          </w:tcPr>
          <w:p w:rsidR="00ED7D4C" w:rsidRPr="00BE6756" w:rsidRDefault="00ED7D4C" w:rsidP="00C63D77">
            <w:pPr>
              <w:spacing w:before="0" w:after="100" w:afterAutospacing="1"/>
              <w:rPr>
                <w:rFonts w:ascii="Calibri" w:hAnsi="Calibri" w:cs="Calibri"/>
                <w:sz w:val="20"/>
                <w:szCs w:val="20"/>
                <w:lang w:eastAsia="en-GB"/>
              </w:rPr>
            </w:pPr>
            <w:r w:rsidRPr="00BE6756">
              <w:rPr>
                <w:rFonts w:ascii="Calibri" w:hAnsi="Calibri" w:cs="Calibri"/>
                <w:sz w:val="20"/>
                <w:szCs w:val="20"/>
                <w:lang w:eastAsia="en-GB"/>
              </w:rPr>
              <w:t>The Health Foundation</w:t>
            </w:r>
          </w:p>
        </w:tc>
        <w:tc>
          <w:tcPr>
            <w:tcW w:w="1559"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 xml:space="preserve">       575,000</w:t>
            </w:r>
          </w:p>
        </w:tc>
        <w:tc>
          <w:tcPr>
            <w:tcW w:w="1559"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75,000</w:t>
            </w:r>
          </w:p>
        </w:tc>
        <w:tc>
          <w:tcPr>
            <w:tcW w:w="1559"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74,674</w:t>
            </w:r>
          </w:p>
        </w:tc>
        <w:tc>
          <w:tcPr>
            <w:tcW w:w="1497"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724,674</w:t>
            </w:r>
          </w:p>
        </w:tc>
      </w:tr>
      <w:tr w:rsidR="00ED7D4C" w:rsidRPr="00754A64" w:rsidTr="00C63D77">
        <w:trPr>
          <w:trHeight w:val="20"/>
        </w:trPr>
        <w:tc>
          <w:tcPr>
            <w:tcW w:w="2835" w:type="dxa"/>
            <w:shd w:val="clear" w:color="auto" w:fill="auto"/>
            <w:vAlign w:val="center"/>
          </w:tcPr>
          <w:p w:rsidR="00ED7D4C" w:rsidRPr="00BE6756" w:rsidRDefault="00ED7D4C" w:rsidP="00C63D77">
            <w:pPr>
              <w:spacing w:before="0" w:after="100" w:afterAutospacing="1"/>
              <w:rPr>
                <w:rFonts w:ascii="Calibri" w:hAnsi="Calibri" w:cs="Calibri"/>
                <w:sz w:val="20"/>
                <w:szCs w:val="20"/>
                <w:lang w:eastAsia="en-GB"/>
              </w:rPr>
            </w:pPr>
            <w:r w:rsidRPr="00BE6756">
              <w:rPr>
                <w:rFonts w:ascii="Calibri" w:hAnsi="Calibri" w:cs="Calibri"/>
                <w:sz w:val="20"/>
                <w:szCs w:val="20"/>
                <w:lang w:eastAsia="en-GB"/>
              </w:rPr>
              <w:lastRenderedPageBreak/>
              <w:t>OSRC</w:t>
            </w:r>
          </w:p>
        </w:tc>
        <w:tc>
          <w:tcPr>
            <w:tcW w:w="1559"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14,000</w:t>
            </w:r>
          </w:p>
        </w:tc>
        <w:tc>
          <w:tcPr>
            <w:tcW w:w="1559"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1,500</w:t>
            </w:r>
          </w:p>
        </w:tc>
        <w:tc>
          <w:tcPr>
            <w:tcW w:w="1559"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w:t>
            </w:r>
          </w:p>
        </w:tc>
        <w:tc>
          <w:tcPr>
            <w:tcW w:w="1497"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15,500</w:t>
            </w:r>
          </w:p>
        </w:tc>
      </w:tr>
      <w:tr w:rsidR="00ED7D4C" w:rsidRPr="00754A64" w:rsidTr="00C63D77">
        <w:trPr>
          <w:trHeight w:val="20"/>
        </w:trPr>
        <w:tc>
          <w:tcPr>
            <w:tcW w:w="2835" w:type="dxa"/>
            <w:shd w:val="clear" w:color="auto" w:fill="auto"/>
            <w:vAlign w:val="center"/>
          </w:tcPr>
          <w:p w:rsidR="00ED7D4C" w:rsidRPr="00BE6756" w:rsidRDefault="00ED7D4C" w:rsidP="00C63D77">
            <w:pPr>
              <w:spacing w:before="0" w:after="100" w:afterAutospacing="1"/>
              <w:rPr>
                <w:rFonts w:ascii="Calibri" w:hAnsi="Calibri" w:cs="Calibri"/>
                <w:sz w:val="20"/>
                <w:szCs w:val="20"/>
                <w:lang w:eastAsia="en-GB"/>
              </w:rPr>
            </w:pPr>
            <w:r w:rsidRPr="00BE6756">
              <w:rPr>
                <w:rFonts w:ascii="Calibri" w:hAnsi="Calibri" w:cs="Calibri"/>
                <w:sz w:val="20"/>
                <w:szCs w:val="20"/>
                <w:lang w:eastAsia="en-GB"/>
              </w:rPr>
              <w:t>CSO, Scotland</w:t>
            </w:r>
          </w:p>
        </w:tc>
        <w:tc>
          <w:tcPr>
            <w:tcW w:w="1559"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w:t>
            </w:r>
          </w:p>
        </w:tc>
        <w:tc>
          <w:tcPr>
            <w:tcW w:w="1559"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34,000</w:t>
            </w:r>
          </w:p>
        </w:tc>
        <w:tc>
          <w:tcPr>
            <w:tcW w:w="1559"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w:t>
            </w:r>
          </w:p>
        </w:tc>
        <w:tc>
          <w:tcPr>
            <w:tcW w:w="1497"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34,000</w:t>
            </w:r>
          </w:p>
        </w:tc>
      </w:tr>
      <w:tr w:rsidR="00ED7D4C" w:rsidRPr="00754A64" w:rsidTr="00C63D77">
        <w:trPr>
          <w:trHeight w:val="20"/>
        </w:trPr>
        <w:tc>
          <w:tcPr>
            <w:tcW w:w="2835" w:type="dxa"/>
            <w:shd w:val="clear" w:color="auto" w:fill="auto"/>
            <w:vAlign w:val="center"/>
          </w:tcPr>
          <w:p w:rsidR="00ED7D4C" w:rsidRPr="00BE6756" w:rsidRDefault="00ED7D4C" w:rsidP="00C63D77">
            <w:pPr>
              <w:spacing w:before="0" w:after="100" w:afterAutospacing="1"/>
              <w:rPr>
                <w:rFonts w:ascii="Calibri" w:hAnsi="Calibri" w:cs="Calibri"/>
                <w:sz w:val="20"/>
                <w:szCs w:val="20"/>
                <w:lang w:eastAsia="en-GB"/>
              </w:rPr>
            </w:pPr>
            <w:r w:rsidRPr="00BE6756">
              <w:rPr>
                <w:rFonts w:ascii="Calibri" w:hAnsi="Calibri" w:cs="Calibri"/>
                <w:sz w:val="20"/>
                <w:szCs w:val="20"/>
                <w:lang w:eastAsia="en-GB"/>
              </w:rPr>
              <w:t>Research Councils UK (RCUK)</w:t>
            </w:r>
          </w:p>
        </w:tc>
        <w:tc>
          <w:tcPr>
            <w:tcW w:w="1559"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50,000</w:t>
            </w:r>
          </w:p>
        </w:tc>
        <w:tc>
          <w:tcPr>
            <w:tcW w:w="1559"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w:t>
            </w:r>
          </w:p>
        </w:tc>
        <w:tc>
          <w:tcPr>
            <w:tcW w:w="1559"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w:t>
            </w:r>
          </w:p>
        </w:tc>
        <w:tc>
          <w:tcPr>
            <w:tcW w:w="1497"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50,000</w:t>
            </w:r>
          </w:p>
        </w:tc>
      </w:tr>
      <w:tr w:rsidR="00ED7D4C" w:rsidRPr="00754A64" w:rsidTr="00C63D77">
        <w:trPr>
          <w:trHeight w:val="20"/>
        </w:trPr>
        <w:tc>
          <w:tcPr>
            <w:tcW w:w="2835" w:type="dxa"/>
            <w:shd w:val="clear" w:color="auto" w:fill="auto"/>
            <w:vAlign w:val="center"/>
          </w:tcPr>
          <w:p w:rsidR="00ED7D4C" w:rsidRPr="00BE6756" w:rsidRDefault="00ED7D4C" w:rsidP="00C63D77">
            <w:pPr>
              <w:spacing w:before="0" w:after="100" w:afterAutospacing="1"/>
              <w:rPr>
                <w:rFonts w:ascii="Calibri" w:hAnsi="Calibri" w:cs="Calibri"/>
                <w:sz w:val="20"/>
                <w:szCs w:val="20"/>
                <w:lang w:eastAsia="en-GB"/>
              </w:rPr>
            </w:pPr>
            <w:r w:rsidRPr="00BE6756">
              <w:rPr>
                <w:rFonts w:ascii="Calibri" w:hAnsi="Calibri" w:cs="Calibri"/>
                <w:sz w:val="20"/>
                <w:szCs w:val="20"/>
                <w:lang w:eastAsia="en-GB"/>
              </w:rPr>
              <w:t>MRC</w:t>
            </w:r>
          </w:p>
        </w:tc>
        <w:tc>
          <w:tcPr>
            <w:tcW w:w="1559"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p>
        </w:tc>
        <w:tc>
          <w:tcPr>
            <w:tcW w:w="1559"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p>
        </w:tc>
        <w:tc>
          <w:tcPr>
            <w:tcW w:w="1559"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149,986</w:t>
            </w:r>
          </w:p>
        </w:tc>
        <w:tc>
          <w:tcPr>
            <w:tcW w:w="1497"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149,986</w:t>
            </w:r>
          </w:p>
        </w:tc>
      </w:tr>
      <w:tr w:rsidR="00ED7D4C" w:rsidRPr="00754A64" w:rsidTr="00C63D77">
        <w:trPr>
          <w:trHeight w:val="20"/>
        </w:trPr>
        <w:tc>
          <w:tcPr>
            <w:tcW w:w="2835" w:type="dxa"/>
            <w:tcBorders>
              <w:bottom w:val="single" w:sz="4" w:space="0" w:color="auto"/>
            </w:tcBorders>
            <w:shd w:val="clear" w:color="auto" w:fill="auto"/>
            <w:vAlign w:val="center"/>
          </w:tcPr>
          <w:p w:rsidR="00ED7D4C" w:rsidRPr="00BE6756" w:rsidRDefault="00ED7D4C" w:rsidP="00C63D77">
            <w:pPr>
              <w:spacing w:before="0" w:after="100" w:afterAutospacing="1"/>
              <w:rPr>
                <w:rFonts w:ascii="Calibri" w:hAnsi="Calibri" w:cs="Calibri"/>
                <w:sz w:val="20"/>
                <w:szCs w:val="20"/>
                <w:lang w:eastAsia="en-GB"/>
              </w:rPr>
            </w:pPr>
            <w:r w:rsidRPr="00BE6756">
              <w:rPr>
                <w:rFonts w:ascii="Calibri" w:hAnsi="Calibri" w:cs="Calibri"/>
                <w:sz w:val="20"/>
                <w:szCs w:val="20"/>
                <w:lang w:eastAsia="en-GB"/>
              </w:rPr>
              <w:t xml:space="preserve">Sub-contracted </w:t>
            </w:r>
          </w:p>
        </w:tc>
        <w:tc>
          <w:tcPr>
            <w:tcW w:w="1559" w:type="dxa"/>
            <w:tcBorders>
              <w:bottom w:val="single" w:sz="4" w:space="0" w:color="auto"/>
            </w:tcBorders>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50,000</w:t>
            </w:r>
          </w:p>
        </w:tc>
        <w:tc>
          <w:tcPr>
            <w:tcW w:w="1559" w:type="dxa"/>
            <w:tcBorders>
              <w:bottom w:val="single" w:sz="4" w:space="0" w:color="auto"/>
            </w:tcBorders>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2,530,485</w:t>
            </w:r>
          </w:p>
        </w:tc>
        <w:tc>
          <w:tcPr>
            <w:tcW w:w="1559" w:type="dxa"/>
            <w:tcBorders>
              <w:bottom w:val="single" w:sz="4" w:space="0" w:color="auto"/>
            </w:tcBorders>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882,040</w:t>
            </w:r>
          </w:p>
        </w:tc>
        <w:tc>
          <w:tcPr>
            <w:tcW w:w="1497" w:type="dxa"/>
            <w:tcBorders>
              <w:bottom w:val="single" w:sz="4" w:space="0" w:color="auto"/>
            </w:tcBorders>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3,462,525</w:t>
            </w:r>
          </w:p>
        </w:tc>
      </w:tr>
      <w:tr w:rsidR="00ED7D4C" w:rsidRPr="008E558B" w:rsidTr="00C63D77">
        <w:trPr>
          <w:trHeight w:val="20"/>
        </w:trPr>
        <w:tc>
          <w:tcPr>
            <w:tcW w:w="2835" w:type="dxa"/>
            <w:tcBorders>
              <w:bottom w:val="single" w:sz="4" w:space="0" w:color="auto"/>
            </w:tcBorders>
            <w:shd w:val="clear" w:color="auto" w:fill="8DB3E2" w:themeFill="text2" w:themeFillTint="66"/>
            <w:vAlign w:val="center"/>
          </w:tcPr>
          <w:p w:rsidR="00ED7D4C" w:rsidRPr="008E558B" w:rsidRDefault="00ED7D4C" w:rsidP="00C63D77">
            <w:pPr>
              <w:spacing w:before="0" w:after="100" w:afterAutospacing="1"/>
              <w:rPr>
                <w:rFonts w:ascii="Calibri" w:hAnsi="Calibri" w:cs="Calibri"/>
                <w:b/>
                <w:sz w:val="20"/>
                <w:szCs w:val="20"/>
                <w:lang w:eastAsia="en-GB"/>
              </w:rPr>
            </w:pPr>
            <w:r w:rsidRPr="008E558B">
              <w:rPr>
                <w:rFonts w:ascii="Calibri" w:hAnsi="Calibri" w:cs="Calibri"/>
                <w:b/>
                <w:sz w:val="20"/>
                <w:szCs w:val="20"/>
                <w:lang w:eastAsia="en-GB"/>
              </w:rPr>
              <w:t>Total</w:t>
            </w:r>
          </w:p>
        </w:tc>
        <w:tc>
          <w:tcPr>
            <w:tcW w:w="1559" w:type="dxa"/>
            <w:tcBorders>
              <w:bottom w:val="single" w:sz="4" w:space="0" w:color="auto"/>
            </w:tcBorders>
            <w:shd w:val="clear" w:color="auto" w:fill="8DB3E2" w:themeFill="text2" w:themeFillTint="66"/>
            <w:vAlign w:val="center"/>
          </w:tcPr>
          <w:p w:rsidR="00ED7D4C" w:rsidRPr="008E558B" w:rsidRDefault="00ED7D4C" w:rsidP="00C63D77">
            <w:pPr>
              <w:spacing w:before="0" w:after="100" w:afterAutospacing="1"/>
              <w:jc w:val="right"/>
              <w:rPr>
                <w:rFonts w:ascii="Calibri" w:hAnsi="Calibri" w:cs="Calibri"/>
                <w:b/>
                <w:sz w:val="20"/>
                <w:szCs w:val="20"/>
                <w:lang w:eastAsia="en-GB"/>
              </w:rPr>
            </w:pPr>
            <w:r w:rsidRPr="008E558B">
              <w:rPr>
                <w:rFonts w:ascii="Calibri" w:hAnsi="Calibri" w:cs="Calibri"/>
                <w:b/>
                <w:sz w:val="20"/>
                <w:szCs w:val="20"/>
                <w:lang w:eastAsia="en-GB"/>
              </w:rPr>
              <w:t>3,570,000</w:t>
            </w:r>
          </w:p>
        </w:tc>
        <w:tc>
          <w:tcPr>
            <w:tcW w:w="1559" w:type="dxa"/>
            <w:tcBorders>
              <w:bottom w:val="single" w:sz="4" w:space="0" w:color="auto"/>
            </w:tcBorders>
            <w:shd w:val="clear" w:color="auto" w:fill="8DB3E2" w:themeFill="text2" w:themeFillTint="66"/>
            <w:vAlign w:val="center"/>
          </w:tcPr>
          <w:p w:rsidR="00ED7D4C" w:rsidRPr="008E558B" w:rsidRDefault="00ED7D4C" w:rsidP="00C63D77">
            <w:pPr>
              <w:spacing w:before="0" w:after="100" w:afterAutospacing="1"/>
              <w:jc w:val="right"/>
              <w:rPr>
                <w:rFonts w:ascii="Calibri" w:hAnsi="Calibri" w:cs="Calibri"/>
                <w:b/>
                <w:sz w:val="20"/>
                <w:szCs w:val="20"/>
                <w:lang w:eastAsia="en-GB"/>
              </w:rPr>
            </w:pPr>
            <w:r w:rsidRPr="008E558B">
              <w:rPr>
                <w:rFonts w:ascii="Calibri" w:hAnsi="Calibri" w:cs="Calibri"/>
                <w:b/>
                <w:sz w:val="20"/>
                <w:szCs w:val="20"/>
                <w:lang w:eastAsia="en-GB"/>
              </w:rPr>
              <w:t>11,698,985</w:t>
            </w:r>
          </w:p>
        </w:tc>
        <w:tc>
          <w:tcPr>
            <w:tcW w:w="1559" w:type="dxa"/>
            <w:tcBorders>
              <w:bottom w:val="single" w:sz="4" w:space="0" w:color="auto"/>
            </w:tcBorders>
            <w:shd w:val="clear" w:color="auto" w:fill="8DB3E2" w:themeFill="text2" w:themeFillTint="66"/>
            <w:vAlign w:val="center"/>
          </w:tcPr>
          <w:p w:rsidR="00ED7D4C" w:rsidRPr="008E558B" w:rsidRDefault="00ED7D4C" w:rsidP="00C63D77">
            <w:pPr>
              <w:spacing w:before="0" w:after="100" w:afterAutospacing="1"/>
              <w:jc w:val="right"/>
              <w:rPr>
                <w:rFonts w:ascii="Calibri" w:hAnsi="Calibri" w:cs="Calibri"/>
                <w:b/>
                <w:sz w:val="20"/>
                <w:szCs w:val="20"/>
                <w:lang w:eastAsia="en-GB"/>
              </w:rPr>
            </w:pPr>
            <w:r w:rsidRPr="008E558B">
              <w:rPr>
                <w:rFonts w:ascii="Calibri" w:hAnsi="Calibri" w:cs="Calibri"/>
                <w:b/>
                <w:sz w:val="20"/>
                <w:szCs w:val="20"/>
                <w:lang w:eastAsia="en-GB"/>
              </w:rPr>
              <w:t>20,239,209</w:t>
            </w:r>
          </w:p>
        </w:tc>
        <w:tc>
          <w:tcPr>
            <w:tcW w:w="1497" w:type="dxa"/>
            <w:tcBorders>
              <w:bottom w:val="single" w:sz="4" w:space="0" w:color="auto"/>
            </w:tcBorders>
            <w:shd w:val="clear" w:color="auto" w:fill="8DB3E2" w:themeFill="text2" w:themeFillTint="66"/>
            <w:vAlign w:val="center"/>
          </w:tcPr>
          <w:p w:rsidR="00ED7D4C" w:rsidRPr="008E558B" w:rsidRDefault="00ED7D4C" w:rsidP="00C63D77">
            <w:pPr>
              <w:spacing w:before="0" w:after="100" w:afterAutospacing="1"/>
              <w:jc w:val="right"/>
              <w:rPr>
                <w:rFonts w:ascii="Calibri" w:hAnsi="Calibri" w:cs="Calibri"/>
                <w:b/>
                <w:sz w:val="20"/>
                <w:szCs w:val="20"/>
                <w:lang w:eastAsia="en-GB"/>
              </w:rPr>
            </w:pPr>
            <w:r w:rsidRPr="008E558B">
              <w:rPr>
                <w:rFonts w:ascii="Calibri" w:hAnsi="Calibri" w:cs="Calibri"/>
                <w:b/>
                <w:sz w:val="20"/>
                <w:szCs w:val="20"/>
                <w:lang w:eastAsia="en-GB"/>
              </w:rPr>
              <w:t>35,922,194</w:t>
            </w:r>
          </w:p>
        </w:tc>
      </w:tr>
      <w:tr w:rsidR="00ED7D4C" w:rsidRPr="00754A64" w:rsidTr="00C63D77">
        <w:trPr>
          <w:trHeight w:val="20"/>
        </w:trPr>
        <w:tc>
          <w:tcPr>
            <w:tcW w:w="2835" w:type="dxa"/>
            <w:shd w:val="clear" w:color="auto" w:fill="auto"/>
            <w:vAlign w:val="center"/>
          </w:tcPr>
          <w:p w:rsidR="00ED7D4C" w:rsidRPr="00BE6756" w:rsidRDefault="00ED7D4C" w:rsidP="00C63D77">
            <w:pPr>
              <w:spacing w:before="0" w:after="100" w:afterAutospacing="1"/>
              <w:rPr>
                <w:rFonts w:ascii="Calibri" w:hAnsi="Calibri" w:cs="Calibri"/>
                <w:sz w:val="20"/>
                <w:szCs w:val="20"/>
                <w:lang w:eastAsia="en-GB"/>
              </w:rPr>
            </w:pPr>
            <w:r w:rsidRPr="00BE6756">
              <w:rPr>
                <w:rFonts w:ascii="Calibri" w:hAnsi="Calibri" w:cs="Calibri"/>
                <w:sz w:val="20"/>
                <w:szCs w:val="20"/>
                <w:lang w:eastAsia="en-GB"/>
              </w:rPr>
              <w:t>Grants Awarded</w:t>
            </w:r>
          </w:p>
        </w:tc>
        <w:tc>
          <w:tcPr>
            <w:tcW w:w="1559" w:type="dxa"/>
            <w:shd w:val="clear" w:color="auto" w:fill="auto"/>
            <w:vAlign w:val="center"/>
          </w:tcPr>
          <w:p w:rsidR="00ED7D4C" w:rsidRPr="00BE6756" w:rsidRDefault="00ED7D4C" w:rsidP="00C63D77">
            <w:pPr>
              <w:spacing w:before="0" w:after="100" w:afterAutospacing="1"/>
              <w:jc w:val="center"/>
              <w:rPr>
                <w:rFonts w:ascii="Calibri" w:hAnsi="Calibri" w:cs="Calibri"/>
                <w:sz w:val="20"/>
                <w:szCs w:val="20"/>
                <w:lang w:eastAsia="en-GB"/>
              </w:rPr>
            </w:pPr>
          </w:p>
        </w:tc>
        <w:tc>
          <w:tcPr>
            <w:tcW w:w="1559" w:type="dxa"/>
            <w:shd w:val="clear" w:color="auto" w:fill="auto"/>
            <w:vAlign w:val="center"/>
          </w:tcPr>
          <w:p w:rsidR="00ED7D4C" w:rsidRPr="00BE6756" w:rsidRDefault="00ED7D4C" w:rsidP="00C63D77">
            <w:pPr>
              <w:spacing w:before="0" w:after="100" w:afterAutospacing="1"/>
              <w:jc w:val="center"/>
              <w:rPr>
                <w:rFonts w:ascii="Calibri" w:hAnsi="Calibri" w:cs="Calibri"/>
                <w:sz w:val="20"/>
                <w:szCs w:val="20"/>
                <w:lang w:eastAsia="en-GB"/>
              </w:rPr>
            </w:pPr>
          </w:p>
        </w:tc>
        <w:tc>
          <w:tcPr>
            <w:tcW w:w="1559" w:type="dxa"/>
            <w:shd w:val="clear" w:color="auto" w:fill="auto"/>
            <w:vAlign w:val="center"/>
          </w:tcPr>
          <w:p w:rsidR="00ED7D4C" w:rsidRPr="00BE6756" w:rsidRDefault="00ED7D4C" w:rsidP="00C63D77">
            <w:pPr>
              <w:spacing w:before="0" w:after="100" w:afterAutospacing="1"/>
              <w:jc w:val="center"/>
              <w:rPr>
                <w:rFonts w:ascii="Calibri" w:hAnsi="Calibri" w:cs="Calibri"/>
                <w:sz w:val="20"/>
                <w:szCs w:val="20"/>
                <w:lang w:eastAsia="en-GB"/>
              </w:rPr>
            </w:pPr>
          </w:p>
        </w:tc>
        <w:tc>
          <w:tcPr>
            <w:tcW w:w="1497" w:type="dxa"/>
            <w:shd w:val="clear" w:color="auto" w:fill="auto"/>
            <w:vAlign w:val="center"/>
          </w:tcPr>
          <w:p w:rsidR="00ED7D4C" w:rsidRPr="00BE6756" w:rsidRDefault="00ED7D4C" w:rsidP="00C63D77">
            <w:pPr>
              <w:spacing w:before="0" w:after="100" w:afterAutospacing="1"/>
              <w:jc w:val="center"/>
              <w:rPr>
                <w:rFonts w:ascii="Calibri" w:hAnsi="Calibri" w:cs="Calibri"/>
                <w:sz w:val="20"/>
                <w:szCs w:val="20"/>
                <w:lang w:eastAsia="en-GB"/>
              </w:rPr>
            </w:pPr>
          </w:p>
        </w:tc>
      </w:tr>
      <w:tr w:rsidR="00ED7D4C" w:rsidRPr="00754A64" w:rsidTr="00C63D77">
        <w:trPr>
          <w:trHeight w:val="20"/>
        </w:trPr>
        <w:tc>
          <w:tcPr>
            <w:tcW w:w="2835" w:type="dxa"/>
            <w:shd w:val="clear" w:color="auto" w:fill="auto"/>
            <w:vAlign w:val="center"/>
          </w:tcPr>
          <w:p w:rsidR="00ED7D4C" w:rsidRPr="00BE6756" w:rsidRDefault="00ED7D4C" w:rsidP="00C63D77">
            <w:pPr>
              <w:spacing w:before="0" w:after="100" w:afterAutospacing="1"/>
              <w:rPr>
                <w:rFonts w:ascii="Calibri" w:hAnsi="Calibri" w:cs="Calibri"/>
                <w:sz w:val="20"/>
                <w:szCs w:val="20"/>
                <w:lang w:eastAsia="en-GB"/>
              </w:rPr>
            </w:pPr>
            <w:r w:rsidRPr="00BE6756">
              <w:rPr>
                <w:rFonts w:ascii="Calibri" w:hAnsi="Calibri" w:cs="Calibri"/>
                <w:sz w:val="20"/>
                <w:szCs w:val="20"/>
                <w:lang w:eastAsia="en-GB"/>
              </w:rPr>
              <w:t>NIHR</w:t>
            </w:r>
          </w:p>
        </w:tc>
        <w:tc>
          <w:tcPr>
            <w:tcW w:w="1559"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w:t>
            </w:r>
          </w:p>
        </w:tc>
        <w:tc>
          <w:tcPr>
            <w:tcW w:w="1559"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2</w:t>
            </w:r>
          </w:p>
        </w:tc>
        <w:tc>
          <w:tcPr>
            <w:tcW w:w="1559"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2</w:t>
            </w:r>
          </w:p>
        </w:tc>
        <w:tc>
          <w:tcPr>
            <w:tcW w:w="1497"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4</w:t>
            </w:r>
          </w:p>
        </w:tc>
      </w:tr>
      <w:tr w:rsidR="00ED7D4C" w:rsidRPr="00754A64" w:rsidTr="00C63D77">
        <w:trPr>
          <w:trHeight w:val="20"/>
        </w:trPr>
        <w:tc>
          <w:tcPr>
            <w:tcW w:w="2835" w:type="dxa"/>
            <w:shd w:val="clear" w:color="auto" w:fill="auto"/>
            <w:vAlign w:val="center"/>
          </w:tcPr>
          <w:p w:rsidR="00ED7D4C" w:rsidRPr="00BE6756" w:rsidRDefault="00ED7D4C" w:rsidP="00C63D77">
            <w:pPr>
              <w:spacing w:before="0" w:after="100" w:afterAutospacing="1"/>
              <w:rPr>
                <w:rFonts w:ascii="Calibri" w:hAnsi="Calibri" w:cs="Calibri"/>
                <w:sz w:val="20"/>
                <w:szCs w:val="20"/>
                <w:lang w:eastAsia="en-GB"/>
              </w:rPr>
            </w:pPr>
            <w:r w:rsidRPr="00BE6756">
              <w:rPr>
                <w:rFonts w:ascii="Calibri" w:hAnsi="Calibri" w:cs="Calibri"/>
                <w:sz w:val="20"/>
                <w:szCs w:val="20"/>
                <w:lang w:eastAsia="en-GB"/>
              </w:rPr>
              <w:t>Health Foundation</w:t>
            </w:r>
          </w:p>
        </w:tc>
        <w:tc>
          <w:tcPr>
            <w:tcW w:w="1559"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1</w:t>
            </w:r>
          </w:p>
        </w:tc>
        <w:tc>
          <w:tcPr>
            <w:tcW w:w="1559"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1</w:t>
            </w:r>
          </w:p>
        </w:tc>
        <w:tc>
          <w:tcPr>
            <w:tcW w:w="1559"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1</w:t>
            </w:r>
          </w:p>
        </w:tc>
        <w:tc>
          <w:tcPr>
            <w:tcW w:w="1497"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3</w:t>
            </w:r>
          </w:p>
        </w:tc>
      </w:tr>
      <w:tr w:rsidR="00ED7D4C" w:rsidRPr="00754A64" w:rsidTr="00C63D77">
        <w:trPr>
          <w:trHeight w:val="20"/>
        </w:trPr>
        <w:tc>
          <w:tcPr>
            <w:tcW w:w="2835" w:type="dxa"/>
            <w:shd w:val="clear" w:color="auto" w:fill="auto"/>
            <w:vAlign w:val="center"/>
          </w:tcPr>
          <w:p w:rsidR="00ED7D4C" w:rsidRPr="00BE6756" w:rsidRDefault="00ED7D4C" w:rsidP="00C63D77">
            <w:pPr>
              <w:spacing w:before="0" w:after="100" w:afterAutospacing="1"/>
              <w:rPr>
                <w:rFonts w:ascii="Calibri" w:hAnsi="Calibri" w:cs="Calibri"/>
                <w:sz w:val="20"/>
                <w:szCs w:val="20"/>
                <w:lang w:eastAsia="en-GB"/>
              </w:rPr>
            </w:pPr>
            <w:r w:rsidRPr="00BE6756">
              <w:rPr>
                <w:rFonts w:ascii="Calibri" w:hAnsi="Calibri" w:cs="Calibri"/>
                <w:sz w:val="20"/>
                <w:szCs w:val="20"/>
                <w:lang w:eastAsia="en-GB"/>
              </w:rPr>
              <w:t>OHSRC</w:t>
            </w:r>
          </w:p>
        </w:tc>
        <w:tc>
          <w:tcPr>
            <w:tcW w:w="1559"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w:t>
            </w:r>
          </w:p>
        </w:tc>
        <w:tc>
          <w:tcPr>
            <w:tcW w:w="1559"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1</w:t>
            </w:r>
          </w:p>
        </w:tc>
        <w:tc>
          <w:tcPr>
            <w:tcW w:w="1559"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w:t>
            </w:r>
          </w:p>
        </w:tc>
        <w:tc>
          <w:tcPr>
            <w:tcW w:w="1497"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1</w:t>
            </w:r>
          </w:p>
        </w:tc>
      </w:tr>
      <w:tr w:rsidR="00ED7D4C" w:rsidRPr="00754A64" w:rsidTr="00C63D77">
        <w:trPr>
          <w:trHeight w:val="20"/>
        </w:trPr>
        <w:tc>
          <w:tcPr>
            <w:tcW w:w="2835" w:type="dxa"/>
            <w:shd w:val="clear" w:color="auto" w:fill="auto"/>
            <w:vAlign w:val="center"/>
          </w:tcPr>
          <w:p w:rsidR="00ED7D4C" w:rsidRPr="00BE6756" w:rsidRDefault="00ED7D4C" w:rsidP="00C63D77">
            <w:pPr>
              <w:spacing w:before="0" w:after="100" w:afterAutospacing="1"/>
              <w:rPr>
                <w:rFonts w:ascii="Calibri" w:hAnsi="Calibri" w:cs="Calibri"/>
                <w:sz w:val="20"/>
                <w:szCs w:val="20"/>
                <w:lang w:eastAsia="en-GB"/>
              </w:rPr>
            </w:pPr>
            <w:r w:rsidRPr="00BE6756">
              <w:rPr>
                <w:rFonts w:ascii="Calibri" w:hAnsi="Calibri" w:cs="Calibri"/>
                <w:sz w:val="20"/>
                <w:szCs w:val="20"/>
                <w:lang w:eastAsia="en-GB"/>
              </w:rPr>
              <w:t>CSO, Scotland</w:t>
            </w:r>
          </w:p>
        </w:tc>
        <w:tc>
          <w:tcPr>
            <w:tcW w:w="1559"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w:t>
            </w:r>
          </w:p>
        </w:tc>
        <w:tc>
          <w:tcPr>
            <w:tcW w:w="1559"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1</w:t>
            </w:r>
          </w:p>
        </w:tc>
        <w:tc>
          <w:tcPr>
            <w:tcW w:w="1559"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w:t>
            </w:r>
          </w:p>
        </w:tc>
        <w:tc>
          <w:tcPr>
            <w:tcW w:w="1497"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1</w:t>
            </w:r>
          </w:p>
        </w:tc>
      </w:tr>
      <w:tr w:rsidR="00ED7D4C" w:rsidRPr="00754A64" w:rsidTr="00C63D77">
        <w:trPr>
          <w:trHeight w:val="20"/>
        </w:trPr>
        <w:tc>
          <w:tcPr>
            <w:tcW w:w="2835" w:type="dxa"/>
            <w:tcBorders>
              <w:bottom w:val="single" w:sz="4" w:space="0" w:color="auto"/>
            </w:tcBorders>
            <w:shd w:val="clear" w:color="auto" w:fill="auto"/>
            <w:vAlign w:val="center"/>
          </w:tcPr>
          <w:p w:rsidR="00ED7D4C" w:rsidRPr="00BE6756" w:rsidRDefault="00ED7D4C" w:rsidP="00C63D77">
            <w:pPr>
              <w:spacing w:before="0" w:after="100" w:afterAutospacing="1"/>
              <w:rPr>
                <w:rFonts w:ascii="Calibri" w:hAnsi="Calibri" w:cs="Calibri"/>
                <w:sz w:val="20"/>
                <w:szCs w:val="20"/>
                <w:lang w:eastAsia="en-GB"/>
              </w:rPr>
            </w:pPr>
            <w:r w:rsidRPr="00BE6756">
              <w:rPr>
                <w:rFonts w:ascii="Calibri" w:hAnsi="Calibri" w:cs="Calibri"/>
                <w:sz w:val="20"/>
                <w:szCs w:val="20"/>
                <w:lang w:eastAsia="en-GB"/>
              </w:rPr>
              <w:t>Sub-contracted</w:t>
            </w:r>
          </w:p>
        </w:tc>
        <w:tc>
          <w:tcPr>
            <w:tcW w:w="1559" w:type="dxa"/>
            <w:tcBorders>
              <w:bottom w:val="single" w:sz="4" w:space="0" w:color="auto"/>
            </w:tcBorders>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w:t>
            </w:r>
          </w:p>
        </w:tc>
        <w:tc>
          <w:tcPr>
            <w:tcW w:w="1559" w:type="dxa"/>
            <w:tcBorders>
              <w:bottom w:val="single" w:sz="4" w:space="0" w:color="auto"/>
            </w:tcBorders>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6</w:t>
            </w:r>
          </w:p>
        </w:tc>
        <w:tc>
          <w:tcPr>
            <w:tcW w:w="1559" w:type="dxa"/>
            <w:tcBorders>
              <w:bottom w:val="single" w:sz="4" w:space="0" w:color="auto"/>
            </w:tcBorders>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3</w:t>
            </w:r>
          </w:p>
        </w:tc>
        <w:tc>
          <w:tcPr>
            <w:tcW w:w="1497" w:type="dxa"/>
            <w:tcBorders>
              <w:bottom w:val="single" w:sz="4" w:space="0" w:color="auto"/>
            </w:tcBorders>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9</w:t>
            </w:r>
          </w:p>
        </w:tc>
      </w:tr>
      <w:tr w:rsidR="00ED7D4C" w:rsidRPr="008E558B" w:rsidTr="00C63D77">
        <w:trPr>
          <w:trHeight w:val="20"/>
        </w:trPr>
        <w:tc>
          <w:tcPr>
            <w:tcW w:w="2835" w:type="dxa"/>
            <w:tcBorders>
              <w:bottom w:val="single" w:sz="4" w:space="0" w:color="auto"/>
            </w:tcBorders>
            <w:shd w:val="clear" w:color="auto" w:fill="8DB3E2" w:themeFill="text2" w:themeFillTint="66"/>
            <w:vAlign w:val="center"/>
          </w:tcPr>
          <w:p w:rsidR="00ED7D4C" w:rsidRPr="008E558B" w:rsidRDefault="00ED7D4C" w:rsidP="00C63D77">
            <w:pPr>
              <w:spacing w:before="0" w:after="100" w:afterAutospacing="1"/>
              <w:rPr>
                <w:rFonts w:ascii="Calibri" w:hAnsi="Calibri" w:cs="Calibri"/>
                <w:b/>
                <w:sz w:val="20"/>
                <w:szCs w:val="20"/>
                <w:lang w:eastAsia="en-GB"/>
              </w:rPr>
            </w:pPr>
            <w:r w:rsidRPr="008E558B">
              <w:rPr>
                <w:rFonts w:ascii="Calibri" w:hAnsi="Calibri" w:cs="Calibri"/>
                <w:b/>
                <w:sz w:val="20"/>
                <w:szCs w:val="20"/>
                <w:lang w:eastAsia="en-GB"/>
              </w:rPr>
              <w:t>Total</w:t>
            </w:r>
          </w:p>
        </w:tc>
        <w:tc>
          <w:tcPr>
            <w:tcW w:w="1559" w:type="dxa"/>
            <w:tcBorders>
              <w:bottom w:val="single" w:sz="4" w:space="0" w:color="auto"/>
            </w:tcBorders>
            <w:shd w:val="clear" w:color="auto" w:fill="8DB3E2" w:themeFill="text2" w:themeFillTint="66"/>
            <w:vAlign w:val="center"/>
          </w:tcPr>
          <w:p w:rsidR="00ED7D4C" w:rsidRPr="008E558B" w:rsidRDefault="00ED7D4C" w:rsidP="00C63D77">
            <w:pPr>
              <w:spacing w:before="0" w:after="100" w:afterAutospacing="1"/>
              <w:jc w:val="right"/>
              <w:rPr>
                <w:rFonts w:ascii="Calibri" w:hAnsi="Calibri" w:cs="Calibri"/>
                <w:b/>
                <w:sz w:val="20"/>
                <w:szCs w:val="20"/>
                <w:lang w:eastAsia="en-GB"/>
              </w:rPr>
            </w:pPr>
            <w:r w:rsidRPr="008E558B">
              <w:rPr>
                <w:rFonts w:ascii="Calibri" w:hAnsi="Calibri" w:cs="Calibri"/>
                <w:b/>
                <w:sz w:val="20"/>
                <w:szCs w:val="20"/>
                <w:lang w:eastAsia="en-GB"/>
              </w:rPr>
              <w:t>1</w:t>
            </w:r>
          </w:p>
        </w:tc>
        <w:tc>
          <w:tcPr>
            <w:tcW w:w="1559" w:type="dxa"/>
            <w:tcBorders>
              <w:bottom w:val="single" w:sz="4" w:space="0" w:color="auto"/>
            </w:tcBorders>
            <w:shd w:val="clear" w:color="auto" w:fill="8DB3E2" w:themeFill="text2" w:themeFillTint="66"/>
            <w:vAlign w:val="center"/>
          </w:tcPr>
          <w:p w:rsidR="00ED7D4C" w:rsidRPr="008E558B" w:rsidRDefault="00ED7D4C" w:rsidP="00C63D77">
            <w:pPr>
              <w:spacing w:before="0" w:after="100" w:afterAutospacing="1"/>
              <w:jc w:val="right"/>
              <w:rPr>
                <w:rFonts w:ascii="Calibri" w:hAnsi="Calibri" w:cs="Calibri"/>
                <w:b/>
                <w:sz w:val="20"/>
                <w:szCs w:val="20"/>
                <w:lang w:eastAsia="en-GB"/>
              </w:rPr>
            </w:pPr>
            <w:r w:rsidRPr="008E558B">
              <w:rPr>
                <w:rFonts w:ascii="Calibri" w:hAnsi="Calibri" w:cs="Calibri"/>
                <w:b/>
                <w:sz w:val="20"/>
                <w:szCs w:val="20"/>
                <w:lang w:eastAsia="en-GB"/>
              </w:rPr>
              <w:t>11</w:t>
            </w:r>
          </w:p>
        </w:tc>
        <w:tc>
          <w:tcPr>
            <w:tcW w:w="1559" w:type="dxa"/>
            <w:tcBorders>
              <w:bottom w:val="single" w:sz="4" w:space="0" w:color="auto"/>
            </w:tcBorders>
            <w:shd w:val="clear" w:color="auto" w:fill="8DB3E2" w:themeFill="text2" w:themeFillTint="66"/>
            <w:vAlign w:val="center"/>
          </w:tcPr>
          <w:p w:rsidR="00ED7D4C" w:rsidRPr="008E558B" w:rsidRDefault="00ED7D4C" w:rsidP="00C63D77">
            <w:pPr>
              <w:spacing w:before="0" w:after="100" w:afterAutospacing="1"/>
              <w:jc w:val="right"/>
              <w:rPr>
                <w:rFonts w:ascii="Calibri" w:hAnsi="Calibri" w:cs="Calibri"/>
                <w:b/>
                <w:sz w:val="20"/>
                <w:szCs w:val="20"/>
                <w:lang w:eastAsia="en-GB"/>
              </w:rPr>
            </w:pPr>
            <w:r w:rsidRPr="008E558B">
              <w:rPr>
                <w:rFonts w:ascii="Calibri" w:hAnsi="Calibri" w:cs="Calibri"/>
                <w:b/>
                <w:sz w:val="20"/>
                <w:szCs w:val="20"/>
                <w:lang w:eastAsia="en-GB"/>
              </w:rPr>
              <w:t>6</w:t>
            </w:r>
          </w:p>
        </w:tc>
        <w:tc>
          <w:tcPr>
            <w:tcW w:w="1497" w:type="dxa"/>
            <w:tcBorders>
              <w:bottom w:val="single" w:sz="4" w:space="0" w:color="auto"/>
            </w:tcBorders>
            <w:shd w:val="clear" w:color="auto" w:fill="8DB3E2" w:themeFill="text2" w:themeFillTint="66"/>
            <w:vAlign w:val="center"/>
          </w:tcPr>
          <w:p w:rsidR="00ED7D4C" w:rsidRPr="008E558B" w:rsidRDefault="00ED7D4C" w:rsidP="00C63D77">
            <w:pPr>
              <w:spacing w:before="0" w:after="100" w:afterAutospacing="1"/>
              <w:jc w:val="right"/>
              <w:rPr>
                <w:rFonts w:ascii="Calibri" w:hAnsi="Calibri" w:cs="Calibri"/>
                <w:b/>
                <w:sz w:val="20"/>
                <w:szCs w:val="20"/>
                <w:lang w:eastAsia="en-GB"/>
              </w:rPr>
            </w:pPr>
            <w:r w:rsidRPr="008E558B">
              <w:rPr>
                <w:rFonts w:ascii="Calibri" w:hAnsi="Calibri" w:cs="Calibri"/>
                <w:b/>
                <w:sz w:val="20"/>
                <w:szCs w:val="20"/>
                <w:lang w:eastAsia="en-GB"/>
              </w:rPr>
              <w:t>18</w:t>
            </w:r>
          </w:p>
        </w:tc>
      </w:tr>
      <w:tr w:rsidR="00ED7D4C" w:rsidRPr="00754A64" w:rsidTr="00C63D77">
        <w:trPr>
          <w:trHeight w:val="20"/>
        </w:trPr>
        <w:tc>
          <w:tcPr>
            <w:tcW w:w="2835" w:type="dxa"/>
            <w:shd w:val="clear" w:color="auto" w:fill="auto"/>
            <w:vAlign w:val="center"/>
          </w:tcPr>
          <w:p w:rsidR="00ED7D4C" w:rsidRPr="00BE6756" w:rsidRDefault="00ED7D4C" w:rsidP="00C63D77">
            <w:pPr>
              <w:spacing w:before="0" w:after="100" w:afterAutospacing="1"/>
              <w:rPr>
                <w:rFonts w:ascii="Calibri" w:hAnsi="Calibri" w:cs="Calibri"/>
                <w:sz w:val="20"/>
                <w:szCs w:val="20"/>
                <w:lang w:eastAsia="en-GB"/>
              </w:rPr>
            </w:pPr>
            <w:r w:rsidRPr="00BE6756">
              <w:rPr>
                <w:rFonts w:ascii="Calibri" w:hAnsi="Calibri" w:cs="Calibri"/>
                <w:sz w:val="20"/>
                <w:szCs w:val="20"/>
                <w:lang w:eastAsia="en-GB"/>
              </w:rPr>
              <w:t>Funding Awarded (£)</w:t>
            </w:r>
          </w:p>
        </w:tc>
        <w:tc>
          <w:tcPr>
            <w:tcW w:w="1559" w:type="dxa"/>
            <w:shd w:val="clear" w:color="auto" w:fill="auto"/>
            <w:vAlign w:val="center"/>
          </w:tcPr>
          <w:p w:rsidR="00ED7D4C" w:rsidRPr="00BE6756" w:rsidRDefault="00ED7D4C" w:rsidP="00C63D77">
            <w:pPr>
              <w:spacing w:before="0" w:after="100" w:afterAutospacing="1"/>
              <w:jc w:val="center"/>
              <w:rPr>
                <w:rFonts w:ascii="Calibri" w:hAnsi="Calibri" w:cs="Calibri"/>
                <w:sz w:val="20"/>
                <w:szCs w:val="20"/>
                <w:lang w:eastAsia="en-GB"/>
              </w:rPr>
            </w:pPr>
          </w:p>
        </w:tc>
        <w:tc>
          <w:tcPr>
            <w:tcW w:w="1559" w:type="dxa"/>
            <w:shd w:val="clear" w:color="auto" w:fill="auto"/>
            <w:vAlign w:val="center"/>
          </w:tcPr>
          <w:p w:rsidR="00ED7D4C" w:rsidRPr="00BE6756" w:rsidRDefault="00ED7D4C" w:rsidP="00C63D77">
            <w:pPr>
              <w:spacing w:before="0" w:after="100" w:afterAutospacing="1"/>
              <w:jc w:val="center"/>
              <w:rPr>
                <w:rFonts w:ascii="Calibri" w:hAnsi="Calibri" w:cs="Calibri"/>
                <w:sz w:val="20"/>
                <w:szCs w:val="20"/>
                <w:lang w:eastAsia="en-GB"/>
              </w:rPr>
            </w:pPr>
          </w:p>
        </w:tc>
        <w:tc>
          <w:tcPr>
            <w:tcW w:w="1559" w:type="dxa"/>
            <w:shd w:val="clear" w:color="auto" w:fill="auto"/>
            <w:vAlign w:val="center"/>
          </w:tcPr>
          <w:p w:rsidR="00ED7D4C" w:rsidRPr="00BE6756" w:rsidRDefault="00ED7D4C" w:rsidP="00C63D77">
            <w:pPr>
              <w:spacing w:before="0" w:after="100" w:afterAutospacing="1"/>
              <w:jc w:val="center"/>
              <w:rPr>
                <w:rFonts w:ascii="Calibri" w:hAnsi="Calibri" w:cs="Calibri"/>
                <w:sz w:val="20"/>
                <w:szCs w:val="20"/>
                <w:lang w:eastAsia="en-GB"/>
              </w:rPr>
            </w:pPr>
          </w:p>
        </w:tc>
        <w:tc>
          <w:tcPr>
            <w:tcW w:w="1497" w:type="dxa"/>
            <w:shd w:val="clear" w:color="auto" w:fill="auto"/>
            <w:vAlign w:val="center"/>
          </w:tcPr>
          <w:p w:rsidR="00ED7D4C" w:rsidRPr="00BE6756" w:rsidRDefault="00ED7D4C" w:rsidP="00C63D77">
            <w:pPr>
              <w:spacing w:before="0" w:after="100" w:afterAutospacing="1"/>
              <w:jc w:val="center"/>
              <w:rPr>
                <w:rFonts w:ascii="Calibri" w:hAnsi="Calibri" w:cs="Calibri"/>
                <w:sz w:val="20"/>
                <w:szCs w:val="20"/>
                <w:lang w:eastAsia="en-GB"/>
              </w:rPr>
            </w:pPr>
          </w:p>
        </w:tc>
      </w:tr>
      <w:tr w:rsidR="00ED7D4C" w:rsidRPr="00754A64" w:rsidTr="00C63D77">
        <w:trPr>
          <w:trHeight w:val="20"/>
        </w:trPr>
        <w:tc>
          <w:tcPr>
            <w:tcW w:w="2835" w:type="dxa"/>
            <w:shd w:val="clear" w:color="auto" w:fill="auto"/>
            <w:vAlign w:val="center"/>
          </w:tcPr>
          <w:p w:rsidR="00ED7D4C" w:rsidRPr="00BE6756" w:rsidRDefault="00ED7D4C" w:rsidP="00C63D77">
            <w:pPr>
              <w:spacing w:before="0" w:after="100" w:afterAutospacing="1"/>
              <w:rPr>
                <w:rFonts w:ascii="Calibri" w:hAnsi="Calibri" w:cs="Calibri"/>
                <w:sz w:val="20"/>
                <w:szCs w:val="20"/>
                <w:lang w:eastAsia="en-GB"/>
              </w:rPr>
            </w:pPr>
            <w:r w:rsidRPr="00BE6756">
              <w:rPr>
                <w:rFonts w:ascii="Calibri" w:hAnsi="Calibri" w:cs="Calibri"/>
                <w:sz w:val="20"/>
                <w:szCs w:val="20"/>
                <w:lang w:eastAsia="en-GB"/>
              </w:rPr>
              <w:t>NIHR</w:t>
            </w:r>
          </w:p>
        </w:tc>
        <w:tc>
          <w:tcPr>
            <w:tcW w:w="1559"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w:t>
            </w:r>
          </w:p>
        </w:tc>
        <w:tc>
          <w:tcPr>
            <w:tcW w:w="1559"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5,078,000</w:t>
            </w:r>
          </w:p>
        </w:tc>
        <w:tc>
          <w:tcPr>
            <w:tcW w:w="1559"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16,652,900</w:t>
            </w:r>
          </w:p>
        </w:tc>
        <w:tc>
          <w:tcPr>
            <w:tcW w:w="1497"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21,640,900</w:t>
            </w:r>
          </w:p>
        </w:tc>
      </w:tr>
      <w:tr w:rsidR="00ED7D4C" w:rsidRPr="00754A64" w:rsidTr="00C63D77">
        <w:trPr>
          <w:trHeight w:val="20"/>
        </w:trPr>
        <w:tc>
          <w:tcPr>
            <w:tcW w:w="2835" w:type="dxa"/>
            <w:shd w:val="clear" w:color="auto" w:fill="auto"/>
            <w:vAlign w:val="center"/>
          </w:tcPr>
          <w:p w:rsidR="00ED7D4C" w:rsidRPr="00BE6756" w:rsidRDefault="00ED7D4C" w:rsidP="00C63D77">
            <w:pPr>
              <w:spacing w:before="0" w:after="100" w:afterAutospacing="1"/>
              <w:rPr>
                <w:rFonts w:ascii="Calibri" w:hAnsi="Calibri" w:cs="Calibri"/>
                <w:sz w:val="20"/>
                <w:szCs w:val="20"/>
                <w:lang w:eastAsia="en-GB"/>
              </w:rPr>
            </w:pPr>
            <w:r w:rsidRPr="00BE6756">
              <w:rPr>
                <w:rFonts w:ascii="Calibri" w:hAnsi="Calibri" w:cs="Calibri"/>
                <w:sz w:val="20"/>
                <w:szCs w:val="20"/>
                <w:lang w:eastAsia="en-GB"/>
              </w:rPr>
              <w:t>The Health Foundation</w:t>
            </w:r>
          </w:p>
        </w:tc>
        <w:tc>
          <w:tcPr>
            <w:tcW w:w="1559"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75,000</w:t>
            </w:r>
          </w:p>
        </w:tc>
        <w:tc>
          <w:tcPr>
            <w:tcW w:w="1559"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75,000</w:t>
            </w:r>
          </w:p>
        </w:tc>
        <w:tc>
          <w:tcPr>
            <w:tcW w:w="1559"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74,674</w:t>
            </w:r>
          </w:p>
        </w:tc>
        <w:tc>
          <w:tcPr>
            <w:tcW w:w="1497"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224,670</w:t>
            </w:r>
          </w:p>
        </w:tc>
      </w:tr>
      <w:tr w:rsidR="00ED7D4C" w:rsidRPr="00754A64" w:rsidTr="00C63D77">
        <w:trPr>
          <w:trHeight w:val="20"/>
        </w:trPr>
        <w:tc>
          <w:tcPr>
            <w:tcW w:w="2835" w:type="dxa"/>
            <w:shd w:val="clear" w:color="auto" w:fill="auto"/>
            <w:vAlign w:val="center"/>
          </w:tcPr>
          <w:p w:rsidR="00ED7D4C" w:rsidRPr="00BE6756" w:rsidRDefault="00ED7D4C" w:rsidP="00C63D77">
            <w:pPr>
              <w:spacing w:before="0" w:after="100" w:afterAutospacing="1"/>
              <w:rPr>
                <w:rFonts w:ascii="Calibri" w:hAnsi="Calibri" w:cs="Calibri"/>
                <w:sz w:val="20"/>
                <w:szCs w:val="20"/>
                <w:lang w:eastAsia="en-GB"/>
              </w:rPr>
            </w:pPr>
            <w:r w:rsidRPr="00BE6756">
              <w:rPr>
                <w:rFonts w:ascii="Calibri" w:hAnsi="Calibri" w:cs="Calibri"/>
                <w:sz w:val="20"/>
                <w:szCs w:val="20"/>
                <w:lang w:eastAsia="en-GB"/>
              </w:rPr>
              <w:t>OSRC</w:t>
            </w:r>
          </w:p>
        </w:tc>
        <w:tc>
          <w:tcPr>
            <w:tcW w:w="1559"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w:t>
            </w:r>
          </w:p>
        </w:tc>
        <w:tc>
          <w:tcPr>
            <w:tcW w:w="1559"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1,500</w:t>
            </w:r>
          </w:p>
        </w:tc>
        <w:tc>
          <w:tcPr>
            <w:tcW w:w="1559"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w:t>
            </w:r>
          </w:p>
        </w:tc>
        <w:tc>
          <w:tcPr>
            <w:tcW w:w="1497"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1,500</w:t>
            </w:r>
          </w:p>
        </w:tc>
      </w:tr>
      <w:tr w:rsidR="00ED7D4C" w:rsidRPr="00754A64" w:rsidTr="00C63D77">
        <w:trPr>
          <w:trHeight w:val="20"/>
        </w:trPr>
        <w:tc>
          <w:tcPr>
            <w:tcW w:w="2835" w:type="dxa"/>
            <w:shd w:val="clear" w:color="auto" w:fill="auto"/>
            <w:vAlign w:val="center"/>
          </w:tcPr>
          <w:p w:rsidR="00ED7D4C" w:rsidRPr="00BE6756" w:rsidRDefault="00ED7D4C" w:rsidP="00C63D77">
            <w:pPr>
              <w:spacing w:before="0" w:after="100" w:afterAutospacing="1"/>
              <w:rPr>
                <w:rFonts w:ascii="Calibri" w:hAnsi="Calibri" w:cs="Calibri"/>
                <w:sz w:val="20"/>
                <w:szCs w:val="20"/>
                <w:lang w:eastAsia="en-GB"/>
              </w:rPr>
            </w:pPr>
            <w:r w:rsidRPr="00BE6756">
              <w:rPr>
                <w:rFonts w:ascii="Calibri" w:hAnsi="Calibri" w:cs="Calibri"/>
                <w:sz w:val="20"/>
                <w:szCs w:val="20"/>
                <w:lang w:eastAsia="en-GB"/>
              </w:rPr>
              <w:t>CSO, Scotland</w:t>
            </w:r>
          </w:p>
        </w:tc>
        <w:tc>
          <w:tcPr>
            <w:tcW w:w="1559"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w:t>
            </w:r>
          </w:p>
        </w:tc>
        <w:tc>
          <w:tcPr>
            <w:tcW w:w="1559"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34,000</w:t>
            </w:r>
          </w:p>
        </w:tc>
        <w:tc>
          <w:tcPr>
            <w:tcW w:w="1559"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w:t>
            </w:r>
          </w:p>
        </w:tc>
        <w:tc>
          <w:tcPr>
            <w:tcW w:w="1497" w:type="dxa"/>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34,000</w:t>
            </w:r>
          </w:p>
        </w:tc>
      </w:tr>
      <w:tr w:rsidR="00ED7D4C" w:rsidRPr="00754A64" w:rsidTr="00C63D77">
        <w:trPr>
          <w:trHeight w:val="20"/>
        </w:trPr>
        <w:tc>
          <w:tcPr>
            <w:tcW w:w="2835" w:type="dxa"/>
            <w:tcBorders>
              <w:bottom w:val="single" w:sz="4" w:space="0" w:color="auto"/>
            </w:tcBorders>
            <w:shd w:val="clear" w:color="auto" w:fill="auto"/>
            <w:vAlign w:val="center"/>
          </w:tcPr>
          <w:p w:rsidR="00ED7D4C" w:rsidRPr="00BE6756" w:rsidRDefault="00ED7D4C" w:rsidP="00C63D77">
            <w:pPr>
              <w:spacing w:before="0" w:after="100" w:afterAutospacing="1"/>
              <w:rPr>
                <w:rFonts w:ascii="Calibri" w:hAnsi="Calibri" w:cs="Calibri"/>
                <w:sz w:val="20"/>
                <w:szCs w:val="20"/>
                <w:lang w:eastAsia="en-GB"/>
              </w:rPr>
            </w:pPr>
            <w:r w:rsidRPr="00BE6756">
              <w:rPr>
                <w:rFonts w:ascii="Calibri" w:hAnsi="Calibri" w:cs="Calibri"/>
                <w:sz w:val="20"/>
                <w:szCs w:val="20"/>
                <w:lang w:eastAsia="en-GB"/>
              </w:rPr>
              <w:t xml:space="preserve">Sub-contracted </w:t>
            </w:r>
          </w:p>
        </w:tc>
        <w:tc>
          <w:tcPr>
            <w:tcW w:w="1559" w:type="dxa"/>
            <w:tcBorders>
              <w:bottom w:val="single" w:sz="4" w:space="0" w:color="auto"/>
            </w:tcBorders>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w:t>
            </w:r>
          </w:p>
        </w:tc>
        <w:tc>
          <w:tcPr>
            <w:tcW w:w="1559" w:type="dxa"/>
            <w:tcBorders>
              <w:bottom w:val="single" w:sz="4" w:space="0" w:color="auto"/>
            </w:tcBorders>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1,533,485</w:t>
            </w:r>
          </w:p>
        </w:tc>
        <w:tc>
          <w:tcPr>
            <w:tcW w:w="1559" w:type="dxa"/>
            <w:tcBorders>
              <w:bottom w:val="single" w:sz="4" w:space="0" w:color="auto"/>
            </w:tcBorders>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75,922</w:t>
            </w:r>
          </w:p>
        </w:tc>
        <w:tc>
          <w:tcPr>
            <w:tcW w:w="1497" w:type="dxa"/>
            <w:tcBorders>
              <w:bottom w:val="single" w:sz="4" w:space="0" w:color="auto"/>
            </w:tcBorders>
            <w:shd w:val="clear" w:color="auto" w:fill="auto"/>
            <w:vAlign w:val="center"/>
          </w:tcPr>
          <w:p w:rsidR="00ED7D4C" w:rsidRPr="00BE6756" w:rsidRDefault="00ED7D4C" w:rsidP="00C63D77">
            <w:pPr>
              <w:spacing w:before="0" w:after="100" w:afterAutospacing="1"/>
              <w:jc w:val="right"/>
              <w:rPr>
                <w:rFonts w:ascii="Calibri" w:hAnsi="Calibri" w:cs="Calibri"/>
                <w:sz w:val="20"/>
                <w:szCs w:val="20"/>
                <w:lang w:eastAsia="en-GB"/>
              </w:rPr>
            </w:pPr>
            <w:r w:rsidRPr="00BE6756">
              <w:rPr>
                <w:rFonts w:ascii="Calibri" w:hAnsi="Calibri" w:cs="Calibri"/>
                <w:sz w:val="20"/>
                <w:szCs w:val="20"/>
                <w:lang w:eastAsia="en-GB"/>
              </w:rPr>
              <w:t>1,609,407</w:t>
            </w:r>
          </w:p>
        </w:tc>
      </w:tr>
      <w:tr w:rsidR="00ED7D4C" w:rsidRPr="00754A64" w:rsidTr="00C63D77">
        <w:trPr>
          <w:trHeight w:val="20"/>
        </w:trPr>
        <w:tc>
          <w:tcPr>
            <w:tcW w:w="2835" w:type="dxa"/>
            <w:tcBorders>
              <w:bottom w:val="single" w:sz="4" w:space="0" w:color="auto"/>
            </w:tcBorders>
            <w:shd w:val="clear" w:color="auto" w:fill="8DB3E2" w:themeFill="text2" w:themeFillTint="66"/>
            <w:vAlign w:val="center"/>
          </w:tcPr>
          <w:p w:rsidR="00ED7D4C" w:rsidRPr="008E558B" w:rsidRDefault="00ED7D4C" w:rsidP="00C63D77">
            <w:pPr>
              <w:spacing w:before="0" w:after="100" w:afterAutospacing="1"/>
              <w:rPr>
                <w:rFonts w:ascii="Calibri" w:hAnsi="Calibri" w:cs="Calibri"/>
                <w:b/>
                <w:sz w:val="20"/>
                <w:szCs w:val="20"/>
                <w:lang w:eastAsia="en-GB"/>
              </w:rPr>
            </w:pPr>
            <w:r w:rsidRPr="008E558B">
              <w:rPr>
                <w:rFonts w:ascii="Calibri" w:hAnsi="Calibri" w:cs="Calibri"/>
                <w:b/>
                <w:sz w:val="20"/>
                <w:szCs w:val="20"/>
                <w:lang w:eastAsia="en-GB"/>
              </w:rPr>
              <w:t>Total</w:t>
            </w:r>
          </w:p>
        </w:tc>
        <w:tc>
          <w:tcPr>
            <w:tcW w:w="1559" w:type="dxa"/>
            <w:tcBorders>
              <w:bottom w:val="single" w:sz="4" w:space="0" w:color="auto"/>
            </w:tcBorders>
            <w:shd w:val="clear" w:color="auto" w:fill="8DB3E2" w:themeFill="text2" w:themeFillTint="66"/>
            <w:vAlign w:val="center"/>
          </w:tcPr>
          <w:p w:rsidR="00ED7D4C" w:rsidRPr="008E558B" w:rsidRDefault="00ED7D4C" w:rsidP="00C63D77">
            <w:pPr>
              <w:spacing w:before="0" w:after="100" w:afterAutospacing="1"/>
              <w:jc w:val="right"/>
              <w:rPr>
                <w:rFonts w:ascii="Calibri" w:hAnsi="Calibri" w:cs="Calibri"/>
                <w:b/>
                <w:sz w:val="20"/>
                <w:szCs w:val="20"/>
                <w:lang w:eastAsia="en-GB"/>
              </w:rPr>
            </w:pPr>
            <w:r w:rsidRPr="008E558B">
              <w:rPr>
                <w:rFonts w:ascii="Calibri" w:hAnsi="Calibri" w:cs="Calibri"/>
                <w:b/>
                <w:sz w:val="20"/>
                <w:szCs w:val="20"/>
                <w:lang w:eastAsia="en-GB"/>
              </w:rPr>
              <w:t>75,000</w:t>
            </w:r>
          </w:p>
        </w:tc>
        <w:tc>
          <w:tcPr>
            <w:tcW w:w="1559" w:type="dxa"/>
            <w:tcBorders>
              <w:bottom w:val="single" w:sz="4" w:space="0" w:color="auto"/>
            </w:tcBorders>
            <w:shd w:val="clear" w:color="auto" w:fill="8DB3E2" w:themeFill="text2" w:themeFillTint="66"/>
            <w:vAlign w:val="center"/>
          </w:tcPr>
          <w:p w:rsidR="00ED7D4C" w:rsidRPr="008E558B" w:rsidRDefault="00ED7D4C" w:rsidP="00C63D77">
            <w:pPr>
              <w:spacing w:before="0" w:after="100" w:afterAutospacing="1"/>
              <w:jc w:val="right"/>
              <w:rPr>
                <w:rFonts w:ascii="Calibri" w:hAnsi="Calibri" w:cs="Calibri"/>
                <w:b/>
                <w:sz w:val="20"/>
                <w:szCs w:val="20"/>
                <w:lang w:eastAsia="en-GB"/>
              </w:rPr>
            </w:pPr>
            <w:r w:rsidRPr="008E558B">
              <w:rPr>
                <w:rFonts w:ascii="Calibri" w:hAnsi="Calibri" w:cs="Calibri"/>
                <w:b/>
                <w:sz w:val="20"/>
                <w:szCs w:val="20"/>
                <w:lang w:eastAsia="en-GB"/>
              </w:rPr>
              <w:t>6,721,985</w:t>
            </w:r>
          </w:p>
        </w:tc>
        <w:tc>
          <w:tcPr>
            <w:tcW w:w="1559" w:type="dxa"/>
            <w:tcBorders>
              <w:bottom w:val="single" w:sz="4" w:space="0" w:color="auto"/>
            </w:tcBorders>
            <w:shd w:val="clear" w:color="auto" w:fill="8DB3E2" w:themeFill="text2" w:themeFillTint="66"/>
            <w:vAlign w:val="center"/>
          </w:tcPr>
          <w:p w:rsidR="00ED7D4C" w:rsidRPr="008E558B" w:rsidRDefault="00ED7D4C" w:rsidP="00C63D77">
            <w:pPr>
              <w:spacing w:before="0" w:after="100" w:afterAutospacing="1"/>
              <w:jc w:val="right"/>
              <w:rPr>
                <w:rFonts w:ascii="Calibri" w:hAnsi="Calibri" w:cs="Calibri"/>
                <w:b/>
                <w:sz w:val="20"/>
                <w:szCs w:val="20"/>
                <w:lang w:eastAsia="en-GB"/>
              </w:rPr>
            </w:pPr>
            <w:r w:rsidRPr="008E558B">
              <w:rPr>
                <w:rFonts w:ascii="Calibri" w:hAnsi="Calibri" w:cs="Calibri"/>
                <w:b/>
                <w:sz w:val="20"/>
                <w:szCs w:val="20"/>
                <w:lang w:eastAsia="en-GB"/>
              </w:rPr>
              <w:t>16,713,496</w:t>
            </w:r>
          </w:p>
        </w:tc>
        <w:tc>
          <w:tcPr>
            <w:tcW w:w="1497" w:type="dxa"/>
            <w:tcBorders>
              <w:bottom w:val="single" w:sz="4" w:space="0" w:color="auto"/>
            </w:tcBorders>
            <w:shd w:val="clear" w:color="auto" w:fill="8DB3E2" w:themeFill="text2" w:themeFillTint="66"/>
            <w:vAlign w:val="center"/>
          </w:tcPr>
          <w:p w:rsidR="00ED7D4C" w:rsidRPr="008E558B" w:rsidRDefault="00ED7D4C" w:rsidP="00C63D77">
            <w:pPr>
              <w:spacing w:before="0" w:after="100" w:afterAutospacing="1"/>
              <w:jc w:val="right"/>
              <w:rPr>
                <w:rFonts w:ascii="Calibri" w:hAnsi="Calibri" w:cs="Calibri"/>
                <w:b/>
                <w:sz w:val="20"/>
                <w:szCs w:val="20"/>
                <w:lang w:eastAsia="en-GB"/>
              </w:rPr>
            </w:pPr>
            <w:r w:rsidRPr="008E558B">
              <w:rPr>
                <w:rFonts w:ascii="Calibri" w:hAnsi="Calibri" w:cs="Calibri"/>
                <w:b/>
                <w:sz w:val="20"/>
                <w:szCs w:val="20"/>
                <w:lang w:eastAsia="en-GB"/>
              </w:rPr>
              <w:t>23,510,481</w:t>
            </w:r>
          </w:p>
        </w:tc>
      </w:tr>
    </w:tbl>
    <w:p w:rsidR="00ED7D4C" w:rsidRPr="00ED7D4C" w:rsidRDefault="00ED7D4C" w:rsidP="00ED7D4C">
      <w:pPr>
        <w:pStyle w:val="Heading2"/>
      </w:pPr>
      <w:bookmarkStart w:id="50" w:name="_Toc476822124"/>
      <w:r w:rsidRPr="00ED7D4C">
        <w:t>Risks - Redundancy Costs</w:t>
      </w:r>
      <w:bookmarkEnd w:id="49"/>
      <w:bookmarkEnd w:id="50"/>
    </w:p>
    <w:p w:rsidR="00ED7D4C" w:rsidRDefault="00ED7D4C" w:rsidP="00ED7D4C">
      <w:r w:rsidRPr="00C62035">
        <w:t>Where staff are funded from time limited awards there is a potential redundancy risk. This has always been monitored along with HR to identify and mitigate the risk on a case-by-case basis</w:t>
      </w:r>
    </w:p>
    <w:p w:rsidR="00ED7D4C" w:rsidRDefault="00ED7D4C" w:rsidP="00ED7D4C">
      <w:r w:rsidRPr="00CA7105">
        <w:t>The CRN reduced their level of funding for CRF staff this financial year and are looking to review their funding for R&amp;D Governance and pharmacy support</w:t>
      </w:r>
      <w:r>
        <w:t xml:space="preserve"> which may lead to a review of these posts. But as of 25</w:t>
      </w:r>
      <w:r w:rsidRPr="005538AA">
        <w:rPr>
          <w:vertAlign w:val="superscript"/>
        </w:rPr>
        <w:t>th</w:t>
      </w:r>
      <w:r>
        <w:t xml:space="preserve"> February no detailed information has been provided by the CRN. This was requested before Christmas but the only information received was that funding was expected to remain flat but could be reallocated between posts. </w:t>
      </w:r>
    </w:p>
    <w:p w:rsidR="00ED7D4C" w:rsidRPr="00ED7D4C" w:rsidRDefault="00ED7D4C" w:rsidP="00ED7D4C">
      <w:pPr>
        <w:pStyle w:val="Heading2"/>
      </w:pPr>
      <w:bookmarkStart w:id="51" w:name="_Toc441061233"/>
      <w:bookmarkStart w:id="52" w:name="_Toc476822125"/>
      <w:r w:rsidRPr="00ED7D4C">
        <w:t>Oxford Academic Health Science Network (OAHSN)</w:t>
      </w:r>
      <w:bookmarkEnd w:id="51"/>
      <w:bookmarkEnd w:id="52"/>
    </w:p>
    <w:p w:rsidR="00ED7D4C" w:rsidRPr="00043D4A" w:rsidRDefault="00ED7D4C" w:rsidP="00ED7D4C">
      <w:r w:rsidRPr="00043D4A">
        <w:t xml:space="preserve">Oxford Health is hosting three of the </w:t>
      </w:r>
      <w:r w:rsidR="00283916">
        <w:t>nine</w:t>
      </w:r>
      <w:r w:rsidRPr="00043D4A">
        <w:t xml:space="preserve"> OAHSN Clinical Networks. These are Dementia; Early Intervention in Mental Health; and Anxiety and Depression (detailed below).</w:t>
      </w:r>
    </w:p>
    <w:tbl>
      <w:tblPr>
        <w:tblStyle w:val="TableGrid"/>
        <w:tblW w:w="9695" w:type="dxa"/>
        <w:tblInd w:w="108" w:type="dxa"/>
        <w:tblLook w:val="04A0" w:firstRow="1" w:lastRow="0" w:firstColumn="1" w:lastColumn="0" w:noHBand="0" w:noVBand="1"/>
      </w:tblPr>
      <w:tblGrid>
        <w:gridCol w:w="2410"/>
        <w:gridCol w:w="1701"/>
        <w:gridCol w:w="4678"/>
        <w:gridCol w:w="906"/>
      </w:tblGrid>
      <w:tr w:rsidR="00ED7D4C" w:rsidRPr="005761AD" w:rsidTr="00C63D77">
        <w:trPr>
          <w:trHeight w:val="178"/>
        </w:trPr>
        <w:tc>
          <w:tcPr>
            <w:tcW w:w="2410" w:type="dxa"/>
            <w:shd w:val="clear" w:color="auto" w:fill="8DB3E2" w:themeFill="text2" w:themeFillTint="66"/>
          </w:tcPr>
          <w:p w:rsidR="00ED7D4C" w:rsidRPr="005761AD" w:rsidRDefault="00ED7D4C" w:rsidP="00C63D77">
            <w:pPr>
              <w:spacing w:before="120" w:after="0"/>
              <w:rPr>
                <w:b/>
                <w:i/>
                <w:sz w:val="20"/>
                <w:szCs w:val="20"/>
              </w:rPr>
            </w:pPr>
            <w:r w:rsidRPr="005761AD">
              <w:rPr>
                <w:b/>
                <w:i/>
                <w:sz w:val="20"/>
                <w:szCs w:val="20"/>
              </w:rPr>
              <w:t xml:space="preserve">Network </w:t>
            </w:r>
          </w:p>
        </w:tc>
        <w:tc>
          <w:tcPr>
            <w:tcW w:w="1701" w:type="dxa"/>
            <w:shd w:val="clear" w:color="auto" w:fill="8DB3E2" w:themeFill="text2" w:themeFillTint="66"/>
          </w:tcPr>
          <w:p w:rsidR="00ED7D4C" w:rsidRPr="005761AD" w:rsidRDefault="00ED7D4C" w:rsidP="00C63D77">
            <w:pPr>
              <w:spacing w:before="120" w:after="0"/>
              <w:jc w:val="center"/>
              <w:rPr>
                <w:b/>
                <w:i/>
                <w:sz w:val="20"/>
                <w:szCs w:val="20"/>
              </w:rPr>
            </w:pPr>
            <w:r w:rsidRPr="005761AD">
              <w:rPr>
                <w:b/>
                <w:i/>
                <w:sz w:val="20"/>
                <w:szCs w:val="20"/>
              </w:rPr>
              <w:t>Lead</w:t>
            </w:r>
          </w:p>
        </w:tc>
        <w:tc>
          <w:tcPr>
            <w:tcW w:w="4678" w:type="dxa"/>
            <w:shd w:val="clear" w:color="auto" w:fill="8DB3E2" w:themeFill="text2" w:themeFillTint="66"/>
          </w:tcPr>
          <w:p w:rsidR="00ED7D4C" w:rsidRPr="005761AD" w:rsidRDefault="00ED7D4C" w:rsidP="00C63D77">
            <w:pPr>
              <w:spacing w:before="120" w:after="0"/>
              <w:jc w:val="center"/>
              <w:rPr>
                <w:b/>
                <w:i/>
                <w:sz w:val="20"/>
                <w:szCs w:val="20"/>
              </w:rPr>
            </w:pPr>
            <w:r w:rsidRPr="005761AD">
              <w:rPr>
                <w:b/>
                <w:i/>
                <w:sz w:val="20"/>
                <w:szCs w:val="20"/>
              </w:rPr>
              <w:t>Total Award</w:t>
            </w:r>
          </w:p>
        </w:tc>
        <w:tc>
          <w:tcPr>
            <w:tcW w:w="906" w:type="dxa"/>
            <w:shd w:val="clear" w:color="auto" w:fill="8DB3E2" w:themeFill="text2" w:themeFillTint="66"/>
          </w:tcPr>
          <w:p w:rsidR="00ED7D4C" w:rsidRPr="005761AD" w:rsidRDefault="00ED7D4C" w:rsidP="00C63D77">
            <w:pPr>
              <w:spacing w:before="120" w:after="0"/>
              <w:jc w:val="center"/>
              <w:rPr>
                <w:i/>
              </w:rPr>
            </w:pPr>
            <w:r w:rsidRPr="005761AD">
              <w:rPr>
                <w:b/>
                <w:i/>
                <w:sz w:val="20"/>
                <w:szCs w:val="20"/>
              </w:rPr>
              <w:t>End Date</w:t>
            </w:r>
          </w:p>
        </w:tc>
      </w:tr>
      <w:tr w:rsidR="00ED7D4C" w:rsidRPr="005761AD" w:rsidTr="00C63D77">
        <w:trPr>
          <w:trHeight w:val="20"/>
        </w:trPr>
        <w:tc>
          <w:tcPr>
            <w:tcW w:w="2410" w:type="dxa"/>
            <w:vAlign w:val="center"/>
          </w:tcPr>
          <w:p w:rsidR="00ED7D4C" w:rsidRPr="005761AD" w:rsidRDefault="00ED7D4C" w:rsidP="00C63D77">
            <w:pPr>
              <w:spacing w:before="0" w:after="0"/>
              <w:jc w:val="left"/>
              <w:rPr>
                <w:i/>
                <w:sz w:val="20"/>
                <w:szCs w:val="20"/>
              </w:rPr>
            </w:pPr>
            <w:r w:rsidRPr="005761AD">
              <w:rPr>
                <w:i/>
                <w:sz w:val="20"/>
                <w:szCs w:val="20"/>
              </w:rPr>
              <w:t>Dementia</w:t>
            </w:r>
          </w:p>
        </w:tc>
        <w:tc>
          <w:tcPr>
            <w:tcW w:w="1701" w:type="dxa"/>
            <w:vAlign w:val="center"/>
          </w:tcPr>
          <w:p w:rsidR="00ED7D4C" w:rsidRPr="005761AD" w:rsidRDefault="00ED7D4C" w:rsidP="00C63D77">
            <w:pPr>
              <w:spacing w:before="0" w:after="0"/>
              <w:jc w:val="center"/>
              <w:rPr>
                <w:i/>
                <w:sz w:val="20"/>
                <w:szCs w:val="20"/>
              </w:rPr>
            </w:pPr>
            <w:r w:rsidRPr="005761AD">
              <w:rPr>
                <w:i/>
                <w:sz w:val="20"/>
                <w:szCs w:val="20"/>
              </w:rPr>
              <w:t>Dr Rupert McShane</w:t>
            </w:r>
          </w:p>
        </w:tc>
        <w:tc>
          <w:tcPr>
            <w:tcW w:w="4678" w:type="dxa"/>
            <w:vAlign w:val="center"/>
          </w:tcPr>
          <w:p w:rsidR="00ED7D4C" w:rsidRPr="005761AD" w:rsidRDefault="00ED7D4C" w:rsidP="00C63D77">
            <w:pPr>
              <w:spacing w:before="0" w:after="0"/>
              <w:jc w:val="left"/>
              <w:rPr>
                <w:i/>
                <w:sz w:val="20"/>
                <w:szCs w:val="20"/>
              </w:rPr>
            </w:pPr>
            <w:r w:rsidRPr="005761AD">
              <w:rPr>
                <w:b/>
                <w:i/>
                <w:sz w:val="20"/>
                <w:szCs w:val="20"/>
              </w:rPr>
              <w:t>Total £536k</w:t>
            </w:r>
            <w:r>
              <w:rPr>
                <w:b/>
                <w:i/>
                <w:sz w:val="20"/>
                <w:szCs w:val="20"/>
              </w:rPr>
              <w:t xml:space="preserve">, </w:t>
            </w:r>
            <w:r w:rsidRPr="005761AD">
              <w:rPr>
                <w:i/>
                <w:sz w:val="20"/>
                <w:szCs w:val="20"/>
              </w:rPr>
              <w:t>£336k up to 31 March 16</w:t>
            </w:r>
          </w:p>
          <w:p w:rsidR="00ED7D4C" w:rsidRPr="005761AD" w:rsidRDefault="00ED7D4C" w:rsidP="00C63D77">
            <w:pPr>
              <w:spacing w:before="0" w:after="0"/>
              <w:jc w:val="left"/>
              <w:rPr>
                <w:i/>
                <w:sz w:val="20"/>
                <w:szCs w:val="20"/>
              </w:rPr>
            </w:pPr>
            <w:r w:rsidRPr="005761AD">
              <w:rPr>
                <w:i/>
                <w:sz w:val="20"/>
                <w:szCs w:val="20"/>
              </w:rPr>
              <w:t>Additional £200k has been agreed to fund the network until March 18</w:t>
            </w:r>
          </w:p>
        </w:tc>
        <w:tc>
          <w:tcPr>
            <w:tcW w:w="906" w:type="dxa"/>
            <w:vAlign w:val="center"/>
          </w:tcPr>
          <w:p w:rsidR="00ED7D4C" w:rsidRPr="005761AD" w:rsidRDefault="00ED7D4C" w:rsidP="00C63D77">
            <w:pPr>
              <w:spacing w:before="0" w:after="0"/>
              <w:jc w:val="center"/>
              <w:rPr>
                <w:i/>
                <w:sz w:val="20"/>
                <w:szCs w:val="20"/>
              </w:rPr>
            </w:pPr>
            <w:r w:rsidRPr="005761AD">
              <w:rPr>
                <w:i/>
                <w:sz w:val="20"/>
                <w:szCs w:val="20"/>
              </w:rPr>
              <w:t>March 2018</w:t>
            </w:r>
          </w:p>
        </w:tc>
      </w:tr>
      <w:tr w:rsidR="00ED7D4C" w:rsidRPr="005761AD" w:rsidTr="00C63D77">
        <w:trPr>
          <w:trHeight w:val="20"/>
        </w:trPr>
        <w:tc>
          <w:tcPr>
            <w:tcW w:w="2410" w:type="dxa"/>
            <w:vAlign w:val="center"/>
          </w:tcPr>
          <w:p w:rsidR="00ED7D4C" w:rsidRPr="005761AD" w:rsidRDefault="00ED7D4C" w:rsidP="00C63D77">
            <w:pPr>
              <w:spacing w:before="0" w:after="0"/>
              <w:jc w:val="left"/>
              <w:rPr>
                <w:i/>
                <w:sz w:val="20"/>
                <w:szCs w:val="20"/>
              </w:rPr>
            </w:pPr>
            <w:r w:rsidRPr="005761AD">
              <w:rPr>
                <w:i/>
                <w:sz w:val="20"/>
                <w:szCs w:val="20"/>
              </w:rPr>
              <w:t>Early Intervention in MH</w:t>
            </w:r>
          </w:p>
        </w:tc>
        <w:tc>
          <w:tcPr>
            <w:tcW w:w="1701" w:type="dxa"/>
            <w:vAlign w:val="center"/>
          </w:tcPr>
          <w:p w:rsidR="00ED7D4C" w:rsidRPr="005761AD" w:rsidRDefault="00ED7D4C" w:rsidP="00C63D77">
            <w:pPr>
              <w:spacing w:before="0" w:after="0"/>
              <w:jc w:val="center"/>
              <w:rPr>
                <w:i/>
                <w:sz w:val="20"/>
                <w:szCs w:val="20"/>
              </w:rPr>
            </w:pPr>
            <w:r w:rsidRPr="005761AD">
              <w:rPr>
                <w:i/>
                <w:sz w:val="20"/>
                <w:szCs w:val="20"/>
              </w:rPr>
              <w:t>Prof Belinda Lennox</w:t>
            </w:r>
          </w:p>
        </w:tc>
        <w:tc>
          <w:tcPr>
            <w:tcW w:w="4678" w:type="dxa"/>
            <w:vAlign w:val="center"/>
          </w:tcPr>
          <w:p w:rsidR="00ED7D4C" w:rsidRPr="005761AD" w:rsidRDefault="00ED7D4C" w:rsidP="00C63D77">
            <w:pPr>
              <w:spacing w:before="0" w:after="0"/>
              <w:jc w:val="left"/>
              <w:rPr>
                <w:i/>
                <w:sz w:val="20"/>
                <w:szCs w:val="20"/>
              </w:rPr>
            </w:pPr>
            <w:r w:rsidRPr="005761AD">
              <w:rPr>
                <w:b/>
                <w:i/>
                <w:sz w:val="20"/>
                <w:szCs w:val="20"/>
              </w:rPr>
              <w:t>Total £433k</w:t>
            </w:r>
            <w:r>
              <w:rPr>
                <w:b/>
                <w:i/>
                <w:sz w:val="20"/>
                <w:szCs w:val="20"/>
              </w:rPr>
              <w:t xml:space="preserve">, </w:t>
            </w:r>
            <w:r w:rsidRPr="005761AD">
              <w:rPr>
                <w:i/>
                <w:sz w:val="20"/>
                <w:szCs w:val="20"/>
              </w:rPr>
              <w:t>£210k up to 31 March 16</w:t>
            </w:r>
          </w:p>
          <w:p w:rsidR="00ED7D4C" w:rsidRPr="005761AD" w:rsidRDefault="00ED7D4C" w:rsidP="00C63D77">
            <w:pPr>
              <w:spacing w:before="0" w:after="0"/>
              <w:jc w:val="left"/>
              <w:rPr>
                <w:i/>
                <w:sz w:val="20"/>
                <w:szCs w:val="20"/>
              </w:rPr>
            </w:pPr>
            <w:r w:rsidRPr="005761AD">
              <w:rPr>
                <w:i/>
                <w:sz w:val="20"/>
                <w:szCs w:val="20"/>
              </w:rPr>
              <w:t>Additional £211k has been agreed to fund the network until March 18</w:t>
            </w:r>
          </w:p>
        </w:tc>
        <w:tc>
          <w:tcPr>
            <w:tcW w:w="906" w:type="dxa"/>
            <w:vAlign w:val="center"/>
          </w:tcPr>
          <w:p w:rsidR="00ED7D4C" w:rsidRPr="005761AD" w:rsidRDefault="00ED7D4C" w:rsidP="00C63D77">
            <w:pPr>
              <w:spacing w:before="0" w:after="0"/>
              <w:jc w:val="center"/>
              <w:rPr>
                <w:i/>
                <w:sz w:val="20"/>
                <w:szCs w:val="20"/>
              </w:rPr>
            </w:pPr>
            <w:r w:rsidRPr="005761AD">
              <w:rPr>
                <w:i/>
                <w:sz w:val="20"/>
                <w:szCs w:val="20"/>
              </w:rPr>
              <w:t>March 2018</w:t>
            </w:r>
          </w:p>
        </w:tc>
      </w:tr>
      <w:tr w:rsidR="00ED7D4C" w:rsidRPr="005761AD" w:rsidTr="00C63D77">
        <w:trPr>
          <w:trHeight w:val="20"/>
        </w:trPr>
        <w:tc>
          <w:tcPr>
            <w:tcW w:w="2410" w:type="dxa"/>
            <w:vAlign w:val="center"/>
          </w:tcPr>
          <w:p w:rsidR="00ED7D4C" w:rsidRPr="005761AD" w:rsidRDefault="00ED7D4C" w:rsidP="00C63D77">
            <w:pPr>
              <w:spacing w:before="0" w:after="0"/>
              <w:jc w:val="left"/>
              <w:rPr>
                <w:i/>
                <w:sz w:val="20"/>
                <w:szCs w:val="20"/>
              </w:rPr>
            </w:pPr>
            <w:r w:rsidRPr="005761AD">
              <w:rPr>
                <w:i/>
                <w:sz w:val="20"/>
                <w:szCs w:val="20"/>
              </w:rPr>
              <w:t>Anxiety &amp; Depression</w:t>
            </w:r>
          </w:p>
        </w:tc>
        <w:tc>
          <w:tcPr>
            <w:tcW w:w="1701" w:type="dxa"/>
            <w:vAlign w:val="center"/>
          </w:tcPr>
          <w:p w:rsidR="00ED7D4C" w:rsidRPr="005761AD" w:rsidRDefault="00ED7D4C" w:rsidP="00C63D77">
            <w:pPr>
              <w:spacing w:before="0" w:after="0"/>
              <w:jc w:val="center"/>
              <w:rPr>
                <w:i/>
                <w:sz w:val="20"/>
                <w:szCs w:val="20"/>
              </w:rPr>
            </w:pPr>
            <w:r w:rsidRPr="005761AD">
              <w:rPr>
                <w:i/>
                <w:sz w:val="20"/>
                <w:szCs w:val="20"/>
              </w:rPr>
              <w:t>Prof David Clark</w:t>
            </w:r>
          </w:p>
        </w:tc>
        <w:tc>
          <w:tcPr>
            <w:tcW w:w="4678" w:type="dxa"/>
            <w:vAlign w:val="center"/>
          </w:tcPr>
          <w:p w:rsidR="00ED7D4C" w:rsidRPr="005761AD" w:rsidRDefault="00ED7D4C" w:rsidP="00C63D77">
            <w:pPr>
              <w:autoSpaceDE w:val="0"/>
              <w:autoSpaceDN w:val="0"/>
              <w:adjustRightInd w:val="0"/>
              <w:spacing w:before="0" w:after="0"/>
              <w:jc w:val="left"/>
              <w:rPr>
                <w:i/>
                <w:sz w:val="20"/>
                <w:szCs w:val="20"/>
              </w:rPr>
            </w:pPr>
            <w:r w:rsidRPr="005761AD">
              <w:rPr>
                <w:b/>
                <w:i/>
                <w:sz w:val="20"/>
                <w:szCs w:val="20"/>
              </w:rPr>
              <w:t>Total £490k</w:t>
            </w:r>
            <w:r>
              <w:rPr>
                <w:b/>
                <w:i/>
                <w:sz w:val="20"/>
                <w:szCs w:val="20"/>
              </w:rPr>
              <w:t xml:space="preserve">, </w:t>
            </w:r>
            <w:r w:rsidRPr="005761AD">
              <w:rPr>
                <w:i/>
                <w:sz w:val="20"/>
                <w:szCs w:val="20"/>
              </w:rPr>
              <w:t>£220k up until March 16</w:t>
            </w:r>
          </w:p>
          <w:p w:rsidR="00ED7D4C" w:rsidRPr="005761AD" w:rsidRDefault="00ED7D4C" w:rsidP="00C63D77">
            <w:pPr>
              <w:autoSpaceDE w:val="0"/>
              <w:autoSpaceDN w:val="0"/>
              <w:adjustRightInd w:val="0"/>
              <w:spacing w:before="0" w:after="0"/>
              <w:jc w:val="left"/>
              <w:rPr>
                <w:i/>
                <w:sz w:val="20"/>
                <w:szCs w:val="20"/>
              </w:rPr>
            </w:pPr>
            <w:r w:rsidRPr="005761AD">
              <w:rPr>
                <w:i/>
                <w:sz w:val="20"/>
                <w:szCs w:val="20"/>
              </w:rPr>
              <w:t>Additional £259k has been agreed to fund the network until March 18</w:t>
            </w:r>
          </w:p>
        </w:tc>
        <w:tc>
          <w:tcPr>
            <w:tcW w:w="906" w:type="dxa"/>
            <w:vAlign w:val="center"/>
          </w:tcPr>
          <w:p w:rsidR="00ED7D4C" w:rsidRPr="005761AD" w:rsidRDefault="00ED7D4C" w:rsidP="00C63D77">
            <w:pPr>
              <w:spacing w:before="0" w:after="0"/>
              <w:jc w:val="center"/>
              <w:rPr>
                <w:i/>
                <w:sz w:val="20"/>
                <w:szCs w:val="20"/>
              </w:rPr>
            </w:pPr>
            <w:r w:rsidRPr="005761AD">
              <w:rPr>
                <w:i/>
                <w:sz w:val="20"/>
                <w:szCs w:val="20"/>
              </w:rPr>
              <w:t>March 2018</w:t>
            </w:r>
          </w:p>
        </w:tc>
      </w:tr>
    </w:tbl>
    <w:p w:rsidR="00ED7D4C" w:rsidRDefault="00ED7D4C" w:rsidP="00ED7D4C">
      <w:r>
        <w:t xml:space="preserve">In February 2017 there </w:t>
      </w:r>
      <w:r w:rsidR="00283916">
        <w:t xml:space="preserve">suggestions </w:t>
      </w:r>
      <w:r>
        <w:t>that some of the AHSN network is funding is being withdrawn, information</w:t>
      </w:r>
      <w:r w:rsidR="00283916">
        <w:t xml:space="preserve"> has been requested</w:t>
      </w:r>
      <w:r>
        <w:t xml:space="preserve"> but as yet there has been no official clarification. Once this is received the impact will be assessed. </w:t>
      </w:r>
    </w:p>
    <w:p w:rsidR="00A5052C" w:rsidRPr="00A5052C" w:rsidRDefault="00ED7D4C" w:rsidP="00A5052C">
      <w:pPr>
        <w:rPr>
          <w:lang w:val="en-GB"/>
        </w:rPr>
      </w:pPr>
      <w:r w:rsidRPr="00043D4A">
        <w:lastRenderedPageBreak/>
        <w:t xml:space="preserve">The OASHN is seen as a clinical development rather than research and is reported separately in the finance report to the Board. </w:t>
      </w:r>
    </w:p>
    <w:p w:rsidR="002D020A" w:rsidRDefault="009B51DB" w:rsidP="00245847">
      <w:pPr>
        <w:pStyle w:val="Heading1"/>
      </w:pPr>
      <w:bookmarkStart w:id="53" w:name="_Toc476822126"/>
      <w:r w:rsidRPr="00F4305F">
        <w:t>Staffing</w:t>
      </w:r>
      <w:bookmarkEnd w:id="53"/>
    </w:p>
    <w:p w:rsidR="000B2FA3" w:rsidRDefault="000B2FA3" w:rsidP="000B2FA3">
      <w:pPr>
        <w:rPr>
          <w:lang w:val="en-GB"/>
        </w:rPr>
      </w:pPr>
      <w:r>
        <w:rPr>
          <w:lang w:val="en-GB"/>
        </w:rPr>
        <w:t>The Research Implementation Manager, Alexandra Forrest resigned from her post on December 2016 and has been replaced by Jennifer Potts, a researcher within the Dementia teams.</w:t>
      </w:r>
    </w:p>
    <w:p w:rsidR="000B2FA3" w:rsidRDefault="000B2FA3" w:rsidP="000B2FA3">
      <w:pPr>
        <w:rPr>
          <w:lang w:val="en-GB"/>
        </w:rPr>
      </w:pPr>
      <w:r>
        <w:rPr>
          <w:lang w:val="en-GB"/>
        </w:rPr>
        <w:t>Christine Dransfield has taken on the Senior Research Nurse for the Dementia nurse team following her acting up post in the role.</w:t>
      </w:r>
    </w:p>
    <w:p w:rsidR="000B2FA3" w:rsidRDefault="000B2FA3" w:rsidP="000B2FA3">
      <w:pPr>
        <w:rPr>
          <w:lang w:val="en-GB"/>
        </w:rPr>
      </w:pPr>
      <w:r>
        <w:rPr>
          <w:lang w:val="en-GB"/>
        </w:rPr>
        <w:t>A number of staff from pharmacy, the R&amp;D Office and two research assistants are currently on or expected to be on maternity leave over the coming months.</w:t>
      </w:r>
    </w:p>
    <w:p w:rsidR="00D25B5D" w:rsidRDefault="00D25B5D" w:rsidP="000B2FA3">
      <w:pPr>
        <w:rPr>
          <w:lang w:val="en-GB"/>
        </w:rPr>
      </w:pPr>
      <w:r>
        <w:rPr>
          <w:lang w:val="en-GB"/>
        </w:rPr>
        <w:t xml:space="preserve">The Trust </w:t>
      </w:r>
      <w:r w:rsidRPr="00D25B5D">
        <w:rPr>
          <w:lang w:val="en-GB"/>
        </w:rPr>
        <w:t>have created a new Associate Director of R&amp;D role who will work with the Director and senior team to shape R&amp;D going forward</w:t>
      </w:r>
      <w:r>
        <w:rPr>
          <w:lang w:val="en-GB"/>
        </w:rPr>
        <w:t>.  The post is currently out to advert</w:t>
      </w:r>
    </w:p>
    <w:p w:rsidR="00D25B5D" w:rsidRPr="000B2FA3" w:rsidRDefault="00D25B5D" w:rsidP="000B2FA3">
      <w:pPr>
        <w:rPr>
          <w:lang w:val="en-GB"/>
        </w:rPr>
      </w:pPr>
      <w:r>
        <w:rPr>
          <w:lang w:val="en-GB"/>
        </w:rPr>
        <w:t>A new role, Patient and Public Involvement (PPI) Manger has been created to support the objectives of the BRC.  This role is currently being advertised</w:t>
      </w:r>
    </w:p>
    <w:p w:rsidR="00150C4C" w:rsidRDefault="00150C4C" w:rsidP="00220FB1">
      <w:pPr>
        <w:pStyle w:val="Heading1"/>
      </w:pPr>
      <w:bookmarkStart w:id="54" w:name="_Toc476822127"/>
      <w:r>
        <w:t>Estates</w:t>
      </w:r>
      <w:bookmarkEnd w:id="54"/>
    </w:p>
    <w:p w:rsidR="00FA5376" w:rsidRDefault="00FA5376" w:rsidP="00FA5376">
      <w:pPr>
        <w:rPr>
          <w:lang w:val="en-GB"/>
        </w:rPr>
      </w:pPr>
      <w:r w:rsidRPr="00FA5376">
        <w:rPr>
          <w:lang w:val="en-GB"/>
        </w:rPr>
        <w:t>There is currently a joint research office (JRO) between O</w:t>
      </w:r>
      <w:r>
        <w:rPr>
          <w:lang w:val="en-GB"/>
        </w:rPr>
        <w:t xml:space="preserve">xford University Hospitals NHS FT (OUH) and the University of Oxford to support the streamline set up and management of research studies across the organisations.  The JRO are currently located within the Churchill hospital but are expecting to relocate to UNIPART in Cowley, Oxford.  </w:t>
      </w:r>
      <w:r w:rsidRPr="00FA5376">
        <w:rPr>
          <w:lang w:val="en-GB"/>
        </w:rPr>
        <w:t xml:space="preserve">Therefore there is a considerable opportunity to integrate research across the partners of the AHSC if the current research posts employed within Oxford Health NHS FT relocate to the same office space at a similar time. </w:t>
      </w:r>
      <w:r>
        <w:rPr>
          <w:lang w:val="en-GB"/>
        </w:rPr>
        <w:t xml:space="preserve">This move is also anticipated to include the move of the core team of the CRN.  </w:t>
      </w:r>
      <w:r w:rsidRPr="00FA5376">
        <w:rPr>
          <w:lang w:val="en-GB"/>
        </w:rPr>
        <w:t>This will enable closer working relationships within the research arena for the benefit of researchers, patients and staff across organisation in order to streamline and speed up current processes.</w:t>
      </w:r>
      <w:r>
        <w:rPr>
          <w:lang w:val="en-GB"/>
        </w:rPr>
        <w:t xml:space="preserve">  A consultation process has been undertake</w:t>
      </w:r>
      <w:r w:rsidR="00F72E4E">
        <w:rPr>
          <w:lang w:val="en-GB"/>
        </w:rPr>
        <w:t>n</w:t>
      </w:r>
      <w:r>
        <w:rPr>
          <w:lang w:val="en-GB"/>
        </w:rPr>
        <w:t xml:space="preserve"> with the R&amp;D Office staff in addition CRN employed staff.  A move date is still to be determined but it is expected to be within the next two to three months.</w:t>
      </w:r>
    </w:p>
    <w:p w:rsidR="00FA5376" w:rsidRDefault="00FA5376" w:rsidP="00FA5376">
      <w:pPr>
        <w:rPr>
          <w:lang w:val="en-GB"/>
        </w:rPr>
      </w:pPr>
      <w:r>
        <w:rPr>
          <w:lang w:val="en-GB"/>
        </w:rPr>
        <w:t>The space currently occupied by the R&amp;D office staff in the main hospital at the Warneford site will become the BRC offices.</w:t>
      </w:r>
    </w:p>
    <w:p w:rsidR="00FA5376" w:rsidRDefault="00FA5376" w:rsidP="00FA5376">
      <w:pPr>
        <w:rPr>
          <w:lang w:val="en-GB"/>
        </w:rPr>
      </w:pPr>
      <w:r>
        <w:rPr>
          <w:lang w:val="en-GB"/>
        </w:rPr>
        <w:t>Due to the increase in the number of experimental medicine studies taking place on the CRF, in addition to the BRC pipeline that will flow through the CRF, it is no longer viable to undertake later phase research on the CRF.  The CRN are drafting a business plan to look at alternative accommodation throughout the Trust to undertake late phase research, particularly that which is commercially sponsored.  Potential alternatives are being explored at the Whiteleaf Centre in Aylesbury, Littlemore and Warneford sites in Oxford.</w:t>
      </w:r>
    </w:p>
    <w:p w:rsidR="00D25B5D" w:rsidRPr="00FA5376" w:rsidRDefault="00D25B5D" w:rsidP="00FA5376">
      <w:pPr>
        <w:rPr>
          <w:lang w:val="en-GB"/>
        </w:rPr>
      </w:pPr>
    </w:p>
    <w:p w:rsidR="00DD76D3" w:rsidRPr="0003213C" w:rsidRDefault="00DD76D3" w:rsidP="00220FB1">
      <w:pPr>
        <w:pStyle w:val="Heading1"/>
      </w:pPr>
      <w:bookmarkStart w:id="55" w:name="_Toc476822128"/>
      <w:r w:rsidRPr="0003213C">
        <w:lastRenderedPageBreak/>
        <w:t>Communications</w:t>
      </w:r>
      <w:bookmarkEnd w:id="55"/>
    </w:p>
    <w:p w:rsidR="00C63D77" w:rsidRDefault="00C63D77" w:rsidP="00C63D77">
      <w:r>
        <w:t xml:space="preserve">The successful bid for the NIHR Oxford Health BRC has cemented R&amp;D Communications as a crucial component of OHFT communications. </w:t>
      </w:r>
    </w:p>
    <w:p w:rsidR="00C63D77" w:rsidRDefault="00C63D77" w:rsidP="00C63D77">
      <w:r>
        <w:t>Representatives from OHFT Communications team and the University of Oxford jointly organised and attended a meeting with NIHR Communications team in January 2017. The relationships developed at this meeting have formed a positive and constructive foundation to building a communications strategy in the build-up to the launch of the BRC, and in ensuring fulfilment of the strict requirements of NIHR branding. NIHR Communications directly complemented the BRC bid video which was project managed by the team, and described it and wider communications materials as ‘exemplary’.</w:t>
      </w:r>
    </w:p>
    <w:p w:rsidR="00C63D77" w:rsidRDefault="00C63D77" w:rsidP="00C63D77">
      <w:r>
        <w:t>R&amp;D Communications is currently organising the launch event for the BRC to be held on March 31, and scoping out signage that conforms to NIHR branding guidelines.</w:t>
      </w:r>
    </w:p>
    <w:p w:rsidR="00C63D77" w:rsidRDefault="00C63D77" w:rsidP="00C63D77">
      <w:r>
        <w:t xml:space="preserve">The main visual presence and representation of the Oxford Health BRC will be the new website, which is being built by R&amp;D Communications and an independent web agency. R&amp;D Communications circulated a brief for the website to five independent web developers, three of whom responded with a full quote and project breakdown. After further details were solicited, Thameside Media was commissioned to create the new website – </w:t>
      </w:r>
      <w:hyperlink r:id="rId17" w:history="1">
        <w:r w:rsidRPr="00184491">
          <w:rPr>
            <w:rStyle w:val="Hyperlink"/>
          </w:rPr>
          <w:t>www.oxfordhealthbrc.nihr.ac.uk</w:t>
        </w:r>
      </w:hyperlink>
      <w:r>
        <w:t xml:space="preserve"> – which will launch on 31 March 2017. The writing of the content and supplying all visual assets for the website is underway. This and the bid film will be shown at the launch event.</w:t>
      </w:r>
    </w:p>
    <w:p w:rsidR="00C63D77" w:rsidRDefault="00C63D77" w:rsidP="00C63D77">
      <w:r>
        <w:t xml:space="preserve">Work is now completed in developing a page on the OHFT R&amp;D site where studies connected with the Trust are displayed: </w:t>
      </w:r>
      <w:hyperlink r:id="rId18" w:history="1">
        <w:r w:rsidRPr="008C2ECE">
          <w:rPr>
            <w:rStyle w:val="Hyperlink"/>
          </w:rPr>
          <w:t>http://www.oxfordhealth.nhs.uk/research/about-research/trials</w:t>
        </w:r>
      </w:hyperlink>
      <w:r>
        <w:t xml:space="preserve">. An online form is now available for researchers to complete, which is emailed to R&amp;D Communications to add studies to the website: </w:t>
      </w:r>
      <w:hyperlink r:id="rId19" w:history="1">
        <w:r w:rsidRPr="008C2ECE">
          <w:rPr>
            <w:rStyle w:val="Hyperlink"/>
          </w:rPr>
          <w:t>http://www.oxfordhealth.nhs.uk/research/toolkit/promote-research-trial</w:t>
        </w:r>
      </w:hyperlink>
      <w:r>
        <w:t>.</w:t>
      </w:r>
    </w:p>
    <w:p w:rsidR="00C63D77" w:rsidRDefault="00C63D77" w:rsidP="00C63D77">
      <w:r>
        <w:t xml:space="preserve">There has been a strong push by OHFT Communications team to promote research stories, with many local press stories and TV broadcasts. The news page on the R&amp;D site reflects the dynamic production of research news, and the asset that this provides to the Trust as a whole: </w:t>
      </w:r>
      <w:hyperlink r:id="rId20" w:history="1">
        <w:r w:rsidRPr="00184491">
          <w:rPr>
            <w:rStyle w:val="Hyperlink"/>
          </w:rPr>
          <w:t>http://www.oxfordhealth.nhs.uk/research/news</w:t>
        </w:r>
      </w:hyperlink>
    </w:p>
    <w:p w:rsidR="00C63D77" w:rsidRDefault="00C63D77" w:rsidP="00C63D77">
      <w:r>
        <w:t>Particular stories of note include:</w:t>
      </w:r>
    </w:p>
    <w:p w:rsidR="00C63D77" w:rsidRPr="00C63D77" w:rsidRDefault="00C63D77" w:rsidP="00C63D77">
      <w:pPr>
        <w:pStyle w:val="ListParagraph"/>
        <w:numPr>
          <w:ilvl w:val="0"/>
          <w:numId w:val="22"/>
        </w:numPr>
        <w:rPr>
          <w:rFonts w:ascii="Times New Roman" w:hAnsi="Times New Roman"/>
          <w:lang w:eastAsia="en-GB"/>
        </w:rPr>
      </w:pPr>
      <w:r w:rsidRPr="00C63D77">
        <w:rPr>
          <w:bCs/>
        </w:rPr>
        <w:t>‘Researchers offer hope for cure for some causes of schizophrenia’ A new study by Oxford Health researchers has found that specific antibodies may cause schizophrenia in some patients.</w:t>
      </w:r>
      <w:r w:rsidRPr="00C63D77">
        <w:rPr>
          <w:bCs/>
        </w:rPr>
        <w:br/>
      </w:r>
      <w:hyperlink r:id="rId21" w:history="1">
        <w:r w:rsidRPr="00C63D77">
          <w:rPr>
            <w:rStyle w:val="Hyperlink"/>
            <w:bCs/>
          </w:rPr>
          <w:t>http://www.oxfordhealth.nhs.uk/news/researchers-offer-hope-for-cure-for-some-causes-of-schizophrenia</w:t>
        </w:r>
      </w:hyperlink>
      <w:r w:rsidRPr="00C63D77">
        <w:rPr>
          <w:bCs/>
        </w:rPr>
        <w:br/>
        <w:t xml:space="preserve">This study received widespread national coverage across the BBC and in national newspapers. </w:t>
      </w:r>
    </w:p>
    <w:p w:rsidR="00C63D77" w:rsidRPr="00C63D77" w:rsidRDefault="00C63D77" w:rsidP="00C63D77">
      <w:pPr>
        <w:pStyle w:val="ListParagraph"/>
        <w:numPr>
          <w:ilvl w:val="0"/>
          <w:numId w:val="22"/>
        </w:numPr>
        <w:rPr>
          <w:bCs/>
        </w:rPr>
      </w:pPr>
      <w:r w:rsidRPr="00C63D77">
        <w:rPr>
          <w:bCs/>
        </w:rPr>
        <w:t>‘Coping with Self-Harm: A Guide for Parents and Carers – Highly Commended by the BMA’</w:t>
      </w:r>
      <w:r w:rsidRPr="00C63D77">
        <w:rPr>
          <w:rFonts w:cs="Arial"/>
          <w:color w:val="000000"/>
          <w:sz w:val="29"/>
          <w:szCs w:val="29"/>
          <w:shd w:val="clear" w:color="auto" w:fill="FFFFFF"/>
        </w:rPr>
        <w:t xml:space="preserve"> </w:t>
      </w:r>
      <w:r w:rsidRPr="00C63D77">
        <w:rPr>
          <w:bCs/>
        </w:rPr>
        <w:t>A team of academics and clinicians at the University of Oxford and Oxford Health NHS Foundation Trust have collaborated to produce a guide which was ‘Highly Commended’ at the recent BMA Patient Information Awards.</w:t>
      </w:r>
      <w:r w:rsidRPr="00C63D77">
        <w:rPr>
          <w:bCs/>
        </w:rPr>
        <w:br/>
      </w:r>
      <w:hyperlink r:id="rId22" w:history="1">
        <w:r w:rsidRPr="00C63D77">
          <w:rPr>
            <w:rStyle w:val="Hyperlink"/>
            <w:bCs/>
          </w:rPr>
          <w:t>http://www.oxfordhealth.nhs.uk/news/coping-with-self-harm-a-guide-for-parents-and-carers-highly-commended</w:t>
        </w:r>
      </w:hyperlink>
    </w:p>
    <w:p w:rsidR="00C63D77" w:rsidRPr="00C63D77" w:rsidRDefault="00C63D77" w:rsidP="00C63D77">
      <w:pPr>
        <w:pStyle w:val="ListParagraph"/>
        <w:numPr>
          <w:ilvl w:val="0"/>
          <w:numId w:val="22"/>
        </w:numPr>
        <w:rPr>
          <w:bCs/>
        </w:rPr>
      </w:pPr>
      <w:r w:rsidRPr="00C63D77">
        <w:rPr>
          <w:bCs/>
        </w:rPr>
        <w:lastRenderedPageBreak/>
        <w:t>“£80 million for research into mental illness” A guest blog in ‘Mental Health Today’ celebrates the boost in funding to mental health research, which places Oxford Health at the heart of an exciting new era of treatment discovery for mental health disorders.</w:t>
      </w:r>
      <w:r w:rsidRPr="00C63D77">
        <w:rPr>
          <w:bCs/>
        </w:rPr>
        <w:br/>
      </w:r>
      <w:hyperlink r:id="rId23" w:history="1">
        <w:r w:rsidRPr="00C63D77">
          <w:rPr>
            <w:rStyle w:val="Hyperlink"/>
            <w:bCs/>
          </w:rPr>
          <w:t>http://www.oxfordhealth.nhs.uk/news/80-million-for-research-into-mental-illness</w:t>
        </w:r>
      </w:hyperlink>
    </w:p>
    <w:p w:rsidR="00C63D77" w:rsidRPr="00C63D77" w:rsidRDefault="00C63D77" w:rsidP="00C63D77">
      <w:pPr>
        <w:pStyle w:val="ListParagraph"/>
        <w:numPr>
          <w:ilvl w:val="0"/>
          <w:numId w:val="22"/>
        </w:numPr>
        <w:rPr>
          <w:bCs/>
        </w:rPr>
      </w:pPr>
      <w:r w:rsidRPr="00C63D77">
        <w:rPr>
          <w:bCs/>
        </w:rPr>
        <w:t>‘Oxford Health researchers shortlisted for prestigious Health Service Journal Award’ featuring an interview with Dr Andrew Molodynsky and former Research Assistant team manager, Zandie Forrest on ‘That’s Oxfordshire’</w:t>
      </w:r>
      <w:r w:rsidRPr="00C63D77">
        <w:rPr>
          <w:bCs/>
        </w:rPr>
        <w:br/>
      </w:r>
      <w:hyperlink r:id="rId24" w:history="1">
        <w:r w:rsidRPr="00C63D77">
          <w:rPr>
            <w:rStyle w:val="Hyperlink"/>
            <w:bCs/>
          </w:rPr>
          <w:t>http://www.oxfordhealth.nhs.uk/news/oxford-health-researchers-shortlisted-for-prestigious-health-service-journal-award</w:t>
        </w:r>
      </w:hyperlink>
    </w:p>
    <w:p w:rsidR="00F14B8A" w:rsidRPr="00C63D77" w:rsidRDefault="00C63D77" w:rsidP="00F14B8A">
      <w:r>
        <w:t>In addition work the examples below outline the proactive work that has been done</w:t>
      </w:r>
      <w:r w:rsidR="00C5192B">
        <w:t xml:space="preserve"> that has received extensive media coverage</w:t>
      </w:r>
      <w:r>
        <w:t xml:space="preserve">: </w:t>
      </w:r>
    </w:p>
    <w:p w:rsidR="00F14B8A" w:rsidRDefault="007D1D2D" w:rsidP="00C63D77">
      <w:pPr>
        <w:pStyle w:val="ListParagraph"/>
        <w:numPr>
          <w:ilvl w:val="0"/>
          <w:numId w:val="23"/>
        </w:numPr>
        <w:rPr>
          <w:color w:val="1F497D"/>
        </w:rPr>
      </w:pPr>
      <w:hyperlink r:id="rId25" w:history="1">
        <w:r w:rsidR="00F14B8A">
          <w:rPr>
            <w:rStyle w:val="Hyperlink"/>
          </w:rPr>
          <w:t>http://www.oxfordhealth.nhs.uk/news/predict-study-aims-find-anti-depressants-work-faster-patients</w:t>
        </w:r>
      </w:hyperlink>
    </w:p>
    <w:p w:rsidR="00F14B8A" w:rsidRPr="00C63D77" w:rsidRDefault="007D1D2D" w:rsidP="00C63D77">
      <w:pPr>
        <w:pStyle w:val="ListParagraph"/>
        <w:numPr>
          <w:ilvl w:val="0"/>
          <w:numId w:val="23"/>
        </w:numPr>
        <w:rPr>
          <w:color w:val="1F497D"/>
        </w:rPr>
      </w:pPr>
      <w:hyperlink r:id="rId26" w:history="1">
        <w:r w:rsidR="00F14B8A">
          <w:rPr>
            <w:rStyle w:val="Hyperlink"/>
          </w:rPr>
          <w:t>http://www.oxfordhealth.nhs.uk/news/supporting-people-dementia-carers</w:t>
        </w:r>
      </w:hyperlink>
      <w:r w:rsidR="00F14B8A" w:rsidRPr="00C63D77">
        <w:rPr>
          <w:color w:val="1F497D"/>
        </w:rPr>
        <w:t xml:space="preserve"> </w:t>
      </w:r>
    </w:p>
    <w:p w:rsidR="00F14B8A" w:rsidRDefault="00F14B8A" w:rsidP="00F14B8A">
      <w:pPr>
        <w:rPr>
          <w:color w:val="1F497D"/>
        </w:rPr>
      </w:pPr>
    </w:p>
    <w:p w:rsidR="00F14B8A" w:rsidRPr="009672E7" w:rsidRDefault="00F14B8A" w:rsidP="00F14B8A"/>
    <w:p w:rsidR="0073522A" w:rsidRDefault="002619EF" w:rsidP="0073522A">
      <w:pPr>
        <w:ind w:left="1440" w:hanging="1440"/>
        <w:rPr>
          <w:rFonts w:cs="Arial"/>
        </w:rPr>
      </w:pPr>
      <w:r>
        <w:rPr>
          <w:rFonts w:cs="Arial"/>
          <w:b/>
        </w:rPr>
        <w:t>Author</w:t>
      </w:r>
      <w:r w:rsidR="00E14C2D">
        <w:rPr>
          <w:rFonts w:cs="Arial"/>
          <w:b/>
        </w:rPr>
        <w:t>s</w:t>
      </w:r>
      <w:r>
        <w:rPr>
          <w:rFonts w:cs="Arial"/>
          <w:b/>
        </w:rPr>
        <w:t xml:space="preserve"> and T</w:t>
      </w:r>
      <w:r w:rsidR="0073522A">
        <w:rPr>
          <w:rFonts w:cs="Arial"/>
          <w:b/>
        </w:rPr>
        <w:t>itle:</w:t>
      </w:r>
      <w:r w:rsidR="0073522A">
        <w:rPr>
          <w:rFonts w:cs="Arial"/>
        </w:rPr>
        <w:t xml:space="preserve"> </w:t>
      </w:r>
      <w:r w:rsidR="0073522A">
        <w:rPr>
          <w:rFonts w:cs="Arial"/>
        </w:rPr>
        <w:tab/>
      </w:r>
      <w:r w:rsidR="00AC6AE5">
        <w:rPr>
          <w:rFonts w:cs="Arial"/>
        </w:rPr>
        <w:t xml:space="preserve">Professor </w:t>
      </w:r>
      <w:r w:rsidR="00A941AF">
        <w:rPr>
          <w:rFonts w:cs="Arial"/>
        </w:rPr>
        <w:t>John Geddes</w:t>
      </w:r>
      <w:r w:rsidR="00516AE8">
        <w:rPr>
          <w:rFonts w:cs="Arial"/>
        </w:rPr>
        <w:t>,</w:t>
      </w:r>
      <w:r w:rsidR="00A941AF">
        <w:rPr>
          <w:rFonts w:cs="Arial"/>
        </w:rPr>
        <w:t xml:space="preserve"> Emma Stratful</w:t>
      </w:r>
      <w:r w:rsidR="00516AE8">
        <w:rPr>
          <w:rFonts w:cs="Arial"/>
        </w:rPr>
        <w:t xml:space="preserve"> &amp; Dr </w:t>
      </w:r>
      <w:r w:rsidR="00533D50">
        <w:rPr>
          <w:rFonts w:cs="Arial"/>
        </w:rPr>
        <w:t>Mark Hancock</w:t>
      </w:r>
    </w:p>
    <w:p w:rsidR="0073522A" w:rsidRDefault="0073522A" w:rsidP="0073522A">
      <w:pPr>
        <w:rPr>
          <w:rFonts w:cs="Arial"/>
          <w:b/>
        </w:rPr>
      </w:pPr>
      <w:r>
        <w:rPr>
          <w:rFonts w:cs="Arial"/>
          <w:b/>
        </w:rPr>
        <w:t>Lead Executive Director:</w:t>
      </w:r>
      <w:r>
        <w:rPr>
          <w:rFonts w:cs="Arial"/>
          <w:b/>
        </w:rPr>
        <w:tab/>
      </w:r>
      <w:r w:rsidR="00AC6AE5" w:rsidRPr="00AC6AE5">
        <w:rPr>
          <w:rFonts w:cs="Arial"/>
        </w:rPr>
        <w:t xml:space="preserve">Dr </w:t>
      </w:r>
      <w:r w:rsidR="00A33A1A" w:rsidRPr="00A33A1A">
        <w:rPr>
          <w:rFonts w:cs="Arial"/>
        </w:rPr>
        <w:t>Mark Hancock</w:t>
      </w:r>
    </w:p>
    <w:p w:rsidR="0069120C" w:rsidRDefault="0069120C">
      <w:pPr>
        <w:spacing w:before="0" w:after="0"/>
        <w:jc w:val="left"/>
        <w:rPr>
          <w:rFonts w:cs="Arial"/>
        </w:rPr>
      </w:pPr>
    </w:p>
    <w:p w:rsidR="004F4BBA" w:rsidRDefault="004F4BBA" w:rsidP="00765972">
      <w:pPr>
        <w:numPr>
          <w:ilvl w:val="0"/>
          <w:numId w:val="1"/>
        </w:numPr>
        <w:spacing w:before="0" w:after="0"/>
        <w:rPr>
          <w:rFonts w:cs="Arial"/>
          <w:i/>
          <w:sz w:val="20"/>
          <w:szCs w:val="20"/>
        </w:rPr>
      </w:pPr>
      <w:r w:rsidRPr="0073522A">
        <w:rPr>
          <w:rFonts w:cs="Arial"/>
          <w:i/>
          <w:sz w:val="20"/>
          <w:szCs w:val="20"/>
        </w:rPr>
        <w:t>A risk assessment has been undertaken around the legal issues that this paper presents and there are no issues that need to be r</w:t>
      </w:r>
      <w:r w:rsidR="0073522A">
        <w:rPr>
          <w:rFonts w:cs="Arial"/>
          <w:i/>
          <w:sz w:val="20"/>
          <w:szCs w:val="20"/>
        </w:rPr>
        <w:t>eferred to the Trust Solicitors.</w:t>
      </w:r>
    </w:p>
    <w:p w:rsidR="00AA0C3F" w:rsidRDefault="00AA0C3F" w:rsidP="009B51DB">
      <w:pPr>
        <w:spacing w:before="0" w:after="0"/>
        <w:rPr>
          <w:rFonts w:cs="Arial"/>
          <w:i/>
          <w:sz w:val="20"/>
          <w:szCs w:val="20"/>
        </w:rPr>
      </w:pPr>
    </w:p>
    <w:p w:rsidR="00AA0C3F" w:rsidRDefault="00781566" w:rsidP="00765972">
      <w:pPr>
        <w:numPr>
          <w:ilvl w:val="0"/>
          <w:numId w:val="1"/>
        </w:numPr>
        <w:spacing w:before="0" w:after="0"/>
        <w:rPr>
          <w:rFonts w:cs="Arial"/>
          <w:i/>
          <w:sz w:val="20"/>
          <w:szCs w:val="20"/>
        </w:rPr>
      </w:pPr>
      <w:r>
        <w:rPr>
          <w:rFonts w:cs="Arial"/>
          <w:i/>
          <w:sz w:val="20"/>
          <w:szCs w:val="20"/>
        </w:rPr>
        <w:t>This paper (including all appendices) has been assessed against the Freedom of Information Act and the following applies:</w:t>
      </w:r>
    </w:p>
    <w:p w:rsidR="00CE32B2" w:rsidRDefault="00CE32B2" w:rsidP="00CE32B2">
      <w:pPr>
        <w:pStyle w:val="ListParagraph"/>
        <w:rPr>
          <w:rFonts w:cs="Arial"/>
          <w:i/>
          <w:sz w:val="20"/>
          <w:szCs w:val="20"/>
        </w:rPr>
      </w:pPr>
    </w:p>
    <w:p w:rsidR="00781566" w:rsidRDefault="00CE32B2" w:rsidP="00765972">
      <w:pPr>
        <w:numPr>
          <w:ilvl w:val="0"/>
          <w:numId w:val="2"/>
        </w:numPr>
        <w:spacing w:before="0" w:after="0"/>
        <w:rPr>
          <w:rFonts w:cs="Arial"/>
          <w:i/>
          <w:sz w:val="20"/>
          <w:szCs w:val="20"/>
        </w:rPr>
      </w:pPr>
      <w:r>
        <w:rPr>
          <w:rFonts w:cs="Arial"/>
          <w:i/>
          <w:sz w:val="20"/>
          <w:szCs w:val="20"/>
        </w:rPr>
        <w:t>T</w:t>
      </w:r>
      <w:r w:rsidR="00781566">
        <w:rPr>
          <w:rFonts w:cs="Arial"/>
          <w:i/>
          <w:sz w:val="20"/>
          <w:szCs w:val="20"/>
        </w:rPr>
        <w:t>HIS PAPER MAY BE PUBLISHED UNDER FOI</w:t>
      </w:r>
    </w:p>
    <w:p w:rsidR="00781566" w:rsidRDefault="00781566" w:rsidP="009B51DB">
      <w:pPr>
        <w:spacing w:before="0" w:after="0"/>
        <w:rPr>
          <w:rFonts w:cs="Arial"/>
          <w:i/>
          <w:sz w:val="20"/>
          <w:szCs w:val="20"/>
        </w:rPr>
      </w:pPr>
    </w:p>
    <w:p w:rsidR="00781566" w:rsidRDefault="00781566" w:rsidP="009B51DB">
      <w:pPr>
        <w:spacing w:before="0" w:after="0"/>
        <w:ind w:left="720"/>
        <w:rPr>
          <w:rFonts w:cs="Arial"/>
          <w:i/>
          <w:sz w:val="20"/>
          <w:szCs w:val="20"/>
        </w:rPr>
      </w:pPr>
    </w:p>
    <w:p w:rsidR="00AA0C3F" w:rsidRPr="0073522A" w:rsidRDefault="00AA0C3F" w:rsidP="009B51DB">
      <w:pPr>
        <w:spacing w:before="0" w:after="0"/>
        <w:rPr>
          <w:rFonts w:cs="Arial"/>
          <w:i/>
          <w:sz w:val="20"/>
          <w:szCs w:val="20"/>
        </w:rPr>
      </w:pPr>
    </w:p>
    <w:p w:rsidR="005D3499" w:rsidRPr="00AF0562" w:rsidRDefault="004F4BBA" w:rsidP="00765972">
      <w:pPr>
        <w:numPr>
          <w:ilvl w:val="0"/>
          <w:numId w:val="1"/>
        </w:numPr>
        <w:spacing w:before="0" w:after="0"/>
        <w:rPr>
          <w:rFonts w:cs="Arial"/>
          <w:sz w:val="20"/>
          <w:szCs w:val="20"/>
        </w:rPr>
      </w:pPr>
      <w:r w:rsidRPr="0073522A">
        <w:rPr>
          <w:rFonts w:cs="Arial"/>
          <w:i/>
          <w:sz w:val="20"/>
          <w:szCs w:val="20"/>
        </w:rPr>
        <w:t xml:space="preserve">This paper provides assurance and evidence against </w:t>
      </w:r>
      <w:r w:rsidR="00CE32B2">
        <w:rPr>
          <w:rFonts w:cs="Arial"/>
          <w:i/>
          <w:sz w:val="20"/>
          <w:szCs w:val="20"/>
        </w:rPr>
        <w:t xml:space="preserve">various </w:t>
      </w:r>
      <w:r w:rsidR="00946E6E">
        <w:rPr>
          <w:rFonts w:cs="Arial"/>
          <w:i/>
          <w:sz w:val="20"/>
          <w:szCs w:val="20"/>
        </w:rPr>
        <w:t>Care Quality Commission Outcome</w:t>
      </w:r>
      <w:r w:rsidR="00CE32B2">
        <w:rPr>
          <w:rFonts w:cs="Arial"/>
          <w:i/>
          <w:sz w:val="20"/>
          <w:szCs w:val="20"/>
        </w:rPr>
        <w:t>s</w:t>
      </w:r>
    </w:p>
    <w:p w:rsidR="00441AEA" w:rsidRDefault="00441AEA">
      <w:pPr>
        <w:spacing w:before="0" w:after="0"/>
        <w:jc w:val="left"/>
        <w:rPr>
          <w:b/>
        </w:rPr>
      </w:pPr>
    </w:p>
    <w:sectPr w:rsidR="00441AEA" w:rsidSect="00F06004">
      <w:headerReference w:type="default" r:id="rId27"/>
      <w:footerReference w:type="default" r:id="rId28"/>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B44" w:rsidRDefault="00431B44" w:rsidP="005B3E3C">
      <w:r>
        <w:separator/>
      </w:r>
    </w:p>
  </w:endnote>
  <w:endnote w:type="continuationSeparator" w:id="0">
    <w:p w:rsidR="00431B44" w:rsidRDefault="00431B44"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w:altName w:val="Corbe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176343232"/>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rsidR="00431B44" w:rsidRPr="009E2BDF" w:rsidRDefault="00431B44">
            <w:pPr>
              <w:pStyle w:val="Footer"/>
              <w:jc w:val="center"/>
              <w:rPr>
                <w:sz w:val="20"/>
                <w:szCs w:val="20"/>
              </w:rPr>
            </w:pPr>
            <w:r w:rsidRPr="009E2BDF">
              <w:rPr>
                <w:sz w:val="20"/>
                <w:szCs w:val="20"/>
              </w:rPr>
              <w:t xml:space="preserve">Page </w:t>
            </w:r>
            <w:r w:rsidRPr="009E2BDF">
              <w:rPr>
                <w:b/>
                <w:bCs/>
                <w:sz w:val="20"/>
                <w:szCs w:val="20"/>
              </w:rPr>
              <w:fldChar w:fldCharType="begin"/>
            </w:r>
            <w:r w:rsidRPr="009E2BDF">
              <w:rPr>
                <w:b/>
                <w:bCs/>
                <w:sz w:val="20"/>
                <w:szCs w:val="20"/>
              </w:rPr>
              <w:instrText xml:space="preserve"> PAGE </w:instrText>
            </w:r>
            <w:r w:rsidRPr="009E2BDF">
              <w:rPr>
                <w:b/>
                <w:bCs/>
                <w:sz w:val="20"/>
                <w:szCs w:val="20"/>
              </w:rPr>
              <w:fldChar w:fldCharType="separate"/>
            </w:r>
            <w:r w:rsidR="007D1D2D">
              <w:rPr>
                <w:b/>
                <w:bCs/>
                <w:noProof/>
                <w:sz w:val="20"/>
                <w:szCs w:val="20"/>
              </w:rPr>
              <w:t>1</w:t>
            </w:r>
            <w:r w:rsidRPr="009E2BDF">
              <w:rPr>
                <w:b/>
                <w:bCs/>
                <w:sz w:val="20"/>
                <w:szCs w:val="20"/>
              </w:rPr>
              <w:fldChar w:fldCharType="end"/>
            </w:r>
            <w:r w:rsidRPr="009E2BDF">
              <w:rPr>
                <w:sz w:val="20"/>
                <w:szCs w:val="20"/>
              </w:rPr>
              <w:t xml:space="preserve"> of </w:t>
            </w:r>
            <w:r w:rsidRPr="009E2BDF">
              <w:rPr>
                <w:b/>
                <w:bCs/>
                <w:sz w:val="20"/>
                <w:szCs w:val="20"/>
              </w:rPr>
              <w:fldChar w:fldCharType="begin"/>
            </w:r>
            <w:r w:rsidRPr="009E2BDF">
              <w:rPr>
                <w:b/>
                <w:bCs/>
                <w:sz w:val="20"/>
                <w:szCs w:val="20"/>
              </w:rPr>
              <w:instrText xml:space="preserve"> NUMPAGES  </w:instrText>
            </w:r>
            <w:r w:rsidRPr="009E2BDF">
              <w:rPr>
                <w:b/>
                <w:bCs/>
                <w:sz w:val="20"/>
                <w:szCs w:val="20"/>
              </w:rPr>
              <w:fldChar w:fldCharType="separate"/>
            </w:r>
            <w:r w:rsidR="007D1D2D">
              <w:rPr>
                <w:b/>
                <w:bCs/>
                <w:noProof/>
                <w:sz w:val="20"/>
                <w:szCs w:val="20"/>
              </w:rPr>
              <w:t>34</w:t>
            </w:r>
            <w:r w:rsidRPr="009E2BDF">
              <w:rPr>
                <w:b/>
                <w:bCs/>
                <w:sz w:val="20"/>
                <w:szCs w:val="20"/>
              </w:rPr>
              <w:fldChar w:fldCharType="end"/>
            </w:r>
          </w:p>
        </w:sdtContent>
      </w:sdt>
    </w:sdtContent>
  </w:sdt>
  <w:p w:rsidR="00431B44" w:rsidRDefault="00431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B44" w:rsidRDefault="00431B44" w:rsidP="005B3E3C">
      <w:r>
        <w:separator/>
      </w:r>
    </w:p>
  </w:footnote>
  <w:footnote w:type="continuationSeparator" w:id="0">
    <w:p w:rsidR="00431B44" w:rsidRDefault="00431B44"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B44" w:rsidRPr="005B3E3C" w:rsidRDefault="00431B44" w:rsidP="005B3E3C">
    <w:pPr>
      <w:pStyle w:val="Header"/>
      <w:jc w:val="center"/>
      <w:rPr>
        <w:rFonts w:cs="Arial"/>
      </w:rPr>
    </w:pPr>
    <w:r>
      <w:rPr>
        <w:rFonts w:cs="Arial"/>
      </w:rPr>
      <w:t>[</w:t>
    </w:r>
    <w:r>
      <w:rPr>
        <w:rFonts w:cs="Arial"/>
        <w:b/>
        <w:i/>
      </w:rPr>
      <w:t>PUBLIC</w:t>
    </w:r>
    <w:r>
      <w:rPr>
        <w:rFonts w:cs="Arial"/>
        <w:sz w:val="20"/>
        <w:szCs w:val="20"/>
      </w:rPr>
      <w:t xml:space="preserve"> </w:t>
    </w:r>
    <w:r>
      <w:rPr>
        <w:rFonts w:cs="Aria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3DC4"/>
    <w:multiLevelType w:val="hybridMultilevel"/>
    <w:tmpl w:val="9550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6799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B515181"/>
    <w:multiLevelType w:val="hybridMultilevel"/>
    <w:tmpl w:val="2AEE6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BA71C8"/>
    <w:multiLevelType w:val="hybridMultilevel"/>
    <w:tmpl w:val="8C0AFA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D34250"/>
    <w:multiLevelType w:val="hybridMultilevel"/>
    <w:tmpl w:val="8FC4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DA58B2"/>
    <w:multiLevelType w:val="hybridMultilevel"/>
    <w:tmpl w:val="5C00C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DF61CC"/>
    <w:multiLevelType w:val="hybridMultilevel"/>
    <w:tmpl w:val="5AF6E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4A4099"/>
    <w:multiLevelType w:val="hybridMultilevel"/>
    <w:tmpl w:val="D3B4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D60F44"/>
    <w:multiLevelType w:val="hybridMultilevel"/>
    <w:tmpl w:val="CB70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EC60BF"/>
    <w:multiLevelType w:val="hybridMultilevel"/>
    <w:tmpl w:val="9F42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FE05DB"/>
    <w:multiLevelType w:val="hybridMultilevel"/>
    <w:tmpl w:val="C6C4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AD3006"/>
    <w:multiLevelType w:val="hybridMultilevel"/>
    <w:tmpl w:val="724E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350E3E"/>
    <w:multiLevelType w:val="hybridMultilevel"/>
    <w:tmpl w:val="BB8EC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F873E6"/>
    <w:multiLevelType w:val="hybridMultilevel"/>
    <w:tmpl w:val="0D34D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054CF5"/>
    <w:multiLevelType w:val="hybridMultilevel"/>
    <w:tmpl w:val="8836D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D32CEF"/>
    <w:multiLevelType w:val="hybridMultilevel"/>
    <w:tmpl w:val="3A4A73B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502"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194BC1"/>
    <w:multiLevelType w:val="hybridMultilevel"/>
    <w:tmpl w:val="EEE68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2295390"/>
    <w:multiLevelType w:val="hybridMultilevel"/>
    <w:tmpl w:val="A5D8D298"/>
    <w:lvl w:ilvl="0" w:tplc="9F7CFF26">
      <w:numFmt w:val="bullet"/>
      <w:lvlText w:val="•"/>
      <w:lvlJc w:val="left"/>
      <w:pPr>
        <w:ind w:left="360" w:hanging="360"/>
      </w:pPr>
      <w:rPr>
        <w:rFonts w:ascii="Segoe UI" w:eastAsia="Calibri"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2B5341"/>
    <w:multiLevelType w:val="hybridMultilevel"/>
    <w:tmpl w:val="AC18849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FCF00C7"/>
    <w:multiLevelType w:val="hybridMultilevel"/>
    <w:tmpl w:val="903A8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EA385F"/>
    <w:multiLevelType w:val="hybridMultilevel"/>
    <w:tmpl w:val="1BFC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62A4A6E"/>
    <w:multiLevelType w:val="hybridMultilevel"/>
    <w:tmpl w:val="75862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5B14AE"/>
    <w:multiLevelType w:val="hybridMultilevel"/>
    <w:tmpl w:val="ED40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EC4327"/>
    <w:multiLevelType w:val="hybridMultilevel"/>
    <w:tmpl w:val="EE946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CF73F14"/>
    <w:multiLevelType w:val="hybridMultilevel"/>
    <w:tmpl w:val="D57EC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996AA5"/>
    <w:multiLevelType w:val="hybridMultilevel"/>
    <w:tmpl w:val="FCD4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E00B13"/>
    <w:multiLevelType w:val="hybridMultilevel"/>
    <w:tmpl w:val="308AA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817F0A"/>
    <w:multiLevelType w:val="hybridMultilevel"/>
    <w:tmpl w:val="01020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891C0C"/>
    <w:multiLevelType w:val="hybridMultilevel"/>
    <w:tmpl w:val="DBCA58C0"/>
    <w:lvl w:ilvl="0" w:tplc="9F7CFF26">
      <w:numFmt w:val="bullet"/>
      <w:lvlText w:val="•"/>
      <w:lvlJc w:val="left"/>
      <w:pPr>
        <w:ind w:left="360" w:hanging="360"/>
      </w:pPr>
      <w:rPr>
        <w:rFonts w:ascii="Segoe UI" w:eastAsia="Calibri"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6834633"/>
    <w:multiLevelType w:val="hybridMultilevel"/>
    <w:tmpl w:val="04605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FB4432"/>
    <w:multiLevelType w:val="hybridMultilevel"/>
    <w:tmpl w:val="F0C43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A6545D6"/>
    <w:multiLevelType w:val="hybridMultilevel"/>
    <w:tmpl w:val="33CEEA90"/>
    <w:lvl w:ilvl="0" w:tplc="9F7CFF26">
      <w:numFmt w:val="bullet"/>
      <w:lvlText w:val="•"/>
      <w:lvlJc w:val="left"/>
      <w:pPr>
        <w:ind w:left="360" w:hanging="360"/>
      </w:pPr>
      <w:rPr>
        <w:rFonts w:ascii="Segoe UI" w:eastAsia="Calibri"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2"/>
  </w:num>
  <w:num w:numId="3">
    <w:abstractNumId w:val="1"/>
  </w:num>
  <w:num w:numId="4">
    <w:abstractNumId w:val="25"/>
  </w:num>
  <w:num w:numId="5">
    <w:abstractNumId w:val="15"/>
  </w:num>
  <w:num w:numId="6">
    <w:abstractNumId w:val="33"/>
  </w:num>
  <w:num w:numId="7">
    <w:abstractNumId w:val="30"/>
  </w:num>
  <w:num w:numId="8">
    <w:abstractNumId w:val="17"/>
  </w:num>
  <w:num w:numId="9">
    <w:abstractNumId w:val="29"/>
  </w:num>
  <w:num w:numId="10">
    <w:abstractNumId w:val="27"/>
  </w:num>
  <w:num w:numId="11">
    <w:abstractNumId w:val="4"/>
  </w:num>
  <w:num w:numId="12">
    <w:abstractNumId w:val="16"/>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32"/>
  </w:num>
  <w:num w:numId="17">
    <w:abstractNumId w:val="2"/>
  </w:num>
  <w:num w:numId="18">
    <w:abstractNumId w:val="6"/>
  </w:num>
  <w:num w:numId="19">
    <w:abstractNumId w:val="5"/>
  </w:num>
  <w:num w:numId="20">
    <w:abstractNumId w:val="21"/>
  </w:num>
  <w:num w:numId="21">
    <w:abstractNumId w:val="13"/>
  </w:num>
  <w:num w:numId="22">
    <w:abstractNumId w:val="31"/>
  </w:num>
  <w:num w:numId="23">
    <w:abstractNumId w:val="9"/>
  </w:num>
  <w:num w:numId="24">
    <w:abstractNumId w:val="7"/>
  </w:num>
  <w:num w:numId="25">
    <w:abstractNumId w:val="8"/>
  </w:num>
  <w:num w:numId="26">
    <w:abstractNumId w:val="24"/>
  </w:num>
  <w:num w:numId="27">
    <w:abstractNumId w:val="12"/>
  </w:num>
  <w:num w:numId="28">
    <w:abstractNumId w:val="28"/>
  </w:num>
  <w:num w:numId="29">
    <w:abstractNumId w:val="20"/>
  </w:num>
  <w:num w:numId="30">
    <w:abstractNumId w:val="23"/>
  </w:num>
  <w:num w:numId="31">
    <w:abstractNumId w:val="10"/>
  </w:num>
  <w:num w:numId="32">
    <w:abstractNumId w:val="11"/>
  </w:num>
  <w:num w:numId="33">
    <w:abstractNumId w:val="26"/>
  </w:num>
  <w:num w:numId="34">
    <w:abstractNumId w:val="14"/>
  </w:num>
  <w:num w:numId="3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0017"/>
    <w:rsid w:val="00000531"/>
    <w:rsid w:val="00005A07"/>
    <w:rsid w:val="00007921"/>
    <w:rsid w:val="0002363D"/>
    <w:rsid w:val="00025680"/>
    <w:rsid w:val="0003213C"/>
    <w:rsid w:val="00044520"/>
    <w:rsid w:val="000447B7"/>
    <w:rsid w:val="00045FC7"/>
    <w:rsid w:val="0004717C"/>
    <w:rsid w:val="00052014"/>
    <w:rsid w:val="00053E9C"/>
    <w:rsid w:val="0006290A"/>
    <w:rsid w:val="0007743B"/>
    <w:rsid w:val="00085200"/>
    <w:rsid w:val="00085240"/>
    <w:rsid w:val="00095F70"/>
    <w:rsid w:val="000963FE"/>
    <w:rsid w:val="0009786B"/>
    <w:rsid w:val="000B1F95"/>
    <w:rsid w:val="000B2FA3"/>
    <w:rsid w:val="000B3543"/>
    <w:rsid w:val="000B4BB5"/>
    <w:rsid w:val="000B504A"/>
    <w:rsid w:val="000C040F"/>
    <w:rsid w:val="000C2DF4"/>
    <w:rsid w:val="000C5599"/>
    <w:rsid w:val="000C5B15"/>
    <w:rsid w:val="000D2F38"/>
    <w:rsid w:val="000D368B"/>
    <w:rsid w:val="000D6763"/>
    <w:rsid w:val="000D70C4"/>
    <w:rsid w:val="000E3068"/>
    <w:rsid w:val="000E33E4"/>
    <w:rsid w:val="000E64BF"/>
    <w:rsid w:val="000F2D6A"/>
    <w:rsid w:val="0011026C"/>
    <w:rsid w:val="00110923"/>
    <w:rsid w:val="00112658"/>
    <w:rsid w:val="00114B10"/>
    <w:rsid w:val="001217A2"/>
    <w:rsid w:val="001303C4"/>
    <w:rsid w:val="00142326"/>
    <w:rsid w:val="00143529"/>
    <w:rsid w:val="00144009"/>
    <w:rsid w:val="0014770C"/>
    <w:rsid w:val="00150C4C"/>
    <w:rsid w:val="0015197A"/>
    <w:rsid w:val="00155CDB"/>
    <w:rsid w:val="00156834"/>
    <w:rsid w:val="00160147"/>
    <w:rsid w:val="00171EAB"/>
    <w:rsid w:val="001753B0"/>
    <w:rsid w:val="001759F2"/>
    <w:rsid w:val="0018103A"/>
    <w:rsid w:val="00181619"/>
    <w:rsid w:val="001823C8"/>
    <w:rsid w:val="001832D9"/>
    <w:rsid w:val="00185136"/>
    <w:rsid w:val="00185CF4"/>
    <w:rsid w:val="00186E89"/>
    <w:rsid w:val="001909B9"/>
    <w:rsid w:val="001911BD"/>
    <w:rsid w:val="00193A96"/>
    <w:rsid w:val="00197F65"/>
    <w:rsid w:val="001A193F"/>
    <w:rsid w:val="001A5747"/>
    <w:rsid w:val="001C29FB"/>
    <w:rsid w:val="001C75B9"/>
    <w:rsid w:val="001E1B9C"/>
    <w:rsid w:val="001E5A95"/>
    <w:rsid w:val="001F76ED"/>
    <w:rsid w:val="00203704"/>
    <w:rsid w:val="002047A3"/>
    <w:rsid w:val="00205D05"/>
    <w:rsid w:val="00211268"/>
    <w:rsid w:val="00213AC0"/>
    <w:rsid w:val="002143B8"/>
    <w:rsid w:val="00217764"/>
    <w:rsid w:val="00220FB1"/>
    <w:rsid w:val="00227FCE"/>
    <w:rsid w:val="00231278"/>
    <w:rsid w:val="00232337"/>
    <w:rsid w:val="00236510"/>
    <w:rsid w:val="00236A0A"/>
    <w:rsid w:val="00237382"/>
    <w:rsid w:val="0024251F"/>
    <w:rsid w:val="00243F6E"/>
    <w:rsid w:val="00245847"/>
    <w:rsid w:val="002516BA"/>
    <w:rsid w:val="0025362C"/>
    <w:rsid w:val="002619EF"/>
    <w:rsid w:val="00261D54"/>
    <w:rsid w:val="00263D1F"/>
    <w:rsid w:val="00272563"/>
    <w:rsid w:val="0028184A"/>
    <w:rsid w:val="002821F8"/>
    <w:rsid w:val="00283916"/>
    <w:rsid w:val="0028772A"/>
    <w:rsid w:val="00292613"/>
    <w:rsid w:val="0029358C"/>
    <w:rsid w:val="002A07AA"/>
    <w:rsid w:val="002A1517"/>
    <w:rsid w:val="002A587F"/>
    <w:rsid w:val="002A73E8"/>
    <w:rsid w:val="002B064D"/>
    <w:rsid w:val="002B5507"/>
    <w:rsid w:val="002C2F97"/>
    <w:rsid w:val="002C3CD6"/>
    <w:rsid w:val="002D020A"/>
    <w:rsid w:val="002D0EB2"/>
    <w:rsid w:val="002D0EF7"/>
    <w:rsid w:val="002E1562"/>
    <w:rsid w:val="002E324D"/>
    <w:rsid w:val="002E6985"/>
    <w:rsid w:val="002E6FC6"/>
    <w:rsid w:val="002F00D2"/>
    <w:rsid w:val="002F1851"/>
    <w:rsid w:val="002F1EDB"/>
    <w:rsid w:val="002F70B5"/>
    <w:rsid w:val="00322BB7"/>
    <w:rsid w:val="0032373A"/>
    <w:rsid w:val="00331241"/>
    <w:rsid w:val="00332216"/>
    <w:rsid w:val="00333D76"/>
    <w:rsid w:val="00335416"/>
    <w:rsid w:val="00340A32"/>
    <w:rsid w:val="00340CE6"/>
    <w:rsid w:val="003410AF"/>
    <w:rsid w:val="00345BFA"/>
    <w:rsid w:val="0035353A"/>
    <w:rsid w:val="00361125"/>
    <w:rsid w:val="00361EDC"/>
    <w:rsid w:val="00367C18"/>
    <w:rsid w:val="00381BC8"/>
    <w:rsid w:val="00390CB5"/>
    <w:rsid w:val="003971F6"/>
    <w:rsid w:val="003A5772"/>
    <w:rsid w:val="003A761B"/>
    <w:rsid w:val="003B0F7E"/>
    <w:rsid w:val="003B7375"/>
    <w:rsid w:val="003B7C0D"/>
    <w:rsid w:val="003C3D52"/>
    <w:rsid w:val="003E5055"/>
    <w:rsid w:val="003E6096"/>
    <w:rsid w:val="003E620B"/>
    <w:rsid w:val="003F445B"/>
    <w:rsid w:val="00401EC2"/>
    <w:rsid w:val="004028CD"/>
    <w:rsid w:val="00405246"/>
    <w:rsid w:val="00405489"/>
    <w:rsid w:val="00410BDF"/>
    <w:rsid w:val="00412500"/>
    <w:rsid w:val="004144F0"/>
    <w:rsid w:val="00431B44"/>
    <w:rsid w:val="004326BB"/>
    <w:rsid w:val="0043292F"/>
    <w:rsid w:val="00435F92"/>
    <w:rsid w:val="00441AEA"/>
    <w:rsid w:val="004458C4"/>
    <w:rsid w:val="004516F1"/>
    <w:rsid w:val="00455012"/>
    <w:rsid w:val="00461E18"/>
    <w:rsid w:val="00481401"/>
    <w:rsid w:val="004863F4"/>
    <w:rsid w:val="004914DF"/>
    <w:rsid w:val="00492871"/>
    <w:rsid w:val="0049429A"/>
    <w:rsid w:val="004A2971"/>
    <w:rsid w:val="004B5709"/>
    <w:rsid w:val="004C0EF7"/>
    <w:rsid w:val="004C59FB"/>
    <w:rsid w:val="004C5B30"/>
    <w:rsid w:val="004C6E6A"/>
    <w:rsid w:val="004D241D"/>
    <w:rsid w:val="004E5249"/>
    <w:rsid w:val="004F1CE4"/>
    <w:rsid w:val="004F4BBA"/>
    <w:rsid w:val="00503868"/>
    <w:rsid w:val="00507A2F"/>
    <w:rsid w:val="005168CC"/>
    <w:rsid w:val="00516AE8"/>
    <w:rsid w:val="00517C55"/>
    <w:rsid w:val="005233AA"/>
    <w:rsid w:val="00525B71"/>
    <w:rsid w:val="005313FA"/>
    <w:rsid w:val="00531617"/>
    <w:rsid w:val="005331C0"/>
    <w:rsid w:val="0053386E"/>
    <w:rsid w:val="00533D50"/>
    <w:rsid w:val="00535AD2"/>
    <w:rsid w:val="00535E29"/>
    <w:rsid w:val="0053659B"/>
    <w:rsid w:val="0053685D"/>
    <w:rsid w:val="005462EB"/>
    <w:rsid w:val="00546388"/>
    <w:rsid w:val="00546E14"/>
    <w:rsid w:val="00551B0F"/>
    <w:rsid w:val="00564AD2"/>
    <w:rsid w:val="005659FB"/>
    <w:rsid w:val="00575C61"/>
    <w:rsid w:val="005761AD"/>
    <w:rsid w:val="00581A06"/>
    <w:rsid w:val="005840C9"/>
    <w:rsid w:val="00584B23"/>
    <w:rsid w:val="00585AB7"/>
    <w:rsid w:val="005905AB"/>
    <w:rsid w:val="005911B2"/>
    <w:rsid w:val="00594DDB"/>
    <w:rsid w:val="005A075E"/>
    <w:rsid w:val="005A27CA"/>
    <w:rsid w:val="005A3D89"/>
    <w:rsid w:val="005A4731"/>
    <w:rsid w:val="005A49DB"/>
    <w:rsid w:val="005A6E6C"/>
    <w:rsid w:val="005A71F8"/>
    <w:rsid w:val="005B06EF"/>
    <w:rsid w:val="005B2D3E"/>
    <w:rsid w:val="005B33E5"/>
    <w:rsid w:val="005B3E3C"/>
    <w:rsid w:val="005B6446"/>
    <w:rsid w:val="005C179F"/>
    <w:rsid w:val="005C39EB"/>
    <w:rsid w:val="005C3EC1"/>
    <w:rsid w:val="005C3FC1"/>
    <w:rsid w:val="005D3499"/>
    <w:rsid w:val="005D3E74"/>
    <w:rsid w:val="005E2583"/>
    <w:rsid w:val="005E4C97"/>
    <w:rsid w:val="006016E3"/>
    <w:rsid w:val="0060273E"/>
    <w:rsid w:val="00605F5F"/>
    <w:rsid w:val="006079FC"/>
    <w:rsid w:val="00611032"/>
    <w:rsid w:val="006137A6"/>
    <w:rsid w:val="006141E3"/>
    <w:rsid w:val="00614F94"/>
    <w:rsid w:val="0061684E"/>
    <w:rsid w:val="0061714E"/>
    <w:rsid w:val="00621761"/>
    <w:rsid w:val="00622E28"/>
    <w:rsid w:val="00623EE6"/>
    <w:rsid w:val="00625722"/>
    <w:rsid w:val="00634A60"/>
    <w:rsid w:val="006465AF"/>
    <w:rsid w:val="00653AFF"/>
    <w:rsid w:val="00662CE0"/>
    <w:rsid w:val="006658DD"/>
    <w:rsid w:val="00675470"/>
    <w:rsid w:val="00676072"/>
    <w:rsid w:val="0068138D"/>
    <w:rsid w:val="00681A0C"/>
    <w:rsid w:val="006820A1"/>
    <w:rsid w:val="006821D7"/>
    <w:rsid w:val="006911D9"/>
    <w:rsid w:val="0069120C"/>
    <w:rsid w:val="00694BD4"/>
    <w:rsid w:val="00696218"/>
    <w:rsid w:val="006A1A07"/>
    <w:rsid w:val="006A7415"/>
    <w:rsid w:val="006B0673"/>
    <w:rsid w:val="006B546A"/>
    <w:rsid w:val="006B5777"/>
    <w:rsid w:val="006C23F7"/>
    <w:rsid w:val="006C27DA"/>
    <w:rsid w:val="006C31E0"/>
    <w:rsid w:val="006C3783"/>
    <w:rsid w:val="006D305A"/>
    <w:rsid w:val="006D47C4"/>
    <w:rsid w:val="006D7D89"/>
    <w:rsid w:val="006E23DA"/>
    <w:rsid w:val="006E39F8"/>
    <w:rsid w:val="006E74E6"/>
    <w:rsid w:val="006E7ACA"/>
    <w:rsid w:val="006F1339"/>
    <w:rsid w:val="006F1415"/>
    <w:rsid w:val="006F36A4"/>
    <w:rsid w:val="006F545A"/>
    <w:rsid w:val="00700DF1"/>
    <w:rsid w:val="00703D0E"/>
    <w:rsid w:val="00705028"/>
    <w:rsid w:val="007057D4"/>
    <w:rsid w:val="007212D6"/>
    <w:rsid w:val="00726459"/>
    <w:rsid w:val="00731D62"/>
    <w:rsid w:val="007343B4"/>
    <w:rsid w:val="00734C1D"/>
    <w:rsid w:val="0073522A"/>
    <w:rsid w:val="00745EAC"/>
    <w:rsid w:val="00746E67"/>
    <w:rsid w:val="007470C7"/>
    <w:rsid w:val="0075403B"/>
    <w:rsid w:val="0075533D"/>
    <w:rsid w:val="007567B9"/>
    <w:rsid w:val="007579B0"/>
    <w:rsid w:val="00763247"/>
    <w:rsid w:val="00765972"/>
    <w:rsid w:val="00770C6D"/>
    <w:rsid w:val="00770F15"/>
    <w:rsid w:val="00771074"/>
    <w:rsid w:val="007712CC"/>
    <w:rsid w:val="0077209B"/>
    <w:rsid w:val="00773C91"/>
    <w:rsid w:val="00774751"/>
    <w:rsid w:val="007754D4"/>
    <w:rsid w:val="007769CD"/>
    <w:rsid w:val="00780029"/>
    <w:rsid w:val="0078032B"/>
    <w:rsid w:val="00781566"/>
    <w:rsid w:val="007847D4"/>
    <w:rsid w:val="00787469"/>
    <w:rsid w:val="007904D3"/>
    <w:rsid w:val="0079073F"/>
    <w:rsid w:val="007976E7"/>
    <w:rsid w:val="007A1320"/>
    <w:rsid w:val="007A1909"/>
    <w:rsid w:val="007B0EC6"/>
    <w:rsid w:val="007B1D54"/>
    <w:rsid w:val="007B2105"/>
    <w:rsid w:val="007B2344"/>
    <w:rsid w:val="007B54B0"/>
    <w:rsid w:val="007B6A0C"/>
    <w:rsid w:val="007B7252"/>
    <w:rsid w:val="007D0FA6"/>
    <w:rsid w:val="007D1D2D"/>
    <w:rsid w:val="007D630D"/>
    <w:rsid w:val="007F0152"/>
    <w:rsid w:val="007F15E6"/>
    <w:rsid w:val="007F491E"/>
    <w:rsid w:val="0080148A"/>
    <w:rsid w:val="00802701"/>
    <w:rsid w:val="008038A2"/>
    <w:rsid w:val="00806F8E"/>
    <w:rsid w:val="00811FE8"/>
    <w:rsid w:val="008150D8"/>
    <w:rsid w:val="008179D6"/>
    <w:rsid w:val="008239C3"/>
    <w:rsid w:val="00826D7D"/>
    <w:rsid w:val="008352CB"/>
    <w:rsid w:val="00845594"/>
    <w:rsid w:val="0085140E"/>
    <w:rsid w:val="00852279"/>
    <w:rsid w:val="008576CD"/>
    <w:rsid w:val="008604D7"/>
    <w:rsid w:val="0086436B"/>
    <w:rsid w:val="00867CEF"/>
    <w:rsid w:val="0087117D"/>
    <w:rsid w:val="00874689"/>
    <w:rsid w:val="00882224"/>
    <w:rsid w:val="008877F4"/>
    <w:rsid w:val="00894B97"/>
    <w:rsid w:val="00896D17"/>
    <w:rsid w:val="00897CD9"/>
    <w:rsid w:val="008A0EE0"/>
    <w:rsid w:val="008A2B27"/>
    <w:rsid w:val="008A4267"/>
    <w:rsid w:val="008A680E"/>
    <w:rsid w:val="008A6D5A"/>
    <w:rsid w:val="008B0749"/>
    <w:rsid w:val="008B327D"/>
    <w:rsid w:val="008B3DA8"/>
    <w:rsid w:val="008B7779"/>
    <w:rsid w:val="008C1316"/>
    <w:rsid w:val="008C2E8A"/>
    <w:rsid w:val="008C7E6B"/>
    <w:rsid w:val="008D4AC7"/>
    <w:rsid w:val="008D6365"/>
    <w:rsid w:val="008D64BD"/>
    <w:rsid w:val="008E3144"/>
    <w:rsid w:val="008E44CB"/>
    <w:rsid w:val="008E4888"/>
    <w:rsid w:val="008E4F67"/>
    <w:rsid w:val="008E53CD"/>
    <w:rsid w:val="008F094B"/>
    <w:rsid w:val="008F70D8"/>
    <w:rsid w:val="00902834"/>
    <w:rsid w:val="0090448C"/>
    <w:rsid w:val="009045C6"/>
    <w:rsid w:val="00910A4E"/>
    <w:rsid w:val="00912B88"/>
    <w:rsid w:val="009131A4"/>
    <w:rsid w:val="00921F5B"/>
    <w:rsid w:val="00927D44"/>
    <w:rsid w:val="009314B3"/>
    <w:rsid w:val="00942E7A"/>
    <w:rsid w:val="00945EF0"/>
    <w:rsid w:val="00946E6E"/>
    <w:rsid w:val="009510ED"/>
    <w:rsid w:val="00955004"/>
    <w:rsid w:val="00962811"/>
    <w:rsid w:val="00964BA8"/>
    <w:rsid w:val="0096694A"/>
    <w:rsid w:val="00967228"/>
    <w:rsid w:val="009672E7"/>
    <w:rsid w:val="00975CA3"/>
    <w:rsid w:val="00984B81"/>
    <w:rsid w:val="00986516"/>
    <w:rsid w:val="00992804"/>
    <w:rsid w:val="0099769D"/>
    <w:rsid w:val="009A591A"/>
    <w:rsid w:val="009A7B9E"/>
    <w:rsid w:val="009B0E9C"/>
    <w:rsid w:val="009B13E8"/>
    <w:rsid w:val="009B206D"/>
    <w:rsid w:val="009B4729"/>
    <w:rsid w:val="009B51DB"/>
    <w:rsid w:val="009C3118"/>
    <w:rsid w:val="009C5942"/>
    <w:rsid w:val="009C59B8"/>
    <w:rsid w:val="009C7603"/>
    <w:rsid w:val="009C7D8C"/>
    <w:rsid w:val="009D6E3B"/>
    <w:rsid w:val="009E2BDF"/>
    <w:rsid w:val="009E3676"/>
    <w:rsid w:val="009E475A"/>
    <w:rsid w:val="009F05D8"/>
    <w:rsid w:val="009F53CE"/>
    <w:rsid w:val="009F600E"/>
    <w:rsid w:val="00A00087"/>
    <w:rsid w:val="00A014D6"/>
    <w:rsid w:val="00A03417"/>
    <w:rsid w:val="00A13610"/>
    <w:rsid w:val="00A21890"/>
    <w:rsid w:val="00A257D0"/>
    <w:rsid w:val="00A2673C"/>
    <w:rsid w:val="00A33A1A"/>
    <w:rsid w:val="00A3473B"/>
    <w:rsid w:val="00A434A2"/>
    <w:rsid w:val="00A43CDA"/>
    <w:rsid w:val="00A5052C"/>
    <w:rsid w:val="00A51501"/>
    <w:rsid w:val="00A5483D"/>
    <w:rsid w:val="00A557AC"/>
    <w:rsid w:val="00A66AD6"/>
    <w:rsid w:val="00A674FB"/>
    <w:rsid w:val="00A67D05"/>
    <w:rsid w:val="00A75A77"/>
    <w:rsid w:val="00A8383C"/>
    <w:rsid w:val="00A84E59"/>
    <w:rsid w:val="00A85311"/>
    <w:rsid w:val="00A91CA5"/>
    <w:rsid w:val="00A941AF"/>
    <w:rsid w:val="00A97883"/>
    <w:rsid w:val="00AA0C3F"/>
    <w:rsid w:val="00AA12BA"/>
    <w:rsid w:val="00AA219B"/>
    <w:rsid w:val="00AB26FD"/>
    <w:rsid w:val="00AB2DE4"/>
    <w:rsid w:val="00AB5059"/>
    <w:rsid w:val="00AB5786"/>
    <w:rsid w:val="00AB71D2"/>
    <w:rsid w:val="00AC1C51"/>
    <w:rsid w:val="00AC3814"/>
    <w:rsid w:val="00AC50A3"/>
    <w:rsid w:val="00AC55C4"/>
    <w:rsid w:val="00AC5707"/>
    <w:rsid w:val="00AC6AE5"/>
    <w:rsid w:val="00AD29F6"/>
    <w:rsid w:val="00AD422C"/>
    <w:rsid w:val="00AD4E7B"/>
    <w:rsid w:val="00AE06FB"/>
    <w:rsid w:val="00AE0D75"/>
    <w:rsid w:val="00AE11DF"/>
    <w:rsid w:val="00AE5B3B"/>
    <w:rsid w:val="00AF0562"/>
    <w:rsid w:val="00AF083B"/>
    <w:rsid w:val="00B02568"/>
    <w:rsid w:val="00B045A3"/>
    <w:rsid w:val="00B04DA0"/>
    <w:rsid w:val="00B1585C"/>
    <w:rsid w:val="00B26E1A"/>
    <w:rsid w:val="00B274C8"/>
    <w:rsid w:val="00B27885"/>
    <w:rsid w:val="00B27ADA"/>
    <w:rsid w:val="00B366EA"/>
    <w:rsid w:val="00B40BBD"/>
    <w:rsid w:val="00B46460"/>
    <w:rsid w:val="00B466A4"/>
    <w:rsid w:val="00B46735"/>
    <w:rsid w:val="00B46C2E"/>
    <w:rsid w:val="00B50D5E"/>
    <w:rsid w:val="00B51AA2"/>
    <w:rsid w:val="00B545E8"/>
    <w:rsid w:val="00B63A0A"/>
    <w:rsid w:val="00B76764"/>
    <w:rsid w:val="00B76EED"/>
    <w:rsid w:val="00B77B83"/>
    <w:rsid w:val="00B9132C"/>
    <w:rsid w:val="00B91A88"/>
    <w:rsid w:val="00B9481B"/>
    <w:rsid w:val="00BA3B3E"/>
    <w:rsid w:val="00BB00CA"/>
    <w:rsid w:val="00BB2C81"/>
    <w:rsid w:val="00BB52A1"/>
    <w:rsid w:val="00BC0FD1"/>
    <w:rsid w:val="00BC53E4"/>
    <w:rsid w:val="00BD2181"/>
    <w:rsid w:val="00BD4A17"/>
    <w:rsid w:val="00BE1545"/>
    <w:rsid w:val="00BE3822"/>
    <w:rsid w:val="00BF3C8F"/>
    <w:rsid w:val="00BF5367"/>
    <w:rsid w:val="00BF6EF3"/>
    <w:rsid w:val="00C07817"/>
    <w:rsid w:val="00C11AA2"/>
    <w:rsid w:val="00C14366"/>
    <w:rsid w:val="00C14BF2"/>
    <w:rsid w:val="00C16D52"/>
    <w:rsid w:val="00C16FB2"/>
    <w:rsid w:val="00C21B0E"/>
    <w:rsid w:val="00C2360F"/>
    <w:rsid w:val="00C24E9C"/>
    <w:rsid w:val="00C25420"/>
    <w:rsid w:val="00C25832"/>
    <w:rsid w:val="00C26EE4"/>
    <w:rsid w:val="00C337A1"/>
    <w:rsid w:val="00C371E8"/>
    <w:rsid w:val="00C447F8"/>
    <w:rsid w:val="00C4517B"/>
    <w:rsid w:val="00C5192B"/>
    <w:rsid w:val="00C51B42"/>
    <w:rsid w:val="00C54742"/>
    <w:rsid w:val="00C55135"/>
    <w:rsid w:val="00C5553A"/>
    <w:rsid w:val="00C60A2E"/>
    <w:rsid w:val="00C61CB9"/>
    <w:rsid w:val="00C620F9"/>
    <w:rsid w:val="00C63D77"/>
    <w:rsid w:val="00C642FB"/>
    <w:rsid w:val="00C65B5B"/>
    <w:rsid w:val="00C9023E"/>
    <w:rsid w:val="00C91281"/>
    <w:rsid w:val="00C91374"/>
    <w:rsid w:val="00C91DDA"/>
    <w:rsid w:val="00C93A85"/>
    <w:rsid w:val="00C94D8F"/>
    <w:rsid w:val="00C97A4D"/>
    <w:rsid w:val="00CA13FF"/>
    <w:rsid w:val="00CA1603"/>
    <w:rsid w:val="00CA19EF"/>
    <w:rsid w:val="00CA1FB0"/>
    <w:rsid w:val="00CA438C"/>
    <w:rsid w:val="00CB3F5B"/>
    <w:rsid w:val="00CD1982"/>
    <w:rsid w:val="00CD77D7"/>
    <w:rsid w:val="00CE0303"/>
    <w:rsid w:val="00CE03F9"/>
    <w:rsid w:val="00CE04D0"/>
    <w:rsid w:val="00CE0BC3"/>
    <w:rsid w:val="00CE15B9"/>
    <w:rsid w:val="00CE2E28"/>
    <w:rsid w:val="00CE32B2"/>
    <w:rsid w:val="00CE4B87"/>
    <w:rsid w:val="00CF076D"/>
    <w:rsid w:val="00CF13D0"/>
    <w:rsid w:val="00CF19CD"/>
    <w:rsid w:val="00CF4850"/>
    <w:rsid w:val="00CF7421"/>
    <w:rsid w:val="00CF753B"/>
    <w:rsid w:val="00D025BA"/>
    <w:rsid w:val="00D03AD6"/>
    <w:rsid w:val="00D04B31"/>
    <w:rsid w:val="00D06B48"/>
    <w:rsid w:val="00D07064"/>
    <w:rsid w:val="00D078D4"/>
    <w:rsid w:val="00D17209"/>
    <w:rsid w:val="00D25B5D"/>
    <w:rsid w:val="00D279FC"/>
    <w:rsid w:val="00D425AA"/>
    <w:rsid w:val="00D42695"/>
    <w:rsid w:val="00D5029F"/>
    <w:rsid w:val="00D52121"/>
    <w:rsid w:val="00D526A6"/>
    <w:rsid w:val="00D52BB3"/>
    <w:rsid w:val="00D5454A"/>
    <w:rsid w:val="00D55ADD"/>
    <w:rsid w:val="00D6695E"/>
    <w:rsid w:val="00D67B8D"/>
    <w:rsid w:val="00D71296"/>
    <w:rsid w:val="00D71C9B"/>
    <w:rsid w:val="00D71F4D"/>
    <w:rsid w:val="00D73D56"/>
    <w:rsid w:val="00D75E82"/>
    <w:rsid w:val="00D76D0B"/>
    <w:rsid w:val="00D770F4"/>
    <w:rsid w:val="00D80471"/>
    <w:rsid w:val="00D80C7D"/>
    <w:rsid w:val="00D82FE6"/>
    <w:rsid w:val="00D82FF9"/>
    <w:rsid w:val="00D8544F"/>
    <w:rsid w:val="00D903E6"/>
    <w:rsid w:val="00D922B4"/>
    <w:rsid w:val="00D929FF"/>
    <w:rsid w:val="00D936BB"/>
    <w:rsid w:val="00DA0FA6"/>
    <w:rsid w:val="00DA106A"/>
    <w:rsid w:val="00DA7EB7"/>
    <w:rsid w:val="00DB151B"/>
    <w:rsid w:val="00DC0C7F"/>
    <w:rsid w:val="00DC3177"/>
    <w:rsid w:val="00DC7351"/>
    <w:rsid w:val="00DD33DF"/>
    <w:rsid w:val="00DD76D3"/>
    <w:rsid w:val="00DE1293"/>
    <w:rsid w:val="00DE31F9"/>
    <w:rsid w:val="00DE738A"/>
    <w:rsid w:val="00DF29CD"/>
    <w:rsid w:val="00DF7751"/>
    <w:rsid w:val="00E05341"/>
    <w:rsid w:val="00E1138F"/>
    <w:rsid w:val="00E11E81"/>
    <w:rsid w:val="00E13639"/>
    <w:rsid w:val="00E14C2D"/>
    <w:rsid w:val="00E20AA0"/>
    <w:rsid w:val="00E23B7A"/>
    <w:rsid w:val="00E27952"/>
    <w:rsid w:val="00E301CB"/>
    <w:rsid w:val="00E332EC"/>
    <w:rsid w:val="00E3381E"/>
    <w:rsid w:val="00E40938"/>
    <w:rsid w:val="00E41C88"/>
    <w:rsid w:val="00E51CDA"/>
    <w:rsid w:val="00E5581F"/>
    <w:rsid w:val="00E56B5A"/>
    <w:rsid w:val="00E614BE"/>
    <w:rsid w:val="00E72E7B"/>
    <w:rsid w:val="00E73385"/>
    <w:rsid w:val="00E764F2"/>
    <w:rsid w:val="00E8138D"/>
    <w:rsid w:val="00E827C5"/>
    <w:rsid w:val="00E82FCD"/>
    <w:rsid w:val="00E942B6"/>
    <w:rsid w:val="00E97EAF"/>
    <w:rsid w:val="00EA2CC9"/>
    <w:rsid w:val="00EB0402"/>
    <w:rsid w:val="00EB7B3B"/>
    <w:rsid w:val="00EC1754"/>
    <w:rsid w:val="00EC3449"/>
    <w:rsid w:val="00EC5AA6"/>
    <w:rsid w:val="00ED1B8F"/>
    <w:rsid w:val="00ED25D8"/>
    <w:rsid w:val="00ED3544"/>
    <w:rsid w:val="00ED5BB6"/>
    <w:rsid w:val="00ED5DA9"/>
    <w:rsid w:val="00ED7D4C"/>
    <w:rsid w:val="00EE0E1A"/>
    <w:rsid w:val="00EE615E"/>
    <w:rsid w:val="00EE7941"/>
    <w:rsid w:val="00EF7577"/>
    <w:rsid w:val="00F0323E"/>
    <w:rsid w:val="00F06004"/>
    <w:rsid w:val="00F14B8A"/>
    <w:rsid w:val="00F17584"/>
    <w:rsid w:val="00F17FA6"/>
    <w:rsid w:val="00F20B96"/>
    <w:rsid w:val="00F22E3C"/>
    <w:rsid w:val="00F24EB2"/>
    <w:rsid w:val="00F2654F"/>
    <w:rsid w:val="00F3204A"/>
    <w:rsid w:val="00F36D7C"/>
    <w:rsid w:val="00F4305F"/>
    <w:rsid w:val="00F45E70"/>
    <w:rsid w:val="00F50A07"/>
    <w:rsid w:val="00F552B4"/>
    <w:rsid w:val="00F57119"/>
    <w:rsid w:val="00F62972"/>
    <w:rsid w:val="00F62A65"/>
    <w:rsid w:val="00F62EF5"/>
    <w:rsid w:val="00F64089"/>
    <w:rsid w:val="00F65A6F"/>
    <w:rsid w:val="00F71E38"/>
    <w:rsid w:val="00F72E4E"/>
    <w:rsid w:val="00F84563"/>
    <w:rsid w:val="00F86462"/>
    <w:rsid w:val="00F86BEF"/>
    <w:rsid w:val="00F93D0C"/>
    <w:rsid w:val="00FA1D93"/>
    <w:rsid w:val="00FA5376"/>
    <w:rsid w:val="00FA777B"/>
    <w:rsid w:val="00FB0DFD"/>
    <w:rsid w:val="00FD5887"/>
    <w:rsid w:val="00FD65E3"/>
    <w:rsid w:val="00FE113A"/>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581F"/>
    <w:pPr>
      <w:spacing w:before="180" w:after="180"/>
      <w:jc w:val="both"/>
    </w:pPr>
    <w:rPr>
      <w:rFonts w:ascii="Arial" w:hAnsi="Arial"/>
      <w:sz w:val="24"/>
      <w:szCs w:val="24"/>
      <w:lang w:val="en-US" w:eastAsia="en-US"/>
    </w:rPr>
  </w:style>
  <w:style w:type="paragraph" w:styleId="Heading1">
    <w:name w:val="heading 1"/>
    <w:basedOn w:val="Normal"/>
    <w:next w:val="Normal"/>
    <w:link w:val="Heading1Char"/>
    <w:qFormat/>
    <w:rsid w:val="00806F8E"/>
    <w:pPr>
      <w:keepNext/>
      <w:numPr>
        <w:numId w:val="3"/>
      </w:numPr>
      <w:overflowPunct w:val="0"/>
      <w:autoSpaceDE w:val="0"/>
      <w:autoSpaceDN w:val="0"/>
      <w:adjustRightInd w:val="0"/>
      <w:spacing w:before="360"/>
      <w:textAlignment w:val="baseline"/>
      <w:outlineLvl w:val="0"/>
    </w:pPr>
    <w:rPr>
      <w:b/>
      <w:sz w:val="28"/>
      <w:szCs w:val="20"/>
      <w:u w:val="single"/>
      <w:lang w:val="en-GB"/>
    </w:rPr>
  </w:style>
  <w:style w:type="paragraph" w:styleId="Heading2">
    <w:name w:val="heading 2"/>
    <w:basedOn w:val="Normal"/>
    <w:next w:val="Normal"/>
    <w:link w:val="Heading2Char"/>
    <w:unhideWhenUsed/>
    <w:qFormat/>
    <w:rsid w:val="00ED7D4C"/>
    <w:pPr>
      <w:keepNext/>
      <w:keepLines/>
      <w:numPr>
        <w:ilvl w:val="1"/>
        <w:numId w:val="3"/>
      </w:numPr>
      <w:spacing w:before="360" w:after="240"/>
      <w:ind w:left="578" w:hanging="578"/>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806F8E"/>
    <w:pPr>
      <w:keepNext/>
      <w:keepLines/>
      <w:numPr>
        <w:ilvl w:val="2"/>
        <w:numId w:val="3"/>
      </w:numPr>
      <w:spacing w:before="200" w:after="0"/>
      <w:outlineLvl w:val="2"/>
    </w:pPr>
    <w:rPr>
      <w:rFonts w:eastAsiaTheme="majorEastAsia" w:cstheme="majorBidi"/>
      <w:b/>
      <w:bCs/>
    </w:rPr>
  </w:style>
  <w:style w:type="paragraph" w:styleId="Heading4">
    <w:name w:val="heading 4"/>
    <w:basedOn w:val="Normal"/>
    <w:next w:val="Normal"/>
    <w:link w:val="Heading4Char"/>
    <w:unhideWhenUsed/>
    <w:qFormat/>
    <w:rsid w:val="001A5747"/>
    <w:pPr>
      <w:keepNext/>
      <w:keepLines/>
      <w:numPr>
        <w:ilvl w:val="3"/>
        <w:numId w:val="3"/>
      </w:numPr>
      <w:spacing w:before="200" w:after="240"/>
      <w:outlineLvl w:val="3"/>
    </w:pPr>
    <w:rPr>
      <w:rFonts w:eastAsiaTheme="majorEastAsia" w:cstheme="majorBidi"/>
      <w:bCs/>
      <w:iCs/>
      <w:u w:val="single"/>
    </w:rPr>
  </w:style>
  <w:style w:type="paragraph" w:styleId="Heading5">
    <w:name w:val="heading 5"/>
    <w:basedOn w:val="Normal"/>
    <w:next w:val="Normal"/>
    <w:link w:val="Heading5Char"/>
    <w:semiHidden/>
    <w:unhideWhenUsed/>
    <w:qFormat/>
    <w:rsid w:val="006D305A"/>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D305A"/>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D305A"/>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D305A"/>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D305A"/>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113A"/>
    <w:pPr>
      <w:jc w:val="center"/>
    </w:pPr>
    <w:rPr>
      <w:rFonts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87117D"/>
    <w:pPr>
      <w:spacing w:before="0" w:after="0"/>
    </w:pPr>
    <w:rPr>
      <w:rFonts w:ascii="Tahoma" w:hAnsi="Tahoma" w:cs="Tahoma"/>
      <w:sz w:val="16"/>
      <w:szCs w:val="16"/>
    </w:rPr>
  </w:style>
  <w:style w:type="character" w:customStyle="1" w:styleId="BalloonTextChar">
    <w:name w:val="Balloon Text Char"/>
    <w:basedOn w:val="DefaultParagraphFont"/>
    <w:link w:val="BalloonText"/>
    <w:rsid w:val="0087117D"/>
    <w:rPr>
      <w:rFonts w:ascii="Tahoma" w:hAnsi="Tahoma" w:cs="Tahoma"/>
      <w:sz w:val="16"/>
      <w:szCs w:val="16"/>
      <w:lang w:val="en-US" w:eastAsia="en-US"/>
    </w:rPr>
  </w:style>
  <w:style w:type="table" w:styleId="TableGrid">
    <w:name w:val="Table Grid"/>
    <w:basedOn w:val="TableNormal"/>
    <w:uiPriority w:val="59"/>
    <w:rsid w:val="00213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D7D4C"/>
    <w:rPr>
      <w:rFonts w:ascii="Arial" w:eastAsiaTheme="majorEastAsia" w:hAnsi="Arial" w:cstheme="majorBidi"/>
      <w:b/>
      <w:bCs/>
      <w:sz w:val="26"/>
      <w:szCs w:val="26"/>
      <w:lang w:val="en-US" w:eastAsia="en-US"/>
    </w:rPr>
  </w:style>
  <w:style w:type="character" w:customStyle="1" w:styleId="BodyTextChar">
    <w:name w:val="Body Text Char"/>
    <w:basedOn w:val="DefaultParagraphFont"/>
    <w:link w:val="BodyText"/>
    <w:rsid w:val="00A51501"/>
    <w:rPr>
      <w:rFonts w:ascii="Arial" w:hAnsi="Arial" w:cs="Arial"/>
      <w:b/>
      <w:sz w:val="24"/>
      <w:szCs w:val="24"/>
      <w:lang w:val="en-US" w:eastAsia="en-US"/>
    </w:rPr>
  </w:style>
  <w:style w:type="character" w:styleId="CommentReference">
    <w:name w:val="annotation reference"/>
    <w:basedOn w:val="DefaultParagraphFont"/>
    <w:rsid w:val="00F36D7C"/>
    <w:rPr>
      <w:sz w:val="16"/>
      <w:szCs w:val="16"/>
    </w:rPr>
  </w:style>
  <w:style w:type="paragraph" w:styleId="CommentText">
    <w:name w:val="annotation text"/>
    <w:basedOn w:val="Normal"/>
    <w:link w:val="CommentTextChar"/>
    <w:rsid w:val="00F36D7C"/>
    <w:rPr>
      <w:sz w:val="20"/>
      <w:szCs w:val="20"/>
    </w:rPr>
  </w:style>
  <w:style w:type="character" w:customStyle="1" w:styleId="CommentTextChar">
    <w:name w:val="Comment Text Char"/>
    <w:basedOn w:val="DefaultParagraphFont"/>
    <w:link w:val="CommentText"/>
    <w:rsid w:val="00F36D7C"/>
    <w:rPr>
      <w:rFonts w:ascii="Arial" w:hAnsi="Arial"/>
      <w:lang w:val="en-US" w:eastAsia="en-US"/>
    </w:rPr>
  </w:style>
  <w:style w:type="paragraph" w:styleId="CommentSubject">
    <w:name w:val="annotation subject"/>
    <w:basedOn w:val="CommentText"/>
    <w:next w:val="CommentText"/>
    <w:link w:val="CommentSubjectChar"/>
    <w:rsid w:val="00F36D7C"/>
    <w:rPr>
      <w:b/>
      <w:bCs/>
    </w:rPr>
  </w:style>
  <w:style w:type="character" w:customStyle="1" w:styleId="CommentSubjectChar">
    <w:name w:val="Comment Subject Char"/>
    <w:basedOn w:val="CommentTextChar"/>
    <w:link w:val="CommentSubject"/>
    <w:rsid w:val="00F36D7C"/>
    <w:rPr>
      <w:rFonts w:ascii="Arial" w:hAnsi="Arial"/>
      <w:b/>
      <w:bCs/>
      <w:lang w:val="en-US" w:eastAsia="en-US"/>
    </w:rPr>
  </w:style>
  <w:style w:type="paragraph" w:customStyle="1" w:styleId="Default">
    <w:name w:val="Default"/>
    <w:rsid w:val="004028C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4E5249"/>
    <w:rPr>
      <w:color w:val="0000FF" w:themeColor="hyperlink"/>
      <w:u w:val="single"/>
    </w:rPr>
  </w:style>
  <w:style w:type="paragraph" w:styleId="FootnoteText">
    <w:name w:val="footnote text"/>
    <w:basedOn w:val="Normal"/>
    <w:link w:val="FootnoteTextChar"/>
    <w:rsid w:val="007B2344"/>
    <w:pPr>
      <w:spacing w:before="0" w:after="0"/>
    </w:pPr>
    <w:rPr>
      <w:sz w:val="20"/>
      <w:szCs w:val="20"/>
    </w:rPr>
  </w:style>
  <w:style w:type="character" w:customStyle="1" w:styleId="FootnoteTextChar">
    <w:name w:val="Footnote Text Char"/>
    <w:basedOn w:val="DefaultParagraphFont"/>
    <w:link w:val="FootnoteText"/>
    <w:rsid w:val="007B2344"/>
    <w:rPr>
      <w:rFonts w:ascii="Arial" w:hAnsi="Arial"/>
      <w:lang w:val="en-US" w:eastAsia="en-US"/>
    </w:rPr>
  </w:style>
  <w:style w:type="character" w:styleId="FootnoteReference">
    <w:name w:val="footnote reference"/>
    <w:basedOn w:val="DefaultParagraphFont"/>
    <w:rsid w:val="007B2344"/>
    <w:rPr>
      <w:vertAlign w:val="superscript"/>
    </w:rPr>
  </w:style>
  <w:style w:type="paragraph" w:styleId="NormalWeb">
    <w:name w:val="Normal (Web)"/>
    <w:basedOn w:val="Normal"/>
    <w:uiPriority w:val="99"/>
    <w:unhideWhenUsed/>
    <w:rsid w:val="00B76764"/>
    <w:pPr>
      <w:spacing w:before="100" w:beforeAutospacing="1" w:after="100" w:afterAutospacing="1"/>
      <w:jc w:val="left"/>
    </w:pPr>
    <w:rPr>
      <w:rFonts w:ascii="Times New Roman" w:eastAsiaTheme="minorEastAsia" w:hAnsi="Times New Roman"/>
      <w:lang w:val="en-GB" w:eastAsia="en-GB"/>
    </w:rPr>
  </w:style>
  <w:style w:type="character" w:styleId="Strong">
    <w:name w:val="Strong"/>
    <w:basedOn w:val="DefaultParagraphFont"/>
    <w:uiPriority w:val="22"/>
    <w:qFormat/>
    <w:rsid w:val="006D305A"/>
    <w:rPr>
      <w:b/>
      <w:bCs/>
    </w:rPr>
  </w:style>
  <w:style w:type="character" w:customStyle="1" w:styleId="Heading3Char">
    <w:name w:val="Heading 3 Char"/>
    <w:basedOn w:val="DefaultParagraphFont"/>
    <w:link w:val="Heading3"/>
    <w:rsid w:val="00806F8E"/>
    <w:rPr>
      <w:rFonts w:ascii="Arial" w:eastAsiaTheme="majorEastAsia" w:hAnsi="Arial" w:cstheme="majorBidi"/>
      <w:b/>
      <w:bCs/>
      <w:sz w:val="24"/>
      <w:szCs w:val="24"/>
      <w:lang w:val="en-US" w:eastAsia="en-US"/>
    </w:rPr>
  </w:style>
  <w:style w:type="character" w:customStyle="1" w:styleId="Heading4Char">
    <w:name w:val="Heading 4 Char"/>
    <w:basedOn w:val="DefaultParagraphFont"/>
    <w:link w:val="Heading4"/>
    <w:rsid w:val="001A5747"/>
    <w:rPr>
      <w:rFonts w:ascii="Arial" w:eastAsiaTheme="majorEastAsia" w:hAnsi="Arial" w:cstheme="majorBidi"/>
      <w:bCs/>
      <w:iCs/>
      <w:sz w:val="24"/>
      <w:szCs w:val="24"/>
      <w:u w:val="single"/>
      <w:lang w:val="en-US" w:eastAsia="en-US"/>
    </w:rPr>
  </w:style>
  <w:style w:type="character" w:customStyle="1" w:styleId="Heading5Char">
    <w:name w:val="Heading 5 Char"/>
    <w:basedOn w:val="DefaultParagraphFont"/>
    <w:link w:val="Heading5"/>
    <w:semiHidden/>
    <w:rsid w:val="006D305A"/>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6D305A"/>
    <w:rPr>
      <w:rFonts w:asciiTheme="majorHAnsi" w:eastAsiaTheme="majorEastAsia" w:hAnsiTheme="majorHAnsi" w:cstheme="majorBidi"/>
      <w:i/>
      <w:iCs/>
      <w:color w:val="243F60" w:themeColor="accent1" w:themeShade="7F"/>
      <w:sz w:val="24"/>
      <w:szCs w:val="24"/>
      <w:lang w:val="en-US" w:eastAsia="en-US"/>
    </w:rPr>
  </w:style>
  <w:style w:type="character" w:customStyle="1" w:styleId="Heading7Char">
    <w:name w:val="Heading 7 Char"/>
    <w:basedOn w:val="DefaultParagraphFont"/>
    <w:link w:val="Heading7"/>
    <w:semiHidden/>
    <w:rsid w:val="006D305A"/>
    <w:rPr>
      <w:rFonts w:asciiTheme="majorHAnsi" w:eastAsiaTheme="majorEastAsia" w:hAnsiTheme="majorHAnsi" w:cstheme="majorBidi"/>
      <w:i/>
      <w:iCs/>
      <w:color w:val="404040" w:themeColor="text1" w:themeTint="BF"/>
      <w:sz w:val="24"/>
      <w:szCs w:val="24"/>
      <w:lang w:val="en-US" w:eastAsia="en-US"/>
    </w:rPr>
  </w:style>
  <w:style w:type="character" w:customStyle="1" w:styleId="Heading8Char">
    <w:name w:val="Heading 8 Char"/>
    <w:basedOn w:val="DefaultParagraphFont"/>
    <w:link w:val="Heading8"/>
    <w:semiHidden/>
    <w:rsid w:val="006D305A"/>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6D305A"/>
    <w:rPr>
      <w:rFonts w:asciiTheme="majorHAnsi" w:eastAsiaTheme="majorEastAsia" w:hAnsiTheme="majorHAnsi" w:cstheme="majorBidi"/>
      <w:i/>
      <w:iCs/>
      <w:color w:val="404040" w:themeColor="text1" w:themeTint="BF"/>
      <w:lang w:val="en-US" w:eastAsia="en-US"/>
    </w:rPr>
  </w:style>
  <w:style w:type="paragraph" w:styleId="TOCHeading">
    <w:name w:val="TOC Heading"/>
    <w:basedOn w:val="Heading1"/>
    <w:next w:val="Normal"/>
    <w:uiPriority w:val="39"/>
    <w:semiHidden/>
    <w:unhideWhenUsed/>
    <w:qFormat/>
    <w:rsid w:val="00361EDC"/>
    <w:pPr>
      <w:keepLines/>
      <w:numPr>
        <w:numId w:val="0"/>
      </w:numPr>
      <w:overflowPunct/>
      <w:autoSpaceDE/>
      <w:autoSpaceDN/>
      <w:adjustRightInd/>
      <w:spacing w:before="480" w:after="0" w:line="276" w:lineRule="auto"/>
      <w:jc w:val="left"/>
      <w:textAlignment w:val="auto"/>
      <w:outlineLvl w:val="9"/>
    </w:pPr>
    <w:rPr>
      <w:rFonts w:asciiTheme="majorHAnsi" w:eastAsiaTheme="majorEastAsia" w:hAnsiTheme="majorHAnsi" w:cstheme="majorBidi"/>
      <w:bCs/>
      <w:color w:val="365F91" w:themeColor="accent1" w:themeShade="BF"/>
      <w:szCs w:val="28"/>
      <w:u w:val="none"/>
      <w:lang w:val="en-US" w:eastAsia="ja-JP"/>
    </w:rPr>
  </w:style>
  <w:style w:type="paragraph" w:styleId="TOC1">
    <w:name w:val="toc 1"/>
    <w:basedOn w:val="Normal"/>
    <w:next w:val="Normal"/>
    <w:autoRedefine/>
    <w:uiPriority w:val="39"/>
    <w:rsid w:val="00361EDC"/>
    <w:pPr>
      <w:spacing w:after="100"/>
    </w:pPr>
  </w:style>
  <w:style w:type="paragraph" w:styleId="TOC2">
    <w:name w:val="toc 2"/>
    <w:basedOn w:val="Normal"/>
    <w:next w:val="Normal"/>
    <w:autoRedefine/>
    <w:uiPriority w:val="39"/>
    <w:rsid w:val="00361EDC"/>
    <w:pPr>
      <w:spacing w:after="100"/>
      <w:ind w:left="240"/>
    </w:pPr>
  </w:style>
  <w:style w:type="paragraph" w:styleId="TOC3">
    <w:name w:val="toc 3"/>
    <w:basedOn w:val="Normal"/>
    <w:next w:val="Normal"/>
    <w:autoRedefine/>
    <w:uiPriority w:val="39"/>
    <w:rsid w:val="00361EDC"/>
    <w:pPr>
      <w:spacing w:after="100"/>
      <w:ind w:left="480"/>
    </w:pPr>
  </w:style>
  <w:style w:type="character" w:customStyle="1" w:styleId="Heading1Char">
    <w:name w:val="Heading 1 Char"/>
    <w:basedOn w:val="DefaultParagraphFont"/>
    <w:link w:val="Heading1"/>
    <w:rsid w:val="005761AD"/>
    <w:rPr>
      <w:rFonts w:ascii="Arial" w:hAnsi="Arial"/>
      <w:b/>
      <w:sz w:val="28"/>
      <w:u w:val="single"/>
      <w:lang w:eastAsia="en-US"/>
    </w:rPr>
  </w:style>
  <w:style w:type="character" w:styleId="Emphasis">
    <w:name w:val="Emphasis"/>
    <w:basedOn w:val="DefaultParagraphFont"/>
    <w:qFormat/>
    <w:rsid w:val="00C143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581F"/>
    <w:pPr>
      <w:spacing w:before="180" w:after="180"/>
      <w:jc w:val="both"/>
    </w:pPr>
    <w:rPr>
      <w:rFonts w:ascii="Arial" w:hAnsi="Arial"/>
      <w:sz w:val="24"/>
      <w:szCs w:val="24"/>
      <w:lang w:val="en-US" w:eastAsia="en-US"/>
    </w:rPr>
  </w:style>
  <w:style w:type="paragraph" w:styleId="Heading1">
    <w:name w:val="heading 1"/>
    <w:basedOn w:val="Normal"/>
    <w:next w:val="Normal"/>
    <w:link w:val="Heading1Char"/>
    <w:qFormat/>
    <w:rsid w:val="00806F8E"/>
    <w:pPr>
      <w:keepNext/>
      <w:numPr>
        <w:numId w:val="3"/>
      </w:numPr>
      <w:overflowPunct w:val="0"/>
      <w:autoSpaceDE w:val="0"/>
      <w:autoSpaceDN w:val="0"/>
      <w:adjustRightInd w:val="0"/>
      <w:spacing w:before="360"/>
      <w:textAlignment w:val="baseline"/>
      <w:outlineLvl w:val="0"/>
    </w:pPr>
    <w:rPr>
      <w:b/>
      <w:sz w:val="28"/>
      <w:szCs w:val="20"/>
      <w:u w:val="single"/>
      <w:lang w:val="en-GB"/>
    </w:rPr>
  </w:style>
  <w:style w:type="paragraph" w:styleId="Heading2">
    <w:name w:val="heading 2"/>
    <w:basedOn w:val="Normal"/>
    <w:next w:val="Normal"/>
    <w:link w:val="Heading2Char"/>
    <w:unhideWhenUsed/>
    <w:qFormat/>
    <w:rsid w:val="00ED7D4C"/>
    <w:pPr>
      <w:keepNext/>
      <w:keepLines/>
      <w:numPr>
        <w:ilvl w:val="1"/>
        <w:numId w:val="3"/>
      </w:numPr>
      <w:spacing w:before="360" w:after="240"/>
      <w:ind w:left="578" w:hanging="578"/>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806F8E"/>
    <w:pPr>
      <w:keepNext/>
      <w:keepLines/>
      <w:numPr>
        <w:ilvl w:val="2"/>
        <w:numId w:val="3"/>
      </w:numPr>
      <w:spacing w:before="200" w:after="0"/>
      <w:outlineLvl w:val="2"/>
    </w:pPr>
    <w:rPr>
      <w:rFonts w:eastAsiaTheme="majorEastAsia" w:cstheme="majorBidi"/>
      <w:b/>
      <w:bCs/>
    </w:rPr>
  </w:style>
  <w:style w:type="paragraph" w:styleId="Heading4">
    <w:name w:val="heading 4"/>
    <w:basedOn w:val="Normal"/>
    <w:next w:val="Normal"/>
    <w:link w:val="Heading4Char"/>
    <w:unhideWhenUsed/>
    <w:qFormat/>
    <w:rsid w:val="001A5747"/>
    <w:pPr>
      <w:keepNext/>
      <w:keepLines/>
      <w:numPr>
        <w:ilvl w:val="3"/>
        <w:numId w:val="3"/>
      </w:numPr>
      <w:spacing w:before="200" w:after="240"/>
      <w:outlineLvl w:val="3"/>
    </w:pPr>
    <w:rPr>
      <w:rFonts w:eastAsiaTheme="majorEastAsia" w:cstheme="majorBidi"/>
      <w:bCs/>
      <w:iCs/>
      <w:u w:val="single"/>
    </w:rPr>
  </w:style>
  <w:style w:type="paragraph" w:styleId="Heading5">
    <w:name w:val="heading 5"/>
    <w:basedOn w:val="Normal"/>
    <w:next w:val="Normal"/>
    <w:link w:val="Heading5Char"/>
    <w:semiHidden/>
    <w:unhideWhenUsed/>
    <w:qFormat/>
    <w:rsid w:val="006D305A"/>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D305A"/>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D305A"/>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D305A"/>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D305A"/>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113A"/>
    <w:pPr>
      <w:jc w:val="center"/>
    </w:pPr>
    <w:rPr>
      <w:rFonts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87117D"/>
    <w:pPr>
      <w:spacing w:before="0" w:after="0"/>
    </w:pPr>
    <w:rPr>
      <w:rFonts w:ascii="Tahoma" w:hAnsi="Tahoma" w:cs="Tahoma"/>
      <w:sz w:val="16"/>
      <w:szCs w:val="16"/>
    </w:rPr>
  </w:style>
  <w:style w:type="character" w:customStyle="1" w:styleId="BalloonTextChar">
    <w:name w:val="Balloon Text Char"/>
    <w:basedOn w:val="DefaultParagraphFont"/>
    <w:link w:val="BalloonText"/>
    <w:rsid w:val="0087117D"/>
    <w:rPr>
      <w:rFonts w:ascii="Tahoma" w:hAnsi="Tahoma" w:cs="Tahoma"/>
      <w:sz w:val="16"/>
      <w:szCs w:val="16"/>
      <w:lang w:val="en-US" w:eastAsia="en-US"/>
    </w:rPr>
  </w:style>
  <w:style w:type="table" w:styleId="TableGrid">
    <w:name w:val="Table Grid"/>
    <w:basedOn w:val="TableNormal"/>
    <w:uiPriority w:val="59"/>
    <w:rsid w:val="00213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D7D4C"/>
    <w:rPr>
      <w:rFonts w:ascii="Arial" w:eastAsiaTheme="majorEastAsia" w:hAnsi="Arial" w:cstheme="majorBidi"/>
      <w:b/>
      <w:bCs/>
      <w:sz w:val="26"/>
      <w:szCs w:val="26"/>
      <w:lang w:val="en-US" w:eastAsia="en-US"/>
    </w:rPr>
  </w:style>
  <w:style w:type="character" w:customStyle="1" w:styleId="BodyTextChar">
    <w:name w:val="Body Text Char"/>
    <w:basedOn w:val="DefaultParagraphFont"/>
    <w:link w:val="BodyText"/>
    <w:rsid w:val="00A51501"/>
    <w:rPr>
      <w:rFonts w:ascii="Arial" w:hAnsi="Arial" w:cs="Arial"/>
      <w:b/>
      <w:sz w:val="24"/>
      <w:szCs w:val="24"/>
      <w:lang w:val="en-US" w:eastAsia="en-US"/>
    </w:rPr>
  </w:style>
  <w:style w:type="character" w:styleId="CommentReference">
    <w:name w:val="annotation reference"/>
    <w:basedOn w:val="DefaultParagraphFont"/>
    <w:rsid w:val="00F36D7C"/>
    <w:rPr>
      <w:sz w:val="16"/>
      <w:szCs w:val="16"/>
    </w:rPr>
  </w:style>
  <w:style w:type="paragraph" w:styleId="CommentText">
    <w:name w:val="annotation text"/>
    <w:basedOn w:val="Normal"/>
    <w:link w:val="CommentTextChar"/>
    <w:rsid w:val="00F36D7C"/>
    <w:rPr>
      <w:sz w:val="20"/>
      <w:szCs w:val="20"/>
    </w:rPr>
  </w:style>
  <w:style w:type="character" w:customStyle="1" w:styleId="CommentTextChar">
    <w:name w:val="Comment Text Char"/>
    <w:basedOn w:val="DefaultParagraphFont"/>
    <w:link w:val="CommentText"/>
    <w:rsid w:val="00F36D7C"/>
    <w:rPr>
      <w:rFonts w:ascii="Arial" w:hAnsi="Arial"/>
      <w:lang w:val="en-US" w:eastAsia="en-US"/>
    </w:rPr>
  </w:style>
  <w:style w:type="paragraph" w:styleId="CommentSubject">
    <w:name w:val="annotation subject"/>
    <w:basedOn w:val="CommentText"/>
    <w:next w:val="CommentText"/>
    <w:link w:val="CommentSubjectChar"/>
    <w:rsid w:val="00F36D7C"/>
    <w:rPr>
      <w:b/>
      <w:bCs/>
    </w:rPr>
  </w:style>
  <w:style w:type="character" w:customStyle="1" w:styleId="CommentSubjectChar">
    <w:name w:val="Comment Subject Char"/>
    <w:basedOn w:val="CommentTextChar"/>
    <w:link w:val="CommentSubject"/>
    <w:rsid w:val="00F36D7C"/>
    <w:rPr>
      <w:rFonts w:ascii="Arial" w:hAnsi="Arial"/>
      <w:b/>
      <w:bCs/>
      <w:lang w:val="en-US" w:eastAsia="en-US"/>
    </w:rPr>
  </w:style>
  <w:style w:type="paragraph" w:customStyle="1" w:styleId="Default">
    <w:name w:val="Default"/>
    <w:rsid w:val="004028C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4E5249"/>
    <w:rPr>
      <w:color w:val="0000FF" w:themeColor="hyperlink"/>
      <w:u w:val="single"/>
    </w:rPr>
  </w:style>
  <w:style w:type="paragraph" w:styleId="FootnoteText">
    <w:name w:val="footnote text"/>
    <w:basedOn w:val="Normal"/>
    <w:link w:val="FootnoteTextChar"/>
    <w:rsid w:val="007B2344"/>
    <w:pPr>
      <w:spacing w:before="0" w:after="0"/>
    </w:pPr>
    <w:rPr>
      <w:sz w:val="20"/>
      <w:szCs w:val="20"/>
    </w:rPr>
  </w:style>
  <w:style w:type="character" w:customStyle="1" w:styleId="FootnoteTextChar">
    <w:name w:val="Footnote Text Char"/>
    <w:basedOn w:val="DefaultParagraphFont"/>
    <w:link w:val="FootnoteText"/>
    <w:rsid w:val="007B2344"/>
    <w:rPr>
      <w:rFonts w:ascii="Arial" w:hAnsi="Arial"/>
      <w:lang w:val="en-US" w:eastAsia="en-US"/>
    </w:rPr>
  </w:style>
  <w:style w:type="character" w:styleId="FootnoteReference">
    <w:name w:val="footnote reference"/>
    <w:basedOn w:val="DefaultParagraphFont"/>
    <w:rsid w:val="007B2344"/>
    <w:rPr>
      <w:vertAlign w:val="superscript"/>
    </w:rPr>
  </w:style>
  <w:style w:type="paragraph" w:styleId="NormalWeb">
    <w:name w:val="Normal (Web)"/>
    <w:basedOn w:val="Normal"/>
    <w:uiPriority w:val="99"/>
    <w:unhideWhenUsed/>
    <w:rsid w:val="00B76764"/>
    <w:pPr>
      <w:spacing w:before="100" w:beforeAutospacing="1" w:after="100" w:afterAutospacing="1"/>
      <w:jc w:val="left"/>
    </w:pPr>
    <w:rPr>
      <w:rFonts w:ascii="Times New Roman" w:eastAsiaTheme="minorEastAsia" w:hAnsi="Times New Roman"/>
      <w:lang w:val="en-GB" w:eastAsia="en-GB"/>
    </w:rPr>
  </w:style>
  <w:style w:type="character" w:styleId="Strong">
    <w:name w:val="Strong"/>
    <w:basedOn w:val="DefaultParagraphFont"/>
    <w:uiPriority w:val="22"/>
    <w:qFormat/>
    <w:rsid w:val="006D305A"/>
    <w:rPr>
      <w:b/>
      <w:bCs/>
    </w:rPr>
  </w:style>
  <w:style w:type="character" w:customStyle="1" w:styleId="Heading3Char">
    <w:name w:val="Heading 3 Char"/>
    <w:basedOn w:val="DefaultParagraphFont"/>
    <w:link w:val="Heading3"/>
    <w:rsid w:val="00806F8E"/>
    <w:rPr>
      <w:rFonts w:ascii="Arial" w:eastAsiaTheme="majorEastAsia" w:hAnsi="Arial" w:cstheme="majorBidi"/>
      <w:b/>
      <w:bCs/>
      <w:sz w:val="24"/>
      <w:szCs w:val="24"/>
      <w:lang w:val="en-US" w:eastAsia="en-US"/>
    </w:rPr>
  </w:style>
  <w:style w:type="character" w:customStyle="1" w:styleId="Heading4Char">
    <w:name w:val="Heading 4 Char"/>
    <w:basedOn w:val="DefaultParagraphFont"/>
    <w:link w:val="Heading4"/>
    <w:rsid w:val="001A5747"/>
    <w:rPr>
      <w:rFonts w:ascii="Arial" w:eastAsiaTheme="majorEastAsia" w:hAnsi="Arial" w:cstheme="majorBidi"/>
      <w:bCs/>
      <w:iCs/>
      <w:sz w:val="24"/>
      <w:szCs w:val="24"/>
      <w:u w:val="single"/>
      <w:lang w:val="en-US" w:eastAsia="en-US"/>
    </w:rPr>
  </w:style>
  <w:style w:type="character" w:customStyle="1" w:styleId="Heading5Char">
    <w:name w:val="Heading 5 Char"/>
    <w:basedOn w:val="DefaultParagraphFont"/>
    <w:link w:val="Heading5"/>
    <w:semiHidden/>
    <w:rsid w:val="006D305A"/>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6D305A"/>
    <w:rPr>
      <w:rFonts w:asciiTheme="majorHAnsi" w:eastAsiaTheme="majorEastAsia" w:hAnsiTheme="majorHAnsi" w:cstheme="majorBidi"/>
      <w:i/>
      <w:iCs/>
      <w:color w:val="243F60" w:themeColor="accent1" w:themeShade="7F"/>
      <w:sz w:val="24"/>
      <w:szCs w:val="24"/>
      <w:lang w:val="en-US" w:eastAsia="en-US"/>
    </w:rPr>
  </w:style>
  <w:style w:type="character" w:customStyle="1" w:styleId="Heading7Char">
    <w:name w:val="Heading 7 Char"/>
    <w:basedOn w:val="DefaultParagraphFont"/>
    <w:link w:val="Heading7"/>
    <w:semiHidden/>
    <w:rsid w:val="006D305A"/>
    <w:rPr>
      <w:rFonts w:asciiTheme="majorHAnsi" w:eastAsiaTheme="majorEastAsia" w:hAnsiTheme="majorHAnsi" w:cstheme="majorBidi"/>
      <w:i/>
      <w:iCs/>
      <w:color w:val="404040" w:themeColor="text1" w:themeTint="BF"/>
      <w:sz w:val="24"/>
      <w:szCs w:val="24"/>
      <w:lang w:val="en-US" w:eastAsia="en-US"/>
    </w:rPr>
  </w:style>
  <w:style w:type="character" w:customStyle="1" w:styleId="Heading8Char">
    <w:name w:val="Heading 8 Char"/>
    <w:basedOn w:val="DefaultParagraphFont"/>
    <w:link w:val="Heading8"/>
    <w:semiHidden/>
    <w:rsid w:val="006D305A"/>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6D305A"/>
    <w:rPr>
      <w:rFonts w:asciiTheme="majorHAnsi" w:eastAsiaTheme="majorEastAsia" w:hAnsiTheme="majorHAnsi" w:cstheme="majorBidi"/>
      <w:i/>
      <w:iCs/>
      <w:color w:val="404040" w:themeColor="text1" w:themeTint="BF"/>
      <w:lang w:val="en-US" w:eastAsia="en-US"/>
    </w:rPr>
  </w:style>
  <w:style w:type="paragraph" w:styleId="TOCHeading">
    <w:name w:val="TOC Heading"/>
    <w:basedOn w:val="Heading1"/>
    <w:next w:val="Normal"/>
    <w:uiPriority w:val="39"/>
    <w:semiHidden/>
    <w:unhideWhenUsed/>
    <w:qFormat/>
    <w:rsid w:val="00361EDC"/>
    <w:pPr>
      <w:keepLines/>
      <w:numPr>
        <w:numId w:val="0"/>
      </w:numPr>
      <w:overflowPunct/>
      <w:autoSpaceDE/>
      <w:autoSpaceDN/>
      <w:adjustRightInd/>
      <w:spacing w:before="480" w:after="0" w:line="276" w:lineRule="auto"/>
      <w:jc w:val="left"/>
      <w:textAlignment w:val="auto"/>
      <w:outlineLvl w:val="9"/>
    </w:pPr>
    <w:rPr>
      <w:rFonts w:asciiTheme="majorHAnsi" w:eastAsiaTheme="majorEastAsia" w:hAnsiTheme="majorHAnsi" w:cstheme="majorBidi"/>
      <w:bCs/>
      <w:color w:val="365F91" w:themeColor="accent1" w:themeShade="BF"/>
      <w:szCs w:val="28"/>
      <w:u w:val="none"/>
      <w:lang w:val="en-US" w:eastAsia="ja-JP"/>
    </w:rPr>
  </w:style>
  <w:style w:type="paragraph" w:styleId="TOC1">
    <w:name w:val="toc 1"/>
    <w:basedOn w:val="Normal"/>
    <w:next w:val="Normal"/>
    <w:autoRedefine/>
    <w:uiPriority w:val="39"/>
    <w:rsid w:val="00361EDC"/>
    <w:pPr>
      <w:spacing w:after="100"/>
    </w:pPr>
  </w:style>
  <w:style w:type="paragraph" w:styleId="TOC2">
    <w:name w:val="toc 2"/>
    <w:basedOn w:val="Normal"/>
    <w:next w:val="Normal"/>
    <w:autoRedefine/>
    <w:uiPriority w:val="39"/>
    <w:rsid w:val="00361EDC"/>
    <w:pPr>
      <w:spacing w:after="100"/>
      <w:ind w:left="240"/>
    </w:pPr>
  </w:style>
  <w:style w:type="paragraph" w:styleId="TOC3">
    <w:name w:val="toc 3"/>
    <w:basedOn w:val="Normal"/>
    <w:next w:val="Normal"/>
    <w:autoRedefine/>
    <w:uiPriority w:val="39"/>
    <w:rsid w:val="00361EDC"/>
    <w:pPr>
      <w:spacing w:after="100"/>
      <w:ind w:left="480"/>
    </w:pPr>
  </w:style>
  <w:style w:type="character" w:customStyle="1" w:styleId="Heading1Char">
    <w:name w:val="Heading 1 Char"/>
    <w:basedOn w:val="DefaultParagraphFont"/>
    <w:link w:val="Heading1"/>
    <w:rsid w:val="005761AD"/>
    <w:rPr>
      <w:rFonts w:ascii="Arial" w:hAnsi="Arial"/>
      <w:b/>
      <w:sz w:val="28"/>
      <w:u w:val="single"/>
      <w:lang w:eastAsia="en-US"/>
    </w:rPr>
  </w:style>
  <w:style w:type="character" w:styleId="Emphasis">
    <w:name w:val="Emphasis"/>
    <w:basedOn w:val="DefaultParagraphFont"/>
    <w:qFormat/>
    <w:rsid w:val="00C143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2395">
      <w:bodyDiv w:val="1"/>
      <w:marLeft w:val="0"/>
      <w:marRight w:val="0"/>
      <w:marTop w:val="0"/>
      <w:marBottom w:val="0"/>
      <w:divBdr>
        <w:top w:val="none" w:sz="0" w:space="0" w:color="auto"/>
        <w:left w:val="none" w:sz="0" w:space="0" w:color="auto"/>
        <w:bottom w:val="none" w:sz="0" w:space="0" w:color="auto"/>
        <w:right w:val="none" w:sz="0" w:space="0" w:color="auto"/>
      </w:divBdr>
    </w:div>
    <w:div w:id="30420265">
      <w:bodyDiv w:val="1"/>
      <w:marLeft w:val="0"/>
      <w:marRight w:val="0"/>
      <w:marTop w:val="0"/>
      <w:marBottom w:val="0"/>
      <w:divBdr>
        <w:top w:val="none" w:sz="0" w:space="0" w:color="auto"/>
        <w:left w:val="none" w:sz="0" w:space="0" w:color="auto"/>
        <w:bottom w:val="none" w:sz="0" w:space="0" w:color="auto"/>
        <w:right w:val="none" w:sz="0" w:space="0" w:color="auto"/>
      </w:divBdr>
    </w:div>
    <w:div w:id="49501518">
      <w:bodyDiv w:val="1"/>
      <w:marLeft w:val="0"/>
      <w:marRight w:val="0"/>
      <w:marTop w:val="0"/>
      <w:marBottom w:val="0"/>
      <w:divBdr>
        <w:top w:val="none" w:sz="0" w:space="0" w:color="auto"/>
        <w:left w:val="none" w:sz="0" w:space="0" w:color="auto"/>
        <w:bottom w:val="none" w:sz="0" w:space="0" w:color="auto"/>
        <w:right w:val="none" w:sz="0" w:space="0" w:color="auto"/>
      </w:divBdr>
    </w:div>
    <w:div w:id="61754242">
      <w:bodyDiv w:val="1"/>
      <w:marLeft w:val="0"/>
      <w:marRight w:val="0"/>
      <w:marTop w:val="0"/>
      <w:marBottom w:val="0"/>
      <w:divBdr>
        <w:top w:val="none" w:sz="0" w:space="0" w:color="auto"/>
        <w:left w:val="none" w:sz="0" w:space="0" w:color="auto"/>
        <w:bottom w:val="none" w:sz="0" w:space="0" w:color="auto"/>
        <w:right w:val="none" w:sz="0" w:space="0" w:color="auto"/>
      </w:divBdr>
    </w:div>
    <w:div w:id="73822491">
      <w:bodyDiv w:val="1"/>
      <w:marLeft w:val="0"/>
      <w:marRight w:val="0"/>
      <w:marTop w:val="0"/>
      <w:marBottom w:val="0"/>
      <w:divBdr>
        <w:top w:val="none" w:sz="0" w:space="0" w:color="auto"/>
        <w:left w:val="none" w:sz="0" w:space="0" w:color="auto"/>
        <w:bottom w:val="none" w:sz="0" w:space="0" w:color="auto"/>
        <w:right w:val="none" w:sz="0" w:space="0" w:color="auto"/>
      </w:divBdr>
    </w:div>
    <w:div w:id="119569146">
      <w:bodyDiv w:val="1"/>
      <w:marLeft w:val="0"/>
      <w:marRight w:val="0"/>
      <w:marTop w:val="0"/>
      <w:marBottom w:val="0"/>
      <w:divBdr>
        <w:top w:val="none" w:sz="0" w:space="0" w:color="auto"/>
        <w:left w:val="none" w:sz="0" w:space="0" w:color="auto"/>
        <w:bottom w:val="none" w:sz="0" w:space="0" w:color="auto"/>
        <w:right w:val="none" w:sz="0" w:space="0" w:color="auto"/>
      </w:divBdr>
    </w:div>
    <w:div w:id="145168834">
      <w:bodyDiv w:val="1"/>
      <w:marLeft w:val="0"/>
      <w:marRight w:val="0"/>
      <w:marTop w:val="0"/>
      <w:marBottom w:val="0"/>
      <w:divBdr>
        <w:top w:val="none" w:sz="0" w:space="0" w:color="auto"/>
        <w:left w:val="none" w:sz="0" w:space="0" w:color="auto"/>
        <w:bottom w:val="none" w:sz="0" w:space="0" w:color="auto"/>
        <w:right w:val="none" w:sz="0" w:space="0" w:color="auto"/>
      </w:divBdr>
    </w:div>
    <w:div w:id="157624291">
      <w:bodyDiv w:val="1"/>
      <w:marLeft w:val="0"/>
      <w:marRight w:val="0"/>
      <w:marTop w:val="0"/>
      <w:marBottom w:val="0"/>
      <w:divBdr>
        <w:top w:val="none" w:sz="0" w:space="0" w:color="auto"/>
        <w:left w:val="none" w:sz="0" w:space="0" w:color="auto"/>
        <w:bottom w:val="none" w:sz="0" w:space="0" w:color="auto"/>
        <w:right w:val="none" w:sz="0" w:space="0" w:color="auto"/>
      </w:divBdr>
    </w:div>
    <w:div w:id="166017877">
      <w:bodyDiv w:val="1"/>
      <w:marLeft w:val="0"/>
      <w:marRight w:val="0"/>
      <w:marTop w:val="0"/>
      <w:marBottom w:val="0"/>
      <w:divBdr>
        <w:top w:val="none" w:sz="0" w:space="0" w:color="auto"/>
        <w:left w:val="none" w:sz="0" w:space="0" w:color="auto"/>
        <w:bottom w:val="none" w:sz="0" w:space="0" w:color="auto"/>
        <w:right w:val="none" w:sz="0" w:space="0" w:color="auto"/>
      </w:divBdr>
    </w:div>
    <w:div w:id="196700042">
      <w:bodyDiv w:val="1"/>
      <w:marLeft w:val="0"/>
      <w:marRight w:val="0"/>
      <w:marTop w:val="0"/>
      <w:marBottom w:val="0"/>
      <w:divBdr>
        <w:top w:val="none" w:sz="0" w:space="0" w:color="auto"/>
        <w:left w:val="none" w:sz="0" w:space="0" w:color="auto"/>
        <w:bottom w:val="none" w:sz="0" w:space="0" w:color="auto"/>
        <w:right w:val="none" w:sz="0" w:space="0" w:color="auto"/>
      </w:divBdr>
    </w:div>
    <w:div w:id="210043270">
      <w:bodyDiv w:val="1"/>
      <w:marLeft w:val="0"/>
      <w:marRight w:val="0"/>
      <w:marTop w:val="0"/>
      <w:marBottom w:val="0"/>
      <w:divBdr>
        <w:top w:val="none" w:sz="0" w:space="0" w:color="auto"/>
        <w:left w:val="none" w:sz="0" w:space="0" w:color="auto"/>
        <w:bottom w:val="none" w:sz="0" w:space="0" w:color="auto"/>
        <w:right w:val="none" w:sz="0" w:space="0" w:color="auto"/>
      </w:divBdr>
    </w:div>
    <w:div w:id="224874578">
      <w:bodyDiv w:val="1"/>
      <w:marLeft w:val="0"/>
      <w:marRight w:val="0"/>
      <w:marTop w:val="0"/>
      <w:marBottom w:val="0"/>
      <w:divBdr>
        <w:top w:val="none" w:sz="0" w:space="0" w:color="auto"/>
        <w:left w:val="none" w:sz="0" w:space="0" w:color="auto"/>
        <w:bottom w:val="none" w:sz="0" w:space="0" w:color="auto"/>
        <w:right w:val="none" w:sz="0" w:space="0" w:color="auto"/>
      </w:divBdr>
    </w:div>
    <w:div w:id="266928658">
      <w:bodyDiv w:val="1"/>
      <w:marLeft w:val="0"/>
      <w:marRight w:val="0"/>
      <w:marTop w:val="0"/>
      <w:marBottom w:val="0"/>
      <w:divBdr>
        <w:top w:val="none" w:sz="0" w:space="0" w:color="auto"/>
        <w:left w:val="none" w:sz="0" w:space="0" w:color="auto"/>
        <w:bottom w:val="none" w:sz="0" w:space="0" w:color="auto"/>
        <w:right w:val="none" w:sz="0" w:space="0" w:color="auto"/>
      </w:divBdr>
    </w:div>
    <w:div w:id="330106487">
      <w:bodyDiv w:val="1"/>
      <w:marLeft w:val="0"/>
      <w:marRight w:val="0"/>
      <w:marTop w:val="0"/>
      <w:marBottom w:val="0"/>
      <w:divBdr>
        <w:top w:val="none" w:sz="0" w:space="0" w:color="auto"/>
        <w:left w:val="none" w:sz="0" w:space="0" w:color="auto"/>
        <w:bottom w:val="none" w:sz="0" w:space="0" w:color="auto"/>
        <w:right w:val="none" w:sz="0" w:space="0" w:color="auto"/>
      </w:divBdr>
    </w:div>
    <w:div w:id="343938098">
      <w:bodyDiv w:val="1"/>
      <w:marLeft w:val="0"/>
      <w:marRight w:val="0"/>
      <w:marTop w:val="0"/>
      <w:marBottom w:val="0"/>
      <w:divBdr>
        <w:top w:val="none" w:sz="0" w:space="0" w:color="auto"/>
        <w:left w:val="none" w:sz="0" w:space="0" w:color="auto"/>
        <w:bottom w:val="none" w:sz="0" w:space="0" w:color="auto"/>
        <w:right w:val="none" w:sz="0" w:space="0" w:color="auto"/>
      </w:divBdr>
    </w:div>
    <w:div w:id="354157121">
      <w:bodyDiv w:val="1"/>
      <w:marLeft w:val="0"/>
      <w:marRight w:val="0"/>
      <w:marTop w:val="0"/>
      <w:marBottom w:val="0"/>
      <w:divBdr>
        <w:top w:val="none" w:sz="0" w:space="0" w:color="auto"/>
        <w:left w:val="none" w:sz="0" w:space="0" w:color="auto"/>
        <w:bottom w:val="none" w:sz="0" w:space="0" w:color="auto"/>
        <w:right w:val="none" w:sz="0" w:space="0" w:color="auto"/>
      </w:divBdr>
    </w:div>
    <w:div w:id="355934360">
      <w:bodyDiv w:val="1"/>
      <w:marLeft w:val="0"/>
      <w:marRight w:val="0"/>
      <w:marTop w:val="0"/>
      <w:marBottom w:val="0"/>
      <w:divBdr>
        <w:top w:val="none" w:sz="0" w:space="0" w:color="auto"/>
        <w:left w:val="none" w:sz="0" w:space="0" w:color="auto"/>
        <w:bottom w:val="none" w:sz="0" w:space="0" w:color="auto"/>
        <w:right w:val="none" w:sz="0" w:space="0" w:color="auto"/>
      </w:divBdr>
    </w:div>
    <w:div w:id="363948347">
      <w:bodyDiv w:val="1"/>
      <w:marLeft w:val="0"/>
      <w:marRight w:val="0"/>
      <w:marTop w:val="0"/>
      <w:marBottom w:val="0"/>
      <w:divBdr>
        <w:top w:val="none" w:sz="0" w:space="0" w:color="auto"/>
        <w:left w:val="none" w:sz="0" w:space="0" w:color="auto"/>
        <w:bottom w:val="none" w:sz="0" w:space="0" w:color="auto"/>
        <w:right w:val="none" w:sz="0" w:space="0" w:color="auto"/>
      </w:divBdr>
    </w:div>
    <w:div w:id="404105945">
      <w:bodyDiv w:val="1"/>
      <w:marLeft w:val="0"/>
      <w:marRight w:val="0"/>
      <w:marTop w:val="0"/>
      <w:marBottom w:val="0"/>
      <w:divBdr>
        <w:top w:val="none" w:sz="0" w:space="0" w:color="auto"/>
        <w:left w:val="none" w:sz="0" w:space="0" w:color="auto"/>
        <w:bottom w:val="none" w:sz="0" w:space="0" w:color="auto"/>
        <w:right w:val="none" w:sz="0" w:space="0" w:color="auto"/>
      </w:divBdr>
    </w:div>
    <w:div w:id="457801718">
      <w:bodyDiv w:val="1"/>
      <w:marLeft w:val="0"/>
      <w:marRight w:val="0"/>
      <w:marTop w:val="0"/>
      <w:marBottom w:val="0"/>
      <w:divBdr>
        <w:top w:val="none" w:sz="0" w:space="0" w:color="auto"/>
        <w:left w:val="none" w:sz="0" w:space="0" w:color="auto"/>
        <w:bottom w:val="none" w:sz="0" w:space="0" w:color="auto"/>
        <w:right w:val="none" w:sz="0" w:space="0" w:color="auto"/>
      </w:divBdr>
    </w:div>
    <w:div w:id="594023888">
      <w:bodyDiv w:val="1"/>
      <w:marLeft w:val="0"/>
      <w:marRight w:val="0"/>
      <w:marTop w:val="0"/>
      <w:marBottom w:val="0"/>
      <w:divBdr>
        <w:top w:val="none" w:sz="0" w:space="0" w:color="auto"/>
        <w:left w:val="none" w:sz="0" w:space="0" w:color="auto"/>
        <w:bottom w:val="none" w:sz="0" w:space="0" w:color="auto"/>
        <w:right w:val="none" w:sz="0" w:space="0" w:color="auto"/>
      </w:divBdr>
    </w:div>
    <w:div w:id="603347840">
      <w:bodyDiv w:val="1"/>
      <w:marLeft w:val="0"/>
      <w:marRight w:val="0"/>
      <w:marTop w:val="0"/>
      <w:marBottom w:val="0"/>
      <w:divBdr>
        <w:top w:val="none" w:sz="0" w:space="0" w:color="auto"/>
        <w:left w:val="none" w:sz="0" w:space="0" w:color="auto"/>
        <w:bottom w:val="none" w:sz="0" w:space="0" w:color="auto"/>
        <w:right w:val="none" w:sz="0" w:space="0" w:color="auto"/>
      </w:divBdr>
    </w:div>
    <w:div w:id="669215357">
      <w:bodyDiv w:val="1"/>
      <w:marLeft w:val="0"/>
      <w:marRight w:val="0"/>
      <w:marTop w:val="0"/>
      <w:marBottom w:val="0"/>
      <w:divBdr>
        <w:top w:val="none" w:sz="0" w:space="0" w:color="auto"/>
        <w:left w:val="none" w:sz="0" w:space="0" w:color="auto"/>
        <w:bottom w:val="none" w:sz="0" w:space="0" w:color="auto"/>
        <w:right w:val="none" w:sz="0" w:space="0" w:color="auto"/>
      </w:divBdr>
    </w:div>
    <w:div w:id="681127169">
      <w:bodyDiv w:val="1"/>
      <w:marLeft w:val="0"/>
      <w:marRight w:val="0"/>
      <w:marTop w:val="0"/>
      <w:marBottom w:val="0"/>
      <w:divBdr>
        <w:top w:val="none" w:sz="0" w:space="0" w:color="auto"/>
        <w:left w:val="none" w:sz="0" w:space="0" w:color="auto"/>
        <w:bottom w:val="none" w:sz="0" w:space="0" w:color="auto"/>
        <w:right w:val="none" w:sz="0" w:space="0" w:color="auto"/>
      </w:divBdr>
    </w:div>
    <w:div w:id="682169513">
      <w:bodyDiv w:val="1"/>
      <w:marLeft w:val="0"/>
      <w:marRight w:val="0"/>
      <w:marTop w:val="0"/>
      <w:marBottom w:val="0"/>
      <w:divBdr>
        <w:top w:val="none" w:sz="0" w:space="0" w:color="auto"/>
        <w:left w:val="none" w:sz="0" w:space="0" w:color="auto"/>
        <w:bottom w:val="none" w:sz="0" w:space="0" w:color="auto"/>
        <w:right w:val="none" w:sz="0" w:space="0" w:color="auto"/>
      </w:divBdr>
    </w:div>
    <w:div w:id="688340655">
      <w:bodyDiv w:val="1"/>
      <w:marLeft w:val="0"/>
      <w:marRight w:val="0"/>
      <w:marTop w:val="0"/>
      <w:marBottom w:val="0"/>
      <w:divBdr>
        <w:top w:val="none" w:sz="0" w:space="0" w:color="auto"/>
        <w:left w:val="none" w:sz="0" w:space="0" w:color="auto"/>
        <w:bottom w:val="none" w:sz="0" w:space="0" w:color="auto"/>
        <w:right w:val="none" w:sz="0" w:space="0" w:color="auto"/>
      </w:divBdr>
    </w:div>
    <w:div w:id="786579527">
      <w:bodyDiv w:val="1"/>
      <w:marLeft w:val="0"/>
      <w:marRight w:val="0"/>
      <w:marTop w:val="0"/>
      <w:marBottom w:val="0"/>
      <w:divBdr>
        <w:top w:val="none" w:sz="0" w:space="0" w:color="auto"/>
        <w:left w:val="none" w:sz="0" w:space="0" w:color="auto"/>
        <w:bottom w:val="none" w:sz="0" w:space="0" w:color="auto"/>
        <w:right w:val="none" w:sz="0" w:space="0" w:color="auto"/>
      </w:divBdr>
    </w:div>
    <w:div w:id="787628162">
      <w:bodyDiv w:val="1"/>
      <w:marLeft w:val="0"/>
      <w:marRight w:val="0"/>
      <w:marTop w:val="0"/>
      <w:marBottom w:val="0"/>
      <w:divBdr>
        <w:top w:val="none" w:sz="0" w:space="0" w:color="auto"/>
        <w:left w:val="none" w:sz="0" w:space="0" w:color="auto"/>
        <w:bottom w:val="none" w:sz="0" w:space="0" w:color="auto"/>
        <w:right w:val="none" w:sz="0" w:space="0" w:color="auto"/>
      </w:divBdr>
    </w:div>
    <w:div w:id="807627528">
      <w:bodyDiv w:val="1"/>
      <w:marLeft w:val="0"/>
      <w:marRight w:val="0"/>
      <w:marTop w:val="0"/>
      <w:marBottom w:val="0"/>
      <w:divBdr>
        <w:top w:val="none" w:sz="0" w:space="0" w:color="auto"/>
        <w:left w:val="none" w:sz="0" w:space="0" w:color="auto"/>
        <w:bottom w:val="none" w:sz="0" w:space="0" w:color="auto"/>
        <w:right w:val="none" w:sz="0" w:space="0" w:color="auto"/>
      </w:divBdr>
    </w:div>
    <w:div w:id="856507881">
      <w:bodyDiv w:val="1"/>
      <w:marLeft w:val="0"/>
      <w:marRight w:val="0"/>
      <w:marTop w:val="0"/>
      <w:marBottom w:val="0"/>
      <w:divBdr>
        <w:top w:val="none" w:sz="0" w:space="0" w:color="auto"/>
        <w:left w:val="none" w:sz="0" w:space="0" w:color="auto"/>
        <w:bottom w:val="none" w:sz="0" w:space="0" w:color="auto"/>
        <w:right w:val="none" w:sz="0" w:space="0" w:color="auto"/>
      </w:divBdr>
    </w:div>
    <w:div w:id="946158069">
      <w:bodyDiv w:val="1"/>
      <w:marLeft w:val="0"/>
      <w:marRight w:val="0"/>
      <w:marTop w:val="0"/>
      <w:marBottom w:val="0"/>
      <w:divBdr>
        <w:top w:val="none" w:sz="0" w:space="0" w:color="auto"/>
        <w:left w:val="none" w:sz="0" w:space="0" w:color="auto"/>
        <w:bottom w:val="none" w:sz="0" w:space="0" w:color="auto"/>
        <w:right w:val="none" w:sz="0" w:space="0" w:color="auto"/>
      </w:divBdr>
    </w:div>
    <w:div w:id="1094013595">
      <w:bodyDiv w:val="1"/>
      <w:marLeft w:val="0"/>
      <w:marRight w:val="0"/>
      <w:marTop w:val="0"/>
      <w:marBottom w:val="0"/>
      <w:divBdr>
        <w:top w:val="none" w:sz="0" w:space="0" w:color="auto"/>
        <w:left w:val="none" w:sz="0" w:space="0" w:color="auto"/>
        <w:bottom w:val="none" w:sz="0" w:space="0" w:color="auto"/>
        <w:right w:val="none" w:sz="0" w:space="0" w:color="auto"/>
      </w:divBdr>
      <w:divsChild>
        <w:div w:id="610551478">
          <w:marLeft w:val="167"/>
          <w:marRight w:val="167"/>
          <w:marTop w:val="0"/>
          <w:marBottom w:val="0"/>
          <w:divBdr>
            <w:top w:val="none" w:sz="0" w:space="0" w:color="auto"/>
            <w:left w:val="none" w:sz="0" w:space="0" w:color="auto"/>
            <w:bottom w:val="none" w:sz="0" w:space="0" w:color="auto"/>
            <w:right w:val="none" w:sz="0" w:space="0" w:color="auto"/>
          </w:divBdr>
          <w:divsChild>
            <w:div w:id="46538295">
              <w:marLeft w:val="0"/>
              <w:marRight w:val="0"/>
              <w:marTop w:val="0"/>
              <w:marBottom w:val="0"/>
              <w:divBdr>
                <w:top w:val="none" w:sz="0" w:space="0" w:color="auto"/>
                <w:left w:val="none" w:sz="0" w:space="0" w:color="auto"/>
                <w:bottom w:val="none" w:sz="0" w:space="0" w:color="auto"/>
                <w:right w:val="none" w:sz="0" w:space="0" w:color="auto"/>
              </w:divBdr>
              <w:divsChild>
                <w:div w:id="90167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07601">
      <w:bodyDiv w:val="1"/>
      <w:marLeft w:val="0"/>
      <w:marRight w:val="0"/>
      <w:marTop w:val="0"/>
      <w:marBottom w:val="0"/>
      <w:divBdr>
        <w:top w:val="none" w:sz="0" w:space="0" w:color="auto"/>
        <w:left w:val="none" w:sz="0" w:space="0" w:color="auto"/>
        <w:bottom w:val="none" w:sz="0" w:space="0" w:color="auto"/>
        <w:right w:val="none" w:sz="0" w:space="0" w:color="auto"/>
      </w:divBdr>
    </w:div>
    <w:div w:id="1162740266">
      <w:bodyDiv w:val="1"/>
      <w:marLeft w:val="0"/>
      <w:marRight w:val="0"/>
      <w:marTop w:val="0"/>
      <w:marBottom w:val="0"/>
      <w:divBdr>
        <w:top w:val="none" w:sz="0" w:space="0" w:color="auto"/>
        <w:left w:val="none" w:sz="0" w:space="0" w:color="auto"/>
        <w:bottom w:val="none" w:sz="0" w:space="0" w:color="auto"/>
        <w:right w:val="none" w:sz="0" w:space="0" w:color="auto"/>
      </w:divBdr>
    </w:div>
    <w:div w:id="1169713938">
      <w:bodyDiv w:val="1"/>
      <w:marLeft w:val="0"/>
      <w:marRight w:val="0"/>
      <w:marTop w:val="0"/>
      <w:marBottom w:val="0"/>
      <w:divBdr>
        <w:top w:val="none" w:sz="0" w:space="0" w:color="auto"/>
        <w:left w:val="none" w:sz="0" w:space="0" w:color="auto"/>
        <w:bottom w:val="none" w:sz="0" w:space="0" w:color="auto"/>
        <w:right w:val="none" w:sz="0" w:space="0" w:color="auto"/>
      </w:divBdr>
      <w:divsChild>
        <w:div w:id="1299725938">
          <w:marLeft w:val="547"/>
          <w:marRight w:val="0"/>
          <w:marTop w:val="134"/>
          <w:marBottom w:val="0"/>
          <w:divBdr>
            <w:top w:val="none" w:sz="0" w:space="0" w:color="auto"/>
            <w:left w:val="none" w:sz="0" w:space="0" w:color="auto"/>
            <w:bottom w:val="none" w:sz="0" w:space="0" w:color="auto"/>
            <w:right w:val="none" w:sz="0" w:space="0" w:color="auto"/>
          </w:divBdr>
        </w:div>
      </w:divsChild>
    </w:div>
    <w:div w:id="1177305720">
      <w:bodyDiv w:val="1"/>
      <w:marLeft w:val="0"/>
      <w:marRight w:val="0"/>
      <w:marTop w:val="0"/>
      <w:marBottom w:val="0"/>
      <w:divBdr>
        <w:top w:val="none" w:sz="0" w:space="0" w:color="auto"/>
        <w:left w:val="none" w:sz="0" w:space="0" w:color="auto"/>
        <w:bottom w:val="none" w:sz="0" w:space="0" w:color="auto"/>
        <w:right w:val="none" w:sz="0" w:space="0" w:color="auto"/>
      </w:divBdr>
    </w:div>
    <w:div w:id="1182163666">
      <w:bodyDiv w:val="1"/>
      <w:marLeft w:val="0"/>
      <w:marRight w:val="0"/>
      <w:marTop w:val="0"/>
      <w:marBottom w:val="0"/>
      <w:divBdr>
        <w:top w:val="none" w:sz="0" w:space="0" w:color="auto"/>
        <w:left w:val="none" w:sz="0" w:space="0" w:color="auto"/>
        <w:bottom w:val="none" w:sz="0" w:space="0" w:color="auto"/>
        <w:right w:val="none" w:sz="0" w:space="0" w:color="auto"/>
      </w:divBdr>
    </w:div>
    <w:div w:id="1183006964">
      <w:bodyDiv w:val="1"/>
      <w:marLeft w:val="0"/>
      <w:marRight w:val="0"/>
      <w:marTop w:val="0"/>
      <w:marBottom w:val="0"/>
      <w:divBdr>
        <w:top w:val="none" w:sz="0" w:space="0" w:color="auto"/>
        <w:left w:val="none" w:sz="0" w:space="0" w:color="auto"/>
        <w:bottom w:val="none" w:sz="0" w:space="0" w:color="auto"/>
        <w:right w:val="none" w:sz="0" w:space="0" w:color="auto"/>
      </w:divBdr>
    </w:div>
    <w:div w:id="1252203459">
      <w:bodyDiv w:val="1"/>
      <w:marLeft w:val="0"/>
      <w:marRight w:val="0"/>
      <w:marTop w:val="0"/>
      <w:marBottom w:val="0"/>
      <w:divBdr>
        <w:top w:val="none" w:sz="0" w:space="0" w:color="auto"/>
        <w:left w:val="none" w:sz="0" w:space="0" w:color="auto"/>
        <w:bottom w:val="none" w:sz="0" w:space="0" w:color="auto"/>
        <w:right w:val="none" w:sz="0" w:space="0" w:color="auto"/>
      </w:divBdr>
    </w:div>
    <w:div w:id="1266496799">
      <w:bodyDiv w:val="1"/>
      <w:marLeft w:val="0"/>
      <w:marRight w:val="0"/>
      <w:marTop w:val="0"/>
      <w:marBottom w:val="0"/>
      <w:divBdr>
        <w:top w:val="none" w:sz="0" w:space="0" w:color="auto"/>
        <w:left w:val="none" w:sz="0" w:space="0" w:color="auto"/>
        <w:bottom w:val="none" w:sz="0" w:space="0" w:color="auto"/>
        <w:right w:val="none" w:sz="0" w:space="0" w:color="auto"/>
      </w:divBdr>
    </w:div>
    <w:div w:id="1303191856">
      <w:bodyDiv w:val="1"/>
      <w:marLeft w:val="0"/>
      <w:marRight w:val="0"/>
      <w:marTop w:val="0"/>
      <w:marBottom w:val="0"/>
      <w:divBdr>
        <w:top w:val="none" w:sz="0" w:space="0" w:color="auto"/>
        <w:left w:val="none" w:sz="0" w:space="0" w:color="auto"/>
        <w:bottom w:val="none" w:sz="0" w:space="0" w:color="auto"/>
        <w:right w:val="none" w:sz="0" w:space="0" w:color="auto"/>
      </w:divBdr>
    </w:div>
    <w:div w:id="1306933246">
      <w:bodyDiv w:val="1"/>
      <w:marLeft w:val="0"/>
      <w:marRight w:val="0"/>
      <w:marTop w:val="0"/>
      <w:marBottom w:val="0"/>
      <w:divBdr>
        <w:top w:val="none" w:sz="0" w:space="0" w:color="auto"/>
        <w:left w:val="none" w:sz="0" w:space="0" w:color="auto"/>
        <w:bottom w:val="none" w:sz="0" w:space="0" w:color="auto"/>
        <w:right w:val="none" w:sz="0" w:space="0" w:color="auto"/>
      </w:divBdr>
    </w:div>
    <w:div w:id="1332566858">
      <w:bodyDiv w:val="1"/>
      <w:marLeft w:val="0"/>
      <w:marRight w:val="0"/>
      <w:marTop w:val="0"/>
      <w:marBottom w:val="0"/>
      <w:divBdr>
        <w:top w:val="none" w:sz="0" w:space="0" w:color="auto"/>
        <w:left w:val="none" w:sz="0" w:space="0" w:color="auto"/>
        <w:bottom w:val="none" w:sz="0" w:space="0" w:color="auto"/>
        <w:right w:val="none" w:sz="0" w:space="0" w:color="auto"/>
      </w:divBdr>
    </w:div>
    <w:div w:id="1439180087">
      <w:bodyDiv w:val="1"/>
      <w:marLeft w:val="0"/>
      <w:marRight w:val="0"/>
      <w:marTop w:val="0"/>
      <w:marBottom w:val="0"/>
      <w:divBdr>
        <w:top w:val="none" w:sz="0" w:space="0" w:color="auto"/>
        <w:left w:val="none" w:sz="0" w:space="0" w:color="auto"/>
        <w:bottom w:val="none" w:sz="0" w:space="0" w:color="auto"/>
        <w:right w:val="none" w:sz="0" w:space="0" w:color="auto"/>
      </w:divBdr>
    </w:div>
    <w:div w:id="1489057254">
      <w:bodyDiv w:val="1"/>
      <w:marLeft w:val="0"/>
      <w:marRight w:val="0"/>
      <w:marTop w:val="0"/>
      <w:marBottom w:val="0"/>
      <w:divBdr>
        <w:top w:val="none" w:sz="0" w:space="0" w:color="auto"/>
        <w:left w:val="none" w:sz="0" w:space="0" w:color="auto"/>
        <w:bottom w:val="none" w:sz="0" w:space="0" w:color="auto"/>
        <w:right w:val="none" w:sz="0" w:space="0" w:color="auto"/>
      </w:divBdr>
    </w:div>
    <w:div w:id="1509756418">
      <w:bodyDiv w:val="1"/>
      <w:marLeft w:val="0"/>
      <w:marRight w:val="0"/>
      <w:marTop w:val="0"/>
      <w:marBottom w:val="0"/>
      <w:divBdr>
        <w:top w:val="none" w:sz="0" w:space="0" w:color="auto"/>
        <w:left w:val="none" w:sz="0" w:space="0" w:color="auto"/>
        <w:bottom w:val="none" w:sz="0" w:space="0" w:color="auto"/>
        <w:right w:val="none" w:sz="0" w:space="0" w:color="auto"/>
      </w:divBdr>
    </w:div>
    <w:div w:id="1595894185">
      <w:bodyDiv w:val="1"/>
      <w:marLeft w:val="0"/>
      <w:marRight w:val="0"/>
      <w:marTop w:val="0"/>
      <w:marBottom w:val="0"/>
      <w:divBdr>
        <w:top w:val="none" w:sz="0" w:space="0" w:color="auto"/>
        <w:left w:val="none" w:sz="0" w:space="0" w:color="auto"/>
        <w:bottom w:val="none" w:sz="0" w:space="0" w:color="auto"/>
        <w:right w:val="none" w:sz="0" w:space="0" w:color="auto"/>
      </w:divBdr>
    </w:div>
    <w:div w:id="1711493336">
      <w:bodyDiv w:val="1"/>
      <w:marLeft w:val="0"/>
      <w:marRight w:val="0"/>
      <w:marTop w:val="0"/>
      <w:marBottom w:val="0"/>
      <w:divBdr>
        <w:top w:val="none" w:sz="0" w:space="0" w:color="auto"/>
        <w:left w:val="none" w:sz="0" w:space="0" w:color="auto"/>
        <w:bottom w:val="none" w:sz="0" w:space="0" w:color="auto"/>
        <w:right w:val="none" w:sz="0" w:space="0" w:color="auto"/>
      </w:divBdr>
    </w:div>
    <w:div w:id="1752045865">
      <w:bodyDiv w:val="1"/>
      <w:marLeft w:val="0"/>
      <w:marRight w:val="0"/>
      <w:marTop w:val="0"/>
      <w:marBottom w:val="0"/>
      <w:divBdr>
        <w:top w:val="none" w:sz="0" w:space="0" w:color="auto"/>
        <w:left w:val="none" w:sz="0" w:space="0" w:color="auto"/>
        <w:bottom w:val="none" w:sz="0" w:space="0" w:color="auto"/>
        <w:right w:val="none" w:sz="0" w:space="0" w:color="auto"/>
      </w:divBdr>
    </w:div>
    <w:div w:id="1764063786">
      <w:bodyDiv w:val="1"/>
      <w:marLeft w:val="0"/>
      <w:marRight w:val="0"/>
      <w:marTop w:val="0"/>
      <w:marBottom w:val="0"/>
      <w:divBdr>
        <w:top w:val="none" w:sz="0" w:space="0" w:color="auto"/>
        <w:left w:val="none" w:sz="0" w:space="0" w:color="auto"/>
        <w:bottom w:val="none" w:sz="0" w:space="0" w:color="auto"/>
        <w:right w:val="none" w:sz="0" w:space="0" w:color="auto"/>
      </w:divBdr>
    </w:div>
    <w:div w:id="1815373957">
      <w:bodyDiv w:val="1"/>
      <w:marLeft w:val="0"/>
      <w:marRight w:val="0"/>
      <w:marTop w:val="0"/>
      <w:marBottom w:val="0"/>
      <w:divBdr>
        <w:top w:val="none" w:sz="0" w:space="0" w:color="auto"/>
        <w:left w:val="none" w:sz="0" w:space="0" w:color="auto"/>
        <w:bottom w:val="none" w:sz="0" w:space="0" w:color="auto"/>
        <w:right w:val="none" w:sz="0" w:space="0" w:color="auto"/>
      </w:divBdr>
    </w:div>
    <w:div w:id="1823035536">
      <w:bodyDiv w:val="1"/>
      <w:marLeft w:val="0"/>
      <w:marRight w:val="0"/>
      <w:marTop w:val="0"/>
      <w:marBottom w:val="0"/>
      <w:divBdr>
        <w:top w:val="none" w:sz="0" w:space="0" w:color="auto"/>
        <w:left w:val="none" w:sz="0" w:space="0" w:color="auto"/>
        <w:bottom w:val="none" w:sz="0" w:space="0" w:color="auto"/>
        <w:right w:val="none" w:sz="0" w:space="0" w:color="auto"/>
      </w:divBdr>
    </w:div>
    <w:div w:id="1834947332">
      <w:bodyDiv w:val="1"/>
      <w:marLeft w:val="0"/>
      <w:marRight w:val="0"/>
      <w:marTop w:val="0"/>
      <w:marBottom w:val="0"/>
      <w:divBdr>
        <w:top w:val="none" w:sz="0" w:space="0" w:color="auto"/>
        <w:left w:val="none" w:sz="0" w:space="0" w:color="auto"/>
        <w:bottom w:val="none" w:sz="0" w:space="0" w:color="auto"/>
        <w:right w:val="none" w:sz="0" w:space="0" w:color="auto"/>
      </w:divBdr>
    </w:div>
    <w:div w:id="1853647412">
      <w:bodyDiv w:val="1"/>
      <w:marLeft w:val="0"/>
      <w:marRight w:val="0"/>
      <w:marTop w:val="0"/>
      <w:marBottom w:val="0"/>
      <w:divBdr>
        <w:top w:val="none" w:sz="0" w:space="0" w:color="auto"/>
        <w:left w:val="none" w:sz="0" w:space="0" w:color="auto"/>
        <w:bottom w:val="none" w:sz="0" w:space="0" w:color="auto"/>
        <w:right w:val="none" w:sz="0" w:space="0" w:color="auto"/>
      </w:divBdr>
    </w:div>
    <w:div w:id="1865509672">
      <w:bodyDiv w:val="1"/>
      <w:marLeft w:val="0"/>
      <w:marRight w:val="0"/>
      <w:marTop w:val="0"/>
      <w:marBottom w:val="0"/>
      <w:divBdr>
        <w:top w:val="none" w:sz="0" w:space="0" w:color="auto"/>
        <w:left w:val="none" w:sz="0" w:space="0" w:color="auto"/>
        <w:bottom w:val="none" w:sz="0" w:space="0" w:color="auto"/>
        <w:right w:val="none" w:sz="0" w:space="0" w:color="auto"/>
      </w:divBdr>
    </w:div>
    <w:div w:id="1891065030">
      <w:bodyDiv w:val="1"/>
      <w:marLeft w:val="0"/>
      <w:marRight w:val="0"/>
      <w:marTop w:val="0"/>
      <w:marBottom w:val="0"/>
      <w:divBdr>
        <w:top w:val="none" w:sz="0" w:space="0" w:color="auto"/>
        <w:left w:val="none" w:sz="0" w:space="0" w:color="auto"/>
        <w:bottom w:val="none" w:sz="0" w:space="0" w:color="auto"/>
        <w:right w:val="none" w:sz="0" w:space="0" w:color="auto"/>
      </w:divBdr>
    </w:div>
    <w:div w:id="1922792506">
      <w:bodyDiv w:val="1"/>
      <w:marLeft w:val="0"/>
      <w:marRight w:val="0"/>
      <w:marTop w:val="0"/>
      <w:marBottom w:val="0"/>
      <w:divBdr>
        <w:top w:val="none" w:sz="0" w:space="0" w:color="auto"/>
        <w:left w:val="none" w:sz="0" w:space="0" w:color="auto"/>
        <w:bottom w:val="none" w:sz="0" w:space="0" w:color="auto"/>
        <w:right w:val="none" w:sz="0" w:space="0" w:color="auto"/>
      </w:divBdr>
    </w:div>
    <w:div w:id="1923054976">
      <w:bodyDiv w:val="1"/>
      <w:marLeft w:val="0"/>
      <w:marRight w:val="0"/>
      <w:marTop w:val="0"/>
      <w:marBottom w:val="0"/>
      <w:divBdr>
        <w:top w:val="none" w:sz="0" w:space="0" w:color="auto"/>
        <w:left w:val="none" w:sz="0" w:space="0" w:color="auto"/>
        <w:bottom w:val="none" w:sz="0" w:space="0" w:color="auto"/>
        <w:right w:val="none" w:sz="0" w:space="0" w:color="auto"/>
      </w:divBdr>
    </w:div>
    <w:div w:id="1928541091">
      <w:bodyDiv w:val="1"/>
      <w:marLeft w:val="0"/>
      <w:marRight w:val="0"/>
      <w:marTop w:val="0"/>
      <w:marBottom w:val="0"/>
      <w:divBdr>
        <w:top w:val="none" w:sz="0" w:space="0" w:color="auto"/>
        <w:left w:val="none" w:sz="0" w:space="0" w:color="auto"/>
        <w:bottom w:val="none" w:sz="0" w:space="0" w:color="auto"/>
        <w:right w:val="none" w:sz="0" w:space="0" w:color="auto"/>
      </w:divBdr>
    </w:div>
    <w:div w:id="1949198135">
      <w:bodyDiv w:val="1"/>
      <w:marLeft w:val="0"/>
      <w:marRight w:val="0"/>
      <w:marTop w:val="0"/>
      <w:marBottom w:val="0"/>
      <w:divBdr>
        <w:top w:val="none" w:sz="0" w:space="0" w:color="auto"/>
        <w:left w:val="none" w:sz="0" w:space="0" w:color="auto"/>
        <w:bottom w:val="none" w:sz="0" w:space="0" w:color="auto"/>
        <w:right w:val="none" w:sz="0" w:space="0" w:color="auto"/>
      </w:divBdr>
    </w:div>
    <w:div w:id="1953584983">
      <w:bodyDiv w:val="1"/>
      <w:marLeft w:val="0"/>
      <w:marRight w:val="0"/>
      <w:marTop w:val="0"/>
      <w:marBottom w:val="0"/>
      <w:divBdr>
        <w:top w:val="none" w:sz="0" w:space="0" w:color="auto"/>
        <w:left w:val="none" w:sz="0" w:space="0" w:color="auto"/>
        <w:bottom w:val="none" w:sz="0" w:space="0" w:color="auto"/>
        <w:right w:val="none" w:sz="0" w:space="0" w:color="auto"/>
      </w:divBdr>
    </w:div>
    <w:div w:id="1990329747">
      <w:bodyDiv w:val="1"/>
      <w:marLeft w:val="0"/>
      <w:marRight w:val="0"/>
      <w:marTop w:val="0"/>
      <w:marBottom w:val="0"/>
      <w:divBdr>
        <w:top w:val="none" w:sz="0" w:space="0" w:color="auto"/>
        <w:left w:val="none" w:sz="0" w:space="0" w:color="auto"/>
        <w:bottom w:val="none" w:sz="0" w:space="0" w:color="auto"/>
        <w:right w:val="none" w:sz="0" w:space="0" w:color="auto"/>
      </w:divBdr>
    </w:div>
    <w:div w:id="2026011604">
      <w:bodyDiv w:val="1"/>
      <w:marLeft w:val="0"/>
      <w:marRight w:val="0"/>
      <w:marTop w:val="0"/>
      <w:marBottom w:val="0"/>
      <w:divBdr>
        <w:top w:val="none" w:sz="0" w:space="0" w:color="auto"/>
        <w:left w:val="none" w:sz="0" w:space="0" w:color="auto"/>
        <w:bottom w:val="none" w:sz="0" w:space="0" w:color="auto"/>
        <w:right w:val="none" w:sz="0" w:space="0" w:color="auto"/>
      </w:divBdr>
    </w:div>
    <w:div w:id="2048682411">
      <w:bodyDiv w:val="1"/>
      <w:marLeft w:val="0"/>
      <w:marRight w:val="0"/>
      <w:marTop w:val="0"/>
      <w:marBottom w:val="0"/>
      <w:divBdr>
        <w:top w:val="none" w:sz="0" w:space="0" w:color="auto"/>
        <w:left w:val="none" w:sz="0" w:space="0" w:color="auto"/>
        <w:bottom w:val="none" w:sz="0" w:space="0" w:color="auto"/>
        <w:right w:val="none" w:sz="0" w:space="0" w:color="auto"/>
      </w:divBdr>
    </w:div>
    <w:div w:id="2061440373">
      <w:bodyDiv w:val="1"/>
      <w:marLeft w:val="0"/>
      <w:marRight w:val="0"/>
      <w:marTop w:val="0"/>
      <w:marBottom w:val="0"/>
      <w:divBdr>
        <w:top w:val="none" w:sz="0" w:space="0" w:color="auto"/>
        <w:left w:val="none" w:sz="0" w:space="0" w:color="auto"/>
        <w:bottom w:val="none" w:sz="0" w:space="0" w:color="auto"/>
        <w:right w:val="none" w:sz="0" w:space="0" w:color="auto"/>
      </w:divBdr>
    </w:div>
    <w:div w:id="2062047357">
      <w:bodyDiv w:val="1"/>
      <w:marLeft w:val="0"/>
      <w:marRight w:val="0"/>
      <w:marTop w:val="0"/>
      <w:marBottom w:val="0"/>
      <w:divBdr>
        <w:top w:val="none" w:sz="0" w:space="0" w:color="auto"/>
        <w:left w:val="none" w:sz="0" w:space="0" w:color="auto"/>
        <w:bottom w:val="none" w:sz="0" w:space="0" w:color="auto"/>
        <w:right w:val="none" w:sz="0" w:space="0" w:color="auto"/>
      </w:divBdr>
    </w:div>
    <w:div w:id="210449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oxfordhealth.nhs.uk/research/about-research/trials" TargetMode="External"/><Relationship Id="rId26" Type="http://schemas.openxmlformats.org/officeDocument/2006/relationships/hyperlink" Target="http://www.oxfordhealth.nhs.uk/news/supporting-people-dementia-carers" TargetMode="External"/><Relationship Id="rId3" Type="http://schemas.openxmlformats.org/officeDocument/2006/relationships/styles" Target="styles.xml"/><Relationship Id="rId21" Type="http://schemas.openxmlformats.org/officeDocument/2006/relationships/hyperlink" Target="http://www.oxfordhealth.nhs.uk/news/researchers-offer-hope-for-cure-for-some-causes-of-schizophrenia" TargetMode="External"/><Relationship Id="rId7" Type="http://schemas.openxmlformats.org/officeDocument/2006/relationships/footnotes" Target="footnotes.xml"/><Relationship Id="rId12" Type="http://schemas.openxmlformats.org/officeDocument/2006/relationships/hyperlink" Target="http://www.stembancc.org" TargetMode="External"/><Relationship Id="rId17" Type="http://schemas.openxmlformats.org/officeDocument/2006/relationships/hyperlink" Target="http://www.oxfordhealthbrc.nihr.ac.uk" TargetMode="External"/><Relationship Id="rId25" Type="http://schemas.openxmlformats.org/officeDocument/2006/relationships/hyperlink" Target="http://www.oxfordhealth.nhs.uk/news/predict-study-aims-find-anti-depressants-work-faster-patients"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oxfordhealth.nhs.uk/research/new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oxfordhealth.nhs.uk/news/oxford-health-researchers-shortlisted-for-prestigious-health-service-journal-award"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www.oxfordhealth.nhs.uk/news/80-million-for-research-into-mental-illness" TargetMode="External"/><Relationship Id="rId28" Type="http://schemas.openxmlformats.org/officeDocument/2006/relationships/footer" Target="footer1.xml"/><Relationship Id="rId10" Type="http://schemas.openxmlformats.org/officeDocument/2006/relationships/hyperlink" Target="http://www.oxfordahsn.org/wp-content/uploads/2017/02/170202-Oxford-AHSN-Board-decision-letter-2-Feb-17.pdf" TargetMode="External"/><Relationship Id="rId19" Type="http://schemas.openxmlformats.org/officeDocument/2006/relationships/hyperlink" Target="http://www.oxfordhealth.nhs.uk/research/toolkit/promote-research-tria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http://www.oxfordhealth.nhs.uk/news/coping-with-self-harm-a-guide-for-parents-and-carers-highly-commended"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1B709-92A8-42FA-9533-4280E2447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11301</Words>
  <Characters>66219</Characters>
  <Application>Microsoft Office Word</Application>
  <DocSecurity>0</DocSecurity>
  <Lines>551</Lines>
  <Paragraphs>154</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77366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4</cp:revision>
  <cp:lastPrinted>2015-06-09T11:03:00Z</cp:lastPrinted>
  <dcterms:created xsi:type="dcterms:W3CDTF">2017-03-09T11:23:00Z</dcterms:created>
  <dcterms:modified xsi:type="dcterms:W3CDTF">2017-03-21T20:06:00Z</dcterms:modified>
</cp:coreProperties>
</file>