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C62464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9525" t="13335" r="952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Pr="00F00123" w:rsidRDefault="00F001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0123">
                              <w:rPr>
                                <w:b/>
                              </w:rPr>
                              <w:t xml:space="preserve"> </w:t>
                            </w:r>
                            <w:r w:rsidRPr="00F00123">
                              <w:rPr>
                                <w:rFonts w:ascii="Arial" w:hAnsi="Arial" w:cs="Arial"/>
                                <w:b/>
                              </w:rPr>
                              <w:t>BOD 70/2017</w:t>
                            </w:r>
                          </w:p>
                          <w:p w:rsidR="00F00123" w:rsidRPr="00F00123" w:rsidRDefault="00F001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0123">
                              <w:rPr>
                                <w:rFonts w:ascii="Arial" w:hAnsi="Arial" w:cs="Arial"/>
                                <w:b/>
                              </w:rPr>
                              <w:t xml:space="preserve">Agenda item15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781566" w:rsidRPr="00F00123" w:rsidRDefault="00F0012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00123">
                        <w:rPr>
                          <w:b/>
                        </w:rPr>
                        <w:t xml:space="preserve"> </w:t>
                      </w:r>
                      <w:r w:rsidRPr="00F00123">
                        <w:rPr>
                          <w:rFonts w:ascii="Arial" w:hAnsi="Arial" w:cs="Arial"/>
                          <w:b/>
                        </w:rPr>
                        <w:t>BOD 70/2017</w:t>
                      </w:r>
                    </w:p>
                    <w:p w:rsidR="00F00123" w:rsidRPr="00F00123" w:rsidRDefault="00F0012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00123">
                        <w:rPr>
                          <w:rFonts w:ascii="Arial" w:hAnsi="Arial" w:cs="Arial"/>
                          <w:b/>
                        </w:rPr>
                        <w:t xml:space="preserve">Agenda item15 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 w:rsidP="00FA5118">
      <w:pPr>
        <w:pStyle w:val="Heading1"/>
        <w:jc w:val="center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bookmarkStart w:id="0" w:name="_GoBack"/>
      <w:bookmarkEnd w:id="0"/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1E6D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D4ABC">
        <w:rPr>
          <w:rFonts w:ascii="Arial" w:hAnsi="Arial" w:cs="Arial"/>
          <w:b/>
        </w:rPr>
        <w:t>4</w:t>
      </w:r>
      <w:r w:rsidR="00ED4ABC" w:rsidRPr="00ED4ABC">
        <w:rPr>
          <w:rFonts w:ascii="Arial" w:hAnsi="Arial" w:cs="Arial"/>
          <w:b/>
          <w:vertAlign w:val="superscript"/>
        </w:rPr>
        <w:t>th</w:t>
      </w:r>
      <w:r w:rsidR="00ED4ABC">
        <w:rPr>
          <w:rFonts w:ascii="Arial" w:hAnsi="Arial" w:cs="Arial"/>
          <w:b/>
        </w:rPr>
        <w:t xml:space="preserve"> May</w:t>
      </w:r>
      <w:r w:rsidR="00563E0F">
        <w:rPr>
          <w:rFonts w:ascii="Arial" w:hAnsi="Arial" w:cs="Arial"/>
          <w:b/>
        </w:rPr>
        <w:t xml:space="preserve"> 2</w:t>
      </w:r>
      <w:r w:rsidR="00C36082">
        <w:rPr>
          <w:rFonts w:ascii="Arial" w:hAnsi="Arial" w:cs="Arial"/>
          <w:b/>
        </w:rPr>
        <w:t>01</w:t>
      </w:r>
      <w:r w:rsidR="00B21287">
        <w:rPr>
          <w:rFonts w:ascii="Arial" w:hAnsi="Arial" w:cs="Arial"/>
          <w:b/>
        </w:rPr>
        <w:t>7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922966" w:rsidP="00FD22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Performance Report</w:t>
      </w:r>
    </w:p>
    <w:p w:rsidR="005D3499" w:rsidRDefault="005D3499">
      <w:pPr>
        <w:rPr>
          <w:rFonts w:ascii="Arial" w:hAnsi="Arial" w:cs="Arial"/>
          <w:b/>
        </w:rPr>
      </w:pPr>
    </w:p>
    <w:p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</w:t>
      </w:r>
      <w:r w:rsidR="00C36082">
        <w:rPr>
          <w:rFonts w:ascii="Arial" w:hAnsi="Arial" w:cs="Arial"/>
          <w:b/>
          <w:u w:val="single"/>
        </w:rPr>
        <w:t xml:space="preserve">Information </w:t>
      </w:r>
    </w:p>
    <w:p w:rsidR="00292613" w:rsidRDefault="00292613">
      <w:pPr>
        <w:rPr>
          <w:rFonts w:ascii="Arial" w:hAnsi="Arial" w:cs="Arial"/>
          <w:b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</w:t>
      </w:r>
    </w:p>
    <w:p w:rsidR="007A2CF0" w:rsidRDefault="007A2CF0" w:rsidP="007A2CF0">
      <w:pPr>
        <w:jc w:val="both"/>
        <w:rPr>
          <w:rFonts w:ascii="Arial" w:hAnsi="Arial" w:cs="Arial"/>
          <w:b/>
        </w:rPr>
      </w:pPr>
    </w:p>
    <w:p w:rsidR="00563E0F" w:rsidRDefault="00563E0F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monthly performance report provides an overall view of the Trusts performance against both national and loca</w:t>
      </w:r>
      <w:r w:rsidR="008E0BA4">
        <w:rPr>
          <w:rFonts w:ascii="Arial" w:hAnsi="Arial" w:cs="Arial"/>
        </w:rPr>
        <w:t xml:space="preserve">l (contracted) indicators.  In </w:t>
      </w:r>
      <w:r w:rsidR="00ED4ABC">
        <w:rPr>
          <w:rFonts w:ascii="Arial" w:hAnsi="Arial" w:cs="Arial"/>
        </w:rPr>
        <w:t>April 2017</w:t>
      </w:r>
      <w:r>
        <w:rPr>
          <w:rFonts w:ascii="Arial" w:hAnsi="Arial" w:cs="Arial"/>
        </w:rPr>
        <w:t xml:space="preserve"> (Month 1), the</w:t>
      </w:r>
      <w:r w:rsidR="001E6DBC">
        <w:rPr>
          <w:rFonts w:ascii="Arial" w:hAnsi="Arial" w:cs="Arial"/>
        </w:rPr>
        <w:t xml:space="preserve"> Trust either met or exceeded </w:t>
      </w:r>
      <w:r w:rsidR="00ED4ABC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% of the </w:t>
      </w:r>
      <w:r w:rsidR="00ED4ABC">
        <w:rPr>
          <w:rFonts w:ascii="Arial" w:hAnsi="Arial" w:cs="Arial"/>
        </w:rPr>
        <w:t>921</w:t>
      </w:r>
      <w:r>
        <w:rPr>
          <w:rFonts w:ascii="Arial" w:hAnsi="Arial" w:cs="Arial"/>
        </w:rPr>
        <w:t xml:space="preserve"> performance</w:t>
      </w:r>
      <w:r w:rsidR="00DD0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indicators</w:t>
      </w:r>
      <w:r w:rsidR="003640F0">
        <w:rPr>
          <w:rFonts w:ascii="Arial" w:hAnsi="Arial" w:cs="Arial"/>
        </w:rPr>
        <w:t xml:space="preserve"> reported</w:t>
      </w:r>
      <w:r>
        <w:rPr>
          <w:rFonts w:ascii="Arial" w:hAnsi="Arial" w:cs="Arial"/>
        </w:rPr>
        <w:t xml:space="preserve">. </w:t>
      </w:r>
      <w:r w:rsidR="001E6DBC">
        <w:rPr>
          <w:rFonts w:ascii="Arial" w:hAnsi="Arial" w:cs="Arial"/>
        </w:rPr>
        <w:t xml:space="preserve"> </w:t>
      </w:r>
    </w:p>
    <w:p w:rsidR="000D24FB" w:rsidRDefault="000D24FB" w:rsidP="007A2CF0">
      <w:pPr>
        <w:jc w:val="both"/>
        <w:rPr>
          <w:rFonts w:ascii="Arial" w:hAnsi="Arial" w:cs="Arial"/>
        </w:rPr>
      </w:pPr>
    </w:p>
    <w:p w:rsidR="001E6DBC" w:rsidRDefault="00ED4ABC" w:rsidP="001E6DBC">
      <w:pPr>
        <w:jc w:val="center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4C6635DE" wp14:editId="507E4707">
            <wp:extent cx="3629025" cy="3019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830" w:rsidRDefault="00007830" w:rsidP="001E6DBC">
      <w:pPr>
        <w:jc w:val="center"/>
        <w:rPr>
          <w:rFonts w:ascii="Arial" w:hAnsi="Arial" w:cs="Arial"/>
        </w:rPr>
      </w:pPr>
    </w:p>
    <w:p w:rsidR="00893C1C" w:rsidRDefault="00893C1C" w:rsidP="001E6DBC">
      <w:pPr>
        <w:jc w:val="center"/>
        <w:rPr>
          <w:rFonts w:ascii="Arial" w:hAnsi="Arial" w:cs="Arial"/>
        </w:rPr>
      </w:pPr>
    </w:p>
    <w:p w:rsidR="00563E0F" w:rsidRDefault="00563E0F" w:rsidP="007A2CF0">
      <w:pPr>
        <w:jc w:val="both"/>
        <w:rPr>
          <w:rFonts w:ascii="Arial" w:hAnsi="Arial" w:cs="Arial"/>
        </w:rPr>
      </w:pPr>
    </w:p>
    <w:p w:rsidR="00563E0F" w:rsidRDefault="00626EFA" w:rsidP="007A2CF0">
      <w:pPr>
        <w:jc w:val="both"/>
        <w:rPr>
          <w:rFonts w:ascii="Arial" w:hAnsi="Arial" w:cs="Arial"/>
          <w:b/>
        </w:rPr>
      </w:pPr>
      <w:r w:rsidRPr="00626EFA">
        <w:rPr>
          <w:rFonts w:ascii="Arial" w:hAnsi="Arial" w:cs="Arial"/>
          <w:b/>
        </w:rPr>
        <w:lastRenderedPageBreak/>
        <w:t>Selected Highlights:</w:t>
      </w:r>
    </w:p>
    <w:p w:rsidR="0014622C" w:rsidRDefault="0014622C" w:rsidP="007A2CF0">
      <w:pPr>
        <w:jc w:val="both"/>
        <w:rPr>
          <w:rFonts w:ascii="Arial" w:hAnsi="Arial" w:cs="Arial"/>
          <w:b/>
        </w:rPr>
      </w:pPr>
    </w:p>
    <w:p w:rsidR="0014622C" w:rsidRPr="0014622C" w:rsidRDefault="00007830" w:rsidP="007A2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April 2017 (Month 1)</w:t>
      </w:r>
      <w:r w:rsidR="0014622C">
        <w:rPr>
          <w:rFonts w:ascii="Arial" w:hAnsi="Arial" w:cs="Arial"/>
        </w:rPr>
        <w:t>:</w:t>
      </w:r>
    </w:p>
    <w:p w:rsidR="00626EFA" w:rsidRDefault="00626EFA" w:rsidP="00626EFA">
      <w:pPr>
        <w:pStyle w:val="ListParagraph"/>
        <w:jc w:val="both"/>
        <w:rPr>
          <w:rFonts w:ascii="Arial" w:hAnsi="Arial" w:cs="Arial"/>
        </w:rPr>
      </w:pPr>
    </w:p>
    <w:p w:rsidR="0014622C" w:rsidRPr="00D97428" w:rsidRDefault="00700391" w:rsidP="00626EF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Adults Directorate reported</w:t>
      </w:r>
      <w:r w:rsidR="00007830">
        <w:rPr>
          <w:rFonts w:ascii="Arial" w:hAnsi="Arial" w:cs="Arial"/>
        </w:rPr>
        <w:t xml:space="preserve"> 68</w:t>
      </w:r>
      <w:r w:rsidR="00D97428" w:rsidRPr="00D97428">
        <w:rPr>
          <w:rFonts w:ascii="Arial" w:hAnsi="Arial" w:cs="Arial"/>
        </w:rPr>
        <w:t xml:space="preserve">% achievement against </w:t>
      </w:r>
      <w:r w:rsidR="002B6E44">
        <w:rPr>
          <w:rFonts w:ascii="Arial" w:hAnsi="Arial" w:cs="Arial"/>
        </w:rPr>
        <w:t xml:space="preserve">their </w:t>
      </w:r>
      <w:r w:rsidR="00D97428" w:rsidRPr="00D97428">
        <w:rPr>
          <w:rFonts w:ascii="Arial" w:hAnsi="Arial" w:cs="Arial"/>
        </w:rPr>
        <w:t>local performance indicators</w:t>
      </w:r>
      <w:r>
        <w:rPr>
          <w:rFonts w:ascii="Arial" w:hAnsi="Arial" w:cs="Arial"/>
        </w:rPr>
        <w:t xml:space="preserve"> which is a </w:t>
      </w:r>
      <w:r w:rsidRPr="00D34F5E">
        <w:rPr>
          <w:rFonts w:ascii="Arial" w:hAnsi="Arial" w:cs="Arial"/>
          <w:b/>
        </w:rPr>
        <w:t>slight decrease</w:t>
      </w:r>
      <w:r>
        <w:rPr>
          <w:rFonts w:ascii="Arial" w:hAnsi="Arial" w:cs="Arial"/>
        </w:rPr>
        <w:t xml:space="preserve"> from March 2017 (Month 11)</w:t>
      </w:r>
      <w:r w:rsidR="00D97428" w:rsidRPr="00D97428">
        <w:rPr>
          <w:rFonts w:ascii="Arial" w:hAnsi="Arial" w:cs="Arial"/>
        </w:rPr>
        <w:t xml:space="preserve">.   </w:t>
      </w:r>
    </w:p>
    <w:p w:rsidR="0014622C" w:rsidRDefault="0014622C" w:rsidP="0014622C">
      <w:pPr>
        <w:pStyle w:val="ListParagraph"/>
        <w:jc w:val="both"/>
        <w:rPr>
          <w:rFonts w:ascii="Arial" w:hAnsi="Arial" w:cs="Arial"/>
        </w:rPr>
      </w:pPr>
    </w:p>
    <w:p w:rsidR="0014622C" w:rsidRDefault="0014622C" w:rsidP="0014622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00391">
        <w:rPr>
          <w:rFonts w:ascii="Arial" w:hAnsi="Arial" w:cs="Arial"/>
        </w:rPr>
        <w:t xml:space="preserve">The Older Peoples Directorate reported </w:t>
      </w:r>
      <w:r w:rsidR="00007830" w:rsidRPr="00700391">
        <w:rPr>
          <w:rFonts w:ascii="Arial" w:hAnsi="Arial" w:cs="Arial"/>
        </w:rPr>
        <w:t>64%</w:t>
      </w:r>
      <w:r w:rsidRPr="00700391">
        <w:rPr>
          <w:rFonts w:ascii="Arial" w:hAnsi="Arial" w:cs="Arial"/>
        </w:rPr>
        <w:t xml:space="preserve"> achievement against their local performance indicators.  </w:t>
      </w:r>
      <w:r w:rsidR="00D97428" w:rsidRPr="00700391">
        <w:rPr>
          <w:rFonts w:ascii="Arial" w:hAnsi="Arial" w:cs="Arial"/>
        </w:rPr>
        <w:t>Th</w:t>
      </w:r>
      <w:r w:rsidR="00700391" w:rsidRPr="00700391">
        <w:rPr>
          <w:rFonts w:ascii="Arial" w:hAnsi="Arial" w:cs="Arial"/>
        </w:rPr>
        <w:t>is</w:t>
      </w:r>
      <w:r w:rsidR="00D97428" w:rsidRPr="00700391">
        <w:rPr>
          <w:rFonts w:ascii="Arial" w:hAnsi="Arial" w:cs="Arial"/>
        </w:rPr>
        <w:t xml:space="preserve"> is a </w:t>
      </w:r>
      <w:r w:rsidR="00007830" w:rsidRPr="00700391">
        <w:rPr>
          <w:rFonts w:ascii="Arial" w:hAnsi="Arial" w:cs="Arial"/>
          <w:b/>
        </w:rPr>
        <w:t>significant decrease</w:t>
      </w:r>
      <w:r w:rsidR="00007830" w:rsidRPr="00700391">
        <w:rPr>
          <w:rFonts w:ascii="Arial" w:hAnsi="Arial" w:cs="Arial"/>
        </w:rPr>
        <w:t xml:space="preserve"> from the 82% reported </w:t>
      </w:r>
      <w:r w:rsidR="00700391" w:rsidRPr="00700391">
        <w:rPr>
          <w:rFonts w:ascii="Arial" w:hAnsi="Arial" w:cs="Arial"/>
        </w:rPr>
        <w:t xml:space="preserve">in March 2017 </w:t>
      </w:r>
      <w:r w:rsidR="00700391">
        <w:rPr>
          <w:rFonts w:ascii="Arial" w:hAnsi="Arial" w:cs="Arial"/>
        </w:rPr>
        <w:t>and is</w:t>
      </w:r>
      <w:r w:rsidR="00700391" w:rsidRPr="00700391">
        <w:rPr>
          <w:rFonts w:ascii="Arial" w:hAnsi="Arial" w:cs="Arial"/>
        </w:rPr>
        <w:t xml:space="preserve"> due</w:t>
      </w:r>
      <w:r w:rsidR="00700391">
        <w:rPr>
          <w:rFonts w:ascii="Arial" w:hAnsi="Arial" w:cs="Arial"/>
        </w:rPr>
        <w:t xml:space="preserve"> in the main</w:t>
      </w:r>
      <w:r w:rsidR="00700391" w:rsidRPr="00700391">
        <w:rPr>
          <w:rFonts w:ascii="Arial" w:hAnsi="Arial" w:cs="Arial"/>
        </w:rPr>
        <w:t xml:space="preserve"> to the non-reporting of </w:t>
      </w:r>
      <w:r w:rsidR="00700391">
        <w:rPr>
          <w:rFonts w:ascii="Arial" w:hAnsi="Arial" w:cs="Arial"/>
        </w:rPr>
        <w:t xml:space="preserve">10 </w:t>
      </w:r>
      <w:r w:rsidR="00700391" w:rsidRPr="00700391">
        <w:rPr>
          <w:rFonts w:ascii="Arial" w:hAnsi="Arial" w:cs="Arial"/>
        </w:rPr>
        <w:t xml:space="preserve">indicators where data is currently being validated. </w:t>
      </w:r>
    </w:p>
    <w:p w:rsidR="00700391" w:rsidRPr="00700391" w:rsidRDefault="00700391" w:rsidP="00700391">
      <w:pPr>
        <w:pStyle w:val="ListParagraph"/>
        <w:rPr>
          <w:rFonts w:ascii="Arial" w:hAnsi="Arial" w:cs="Arial"/>
        </w:rPr>
      </w:pPr>
    </w:p>
    <w:p w:rsidR="0014622C" w:rsidRDefault="0014622C" w:rsidP="00626EF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CYP Directorate reported a 9</w:t>
      </w:r>
      <w:r w:rsidR="0000783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achievement against their local performance indicators.  </w:t>
      </w:r>
      <w:r w:rsidR="00700391">
        <w:rPr>
          <w:rFonts w:ascii="Arial" w:hAnsi="Arial" w:cs="Arial"/>
        </w:rPr>
        <w:t xml:space="preserve">This is a </w:t>
      </w:r>
      <w:r w:rsidR="00700391" w:rsidRPr="00700391">
        <w:rPr>
          <w:rFonts w:ascii="Arial" w:hAnsi="Arial" w:cs="Arial"/>
          <w:b/>
        </w:rPr>
        <w:t>slight decrease</w:t>
      </w:r>
      <w:r w:rsidR="00700391">
        <w:rPr>
          <w:rFonts w:ascii="Arial" w:hAnsi="Arial" w:cs="Arial"/>
        </w:rPr>
        <w:t xml:space="preserve"> from the performance achieved </w:t>
      </w:r>
      <w:r w:rsidR="00742E7D">
        <w:rPr>
          <w:rFonts w:ascii="Arial" w:hAnsi="Arial" w:cs="Arial"/>
        </w:rPr>
        <w:t xml:space="preserve">in March 2017.  </w:t>
      </w:r>
      <w:r w:rsidR="00700391">
        <w:rPr>
          <w:rFonts w:ascii="Arial" w:hAnsi="Arial" w:cs="Arial"/>
        </w:rPr>
        <w:t>The number of red rated indicators has increased from 17 to 20.</w:t>
      </w:r>
    </w:p>
    <w:p w:rsidR="0014622C" w:rsidRDefault="0014622C" w:rsidP="0014622C">
      <w:pPr>
        <w:pStyle w:val="ListParagraph"/>
        <w:jc w:val="both"/>
        <w:rPr>
          <w:rFonts w:ascii="Arial" w:hAnsi="Arial" w:cs="Arial"/>
        </w:rPr>
      </w:pPr>
    </w:p>
    <w:p w:rsidR="00FA3668" w:rsidRDefault="00D97428" w:rsidP="00626EF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Despite the majority of performance indicators being consistently achieved each month, t</w:t>
      </w:r>
      <w:r w:rsidR="00626EFA">
        <w:rPr>
          <w:rFonts w:ascii="Arial" w:hAnsi="Arial" w:cs="Arial"/>
        </w:rPr>
        <w:t>he Trust continues to</w:t>
      </w:r>
      <w:r w:rsidR="00FA3668">
        <w:rPr>
          <w:rFonts w:ascii="Arial" w:hAnsi="Arial" w:cs="Arial"/>
        </w:rPr>
        <w:t xml:space="preserve"> underperform in a </w:t>
      </w:r>
      <w:r w:rsidR="00C76E03">
        <w:rPr>
          <w:rFonts w:ascii="Arial" w:hAnsi="Arial" w:cs="Arial"/>
        </w:rPr>
        <w:t xml:space="preserve">small </w:t>
      </w:r>
      <w:r w:rsidR="00FA3668">
        <w:rPr>
          <w:rFonts w:ascii="Arial" w:hAnsi="Arial" w:cs="Arial"/>
        </w:rPr>
        <w:t>number of key areas:  These include:</w:t>
      </w:r>
    </w:p>
    <w:p w:rsidR="00FA3668" w:rsidRPr="00FA3668" w:rsidRDefault="00FA3668" w:rsidP="00FA3668">
      <w:pPr>
        <w:pStyle w:val="ListParagraph"/>
        <w:rPr>
          <w:rFonts w:ascii="Arial" w:hAnsi="Arial" w:cs="Arial"/>
        </w:rPr>
      </w:pPr>
    </w:p>
    <w:p w:rsidR="00FA3668" w:rsidRDefault="00FA3668" w:rsidP="00FA3668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FA3668">
        <w:rPr>
          <w:rFonts w:ascii="Arial" w:hAnsi="Arial" w:cs="Arial"/>
        </w:rPr>
        <w:t>The</w:t>
      </w:r>
      <w:r w:rsidR="000D24FB" w:rsidRPr="00FA3668">
        <w:rPr>
          <w:rFonts w:ascii="Arial" w:hAnsi="Arial" w:cs="Arial"/>
        </w:rPr>
        <w:t xml:space="preserve"> Out of Hours Services.  This is due to a number of factors including the ongoing issue of GP availability.  </w:t>
      </w:r>
      <w:r w:rsidR="009D5FD0">
        <w:rPr>
          <w:rFonts w:ascii="Arial" w:hAnsi="Arial" w:cs="Arial"/>
        </w:rPr>
        <w:t>The Trusts Executive Team ha</w:t>
      </w:r>
      <w:r w:rsidR="004B1544">
        <w:rPr>
          <w:rFonts w:ascii="Arial" w:hAnsi="Arial" w:cs="Arial"/>
        </w:rPr>
        <w:t>s</w:t>
      </w:r>
      <w:r w:rsidR="009D5FD0">
        <w:rPr>
          <w:rFonts w:ascii="Arial" w:hAnsi="Arial" w:cs="Arial"/>
        </w:rPr>
        <w:t xml:space="preserve"> asked for an independent review to be carried out and the results are expected to be known in 2 – 3 months’ time</w:t>
      </w:r>
      <w:r w:rsidRPr="00FA3668">
        <w:rPr>
          <w:rFonts w:ascii="Arial" w:hAnsi="Arial" w:cs="Arial"/>
        </w:rPr>
        <w:t xml:space="preserve">.  </w:t>
      </w:r>
    </w:p>
    <w:p w:rsidR="00FA3668" w:rsidRPr="00FA3668" w:rsidRDefault="00FA3668" w:rsidP="00FA3668">
      <w:pPr>
        <w:pStyle w:val="ListParagraph"/>
        <w:rPr>
          <w:rFonts w:ascii="Arial" w:hAnsi="Arial" w:cs="Arial"/>
        </w:rPr>
      </w:pPr>
    </w:p>
    <w:p w:rsidR="00492483" w:rsidRDefault="000D24FB" w:rsidP="00FA3668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492483">
        <w:rPr>
          <w:rFonts w:ascii="Arial" w:hAnsi="Arial" w:cs="Arial"/>
        </w:rPr>
        <w:t>Delayed Transfers of Care (DTOC) continue to</w:t>
      </w:r>
      <w:r w:rsidR="00492483">
        <w:rPr>
          <w:rFonts w:ascii="Arial" w:hAnsi="Arial" w:cs="Arial"/>
        </w:rPr>
        <w:t xml:space="preserve"> be an issue across the system.  The KPI’s for DTOC and Length of Stay (LOS) are still being negotiated with the commissioners</w:t>
      </w:r>
      <w:r w:rsidR="00893C1C">
        <w:rPr>
          <w:rFonts w:ascii="Arial" w:hAnsi="Arial" w:cs="Arial"/>
        </w:rPr>
        <w:t>.  This is to reflect the significant</w:t>
      </w:r>
      <w:r w:rsidR="00492483">
        <w:rPr>
          <w:rFonts w:ascii="Arial" w:hAnsi="Arial" w:cs="Arial"/>
        </w:rPr>
        <w:t xml:space="preserve"> delays experienced</w:t>
      </w:r>
      <w:r w:rsidR="00E33061">
        <w:rPr>
          <w:rFonts w:ascii="Arial" w:hAnsi="Arial" w:cs="Arial"/>
        </w:rPr>
        <w:t xml:space="preserve"> as a result of the HART Service capacity issues</w:t>
      </w:r>
      <w:r w:rsidR="00492483">
        <w:rPr>
          <w:rFonts w:ascii="Arial" w:hAnsi="Arial" w:cs="Arial"/>
        </w:rPr>
        <w:t>.</w:t>
      </w:r>
    </w:p>
    <w:p w:rsidR="00492483" w:rsidRPr="00492483" w:rsidRDefault="00492483" w:rsidP="00492483">
      <w:pPr>
        <w:pStyle w:val="ListParagraph"/>
        <w:rPr>
          <w:rFonts w:ascii="Arial" w:hAnsi="Arial" w:cs="Arial"/>
        </w:rPr>
      </w:pPr>
    </w:p>
    <w:p w:rsidR="00492483" w:rsidRDefault="00492483" w:rsidP="00FA3668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Stroke Therapy Patients.  The indicators for this area need to be reviewed as the Trust is providing therapy services, but not consistently over the 5 day period as set out within the target.  </w:t>
      </w:r>
    </w:p>
    <w:p w:rsidR="00492483" w:rsidRPr="00492483" w:rsidRDefault="00492483" w:rsidP="00492483">
      <w:pPr>
        <w:pStyle w:val="ListParagraph"/>
        <w:rPr>
          <w:rFonts w:ascii="Arial" w:hAnsi="Arial" w:cs="Arial"/>
        </w:rPr>
      </w:pPr>
    </w:p>
    <w:p w:rsidR="00FA3668" w:rsidRPr="00492483" w:rsidRDefault="00FA3668" w:rsidP="00FA3668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492483">
        <w:rPr>
          <w:rFonts w:ascii="Arial" w:hAnsi="Arial" w:cs="Arial"/>
        </w:rPr>
        <w:t xml:space="preserve">WRAP (Prevent) Training across all Directorates.  </w:t>
      </w:r>
      <w:r w:rsidR="00233516">
        <w:rPr>
          <w:rFonts w:ascii="Arial" w:hAnsi="Arial" w:cs="Arial"/>
        </w:rPr>
        <w:t xml:space="preserve">Work continues to identify </w:t>
      </w:r>
      <w:proofErr w:type="gramStart"/>
      <w:r w:rsidR="00233516">
        <w:rPr>
          <w:rFonts w:ascii="Arial" w:hAnsi="Arial" w:cs="Arial"/>
        </w:rPr>
        <w:t>those staff that require</w:t>
      </w:r>
      <w:proofErr w:type="gramEnd"/>
      <w:r w:rsidR="00233516">
        <w:rPr>
          <w:rFonts w:ascii="Arial" w:hAnsi="Arial" w:cs="Arial"/>
        </w:rPr>
        <w:t xml:space="preserve"> training and additional courses have been arranged</w:t>
      </w:r>
      <w:r w:rsidR="00E841B0" w:rsidRPr="00492483">
        <w:rPr>
          <w:rFonts w:ascii="Arial" w:hAnsi="Arial" w:cs="Arial"/>
        </w:rPr>
        <w:t>.</w:t>
      </w:r>
    </w:p>
    <w:p w:rsidR="00732301" w:rsidRPr="00732301" w:rsidRDefault="00732301" w:rsidP="00732301">
      <w:pPr>
        <w:pStyle w:val="ListParagraph"/>
        <w:rPr>
          <w:rFonts w:ascii="Arial" w:hAnsi="Arial" w:cs="Arial"/>
        </w:rPr>
      </w:pPr>
    </w:p>
    <w:p w:rsidR="00FA3668" w:rsidRDefault="00FA3668" w:rsidP="00FA3668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CAMHS 4 week and 8 week waiting times (in particular, </w:t>
      </w:r>
      <w:proofErr w:type="spellStart"/>
      <w:r>
        <w:rPr>
          <w:rFonts w:ascii="Arial" w:hAnsi="Arial" w:cs="Arial"/>
        </w:rPr>
        <w:t>Swindon</w:t>
      </w:r>
      <w:proofErr w:type="spellEnd"/>
      <w:r>
        <w:rPr>
          <w:rFonts w:ascii="Arial" w:hAnsi="Arial" w:cs="Arial"/>
        </w:rPr>
        <w:t xml:space="preserve">, Wiltshire &amp; </w:t>
      </w:r>
      <w:proofErr w:type="spellStart"/>
      <w:r>
        <w:rPr>
          <w:rFonts w:ascii="Arial" w:hAnsi="Arial" w:cs="Arial"/>
        </w:rPr>
        <w:t>BaNES</w:t>
      </w:r>
      <w:proofErr w:type="spellEnd"/>
      <w:r>
        <w:rPr>
          <w:rFonts w:ascii="Arial" w:hAnsi="Arial" w:cs="Arial"/>
        </w:rPr>
        <w:t>)</w:t>
      </w:r>
      <w:r w:rsidR="00EF6A4B">
        <w:rPr>
          <w:rFonts w:ascii="Arial" w:hAnsi="Arial" w:cs="Arial"/>
        </w:rPr>
        <w:t>.   The services continue to fully achieve the 12 week waiting times and further work to address the 4 and 8 week waiting times is now planned as part of the new contract.</w:t>
      </w:r>
    </w:p>
    <w:p w:rsidR="00732301" w:rsidRPr="00732301" w:rsidRDefault="00732301" w:rsidP="00732301">
      <w:pPr>
        <w:pStyle w:val="ListParagraph"/>
        <w:rPr>
          <w:rFonts w:ascii="Arial" w:hAnsi="Arial" w:cs="Arial"/>
        </w:rPr>
      </w:pPr>
    </w:p>
    <w:p w:rsidR="00FA3668" w:rsidRDefault="00732301" w:rsidP="00FA3668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</w:t>
      </w:r>
      <w:r w:rsidR="00233516">
        <w:rPr>
          <w:rFonts w:ascii="Arial" w:hAnsi="Arial" w:cs="Arial"/>
        </w:rPr>
        <w:t>continues to be</w:t>
      </w:r>
      <w:r>
        <w:rPr>
          <w:rFonts w:ascii="Arial" w:hAnsi="Arial" w:cs="Arial"/>
        </w:rPr>
        <w:t xml:space="preserve"> a reduction in the number of ‘hidden waits’ at step 3 reported </w:t>
      </w:r>
      <w:r w:rsidR="0023351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Improving Access to Psychological Therapies (IAPT).</w:t>
      </w:r>
      <w:r w:rsidR="00233516">
        <w:rPr>
          <w:rFonts w:ascii="Arial" w:hAnsi="Arial" w:cs="Arial"/>
        </w:rPr>
        <w:t xml:space="preserve">  Since November 2016, the waiting times have reduced from 23 weeks to 10 weeks.</w:t>
      </w:r>
    </w:p>
    <w:p w:rsidR="00732301" w:rsidRPr="00732301" w:rsidRDefault="00732301" w:rsidP="00732301">
      <w:pPr>
        <w:pStyle w:val="ListParagraph"/>
        <w:rPr>
          <w:rFonts w:ascii="Arial" w:hAnsi="Arial" w:cs="Arial"/>
        </w:rPr>
      </w:pPr>
    </w:p>
    <w:p w:rsidR="00B57EC7" w:rsidRPr="00FA3668" w:rsidRDefault="00451DB0" w:rsidP="00FA3668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57EC7">
        <w:rPr>
          <w:rFonts w:ascii="Arial" w:hAnsi="Arial" w:cs="Arial"/>
        </w:rPr>
        <w:t xml:space="preserve">imescales for Care Reviews in </w:t>
      </w:r>
      <w:proofErr w:type="spellStart"/>
      <w:r w:rsidR="00B57EC7">
        <w:rPr>
          <w:rFonts w:ascii="Arial" w:hAnsi="Arial" w:cs="Arial"/>
        </w:rPr>
        <w:t>Aylesbury</w:t>
      </w:r>
      <w:proofErr w:type="spellEnd"/>
      <w:r w:rsidR="00B57EC7">
        <w:rPr>
          <w:rFonts w:ascii="Arial" w:hAnsi="Arial" w:cs="Arial"/>
        </w:rPr>
        <w:t xml:space="preserve"> </w:t>
      </w:r>
      <w:r w:rsidR="00C27C64">
        <w:rPr>
          <w:rFonts w:ascii="Arial" w:hAnsi="Arial" w:cs="Arial"/>
        </w:rPr>
        <w:t>continue to be</w:t>
      </w:r>
      <w:r w:rsidR="00B57EC7">
        <w:rPr>
          <w:rFonts w:ascii="Arial" w:hAnsi="Arial" w:cs="Arial"/>
        </w:rPr>
        <w:t xml:space="preserve"> below target.  Additional actions </w:t>
      </w:r>
      <w:r w:rsidR="00C27C64">
        <w:rPr>
          <w:rFonts w:ascii="Arial" w:hAnsi="Arial" w:cs="Arial"/>
        </w:rPr>
        <w:t xml:space="preserve">are </w:t>
      </w:r>
      <w:r w:rsidR="00B57EC7">
        <w:rPr>
          <w:rFonts w:ascii="Arial" w:hAnsi="Arial" w:cs="Arial"/>
        </w:rPr>
        <w:t>now being taken to improve this position.</w:t>
      </w:r>
    </w:p>
    <w:p w:rsidR="000D24FB" w:rsidRPr="000D24FB" w:rsidRDefault="000D24FB" w:rsidP="000D24FB">
      <w:pPr>
        <w:pStyle w:val="ListParagraph"/>
        <w:rPr>
          <w:rFonts w:ascii="Arial" w:hAnsi="Arial" w:cs="Arial"/>
        </w:rPr>
      </w:pPr>
    </w:p>
    <w:p w:rsidR="00530D1F" w:rsidRPr="008635F0" w:rsidRDefault="00530D1F" w:rsidP="008635F0">
      <w:pPr>
        <w:pStyle w:val="ListParagraph"/>
        <w:rPr>
          <w:rFonts w:ascii="Arial" w:hAnsi="Arial" w:cs="Arial"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5D3499" w:rsidRDefault="00F95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of Directors is</w:t>
      </w:r>
      <w:r w:rsidR="00C62464">
        <w:rPr>
          <w:rFonts w:ascii="Arial" w:hAnsi="Arial" w:cs="Arial"/>
        </w:rPr>
        <w:t xml:space="preserve"> asked to review </w:t>
      </w:r>
      <w:r w:rsidR="00982842">
        <w:rPr>
          <w:rFonts w:ascii="Arial" w:hAnsi="Arial" w:cs="Arial"/>
        </w:rPr>
        <w:t xml:space="preserve">and note </w:t>
      </w:r>
      <w:r w:rsidR="00C62464">
        <w:rPr>
          <w:rFonts w:ascii="Arial" w:hAnsi="Arial" w:cs="Arial"/>
        </w:rPr>
        <w:t xml:space="preserve">the </w:t>
      </w:r>
      <w:r w:rsidR="00982842">
        <w:rPr>
          <w:rFonts w:ascii="Arial" w:hAnsi="Arial" w:cs="Arial"/>
        </w:rPr>
        <w:t>monthly Board performance report.</w:t>
      </w:r>
    </w:p>
    <w:p w:rsidR="00982842" w:rsidRDefault="00982842">
      <w:pPr>
        <w:jc w:val="both"/>
        <w:rPr>
          <w:rFonts w:ascii="Arial" w:hAnsi="Arial" w:cs="Arial"/>
          <w:b/>
        </w:rPr>
      </w:pPr>
    </w:p>
    <w:p w:rsidR="003F7366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C36082">
        <w:rPr>
          <w:rFonts w:ascii="Arial" w:hAnsi="Arial" w:cs="Arial"/>
        </w:rPr>
        <w:t>Martyn Ward – Interim Director of Performance</w:t>
      </w:r>
    </w:p>
    <w:p w:rsidR="000E317C" w:rsidRDefault="000E317C" w:rsidP="0073522A">
      <w:pPr>
        <w:ind w:left="1440" w:hanging="1440"/>
        <w:jc w:val="both"/>
        <w:rPr>
          <w:rFonts w:ascii="Arial" w:hAnsi="Arial" w:cs="Arial"/>
        </w:rPr>
      </w:pPr>
    </w:p>
    <w:p w:rsidR="00781566" w:rsidRDefault="0073522A" w:rsidP="006C62F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EF4E03">
        <w:rPr>
          <w:rFonts w:ascii="Arial" w:hAnsi="Arial" w:cs="Arial"/>
          <w:b/>
        </w:rPr>
        <w:t>Dominic Hardisty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66" w:rsidRDefault="00781566" w:rsidP="005B3E3C">
      <w:r>
        <w:separator/>
      </w:r>
    </w:p>
  </w:endnote>
  <w:endnote w:type="continuationSeparator" w:id="0">
    <w:p w:rsidR="00781566" w:rsidRDefault="00781566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66" w:rsidRDefault="00781566" w:rsidP="005B3E3C">
      <w:r>
        <w:separator/>
      </w:r>
    </w:p>
  </w:footnote>
  <w:footnote w:type="continuationSeparator" w:id="0">
    <w:p w:rsidR="00781566" w:rsidRDefault="00781566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66" w:rsidRPr="005B3E3C" w:rsidRDefault="006E3C3E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 xml:space="preserve">PUBLIC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857"/>
    <w:multiLevelType w:val="hybridMultilevel"/>
    <w:tmpl w:val="F9FCD1C4"/>
    <w:lvl w:ilvl="0" w:tplc="B7ACCD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81543"/>
    <w:multiLevelType w:val="hybridMultilevel"/>
    <w:tmpl w:val="F7CABEC6"/>
    <w:lvl w:ilvl="0" w:tplc="6602F1C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B4741"/>
    <w:multiLevelType w:val="hybridMultilevel"/>
    <w:tmpl w:val="E506B98E"/>
    <w:lvl w:ilvl="0" w:tplc="CA06E2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07830"/>
    <w:rsid w:val="000302E0"/>
    <w:rsid w:val="00041960"/>
    <w:rsid w:val="000D24FB"/>
    <w:rsid w:val="000E317C"/>
    <w:rsid w:val="0014622C"/>
    <w:rsid w:val="001E1C83"/>
    <w:rsid w:val="001E6DBC"/>
    <w:rsid w:val="001E7831"/>
    <w:rsid w:val="001F76ED"/>
    <w:rsid w:val="00227FCE"/>
    <w:rsid w:val="00233516"/>
    <w:rsid w:val="002619EF"/>
    <w:rsid w:val="002710D7"/>
    <w:rsid w:val="002821F8"/>
    <w:rsid w:val="00292613"/>
    <w:rsid w:val="002A0F36"/>
    <w:rsid w:val="002A73E8"/>
    <w:rsid w:val="002B6E44"/>
    <w:rsid w:val="002C2F97"/>
    <w:rsid w:val="002C3D1A"/>
    <w:rsid w:val="002E6FC6"/>
    <w:rsid w:val="003640F0"/>
    <w:rsid w:val="00386B91"/>
    <w:rsid w:val="003971F6"/>
    <w:rsid w:val="003F3BD5"/>
    <w:rsid w:val="003F7366"/>
    <w:rsid w:val="004326BB"/>
    <w:rsid w:val="00451DB0"/>
    <w:rsid w:val="00492483"/>
    <w:rsid w:val="004B1544"/>
    <w:rsid w:val="004F4BBA"/>
    <w:rsid w:val="005233AA"/>
    <w:rsid w:val="00530D1F"/>
    <w:rsid w:val="00551B0F"/>
    <w:rsid w:val="00563E0F"/>
    <w:rsid w:val="005659FB"/>
    <w:rsid w:val="005B3E3C"/>
    <w:rsid w:val="005C3FC1"/>
    <w:rsid w:val="005D3499"/>
    <w:rsid w:val="005E2583"/>
    <w:rsid w:val="005E617C"/>
    <w:rsid w:val="005F36B6"/>
    <w:rsid w:val="0061684E"/>
    <w:rsid w:val="00626EFA"/>
    <w:rsid w:val="006C62F1"/>
    <w:rsid w:val="006E3C3E"/>
    <w:rsid w:val="00700391"/>
    <w:rsid w:val="00732301"/>
    <w:rsid w:val="0073522A"/>
    <w:rsid w:val="00742E7D"/>
    <w:rsid w:val="007769CD"/>
    <w:rsid w:val="0078032B"/>
    <w:rsid w:val="00781566"/>
    <w:rsid w:val="007976E7"/>
    <w:rsid w:val="007A1640"/>
    <w:rsid w:val="007A2CF0"/>
    <w:rsid w:val="007B6D77"/>
    <w:rsid w:val="00802701"/>
    <w:rsid w:val="008038A2"/>
    <w:rsid w:val="00811FE8"/>
    <w:rsid w:val="008477E1"/>
    <w:rsid w:val="00847BC4"/>
    <w:rsid w:val="008635F0"/>
    <w:rsid w:val="0086436B"/>
    <w:rsid w:val="00893C1C"/>
    <w:rsid w:val="00894B97"/>
    <w:rsid w:val="008D5C80"/>
    <w:rsid w:val="008E0BA4"/>
    <w:rsid w:val="00922966"/>
    <w:rsid w:val="00946E6E"/>
    <w:rsid w:val="00956A0A"/>
    <w:rsid w:val="00982842"/>
    <w:rsid w:val="009869DE"/>
    <w:rsid w:val="009A2D0F"/>
    <w:rsid w:val="009D265C"/>
    <w:rsid w:val="009D5FD0"/>
    <w:rsid w:val="00A674FB"/>
    <w:rsid w:val="00A85311"/>
    <w:rsid w:val="00AA0C3F"/>
    <w:rsid w:val="00AC3814"/>
    <w:rsid w:val="00AF0562"/>
    <w:rsid w:val="00B21287"/>
    <w:rsid w:val="00B26E1A"/>
    <w:rsid w:val="00B26F2C"/>
    <w:rsid w:val="00B407B7"/>
    <w:rsid w:val="00B50D5E"/>
    <w:rsid w:val="00B57EC7"/>
    <w:rsid w:val="00B612E7"/>
    <w:rsid w:val="00BA3B3E"/>
    <w:rsid w:val="00BF5367"/>
    <w:rsid w:val="00C07817"/>
    <w:rsid w:val="00C11AA2"/>
    <w:rsid w:val="00C27C64"/>
    <w:rsid w:val="00C36082"/>
    <w:rsid w:val="00C62464"/>
    <w:rsid w:val="00C76E03"/>
    <w:rsid w:val="00CC7855"/>
    <w:rsid w:val="00CE10CD"/>
    <w:rsid w:val="00D07064"/>
    <w:rsid w:val="00D279FC"/>
    <w:rsid w:val="00D34F5E"/>
    <w:rsid w:val="00D55ADD"/>
    <w:rsid w:val="00D8544F"/>
    <w:rsid w:val="00D97428"/>
    <w:rsid w:val="00DA0FA6"/>
    <w:rsid w:val="00DD04A9"/>
    <w:rsid w:val="00DD33DF"/>
    <w:rsid w:val="00DE1293"/>
    <w:rsid w:val="00DE67A8"/>
    <w:rsid w:val="00E33061"/>
    <w:rsid w:val="00E41E87"/>
    <w:rsid w:val="00E827C5"/>
    <w:rsid w:val="00E841B0"/>
    <w:rsid w:val="00ED4ABC"/>
    <w:rsid w:val="00EF4E03"/>
    <w:rsid w:val="00EF6A4B"/>
    <w:rsid w:val="00F00123"/>
    <w:rsid w:val="00F24EB2"/>
    <w:rsid w:val="00F50A07"/>
    <w:rsid w:val="00F57119"/>
    <w:rsid w:val="00F77C13"/>
    <w:rsid w:val="00F86FA3"/>
    <w:rsid w:val="00F95454"/>
    <w:rsid w:val="00FA3668"/>
    <w:rsid w:val="00FA5118"/>
    <w:rsid w:val="00FC43CD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6F1B-B530-4F7E-AB6F-5BFE437E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2530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Syd Admin</cp:lastModifiedBy>
  <cp:revision>2</cp:revision>
  <cp:lastPrinted>2017-05-18T16:08:00Z</cp:lastPrinted>
  <dcterms:created xsi:type="dcterms:W3CDTF">2017-05-18T16:12:00Z</dcterms:created>
  <dcterms:modified xsi:type="dcterms:W3CDTF">2017-05-18T16:12:00Z</dcterms:modified>
</cp:coreProperties>
</file>