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47" w:rsidRPr="002F149B" w:rsidRDefault="000B2947" w:rsidP="002F149B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0D759B">
        <w:rPr>
          <w:rFonts w:ascii="Arial" w:hAnsi="Arial" w:cs="Arial"/>
          <w:b/>
          <w:sz w:val="28"/>
          <w:szCs w:val="28"/>
        </w:rPr>
        <w:t xml:space="preserve">Summary of </w:t>
      </w:r>
      <w:r w:rsidRPr="00BE2EFA">
        <w:rPr>
          <w:rFonts w:ascii="Arial" w:hAnsi="Arial" w:cs="Arial"/>
          <w:b/>
          <w:sz w:val="28"/>
          <w:szCs w:val="28"/>
        </w:rPr>
        <w:t xml:space="preserve">Actions from </w:t>
      </w:r>
      <w:r w:rsidR="00AD455C">
        <w:rPr>
          <w:rFonts w:ascii="Arial" w:hAnsi="Arial" w:cs="Arial"/>
          <w:b/>
          <w:sz w:val="28"/>
          <w:szCs w:val="28"/>
        </w:rPr>
        <w:t xml:space="preserve">the </w:t>
      </w:r>
      <w:r w:rsidRPr="00BE2EFA">
        <w:rPr>
          <w:rFonts w:ascii="Arial" w:hAnsi="Arial" w:cs="Arial"/>
          <w:b/>
          <w:sz w:val="28"/>
          <w:szCs w:val="28"/>
        </w:rPr>
        <w:t xml:space="preserve">Board </w:t>
      </w:r>
      <w:r w:rsidR="000B69CF" w:rsidRPr="00BE2EFA">
        <w:rPr>
          <w:rFonts w:ascii="Arial" w:hAnsi="Arial" w:cs="Arial"/>
          <w:b/>
          <w:sz w:val="28"/>
          <w:szCs w:val="28"/>
        </w:rPr>
        <w:t>meeting</w:t>
      </w:r>
      <w:r w:rsidRPr="00BE2EFA">
        <w:rPr>
          <w:rFonts w:ascii="Arial" w:hAnsi="Arial" w:cs="Arial"/>
          <w:b/>
          <w:sz w:val="28"/>
          <w:szCs w:val="28"/>
        </w:rPr>
        <w:t xml:space="preserve"> </w:t>
      </w:r>
      <w:r w:rsidR="00E97685">
        <w:rPr>
          <w:rFonts w:ascii="Arial" w:hAnsi="Arial" w:cs="Arial"/>
          <w:b/>
          <w:sz w:val="28"/>
          <w:szCs w:val="28"/>
        </w:rPr>
        <w:t xml:space="preserve">on </w:t>
      </w:r>
      <w:r w:rsidR="002F149B">
        <w:rPr>
          <w:rFonts w:ascii="Arial" w:hAnsi="Arial" w:cs="Arial"/>
          <w:b/>
          <w:sz w:val="28"/>
          <w:szCs w:val="28"/>
        </w:rPr>
        <w:t>29 November</w:t>
      </w:r>
      <w:r w:rsidR="00795BB9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pPr w:leftFromText="180" w:rightFromText="180" w:vertAnchor="page" w:horzAnchor="margin" w:tblpXSpec="center" w:tblpY="2442"/>
        <w:tblW w:w="1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2286"/>
      </w:tblGrid>
      <w:tr w:rsidR="000B2947" w:rsidRPr="00D3669C" w:rsidTr="00800E83">
        <w:trPr>
          <w:trHeight w:val="439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Relevant Item</w:t>
            </w:r>
          </w:p>
        </w:tc>
        <w:tc>
          <w:tcPr>
            <w:tcW w:w="8351" w:type="dxa"/>
            <w:tcBorders>
              <w:bottom w:val="single" w:sz="4" w:space="0" w:color="auto"/>
            </w:tcBorders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0B2947" w:rsidRPr="009D2F5A" w:rsidRDefault="000B2947" w:rsidP="00E21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F5A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09196B" w:rsidRPr="00E367B7" w:rsidTr="00800E83">
        <w:trPr>
          <w:trHeight w:val="453"/>
        </w:trPr>
        <w:tc>
          <w:tcPr>
            <w:tcW w:w="12834" w:type="dxa"/>
            <w:gridSpan w:val="3"/>
            <w:shd w:val="clear" w:color="auto" w:fill="F2F2F2" w:themeFill="background1" w:themeFillShade="F2"/>
          </w:tcPr>
          <w:p w:rsidR="0009196B" w:rsidRPr="0009196B" w:rsidRDefault="00800E83" w:rsidP="00320F28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9196B">
              <w:rPr>
                <w:rFonts w:ascii="Arial" w:hAnsi="Arial" w:cs="Arial"/>
                <w:b/>
                <w:sz w:val="24"/>
                <w:szCs w:val="24"/>
              </w:rPr>
              <w:t>Actions held over from previous meeting</w:t>
            </w:r>
            <w:r w:rsidR="00A20E2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9196B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320F28">
              <w:rPr>
                <w:rFonts w:ascii="Arial" w:hAnsi="Arial" w:cs="Arial"/>
                <w:b/>
                <w:sz w:val="24"/>
                <w:szCs w:val="24"/>
              </w:rPr>
              <w:t>26 April</w:t>
            </w:r>
            <w:r w:rsidR="00A20E25">
              <w:rPr>
                <w:rFonts w:ascii="Arial" w:hAnsi="Arial" w:cs="Arial"/>
                <w:b/>
                <w:sz w:val="24"/>
                <w:szCs w:val="24"/>
              </w:rPr>
              <w:t xml:space="preserve"> and 24 May</w:t>
            </w:r>
            <w:r w:rsidR="0009196B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F45ED7" w:rsidRPr="00E367B7" w:rsidTr="00EB2536">
        <w:trPr>
          <w:trHeight w:val="134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5ED7" w:rsidRDefault="00F45ED7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5239" w:rsidRDefault="00B25239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60/17(h)</w:t>
            </w:r>
          </w:p>
          <w:p w:rsidR="00F45ED7" w:rsidRPr="009D2F5A" w:rsidRDefault="0053224E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21</w:t>
            </w:r>
            <w:r w:rsidR="003D313F">
              <w:rPr>
                <w:rFonts w:ascii="Arial" w:hAnsi="Arial" w:cs="Arial"/>
                <w:sz w:val="24"/>
                <w:szCs w:val="24"/>
              </w:rPr>
              <w:t>/17</w:t>
            </w:r>
            <w:r w:rsidR="001765E3">
              <w:rPr>
                <w:rFonts w:ascii="Arial" w:hAnsi="Arial" w:cs="Arial"/>
                <w:sz w:val="24"/>
                <w:szCs w:val="24"/>
              </w:rPr>
              <w:t xml:space="preserve"> (b</w:t>
            </w:r>
            <w:r w:rsidR="00F45ED7">
              <w:rPr>
                <w:rFonts w:ascii="Arial" w:hAnsi="Arial" w:cs="Arial"/>
                <w:sz w:val="24"/>
                <w:szCs w:val="24"/>
              </w:rPr>
              <w:t>)</w:t>
            </w:r>
            <w:r w:rsidR="00865209">
              <w:rPr>
                <w:rFonts w:ascii="Arial" w:hAnsi="Arial" w:cs="Arial"/>
                <w:sz w:val="24"/>
                <w:szCs w:val="24"/>
              </w:rPr>
              <w:br/>
              <w:t>&amp;</w:t>
            </w:r>
            <w:r w:rsidR="00865209">
              <w:rPr>
                <w:rFonts w:ascii="Arial" w:hAnsi="Arial" w:cs="Arial"/>
                <w:sz w:val="24"/>
                <w:szCs w:val="24"/>
              </w:rPr>
              <w:br/>
              <w:t>BOD 32/17(b)</w:t>
            </w:r>
          </w:p>
        </w:tc>
        <w:tc>
          <w:tcPr>
            <w:tcW w:w="83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5ED7" w:rsidRDefault="00385AA2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5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Strategic Partnerships Report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5AA2" w:rsidRDefault="00385AA2" w:rsidP="00F45ED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85AA2">
              <w:rPr>
                <w:rFonts w:ascii="Arial" w:hAnsi="Arial" w:cs="Arial"/>
                <w:bCs/>
                <w:sz w:val="24"/>
                <w:szCs w:val="24"/>
              </w:rPr>
              <w:t>Future reporting to include more evaluation of whether prog</w:t>
            </w:r>
            <w:r w:rsidR="0053224E">
              <w:rPr>
                <w:rFonts w:ascii="Arial" w:hAnsi="Arial" w:cs="Arial"/>
                <w:bCs/>
                <w:sz w:val="24"/>
                <w:szCs w:val="24"/>
              </w:rPr>
              <w:t xml:space="preserve">ress achieved was as expected.  Development </w:t>
            </w:r>
            <w:r w:rsidR="0053224E" w:rsidRPr="0053224E">
              <w:rPr>
                <w:rFonts w:ascii="Arial" w:hAnsi="Arial" w:cs="Arial"/>
                <w:bCs/>
                <w:sz w:val="24"/>
                <w:szCs w:val="24"/>
              </w:rPr>
              <w:t xml:space="preserve">pending completion of substantial reworking of all performance reporting due in the new financial year 2017/18.  </w:t>
            </w:r>
          </w:p>
          <w:p w:rsidR="00EB487E" w:rsidRPr="002F149B" w:rsidRDefault="00865209" w:rsidP="002F149B">
            <w:p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865209">
              <w:rPr>
                <w:rFonts w:ascii="Arial" w:hAnsi="Arial" w:cs="Arial"/>
                <w:bCs/>
                <w:sz w:val="24"/>
                <w:szCs w:val="24"/>
              </w:rPr>
              <w:t xml:space="preserve">s reporting developed: the relative scale of the partnerships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865209">
              <w:rPr>
                <w:rFonts w:ascii="Arial" w:hAnsi="Arial" w:cs="Arial"/>
                <w:bCs/>
                <w:sz w:val="24"/>
                <w:szCs w:val="24"/>
              </w:rPr>
              <w:t xml:space="preserve">be set out as these were quite diverse and some had </w:t>
            </w:r>
            <w:proofErr w:type="gramStart"/>
            <w:r w:rsidRPr="00865209">
              <w:rPr>
                <w:rFonts w:ascii="Arial" w:hAnsi="Arial" w:cs="Arial"/>
                <w:bCs/>
                <w:sz w:val="24"/>
                <w:szCs w:val="24"/>
              </w:rPr>
              <w:t>more long</w:t>
            </w:r>
            <w:proofErr w:type="gramEnd"/>
            <w:r w:rsidRPr="00865209">
              <w:rPr>
                <w:rFonts w:ascii="Arial" w:hAnsi="Arial" w:cs="Arial"/>
                <w:bCs/>
                <w:sz w:val="24"/>
                <w:szCs w:val="24"/>
              </w:rPr>
              <w:t xml:space="preserve"> term strategic objectives than others; consideration be given as to the governance and management arrangements in place to deliver on the partnerships; the amount of funding involved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865209">
              <w:rPr>
                <w:rFonts w:ascii="Arial" w:hAnsi="Arial" w:cs="Arial"/>
                <w:bCs/>
                <w:sz w:val="24"/>
                <w:szCs w:val="24"/>
              </w:rPr>
              <w:t xml:space="preserve">be included; the amount of relative risk to the Trust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865209">
              <w:rPr>
                <w:rFonts w:ascii="Arial" w:hAnsi="Arial" w:cs="Arial"/>
                <w:bCs/>
                <w:sz w:val="24"/>
                <w:szCs w:val="24"/>
              </w:rPr>
              <w:t xml:space="preserve">be included.  </w:t>
            </w:r>
            <w:r w:rsidR="00285CC6" w:rsidRPr="00285CC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Status: </w:t>
            </w:r>
            <w:r w:rsidR="00B2523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in </w:t>
            </w:r>
            <w:r w:rsidR="00F65FF2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progress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– </w:t>
            </w:r>
            <w:r w:rsidR="00B25239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action from February 2017 was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pending reworking of performance reporting</w:t>
            </w:r>
            <w:r w:rsidR="00B25239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(as presented to the Board meeting on 26 April 2017 </w:t>
            </w:r>
            <w:r w:rsidR="00EB487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and to the</w:t>
            </w:r>
            <w:r w:rsidR="00EB2536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private meeting in </w:t>
            </w:r>
            <w:r w:rsidR="00C827B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Octo</w:t>
            </w:r>
            <w:r w:rsidR="00EB487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ber 2017).  Next reporting scheduled for January or February 2018.  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5ED7" w:rsidRDefault="00F45ED7" w:rsidP="00F45ED7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ED7" w:rsidRPr="009D2F5A" w:rsidRDefault="00EB487E" w:rsidP="00EB487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320F28" w:rsidRPr="00E367B7" w:rsidTr="00EB2536">
        <w:trPr>
          <w:trHeight w:val="496"/>
        </w:trPr>
        <w:tc>
          <w:tcPr>
            <w:tcW w:w="1283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0F28" w:rsidRPr="00320F28" w:rsidRDefault="00320F28" w:rsidP="00EB2536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from the meeting</w:t>
            </w:r>
            <w:r w:rsidR="00F53E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EB2536">
              <w:rPr>
                <w:rFonts w:ascii="Arial" w:hAnsi="Arial" w:cs="Arial"/>
                <w:b/>
                <w:sz w:val="24"/>
                <w:szCs w:val="24"/>
              </w:rPr>
              <w:t>28 June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F53E6F">
              <w:rPr>
                <w:rFonts w:ascii="Arial" w:hAnsi="Arial" w:cs="Arial"/>
                <w:b/>
                <w:sz w:val="24"/>
                <w:szCs w:val="24"/>
              </w:rPr>
              <w:t xml:space="preserve"> and 26 July 2017</w:t>
            </w:r>
          </w:p>
        </w:tc>
      </w:tr>
      <w:tr w:rsidR="00A20E25" w:rsidRPr="00E367B7" w:rsidTr="002F149B">
        <w:trPr>
          <w:trHeight w:val="60"/>
        </w:trPr>
        <w:tc>
          <w:tcPr>
            <w:tcW w:w="2197" w:type="dxa"/>
            <w:shd w:val="clear" w:color="auto" w:fill="F2F2F2" w:themeFill="background1" w:themeFillShade="F2"/>
          </w:tcPr>
          <w:p w:rsidR="00A20E25" w:rsidRPr="0021453E" w:rsidRDefault="00A20E25" w:rsidP="00F0440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E" w:rsidRPr="0021453E" w:rsidRDefault="0021453E" w:rsidP="00F0440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53E">
              <w:rPr>
                <w:rFonts w:ascii="Arial" w:hAnsi="Arial" w:cs="Arial"/>
                <w:sz w:val="24"/>
                <w:szCs w:val="24"/>
              </w:rPr>
              <w:t>BOD 100/17(b)</w:t>
            </w:r>
          </w:p>
        </w:tc>
        <w:tc>
          <w:tcPr>
            <w:tcW w:w="8351" w:type="dxa"/>
            <w:shd w:val="clear" w:color="auto" w:fill="F2F2F2" w:themeFill="background1" w:themeFillShade="F2"/>
          </w:tcPr>
          <w:p w:rsidR="00A20E25" w:rsidRPr="0021453E" w:rsidRDefault="0021453E" w:rsidP="00320F2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53E">
              <w:rPr>
                <w:rFonts w:ascii="Arial" w:hAnsi="Arial" w:cs="Arial"/>
                <w:b/>
                <w:bCs/>
                <w:sz w:val="24"/>
                <w:szCs w:val="24"/>
              </w:rPr>
              <w:t>Chronic Fatigue Syndrome/</w:t>
            </w:r>
            <w:proofErr w:type="spellStart"/>
            <w:r w:rsidRPr="0021453E">
              <w:rPr>
                <w:rFonts w:ascii="Arial" w:hAnsi="Arial" w:cs="Arial"/>
                <w:b/>
                <w:bCs/>
                <w:sz w:val="24"/>
                <w:szCs w:val="24"/>
              </w:rPr>
              <w:t>Myalgic</w:t>
            </w:r>
            <w:proofErr w:type="spellEnd"/>
            <w:r w:rsidRPr="002145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Encephalomyelitis (CFS/ME) service</w:t>
            </w:r>
          </w:p>
          <w:p w:rsidR="0021453E" w:rsidRDefault="0021453E" w:rsidP="00320F2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21453E">
              <w:rPr>
                <w:rFonts w:ascii="Arial" w:hAnsi="Arial" w:cs="Arial"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provide an update on determining</w:t>
            </w:r>
            <w:r w:rsidRPr="0021453E">
              <w:rPr>
                <w:rFonts w:ascii="Arial" w:hAnsi="Arial" w:cs="Arial"/>
                <w:bCs/>
                <w:sz w:val="24"/>
                <w:szCs w:val="24"/>
              </w:rPr>
              <w:t xml:space="preserve"> the pathway of care for CFS/ME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(for follow-up in a few months’ time after June 2017).  </w:t>
            </w:r>
          </w:p>
          <w:p w:rsidR="00A94445" w:rsidRPr="002F149B" w:rsidRDefault="0021453E" w:rsidP="00320F28">
            <w:p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lastRenderedPageBreak/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A5D41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on hold for update in </w:t>
            </w:r>
            <w:r w:rsidR="002F149B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January 2018. 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:rsidR="00A20E25" w:rsidRDefault="00A20E25" w:rsidP="00F0440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E" w:rsidRPr="0021453E" w:rsidRDefault="0021453E" w:rsidP="00F0440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</w:t>
            </w:r>
          </w:p>
        </w:tc>
      </w:tr>
      <w:tr w:rsidR="00F53E6F" w:rsidRPr="00E367B7" w:rsidTr="00EB2536">
        <w:trPr>
          <w:trHeight w:val="1340"/>
        </w:trPr>
        <w:tc>
          <w:tcPr>
            <w:tcW w:w="2197" w:type="dxa"/>
            <w:shd w:val="clear" w:color="auto" w:fill="F2F2F2" w:themeFill="background1" w:themeFillShade="F2"/>
          </w:tcPr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121/17(b)</w:t>
            </w:r>
          </w:p>
          <w:p w:rsidR="00EB487E" w:rsidRPr="0021453E" w:rsidRDefault="00EB487E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167/17(b)</w:t>
            </w:r>
          </w:p>
        </w:tc>
        <w:tc>
          <w:tcPr>
            <w:tcW w:w="8351" w:type="dxa"/>
            <w:shd w:val="clear" w:color="auto" w:fill="F2F2F2" w:themeFill="background1" w:themeFillShade="F2"/>
          </w:tcPr>
          <w:p w:rsidR="00F53E6F" w:rsidRDefault="00F53E6F" w:rsidP="00F53E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25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new structure for Operations </w:t>
            </w:r>
          </w:p>
          <w:p w:rsidR="00F53E6F" w:rsidRDefault="00F53E6F" w:rsidP="00F53E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2536">
              <w:rPr>
                <w:rFonts w:ascii="Arial" w:hAnsi="Arial" w:cs="Arial"/>
                <w:bCs/>
                <w:sz w:val="24"/>
                <w:szCs w:val="24"/>
              </w:rPr>
              <w:t xml:space="preserve">The Trust Chair requested that the Board continue to be kept updated on the development of the new structure for Operations.  </w:t>
            </w:r>
          </w:p>
          <w:p w:rsidR="002F149B" w:rsidRDefault="00F53E6F" w:rsidP="00EB487E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F14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closed – </w:t>
            </w:r>
            <w:r w:rsidR="002F149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the proposed new operating structure would be split into 4 operating divisions as follows: </w:t>
            </w:r>
          </w:p>
          <w:p w:rsidR="00F53E6F" w:rsidRDefault="002F149B" w:rsidP="002F14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Buckinghamshire Service</w:t>
            </w:r>
          </w:p>
          <w:p w:rsidR="002F149B" w:rsidRDefault="002F149B" w:rsidP="002F14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Oxfordshire Mental Health (including Swindon, Wiltshire and BaNES)</w:t>
            </w:r>
          </w:p>
          <w:p w:rsidR="002F149B" w:rsidRDefault="002F149B" w:rsidP="002F14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Oxfordshire Community Service</w:t>
            </w:r>
          </w:p>
          <w:p w:rsidR="002F149B" w:rsidRPr="002F149B" w:rsidRDefault="002F149B" w:rsidP="002F14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Specialist Services </w:t>
            </w:r>
          </w:p>
          <w:p w:rsidR="00A94445" w:rsidRPr="002F149B" w:rsidRDefault="002F149B" w:rsidP="002F149B">
            <w:p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The proposal will go to the Nomination, Remuneration and Terms of Service (NRATS) Committee. </w:t>
            </w:r>
            <w:r w:rsidR="00A9444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</w:t>
            </w:r>
          </w:p>
        </w:tc>
      </w:tr>
      <w:tr w:rsidR="00F53E6F" w:rsidRPr="00E367B7" w:rsidTr="000F6C76">
        <w:trPr>
          <w:trHeight w:val="596"/>
        </w:trPr>
        <w:tc>
          <w:tcPr>
            <w:tcW w:w="12834" w:type="dxa"/>
            <w:gridSpan w:val="3"/>
            <w:shd w:val="clear" w:color="auto" w:fill="auto"/>
          </w:tcPr>
          <w:p w:rsidR="00F53E6F" w:rsidRPr="00EB2536" w:rsidRDefault="00F53E6F" w:rsidP="0015264E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from the meeting on </w:t>
            </w:r>
            <w:r w:rsidR="0015264E">
              <w:rPr>
                <w:rFonts w:ascii="Arial" w:hAnsi="Arial" w:cs="Arial"/>
                <w:b/>
                <w:sz w:val="24"/>
                <w:szCs w:val="24"/>
              </w:rPr>
              <w:t>25 October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F53E6F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EB487E">
              <w:rPr>
                <w:rFonts w:ascii="Arial" w:hAnsi="Arial" w:cs="Arial"/>
                <w:sz w:val="24"/>
                <w:szCs w:val="24"/>
              </w:rPr>
              <w:t>166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  <w:r w:rsidR="00EB487E">
              <w:rPr>
                <w:rFonts w:ascii="Arial" w:hAnsi="Arial" w:cs="Arial"/>
                <w:sz w:val="24"/>
                <w:szCs w:val="24"/>
              </w:rPr>
              <w:t>(a</w:t>
            </w:r>
            <w:r w:rsidR="00FA5D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F53E6F" w:rsidRDefault="00EB487E" w:rsidP="00F53E6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Interests</w:t>
            </w:r>
          </w:p>
          <w:p w:rsidR="00FA5D41" w:rsidRDefault="00EB487E" w:rsidP="00F53E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Further updates to:</w:t>
            </w:r>
          </w:p>
          <w:p w:rsidR="00EB487E" w:rsidRDefault="00EB487E" w:rsidP="00EB487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87E">
              <w:rPr>
                <w:rFonts w:ascii="Arial" w:hAnsi="Arial" w:cs="Arial"/>
                <w:bCs/>
                <w:sz w:val="24"/>
                <w:szCs w:val="24"/>
              </w:rPr>
              <w:t xml:space="preserve">remove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Mike Bellamy’s</w:t>
            </w:r>
            <w:r w:rsidRPr="00EB487E">
              <w:rPr>
                <w:rFonts w:ascii="Arial" w:hAnsi="Arial" w:cs="Arial"/>
                <w:bCs/>
                <w:sz w:val="24"/>
                <w:szCs w:val="24"/>
              </w:rPr>
              <w:t xml:space="preserve"> interest in the University of West London as this was now time expired; and</w:t>
            </w:r>
          </w:p>
          <w:p w:rsidR="00EB487E" w:rsidRPr="00EB487E" w:rsidRDefault="00EB487E" w:rsidP="00EB487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487E">
              <w:rPr>
                <w:rFonts w:ascii="Arial" w:hAnsi="Arial" w:cs="Arial"/>
                <w:bCs/>
                <w:sz w:val="24"/>
                <w:szCs w:val="24"/>
              </w:rPr>
              <w:t>include updates from Sue Dopson.</w:t>
            </w:r>
          </w:p>
          <w:p w:rsidR="00F53E6F" w:rsidRPr="0021453E" w:rsidRDefault="00F53E6F" w:rsidP="00EB487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EB487E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complete and on the agenda for the meeting</w:t>
            </w:r>
          </w:p>
        </w:tc>
        <w:tc>
          <w:tcPr>
            <w:tcW w:w="2286" w:type="dxa"/>
            <w:shd w:val="clear" w:color="auto" w:fill="auto"/>
          </w:tcPr>
          <w:p w:rsidR="00F53E6F" w:rsidRDefault="00F53E6F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E6F" w:rsidRDefault="00EB487E" w:rsidP="00F53E6F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</w:tr>
      <w:tr w:rsidR="0015264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6809EE">
              <w:rPr>
                <w:rFonts w:ascii="Arial" w:hAnsi="Arial" w:cs="Arial"/>
                <w:sz w:val="24"/>
                <w:szCs w:val="24"/>
              </w:rPr>
              <w:t>170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  <w:r w:rsidR="006809EE">
              <w:rPr>
                <w:rFonts w:ascii="Arial" w:hAnsi="Arial" w:cs="Arial"/>
                <w:sz w:val="24"/>
                <w:szCs w:val="24"/>
              </w:rPr>
              <w:t>(f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15264E" w:rsidRDefault="006809EE" w:rsidP="001526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Performance reporting to transform practices</w:t>
            </w:r>
          </w:p>
          <w:p w:rsidR="0015264E" w:rsidRPr="00FA5D41" w:rsidRDefault="006809EE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try and identify how the </w:t>
            </w:r>
            <w:r w:rsidRPr="006809EE">
              <w:rPr>
                <w:rFonts w:ascii="Arial" w:hAnsi="Arial" w:cs="Arial"/>
                <w:bCs/>
                <w:sz w:val="24"/>
                <w:szCs w:val="24"/>
              </w:rPr>
              <w:t>Performance team could support teams to use the outcome of performance data to transform practices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e.g. through a report or a group. </w:t>
            </w:r>
          </w:p>
          <w:p w:rsidR="00A94445" w:rsidRPr="002F149B" w:rsidRDefault="0015264E" w:rsidP="0015264E">
            <w:p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F14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completed – </w:t>
            </w:r>
            <w:r w:rsidR="002F149B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on the agenda. </w:t>
            </w:r>
          </w:p>
        </w:tc>
        <w:tc>
          <w:tcPr>
            <w:tcW w:w="2286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6809E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  <w:tr w:rsidR="0015264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6809EE">
              <w:rPr>
                <w:rFonts w:ascii="Arial" w:hAnsi="Arial" w:cs="Arial"/>
                <w:sz w:val="24"/>
                <w:szCs w:val="24"/>
              </w:rPr>
              <w:t>170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  <w:r w:rsidR="006809EE">
              <w:rPr>
                <w:rFonts w:ascii="Arial" w:hAnsi="Arial" w:cs="Arial"/>
                <w:sz w:val="24"/>
                <w:szCs w:val="24"/>
              </w:rPr>
              <w:t>(h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15264E" w:rsidRDefault="006809EE" w:rsidP="001526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Delayed Transfers of Care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DToCs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 briefing</w:t>
            </w:r>
          </w:p>
          <w:p w:rsidR="0015264E" w:rsidRPr="00FA5D41" w:rsidRDefault="006809EE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next Board Seminar to receive a wider system briefing on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DToCs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A94445" w:rsidRPr="00A94445" w:rsidRDefault="0015264E" w:rsidP="006809EE">
            <w:pPr>
              <w:jc w:val="both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6809EE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completed – </w:t>
            </w:r>
            <w:r w:rsidR="006809E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at the Board Seminar on 15 November 2017. </w:t>
            </w:r>
          </w:p>
        </w:tc>
        <w:tc>
          <w:tcPr>
            <w:tcW w:w="2286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6809E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</w:tr>
      <w:tr w:rsidR="00E8453B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E8453B" w:rsidRDefault="00E8453B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53B" w:rsidRDefault="00E8453B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172/17(h)</w:t>
            </w:r>
          </w:p>
        </w:tc>
        <w:tc>
          <w:tcPr>
            <w:tcW w:w="8351" w:type="dxa"/>
          </w:tcPr>
          <w:p w:rsidR="00E8453B" w:rsidRDefault="00E8453B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Whistleblowing reporting to be included in Workforce reporting</w:t>
            </w:r>
          </w:p>
          <w:p w:rsidR="00E8453B" w:rsidRDefault="00E8453B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include reporting on whistleblowing as part of the regular Workforce Performance Report to Board. </w:t>
            </w:r>
          </w:p>
          <w:p w:rsidR="00A94445" w:rsidRPr="002F149B" w:rsidRDefault="00E8453B" w:rsidP="0015264E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F14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completed. </w:t>
            </w:r>
          </w:p>
        </w:tc>
        <w:tc>
          <w:tcPr>
            <w:tcW w:w="2286" w:type="dxa"/>
            <w:shd w:val="clear" w:color="auto" w:fill="auto"/>
          </w:tcPr>
          <w:p w:rsidR="00E8453B" w:rsidRDefault="00E8453B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53B" w:rsidRDefault="00E8453B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MME</w:t>
            </w:r>
          </w:p>
        </w:tc>
      </w:tr>
      <w:tr w:rsidR="0015264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816B43">
              <w:rPr>
                <w:rFonts w:ascii="Arial" w:hAnsi="Arial" w:cs="Arial"/>
                <w:sz w:val="24"/>
                <w:szCs w:val="24"/>
              </w:rPr>
              <w:t>173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  <w:r w:rsidR="00816B43">
              <w:rPr>
                <w:rFonts w:ascii="Arial" w:hAnsi="Arial" w:cs="Arial"/>
                <w:sz w:val="24"/>
                <w:szCs w:val="24"/>
              </w:rPr>
              <w:t>(e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351" w:type="dxa"/>
          </w:tcPr>
          <w:p w:rsidR="0015264E" w:rsidRDefault="00816B43" w:rsidP="001526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Themes for learning from review of deaths – Quality Account</w:t>
            </w:r>
          </w:p>
          <w:p w:rsidR="0015264E" w:rsidRPr="00FA5D41" w:rsidRDefault="00816B43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check that themes for learning from the review of deaths were reflected in the Quality Account.  </w:t>
            </w:r>
          </w:p>
          <w:p w:rsidR="002F149B" w:rsidRPr="00816B43" w:rsidRDefault="0015264E" w:rsidP="002F149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F14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completed</w:t>
            </w:r>
            <w:r w:rsidR="00816B4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:rsidR="00A94445" w:rsidRPr="00816B43" w:rsidRDefault="00A94445" w:rsidP="00816B4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816B43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15264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816B43">
              <w:rPr>
                <w:rFonts w:ascii="Arial" w:hAnsi="Arial" w:cs="Arial"/>
                <w:sz w:val="24"/>
                <w:szCs w:val="24"/>
              </w:rPr>
              <w:t>175</w:t>
            </w:r>
            <w:r>
              <w:rPr>
                <w:rFonts w:ascii="Arial" w:hAnsi="Arial" w:cs="Arial"/>
                <w:sz w:val="24"/>
                <w:szCs w:val="24"/>
              </w:rPr>
              <w:t>/17(d)</w:t>
            </w:r>
          </w:p>
        </w:tc>
        <w:tc>
          <w:tcPr>
            <w:tcW w:w="8351" w:type="dxa"/>
          </w:tcPr>
          <w:p w:rsidR="0015264E" w:rsidRDefault="00816B43" w:rsidP="001526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Patient Story – Learning Disability service</w:t>
            </w:r>
          </w:p>
          <w:p w:rsidR="0015264E" w:rsidRPr="00FA5D41" w:rsidRDefault="00816B43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consider: 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sharing the patient story with local authorities/county councils; and (ii) using the theme around needing to support inter-generational transition within people’s lives in the Quality Account.   </w:t>
            </w:r>
            <w:r w:rsidRPr="00816B43">
              <w:rPr>
                <w:rFonts w:ascii="Arial" w:hAnsi="Arial" w:cs="Arial"/>
                <w:bCs/>
                <w:sz w:val="24"/>
                <w:szCs w:val="24"/>
              </w:rPr>
              <w:t>It should be predictable that as service users and carers aged, they would transition i</w:t>
            </w:r>
            <w:r>
              <w:rPr>
                <w:rFonts w:ascii="Arial" w:hAnsi="Arial" w:cs="Arial"/>
                <w:bCs/>
                <w:sz w:val="24"/>
                <w:szCs w:val="24"/>
              </w:rPr>
              <w:t>nto needing different support; this could feed into the Quality Account</w:t>
            </w:r>
            <w:r w:rsidRPr="00816B43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94445" w:rsidRPr="0021453E" w:rsidRDefault="0015264E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F14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completed</w:t>
            </w:r>
            <w:r w:rsidR="00ED5686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816B43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</w:tr>
      <w:tr w:rsidR="0015264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883119">
              <w:rPr>
                <w:rFonts w:ascii="Arial" w:hAnsi="Arial" w:cs="Arial"/>
                <w:sz w:val="24"/>
                <w:szCs w:val="24"/>
              </w:rPr>
              <w:t>176</w:t>
            </w:r>
            <w:r>
              <w:rPr>
                <w:rFonts w:ascii="Arial" w:hAnsi="Arial" w:cs="Arial"/>
                <w:sz w:val="24"/>
                <w:szCs w:val="24"/>
              </w:rPr>
              <w:t>/17(d)</w:t>
            </w:r>
          </w:p>
        </w:tc>
        <w:tc>
          <w:tcPr>
            <w:tcW w:w="8351" w:type="dxa"/>
          </w:tcPr>
          <w:p w:rsidR="0015264E" w:rsidRDefault="00883119" w:rsidP="001526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Workforce Performance Report </w:t>
            </w:r>
          </w:p>
          <w:p w:rsidR="0015264E" w:rsidRPr="00FA5D41" w:rsidRDefault="00DF3D52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provided more information </w:t>
            </w:r>
            <w:r w:rsidRPr="00DF3D52">
              <w:rPr>
                <w:rFonts w:ascii="Arial" w:hAnsi="Arial" w:cs="Arial"/>
                <w:bCs/>
                <w:sz w:val="24"/>
                <w:szCs w:val="24"/>
              </w:rPr>
              <w:t xml:space="preserve">about the cost to the Trust to meet staffing requirements as a result of increased demand and how increased patient acuity and workload pressures related to increased usage of agency staff.  </w:t>
            </w:r>
          </w:p>
          <w:p w:rsidR="00A94445" w:rsidRPr="002F149B" w:rsidRDefault="0015264E" w:rsidP="002F149B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F149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completed</w:t>
            </w:r>
            <w:r w:rsidR="00A9444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DF3D52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MME</w:t>
            </w:r>
          </w:p>
        </w:tc>
      </w:tr>
      <w:tr w:rsidR="0015264E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 </w:t>
            </w:r>
            <w:r w:rsidR="00DF3D52"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>/17</w:t>
            </w:r>
            <w:r w:rsidR="00DF3D52">
              <w:rPr>
                <w:rFonts w:ascii="Arial" w:hAnsi="Arial" w:cs="Arial"/>
                <w:sz w:val="24"/>
                <w:szCs w:val="24"/>
              </w:rPr>
              <w:t>(b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F3D52">
              <w:rPr>
                <w:rFonts w:ascii="Arial" w:hAnsi="Arial" w:cs="Arial"/>
                <w:sz w:val="24"/>
                <w:szCs w:val="24"/>
              </w:rPr>
              <w:t>-(c)</w:t>
            </w:r>
          </w:p>
        </w:tc>
        <w:tc>
          <w:tcPr>
            <w:tcW w:w="8351" w:type="dxa"/>
          </w:tcPr>
          <w:p w:rsidR="0015264E" w:rsidRDefault="00DF3D52" w:rsidP="0015264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Board Assurance Framework (BAF)</w:t>
            </w:r>
          </w:p>
          <w:p w:rsidR="0015264E" w:rsidRDefault="00DF3D52" w:rsidP="0015264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update the following:</w:t>
            </w:r>
          </w:p>
          <w:p w:rsidR="00DF3D52" w:rsidRDefault="00DF3D52" w:rsidP="00DF3D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52">
              <w:rPr>
                <w:rFonts w:ascii="Arial" w:hAnsi="Arial" w:cs="Arial"/>
                <w:bCs/>
                <w:sz w:val="24"/>
                <w:szCs w:val="24"/>
              </w:rPr>
              <w:t xml:space="preserve">risk at SO 2.3 around financial exposure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separate out the</w:t>
            </w:r>
            <w:r w:rsidRPr="00DF3D52">
              <w:rPr>
                <w:rFonts w:ascii="Arial" w:hAnsi="Arial" w:cs="Arial"/>
                <w:bCs/>
                <w:sz w:val="24"/>
                <w:szCs w:val="24"/>
              </w:rPr>
              <w:t xml:space="preserve"> risk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relating to achievement of CIP; and</w:t>
            </w:r>
          </w:p>
          <w:p w:rsidR="00DF3D52" w:rsidRPr="00DF3D52" w:rsidRDefault="00DF3D52" w:rsidP="00DF3D5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3D52">
              <w:rPr>
                <w:rFonts w:ascii="Arial" w:hAnsi="Arial" w:cs="Arial"/>
                <w:bCs/>
                <w:sz w:val="24"/>
                <w:szCs w:val="24"/>
              </w:rPr>
              <w:t xml:space="preserve">workforce risks at SO 5.1(A&amp;B) and 5.2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revise</w:t>
            </w:r>
            <w:r w:rsidRPr="00DF3D52">
              <w:rPr>
                <w:rFonts w:ascii="Arial" w:hAnsi="Arial" w:cs="Arial"/>
                <w:bCs/>
                <w:sz w:val="24"/>
                <w:szCs w:val="24"/>
              </w:rPr>
              <w:t xml:space="preserve"> narrative and description </w:t>
            </w:r>
          </w:p>
          <w:p w:rsidR="0015264E" w:rsidRPr="00DF3D52" w:rsidRDefault="0015264E" w:rsidP="00DF3D52">
            <w:pPr>
              <w:jc w:val="both"/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DF3D52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in progress </w:t>
            </w:r>
            <w:r w:rsidR="00DF3D52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– for next BAF update January 2018. </w:t>
            </w:r>
          </w:p>
        </w:tc>
        <w:tc>
          <w:tcPr>
            <w:tcW w:w="2286" w:type="dxa"/>
            <w:shd w:val="clear" w:color="auto" w:fill="auto"/>
          </w:tcPr>
          <w:p w:rsidR="0015264E" w:rsidRDefault="0015264E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64E" w:rsidRDefault="00DF3D52" w:rsidP="0015264E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</w:tr>
      <w:tr w:rsidR="002F149B" w:rsidRPr="00E367B7" w:rsidTr="002F149B">
        <w:trPr>
          <w:trHeight w:val="553"/>
        </w:trPr>
        <w:tc>
          <w:tcPr>
            <w:tcW w:w="12834" w:type="dxa"/>
            <w:gridSpan w:val="3"/>
            <w:shd w:val="clear" w:color="auto" w:fill="auto"/>
          </w:tcPr>
          <w:p w:rsidR="002F149B" w:rsidRDefault="002F149B" w:rsidP="002F149B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from the meeting on 25 October 2017</w:t>
            </w:r>
          </w:p>
        </w:tc>
      </w:tr>
      <w:tr w:rsidR="002F149B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187/17(a)</w:t>
            </w:r>
          </w:p>
        </w:tc>
        <w:tc>
          <w:tcPr>
            <w:tcW w:w="8351" w:type="dxa"/>
          </w:tcPr>
          <w:p w:rsidR="002F149B" w:rsidRPr="00510E9F" w:rsidRDefault="002F149B" w:rsidP="002F149B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510E9F">
              <w:rPr>
                <w:rFonts w:ascii="Arial" w:hAnsi="Arial" w:cs="Arial"/>
                <w:b/>
                <w:bCs/>
              </w:rPr>
              <w:t>Declarations of Interests</w:t>
            </w:r>
          </w:p>
          <w:p w:rsidR="002F149B" w:rsidRPr="00510E9F" w:rsidRDefault="002F149B" w:rsidP="002F149B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510E9F">
              <w:rPr>
                <w:rFonts w:ascii="Arial" w:hAnsi="Arial" w:cs="Arial"/>
                <w:bCs/>
              </w:rPr>
              <w:t xml:space="preserve">The Chair presented the report BOD 142/2017 which set out the Register of Directors’ Interests.  The Board noted the following updates to make: </w:t>
            </w:r>
          </w:p>
          <w:p w:rsidR="002F149B" w:rsidRPr="00510E9F" w:rsidRDefault="002F149B" w:rsidP="002F149B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0E9F">
              <w:rPr>
                <w:rFonts w:ascii="Arial" w:hAnsi="Arial" w:cs="Arial"/>
                <w:bCs/>
                <w:sz w:val="24"/>
                <w:szCs w:val="24"/>
              </w:rPr>
              <w:t>remove Alyson Coates interest in Oxford Brookes University as her term as governor had ended; and</w:t>
            </w:r>
          </w:p>
          <w:p w:rsidR="002F149B" w:rsidRDefault="002F149B" w:rsidP="003E5CA2">
            <w:pPr>
              <w:pStyle w:val="ListParagraph"/>
              <w:keepNext/>
              <w:keepLines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0E9F">
              <w:rPr>
                <w:rFonts w:ascii="Arial" w:hAnsi="Arial" w:cs="Arial"/>
                <w:bCs/>
                <w:sz w:val="24"/>
                <w:szCs w:val="24"/>
              </w:rPr>
              <w:t>remove Chris Hurst’s interest in Healthcare Financial Management Association (HFMA) as he has stood down as a Board Trustee.</w:t>
            </w:r>
          </w:p>
          <w:p w:rsidR="003E5CA2" w:rsidRPr="003E5CA2" w:rsidRDefault="003E5CA2" w:rsidP="003E5CA2">
            <w:pPr>
              <w:pStyle w:val="ListParagraph"/>
              <w:keepNext/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E5CA2" w:rsidRPr="0021453E" w:rsidRDefault="003E5CA2" w:rsidP="003E5CA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tbc</w:t>
            </w:r>
          </w:p>
        </w:tc>
        <w:tc>
          <w:tcPr>
            <w:tcW w:w="2286" w:type="dxa"/>
            <w:shd w:val="clear" w:color="auto" w:fill="auto"/>
          </w:tcPr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</w:tr>
      <w:tr w:rsidR="002F149B" w:rsidRPr="00E367B7" w:rsidTr="00D8125D">
        <w:trPr>
          <w:trHeight w:val="1340"/>
        </w:trPr>
        <w:tc>
          <w:tcPr>
            <w:tcW w:w="2197" w:type="dxa"/>
            <w:shd w:val="clear" w:color="auto" w:fill="auto"/>
          </w:tcPr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190/17(o)</w:t>
            </w:r>
          </w:p>
        </w:tc>
        <w:tc>
          <w:tcPr>
            <w:tcW w:w="8351" w:type="dxa"/>
          </w:tcPr>
          <w:p w:rsidR="002F149B" w:rsidRPr="00510E9F" w:rsidRDefault="002F149B" w:rsidP="002F149B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</w:rPr>
            </w:pPr>
            <w:r w:rsidRPr="00510E9F">
              <w:rPr>
                <w:rFonts w:ascii="Arial" w:hAnsi="Arial" w:cs="Arial"/>
                <w:b/>
              </w:rPr>
              <w:t>General Data Protection Regulation (GDPR)</w:t>
            </w:r>
          </w:p>
          <w:p w:rsidR="002F149B" w:rsidRPr="003E5CA2" w:rsidRDefault="002F149B" w:rsidP="002F149B">
            <w:pPr>
              <w:tabs>
                <w:tab w:val="num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A2">
              <w:rPr>
                <w:rFonts w:ascii="Arial" w:hAnsi="Arial" w:cs="Arial"/>
                <w:sz w:val="24"/>
                <w:szCs w:val="24"/>
              </w:rPr>
              <w:t xml:space="preserve">The Trust Chair asked for an update on GDPR implementation </w:t>
            </w:r>
            <w:r w:rsidR="003E5CA2" w:rsidRPr="003E5CA2">
              <w:rPr>
                <w:rFonts w:ascii="Arial" w:hAnsi="Arial" w:cs="Arial"/>
                <w:sz w:val="24"/>
                <w:szCs w:val="24"/>
              </w:rPr>
              <w:t xml:space="preserve">at a future meeting. </w:t>
            </w:r>
          </w:p>
          <w:p w:rsidR="002F149B" w:rsidRPr="003E5CA2" w:rsidRDefault="003E5CA2" w:rsidP="003E5CA2">
            <w:pPr>
              <w:tabs>
                <w:tab w:val="num" w:pos="426"/>
              </w:tabs>
              <w:jc w:val="both"/>
              <w:rPr>
                <w:rFonts w:ascii="Arial" w:hAnsi="Arial" w:cs="Arial"/>
              </w:rPr>
            </w:pPr>
            <w:r w:rsidRPr="00800E8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Status: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tbc</w:t>
            </w:r>
          </w:p>
        </w:tc>
        <w:tc>
          <w:tcPr>
            <w:tcW w:w="2286" w:type="dxa"/>
            <w:shd w:val="clear" w:color="auto" w:fill="auto"/>
          </w:tcPr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</w:tr>
      <w:tr w:rsidR="002F149B" w:rsidRPr="00E367B7" w:rsidTr="003E5CA2">
        <w:trPr>
          <w:trHeight w:val="411"/>
        </w:trPr>
        <w:tc>
          <w:tcPr>
            <w:tcW w:w="2197" w:type="dxa"/>
            <w:shd w:val="clear" w:color="auto" w:fill="auto"/>
          </w:tcPr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 192/17 (f)</w:t>
            </w:r>
          </w:p>
        </w:tc>
        <w:tc>
          <w:tcPr>
            <w:tcW w:w="8351" w:type="dxa"/>
          </w:tcPr>
          <w:p w:rsidR="002F149B" w:rsidRPr="003E5CA2" w:rsidRDefault="002F149B" w:rsidP="002F149B">
            <w:pPr>
              <w:tabs>
                <w:tab w:val="num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5CA2">
              <w:rPr>
                <w:rFonts w:ascii="Arial" w:hAnsi="Arial" w:cs="Arial"/>
                <w:b/>
                <w:sz w:val="24"/>
                <w:szCs w:val="24"/>
              </w:rPr>
              <w:t xml:space="preserve">Performance Report </w:t>
            </w:r>
          </w:p>
          <w:p w:rsidR="002F149B" w:rsidRPr="003E5CA2" w:rsidRDefault="002F149B" w:rsidP="002F149B">
            <w:pPr>
              <w:tabs>
                <w:tab w:val="num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A2">
              <w:rPr>
                <w:rFonts w:ascii="Arial" w:hAnsi="Arial" w:cs="Arial"/>
                <w:sz w:val="24"/>
                <w:szCs w:val="24"/>
              </w:rPr>
              <w:t xml:space="preserve">It was agreed to undertake a deep dive of specific </w:t>
            </w:r>
            <w:r w:rsidR="003E5CA2" w:rsidRPr="003E5CA2"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  <w:r w:rsidRPr="003E5CA2">
              <w:rPr>
                <w:rFonts w:ascii="Arial" w:hAnsi="Arial" w:cs="Arial"/>
                <w:sz w:val="24"/>
                <w:szCs w:val="24"/>
              </w:rPr>
              <w:t xml:space="preserve">areas at the Caring and Responsive Quality Sub Committee and report back to Quality Committee and Board. The priority areas identified were: </w:t>
            </w:r>
          </w:p>
          <w:p w:rsidR="002F149B" w:rsidRPr="003E5CA2" w:rsidRDefault="002F149B" w:rsidP="002F149B">
            <w:pPr>
              <w:pStyle w:val="ListParagraph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A2">
              <w:rPr>
                <w:rFonts w:ascii="Arial" w:hAnsi="Arial" w:cs="Arial"/>
                <w:sz w:val="24"/>
                <w:szCs w:val="24"/>
              </w:rPr>
              <w:t>Out of Hours</w:t>
            </w:r>
          </w:p>
          <w:p w:rsidR="002F149B" w:rsidRPr="003E5CA2" w:rsidRDefault="002F149B" w:rsidP="002F149B">
            <w:pPr>
              <w:pStyle w:val="ListParagraph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A2">
              <w:rPr>
                <w:rFonts w:ascii="Arial" w:hAnsi="Arial" w:cs="Arial"/>
                <w:sz w:val="24"/>
                <w:szCs w:val="24"/>
              </w:rPr>
              <w:t xml:space="preserve">CAMHS Waiting Times </w:t>
            </w:r>
            <w:bookmarkStart w:id="0" w:name="_GoBack"/>
            <w:bookmarkEnd w:id="0"/>
          </w:p>
          <w:p w:rsidR="002F149B" w:rsidRPr="003E5CA2" w:rsidRDefault="002F149B" w:rsidP="002F149B">
            <w:pPr>
              <w:pStyle w:val="ListParagraph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A2">
              <w:rPr>
                <w:rFonts w:ascii="Arial" w:hAnsi="Arial" w:cs="Arial"/>
                <w:sz w:val="24"/>
                <w:szCs w:val="24"/>
              </w:rPr>
              <w:t>IAPT Waiting Times; and</w:t>
            </w:r>
          </w:p>
          <w:p w:rsidR="003E5CA2" w:rsidRPr="003E5CA2" w:rsidRDefault="002F149B" w:rsidP="003E5CA2">
            <w:pPr>
              <w:pStyle w:val="ListParagraph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CA2">
              <w:rPr>
                <w:rFonts w:ascii="Arial" w:hAnsi="Arial" w:cs="Arial"/>
                <w:sz w:val="24"/>
                <w:szCs w:val="24"/>
              </w:rPr>
              <w:t>Delayed Transfers of Care.</w:t>
            </w:r>
          </w:p>
          <w:p w:rsidR="003E5CA2" w:rsidRPr="003E5CA2" w:rsidRDefault="003E5CA2" w:rsidP="003E5C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</w:p>
          <w:p w:rsidR="003E5CA2" w:rsidRPr="0021453E" w:rsidRDefault="003E5CA2" w:rsidP="002F149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5CA2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lastRenderedPageBreak/>
              <w:t>Status: tbc</w:t>
            </w:r>
          </w:p>
        </w:tc>
        <w:tc>
          <w:tcPr>
            <w:tcW w:w="2286" w:type="dxa"/>
            <w:shd w:val="clear" w:color="auto" w:fill="auto"/>
          </w:tcPr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49B" w:rsidRDefault="002F149B" w:rsidP="002F149B">
            <w:pPr>
              <w:keepNext/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</w:tr>
    </w:tbl>
    <w:p w:rsidR="00633554" w:rsidRPr="00E367B7" w:rsidRDefault="00633554">
      <w:pPr>
        <w:rPr>
          <w:rFonts w:ascii="Arial" w:hAnsi="Arial" w:cs="Arial"/>
          <w:sz w:val="24"/>
          <w:szCs w:val="24"/>
        </w:rPr>
      </w:pPr>
    </w:p>
    <w:p w:rsidR="00C77EA6" w:rsidRPr="00E367B7" w:rsidRDefault="00C77EA6">
      <w:pPr>
        <w:rPr>
          <w:rFonts w:ascii="Arial" w:hAnsi="Arial" w:cs="Arial"/>
          <w:sz w:val="24"/>
          <w:szCs w:val="24"/>
        </w:rPr>
      </w:pPr>
    </w:p>
    <w:sectPr w:rsidR="00C77EA6" w:rsidRPr="00E367B7" w:rsidSect="000B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22" w:rsidRDefault="00FA1522" w:rsidP="000B2947">
      <w:pPr>
        <w:spacing w:after="0" w:line="240" w:lineRule="auto"/>
      </w:pPr>
      <w:r>
        <w:separator/>
      </w:r>
    </w:p>
  </w:endnote>
  <w:endnote w:type="continuationSeparator" w:id="0">
    <w:p w:rsidR="00FA1522" w:rsidRDefault="00FA1522" w:rsidP="000B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7" w:rsidRDefault="008A1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22" w:rsidRDefault="00861B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5CA2">
      <w:rPr>
        <w:noProof/>
      </w:rPr>
      <w:t>6</w:t>
    </w:r>
    <w:r>
      <w:rPr>
        <w:noProof/>
      </w:rPr>
      <w:fldChar w:fldCharType="end"/>
    </w:r>
  </w:p>
  <w:p w:rsidR="00FA1522" w:rsidRDefault="00FA1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7" w:rsidRDefault="008A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22" w:rsidRDefault="00FA1522" w:rsidP="000B2947">
      <w:pPr>
        <w:spacing w:after="0" w:line="240" w:lineRule="auto"/>
      </w:pPr>
      <w:r>
        <w:separator/>
      </w:r>
    </w:p>
  </w:footnote>
  <w:footnote w:type="continuationSeparator" w:id="0">
    <w:p w:rsidR="00FA1522" w:rsidRDefault="00FA1522" w:rsidP="000B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7" w:rsidRDefault="008A1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22" w:rsidRPr="007D06DC" w:rsidRDefault="003E5CA2" w:rsidP="000B2947">
    <w:pPr>
      <w:pStyle w:val="Header"/>
      <w:jc w:val="center"/>
    </w:pPr>
    <w:sdt>
      <w:sdtPr>
        <w:rPr>
          <w:i/>
        </w:rPr>
        <w:id w:val="-361673663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A1522">
      <w:rPr>
        <w:i/>
      </w:rPr>
      <w:t>PUBLIC</w:t>
    </w:r>
  </w:p>
  <w:p w:rsidR="00FA1522" w:rsidRPr="000B2947" w:rsidRDefault="00FA1522">
    <w:pPr>
      <w:pStyle w:val="Header"/>
      <w:rPr>
        <w:b/>
      </w:rPr>
    </w:pPr>
  </w:p>
  <w:p w:rsidR="00FA1522" w:rsidRDefault="00FA15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47" w:rsidRDefault="008A1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482"/>
    <w:multiLevelType w:val="hybridMultilevel"/>
    <w:tmpl w:val="79EA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17C"/>
    <w:multiLevelType w:val="hybridMultilevel"/>
    <w:tmpl w:val="7E3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CE4"/>
    <w:multiLevelType w:val="hybridMultilevel"/>
    <w:tmpl w:val="BBD2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E91"/>
    <w:multiLevelType w:val="hybridMultilevel"/>
    <w:tmpl w:val="77AEBDFA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21BC72FE"/>
    <w:multiLevelType w:val="hybridMultilevel"/>
    <w:tmpl w:val="919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A04"/>
    <w:multiLevelType w:val="hybridMultilevel"/>
    <w:tmpl w:val="09EC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66601"/>
    <w:multiLevelType w:val="hybridMultilevel"/>
    <w:tmpl w:val="E524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67214"/>
    <w:multiLevelType w:val="hybridMultilevel"/>
    <w:tmpl w:val="7D1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B3112"/>
    <w:multiLevelType w:val="hybridMultilevel"/>
    <w:tmpl w:val="9974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F32"/>
    <w:multiLevelType w:val="hybridMultilevel"/>
    <w:tmpl w:val="060C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80F"/>
    <w:multiLevelType w:val="hybridMultilevel"/>
    <w:tmpl w:val="9CDAC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34EF4"/>
    <w:multiLevelType w:val="hybridMultilevel"/>
    <w:tmpl w:val="3DB6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626C0"/>
    <w:multiLevelType w:val="hybridMultilevel"/>
    <w:tmpl w:val="7ACA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B4822"/>
    <w:multiLevelType w:val="hybridMultilevel"/>
    <w:tmpl w:val="F47C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7"/>
    <w:rsid w:val="000039B1"/>
    <w:rsid w:val="000072FC"/>
    <w:rsid w:val="0001129F"/>
    <w:rsid w:val="00015015"/>
    <w:rsid w:val="00024DA4"/>
    <w:rsid w:val="0003122D"/>
    <w:rsid w:val="00032E57"/>
    <w:rsid w:val="0004460B"/>
    <w:rsid w:val="00046EA9"/>
    <w:rsid w:val="00063257"/>
    <w:rsid w:val="00063421"/>
    <w:rsid w:val="000765F3"/>
    <w:rsid w:val="0007738F"/>
    <w:rsid w:val="000846EE"/>
    <w:rsid w:val="00087272"/>
    <w:rsid w:val="0009196B"/>
    <w:rsid w:val="000A2851"/>
    <w:rsid w:val="000B2947"/>
    <w:rsid w:val="000B69CF"/>
    <w:rsid w:val="000C6050"/>
    <w:rsid w:val="000D05CC"/>
    <w:rsid w:val="000D5592"/>
    <w:rsid w:val="000D7875"/>
    <w:rsid w:val="000E244A"/>
    <w:rsid w:val="000E3782"/>
    <w:rsid w:val="000E6B70"/>
    <w:rsid w:val="000F0B7F"/>
    <w:rsid w:val="000F48CF"/>
    <w:rsid w:val="000F7BD1"/>
    <w:rsid w:val="00105FDB"/>
    <w:rsid w:val="001120FD"/>
    <w:rsid w:val="00113F39"/>
    <w:rsid w:val="001219E0"/>
    <w:rsid w:val="001220D3"/>
    <w:rsid w:val="00131067"/>
    <w:rsid w:val="00135020"/>
    <w:rsid w:val="001431EB"/>
    <w:rsid w:val="00146CDC"/>
    <w:rsid w:val="0015264E"/>
    <w:rsid w:val="0015391E"/>
    <w:rsid w:val="00171162"/>
    <w:rsid w:val="00171A81"/>
    <w:rsid w:val="001722A7"/>
    <w:rsid w:val="001765E3"/>
    <w:rsid w:val="00191B83"/>
    <w:rsid w:val="001B0FB1"/>
    <w:rsid w:val="001B3DE2"/>
    <w:rsid w:val="001C5BD8"/>
    <w:rsid w:val="001D2759"/>
    <w:rsid w:val="001E16A4"/>
    <w:rsid w:val="0020141B"/>
    <w:rsid w:val="00201E3B"/>
    <w:rsid w:val="0020722B"/>
    <w:rsid w:val="0021453E"/>
    <w:rsid w:val="002258F6"/>
    <w:rsid w:val="00237F6F"/>
    <w:rsid w:val="00240701"/>
    <w:rsid w:val="00241AA6"/>
    <w:rsid w:val="00244F70"/>
    <w:rsid w:val="00245DC8"/>
    <w:rsid w:val="0025228D"/>
    <w:rsid w:val="0025331B"/>
    <w:rsid w:val="00253C8F"/>
    <w:rsid w:val="00261E54"/>
    <w:rsid w:val="00270AA5"/>
    <w:rsid w:val="002744DF"/>
    <w:rsid w:val="00282647"/>
    <w:rsid w:val="00282D3B"/>
    <w:rsid w:val="00285CC6"/>
    <w:rsid w:val="0029378C"/>
    <w:rsid w:val="002A0245"/>
    <w:rsid w:val="002A5A69"/>
    <w:rsid w:val="002B5341"/>
    <w:rsid w:val="002B57BD"/>
    <w:rsid w:val="002B64E3"/>
    <w:rsid w:val="002C0F68"/>
    <w:rsid w:val="002C6990"/>
    <w:rsid w:val="002D230C"/>
    <w:rsid w:val="002D6A88"/>
    <w:rsid w:val="002E50D9"/>
    <w:rsid w:val="002F149B"/>
    <w:rsid w:val="002F2524"/>
    <w:rsid w:val="002F2958"/>
    <w:rsid w:val="002F3B6B"/>
    <w:rsid w:val="002F6393"/>
    <w:rsid w:val="003033E1"/>
    <w:rsid w:val="00314CE7"/>
    <w:rsid w:val="00315081"/>
    <w:rsid w:val="00320F28"/>
    <w:rsid w:val="003305FC"/>
    <w:rsid w:val="0033178B"/>
    <w:rsid w:val="0033274C"/>
    <w:rsid w:val="00332CF8"/>
    <w:rsid w:val="00333439"/>
    <w:rsid w:val="00341BD4"/>
    <w:rsid w:val="003424EC"/>
    <w:rsid w:val="003515C3"/>
    <w:rsid w:val="003759F1"/>
    <w:rsid w:val="00376489"/>
    <w:rsid w:val="00380E7A"/>
    <w:rsid w:val="00383F5B"/>
    <w:rsid w:val="00384B7A"/>
    <w:rsid w:val="00385AA2"/>
    <w:rsid w:val="003871F3"/>
    <w:rsid w:val="00390FD5"/>
    <w:rsid w:val="00393728"/>
    <w:rsid w:val="00393AFE"/>
    <w:rsid w:val="00394139"/>
    <w:rsid w:val="003968B3"/>
    <w:rsid w:val="00397575"/>
    <w:rsid w:val="003B304C"/>
    <w:rsid w:val="003B5657"/>
    <w:rsid w:val="003C4F17"/>
    <w:rsid w:val="003C5DB1"/>
    <w:rsid w:val="003D05D4"/>
    <w:rsid w:val="003D313F"/>
    <w:rsid w:val="003E062D"/>
    <w:rsid w:val="003E28C6"/>
    <w:rsid w:val="003E5C3C"/>
    <w:rsid w:val="003E5CA2"/>
    <w:rsid w:val="003F2467"/>
    <w:rsid w:val="00425229"/>
    <w:rsid w:val="004266B5"/>
    <w:rsid w:val="0043745B"/>
    <w:rsid w:val="00440F72"/>
    <w:rsid w:val="004428C4"/>
    <w:rsid w:val="00452F7C"/>
    <w:rsid w:val="00456BE6"/>
    <w:rsid w:val="00465CD1"/>
    <w:rsid w:val="00466230"/>
    <w:rsid w:val="004830A7"/>
    <w:rsid w:val="004921A3"/>
    <w:rsid w:val="004938A0"/>
    <w:rsid w:val="004942A2"/>
    <w:rsid w:val="004B0D4D"/>
    <w:rsid w:val="004C26C4"/>
    <w:rsid w:val="004C759B"/>
    <w:rsid w:val="004D7E50"/>
    <w:rsid w:val="00505351"/>
    <w:rsid w:val="005077BE"/>
    <w:rsid w:val="005079BA"/>
    <w:rsid w:val="00511324"/>
    <w:rsid w:val="00511E10"/>
    <w:rsid w:val="0052154A"/>
    <w:rsid w:val="00522131"/>
    <w:rsid w:val="00525A57"/>
    <w:rsid w:val="00531123"/>
    <w:rsid w:val="0053224E"/>
    <w:rsid w:val="00537F66"/>
    <w:rsid w:val="00543314"/>
    <w:rsid w:val="00564AC4"/>
    <w:rsid w:val="0057412E"/>
    <w:rsid w:val="00581E04"/>
    <w:rsid w:val="005823B6"/>
    <w:rsid w:val="0059202C"/>
    <w:rsid w:val="00593FA0"/>
    <w:rsid w:val="00594955"/>
    <w:rsid w:val="005B3341"/>
    <w:rsid w:val="005B61CF"/>
    <w:rsid w:val="005C61CA"/>
    <w:rsid w:val="005D72E8"/>
    <w:rsid w:val="005D77EC"/>
    <w:rsid w:val="005E0E2E"/>
    <w:rsid w:val="005E5479"/>
    <w:rsid w:val="005F3233"/>
    <w:rsid w:val="005F70E9"/>
    <w:rsid w:val="00601E3D"/>
    <w:rsid w:val="006053AB"/>
    <w:rsid w:val="00610966"/>
    <w:rsid w:val="00611984"/>
    <w:rsid w:val="006128F5"/>
    <w:rsid w:val="00624C74"/>
    <w:rsid w:val="00627618"/>
    <w:rsid w:val="00633554"/>
    <w:rsid w:val="00635B3F"/>
    <w:rsid w:val="00635EA4"/>
    <w:rsid w:val="006439B2"/>
    <w:rsid w:val="006454AE"/>
    <w:rsid w:val="00652FAF"/>
    <w:rsid w:val="006617D3"/>
    <w:rsid w:val="00662143"/>
    <w:rsid w:val="006716E3"/>
    <w:rsid w:val="00674688"/>
    <w:rsid w:val="00674699"/>
    <w:rsid w:val="0067651E"/>
    <w:rsid w:val="006809EE"/>
    <w:rsid w:val="00687CBE"/>
    <w:rsid w:val="00693453"/>
    <w:rsid w:val="006946E2"/>
    <w:rsid w:val="00696E9F"/>
    <w:rsid w:val="00697032"/>
    <w:rsid w:val="006B064A"/>
    <w:rsid w:val="006B1EB2"/>
    <w:rsid w:val="006B7541"/>
    <w:rsid w:val="006D39B0"/>
    <w:rsid w:val="006D5CF2"/>
    <w:rsid w:val="006D6992"/>
    <w:rsid w:val="006E1DB4"/>
    <w:rsid w:val="006E6A38"/>
    <w:rsid w:val="00700062"/>
    <w:rsid w:val="0070258B"/>
    <w:rsid w:val="0072245F"/>
    <w:rsid w:val="00730438"/>
    <w:rsid w:val="0073197C"/>
    <w:rsid w:val="007336A4"/>
    <w:rsid w:val="00734966"/>
    <w:rsid w:val="0073683E"/>
    <w:rsid w:val="00745E5F"/>
    <w:rsid w:val="00747817"/>
    <w:rsid w:val="00754E78"/>
    <w:rsid w:val="00760A6A"/>
    <w:rsid w:val="00760C31"/>
    <w:rsid w:val="00762ED4"/>
    <w:rsid w:val="00763A8F"/>
    <w:rsid w:val="0076462F"/>
    <w:rsid w:val="00766A85"/>
    <w:rsid w:val="00767605"/>
    <w:rsid w:val="00772E26"/>
    <w:rsid w:val="00774CB7"/>
    <w:rsid w:val="00784E26"/>
    <w:rsid w:val="0078654D"/>
    <w:rsid w:val="0079185E"/>
    <w:rsid w:val="00793558"/>
    <w:rsid w:val="00795BB9"/>
    <w:rsid w:val="007A35B3"/>
    <w:rsid w:val="007B21CE"/>
    <w:rsid w:val="007B3FD6"/>
    <w:rsid w:val="007C3131"/>
    <w:rsid w:val="007C4C3A"/>
    <w:rsid w:val="007E3804"/>
    <w:rsid w:val="007E4BCB"/>
    <w:rsid w:val="007F0B5E"/>
    <w:rsid w:val="007F39F5"/>
    <w:rsid w:val="007F3D90"/>
    <w:rsid w:val="007F5F2E"/>
    <w:rsid w:val="008006A3"/>
    <w:rsid w:val="00800E83"/>
    <w:rsid w:val="0081463C"/>
    <w:rsid w:val="00816B43"/>
    <w:rsid w:val="00830260"/>
    <w:rsid w:val="00832469"/>
    <w:rsid w:val="008340D7"/>
    <w:rsid w:val="00834277"/>
    <w:rsid w:val="0083488F"/>
    <w:rsid w:val="008379EA"/>
    <w:rsid w:val="00837FCD"/>
    <w:rsid w:val="0084583C"/>
    <w:rsid w:val="00861BF3"/>
    <w:rsid w:val="008634A5"/>
    <w:rsid w:val="00865209"/>
    <w:rsid w:val="008734E5"/>
    <w:rsid w:val="008756CF"/>
    <w:rsid w:val="008757DA"/>
    <w:rsid w:val="008776D6"/>
    <w:rsid w:val="0088270F"/>
    <w:rsid w:val="00883119"/>
    <w:rsid w:val="00890CEB"/>
    <w:rsid w:val="00891EB1"/>
    <w:rsid w:val="0089273B"/>
    <w:rsid w:val="0089403F"/>
    <w:rsid w:val="008A1347"/>
    <w:rsid w:val="008A7296"/>
    <w:rsid w:val="008B2F3F"/>
    <w:rsid w:val="008F4C6C"/>
    <w:rsid w:val="00902503"/>
    <w:rsid w:val="00907DE9"/>
    <w:rsid w:val="00923288"/>
    <w:rsid w:val="0092378F"/>
    <w:rsid w:val="00926388"/>
    <w:rsid w:val="00927ED6"/>
    <w:rsid w:val="009313D1"/>
    <w:rsid w:val="00932058"/>
    <w:rsid w:val="00933452"/>
    <w:rsid w:val="00942C34"/>
    <w:rsid w:val="0094567F"/>
    <w:rsid w:val="00945911"/>
    <w:rsid w:val="009564BB"/>
    <w:rsid w:val="009650DE"/>
    <w:rsid w:val="00967974"/>
    <w:rsid w:val="00974BEC"/>
    <w:rsid w:val="009919D8"/>
    <w:rsid w:val="009B22B6"/>
    <w:rsid w:val="009C6599"/>
    <w:rsid w:val="009D23DA"/>
    <w:rsid w:val="009D2F5A"/>
    <w:rsid w:val="009E38B1"/>
    <w:rsid w:val="009E77B9"/>
    <w:rsid w:val="009E7C1A"/>
    <w:rsid w:val="00A15794"/>
    <w:rsid w:val="00A166C1"/>
    <w:rsid w:val="00A20E25"/>
    <w:rsid w:val="00A226AB"/>
    <w:rsid w:val="00A22825"/>
    <w:rsid w:val="00A24484"/>
    <w:rsid w:val="00A37FAC"/>
    <w:rsid w:val="00A43C8E"/>
    <w:rsid w:val="00A44287"/>
    <w:rsid w:val="00A44C56"/>
    <w:rsid w:val="00A5526F"/>
    <w:rsid w:val="00A71BDC"/>
    <w:rsid w:val="00A72B2B"/>
    <w:rsid w:val="00A802E6"/>
    <w:rsid w:val="00A94445"/>
    <w:rsid w:val="00AA1675"/>
    <w:rsid w:val="00AA2AD8"/>
    <w:rsid w:val="00AB249F"/>
    <w:rsid w:val="00AC008C"/>
    <w:rsid w:val="00AC76AD"/>
    <w:rsid w:val="00AD455C"/>
    <w:rsid w:val="00AD5AF4"/>
    <w:rsid w:val="00AD6F84"/>
    <w:rsid w:val="00B02AC5"/>
    <w:rsid w:val="00B25239"/>
    <w:rsid w:val="00B31870"/>
    <w:rsid w:val="00B33194"/>
    <w:rsid w:val="00B347C7"/>
    <w:rsid w:val="00B40958"/>
    <w:rsid w:val="00B410C3"/>
    <w:rsid w:val="00B658D5"/>
    <w:rsid w:val="00B724D9"/>
    <w:rsid w:val="00B7355C"/>
    <w:rsid w:val="00B81AE9"/>
    <w:rsid w:val="00B974C1"/>
    <w:rsid w:val="00BA09B8"/>
    <w:rsid w:val="00BA2DD3"/>
    <w:rsid w:val="00BA44E9"/>
    <w:rsid w:val="00BB62AB"/>
    <w:rsid w:val="00BC04F8"/>
    <w:rsid w:val="00BD4925"/>
    <w:rsid w:val="00BD5AFB"/>
    <w:rsid w:val="00BE2EFA"/>
    <w:rsid w:val="00BE3D89"/>
    <w:rsid w:val="00BE7491"/>
    <w:rsid w:val="00BF32AD"/>
    <w:rsid w:val="00C4205F"/>
    <w:rsid w:val="00C44D41"/>
    <w:rsid w:val="00C4763E"/>
    <w:rsid w:val="00C5206A"/>
    <w:rsid w:val="00C74867"/>
    <w:rsid w:val="00C77EA6"/>
    <w:rsid w:val="00C827B5"/>
    <w:rsid w:val="00C9522B"/>
    <w:rsid w:val="00C95A17"/>
    <w:rsid w:val="00C97CCE"/>
    <w:rsid w:val="00CC2ED9"/>
    <w:rsid w:val="00CD2283"/>
    <w:rsid w:val="00CD2855"/>
    <w:rsid w:val="00CE2874"/>
    <w:rsid w:val="00CE2D17"/>
    <w:rsid w:val="00D04035"/>
    <w:rsid w:val="00D07084"/>
    <w:rsid w:val="00D10B4E"/>
    <w:rsid w:val="00D121CE"/>
    <w:rsid w:val="00D14EC6"/>
    <w:rsid w:val="00D1503C"/>
    <w:rsid w:val="00D3669C"/>
    <w:rsid w:val="00D36BC0"/>
    <w:rsid w:val="00D42170"/>
    <w:rsid w:val="00D42D1A"/>
    <w:rsid w:val="00D443A0"/>
    <w:rsid w:val="00D6616A"/>
    <w:rsid w:val="00D66EAD"/>
    <w:rsid w:val="00D7197F"/>
    <w:rsid w:val="00D762F7"/>
    <w:rsid w:val="00D8125D"/>
    <w:rsid w:val="00D83FCB"/>
    <w:rsid w:val="00D84DC6"/>
    <w:rsid w:val="00D9768A"/>
    <w:rsid w:val="00DC0500"/>
    <w:rsid w:val="00DC18E2"/>
    <w:rsid w:val="00DC25AF"/>
    <w:rsid w:val="00DC3C3E"/>
    <w:rsid w:val="00DC54A2"/>
    <w:rsid w:val="00DD25CC"/>
    <w:rsid w:val="00DE4A99"/>
    <w:rsid w:val="00DF07E3"/>
    <w:rsid w:val="00DF3D52"/>
    <w:rsid w:val="00E00003"/>
    <w:rsid w:val="00E0184E"/>
    <w:rsid w:val="00E04E2F"/>
    <w:rsid w:val="00E06EED"/>
    <w:rsid w:val="00E11EFB"/>
    <w:rsid w:val="00E14469"/>
    <w:rsid w:val="00E21DA2"/>
    <w:rsid w:val="00E22C7A"/>
    <w:rsid w:val="00E32A06"/>
    <w:rsid w:val="00E34729"/>
    <w:rsid w:val="00E367B7"/>
    <w:rsid w:val="00E520A9"/>
    <w:rsid w:val="00E55CDA"/>
    <w:rsid w:val="00E60C6D"/>
    <w:rsid w:val="00E62690"/>
    <w:rsid w:val="00E707C9"/>
    <w:rsid w:val="00E7308C"/>
    <w:rsid w:val="00E76646"/>
    <w:rsid w:val="00E8453B"/>
    <w:rsid w:val="00E84671"/>
    <w:rsid w:val="00E95111"/>
    <w:rsid w:val="00E97685"/>
    <w:rsid w:val="00EA108C"/>
    <w:rsid w:val="00EB2536"/>
    <w:rsid w:val="00EB487E"/>
    <w:rsid w:val="00EB50AE"/>
    <w:rsid w:val="00EB5869"/>
    <w:rsid w:val="00EC11E7"/>
    <w:rsid w:val="00ED08CB"/>
    <w:rsid w:val="00ED16EA"/>
    <w:rsid w:val="00ED427A"/>
    <w:rsid w:val="00ED431D"/>
    <w:rsid w:val="00ED5686"/>
    <w:rsid w:val="00EE1AB5"/>
    <w:rsid w:val="00EE4894"/>
    <w:rsid w:val="00EF5115"/>
    <w:rsid w:val="00EF72CB"/>
    <w:rsid w:val="00F00297"/>
    <w:rsid w:val="00F019EB"/>
    <w:rsid w:val="00F0440B"/>
    <w:rsid w:val="00F1349A"/>
    <w:rsid w:val="00F13DE4"/>
    <w:rsid w:val="00F15D51"/>
    <w:rsid w:val="00F16822"/>
    <w:rsid w:val="00F16BE8"/>
    <w:rsid w:val="00F231AA"/>
    <w:rsid w:val="00F23544"/>
    <w:rsid w:val="00F25643"/>
    <w:rsid w:val="00F31E37"/>
    <w:rsid w:val="00F31EA2"/>
    <w:rsid w:val="00F331A9"/>
    <w:rsid w:val="00F36B10"/>
    <w:rsid w:val="00F37A2E"/>
    <w:rsid w:val="00F40768"/>
    <w:rsid w:val="00F4139E"/>
    <w:rsid w:val="00F45ED7"/>
    <w:rsid w:val="00F50EBF"/>
    <w:rsid w:val="00F51049"/>
    <w:rsid w:val="00F51778"/>
    <w:rsid w:val="00F5356D"/>
    <w:rsid w:val="00F53E6F"/>
    <w:rsid w:val="00F56435"/>
    <w:rsid w:val="00F57D46"/>
    <w:rsid w:val="00F65D26"/>
    <w:rsid w:val="00F65FF2"/>
    <w:rsid w:val="00F77BBC"/>
    <w:rsid w:val="00F87CBE"/>
    <w:rsid w:val="00F907A0"/>
    <w:rsid w:val="00FA1522"/>
    <w:rsid w:val="00FA5D41"/>
    <w:rsid w:val="00FC07BA"/>
    <w:rsid w:val="00FC7547"/>
    <w:rsid w:val="00FD4AAA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CD8C7"/>
  <w15:docId w15:val="{FBE675F2-5D0B-4FC8-A486-4069706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35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B29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2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47"/>
  </w:style>
  <w:style w:type="paragraph" w:styleId="BalloonText">
    <w:name w:val="Balloon Text"/>
    <w:basedOn w:val="Normal"/>
    <w:link w:val="BalloonTextChar"/>
    <w:uiPriority w:val="99"/>
    <w:semiHidden/>
    <w:unhideWhenUsed/>
    <w:rsid w:val="009E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chine.anyaegbu</dc:creator>
  <cp:lastModifiedBy>Smith Lauraj (RNU) Oxford Health</cp:lastModifiedBy>
  <cp:revision>3</cp:revision>
  <cp:lastPrinted>2015-04-14T14:09:00Z</cp:lastPrinted>
  <dcterms:created xsi:type="dcterms:W3CDTF">2018-01-10T10:00:00Z</dcterms:created>
  <dcterms:modified xsi:type="dcterms:W3CDTF">2018-01-10T10:17:00Z</dcterms:modified>
</cp:coreProperties>
</file>