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47" w:rsidRPr="002F149B" w:rsidRDefault="000B2947" w:rsidP="002F149B">
      <w:pPr>
        <w:jc w:val="center"/>
        <w:rPr>
          <w:rFonts w:ascii="Arial" w:hAnsi="Arial" w:cs="Arial"/>
          <w:b/>
          <w:i/>
          <w:color w:val="FF0000"/>
          <w:sz w:val="28"/>
          <w:szCs w:val="28"/>
        </w:rPr>
      </w:pPr>
      <w:r w:rsidRPr="000D759B">
        <w:rPr>
          <w:rFonts w:ascii="Arial" w:hAnsi="Arial" w:cs="Arial"/>
          <w:b/>
          <w:sz w:val="28"/>
          <w:szCs w:val="28"/>
        </w:rPr>
        <w:t xml:space="preserve">Summary of </w:t>
      </w:r>
      <w:r w:rsidRPr="00BE2EFA">
        <w:rPr>
          <w:rFonts w:ascii="Arial" w:hAnsi="Arial" w:cs="Arial"/>
          <w:b/>
          <w:sz w:val="28"/>
          <w:szCs w:val="28"/>
        </w:rPr>
        <w:t xml:space="preserve">Actions from </w:t>
      </w:r>
      <w:r w:rsidR="00AD455C">
        <w:rPr>
          <w:rFonts w:ascii="Arial" w:hAnsi="Arial" w:cs="Arial"/>
          <w:b/>
          <w:sz w:val="28"/>
          <w:szCs w:val="28"/>
        </w:rPr>
        <w:t xml:space="preserve">the </w:t>
      </w:r>
      <w:r w:rsidRPr="00BE2EFA">
        <w:rPr>
          <w:rFonts w:ascii="Arial" w:hAnsi="Arial" w:cs="Arial"/>
          <w:b/>
          <w:sz w:val="28"/>
          <w:szCs w:val="28"/>
        </w:rPr>
        <w:t xml:space="preserve">Board </w:t>
      </w:r>
      <w:r w:rsidR="000B69CF" w:rsidRPr="00BE2EFA">
        <w:rPr>
          <w:rFonts w:ascii="Arial" w:hAnsi="Arial" w:cs="Arial"/>
          <w:b/>
          <w:sz w:val="28"/>
          <w:szCs w:val="28"/>
        </w:rPr>
        <w:t>meeting</w:t>
      </w:r>
      <w:r w:rsidRPr="00BE2EFA">
        <w:rPr>
          <w:rFonts w:ascii="Arial" w:hAnsi="Arial" w:cs="Arial"/>
          <w:b/>
          <w:sz w:val="28"/>
          <w:szCs w:val="28"/>
        </w:rPr>
        <w:t xml:space="preserve"> </w:t>
      </w:r>
      <w:r w:rsidR="00E97685">
        <w:rPr>
          <w:rFonts w:ascii="Arial" w:hAnsi="Arial" w:cs="Arial"/>
          <w:b/>
          <w:sz w:val="28"/>
          <w:szCs w:val="28"/>
        </w:rPr>
        <w:t xml:space="preserve">on </w:t>
      </w:r>
      <w:r w:rsidR="00FB785F">
        <w:rPr>
          <w:rFonts w:ascii="Arial" w:hAnsi="Arial" w:cs="Arial"/>
          <w:b/>
          <w:sz w:val="28"/>
          <w:szCs w:val="28"/>
        </w:rPr>
        <w:t>31 January 2018</w:t>
      </w:r>
    </w:p>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2286"/>
      </w:tblGrid>
      <w:tr w:rsidR="000B2947" w:rsidRPr="00D3669C" w:rsidTr="00800E83">
        <w:trPr>
          <w:trHeight w:val="439"/>
        </w:trPr>
        <w:tc>
          <w:tcPr>
            <w:tcW w:w="2197"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8351"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2286" w:type="dxa"/>
            <w:tcBorders>
              <w:bottom w:val="single" w:sz="4" w:space="0" w:color="auto"/>
            </w:tcBorders>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09196B" w:rsidRPr="00E367B7" w:rsidTr="00800E83">
        <w:trPr>
          <w:trHeight w:val="453"/>
        </w:trPr>
        <w:tc>
          <w:tcPr>
            <w:tcW w:w="12834" w:type="dxa"/>
            <w:gridSpan w:val="3"/>
            <w:shd w:val="clear" w:color="auto" w:fill="F2F2F2" w:themeFill="background1" w:themeFillShade="F2"/>
          </w:tcPr>
          <w:p w:rsidR="0009196B" w:rsidRPr="0009196B" w:rsidRDefault="00800E83" w:rsidP="00320F28">
            <w:pPr>
              <w:keepNext/>
              <w:keepLines/>
              <w:rPr>
                <w:rFonts w:ascii="Arial" w:hAnsi="Arial" w:cs="Arial"/>
                <w:b/>
                <w:sz w:val="24"/>
                <w:szCs w:val="24"/>
              </w:rPr>
            </w:pPr>
            <w:r>
              <w:rPr>
                <w:rFonts w:ascii="Arial" w:hAnsi="Arial" w:cs="Arial"/>
                <w:b/>
                <w:sz w:val="24"/>
                <w:szCs w:val="24"/>
              </w:rPr>
              <w:br/>
            </w:r>
            <w:r w:rsidR="0009196B">
              <w:rPr>
                <w:rFonts w:ascii="Arial" w:hAnsi="Arial" w:cs="Arial"/>
                <w:b/>
                <w:sz w:val="24"/>
                <w:szCs w:val="24"/>
              </w:rPr>
              <w:t>Actions held over from previous meeting</w:t>
            </w:r>
            <w:r w:rsidR="00A20E25">
              <w:rPr>
                <w:rFonts w:ascii="Arial" w:hAnsi="Arial" w:cs="Arial"/>
                <w:b/>
                <w:sz w:val="24"/>
                <w:szCs w:val="24"/>
              </w:rPr>
              <w:t>s</w:t>
            </w:r>
            <w:r w:rsidR="0009196B">
              <w:rPr>
                <w:rFonts w:ascii="Arial" w:hAnsi="Arial" w:cs="Arial"/>
                <w:b/>
                <w:sz w:val="24"/>
                <w:szCs w:val="24"/>
              </w:rPr>
              <w:t xml:space="preserve"> on </w:t>
            </w:r>
            <w:r w:rsidR="00320F28">
              <w:rPr>
                <w:rFonts w:ascii="Arial" w:hAnsi="Arial" w:cs="Arial"/>
                <w:b/>
                <w:sz w:val="24"/>
                <w:szCs w:val="24"/>
              </w:rPr>
              <w:t>26 April</w:t>
            </w:r>
            <w:r w:rsidR="00A20E25">
              <w:rPr>
                <w:rFonts w:ascii="Arial" w:hAnsi="Arial" w:cs="Arial"/>
                <w:b/>
                <w:sz w:val="24"/>
                <w:szCs w:val="24"/>
              </w:rPr>
              <w:t xml:space="preserve"> and 24 May</w:t>
            </w:r>
            <w:r w:rsidR="0009196B">
              <w:rPr>
                <w:rFonts w:ascii="Arial" w:hAnsi="Arial" w:cs="Arial"/>
                <w:b/>
                <w:sz w:val="24"/>
                <w:szCs w:val="24"/>
              </w:rPr>
              <w:t xml:space="preserve"> 2017</w:t>
            </w:r>
          </w:p>
        </w:tc>
      </w:tr>
      <w:tr w:rsidR="00F45ED7" w:rsidRPr="00E367B7" w:rsidTr="00FB785F">
        <w:trPr>
          <w:trHeight w:val="1340"/>
        </w:trPr>
        <w:tc>
          <w:tcPr>
            <w:tcW w:w="2197" w:type="dxa"/>
            <w:tcBorders>
              <w:bottom w:val="single" w:sz="4" w:space="0" w:color="auto"/>
            </w:tcBorders>
            <w:shd w:val="clear" w:color="auto" w:fill="F2F2F2" w:themeFill="background1" w:themeFillShade="F2"/>
          </w:tcPr>
          <w:p w:rsidR="00F45ED7" w:rsidRDefault="00F45ED7" w:rsidP="00F45ED7">
            <w:pPr>
              <w:keepNext/>
              <w:keepLines/>
              <w:jc w:val="center"/>
              <w:rPr>
                <w:rFonts w:ascii="Arial" w:hAnsi="Arial" w:cs="Arial"/>
                <w:sz w:val="24"/>
                <w:szCs w:val="24"/>
              </w:rPr>
            </w:pPr>
          </w:p>
          <w:p w:rsidR="00B25239" w:rsidRDefault="00B25239" w:rsidP="00F45ED7">
            <w:pPr>
              <w:keepNext/>
              <w:keepLines/>
              <w:jc w:val="center"/>
              <w:rPr>
                <w:rFonts w:ascii="Arial" w:hAnsi="Arial" w:cs="Arial"/>
                <w:sz w:val="24"/>
                <w:szCs w:val="24"/>
              </w:rPr>
            </w:pPr>
            <w:r>
              <w:rPr>
                <w:rFonts w:ascii="Arial" w:hAnsi="Arial" w:cs="Arial"/>
                <w:sz w:val="24"/>
                <w:szCs w:val="24"/>
              </w:rPr>
              <w:t>BOD 60/17(h)</w:t>
            </w:r>
          </w:p>
          <w:p w:rsidR="00F45ED7" w:rsidRPr="009D2F5A" w:rsidRDefault="0053224E" w:rsidP="00F45ED7">
            <w:pPr>
              <w:keepNext/>
              <w:keepLines/>
              <w:jc w:val="center"/>
              <w:rPr>
                <w:rFonts w:ascii="Arial" w:hAnsi="Arial" w:cs="Arial"/>
                <w:sz w:val="24"/>
                <w:szCs w:val="24"/>
              </w:rPr>
            </w:pPr>
            <w:r>
              <w:rPr>
                <w:rFonts w:ascii="Arial" w:hAnsi="Arial" w:cs="Arial"/>
                <w:sz w:val="24"/>
                <w:szCs w:val="24"/>
              </w:rPr>
              <w:t>BOD 21</w:t>
            </w:r>
            <w:r w:rsidR="003D313F">
              <w:rPr>
                <w:rFonts w:ascii="Arial" w:hAnsi="Arial" w:cs="Arial"/>
                <w:sz w:val="24"/>
                <w:szCs w:val="24"/>
              </w:rPr>
              <w:t>/17</w:t>
            </w:r>
            <w:r w:rsidR="001765E3">
              <w:rPr>
                <w:rFonts w:ascii="Arial" w:hAnsi="Arial" w:cs="Arial"/>
                <w:sz w:val="24"/>
                <w:szCs w:val="24"/>
              </w:rPr>
              <w:t xml:space="preserve"> (b</w:t>
            </w:r>
            <w:r w:rsidR="00F45ED7">
              <w:rPr>
                <w:rFonts w:ascii="Arial" w:hAnsi="Arial" w:cs="Arial"/>
                <w:sz w:val="24"/>
                <w:szCs w:val="24"/>
              </w:rPr>
              <w:t>)</w:t>
            </w:r>
            <w:r w:rsidR="00865209">
              <w:rPr>
                <w:rFonts w:ascii="Arial" w:hAnsi="Arial" w:cs="Arial"/>
                <w:sz w:val="24"/>
                <w:szCs w:val="24"/>
              </w:rPr>
              <w:br/>
              <w:t>&amp;</w:t>
            </w:r>
            <w:r w:rsidR="00865209">
              <w:rPr>
                <w:rFonts w:ascii="Arial" w:hAnsi="Arial" w:cs="Arial"/>
                <w:sz w:val="24"/>
                <w:szCs w:val="24"/>
              </w:rPr>
              <w:br/>
              <w:t>BOD 32/17(b)</w:t>
            </w:r>
          </w:p>
        </w:tc>
        <w:tc>
          <w:tcPr>
            <w:tcW w:w="8351" w:type="dxa"/>
            <w:tcBorders>
              <w:bottom w:val="single" w:sz="4" w:space="0" w:color="auto"/>
            </w:tcBorders>
            <w:shd w:val="clear" w:color="auto" w:fill="F2F2F2" w:themeFill="background1" w:themeFillShade="F2"/>
          </w:tcPr>
          <w:p w:rsidR="00F45ED7" w:rsidRDefault="00385AA2" w:rsidP="00F45ED7">
            <w:pPr>
              <w:jc w:val="both"/>
              <w:rPr>
                <w:rFonts w:ascii="Arial" w:hAnsi="Arial" w:cs="Arial"/>
                <w:bCs/>
                <w:sz w:val="24"/>
                <w:szCs w:val="24"/>
              </w:rPr>
            </w:pPr>
            <w:r w:rsidRPr="00385AA2">
              <w:rPr>
                <w:rFonts w:ascii="Arial" w:hAnsi="Arial" w:cs="Arial"/>
                <w:b/>
                <w:bCs/>
                <w:sz w:val="24"/>
                <w:szCs w:val="24"/>
              </w:rPr>
              <w:t xml:space="preserve">Strategic Partnerships Report </w:t>
            </w:r>
            <w:r>
              <w:rPr>
                <w:rFonts w:ascii="Arial" w:hAnsi="Arial" w:cs="Arial"/>
                <w:b/>
                <w:bCs/>
                <w:sz w:val="24"/>
                <w:szCs w:val="24"/>
              </w:rPr>
              <w:t xml:space="preserve"> </w:t>
            </w:r>
          </w:p>
          <w:p w:rsidR="00385AA2" w:rsidRDefault="00385AA2" w:rsidP="00F45ED7">
            <w:pPr>
              <w:jc w:val="both"/>
              <w:rPr>
                <w:rFonts w:ascii="Arial" w:hAnsi="Arial" w:cs="Arial"/>
                <w:bCs/>
                <w:sz w:val="24"/>
                <w:szCs w:val="24"/>
              </w:rPr>
            </w:pPr>
            <w:r w:rsidRPr="00385AA2">
              <w:rPr>
                <w:rFonts w:ascii="Arial" w:hAnsi="Arial" w:cs="Arial"/>
                <w:bCs/>
                <w:sz w:val="24"/>
                <w:szCs w:val="24"/>
              </w:rPr>
              <w:t>Future reporting to include more evaluation of whether prog</w:t>
            </w:r>
            <w:r w:rsidR="0053224E">
              <w:rPr>
                <w:rFonts w:ascii="Arial" w:hAnsi="Arial" w:cs="Arial"/>
                <w:bCs/>
                <w:sz w:val="24"/>
                <w:szCs w:val="24"/>
              </w:rPr>
              <w:t xml:space="preserve">ress achieved was as expected.  Development </w:t>
            </w:r>
            <w:r w:rsidR="0053224E" w:rsidRPr="0053224E">
              <w:rPr>
                <w:rFonts w:ascii="Arial" w:hAnsi="Arial" w:cs="Arial"/>
                <w:bCs/>
                <w:sz w:val="24"/>
                <w:szCs w:val="24"/>
              </w:rPr>
              <w:t xml:space="preserve">pending completion of substantial reworking of all performance reporting due in the new financial year 2017/18.  </w:t>
            </w:r>
          </w:p>
          <w:p w:rsidR="00EB487E" w:rsidRPr="002F149B" w:rsidRDefault="00865209" w:rsidP="00FB785F">
            <w:pPr>
              <w:jc w:val="both"/>
              <w:rPr>
                <w:rFonts w:ascii="Arial" w:hAnsi="Arial" w:cs="Arial"/>
                <w:bCs/>
                <w:i/>
                <w:color w:val="FF0000"/>
                <w:sz w:val="24"/>
                <w:szCs w:val="24"/>
              </w:rPr>
            </w:pPr>
            <w:r>
              <w:rPr>
                <w:rFonts w:ascii="Arial" w:hAnsi="Arial" w:cs="Arial"/>
                <w:bCs/>
                <w:sz w:val="24"/>
                <w:szCs w:val="24"/>
              </w:rPr>
              <w:t>A</w:t>
            </w:r>
            <w:r w:rsidRPr="00865209">
              <w:rPr>
                <w:rFonts w:ascii="Arial" w:hAnsi="Arial" w:cs="Arial"/>
                <w:bCs/>
                <w:sz w:val="24"/>
                <w:szCs w:val="24"/>
              </w:rPr>
              <w:t xml:space="preserve">s reporting developed: the relative scale of the partnerships </w:t>
            </w:r>
            <w:r>
              <w:rPr>
                <w:rFonts w:ascii="Arial" w:hAnsi="Arial" w:cs="Arial"/>
                <w:bCs/>
                <w:sz w:val="24"/>
                <w:szCs w:val="24"/>
              </w:rPr>
              <w:t xml:space="preserve">to </w:t>
            </w:r>
            <w:r w:rsidRPr="00865209">
              <w:rPr>
                <w:rFonts w:ascii="Arial" w:hAnsi="Arial" w:cs="Arial"/>
                <w:bCs/>
                <w:sz w:val="24"/>
                <w:szCs w:val="24"/>
              </w:rPr>
              <w:t xml:space="preserve">be set out as these were quite diverse and some had </w:t>
            </w:r>
            <w:proofErr w:type="gramStart"/>
            <w:r w:rsidRPr="00865209">
              <w:rPr>
                <w:rFonts w:ascii="Arial" w:hAnsi="Arial" w:cs="Arial"/>
                <w:bCs/>
                <w:sz w:val="24"/>
                <w:szCs w:val="24"/>
              </w:rPr>
              <w:t>more long</w:t>
            </w:r>
            <w:proofErr w:type="gramEnd"/>
            <w:r w:rsidRPr="00865209">
              <w:rPr>
                <w:rFonts w:ascii="Arial" w:hAnsi="Arial" w:cs="Arial"/>
                <w:bCs/>
                <w:sz w:val="24"/>
                <w:szCs w:val="24"/>
              </w:rPr>
              <w:t xml:space="preserve"> term strategic objectives than others; consideration be given as to the governance and management arrangements in place to deliver on the partnerships; the amount of funding involved </w:t>
            </w:r>
            <w:r>
              <w:rPr>
                <w:rFonts w:ascii="Arial" w:hAnsi="Arial" w:cs="Arial"/>
                <w:bCs/>
                <w:sz w:val="24"/>
                <w:szCs w:val="24"/>
              </w:rPr>
              <w:t xml:space="preserve">to </w:t>
            </w:r>
            <w:r w:rsidRPr="00865209">
              <w:rPr>
                <w:rFonts w:ascii="Arial" w:hAnsi="Arial" w:cs="Arial"/>
                <w:bCs/>
                <w:sz w:val="24"/>
                <w:szCs w:val="24"/>
              </w:rPr>
              <w:t xml:space="preserve">be included; the amount of relative risk to the Trust </w:t>
            </w:r>
            <w:r>
              <w:rPr>
                <w:rFonts w:ascii="Arial" w:hAnsi="Arial" w:cs="Arial"/>
                <w:bCs/>
                <w:sz w:val="24"/>
                <w:szCs w:val="24"/>
              </w:rPr>
              <w:t xml:space="preserve">to </w:t>
            </w:r>
            <w:r w:rsidRPr="00865209">
              <w:rPr>
                <w:rFonts w:ascii="Arial" w:hAnsi="Arial" w:cs="Arial"/>
                <w:bCs/>
                <w:sz w:val="24"/>
                <w:szCs w:val="24"/>
              </w:rPr>
              <w:t xml:space="preserve">be included.  </w:t>
            </w:r>
            <w:r w:rsidR="00285CC6" w:rsidRPr="00285CC6">
              <w:rPr>
                <w:rFonts w:ascii="Arial" w:hAnsi="Arial" w:cs="Arial"/>
                <w:b/>
                <w:bCs/>
                <w:i/>
                <w:color w:val="FF0000"/>
                <w:sz w:val="24"/>
                <w:szCs w:val="24"/>
              </w:rPr>
              <w:t xml:space="preserve">Status: </w:t>
            </w:r>
            <w:r w:rsidR="00B25239">
              <w:rPr>
                <w:rFonts w:ascii="Arial" w:hAnsi="Arial" w:cs="Arial"/>
                <w:b/>
                <w:bCs/>
                <w:i/>
                <w:color w:val="FF0000"/>
                <w:sz w:val="24"/>
                <w:szCs w:val="24"/>
              </w:rPr>
              <w:t xml:space="preserve">in </w:t>
            </w:r>
            <w:r w:rsidR="00F65FF2">
              <w:rPr>
                <w:rFonts w:ascii="Arial" w:hAnsi="Arial" w:cs="Arial"/>
                <w:b/>
                <w:bCs/>
                <w:i/>
                <w:color w:val="FF0000"/>
                <w:sz w:val="24"/>
                <w:szCs w:val="24"/>
              </w:rPr>
              <w:t xml:space="preserve">progress </w:t>
            </w:r>
            <w:r>
              <w:rPr>
                <w:rFonts w:ascii="Arial" w:hAnsi="Arial" w:cs="Arial"/>
                <w:bCs/>
                <w:i/>
                <w:color w:val="FF0000"/>
                <w:sz w:val="24"/>
                <w:szCs w:val="24"/>
              </w:rPr>
              <w:t xml:space="preserve">– </w:t>
            </w:r>
            <w:r w:rsidR="00B25239">
              <w:rPr>
                <w:rFonts w:ascii="Arial" w:hAnsi="Arial" w:cs="Arial"/>
                <w:bCs/>
                <w:i/>
                <w:color w:val="FF0000"/>
                <w:sz w:val="24"/>
                <w:szCs w:val="24"/>
              </w:rPr>
              <w:t xml:space="preserve">action from February 2017 was </w:t>
            </w:r>
            <w:r>
              <w:rPr>
                <w:rFonts w:ascii="Arial" w:hAnsi="Arial" w:cs="Arial"/>
                <w:bCs/>
                <w:i/>
                <w:color w:val="FF0000"/>
                <w:sz w:val="24"/>
                <w:szCs w:val="24"/>
              </w:rPr>
              <w:t>pending reworking of performance reporting</w:t>
            </w:r>
            <w:r w:rsidR="00B25239">
              <w:rPr>
                <w:rFonts w:ascii="Arial" w:hAnsi="Arial" w:cs="Arial"/>
                <w:bCs/>
                <w:i/>
                <w:color w:val="FF0000"/>
                <w:sz w:val="24"/>
                <w:szCs w:val="24"/>
              </w:rPr>
              <w:t xml:space="preserve"> (as presented to the Board meeting on 26 April 2017 </w:t>
            </w:r>
            <w:r w:rsidR="00EB487E">
              <w:rPr>
                <w:rFonts w:ascii="Arial" w:hAnsi="Arial" w:cs="Arial"/>
                <w:bCs/>
                <w:i/>
                <w:color w:val="FF0000"/>
                <w:sz w:val="24"/>
                <w:szCs w:val="24"/>
              </w:rPr>
              <w:t>and to the</w:t>
            </w:r>
            <w:r w:rsidR="00EB2536">
              <w:rPr>
                <w:rFonts w:ascii="Arial" w:hAnsi="Arial" w:cs="Arial"/>
                <w:bCs/>
                <w:i/>
                <w:color w:val="FF0000"/>
                <w:sz w:val="24"/>
                <w:szCs w:val="24"/>
              </w:rPr>
              <w:t xml:space="preserve"> private meeting in </w:t>
            </w:r>
            <w:r w:rsidR="00C827B5">
              <w:rPr>
                <w:rFonts w:ascii="Arial" w:hAnsi="Arial" w:cs="Arial"/>
                <w:bCs/>
                <w:i/>
                <w:color w:val="FF0000"/>
                <w:sz w:val="24"/>
                <w:szCs w:val="24"/>
              </w:rPr>
              <w:t>Octo</w:t>
            </w:r>
            <w:r w:rsidR="00EB487E">
              <w:rPr>
                <w:rFonts w:ascii="Arial" w:hAnsi="Arial" w:cs="Arial"/>
                <w:bCs/>
                <w:i/>
                <w:color w:val="FF0000"/>
                <w:sz w:val="24"/>
                <w:szCs w:val="24"/>
              </w:rPr>
              <w:t xml:space="preserve">ber 2017).  </w:t>
            </w:r>
          </w:p>
        </w:tc>
        <w:tc>
          <w:tcPr>
            <w:tcW w:w="2286" w:type="dxa"/>
            <w:tcBorders>
              <w:bottom w:val="single" w:sz="4" w:space="0" w:color="auto"/>
            </w:tcBorders>
            <w:shd w:val="clear" w:color="auto" w:fill="F2F2F2" w:themeFill="background1" w:themeFillShade="F2"/>
          </w:tcPr>
          <w:p w:rsidR="00F45ED7" w:rsidRDefault="00F45ED7" w:rsidP="00F45ED7">
            <w:pPr>
              <w:keepNext/>
              <w:keepLines/>
              <w:jc w:val="center"/>
              <w:rPr>
                <w:rFonts w:ascii="Arial" w:hAnsi="Arial" w:cs="Arial"/>
                <w:sz w:val="24"/>
                <w:szCs w:val="24"/>
              </w:rPr>
            </w:pPr>
          </w:p>
          <w:p w:rsidR="00F45ED7" w:rsidRPr="009D2F5A" w:rsidRDefault="00EB487E" w:rsidP="00EB487E">
            <w:pPr>
              <w:keepNext/>
              <w:keepLines/>
              <w:jc w:val="center"/>
              <w:rPr>
                <w:rFonts w:ascii="Arial" w:hAnsi="Arial" w:cs="Arial"/>
                <w:sz w:val="24"/>
                <w:szCs w:val="24"/>
              </w:rPr>
            </w:pPr>
            <w:r>
              <w:rPr>
                <w:rFonts w:ascii="Arial" w:hAnsi="Arial" w:cs="Arial"/>
                <w:sz w:val="24"/>
                <w:szCs w:val="24"/>
              </w:rPr>
              <w:t>MW</w:t>
            </w:r>
          </w:p>
        </w:tc>
      </w:tr>
      <w:tr w:rsidR="00FB785F" w:rsidRPr="00E367B7" w:rsidTr="00FB785F">
        <w:trPr>
          <w:trHeight w:val="558"/>
        </w:trPr>
        <w:tc>
          <w:tcPr>
            <w:tcW w:w="12834" w:type="dxa"/>
            <w:gridSpan w:val="3"/>
            <w:shd w:val="clear" w:color="auto" w:fill="F2F2F2" w:themeFill="background1" w:themeFillShade="F2"/>
          </w:tcPr>
          <w:p w:rsidR="00FB785F" w:rsidRPr="00FB785F" w:rsidRDefault="00FB785F" w:rsidP="00FB785F">
            <w:pPr>
              <w:keepNext/>
              <w:keepLines/>
              <w:rPr>
                <w:rFonts w:ascii="Arial" w:hAnsi="Arial" w:cs="Arial"/>
                <w:b/>
                <w:sz w:val="24"/>
                <w:szCs w:val="24"/>
              </w:rPr>
            </w:pPr>
            <w:r>
              <w:rPr>
                <w:rFonts w:ascii="Arial" w:hAnsi="Arial" w:cs="Arial"/>
                <w:b/>
                <w:sz w:val="24"/>
                <w:szCs w:val="24"/>
              </w:rPr>
              <w:t>Actions held over from previous meeting on 25 October 2017</w:t>
            </w:r>
          </w:p>
        </w:tc>
      </w:tr>
      <w:tr w:rsidR="0015264E" w:rsidRPr="00E367B7" w:rsidTr="0018685D">
        <w:trPr>
          <w:trHeight w:val="1340"/>
        </w:trPr>
        <w:tc>
          <w:tcPr>
            <w:tcW w:w="2197" w:type="dxa"/>
            <w:tcBorders>
              <w:bottom w:val="single" w:sz="4" w:space="0" w:color="auto"/>
            </w:tcBorders>
            <w:shd w:val="clear" w:color="auto" w:fill="F2F2F2" w:themeFill="background1" w:themeFillShade="F2"/>
          </w:tcPr>
          <w:p w:rsidR="0015264E" w:rsidRDefault="0015264E" w:rsidP="0015264E">
            <w:pPr>
              <w:keepNext/>
              <w:keepLines/>
              <w:jc w:val="center"/>
              <w:rPr>
                <w:rFonts w:ascii="Arial" w:hAnsi="Arial" w:cs="Arial"/>
                <w:sz w:val="24"/>
                <w:szCs w:val="24"/>
              </w:rPr>
            </w:pPr>
          </w:p>
          <w:p w:rsidR="0015264E" w:rsidRDefault="0015264E" w:rsidP="0015264E">
            <w:pPr>
              <w:keepNext/>
              <w:keepLines/>
              <w:jc w:val="center"/>
              <w:rPr>
                <w:rFonts w:ascii="Arial" w:hAnsi="Arial" w:cs="Arial"/>
                <w:sz w:val="24"/>
                <w:szCs w:val="24"/>
              </w:rPr>
            </w:pPr>
            <w:r>
              <w:rPr>
                <w:rFonts w:ascii="Arial" w:hAnsi="Arial" w:cs="Arial"/>
                <w:sz w:val="24"/>
                <w:szCs w:val="24"/>
              </w:rPr>
              <w:t xml:space="preserve">BOD </w:t>
            </w:r>
            <w:r w:rsidR="00DF3D52">
              <w:rPr>
                <w:rFonts w:ascii="Arial" w:hAnsi="Arial" w:cs="Arial"/>
                <w:sz w:val="24"/>
                <w:szCs w:val="24"/>
              </w:rPr>
              <w:t>180</w:t>
            </w:r>
            <w:r>
              <w:rPr>
                <w:rFonts w:ascii="Arial" w:hAnsi="Arial" w:cs="Arial"/>
                <w:sz w:val="24"/>
                <w:szCs w:val="24"/>
              </w:rPr>
              <w:t>/17</w:t>
            </w:r>
            <w:r w:rsidR="00DF3D52">
              <w:rPr>
                <w:rFonts w:ascii="Arial" w:hAnsi="Arial" w:cs="Arial"/>
                <w:sz w:val="24"/>
                <w:szCs w:val="24"/>
              </w:rPr>
              <w:t>(b</w:t>
            </w:r>
            <w:r>
              <w:rPr>
                <w:rFonts w:ascii="Arial" w:hAnsi="Arial" w:cs="Arial"/>
                <w:sz w:val="24"/>
                <w:szCs w:val="24"/>
              </w:rPr>
              <w:t>)</w:t>
            </w:r>
            <w:r w:rsidR="00DF3D52">
              <w:rPr>
                <w:rFonts w:ascii="Arial" w:hAnsi="Arial" w:cs="Arial"/>
                <w:sz w:val="24"/>
                <w:szCs w:val="24"/>
              </w:rPr>
              <w:t>-(c)</w:t>
            </w:r>
          </w:p>
        </w:tc>
        <w:tc>
          <w:tcPr>
            <w:tcW w:w="8351" w:type="dxa"/>
            <w:tcBorders>
              <w:bottom w:val="single" w:sz="4" w:space="0" w:color="auto"/>
            </w:tcBorders>
            <w:shd w:val="clear" w:color="auto" w:fill="F2F2F2" w:themeFill="background1" w:themeFillShade="F2"/>
          </w:tcPr>
          <w:p w:rsidR="0015264E" w:rsidRDefault="00DF3D52" w:rsidP="0015264E">
            <w:pPr>
              <w:jc w:val="both"/>
              <w:rPr>
                <w:rFonts w:ascii="Arial" w:hAnsi="Arial" w:cs="Arial"/>
                <w:b/>
                <w:bCs/>
                <w:sz w:val="24"/>
                <w:szCs w:val="24"/>
              </w:rPr>
            </w:pPr>
            <w:r>
              <w:rPr>
                <w:rFonts w:ascii="Arial" w:hAnsi="Arial" w:cs="Arial"/>
                <w:b/>
                <w:bCs/>
                <w:sz w:val="24"/>
                <w:szCs w:val="24"/>
              </w:rPr>
              <w:t>Board Assurance Framework (BAF)</w:t>
            </w:r>
          </w:p>
          <w:p w:rsidR="0015264E" w:rsidRDefault="00DF3D52" w:rsidP="0015264E">
            <w:pPr>
              <w:jc w:val="both"/>
              <w:rPr>
                <w:rFonts w:ascii="Arial" w:hAnsi="Arial" w:cs="Arial"/>
                <w:bCs/>
                <w:sz w:val="24"/>
                <w:szCs w:val="24"/>
              </w:rPr>
            </w:pPr>
            <w:r>
              <w:rPr>
                <w:rFonts w:ascii="Arial" w:hAnsi="Arial" w:cs="Arial"/>
                <w:bCs/>
                <w:sz w:val="24"/>
                <w:szCs w:val="24"/>
              </w:rPr>
              <w:t>To update the following:</w:t>
            </w:r>
          </w:p>
          <w:p w:rsidR="00DF3D52" w:rsidRDefault="00DF3D52" w:rsidP="00DF3D52">
            <w:pPr>
              <w:pStyle w:val="ListParagraph"/>
              <w:numPr>
                <w:ilvl w:val="0"/>
                <w:numId w:val="11"/>
              </w:numPr>
              <w:jc w:val="both"/>
              <w:rPr>
                <w:rFonts w:ascii="Arial" w:hAnsi="Arial" w:cs="Arial"/>
                <w:bCs/>
                <w:sz w:val="24"/>
                <w:szCs w:val="24"/>
              </w:rPr>
            </w:pPr>
            <w:r w:rsidRPr="00DF3D52">
              <w:rPr>
                <w:rFonts w:ascii="Arial" w:hAnsi="Arial" w:cs="Arial"/>
                <w:bCs/>
                <w:sz w:val="24"/>
                <w:szCs w:val="24"/>
              </w:rPr>
              <w:t xml:space="preserve">risk at SO 2.3 around financial exposure </w:t>
            </w:r>
            <w:r>
              <w:rPr>
                <w:rFonts w:ascii="Arial" w:hAnsi="Arial" w:cs="Arial"/>
                <w:bCs/>
                <w:sz w:val="24"/>
                <w:szCs w:val="24"/>
              </w:rPr>
              <w:t>to separate out the</w:t>
            </w:r>
            <w:r w:rsidRPr="00DF3D52">
              <w:rPr>
                <w:rFonts w:ascii="Arial" w:hAnsi="Arial" w:cs="Arial"/>
                <w:bCs/>
                <w:sz w:val="24"/>
                <w:szCs w:val="24"/>
              </w:rPr>
              <w:t xml:space="preserve"> risk</w:t>
            </w:r>
            <w:r>
              <w:rPr>
                <w:rFonts w:ascii="Arial" w:hAnsi="Arial" w:cs="Arial"/>
                <w:bCs/>
                <w:sz w:val="24"/>
                <w:szCs w:val="24"/>
              </w:rPr>
              <w:t xml:space="preserve"> relating to achievement of CIP; and</w:t>
            </w:r>
          </w:p>
          <w:p w:rsidR="00DF3D52" w:rsidRPr="00DF3D52" w:rsidRDefault="00DF3D52" w:rsidP="00DF3D52">
            <w:pPr>
              <w:pStyle w:val="ListParagraph"/>
              <w:numPr>
                <w:ilvl w:val="0"/>
                <w:numId w:val="11"/>
              </w:numPr>
              <w:jc w:val="both"/>
              <w:rPr>
                <w:rFonts w:ascii="Arial" w:hAnsi="Arial" w:cs="Arial"/>
                <w:bCs/>
                <w:sz w:val="24"/>
                <w:szCs w:val="24"/>
              </w:rPr>
            </w:pPr>
            <w:r w:rsidRPr="00DF3D52">
              <w:rPr>
                <w:rFonts w:ascii="Arial" w:hAnsi="Arial" w:cs="Arial"/>
                <w:bCs/>
                <w:sz w:val="24"/>
                <w:szCs w:val="24"/>
              </w:rPr>
              <w:t xml:space="preserve">workforce risks at SO 5.1(A&amp;B) and 5.2 </w:t>
            </w:r>
            <w:r>
              <w:rPr>
                <w:rFonts w:ascii="Arial" w:hAnsi="Arial" w:cs="Arial"/>
                <w:bCs/>
                <w:sz w:val="24"/>
                <w:szCs w:val="24"/>
              </w:rPr>
              <w:t>to revise</w:t>
            </w:r>
            <w:r w:rsidRPr="00DF3D52">
              <w:rPr>
                <w:rFonts w:ascii="Arial" w:hAnsi="Arial" w:cs="Arial"/>
                <w:bCs/>
                <w:sz w:val="24"/>
                <w:szCs w:val="24"/>
              </w:rPr>
              <w:t xml:space="preserve"> narrative and description </w:t>
            </w:r>
          </w:p>
          <w:p w:rsidR="0015264E" w:rsidRPr="00DF3D52" w:rsidRDefault="0015264E" w:rsidP="00FB785F">
            <w:pPr>
              <w:jc w:val="both"/>
            </w:pPr>
            <w:r w:rsidRPr="00800E83">
              <w:rPr>
                <w:rFonts w:ascii="Arial" w:hAnsi="Arial" w:cs="Arial"/>
                <w:b/>
                <w:bCs/>
                <w:i/>
                <w:color w:val="FF0000"/>
                <w:sz w:val="24"/>
                <w:szCs w:val="24"/>
              </w:rPr>
              <w:t>Status:</w:t>
            </w:r>
            <w:r>
              <w:rPr>
                <w:rFonts w:ascii="Arial" w:hAnsi="Arial" w:cs="Arial"/>
                <w:b/>
                <w:bCs/>
                <w:i/>
                <w:color w:val="FF0000"/>
                <w:sz w:val="24"/>
                <w:szCs w:val="24"/>
              </w:rPr>
              <w:t xml:space="preserve"> </w:t>
            </w:r>
            <w:r w:rsidR="00DF3D52">
              <w:rPr>
                <w:rFonts w:ascii="Arial" w:hAnsi="Arial" w:cs="Arial"/>
                <w:b/>
                <w:bCs/>
                <w:i/>
                <w:color w:val="FF0000"/>
                <w:sz w:val="24"/>
                <w:szCs w:val="24"/>
              </w:rPr>
              <w:t xml:space="preserve">in progress </w:t>
            </w:r>
            <w:r w:rsidR="00DF3D52">
              <w:rPr>
                <w:rFonts w:ascii="Arial" w:hAnsi="Arial" w:cs="Arial"/>
                <w:bCs/>
                <w:i/>
                <w:color w:val="FF0000"/>
                <w:sz w:val="24"/>
                <w:szCs w:val="24"/>
              </w:rPr>
              <w:t xml:space="preserve">– for next BAF update </w:t>
            </w:r>
            <w:r w:rsidR="00FB785F">
              <w:rPr>
                <w:rFonts w:ascii="Arial" w:hAnsi="Arial" w:cs="Arial"/>
                <w:bCs/>
                <w:i/>
                <w:color w:val="FF0000"/>
                <w:sz w:val="24"/>
                <w:szCs w:val="24"/>
              </w:rPr>
              <w:t>April</w:t>
            </w:r>
            <w:r w:rsidR="00DF3D52">
              <w:rPr>
                <w:rFonts w:ascii="Arial" w:hAnsi="Arial" w:cs="Arial"/>
                <w:bCs/>
                <w:i/>
                <w:color w:val="FF0000"/>
                <w:sz w:val="24"/>
                <w:szCs w:val="24"/>
              </w:rPr>
              <w:t xml:space="preserve"> 2018. </w:t>
            </w:r>
          </w:p>
        </w:tc>
        <w:tc>
          <w:tcPr>
            <w:tcW w:w="2286" w:type="dxa"/>
            <w:tcBorders>
              <w:bottom w:val="single" w:sz="4" w:space="0" w:color="auto"/>
            </w:tcBorders>
            <w:shd w:val="clear" w:color="auto" w:fill="F2F2F2" w:themeFill="background1" w:themeFillShade="F2"/>
          </w:tcPr>
          <w:p w:rsidR="0015264E" w:rsidRDefault="0015264E" w:rsidP="0015264E">
            <w:pPr>
              <w:keepNext/>
              <w:keepLines/>
              <w:jc w:val="center"/>
              <w:rPr>
                <w:rFonts w:ascii="Arial" w:hAnsi="Arial" w:cs="Arial"/>
                <w:sz w:val="24"/>
                <w:szCs w:val="24"/>
              </w:rPr>
            </w:pPr>
          </w:p>
          <w:p w:rsidR="0015264E" w:rsidRDefault="00DF3D52" w:rsidP="0015264E">
            <w:pPr>
              <w:keepNext/>
              <w:keepLines/>
              <w:jc w:val="center"/>
              <w:rPr>
                <w:rFonts w:ascii="Arial" w:hAnsi="Arial" w:cs="Arial"/>
                <w:sz w:val="24"/>
                <w:szCs w:val="24"/>
              </w:rPr>
            </w:pPr>
            <w:r>
              <w:rPr>
                <w:rFonts w:ascii="Arial" w:hAnsi="Arial" w:cs="Arial"/>
                <w:sz w:val="24"/>
                <w:szCs w:val="24"/>
              </w:rPr>
              <w:t>HS</w:t>
            </w:r>
          </w:p>
        </w:tc>
      </w:tr>
      <w:tr w:rsidR="002F149B" w:rsidRPr="00E367B7" w:rsidTr="0018685D">
        <w:trPr>
          <w:trHeight w:val="553"/>
        </w:trPr>
        <w:tc>
          <w:tcPr>
            <w:tcW w:w="12834" w:type="dxa"/>
            <w:gridSpan w:val="3"/>
            <w:shd w:val="clear" w:color="auto" w:fill="F2F2F2" w:themeFill="background1" w:themeFillShade="F2"/>
          </w:tcPr>
          <w:p w:rsidR="002F149B" w:rsidRDefault="002F149B" w:rsidP="0018685D">
            <w:pPr>
              <w:keepNext/>
              <w:keepLines/>
              <w:rPr>
                <w:rFonts w:ascii="Arial" w:hAnsi="Arial" w:cs="Arial"/>
                <w:sz w:val="24"/>
                <w:szCs w:val="24"/>
              </w:rPr>
            </w:pPr>
            <w:r>
              <w:rPr>
                <w:rFonts w:ascii="Arial" w:hAnsi="Arial" w:cs="Arial"/>
                <w:b/>
                <w:sz w:val="24"/>
                <w:szCs w:val="24"/>
              </w:rPr>
              <w:t>Act</w:t>
            </w:r>
            <w:r w:rsidR="0018685D">
              <w:rPr>
                <w:rFonts w:ascii="Arial" w:hAnsi="Arial" w:cs="Arial"/>
                <w:b/>
                <w:sz w:val="24"/>
                <w:szCs w:val="24"/>
              </w:rPr>
              <w:t>ion held over from previous meeting on 29 Novem</w:t>
            </w:r>
            <w:r>
              <w:rPr>
                <w:rFonts w:ascii="Arial" w:hAnsi="Arial" w:cs="Arial"/>
                <w:b/>
                <w:sz w:val="24"/>
                <w:szCs w:val="24"/>
              </w:rPr>
              <w:t>ber 2017</w:t>
            </w:r>
          </w:p>
        </w:tc>
      </w:tr>
      <w:tr w:rsidR="002F149B" w:rsidRPr="00E367B7" w:rsidTr="0018685D">
        <w:trPr>
          <w:trHeight w:val="411"/>
        </w:trPr>
        <w:tc>
          <w:tcPr>
            <w:tcW w:w="2197" w:type="dxa"/>
            <w:shd w:val="clear" w:color="auto" w:fill="F2F2F2" w:themeFill="background1" w:themeFillShade="F2"/>
          </w:tcPr>
          <w:p w:rsidR="002F149B" w:rsidRDefault="002F149B" w:rsidP="002F149B">
            <w:pPr>
              <w:keepNext/>
              <w:keepLines/>
              <w:jc w:val="center"/>
              <w:rPr>
                <w:rFonts w:ascii="Arial" w:hAnsi="Arial" w:cs="Arial"/>
                <w:sz w:val="24"/>
                <w:szCs w:val="24"/>
              </w:rPr>
            </w:pPr>
          </w:p>
          <w:p w:rsidR="002F149B" w:rsidRDefault="002F149B" w:rsidP="002F149B">
            <w:pPr>
              <w:keepNext/>
              <w:keepLines/>
              <w:jc w:val="center"/>
              <w:rPr>
                <w:rFonts w:ascii="Arial" w:hAnsi="Arial" w:cs="Arial"/>
                <w:sz w:val="24"/>
                <w:szCs w:val="24"/>
              </w:rPr>
            </w:pPr>
            <w:r>
              <w:rPr>
                <w:rFonts w:ascii="Arial" w:hAnsi="Arial" w:cs="Arial"/>
                <w:sz w:val="24"/>
                <w:szCs w:val="24"/>
              </w:rPr>
              <w:t>BOD 192/17 (f)</w:t>
            </w:r>
          </w:p>
        </w:tc>
        <w:tc>
          <w:tcPr>
            <w:tcW w:w="8351" w:type="dxa"/>
            <w:shd w:val="clear" w:color="auto" w:fill="F2F2F2" w:themeFill="background1" w:themeFillShade="F2"/>
          </w:tcPr>
          <w:p w:rsidR="002F149B" w:rsidRPr="003E5CA2" w:rsidRDefault="002F149B" w:rsidP="002F149B">
            <w:pPr>
              <w:tabs>
                <w:tab w:val="num" w:pos="426"/>
              </w:tabs>
              <w:jc w:val="both"/>
              <w:rPr>
                <w:rFonts w:ascii="Arial" w:hAnsi="Arial" w:cs="Arial"/>
                <w:b/>
                <w:sz w:val="24"/>
                <w:szCs w:val="24"/>
              </w:rPr>
            </w:pPr>
            <w:r w:rsidRPr="003E5CA2">
              <w:rPr>
                <w:rFonts w:ascii="Arial" w:hAnsi="Arial" w:cs="Arial"/>
                <w:b/>
                <w:sz w:val="24"/>
                <w:szCs w:val="24"/>
              </w:rPr>
              <w:t xml:space="preserve">Performance Report </w:t>
            </w:r>
          </w:p>
          <w:p w:rsidR="002F149B" w:rsidRPr="003E5CA2" w:rsidRDefault="002F149B" w:rsidP="002F149B">
            <w:pPr>
              <w:tabs>
                <w:tab w:val="num" w:pos="426"/>
              </w:tabs>
              <w:jc w:val="both"/>
              <w:rPr>
                <w:rFonts w:ascii="Arial" w:hAnsi="Arial" w:cs="Arial"/>
                <w:sz w:val="24"/>
                <w:szCs w:val="24"/>
              </w:rPr>
            </w:pPr>
            <w:r w:rsidRPr="003E5CA2">
              <w:rPr>
                <w:rFonts w:ascii="Arial" w:hAnsi="Arial" w:cs="Arial"/>
                <w:sz w:val="24"/>
                <w:szCs w:val="24"/>
              </w:rPr>
              <w:t xml:space="preserve">It was agreed to undertake a deep dive of specific </w:t>
            </w:r>
            <w:r w:rsidR="003E5CA2" w:rsidRPr="003E5CA2">
              <w:rPr>
                <w:rFonts w:ascii="Arial" w:hAnsi="Arial" w:cs="Arial"/>
                <w:sz w:val="24"/>
                <w:szCs w:val="24"/>
              </w:rPr>
              <w:t xml:space="preserve">performance </w:t>
            </w:r>
            <w:r w:rsidRPr="003E5CA2">
              <w:rPr>
                <w:rFonts w:ascii="Arial" w:hAnsi="Arial" w:cs="Arial"/>
                <w:sz w:val="24"/>
                <w:szCs w:val="24"/>
              </w:rPr>
              <w:t xml:space="preserve">areas at the Caring and Responsive Quality Sub Committee and report back to Quality Committee and Board. The priority areas identified were: </w:t>
            </w:r>
          </w:p>
          <w:p w:rsidR="002F149B" w:rsidRPr="003E5CA2" w:rsidRDefault="002F149B" w:rsidP="002F149B">
            <w:pPr>
              <w:pStyle w:val="ListParagraph"/>
              <w:numPr>
                <w:ilvl w:val="0"/>
                <w:numId w:val="14"/>
              </w:numPr>
              <w:tabs>
                <w:tab w:val="num" w:pos="426"/>
              </w:tabs>
              <w:spacing w:after="0" w:line="240" w:lineRule="auto"/>
              <w:ind w:left="714" w:hanging="357"/>
              <w:jc w:val="both"/>
              <w:rPr>
                <w:rFonts w:ascii="Arial" w:hAnsi="Arial" w:cs="Arial"/>
                <w:sz w:val="24"/>
                <w:szCs w:val="24"/>
              </w:rPr>
            </w:pPr>
            <w:r w:rsidRPr="003E5CA2">
              <w:rPr>
                <w:rFonts w:ascii="Arial" w:hAnsi="Arial" w:cs="Arial"/>
                <w:sz w:val="24"/>
                <w:szCs w:val="24"/>
              </w:rPr>
              <w:t>Out of Hours</w:t>
            </w:r>
          </w:p>
          <w:p w:rsidR="002F149B" w:rsidRPr="003E5CA2" w:rsidRDefault="002F149B" w:rsidP="002F149B">
            <w:pPr>
              <w:pStyle w:val="ListParagraph"/>
              <w:numPr>
                <w:ilvl w:val="0"/>
                <w:numId w:val="14"/>
              </w:numPr>
              <w:tabs>
                <w:tab w:val="num" w:pos="426"/>
              </w:tabs>
              <w:spacing w:after="0" w:line="240" w:lineRule="auto"/>
              <w:ind w:left="714" w:hanging="357"/>
              <w:jc w:val="both"/>
              <w:rPr>
                <w:rFonts w:ascii="Arial" w:hAnsi="Arial" w:cs="Arial"/>
                <w:sz w:val="24"/>
                <w:szCs w:val="24"/>
              </w:rPr>
            </w:pPr>
            <w:r w:rsidRPr="003E5CA2">
              <w:rPr>
                <w:rFonts w:ascii="Arial" w:hAnsi="Arial" w:cs="Arial"/>
                <w:sz w:val="24"/>
                <w:szCs w:val="24"/>
              </w:rPr>
              <w:t xml:space="preserve">CAMHS Waiting Times </w:t>
            </w:r>
          </w:p>
          <w:p w:rsidR="002F149B" w:rsidRPr="003E5CA2" w:rsidRDefault="002F149B" w:rsidP="002F149B">
            <w:pPr>
              <w:pStyle w:val="ListParagraph"/>
              <w:numPr>
                <w:ilvl w:val="0"/>
                <w:numId w:val="14"/>
              </w:numPr>
              <w:tabs>
                <w:tab w:val="num" w:pos="426"/>
              </w:tabs>
              <w:spacing w:after="0" w:line="240" w:lineRule="auto"/>
              <w:ind w:left="714" w:hanging="357"/>
              <w:jc w:val="both"/>
              <w:rPr>
                <w:rFonts w:ascii="Arial" w:hAnsi="Arial" w:cs="Arial"/>
                <w:sz w:val="24"/>
                <w:szCs w:val="24"/>
              </w:rPr>
            </w:pPr>
            <w:r w:rsidRPr="003E5CA2">
              <w:rPr>
                <w:rFonts w:ascii="Arial" w:hAnsi="Arial" w:cs="Arial"/>
                <w:sz w:val="24"/>
                <w:szCs w:val="24"/>
              </w:rPr>
              <w:t>IAPT Waiting Times; and</w:t>
            </w:r>
          </w:p>
          <w:p w:rsidR="003E5CA2" w:rsidRPr="003E5CA2" w:rsidRDefault="002F149B" w:rsidP="003E5CA2">
            <w:pPr>
              <w:pStyle w:val="ListParagraph"/>
              <w:numPr>
                <w:ilvl w:val="0"/>
                <w:numId w:val="14"/>
              </w:numPr>
              <w:tabs>
                <w:tab w:val="num" w:pos="426"/>
              </w:tabs>
              <w:spacing w:after="0" w:line="240" w:lineRule="auto"/>
              <w:ind w:left="714" w:hanging="357"/>
              <w:jc w:val="both"/>
              <w:rPr>
                <w:rFonts w:ascii="Arial" w:hAnsi="Arial" w:cs="Arial"/>
                <w:sz w:val="24"/>
                <w:szCs w:val="24"/>
              </w:rPr>
            </w:pPr>
            <w:r w:rsidRPr="003E5CA2">
              <w:rPr>
                <w:rFonts w:ascii="Arial" w:hAnsi="Arial" w:cs="Arial"/>
                <w:sz w:val="24"/>
                <w:szCs w:val="24"/>
              </w:rPr>
              <w:t>Delayed Transfers of Care.</w:t>
            </w:r>
          </w:p>
          <w:p w:rsidR="003E5CA2" w:rsidRPr="003E5CA2" w:rsidRDefault="003E5CA2" w:rsidP="003E5CA2">
            <w:pPr>
              <w:spacing w:after="0" w:line="240" w:lineRule="auto"/>
              <w:jc w:val="both"/>
              <w:rPr>
                <w:rFonts w:ascii="Arial" w:hAnsi="Arial" w:cs="Arial"/>
                <w:b/>
                <w:bCs/>
                <w:i/>
                <w:color w:val="FF0000"/>
                <w:sz w:val="24"/>
                <w:szCs w:val="24"/>
              </w:rPr>
            </w:pPr>
          </w:p>
          <w:p w:rsidR="003E5CA2" w:rsidRPr="0021453E" w:rsidRDefault="003E5CA2" w:rsidP="002F149B">
            <w:pPr>
              <w:jc w:val="both"/>
              <w:rPr>
                <w:rFonts w:ascii="Arial" w:hAnsi="Arial" w:cs="Arial"/>
                <w:bCs/>
                <w:sz w:val="24"/>
                <w:szCs w:val="24"/>
              </w:rPr>
            </w:pPr>
            <w:r w:rsidRPr="003E5CA2">
              <w:rPr>
                <w:rFonts w:ascii="Arial" w:hAnsi="Arial" w:cs="Arial"/>
                <w:b/>
                <w:bCs/>
                <w:i/>
                <w:color w:val="FF0000"/>
                <w:sz w:val="24"/>
                <w:szCs w:val="24"/>
              </w:rPr>
              <w:lastRenderedPageBreak/>
              <w:t>Status: tbc</w:t>
            </w:r>
            <w:r w:rsidR="00054B12">
              <w:rPr>
                <w:rFonts w:ascii="Arial" w:hAnsi="Arial" w:cs="Arial"/>
                <w:b/>
                <w:bCs/>
                <w:i/>
                <w:color w:val="FF0000"/>
                <w:sz w:val="24"/>
                <w:szCs w:val="24"/>
              </w:rPr>
              <w:t xml:space="preserve"> in meeting</w:t>
            </w:r>
          </w:p>
        </w:tc>
        <w:tc>
          <w:tcPr>
            <w:tcW w:w="2286" w:type="dxa"/>
            <w:shd w:val="clear" w:color="auto" w:fill="F2F2F2" w:themeFill="background1" w:themeFillShade="F2"/>
          </w:tcPr>
          <w:p w:rsidR="002F149B" w:rsidRDefault="002F149B" w:rsidP="002F149B">
            <w:pPr>
              <w:keepNext/>
              <w:keepLines/>
              <w:jc w:val="center"/>
              <w:rPr>
                <w:rFonts w:ascii="Arial" w:hAnsi="Arial" w:cs="Arial"/>
                <w:sz w:val="24"/>
                <w:szCs w:val="24"/>
              </w:rPr>
            </w:pPr>
          </w:p>
          <w:p w:rsidR="002F149B" w:rsidRDefault="002F149B" w:rsidP="002F149B">
            <w:pPr>
              <w:keepNext/>
              <w:keepLines/>
              <w:jc w:val="center"/>
              <w:rPr>
                <w:rFonts w:ascii="Arial" w:hAnsi="Arial" w:cs="Arial"/>
                <w:sz w:val="24"/>
                <w:szCs w:val="24"/>
              </w:rPr>
            </w:pPr>
            <w:r>
              <w:rPr>
                <w:rFonts w:ascii="Arial" w:hAnsi="Arial" w:cs="Arial"/>
                <w:sz w:val="24"/>
                <w:szCs w:val="24"/>
              </w:rPr>
              <w:t>MW</w:t>
            </w:r>
          </w:p>
        </w:tc>
      </w:tr>
      <w:tr w:rsidR="0018685D" w:rsidRPr="00E367B7" w:rsidTr="00033659">
        <w:trPr>
          <w:trHeight w:val="411"/>
        </w:trPr>
        <w:tc>
          <w:tcPr>
            <w:tcW w:w="12834" w:type="dxa"/>
            <w:gridSpan w:val="3"/>
            <w:shd w:val="clear" w:color="auto" w:fill="auto"/>
          </w:tcPr>
          <w:p w:rsidR="0018685D" w:rsidRPr="0018685D" w:rsidRDefault="0018685D" w:rsidP="0018685D">
            <w:pPr>
              <w:keepNext/>
              <w:keepLines/>
              <w:rPr>
                <w:rFonts w:ascii="Arial" w:hAnsi="Arial" w:cs="Arial"/>
                <w:b/>
                <w:sz w:val="24"/>
                <w:szCs w:val="24"/>
              </w:rPr>
            </w:pPr>
            <w:r>
              <w:rPr>
                <w:rFonts w:ascii="Arial" w:hAnsi="Arial" w:cs="Arial"/>
                <w:b/>
                <w:sz w:val="24"/>
                <w:szCs w:val="24"/>
              </w:rPr>
              <w:t>Actions from meeting on 31 January 2018</w:t>
            </w:r>
          </w:p>
        </w:tc>
      </w:tr>
      <w:tr w:rsidR="0018685D" w:rsidRPr="00E367B7" w:rsidTr="003E5CA2">
        <w:trPr>
          <w:trHeight w:val="411"/>
        </w:trPr>
        <w:tc>
          <w:tcPr>
            <w:tcW w:w="2197" w:type="dxa"/>
            <w:shd w:val="clear" w:color="auto" w:fill="auto"/>
          </w:tcPr>
          <w:p w:rsidR="00054B12" w:rsidRDefault="00054B12" w:rsidP="002F149B">
            <w:pPr>
              <w:keepNext/>
              <w:keepLines/>
              <w:jc w:val="center"/>
              <w:rPr>
                <w:rFonts w:ascii="Arial" w:hAnsi="Arial" w:cs="Arial"/>
                <w:sz w:val="24"/>
                <w:szCs w:val="24"/>
              </w:rPr>
            </w:pPr>
          </w:p>
          <w:p w:rsidR="0018685D" w:rsidRDefault="0018685D" w:rsidP="002F149B">
            <w:pPr>
              <w:keepNext/>
              <w:keepLines/>
              <w:jc w:val="center"/>
              <w:rPr>
                <w:rFonts w:ascii="Arial" w:hAnsi="Arial" w:cs="Arial"/>
                <w:sz w:val="24"/>
                <w:szCs w:val="24"/>
              </w:rPr>
            </w:pPr>
            <w:r>
              <w:rPr>
                <w:rFonts w:ascii="Arial" w:hAnsi="Arial" w:cs="Arial"/>
                <w:sz w:val="24"/>
                <w:szCs w:val="24"/>
              </w:rPr>
              <w:t xml:space="preserve">BOD 05/18 (c) </w:t>
            </w:r>
          </w:p>
        </w:tc>
        <w:tc>
          <w:tcPr>
            <w:tcW w:w="8351" w:type="dxa"/>
          </w:tcPr>
          <w:p w:rsidR="0018685D" w:rsidRDefault="0018685D" w:rsidP="002F149B">
            <w:pPr>
              <w:tabs>
                <w:tab w:val="num" w:pos="426"/>
              </w:tabs>
              <w:jc w:val="both"/>
              <w:rPr>
                <w:rFonts w:ascii="Arial" w:hAnsi="Arial" w:cs="Arial"/>
                <w:sz w:val="24"/>
                <w:szCs w:val="24"/>
              </w:rPr>
            </w:pPr>
            <w:r>
              <w:rPr>
                <w:rFonts w:ascii="Arial" w:hAnsi="Arial" w:cs="Arial"/>
                <w:b/>
                <w:sz w:val="24"/>
                <w:szCs w:val="24"/>
              </w:rPr>
              <w:t>Fire Safety responsibilities</w:t>
            </w:r>
          </w:p>
          <w:p w:rsidR="0018685D" w:rsidRDefault="0018685D" w:rsidP="002F149B">
            <w:pPr>
              <w:tabs>
                <w:tab w:val="num" w:pos="426"/>
              </w:tabs>
              <w:jc w:val="both"/>
              <w:rPr>
                <w:rFonts w:ascii="Arial" w:hAnsi="Arial" w:cs="Arial"/>
                <w:sz w:val="24"/>
                <w:szCs w:val="24"/>
              </w:rPr>
            </w:pPr>
            <w:r>
              <w:rPr>
                <w:rFonts w:ascii="Arial" w:hAnsi="Arial" w:cs="Arial"/>
                <w:sz w:val="24"/>
                <w:szCs w:val="24"/>
              </w:rPr>
              <w:t xml:space="preserve">To report back after 6 months (from January 2018), potentially to the Audit Committee, on how well changes following the review of fire safety responsibilities had been embedded.  </w:t>
            </w:r>
          </w:p>
          <w:p w:rsidR="0018685D" w:rsidRPr="0018685D" w:rsidRDefault="0018685D" w:rsidP="002F149B">
            <w:pPr>
              <w:tabs>
                <w:tab w:val="num" w:pos="426"/>
              </w:tabs>
              <w:jc w:val="both"/>
              <w:rPr>
                <w:rFonts w:ascii="Arial" w:hAnsi="Arial" w:cs="Arial"/>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in progress</w:t>
            </w:r>
            <w:r>
              <w:rPr>
                <w:rFonts w:ascii="Arial" w:hAnsi="Arial" w:cs="Arial"/>
                <w:b/>
                <w:bCs/>
                <w:i/>
                <w:color w:val="FF0000"/>
                <w:sz w:val="24"/>
                <w:szCs w:val="24"/>
              </w:rPr>
              <w:t xml:space="preserve"> </w:t>
            </w:r>
            <w:r>
              <w:rPr>
                <w:rFonts w:ascii="Arial" w:hAnsi="Arial" w:cs="Arial"/>
                <w:bCs/>
                <w:i/>
                <w:color w:val="FF0000"/>
                <w:sz w:val="24"/>
                <w:szCs w:val="24"/>
              </w:rPr>
              <w:t xml:space="preserve">– on the work plan for the Audit Committee for May or September 2018 (depending upon agenda size).  </w:t>
            </w:r>
          </w:p>
          <w:p w:rsidR="0018685D" w:rsidRPr="0018685D" w:rsidRDefault="0018685D" w:rsidP="002F149B">
            <w:pPr>
              <w:tabs>
                <w:tab w:val="num" w:pos="426"/>
              </w:tabs>
              <w:jc w:val="both"/>
              <w:rPr>
                <w:rFonts w:ascii="Arial" w:hAnsi="Arial" w:cs="Arial"/>
                <w:sz w:val="24"/>
                <w:szCs w:val="24"/>
              </w:rPr>
            </w:pPr>
          </w:p>
        </w:tc>
        <w:tc>
          <w:tcPr>
            <w:tcW w:w="2286" w:type="dxa"/>
            <w:shd w:val="clear" w:color="auto" w:fill="auto"/>
          </w:tcPr>
          <w:p w:rsidR="0018685D" w:rsidRDefault="0018685D" w:rsidP="002F149B">
            <w:pPr>
              <w:keepNext/>
              <w:keepLines/>
              <w:jc w:val="center"/>
              <w:rPr>
                <w:rFonts w:ascii="Arial" w:hAnsi="Arial" w:cs="Arial"/>
                <w:sz w:val="24"/>
                <w:szCs w:val="24"/>
              </w:rPr>
            </w:pPr>
            <w:r>
              <w:rPr>
                <w:rFonts w:ascii="Arial" w:hAnsi="Arial" w:cs="Arial"/>
                <w:sz w:val="24"/>
                <w:szCs w:val="24"/>
              </w:rPr>
              <w:t>DH/HS</w:t>
            </w:r>
          </w:p>
        </w:tc>
      </w:tr>
      <w:tr w:rsidR="0018685D" w:rsidRPr="00E367B7" w:rsidTr="003E5CA2">
        <w:trPr>
          <w:trHeight w:val="411"/>
        </w:trPr>
        <w:tc>
          <w:tcPr>
            <w:tcW w:w="2197" w:type="dxa"/>
            <w:shd w:val="clear" w:color="auto" w:fill="auto"/>
          </w:tcPr>
          <w:p w:rsidR="00054B12" w:rsidRDefault="00054B12" w:rsidP="002F149B">
            <w:pPr>
              <w:keepNext/>
              <w:keepLines/>
              <w:jc w:val="center"/>
              <w:rPr>
                <w:rFonts w:ascii="Arial" w:hAnsi="Arial" w:cs="Arial"/>
                <w:sz w:val="24"/>
                <w:szCs w:val="24"/>
              </w:rPr>
            </w:pPr>
          </w:p>
          <w:p w:rsidR="0018685D" w:rsidRDefault="00054B12" w:rsidP="002F149B">
            <w:pPr>
              <w:keepNext/>
              <w:keepLines/>
              <w:jc w:val="center"/>
              <w:rPr>
                <w:rFonts w:ascii="Arial" w:hAnsi="Arial" w:cs="Arial"/>
                <w:sz w:val="24"/>
                <w:szCs w:val="24"/>
              </w:rPr>
            </w:pPr>
            <w:r>
              <w:rPr>
                <w:rFonts w:ascii="Arial" w:hAnsi="Arial" w:cs="Arial"/>
                <w:sz w:val="24"/>
                <w:szCs w:val="24"/>
              </w:rPr>
              <w:t>BOD 12/18 (l)</w:t>
            </w:r>
          </w:p>
        </w:tc>
        <w:tc>
          <w:tcPr>
            <w:tcW w:w="8351" w:type="dxa"/>
          </w:tcPr>
          <w:p w:rsidR="0018685D" w:rsidRDefault="00054B12" w:rsidP="002F149B">
            <w:pPr>
              <w:tabs>
                <w:tab w:val="num" w:pos="426"/>
              </w:tabs>
              <w:jc w:val="both"/>
              <w:rPr>
                <w:rFonts w:ascii="Arial" w:hAnsi="Arial" w:cs="Arial"/>
                <w:sz w:val="24"/>
                <w:szCs w:val="24"/>
              </w:rPr>
            </w:pPr>
            <w:r>
              <w:rPr>
                <w:rFonts w:ascii="Arial" w:hAnsi="Arial" w:cs="Arial"/>
                <w:b/>
                <w:sz w:val="24"/>
                <w:szCs w:val="24"/>
              </w:rPr>
              <w:t>Gender pay gap</w:t>
            </w:r>
          </w:p>
          <w:p w:rsidR="00054B12" w:rsidRDefault="00054B12" w:rsidP="002F149B">
            <w:pPr>
              <w:tabs>
                <w:tab w:val="num" w:pos="426"/>
              </w:tabs>
              <w:jc w:val="both"/>
              <w:rPr>
                <w:rFonts w:ascii="Arial" w:hAnsi="Arial" w:cs="Arial"/>
                <w:sz w:val="24"/>
                <w:szCs w:val="24"/>
              </w:rPr>
            </w:pPr>
            <w:r>
              <w:rPr>
                <w:rFonts w:ascii="Arial" w:hAnsi="Arial" w:cs="Arial"/>
                <w:sz w:val="24"/>
                <w:szCs w:val="24"/>
              </w:rPr>
              <w:t xml:space="preserve">To consider and report back on whether there was a gender pay gap in the Trust (also taking into account clinical excellence awards for consultants). </w:t>
            </w:r>
          </w:p>
          <w:p w:rsidR="00054B12" w:rsidRPr="00054B12" w:rsidRDefault="00054B12" w:rsidP="002F149B">
            <w:pPr>
              <w:tabs>
                <w:tab w:val="num" w:pos="426"/>
              </w:tabs>
              <w:jc w:val="both"/>
              <w:rPr>
                <w:rFonts w:ascii="Arial" w:hAnsi="Arial" w:cs="Arial"/>
                <w:sz w:val="24"/>
                <w:szCs w:val="24"/>
              </w:rPr>
            </w:pPr>
            <w:r w:rsidRPr="003E5CA2">
              <w:rPr>
                <w:rFonts w:ascii="Arial" w:hAnsi="Arial" w:cs="Arial"/>
                <w:b/>
                <w:bCs/>
                <w:i/>
                <w:color w:val="FF0000"/>
                <w:sz w:val="24"/>
                <w:szCs w:val="24"/>
              </w:rPr>
              <w:t>Status: tbc</w:t>
            </w:r>
            <w:r>
              <w:rPr>
                <w:rFonts w:ascii="Arial" w:hAnsi="Arial" w:cs="Arial"/>
                <w:b/>
                <w:bCs/>
                <w:i/>
                <w:color w:val="FF0000"/>
                <w:sz w:val="24"/>
                <w:szCs w:val="24"/>
              </w:rPr>
              <w:t xml:space="preserve"> in meeting</w:t>
            </w:r>
          </w:p>
        </w:tc>
        <w:tc>
          <w:tcPr>
            <w:tcW w:w="2286" w:type="dxa"/>
            <w:shd w:val="clear" w:color="auto" w:fill="auto"/>
          </w:tcPr>
          <w:p w:rsidR="0018685D" w:rsidRDefault="0018685D" w:rsidP="002F149B">
            <w:pPr>
              <w:keepNext/>
              <w:keepLines/>
              <w:jc w:val="center"/>
              <w:rPr>
                <w:rFonts w:ascii="Arial" w:hAnsi="Arial" w:cs="Arial"/>
                <w:sz w:val="24"/>
                <w:szCs w:val="24"/>
              </w:rPr>
            </w:pPr>
          </w:p>
          <w:p w:rsidR="00054B12" w:rsidRDefault="00054B12" w:rsidP="002F149B">
            <w:pPr>
              <w:keepNext/>
              <w:keepLines/>
              <w:jc w:val="center"/>
              <w:rPr>
                <w:rFonts w:ascii="Arial" w:hAnsi="Arial" w:cs="Arial"/>
                <w:sz w:val="24"/>
                <w:szCs w:val="24"/>
              </w:rPr>
            </w:pPr>
            <w:r>
              <w:rPr>
                <w:rFonts w:ascii="Arial" w:hAnsi="Arial" w:cs="Arial"/>
                <w:sz w:val="24"/>
                <w:szCs w:val="24"/>
              </w:rPr>
              <w:t>TB</w:t>
            </w:r>
          </w:p>
        </w:tc>
      </w:tr>
      <w:tr w:rsidR="0018685D" w:rsidRPr="00E367B7" w:rsidTr="003E5CA2">
        <w:trPr>
          <w:trHeight w:val="411"/>
        </w:trPr>
        <w:tc>
          <w:tcPr>
            <w:tcW w:w="2197" w:type="dxa"/>
            <w:shd w:val="clear" w:color="auto" w:fill="auto"/>
          </w:tcPr>
          <w:p w:rsidR="0018685D" w:rsidRDefault="0018685D" w:rsidP="002F149B">
            <w:pPr>
              <w:keepNext/>
              <w:keepLines/>
              <w:jc w:val="center"/>
              <w:rPr>
                <w:rFonts w:ascii="Arial" w:hAnsi="Arial" w:cs="Arial"/>
                <w:sz w:val="24"/>
                <w:szCs w:val="24"/>
              </w:rPr>
            </w:pPr>
          </w:p>
          <w:p w:rsidR="00054B12" w:rsidRDefault="00054B12" w:rsidP="002F149B">
            <w:pPr>
              <w:keepNext/>
              <w:keepLines/>
              <w:jc w:val="center"/>
              <w:rPr>
                <w:rFonts w:ascii="Arial" w:hAnsi="Arial" w:cs="Arial"/>
                <w:sz w:val="24"/>
                <w:szCs w:val="24"/>
              </w:rPr>
            </w:pPr>
            <w:r>
              <w:rPr>
                <w:rFonts w:ascii="Arial" w:hAnsi="Arial" w:cs="Arial"/>
                <w:sz w:val="24"/>
                <w:szCs w:val="24"/>
              </w:rPr>
              <w:t>BOD 12/18 (m)</w:t>
            </w:r>
          </w:p>
        </w:tc>
        <w:tc>
          <w:tcPr>
            <w:tcW w:w="8351" w:type="dxa"/>
          </w:tcPr>
          <w:p w:rsidR="0018685D" w:rsidRDefault="00054B12" w:rsidP="002F149B">
            <w:pPr>
              <w:tabs>
                <w:tab w:val="num" w:pos="426"/>
              </w:tabs>
              <w:jc w:val="both"/>
              <w:rPr>
                <w:rFonts w:ascii="Arial" w:hAnsi="Arial" w:cs="Arial"/>
                <w:sz w:val="24"/>
                <w:szCs w:val="24"/>
              </w:rPr>
            </w:pPr>
            <w:r>
              <w:rPr>
                <w:rFonts w:ascii="Arial" w:hAnsi="Arial" w:cs="Arial"/>
                <w:b/>
                <w:sz w:val="24"/>
                <w:szCs w:val="24"/>
              </w:rPr>
              <w:t>Development of Workforce reporting – training and appraisals</w:t>
            </w:r>
          </w:p>
          <w:p w:rsidR="00054B12" w:rsidRDefault="00054B12" w:rsidP="002F149B">
            <w:pPr>
              <w:tabs>
                <w:tab w:val="num" w:pos="426"/>
              </w:tabs>
              <w:jc w:val="both"/>
              <w:rPr>
                <w:rFonts w:ascii="Arial" w:hAnsi="Arial" w:cs="Arial"/>
                <w:sz w:val="24"/>
                <w:szCs w:val="24"/>
              </w:rPr>
            </w:pPr>
            <w:r>
              <w:rPr>
                <w:rFonts w:ascii="Arial" w:hAnsi="Arial" w:cs="Arial"/>
                <w:sz w:val="24"/>
                <w:szCs w:val="24"/>
              </w:rPr>
              <w:t xml:space="preserve">To consider developing reporting to </w:t>
            </w:r>
            <w:r w:rsidRPr="00054B12">
              <w:rPr>
                <w:rFonts w:ascii="Arial" w:hAnsi="Arial" w:cs="Arial"/>
                <w:sz w:val="24"/>
                <w:szCs w:val="24"/>
              </w:rPr>
              <w:t xml:space="preserve">cover training levels and completion of appraisals/Personal Development Reviews, especially in light of the limited assurance findings of a recent Internal Audit review.  </w:t>
            </w:r>
          </w:p>
          <w:p w:rsidR="00054B12" w:rsidRPr="00054B12" w:rsidRDefault="00054B12" w:rsidP="002F149B">
            <w:pPr>
              <w:tabs>
                <w:tab w:val="num" w:pos="426"/>
              </w:tabs>
              <w:jc w:val="both"/>
              <w:rPr>
                <w:rFonts w:ascii="Arial" w:hAnsi="Arial" w:cs="Arial"/>
                <w:sz w:val="24"/>
                <w:szCs w:val="24"/>
              </w:rPr>
            </w:pPr>
            <w:r w:rsidRPr="003E5CA2">
              <w:rPr>
                <w:rFonts w:ascii="Arial" w:hAnsi="Arial" w:cs="Arial"/>
                <w:b/>
                <w:bCs/>
                <w:i/>
                <w:color w:val="FF0000"/>
                <w:sz w:val="24"/>
                <w:szCs w:val="24"/>
              </w:rPr>
              <w:t>Status: tbc</w:t>
            </w:r>
            <w:r>
              <w:rPr>
                <w:rFonts w:ascii="Arial" w:hAnsi="Arial" w:cs="Arial"/>
                <w:b/>
                <w:bCs/>
                <w:i/>
                <w:color w:val="FF0000"/>
                <w:sz w:val="24"/>
                <w:szCs w:val="24"/>
              </w:rPr>
              <w:t xml:space="preserve"> in meeting</w:t>
            </w:r>
          </w:p>
        </w:tc>
        <w:tc>
          <w:tcPr>
            <w:tcW w:w="2286" w:type="dxa"/>
            <w:shd w:val="clear" w:color="auto" w:fill="auto"/>
          </w:tcPr>
          <w:p w:rsidR="0018685D" w:rsidRDefault="0018685D" w:rsidP="002F149B">
            <w:pPr>
              <w:keepNext/>
              <w:keepLines/>
              <w:jc w:val="center"/>
              <w:rPr>
                <w:rFonts w:ascii="Arial" w:hAnsi="Arial" w:cs="Arial"/>
                <w:sz w:val="24"/>
                <w:szCs w:val="24"/>
              </w:rPr>
            </w:pPr>
          </w:p>
          <w:p w:rsidR="00054B12" w:rsidRDefault="00054B12" w:rsidP="002F149B">
            <w:pPr>
              <w:keepNext/>
              <w:keepLines/>
              <w:jc w:val="center"/>
              <w:rPr>
                <w:rFonts w:ascii="Arial" w:hAnsi="Arial" w:cs="Arial"/>
                <w:sz w:val="24"/>
                <w:szCs w:val="24"/>
              </w:rPr>
            </w:pPr>
            <w:r>
              <w:rPr>
                <w:rFonts w:ascii="Arial" w:hAnsi="Arial" w:cs="Arial"/>
                <w:sz w:val="24"/>
                <w:szCs w:val="24"/>
              </w:rPr>
              <w:t>TB</w:t>
            </w:r>
          </w:p>
        </w:tc>
      </w:tr>
      <w:tr w:rsidR="0018685D" w:rsidRPr="00E367B7" w:rsidTr="003E5CA2">
        <w:trPr>
          <w:trHeight w:val="411"/>
        </w:trPr>
        <w:tc>
          <w:tcPr>
            <w:tcW w:w="2197" w:type="dxa"/>
            <w:shd w:val="clear" w:color="auto" w:fill="auto"/>
          </w:tcPr>
          <w:p w:rsidR="0018685D" w:rsidRDefault="0018685D" w:rsidP="002F149B">
            <w:pPr>
              <w:keepNext/>
              <w:keepLines/>
              <w:jc w:val="center"/>
              <w:rPr>
                <w:rFonts w:ascii="Arial" w:hAnsi="Arial" w:cs="Arial"/>
                <w:sz w:val="24"/>
                <w:szCs w:val="24"/>
              </w:rPr>
            </w:pPr>
          </w:p>
          <w:p w:rsidR="00054B12" w:rsidRDefault="00054B12" w:rsidP="002F149B">
            <w:pPr>
              <w:keepNext/>
              <w:keepLines/>
              <w:jc w:val="center"/>
              <w:rPr>
                <w:rFonts w:ascii="Arial" w:hAnsi="Arial" w:cs="Arial"/>
                <w:sz w:val="24"/>
                <w:szCs w:val="24"/>
              </w:rPr>
            </w:pPr>
            <w:r>
              <w:rPr>
                <w:rFonts w:ascii="Arial" w:hAnsi="Arial" w:cs="Arial"/>
                <w:sz w:val="24"/>
                <w:szCs w:val="24"/>
              </w:rPr>
              <w:t>BOD 15/18 (b)</w:t>
            </w:r>
          </w:p>
        </w:tc>
        <w:tc>
          <w:tcPr>
            <w:tcW w:w="8351" w:type="dxa"/>
          </w:tcPr>
          <w:p w:rsidR="0018685D" w:rsidRDefault="00054B12" w:rsidP="002F149B">
            <w:pPr>
              <w:tabs>
                <w:tab w:val="num" w:pos="426"/>
              </w:tabs>
              <w:jc w:val="both"/>
              <w:rPr>
                <w:rFonts w:ascii="Arial" w:hAnsi="Arial" w:cs="Arial"/>
                <w:sz w:val="24"/>
                <w:szCs w:val="24"/>
              </w:rPr>
            </w:pPr>
            <w:r>
              <w:rPr>
                <w:rFonts w:ascii="Arial" w:hAnsi="Arial" w:cs="Arial"/>
                <w:b/>
                <w:sz w:val="24"/>
                <w:szCs w:val="24"/>
              </w:rPr>
              <w:t>Board Assurance Framework</w:t>
            </w:r>
          </w:p>
          <w:p w:rsidR="00054B12" w:rsidRDefault="00054B12" w:rsidP="002F149B">
            <w:pPr>
              <w:tabs>
                <w:tab w:val="num" w:pos="426"/>
              </w:tabs>
              <w:jc w:val="both"/>
              <w:rPr>
                <w:rFonts w:ascii="Arial" w:hAnsi="Arial" w:cs="Arial"/>
                <w:sz w:val="24"/>
                <w:szCs w:val="24"/>
              </w:rPr>
            </w:pPr>
            <w:r>
              <w:rPr>
                <w:rFonts w:ascii="Arial" w:hAnsi="Arial" w:cs="Arial"/>
                <w:sz w:val="24"/>
                <w:szCs w:val="24"/>
              </w:rPr>
              <w:t xml:space="preserve">To extend new risk SO 1.5, </w:t>
            </w:r>
            <w:r w:rsidRPr="00054B12">
              <w:rPr>
                <w:rFonts w:ascii="Arial" w:hAnsi="Arial" w:cs="Arial"/>
                <w:sz w:val="24"/>
                <w:szCs w:val="24"/>
              </w:rPr>
              <w:t>in relation to failure to care for patients in an appropriate inpatient placement</w:t>
            </w:r>
            <w:r>
              <w:rPr>
                <w:rFonts w:ascii="Arial" w:hAnsi="Arial" w:cs="Arial"/>
                <w:sz w:val="24"/>
                <w:szCs w:val="24"/>
              </w:rPr>
              <w:t xml:space="preserve">, </w:t>
            </w:r>
            <w:r w:rsidRPr="00054B12">
              <w:rPr>
                <w:rFonts w:ascii="Arial" w:hAnsi="Arial" w:cs="Arial"/>
                <w:sz w:val="24"/>
                <w:szCs w:val="24"/>
              </w:rPr>
              <w:t xml:space="preserve">to also cover the impact upon staff, not just upon patients, of needing to continue to care for challenging patients who may not be in the most appropriate environment but whom the Trust was not able to find alternative suitable placements for.  </w:t>
            </w:r>
          </w:p>
          <w:p w:rsidR="00054B12" w:rsidRPr="00054B12" w:rsidRDefault="00054B12" w:rsidP="002F149B">
            <w:pPr>
              <w:tabs>
                <w:tab w:val="num" w:pos="426"/>
              </w:tabs>
              <w:jc w:val="both"/>
              <w:rPr>
                <w:rFonts w:ascii="Arial" w:hAnsi="Arial" w:cs="Arial"/>
                <w:sz w:val="24"/>
                <w:szCs w:val="24"/>
              </w:rPr>
            </w:pPr>
            <w:r w:rsidRPr="00800E83">
              <w:rPr>
                <w:rFonts w:ascii="Arial" w:hAnsi="Arial" w:cs="Arial"/>
                <w:b/>
                <w:bCs/>
                <w:i/>
                <w:color w:val="FF0000"/>
                <w:sz w:val="24"/>
                <w:szCs w:val="24"/>
              </w:rPr>
              <w:t>Status:</w:t>
            </w:r>
            <w:r>
              <w:rPr>
                <w:rFonts w:ascii="Arial" w:hAnsi="Arial" w:cs="Arial"/>
                <w:b/>
                <w:bCs/>
                <w:i/>
                <w:color w:val="FF0000"/>
                <w:sz w:val="24"/>
                <w:szCs w:val="24"/>
              </w:rPr>
              <w:t xml:space="preserve"> in progress </w:t>
            </w:r>
            <w:r>
              <w:rPr>
                <w:rFonts w:ascii="Arial" w:hAnsi="Arial" w:cs="Arial"/>
                <w:bCs/>
                <w:i/>
                <w:color w:val="FF0000"/>
                <w:sz w:val="24"/>
                <w:szCs w:val="24"/>
              </w:rPr>
              <w:t>– for next BAF update April 2018.</w:t>
            </w:r>
            <w:bookmarkStart w:id="0" w:name="_GoBack"/>
            <w:bookmarkEnd w:id="0"/>
          </w:p>
        </w:tc>
        <w:tc>
          <w:tcPr>
            <w:tcW w:w="2286" w:type="dxa"/>
            <w:shd w:val="clear" w:color="auto" w:fill="auto"/>
          </w:tcPr>
          <w:p w:rsidR="0018685D" w:rsidRDefault="0018685D" w:rsidP="002F149B">
            <w:pPr>
              <w:keepNext/>
              <w:keepLines/>
              <w:jc w:val="center"/>
              <w:rPr>
                <w:rFonts w:ascii="Arial" w:hAnsi="Arial" w:cs="Arial"/>
                <w:sz w:val="24"/>
                <w:szCs w:val="24"/>
              </w:rPr>
            </w:pPr>
          </w:p>
          <w:p w:rsidR="00054B12" w:rsidRDefault="00054B12" w:rsidP="002F149B">
            <w:pPr>
              <w:keepNext/>
              <w:keepLines/>
              <w:jc w:val="center"/>
              <w:rPr>
                <w:rFonts w:ascii="Arial" w:hAnsi="Arial" w:cs="Arial"/>
                <w:sz w:val="24"/>
                <w:szCs w:val="24"/>
              </w:rPr>
            </w:pPr>
            <w:r>
              <w:rPr>
                <w:rFonts w:ascii="Arial" w:hAnsi="Arial" w:cs="Arial"/>
                <w:sz w:val="24"/>
                <w:szCs w:val="24"/>
              </w:rPr>
              <w:t>HS</w:t>
            </w:r>
          </w:p>
        </w:tc>
      </w:tr>
    </w:tbl>
    <w:p w:rsidR="00633554" w:rsidRPr="00E367B7" w:rsidRDefault="00633554">
      <w:pPr>
        <w:rPr>
          <w:rFonts w:ascii="Arial" w:hAnsi="Arial" w:cs="Arial"/>
          <w:sz w:val="24"/>
          <w:szCs w:val="24"/>
        </w:rPr>
      </w:pPr>
    </w:p>
    <w:p w:rsidR="00C77EA6" w:rsidRPr="00E367B7" w:rsidRDefault="00C77EA6">
      <w:pPr>
        <w:rPr>
          <w:rFonts w:ascii="Arial" w:hAnsi="Arial" w:cs="Arial"/>
          <w:sz w:val="24"/>
          <w:szCs w:val="24"/>
        </w:rPr>
      </w:pPr>
    </w:p>
    <w:sectPr w:rsidR="00C77EA6" w:rsidRPr="00E367B7" w:rsidSect="000B294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22" w:rsidRDefault="00FA1522" w:rsidP="000B2947">
      <w:pPr>
        <w:spacing w:after="0" w:line="240" w:lineRule="auto"/>
      </w:pPr>
      <w:r>
        <w:separator/>
      </w:r>
    </w:p>
  </w:endnote>
  <w:endnote w:type="continuationSeparator" w:id="0">
    <w:p w:rsidR="00FA1522" w:rsidRDefault="00FA1522" w:rsidP="000B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47" w:rsidRDefault="008A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22" w:rsidRDefault="00861BF3">
    <w:pPr>
      <w:pStyle w:val="Footer"/>
      <w:jc w:val="center"/>
    </w:pPr>
    <w:r>
      <w:fldChar w:fldCharType="begin"/>
    </w:r>
    <w:r>
      <w:instrText xml:space="preserve"> PAGE   \* MERGEFORMAT </w:instrText>
    </w:r>
    <w:r>
      <w:fldChar w:fldCharType="separate"/>
    </w:r>
    <w:r w:rsidR="00054B12">
      <w:rPr>
        <w:noProof/>
      </w:rPr>
      <w:t>3</w:t>
    </w:r>
    <w:r>
      <w:rPr>
        <w:noProof/>
      </w:rPr>
      <w:fldChar w:fldCharType="end"/>
    </w:r>
  </w:p>
  <w:p w:rsidR="00FA1522" w:rsidRDefault="00FA1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47" w:rsidRDefault="008A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22" w:rsidRDefault="00FA1522" w:rsidP="000B2947">
      <w:pPr>
        <w:spacing w:after="0" w:line="240" w:lineRule="auto"/>
      </w:pPr>
      <w:r>
        <w:separator/>
      </w:r>
    </w:p>
  </w:footnote>
  <w:footnote w:type="continuationSeparator" w:id="0">
    <w:p w:rsidR="00FA1522" w:rsidRDefault="00FA1522" w:rsidP="000B2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47" w:rsidRDefault="008A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22" w:rsidRPr="007D06DC" w:rsidRDefault="00054B12" w:rsidP="000B2947">
    <w:pPr>
      <w:pStyle w:val="Header"/>
      <w:jc w:val="center"/>
    </w:pPr>
    <w:sdt>
      <w:sdtPr>
        <w:rPr>
          <w:i/>
        </w:rPr>
        <w:id w:val="-361673663"/>
        <w:docPartObj>
          <w:docPartGallery w:val="Watermarks"/>
          <w:docPartUnique/>
        </w:docPartObj>
      </w:sdtPr>
      <w:sdtEndPr/>
      <w:sdtContent>
        <w:r>
          <w:rPr>
            <w:i/>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1522">
      <w:rPr>
        <w:i/>
      </w:rPr>
      <w:t>PUBLIC</w:t>
    </w:r>
  </w:p>
  <w:p w:rsidR="00FA1522" w:rsidRPr="000B2947" w:rsidRDefault="00FA1522">
    <w:pPr>
      <w:pStyle w:val="Header"/>
      <w:rPr>
        <w:b/>
      </w:rPr>
    </w:pPr>
  </w:p>
  <w:p w:rsidR="00FA1522" w:rsidRDefault="00FA15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47" w:rsidRDefault="008A1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1217C"/>
    <w:multiLevelType w:val="hybridMultilevel"/>
    <w:tmpl w:val="7E3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A2CE4"/>
    <w:multiLevelType w:val="hybridMultilevel"/>
    <w:tmpl w:val="BBD2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2E91"/>
    <w:multiLevelType w:val="hybridMultilevel"/>
    <w:tmpl w:val="77AEBDFA"/>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4" w15:restartNumberingAfterBreak="0">
    <w:nsid w:val="21BC72FE"/>
    <w:multiLevelType w:val="hybridMultilevel"/>
    <w:tmpl w:val="9194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55A04"/>
    <w:multiLevelType w:val="hybridMultilevel"/>
    <w:tmpl w:val="09EC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66601"/>
    <w:multiLevelType w:val="hybridMultilevel"/>
    <w:tmpl w:val="E524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67214"/>
    <w:multiLevelType w:val="hybridMultilevel"/>
    <w:tmpl w:val="7D1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B3112"/>
    <w:multiLevelType w:val="hybridMultilevel"/>
    <w:tmpl w:val="9974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7380F"/>
    <w:multiLevelType w:val="hybridMultilevel"/>
    <w:tmpl w:val="9CDA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34EF4"/>
    <w:multiLevelType w:val="hybridMultilevel"/>
    <w:tmpl w:val="3DB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626C0"/>
    <w:multiLevelType w:val="hybridMultilevel"/>
    <w:tmpl w:val="7ACA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B4822"/>
    <w:multiLevelType w:val="hybridMultilevel"/>
    <w:tmpl w:val="F47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1"/>
  </w:num>
  <w:num w:numId="5">
    <w:abstractNumId w:val="10"/>
  </w:num>
  <w:num w:numId="6">
    <w:abstractNumId w:val="5"/>
  </w:num>
  <w:num w:numId="7">
    <w:abstractNumId w:val="13"/>
  </w:num>
  <w:num w:numId="8">
    <w:abstractNumId w:val="12"/>
  </w:num>
  <w:num w:numId="9">
    <w:abstractNumId w:val="11"/>
  </w:num>
  <w:num w:numId="10">
    <w:abstractNumId w:val="6"/>
  </w:num>
  <w:num w:numId="11">
    <w:abstractNumId w:val="8"/>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47"/>
    <w:rsid w:val="000039B1"/>
    <w:rsid w:val="000072FC"/>
    <w:rsid w:val="0001129F"/>
    <w:rsid w:val="00015015"/>
    <w:rsid w:val="00024DA4"/>
    <w:rsid w:val="0003122D"/>
    <w:rsid w:val="00032E57"/>
    <w:rsid w:val="0004460B"/>
    <w:rsid w:val="00046EA9"/>
    <w:rsid w:val="00054B12"/>
    <w:rsid w:val="00063257"/>
    <w:rsid w:val="00063421"/>
    <w:rsid w:val="000765F3"/>
    <w:rsid w:val="0007738F"/>
    <w:rsid w:val="000846EE"/>
    <w:rsid w:val="00087272"/>
    <w:rsid w:val="0009196B"/>
    <w:rsid w:val="000A2851"/>
    <w:rsid w:val="000B2947"/>
    <w:rsid w:val="000B69CF"/>
    <w:rsid w:val="000C6050"/>
    <w:rsid w:val="000D05CC"/>
    <w:rsid w:val="000D5592"/>
    <w:rsid w:val="000D7875"/>
    <w:rsid w:val="000E244A"/>
    <w:rsid w:val="000E3782"/>
    <w:rsid w:val="000E6B70"/>
    <w:rsid w:val="000F0B7F"/>
    <w:rsid w:val="000F48CF"/>
    <w:rsid w:val="000F7BD1"/>
    <w:rsid w:val="00105FDB"/>
    <w:rsid w:val="001120FD"/>
    <w:rsid w:val="00113F39"/>
    <w:rsid w:val="001219E0"/>
    <w:rsid w:val="001220D3"/>
    <w:rsid w:val="00131067"/>
    <w:rsid w:val="00135020"/>
    <w:rsid w:val="001431EB"/>
    <w:rsid w:val="00146CDC"/>
    <w:rsid w:val="0015264E"/>
    <w:rsid w:val="0015391E"/>
    <w:rsid w:val="00171162"/>
    <w:rsid w:val="00171A81"/>
    <w:rsid w:val="001722A7"/>
    <w:rsid w:val="001765E3"/>
    <w:rsid w:val="0018685D"/>
    <w:rsid w:val="00191B83"/>
    <w:rsid w:val="001B0FB1"/>
    <w:rsid w:val="001B3DE2"/>
    <w:rsid w:val="001C5BD8"/>
    <w:rsid w:val="001D2759"/>
    <w:rsid w:val="001E16A4"/>
    <w:rsid w:val="0020141B"/>
    <w:rsid w:val="00201E3B"/>
    <w:rsid w:val="0020722B"/>
    <w:rsid w:val="0021453E"/>
    <w:rsid w:val="002258F6"/>
    <w:rsid w:val="00237F6F"/>
    <w:rsid w:val="00240701"/>
    <w:rsid w:val="00241AA6"/>
    <w:rsid w:val="00244F70"/>
    <w:rsid w:val="00245DC8"/>
    <w:rsid w:val="0025228D"/>
    <w:rsid w:val="0025331B"/>
    <w:rsid w:val="00253C8F"/>
    <w:rsid w:val="00261E54"/>
    <w:rsid w:val="00270AA5"/>
    <w:rsid w:val="002744DF"/>
    <w:rsid w:val="00282647"/>
    <w:rsid w:val="00282D3B"/>
    <w:rsid w:val="00285CC6"/>
    <w:rsid w:val="0029378C"/>
    <w:rsid w:val="002A0245"/>
    <w:rsid w:val="002A5A69"/>
    <w:rsid w:val="002B5341"/>
    <w:rsid w:val="002B57BD"/>
    <w:rsid w:val="002B64E3"/>
    <w:rsid w:val="002C0F68"/>
    <w:rsid w:val="002C6990"/>
    <w:rsid w:val="002D230C"/>
    <w:rsid w:val="002D6A88"/>
    <w:rsid w:val="002E50D9"/>
    <w:rsid w:val="002F149B"/>
    <w:rsid w:val="002F2524"/>
    <w:rsid w:val="002F2958"/>
    <w:rsid w:val="002F3B6B"/>
    <w:rsid w:val="002F6393"/>
    <w:rsid w:val="003033E1"/>
    <w:rsid w:val="00314CE7"/>
    <w:rsid w:val="00315081"/>
    <w:rsid w:val="00320F28"/>
    <w:rsid w:val="003305FC"/>
    <w:rsid w:val="0033178B"/>
    <w:rsid w:val="0033274C"/>
    <w:rsid w:val="00332CF8"/>
    <w:rsid w:val="00333439"/>
    <w:rsid w:val="00341BD4"/>
    <w:rsid w:val="003424EC"/>
    <w:rsid w:val="003515C3"/>
    <w:rsid w:val="003759F1"/>
    <w:rsid w:val="00376489"/>
    <w:rsid w:val="00380E7A"/>
    <w:rsid w:val="00383F5B"/>
    <w:rsid w:val="00384B7A"/>
    <w:rsid w:val="00385AA2"/>
    <w:rsid w:val="003871F3"/>
    <w:rsid w:val="00390FD5"/>
    <w:rsid w:val="00393728"/>
    <w:rsid w:val="00393AFE"/>
    <w:rsid w:val="00394139"/>
    <w:rsid w:val="003968B3"/>
    <w:rsid w:val="00397575"/>
    <w:rsid w:val="003B304C"/>
    <w:rsid w:val="003B5657"/>
    <w:rsid w:val="003C4F17"/>
    <w:rsid w:val="003C5DB1"/>
    <w:rsid w:val="003D05D4"/>
    <w:rsid w:val="003D313F"/>
    <w:rsid w:val="003E062D"/>
    <w:rsid w:val="003E28C6"/>
    <w:rsid w:val="003E5C3C"/>
    <w:rsid w:val="003E5CA2"/>
    <w:rsid w:val="003F2467"/>
    <w:rsid w:val="00425229"/>
    <w:rsid w:val="004266B5"/>
    <w:rsid w:val="0043745B"/>
    <w:rsid w:val="00440F72"/>
    <w:rsid w:val="004428C4"/>
    <w:rsid w:val="00452F7C"/>
    <w:rsid w:val="00456BE6"/>
    <w:rsid w:val="00465CD1"/>
    <w:rsid w:val="00466230"/>
    <w:rsid w:val="004830A7"/>
    <w:rsid w:val="004921A3"/>
    <w:rsid w:val="004938A0"/>
    <w:rsid w:val="004942A2"/>
    <w:rsid w:val="004B0D4D"/>
    <w:rsid w:val="004C26C4"/>
    <w:rsid w:val="004C759B"/>
    <w:rsid w:val="004D7E50"/>
    <w:rsid w:val="00505351"/>
    <w:rsid w:val="005077BE"/>
    <w:rsid w:val="005079BA"/>
    <w:rsid w:val="00511324"/>
    <w:rsid w:val="00511E10"/>
    <w:rsid w:val="0052154A"/>
    <w:rsid w:val="00522131"/>
    <w:rsid w:val="00525A57"/>
    <w:rsid w:val="00531123"/>
    <w:rsid w:val="0053224E"/>
    <w:rsid w:val="00537F66"/>
    <w:rsid w:val="00543314"/>
    <w:rsid w:val="00564AC4"/>
    <w:rsid w:val="0057412E"/>
    <w:rsid w:val="00581E04"/>
    <w:rsid w:val="005823B6"/>
    <w:rsid w:val="0059202C"/>
    <w:rsid w:val="00593FA0"/>
    <w:rsid w:val="00594955"/>
    <w:rsid w:val="005B3341"/>
    <w:rsid w:val="005B61CF"/>
    <w:rsid w:val="005C61CA"/>
    <w:rsid w:val="005D72E8"/>
    <w:rsid w:val="005D77EC"/>
    <w:rsid w:val="005E0E2E"/>
    <w:rsid w:val="005E5479"/>
    <w:rsid w:val="005F3233"/>
    <w:rsid w:val="005F70E9"/>
    <w:rsid w:val="00601E3D"/>
    <w:rsid w:val="006053AB"/>
    <w:rsid w:val="00610966"/>
    <w:rsid w:val="00611984"/>
    <w:rsid w:val="00612247"/>
    <w:rsid w:val="006128F5"/>
    <w:rsid w:val="00624C74"/>
    <w:rsid w:val="00627618"/>
    <w:rsid w:val="00633554"/>
    <w:rsid w:val="00635B3F"/>
    <w:rsid w:val="00635EA4"/>
    <w:rsid w:val="006439B2"/>
    <w:rsid w:val="006454AE"/>
    <w:rsid w:val="00652FAF"/>
    <w:rsid w:val="006617D3"/>
    <w:rsid w:val="00662143"/>
    <w:rsid w:val="006716E3"/>
    <w:rsid w:val="00674688"/>
    <w:rsid w:val="00674699"/>
    <w:rsid w:val="0067651E"/>
    <w:rsid w:val="006809EE"/>
    <w:rsid w:val="00687CBE"/>
    <w:rsid w:val="00693453"/>
    <w:rsid w:val="006946E2"/>
    <w:rsid w:val="00696E9F"/>
    <w:rsid w:val="00697032"/>
    <w:rsid w:val="006B064A"/>
    <w:rsid w:val="006B1EB2"/>
    <w:rsid w:val="006B7541"/>
    <w:rsid w:val="006D39B0"/>
    <w:rsid w:val="006D5CF2"/>
    <w:rsid w:val="006D6992"/>
    <w:rsid w:val="006E1DB4"/>
    <w:rsid w:val="006E6A38"/>
    <w:rsid w:val="00700062"/>
    <w:rsid w:val="0070258B"/>
    <w:rsid w:val="0072245F"/>
    <w:rsid w:val="00730438"/>
    <w:rsid w:val="0073197C"/>
    <w:rsid w:val="007336A4"/>
    <w:rsid w:val="00734966"/>
    <w:rsid w:val="0073683E"/>
    <w:rsid w:val="00745E5F"/>
    <w:rsid w:val="00747817"/>
    <w:rsid w:val="00754E78"/>
    <w:rsid w:val="00760A6A"/>
    <w:rsid w:val="00760C31"/>
    <w:rsid w:val="00762ED4"/>
    <w:rsid w:val="00763A8F"/>
    <w:rsid w:val="0076462F"/>
    <w:rsid w:val="00766A85"/>
    <w:rsid w:val="00767605"/>
    <w:rsid w:val="00772E26"/>
    <w:rsid w:val="00774CB7"/>
    <w:rsid w:val="00784E26"/>
    <w:rsid w:val="0078654D"/>
    <w:rsid w:val="0079185E"/>
    <w:rsid w:val="00793558"/>
    <w:rsid w:val="00795BB9"/>
    <w:rsid w:val="007A35B3"/>
    <w:rsid w:val="007B21CE"/>
    <w:rsid w:val="007B3FD6"/>
    <w:rsid w:val="007C3131"/>
    <w:rsid w:val="007C4C3A"/>
    <w:rsid w:val="007E3804"/>
    <w:rsid w:val="007E4BCB"/>
    <w:rsid w:val="007F0B5E"/>
    <w:rsid w:val="007F39F5"/>
    <w:rsid w:val="007F3D90"/>
    <w:rsid w:val="007F5F2E"/>
    <w:rsid w:val="008006A3"/>
    <w:rsid w:val="00800E83"/>
    <w:rsid w:val="0081463C"/>
    <w:rsid w:val="00816B43"/>
    <w:rsid w:val="00830260"/>
    <w:rsid w:val="00832469"/>
    <w:rsid w:val="008340D7"/>
    <w:rsid w:val="00834277"/>
    <w:rsid w:val="0083488F"/>
    <w:rsid w:val="008379EA"/>
    <w:rsid w:val="00837FCD"/>
    <w:rsid w:val="0084583C"/>
    <w:rsid w:val="00861BF3"/>
    <w:rsid w:val="008634A5"/>
    <w:rsid w:val="00865209"/>
    <w:rsid w:val="008734E5"/>
    <w:rsid w:val="008756CF"/>
    <w:rsid w:val="008757DA"/>
    <w:rsid w:val="008776D6"/>
    <w:rsid w:val="0088270F"/>
    <w:rsid w:val="00883119"/>
    <w:rsid w:val="00890CEB"/>
    <w:rsid w:val="00891EB1"/>
    <w:rsid w:val="0089273B"/>
    <w:rsid w:val="0089403F"/>
    <w:rsid w:val="008A1347"/>
    <w:rsid w:val="008A7296"/>
    <w:rsid w:val="008B2F3F"/>
    <w:rsid w:val="008F4C6C"/>
    <w:rsid w:val="00902503"/>
    <w:rsid w:val="00907DE9"/>
    <w:rsid w:val="00923288"/>
    <w:rsid w:val="0092378F"/>
    <w:rsid w:val="00926388"/>
    <w:rsid w:val="00927ED6"/>
    <w:rsid w:val="009313D1"/>
    <w:rsid w:val="00932058"/>
    <w:rsid w:val="00933452"/>
    <w:rsid w:val="00942C34"/>
    <w:rsid w:val="0094567F"/>
    <w:rsid w:val="00945911"/>
    <w:rsid w:val="009564BB"/>
    <w:rsid w:val="009650DE"/>
    <w:rsid w:val="00967974"/>
    <w:rsid w:val="00974BEC"/>
    <w:rsid w:val="009919D8"/>
    <w:rsid w:val="009B22B6"/>
    <w:rsid w:val="009C6599"/>
    <w:rsid w:val="009D23DA"/>
    <w:rsid w:val="009D2F5A"/>
    <w:rsid w:val="009E38B1"/>
    <w:rsid w:val="009E77B9"/>
    <w:rsid w:val="009E7C1A"/>
    <w:rsid w:val="00A15794"/>
    <w:rsid w:val="00A166C1"/>
    <w:rsid w:val="00A20E25"/>
    <w:rsid w:val="00A226AB"/>
    <w:rsid w:val="00A22825"/>
    <w:rsid w:val="00A24484"/>
    <w:rsid w:val="00A37FAC"/>
    <w:rsid w:val="00A43C8E"/>
    <w:rsid w:val="00A44287"/>
    <w:rsid w:val="00A44C56"/>
    <w:rsid w:val="00A5526F"/>
    <w:rsid w:val="00A71BDC"/>
    <w:rsid w:val="00A72B2B"/>
    <w:rsid w:val="00A802E6"/>
    <w:rsid w:val="00A94445"/>
    <w:rsid w:val="00AA1675"/>
    <w:rsid w:val="00AA2AD8"/>
    <w:rsid w:val="00AB249F"/>
    <w:rsid w:val="00AC008C"/>
    <w:rsid w:val="00AC76AD"/>
    <w:rsid w:val="00AD455C"/>
    <w:rsid w:val="00AD5AF4"/>
    <w:rsid w:val="00AD6F84"/>
    <w:rsid w:val="00B02AC5"/>
    <w:rsid w:val="00B25239"/>
    <w:rsid w:val="00B31870"/>
    <w:rsid w:val="00B33194"/>
    <w:rsid w:val="00B347C7"/>
    <w:rsid w:val="00B40958"/>
    <w:rsid w:val="00B410C3"/>
    <w:rsid w:val="00B658D5"/>
    <w:rsid w:val="00B724D9"/>
    <w:rsid w:val="00B7355C"/>
    <w:rsid w:val="00B81AE9"/>
    <w:rsid w:val="00B974C1"/>
    <w:rsid w:val="00BA09B8"/>
    <w:rsid w:val="00BA2DD3"/>
    <w:rsid w:val="00BA44E9"/>
    <w:rsid w:val="00BB62AB"/>
    <w:rsid w:val="00BC04F8"/>
    <w:rsid w:val="00BD4925"/>
    <w:rsid w:val="00BD5AFB"/>
    <w:rsid w:val="00BE2EFA"/>
    <w:rsid w:val="00BE3D89"/>
    <w:rsid w:val="00BE7491"/>
    <w:rsid w:val="00BF32AD"/>
    <w:rsid w:val="00C4205F"/>
    <w:rsid w:val="00C44D41"/>
    <w:rsid w:val="00C4763E"/>
    <w:rsid w:val="00C5206A"/>
    <w:rsid w:val="00C74867"/>
    <w:rsid w:val="00C77EA6"/>
    <w:rsid w:val="00C827B5"/>
    <w:rsid w:val="00C9522B"/>
    <w:rsid w:val="00C95A17"/>
    <w:rsid w:val="00C97CCE"/>
    <w:rsid w:val="00CC2ED9"/>
    <w:rsid w:val="00CD2283"/>
    <w:rsid w:val="00CD2855"/>
    <w:rsid w:val="00CE2874"/>
    <w:rsid w:val="00CE2D17"/>
    <w:rsid w:val="00D04035"/>
    <w:rsid w:val="00D07084"/>
    <w:rsid w:val="00D10B4E"/>
    <w:rsid w:val="00D121CE"/>
    <w:rsid w:val="00D14EC6"/>
    <w:rsid w:val="00D1503C"/>
    <w:rsid w:val="00D3669C"/>
    <w:rsid w:val="00D36BC0"/>
    <w:rsid w:val="00D42170"/>
    <w:rsid w:val="00D42D1A"/>
    <w:rsid w:val="00D443A0"/>
    <w:rsid w:val="00D6616A"/>
    <w:rsid w:val="00D66EAD"/>
    <w:rsid w:val="00D7197F"/>
    <w:rsid w:val="00D762F7"/>
    <w:rsid w:val="00D8125D"/>
    <w:rsid w:val="00D83FCB"/>
    <w:rsid w:val="00D84DC6"/>
    <w:rsid w:val="00D9768A"/>
    <w:rsid w:val="00DC0500"/>
    <w:rsid w:val="00DC18E2"/>
    <w:rsid w:val="00DC25AF"/>
    <w:rsid w:val="00DC3C3E"/>
    <w:rsid w:val="00DC54A2"/>
    <w:rsid w:val="00DD25CC"/>
    <w:rsid w:val="00DE4A99"/>
    <w:rsid w:val="00DF07E3"/>
    <w:rsid w:val="00DF3D52"/>
    <w:rsid w:val="00E00003"/>
    <w:rsid w:val="00E0184E"/>
    <w:rsid w:val="00E04E2F"/>
    <w:rsid w:val="00E06EED"/>
    <w:rsid w:val="00E11EFB"/>
    <w:rsid w:val="00E14469"/>
    <w:rsid w:val="00E21DA2"/>
    <w:rsid w:val="00E22C7A"/>
    <w:rsid w:val="00E32A06"/>
    <w:rsid w:val="00E34729"/>
    <w:rsid w:val="00E367B7"/>
    <w:rsid w:val="00E520A9"/>
    <w:rsid w:val="00E55CDA"/>
    <w:rsid w:val="00E60C6D"/>
    <w:rsid w:val="00E62690"/>
    <w:rsid w:val="00E707C9"/>
    <w:rsid w:val="00E7308C"/>
    <w:rsid w:val="00E76646"/>
    <w:rsid w:val="00E8453B"/>
    <w:rsid w:val="00E84671"/>
    <w:rsid w:val="00E95111"/>
    <w:rsid w:val="00E97685"/>
    <w:rsid w:val="00EA108C"/>
    <w:rsid w:val="00EB2536"/>
    <w:rsid w:val="00EB487E"/>
    <w:rsid w:val="00EB50AE"/>
    <w:rsid w:val="00EB5869"/>
    <w:rsid w:val="00EC11E7"/>
    <w:rsid w:val="00ED08CB"/>
    <w:rsid w:val="00ED16EA"/>
    <w:rsid w:val="00ED427A"/>
    <w:rsid w:val="00ED431D"/>
    <w:rsid w:val="00ED5686"/>
    <w:rsid w:val="00EE1AB5"/>
    <w:rsid w:val="00EE4894"/>
    <w:rsid w:val="00EF5115"/>
    <w:rsid w:val="00EF72CB"/>
    <w:rsid w:val="00F00297"/>
    <w:rsid w:val="00F019EB"/>
    <w:rsid w:val="00F0440B"/>
    <w:rsid w:val="00F1349A"/>
    <w:rsid w:val="00F13DE4"/>
    <w:rsid w:val="00F15D51"/>
    <w:rsid w:val="00F16822"/>
    <w:rsid w:val="00F16BE8"/>
    <w:rsid w:val="00F231AA"/>
    <w:rsid w:val="00F23544"/>
    <w:rsid w:val="00F25643"/>
    <w:rsid w:val="00F31E37"/>
    <w:rsid w:val="00F31EA2"/>
    <w:rsid w:val="00F331A9"/>
    <w:rsid w:val="00F36B10"/>
    <w:rsid w:val="00F37A2E"/>
    <w:rsid w:val="00F40768"/>
    <w:rsid w:val="00F4139E"/>
    <w:rsid w:val="00F45ED7"/>
    <w:rsid w:val="00F50EBF"/>
    <w:rsid w:val="00F51049"/>
    <w:rsid w:val="00F51778"/>
    <w:rsid w:val="00F5356D"/>
    <w:rsid w:val="00F53E6F"/>
    <w:rsid w:val="00F56435"/>
    <w:rsid w:val="00F57D46"/>
    <w:rsid w:val="00F65D26"/>
    <w:rsid w:val="00F65FF2"/>
    <w:rsid w:val="00F77BBC"/>
    <w:rsid w:val="00F87CBE"/>
    <w:rsid w:val="00F907A0"/>
    <w:rsid w:val="00FA1522"/>
    <w:rsid w:val="00FA5D41"/>
    <w:rsid w:val="00FB785F"/>
    <w:rsid w:val="00FC07BA"/>
    <w:rsid w:val="00FC7547"/>
    <w:rsid w:val="00FD4AAA"/>
    <w:rsid w:val="00F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681D9D"/>
  <w15:docId w15:val="{FBE675F2-5D0B-4FC8-A486-4069706C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chine.anyaegbu</dc:creator>
  <cp:lastModifiedBy>Smith Hannah (RNU) Oxford Health</cp:lastModifiedBy>
  <cp:revision>3</cp:revision>
  <cp:lastPrinted>2015-04-14T14:09:00Z</cp:lastPrinted>
  <dcterms:created xsi:type="dcterms:W3CDTF">2018-02-21T14:04:00Z</dcterms:created>
  <dcterms:modified xsi:type="dcterms:W3CDTF">2018-02-21T14:31:00Z</dcterms:modified>
</cp:coreProperties>
</file>