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860CC" w:rsidRDefault="00FA74A7">
                            <w:pPr>
                              <w:jc w:val="center"/>
                              <w:rPr>
                                <w:rFonts w:ascii="Segoe UI" w:hAnsi="Segoe UI" w:cs="Segoe UI"/>
                              </w:rPr>
                            </w:pPr>
                            <w:r>
                              <w:rPr>
                                <w:rFonts w:ascii="Segoe UI" w:hAnsi="Segoe UI" w:cs="Segoe UI"/>
                                <w:b/>
                              </w:rPr>
                              <w:t>BOD 55</w:t>
                            </w:r>
                            <w:r w:rsidR="009860CC">
                              <w:rPr>
                                <w:rFonts w:ascii="Segoe UI" w:hAnsi="Segoe UI" w:cs="Segoe UI"/>
                                <w:b/>
                              </w:rPr>
                              <w:t>/2018</w:t>
                            </w:r>
                          </w:p>
                          <w:p w:rsidR="009860CC" w:rsidRPr="00FA3993" w:rsidRDefault="00FA74A7">
                            <w:pPr>
                              <w:jc w:val="center"/>
                              <w:rPr>
                                <w:rFonts w:ascii="Segoe UI" w:hAnsi="Segoe UI" w:cs="Segoe UI"/>
                                <w:sz w:val="22"/>
                                <w:szCs w:val="22"/>
                              </w:rPr>
                            </w:pPr>
                            <w:r>
                              <w:rPr>
                                <w:rFonts w:ascii="Segoe UI" w:hAnsi="Segoe UI" w:cs="Segoe UI"/>
                                <w:sz w:val="22"/>
                                <w:szCs w:val="22"/>
                              </w:rPr>
                              <w:t>(Agenda item: 12</w:t>
                            </w:r>
                            <w:r w:rsidR="009860CC">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9860CC" w:rsidRDefault="00FA74A7">
                      <w:pPr>
                        <w:jc w:val="center"/>
                        <w:rPr>
                          <w:rFonts w:ascii="Segoe UI" w:hAnsi="Segoe UI" w:cs="Segoe UI"/>
                        </w:rPr>
                      </w:pPr>
                      <w:r>
                        <w:rPr>
                          <w:rFonts w:ascii="Segoe UI" w:hAnsi="Segoe UI" w:cs="Segoe UI"/>
                          <w:b/>
                        </w:rPr>
                        <w:t>BOD 55</w:t>
                      </w:r>
                      <w:r w:rsidR="009860CC">
                        <w:rPr>
                          <w:rFonts w:ascii="Segoe UI" w:hAnsi="Segoe UI" w:cs="Segoe UI"/>
                          <w:b/>
                        </w:rPr>
                        <w:t>/2018</w:t>
                      </w:r>
                    </w:p>
                    <w:p w:rsidR="009860CC" w:rsidRPr="00FA3993" w:rsidRDefault="00FA74A7">
                      <w:pPr>
                        <w:jc w:val="center"/>
                        <w:rPr>
                          <w:rFonts w:ascii="Segoe UI" w:hAnsi="Segoe UI" w:cs="Segoe UI"/>
                          <w:sz w:val="22"/>
                          <w:szCs w:val="22"/>
                        </w:rPr>
                      </w:pPr>
                      <w:r>
                        <w:rPr>
                          <w:rFonts w:ascii="Segoe UI" w:hAnsi="Segoe UI" w:cs="Segoe UI"/>
                          <w:sz w:val="22"/>
                          <w:szCs w:val="22"/>
                        </w:rPr>
                        <w:t>(Agenda item: 12</w:t>
                      </w:r>
                      <w:r w:rsidR="009860CC">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w:t>
      </w:r>
      <w:bookmarkStart w:id="0" w:name="_GoBack"/>
      <w:bookmarkEnd w:id="0"/>
      <w:r w:rsidRPr="00FA3993">
        <w:rPr>
          <w:rFonts w:ascii="Segoe UI" w:hAnsi="Segoe UI" w:cs="Segoe UI"/>
          <w:sz w:val="28"/>
          <w:u w:val="none"/>
        </w:rPr>
        <w:t>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28206A">
      <w:pPr>
        <w:jc w:val="center"/>
        <w:rPr>
          <w:rFonts w:ascii="Segoe UI" w:hAnsi="Segoe UI" w:cs="Segoe UI"/>
          <w:b/>
        </w:rPr>
      </w:pPr>
      <w:r>
        <w:rPr>
          <w:rFonts w:ascii="Segoe UI" w:hAnsi="Segoe UI" w:cs="Segoe UI"/>
          <w:b/>
        </w:rPr>
        <w:t>25</w:t>
      </w:r>
      <w:r w:rsidRPr="0028206A">
        <w:rPr>
          <w:rFonts w:ascii="Segoe UI" w:hAnsi="Segoe UI" w:cs="Segoe UI"/>
          <w:b/>
          <w:vertAlign w:val="superscript"/>
        </w:rPr>
        <w:t>th</w:t>
      </w:r>
      <w:r>
        <w:rPr>
          <w:rFonts w:ascii="Segoe UI" w:hAnsi="Segoe UI" w:cs="Segoe UI"/>
          <w:b/>
        </w:rPr>
        <w:t xml:space="preserve"> April</w:t>
      </w:r>
      <w:r w:rsidR="00145747">
        <w:rPr>
          <w:rFonts w:ascii="Segoe UI" w:hAnsi="Segoe UI" w:cs="Segoe UI"/>
          <w:b/>
        </w:rPr>
        <w:t xml:space="preserve"> 2018</w:t>
      </w:r>
    </w:p>
    <w:p w:rsidR="005D3499" w:rsidRPr="00FA3993" w:rsidRDefault="005D3499">
      <w:pPr>
        <w:jc w:val="center"/>
        <w:rPr>
          <w:rFonts w:ascii="Segoe UI" w:hAnsi="Segoe UI" w:cs="Segoe UI"/>
          <w:b/>
        </w:rPr>
      </w:pPr>
    </w:p>
    <w:p w:rsidR="005D3499" w:rsidRPr="00FA3993" w:rsidRDefault="00C93210" w:rsidP="00FD2279">
      <w:pPr>
        <w:jc w:val="center"/>
        <w:rPr>
          <w:rFonts w:ascii="Segoe UI" w:hAnsi="Segoe UI" w:cs="Segoe UI"/>
          <w:b/>
        </w:rPr>
      </w:pPr>
      <w:r>
        <w:rPr>
          <w:rFonts w:ascii="Segoe UI" w:hAnsi="Segoe UI" w:cs="Segoe UI"/>
          <w:b/>
        </w:rPr>
        <w:t>Human Resources Report</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For: Information</w:t>
      </w:r>
    </w:p>
    <w:p w:rsidR="00292613" w:rsidRDefault="00292613">
      <w:pPr>
        <w:rPr>
          <w:rFonts w:ascii="Segoe UI" w:hAnsi="Segoe UI" w:cs="Segoe UI"/>
          <w:b/>
        </w:rPr>
      </w:pPr>
    </w:p>
    <w:p w:rsidR="00C93210" w:rsidRPr="00267DE0" w:rsidRDefault="00C93210" w:rsidP="00C93210">
      <w:pPr>
        <w:jc w:val="both"/>
        <w:rPr>
          <w:rFonts w:ascii="Arial" w:hAnsi="Arial" w:cs="Arial"/>
        </w:rPr>
      </w:pPr>
      <w:r w:rsidRPr="00267DE0">
        <w:rPr>
          <w:rFonts w:ascii="Arial" w:hAnsi="Arial" w:cs="Arial"/>
        </w:rPr>
        <w:t xml:space="preserve">This report shows the position on the workforce performance indicators as at the end of </w:t>
      </w:r>
      <w:r w:rsidR="0028206A">
        <w:rPr>
          <w:rFonts w:ascii="Arial" w:hAnsi="Arial" w:cs="Arial"/>
        </w:rPr>
        <w:t xml:space="preserve">March </w:t>
      </w:r>
      <w:r w:rsidRPr="00267DE0">
        <w:rPr>
          <w:rFonts w:ascii="Arial" w:hAnsi="Arial" w:cs="Arial"/>
        </w:rPr>
        <w:t>2018.</w:t>
      </w:r>
    </w:p>
    <w:p w:rsidR="00C93210" w:rsidRPr="00267DE0" w:rsidRDefault="00C93210" w:rsidP="00C93210">
      <w:pPr>
        <w:ind w:left="-851"/>
        <w:jc w:val="both"/>
        <w:rPr>
          <w:rFonts w:ascii="Arial" w:hAnsi="Arial" w:cs="Arial"/>
        </w:rPr>
      </w:pPr>
    </w:p>
    <w:p w:rsidR="00C93210" w:rsidRPr="00CE0E1A" w:rsidRDefault="00C93210" w:rsidP="00C93210">
      <w:pPr>
        <w:jc w:val="both"/>
        <w:rPr>
          <w:rFonts w:ascii="Arial" w:hAnsi="Arial" w:cs="Arial"/>
        </w:rPr>
      </w:pPr>
      <w:r w:rsidRPr="00267DE0">
        <w:rPr>
          <w:rFonts w:ascii="Arial" w:hAnsi="Arial" w:cs="Arial"/>
        </w:rPr>
        <w:t>The report includes brief details of actions already in place to address some of the challenges as well as plans being developed.</w:t>
      </w:r>
    </w:p>
    <w:p w:rsidR="00C93210" w:rsidRDefault="00C93210" w:rsidP="00C93210">
      <w:pPr>
        <w:jc w:val="both"/>
        <w:rPr>
          <w:rFonts w:ascii="Arial" w:hAnsi="Arial" w:cs="Arial"/>
        </w:rPr>
      </w:pPr>
    </w:p>
    <w:p w:rsidR="00C93210" w:rsidRPr="00AB3ABC" w:rsidRDefault="00C93210" w:rsidP="00C93210">
      <w:pPr>
        <w:rPr>
          <w:rFonts w:ascii="Arial" w:hAnsi="Arial" w:cs="Arial"/>
          <w:b/>
        </w:rPr>
      </w:pPr>
      <w:r w:rsidRPr="00AB3ABC">
        <w:rPr>
          <w:rFonts w:ascii="Arial" w:hAnsi="Arial" w:cs="Arial"/>
          <w:b/>
        </w:rPr>
        <w:t>Temporary Staffing Spend</w:t>
      </w:r>
    </w:p>
    <w:p w:rsidR="00AB3ABC" w:rsidRDefault="00AB3ABC" w:rsidP="00AB3ABC">
      <w:pPr>
        <w:rPr>
          <w:rFonts w:ascii="Arial" w:hAnsi="Arial" w:cs="Arial"/>
        </w:rPr>
      </w:pPr>
      <w:r w:rsidRPr="00AB3ABC">
        <w:rPr>
          <w:rFonts w:ascii="Arial" w:hAnsi="Arial" w:cs="Arial"/>
        </w:rPr>
        <w:t xml:space="preserve">Although agency spend remains high, the </w:t>
      </w:r>
      <w:proofErr w:type="spellStart"/>
      <w:r w:rsidRPr="00AB3ABC">
        <w:rPr>
          <w:rFonts w:ascii="Arial" w:hAnsi="Arial" w:cs="Arial"/>
        </w:rPr>
        <w:t>centralisation</w:t>
      </w:r>
      <w:proofErr w:type="spellEnd"/>
      <w:r w:rsidRPr="00AB3ABC">
        <w:rPr>
          <w:rFonts w:ascii="Arial" w:hAnsi="Arial" w:cs="Arial"/>
        </w:rPr>
        <w:t xml:space="preserve"> of the management of all agency use has removed the traditional spike in agency costs in the last month of the financial year which was previously caused by accrual issues. Good work by the Staffing Solutions, Finance and Procurement teams has led to this improvement.</w:t>
      </w:r>
    </w:p>
    <w:p w:rsidR="005C098E" w:rsidRPr="00AB3ABC" w:rsidRDefault="005C098E" w:rsidP="00AB3ABC">
      <w:pPr>
        <w:rPr>
          <w:rFonts w:ascii="Arial" w:hAnsi="Arial" w:cs="Arial"/>
        </w:rPr>
      </w:pPr>
    </w:p>
    <w:p w:rsidR="00F50721" w:rsidRDefault="00F50721" w:rsidP="00C93210">
      <w:pPr>
        <w:rPr>
          <w:rFonts w:ascii="Arial" w:hAnsi="Arial" w:cs="Arial"/>
        </w:rPr>
      </w:pPr>
      <w:r w:rsidRPr="00F50721">
        <w:rPr>
          <w:rFonts w:ascii="Arial" w:hAnsi="Arial" w:cs="Arial"/>
        </w:rPr>
        <w:t xml:space="preserve">Total temporary staffing spend </w:t>
      </w:r>
      <w:r w:rsidR="00D352A3">
        <w:rPr>
          <w:rFonts w:ascii="Arial" w:hAnsi="Arial" w:cs="Arial"/>
        </w:rPr>
        <w:t xml:space="preserve">figures are detailed in the presentation that accompanies this report. In summary it has </w:t>
      </w:r>
      <w:r w:rsidRPr="00F50721">
        <w:rPr>
          <w:rFonts w:ascii="Arial" w:hAnsi="Arial" w:cs="Arial"/>
        </w:rPr>
        <w:t xml:space="preserve">increased by £469K to £3.96m, 19.40% of payroll, the highest in year.  This is likely to be due to increased rates of annual leave in March due to the end of the annual leave year and Easter. </w:t>
      </w:r>
    </w:p>
    <w:p w:rsidR="00F50721" w:rsidRDefault="00F50721" w:rsidP="00C93210">
      <w:pPr>
        <w:rPr>
          <w:rFonts w:ascii="Arial" w:hAnsi="Arial" w:cs="Arial"/>
        </w:rPr>
      </w:pPr>
    </w:p>
    <w:p w:rsidR="00F50721" w:rsidRDefault="00F50721" w:rsidP="00C93210">
      <w:pPr>
        <w:rPr>
          <w:rFonts w:ascii="Arial" w:hAnsi="Arial" w:cs="Arial"/>
        </w:rPr>
      </w:pPr>
      <w:r w:rsidRPr="00F50721">
        <w:rPr>
          <w:rFonts w:ascii="Arial" w:hAnsi="Arial" w:cs="Arial"/>
        </w:rPr>
        <w:t xml:space="preserve">The Trust is planning to review the annual leave policy in 2018/19 to </w:t>
      </w:r>
      <w:r>
        <w:rPr>
          <w:rFonts w:ascii="Arial" w:hAnsi="Arial" w:cs="Arial"/>
        </w:rPr>
        <w:t>examine</w:t>
      </w:r>
      <w:r w:rsidRPr="00F50721">
        <w:rPr>
          <w:rFonts w:ascii="Arial" w:hAnsi="Arial" w:cs="Arial"/>
        </w:rPr>
        <w:t xml:space="preserve"> ways of ensuring annual leave is managed more evenly across the year.  </w:t>
      </w:r>
    </w:p>
    <w:p w:rsidR="00F50721" w:rsidRDefault="00F50721" w:rsidP="00D352A3">
      <w:pPr>
        <w:rPr>
          <w:rFonts w:ascii="Arial" w:hAnsi="Arial" w:cs="Arial"/>
          <w:lang w:val="en-GB"/>
        </w:rPr>
      </w:pPr>
      <w:r>
        <w:rPr>
          <w:rFonts w:ascii="Arial" w:hAnsi="Arial" w:cs="Arial"/>
        </w:rPr>
        <w:br/>
      </w:r>
    </w:p>
    <w:p w:rsidR="00F50721" w:rsidRPr="00F50721" w:rsidRDefault="00F50721" w:rsidP="00F50721">
      <w:pPr>
        <w:rPr>
          <w:rFonts w:ascii="Arial" w:hAnsi="Arial" w:cs="Arial"/>
          <w:lang w:val="en-GB"/>
        </w:rPr>
      </w:pPr>
      <w:r w:rsidRPr="00F50721">
        <w:rPr>
          <w:rFonts w:ascii="Arial" w:hAnsi="Arial" w:cs="Arial"/>
          <w:lang w:val="en-GB"/>
        </w:rPr>
        <w:t>Agency spend was 171.84% above the ceiling set by NHSI. NHSI Agency rule overrides increased by 10% to 1,380 shifts in the 4 weeks of March. 54% of temporary staffing shifts booked through the WFMS were to cover vacancies.</w:t>
      </w:r>
    </w:p>
    <w:p w:rsidR="00F50721" w:rsidRDefault="00F50721" w:rsidP="00C93210">
      <w:pPr>
        <w:rPr>
          <w:rFonts w:ascii="Arial" w:hAnsi="Arial" w:cs="Arial"/>
        </w:rPr>
      </w:pPr>
    </w:p>
    <w:p w:rsidR="00F50721" w:rsidRDefault="00F50721" w:rsidP="00C93210">
      <w:pPr>
        <w:rPr>
          <w:rFonts w:ascii="Arial" w:eastAsiaTheme="majorEastAsia" w:hAnsi="Arial" w:cs="Arial"/>
          <w:b/>
          <w:color w:val="000000" w:themeColor="text1"/>
          <w:kern w:val="24"/>
        </w:rPr>
      </w:pPr>
      <w:r>
        <w:rPr>
          <w:rFonts w:ascii="Arial" w:eastAsiaTheme="majorEastAsia" w:hAnsi="Arial" w:cs="Arial"/>
          <w:b/>
          <w:color w:val="000000" w:themeColor="text1"/>
          <w:kern w:val="24"/>
        </w:rPr>
        <w:t>HCA Agency Reduction</w:t>
      </w:r>
    </w:p>
    <w:p w:rsidR="00EE0206" w:rsidRDefault="00AB3ABC" w:rsidP="00DB4A9D">
      <w:pPr>
        <w:jc w:val="both"/>
        <w:rPr>
          <w:rFonts w:ascii="Arial" w:hAnsi="Arial" w:cs="Arial"/>
        </w:rPr>
      </w:pPr>
      <w:r w:rsidRPr="00AB3ABC">
        <w:rPr>
          <w:rFonts w:ascii="Arial" w:hAnsi="Arial" w:cs="Arial"/>
        </w:rPr>
        <w:lastRenderedPageBreak/>
        <w:t>We continue to work hard to get more Healthcare Assistants onto our Bank and our substantive payroll ahead of the planned cessation of agency use for these roles across the Trust in mid</w:t>
      </w:r>
      <w:r>
        <w:rPr>
          <w:rFonts w:ascii="Arial" w:hAnsi="Arial" w:cs="Arial"/>
        </w:rPr>
        <w:t>-</w:t>
      </w:r>
      <w:r w:rsidRPr="00AB3ABC">
        <w:rPr>
          <w:rFonts w:ascii="Arial" w:hAnsi="Arial" w:cs="Arial"/>
        </w:rPr>
        <w:t>May.</w:t>
      </w:r>
      <w:r w:rsidR="00DB4A9D">
        <w:rPr>
          <w:rFonts w:ascii="Arial" w:hAnsi="Arial" w:cs="Arial"/>
        </w:rPr>
        <w:t xml:space="preserve"> </w:t>
      </w:r>
      <w:r w:rsidR="00DB4A9D" w:rsidRPr="00DB4A9D">
        <w:rPr>
          <w:rFonts w:ascii="Arial" w:eastAsiaTheme="minorEastAsia" w:hAnsi="Arial" w:cs="Arial"/>
          <w:color w:val="000000" w:themeColor="text1"/>
          <w:kern w:val="24"/>
        </w:rPr>
        <w:t xml:space="preserve">Extensive work is being undertaken to persuade Agency Workers to move across to Staffing Solutions, the Trusts' internal bank.  </w:t>
      </w:r>
      <w:r w:rsidR="00DB4A9D" w:rsidRPr="00DB4A9D">
        <w:rPr>
          <w:rFonts w:ascii="Arial" w:hAnsi="Arial" w:cs="Arial"/>
        </w:rPr>
        <w:t xml:space="preserve">The Staffing Solutions and recruitment teams are currently visiting inpatient units targeting visits to catch key agency HCA workers to try and persuade them to join the internal bank. </w:t>
      </w:r>
    </w:p>
    <w:p w:rsidR="00EE0206" w:rsidRDefault="00EE0206" w:rsidP="00DB4A9D">
      <w:pPr>
        <w:jc w:val="both"/>
        <w:rPr>
          <w:rFonts w:ascii="Arial" w:hAnsi="Arial" w:cs="Arial"/>
        </w:rPr>
      </w:pPr>
    </w:p>
    <w:p w:rsidR="00DB4A9D" w:rsidRPr="00DB4A9D" w:rsidRDefault="00EE0206" w:rsidP="00DB4A9D">
      <w:pPr>
        <w:jc w:val="both"/>
        <w:rPr>
          <w:rFonts w:ascii="Arial" w:hAnsi="Arial" w:cs="Arial"/>
        </w:rPr>
      </w:pPr>
      <w:r>
        <w:rPr>
          <w:rFonts w:ascii="Arial" w:hAnsi="Arial" w:cs="Arial"/>
        </w:rPr>
        <w:t>As neither Staffing Solutions nor HR hold any contact details for agency workers, the only viable means of contacting agency workers about transferring to a Trust contract is when they are actually at work. Therefore, i</w:t>
      </w:r>
      <w:r w:rsidR="00DB4A9D" w:rsidRPr="00DB4A9D">
        <w:rPr>
          <w:rFonts w:ascii="Arial" w:hAnsi="Arial" w:cs="Arial"/>
        </w:rPr>
        <w:t>t is vital that all Ward Managers and Nurses in Charge of a shift also encourage agency workers to make the move to enable the Trust to smoothly transition to no HCA agency usage.</w:t>
      </w:r>
    </w:p>
    <w:p w:rsidR="00DB4A9D" w:rsidRPr="00DB4A9D" w:rsidRDefault="00DB4A9D" w:rsidP="00DB4A9D">
      <w:pPr>
        <w:jc w:val="both"/>
        <w:rPr>
          <w:rFonts w:ascii="Arial" w:hAnsi="Arial" w:cs="Arial"/>
        </w:rPr>
      </w:pPr>
    </w:p>
    <w:p w:rsidR="00DB4A9D" w:rsidRPr="00DB4A9D" w:rsidRDefault="00DB4A9D" w:rsidP="00DB4A9D">
      <w:pPr>
        <w:jc w:val="both"/>
        <w:rPr>
          <w:rFonts w:ascii="Arial" w:eastAsiaTheme="minorEastAsia" w:hAnsi="Arial" w:cs="Arial"/>
          <w:color w:val="000000" w:themeColor="text1"/>
          <w:kern w:val="24"/>
        </w:rPr>
      </w:pPr>
      <w:r w:rsidRPr="00DB4A9D">
        <w:rPr>
          <w:rFonts w:ascii="Arial" w:eastAsiaTheme="minorEastAsia" w:hAnsi="Arial" w:cs="Arial"/>
          <w:color w:val="000000" w:themeColor="text1"/>
          <w:kern w:val="24"/>
        </w:rPr>
        <w:t>87% of the shifts filled by agency workers in January were completed by 125 workers who are being specifically targeted to move across</w:t>
      </w:r>
      <w:r w:rsidR="008D50F7">
        <w:rPr>
          <w:rFonts w:ascii="Arial" w:eastAsiaTheme="minorEastAsia" w:hAnsi="Arial" w:cs="Arial"/>
          <w:color w:val="000000" w:themeColor="text1"/>
          <w:kern w:val="24"/>
        </w:rPr>
        <w:t xml:space="preserve">. </w:t>
      </w:r>
      <w:r w:rsidRPr="00DB4A9D">
        <w:rPr>
          <w:rFonts w:ascii="Arial" w:eastAsiaTheme="minorEastAsia" w:hAnsi="Arial" w:cs="Arial"/>
          <w:color w:val="000000" w:themeColor="text1"/>
          <w:kern w:val="24"/>
        </w:rPr>
        <w:t xml:space="preserve">The table </w:t>
      </w:r>
      <w:r w:rsidR="008D50F7">
        <w:rPr>
          <w:rFonts w:ascii="Arial" w:eastAsiaTheme="minorEastAsia" w:hAnsi="Arial" w:cs="Arial"/>
          <w:color w:val="000000" w:themeColor="text1"/>
          <w:kern w:val="24"/>
        </w:rPr>
        <w:t xml:space="preserve">below </w:t>
      </w:r>
      <w:r w:rsidRPr="00DB4A9D">
        <w:rPr>
          <w:rFonts w:ascii="Arial" w:eastAsiaTheme="minorEastAsia" w:hAnsi="Arial" w:cs="Arial"/>
          <w:color w:val="000000" w:themeColor="text1"/>
          <w:kern w:val="24"/>
        </w:rPr>
        <w:t>shows progress with this key group and with other workers</w:t>
      </w:r>
      <w:r w:rsidR="008D50F7">
        <w:rPr>
          <w:rFonts w:ascii="Arial" w:eastAsiaTheme="minorEastAsia" w:hAnsi="Arial" w:cs="Arial"/>
          <w:color w:val="000000" w:themeColor="text1"/>
          <w:kern w:val="24"/>
        </w:rPr>
        <w:t>:</w:t>
      </w:r>
    </w:p>
    <w:p w:rsidR="00DB4A9D" w:rsidRPr="00DB4A9D" w:rsidRDefault="00DB4A9D" w:rsidP="00DB4A9D">
      <w:pPr>
        <w:jc w:val="both"/>
        <w:rPr>
          <w:rFonts w:ascii="Arial" w:eastAsiaTheme="minorEastAsia" w:hAnsi="Arial" w:cs="Arial"/>
          <w:color w:val="000000" w:themeColor="text1"/>
          <w:kern w:val="24"/>
        </w:rPr>
      </w:pPr>
    </w:p>
    <w:tbl>
      <w:tblPr>
        <w:tblW w:w="6160" w:type="dxa"/>
        <w:tblLook w:val="04A0" w:firstRow="1" w:lastRow="0" w:firstColumn="1" w:lastColumn="0" w:noHBand="0" w:noVBand="1"/>
      </w:tblPr>
      <w:tblGrid>
        <w:gridCol w:w="3280"/>
        <w:gridCol w:w="960"/>
        <w:gridCol w:w="960"/>
        <w:gridCol w:w="960"/>
      </w:tblGrid>
      <w:tr w:rsidR="00DB4A9D" w:rsidRPr="00DB4A9D" w:rsidTr="009860C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A9D" w:rsidRPr="00DB4A9D" w:rsidRDefault="00DB4A9D" w:rsidP="009860CC">
            <w:pPr>
              <w:rPr>
                <w:rFonts w:ascii="Arial" w:hAnsi="Arial" w:cs="Arial"/>
                <w:color w:val="000000"/>
              </w:rPr>
            </w:pPr>
            <w:r w:rsidRPr="00DB4A9D">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b/>
                <w:bCs/>
                <w:color w:val="000000"/>
              </w:rPr>
            </w:pPr>
            <w:r w:rsidRPr="00DB4A9D">
              <w:rPr>
                <w:rFonts w:ascii="Arial" w:hAnsi="Arial" w:cs="Arial"/>
                <w:b/>
                <w:bCs/>
                <w:color w:val="000000"/>
              </w:rPr>
              <w:t>Key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b/>
                <w:bCs/>
                <w:color w:val="000000"/>
              </w:rPr>
            </w:pPr>
            <w:r w:rsidRPr="00DB4A9D">
              <w:rPr>
                <w:rFonts w:ascii="Arial" w:hAnsi="Arial" w:cs="Arial"/>
                <w:b/>
                <w:bCs/>
                <w:color w:val="000000"/>
              </w:rPr>
              <w:t xml:space="preserve">Other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b/>
                <w:bCs/>
                <w:color w:val="000000"/>
              </w:rPr>
            </w:pPr>
            <w:r w:rsidRPr="00DB4A9D">
              <w:rPr>
                <w:rFonts w:ascii="Arial" w:hAnsi="Arial" w:cs="Arial"/>
                <w:b/>
                <w:bCs/>
                <w:color w:val="000000"/>
              </w:rPr>
              <w:t>Total</w:t>
            </w:r>
          </w:p>
        </w:tc>
      </w:tr>
      <w:tr w:rsidR="00DB4A9D" w:rsidRPr="00DB4A9D" w:rsidTr="009860C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B4A9D" w:rsidRPr="00DB4A9D" w:rsidRDefault="00DB4A9D" w:rsidP="009860CC">
            <w:pPr>
              <w:rPr>
                <w:rFonts w:ascii="Arial" w:hAnsi="Arial" w:cs="Arial"/>
                <w:color w:val="000000"/>
              </w:rPr>
            </w:pPr>
            <w:r w:rsidRPr="00DB4A9D">
              <w:rPr>
                <w:rFonts w:ascii="Arial" w:hAnsi="Arial" w:cs="Arial"/>
                <w:color w:val="000000"/>
              </w:rPr>
              <w:t>Number of Agency Workers</w:t>
            </w:r>
          </w:p>
        </w:tc>
        <w:tc>
          <w:tcPr>
            <w:tcW w:w="960" w:type="dxa"/>
            <w:tcBorders>
              <w:top w:val="nil"/>
              <w:left w:val="nil"/>
              <w:bottom w:val="single" w:sz="4" w:space="0" w:color="auto"/>
              <w:right w:val="single" w:sz="4" w:space="0" w:color="auto"/>
            </w:tcBorders>
            <w:shd w:val="clear" w:color="auto" w:fill="auto"/>
            <w:noWrap/>
            <w:vAlign w:val="center"/>
            <w:hideMark/>
          </w:tcPr>
          <w:p w:rsidR="00DB4A9D" w:rsidRPr="00DB4A9D" w:rsidRDefault="00DB4A9D" w:rsidP="009860CC">
            <w:pPr>
              <w:jc w:val="center"/>
              <w:rPr>
                <w:rFonts w:ascii="Arial" w:hAnsi="Arial" w:cs="Arial"/>
                <w:color w:val="000000"/>
              </w:rPr>
            </w:pPr>
            <w:r w:rsidRPr="00DB4A9D">
              <w:rPr>
                <w:rFonts w:ascii="Arial" w:hAnsi="Arial" w:cs="Arial"/>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260</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385</w:t>
            </w:r>
          </w:p>
        </w:tc>
      </w:tr>
      <w:tr w:rsidR="00DB4A9D" w:rsidRPr="00DB4A9D" w:rsidTr="009860C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B4A9D" w:rsidRPr="00DB4A9D" w:rsidRDefault="00DB4A9D" w:rsidP="009860CC">
            <w:pPr>
              <w:rPr>
                <w:rFonts w:ascii="Arial" w:hAnsi="Arial" w:cs="Arial"/>
                <w:color w:val="000000"/>
              </w:rPr>
            </w:pPr>
            <w:r w:rsidRPr="00DB4A9D">
              <w:rPr>
                <w:rFonts w:ascii="Arial" w:hAnsi="Arial" w:cs="Arial"/>
                <w:color w:val="000000"/>
              </w:rPr>
              <w:t>Number Spoken to</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110</w:t>
            </w:r>
          </w:p>
        </w:tc>
      </w:tr>
      <w:tr w:rsidR="00DB4A9D" w:rsidRPr="00DB4A9D" w:rsidTr="009860C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B4A9D" w:rsidRPr="00DB4A9D" w:rsidRDefault="00DB4A9D" w:rsidP="009860CC">
            <w:pPr>
              <w:rPr>
                <w:rFonts w:ascii="Arial" w:hAnsi="Arial" w:cs="Arial"/>
                <w:color w:val="000000"/>
              </w:rPr>
            </w:pPr>
            <w:r w:rsidRPr="00DB4A9D">
              <w:rPr>
                <w:rFonts w:ascii="Arial" w:hAnsi="Arial" w:cs="Arial"/>
                <w:color w:val="000000"/>
              </w:rPr>
              <w:t>Positive response</w:t>
            </w:r>
          </w:p>
        </w:tc>
        <w:tc>
          <w:tcPr>
            <w:tcW w:w="960" w:type="dxa"/>
            <w:tcBorders>
              <w:top w:val="nil"/>
              <w:left w:val="nil"/>
              <w:bottom w:val="single" w:sz="4" w:space="0" w:color="auto"/>
              <w:right w:val="single" w:sz="4" w:space="0" w:color="auto"/>
            </w:tcBorders>
            <w:shd w:val="clear" w:color="auto" w:fill="auto"/>
            <w:noWrap/>
            <w:vAlign w:val="center"/>
            <w:hideMark/>
          </w:tcPr>
          <w:p w:rsidR="00DB4A9D" w:rsidRPr="00DB4A9D" w:rsidRDefault="00DB4A9D" w:rsidP="009860CC">
            <w:pPr>
              <w:jc w:val="center"/>
              <w:rPr>
                <w:rFonts w:ascii="Arial" w:hAnsi="Arial" w:cs="Arial"/>
                <w:color w:val="000000"/>
              </w:rPr>
            </w:pPr>
            <w:r w:rsidRPr="00DB4A9D">
              <w:rPr>
                <w:rFonts w:ascii="Arial" w:hAnsi="Arial" w:cs="Arial"/>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79</w:t>
            </w:r>
          </w:p>
        </w:tc>
      </w:tr>
      <w:tr w:rsidR="00DB4A9D" w:rsidRPr="00DB4A9D" w:rsidTr="009860CC">
        <w:trPr>
          <w:trHeight w:val="900"/>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DB4A9D" w:rsidRPr="00DB4A9D" w:rsidRDefault="00DB4A9D" w:rsidP="009860CC">
            <w:pPr>
              <w:rPr>
                <w:rFonts w:ascii="Arial" w:hAnsi="Arial" w:cs="Arial"/>
                <w:color w:val="000000"/>
              </w:rPr>
            </w:pPr>
            <w:r w:rsidRPr="00DB4A9D">
              <w:rPr>
                <w:rFonts w:ascii="Arial" w:hAnsi="Arial" w:cs="Arial"/>
                <w:color w:val="000000"/>
              </w:rPr>
              <w:t>ESR assignment set up ready to commence work from 14 May or earlier</w:t>
            </w:r>
          </w:p>
        </w:tc>
        <w:tc>
          <w:tcPr>
            <w:tcW w:w="960" w:type="dxa"/>
            <w:tcBorders>
              <w:top w:val="nil"/>
              <w:left w:val="nil"/>
              <w:bottom w:val="single" w:sz="4" w:space="0" w:color="auto"/>
              <w:right w:val="single" w:sz="4" w:space="0" w:color="auto"/>
            </w:tcBorders>
            <w:shd w:val="clear" w:color="auto" w:fill="auto"/>
            <w:noWrap/>
            <w:vAlign w:val="center"/>
            <w:hideMark/>
          </w:tcPr>
          <w:p w:rsidR="00DB4A9D" w:rsidRPr="00DB4A9D" w:rsidRDefault="00DB4A9D" w:rsidP="009860CC">
            <w:pPr>
              <w:jc w:val="center"/>
              <w:rPr>
                <w:rFonts w:ascii="Arial" w:hAnsi="Arial" w:cs="Arial"/>
                <w:color w:val="000000"/>
              </w:rPr>
            </w:pPr>
            <w:r w:rsidRPr="00DB4A9D">
              <w:rPr>
                <w:rFonts w:ascii="Arial" w:hAnsi="Arial" w:cs="Arial"/>
                <w:color w:val="000000"/>
              </w:rPr>
              <w:t>33</w:t>
            </w:r>
          </w:p>
        </w:tc>
        <w:tc>
          <w:tcPr>
            <w:tcW w:w="960" w:type="dxa"/>
            <w:tcBorders>
              <w:top w:val="nil"/>
              <w:left w:val="nil"/>
              <w:bottom w:val="single" w:sz="4" w:space="0" w:color="auto"/>
              <w:right w:val="single" w:sz="4" w:space="0" w:color="auto"/>
            </w:tcBorders>
            <w:shd w:val="clear" w:color="auto" w:fill="auto"/>
            <w:noWrap/>
            <w:vAlign w:val="center"/>
            <w:hideMark/>
          </w:tcPr>
          <w:p w:rsidR="00DB4A9D" w:rsidRPr="00DB4A9D" w:rsidRDefault="00DB4A9D" w:rsidP="009860CC">
            <w:pPr>
              <w:jc w:val="center"/>
              <w:rPr>
                <w:rFonts w:ascii="Arial" w:hAnsi="Arial" w:cs="Arial"/>
                <w:color w:val="000000"/>
              </w:rPr>
            </w:pPr>
            <w:r w:rsidRPr="00DB4A9D">
              <w:rPr>
                <w:rFonts w:ascii="Arial" w:hAnsi="Arial" w:cs="Arial"/>
                <w:color w:val="000000"/>
              </w:rPr>
              <w:t>16</w:t>
            </w:r>
          </w:p>
        </w:tc>
        <w:tc>
          <w:tcPr>
            <w:tcW w:w="960" w:type="dxa"/>
            <w:tcBorders>
              <w:top w:val="nil"/>
              <w:left w:val="nil"/>
              <w:bottom w:val="single" w:sz="4" w:space="0" w:color="auto"/>
              <w:right w:val="single" w:sz="4" w:space="0" w:color="auto"/>
            </w:tcBorders>
            <w:shd w:val="clear" w:color="auto" w:fill="auto"/>
            <w:noWrap/>
            <w:vAlign w:val="center"/>
            <w:hideMark/>
          </w:tcPr>
          <w:p w:rsidR="00DB4A9D" w:rsidRPr="00DB4A9D" w:rsidRDefault="00DB4A9D" w:rsidP="009860CC">
            <w:pPr>
              <w:jc w:val="center"/>
              <w:rPr>
                <w:rFonts w:ascii="Arial" w:hAnsi="Arial" w:cs="Arial"/>
                <w:color w:val="000000"/>
              </w:rPr>
            </w:pPr>
            <w:r w:rsidRPr="00DB4A9D">
              <w:rPr>
                <w:rFonts w:ascii="Arial" w:hAnsi="Arial" w:cs="Arial"/>
                <w:color w:val="000000"/>
              </w:rPr>
              <w:t>29</w:t>
            </w:r>
          </w:p>
        </w:tc>
      </w:tr>
      <w:tr w:rsidR="00DB4A9D" w:rsidRPr="00DB4A9D" w:rsidTr="009860C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B4A9D" w:rsidRPr="00DB4A9D" w:rsidRDefault="00DB4A9D" w:rsidP="009860CC">
            <w:pPr>
              <w:rPr>
                <w:rFonts w:ascii="Arial" w:hAnsi="Arial" w:cs="Arial"/>
                <w:color w:val="000000"/>
              </w:rPr>
            </w:pPr>
            <w:r w:rsidRPr="00DB4A9D">
              <w:rPr>
                <w:rFonts w:ascii="Arial" w:hAnsi="Arial" w:cs="Arial"/>
                <w:color w:val="000000"/>
              </w:rPr>
              <w:t>Negative response</w:t>
            </w:r>
          </w:p>
        </w:tc>
        <w:tc>
          <w:tcPr>
            <w:tcW w:w="960" w:type="dxa"/>
            <w:tcBorders>
              <w:top w:val="nil"/>
              <w:left w:val="nil"/>
              <w:bottom w:val="single" w:sz="4" w:space="0" w:color="auto"/>
              <w:right w:val="single" w:sz="4" w:space="0" w:color="auto"/>
            </w:tcBorders>
            <w:shd w:val="clear" w:color="auto" w:fill="auto"/>
            <w:noWrap/>
            <w:vAlign w:val="center"/>
            <w:hideMark/>
          </w:tcPr>
          <w:p w:rsidR="00DB4A9D" w:rsidRPr="00DB4A9D" w:rsidRDefault="00DB4A9D" w:rsidP="009860CC">
            <w:pPr>
              <w:jc w:val="center"/>
              <w:rPr>
                <w:rFonts w:ascii="Arial" w:hAnsi="Arial" w:cs="Arial"/>
                <w:color w:val="000000"/>
              </w:rPr>
            </w:pPr>
            <w:r w:rsidRPr="00DB4A9D">
              <w:rPr>
                <w:rFonts w:ascii="Arial" w:hAnsi="Arial" w:cs="Arial"/>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14</w:t>
            </w:r>
          </w:p>
        </w:tc>
      </w:tr>
      <w:tr w:rsidR="00DB4A9D" w:rsidRPr="00DB4A9D" w:rsidTr="009860C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B4A9D" w:rsidRPr="00DB4A9D" w:rsidRDefault="00DB4A9D" w:rsidP="009860CC">
            <w:pPr>
              <w:rPr>
                <w:rFonts w:ascii="Arial" w:hAnsi="Arial" w:cs="Arial"/>
                <w:color w:val="000000"/>
              </w:rPr>
            </w:pPr>
            <w:r w:rsidRPr="00DB4A9D">
              <w:rPr>
                <w:rFonts w:ascii="Arial" w:hAnsi="Arial" w:cs="Arial"/>
                <w:color w:val="000000"/>
              </w:rPr>
              <w:t>Unsure</w:t>
            </w:r>
          </w:p>
        </w:tc>
        <w:tc>
          <w:tcPr>
            <w:tcW w:w="960" w:type="dxa"/>
            <w:tcBorders>
              <w:top w:val="nil"/>
              <w:left w:val="nil"/>
              <w:bottom w:val="single" w:sz="4" w:space="0" w:color="auto"/>
              <w:right w:val="single" w:sz="4" w:space="0" w:color="auto"/>
            </w:tcBorders>
            <w:shd w:val="clear" w:color="auto" w:fill="auto"/>
            <w:noWrap/>
            <w:vAlign w:val="center"/>
            <w:hideMark/>
          </w:tcPr>
          <w:p w:rsidR="00DB4A9D" w:rsidRPr="00DB4A9D" w:rsidRDefault="00DB4A9D" w:rsidP="009860CC">
            <w:pPr>
              <w:jc w:val="center"/>
              <w:rPr>
                <w:rFonts w:ascii="Arial" w:hAnsi="Arial" w:cs="Arial"/>
                <w:color w:val="000000"/>
              </w:rPr>
            </w:pPr>
            <w:r w:rsidRPr="00DB4A9D">
              <w:rPr>
                <w:rFonts w:ascii="Arial" w:hAnsi="Arial" w:cs="Arial"/>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DB4A9D" w:rsidRPr="00DB4A9D" w:rsidRDefault="00DB4A9D" w:rsidP="009860CC">
            <w:pPr>
              <w:jc w:val="center"/>
              <w:rPr>
                <w:rFonts w:ascii="Arial" w:hAnsi="Arial" w:cs="Arial"/>
                <w:color w:val="000000"/>
              </w:rPr>
            </w:pPr>
            <w:r w:rsidRPr="00DB4A9D">
              <w:rPr>
                <w:rFonts w:ascii="Arial" w:hAnsi="Arial" w:cs="Arial"/>
                <w:color w:val="000000"/>
              </w:rPr>
              <w:t>17</w:t>
            </w:r>
          </w:p>
        </w:tc>
      </w:tr>
    </w:tbl>
    <w:p w:rsidR="00DB4A9D" w:rsidRPr="00DB4A9D" w:rsidRDefault="00DB4A9D" w:rsidP="00DB4A9D">
      <w:pPr>
        <w:jc w:val="both"/>
        <w:rPr>
          <w:rFonts w:ascii="Arial" w:eastAsiaTheme="minorEastAsia" w:hAnsi="Arial" w:cs="Arial"/>
          <w:color w:val="000000" w:themeColor="text1"/>
          <w:kern w:val="24"/>
        </w:rPr>
      </w:pPr>
    </w:p>
    <w:p w:rsidR="00F50721" w:rsidRDefault="00F50721" w:rsidP="00F50721">
      <w:pPr>
        <w:rPr>
          <w:rFonts w:ascii="Arial" w:eastAsiaTheme="majorEastAsia" w:hAnsi="Arial" w:cs="Arial"/>
          <w:color w:val="000000" w:themeColor="text1"/>
          <w:kern w:val="24"/>
          <w:lang w:val="en-GB"/>
        </w:rPr>
      </w:pPr>
      <w:r>
        <w:rPr>
          <w:rFonts w:ascii="Arial" w:eastAsiaTheme="majorEastAsia" w:hAnsi="Arial" w:cs="Arial"/>
          <w:color w:val="000000" w:themeColor="text1"/>
          <w:kern w:val="24"/>
          <w:lang w:val="en-GB"/>
        </w:rPr>
        <w:t>In</w:t>
      </w:r>
      <w:r w:rsidRPr="00F50721">
        <w:rPr>
          <w:rFonts w:ascii="Arial" w:eastAsiaTheme="majorEastAsia" w:hAnsi="Arial" w:cs="Arial"/>
          <w:color w:val="000000" w:themeColor="text1"/>
          <w:kern w:val="24"/>
          <w:lang w:val="en-GB"/>
        </w:rPr>
        <w:t xml:space="preserve"> March 44 Pure Flexible offers were made with 37 workers able to start.  27 Substantive Flexible Worker assignments have been processed.  </w:t>
      </w:r>
    </w:p>
    <w:p w:rsidR="00F50721" w:rsidRDefault="00F50721" w:rsidP="00F50721">
      <w:pPr>
        <w:rPr>
          <w:rFonts w:ascii="Arial" w:eastAsiaTheme="majorEastAsia" w:hAnsi="Arial" w:cs="Arial"/>
          <w:color w:val="000000" w:themeColor="text1"/>
          <w:kern w:val="24"/>
          <w:lang w:val="en-GB"/>
        </w:rPr>
      </w:pPr>
    </w:p>
    <w:p w:rsidR="00F50721" w:rsidRDefault="00F50721" w:rsidP="00F50721">
      <w:pPr>
        <w:rPr>
          <w:rFonts w:ascii="Arial" w:eastAsiaTheme="majorEastAsia" w:hAnsi="Arial" w:cs="Arial"/>
          <w:color w:val="000000" w:themeColor="text1"/>
          <w:kern w:val="24"/>
          <w:lang w:val="en-GB"/>
        </w:rPr>
      </w:pPr>
      <w:r w:rsidRPr="00F50721">
        <w:rPr>
          <w:rFonts w:ascii="Arial" w:eastAsiaTheme="majorEastAsia" w:hAnsi="Arial" w:cs="Arial"/>
          <w:color w:val="000000" w:themeColor="text1"/>
          <w:kern w:val="24"/>
          <w:lang w:val="en-GB"/>
        </w:rPr>
        <w:t xml:space="preserve">Since the Work for </w:t>
      </w:r>
      <w:r>
        <w:rPr>
          <w:rFonts w:ascii="Arial" w:eastAsiaTheme="majorEastAsia" w:hAnsi="Arial" w:cs="Arial"/>
          <w:color w:val="000000" w:themeColor="text1"/>
          <w:kern w:val="24"/>
          <w:lang w:val="en-GB"/>
        </w:rPr>
        <w:t>U</w:t>
      </w:r>
      <w:r w:rsidRPr="00F50721">
        <w:rPr>
          <w:rFonts w:ascii="Arial" w:eastAsiaTheme="majorEastAsia" w:hAnsi="Arial" w:cs="Arial"/>
          <w:color w:val="000000" w:themeColor="text1"/>
          <w:kern w:val="24"/>
          <w:lang w:val="en-GB"/>
        </w:rPr>
        <w:t>s challenge started in September</w:t>
      </w:r>
      <w:r>
        <w:rPr>
          <w:rFonts w:ascii="Arial" w:eastAsiaTheme="majorEastAsia" w:hAnsi="Arial" w:cs="Arial"/>
          <w:color w:val="000000" w:themeColor="text1"/>
          <w:kern w:val="24"/>
          <w:lang w:val="en-GB"/>
        </w:rPr>
        <w:t>,</w:t>
      </w:r>
      <w:r w:rsidRPr="00F50721">
        <w:rPr>
          <w:rFonts w:ascii="Arial" w:eastAsiaTheme="majorEastAsia" w:hAnsi="Arial" w:cs="Arial"/>
          <w:color w:val="000000" w:themeColor="text1"/>
          <w:kern w:val="24"/>
          <w:lang w:val="en-GB"/>
        </w:rPr>
        <w:t xml:space="preserve"> 188 new Pure Flexible Workers have started and 381 substantive Flexible Worker contracts have been issued. </w:t>
      </w:r>
    </w:p>
    <w:p w:rsidR="00F50721" w:rsidRDefault="00F50721" w:rsidP="00C93210">
      <w:pPr>
        <w:rPr>
          <w:rFonts w:ascii="Arial" w:eastAsiaTheme="majorEastAsia" w:hAnsi="Arial" w:cs="Arial"/>
          <w:b/>
          <w:color w:val="000000" w:themeColor="text1"/>
          <w:kern w:val="24"/>
        </w:rPr>
      </w:pPr>
    </w:p>
    <w:p w:rsidR="00C93210" w:rsidRDefault="00C93210" w:rsidP="00C93210">
      <w:pPr>
        <w:rPr>
          <w:rFonts w:ascii="Arial" w:eastAsiaTheme="majorEastAsia" w:hAnsi="Arial" w:cs="Arial"/>
          <w:b/>
          <w:color w:val="000000" w:themeColor="text1"/>
          <w:kern w:val="24"/>
        </w:rPr>
      </w:pPr>
      <w:r w:rsidRPr="00267DE0">
        <w:rPr>
          <w:rFonts w:ascii="Arial" w:eastAsiaTheme="majorEastAsia" w:hAnsi="Arial" w:cs="Arial"/>
          <w:b/>
          <w:color w:val="000000" w:themeColor="text1"/>
          <w:kern w:val="24"/>
        </w:rPr>
        <w:t>Vacancy</w:t>
      </w:r>
    </w:p>
    <w:p w:rsidR="00F50721" w:rsidRDefault="00F50721" w:rsidP="00C93210">
      <w:pPr>
        <w:rPr>
          <w:rFonts w:ascii="Arial" w:eastAsiaTheme="majorEastAsia" w:hAnsi="Arial" w:cs="Arial"/>
          <w:color w:val="000000" w:themeColor="text1"/>
          <w:kern w:val="24"/>
        </w:rPr>
      </w:pPr>
      <w:r w:rsidRPr="00F50721">
        <w:rPr>
          <w:rFonts w:ascii="Arial" w:eastAsiaTheme="majorEastAsia" w:hAnsi="Arial" w:cs="Arial"/>
          <w:color w:val="000000" w:themeColor="text1"/>
          <w:kern w:val="24"/>
        </w:rPr>
        <w:t>The Vacancy rate has increased 13.8% in March from 11.0% in February. The increase has resulted from the addition of 168.6 FTE to the Budgeted WTE figure and has been experienced across all directorates except Children &amp; Young Peoples.</w:t>
      </w:r>
    </w:p>
    <w:p w:rsidR="00FD1511" w:rsidRDefault="00FD1511" w:rsidP="00C93210">
      <w:pPr>
        <w:rPr>
          <w:rFonts w:ascii="Arial" w:eastAsiaTheme="majorEastAsia" w:hAnsi="Arial" w:cs="Arial"/>
          <w:color w:val="000000" w:themeColor="text1"/>
          <w:kern w:val="24"/>
        </w:rPr>
      </w:pPr>
    </w:p>
    <w:p w:rsidR="001A126D" w:rsidRDefault="00E44E6E" w:rsidP="00C93210">
      <w:pPr>
        <w:jc w:val="both"/>
        <w:rPr>
          <w:rFonts w:ascii="Arial" w:eastAsiaTheme="majorEastAsia" w:hAnsi="Arial" w:cs="Arial"/>
          <w:color w:val="000000" w:themeColor="text1"/>
          <w:kern w:val="24"/>
        </w:rPr>
      </w:pPr>
      <w:r>
        <w:rPr>
          <w:rFonts w:ascii="Arial" w:eastAsiaTheme="majorEastAsia" w:hAnsi="Arial" w:cs="Arial"/>
          <w:color w:val="000000" w:themeColor="text1"/>
          <w:kern w:val="24"/>
        </w:rPr>
        <w:t>A table showing the volume of current recruitment activity is included in the presentation which accompanies this report.</w:t>
      </w:r>
    </w:p>
    <w:p w:rsidR="00E44E6E" w:rsidRDefault="00E44E6E" w:rsidP="00C93210">
      <w:pPr>
        <w:jc w:val="both"/>
        <w:rPr>
          <w:rFonts w:ascii="Arial" w:hAnsi="Arial" w:cs="Arial"/>
          <w:b/>
        </w:rPr>
      </w:pPr>
    </w:p>
    <w:p w:rsidR="00C93210" w:rsidRPr="00CE0E1A" w:rsidRDefault="00C93210" w:rsidP="00C93210">
      <w:pPr>
        <w:jc w:val="both"/>
        <w:rPr>
          <w:rFonts w:ascii="Arial" w:hAnsi="Arial" w:cs="Arial"/>
          <w:b/>
        </w:rPr>
      </w:pPr>
      <w:r w:rsidRPr="00CE0E1A">
        <w:rPr>
          <w:rFonts w:ascii="Arial" w:hAnsi="Arial" w:cs="Arial"/>
          <w:b/>
        </w:rPr>
        <w:t>Turnover</w:t>
      </w:r>
    </w:p>
    <w:p w:rsidR="005C098E" w:rsidRDefault="00F50721" w:rsidP="00C93210">
      <w:pPr>
        <w:jc w:val="both"/>
        <w:rPr>
          <w:rFonts w:ascii="Arial" w:eastAsiaTheme="majorEastAsia" w:hAnsi="Arial" w:cs="Arial"/>
          <w:kern w:val="24"/>
        </w:rPr>
      </w:pPr>
      <w:r w:rsidRPr="00F50721">
        <w:rPr>
          <w:rFonts w:ascii="Arial" w:eastAsiaTheme="majorEastAsia" w:hAnsi="Arial" w:cs="Arial"/>
          <w:kern w:val="24"/>
        </w:rPr>
        <w:lastRenderedPageBreak/>
        <w:t>The Turnover figure has increased in March to stand at 14.92%. The increase has been driven by the Corporate and Adult directorates. However, the Older Peoples and Children and Young People directorates have displayed a long term decline over the last 6 months.</w:t>
      </w:r>
      <w:r w:rsidR="005C098E">
        <w:rPr>
          <w:rFonts w:ascii="Arial" w:eastAsiaTheme="majorEastAsia" w:hAnsi="Arial" w:cs="Arial"/>
          <w:kern w:val="24"/>
        </w:rPr>
        <w:t xml:space="preserve"> This is unfortunately above the 14.5% target that we had hoped to achieve by the end of the financial year.</w:t>
      </w:r>
    </w:p>
    <w:p w:rsidR="00F50721" w:rsidRPr="00267DE0" w:rsidRDefault="00F50721" w:rsidP="00C93210">
      <w:pPr>
        <w:jc w:val="both"/>
        <w:rPr>
          <w:rFonts w:ascii="Arial" w:eastAsiaTheme="majorEastAsia" w:hAnsi="Arial" w:cs="Arial"/>
          <w:kern w:val="24"/>
        </w:rPr>
      </w:pPr>
    </w:p>
    <w:p w:rsidR="00C93210" w:rsidRPr="00267DE0" w:rsidRDefault="00C93210" w:rsidP="00C93210">
      <w:pPr>
        <w:jc w:val="both"/>
        <w:rPr>
          <w:rFonts w:ascii="Arial" w:eastAsiaTheme="majorEastAsia" w:hAnsi="Arial" w:cs="Arial"/>
          <w:b/>
          <w:kern w:val="24"/>
        </w:rPr>
      </w:pPr>
      <w:r w:rsidRPr="00267DE0">
        <w:rPr>
          <w:rFonts w:ascii="Arial" w:eastAsiaTheme="majorEastAsia" w:hAnsi="Arial" w:cs="Arial"/>
          <w:b/>
          <w:kern w:val="24"/>
        </w:rPr>
        <w:t>Sickness</w:t>
      </w:r>
    </w:p>
    <w:p w:rsidR="00C93210" w:rsidRPr="00F50721" w:rsidRDefault="00F50721" w:rsidP="00C93210">
      <w:pPr>
        <w:jc w:val="both"/>
        <w:rPr>
          <w:rFonts w:ascii="Arial" w:hAnsi="Arial" w:cs="Arial"/>
        </w:rPr>
      </w:pPr>
      <w:r w:rsidRPr="00F50721">
        <w:rPr>
          <w:rFonts w:ascii="Arial" w:hAnsi="Arial" w:cs="Arial"/>
        </w:rPr>
        <w:t>Sickness has decreased significantly to stand at 4.15% compared to 5.21% last month. The decrease has been experienced across all directorates and</w:t>
      </w:r>
      <w:r>
        <w:rPr>
          <w:rFonts w:ascii="Arial" w:hAnsi="Arial" w:cs="Arial"/>
        </w:rPr>
        <w:t xml:space="preserve"> has been driven by the end of </w:t>
      </w:r>
      <w:r w:rsidRPr="00F50721">
        <w:rPr>
          <w:rFonts w:ascii="Arial" w:hAnsi="Arial" w:cs="Arial"/>
        </w:rPr>
        <w:t xml:space="preserve">the winter </w:t>
      </w:r>
      <w:r>
        <w:rPr>
          <w:rFonts w:ascii="Arial" w:hAnsi="Arial" w:cs="Arial"/>
        </w:rPr>
        <w:t>illnesses</w:t>
      </w:r>
      <w:r w:rsidRPr="00F50721">
        <w:rPr>
          <w:rFonts w:ascii="Arial" w:hAnsi="Arial" w:cs="Arial"/>
        </w:rPr>
        <w:t xml:space="preserve"> and a reduction in </w:t>
      </w:r>
      <w:r w:rsidRPr="00F50721">
        <w:rPr>
          <w:rFonts w:ascii="Arial" w:hAnsi="Arial" w:cs="Arial"/>
          <w:iCs/>
        </w:rPr>
        <w:t>Stress</w:t>
      </w:r>
      <w:r w:rsidRPr="00F50721">
        <w:rPr>
          <w:rFonts w:ascii="Arial" w:hAnsi="Arial" w:cs="Arial"/>
        </w:rPr>
        <w:t xml:space="preserve"> </w:t>
      </w:r>
      <w:r w:rsidR="00EE0206">
        <w:rPr>
          <w:rFonts w:ascii="Arial" w:hAnsi="Arial" w:cs="Arial"/>
        </w:rPr>
        <w:t>related absence</w:t>
      </w:r>
      <w:r w:rsidRPr="00F50721">
        <w:rPr>
          <w:rFonts w:ascii="Arial" w:hAnsi="Arial" w:cs="Arial"/>
        </w:rPr>
        <w:t>.</w:t>
      </w:r>
    </w:p>
    <w:p w:rsidR="00C93210" w:rsidRPr="00267DE0" w:rsidRDefault="00C93210" w:rsidP="00C93210">
      <w:pPr>
        <w:jc w:val="both"/>
        <w:rPr>
          <w:rFonts w:ascii="Arial" w:hAnsi="Arial" w:cs="Arial"/>
        </w:rPr>
      </w:pPr>
    </w:p>
    <w:p w:rsidR="00DB4A9D" w:rsidRDefault="00DB4A9D" w:rsidP="00C93210">
      <w:pPr>
        <w:jc w:val="both"/>
        <w:rPr>
          <w:rFonts w:ascii="Arial" w:hAnsi="Arial" w:cs="Arial"/>
          <w:b/>
        </w:rPr>
      </w:pPr>
      <w:r>
        <w:rPr>
          <w:rFonts w:ascii="Arial" w:hAnsi="Arial" w:cs="Arial"/>
          <w:b/>
        </w:rPr>
        <w:t>Recruitment</w:t>
      </w:r>
    </w:p>
    <w:p w:rsidR="00DB4A9D" w:rsidRPr="00DB4A9D" w:rsidRDefault="00DB4A9D" w:rsidP="00DB4A9D">
      <w:pPr>
        <w:jc w:val="both"/>
        <w:rPr>
          <w:rFonts w:ascii="Arial" w:hAnsi="Arial" w:cs="Arial"/>
        </w:rPr>
      </w:pPr>
      <w:r w:rsidRPr="00DB4A9D">
        <w:rPr>
          <w:rFonts w:ascii="Arial" w:hAnsi="Arial" w:cs="Arial"/>
        </w:rPr>
        <w:t xml:space="preserve">Recruitment recently facilitated an HCA career open day in Oxford </w:t>
      </w:r>
      <w:r w:rsidR="00EE0206">
        <w:rPr>
          <w:rFonts w:ascii="Arial" w:hAnsi="Arial" w:cs="Arial"/>
        </w:rPr>
        <w:t xml:space="preserve">at which </w:t>
      </w:r>
      <w:r w:rsidRPr="00DB4A9D">
        <w:rPr>
          <w:rFonts w:ascii="Arial" w:hAnsi="Arial" w:cs="Arial"/>
        </w:rPr>
        <w:t>most services were represented. Attendees are being contacted to progress to an application for either substantive or flexible working.  3 attendees were from existing members of our housekeeping staff and a career pathway should be considered. A similar event for nurses and return to practice nursing has been scheduled for 9</w:t>
      </w:r>
      <w:r w:rsidRPr="00DB4A9D">
        <w:rPr>
          <w:rFonts w:ascii="Arial" w:hAnsi="Arial" w:cs="Arial"/>
          <w:vertAlign w:val="superscript"/>
        </w:rPr>
        <w:t>th</w:t>
      </w:r>
      <w:r w:rsidRPr="00DB4A9D">
        <w:rPr>
          <w:rFonts w:ascii="Arial" w:hAnsi="Arial" w:cs="Arial"/>
        </w:rPr>
        <w:t xml:space="preserve"> June in Oxford.</w:t>
      </w:r>
    </w:p>
    <w:p w:rsidR="00DB4A9D" w:rsidRPr="00DB4A9D" w:rsidRDefault="00DB4A9D" w:rsidP="00DB4A9D">
      <w:pPr>
        <w:jc w:val="both"/>
        <w:rPr>
          <w:rFonts w:ascii="Arial" w:hAnsi="Arial" w:cs="Arial"/>
        </w:rPr>
      </w:pPr>
    </w:p>
    <w:p w:rsidR="00DB4A9D" w:rsidRPr="00DB4A9D" w:rsidRDefault="00DB4A9D" w:rsidP="00DB4A9D">
      <w:pPr>
        <w:jc w:val="both"/>
        <w:rPr>
          <w:rFonts w:ascii="Arial" w:hAnsi="Arial" w:cs="Arial"/>
        </w:rPr>
      </w:pPr>
      <w:r w:rsidRPr="00DB4A9D">
        <w:rPr>
          <w:rFonts w:ascii="Arial" w:hAnsi="Arial" w:cs="Arial"/>
        </w:rPr>
        <w:t>There has been no progress on recruiting staff from Douglas House. We understand that redundancies are still anticipated and we remain in contact with the Unions who are supporting staff.</w:t>
      </w:r>
    </w:p>
    <w:p w:rsidR="00DB4A9D" w:rsidRPr="00DB4A9D" w:rsidRDefault="00DB4A9D" w:rsidP="00DB4A9D">
      <w:pPr>
        <w:jc w:val="both"/>
        <w:rPr>
          <w:rFonts w:ascii="Arial" w:hAnsi="Arial" w:cs="Arial"/>
        </w:rPr>
      </w:pPr>
    </w:p>
    <w:p w:rsidR="00DB4A9D" w:rsidRPr="00DB4A9D" w:rsidRDefault="00DB4A9D" w:rsidP="00DB4A9D">
      <w:pPr>
        <w:jc w:val="both"/>
        <w:rPr>
          <w:rFonts w:ascii="Arial" w:hAnsi="Arial" w:cs="Arial"/>
        </w:rPr>
      </w:pPr>
      <w:r w:rsidRPr="00DB4A9D">
        <w:rPr>
          <w:rFonts w:ascii="Arial" w:hAnsi="Arial" w:cs="Arial"/>
        </w:rPr>
        <w:t xml:space="preserve">Recruitment </w:t>
      </w:r>
      <w:r w:rsidR="00D352A3">
        <w:rPr>
          <w:rFonts w:ascii="Arial" w:hAnsi="Arial" w:cs="Arial"/>
        </w:rPr>
        <w:t xml:space="preserve">Team </w:t>
      </w:r>
      <w:r w:rsidRPr="00DB4A9D">
        <w:rPr>
          <w:rFonts w:ascii="Arial" w:hAnsi="Arial" w:cs="Arial"/>
        </w:rPr>
        <w:t>would like to be in a position to offer a flexible contract to each new recruit to the Trust in at least the inpatient units. There would have a cost impact with pay for each new contract but would save time and cost in the longer term and staff would be available for additional hours immediately. This will be achievable when some non-recruitment activities are undertaken elsewhere in the wider HR team.  This is likely to be mid-year but we will start all student nurses with a flexible contract alongside their substantive contract.</w:t>
      </w:r>
    </w:p>
    <w:p w:rsidR="00DB4A9D" w:rsidRPr="00DB4A9D" w:rsidRDefault="00DB4A9D" w:rsidP="00C93210">
      <w:pPr>
        <w:jc w:val="both"/>
        <w:rPr>
          <w:rFonts w:ascii="Arial" w:hAnsi="Arial" w:cs="Arial"/>
          <w:b/>
        </w:rPr>
      </w:pPr>
    </w:p>
    <w:p w:rsidR="001F303A" w:rsidRPr="00267DE0" w:rsidRDefault="00C93210" w:rsidP="00C93210">
      <w:pPr>
        <w:jc w:val="both"/>
        <w:rPr>
          <w:rFonts w:ascii="Arial" w:hAnsi="Arial" w:cs="Arial"/>
          <w:b/>
        </w:rPr>
      </w:pPr>
      <w:r w:rsidRPr="00267DE0">
        <w:rPr>
          <w:rFonts w:ascii="Arial" w:hAnsi="Arial" w:cs="Arial"/>
          <w:b/>
        </w:rPr>
        <w:t>Management of Concerns (Whistle Blowing)</w:t>
      </w:r>
    </w:p>
    <w:p w:rsidR="00C93210" w:rsidRPr="00AB3ABC" w:rsidRDefault="007930EA" w:rsidP="00AB3ABC">
      <w:pPr>
        <w:pStyle w:val="ListParagraph"/>
        <w:numPr>
          <w:ilvl w:val="0"/>
          <w:numId w:val="12"/>
        </w:numPr>
        <w:jc w:val="both"/>
        <w:rPr>
          <w:rFonts w:ascii="Arial" w:hAnsi="Arial" w:cs="Arial"/>
        </w:rPr>
      </w:pPr>
      <w:r w:rsidRPr="00AB3ABC">
        <w:rPr>
          <w:rFonts w:ascii="Arial" w:hAnsi="Arial" w:cs="Arial"/>
        </w:rPr>
        <w:t>“</w:t>
      </w:r>
      <w:r w:rsidR="00267DE0" w:rsidRPr="00AB3ABC">
        <w:rPr>
          <w:rFonts w:ascii="Arial" w:hAnsi="Arial" w:cs="Arial"/>
        </w:rPr>
        <w:t>open</w:t>
      </w:r>
      <w:r w:rsidRPr="00AB3ABC">
        <w:rPr>
          <w:rFonts w:ascii="Arial" w:hAnsi="Arial" w:cs="Arial"/>
        </w:rPr>
        <w:t xml:space="preserve">” case. The </w:t>
      </w:r>
      <w:r w:rsidR="00C93210" w:rsidRPr="00AB3ABC">
        <w:rPr>
          <w:rFonts w:ascii="Arial" w:hAnsi="Arial" w:cs="Arial"/>
        </w:rPr>
        <w:t xml:space="preserve">investigation </w:t>
      </w:r>
      <w:r w:rsidRPr="00AB3ABC">
        <w:rPr>
          <w:rFonts w:ascii="Arial" w:hAnsi="Arial" w:cs="Arial"/>
        </w:rPr>
        <w:t xml:space="preserve">has been </w:t>
      </w:r>
      <w:r w:rsidR="00677292" w:rsidRPr="00AB3ABC">
        <w:rPr>
          <w:rFonts w:ascii="Arial" w:hAnsi="Arial" w:cs="Arial"/>
        </w:rPr>
        <w:t>commenced</w:t>
      </w:r>
      <w:r w:rsidR="00C93210" w:rsidRPr="00AB3ABC">
        <w:rPr>
          <w:rFonts w:ascii="Arial" w:hAnsi="Arial" w:cs="Arial"/>
        </w:rPr>
        <w:t xml:space="preserve">. </w:t>
      </w:r>
    </w:p>
    <w:p w:rsidR="00205245" w:rsidRDefault="00205245" w:rsidP="00C93210">
      <w:pPr>
        <w:jc w:val="both"/>
        <w:rPr>
          <w:rFonts w:ascii="Arial" w:hAnsi="Arial" w:cs="Arial"/>
          <w:b/>
        </w:rPr>
      </w:pPr>
    </w:p>
    <w:p w:rsidR="00AB3ABC" w:rsidRPr="00AB3ABC" w:rsidRDefault="00AB3ABC" w:rsidP="00AB3ABC">
      <w:pPr>
        <w:rPr>
          <w:rFonts w:ascii="Arial" w:hAnsi="Arial" w:cs="Arial"/>
          <w:b/>
        </w:rPr>
      </w:pPr>
      <w:r w:rsidRPr="00AB3ABC">
        <w:rPr>
          <w:rFonts w:ascii="Arial" w:hAnsi="Arial" w:cs="Arial"/>
          <w:b/>
        </w:rPr>
        <w:t>Miscellaneous:</w:t>
      </w:r>
    </w:p>
    <w:p w:rsidR="00AB3ABC" w:rsidRPr="00AB3ABC" w:rsidRDefault="00AB3ABC" w:rsidP="00AB3ABC">
      <w:pPr>
        <w:rPr>
          <w:rFonts w:ascii="Arial" w:hAnsi="Arial" w:cs="Arial"/>
        </w:rPr>
      </w:pPr>
      <w:r>
        <w:rPr>
          <w:rFonts w:ascii="Arial" w:hAnsi="Arial" w:cs="Arial"/>
        </w:rPr>
        <w:t xml:space="preserve">The Trust’s </w:t>
      </w:r>
      <w:r w:rsidRPr="00AB3ABC">
        <w:rPr>
          <w:rFonts w:ascii="Arial" w:hAnsi="Arial" w:cs="Arial"/>
        </w:rPr>
        <w:t>Gender Pay Gap report was published and was discussed with stakeholder groups including Board, Staff Side and Executive team.</w:t>
      </w:r>
    </w:p>
    <w:p w:rsidR="00AB3ABC" w:rsidRPr="00AB3ABC" w:rsidRDefault="00AB3ABC" w:rsidP="00AB3ABC">
      <w:pPr>
        <w:rPr>
          <w:rFonts w:ascii="Arial" w:hAnsi="Arial" w:cs="Arial"/>
          <w:sz w:val="22"/>
          <w:szCs w:val="22"/>
          <w:lang w:val="en-GB"/>
        </w:rPr>
      </w:pPr>
    </w:p>
    <w:p w:rsidR="005C098E" w:rsidRDefault="005C098E" w:rsidP="00AB3ABC">
      <w:pPr>
        <w:rPr>
          <w:rFonts w:ascii="Arial" w:hAnsi="Arial" w:cs="Arial"/>
        </w:rPr>
      </w:pPr>
      <w:r>
        <w:rPr>
          <w:rFonts w:ascii="Arial" w:hAnsi="Arial" w:cs="Arial"/>
        </w:rPr>
        <w:t>In February the HR Advisory Team introduced a central phone number for HR Advice. Call volumes are averaging 150 per month and mainly come from employees of the Trust raising general enquiries. This indicates an improvement to the service as previously staff had no means of directly accessing HR.</w:t>
      </w:r>
    </w:p>
    <w:p w:rsidR="005C098E" w:rsidRDefault="005C098E" w:rsidP="00AB3ABC">
      <w:pPr>
        <w:rPr>
          <w:rFonts w:ascii="Arial" w:hAnsi="Arial" w:cs="Arial"/>
        </w:rPr>
      </w:pPr>
    </w:p>
    <w:p w:rsidR="00AB3ABC" w:rsidRPr="00AB3ABC" w:rsidRDefault="005C098E" w:rsidP="00AB3ABC">
      <w:pPr>
        <w:rPr>
          <w:rFonts w:ascii="Arial" w:hAnsi="Arial" w:cs="Arial"/>
        </w:rPr>
      </w:pPr>
      <w:r>
        <w:rPr>
          <w:rFonts w:ascii="Arial" w:hAnsi="Arial" w:cs="Arial"/>
        </w:rPr>
        <w:t>The Trust has</w:t>
      </w:r>
      <w:r w:rsidR="00AB3ABC" w:rsidRPr="00AB3ABC">
        <w:rPr>
          <w:rFonts w:ascii="Arial" w:hAnsi="Arial" w:cs="Arial"/>
        </w:rPr>
        <w:t xml:space="preserve"> offered the Freedom to Speak Up role (successor to Mike Foster) to a candidate who should be able to start in May.</w:t>
      </w:r>
    </w:p>
    <w:p w:rsidR="00AB3ABC" w:rsidRDefault="00AB3ABC" w:rsidP="00C93210">
      <w:pPr>
        <w:jc w:val="both"/>
        <w:rPr>
          <w:rFonts w:ascii="Arial" w:hAnsi="Arial" w:cs="Arial"/>
          <w:b/>
        </w:rPr>
      </w:pPr>
    </w:p>
    <w:p w:rsidR="00C93210" w:rsidRDefault="00C93210" w:rsidP="00C93210">
      <w:pPr>
        <w:jc w:val="both"/>
        <w:rPr>
          <w:rFonts w:ascii="Arial" w:hAnsi="Arial" w:cs="Arial"/>
          <w:b/>
        </w:rPr>
      </w:pPr>
      <w:r w:rsidRPr="00CE0E1A">
        <w:rPr>
          <w:rFonts w:ascii="Arial" w:hAnsi="Arial" w:cs="Arial"/>
          <w:b/>
        </w:rPr>
        <w:t>Recommendation</w:t>
      </w:r>
    </w:p>
    <w:p w:rsidR="00C93210" w:rsidRPr="00CE0E1A" w:rsidRDefault="00C93210" w:rsidP="00C93210">
      <w:pPr>
        <w:ind w:left="-851" w:firstLine="851"/>
        <w:jc w:val="both"/>
        <w:rPr>
          <w:rFonts w:ascii="Arial" w:hAnsi="Arial" w:cs="Arial"/>
        </w:rPr>
      </w:pPr>
      <w:r w:rsidRPr="00CE0E1A">
        <w:rPr>
          <w:rFonts w:ascii="Arial" w:hAnsi="Arial" w:cs="Arial"/>
        </w:rPr>
        <w:lastRenderedPageBreak/>
        <w:t>To note the report for information.</w:t>
      </w:r>
    </w:p>
    <w:p w:rsidR="00C93210" w:rsidRPr="00CE0E1A" w:rsidRDefault="00C93210" w:rsidP="00C93210">
      <w:pPr>
        <w:ind w:left="-851" w:firstLine="851"/>
        <w:jc w:val="both"/>
        <w:rPr>
          <w:rFonts w:ascii="Arial" w:hAnsi="Arial" w:cs="Arial"/>
        </w:rPr>
      </w:pPr>
    </w:p>
    <w:p w:rsidR="00C93210" w:rsidRPr="00CE0E1A" w:rsidRDefault="00C93210" w:rsidP="00C93210">
      <w:pPr>
        <w:ind w:left="1440" w:hanging="1440"/>
        <w:jc w:val="both"/>
        <w:rPr>
          <w:rFonts w:ascii="Arial" w:hAnsi="Arial" w:cs="Arial"/>
        </w:rPr>
      </w:pPr>
      <w:r w:rsidRPr="00CE0E1A">
        <w:rPr>
          <w:rFonts w:ascii="Arial" w:hAnsi="Arial" w:cs="Arial"/>
          <w:b/>
        </w:rPr>
        <w:t>Author and Title:</w:t>
      </w:r>
      <w:r w:rsidRPr="00CE0E1A">
        <w:rPr>
          <w:rFonts w:ascii="Arial" w:hAnsi="Arial" w:cs="Arial"/>
        </w:rPr>
        <w:t xml:space="preserve"> </w:t>
      </w:r>
      <w:r w:rsidRPr="00CE0E1A">
        <w:rPr>
          <w:rFonts w:ascii="Arial" w:hAnsi="Arial" w:cs="Arial"/>
        </w:rPr>
        <w:tab/>
      </w:r>
    </w:p>
    <w:p w:rsidR="00C93210" w:rsidRPr="00CE0E1A" w:rsidRDefault="00C93210" w:rsidP="00C93210">
      <w:pPr>
        <w:ind w:left="1440" w:hanging="1440"/>
        <w:jc w:val="both"/>
        <w:rPr>
          <w:rFonts w:ascii="Arial" w:hAnsi="Arial" w:cs="Arial"/>
        </w:rPr>
      </w:pPr>
      <w:r w:rsidRPr="00CE0E1A">
        <w:rPr>
          <w:rFonts w:ascii="Arial" w:hAnsi="Arial" w:cs="Arial"/>
        </w:rPr>
        <w:t xml:space="preserve">Simon Denton (Head of </w:t>
      </w:r>
      <w:r>
        <w:rPr>
          <w:rFonts w:ascii="Arial" w:hAnsi="Arial" w:cs="Arial"/>
        </w:rPr>
        <w:t>HR Operations</w:t>
      </w:r>
      <w:r w:rsidRPr="00CE0E1A">
        <w:rPr>
          <w:rFonts w:ascii="Arial" w:hAnsi="Arial" w:cs="Arial"/>
        </w:rPr>
        <w:t>)</w:t>
      </w:r>
    </w:p>
    <w:p w:rsidR="00C93210" w:rsidRPr="00CE0E1A" w:rsidRDefault="00C93210" w:rsidP="00C93210">
      <w:pPr>
        <w:ind w:left="1440" w:hanging="1440"/>
        <w:jc w:val="both"/>
        <w:rPr>
          <w:rFonts w:ascii="Arial" w:hAnsi="Arial" w:cs="Arial"/>
        </w:rPr>
      </w:pPr>
    </w:p>
    <w:p w:rsidR="00C93210" w:rsidRPr="00CE0E1A" w:rsidRDefault="00C93210" w:rsidP="00C93210">
      <w:pPr>
        <w:jc w:val="both"/>
        <w:rPr>
          <w:rFonts w:ascii="Arial" w:hAnsi="Arial" w:cs="Arial"/>
          <w:b/>
        </w:rPr>
      </w:pPr>
      <w:r w:rsidRPr="00CE0E1A">
        <w:rPr>
          <w:rFonts w:ascii="Arial" w:hAnsi="Arial" w:cs="Arial"/>
          <w:b/>
        </w:rPr>
        <w:t>Lead Executive Director:</w:t>
      </w:r>
      <w:r w:rsidRPr="00CE0E1A">
        <w:rPr>
          <w:rFonts w:ascii="Arial" w:hAnsi="Arial" w:cs="Arial"/>
          <w:b/>
        </w:rPr>
        <w:tab/>
      </w:r>
    </w:p>
    <w:p w:rsidR="00C93210" w:rsidRPr="00CE0E1A" w:rsidRDefault="00C93210" w:rsidP="00C93210">
      <w:pPr>
        <w:jc w:val="both"/>
        <w:rPr>
          <w:rFonts w:ascii="Arial" w:hAnsi="Arial" w:cs="Arial"/>
        </w:rPr>
      </w:pPr>
      <w:r>
        <w:rPr>
          <w:rFonts w:ascii="Arial" w:hAnsi="Arial" w:cs="Arial"/>
        </w:rPr>
        <w:t>Tim Boylin</w:t>
      </w:r>
    </w:p>
    <w:p w:rsidR="003927AC" w:rsidRPr="00F945DB" w:rsidRDefault="003927AC" w:rsidP="003927AC">
      <w:pPr>
        <w:jc w:val="both"/>
        <w:rPr>
          <w:rFonts w:ascii="Segoe UI" w:hAnsi="Segoe UI" w:cs="Segoe UI"/>
        </w:rPr>
      </w:pPr>
    </w:p>
    <w:sectPr w:rsidR="003927AC" w:rsidRPr="00F945DB"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CC" w:rsidRDefault="009860CC" w:rsidP="005B3E3C">
      <w:r>
        <w:separator/>
      </w:r>
    </w:p>
  </w:endnote>
  <w:endnote w:type="continuationSeparator" w:id="0">
    <w:p w:rsidR="009860CC" w:rsidRDefault="009860C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749538"/>
      <w:docPartObj>
        <w:docPartGallery w:val="Page Numbers (Bottom of Page)"/>
        <w:docPartUnique/>
      </w:docPartObj>
    </w:sdtPr>
    <w:sdtEndPr>
      <w:rPr>
        <w:noProof/>
      </w:rPr>
    </w:sdtEndPr>
    <w:sdtContent>
      <w:p w:rsidR="009860CC" w:rsidRDefault="009860CC">
        <w:pPr>
          <w:pStyle w:val="Footer"/>
          <w:jc w:val="center"/>
        </w:pPr>
        <w:r>
          <w:fldChar w:fldCharType="begin"/>
        </w:r>
        <w:r>
          <w:instrText xml:space="preserve"> PAGE   \* MERGEFORMAT </w:instrText>
        </w:r>
        <w:r>
          <w:fldChar w:fldCharType="separate"/>
        </w:r>
        <w:r w:rsidR="00FA74A7">
          <w:rPr>
            <w:noProof/>
          </w:rPr>
          <w:t>4</w:t>
        </w:r>
        <w:r>
          <w:rPr>
            <w:noProof/>
          </w:rPr>
          <w:fldChar w:fldCharType="end"/>
        </w:r>
      </w:p>
    </w:sdtContent>
  </w:sdt>
  <w:p w:rsidR="009860CC" w:rsidRDefault="0098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CC" w:rsidRDefault="009860CC" w:rsidP="005B3E3C">
      <w:r>
        <w:separator/>
      </w:r>
    </w:p>
  </w:footnote>
  <w:footnote w:type="continuationSeparator" w:id="0">
    <w:p w:rsidR="009860CC" w:rsidRDefault="009860C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CC" w:rsidRDefault="009860CC"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9860CC" w:rsidRDefault="00986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8"/>
  </w:num>
  <w:num w:numId="4">
    <w:abstractNumId w:val="3"/>
  </w:num>
  <w:num w:numId="5">
    <w:abstractNumId w:val="10"/>
  </w:num>
  <w:num w:numId="6">
    <w:abstractNumId w:val="4"/>
  </w:num>
  <w:num w:numId="7">
    <w:abstractNumId w:val="1"/>
  </w:num>
  <w:num w:numId="8">
    <w:abstractNumId w:val="7"/>
  </w:num>
  <w:num w:numId="9">
    <w:abstractNumId w:val="6"/>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30247"/>
    <w:rsid w:val="00071842"/>
    <w:rsid w:val="000A3A29"/>
    <w:rsid w:val="000A5A07"/>
    <w:rsid w:val="000B420F"/>
    <w:rsid w:val="000E317C"/>
    <w:rsid w:val="001058A7"/>
    <w:rsid w:val="00132602"/>
    <w:rsid w:val="00145747"/>
    <w:rsid w:val="0018367D"/>
    <w:rsid w:val="001A126D"/>
    <w:rsid w:val="001B5873"/>
    <w:rsid w:val="001D0455"/>
    <w:rsid w:val="001F303A"/>
    <w:rsid w:val="001F76ED"/>
    <w:rsid w:val="00205245"/>
    <w:rsid w:val="002250DE"/>
    <w:rsid w:val="00227FCE"/>
    <w:rsid w:val="00241A66"/>
    <w:rsid w:val="002619EF"/>
    <w:rsid w:val="00262F0F"/>
    <w:rsid w:val="00267DE0"/>
    <w:rsid w:val="0028206A"/>
    <w:rsid w:val="002821F8"/>
    <w:rsid w:val="00292613"/>
    <w:rsid w:val="002A73E8"/>
    <w:rsid w:val="002C2F97"/>
    <w:rsid w:val="002E6FC6"/>
    <w:rsid w:val="00306AF0"/>
    <w:rsid w:val="003828D4"/>
    <w:rsid w:val="003927AC"/>
    <w:rsid w:val="003971F6"/>
    <w:rsid w:val="003F2AF4"/>
    <w:rsid w:val="003F7366"/>
    <w:rsid w:val="00406DBA"/>
    <w:rsid w:val="004326BB"/>
    <w:rsid w:val="004547E1"/>
    <w:rsid w:val="00456DDE"/>
    <w:rsid w:val="004742D0"/>
    <w:rsid w:val="004F4BBA"/>
    <w:rsid w:val="005233AA"/>
    <w:rsid w:val="00534040"/>
    <w:rsid w:val="00551AD9"/>
    <w:rsid w:val="00551B0F"/>
    <w:rsid w:val="005659FB"/>
    <w:rsid w:val="005B3E3C"/>
    <w:rsid w:val="005C098E"/>
    <w:rsid w:val="005C3FC1"/>
    <w:rsid w:val="005D3499"/>
    <w:rsid w:val="005E2583"/>
    <w:rsid w:val="0061684E"/>
    <w:rsid w:val="00677292"/>
    <w:rsid w:val="006B14EF"/>
    <w:rsid w:val="006E3C3E"/>
    <w:rsid w:val="006F2F62"/>
    <w:rsid w:val="0073522A"/>
    <w:rsid w:val="0077417C"/>
    <w:rsid w:val="007769CD"/>
    <w:rsid w:val="0078032B"/>
    <w:rsid w:val="00781566"/>
    <w:rsid w:val="007930EA"/>
    <w:rsid w:val="007976E7"/>
    <w:rsid w:val="007A2CF0"/>
    <w:rsid w:val="007B02FB"/>
    <w:rsid w:val="007B6D77"/>
    <w:rsid w:val="00802701"/>
    <w:rsid w:val="008038A2"/>
    <w:rsid w:val="00811FE8"/>
    <w:rsid w:val="0084720C"/>
    <w:rsid w:val="0086436B"/>
    <w:rsid w:val="00894B97"/>
    <w:rsid w:val="008D50F7"/>
    <w:rsid w:val="00946E6E"/>
    <w:rsid w:val="009860CC"/>
    <w:rsid w:val="009869DE"/>
    <w:rsid w:val="00A2080F"/>
    <w:rsid w:val="00A674FB"/>
    <w:rsid w:val="00A76C2F"/>
    <w:rsid w:val="00A85311"/>
    <w:rsid w:val="00A86977"/>
    <w:rsid w:val="00AA0C3F"/>
    <w:rsid w:val="00AB3ABC"/>
    <w:rsid w:val="00AC3814"/>
    <w:rsid w:val="00AF0562"/>
    <w:rsid w:val="00B10FB2"/>
    <w:rsid w:val="00B26E1A"/>
    <w:rsid w:val="00B26F2C"/>
    <w:rsid w:val="00B50D5E"/>
    <w:rsid w:val="00BA3B3E"/>
    <w:rsid w:val="00BC152C"/>
    <w:rsid w:val="00BF1919"/>
    <w:rsid w:val="00BF3538"/>
    <w:rsid w:val="00BF5367"/>
    <w:rsid w:val="00C07817"/>
    <w:rsid w:val="00C11AA2"/>
    <w:rsid w:val="00C67635"/>
    <w:rsid w:val="00C71005"/>
    <w:rsid w:val="00C93210"/>
    <w:rsid w:val="00C9409B"/>
    <w:rsid w:val="00D07064"/>
    <w:rsid w:val="00D101CB"/>
    <w:rsid w:val="00D279FC"/>
    <w:rsid w:val="00D352A3"/>
    <w:rsid w:val="00D557DE"/>
    <w:rsid w:val="00D55ADD"/>
    <w:rsid w:val="00D8544F"/>
    <w:rsid w:val="00D870AD"/>
    <w:rsid w:val="00DA0FA6"/>
    <w:rsid w:val="00DB0979"/>
    <w:rsid w:val="00DB161E"/>
    <w:rsid w:val="00DB4A9D"/>
    <w:rsid w:val="00DD33DF"/>
    <w:rsid w:val="00DE1293"/>
    <w:rsid w:val="00DF10CC"/>
    <w:rsid w:val="00E44E6E"/>
    <w:rsid w:val="00E827C5"/>
    <w:rsid w:val="00EC6923"/>
    <w:rsid w:val="00EE0206"/>
    <w:rsid w:val="00F24EB2"/>
    <w:rsid w:val="00F34FE3"/>
    <w:rsid w:val="00F50721"/>
    <w:rsid w:val="00F50A07"/>
    <w:rsid w:val="00F57119"/>
    <w:rsid w:val="00F77C13"/>
    <w:rsid w:val="00F945DB"/>
    <w:rsid w:val="00FA3993"/>
    <w:rsid w:val="00FA5118"/>
    <w:rsid w:val="00FA74A7"/>
    <w:rsid w:val="00FB35C1"/>
    <w:rsid w:val="00FD151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7A054D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5FE3-CE7C-4071-BB0E-E75B1B78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2018-04-17T06:52:00Z</dcterms:created>
  <dcterms:modified xsi:type="dcterms:W3CDTF">2018-04-18T22:01:00Z</dcterms:modified>
</cp:coreProperties>
</file>