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860CC" w:rsidRDefault="009C645A">
                            <w:pPr>
                              <w:jc w:val="center"/>
                              <w:rPr>
                                <w:rFonts w:ascii="Segoe UI" w:hAnsi="Segoe UI" w:cs="Segoe UI"/>
                              </w:rPr>
                            </w:pPr>
                            <w:r>
                              <w:rPr>
                                <w:rFonts w:ascii="Segoe UI" w:hAnsi="Segoe UI" w:cs="Segoe UI"/>
                                <w:b/>
                              </w:rPr>
                              <w:t>BOD 69</w:t>
                            </w:r>
                            <w:r w:rsidR="009860CC">
                              <w:rPr>
                                <w:rFonts w:ascii="Segoe UI" w:hAnsi="Segoe UI" w:cs="Segoe UI"/>
                                <w:b/>
                              </w:rPr>
                              <w:t>/2018</w:t>
                            </w:r>
                          </w:p>
                          <w:p w:rsidR="009860CC" w:rsidRPr="00FA3993" w:rsidRDefault="009C645A">
                            <w:pPr>
                              <w:jc w:val="center"/>
                              <w:rPr>
                                <w:rFonts w:ascii="Segoe UI" w:hAnsi="Segoe UI" w:cs="Segoe UI"/>
                                <w:sz w:val="22"/>
                                <w:szCs w:val="22"/>
                              </w:rPr>
                            </w:pPr>
                            <w:r>
                              <w:rPr>
                                <w:rFonts w:ascii="Segoe UI" w:hAnsi="Segoe UI" w:cs="Segoe UI"/>
                                <w:sz w:val="22"/>
                                <w:szCs w:val="22"/>
                              </w:rPr>
                              <w:t>(Agenda item: 10</w:t>
                            </w:r>
                            <w:r w:rsidR="009860CC">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9860CC" w:rsidRDefault="009C645A">
                      <w:pPr>
                        <w:jc w:val="center"/>
                        <w:rPr>
                          <w:rFonts w:ascii="Segoe UI" w:hAnsi="Segoe UI" w:cs="Segoe UI"/>
                        </w:rPr>
                      </w:pPr>
                      <w:r>
                        <w:rPr>
                          <w:rFonts w:ascii="Segoe UI" w:hAnsi="Segoe UI" w:cs="Segoe UI"/>
                          <w:b/>
                        </w:rPr>
                        <w:t>BOD 69</w:t>
                      </w:r>
                      <w:r w:rsidR="009860CC">
                        <w:rPr>
                          <w:rFonts w:ascii="Segoe UI" w:hAnsi="Segoe UI" w:cs="Segoe UI"/>
                          <w:b/>
                        </w:rPr>
                        <w:t>/2018</w:t>
                      </w:r>
                    </w:p>
                    <w:p w:rsidR="009860CC" w:rsidRPr="00FA3993" w:rsidRDefault="009C645A">
                      <w:pPr>
                        <w:jc w:val="center"/>
                        <w:rPr>
                          <w:rFonts w:ascii="Segoe UI" w:hAnsi="Segoe UI" w:cs="Segoe UI"/>
                          <w:sz w:val="22"/>
                          <w:szCs w:val="22"/>
                        </w:rPr>
                      </w:pPr>
                      <w:r>
                        <w:rPr>
                          <w:rFonts w:ascii="Segoe UI" w:hAnsi="Segoe UI" w:cs="Segoe UI"/>
                          <w:sz w:val="22"/>
                          <w:szCs w:val="22"/>
                        </w:rPr>
                        <w:t>(Agenda item: 10</w:t>
                      </w:r>
                      <w:r w:rsidR="009860CC">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9C645A">
      <w:pPr>
        <w:jc w:val="center"/>
        <w:rPr>
          <w:rFonts w:ascii="Segoe UI" w:hAnsi="Segoe UI" w:cs="Segoe UI"/>
          <w:b/>
        </w:rPr>
      </w:pPr>
      <w:r>
        <w:rPr>
          <w:rFonts w:ascii="Segoe UI" w:hAnsi="Segoe UI" w:cs="Segoe UI"/>
          <w:b/>
        </w:rPr>
        <w:t xml:space="preserve">24 </w:t>
      </w:r>
      <w:r w:rsidR="007E47DF">
        <w:rPr>
          <w:rFonts w:ascii="Segoe UI" w:hAnsi="Segoe UI" w:cs="Segoe UI"/>
          <w:b/>
        </w:rPr>
        <w:t>May</w:t>
      </w:r>
      <w:r w:rsidR="00145747">
        <w:rPr>
          <w:rFonts w:ascii="Segoe UI" w:hAnsi="Segoe UI" w:cs="Segoe UI"/>
          <w:b/>
        </w:rPr>
        <w:t xml:space="preserve"> 2018</w:t>
      </w:r>
    </w:p>
    <w:p w:rsidR="005D3499" w:rsidRPr="00FA3993" w:rsidRDefault="005D3499">
      <w:pPr>
        <w:jc w:val="center"/>
        <w:rPr>
          <w:rFonts w:ascii="Segoe UI" w:hAnsi="Segoe UI" w:cs="Segoe UI"/>
          <w:b/>
        </w:rPr>
      </w:pPr>
    </w:p>
    <w:p w:rsidR="005D3499" w:rsidRPr="00FA3993" w:rsidRDefault="00C93210" w:rsidP="00FD2279">
      <w:pPr>
        <w:jc w:val="center"/>
        <w:rPr>
          <w:rFonts w:ascii="Segoe UI" w:hAnsi="Segoe UI" w:cs="Segoe UI"/>
          <w:b/>
        </w:rPr>
      </w:pPr>
      <w:r>
        <w:rPr>
          <w:rFonts w:ascii="Segoe UI" w:hAnsi="Segoe UI" w:cs="Segoe UI"/>
          <w:b/>
        </w:rPr>
        <w:t>Human Resources Report</w:t>
      </w:r>
      <w:bookmarkStart w:id="0" w:name="_GoBack"/>
      <w:bookmarkEnd w:id="0"/>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Information</w:t>
      </w:r>
    </w:p>
    <w:p w:rsidR="00292613" w:rsidRDefault="00292613">
      <w:pPr>
        <w:rPr>
          <w:rFonts w:ascii="Segoe UI" w:hAnsi="Segoe UI" w:cs="Segoe UI"/>
          <w:b/>
        </w:rPr>
      </w:pPr>
    </w:p>
    <w:p w:rsidR="00C93210" w:rsidRPr="00267DE0" w:rsidRDefault="00C93210" w:rsidP="00C93210">
      <w:pPr>
        <w:jc w:val="both"/>
        <w:rPr>
          <w:rFonts w:ascii="Arial" w:hAnsi="Arial" w:cs="Arial"/>
        </w:rPr>
      </w:pPr>
      <w:r w:rsidRPr="00267DE0">
        <w:rPr>
          <w:rFonts w:ascii="Arial" w:hAnsi="Arial" w:cs="Arial"/>
        </w:rPr>
        <w:t xml:space="preserve">This report shows the position on the workforce performance indicators as at the end of </w:t>
      </w:r>
      <w:r w:rsidR="007E47DF">
        <w:rPr>
          <w:rFonts w:ascii="Arial" w:hAnsi="Arial" w:cs="Arial"/>
        </w:rPr>
        <w:t xml:space="preserve">April </w:t>
      </w:r>
      <w:r w:rsidR="001D39E4">
        <w:rPr>
          <w:rFonts w:ascii="Arial" w:hAnsi="Arial" w:cs="Arial"/>
        </w:rPr>
        <w:t>2018 with the exception of sickness absence which relates to March. Measures are in place to allow reporting of sickness one month in arrears, hopefully from the June 2018 Board Report.</w:t>
      </w:r>
    </w:p>
    <w:p w:rsidR="00C93210" w:rsidRPr="00267DE0" w:rsidRDefault="00C93210" w:rsidP="00C93210">
      <w:pPr>
        <w:ind w:left="-851"/>
        <w:jc w:val="both"/>
        <w:rPr>
          <w:rFonts w:ascii="Arial" w:hAnsi="Arial" w:cs="Arial"/>
        </w:rPr>
      </w:pPr>
    </w:p>
    <w:p w:rsidR="00C93210" w:rsidRPr="00CE0E1A" w:rsidRDefault="00C93210" w:rsidP="00C93210">
      <w:pPr>
        <w:jc w:val="both"/>
        <w:rPr>
          <w:rFonts w:ascii="Arial" w:hAnsi="Arial" w:cs="Arial"/>
        </w:rPr>
      </w:pPr>
      <w:r w:rsidRPr="00267DE0">
        <w:rPr>
          <w:rFonts w:ascii="Arial" w:hAnsi="Arial" w:cs="Arial"/>
        </w:rPr>
        <w:t>The report includes brief details of actions already in place to address some of the challenges as well as plans being developed.</w:t>
      </w:r>
    </w:p>
    <w:p w:rsidR="00C93210" w:rsidRDefault="00C93210" w:rsidP="00C93210">
      <w:pPr>
        <w:jc w:val="both"/>
        <w:rPr>
          <w:rFonts w:ascii="Arial" w:hAnsi="Arial" w:cs="Arial"/>
        </w:rPr>
      </w:pPr>
    </w:p>
    <w:p w:rsidR="00C93210" w:rsidRDefault="00C93210" w:rsidP="00C93210">
      <w:pPr>
        <w:rPr>
          <w:rFonts w:ascii="Arial" w:hAnsi="Arial" w:cs="Arial"/>
          <w:b/>
        </w:rPr>
      </w:pPr>
      <w:r w:rsidRPr="00AB3ABC">
        <w:rPr>
          <w:rFonts w:ascii="Arial" w:hAnsi="Arial" w:cs="Arial"/>
          <w:b/>
        </w:rPr>
        <w:t>Temporary Staffing Spend</w:t>
      </w:r>
    </w:p>
    <w:p w:rsidR="00AF2B41" w:rsidRDefault="00AF2B41" w:rsidP="00C93210">
      <w:pPr>
        <w:rPr>
          <w:rFonts w:ascii="Arial" w:hAnsi="Arial" w:cs="Arial"/>
        </w:rPr>
      </w:pPr>
      <w:r w:rsidRPr="00AF2B41">
        <w:rPr>
          <w:rFonts w:ascii="Arial" w:hAnsi="Arial" w:cs="Arial"/>
        </w:rPr>
        <w:t xml:space="preserve">Total temporary staffing </w:t>
      </w:r>
      <w:proofErr w:type="gramStart"/>
      <w:r w:rsidRPr="00AF2B41">
        <w:rPr>
          <w:rFonts w:ascii="Arial" w:hAnsi="Arial" w:cs="Arial"/>
        </w:rPr>
        <w:t>spend</w:t>
      </w:r>
      <w:proofErr w:type="gramEnd"/>
      <w:r w:rsidRPr="00AF2B41">
        <w:rPr>
          <w:rFonts w:ascii="Arial" w:hAnsi="Arial" w:cs="Arial"/>
        </w:rPr>
        <w:t xml:space="preserve"> decreased by £637K to £3.33m, 16.83% of payroll</w:t>
      </w:r>
      <w:r>
        <w:rPr>
          <w:rFonts w:ascii="Arial" w:hAnsi="Arial" w:cs="Arial"/>
        </w:rPr>
        <w:t>. This is t</w:t>
      </w:r>
      <w:r w:rsidRPr="00AF2B41">
        <w:rPr>
          <w:rFonts w:ascii="Arial" w:hAnsi="Arial" w:cs="Arial"/>
        </w:rPr>
        <w:t>he lowest since November</w:t>
      </w:r>
      <w:r>
        <w:rPr>
          <w:rFonts w:ascii="Arial" w:hAnsi="Arial" w:cs="Arial"/>
        </w:rPr>
        <w:t xml:space="preserve"> 2017</w:t>
      </w:r>
      <w:r w:rsidRPr="00AF2B41">
        <w:rPr>
          <w:rFonts w:ascii="Arial" w:hAnsi="Arial" w:cs="Arial"/>
        </w:rPr>
        <w:t xml:space="preserve">.  This is likely to be </w:t>
      </w:r>
      <w:r>
        <w:rPr>
          <w:rFonts w:ascii="Arial" w:hAnsi="Arial" w:cs="Arial"/>
        </w:rPr>
        <w:t xml:space="preserve">due </w:t>
      </w:r>
      <w:r w:rsidRPr="00AF2B41">
        <w:rPr>
          <w:rFonts w:ascii="Arial" w:hAnsi="Arial" w:cs="Arial"/>
        </w:rPr>
        <w:t>to winter pressures coming to an end and decreased rates of annual leave in April as the new annual leave year has commenced. The Trust is planning to review the ann</w:t>
      </w:r>
      <w:r>
        <w:rPr>
          <w:rFonts w:ascii="Arial" w:hAnsi="Arial" w:cs="Arial"/>
        </w:rPr>
        <w:t>ual leave policy in 2018/19 to consider</w:t>
      </w:r>
      <w:r w:rsidRPr="00AF2B41">
        <w:rPr>
          <w:rFonts w:ascii="Arial" w:hAnsi="Arial" w:cs="Arial"/>
        </w:rPr>
        <w:t xml:space="preserve"> ways of </w:t>
      </w:r>
      <w:r>
        <w:rPr>
          <w:rFonts w:ascii="Arial" w:hAnsi="Arial" w:cs="Arial"/>
        </w:rPr>
        <w:t xml:space="preserve">managing </w:t>
      </w:r>
      <w:r w:rsidRPr="00AF2B41">
        <w:rPr>
          <w:rFonts w:ascii="Arial" w:hAnsi="Arial" w:cs="Arial"/>
        </w:rPr>
        <w:t>annual leave more evenly across the year.</w:t>
      </w:r>
      <w:r w:rsidRPr="00AF2B41">
        <w:rPr>
          <w:rFonts w:ascii="Arial" w:hAnsi="Arial" w:cs="Arial"/>
        </w:rPr>
        <w:br/>
      </w:r>
      <w:r w:rsidRPr="00AF2B41">
        <w:rPr>
          <w:rFonts w:ascii="Arial" w:hAnsi="Arial" w:cs="Arial"/>
        </w:rPr>
        <w:br/>
        <w:t>Bank spend (excluding GPs) fell by £101k, this is mainly due to a decrease of £64K in Healthcare Assistants and £87K in Nursing staff.  Spend still remains at its second highest.</w:t>
      </w:r>
    </w:p>
    <w:p w:rsidR="00AF2B41" w:rsidRDefault="00AF2B41" w:rsidP="00C93210">
      <w:pPr>
        <w:rPr>
          <w:rFonts w:ascii="Arial" w:hAnsi="Arial" w:cs="Arial"/>
        </w:rPr>
      </w:pPr>
    </w:p>
    <w:p w:rsidR="00AF2B41" w:rsidRPr="00AF2B41" w:rsidRDefault="00AF2B41" w:rsidP="00AF2B41">
      <w:pPr>
        <w:rPr>
          <w:rFonts w:ascii="Arial" w:hAnsi="Arial" w:cs="Arial"/>
          <w:lang w:val="en-GB"/>
        </w:rPr>
      </w:pPr>
      <w:r w:rsidRPr="00AF2B41">
        <w:rPr>
          <w:rFonts w:ascii="Arial" w:hAnsi="Arial" w:cs="Arial"/>
          <w:lang w:val="en-GB"/>
        </w:rPr>
        <w:t xml:space="preserve">Agency spend decreased by £507k to £1.99m in April, 10.12% of payroll. The greatest decrease of £218k was in the Admin &amp; Clerical staffing group followed by £144k in Allied Health Professionals and £104k in Medical &amp; Dental. The only staffing group which showed a rise in spend was Healthcare Assistants which was £52k. </w:t>
      </w:r>
    </w:p>
    <w:p w:rsidR="00AF2B41" w:rsidRDefault="00AF2B41" w:rsidP="00AF2B41">
      <w:pPr>
        <w:rPr>
          <w:rFonts w:ascii="Arial" w:hAnsi="Arial" w:cs="Arial"/>
          <w:lang w:val="en-GB"/>
        </w:rPr>
      </w:pPr>
    </w:p>
    <w:p w:rsidR="00AF2B41" w:rsidRDefault="00AF2B41" w:rsidP="00AF2B41">
      <w:pPr>
        <w:rPr>
          <w:rFonts w:ascii="Arial" w:hAnsi="Arial" w:cs="Arial"/>
          <w:lang w:val="en-GB"/>
        </w:rPr>
      </w:pPr>
      <w:r w:rsidRPr="00AF2B41">
        <w:rPr>
          <w:rFonts w:ascii="Arial" w:hAnsi="Arial" w:cs="Arial"/>
          <w:lang w:val="en-GB"/>
        </w:rPr>
        <w:lastRenderedPageBreak/>
        <w:t>Agency spend has decreased in all Di</w:t>
      </w:r>
      <w:r w:rsidR="001D39E4">
        <w:rPr>
          <w:rFonts w:ascii="Arial" w:hAnsi="Arial" w:cs="Arial"/>
          <w:lang w:val="en-GB"/>
        </w:rPr>
        <w:t xml:space="preserve">rectorates, most notably in </w:t>
      </w:r>
      <w:r w:rsidRPr="00AF2B41">
        <w:rPr>
          <w:rFonts w:ascii="Arial" w:hAnsi="Arial" w:cs="Arial"/>
          <w:lang w:val="en-GB"/>
        </w:rPr>
        <w:t xml:space="preserve">Adults </w:t>
      </w:r>
      <w:r w:rsidR="001D39E4">
        <w:rPr>
          <w:rFonts w:ascii="Arial" w:hAnsi="Arial" w:cs="Arial"/>
          <w:lang w:val="en-GB"/>
        </w:rPr>
        <w:t>D</w:t>
      </w:r>
      <w:r w:rsidRPr="00AF2B41">
        <w:rPr>
          <w:rFonts w:ascii="Arial" w:hAnsi="Arial" w:cs="Arial"/>
          <w:lang w:val="en-GB"/>
        </w:rPr>
        <w:t>irectorate where i</w:t>
      </w:r>
      <w:r>
        <w:rPr>
          <w:rFonts w:ascii="Arial" w:hAnsi="Arial" w:cs="Arial"/>
          <w:lang w:val="en-GB"/>
        </w:rPr>
        <w:t>t</w:t>
      </w:r>
      <w:r w:rsidRPr="00AF2B41">
        <w:rPr>
          <w:rFonts w:ascii="Arial" w:hAnsi="Arial" w:cs="Arial"/>
          <w:lang w:val="en-GB"/>
        </w:rPr>
        <w:t xml:space="preserve"> fell by £190k, followed by Corporate which fell by £123k. </w:t>
      </w:r>
    </w:p>
    <w:p w:rsidR="00AF2B41" w:rsidRDefault="00AF2B41" w:rsidP="00AF2B41">
      <w:pPr>
        <w:rPr>
          <w:rFonts w:ascii="Arial" w:hAnsi="Arial" w:cs="Arial"/>
          <w:lang w:val="en-GB"/>
        </w:rPr>
      </w:pPr>
    </w:p>
    <w:p w:rsidR="00AF2B41" w:rsidRPr="00AF2B41" w:rsidRDefault="00AF2B41" w:rsidP="00AF2B41">
      <w:pPr>
        <w:rPr>
          <w:rFonts w:ascii="Arial" w:hAnsi="Arial" w:cs="Arial"/>
          <w:lang w:val="en-GB"/>
        </w:rPr>
      </w:pPr>
      <w:r w:rsidRPr="00AF2B41">
        <w:rPr>
          <w:rFonts w:ascii="Arial" w:hAnsi="Arial" w:cs="Arial"/>
          <w:lang w:val="en-GB"/>
        </w:rPr>
        <w:t>Agency spend was 171.84% above the ceiling set by NHSI. NHSI Agency rule overrides increased by 22% to 1,647 shifts in the 4 weeks of April. This increase in overrides can mainly be seen in the C&amp;YP Directorate where an increase of over 200 overrides was seen. 55% of temporary staffing shifts booked through the WFMS were to cover vacancies.</w:t>
      </w:r>
    </w:p>
    <w:p w:rsidR="00AF2B41" w:rsidRPr="00AF2B41" w:rsidRDefault="00AF2B41" w:rsidP="00C93210">
      <w:pPr>
        <w:rPr>
          <w:rFonts w:ascii="Arial" w:hAnsi="Arial" w:cs="Arial"/>
        </w:rPr>
      </w:pPr>
    </w:p>
    <w:p w:rsidR="00F50721" w:rsidRDefault="00F50721" w:rsidP="00C93210">
      <w:pPr>
        <w:rPr>
          <w:rFonts w:ascii="Arial" w:eastAsiaTheme="majorEastAsia" w:hAnsi="Arial" w:cs="Arial"/>
          <w:b/>
          <w:color w:val="000000" w:themeColor="text1"/>
          <w:kern w:val="24"/>
        </w:rPr>
      </w:pPr>
      <w:r>
        <w:rPr>
          <w:rFonts w:ascii="Arial" w:eastAsiaTheme="majorEastAsia" w:hAnsi="Arial" w:cs="Arial"/>
          <w:b/>
          <w:color w:val="000000" w:themeColor="text1"/>
          <w:kern w:val="24"/>
        </w:rPr>
        <w:t>HCA Agency Reduction</w:t>
      </w:r>
    </w:p>
    <w:p w:rsidR="001D39E4" w:rsidRDefault="00AF2B41" w:rsidP="00C93210">
      <w:pPr>
        <w:rPr>
          <w:rFonts w:ascii="Arial" w:eastAsiaTheme="majorEastAsia" w:hAnsi="Arial" w:cs="Arial"/>
          <w:color w:val="000000" w:themeColor="text1"/>
          <w:kern w:val="24"/>
        </w:rPr>
      </w:pPr>
      <w:r>
        <w:rPr>
          <w:rFonts w:ascii="Arial" w:eastAsiaTheme="majorEastAsia" w:hAnsi="Arial" w:cs="Arial"/>
          <w:color w:val="000000" w:themeColor="text1"/>
          <w:kern w:val="24"/>
        </w:rPr>
        <w:t>With effect from 14</w:t>
      </w:r>
      <w:r w:rsidRPr="00AF2B41">
        <w:rPr>
          <w:rFonts w:ascii="Arial" w:eastAsiaTheme="majorEastAsia" w:hAnsi="Arial" w:cs="Arial"/>
          <w:color w:val="000000" w:themeColor="text1"/>
          <w:kern w:val="24"/>
          <w:vertAlign w:val="superscript"/>
        </w:rPr>
        <w:t>th</w:t>
      </w:r>
      <w:r>
        <w:rPr>
          <w:rFonts w:ascii="Arial" w:eastAsiaTheme="majorEastAsia" w:hAnsi="Arial" w:cs="Arial"/>
          <w:color w:val="000000" w:themeColor="text1"/>
          <w:kern w:val="24"/>
        </w:rPr>
        <w:t xml:space="preserve"> May 2018, the Trust will not be using agency HCAs. There has been a significant exercise to support this policy and to ensure it could be implemented with as little risk as possible. </w:t>
      </w:r>
      <w:r w:rsidR="001D39E4">
        <w:rPr>
          <w:rFonts w:ascii="Arial" w:eastAsiaTheme="majorEastAsia" w:hAnsi="Arial" w:cs="Arial"/>
          <w:color w:val="000000" w:themeColor="text1"/>
          <w:kern w:val="24"/>
        </w:rPr>
        <w:t>To date 75 agency workers have joined the Trust bank from agencies.</w:t>
      </w:r>
    </w:p>
    <w:p w:rsidR="001D39E4" w:rsidRDefault="001D39E4" w:rsidP="00C93210">
      <w:pPr>
        <w:rPr>
          <w:rFonts w:ascii="Arial" w:eastAsiaTheme="majorEastAsia" w:hAnsi="Arial" w:cs="Arial"/>
          <w:color w:val="000000" w:themeColor="text1"/>
          <w:kern w:val="24"/>
        </w:rPr>
      </w:pPr>
    </w:p>
    <w:p w:rsidR="00AF2B41" w:rsidRPr="00AF2B41" w:rsidRDefault="00AF2B41" w:rsidP="00C93210">
      <w:pPr>
        <w:rPr>
          <w:rFonts w:ascii="Arial" w:eastAsiaTheme="majorEastAsia" w:hAnsi="Arial" w:cs="Arial"/>
          <w:color w:val="000000" w:themeColor="text1"/>
          <w:kern w:val="24"/>
        </w:rPr>
      </w:pPr>
      <w:r>
        <w:rPr>
          <w:rFonts w:ascii="Arial" w:eastAsiaTheme="majorEastAsia" w:hAnsi="Arial" w:cs="Arial"/>
          <w:color w:val="000000" w:themeColor="text1"/>
          <w:kern w:val="24"/>
        </w:rPr>
        <w:t xml:space="preserve">An escalation route through operational directorates has been put in place to </w:t>
      </w:r>
      <w:r w:rsidR="001D39E4">
        <w:rPr>
          <w:rFonts w:ascii="Arial" w:eastAsiaTheme="majorEastAsia" w:hAnsi="Arial" w:cs="Arial"/>
          <w:color w:val="000000" w:themeColor="text1"/>
          <w:kern w:val="24"/>
        </w:rPr>
        <w:t xml:space="preserve">maintain </w:t>
      </w:r>
      <w:r>
        <w:rPr>
          <w:rFonts w:ascii="Arial" w:eastAsiaTheme="majorEastAsia" w:hAnsi="Arial" w:cs="Arial"/>
          <w:color w:val="000000" w:themeColor="text1"/>
          <w:kern w:val="24"/>
        </w:rPr>
        <w:t xml:space="preserve">safe staffing whilst reinforcing the message to HCA agency workers that the best way to secure </w:t>
      </w:r>
      <w:r w:rsidR="001D39E4">
        <w:rPr>
          <w:rFonts w:ascii="Arial" w:eastAsiaTheme="majorEastAsia" w:hAnsi="Arial" w:cs="Arial"/>
          <w:color w:val="000000" w:themeColor="text1"/>
          <w:kern w:val="24"/>
        </w:rPr>
        <w:t xml:space="preserve">flexible </w:t>
      </w:r>
      <w:r>
        <w:rPr>
          <w:rFonts w:ascii="Arial" w:eastAsiaTheme="majorEastAsia" w:hAnsi="Arial" w:cs="Arial"/>
          <w:color w:val="000000" w:themeColor="text1"/>
          <w:kern w:val="24"/>
        </w:rPr>
        <w:t>work with the Trust is to register on the internal bank.</w:t>
      </w:r>
    </w:p>
    <w:p w:rsidR="00AF2B41" w:rsidRDefault="00AF2B41" w:rsidP="00C93210">
      <w:pPr>
        <w:rPr>
          <w:rFonts w:ascii="Arial" w:eastAsiaTheme="majorEastAsia" w:hAnsi="Arial" w:cs="Arial"/>
          <w:b/>
          <w:color w:val="000000" w:themeColor="text1"/>
          <w:kern w:val="24"/>
        </w:rPr>
      </w:pPr>
    </w:p>
    <w:p w:rsidR="00C93210" w:rsidRDefault="00C93210" w:rsidP="00C93210">
      <w:pPr>
        <w:rPr>
          <w:rFonts w:ascii="Arial" w:eastAsiaTheme="majorEastAsia" w:hAnsi="Arial" w:cs="Arial"/>
          <w:b/>
          <w:color w:val="000000" w:themeColor="text1"/>
          <w:kern w:val="24"/>
        </w:rPr>
      </w:pPr>
      <w:r w:rsidRPr="00267DE0">
        <w:rPr>
          <w:rFonts w:ascii="Arial" w:eastAsiaTheme="majorEastAsia" w:hAnsi="Arial" w:cs="Arial"/>
          <w:b/>
          <w:color w:val="000000" w:themeColor="text1"/>
          <w:kern w:val="24"/>
        </w:rPr>
        <w:t>Vacancy</w:t>
      </w:r>
    </w:p>
    <w:p w:rsidR="00E30001" w:rsidRDefault="00E30001" w:rsidP="00C93210">
      <w:pPr>
        <w:jc w:val="both"/>
        <w:rPr>
          <w:rFonts w:ascii="Arial" w:hAnsi="Arial" w:cs="Arial"/>
        </w:rPr>
      </w:pPr>
      <w:r w:rsidRPr="00E30001">
        <w:rPr>
          <w:rFonts w:ascii="Arial" w:hAnsi="Arial" w:cs="Arial"/>
        </w:rPr>
        <w:t>The Vacancy rate has decreased to 11.6% in April from 13.8% in March and marks a reduction following the end-of-financial-year spike.</w:t>
      </w:r>
    </w:p>
    <w:p w:rsidR="00E30001" w:rsidRPr="00E30001" w:rsidRDefault="00E30001" w:rsidP="00C93210">
      <w:pPr>
        <w:jc w:val="both"/>
        <w:rPr>
          <w:rFonts w:ascii="Arial" w:hAnsi="Arial" w:cs="Arial"/>
        </w:rPr>
      </w:pPr>
    </w:p>
    <w:p w:rsidR="00C93210" w:rsidRPr="00CE0E1A" w:rsidRDefault="00C93210" w:rsidP="00C93210">
      <w:pPr>
        <w:jc w:val="both"/>
        <w:rPr>
          <w:rFonts w:ascii="Arial" w:hAnsi="Arial" w:cs="Arial"/>
          <w:b/>
        </w:rPr>
      </w:pPr>
      <w:r w:rsidRPr="00CE0E1A">
        <w:rPr>
          <w:rFonts w:ascii="Arial" w:hAnsi="Arial" w:cs="Arial"/>
          <w:b/>
        </w:rPr>
        <w:t>Turnover</w:t>
      </w:r>
    </w:p>
    <w:p w:rsidR="00F50721" w:rsidRDefault="00E30001" w:rsidP="00C93210">
      <w:pPr>
        <w:jc w:val="both"/>
        <w:rPr>
          <w:rFonts w:ascii="Arial" w:eastAsiaTheme="majorEastAsia" w:hAnsi="Arial" w:cs="Arial"/>
          <w:kern w:val="24"/>
        </w:rPr>
      </w:pPr>
      <w:r w:rsidRPr="00E30001">
        <w:rPr>
          <w:rFonts w:ascii="Arial" w:eastAsiaTheme="majorEastAsia" w:hAnsi="Arial" w:cs="Arial"/>
          <w:kern w:val="24"/>
        </w:rPr>
        <w:t>The Turnover figure has decreased in April to stand at 14.57%. The decrease has been driven by a long term decline over the last six months in the Older</w:t>
      </w:r>
      <w:r>
        <w:rPr>
          <w:rFonts w:ascii="Arial" w:eastAsiaTheme="majorEastAsia" w:hAnsi="Arial" w:cs="Arial"/>
          <w:kern w:val="24"/>
        </w:rPr>
        <w:t xml:space="preserve"> People’s </w:t>
      </w:r>
      <w:r w:rsidRPr="00E30001">
        <w:rPr>
          <w:rFonts w:ascii="Arial" w:eastAsiaTheme="majorEastAsia" w:hAnsi="Arial" w:cs="Arial"/>
          <w:kern w:val="24"/>
        </w:rPr>
        <w:t>and Children and Young People</w:t>
      </w:r>
      <w:r>
        <w:rPr>
          <w:rFonts w:ascii="Arial" w:eastAsiaTheme="majorEastAsia" w:hAnsi="Arial" w:cs="Arial"/>
          <w:kern w:val="24"/>
        </w:rPr>
        <w:t>’</w:t>
      </w:r>
      <w:r w:rsidR="001D39E4">
        <w:rPr>
          <w:rFonts w:ascii="Arial" w:eastAsiaTheme="majorEastAsia" w:hAnsi="Arial" w:cs="Arial"/>
          <w:kern w:val="24"/>
        </w:rPr>
        <w:t>s directorates.</w:t>
      </w:r>
      <w:r w:rsidRPr="00E30001">
        <w:rPr>
          <w:rFonts w:ascii="Arial" w:eastAsiaTheme="majorEastAsia" w:hAnsi="Arial" w:cs="Arial"/>
          <w:kern w:val="24"/>
        </w:rPr>
        <w:t xml:space="preserve"> Adults </w:t>
      </w:r>
      <w:r w:rsidR="001D39E4">
        <w:rPr>
          <w:rFonts w:ascii="Arial" w:eastAsiaTheme="majorEastAsia" w:hAnsi="Arial" w:cs="Arial"/>
          <w:kern w:val="24"/>
        </w:rPr>
        <w:t>D</w:t>
      </w:r>
      <w:r w:rsidRPr="00E30001">
        <w:rPr>
          <w:rFonts w:ascii="Arial" w:eastAsiaTheme="majorEastAsia" w:hAnsi="Arial" w:cs="Arial"/>
          <w:kern w:val="24"/>
        </w:rPr>
        <w:t>irectorate has displayed a significant rise over the last two months due to high turnover in Psychological Therapies and LDS Pathways.</w:t>
      </w:r>
    </w:p>
    <w:p w:rsidR="00E30001" w:rsidRPr="00267DE0" w:rsidRDefault="00E30001" w:rsidP="00C93210">
      <w:pPr>
        <w:jc w:val="both"/>
        <w:rPr>
          <w:rFonts w:ascii="Arial" w:eastAsiaTheme="majorEastAsia" w:hAnsi="Arial" w:cs="Arial"/>
          <w:kern w:val="24"/>
        </w:rPr>
      </w:pPr>
    </w:p>
    <w:p w:rsidR="00C93210" w:rsidRPr="00267DE0" w:rsidRDefault="00C93210" w:rsidP="00C93210">
      <w:pPr>
        <w:jc w:val="both"/>
        <w:rPr>
          <w:rFonts w:ascii="Arial" w:eastAsiaTheme="majorEastAsia" w:hAnsi="Arial" w:cs="Arial"/>
          <w:b/>
          <w:kern w:val="24"/>
        </w:rPr>
      </w:pPr>
      <w:r w:rsidRPr="00267DE0">
        <w:rPr>
          <w:rFonts w:ascii="Arial" w:eastAsiaTheme="majorEastAsia" w:hAnsi="Arial" w:cs="Arial"/>
          <w:b/>
          <w:kern w:val="24"/>
        </w:rPr>
        <w:t>Sickness</w:t>
      </w:r>
    </w:p>
    <w:p w:rsidR="00E30001" w:rsidRPr="00E30001" w:rsidRDefault="00E30001" w:rsidP="00E30001">
      <w:pPr>
        <w:jc w:val="both"/>
        <w:rPr>
          <w:rFonts w:ascii="Arial" w:hAnsi="Arial" w:cs="Arial"/>
        </w:rPr>
      </w:pPr>
      <w:r w:rsidRPr="00E30001">
        <w:rPr>
          <w:rFonts w:ascii="Arial" w:hAnsi="Arial" w:cs="Arial"/>
        </w:rPr>
        <w:t xml:space="preserve">Sickness has decreased slightly to stand at 4.06% </w:t>
      </w:r>
      <w:r>
        <w:rPr>
          <w:rFonts w:ascii="Arial" w:hAnsi="Arial" w:cs="Arial"/>
        </w:rPr>
        <w:t>(</w:t>
      </w:r>
      <w:r w:rsidRPr="00E30001">
        <w:rPr>
          <w:rFonts w:ascii="Arial" w:hAnsi="Arial" w:cs="Arial"/>
        </w:rPr>
        <w:t>4.15% last month</w:t>
      </w:r>
      <w:r>
        <w:rPr>
          <w:rFonts w:ascii="Arial" w:hAnsi="Arial" w:cs="Arial"/>
        </w:rPr>
        <w:t>)</w:t>
      </w:r>
      <w:r w:rsidRPr="00E30001">
        <w:rPr>
          <w:rFonts w:ascii="Arial" w:hAnsi="Arial" w:cs="Arial"/>
        </w:rPr>
        <w:t>. The decrease has been experienced across all directorates, except Children and Young Peoples which has seen a consistent rise over the last 12 months. The Trust decrease</w:t>
      </w:r>
      <w:r>
        <w:rPr>
          <w:rFonts w:ascii="Arial" w:hAnsi="Arial" w:cs="Arial"/>
        </w:rPr>
        <w:t xml:space="preserve"> has been driven by the end of </w:t>
      </w:r>
      <w:r w:rsidRPr="00E30001">
        <w:rPr>
          <w:rFonts w:ascii="Arial" w:hAnsi="Arial" w:cs="Arial"/>
        </w:rPr>
        <w:t xml:space="preserve">the winter </w:t>
      </w:r>
      <w:r w:rsidRPr="00E30001">
        <w:rPr>
          <w:rFonts w:ascii="Arial" w:hAnsi="Arial" w:cs="Arial"/>
          <w:iCs/>
        </w:rPr>
        <w:t>Cold and flu</w:t>
      </w:r>
      <w:r w:rsidRPr="00E30001">
        <w:rPr>
          <w:rFonts w:ascii="Arial" w:hAnsi="Arial" w:cs="Arial"/>
          <w:i/>
          <w:iCs/>
        </w:rPr>
        <w:t xml:space="preserve"> </w:t>
      </w:r>
      <w:r w:rsidRPr="00E30001">
        <w:rPr>
          <w:rFonts w:ascii="Arial" w:hAnsi="Arial" w:cs="Arial"/>
        </w:rPr>
        <w:t xml:space="preserve">outbreak and a reduction in </w:t>
      </w:r>
      <w:r w:rsidRPr="00E30001">
        <w:rPr>
          <w:rFonts w:ascii="Arial" w:hAnsi="Arial" w:cs="Arial"/>
          <w:iCs/>
        </w:rPr>
        <w:t>Stress</w:t>
      </w:r>
      <w:r w:rsidRPr="00E30001">
        <w:rPr>
          <w:rFonts w:ascii="Arial" w:hAnsi="Arial" w:cs="Arial"/>
        </w:rPr>
        <w:t xml:space="preserve"> sickness.</w:t>
      </w:r>
    </w:p>
    <w:p w:rsidR="00C93210" w:rsidRPr="00267DE0" w:rsidRDefault="00C93210" w:rsidP="00C93210">
      <w:pPr>
        <w:jc w:val="both"/>
        <w:rPr>
          <w:rFonts w:ascii="Arial" w:hAnsi="Arial" w:cs="Arial"/>
        </w:rPr>
      </w:pPr>
    </w:p>
    <w:p w:rsidR="00DB4A9D" w:rsidRDefault="00DB4A9D" w:rsidP="00C93210">
      <w:pPr>
        <w:jc w:val="both"/>
        <w:rPr>
          <w:rFonts w:ascii="Arial" w:hAnsi="Arial" w:cs="Arial"/>
          <w:b/>
        </w:rPr>
      </w:pPr>
      <w:r>
        <w:rPr>
          <w:rFonts w:ascii="Arial" w:hAnsi="Arial" w:cs="Arial"/>
          <w:b/>
        </w:rPr>
        <w:t>Recruitment</w:t>
      </w:r>
    </w:p>
    <w:p w:rsidR="00DB4A9D" w:rsidRDefault="00E30001" w:rsidP="00C93210">
      <w:pPr>
        <w:jc w:val="both"/>
        <w:rPr>
          <w:rFonts w:ascii="Arial" w:hAnsi="Arial" w:cs="Arial"/>
        </w:rPr>
      </w:pPr>
      <w:r>
        <w:rPr>
          <w:rFonts w:ascii="Arial" w:hAnsi="Arial" w:cs="Arial"/>
        </w:rPr>
        <w:t>A table showing the current recruitment activity is included in the slide pack accompanying this report.</w:t>
      </w:r>
    </w:p>
    <w:p w:rsidR="00E30001" w:rsidRDefault="00E30001" w:rsidP="00C93210">
      <w:pPr>
        <w:jc w:val="both"/>
        <w:rPr>
          <w:rFonts w:ascii="Arial" w:hAnsi="Arial" w:cs="Arial"/>
        </w:rPr>
      </w:pPr>
    </w:p>
    <w:p w:rsidR="00E30001" w:rsidRDefault="00E30001" w:rsidP="00C93210">
      <w:pPr>
        <w:jc w:val="both"/>
        <w:rPr>
          <w:rFonts w:ascii="Arial" w:hAnsi="Arial" w:cs="Arial"/>
        </w:rPr>
      </w:pPr>
      <w:r>
        <w:rPr>
          <w:rFonts w:ascii="Arial" w:hAnsi="Arial" w:cs="Arial"/>
        </w:rPr>
        <w:t>A recruitment fair aimed at all specialisms of nursing is planned for 9</w:t>
      </w:r>
      <w:r w:rsidRPr="00E30001">
        <w:rPr>
          <w:rFonts w:ascii="Arial" w:hAnsi="Arial" w:cs="Arial"/>
          <w:vertAlign w:val="superscript"/>
        </w:rPr>
        <w:t>th</w:t>
      </w:r>
      <w:r>
        <w:rPr>
          <w:rFonts w:ascii="Arial" w:hAnsi="Arial" w:cs="Arial"/>
        </w:rPr>
        <w:t xml:space="preserve"> June. </w:t>
      </w:r>
      <w:proofErr w:type="gramStart"/>
      <w:r>
        <w:rPr>
          <w:rFonts w:ascii="Arial" w:hAnsi="Arial" w:cs="Arial"/>
        </w:rPr>
        <w:t>Additionally</w:t>
      </w:r>
      <w:proofErr w:type="gramEnd"/>
      <w:r>
        <w:rPr>
          <w:rFonts w:ascii="Arial" w:hAnsi="Arial" w:cs="Arial"/>
        </w:rPr>
        <w:t xml:space="preserve"> a social media campaign aimed at boosting recruitment in Thames House is currently running on Facebook, aimed at attracting qualified and </w:t>
      </w:r>
      <w:r>
        <w:rPr>
          <w:rFonts w:ascii="Arial" w:hAnsi="Arial" w:cs="Arial"/>
        </w:rPr>
        <w:lastRenderedPageBreak/>
        <w:t xml:space="preserve">unqualified nursing. Some work is currently being undertaken to produce online videos to attract candidates to </w:t>
      </w:r>
      <w:r w:rsidR="005E6BC3">
        <w:rPr>
          <w:rFonts w:ascii="Arial" w:hAnsi="Arial" w:cs="Arial"/>
        </w:rPr>
        <w:t>the Forensic Service.</w:t>
      </w:r>
    </w:p>
    <w:p w:rsidR="00E30001" w:rsidRPr="00E30001" w:rsidRDefault="00E30001" w:rsidP="00C93210">
      <w:pPr>
        <w:jc w:val="both"/>
        <w:rPr>
          <w:rFonts w:ascii="Arial" w:hAnsi="Arial" w:cs="Arial"/>
        </w:rPr>
      </w:pPr>
    </w:p>
    <w:p w:rsidR="001F303A" w:rsidRPr="00267DE0" w:rsidRDefault="00C93210" w:rsidP="00C93210">
      <w:pPr>
        <w:jc w:val="both"/>
        <w:rPr>
          <w:rFonts w:ascii="Arial" w:hAnsi="Arial" w:cs="Arial"/>
          <w:b/>
        </w:rPr>
      </w:pPr>
      <w:r w:rsidRPr="00267DE0">
        <w:rPr>
          <w:rFonts w:ascii="Arial" w:hAnsi="Arial" w:cs="Arial"/>
          <w:b/>
        </w:rPr>
        <w:t>Management of Concerns (Whistle Blowing)</w:t>
      </w:r>
    </w:p>
    <w:p w:rsidR="007E47DF" w:rsidRDefault="00E30001" w:rsidP="00AB3ABC">
      <w:pPr>
        <w:rPr>
          <w:rFonts w:ascii="Arial" w:hAnsi="Arial" w:cs="Arial"/>
        </w:rPr>
      </w:pPr>
      <w:r>
        <w:rPr>
          <w:rFonts w:ascii="Arial" w:hAnsi="Arial" w:cs="Arial"/>
        </w:rPr>
        <w:t xml:space="preserve">1 current case in Adult Directorate which </w:t>
      </w:r>
      <w:r w:rsidR="005E6BC3">
        <w:rPr>
          <w:rFonts w:ascii="Arial" w:hAnsi="Arial" w:cs="Arial"/>
        </w:rPr>
        <w:t>is under investigation.</w:t>
      </w:r>
    </w:p>
    <w:p w:rsidR="005E6BC3" w:rsidRPr="00E30001" w:rsidRDefault="005E6BC3" w:rsidP="00AB3ABC">
      <w:pPr>
        <w:rPr>
          <w:rFonts w:ascii="Arial" w:hAnsi="Arial" w:cs="Arial"/>
        </w:rPr>
      </w:pPr>
    </w:p>
    <w:p w:rsidR="00C93210" w:rsidRDefault="00C93210" w:rsidP="00C93210">
      <w:pPr>
        <w:jc w:val="both"/>
        <w:rPr>
          <w:rFonts w:ascii="Arial" w:hAnsi="Arial" w:cs="Arial"/>
          <w:b/>
        </w:rPr>
      </w:pPr>
      <w:r w:rsidRPr="00CE0E1A">
        <w:rPr>
          <w:rFonts w:ascii="Arial" w:hAnsi="Arial" w:cs="Arial"/>
          <w:b/>
        </w:rPr>
        <w:t>Recommendation</w:t>
      </w:r>
    </w:p>
    <w:p w:rsidR="00C93210" w:rsidRPr="00CE0E1A" w:rsidRDefault="00C93210" w:rsidP="00C93210">
      <w:pPr>
        <w:ind w:left="-851" w:firstLine="851"/>
        <w:jc w:val="both"/>
        <w:rPr>
          <w:rFonts w:ascii="Arial" w:hAnsi="Arial" w:cs="Arial"/>
        </w:rPr>
      </w:pPr>
      <w:r w:rsidRPr="00CE0E1A">
        <w:rPr>
          <w:rFonts w:ascii="Arial" w:hAnsi="Arial" w:cs="Arial"/>
        </w:rPr>
        <w:t>To note the report for information.</w:t>
      </w:r>
    </w:p>
    <w:p w:rsidR="00C93210" w:rsidRPr="00CE0E1A" w:rsidRDefault="00C93210" w:rsidP="00C93210">
      <w:pPr>
        <w:ind w:left="-851" w:firstLine="851"/>
        <w:jc w:val="both"/>
        <w:rPr>
          <w:rFonts w:ascii="Arial" w:hAnsi="Arial" w:cs="Arial"/>
        </w:rPr>
      </w:pPr>
    </w:p>
    <w:p w:rsidR="00C93210" w:rsidRPr="00CE0E1A" w:rsidRDefault="00C93210" w:rsidP="00C93210">
      <w:pPr>
        <w:ind w:left="1440" w:hanging="1440"/>
        <w:jc w:val="both"/>
        <w:rPr>
          <w:rFonts w:ascii="Arial" w:hAnsi="Arial" w:cs="Arial"/>
        </w:rPr>
      </w:pPr>
      <w:r w:rsidRPr="00CE0E1A">
        <w:rPr>
          <w:rFonts w:ascii="Arial" w:hAnsi="Arial" w:cs="Arial"/>
          <w:b/>
        </w:rPr>
        <w:t>Author and Title:</w:t>
      </w:r>
      <w:r w:rsidRPr="00CE0E1A">
        <w:rPr>
          <w:rFonts w:ascii="Arial" w:hAnsi="Arial" w:cs="Arial"/>
        </w:rPr>
        <w:t xml:space="preserve"> </w:t>
      </w:r>
      <w:r w:rsidRPr="00CE0E1A">
        <w:rPr>
          <w:rFonts w:ascii="Arial" w:hAnsi="Arial" w:cs="Arial"/>
        </w:rPr>
        <w:tab/>
      </w:r>
    </w:p>
    <w:p w:rsidR="00C93210" w:rsidRPr="00CE0E1A" w:rsidRDefault="00C93210" w:rsidP="00C93210">
      <w:pPr>
        <w:ind w:left="1440" w:hanging="1440"/>
        <w:jc w:val="both"/>
        <w:rPr>
          <w:rFonts w:ascii="Arial" w:hAnsi="Arial" w:cs="Arial"/>
        </w:rPr>
      </w:pPr>
      <w:r w:rsidRPr="00CE0E1A">
        <w:rPr>
          <w:rFonts w:ascii="Arial" w:hAnsi="Arial" w:cs="Arial"/>
        </w:rPr>
        <w:t xml:space="preserve">Simon Denton (Head of </w:t>
      </w:r>
      <w:r>
        <w:rPr>
          <w:rFonts w:ascii="Arial" w:hAnsi="Arial" w:cs="Arial"/>
        </w:rPr>
        <w:t>HR Operations</w:t>
      </w:r>
      <w:r w:rsidRPr="00CE0E1A">
        <w:rPr>
          <w:rFonts w:ascii="Arial" w:hAnsi="Arial" w:cs="Arial"/>
        </w:rPr>
        <w:t>)</w:t>
      </w:r>
    </w:p>
    <w:p w:rsidR="00C93210" w:rsidRPr="00CE0E1A" w:rsidRDefault="00C93210" w:rsidP="00C93210">
      <w:pPr>
        <w:ind w:left="1440" w:hanging="1440"/>
        <w:jc w:val="both"/>
        <w:rPr>
          <w:rFonts w:ascii="Arial" w:hAnsi="Arial" w:cs="Arial"/>
        </w:rPr>
      </w:pPr>
    </w:p>
    <w:p w:rsidR="00C93210" w:rsidRPr="00CE0E1A" w:rsidRDefault="00C93210" w:rsidP="00C93210">
      <w:pPr>
        <w:jc w:val="both"/>
        <w:rPr>
          <w:rFonts w:ascii="Arial" w:hAnsi="Arial" w:cs="Arial"/>
          <w:b/>
        </w:rPr>
      </w:pPr>
      <w:r w:rsidRPr="00CE0E1A">
        <w:rPr>
          <w:rFonts w:ascii="Arial" w:hAnsi="Arial" w:cs="Arial"/>
          <w:b/>
        </w:rPr>
        <w:t>Lead Executive Director:</w:t>
      </w:r>
      <w:r w:rsidRPr="00CE0E1A">
        <w:rPr>
          <w:rFonts w:ascii="Arial" w:hAnsi="Arial" w:cs="Arial"/>
          <w:b/>
        </w:rPr>
        <w:tab/>
      </w:r>
    </w:p>
    <w:p w:rsidR="00C93210" w:rsidRPr="00CE0E1A" w:rsidRDefault="00C93210" w:rsidP="00C93210">
      <w:pPr>
        <w:jc w:val="both"/>
        <w:rPr>
          <w:rFonts w:ascii="Arial" w:hAnsi="Arial" w:cs="Arial"/>
        </w:rPr>
      </w:pPr>
      <w:r>
        <w:rPr>
          <w:rFonts w:ascii="Arial" w:hAnsi="Arial" w:cs="Arial"/>
        </w:rPr>
        <w:t>Tim Boylin</w:t>
      </w:r>
    </w:p>
    <w:p w:rsidR="003927AC" w:rsidRPr="00F945DB" w:rsidRDefault="003927AC" w:rsidP="003927AC">
      <w:pPr>
        <w:jc w:val="both"/>
        <w:rPr>
          <w:rFonts w:ascii="Segoe UI" w:hAnsi="Segoe UI" w:cs="Segoe UI"/>
        </w:rPr>
      </w:pPr>
    </w:p>
    <w:sectPr w:rsidR="003927AC" w:rsidRPr="00F945D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0CC" w:rsidRDefault="009860CC" w:rsidP="005B3E3C">
      <w:r>
        <w:separator/>
      </w:r>
    </w:p>
  </w:endnote>
  <w:endnote w:type="continuationSeparator" w:id="0">
    <w:p w:rsidR="009860CC" w:rsidRDefault="009860C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9538"/>
      <w:docPartObj>
        <w:docPartGallery w:val="Page Numbers (Bottom of Page)"/>
        <w:docPartUnique/>
      </w:docPartObj>
    </w:sdtPr>
    <w:sdtEndPr>
      <w:rPr>
        <w:noProof/>
      </w:rPr>
    </w:sdtEndPr>
    <w:sdtContent>
      <w:p w:rsidR="009860CC" w:rsidRDefault="009860CC">
        <w:pPr>
          <w:pStyle w:val="Footer"/>
          <w:jc w:val="center"/>
        </w:pPr>
        <w:r>
          <w:fldChar w:fldCharType="begin"/>
        </w:r>
        <w:r>
          <w:instrText xml:space="preserve"> PAGE   \* MERGEFORMAT </w:instrText>
        </w:r>
        <w:r>
          <w:fldChar w:fldCharType="separate"/>
        </w:r>
        <w:r w:rsidR="009C645A">
          <w:rPr>
            <w:noProof/>
          </w:rPr>
          <w:t>2</w:t>
        </w:r>
        <w:r>
          <w:rPr>
            <w:noProof/>
          </w:rPr>
          <w:fldChar w:fldCharType="end"/>
        </w:r>
      </w:p>
    </w:sdtContent>
  </w:sdt>
  <w:p w:rsidR="009860CC" w:rsidRDefault="0098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0CC" w:rsidRDefault="009860CC" w:rsidP="005B3E3C">
      <w:r>
        <w:separator/>
      </w:r>
    </w:p>
  </w:footnote>
  <w:footnote w:type="continuationSeparator" w:id="0">
    <w:p w:rsidR="009860CC" w:rsidRDefault="009860C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CC" w:rsidRDefault="009860CC"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9860CC" w:rsidRDefault="00986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8"/>
  </w:num>
  <w:num w:numId="4">
    <w:abstractNumId w:val="3"/>
  </w:num>
  <w:num w:numId="5">
    <w:abstractNumId w:val="10"/>
  </w:num>
  <w:num w:numId="6">
    <w:abstractNumId w:val="4"/>
  </w:num>
  <w:num w:numId="7">
    <w:abstractNumId w:val="1"/>
  </w:num>
  <w:num w:numId="8">
    <w:abstractNumId w:val="7"/>
  </w:num>
  <w:num w:numId="9">
    <w:abstractNumId w:val="6"/>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30247"/>
    <w:rsid w:val="00071842"/>
    <w:rsid w:val="000A3A29"/>
    <w:rsid w:val="000A5A07"/>
    <w:rsid w:val="000B420F"/>
    <w:rsid w:val="000E317C"/>
    <w:rsid w:val="001058A7"/>
    <w:rsid w:val="00132602"/>
    <w:rsid w:val="00145747"/>
    <w:rsid w:val="0018367D"/>
    <w:rsid w:val="001A126D"/>
    <w:rsid w:val="001B5873"/>
    <w:rsid w:val="001D0455"/>
    <w:rsid w:val="001D39E4"/>
    <w:rsid w:val="001F303A"/>
    <w:rsid w:val="001F76ED"/>
    <w:rsid w:val="00205245"/>
    <w:rsid w:val="002250DE"/>
    <w:rsid w:val="00227FCE"/>
    <w:rsid w:val="00241A66"/>
    <w:rsid w:val="002619EF"/>
    <w:rsid w:val="00262F0F"/>
    <w:rsid w:val="00267DE0"/>
    <w:rsid w:val="0028206A"/>
    <w:rsid w:val="002821F8"/>
    <w:rsid w:val="00292613"/>
    <w:rsid w:val="002A73E8"/>
    <w:rsid w:val="002C2F97"/>
    <w:rsid w:val="002E6FC6"/>
    <w:rsid w:val="00306AF0"/>
    <w:rsid w:val="003828D4"/>
    <w:rsid w:val="003927AC"/>
    <w:rsid w:val="003971F6"/>
    <w:rsid w:val="003F2AF4"/>
    <w:rsid w:val="003F7366"/>
    <w:rsid w:val="00406DBA"/>
    <w:rsid w:val="004326BB"/>
    <w:rsid w:val="004547E1"/>
    <w:rsid w:val="00456DDE"/>
    <w:rsid w:val="004742D0"/>
    <w:rsid w:val="004F4BBA"/>
    <w:rsid w:val="005233AA"/>
    <w:rsid w:val="00534040"/>
    <w:rsid w:val="00551AD9"/>
    <w:rsid w:val="00551B0F"/>
    <w:rsid w:val="005659FB"/>
    <w:rsid w:val="005B3E3C"/>
    <w:rsid w:val="005C098E"/>
    <w:rsid w:val="005C3FC1"/>
    <w:rsid w:val="005D3499"/>
    <w:rsid w:val="005E2583"/>
    <w:rsid w:val="005E6BC3"/>
    <w:rsid w:val="0061684E"/>
    <w:rsid w:val="00677292"/>
    <w:rsid w:val="006B14EF"/>
    <w:rsid w:val="006E3C3E"/>
    <w:rsid w:val="006F2F62"/>
    <w:rsid w:val="0073522A"/>
    <w:rsid w:val="0077417C"/>
    <w:rsid w:val="007769CD"/>
    <w:rsid w:val="0078032B"/>
    <w:rsid w:val="00781566"/>
    <w:rsid w:val="007930EA"/>
    <w:rsid w:val="007976E7"/>
    <w:rsid w:val="007A2CF0"/>
    <w:rsid w:val="007B02FB"/>
    <w:rsid w:val="007B6D77"/>
    <w:rsid w:val="007E47DF"/>
    <w:rsid w:val="00802701"/>
    <w:rsid w:val="008038A2"/>
    <w:rsid w:val="00811FE8"/>
    <w:rsid w:val="0084720C"/>
    <w:rsid w:val="0086436B"/>
    <w:rsid w:val="00894B97"/>
    <w:rsid w:val="008D50F7"/>
    <w:rsid w:val="00946E6E"/>
    <w:rsid w:val="009860CC"/>
    <w:rsid w:val="009869DE"/>
    <w:rsid w:val="009C645A"/>
    <w:rsid w:val="00A2080F"/>
    <w:rsid w:val="00A674FB"/>
    <w:rsid w:val="00A76C2F"/>
    <w:rsid w:val="00A85311"/>
    <w:rsid w:val="00A86977"/>
    <w:rsid w:val="00AA0C3F"/>
    <w:rsid w:val="00AB3ABC"/>
    <w:rsid w:val="00AC3814"/>
    <w:rsid w:val="00AF0562"/>
    <w:rsid w:val="00AF2B41"/>
    <w:rsid w:val="00B10FB2"/>
    <w:rsid w:val="00B26E1A"/>
    <w:rsid w:val="00B26F2C"/>
    <w:rsid w:val="00B50D5E"/>
    <w:rsid w:val="00BA3B3E"/>
    <w:rsid w:val="00BC152C"/>
    <w:rsid w:val="00BF1919"/>
    <w:rsid w:val="00BF3538"/>
    <w:rsid w:val="00BF5367"/>
    <w:rsid w:val="00C07817"/>
    <w:rsid w:val="00C11AA2"/>
    <w:rsid w:val="00C67635"/>
    <w:rsid w:val="00C71005"/>
    <w:rsid w:val="00C93210"/>
    <w:rsid w:val="00C9409B"/>
    <w:rsid w:val="00D07064"/>
    <w:rsid w:val="00D101CB"/>
    <w:rsid w:val="00D279FC"/>
    <w:rsid w:val="00D352A3"/>
    <w:rsid w:val="00D557DE"/>
    <w:rsid w:val="00D55ADD"/>
    <w:rsid w:val="00D8544F"/>
    <w:rsid w:val="00D870AD"/>
    <w:rsid w:val="00DA0FA6"/>
    <w:rsid w:val="00DB0979"/>
    <w:rsid w:val="00DB161E"/>
    <w:rsid w:val="00DB4A9D"/>
    <w:rsid w:val="00DD33DF"/>
    <w:rsid w:val="00DE1293"/>
    <w:rsid w:val="00DF10CC"/>
    <w:rsid w:val="00E30001"/>
    <w:rsid w:val="00E44E6E"/>
    <w:rsid w:val="00E827C5"/>
    <w:rsid w:val="00EC6923"/>
    <w:rsid w:val="00EE0206"/>
    <w:rsid w:val="00F24EB2"/>
    <w:rsid w:val="00F34FE3"/>
    <w:rsid w:val="00F50721"/>
    <w:rsid w:val="00F50A07"/>
    <w:rsid w:val="00F57119"/>
    <w:rsid w:val="00F77C13"/>
    <w:rsid w:val="00F945DB"/>
    <w:rsid w:val="00FA3993"/>
    <w:rsid w:val="00FA5118"/>
    <w:rsid w:val="00FB35C1"/>
    <w:rsid w:val="00FD151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650692F"/>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C763-34BD-4246-B494-AA7887F2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2018-05-16T07:19:00Z</dcterms:created>
  <dcterms:modified xsi:type="dcterms:W3CDTF">2018-05-16T13:55:00Z</dcterms:modified>
</cp:coreProperties>
</file>