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47" w:rsidRPr="002F149B" w:rsidRDefault="000B2947" w:rsidP="002F149B">
      <w:pPr>
        <w:jc w:val="center"/>
        <w:rPr>
          <w:rFonts w:ascii="Arial" w:hAnsi="Arial" w:cs="Arial"/>
          <w:b/>
          <w:i/>
          <w:color w:val="FF0000"/>
          <w:sz w:val="28"/>
          <w:szCs w:val="28"/>
        </w:rPr>
      </w:pPr>
      <w:r w:rsidRPr="000D759B">
        <w:rPr>
          <w:rFonts w:ascii="Arial" w:hAnsi="Arial" w:cs="Arial"/>
          <w:b/>
          <w:sz w:val="28"/>
          <w:szCs w:val="28"/>
        </w:rPr>
        <w:t xml:space="preserve">Summary of </w:t>
      </w:r>
      <w:r w:rsidRPr="00BE2EFA">
        <w:rPr>
          <w:rFonts w:ascii="Arial" w:hAnsi="Arial" w:cs="Arial"/>
          <w:b/>
          <w:sz w:val="28"/>
          <w:szCs w:val="28"/>
        </w:rPr>
        <w:t xml:space="preserve">Actions from </w:t>
      </w:r>
      <w:r w:rsidR="00AD455C">
        <w:rPr>
          <w:rFonts w:ascii="Arial" w:hAnsi="Arial" w:cs="Arial"/>
          <w:b/>
          <w:sz w:val="28"/>
          <w:szCs w:val="28"/>
        </w:rPr>
        <w:t xml:space="preserve">the </w:t>
      </w:r>
      <w:r w:rsidRPr="00BE2EFA">
        <w:rPr>
          <w:rFonts w:ascii="Arial" w:hAnsi="Arial" w:cs="Arial"/>
          <w:b/>
          <w:sz w:val="28"/>
          <w:szCs w:val="28"/>
        </w:rPr>
        <w:t xml:space="preserve">Board </w:t>
      </w:r>
      <w:r w:rsidR="000B69CF" w:rsidRPr="00BE2EFA">
        <w:rPr>
          <w:rFonts w:ascii="Arial" w:hAnsi="Arial" w:cs="Arial"/>
          <w:b/>
          <w:sz w:val="28"/>
          <w:szCs w:val="28"/>
        </w:rPr>
        <w:t>meeting</w:t>
      </w:r>
      <w:r w:rsidRPr="00BE2EFA">
        <w:rPr>
          <w:rFonts w:ascii="Arial" w:hAnsi="Arial" w:cs="Arial"/>
          <w:b/>
          <w:sz w:val="28"/>
          <w:szCs w:val="28"/>
        </w:rPr>
        <w:t xml:space="preserve"> </w:t>
      </w:r>
      <w:r w:rsidR="00E97685">
        <w:rPr>
          <w:rFonts w:ascii="Arial" w:hAnsi="Arial" w:cs="Arial"/>
          <w:b/>
          <w:sz w:val="28"/>
          <w:szCs w:val="28"/>
        </w:rPr>
        <w:t xml:space="preserve">on </w:t>
      </w:r>
      <w:r w:rsidR="00B675F8">
        <w:rPr>
          <w:rFonts w:ascii="Arial" w:hAnsi="Arial" w:cs="Arial"/>
          <w:b/>
          <w:sz w:val="28"/>
          <w:szCs w:val="28"/>
        </w:rPr>
        <w:t>24 May</w:t>
      </w:r>
      <w:r w:rsidR="006B3E98">
        <w:rPr>
          <w:rFonts w:ascii="Arial" w:hAnsi="Arial" w:cs="Arial"/>
          <w:b/>
          <w:sz w:val="28"/>
          <w:szCs w:val="28"/>
        </w:rPr>
        <w:t xml:space="preserve"> </w:t>
      </w:r>
      <w:r w:rsidR="00FB785F">
        <w:rPr>
          <w:rFonts w:ascii="Arial" w:hAnsi="Arial" w:cs="Arial"/>
          <w:b/>
          <w:sz w:val="28"/>
          <w:szCs w:val="28"/>
        </w:rPr>
        <w:t>2018</w:t>
      </w:r>
    </w:p>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577"/>
        <w:gridCol w:w="3192"/>
      </w:tblGrid>
      <w:tr w:rsidR="000B2947" w:rsidRPr="00D3669C" w:rsidTr="00A112B5">
        <w:trPr>
          <w:trHeight w:val="439"/>
        </w:trPr>
        <w:tc>
          <w:tcPr>
            <w:tcW w:w="2065"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7577"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3192"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813BEA" w:rsidRPr="00E367B7" w:rsidTr="007251C0">
        <w:trPr>
          <w:trHeight w:val="411"/>
        </w:trPr>
        <w:tc>
          <w:tcPr>
            <w:tcW w:w="12834" w:type="dxa"/>
            <w:gridSpan w:val="3"/>
            <w:shd w:val="clear" w:color="auto" w:fill="auto"/>
          </w:tcPr>
          <w:p w:rsidR="00813BEA" w:rsidRPr="00813BEA" w:rsidRDefault="003B6864" w:rsidP="00813BEA">
            <w:pPr>
              <w:keepNext/>
              <w:keepLines/>
              <w:rPr>
                <w:rFonts w:ascii="Arial" w:hAnsi="Arial" w:cs="Arial"/>
                <w:b/>
                <w:sz w:val="24"/>
                <w:szCs w:val="24"/>
              </w:rPr>
            </w:pPr>
            <w:r>
              <w:rPr>
                <w:rFonts w:ascii="Arial" w:hAnsi="Arial" w:cs="Arial"/>
                <w:b/>
                <w:sz w:val="24"/>
                <w:szCs w:val="24"/>
              </w:rPr>
              <w:t>Actions from the meeting on 24 May 2018</w:t>
            </w:r>
          </w:p>
        </w:tc>
      </w:tr>
      <w:tr w:rsidR="003B6864" w:rsidRPr="00E367B7" w:rsidTr="00A112B5">
        <w:trPr>
          <w:trHeight w:val="411"/>
        </w:trPr>
        <w:tc>
          <w:tcPr>
            <w:tcW w:w="2065" w:type="dxa"/>
            <w:shd w:val="clear" w:color="auto" w:fill="auto"/>
          </w:tcPr>
          <w:p w:rsidR="00BD43BF" w:rsidRDefault="00BD43BF" w:rsidP="00813BEA">
            <w:pPr>
              <w:keepNext/>
              <w:keepLines/>
              <w:jc w:val="center"/>
              <w:rPr>
                <w:rFonts w:ascii="Arial" w:hAnsi="Arial" w:cs="Arial"/>
                <w:sz w:val="24"/>
                <w:szCs w:val="24"/>
              </w:rPr>
            </w:pPr>
          </w:p>
          <w:p w:rsidR="003B6864" w:rsidRPr="00813BEA" w:rsidRDefault="00BD43BF" w:rsidP="00813BEA">
            <w:pPr>
              <w:keepNext/>
              <w:keepLines/>
              <w:jc w:val="center"/>
              <w:rPr>
                <w:rFonts w:ascii="Arial" w:hAnsi="Arial" w:cs="Arial"/>
                <w:sz w:val="24"/>
                <w:szCs w:val="24"/>
              </w:rPr>
            </w:pPr>
            <w:r>
              <w:rPr>
                <w:rFonts w:ascii="Arial" w:hAnsi="Arial" w:cs="Arial"/>
                <w:sz w:val="24"/>
                <w:szCs w:val="24"/>
              </w:rPr>
              <w:t>BOD 82/18</w:t>
            </w:r>
            <w:r w:rsidR="00FA7B4C">
              <w:rPr>
                <w:rFonts w:ascii="Arial" w:hAnsi="Arial" w:cs="Arial"/>
                <w:sz w:val="24"/>
                <w:szCs w:val="24"/>
              </w:rPr>
              <w:t xml:space="preserve"> </w:t>
            </w:r>
            <w:r>
              <w:rPr>
                <w:rFonts w:ascii="Arial" w:hAnsi="Arial" w:cs="Arial"/>
                <w:sz w:val="24"/>
                <w:szCs w:val="24"/>
              </w:rPr>
              <w:t>(b)</w:t>
            </w:r>
          </w:p>
        </w:tc>
        <w:tc>
          <w:tcPr>
            <w:tcW w:w="7577" w:type="dxa"/>
          </w:tcPr>
          <w:p w:rsidR="003B6864" w:rsidRDefault="00BD43BF" w:rsidP="00813BEA">
            <w:pPr>
              <w:tabs>
                <w:tab w:val="num" w:pos="426"/>
              </w:tabs>
              <w:jc w:val="both"/>
              <w:rPr>
                <w:rFonts w:ascii="Arial" w:hAnsi="Arial" w:cs="Arial"/>
                <w:sz w:val="24"/>
                <w:szCs w:val="24"/>
              </w:rPr>
            </w:pPr>
            <w:r w:rsidRPr="00BD43BF">
              <w:rPr>
                <w:rFonts w:ascii="Arial" w:hAnsi="Arial" w:cs="Arial"/>
                <w:b/>
                <w:sz w:val="24"/>
                <w:szCs w:val="24"/>
              </w:rPr>
              <w:t>Care Quality Commission (CQC) Oxfordshire local system action plan</w:t>
            </w:r>
          </w:p>
          <w:p w:rsidR="00BD43BF" w:rsidRDefault="00BD43BF" w:rsidP="00813BEA">
            <w:pPr>
              <w:tabs>
                <w:tab w:val="num" w:pos="426"/>
              </w:tabs>
              <w:jc w:val="both"/>
              <w:rPr>
                <w:rFonts w:ascii="Arial" w:hAnsi="Arial" w:cs="Arial"/>
                <w:sz w:val="24"/>
                <w:szCs w:val="24"/>
              </w:rPr>
            </w:pPr>
            <w:r w:rsidRPr="00BD43BF">
              <w:rPr>
                <w:rFonts w:ascii="Arial" w:hAnsi="Arial" w:cs="Arial"/>
                <w:sz w:val="24"/>
                <w:szCs w:val="24"/>
              </w:rPr>
              <w:t xml:space="preserve">The Trust Chair noted that it would be useful to report progress back to the next Board meeting and that thereafter review of the CQC Oxfordshire local system action plan could be through the Quality Committee.  </w:t>
            </w:r>
          </w:p>
          <w:p w:rsidR="00FA7B4C" w:rsidRPr="00BD43BF" w:rsidRDefault="00FA7B4C" w:rsidP="00813BEA">
            <w:pPr>
              <w:tabs>
                <w:tab w:val="num" w:pos="426"/>
              </w:tabs>
              <w:jc w:val="both"/>
              <w:rPr>
                <w:rFonts w:ascii="Arial" w:hAnsi="Arial" w:cs="Arial"/>
                <w:sz w:val="24"/>
                <w:szCs w:val="24"/>
              </w:rPr>
            </w:pPr>
            <w:r w:rsidRPr="00813BEA">
              <w:rPr>
                <w:rFonts w:ascii="Arial" w:hAnsi="Arial" w:cs="Arial"/>
                <w:b/>
                <w:bCs/>
                <w:i/>
                <w:color w:val="FF0000"/>
                <w:sz w:val="24"/>
                <w:szCs w:val="24"/>
              </w:rPr>
              <w:t>Status:</w:t>
            </w:r>
            <w:r>
              <w:rPr>
                <w:rFonts w:ascii="Arial" w:hAnsi="Arial" w:cs="Arial"/>
                <w:b/>
                <w:bCs/>
                <w:i/>
                <w:color w:val="FF0000"/>
                <w:sz w:val="24"/>
                <w:szCs w:val="24"/>
              </w:rPr>
              <w:t xml:space="preserve"> tbc in meeting</w:t>
            </w:r>
          </w:p>
        </w:tc>
        <w:tc>
          <w:tcPr>
            <w:tcW w:w="3192" w:type="dxa"/>
            <w:shd w:val="clear" w:color="auto" w:fill="auto"/>
          </w:tcPr>
          <w:p w:rsidR="003B6864" w:rsidRDefault="003B6864" w:rsidP="00813BEA">
            <w:pPr>
              <w:keepNext/>
              <w:keepLines/>
              <w:jc w:val="center"/>
              <w:rPr>
                <w:rFonts w:ascii="Arial" w:hAnsi="Arial" w:cs="Arial"/>
                <w:sz w:val="24"/>
                <w:szCs w:val="24"/>
              </w:rPr>
            </w:pPr>
          </w:p>
          <w:p w:rsidR="00BD43BF" w:rsidRPr="00813BEA" w:rsidRDefault="00BD43BF" w:rsidP="00813BEA">
            <w:pPr>
              <w:keepNext/>
              <w:keepLines/>
              <w:jc w:val="center"/>
              <w:rPr>
                <w:rFonts w:ascii="Arial" w:hAnsi="Arial" w:cs="Arial"/>
                <w:sz w:val="24"/>
                <w:szCs w:val="24"/>
              </w:rPr>
            </w:pPr>
            <w:r>
              <w:rPr>
                <w:rFonts w:ascii="Arial" w:hAnsi="Arial" w:cs="Arial"/>
                <w:sz w:val="24"/>
                <w:szCs w:val="24"/>
              </w:rPr>
              <w:t>DH</w:t>
            </w:r>
          </w:p>
        </w:tc>
      </w:tr>
      <w:tr w:rsidR="003B6864" w:rsidRPr="00E367B7" w:rsidTr="003B6864">
        <w:trPr>
          <w:trHeight w:val="411"/>
        </w:trPr>
        <w:tc>
          <w:tcPr>
            <w:tcW w:w="2065" w:type="dxa"/>
            <w:tcBorders>
              <w:bottom w:val="single" w:sz="4" w:space="0" w:color="auto"/>
            </w:tcBorders>
            <w:shd w:val="clear" w:color="auto" w:fill="auto"/>
          </w:tcPr>
          <w:p w:rsidR="003B6864" w:rsidRDefault="003B6864" w:rsidP="00813BEA">
            <w:pPr>
              <w:keepNext/>
              <w:keepLines/>
              <w:jc w:val="center"/>
              <w:rPr>
                <w:rFonts w:ascii="Arial" w:hAnsi="Arial" w:cs="Arial"/>
                <w:sz w:val="24"/>
                <w:szCs w:val="24"/>
              </w:rPr>
            </w:pPr>
          </w:p>
          <w:p w:rsidR="00FA7B4C" w:rsidRPr="00813BEA" w:rsidRDefault="00FA7B4C" w:rsidP="00813BEA">
            <w:pPr>
              <w:keepNext/>
              <w:keepLines/>
              <w:jc w:val="center"/>
              <w:rPr>
                <w:rFonts w:ascii="Arial" w:hAnsi="Arial" w:cs="Arial"/>
                <w:sz w:val="24"/>
                <w:szCs w:val="24"/>
              </w:rPr>
            </w:pPr>
            <w:r>
              <w:rPr>
                <w:rFonts w:ascii="Arial" w:hAnsi="Arial" w:cs="Arial"/>
                <w:sz w:val="24"/>
                <w:szCs w:val="24"/>
              </w:rPr>
              <w:t>BOD 83/18 (b)</w:t>
            </w:r>
          </w:p>
        </w:tc>
        <w:tc>
          <w:tcPr>
            <w:tcW w:w="7577" w:type="dxa"/>
            <w:tcBorders>
              <w:bottom w:val="single" w:sz="4" w:space="0" w:color="auto"/>
            </w:tcBorders>
          </w:tcPr>
          <w:p w:rsidR="003B6864" w:rsidRDefault="00FA7B4C" w:rsidP="00813BEA">
            <w:pPr>
              <w:tabs>
                <w:tab w:val="num" w:pos="426"/>
              </w:tabs>
              <w:jc w:val="both"/>
              <w:rPr>
                <w:rFonts w:ascii="Arial" w:hAnsi="Arial" w:cs="Arial"/>
                <w:sz w:val="24"/>
                <w:szCs w:val="24"/>
              </w:rPr>
            </w:pPr>
            <w:r>
              <w:rPr>
                <w:rFonts w:ascii="Arial" w:hAnsi="Arial" w:cs="Arial"/>
                <w:b/>
                <w:sz w:val="24"/>
                <w:szCs w:val="24"/>
              </w:rPr>
              <w:t>Trust Annual Report 2017/18</w:t>
            </w:r>
          </w:p>
          <w:p w:rsidR="00FA7B4C" w:rsidRDefault="00FA7B4C" w:rsidP="00813BEA">
            <w:pPr>
              <w:tabs>
                <w:tab w:val="num" w:pos="426"/>
              </w:tabs>
              <w:jc w:val="both"/>
              <w:rPr>
                <w:rFonts w:ascii="Arial" w:hAnsi="Arial" w:cs="Arial"/>
                <w:sz w:val="24"/>
                <w:szCs w:val="24"/>
              </w:rPr>
            </w:pPr>
            <w:r>
              <w:rPr>
                <w:rFonts w:ascii="Arial" w:hAnsi="Arial" w:cs="Arial"/>
                <w:sz w:val="24"/>
                <w:szCs w:val="24"/>
              </w:rPr>
              <w:t xml:space="preserve">To circulate copies of final version after the meeting. </w:t>
            </w:r>
          </w:p>
          <w:p w:rsidR="00FA7B4C" w:rsidRPr="00FA7B4C" w:rsidRDefault="00FA7B4C" w:rsidP="00813BEA">
            <w:pPr>
              <w:tabs>
                <w:tab w:val="num" w:pos="426"/>
              </w:tabs>
              <w:jc w:val="both"/>
              <w:rPr>
                <w:rFonts w:ascii="Arial" w:hAnsi="Arial" w:cs="Arial"/>
                <w:sz w:val="24"/>
                <w:szCs w:val="24"/>
              </w:rPr>
            </w:pPr>
            <w:r w:rsidRPr="00813BEA">
              <w:rPr>
                <w:rFonts w:ascii="Arial" w:hAnsi="Arial" w:cs="Arial"/>
                <w:b/>
                <w:bCs/>
                <w:i/>
                <w:color w:val="FF0000"/>
                <w:sz w:val="24"/>
                <w:szCs w:val="24"/>
              </w:rPr>
              <w:t>Status:</w:t>
            </w:r>
            <w:r>
              <w:rPr>
                <w:rFonts w:ascii="Arial" w:hAnsi="Arial" w:cs="Arial"/>
                <w:b/>
                <w:bCs/>
                <w:i/>
                <w:color w:val="FF0000"/>
                <w:sz w:val="24"/>
                <w:szCs w:val="24"/>
              </w:rPr>
              <w:t xml:space="preserve"> complete</w:t>
            </w:r>
          </w:p>
        </w:tc>
        <w:tc>
          <w:tcPr>
            <w:tcW w:w="3192" w:type="dxa"/>
            <w:tcBorders>
              <w:bottom w:val="single" w:sz="4" w:space="0" w:color="auto"/>
            </w:tcBorders>
            <w:shd w:val="clear" w:color="auto" w:fill="auto"/>
          </w:tcPr>
          <w:p w:rsidR="003B6864" w:rsidRDefault="003B6864" w:rsidP="00813BEA">
            <w:pPr>
              <w:keepNext/>
              <w:keepLines/>
              <w:jc w:val="center"/>
              <w:rPr>
                <w:rFonts w:ascii="Arial" w:hAnsi="Arial" w:cs="Arial"/>
                <w:sz w:val="24"/>
                <w:szCs w:val="24"/>
              </w:rPr>
            </w:pPr>
          </w:p>
          <w:p w:rsidR="00FA7B4C" w:rsidRPr="00813BEA" w:rsidRDefault="00FA7B4C" w:rsidP="00813BEA">
            <w:pPr>
              <w:keepNext/>
              <w:keepLines/>
              <w:jc w:val="center"/>
              <w:rPr>
                <w:rFonts w:ascii="Arial" w:hAnsi="Arial" w:cs="Arial"/>
                <w:sz w:val="24"/>
                <w:szCs w:val="24"/>
              </w:rPr>
            </w:pPr>
            <w:r>
              <w:rPr>
                <w:rFonts w:ascii="Arial" w:hAnsi="Arial" w:cs="Arial"/>
                <w:sz w:val="24"/>
                <w:szCs w:val="24"/>
              </w:rPr>
              <w:t>HS</w:t>
            </w:r>
          </w:p>
        </w:tc>
      </w:tr>
      <w:tr w:rsidR="00B00A0C" w:rsidRPr="00E367B7" w:rsidTr="003B6864">
        <w:trPr>
          <w:trHeight w:val="411"/>
        </w:trPr>
        <w:tc>
          <w:tcPr>
            <w:tcW w:w="2065" w:type="dxa"/>
            <w:tcBorders>
              <w:bottom w:val="single" w:sz="4" w:space="0" w:color="auto"/>
            </w:tcBorders>
            <w:shd w:val="clear" w:color="auto" w:fill="auto"/>
          </w:tcPr>
          <w:p w:rsidR="00B00A0C" w:rsidRDefault="00B00A0C" w:rsidP="00813BEA">
            <w:pPr>
              <w:keepNext/>
              <w:keepLines/>
              <w:jc w:val="center"/>
              <w:rPr>
                <w:rFonts w:ascii="Arial" w:hAnsi="Arial" w:cs="Arial"/>
                <w:sz w:val="24"/>
                <w:szCs w:val="24"/>
              </w:rPr>
            </w:pPr>
          </w:p>
          <w:p w:rsidR="0012558F" w:rsidRPr="00813BEA" w:rsidRDefault="0012558F" w:rsidP="00813BEA">
            <w:pPr>
              <w:keepNext/>
              <w:keepLines/>
              <w:jc w:val="center"/>
              <w:rPr>
                <w:rFonts w:ascii="Arial" w:hAnsi="Arial" w:cs="Arial"/>
                <w:sz w:val="24"/>
                <w:szCs w:val="24"/>
              </w:rPr>
            </w:pPr>
            <w:r>
              <w:rPr>
                <w:rFonts w:ascii="Arial" w:hAnsi="Arial" w:cs="Arial"/>
                <w:sz w:val="24"/>
                <w:szCs w:val="24"/>
              </w:rPr>
              <w:t>BOD 84/18 (k)</w:t>
            </w:r>
          </w:p>
        </w:tc>
        <w:tc>
          <w:tcPr>
            <w:tcW w:w="7577" w:type="dxa"/>
            <w:tcBorders>
              <w:bottom w:val="single" w:sz="4" w:space="0" w:color="auto"/>
            </w:tcBorders>
          </w:tcPr>
          <w:p w:rsidR="00B00A0C" w:rsidRDefault="0012558F" w:rsidP="00813BEA">
            <w:pPr>
              <w:tabs>
                <w:tab w:val="num" w:pos="426"/>
              </w:tabs>
              <w:jc w:val="both"/>
              <w:rPr>
                <w:rFonts w:ascii="Arial" w:hAnsi="Arial" w:cs="Arial"/>
                <w:sz w:val="24"/>
                <w:szCs w:val="24"/>
              </w:rPr>
            </w:pPr>
            <w:r>
              <w:rPr>
                <w:rFonts w:ascii="Arial" w:hAnsi="Arial" w:cs="Arial"/>
                <w:b/>
                <w:sz w:val="24"/>
                <w:szCs w:val="24"/>
              </w:rPr>
              <w:t xml:space="preserve">Board Strategy session </w:t>
            </w:r>
          </w:p>
          <w:p w:rsidR="0012558F" w:rsidRDefault="0012558F" w:rsidP="00813BEA">
            <w:pPr>
              <w:tabs>
                <w:tab w:val="num" w:pos="426"/>
              </w:tabs>
              <w:jc w:val="both"/>
              <w:rPr>
                <w:rFonts w:ascii="Arial" w:hAnsi="Arial" w:cs="Arial"/>
                <w:sz w:val="24"/>
                <w:szCs w:val="24"/>
              </w:rPr>
            </w:pPr>
            <w:r>
              <w:rPr>
                <w:rFonts w:ascii="Arial" w:hAnsi="Arial" w:cs="Arial"/>
                <w:sz w:val="24"/>
                <w:szCs w:val="24"/>
              </w:rPr>
              <w:t xml:space="preserve">To invite </w:t>
            </w:r>
            <w:r w:rsidRPr="0012558F">
              <w:rPr>
                <w:rFonts w:ascii="Arial" w:hAnsi="Arial" w:cs="Arial"/>
                <w:sz w:val="24"/>
                <w:szCs w:val="24"/>
              </w:rPr>
              <w:t xml:space="preserve">Fiona Wise, Executive Lead of the BOB STP, to attend a future strategy session.  </w:t>
            </w:r>
          </w:p>
          <w:p w:rsidR="0012558F" w:rsidRDefault="0012558F" w:rsidP="00813BEA">
            <w:pPr>
              <w:tabs>
                <w:tab w:val="num" w:pos="426"/>
              </w:tabs>
              <w:jc w:val="both"/>
              <w:rPr>
                <w:rFonts w:ascii="Arial" w:hAnsi="Arial" w:cs="Arial"/>
                <w:b/>
                <w:bCs/>
                <w:i/>
                <w:color w:val="FF0000"/>
                <w:sz w:val="24"/>
                <w:szCs w:val="24"/>
              </w:rPr>
            </w:pPr>
            <w:r w:rsidRPr="00813BEA">
              <w:rPr>
                <w:rFonts w:ascii="Arial" w:hAnsi="Arial" w:cs="Arial"/>
                <w:b/>
                <w:bCs/>
                <w:i/>
                <w:color w:val="FF0000"/>
                <w:sz w:val="24"/>
                <w:szCs w:val="24"/>
              </w:rPr>
              <w:t>Status:</w:t>
            </w:r>
            <w:r>
              <w:rPr>
                <w:rFonts w:ascii="Arial" w:hAnsi="Arial" w:cs="Arial"/>
                <w:b/>
                <w:bCs/>
                <w:i/>
                <w:color w:val="FF0000"/>
                <w:sz w:val="24"/>
                <w:szCs w:val="24"/>
              </w:rPr>
              <w:t xml:space="preserve"> tbc in meeting</w:t>
            </w:r>
          </w:p>
          <w:p w:rsidR="00210C13" w:rsidRPr="0012558F" w:rsidRDefault="00210C13" w:rsidP="00813BEA">
            <w:pPr>
              <w:tabs>
                <w:tab w:val="num" w:pos="426"/>
              </w:tabs>
              <w:jc w:val="both"/>
              <w:rPr>
                <w:rFonts w:ascii="Arial" w:hAnsi="Arial" w:cs="Arial"/>
                <w:sz w:val="24"/>
                <w:szCs w:val="24"/>
              </w:rPr>
            </w:pPr>
          </w:p>
        </w:tc>
        <w:tc>
          <w:tcPr>
            <w:tcW w:w="3192" w:type="dxa"/>
            <w:tcBorders>
              <w:bottom w:val="single" w:sz="4" w:space="0" w:color="auto"/>
            </w:tcBorders>
            <w:shd w:val="clear" w:color="auto" w:fill="auto"/>
          </w:tcPr>
          <w:p w:rsidR="00B00A0C" w:rsidRDefault="00B00A0C" w:rsidP="00813BEA">
            <w:pPr>
              <w:keepNext/>
              <w:keepLines/>
              <w:jc w:val="center"/>
              <w:rPr>
                <w:rFonts w:ascii="Arial" w:hAnsi="Arial" w:cs="Arial"/>
                <w:sz w:val="24"/>
                <w:szCs w:val="24"/>
              </w:rPr>
            </w:pPr>
          </w:p>
          <w:p w:rsidR="0012558F" w:rsidRPr="00813BEA" w:rsidRDefault="0012558F" w:rsidP="00813BEA">
            <w:pPr>
              <w:keepNext/>
              <w:keepLines/>
              <w:jc w:val="center"/>
              <w:rPr>
                <w:rFonts w:ascii="Arial" w:hAnsi="Arial" w:cs="Arial"/>
                <w:sz w:val="24"/>
                <w:szCs w:val="24"/>
              </w:rPr>
            </w:pPr>
            <w:r>
              <w:rPr>
                <w:rFonts w:ascii="Arial" w:hAnsi="Arial" w:cs="Arial"/>
                <w:sz w:val="24"/>
                <w:szCs w:val="24"/>
              </w:rPr>
              <w:t>MW</w:t>
            </w:r>
          </w:p>
        </w:tc>
      </w:tr>
      <w:tr w:rsidR="00B00A0C" w:rsidRPr="00E367B7" w:rsidTr="003B6864">
        <w:trPr>
          <w:trHeight w:val="411"/>
        </w:trPr>
        <w:tc>
          <w:tcPr>
            <w:tcW w:w="2065" w:type="dxa"/>
            <w:tcBorders>
              <w:bottom w:val="single" w:sz="4" w:space="0" w:color="auto"/>
            </w:tcBorders>
            <w:shd w:val="clear" w:color="auto" w:fill="auto"/>
          </w:tcPr>
          <w:p w:rsidR="00B00A0C" w:rsidRDefault="00B00A0C" w:rsidP="00813BEA">
            <w:pPr>
              <w:keepNext/>
              <w:keepLines/>
              <w:jc w:val="center"/>
              <w:rPr>
                <w:rFonts w:ascii="Arial" w:hAnsi="Arial" w:cs="Arial"/>
                <w:sz w:val="24"/>
                <w:szCs w:val="24"/>
              </w:rPr>
            </w:pPr>
          </w:p>
          <w:p w:rsidR="00210C13" w:rsidRPr="00813BEA" w:rsidRDefault="00210C13" w:rsidP="00813BEA">
            <w:pPr>
              <w:keepNext/>
              <w:keepLines/>
              <w:jc w:val="center"/>
              <w:rPr>
                <w:rFonts w:ascii="Arial" w:hAnsi="Arial" w:cs="Arial"/>
                <w:sz w:val="24"/>
                <w:szCs w:val="24"/>
              </w:rPr>
            </w:pPr>
            <w:r>
              <w:rPr>
                <w:rFonts w:ascii="Arial" w:hAnsi="Arial" w:cs="Arial"/>
                <w:sz w:val="24"/>
                <w:szCs w:val="24"/>
              </w:rPr>
              <w:t>BOD 87/18 (h)-(</w:t>
            </w:r>
            <w:proofErr w:type="spellStart"/>
            <w:r>
              <w:rPr>
                <w:rFonts w:ascii="Arial" w:hAnsi="Arial" w:cs="Arial"/>
                <w:sz w:val="24"/>
                <w:szCs w:val="24"/>
              </w:rPr>
              <w:t>i</w:t>
            </w:r>
            <w:proofErr w:type="spellEnd"/>
            <w:r>
              <w:rPr>
                <w:rFonts w:ascii="Arial" w:hAnsi="Arial" w:cs="Arial"/>
                <w:sz w:val="24"/>
                <w:szCs w:val="24"/>
              </w:rPr>
              <w:t>)</w:t>
            </w:r>
          </w:p>
        </w:tc>
        <w:tc>
          <w:tcPr>
            <w:tcW w:w="7577" w:type="dxa"/>
            <w:tcBorders>
              <w:bottom w:val="single" w:sz="4" w:space="0" w:color="auto"/>
            </w:tcBorders>
          </w:tcPr>
          <w:p w:rsidR="00B00A0C" w:rsidRDefault="00210C13" w:rsidP="00813BEA">
            <w:pPr>
              <w:tabs>
                <w:tab w:val="num" w:pos="426"/>
              </w:tabs>
              <w:jc w:val="both"/>
              <w:rPr>
                <w:rFonts w:ascii="Arial" w:hAnsi="Arial" w:cs="Arial"/>
                <w:sz w:val="24"/>
                <w:szCs w:val="24"/>
              </w:rPr>
            </w:pPr>
            <w:r>
              <w:rPr>
                <w:rFonts w:ascii="Arial" w:hAnsi="Arial" w:cs="Arial"/>
                <w:b/>
                <w:sz w:val="24"/>
                <w:szCs w:val="24"/>
              </w:rPr>
              <w:t>Performance Report</w:t>
            </w:r>
          </w:p>
          <w:p w:rsidR="00210C13" w:rsidRDefault="00210C13" w:rsidP="00813BEA">
            <w:pPr>
              <w:tabs>
                <w:tab w:val="num" w:pos="426"/>
              </w:tabs>
              <w:jc w:val="both"/>
              <w:rPr>
                <w:rFonts w:ascii="Arial" w:hAnsi="Arial" w:cs="Arial"/>
                <w:sz w:val="24"/>
                <w:szCs w:val="24"/>
              </w:rPr>
            </w:pPr>
            <w:r>
              <w:rPr>
                <w:rFonts w:ascii="Arial" w:hAnsi="Arial" w:cs="Arial"/>
                <w:sz w:val="24"/>
                <w:szCs w:val="24"/>
              </w:rPr>
              <w:t>Future reporting to:</w:t>
            </w:r>
          </w:p>
          <w:p w:rsidR="00210C13" w:rsidRDefault="00210C13" w:rsidP="00210C13">
            <w:pPr>
              <w:pStyle w:val="ListParagraph"/>
              <w:numPr>
                <w:ilvl w:val="0"/>
                <w:numId w:val="18"/>
              </w:numPr>
              <w:tabs>
                <w:tab w:val="num" w:pos="426"/>
              </w:tabs>
              <w:jc w:val="both"/>
              <w:rPr>
                <w:rFonts w:ascii="Arial" w:hAnsi="Arial" w:cs="Arial"/>
                <w:sz w:val="24"/>
                <w:szCs w:val="24"/>
              </w:rPr>
            </w:pPr>
            <w:r w:rsidRPr="00210C13">
              <w:rPr>
                <w:rFonts w:ascii="Arial" w:hAnsi="Arial" w:cs="Arial"/>
                <w:sz w:val="24"/>
                <w:szCs w:val="24"/>
              </w:rPr>
              <w:t>confirm whether issues had been able to be closed and to set out which issues may be ongoing and intractable</w:t>
            </w:r>
            <w:r>
              <w:rPr>
                <w:rFonts w:ascii="Arial" w:hAnsi="Arial" w:cs="Arial"/>
                <w:sz w:val="24"/>
                <w:szCs w:val="24"/>
              </w:rPr>
              <w:t xml:space="preserve">; and </w:t>
            </w:r>
          </w:p>
          <w:p w:rsidR="00210C13" w:rsidRDefault="00210C13" w:rsidP="00210C13">
            <w:pPr>
              <w:pStyle w:val="ListParagraph"/>
              <w:numPr>
                <w:ilvl w:val="0"/>
                <w:numId w:val="18"/>
              </w:numPr>
              <w:tabs>
                <w:tab w:val="num" w:pos="426"/>
              </w:tabs>
              <w:jc w:val="both"/>
              <w:rPr>
                <w:rFonts w:ascii="Arial" w:hAnsi="Arial" w:cs="Arial"/>
                <w:sz w:val="24"/>
                <w:szCs w:val="24"/>
              </w:rPr>
            </w:pPr>
            <w:r>
              <w:rPr>
                <w:rFonts w:ascii="Arial" w:hAnsi="Arial" w:cs="Arial"/>
                <w:sz w:val="24"/>
                <w:szCs w:val="24"/>
              </w:rPr>
              <w:t xml:space="preserve">check the flagging system used, </w:t>
            </w:r>
            <w:r w:rsidRPr="00210C13">
              <w:rPr>
                <w:rFonts w:ascii="Arial" w:hAnsi="Arial" w:cs="Arial"/>
                <w:sz w:val="24"/>
                <w:szCs w:val="24"/>
              </w:rPr>
              <w:t xml:space="preserve">especially in the section on Adults where some red-rated indicators had been reported against green flags which rendered the overall message potentially unclear.  </w:t>
            </w:r>
          </w:p>
          <w:p w:rsidR="00200C06" w:rsidRPr="00200C06" w:rsidRDefault="00200C06" w:rsidP="00200C06">
            <w:pPr>
              <w:tabs>
                <w:tab w:val="num" w:pos="426"/>
              </w:tabs>
              <w:jc w:val="both"/>
              <w:rPr>
                <w:rFonts w:ascii="Arial" w:hAnsi="Arial" w:cs="Arial"/>
                <w:b/>
                <w:bCs/>
                <w:i/>
                <w:color w:val="FF0000"/>
                <w:sz w:val="24"/>
                <w:szCs w:val="24"/>
              </w:rPr>
            </w:pPr>
            <w:r w:rsidRPr="00813BEA">
              <w:rPr>
                <w:rFonts w:ascii="Arial" w:hAnsi="Arial" w:cs="Arial"/>
                <w:b/>
                <w:bCs/>
                <w:i/>
                <w:color w:val="FF0000"/>
                <w:sz w:val="24"/>
                <w:szCs w:val="24"/>
              </w:rPr>
              <w:t>Status:</w:t>
            </w:r>
            <w:r>
              <w:rPr>
                <w:rFonts w:ascii="Arial" w:hAnsi="Arial" w:cs="Arial"/>
                <w:b/>
                <w:bCs/>
                <w:i/>
                <w:color w:val="FF0000"/>
                <w:sz w:val="24"/>
                <w:szCs w:val="24"/>
              </w:rPr>
              <w:t xml:space="preserve"> </w:t>
            </w:r>
            <w:r>
              <w:rPr>
                <w:rFonts w:ascii="Arial" w:hAnsi="Arial" w:cs="Arial"/>
                <w:b/>
                <w:bCs/>
                <w:i/>
                <w:color w:val="FF0000"/>
                <w:sz w:val="24"/>
                <w:szCs w:val="24"/>
              </w:rPr>
              <w:t>in progress/on the agenda</w:t>
            </w:r>
          </w:p>
        </w:tc>
        <w:tc>
          <w:tcPr>
            <w:tcW w:w="3192" w:type="dxa"/>
            <w:tcBorders>
              <w:bottom w:val="single" w:sz="4" w:space="0" w:color="auto"/>
            </w:tcBorders>
            <w:shd w:val="clear" w:color="auto" w:fill="auto"/>
          </w:tcPr>
          <w:p w:rsidR="00B00A0C" w:rsidRDefault="00B00A0C" w:rsidP="00813BEA">
            <w:pPr>
              <w:keepNext/>
              <w:keepLines/>
              <w:jc w:val="center"/>
              <w:rPr>
                <w:rFonts w:ascii="Arial" w:hAnsi="Arial" w:cs="Arial"/>
                <w:sz w:val="24"/>
                <w:szCs w:val="24"/>
              </w:rPr>
            </w:pPr>
          </w:p>
          <w:p w:rsidR="00210C13" w:rsidRPr="00813BEA" w:rsidRDefault="00210C13" w:rsidP="00813BEA">
            <w:pPr>
              <w:keepNext/>
              <w:keepLines/>
              <w:jc w:val="center"/>
              <w:rPr>
                <w:rFonts w:ascii="Arial" w:hAnsi="Arial" w:cs="Arial"/>
                <w:sz w:val="24"/>
                <w:szCs w:val="24"/>
              </w:rPr>
            </w:pPr>
            <w:r>
              <w:rPr>
                <w:rFonts w:ascii="Arial" w:hAnsi="Arial" w:cs="Arial"/>
                <w:sz w:val="24"/>
                <w:szCs w:val="24"/>
              </w:rPr>
              <w:t>MW</w:t>
            </w:r>
          </w:p>
        </w:tc>
      </w:tr>
      <w:tr w:rsidR="00B00A0C" w:rsidRPr="00E367B7" w:rsidTr="003B6864">
        <w:trPr>
          <w:trHeight w:val="411"/>
        </w:trPr>
        <w:tc>
          <w:tcPr>
            <w:tcW w:w="2065" w:type="dxa"/>
            <w:tcBorders>
              <w:bottom w:val="single" w:sz="4" w:space="0" w:color="auto"/>
            </w:tcBorders>
            <w:shd w:val="clear" w:color="auto" w:fill="auto"/>
          </w:tcPr>
          <w:p w:rsidR="00B00A0C" w:rsidRDefault="00B00A0C" w:rsidP="00813BEA">
            <w:pPr>
              <w:keepNext/>
              <w:keepLines/>
              <w:jc w:val="center"/>
              <w:rPr>
                <w:rFonts w:ascii="Arial" w:hAnsi="Arial" w:cs="Arial"/>
                <w:sz w:val="24"/>
                <w:szCs w:val="24"/>
              </w:rPr>
            </w:pPr>
          </w:p>
          <w:p w:rsidR="00200C06" w:rsidRPr="00813BEA" w:rsidRDefault="00200C06" w:rsidP="00813BEA">
            <w:pPr>
              <w:keepNext/>
              <w:keepLines/>
              <w:jc w:val="center"/>
              <w:rPr>
                <w:rFonts w:ascii="Arial" w:hAnsi="Arial" w:cs="Arial"/>
                <w:sz w:val="24"/>
                <w:szCs w:val="24"/>
              </w:rPr>
            </w:pPr>
            <w:r>
              <w:rPr>
                <w:rFonts w:ascii="Arial" w:hAnsi="Arial" w:cs="Arial"/>
                <w:sz w:val="24"/>
                <w:szCs w:val="24"/>
              </w:rPr>
              <w:t>BOD 88/18 (d)</w:t>
            </w:r>
          </w:p>
        </w:tc>
        <w:tc>
          <w:tcPr>
            <w:tcW w:w="7577" w:type="dxa"/>
            <w:tcBorders>
              <w:bottom w:val="single" w:sz="4" w:space="0" w:color="auto"/>
            </w:tcBorders>
          </w:tcPr>
          <w:p w:rsidR="00B00A0C" w:rsidRDefault="00200C06" w:rsidP="00813BEA">
            <w:pPr>
              <w:tabs>
                <w:tab w:val="num" w:pos="426"/>
              </w:tabs>
              <w:jc w:val="both"/>
              <w:rPr>
                <w:rFonts w:ascii="Arial" w:hAnsi="Arial" w:cs="Arial"/>
                <w:sz w:val="24"/>
                <w:szCs w:val="24"/>
              </w:rPr>
            </w:pPr>
            <w:r>
              <w:rPr>
                <w:rFonts w:ascii="Arial" w:hAnsi="Arial" w:cs="Arial"/>
                <w:b/>
                <w:sz w:val="24"/>
                <w:szCs w:val="24"/>
              </w:rPr>
              <w:t>Service line reporting to include Learning &amp; Development data such as training levels and appraisal/PDR completion rates</w:t>
            </w:r>
          </w:p>
          <w:p w:rsidR="00200C06" w:rsidRDefault="00200C06" w:rsidP="00813BEA">
            <w:pPr>
              <w:tabs>
                <w:tab w:val="num" w:pos="426"/>
              </w:tabs>
              <w:jc w:val="both"/>
              <w:rPr>
                <w:rFonts w:ascii="Arial" w:hAnsi="Arial" w:cs="Arial"/>
                <w:sz w:val="24"/>
                <w:szCs w:val="24"/>
              </w:rPr>
            </w:pPr>
            <w:r>
              <w:rPr>
                <w:rFonts w:ascii="Arial" w:hAnsi="Arial" w:cs="Arial"/>
                <w:sz w:val="24"/>
                <w:szCs w:val="24"/>
              </w:rPr>
              <w:t xml:space="preserve">To develop this reporting for Board.  Reporting to be by </w:t>
            </w:r>
            <w:r w:rsidRPr="00200C06">
              <w:rPr>
                <w:rFonts w:ascii="Arial" w:hAnsi="Arial" w:cs="Arial"/>
                <w:sz w:val="24"/>
                <w:szCs w:val="24"/>
              </w:rPr>
              <w:t>service line but to include Learning &amp; Development data such as training levels and appraisal/PDR completion rates.</w:t>
            </w:r>
          </w:p>
          <w:p w:rsidR="00200C06" w:rsidRPr="00200C06" w:rsidRDefault="00200C06" w:rsidP="00200C06">
            <w:pPr>
              <w:tabs>
                <w:tab w:val="num" w:pos="426"/>
              </w:tabs>
              <w:jc w:val="both"/>
              <w:rPr>
                <w:rFonts w:ascii="Arial" w:hAnsi="Arial" w:cs="Arial"/>
                <w:b/>
                <w:bCs/>
                <w:i/>
                <w:color w:val="FF0000"/>
                <w:sz w:val="24"/>
                <w:szCs w:val="24"/>
              </w:rPr>
            </w:pPr>
            <w:r w:rsidRPr="00813BEA">
              <w:rPr>
                <w:rFonts w:ascii="Arial" w:hAnsi="Arial" w:cs="Arial"/>
                <w:b/>
                <w:bCs/>
                <w:i/>
                <w:color w:val="FF0000"/>
                <w:sz w:val="24"/>
                <w:szCs w:val="24"/>
              </w:rPr>
              <w:t>Status:</w:t>
            </w:r>
            <w:r>
              <w:rPr>
                <w:rFonts w:ascii="Arial" w:hAnsi="Arial" w:cs="Arial"/>
                <w:b/>
                <w:bCs/>
                <w:i/>
                <w:color w:val="FF0000"/>
                <w:sz w:val="24"/>
                <w:szCs w:val="24"/>
              </w:rPr>
              <w:t xml:space="preserve"> tbc in meeting</w:t>
            </w:r>
          </w:p>
        </w:tc>
        <w:tc>
          <w:tcPr>
            <w:tcW w:w="3192" w:type="dxa"/>
            <w:tcBorders>
              <w:bottom w:val="single" w:sz="4" w:space="0" w:color="auto"/>
            </w:tcBorders>
            <w:shd w:val="clear" w:color="auto" w:fill="auto"/>
          </w:tcPr>
          <w:p w:rsidR="00B00A0C" w:rsidRDefault="00B00A0C" w:rsidP="00813BEA">
            <w:pPr>
              <w:keepNext/>
              <w:keepLines/>
              <w:jc w:val="center"/>
              <w:rPr>
                <w:rFonts w:ascii="Arial" w:hAnsi="Arial" w:cs="Arial"/>
                <w:sz w:val="24"/>
                <w:szCs w:val="24"/>
              </w:rPr>
            </w:pPr>
          </w:p>
          <w:p w:rsidR="00200C06" w:rsidRPr="00813BEA" w:rsidRDefault="00200C06" w:rsidP="00813BEA">
            <w:pPr>
              <w:keepNext/>
              <w:keepLines/>
              <w:jc w:val="center"/>
              <w:rPr>
                <w:rFonts w:ascii="Arial" w:hAnsi="Arial" w:cs="Arial"/>
                <w:sz w:val="24"/>
                <w:szCs w:val="24"/>
              </w:rPr>
            </w:pPr>
            <w:r>
              <w:rPr>
                <w:rFonts w:ascii="Arial" w:hAnsi="Arial" w:cs="Arial"/>
                <w:sz w:val="24"/>
                <w:szCs w:val="24"/>
              </w:rPr>
              <w:t>MW</w:t>
            </w:r>
          </w:p>
        </w:tc>
      </w:tr>
      <w:tr w:rsidR="00200C06" w:rsidRPr="00E367B7" w:rsidTr="003B6864">
        <w:trPr>
          <w:trHeight w:val="411"/>
        </w:trPr>
        <w:tc>
          <w:tcPr>
            <w:tcW w:w="2065" w:type="dxa"/>
            <w:tcBorders>
              <w:bottom w:val="single" w:sz="4" w:space="0" w:color="auto"/>
            </w:tcBorders>
            <w:shd w:val="clear" w:color="auto" w:fill="auto"/>
          </w:tcPr>
          <w:p w:rsidR="00200C06" w:rsidRDefault="00200C06" w:rsidP="00813BEA">
            <w:pPr>
              <w:keepNext/>
              <w:keepLines/>
              <w:jc w:val="center"/>
              <w:rPr>
                <w:rFonts w:ascii="Arial" w:hAnsi="Arial" w:cs="Arial"/>
                <w:sz w:val="24"/>
                <w:szCs w:val="24"/>
              </w:rPr>
            </w:pPr>
          </w:p>
          <w:p w:rsidR="008E50A6" w:rsidRPr="00813BEA" w:rsidRDefault="008E50A6" w:rsidP="00813BEA">
            <w:pPr>
              <w:keepNext/>
              <w:keepLines/>
              <w:jc w:val="center"/>
              <w:rPr>
                <w:rFonts w:ascii="Arial" w:hAnsi="Arial" w:cs="Arial"/>
                <w:sz w:val="24"/>
                <w:szCs w:val="24"/>
              </w:rPr>
            </w:pPr>
            <w:r>
              <w:rPr>
                <w:rFonts w:ascii="Arial" w:hAnsi="Arial" w:cs="Arial"/>
                <w:sz w:val="24"/>
                <w:szCs w:val="24"/>
              </w:rPr>
              <w:t>BOD 90/18 (d)</w:t>
            </w:r>
          </w:p>
        </w:tc>
        <w:tc>
          <w:tcPr>
            <w:tcW w:w="7577" w:type="dxa"/>
            <w:tcBorders>
              <w:bottom w:val="single" w:sz="4" w:space="0" w:color="auto"/>
            </w:tcBorders>
          </w:tcPr>
          <w:p w:rsidR="00200C06" w:rsidRDefault="008E50A6" w:rsidP="00813BEA">
            <w:pPr>
              <w:tabs>
                <w:tab w:val="num" w:pos="426"/>
              </w:tabs>
              <w:jc w:val="both"/>
              <w:rPr>
                <w:rFonts w:ascii="Arial" w:hAnsi="Arial" w:cs="Arial"/>
                <w:sz w:val="24"/>
                <w:szCs w:val="24"/>
              </w:rPr>
            </w:pPr>
            <w:proofErr w:type="gramStart"/>
            <w:r>
              <w:rPr>
                <w:rFonts w:ascii="Arial" w:hAnsi="Arial" w:cs="Arial"/>
                <w:b/>
                <w:sz w:val="24"/>
                <w:szCs w:val="24"/>
              </w:rPr>
              <w:t>Closing down</w:t>
            </w:r>
            <w:proofErr w:type="gramEnd"/>
            <w:r>
              <w:rPr>
                <w:rFonts w:ascii="Arial" w:hAnsi="Arial" w:cs="Arial"/>
                <w:b/>
                <w:sz w:val="24"/>
                <w:szCs w:val="24"/>
              </w:rPr>
              <w:t xml:space="preserve"> actions/recommendations from Serious Incidents</w:t>
            </w:r>
          </w:p>
          <w:p w:rsidR="008E50A6" w:rsidRPr="008E50A6" w:rsidRDefault="008E50A6" w:rsidP="00813BEA">
            <w:pPr>
              <w:tabs>
                <w:tab w:val="num" w:pos="426"/>
              </w:tabs>
              <w:jc w:val="both"/>
              <w:rPr>
                <w:rFonts w:ascii="Arial" w:hAnsi="Arial" w:cs="Arial"/>
                <w:sz w:val="24"/>
                <w:szCs w:val="24"/>
              </w:rPr>
            </w:pPr>
            <w:r>
              <w:rPr>
                <w:rFonts w:ascii="Arial" w:hAnsi="Arial" w:cs="Arial"/>
                <w:sz w:val="24"/>
                <w:szCs w:val="24"/>
              </w:rPr>
              <w:t xml:space="preserve">To discuss </w:t>
            </w:r>
            <w:proofErr w:type="gramStart"/>
            <w:r>
              <w:rPr>
                <w:rFonts w:ascii="Arial" w:hAnsi="Arial" w:cs="Arial"/>
                <w:sz w:val="24"/>
                <w:szCs w:val="24"/>
              </w:rPr>
              <w:t xml:space="preserve">recording </w:t>
            </w:r>
            <w:r>
              <w:t xml:space="preserve"> </w:t>
            </w:r>
            <w:r w:rsidRPr="008E50A6">
              <w:rPr>
                <w:rFonts w:ascii="Arial" w:hAnsi="Arial" w:cs="Arial"/>
                <w:sz w:val="24"/>
                <w:szCs w:val="24"/>
              </w:rPr>
              <w:t>closing</w:t>
            </w:r>
            <w:proofErr w:type="gramEnd"/>
            <w:r w:rsidRPr="008E50A6">
              <w:rPr>
                <w:rFonts w:ascii="Arial" w:hAnsi="Arial" w:cs="Arial"/>
                <w:sz w:val="24"/>
                <w:szCs w:val="24"/>
              </w:rPr>
              <w:t xml:space="preserve"> down of actions with governanc</w:t>
            </w:r>
            <w:r>
              <w:rPr>
                <w:rFonts w:ascii="Arial" w:hAnsi="Arial" w:cs="Arial"/>
                <w:sz w:val="24"/>
                <w:szCs w:val="24"/>
              </w:rPr>
              <w:t xml:space="preserve">e leads in the directorates; </w:t>
            </w:r>
            <w:r w:rsidRPr="008E50A6">
              <w:rPr>
                <w:rFonts w:ascii="Arial" w:hAnsi="Arial" w:cs="Arial"/>
                <w:sz w:val="24"/>
                <w:szCs w:val="24"/>
              </w:rPr>
              <w:t xml:space="preserve">staff may be progressing actions but reluctant to record their closure if they thought that there were still some ongoing elements.  </w:t>
            </w:r>
            <w:bookmarkStart w:id="0" w:name="_GoBack"/>
            <w:bookmarkEnd w:id="0"/>
            <w:r w:rsidRPr="00813BEA">
              <w:rPr>
                <w:rFonts w:ascii="Arial" w:hAnsi="Arial" w:cs="Arial"/>
                <w:b/>
                <w:bCs/>
                <w:i/>
                <w:color w:val="FF0000"/>
                <w:sz w:val="24"/>
                <w:szCs w:val="24"/>
              </w:rPr>
              <w:t>Status:</w:t>
            </w:r>
            <w:r>
              <w:rPr>
                <w:rFonts w:ascii="Arial" w:hAnsi="Arial" w:cs="Arial"/>
                <w:b/>
                <w:bCs/>
                <w:i/>
                <w:color w:val="FF0000"/>
                <w:sz w:val="24"/>
                <w:szCs w:val="24"/>
              </w:rPr>
              <w:t xml:space="preserve"> tbc in meeting</w:t>
            </w:r>
          </w:p>
        </w:tc>
        <w:tc>
          <w:tcPr>
            <w:tcW w:w="3192" w:type="dxa"/>
            <w:tcBorders>
              <w:bottom w:val="single" w:sz="4" w:space="0" w:color="auto"/>
            </w:tcBorders>
            <w:shd w:val="clear" w:color="auto" w:fill="auto"/>
          </w:tcPr>
          <w:p w:rsidR="00200C06" w:rsidRDefault="00200C06" w:rsidP="00813BEA">
            <w:pPr>
              <w:keepNext/>
              <w:keepLines/>
              <w:jc w:val="center"/>
              <w:rPr>
                <w:rFonts w:ascii="Arial" w:hAnsi="Arial" w:cs="Arial"/>
                <w:sz w:val="24"/>
                <w:szCs w:val="24"/>
              </w:rPr>
            </w:pPr>
          </w:p>
          <w:p w:rsidR="008E50A6" w:rsidRPr="00813BEA" w:rsidRDefault="008E50A6" w:rsidP="00813BEA">
            <w:pPr>
              <w:keepNext/>
              <w:keepLines/>
              <w:jc w:val="center"/>
              <w:rPr>
                <w:rFonts w:ascii="Arial" w:hAnsi="Arial" w:cs="Arial"/>
                <w:sz w:val="24"/>
                <w:szCs w:val="24"/>
              </w:rPr>
            </w:pPr>
            <w:r>
              <w:rPr>
                <w:rFonts w:ascii="Arial" w:hAnsi="Arial" w:cs="Arial"/>
                <w:sz w:val="24"/>
                <w:szCs w:val="24"/>
              </w:rPr>
              <w:t>DH</w:t>
            </w:r>
          </w:p>
        </w:tc>
      </w:tr>
      <w:tr w:rsidR="003B6864" w:rsidRPr="00E367B7" w:rsidTr="003B6864">
        <w:trPr>
          <w:trHeight w:val="411"/>
        </w:trPr>
        <w:tc>
          <w:tcPr>
            <w:tcW w:w="12834" w:type="dxa"/>
            <w:gridSpan w:val="3"/>
            <w:shd w:val="clear" w:color="auto" w:fill="F2F2F2" w:themeFill="background1" w:themeFillShade="F2"/>
          </w:tcPr>
          <w:p w:rsidR="003B6864" w:rsidRPr="00813BEA" w:rsidRDefault="003B6864" w:rsidP="003B6864">
            <w:pPr>
              <w:keepNext/>
              <w:keepLines/>
              <w:rPr>
                <w:rFonts w:ascii="Arial" w:hAnsi="Arial" w:cs="Arial"/>
                <w:sz w:val="24"/>
                <w:szCs w:val="24"/>
              </w:rPr>
            </w:pPr>
            <w:r>
              <w:rPr>
                <w:rFonts w:ascii="Arial" w:hAnsi="Arial" w:cs="Arial"/>
                <w:b/>
                <w:sz w:val="24"/>
                <w:szCs w:val="24"/>
              </w:rPr>
              <w:lastRenderedPageBreak/>
              <w:t xml:space="preserve">Actions </w:t>
            </w:r>
            <w:r>
              <w:rPr>
                <w:rFonts w:ascii="Arial" w:hAnsi="Arial" w:cs="Arial"/>
                <w:b/>
                <w:sz w:val="24"/>
                <w:szCs w:val="24"/>
              </w:rPr>
              <w:t xml:space="preserve">held over </w:t>
            </w:r>
            <w:r>
              <w:rPr>
                <w:rFonts w:ascii="Arial" w:hAnsi="Arial" w:cs="Arial"/>
                <w:b/>
                <w:sz w:val="24"/>
                <w:szCs w:val="24"/>
              </w:rPr>
              <w:t>from the meeting on 25 April 2018</w:t>
            </w:r>
          </w:p>
        </w:tc>
      </w:tr>
      <w:tr w:rsidR="00813BEA" w:rsidRPr="00E367B7" w:rsidTr="003B6864">
        <w:trPr>
          <w:trHeight w:val="411"/>
        </w:trPr>
        <w:tc>
          <w:tcPr>
            <w:tcW w:w="2065" w:type="dxa"/>
            <w:shd w:val="clear" w:color="auto" w:fill="F2F2F2" w:themeFill="background1" w:themeFillShade="F2"/>
          </w:tcPr>
          <w:p w:rsidR="00813BEA" w:rsidRPr="00813BEA" w:rsidRDefault="00813BEA" w:rsidP="00813BEA">
            <w:pPr>
              <w:keepNext/>
              <w:keepLines/>
              <w:jc w:val="center"/>
              <w:rPr>
                <w:rFonts w:ascii="Arial" w:hAnsi="Arial" w:cs="Arial"/>
                <w:sz w:val="24"/>
                <w:szCs w:val="24"/>
              </w:rPr>
            </w:pPr>
          </w:p>
          <w:p w:rsidR="00813BEA" w:rsidRPr="00813BEA" w:rsidRDefault="00FA1972" w:rsidP="00813BEA">
            <w:pPr>
              <w:keepNext/>
              <w:keepLines/>
              <w:jc w:val="center"/>
              <w:rPr>
                <w:rFonts w:ascii="Arial" w:hAnsi="Arial" w:cs="Arial"/>
                <w:sz w:val="24"/>
                <w:szCs w:val="24"/>
              </w:rPr>
            </w:pPr>
            <w:r>
              <w:rPr>
                <w:rFonts w:ascii="Arial" w:hAnsi="Arial" w:cs="Arial"/>
                <w:sz w:val="24"/>
                <w:szCs w:val="24"/>
              </w:rPr>
              <w:t>BOD 70/18 (c)</w:t>
            </w:r>
          </w:p>
        </w:tc>
        <w:tc>
          <w:tcPr>
            <w:tcW w:w="7577" w:type="dxa"/>
            <w:shd w:val="clear" w:color="auto" w:fill="F2F2F2" w:themeFill="background1" w:themeFillShade="F2"/>
          </w:tcPr>
          <w:p w:rsidR="00813BEA" w:rsidRDefault="00FA1972" w:rsidP="00813BEA">
            <w:pPr>
              <w:tabs>
                <w:tab w:val="num" w:pos="426"/>
              </w:tabs>
              <w:jc w:val="both"/>
              <w:rPr>
                <w:rFonts w:ascii="Arial" w:hAnsi="Arial" w:cs="Arial"/>
                <w:sz w:val="24"/>
                <w:szCs w:val="24"/>
              </w:rPr>
            </w:pPr>
            <w:r w:rsidRPr="00FA1972">
              <w:rPr>
                <w:rFonts w:ascii="Arial" w:hAnsi="Arial" w:cs="Arial"/>
                <w:b/>
                <w:sz w:val="24"/>
                <w:szCs w:val="24"/>
              </w:rPr>
              <w:t xml:space="preserve">Access to Healthcare for people with Learning Disabilities (LD) update </w:t>
            </w:r>
          </w:p>
          <w:p w:rsidR="00FA1972" w:rsidRPr="00FA1972" w:rsidRDefault="00FA1972" w:rsidP="00813BEA">
            <w:pPr>
              <w:tabs>
                <w:tab w:val="num" w:pos="426"/>
              </w:tabs>
              <w:jc w:val="both"/>
              <w:rPr>
                <w:rFonts w:ascii="Arial" w:hAnsi="Arial" w:cs="Arial"/>
                <w:sz w:val="24"/>
                <w:szCs w:val="24"/>
              </w:rPr>
            </w:pPr>
            <w:r>
              <w:rPr>
                <w:rFonts w:ascii="Arial" w:hAnsi="Arial" w:cs="Arial"/>
                <w:sz w:val="24"/>
                <w:szCs w:val="24"/>
              </w:rPr>
              <w:t xml:space="preserve">To develop the report to: </w:t>
            </w:r>
            <w:r>
              <w:t xml:space="preserve"> </w:t>
            </w:r>
            <w:r w:rsidRPr="00FA1972">
              <w:rPr>
                <w:rFonts w:ascii="Arial" w:hAnsi="Arial" w:cs="Arial"/>
                <w:sz w:val="24"/>
                <w:szCs w:val="24"/>
              </w:rPr>
              <w:t xml:space="preserve">include timescales for changing/improving RAG-ratings; make clear whether progress had been as expected; and track milestones to delivery.  </w:t>
            </w:r>
          </w:p>
          <w:p w:rsidR="00813BEA" w:rsidRPr="00813BEA" w:rsidRDefault="00813BEA" w:rsidP="00813BEA">
            <w:pPr>
              <w:tabs>
                <w:tab w:val="num" w:pos="426"/>
              </w:tabs>
              <w:jc w:val="both"/>
              <w:rPr>
                <w:rFonts w:ascii="Arial" w:hAnsi="Arial" w:cs="Arial"/>
                <w:b/>
                <w:sz w:val="24"/>
                <w:szCs w:val="24"/>
              </w:rPr>
            </w:pPr>
            <w:r w:rsidRPr="00813BEA">
              <w:rPr>
                <w:rFonts w:ascii="Arial" w:hAnsi="Arial" w:cs="Arial"/>
                <w:b/>
                <w:bCs/>
                <w:i/>
                <w:color w:val="FF0000"/>
                <w:sz w:val="24"/>
                <w:szCs w:val="24"/>
              </w:rPr>
              <w:t xml:space="preserve">Status: </w:t>
            </w:r>
            <w:r w:rsidR="00FA1972">
              <w:rPr>
                <w:rFonts w:ascii="Arial" w:hAnsi="Arial" w:cs="Arial"/>
                <w:b/>
                <w:bCs/>
                <w:i/>
                <w:color w:val="FF0000"/>
                <w:sz w:val="24"/>
                <w:szCs w:val="24"/>
              </w:rPr>
              <w:t xml:space="preserve">on hold for next reporting in </w:t>
            </w:r>
            <w:r w:rsidR="00A16D07" w:rsidRPr="00A16D07">
              <w:rPr>
                <w:rFonts w:ascii="Arial" w:hAnsi="Arial" w:cs="Arial"/>
                <w:b/>
                <w:bCs/>
                <w:i/>
                <w:color w:val="FF0000"/>
                <w:sz w:val="24"/>
                <w:szCs w:val="24"/>
              </w:rPr>
              <w:t xml:space="preserve">July 2018. </w:t>
            </w:r>
            <w:r w:rsidRPr="00813BEA">
              <w:rPr>
                <w:rFonts w:ascii="Arial" w:hAnsi="Arial" w:cs="Arial"/>
                <w:bCs/>
                <w:i/>
                <w:color w:val="FF0000"/>
                <w:sz w:val="24"/>
                <w:szCs w:val="24"/>
              </w:rPr>
              <w:t xml:space="preserve">  </w:t>
            </w:r>
          </w:p>
        </w:tc>
        <w:tc>
          <w:tcPr>
            <w:tcW w:w="3192" w:type="dxa"/>
            <w:shd w:val="clear" w:color="auto" w:fill="F2F2F2" w:themeFill="background1" w:themeFillShade="F2"/>
          </w:tcPr>
          <w:p w:rsidR="00813BEA" w:rsidRPr="00813BEA" w:rsidRDefault="00813BEA" w:rsidP="00813BEA">
            <w:pPr>
              <w:keepNext/>
              <w:keepLines/>
              <w:jc w:val="center"/>
              <w:rPr>
                <w:rFonts w:ascii="Arial" w:hAnsi="Arial" w:cs="Arial"/>
                <w:sz w:val="24"/>
                <w:szCs w:val="24"/>
              </w:rPr>
            </w:pPr>
          </w:p>
          <w:p w:rsidR="00813BEA" w:rsidRPr="00813BEA" w:rsidRDefault="00FA1972" w:rsidP="00813BEA">
            <w:pPr>
              <w:keepNext/>
              <w:keepLines/>
              <w:jc w:val="center"/>
              <w:rPr>
                <w:rFonts w:ascii="Arial" w:hAnsi="Arial" w:cs="Arial"/>
                <w:sz w:val="24"/>
                <w:szCs w:val="24"/>
              </w:rPr>
            </w:pPr>
            <w:r>
              <w:rPr>
                <w:rFonts w:ascii="Arial" w:hAnsi="Arial" w:cs="Arial"/>
                <w:sz w:val="24"/>
                <w:szCs w:val="24"/>
              </w:rPr>
              <w:t>DH</w:t>
            </w:r>
          </w:p>
        </w:tc>
      </w:tr>
      <w:tr w:rsidR="00813BEA" w:rsidRPr="00E367B7" w:rsidTr="003B6864">
        <w:trPr>
          <w:trHeight w:val="411"/>
        </w:trPr>
        <w:tc>
          <w:tcPr>
            <w:tcW w:w="2065" w:type="dxa"/>
            <w:shd w:val="clear" w:color="auto" w:fill="F2F2F2" w:themeFill="background1" w:themeFillShade="F2"/>
          </w:tcPr>
          <w:p w:rsidR="00813BEA" w:rsidRPr="00813BEA" w:rsidRDefault="00813BEA" w:rsidP="00813BEA">
            <w:pPr>
              <w:keepNext/>
              <w:keepLines/>
              <w:jc w:val="center"/>
              <w:rPr>
                <w:rFonts w:ascii="Arial" w:hAnsi="Arial" w:cs="Arial"/>
                <w:sz w:val="24"/>
                <w:szCs w:val="24"/>
              </w:rPr>
            </w:pPr>
          </w:p>
          <w:p w:rsidR="00813BEA" w:rsidRPr="00813BEA" w:rsidRDefault="00685165" w:rsidP="00813BEA">
            <w:pPr>
              <w:keepNext/>
              <w:keepLines/>
              <w:jc w:val="center"/>
              <w:rPr>
                <w:rFonts w:ascii="Arial" w:hAnsi="Arial" w:cs="Arial"/>
                <w:sz w:val="24"/>
                <w:szCs w:val="24"/>
              </w:rPr>
            </w:pPr>
            <w:r>
              <w:rPr>
                <w:rFonts w:ascii="Arial" w:hAnsi="Arial" w:cs="Arial"/>
                <w:sz w:val="24"/>
                <w:szCs w:val="24"/>
              </w:rPr>
              <w:t>BOD 75/18 (b)</w:t>
            </w:r>
          </w:p>
        </w:tc>
        <w:tc>
          <w:tcPr>
            <w:tcW w:w="7577" w:type="dxa"/>
            <w:shd w:val="clear" w:color="auto" w:fill="F2F2F2" w:themeFill="background1" w:themeFillShade="F2"/>
          </w:tcPr>
          <w:p w:rsidR="00813BEA" w:rsidRPr="00813BEA" w:rsidRDefault="00685165" w:rsidP="00813BEA">
            <w:pPr>
              <w:tabs>
                <w:tab w:val="num" w:pos="426"/>
              </w:tabs>
              <w:jc w:val="both"/>
              <w:rPr>
                <w:rFonts w:ascii="Arial" w:hAnsi="Arial" w:cs="Arial"/>
                <w:b/>
                <w:sz w:val="24"/>
                <w:szCs w:val="24"/>
              </w:rPr>
            </w:pPr>
            <w:r>
              <w:rPr>
                <w:rFonts w:ascii="Arial" w:hAnsi="Arial" w:cs="Arial"/>
                <w:b/>
                <w:sz w:val="24"/>
                <w:szCs w:val="24"/>
              </w:rPr>
              <w:t>Board Assurance Framework</w:t>
            </w:r>
          </w:p>
          <w:p w:rsidR="00685165" w:rsidRDefault="00685165" w:rsidP="00685165">
            <w:pPr>
              <w:tabs>
                <w:tab w:val="num" w:pos="426"/>
              </w:tabs>
              <w:jc w:val="both"/>
              <w:rPr>
                <w:rFonts w:ascii="Arial" w:hAnsi="Arial" w:cs="Arial"/>
                <w:sz w:val="24"/>
                <w:szCs w:val="24"/>
              </w:rPr>
            </w:pPr>
            <w:r>
              <w:rPr>
                <w:rFonts w:ascii="Arial" w:hAnsi="Arial" w:cs="Arial"/>
                <w:sz w:val="24"/>
                <w:szCs w:val="24"/>
              </w:rPr>
              <w:t>F</w:t>
            </w:r>
            <w:r w:rsidRPr="00685165">
              <w:rPr>
                <w:rFonts w:ascii="Arial" w:hAnsi="Arial" w:cs="Arial"/>
                <w:sz w:val="24"/>
                <w:szCs w:val="24"/>
              </w:rPr>
              <w:t>urther risks to potentially reference within the BAF, includin</w:t>
            </w:r>
            <w:r>
              <w:rPr>
                <w:rFonts w:ascii="Arial" w:hAnsi="Arial" w:cs="Arial"/>
                <w:sz w:val="24"/>
                <w:szCs w:val="24"/>
              </w:rPr>
              <w:t>g as aspects of existing risks:</w:t>
            </w:r>
          </w:p>
          <w:p w:rsidR="00685165" w:rsidRPr="00685165" w:rsidRDefault="00685165" w:rsidP="00685165">
            <w:pPr>
              <w:pStyle w:val="ListParagraph"/>
              <w:numPr>
                <w:ilvl w:val="0"/>
                <w:numId w:val="17"/>
              </w:numPr>
              <w:tabs>
                <w:tab w:val="num" w:pos="426"/>
              </w:tabs>
              <w:jc w:val="both"/>
              <w:rPr>
                <w:rFonts w:ascii="Arial" w:hAnsi="Arial" w:cs="Arial"/>
                <w:sz w:val="24"/>
                <w:szCs w:val="24"/>
              </w:rPr>
            </w:pPr>
            <w:r w:rsidRPr="00685165">
              <w:rPr>
                <w:rFonts w:ascii="Arial" w:hAnsi="Arial" w:cs="Arial"/>
                <w:sz w:val="24"/>
                <w:szCs w:val="24"/>
              </w:rPr>
              <w:t>adequacy of funding for mental health services and achievement of the Mental Health Five Year Forward View, subject to the conclusion of funding and contracting discussions with commissioners, and risk appetite in this area in relation to what stance the Trust may be prepared to take.  The Chief Executive noted that this may however be part of a wider discussion involving the relationship between demand, workforce and financial challenges;</w:t>
            </w:r>
          </w:p>
          <w:p w:rsidR="00685165" w:rsidRPr="00685165" w:rsidRDefault="00685165" w:rsidP="00685165">
            <w:pPr>
              <w:pStyle w:val="ListParagraph"/>
              <w:numPr>
                <w:ilvl w:val="0"/>
                <w:numId w:val="17"/>
              </w:numPr>
              <w:tabs>
                <w:tab w:val="num" w:pos="426"/>
              </w:tabs>
              <w:jc w:val="both"/>
              <w:rPr>
                <w:rFonts w:ascii="Arial" w:hAnsi="Arial" w:cs="Arial"/>
                <w:sz w:val="24"/>
                <w:szCs w:val="24"/>
              </w:rPr>
            </w:pPr>
            <w:r w:rsidRPr="00685165">
              <w:rPr>
                <w:rFonts w:ascii="Arial" w:hAnsi="Arial" w:cs="Arial"/>
                <w:sz w:val="24"/>
                <w:szCs w:val="24"/>
              </w:rPr>
              <w:t>cyber security; and</w:t>
            </w:r>
          </w:p>
          <w:p w:rsidR="00360BDA" w:rsidRDefault="00685165" w:rsidP="00685165">
            <w:pPr>
              <w:pStyle w:val="ListParagraph"/>
              <w:numPr>
                <w:ilvl w:val="0"/>
                <w:numId w:val="17"/>
              </w:numPr>
              <w:tabs>
                <w:tab w:val="num" w:pos="426"/>
              </w:tabs>
              <w:jc w:val="both"/>
              <w:rPr>
                <w:rFonts w:ascii="Arial" w:hAnsi="Arial" w:cs="Arial"/>
                <w:sz w:val="24"/>
                <w:szCs w:val="24"/>
              </w:rPr>
            </w:pPr>
            <w:r w:rsidRPr="00685165">
              <w:rPr>
                <w:rFonts w:ascii="Arial" w:hAnsi="Arial" w:cs="Arial"/>
                <w:sz w:val="24"/>
                <w:szCs w:val="24"/>
              </w:rPr>
              <w:t xml:space="preserve">the potential risks and financial consequences if Oxfordshire did not develop its own ICS.  The Chief Executive cautioned </w:t>
            </w:r>
            <w:r w:rsidRPr="00685165">
              <w:rPr>
                <w:rFonts w:ascii="Arial" w:hAnsi="Arial" w:cs="Arial"/>
                <w:sz w:val="24"/>
                <w:szCs w:val="24"/>
              </w:rPr>
              <w:lastRenderedPageBreak/>
              <w:t xml:space="preserve">that this may need to await further developments before a clear strategic risk could be articulated. </w:t>
            </w:r>
          </w:p>
          <w:p w:rsidR="00813BEA" w:rsidRPr="00360BDA" w:rsidRDefault="00813BEA" w:rsidP="00360BDA">
            <w:pPr>
              <w:tabs>
                <w:tab w:val="num" w:pos="426"/>
              </w:tabs>
              <w:jc w:val="both"/>
              <w:rPr>
                <w:rFonts w:ascii="Arial" w:hAnsi="Arial" w:cs="Arial"/>
                <w:sz w:val="24"/>
                <w:szCs w:val="24"/>
              </w:rPr>
            </w:pPr>
            <w:r w:rsidRPr="00360BDA">
              <w:rPr>
                <w:rFonts w:ascii="Arial" w:hAnsi="Arial" w:cs="Arial"/>
                <w:b/>
                <w:bCs/>
                <w:i/>
                <w:color w:val="FF0000"/>
                <w:sz w:val="24"/>
                <w:szCs w:val="24"/>
              </w:rPr>
              <w:t xml:space="preserve">Status: </w:t>
            </w:r>
            <w:r w:rsidR="00685165" w:rsidRPr="00360BDA">
              <w:rPr>
                <w:rFonts w:ascii="Arial" w:hAnsi="Arial" w:cs="Arial"/>
                <w:b/>
                <w:bCs/>
                <w:i/>
                <w:color w:val="FF0000"/>
                <w:sz w:val="24"/>
                <w:szCs w:val="24"/>
              </w:rPr>
              <w:t xml:space="preserve">on hold for July 2018 </w:t>
            </w:r>
            <w:r w:rsidRPr="00360BDA">
              <w:rPr>
                <w:rFonts w:ascii="Arial" w:hAnsi="Arial" w:cs="Arial"/>
                <w:bCs/>
                <w:i/>
                <w:color w:val="FF0000"/>
                <w:sz w:val="24"/>
                <w:szCs w:val="24"/>
              </w:rPr>
              <w:t xml:space="preserve">  </w:t>
            </w:r>
          </w:p>
        </w:tc>
        <w:tc>
          <w:tcPr>
            <w:tcW w:w="3192" w:type="dxa"/>
            <w:shd w:val="clear" w:color="auto" w:fill="F2F2F2" w:themeFill="background1" w:themeFillShade="F2"/>
          </w:tcPr>
          <w:p w:rsidR="00813BEA" w:rsidRPr="00813BEA" w:rsidRDefault="00813BEA" w:rsidP="00813BEA">
            <w:pPr>
              <w:keepNext/>
              <w:keepLines/>
              <w:jc w:val="center"/>
              <w:rPr>
                <w:rFonts w:ascii="Arial" w:hAnsi="Arial" w:cs="Arial"/>
                <w:sz w:val="24"/>
                <w:szCs w:val="24"/>
              </w:rPr>
            </w:pPr>
          </w:p>
          <w:p w:rsidR="00813BEA" w:rsidRPr="00813BEA" w:rsidRDefault="00685165" w:rsidP="00813BEA">
            <w:pPr>
              <w:keepNext/>
              <w:keepLines/>
              <w:jc w:val="center"/>
              <w:rPr>
                <w:rFonts w:ascii="Arial" w:hAnsi="Arial" w:cs="Arial"/>
                <w:sz w:val="24"/>
                <w:szCs w:val="24"/>
              </w:rPr>
            </w:pPr>
            <w:r>
              <w:rPr>
                <w:rFonts w:ascii="Arial" w:hAnsi="Arial" w:cs="Arial"/>
                <w:sz w:val="24"/>
                <w:szCs w:val="24"/>
              </w:rPr>
              <w:t>HS</w:t>
            </w:r>
          </w:p>
        </w:tc>
      </w:tr>
      <w:tr w:rsidR="00813BEA" w:rsidRPr="00E367B7" w:rsidTr="003B6864">
        <w:trPr>
          <w:trHeight w:val="411"/>
        </w:trPr>
        <w:tc>
          <w:tcPr>
            <w:tcW w:w="2065" w:type="dxa"/>
            <w:shd w:val="clear" w:color="auto" w:fill="F2F2F2" w:themeFill="background1" w:themeFillShade="F2"/>
          </w:tcPr>
          <w:p w:rsidR="00813BEA" w:rsidRPr="00813BEA" w:rsidRDefault="00813BEA" w:rsidP="00813BEA">
            <w:pPr>
              <w:keepNext/>
              <w:keepLines/>
              <w:jc w:val="center"/>
              <w:rPr>
                <w:rFonts w:ascii="Arial" w:hAnsi="Arial" w:cs="Arial"/>
                <w:sz w:val="24"/>
                <w:szCs w:val="24"/>
              </w:rPr>
            </w:pPr>
          </w:p>
          <w:p w:rsidR="00813BEA" w:rsidRPr="00813BEA" w:rsidRDefault="00685165" w:rsidP="00813BEA">
            <w:pPr>
              <w:keepNext/>
              <w:keepLines/>
              <w:jc w:val="center"/>
              <w:rPr>
                <w:rFonts w:ascii="Arial" w:hAnsi="Arial" w:cs="Arial"/>
                <w:sz w:val="24"/>
                <w:szCs w:val="24"/>
              </w:rPr>
            </w:pPr>
            <w:r>
              <w:rPr>
                <w:rFonts w:ascii="Arial" w:hAnsi="Arial" w:cs="Arial"/>
                <w:sz w:val="24"/>
                <w:szCs w:val="24"/>
              </w:rPr>
              <w:t>BOD 75/18 (c)</w:t>
            </w:r>
          </w:p>
        </w:tc>
        <w:tc>
          <w:tcPr>
            <w:tcW w:w="7577" w:type="dxa"/>
            <w:shd w:val="clear" w:color="auto" w:fill="F2F2F2" w:themeFill="background1" w:themeFillShade="F2"/>
          </w:tcPr>
          <w:p w:rsidR="00813BEA" w:rsidRPr="00813BEA" w:rsidRDefault="00685165" w:rsidP="00813BEA">
            <w:pPr>
              <w:tabs>
                <w:tab w:val="num" w:pos="426"/>
              </w:tabs>
              <w:jc w:val="both"/>
              <w:rPr>
                <w:rFonts w:ascii="Arial" w:hAnsi="Arial" w:cs="Arial"/>
                <w:b/>
                <w:sz w:val="24"/>
                <w:szCs w:val="24"/>
              </w:rPr>
            </w:pPr>
            <w:r>
              <w:rPr>
                <w:rFonts w:ascii="Arial" w:hAnsi="Arial" w:cs="Arial"/>
                <w:b/>
                <w:sz w:val="24"/>
                <w:szCs w:val="24"/>
              </w:rPr>
              <w:t>Board agendas – highlighting of extreme risks</w:t>
            </w:r>
          </w:p>
          <w:p w:rsidR="00B675F8" w:rsidRDefault="00685165" w:rsidP="00813BEA">
            <w:pPr>
              <w:tabs>
                <w:tab w:val="num" w:pos="426"/>
              </w:tabs>
              <w:jc w:val="both"/>
              <w:rPr>
                <w:rFonts w:ascii="Arial" w:hAnsi="Arial" w:cs="Arial"/>
                <w:sz w:val="24"/>
                <w:szCs w:val="24"/>
              </w:rPr>
            </w:pPr>
            <w:r>
              <w:rPr>
                <w:rFonts w:ascii="Arial" w:hAnsi="Arial" w:cs="Arial"/>
                <w:sz w:val="24"/>
                <w:szCs w:val="24"/>
              </w:rPr>
              <w:t xml:space="preserve">To update Board agendas to remind the Board of the most extreme risks, </w:t>
            </w:r>
            <w:r w:rsidRPr="00685165">
              <w:rPr>
                <w:rFonts w:ascii="Arial" w:hAnsi="Arial" w:cs="Arial"/>
                <w:sz w:val="24"/>
                <w:szCs w:val="24"/>
              </w:rPr>
              <w:t xml:space="preserve">as an extension of what was already on all public Board agendas which set out at each meeting the strategic risks on the BAF.  </w:t>
            </w:r>
          </w:p>
          <w:p w:rsidR="00A16D07" w:rsidRPr="00360BDA" w:rsidRDefault="00813BEA" w:rsidP="00813BEA">
            <w:pPr>
              <w:tabs>
                <w:tab w:val="num" w:pos="426"/>
              </w:tabs>
              <w:jc w:val="both"/>
              <w:rPr>
                <w:rFonts w:ascii="Arial" w:hAnsi="Arial" w:cs="Arial"/>
                <w:sz w:val="24"/>
                <w:szCs w:val="24"/>
              </w:rPr>
            </w:pPr>
            <w:r w:rsidRPr="00813BEA">
              <w:rPr>
                <w:rFonts w:ascii="Arial" w:hAnsi="Arial" w:cs="Arial"/>
                <w:b/>
                <w:bCs/>
                <w:i/>
                <w:color w:val="FF0000"/>
                <w:sz w:val="24"/>
                <w:szCs w:val="24"/>
              </w:rPr>
              <w:t xml:space="preserve">Status: </w:t>
            </w:r>
            <w:r w:rsidR="00B675F8">
              <w:rPr>
                <w:rFonts w:ascii="Arial" w:hAnsi="Arial" w:cs="Arial"/>
                <w:b/>
                <w:bCs/>
                <w:i/>
                <w:color w:val="FF0000"/>
                <w:sz w:val="24"/>
                <w:szCs w:val="24"/>
              </w:rPr>
              <w:t>complete</w:t>
            </w:r>
            <w:r w:rsidR="00685165">
              <w:rPr>
                <w:rFonts w:ascii="Arial" w:hAnsi="Arial" w:cs="Arial"/>
                <w:b/>
                <w:bCs/>
                <w:i/>
                <w:color w:val="FF0000"/>
                <w:sz w:val="24"/>
                <w:szCs w:val="24"/>
              </w:rPr>
              <w:t>.</w:t>
            </w:r>
            <w:r w:rsidRPr="00813BEA">
              <w:rPr>
                <w:rFonts w:ascii="Arial" w:hAnsi="Arial" w:cs="Arial"/>
                <w:bCs/>
                <w:i/>
                <w:color w:val="FF0000"/>
                <w:sz w:val="24"/>
                <w:szCs w:val="24"/>
              </w:rPr>
              <w:t xml:space="preserve">  </w:t>
            </w:r>
          </w:p>
        </w:tc>
        <w:tc>
          <w:tcPr>
            <w:tcW w:w="3192" w:type="dxa"/>
            <w:shd w:val="clear" w:color="auto" w:fill="F2F2F2" w:themeFill="background1" w:themeFillShade="F2"/>
          </w:tcPr>
          <w:p w:rsidR="00813BEA" w:rsidRPr="00813BEA" w:rsidRDefault="00813BEA" w:rsidP="00813BEA">
            <w:pPr>
              <w:keepNext/>
              <w:keepLines/>
              <w:jc w:val="center"/>
              <w:rPr>
                <w:rFonts w:ascii="Arial" w:hAnsi="Arial" w:cs="Arial"/>
                <w:sz w:val="24"/>
                <w:szCs w:val="24"/>
              </w:rPr>
            </w:pPr>
          </w:p>
          <w:p w:rsidR="00813BEA" w:rsidRPr="00813BEA" w:rsidRDefault="00685165" w:rsidP="00813BEA">
            <w:pPr>
              <w:keepNext/>
              <w:keepLines/>
              <w:jc w:val="center"/>
              <w:rPr>
                <w:rFonts w:ascii="Arial" w:hAnsi="Arial" w:cs="Arial"/>
                <w:sz w:val="24"/>
                <w:szCs w:val="24"/>
              </w:rPr>
            </w:pPr>
            <w:r>
              <w:rPr>
                <w:rFonts w:ascii="Arial" w:hAnsi="Arial" w:cs="Arial"/>
                <w:sz w:val="24"/>
                <w:szCs w:val="24"/>
              </w:rPr>
              <w:t>HS</w:t>
            </w:r>
          </w:p>
        </w:tc>
      </w:tr>
    </w:tbl>
    <w:p w:rsidR="00A16D07" w:rsidRDefault="00A16D07">
      <w:pPr>
        <w:rPr>
          <w:rFonts w:ascii="Arial" w:hAnsi="Arial" w:cs="Arial"/>
          <w:sz w:val="24"/>
          <w:szCs w:val="24"/>
        </w:rPr>
      </w:pPr>
    </w:p>
    <w:p w:rsidR="00A16D07" w:rsidRDefault="00A16D07">
      <w:pPr>
        <w:rPr>
          <w:rFonts w:ascii="Arial" w:hAnsi="Arial" w:cs="Arial"/>
          <w:sz w:val="24"/>
          <w:szCs w:val="24"/>
        </w:rPr>
      </w:pPr>
    </w:p>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2286"/>
      </w:tblGrid>
      <w:tr w:rsidR="00A16D07" w:rsidRPr="0018685D" w:rsidTr="00A16D07">
        <w:trPr>
          <w:trHeight w:val="411"/>
        </w:trPr>
        <w:tc>
          <w:tcPr>
            <w:tcW w:w="12834" w:type="dxa"/>
            <w:gridSpan w:val="3"/>
            <w:shd w:val="clear" w:color="auto" w:fill="F2F2F2" w:themeFill="background1" w:themeFillShade="F2"/>
          </w:tcPr>
          <w:p w:rsidR="00A16D07" w:rsidRPr="0018685D" w:rsidRDefault="00A16D07" w:rsidP="00355EEF">
            <w:pPr>
              <w:keepNext/>
              <w:keepLines/>
              <w:rPr>
                <w:rFonts w:ascii="Arial" w:hAnsi="Arial" w:cs="Arial"/>
                <w:b/>
                <w:sz w:val="24"/>
                <w:szCs w:val="24"/>
              </w:rPr>
            </w:pPr>
            <w:r>
              <w:rPr>
                <w:rFonts w:ascii="Arial" w:hAnsi="Arial" w:cs="Arial"/>
                <w:b/>
                <w:sz w:val="24"/>
                <w:szCs w:val="24"/>
              </w:rPr>
              <w:lastRenderedPageBreak/>
              <w:t>Actions held over from meeting on 29 March 2018</w:t>
            </w:r>
          </w:p>
        </w:tc>
      </w:tr>
      <w:tr w:rsidR="00A16D07" w:rsidTr="00A16D07">
        <w:trPr>
          <w:trHeight w:val="411"/>
        </w:trPr>
        <w:tc>
          <w:tcPr>
            <w:tcW w:w="2197" w:type="dxa"/>
            <w:shd w:val="clear" w:color="auto" w:fill="F2F2F2" w:themeFill="background1" w:themeFillShade="F2"/>
          </w:tcPr>
          <w:p w:rsidR="00A16D07" w:rsidRDefault="00A16D07" w:rsidP="00355EEF">
            <w:pPr>
              <w:keepNext/>
              <w:keepLines/>
              <w:jc w:val="center"/>
              <w:rPr>
                <w:rFonts w:ascii="Arial" w:hAnsi="Arial" w:cs="Arial"/>
                <w:sz w:val="24"/>
                <w:szCs w:val="24"/>
              </w:rPr>
            </w:pPr>
          </w:p>
          <w:p w:rsidR="00A16D07" w:rsidRDefault="00A16D07" w:rsidP="00355EEF">
            <w:pPr>
              <w:keepNext/>
              <w:keepLines/>
              <w:jc w:val="center"/>
              <w:rPr>
                <w:rFonts w:ascii="Arial" w:hAnsi="Arial" w:cs="Arial"/>
                <w:sz w:val="24"/>
                <w:szCs w:val="24"/>
              </w:rPr>
            </w:pPr>
            <w:r>
              <w:rPr>
                <w:rFonts w:ascii="Arial" w:hAnsi="Arial" w:cs="Arial"/>
                <w:sz w:val="24"/>
                <w:szCs w:val="24"/>
              </w:rPr>
              <w:t xml:space="preserve">BOD 45/18 (g) </w:t>
            </w:r>
          </w:p>
        </w:tc>
        <w:tc>
          <w:tcPr>
            <w:tcW w:w="8351" w:type="dxa"/>
            <w:shd w:val="clear" w:color="auto" w:fill="F2F2F2" w:themeFill="background1" w:themeFillShade="F2"/>
          </w:tcPr>
          <w:p w:rsidR="00A16D07" w:rsidRDefault="00A16D07" w:rsidP="00355EEF">
            <w:pPr>
              <w:tabs>
                <w:tab w:val="num" w:pos="426"/>
              </w:tabs>
              <w:jc w:val="both"/>
              <w:rPr>
                <w:rFonts w:ascii="Arial" w:hAnsi="Arial" w:cs="Arial"/>
                <w:sz w:val="24"/>
                <w:szCs w:val="24"/>
              </w:rPr>
            </w:pPr>
            <w:r>
              <w:rPr>
                <w:rFonts w:ascii="Arial" w:hAnsi="Arial" w:cs="Arial"/>
                <w:b/>
                <w:sz w:val="24"/>
                <w:szCs w:val="24"/>
              </w:rPr>
              <w:t xml:space="preserve">Out </w:t>
            </w:r>
            <w:proofErr w:type="gramStart"/>
            <w:r>
              <w:rPr>
                <w:rFonts w:ascii="Arial" w:hAnsi="Arial" w:cs="Arial"/>
                <w:b/>
                <w:sz w:val="24"/>
                <w:szCs w:val="24"/>
              </w:rPr>
              <w:t>Of</w:t>
            </w:r>
            <w:proofErr w:type="gramEnd"/>
            <w:r>
              <w:rPr>
                <w:rFonts w:ascii="Arial" w:hAnsi="Arial" w:cs="Arial"/>
                <w:b/>
                <w:sz w:val="24"/>
                <w:szCs w:val="24"/>
              </w:rPr>
              <w:t xml:space="preserve"> Hours (OOH) service – breaches of 3 of 9 performance indicators</w:t>
            </w:r>
          </w:p>
          <w:p w:rsidR="00A16D07" w:rsidRPr="0018685D" w:rsidRDefault="00A16D07" w:rsidP="00355EEF">
            <w:pPr>
              <w:tabs>
                <w:tab w:val="num" w:pos="426"/>
              </w:tabs>
              <w:jc w:val="both"/>
              <w:rPr>
                <w:rFonts w:ascii="Arial" w:hAnsi="Arial" w:cs="Arial"/>
                <w:sz w:val="24"/>
                <w:szCs w:val="24"/>
              </w:rPr>
            </w:pPr>
            <w:r>
              <w:rPr>
                <w:rFonts w:ascii="Arial" w:hAnsi="Arial" w:cs="Arial"/>
                <w:sz w:val="24"/>
                <w:szCs w:val="24"/>
              </w:rPr>
              <w:t xml:space="preserve">To consider revisiting the review </w:t>
            </w:r>
            <w:r w:rsidRPr="00744B9E">
              <w:rPr>
                <w:rFonts w:ascii="Arial" w:hAnsi="Arial" w:cs="Arial"/>
                <w:sz w:val="24"/>
                <w:szCs w:val="24"/>
              </w:rPr>
              <w:t>of the OOH service which had taken place last year and which had resulted in actions being</w:t>
            </w:r>
            <w:r>
              <w:rPr>
                <w:rFonts w:ascii="Arial" w:hAnsi="Arial" w:cs="Arial"/>
                <w:sz w:val="24"/>
                <w:szCs w:val="24"/>
              </w:rPr>
              <w:t xml:space="preserve"> planned against each indicator.</w:t>
            </w:r>
            <w:r w:rsidR="00360BDA">
              <w:rPr>
                <w:rFonts w:ascii="Arial" w:hAnsi="Arial" w:cs="Arial"/>
                <w:sz w:val="24"/>
                <w:szCs w:val="24"/>
              </w:rPr>
              <w:t xml:space="preserve"> </w:t>
            </w:r>
            <w:r w:rsidRPr="00800E83">
              <w:rPr>
                <w:rFonts w:ascii="Arial" w:hAnsi="Arial" w:cs="Arial"/>
                <w:b/>
                <w:bCs/>
                <w:i/>
                <w:color w:val="FF0000"/>
                <w:sz w:val="24"/>
                <w:szCs w:val="24"/>
              </w:rPr>
              <w:t>Status:</w:t>
            </w:r>
            <w:r>
              <w:rPr>
                <w:rFonts w:ascii="Arial" w:hAnsi="Arial" w:cs="Arial"/>
                <w:b/>
                <w:bCs/>
                <w:i/>
                <w:color w:val="FF0000"/>
                <w:sz w:val="24"/>
                <w:szCs w:val="24"/>
              </w:rPr>
              <w:t xml:space="preserve"> </w:t>
            </w:r>
            <w:r>
              <w:t xml:space="preserve"> </w:t>
            </w:r>
            <w:r w:rsidRPr="005F1620">
              <w:rPr>
                <w:rFonts w:ascii="Arial" w:hAnsi="Arial" w:cs="Arial"/>
                <w:b/>
                <w:bCs/>
                <w:i/>
                <w:color w:val="FF0000"/>
                <w:sz w:val="24"/>
                <w:szCs w:val="24"/>
              </w:rPr>
              <w:t xml:space="preserve">on hold for follow-up from May 2018  </w:t>
            </w:r>
            <w:r>
              <w:rPr>
                <w:rFonts w:ascii="Arial" w:hAnsi="Arial" w:cs="Arial"/>
                <w:bCs/>
                <w:i/>
                <w:color w:val="FF0000"/>
                <w:sz w:val="24"/>
                <w:szCs w:val="24"/>
              </w:rPr>
              <w:t xml:space="preserve">  </w:t>
            </w:r>
          </w:p>
        </w:tc>
        <w:tc>
          <w:tcPr>
            <w:tcW w:w="2286" w:type="dxa"/>
            <w:shd w:val="clear" w:color="auto" w:fill="F2F2F2" w:themeFill="background1" w:themeFillShade="F2"/>
          </w:tcPr>
          <w:p w:rsidR="00A16D07" w:rsidRDefault="00A16D07" w:rsidP="00355EEF">
            <w:pPr>
              <w:keepNext/>
              <w:keepLines/>
              <w:jc w:val="center"/>
              <w:rPr>
                <w:rFonts w:ascii="Arial" w:hAnsi="Arial" w:cs="Arial"/>
                <w:sz w:val="24"/>
                <w:szCs w:val="24"/>
              </w:rPr>
            </w:pPr>
          </w:p>
          <w:p w:rsidR="00A16D07" w:rsidRDefault="00A16D07" w:rsidP="00355EEF">
            <w:pPr>
              <w:keepNext/>
              <w:keepLines/>
              <w:jc w:val="center"/>
              <w:rPr>
                <w:rFonts w:ascii="Arial" w:hAnsi="Arial" w:cs="Arial"/>
                <w:sz w:val="24"/>
                <w:szCs w:val="24"/>
              </w:rPr>
            </w:pPr>
            <w:r>
              <w:rPr>
                <w:rFonts w:ascii="Arial" w:hAnsi="Arial" w:cs="Arial"/>
                <w:sz w:val="24"/>
                <w:szCs w:val="24"/>
              </w:rPr>
              <w:t>MW</w:t>
            </w:r>
          </w:p>
        </w:tc>
      </w:tr>
      <w:tr w:rsidR="00A16D07" w:rsidTr="00A16D07">
        <w:trPr>
          <w:trHeight w:val="411"/>
        </w:trPr>
        <w:tc>
          <w:tcPr>
            <w:tcW w:w="2197" w:type="dxa"/>
            <w:shd w:val="clear" w:color="auto" w:fill="F2F2F2" w:themeFill="background1" w:themeFillShade="F2"/>
          </w:tcPr>
          <w:p w:rsidR="00A16D07" w:rsidRDefault="00A16D07" w:rsidP="00355EEF">
            <w:pPr>
              <w:keepNext/>
              <w:keepLines/>
              <w:jc w:val="center"/>
              <w:rPr>
                <w:rFonts w:ascii="Arial" w:hAnsi="Arial" w:cs="Arial"/>
                <w:sz w:val="24"/>
                <w:szCs w:val="24"/>
              </w:rPr>
            </w:pPr>
          </w:p>
          <w:p w:rsidR="00A16D07" w:rsidRDefault="00A16D07" w:rsidP="00355EEF">
            <w:pPr>
              <w:keepNext/>
              <w:keepLines/>
              <w:jc w:val="center"/>
              <w:rPr>
                <w:rFonts w:ascii="Arial" w:hAnsi="Arial" w:cs="Arial"/>
                <w:sz w:val="24"/>
                <w:szCs w:val="24"/>
              </w:rPr>
            </w:pPr>
            <w:r>
              <w:rPr>
                <w:rFonts w:ascii="Arial" w:hAnsi="Arial" w:cs="Arial"/>
                <w:sz w:val="24"/>
                <w:szCs w:val="24"/>
              </w:rPr>
              <w:t xml:space="preserve">BOD 49/18 </w:t>
            </w:r>
            <w:r>
              <w:rPr>
                <w:rFonts w:ascii="Arial" w:hAnsi="Arial" w:cs="Arial"/>
                <w:sz w:val="24"/>
                <w:szCs w:val="24"/>
              </w:rPr>
              <w:br/>
              <w:t>(b) &amp; (e)</w:t>
            </w:r>
          </w:p>
        </w:tc>
        <w:tc>
          <w:tcPr>
            <w:tcW w:w="8351" w:type="dxa"/>
            <w:shd w:val="clear" w:color="auto" w:fill="F2F2F2" w:themeFill="background1" w:themeFillShade="F2"/>
          </w:tcPr>
          <w:p w:rsidR="00A16D07" w:rsidRDefault="00A16D07" w:rsidP="00355EEF">
            <w:pPr>
              <w:tabs>
                <w:tab w:val="num" w:pos="426"/>
              </w:tabs>
              <w:jc w:val="both"/>
              <w:rPr>
                <w:rFonts w:ascii="Arial" w:hAnsi="Arial" w:cs="Arial"/>
                <w:sz w:val="24"/>
                <w:szCs w:val="24"/>
              </w:rPr>
            </w:pPr>
            <w:r>
              <w:rPr>
                <w:rFonts w:ascii="Arial" w:hAnsi="Arial" w:cs="Arial"/>
                <w:b/>
                <w:sz w:val="24"/>
                <w:szCs w:val="24"/>
              </w:rPr>
              <w:t>Development of R&amp;D reporting</w:t>
            </w:r>
          </w:p>
          <w:p w:rsidR="00A16D07" w:rsidRDefault="00A16D07" w:rsidP="00355EEF">
            <w:pPr>
              <w:tabs>
                <w:tab w:val="num" w:pos="426"/>
              </w:tabs>
              <w:jc w:val="both"/>
              <w:rPr>
                <w:rFonts w:ascii="Arial" w:hAnsi="Arial" w:cs="Arial"/>
                <w:sz w:val="24"/>
                <w:szCs w:val="24"/>
              </w:rPr>
            </w:pPr>
            <w:r>
              <w:rPr>
                <w:rFonts w:ascii="Arial" w:hAnsi="Arial" w:cs="Arial"/>
                <w:sz w:val="24"/>
                <w:szCs w:val="24"/>
              </w:rPr>
              <w:t xml:space="preserve">To consider: </w:t>
            </w:r>
          </w:p>
          <w:p w:rsidR="00A16D07" w:rsidRDefault="00A16D07" w:rsidP="00A16D07">
            <w:pPr>
              <w:pStyle w:val="ListParagraph"/>
              <w:numPr>
                <w:ilvl w:val="0"/>
                <w:numId w:val="16"/>
              </w:numPr>
              <w:tabs>
                <w:tab w:val="num" w:pos="426"/>
              </w:tabs>
              <w:jc w:val="both"/>
              <w:rPr>
                <w:rFonts w:ascii="Arial" w:hAnsi="Arial" w:cs="Arial"/>
                <w:sz w:val="24"/>
                <w:szCs w:val="24"/>
              </w:rPr>
            </w:pPr>
            <w:r w:rsidRPr="0090043C">
              <w:rPr>
                <w:rFonts w:ascii="Arial" w:hAnsi="Arial" w:cs="Arial"/>
                <w:sz w:val="24"/>
                <w:szCs w:val="24"/>
              </w:rPr>
              <w:t>future reporting starting by highlighting the impact of R&amp;D activity on clinical practice and services, with the detail to then follow</w:t>
            </w:r>
            <w:r>
              <w:rPr>
                <w:rFonts w:ascii="Arial" w:hAnsi="Arial" w:cs="Arial"/>
                <w:sz w:val="24"/>
                <w:szCs w:val="24"/>
              </w:rPr>
              <w:t>; and</w:t>
            </w:r>
          </w:p>
          <w:p w:rsidR="00A16D07" w:rsidRPr="0090043C" w:rsidRDefault="00A16D07" w:rsidP="00A16D07">
            <w:pPr>
              <w:pStyle w:val="ListParagraph"/>
              <w:numPr>
                <w:ilvl w:val="0"/>
                <w:numId w:val="16"/>
              </w:numPr>
              <w:tabs>
                <w:tab w:val="num" w:pos="426"/>
              </w:tabs>
              <w:jc w:val="both"/>
              <w:rPr>
                <w:rFonts w:ascii="Arial" w:hAnsi="Arial" w:cs="Arial"/>
                <w:sz w:val="24"/>
                <w:szCs w:val="24"/>
              </w:rPr>
            </w:pPr>
            <w:r>
              <w:rPr>
                <w:rFonts w:ascii="Arial" w:hAnsi="Arial" w:cs="Arial"/>
                <w:sz w:val="24"/>
                <w:szCs w:val="24"/>
              </w:rPr>
              <w:t xml:space="preserve">sharing the current R&amp;D report with the Quality Committee and feeding back to authors that the Board </w:t>
            </w:r>
            <w:r w:rsidRPr="0090043C">
              <w:rPr>
                <w:rFonts w:ascii="Arial" w:hAnsi="Arial" w:cs="Arial"/>
                <w:sz w:val="24"/>
                <w:szCs w:val="24"/>
              </w:rPr>
              <w:t>was considering how to take more time to consider R&amp;D activity and translating research findings into practice.</w:t>
            </w:r>
          </w:p>
          <w:p w:rsidR="00A16D07" w:rsidRPr="0018685D" w:rsidRDefault="00A16D07" w:rsidP="00355EEF">
            <w:pPr>
              <w:tabs>
                <w:tab w:val="num" w:pos="426"/>
              </w:tabs>
              <w:jc w:val="both"/>
              <w:rPr>
                <w:rFonts w:ascii="Arial" w:hAnsi="Arial" w:cs="Arial"/>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w:t>
            </w:r>
            <w:r w:rsidR="003B6864">
              <w:rPr>
                <w:rFonts w:ascii="Arial" w:hAnsi="Arial" w:cs="Arial"/>
                <w:b/>
                <w:bCs/>
                <w:i/>
                <w:color w:val="FF0000"/>
                <w:sz w:val="24"/>
                <w:szCs w:val="24"/>
              </w:rPr>
              <w:t xml:space="preserve">in progress for next reporting in September 2018.   </w:t>
            </w:r>
            <w:r>
              <w:rPr>
                <w:rFonts w:ascii="Arial" w:hAnsi="Arial" w:cs="Arial"/>
                <w:bCs/>
                <w:i/>
                <w:color w:val="FF0000"/>
                <w:sz w:val="24"/>
                <w:szCs w:val="24"/>
              </w:rPr>
              <w:t xml:space="preserve">  </w:t>
            </w:r>
          </w:p>
        </w:tc>
        <w:tc>
          <w:tcPr>
            <w:tcW w:w="2286" w:type="dxa"/>
            <w:shd w:val="clear" w:color="auto" w:fill="F2F2F2" w:themeFill="background1" w:themeFillShade="F2"/>
          </w:tcPr>
          <w:p w:rsidR="00A16D07" w:rsidRDefault="00A16D07" w:rsidP="00355EEF">
            <w:pPr>
              <w:keepNext/>
              <w:keepLines/>
              <w:jc w:val="center"/>
              <w:rPr>
                <w:rFonts w:ascii="Arial" w:hAnsi="Arial" w:cs="Arial"/>
                <w:sz w:val="24"/>
                <w:szCs w:val="24"/>
              </w:rPr>
            </w:pPr>
          </w:p>
          <w:p w:rsidR="00A16D07" w:rsidRDefault="00A16D07" w:rsidP="00355EEF">
            <w:pPr>
              <w:keepNext/>
              <w:keepLines/>
              <w:jc w:val="center"/>
              <w:rPr>
                <w:rFonts w:ascii="Arial" w:hAnsi="Arial" w:cs="Arial"/>
                <w:sz w:val="24"/>
                <w:szCs w:val="24"/>
              </w:rPr>
            </w:pPr>
            <w:proofErr w:type="spellStart"/>
            <w:r>
              <w:rPr>
                <w:rFonts w:ascii="Arial" w:hAnsi="Arial" w:cs="Arial"/>
                <w:sz w:val="24"/>
                <w:szCs w:val="24"/>
              </w:rPr>
              <w:t>MHa</w:t>
            </w:r>
            <w:proofErr w:type="spellEnd"/>
          </w:p>
        </w:tc>
      </w:tr>
      <w:tr w:rsidR="00B675F8" w:rsidTr="00631B93">
        <w:trPr>
          <w:trHeight w:val="411"/>
        </w:trPr>
        <w:tc>
          <w:tcPr>
            <w:tcW w:w="12834" w:type="dxa"/>
            <w:gridSpan w:val="3"/>
            <w:shd w:val="clear" w:color="auto" w:fill="F2F2F2" w:themeFill="background1" w:themeFillShade="F2"/>
          </w:tcPr>
          <w:p w:rsidR="00B675F8" w:rsidRDefault="00B675F8" w:rsidP="00B675F8">
            <w:pPr>
              <w:keepNext/>
              <w:keepLines/>
              <w:rPr>
                <w:rFonts w:ascii="Arial" w:hAnsi="Arial" w:cs="Arial"/>
                <w:sz w:val="24"/>
                <w:szCs w:val="24"/>
              </w:rPr>
            </w:pPr>
            <w:r>
              <w:rPr>
                <w:rFonts w:ascii="Arial" w:hAnsi="Arial" w:cs="Arial"/>
                <w:b/>
                <w:sz w:val="24"/>
                <w:szCs w:val="24"/>
              </w:rPr>
              <w:t>Actions held over from meeting on 25 October 2017</w:t>
            </w:r>
          </w:p>
        </w:tc>
      </w:tr>
      <w:tr w:rsidR="00B675F8" w:rsidTr="00E10A8C">
        <w:trPr>
          <w:trHeight w:val="411"/>
        </w:trPr>
        <w:tc>
          <w:tcPr>
            <w:tcW w:w="2197" w:type="dxa"/>
            <w:tcBorders>
              <w:bottom w:val="single" w:sz="4" w:space="0" w:color="auto"/>
            </w:tcBorders>
            <w:shd w:val="clear" w:color="auto" w:fill="F2F2F2" w:themeFill="background1" w:themeFillShade="F2"/>
          </w:tcPr>
          <w:p w:rsidR="00B675F8" w:rsidRDefault="00B675F8" w:rsidP="00B675F8">
            <w:pPr>
              <w:keepNext/>
              <w:keepLines/>
              <w:jc w:val="center"/>
              <w:rPr>
                <w:rFonts w:ascii="Arial" w:hAnsi="Arial" w:cs="Arial"/>
                <w:sz w:val="24"/>
                <w:szCs w:val="24"/>
              </w:rPr>
            </w:pPr>
          </w:p>
          <w:p w:rsidR="00B675F8" w:rsidRDefault="00B675F8" w:rsidP="00B675F8">
            <w:pPr>
              <w:keepNext/>
              <w:keepLines/>
              <w:jc w:val="center"/>
              <w:rPr>
                <w:rFonts w:ascii="Arial" w:hAnsi="Arial" w:cs="Arial"/>
                <w:sz w:val="24"/>
                <w:szCs w:val="24"/>
              </w:rPr>
            </w:pPr>
            <w:r>
              <w:rPr>
                <w:rFonts w:ascii="Arial" w:hAnsi="Arial" w:cs="Arial"/>
                <w:sz w:val="24"/>
                <w:szCs w:val="24"/>
              </w:rPr>
              <w:t>BOD 180/17(b)-(c)</w:t>
            </w:r>
          </w:p>
        </w:tc>
        <w:tc>
          <w:tcPr>
            <w:tcW w:w="8351" w:type="dxa"/>
            <w:tcBorders>
              <w:bottom w:val="single" w:sz="4" w:space="0" w:color="auto"/>
            </w:tcBorders>
            <w:shd w:val="clear" w:color="auto" w:fill="F2F2F2" w:themeFill="background1" w:themeFillShade="F2"/>
          </w:tcPr>
          <w:p w:rsidR="00B675F8" w:rsidRPr="00A16D07" w:rsidRDefault="00B675F8" w:rsidP="00B675F8">
            <w:pPr>
              <w:rPr>
                <w:rFonts w:ascii="Arial" w:hAnsi="Arial" w:cs="Arial"/>
                <w:b/>
                <w:bCs/>
                <w:sz w:val="24"/>
                <w:szCs w:val="24"/>
              </w:rPr>
            </w:pPr>
            <w:r>
              <w:rPr>
                <w:rFonts w:ascii="Arial" w:hAnsi="Arial" w:cs="Arial"/>
                <w:b/>
                <w:bCs/>
                <w:sz w:val="24"/>
                <w:szCs w:val="24"/>
              </w:rPr>
              <w:t>Board Assurance Framework (BAF)</w:t>
            </w:r>
            <w:r>
              <w:rPr>
                <w:rFonts w:ascii="Arial" w:hAnsi="Arial" w:cs="Arial"/>
                <w:b/>
                <w:bCs/>
                <w:sz w:val="24"/>
                <w:szCs w:val="24"/>
              </w:rPr>
              <w:br/>
            </w:r>
            <w:r>
              <w:rPr>
                <w:rFonts w:ascii="Arial" w:hAnsi="Arial" w:cs="Arial"/>
                <w:bCs/>
                <w:sz w:val="24"/>
                <w:szCs w:val="24"/>
              </w:rPr>
              <w:t xml:space="preserve">To update the following: </w:t>
            </w:r>
            <w:r w:rsidRPr="00A16D07">
              <w:rPr>
                <w:rFonts w:ascii="Arial" w:hAnsi="Arial" w:cs="Arial"/>
                <w:bCs/>
                <w:sz w:val="24"/>
                <w:szCs w:val="24"/>
              </w:rPr>
              <w:t xml:space="preserve">workforce risks at SO 5.1(A&amp;B) and 5.2 to revise narrative and description </w:t>
            </w:r>
          </w:p>
          <w:p w:rsidR="00B675F8" w:rsidRPr="00DF3D52" w:rsidRDefault="00B675F8" w:rsidP="00B675F8">
            <w:pPr>
              <w:jc w:val="both"/>
            </w:pPr>
            <w:r w:rsidRPr="00800E83">
              <w:rPr>
                <w:rFonts w:ascii="Arial" w:hAnsi="Arial" w:cs="Arial"/>
                <w:b/>
                <w:bCs/>
                <w:i/>
                <w:color w:val="FF0000"/>
                <w:sz w:val="24"/>
                <w:szCs w:val="24"/>
              </w:rPr>
              <w:t>Status:</w:t>
            </w:r>
            <w:r>
              <w:rPr>
                <w:rFonts w:ascii="Arial" w:hAnsi="Arial" w:cs="Arial"/>
                <w:b/>
                <w:bCs/>
                <w:i/>
                <w:color w:val="FF0000"/>
                <w:sz w:val="24"/>
                <w:szCs w:val="24"/>
              </w:rPr>
              <w:t xml:space="preserve"> on hold for July 2018</w:t>
            </w:r>
            <w:r>
              <w:rPr>
                <w:rFonts w:ascii="Arial" w:hAnsi="Arial" w:cs="Arial"/>
                <w:bCs/>
                <w:i/>
                <w:color w:val="FF0000"/>
                <w:sz w:val="24"/>
                <w:szCs w:val="24"/>
              </w:rPr>
              <w:t xml:space="preserve">. </w:t>
            </w:r>
          </w:p>
        </w:tc>
        <w:tc>
          <w:tcPr>
            <w:tcW w:w="2286" w:type="dxa"/>
            <w:tcBorders>
              <w:bottom w:val="single" w:sz="4" w:space="0" w:color="auto"/>
            </w:tcBorders>
            <w:shd w:val="clear" w:color="auto" w:fill="F2F2F2" w:themeFill="background1" w:themeFillShade="F2"/>
          </w:tcPr>
          <w:p w:rsidR="00B675F8" w:rsidRDefault="00B675F8" w:rsidP="00B675F8">
            <w:pPr>
              <w:keepNext/>
              <w:keepLines/>
              <w:jc w:val="center"/>
              <w:rPr>
                <w:rFonts w:ascii="Arial" w:hAnsi="Arial" w:cs="Arial"/>
                <w:sz w:val="24"/>
                <w:szCs w:val="24"/>
              </w:rPr>
            </w:pPr>
          </w:p>
          <w:p w:rsidR="00B675F8" w:rsidRDefault="00B675F8" w:rsidP="00B675F8">
            <w:pPr>
              <w:keepNext/>
              <w:keepLines/>
              <w:jc w:val="center"/>
              <w:rPr>
                <w:rFonts w:ascii="Arial" w:hAnsi="Arial" w:cs="Arial"/>
                <w:sz w:val="24"/>
                <w:szCs w:val="24"/>
              </w:rPr>
            </w:pPr>
            <w:r>
              <w:rPr>
                <w:rFonts w:ascii="Arial" w:hAnsi="Arial" w:cs="Arial"/>
                <w:sz w:val="24"/>
                <w:szCs w:val="24"/>
              </w:rPr>
              <w:t>HS</w:t>
            </w:r>
          </w:p>
        </w:tc>
      </w:tr>
    </w:tbl>
    <w:p w:rsidR="00A16D07" w:rsidRPr="00E367B7" w:rsidRDefault="00A16D07">
      <w:pPr>
        <w:rPr>
          <w:rFonts w:ascii="Arial" w:hAnsi="Arial" w:cs="Arial"/>
          <w:sz w:val="24"/>
          <w:szCs w:val="24"/>
        </w:rPr>
      </w:pPr>
    </w:p>
    <w:sectPr w:rsidR="00A16D07" w:rsidRPr="00E367B7" w:rsidSect="000B294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522" w:rsidRDefault="00FA1522" w:rsidP="000B2947">
      <w:pPr>
        <w:spacing w:after="0" w:line="240" w:lineRule="auto"/>
      </w:pPr>
      <w:r>
        <w:separator/>
      </w:r>
    </w:p>
  </w:endnote>
  <w:endnote w:type="continuationSeparator" w:id="0">
    <w:p w:rsidR="00FA1522" w:rsidRDefault="00FA1522" w:rsidP="000B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47" w:rsidRDefault="008A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522" w:rsidRDefault="00861BF3">
    <w:pPr>
      <w:pStyle w:val="Footer"/>
      <w:jc w:val="center"/>
    </w:pPr>
    <w:r>
      <w:fldChar w:fldCharType="begin"/>
    </w:r>
    <w:r>
      <w:instrText xml:space="preserve"> PAGE   \* MERGEFORMAT </w:instrText>
    </w:r>
    <w:r>
      <w:fldChar w:fldCharType="separate"/>
    </w:r>
    <w:r w:rsidR="00F60F5A">
      <w:rPr>
        <w:noProof/>
      </w:rPr>
      <w:t>1</w:t>
    </w:r>
    <w:r>
      <w:rPr>
        <w:noProof/>
      </w:rPr>
      <w:fldChar w:fldCharType="end"/>
    </w:r>
  </w:p>
  <w:p w:rsidR="00FA1522" w:rsidRDefault="00FA1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47" w:rsidRDefault="008A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522" w:rsidRDefault="00FA1522" w:rsidP="000B2947">
      <w:pPr>
        <w:spacing w:after="0" w:line="240" w:lineRule="auto"/>
      </w:pPr>
      <w:r>
        <w:separator/>
      </w:r>
    </w:p>
  </w:footnote>
  <w:footnote w:type="continuationSeparator" w:id="0">
    <w:p w:rsidR="00FA1522" w:rsidRDefault="00FA1522" w:rsidP="000B2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47" w:rsidRDefault="008A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522" w:rsidRPr="007D06DC" w:rsidRDefault="00F60F5A" w:rsidP="000B2947">
    <w:pPr>
      <w:pStyle w:val="Header"/>
      <w:jc w:val="center"/>
    </w:pPr>
    <w:sdt>
      <w:sdtPr>
        <w:rPr>
          <w:i/>
        </w:rPr>
        <w:id w:val="-361673663"/>
        <w:docPartObj>
          <w:docPartGallery w:val="Watermarks"/>
          <w:docPartUnique/>
        </w:docPartObj>
      </w:sdtPr>
      <w:sdtEndPr/>
      <w:sdtContent>
        <w:r>
          <w:rPr>
            <w:i/>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1522">
      <w:rPr>
        <w:i/>
      </w:rPr>
      <w:t>PUBLIC</w:t>
    </w:r>
  </w:p>
  <w:p w:rsidR="00FA1522" w:rsidRPr="000B2947" w:rsidRDefault="00FA1522">
    <w:pPr>
      <w:pStyle w:val="Header"/>
      <w:rPr>
        <w:b/>
      </w:rPr>
    </w:pPr>
  </w:p>
  <w:p w:rsidR="00FA1522" w:rsidRDefault="00FA15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347" w:rsidRDefault="008A1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57D4F"/>
    <w:multiLevelType w:val="hybridMultilevel"/>
    <w:tmpl w:val="2E72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1217C"/>
    <w:multiLevelType w:val="hybridMultilevel"/>
    <w:tmpl w:val="7E3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A2CE4"/>
    <w:multiLevelType w:val="hybridMultilevel"/>
    <w:tmpl w:val="BBD2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2E91"/>
    <w:multiLevelType w:val="hybridMultilevel"/>
    <w:tmpl w:val="77AEBDFA"/>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 w15:restartNumberingAfterBreak="0">
    <w:nsid w:val="1C367AF2"/>
    <w:multiLevelType w:val="hybridMultilevel"/>
    <w:tmpl w:val="BE78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C72FE"/>
    <w:multiLevelType w:val="hybridMultilevel"/>
    <w:tmpl w:val="9194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55A04"/>
    <w:multiLevelType w:val="hybridMultilevel"/>
    <w:tmpl w:val="09EC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44AB2"/>
    <w:multiLevelType w:val="hybridMultilevel"/>
    <w:tmpl w:val="A408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A7DC6"/>
    <w:multiLevelType w:val="hybridMultilevel"/>
    <w:tmpl w:val="B598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66601"/>
    <w:multiLevelType w:val="hybridMultilevel"/>
    <w:tmpl w:val="E524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67214"/>
    <w:multiLevelType w:val="hybridMultilevel"/>
    <w:tmpl w:val="7D1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B3112"/>
    <w:multiLevelType w:val="hybridMultilevel"/>
    <w:tmpl w:val="9974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7380F"/>
    <w:multiLevelType w:val="hybridMultilevel"/>
    <w:tmpl w:val="9CDA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34EF4"/>
    <w:multiLevelType w:val="hybridMultilevel"/>
    <w:tmpl w:val="3DB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626C0"/>
    <w:multiLevelType w:val="hybridMultilevel"/>
    <w:tmpl w:val="7ACA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B4822"/>
    <w:multiLevelType w:val="hybridMultilevel"/>
    <w:tmpl w:val="F47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2"/>
  </w:num>
  <w:num w:numId="5">
    <w:abstractNumId w:val="14"/>
  </w:num>
  <w:num w:numId="6">
    <w:abstractNumId w:val="7"/>
  </w:num>
  <w:num w:numId="7">
    <w:abstractNumId w:val="17"/>
  </w:num>
  <w:num w:numId="8">
    <w:abstractNumId w:val="16"/>
  </w:num>
  <w:num w:numId="9">
    <w:abstractNumId w:val="15"/>
  </w:num>
  <w:num w:numId="10">
    <w:abstractNumId w:val="10"/>
  </w:num>
  <w:num w:numId="11">
    <w:abstractNumId w:val="12"/>
  </w:num>
  <w:num w:numId="12">
    <w:abstractNumId w:val="4"/>
  </w:num>
  <w:num w:numId="13">
    <w:abstractNumId w:val="6"/>
  </w:num>
  <w:num w:numId="14">
    <w:abstractNumId w:val="3"/>
  </w:num>
  <w:num w:numId="15">
    <w:abstractNumId w:val="8"/>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47"/>
    <w:rsid w:val="000039B1"/>
    <w:rsid w:val="000072FC"/>
    <w:rsid w:val="0001129F"/>
    <w:rsid w:val="00015015"/>
    <w:rsid w:val="00024DA4"/>
    <w:rsid w:val="0003122D"/>
    <w:rsid w:val="00032E57"/>
    <w:rsid w:val="0004460B"/>
    <w:rsid w:val="00046EA9"/>
    <w:rsid w:val="00054B12"/>
    <w:rsid w:val="00063257"/>
    <w:rsid w:val="00063421"/>
    <w:rsid w:val="000765F3"/>
    <w:rsid w:val="0007738F"/>
    <w:rsid w:val="000846EE"/>
    <w:rsid w:val="00087272"/>
    <w:rsid w:val="0009196B"/>
    <w:rsid w:val="000A2851"/>
    <w:rsid w:val="000B2947"/>
    <w:rsid w:val="000B69CF"/>
    <w:rsid w:val="000C6050"/>
    <w:rsid w:val="000D05CC"/>
    <w:rsid w:val="000D5592"/>
    <w:rsid w:val="000D7875"/>
    <w:rsid w:val="000E244A"/>
    <w:rsid w:val="000E3782"/>
    <w:rsid w:val="000E6B70"/>
    <w:rsid w:val="000F0B7F"/>
    <w:rsid w:val="000F48CF"/>
    <w:rsid w:val="000F7BD1"/>
    <w:rsid w:val="00105FDB"/>
    <w:rsid w:val="001120FD"/>
    <w:rsid w:val="00113F39"/>
    <w:rsid w:val="001219E0"/>
    <w:rsid w:val="001220D3"/>
    <w:rsid w:val="0012558F"/>
    <w:rsid w:val="00131067"/>
    <w:rsid w:val="00135020"/>
    <w:rsid w:val="001431EB"/>
    <w:rsid w:val="00146CDC"/>
    <w:rsid w:val="0015264E"/>
    <w:rsid w:val="0015391E"/>
    <w:rsid w:val="00171162"/>
    <w:rsid w:val="00171A81"/>
    <w:rsid w:val="001722A7"/>
    <w:rsid w:val="001765E3"/>
    <w:rsid w:val="0018685D"/>
    <w:rsid w:val="00191B83"/>
    <w:rsid w:val="001B0FB1"/>
    <w:rsid w:val="001B3DE2"/>
    <w:rsid w:val="001C1063"/>
    <w:rsid w:val="001C5BD8"/>
    <w:rsid w:val="001D2759"/>
    <w:rsid w:val="001E16A4"/>
    <w:rsid w:val="00200C06"/>
    <w:rsid w:val="0020141B"/>
    <w:rsid w:val="00201E3B"/>
    <w:rsid w:val="0020722B"/>
    <w:rsid w:val="00210C13"/>
    <w:rsid w:val="0021453E"/>
    <w:rsid w:val="002258F6"/>
    <w:rsid w:val="00237F6F"/>
    <w:rsid w:val="00240701"/>
    <w:rsid w:val="00241AA6"/>
    <w:rsid w:val="00244F70"/>
    <w:rsid w:val="00245DC8"/>
    <w:rsid w:val="0025228D"/>
    <w:rsid w:val="0025331B"/>
    <w:rsid w:val="00253C8F"/>
    <w:rsid w:val="00261E54"/>
    <w:rsid w:val="00270AA5"/>
    <w:rsid w:val="002744DF"/>
    <w:rsid w:val="00282647"/>
    <w:rsid w:val="00282D3B"/>
    <w:rsid w:val="00285CC6"/>
    <w:rsid w:val="0029378C"/>
    <w:rsid w:val="002A0245"/>
    <w:rsid w:val="002A5A69"/>
    <w:rsid w:val="002B5341"/>
    <w:rsid w:val="002B57BD"/>
    <w:rsid w:val="002B64E3"/>
    <w:rsid w:val="002C0F68"/>
    <w:rsid w:val="002C6990"/>
    <w:rsid w:val="002D230C"/>
    <w:rsid w:val="002D6A88"/>
    <w:rsid w:val="002E50D9"/>
    <w:rsid w:val="002F149B"/>
    <w:rsid w:val="002F2524"/>
    <w:rsid w:val="002F2958"/>
    <w:rsid w:val="002F3B6B"/>
    <w:rsid w:val="002F6393"/>
    <w:rsid w:val="003033E1"/>
    <w:rsid w:val="00314CE7"/>
    <w:rsid w:val="00315081"/>
    <w:rsid w:val="00320F28"/>
    <w:rsid w:val="003305FC"/>
    <w:rsid w:val="0033178B"/>
    <w:rsid w:val="0033274C"/>
    <w:rsid w:val="00332CF8"/>
    <w:rsid w:val="00333439"/>
    <w:rsid w:val="00341BD4"/>
    <w:rsid w:val="003424EC"/>
    <w:rsid w:val="003515C3"/>
    <w:rsid w:val="00360BDA"/>
    <w:rsid w:val="003759F1"/>
    <w:rsid w:val="00376489"/>
    <w:rsid w:val="00380E7A"/>
    <w:rsid w:val="00383F5B"/>
    <w:rsid w:val="00384B7A"/>
    <w:rsid w:val="00385AA2"/>
    <w:rsid w:val="003871F3"/>
    <w:rsid w:val="00390FD5"/>
    <w:rsid w:val="00393728"/>
    <w:rsid w:val="00393AFE"/>
    <w:rsid w:val="00394139"/>
    <w:rsid w:val="003968B3"/>
    <w:rsid w:val="00397575"/>
    <w:rsid w:val="003B304C"/>
    <w:rsid w:val="003B5657"/>
    <w:rsid w:val="003B6864"/>
    <w:rsid w:val="003C4F17"/>
    <w:rsid w:val="003C5DB1"/>
    <w:rsid w:val="003D05D4"/>
    <w:rsid w:val="003D313F"/>
    <w:rsid w:val="003E062D"/>
    <w:rsid w:val="003E28C6"/>
    <w:rsid w:val="003E5C3C"/>
    <w:rsid w:val="003E5CA2"/>
    <w:rsid w:val="003F2467"/>
    <w:rsid w:val="00425229"/>
    <w:rsid w:val="00425B54"/>
    <w:rsid w:val="004266B5"/>
    <w:rsid w:val="0043745B"/>
    <w:rsid w:val="00440F72"/>
    <w:rsid w:val="004428C4"/>
    <w:rsid w:val="00452F7C"/>
    <w:rsid w:val="00456BE6"/>
    <w:rsid w:val="0046092A"/>
    <w:rsid w:val="0046460D"/>
    <w:rsid w:val="00465CD1"/>
    <w:rsid w:val="00466230"/>
    <w:rsid w:val="004830A7"/>
    <w:rsid w:val="004921A3"/>
    <w:rsid w:val="004938A0"/>
    <w:rsid w:val="004942A2"/>
    <w:rsid w:val="004B0D4D"/>
    <w:rsid w:val="004C26C4"/>
    <w:rsid w:val="004C759B"/>
    <w:rsid w:val="004D7E50"/>
    <w:rsid w:val="004F6D98"/>
    <w:rsid w:val="00505351"/>
    <w:rsid w:val="005077BE"/>
    <w:rsid w:val="005079BA"/>
    <w:rsid w:val="00511324"/>
    <w:rsid w:val="00511E10"/>
    <w:rsid w:val="0052154A"/>
    <w:rsid w:val="00522131"/>
    <w:rsid w:val="00525A57"/>
    <w:rsid w:val="00531123"/>
    <w:rsid w:val="0053224E"/>
    <w:rsid w:val="00537F66"/>
    <w:rsid w:val="00543314"/>
    <w:rsid w:val="00555A02"/>
    <w:rsid w:val="00564AC4"/>
    <w:rsid w:val="0057412E"/>
    <w:rsid w:val="00581E04"/>
    <w:rsid w:val="005823B6"/>
    <w:rsid w:val="0059202C"/>
    <w:rsid w:val="00593FA0"/>
    <w:rsid w:val="00594955"/>
    <w:rsid w:val="005B3341"/>
    <w:rsid w:val="005B61CF"/>
    <w:rsid w:val="005C61CA"/>
    <w:rsid w:val="005D72E8"/>
    <w:rsid w:val="005D77EC"/>
    <w:rsid w:val="005E0E2E"/>
    <w:rsid w:val="005E5479"/>
    <w:rsid w:val="005F1620"/>
    <w:rsid w:val="005F3233"/>
    <w:rsid w:val="005F70E9"/>
    <w:rsid w:val="00601E3D"/>
    <w:rsid w:val="006053AB"/>
    <w:rsid w:val="00610966"/>
    <w:rsid w:val="00611984"/>
    <w:rsid w:val="00612247"/>
    <w:rsid w:val="006128F5"/>
    <w:rsid w:val="00624C74"/>
    <w:rsid w:val="00627618"/>
    <w:rsid w:val="00633554"/>
    <w:rsid w:val="00635B3F"/>
    <w:rsid w:val="00635EA4"/>
    <w:rsid w:val="006439B2"/>
    <w:rsid w:val="006454AE"/>
    <w:rsid w:val="00652FAF"/>
    <w:rsid w:val="006617D3"/>
    <w:rsid w:val="00662143"/>
    <w:rsid w:val="006716E3"/>
    <w:rsid w:val="00674688"/>
    <w:rsid w:val="00674699"/>
    <w:rsid w:val="0067651E"/>
    <w:rsid w:val="006809EE"/>
    <w:rsid w:val="00685165"/>
    <w:rsid w:val="00687CBE"/>
    <w:rsid w:val="00693453"/>
    <w:rsid w:val="006946E2"/>
    <w:rsid w:val="00696E9F"/>
    <w:rsid w:val="00697032"/>
    <w:rsid w:val="006B064A"/>
    <w:rsid w:val="006B1EB2"/>
    <w:rsid w:val="006B3E98"/>
    <w:rsid w:val="006B7541"/>
    <w:rsid w:val="006D39B0"/>
    <w:rsid w:val="006D5CF2"/>
    <w:rsid w:val="006D6992"/>
    <w:rsid w:val="006E1DB4"/>
    <w:rsid w:val="006E6A38"/>
    <w:rsid w:val="006E77BB"/>
    <w:rsid w:val="00700062"/>
    <w:rsid w:val="0070258B"/>
    <w:rsid w:val="00714C9E"/>
    <w:rsid w:val="0072245F"/>
    <w:rsid w:val="00730438"/>
    <w:rsid w:val="0073197C"/>
    <w:rsid w:val="007336A4"/>
    <w:rsid w:val="00734966"/>
    <w:rsid w:val="0073683E"/>
    <w:rsid w:val="00744B9E"/>
    <w:rsid w:val="00745E5F"/>
    <w:rsid w:val="00747817"/>
    <w:rsid w:val="00754E78"/>
    <w:rsid w:val="00760A6A"/>
    <w:rsid w:val="00760C31"/>
    <w:rsid w:val="00762ED4"/>
    <w:rsid w:val="00763A8F"/>
    <w:rsid w:val="0076462F"/>
    <w:rsid w:val="00766A85"/>
    <w:rsid w:val="00767605"/>
    <w:rsid w:val="00772E26"/>
    <w:rsid w:val="00774CB7"/>
    <w:rsid w:val="00784E26"/>
    <w:rsid w:val="0078654D"/>
    <w:rsid w:val="0079185E"/>
    <w:rsid w:val="00793558"/>
    <w:rsid w:val="00795BB9"/>
    <w:rsid w:val="007A35B3"/>
    <w:rsid w:val="007B21CE"/>
    <w:rsid w:val="007B3FD6"/>
    <w:rsid w:val="007C3131"/>
    <w:rsid w:val="007C4C3A"/>
    <w:rsid w:val="007E3804"/>
    <w:rsid w:val="007E394A"/>
    <w:rsid w:val="007E4BCB"/>
    <w:rsid w:val="007F0B5E"/>
    <w:rsid w:val="007F39F5"/>
    <w:rsid w:val="007F3D90"/>
    <w:rsid w:val="007F5F2E"/>
    <w:rsid w:val="008006A3"/>
    <w:rsid w:val="00800E83"/>
    <w:rsid w:val="00813BEA"/>
    <w:rsid w:val="0081463C"/>
    <w:rsid w:val="00816B43"/>
    <w:rsid w:val="00830260"/>
    <w:rsid w:val="00832469"/>
    <w:rsid w:val="0083308E"/>
    <w:rsid w:val="008340D7"/>
    <w:rsid w:val="00834277"/>
    <w:rsid w:val="0083488F"/>
    <w:rsid w:val="008379EA"/>
    <w:rsid w:val="00837FCD"/>
    <w:rsid w:val="0084583C"/>
    <w:rsid w:val="00861BF3"/>
    <w:rsid w:val="008634A5"/>
    <w:rsid w:val="00865209"/>
    <w:rsid w:val="008734E5"/>
    <w:rsid w:val="008756CF"/>
    <w:rsid w:val="008757DA"/>
    <w:rsid w:val="008776D6"/>
    <w:rsid w:val="0088270F"/>
    <w:rsid w:val="00883119"/>
    <w:rsid w:val="00890CEB"/>
    <w:rsid w:val="00891EB1"/>
    <w:rsid w:val="0089273B"/>
    <w:rsid w:val="0089403F"/>
    <w:rsid w:val="008A1347"/>
    <w:rsid w:val="008A7296"/>
    <w:rsid w:val="008B1438"/>
    <w:rsid w:val="008B2F3F"/>
    <w:rsid w:val="008D2E69"/>
    <w:rsid w:val="008E50A6"/>
    <w:rsid w:val="008F4C6C"/>
    <w:rsid w:val="009002BD"/>
    <w:rsid w:val="0090043C"/>
    <w:rsid w:val="00902503"/>
    <w:rsid w:val="00907DE9"/>
    <w:rsid w:val="00917623"/>
    <w:rsid w:val="00923288"/>
    <w:rsid w:val="0092378F"/>
    <w:rsid w:val="00926388"/>
    <w:rsid w:val="00927ED6"/>
    <w:rsid w:val="009313D1"/>
    <w:rsid w:val="00932058"/>
    <w:rsid w:val="00933452"/>
    <w:rsid w:val="00942C34"/>
    <w:rsid w:val="0094567F"/>
    <w:rsid w:val="00945911"/>
    <w:rsid w:val="009564BB"/>
    <w:rsid w:val="009650DE"/>
    <w:rsid w:val="00967974"/>
    <w:rsid w:val="00974BEC"/>
    <w:rsid w:val="009919D8"/>
    <w:rsid w:val="009B22B6"/>
    <w:rsid w:val="009C6599"/>
    <w:rsid w:val="009D23DA"/>
    <w:rsid w:val="009D2F5A"/>
    <w:rsid w:val="009E38B1"/>
    <w:rsid w:val="009E77B9"/>
    <w:rsid w:val="009E7C1A"/>
    <w:rsid w:val="00A112B5"/>
    <w:rsid w:val="00A15794"/>
    <w:rsid w:val="00A166C1"/>
    <w:rsid w:val="00A16D07"/>
    <w:rsid w:val="00A20E25"/>
    <w:rsid w:val="00A226AB"/>
    <w:rsid w:val="00A22825"/>
    <w:rsid w:val="00A24484"/>
    <w:rsid w:val="00A37FAC"/>
    <w:rsid w:val="00A43C8E"/>
    <w:rsid w:val="00A44287"/>
    <w:rsid w:val="00A44C56"/>
    <w:rsid w:val="00A5526F"/>
    <w:rsid w:val="00A71BDC"/>
    <w:rsid w:val="00A72B2B"/>
    <w:rsid w:val="00A802E6"/>
    <w:rsid w:val="00A94445"/>
    <w:rsid w:val="00AA1675"/>
    <w:rsid w:val="00AA2AD8"/>
    <w:rsid w:val="00AB249F"/>
    <w:rsid w:val="00AC008C"/>
    <w:rsid w:val="00AC76AD"/>
    <w:rsid w:val="00AD455C"/>
    <w:rsid w:val="00AD5AF4"/>
    <w:rsid w:val="00AD6F84"/>
    <w:rsid w:val="00B00A0C"/>
    <w:rsid w:val="00B02AC5"/>
    <w:rsid w:val="00B25239"/>
    <w:rsid w:val="00B31870"/>
    <w:rsid w:val="00B33194"/>
    <w:rsid w:val="00B347C7"/>
    <w:rsid w:val="00B40958"/>
    <w:rsid w:val="00B410C3"/>
    <w:rsid w:val="00B658D5"/>
    <w:rsid w:val="00B675F8"/>
    <w:rsid w:val="00B724D9"/>
    <w:rsid w:val="00B7355C"/>
    <w:rsid w:val="00B81AE9"/>
    <w:rsid w:val="00B974C1"/>
    <w:rsid w:val="00BA09B8"/>
    <w:rsid w:val="00BA2DD3"/>
    <w:rsid w:val="00BA44E9"/>
    <w:rsid w:val="00BB500B"/>
    <w:rsid w:val="00BB62AB"/>
    <w:rsid w:val="00BC04F8"/>
    <w:rsid w:val="00BC4E8C"/>
    <w:rsid w:val="00BD43BF"/>
    <w:rsid w:val="00BD4925"/>
    <w:rsid w:val="00BD5AFB"/>
    <w:rsid w:val="00BE2EFA"/>
    <w:rsid w:val="00BE3D89"/>
    <w:rsid w:val="00BE7491"/>
    <w:rsid w:val="00BF32AD"/>
    <w:rsid w:val="00C4205F"/>
    <w:rsid w:val="00C44D41"/>
    <w:rsid w:val="00C45148"/>
    <w:rsid w:val="00C4763E"/>
    <w:rsid w:val="00C5206A"/>
    <w:rsid w:val="00C74867"/>
    <w:rsid w:val="00C77EA6"/>
    <w:rsid w:val="00C827B5"/>
    <w:rsid w:val="00C9522B"/>
    <w:rsid w:val="00C95A17"/>
    <w:rsid w:val="00C97CCE"/>
    <w:rsid w:val="00CC2ED9"/>
    <w:rsid w:val="00CD2283"/>
    <w:rsid w:val="00CD2855"/>
    <w:rsid w:val="00CE2874"/>
    <w:rsid w:val="00CE2D17"/>
    <w:rsid w:val="00D04035"/>
    <w:rsid w:val="00D07084"/>
    <w:rsid w:val="00D10B4E"/>
    <w:rsid w:val="00D121CE"/>
    <w:rsid w:val="00D14EC6"/>
    <w:rsid w:val="00D1503C"/>
    <w:rsid w:val="00D3669C"/>
    <w:rsid w:val="00D36BC0"/>
    <w:rsid w:val="00D42170"/>
    <w:rsid w:val="00D42D1A"/>
    <w:rsid w:val="00D443A0"/>
    <w:rsid w:val="00D6616A"/>
    <w:rsid w:val="00D66EAD"/>
    <w:rsid w:val="00D7197F"/>
    <w:rsid w:val="00D762F7"/>
    <w:rsid w:val="00D810A6"/>
    <w:rsid w:val="00D8125D"/>
    <w:rsid w:val="00D83FCB"/>
    <w:rsid w:val="00D84DC6"/>
    <w:rsid w:val="00D9768A"/>
    <w:rsid w:val="00DC0500"/>
    <w:rsid w:val="00DC18E2"/>
    <w:rsid w:val="00DC25AF"/>
    <w:rsid w:val="00DC3C3E"/>
    <w:rsid w:val="00DC54A2"/>
    <w:rsid w:val="00DD25CC"/>
    <w:rsid w:val="00DE4A99"/>
    <w:rsid w:val="00DF07E3"/>
    <w:rsid w:val="00DF3D52"/>
    <w:rsid w:val="00E00003"/>
    <w:rsid w:val="00E0184E"/>
    <w:rsid w:val="00E04E2F"/>
    <w:rsid w:val="00E06EED"/>
    <w:rsid w:val="00E11EFB"/>
    <w:rsid w:val="00E14469"/>
    <w:rsid w:val="00E21DA2"/>
    <w:rsid w:val="00E22C7A"/>
    <w:rsid w:val="00E32A06"/>
    <w:rsid w:val="00E34729"/>
    <w:rsid w:val="00E367B7"/>
    <w:rsid w:val="00E520A9"/>
    <w:rsid w:val="00E55CDA"/>
    <w:rsid w:val="00E60C6D"/>
    <w:rsid w:val="00E62690"/>
    <w:rsid w:val="00E707C9"/>
    <w:rsid w:val="00E7308C"/>
    <w:rsid w:val="00E76646"/>
    <w:rsid w:val="00E8453B"/>
    <w:rsid w:val="00E84671"/>
    <w:rsid w:val="00E95111"/>
    <w:rsid w:val="00E97685"/>
    <w:rsid w:val="00EA108C"/>
    <w:rsid w:val="00EB2536"/>
    <w:rsid w:val="00EB487E"/>
    <w:rsid w:val="00EB50AE"/>
    <w:rsid w:val="00EB5869"/>
    <w:rsid w:val="00EC11E7"/>
    <w:rsid w:val="00ED08CB"/>
    <w:rsid w:val="00ED16EA"/>
    <w:rsid w:val="00ED427A"/>
    <w:rsid w:val="00ED431D"/>
    <w:rsid w:val="00ED5686"/>
    <w:rsid w:val="00EE1AB5"/>
    <w:rsid w:val="00EE4894"/>
    <w:rsid w:val="00EF5115"/>
    <w:rsid w:val="00EF72CB"/>
    <w:rsid w:val="00F00297"/>
    <w:rsid w:val="00F019EB"/>
    <w:rsid w:val="00F0440B"/>
    <w:rsid w:val="00F1349A"/>
    <w:rsid w:val="00F13DE4"/>
    <w:rsid w:val="00F15D51"/>
    <w:rsid w:val="00F16822"/>
    <w:rsid w:val="00F16BE8"/>
    <w:rsid w:val="00F231AA"/>
    <w:rsid w:val="00F23544"/>
    <w:rsid w:val="00F25643"/>
    <w:rsid w:val="00F31E37"/>
    <w:rsid w:val="00F31EA2"/>
    <w:rsid w:val="00F331A9"/>
    <w:rsid w:val="00F36B10"/>
    <w:rsid w:val="00F37A2E"/>
    <w:rsid w:val="00F40768"/>
    <w:rsid w:val="00F4139E"/>
    <w:rsid w:val="00F45ED7"/>
    <w:rsid w:val="00F50EBF"/>
    <w:rsid w:val="00F51049"/>
    <w:rsid w:val="00F51778"/>
    <w:rsid w:val="00F5356D"/>
    <w:rsid w:val="00F53E6F"/>
    <w:rsid w:val="00F56435"/>
    <w:rsid w:val="00F57D46"/>
    <w:rsid w:val="00F60F5A"/>
    <w:rsid w:val="00F65D26"/>
    <w:rsid w:val="00F65FF2"/>
    <w:rsid w:val="00F77BBC"/>
    <w:rsid w:val="00F87CBE"/>
    <w:rsid w:val="00F907A0"/>
    <w:rsid w:val="00FA1522"/>
    <w:rsid w:val="00FA1972"/>
    <w:rsid w:val="00FA5D41"/>
    <w:rsid w:val="00FA7B4C"/>
    <w:rsid w:val="00FB1BAD"/>
    <w:rsid w:val="00FB785F"/>
    <w:rsid w:val="00FC07BA"/>
    <w:rsid w:val="00FC7547"/>
    <w:rsid w:val="00FD4AAA"/>
    <w:rsid w:val="00F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4ACAE"/>
  <w15:docId w15:val="{FBE675F2-5D0B-4FC8-A486-4069706C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857473965">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chine.anyaegbu</dc:creator>
  <cp:lastModifiedBy>Smith Hannah (RNU) Oxford Health</cp:lastModifiedBy>
  <cp:revision>11</cp:revision>
  <cp:lastPrinted>2015-04-14T14:09:00Z</cp:lastPrinted>
  <dcterms:created xsi:type="dcterms:W3CDTF">2018-06-22T10:38:00Z</dcterms:created>
  <dcterms:modified xsi:type="dcterms:W3CDTF">2018-06-22T12:07:00Z</dcterms:modified>
</cp:coreProperties>
</file>