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4506" w14:textId="77777777" w:rsidR="005D3499" w:rsidRDefault="007B6D77" w:rsidP="0086436B">
      <w:pPr>
        <w:ind w:right="-900"/>
        <w:jc w:val="right"/>
        <w:rPr>
          <w:lang w:val="en-GB"/>
        </w:rPr>
      </w:pPr>
      <w:r>
        <w:rPr>
          <w:noProof/>
          <w:lang w:val="en-GB" w:eastAsia="en-GB"/>
        </w:rPr>
        <w:drawing>
          <wp:inline distT="0" distB="0" distL="0" distR="0" wp14:anchorId="2D1D6AB8" wp14:editId="5C93ED69">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14:paraId="18D1A87C" w14:textId="77777777" w:rsidR="005D3499" w:rsidRDefault="005D3499"/>
    <w:p w14:paraId="3E396474" w14:textId="77777777"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3207BA73" wp14:editId="6D88976E">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02ABDE2" w14:textId="455EF21F" w:rsidR="00781566" w:rsidRDefault="0025508D">
                            <w:pPr>
                              <w:jc w:val="center"/>
                              <w:rPr>
                                <w:rFonts w:ascii="Arial" w:hAnsi="Arial" w:cs="Arial"/>
                              </w:rPr>
                            </w:pPr>
                            <w:r>
                              <w:rPr>
                                <w:rFonts w:ascii="Arial" w:hAnsi="Arial" w:cs="Arial"/>
                                <w:b/>
                              </w:rPr>
                              <w:t xml:space="preserve">BOD </w:t>
                            </w:r>
                            <w:r w:rsidR="00C56A98">
                              <w:rPr>
                                <w:rFonts w:ascii="Arial" w:hAnsi="Arial" w:cs="Arial"/>
                                <w:b/>
                              </w:rPr>
                              <w:t>80/2018</w:t>
                            </w:r>
                          </w:p>
                          <w:p w14:paraId="02C336D6" w14:textId="667B75B0"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C56A98">
                              <w:rPr>
                                <w:rFonts w:ascii="Arial" w:hAnsi="Arial" w:cs="Arial"/>
                                <w:sz w:val="22"/>
                                <w:szCs w:val="22"/>
                              </w:rPr>
                              <w:t>7</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BA73"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14:paraId="002ABDE2" w14:textId="455EF21F" w:rsidR="00781566" w:rsidRDefault="0025508D">
                      <w:pPr>
                        <w:jc w:val="center"/>
                        <w:rPr>
                          <w:rFonts w:ascii="Arial" w:hAnsi="Arial" w:cs="Arial"/>
                        </w:rPr>
                      </w:pPr>
                      <w:r>
                        <w:rPr>
                          <w:rFonts w:ascii="Arial" w:hAnsi="Arial" w:cs="Arial"/>
                          <w:b/>
                        </w:rPr>
                        <w:t xml:space="preserve">BOD </w:t>
                      </w:r>
                      <w:r w:rsidR="00C56A98">
                        <w:rPr>
                          <w:rFonts w:ascii="Arial" w:hAnsi="Arial" w:cs="Arial"/>
                          <w:b/>
                        </w:rPr>
                        <w:t>80/2018</w:t>
                      </w:r>
                    </w:p>
                    <w:p w14:paraId="02C336D6" w14:textId="667B75B0"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C56A98">
                        <w:rPr>
                          <w:rFonts w:ascii="Arial" w:hAnsi="Arial" w:cs="Arial"/>
                          <w:sz w:val="22"/>
                          <w:szCs w:val="22"/>
                        </w:rPr>
                        <w:t>7</w:t>
                      </w:r>
                      <w:r w:rsidR="0025508D">
                        <w:rPr>
                          <w:rFonts w:ascii="Arial" w:hAnsi="Arial" w:cs="Arial"/>
                          <w:sz w:val="22"/>
                          <w:szCs w:val="22"/>
                        </w:rPr>
                        <w:t>)</w:t>
                      </w:r>
                    </w:p>
                  </w:txbxContent>
                </v:textbox>
              </v:rect>
            </w:pict>
          </mc:Fallback>
        </mc:AlternateContent>
      </w:r>
    </w:p>
    <w:p w14:paraId="3ACF93F4" w14:textId="77777777" w:rsidR="005D3499" w:rsidRDefault="005D3499">
      <w:pPr>
        <w:pStyle w:val="Heading1"/>
        <w:rPr>
          <w:sz w:val="24"/>
        </w:rPr>
      </w:pPr>
    </w:p>
    <w:p w14:paraId="486BBB00" w14:textId="77777777" w:rsidR="005D3499" w:rsidRDefault="005D3499">
      <w:pPr>
        <w:pStyle w:val="Heading1"/>
        <w:rPr>
          <w:sz w:val="24"/>
        </w:rPr>
      </w:pPr>
    </w:p>
    <w:p w14:paraId="67F1D427" w14:textId="77777777" w:rsidR="005D3499" w:rsidRDefault="005D3499" w:rsidP="00FA5118">
      <w:pPr>
        <w:pStyle w:val="Heading1"/>
        <w:jc w:val="center"/>
        <w:rPr>
          <w:sz w:val="24"/>
        </w:rPr>
      </w:pPr>
    </w:p>
    <w:p w14:paraId="4364BE40" w14:textId="77777777" w:rsidR="005D3499" w:rsidRDefault="005D3499">
      <w:pPr>
        <w:pStyle w:val="Heading1"/>
        <w:jc w:val="center"/>
        <w:rPr>
          <w:sz w:val="28"/>
          <w:u w:val="none"/>
        </w:rPr>
      </w:pPr>
    </w:p>
    <w:p w14:paraId="0AE36E2D" w14:textId="77777777"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14:paraId="52066E6B" w14:textId="77777777"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14:paraId="5BC6CFF1" w14:textId="77777777" w:rsidR="005D3499" w:rsidRDefault="005D3499">
      <w:pPr>
        <w:pStyle w:val="Heading1"/>
        <w:jc w:val="center"/>
        <w:rPr>
          <w:sz w:val="28"/>
          <w:u w:val="none"/>
        </w:rPr>
      </w:pPr>
      <w:r>
        <w:rPr>
          <w:sz w:val="28"/>
          <w:u w:val="none"/>
        </w:rPr>
        <w:t>Board</w:t>
      </w:r>
      <w:r w:rsidR="002821F8">
        <w:rPr>
          <w:sz w:val="28"/>
          <w:u w:val="none"/>
        </w:rPr>
        <w:t xml:space="preserve"> of Directors</w:t>
      </w:r>
    </w:p>
    <w:p w14:paraId="75243EEB" w14:textId="77777777" w:rsidR="005D3499" w:rsidRDefault="005D3499" w:rsidP="00A85311">
      <w:pPr>
        <w:rPr>
          <w:rFonts w:ascii="Arial" w:hAnsi="Arial" w:cs="Arial"/>
          <w:b/>
        </w:rPr>
      </w:pPr>
    </w:p>
    <w:p w14:paraId="0A8EAC91" w14:textId="77777777" w:rsidR="005D3499" w:rsidRDefault="00E96204">
      <w:pPr>
        <w:jc w:val="center"/>
        <w:rPr>
          <w:rFonts w:ascii="Arial" w:hAnsi="Arial" w:cs="Arial"/>
          <w:b/>
        </w:rPr>
      </w:pPr>
      <w:r>
        <w:rPr>
          <w:rFonts w:ascii="Arial" w:hAnsi="Arial" w:cs="Arial"/>
          <w:b/>
        </w:rPr>
        <w:t>27</w:t>
      </w:r>
      <w:r w:rsidRPr="00E96204">
        <w:rPr>
          <w:rFonts w:ascii="Arial" w:hAnsi="Arial" w:cs="Arial"/>
          <w:b/>
          <w:vertAlign w:val="superscript"/>
        </w:rPr>
        <w:t>th</w:t>
      </w:r>
      <w:r>
        <w:rPr>
          <w:rFonts w:ascii="Arial" w:hAnsi="Arial" w:cs="Arial"/>
          <w:b/>
        </w:rPr>
        <w:t xml:space="preserve"> June</w:t>
      </w:r>
      <w:r w:rsidR="00026260">
        <w:rPr>
          <w:rFonts w:ascii="Arial" w:hAnsi="Arial" w:cs="Arial"/>
          <w:b/>
        </w:rPr>
        <w:t xml:space="preserve"> 2018</w:t>
      </w:r>
    </w:p>
    <w:p w14:paraId="1E7EFF6F" w14:textId="77777777" w:rsidR="005D3499" w:rsidRDefault="005D3499">
      <w:pPr>
        <w:jc w:val="center"/>
        <w:rPr>
          <w:rFonts w:ascii="Arial" w:hAnsi="Arial" w:cs="Arial"/>
          <w:b/>
        </w:rPr>
      </w:pPr>
    </w:p>
    <w:p w14:paraId="091A071D" w14:textId="77777777"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E96204">
        <w:rPr>
          <w:rFonts w:ascii="Arial" w:hAnsi="Arial" w:cs="Arial"/>
          <w:b/>
        </w:rPr>
        <w:t>M2 May</w:t>
      </w:r>
      <w:r w:rsidR="00026260">
        <w:rPr>
          <w:rFonts w:ascii="Arial" w:hAnsi="Arial" w:cs="Arial"/>
          <w:b/>
        </w:rPr>
        <w:t xml:space="preserve"> 2018</w:t>
      </w:r>
    </w:p>
    <w:p w14:paraId="468FA971" w14:textId="77777777" w:rsidR="005D3499" w:rsidRDefault="005D3499">
      <w:pPr>
        <w:rPr>
          <w:rFonts w:ascii="Arial" w:hAnsi="Arial" w:cs="Arial"/>
          <w:b/>
        </w:rPr>
      </w:pPr>
    </w:p>
    <w:p w14:paraId="10643FF3" w14:textId="77777777"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14:paraId="70F61654" w14:textId="77777777" w:rsidR="00292613" w:rsidRDefault="00292613">
      <w:pPr>
        <w:rPr>
          <w:rFonts w:ascii="Arial" w:hAnsi="Arial" w:cs="Arial"/>
          <w:b/>
        </w:rPr>
      </w:pPr>
    </w:p>
    <w:p w14:paraId="2BC3988A" w14:textId="77777777" w:rsidR="007A2CF0" w:rsidRDefault="007A2CF0" w:rsidP="007A2CF0">
      <w:pPr>
        <w:jc w:val="both"/>
        <w:rPr>
          <w:rFonts w:ascii="Arial" w:hAnsi="Arial" w:cs="Arial"/>
          <w:b/>
        </w:rPr>
      </w:pPr>
      <w:r>
        <w:rPr>
          <w:rFonts w:ascii="Arial" w:hAnsi="Arial" w:cs="Arial"/>
          <w:b/>
        </w:rPr>
        <w:t>Executive Summary</w:t>
      </w:r>
    </w:p>
    <w:p w14:paraId="09BFC213" w14:textId="77777777" w:rsidR="007A2CF0" w:rsidRDefault="007A2CF0" w:rsidP="007A2CF0">
      <w:pPr>
        <w:jc w:val="both"/>
        <w:rPr>
          <w:rFonts w:ascii="Arial" w:hAnsi="Arial" w:cs="Arial"/>
          <w:b/>
        </w:rPr>
      </w:pPr>
      <w:bookmarkStart w:id="0" w:name="_GoBack"/>
      <w:bookmarkEnd w:id="0"/>
    </w:p>
    <w:p w14:paraId="1C850183" w14:textId="43353B2C" w:rsidR="00C860A3" w:rsidRDefault="00E96204" w:rsidP="007A2CF0">
      <w:pPr>
        <w:jc w:val="both"/>
        <w:rPr>
          <w:rFonts w:ascii="Arial" w:hAnsi="Arial" w:cs="Arial"/>
        </w:rPr>
      </w:pPr>
      <w:r>
        <w:rPr>
          <w:rFonts w:ascii="Arial" w:hAnsi="Arial" w:cs="Arial"/>
        </w:rPr>
        <w:t>The monthly performance report provides an overall view of the Trust</w:t>
      </w:r>
      <w:r w:rsidR="00C56A98">
        <w:rPr>
          <w:rFonts w:ascii="Arial" w:hAnsi="Arial" w:cs="Arial"/>
        </w:rPr>
        <w:t>’</w:t>
      </w:r>
      <w:r>
        <w:rPr>
          <w:rFonts w:ascii="Arial" w:hAnsi="Arial" w:cs="Arial"/>
        </w:rPr>
        <w:t>s performance against both national and locally contracted indicators.</w:t>
      </w:r>
      <w:r w:rsidR="00C860A3">
        <w:rPr>
          <w:rFonts w:ascii="Arial" w:hAnsi="Arial" w:cs="Arial"/>
        </w:rPr>
        <w:t xml:space="preserve">  Following an internal review, performance indicators are now divided into two categories, those that have specifically defined targets and must be reported to Commissioners on an agreed basis and those that are for context or monitoring only.  The latter are now only reported </w:t>
      </w:r>
      <w:r w:rsidR="001948F6">
        <w:rPr>
          <w:rFonts w:ascii="Arial" w:hAnsi="Arial" w:cs="Arial"/>
        </w:rPr>
        <w:t xml:space="preserve">on </w:t>
      </w:r>
      <w:r w:rsidR="005168FF">
        <w:rPr>
          <w:rFonts w:ascii="Arial" w:hAnsi="Arial" w:cs="Arial"/>
        </w:rPr>
        <w:t>a numbers basis</w:t>
      </w:r>
      <w:r w:rsidR="00C860A3">
        <w:rPr>
          <w:rFonts w:ascii="Arial" w:hAnsi="Arial" w:cs="Arial"/>
        </w:rPr>
        <w:t xml:space="preserve"> so tha</w:t>
      </w:r>
      <w:r w:rsidR="001948F6">
        <w:rPr>
          <w:rFonts w:ascii="Arial" w:hAnsi="Arial" w:cs="Arial"/>
        </w:rPr>
        <w:t xml:space="preserve">t the Board </w:t>
      </w:r>
      <w:proofErr w:type="gramStart"/>
      <w:r w:rsidR="001948F6">
        <w:rPr>
          <w:rFonts w:ascii="Arial" w:hAnsi="Arial" w:cs="Arial"/>
        </w:rPr>
        <w:t>are able to</w:t>
      </w:r>
      <w:proofErr w:type="gramEnd"/>
      <w:r w:rsidR="001948F6">
        <w:rPr>
          <w:rFonts w:ascii="Arial" w:hAnsi="Arial" w:cs="Arial"/>
        </w:rPr>
        <w:t xml:space="preserve"> see the overall volume of reporting activity</w:t>
      </w:r>
      <w:r w:rsidR="004E3E03">
        <w:rPr>
          <w:rFonts w:ascii="Arial" w:hAnsi="Arial" w:cs="Arial"/>
        </w:rPr>
        <w:t xml:space="preserve"> and to monitor their reduction during 2018/19</w:t>
      </w:r>
      <w:r w:rsidR="00C860A3">
        <w:rPr>
          <w:rFonts w:ascii="Arial" w:hAnsi="Arial" w:cs="Arial"/>
        </w:rPr>
        <w:t>.</w:t>
      </w:r>
    </w:p>
    <w:p w14:paraId="3597B151" w14:textId="77777777" w:rsidR="001948F6" w:rsidRDefault="001948F6" w:rsidP="007A2CF0">
      <w:pPr>
        <w:jc w:val="both"/>
        <w:rPr>
          <w:rFonts w:ascii="Arial" w:hAnsi="Arial" w:cs="Arial"/>
        </w:rPr>
      </w:pPr>
    </w:p>
    <w:p w14:paraId="177A4925" w14:textId="059ACC00" w:rsidR="001948F6" w:rsidRDefault="001948F6" w:rsidP="007A2CF0">
      <w:pPr>
        <w:jc w:val="both"/>
        <w:rPr>
          <w:rFonts w:ascii="Arial" w:hAnsi="Arial" w:cs="Arial"/>
        </w:rPr>
      </w:pPr>
      <w:r>
        <w:rPr>
          <w:rFonts w:ascii="Arial" w:hAnsi="Arial" w:cs="Arial"/>
        </w:rPr>
        <w:t xml:space="preserve">Work is now underway with Commissioners to reduce the number of performance indicators so that assurance is </w:t>
      </w:r>
      <w:r w:rsidR="003A5F04">
        <w:rPr>
          <w:rFonts w:ascii="Arial" w:hAnsi="Arial" w:cs="Arial"/>
        </w:rPr>
        <w:t xml:space="preserve">achieved </w:t>
      </w:r>
      <w:proofErr w:type="gramStart"/>
      <w:r w:rsidR="00F86DE2">
        <w:rPr>
          <w:rFonts w:ascii="Arial" w:hAnsi="Arial" w:cs="Arial"/>
        </w:rPr>
        <w:t>through the use of</w:t>
      </w:r>
      <w:proofErr w:type="gramEnd"/>
      <w:r w:rsidR="00F86DE2">
        <w:rPr>
          <w:rFonts w:ascii="Arial" w:hAnsi="Arial" w:cs="Arial"/>
        </w:rPr>
        <w:t xml:space="preserve"> </w:t>
      </w:r>
      <w:r w:rsidR="003A5F04">
        <w:rPr>
          <w:rFonts w:ascii="Arial" w:hAnsi="Arial" w:cs="Arial"/>
        </w:rPr>
        <w:t>indicators of</w:t>
      </w:r>
      <w:r>
        <w:rPr>
          <w:rFonts w:ascii="Arial" w:hAnsi="Arial" w:cs="Arial"/>
        </w:rPr>
        <w:t xml:space="preserve"> specific clinical value</w:t>
      </w:r>
      <w:r w:rsidR="003A5F04">
        <w:rPr>
          <w:rFonts w:ascii="Arial" w:hAnsi="Arial" w:cs="Arial"/>
        </w:rPr>
        <w:t xml:space="preserve"> rather than </w:t>
      </w:r>
      <w:r w:rsidR="00F86DE2">
        <w:rPr>
          <w:rFonts w:ascii="Arial" w:hAnsi="Arial" w:cs="Arial"/>
        </w:rPr>
        <w:t xml:space="preserve">those that focus on clinical activity only. </w:t>
      </w:r>
    </w:p>
    <w:p w14:paraId="4954C651" w14:textId="77777777" w:rsidR="00C860A3" w:rsidRDefault="00C860A3" w:rsidP="007A2CF0">
      <w:pPr>
        <w:jc w:val="both"/>
        <w:rPr>
          <w:rFonts w:ascii="Arial" w:hAnsi="Arial" w:cs="Arial"/>
        </w:rPr>
      </w:pPr>
    </w:p>
    <w:p w14:paraId="5448DBE7" w14:textId="77777777" w:rsidR="001948F6" w:rsidRDefault="008C074A" w:rsidP="007A2CF0">
      <w:pPr>
        <w:jc w:val="both"/>
        <w:rPr>
          <w:rFonts w:ascii="Arial" w:hAnsi="Arial" w:cs="Arial"/>
        </w:rPr>
      </w:pPr>
      <w:r>
        <w:rPr>
          <w:rFonts w:ascii="Arial" w:hAnsi="Arial" w:cs="Arial"/>
        </w:rPr>
        <w:t>In May, the Trust achieved 329 of the 385</w:t>
      </w:r>
      <w:r w:rsidR="001468B7">
        <w:rPr>
          <w:rFonts w:ascii="Arial" w:hAnsi="Arial" w:cs="Arial"/>
        </w:rPr>
        <w:t xml:space="preserve"> contracted performance indicators that had clearly defined targets.</w:t>
      </w:r>
      <w:r w:rsidR="001948F6">
        <w:rPr>
          <w:rFonts w:ascii="Arial" w:hAnsi="Arial" w:cs="Arial"/>
        </w:rPr>
        <w:t xml:space="preserve">  The overall numbers vary each month as not all indicators</w:t>
      </w:r>
      <w:r w:rsidR="003A5F04">
        <w:rPr>
          <w:rFonts w:ascii="Arial" w:hAnsi="Arial" w:cs="Arial"/>
        </w:rPr>
        <w:t xml:space="preserve"> are required to be reported </w:t>
      </w:r>
      <w:proofErr w:type="gramStart"/>
      <w:r w:rsidR="003A5F04">
        <w:rPr>
          <w:rFonts w:ascii="Arial" w:hAnsi="Arial" w:cs="Arial"/>
        </w:rPr>
        <w:t>on a monthly basis</w:t>
      </w:r>
      <w:proofErr w:type="gramEnd"/>
      <w:r w:rsidR="001948F6">
        <w:rPr>
          <w:rFonts w:ascii="Arial" w:hAnsi="Arial" w:cs="Arial"/>
        </w:rPr>
        <w:t>.</w:t>
      </w:r>
    </w:p>
    <w:p w14:paraId="0A291BE4" w14:textId="77777777" w:rsidR="00CD1E3A" w:rsidRDefault="00CD1E3A" w:rsidP="007A2CF0">
      <w:pPr>
        <w:jc w:val="both"/>
        <w:rPr>
          <w:rFonts w:ascii="Arial" w:hAnsi="Arial" w:cs="Arial"/>
        </w:rPr>
      </w:pPr>
    </w:p>
    <w:p w14:paraId="661FADAD" w14:textId="77777777" w:rsidR="001948F6" w:rsidRDefault="001948F6" w:rsidP="007A2CF0">
      <w:pPr>
        <w:jc w:val="both"/>
        <w:rPr>
          <w:rFonts w:ascii="Arial" w:hAnsi="Arial" w:cs="Arial"/>
          <w:i/>
        </w:rPr>
      </w:pPr>
    </w:p>
    <w:p w14:paraId="6856BA5C" w14:textId="77777777" w:rsidR="00BC6CBE" w:rsidRDefault="00BC6CBE" w:rsidP="00BC6CBE">
      <w:pPr>
        <w:jc w:val="center"/>
        <w:rPr>
          <w:rFonts w:ascii="Arial" w:hAnsi="Arial" w:cs="Arial"/>
          <w:i/>
        </w:rPr>
      </w:pPr>
      <w:r>
        <w:rPr>
          <w:noProof/>
          <w:lang w:val="en-GB" w:eastAsia="en-GB"/>
        </w:rPr>
        <w:lastRenderedPageBreak/>
        <w:drawing>
          <wp:inline distT="0" distB="0" distL="0" distR="0" wp14:anchorId="2C264602" wp14:editId="535875B2">
            <wp:extent cx="4464685" cy="2640965"/>
            <wp:effectExtent l="0" t="0" r="12065" b="6985"/>
            <wp:docPr id="39" name="Chart 3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384691" w14:textId="77777777" w:rsidR="00BC6CBE" w:rsidRDefault="00BC6CBE" w:rsidP="007A2CF0">
      <w:pPr>
        <w:jc w:val="both"/>
        <w:rPr>
          <w:rFonts w:ascii="Arial" w:hAnsi="Arial" w:cs="Arial"/>
        </w:rPr>
      </w:pPr>
    </w:p>
    <w:p w14:paraId="23F81F24" w14:textId="77777777" w:rsidR="001468B7" w:rsidRPr="001468B7" w:rsidRDefault="001468B7" w:rsidP="007A2CF0">
      <w:pPr>
        <w:jc w:val="both"/>
        <w:rPr>
          <w:rFonts w:ascii="Arial" w:hAnsi="Arial" w:cs="Arial"/>
          <w:b/>
        </w:rPr>
      </w:pPr>
      <w:r w:rsidRPr="001468B7">
        <w:rPr>
          <w:rFonts w:ascii="Arial" w:hAnsi="Arial" w:cs="Arial"/>
          <w:b/>
        </w:rPr>
        <w:t>Performance Trends:</w:t>
      </w:r>
    </w:p>
    <w:p w14:paraId="00CF623A" w14:textId="77777777" w:rsidR="001468B7" w:rsidRDefault="001468B7" w:rsidP="007A2CF0">
      <w:pPr>
        <w:jc w:val="both"/>
        <w:rPr>
          <w:rFonts w:ascii="Arial" w:hAnsi="Arial" w:cs="Arial"/>
        </w:rPr>
      </w:pPr>
    </w:p>
    <w:p w14:paraId="2EF7FCC0" w14:textId="77777777" w:rsidR="0063184D" w:rsidRDefault="0063184D" w:rsidP="0063184D">
      <w:pPr>
        <w:jc w:val="both"/>
        <w:rPr>
          <w:rFonts w:ascii="Arial" w:hAnsi="Arial" w:cs="Arial"/>
          <w:b/>
        </w:rPr>
      </w:pPr>
      <w:r>
        <w:rPr>
          <w:rFonts w:ascii="Arial" w:hAnsi="Arial" w:cs="Arial"/>
          <w:b/>
        </w:rPr>
        <w:t>National Position:</w:t>
      </w:r>
    </w:p>
    <w:p w14:paraId="7AA815A2" w14:textId="77777777" w:rsidR="0063184D" w:rsidRDefault="0063184D" w:rsidP="0063184D">
      <w:pPr>
        <w:jc w:val="both"/>
        <w:rPr>
          <w:rFonts w:ascii="Arial" w:hAnsi="Arial" w:cs="Arial"/>
        </w:rPr>
      </w:pPr>
    </w:p>
    <w:p w14:paraId="1D52E2EC" w14:textId="77777777" w:rsidR="0063184D" w:rsidRPr="00FE2385" w:rsidRDefault="0063184D" w:rsidP="0063184D">
      <w:pPr>
        <w:jc w:val="both"/>
        <w:rPr>
          <w:rFonts w:ascii="Arial" w:hAnsi="Arial" w:cs="Arial"/>
        </w:rPr>
      </w:pPr>
      <w:r w:rsidRPr="00FE2385">
        <w:rPr>
          <w:rFonts w:ascii="Arial" w:hAnsi="Arial" w:cs="Arial"/>
        </w:rPr>
        <w:t>Following a review of the performance data, the following indicators continue to be highlighted as unde</w:t>
      </w:r>
      <w:r>
        <w:rPr>
          <w:rFonts w:ascii="Arial" w:hAnsi="Arial" w:cs="Arial"/>
        </w:rPr>
        <w:t xml:space="preserve">rperforming at a national level.  </w:t>
      </w:r>
    </w:p>
    <w:p w14:paraId="0FD84BBB" w14:textId="77777777" w:rsidR="0063184D" w:rsidRPr="00C26D06" w:rsidRDefault="0063184D" w:rsidP="0063184D">
      <w:pPr>
        <w:jc w:val="both"/>
        <w:rPr>
          <w:rFonts w:ascii="Arial" w:hAnsi="Arial" w:cs="Arial"/>
        </w:rPr>
      </w:pPr>
    </w:p>
    <w:p w14:paraId="77DE1029" w14:textId="77777777" w:rsidR="0063184D" w:rsidRPr="00C26D06" w:rsidRDefault="0063184D" w:rsidP="0063184D">
      <w:pPr>
        <w:pStyle w:val="ListParagraph"/>
        <w:numPr>
          <w:ilvl w:val="0"/>
          <w:numId w:val="10"/>
        </w:numPr>
        <w:jc w:val="both"/>
        <w:rPr>
          <w:rFonts w:ascii="Arial" w:hAnsi="Arial" w:cs="Arial"/>
          <w:b/>
        </w:rPr>
      </w:pPr>
      <w:r w:rsidRPr="00C26D06">
        <w:rPr>
          <w:rFonts w:ascii="Arial" w:hAnsi="Arial" w:cs="Arial"/>
          <w:b/>
        </w:rPr>
        <w:t xml:space="preserve">Workforce – </w:t>
      </w:r>
      <w:r w:rsidRPr="00C26D06">
        <w:rPr>
          <w:rFonts w:ascii="Arial" w:hAnsi="Arial" w:cs="Arial"/>
        </w:rPr>
        <w:t xml:space="preserve">The difficulties in recruiting and retaining suitably qualified staff continues to have a direct impact on the Trust’s ability to deliver services.  Work to address these issues continues to be led by HR under their Workforce Strategy.  </w:t>
      </w:r>
    </w:p>
    <w:p w14:paraId="1D1EDCD3" w14:textId="77777777" w:rsidR="0063184D" w:rsidRPr="00C26D06" w:rsidRDefault="0063184D" w:rsidP="0063184D">
      <w:pPr>
        <w:pStyle w:val="ListParagraph"/>
        <w:rPr>
          <w:rFonts w:ascii="Arial" w:hAnsi="Arial" w:cs="Arial"/>
          <w:b/>
        </w:rPr>
      </w:pPr>
    </w:p>
    <w:p w14:paraId="440A3BBB" w14:textId="7180A12A" w:rsidR="0063184D" w:rsidRPr="00DB4DC4" w:rsidRDefault="0063184D" w:rsidP="0063184D">
      <w:pPr>
        <w:jc w:val="both"/>
        <w:rPr>
          <w:rFonts w:ascii="Arial" w:hAnsi="Arial" w:cs="Arial"/>
        </w:rPr>
      </w:pPr>
      <w:r>
        <w:rPr>
          <w:rFonts w:ascii="Arial" w:hAnsi="Arial" w:cs="Arial"/>
        </w:rPr>
        <w:t>The additional indicators currently being reported as exceptions are</w:t>
      </w:r>
      <w:r w:rsidR="00F86DE2">
        <w:rPr>
          <w:rFonts w:ascii="Arial" w:hAnsi="Arial" w:cs="Arial"/>
        </w:rPr>
        <w:t xml:space="preserve"> also</w:t>
      </w:r>
      <w:r>
        <w:rPr>
          <w:rFonts w:ascii="Arial" w:hAnsi="Arial" w:cs="Arial"/>
        </w:rPr>
        <w:t xml:space="preserve"> being </w:t>
      </w:r>
      <w:r w:rsidR="00F86DE2">
        <w:rPr>
          <w:rFonts w:ascii="Arial" w:hAnsi="Arial" w:cs="Arial"/>
        </w:rPr>
        <w:t>developed</w:t>
      </w:r>
      <w:r>
        <w:rPr>
          <w:rFonts w:ascii="Arial" w:hAnsi="Arial" w:cs="Arial"/>
        </w:rPr>
        <w:t xml:space="preserve"> as part of a broader piece</w:t>
      </w:r>
      <w:r w:rsidR="00F86DE2">
        <w:rPr>
          <w:rFonts w:ascii="Arial" w:hAnsi="Arial" w:cs="Arial"/>
        </w:rPr>
        <w:t xml:space="preserve"> of work</w:t>
      </w:r>
      <w:r>
        <w:rPr>
          <w:rFonts w:ascii="Arial" w:hAnsi="Arial" w:cs="Arial"/>
        </w:rPr>
        <w:t xml:space="preserve"> to update the national data sets with NHS Digital.  A new automated data upload process has been designed and is now being tested.  Once complete, this will significantly reduce the need for the Performance Team to manually upload data into national data sets and will improve the overall data held at a national level.</w:t>
      </w:r>
    </w:p>
    <w:p w14:paraId="57A24DCC" w14:textId="77777777" w:rsidR="001726CB" w:rsidRDefault="001726CB" w:rsidP="007A2CF0">
      <w:pPr>
        <w:jc w:val="both"/>
        <w:rPr>
          <w:rFonts w:ascii="Arial" w:hAnsi="Arial" w:cs="Arial"/>
        </w:rPr>
      </w:pPr>
    </w:p>
    <w:p w14:paraId="088F7549" w14:textId="77777777" w:rsidR="0001134C" w:rsidRPr="00F8330B" w:rsidRDefault="0001134C" w:rsidP="001E3511">
      <w:pPr>
        <w:rPr>
          <w:rFonts w:ascii="Arial" w:hAnsi="Arial" w:cs="Arial"/>
          <w:b/>
        </w:rPr>
      </w:pPr>
      <w:r w:rsidRPr="00F8330B">
        <w:rPr>
          <w:rFonts w:ascii="Arial" w:hAnsi="Arial" w:cs="Arial"/>
          <w:b/>
        </w:rPr>
        <w:t>S75 Agreements with Oxfordshire County Council and Buckinghamshire County Councils</w:t>
      </w:r>
    </w:p>
    <w:p w14:paraId="029333C3" w14:textId="77777777" w:rsidR="0001134C" w:rsidRPr="00F8330B" w:rsidRDefault="0001134C" w:rsidP="001E3511">
      <w:pPr>
        <w:rPr>
          <w:rFonts w:ascii="Arial" w:hAnsi="Arial" w:cs="Arial"/>
          <w:b/>
        </w:rPr>
      </w:pPr>
    </w:p>
    <w:p w14:paraId="643562D4" w14:textId="77777777" w:rsidR="00841EB0" w:rsidRDefault="00222106" w:rsidP="001E3511">
      <w:pPr>
        <w:rPr>
          <w:rFonts w:ascii="Arial" w:hAnsi="Arial" w:cs="Arial"/>
        </w:rPr>
      </w:pPr>
      <w:r>
        <w:rPr>
          <w:rFonts w:ascii="Arial" w:hAnsi="Arial" w:cs="Arial"/>
        </w:rPr>
        <w:t>The Trust achieved 97</w:t>
      </w:r>
      <w:r w:rsidR="00146C68" w:rsidRPr="00F8330B">
        <w:rPr>
          <w:rFonts w:ascii="Arial" w:hAnsi="Arial" w:cs="Arial"/>
        </w:rPr>
        <w:t xml:space="preserve">% compliance against the indicators </w:t>
      </w:r>
      <w:r w:rsidR="00841EB0">
        <w:rPr>
          <w:rFonts w:ascii="Arial" w:hAnsi="Arial" w:cs="Arial"/>
        </w:rPr>
        <w:t>for the Oxfordshire S75 agreement</w:t>
      </w:r>
      <w:r w:rsidR="001F2541">
        <w:rPr>
          <w:rFonts w:ascii="Arial" w:hAnsi="Arial" w:cs="Arial"/>
        </w:rPr>
        <w:t xml:space="preserve"> in </w:t>
      </w:r>
      <w:r>
        <w:rPr>
          <w:rFonts w:ascii="Arial" w:hAnsi="Arial" w:cs="Arial"/>
        </w:rPr>
        <w:t>April</w:t>
      </w:r>
      <w:r w:rsidR="001F2541">
        <w:rPr>
          <w:rFonts w:ascii="Arial" w:hAnsi="Arial" w:cs="Arial"/>
        </w:rPr>
        <w:t xml:space="preserve"> 2018</w:t>
      </w:r>
      <w:r w:rsidR="00146C68" w:rsidRPr="00F8330B">
        <w:rPr>
          <w:rFonts w:ascii="Arial" w:hAnsi="Arial" w:cs="Arial"/>
        </w:rPr>
        <w:t xml:space="preserve">.  </w:t>
      </w:r>
      <w:r w:rsidR="0027722A">
        <w:rPr>
          <w:rFonts w:ascii="Arial" w:hAnsi="Arial" w:cs="Arial"/>
        </w:rPr>
        <w:t xml:space="preserve">Only one indicator was reported below target and that has been for one month only.  </w:t>
      </w:r>
      <w:r w:rsidR="00630605">
        <w:rPr>
          <w:rFonts w:ascii="Arial" w:hAnsi="Arial" w:cs="Arial"/>
        </w:rPr>
        <w:t xml:space="preserve"> The Buckinghamshire JMG reports are reported on a quarterly basis so not included this month.</w:t>
      </w:r>
    </w:p>
    <w:p w14:paraId="6F1D588D" w14:textId="77777777" w:rsidR="0098298E" w:rsidRDefault="0098298E">
      <w:pPr>
        <w:rPr>
          <w:rFonts w:ascii="Arial" w:hAnsi="Arial" w:cs="Arial"/>
          <w:b/>
          <w:highlight w:val="yellow"/>
        </w:rPr>
      </w:pPr>
    </w:p>
    <w:p w14:paraId="53DAFB87" w14:textId="77777777" w:rsidR="001E3511" w:rsidRPr="00801A75" w:rsidRDefault="000161D5" w:rsidP="001E3511">
      <w:pPr>
        <w:rPr>
          <w:rFonts w:ascii="Arial" w:hAnsi="Arial" w:cs="Arial"/>
          <w:b/>
        </w:rPr>
      </w:pPr>
      <w:r>
        <w:rPr>
          <w:rFonts w:ascii="Arial" w:hAnsi="Arial" w:cs="Arial"/>
          <w:b/>
        </w:rPr>
        <w:t xml:space="preserve">Oxfordshire, </w:t>
      </w:r>
      <w:proofErr w:type="spellStart"/>
      <w:r>
        <w:rPr>
          <w:rFonts w:ascii="Arial" w:hAnsi="Arial" w:cs="Arial"/>
          <w:b/>
        </w:rPr>
        <w:t>Swindon</w:t>
      </w:r>
      <w:proofErr w:type="spellEnd"/>
      <w:r>
        <w:rPr>
          <w:rFonts w:ascii="Arial" w:hAnsi="Arial" w:cs="Arial"/>
          <w:b/>
        </w:rPr>
        <w:t>, Wiltshire &amp; BANES – All Ages Mental Health</w:t>
      </w:r>
    </w:p>
    <w:p w14:paraId="12F04FE0" w14:textId="77777777" w:rsidR="001E3511" w:rsidRPr="003066A9" w:rsidRDefault="001E3511" w:rsidP="001E3511">
      <w:pPr>
        <w:jc w:val="both"/>
        <w:rPr>
          <w:rFonts w:ascii="Arial" w:hAnsi="Arial" w:cs="Arial"/>
        </w:rPr>
      </w:pPr>
    </w:p>
    <w:p w14:paraId="2834F215" w14:textId="77777777" w:rsidR="001E3511" w:rsidRDefault="00724D39" w:rsidP="001E3511">
      <w:pPr>
        <w:jc w:val="both"/>
        <w:rPr>
          <w:rFonts w:ascii="Arial" w:hAnsi="Arial" w:cs="Arial"/>
        </w:rPr>
      </w:pPr>
      <w:r>
        <w:rPr>
          <w:rFonts w:ascii="Arial" w:hAnsi="Arial" w:cs="Arial"/>
        </w:rPr>
        <w:t>The</w:t>
      </w:r>
      <w:r w:rsidR="000161D5">
        <w:rPr>
          <w:rFonts w:ascii="Arial" w:hAnsi="Arial" w:cs="Arial"/>
        </w:rPr>
        <w:t xml:space="preserve"> Directorate</w:t>
      </w:r>
      <w:r w:rsidR="00F8330B">
        <w:rPr>
          <w:rFonts w:ascii="Arial" w:hAnsi="Arial" w:cs="Arial"/>
        </w:rPr>
        <w:t xml:space="preserve"> achieved </w:t>
      </w:r>
      <w:r w:rsidR="00CD1E3A">
        <w:rPr>
          <w:rFonts w:ascii="Arial" w:hAnsi="Arial" w:cs="Arial"/>
        </w:rPr>
        <w:t>80</w:t>
      </w:r>
      <w:r w:rsidR="001E3511" w:rsidRPr="00F37E0C">
        <w:rPr>
          <w:rFonts w:ascii="Arial" w:hAnsi="Arial" w:cs="Arial"/>
        </w:rPr>
        <w:t>%</w:t>
      </w:r>
      <w:r w:rsidR="001E3511">
        <w:rPr>
          <w:rFonts w:ascii="Arial" w:hAnsi="Arial" w:cs="Arial"/>
        </w:rPr>
        <w:t xml:space="preserve"> compliance in </w:t>
      </w:r>
      <w:r w:rsidR="00740EC3">
        <w:rPr>
          <w:rFonts w:ascii="Arial" w:hAnsi="Arial" w:cs="Arial"/>
        </w:rPr>
        <w:t>May</w:t>
      </w:r>
      <w:r w:rsidR="001E3511">
        <w:rPr>
          <w:rFonts w:ascii="Arial" w:hAnsi="Arial" w:cs="Arial"/>
        </w:rPr>
        <w:t xml:space="preserve"> against the</w:t>
      </w:r>
      <w:r w:rsidR="00C75116">
        <w:rPr>
          <w:rFonts w:ascii="Arial" w:hAnsi="Arial" w:cs="Arial"/>
        </w:rPr>
        <w:t xml:space="preserve"> contracted targets.  </w:t>
      </w:r>
    </w:p>
    <w:p w14:paraId="1237E1D4" w14:textId="77777777" w:rsidR="000161D5" w:rsidRDefault="000161D5" w:rsidP="001E3511">
      <w:pPr>
        <w:jc w:val="both"/>
        <w:rPr>
          <w:rFonts w:ascii="Arial" w:hAnsi="Arial" w:cs="Arial"/>
        </w:rPr>
      </w:pPr>
    </w:p>
    <w:p w14:paraId="04DF3F76" w14:textId="77777777" w:rsidR="001E3511" w:rsidRDefault="001E3511" w:rsidP="001E3511">
      <w:pPr>
        <w:jc w:val="both"/>
        <w:rPr>
          <w:rFonts w:ascii="Arial" w:hAnsi="Arial" w:cs="Arial"/>
        </w:rPr>
      </w:pPr>
      <w:r>
        <w:rPr>
          <w:rFonts w:ascii="Arial" w:hAnsi="Arial" w:cs="Arial"/>
        </w:rPr>
        <w:t>In looking at the performance trends and identifying areas where further action is required, the following issues have been highlighted to the Operations Management Team:</w:t>
      </w:r>
    </w:p>
    <w:p w14:paraId="03924340" w14:textId="77777777" w:rsidR="000161D5" w:rsidRDefault="000161D5" w:rsidP="001E3511">
      <w:pPr>
        <w:jc w:val="both"/>
        <w:rPr>
          <w:rFonts w:ascii="Arial" w:hAnsi="Arial" w:cs="Arial"/>
        </w:rPr>
      </w:pPr>
    </w:p>
    <w:p w14:paraId="1D2A9644" w14:textId="77777777" w:rsidR="000161D5" w:rsidRDefault="00F678C9" w:rsidP="000161D5">
      <w:pPr>
        <w:pStyle w:val="ListParagraph"/>
        <w:numPr>
          <w:ilvl w:val="0"/>
          <w:numId w:val="10"/>
        </w:numPr>
        <w:jc w:val="both"/>
        <w:rPr>
          <w:rFonts w:ascii="Arial" w:hAnsi="Arial" w:cs="Arial"/>
        </w:rPr>
      </w:pPr>
      <w:r w:rsidRPr="000A47D9">
        <w:rPr>
          <w:rFonts w:ascii="Arial" w:hAnsi="Arial" w:cs="Arial"/>
          <w:b/>
        </w:rPr>
        <w:t>Oxfordshire CAMHS</w:t>
      </w:r>
      <w:r>
        <w:rPr>
          <w:rFonts w:ascii="Arial" w:hAnsi="Arial" w:cs="Arial"/>
        </w:rPr>
        <w:t xml:space="preserve"> - </w:t>
      </w:r>
      <w:r w:rsidRPr="000A47D9">
        <w:rPr>
          <w:rFonts w:ascii="Arial" w:hAnsi="Arial" w:cs="Arial"/>
        </w:rPr>
        <w:t xml:space="preserve">As part of the transition to the new operating models and the realignment of teams, work to ensure that performance data is being reported accurately and in accordance with the new structure </w:t>
      </w:r>
      <w:r w:rsidR="00FA4D1A">
        <w:rPr>
          <w:rFonts w:ascii="Arial" w:hAnsi="Arial" w:cs="Arial"/>
        </w:rPr>
        <w:t>continues</w:t>
      </w:r>
      <w:r w:rsidRPr="000A47D9">
        <w:rPr>
          <w:rFonts w:ascii="Arial" w:hAnsi="Arial" w:cs="Arial"/>
        </w:rPr>
        <w:t>.  Some anomalies</w:t>
      </w:r>
      <w:r w:rsidR="001D03E1">
        <w:rPr>
          <w:rFonts w:ascii="Arial" w:hAnsi="Arial" w:cs="Arial"/>
        </w:rPr>
        <w:t xml:space="preserve"> in reporting</w:t>
      </w:r>
      <w:r w:rsidRPr="000A47D9">
        <w:rPr>
          <w:rFonts w:ascii="Arial" w:hAnsi="Arial" w:cs="Arial"/>
        </w:rPr>
        <w:t xml:space="preserve"> </w:t>
      </w:r>
      <w:r w:rsidR="00BF6D0E">
        <w:rPr>
          <w:rFonts w:ascii="Arial" w:hAnsi="Arial" w:cs="Arial"/>
        </w:rPr>
        <w:t>were found in April</w:t>
      </w:r>
      <w:r>
        <w:rPr>
          <w:rFonts w:ascii="Arial" w:hAnsi="Arial" w:cs="Arial"/>
        </w:rPr>
        <w:t xml:space="preserve"> and</w:t>
      </w:r>
      <w:r w:rsidRPr="000A47D9">
        <w:rPr>
          <w:rFonts w:ascii="Arial" w:hAnsi="Arial" w:cs="Arial"/>
        </w:rPr>
        <w:t xml:space="preserve"> </w:t>
      </w:r>
      <w:r w:rsidR="00BF6D0E">
        <w:rPr>
          <w:rFonts w:ascii="Arial" w:hAnsi="Arial" w:cs="Arial"/>
        </w:rPr>
        <w:t xml:space="preserve">work to identify and resolve continues.  </w:t>
      </w:r>
      <w:r w:rsidR="00FA4D1A">
        <w:rPr>
          <w:rFonts w:ascii="Arial" w:hAnsi="Arial" w:cs="Arial"/>
        </w:rPr>
        <w:t>Corrections will be published in July</w:t>
      </w:r>
      <w:r w:rsidRPr="000A47D9">
        <w:rPr>
          <w:rFonts w:ascii="Arial" w:hAnsi="Arial" w:cs="Arial"/>
        </w:rPr>
        <w:t xml:space="preserve"> 2018.  </w:t>
      </w:r>
    </w:p>
    <w:p w14:paraId="05D36208" w14:textId="77777777" w:rsidR="00F678C9" w:rsidRDefault="00F678C9" w:rsidP="00F678C9">
      <w:pPr>
        <w:pStyle w:val="ListParagraph"/>
        <w:jc w:val="both"/>
        <w:rPr>
          <w:rFonts w:ascii="Arial" w:hAnsi="Arial" w:cs="Arial"/>
        </w:rPr>
      </w:pPr>
    </w:p>
    <w:p w14:paraId="196490A5" w14:textId="77777777" w:rsidR="00F678C9" w:rsidRPr="00243BA6" w:rsidRDefault="00F678C9" w:rsidP="00F678C9">
      <w:pPr>
        <w:pStyle w:val="ListParagraph"/>
        <w:numPr>
          <w:ilvl w:val="0"/>
          <w:numId w:val="10"/>
        </w:numPr>
        <w:jc w:val="both"/>
        <w:rPr>
          <w:rFonts w:ascii="Arial" w:hAnsi="Arial" w:cs="Arial"/>
        </w:rPr>
      </w:pPr>
      <w:r w:rsidRPr="00243BA6">
        <w:rPr>
          <w:rFonts w:ascii="Arial" w:hAnsi="Arial" w:cs="Arial"/>
          <w:b/>
        </w:rPr>
        <w:t>Improving Access to Psychological Therapies (IAPT)</w:t>
      </w:r>
      <w:r w:rsidRPr="00243BA6">
        <w:rPr>
          <w:rFonts w:ascii="Arial" w:hAnsi="Arial" w:cs="Arial"/>
        </w:rPr>
        <w:t xml:space="preserve"> </w:t>
      </w:r>
      <w:r w:rsidRPr="00243BA6">
        <w:rPr>
          <w:rFonts w:ascii="Arial" w:hAnsi="Arial" w:cs="Arial"/>
          <w:b/>
        </w:rPr>
        <w:t>CBT</w:t>
      </w:r>
      <w:r w:rsidR="006A0153" w:rsidRPr="00243BA6">
        <w:rPr>
          <w:rFonts w:ascii="Arial" w:hAnsi="Arial" w:cs="Arial"/>
          <w:b/>
        </w:rPr>
        <w:t xml:space="preserve"> &amp; Counselling</w:t>
      </w:r>
      <w:r w:rsidR="006A0153" w:rsidRPr="00243BA6">
        <w:rPr>
          <w:rFonts w:ascii="Arial" w:hAnsi="Arial" w:cs="Arial"/>
        </w:rPr>
        <w:t xml:space="preserve"> </w:t>
      </w:r>
      <w:r w:rsidRPr="00243BA6">
        <w:rPr>
          <w:rFonts w:ascii="Arial" w:hAnsi="Arial" w:cs="Arial"/>
        </w:rPr>
        <w:t>–</w:t>
      </w:r>
      <w:r w:rsidR="00024D76" w:rsidRPr="00243BA6">
        <w:rPr>
          <w:rFonts w:ascii="Arial" w:hAnsi="Arial" w:cs="Arial"/>
        </w:rPr>
        <w:t xml:space="preserve"> </w:t>
      </w:r>
      <w:r w:rsidR="006A0153" w:rsidRPr="00243BA6">
        <w:rPr>
          <w:rFonts w:ascii="Arial" w:hAnsi="Arial" w:cs="Arial"/>
        </w:rPr>
        <w:t>Ongoing accommodation issues are preventing IAPT services from achieving access targets</w:t>
      </w:r>
      <w:r w:rsidR="00024D76" w:rsidRPr="00243BA6">
        <w:rPr>
          <w:rFonts w:ascii="Arial" w:hAnsi="Arial" w:cs="Arial"/>
        </w:rPr>
        <w:t>.</w:t>
      </w:r>
      <w:r w:rsidR="006A0153" w:rsidRPr="00243BA6">
        <w:rPr>
          <w:rFonts w:ascii="Arial" w:hAnsi="Arial" w:cs="Arial"/>
        </w:rPr>
        <w:t xml:space="preserve">  T</w:t>
      </w:r>
      <w:r w:rsidR="006442D9">
        <w:rPr>
          <w:rFonts w:ascii="Arial" w:hAnsi="Arial" w:cs="Arial"/>
        </w:rPr>
        <w:t>he issue has been escalated to C</w:t>
      </w:r>
      <w:r w:rsidR="006A0153" w:rsidRPr="00243BA6">
        <w:rPr>
          <w:rFonts w:ascii="Arial" w:hAnsi="Arial" w:cs="Arial"/>
        </w:rPr>
        <w:t>ommissioners who are working with the Trust to identify suitable solutions.</w:t>
      </w:r>
      <w:r w:rsidR="00243BA6">
        <w:rPr>
          <w:rFonts w:ascii="Arial" w:hAnsi="Arial" w:cs="Arial"/>
        </w:rPr>
        <w:t xml:space="preserve">   This issue has now been highlighted for three consecutive months so a review with Execs will be arranged.</w:t>
      </w:r>
    </w:p>
    <w:p w14:paraId="420DC536" w14:textId="77777777" w:rsidR="00F678C9" w:rsidRPr="00EE1C5E" w:rsidRDefault="00F678C9" w:rsidP="00F678C9">
      <w:pPr>
        <w:pStyle w:val="ListParagraph"/>
        <w:jc w:val="both"/>
        <w:rPr>
          <w:rFonts w:ascii="Arial" w:hAnsi="Arial" w:cs="Arial"/>
        </w:rPr>
      </w:pPr>
      <w:r w:rsidRPr="00EE1C5E">
        <w:rPr>
          <w:rFonts w:ascii="Arial" w:hAnsi="Arial" w:cs="Arial"/>
        </w:rPr>
        <w:t xml:space="preserve">  </w:t>
      </w:r>
    </w:p>
    <w:p w14:paraId="25537618" w14:textId="77777777" w:rsidR="00F678C9" w:rsidRDefault="00F678C9" w:rsidP="00F678C9">
      <w:pPr>
        <w:pStyle w:val="ListParagraph"/>
        <w:numPr>
          <w:ilvl w:val="0"/>
          <w:numId w:val="10"/>
        </w:numPr>
        <w:jc w:val="both"/>
        <w:rPr>
          <w:rFonts w:ascii="Arial" w:hAnsi="Arial" w:cs="Arial"/>
        </w:rPr>
      </w:pPr>
      <w:r w:rsidRPr="00FB07D8">
        <w:rPr>
          <w:rFonts w:ascii="Arial" w:hAnsi="Arial" w:cs="Arial"/>
          <w:b/>
        </w:rPr>
        <w:t>Cluster Reviews</w:t>
      </w:r>
      <w:r>
        <w:rPr>
          <w:rFonts w:ascii="Arial" w:hAnsi="Arial" w:cs="Arial"/>
        </w:rPr>
        <w:t xml:space="preserve"> – </w:t>
      </w:r>
      <w:r w:rsidR="00E45B62">
        <w:rPr>
          <w:rFonts w:ascii="Arial" w:hAnsi="Arial" w:cs="Arial"/>
        </w:rPr>
        <w:t>The cluster review</w:t>
      </w:r>
      <w:r>
        <w:rPr>
          <w:rFonts w:ascii="Arial" w:hAnsi="Arial" w:cs="Arial"/>
        </w:rPr>
        <w:t xml:space="preserve"> indicators continue to be below target though </w:t>
      </w:r>
      <w:r w:rsidR="006C1F9B">
        <w:rPr>
          <w:rFonts w:ascii="Arial" w:hAnsi="Arial" w:cs="Arial"/>
        </w:rPr>
        <w:t>improvements continue to be made</w:t>
      </w:r>
      <w:r>
        <w:rPr>
          <w:rFonts w:ascii="Arial" w:hAnsi="Arial" w:cs="Arial"/>
        </w:rPr>
        <w:t xml:space="preserve">.  Operational staff </w:t>
      </w:r>
      <w:r w:rsidR="006C1F9B">
        <w:rPr>
          <w:rFonts w:ascii="Arial" w:hAnsi="Arial" w:cs="Arial"/>
        </w:rPr>
        <w:t>are being regularly</w:t>
      </w:r>
      <w:r>
        <w:rPr>
          <w:rFonts w:ascii="Arial" w:hAnsi="Arial" w:cs="Arial"/>
        </w:rPr>
        <w:t xml:space="preserve"> reminded of the importance of clustering within the agreed timescales. </w:t>
      </w:r>
      <w:r w:rsidR="000A18FE">
        <w:rPr>
          <w:rFonts w:ascii="Arial" w:hAnsi="Arial" w:cs="Arial"/>
        </w:rPr>
        <w:t xml:space="preserve"> This issue has been reported for several consecutive months so </w:t>
      </w:r>
      <w:r w:rsidR="00972958">
        <w:rPr>
          <w:rFonts w:ascii="Arial" w:hAnsi="Arial" w:cs="Arial"/>
        </w:rPr>
        <w:t>a</w:t>
      </w:r>
      <w:r w:rsidR="000A18FE">
        <w:rPr>
          <w:rFonts w:ascii="Arial" w:hAnsi="Arial" w:cs="Arial"/>
        </w:rPr>
        <w:t xml:space="preserve"> review with the Operations Management Team will be arranged.</w:t>
      </w:r>
      <w:r>
        <w:rPr>
          <w:rFonts w:ascii="Arial" w:hAnsi="Arial" w:cs="Arial"/>
        </w:rPr>
        <w:t xml:space="preserve"> </w:t>
      </w:r>
    </w:p>
    <w:p w14:paraId="0DE64985" w14:textId="77777777" w:rsidR="00311FA4" w:rsidRPr="00311FA4" w:rsidRDefault="00311FA4" w:rsidP="00311FA4">
      <w:pPr>
        <w:pStyle w:val="ListParagraph"/>
        <w:rPr>
          <w:rFonts w:ascii="Arial" w:hAnsi="Arial" w:cs="Arial"/>
        </w:rPr>
      </w:pPr>
    </w:p>
    <w:p w14:paraId="569F1BC7" w14:textId="77777777" w:rsidR="00311FA4" w:rsidRDefault="00311FA4" w:rsidP="00F678C9">
      <w:pPr>
        <w:pStyle w:val="ListParagraph"/>
        <w:numPr>
          <w:ilvl w:val="0"/>
          <w:numId w:val="10"/>
        </w:numPr>
        <w:jc w:val="both"/>
        <w:rPr>
          <w:rFonts w:ascii="Arial" w:hAnsi="Arial" w:cs="Arial"/>
        </w:rPr>
      </w:pPr>
      <w:r>
        <w:rPr>
          <w:rFonts w:ascii="Arial" w:hAnsi="Arial" w:cs="Arial"/>
          <w:i/>
        </w:rPr>
        <w:t xml:space="preserve">Due to the timing of the Board, the </w:t>
      </w:r>
      <w:proofErr w:type="spellStart"/>
      <w:r>
        <w:rPr>
          <w:rFonts w:ascii="Arial" w:hAnsi="Arial" w:cs="Arial"/>
          <w:i/>
        </w:rPr>
        <w:t>Swindon</w:t>
      </w:r>
      <w:proofErr w:type="spellEnd"/>
      <w:r>
        <w:rPr>
          <w:rFonts w:ascii="Arial" w:hAnsi="Arial" w:cs="Arial"/>
          <w:i/>
        </w:rPr>
        <w:t xml:space="preserve">, Wiltshire &amp; Bath and </w:t>
      </w:r>
      <w:proofErr w:type="gramStart"/>
      <w:r>
        <w:rPr>
          <w:rFonts w:ascii="Arial" w:hAnsi="Arial" w:cs="Arial"/>
          <w:i/>
        </w:rPr>
        <w:t>North East</w:t>
      </w:r>
      <w:proofErr w:type="gramEnd"/>
      <w:r>
        <w:rPr>
          <w:rFonts w:ascii="Arial" w:hAnsi="Arial" w:cs="Arial"/>
          <w:i/>
        </w:rPr>
        <w:t xml:space="preserve"> Somerset (</w:t>
      </w:r>
      <w:proofErr w:type="spellStart"/>
      <w:r>
        <w:rPr>
          <w:rFonts w:ascii="Arial" w:hAnsi="Arial" w:cs="Arial"/>
          <w:i/>
        </w:rPr>
        <w:t>BaNES</w:t>
      </w:r>
      <w:proofErr w:type="spellEnd"/>
      <w:r>
        <w:rPr>
          <w:rFonts w:ascii="Arial" w:hAnsi="Arial" w:cs="Arial"/>
          <w:i/>
        </w:rPr>
        <w:t>) CAMHS information was not available at the time this report was produced.  It will be updated prior to the publication on the Trust website</w:t>
      </w:r>
    </w:p>
    <w:p w14:paraId="30F97E6E" w14:textId="77777777" w:rsidR="003623C4" w:rsidRPr="003623C4" w:rsidRDefault="003623C4" w:rsidP="003623C4">
      <w:pPr>
        <w:pStyle w:val="ListParagraph"/>
        <w:rPr>
          <w:rFonts w:ascii="Arial" w:hAnsi="Arial" w:cs="Arial"/>
        </w:rPr>
      </w:pPr>
    </w:p>
    <w:p w14:paraId="6E741355" w14:textId="77777777" w:rsidR="00F94979" w:rsidRDefault="00F678C9" w:rsidP="00F94979">
      <w:pPr>
        <w:rPr>
          <w:rFonts w:ascii="Arial" w:hAnsi="Arial" w:cs="Arial"/>
          <w:b/>
        </w:rPr>
      </w:pPr>
      <w:r>
        <w:rPr>
          <w:rFonts w:ascii="Arial" w:hAnsi="Arial" w:cs="Arial"/>
          <w:b/>
        </w:rPr>
        <w:t>Buckinghamshire</w:t>
      </w:r>
      <w:r w:rsidR="00F94979">
        <w:rPr>
          <w:rFonts w:ascii="Arial" w:hAnsi="Arial" w:cs="Arial"/>
          <w:b/>
        </w:rPr>
        <w:t xml:space="preserve"> – All Ages Mental Health</w:t>
      </w:r>
    </w:p>
    <w:p w14:paraId="761687C1" w14:textId="77777777" w:rsidR="00AF1F04" w:rsidRDefault="00AF1F04" w:rsidP="00F94979">
      <w:pPr>
        <w:rPr>
          <w:rFonts w:ascii="Arial" w:hAnsi="Arial" w:cs="Arial"/>
          <w:b/>
        </w:rPr>
      </w:pPr>
    </w:p>
    <w:p w14:paraId="5962FC42" w14:textId="77777777" w:rsidR="00AF1F04" w:rsidRDefault="00AF1F04" w:rsidP="00AF1F04">
      <w:pPr>
        <w:jc w:val="both"/>
        <w:rPr>
          <w:rFonts w:ascii="Arial" w:hAnsi="Arial" w:cs="Arial"/>
        </w:rPr>
      </w:pPr>
      <w:r>
        <w:rPr>
          <w:rFonts w:ascii="Arial" w:hAnsi="Arial" w:cs="Arial"/>
        </w:rPr>
        <w:t>The Directorate achieved 93</w:t>
      </w:r>
      <w:r w:rsidRPr="00F37E0C">
        <w:rPr>
          <w:rFonts w:ascii="Arial" w:hAnsi="Arial" w:cs="Arial"/>
        </w:rPr>
        <w:t>%</w:t>
      </w:r>
      <w:r>
        <w:rPr>
          <w:rFonts w:ascii="Arial" w:hAnsi="Arial" w:cs="Arial"/>
        </w:rPr>
        <w:t xml:space="preserve"> compliance in May against the contracted targets.  </w:t>
      </w:r>
    </w:p>
    <w:p w14:paraId="457467A3" w14:textId="77777777" w:rsidR="00C235AF" w:rsidRDefault="00C235AF" w:rsidP="00AF1F04">
      <w:pPr>
        <w:jc w:val="both"/>
        <w:rPr>
          <w:rFonts w:ascii="Arial" w:hAnsi="Arial" w:cs="Arial"/>
        </w:rPr>
      </w:pPr>
    </w:p>
    <w:p w14:paraId="1DB8B521" w14:textId="77777777" w:rsidR="00C235AF" w:rsidRDefault="00C235AF" w:rsidP="00C235AF">
      <w:pPr>
        <w:jc w:val="both"/>
        <w:rPr>
          <w:rFonts w:ascii="Arial" w:hAnsi="Arial" w:cs="Arial"/>
        </w:rPr>
      </w:pPr>
      <w:r>
        <w:rPr>
          <w:rFonts w:ascii="Arial" w:hAnsi="Arial" w:cs="Arial"/>
        </w:rPr>
        <w:t xml:space="preserve">In looking at the performance trends and identifying areas where further action is required, the following </w:t>
      </w:r>
      <w:r w:rsidR="006E2ED9">
        <w:rPr>
          <w:rFonts w:ascii="Arial" w:hAnsi="Arial" w:cs="Arial"/>
        </w:rPr>
        <w:t>issue</w:t>
      </w:r>
      <w:r>
        <w:rPr>
          <w:rFonts w:ascii="Arial" w:hAnsi="Arial" w:cs="Arial"/>
        </w:rPr>
        <w:t xml:space="preserve"> </w:t>
      </w:r>
      <w:r w:rsidR="006E2ED9">
        <w:rPr>
          <w:rFonts w:ascii="Arial" w:hAnsi="Arial" w:cs="Arial"/>
        </w:rPr>
        <w:t>will be reviewed by</w:t>
      </w:r>
      <w:r>
        <w:rPr>
          <w:rFonts w:ascii="Arial" w:hAnsi="Arial" w:cs="Arial"/>
        </w:rPr>
        <w:t xml:space="preserve"> the Operations Management Team</w:t>
      </w:r>
      <w:r w:rsidR="006E2ED9">
        <w:rPr>
          <w:rFonts w:ascii="Arial" w:hAnsi="Arial" w:cs="Arial"/>
        </w:rPr>
        <w:t xml:space="preserve"> as it has been reported for three consecutive months</w:t>
      </w:r>
      <w:r>
        <w:rPr>
          <w:rFonts w:ascii="Arial" w:hAnsi="Arial" w:cs="Arial"/>
        </w:rPr>
        <w:t>:</w:t>
      </w:r>
    </w:p>
    <w:p w14:paraId="52096F74" w14:textId="77777777" w:rsidR="000161D5" w:rsidRDefault="000161D5" w:rsidP="001E3511">
      <w:pPr>
        <w:jc w:val="both"/>
        <w:rPr>
          <w:rFonts w:ascii="Arial" w:hAnsi="Arial" w:cs="Arial"/>
        </w:rPr>
      </w:pPr>
    </w:p>
    <w:p w14:paraId="4F05A562" w14:textId="77777777" w:rsidR="00F678C9" w:rsidRDefault="00F678C9" w:rsidP="00F678C9">
      <w:pPr>
        <w:pStyle w:val="ListParagraph"/>
        <w:numPr>
          <w:ilvl w:val="0"/>
          <w:numId w:val="10"/>
        </w:numPr>
        <w:jc w:val="both"/>
        <w:rPr>
          <w:rFonts w:ascii="Arial" w:hAnsi="Arial" w:cs="Arial"/>
        </w:rPr>
      </w:pPr>
      <w:r w:rsidRPr="00E54343">
        <w:rPr>
          <w:rFonts w:ascii="Arial" w:hAnsi="Arial" w:cs="Arial"/>
          <w:b/>
        </w:rPr>
        <w:t>Care Reviews</w:t>
      </w:r>
      <w:r w:rsidRPr="00E54343">
        <w:rPr>
          <w:rFonts w:ascii="Arial" w:hAnsi="Arial" w:cs="Arial"/>
        </w:rPr>
        <w:t xml:space="preserve"> - Analysis of the performance data has shown that timescales for care reviews specifically in </w:t>
      </w:r>
      <w:proofErr w:type="spellStart"/>
      <w:r w:rsidRPr="00E54343">
        <w:rPr>
          <w:rFonts w:ascii="Arial" w:hAnsi="Arial" w:cs="Arial"/>
        </w:rPr>
        <w:t>Aylesbury</w:t>
      </w:r>
      <w:proofErr w:type="spellEnd"/>
      <w:r w:rsidRPr="00E54343">
        <w:rPr>
          <w:rFonts w:ascii="Arial" w:hAnsi="Arial" w:cs="Arial"/>
        </w:rPr>
        <w:t xml:space="preserve"> continue to be below target.  </w:t>
      </w:r>
      <w:r>
        <w:rPr>
          <w:rFonts w:ascii="Arial" w:hAnsi="Arial" w:cs="Arial"/>
        </w:rPr>
        <w:t xml:space="preserve">Service leads continue to work with operational services to improve this position and performance </w:t>
      </w:r>
      <w:r w:rsidR="004B6756">
        <w:rPr>
          <w:rFonts w:ascii="Arial" w:hAnsi="Arial" w:cs="Arial"/>
        </w:rPr>
        <w:t>is being closely monitored</w:t>
      </w:r>
      <w:r w:rsidR="00F365C2">
        <w:rPr>
          <w:rFonts w:ascii="Arial" w:hAnsi="Arial" w:cs="Arial"/>
        </w:rPr>
        <w:t xml:space="preserve">.  </w:t>
      </w:r>
    </w:p>
    <w:p w14:paraId="26A67E30" w14:textId="77777777" w:rsidR="00FF028F" w:rsidRDefault="00FF028F" w:rsidP="00F365C2">
      <w:pPr>
        <w:jc w:val="both"/>
        <w:rPr>
          <w:rFonts w:ascii="Arial" w:hAnsi="Arial" w:cs="Arial"/>
        </w:rPr>
      </w:pPr>
    </w:p>
    <w:p w14:paraId="5C43CC41" w14:textId="77777777" w:rsidR="00F365C2" w:rsidRDefault="00F365C2" w:rsidP="00F365C2">
      <w:pPr>
        <w:jc w:val="both"/>
        <w:rPr>
          <w:rFonts w:ascii="Arial" w:hAnsi="Arial" w:cs="Arial"/>
        </w:rPr>
      </w:pPr>
    </w:p>
    <w:p w14:paraId="2FFFCB22" w14:textId="77777777" w:rsidR="00F365C2" w:rsidRDefault="00F365C2" w:rsidP="00F365C2">
      <w:pPr>
        <w:jc w:val="both"/>
        <w:rPr>
          <w:rFonts w:ascii="Arial" w:hAnsi="Arial" w:cs="Arial"/>
        </w:rPr>
      </w:pPr>
    </w:p>
    <w:p w14:paraId="032091F3" w14:textId="77777777" w:rsidR="00F365C2" w:rsidRPr="00F365C2" w:rsidRDefault="00F365C2" w:rsidP="00F365C2">
      <w:pPr>
        <w:jc w:val="both"/>
        <w:rPr>
          <w:rFonts w:ascii="Arial" w:hAnsi="Arial" w:cs="Arial"/>
        </w:rPr>
      </w:pPr>
    </w:p>
    <w:p w14:paraId="138BCC68" w14:textId="77777777" w:rsidR="00F678C9" w:rsidRDefault="00F678C9" w:rsidP="00F678C9">
      <w:pPr>
        <w:pStyle w:val="ListParagraph"/>
        <w:jc w:val="both"/>
        <w:rPr>
          <w:rFonts w:ascii="Arial" w:hAnsi="Arial" w:cs="Arial"/>
        </w:rPr>
      </w:pPr>
    </w:p>
    <w:p w14:paraId="752D5CF0" w14:textId="77777777" w:rsidR="000161D5" w:rsidRDefault="000161D5" w:rsidP="001E3511">
      <w:pPr>
        <w:jc w:val="both"/>
        <w:rPr>
          <w:rFonts w:ascii="Arial" w:hAnsi="Arial" w:cs="Arial"/>
          <w:b/>
        </w:rPr>
      </w:pPr>
      <w:r w:rsidRPr="000161D5">
        <w:rPr>
          <w:rFonts w:ascii="Arial" w:hAnsi="Arial" w:cs="Arial"/>
          <w:b/>
        </w:rPr>
        <w:lastRenderedPageBreak/>
        <w:t>Oxfordshire Community Services Directorate</w:t>
      </w:r>
    </w:p>
    <w:p w14:paraId="68536C01" w14:textId="77777777" w:rsidR="00095E41" w:rsidRDefault="00095E41" w:rsidP="001E3511">
      <w:pPr>
        <w:jc w:val="both"/>
        <w:rPr>
          <w:rFonts w:ascii="Arial" w:hAnsi="Arial" w:cs="Arial"/>
          <w:b/>
        </w:rPr>
      </w:pPr>
    </w:p>
    <w:p w14:paraId="63635647" w14:textId="77777777" w:rsidR="00095E41" w:rsidRDefault="00095E41" w:rsidP="00095E41">
      <w:pPr>
        <w:jc w:val="both"/>
        <w:rPr>
          <w:rFonts w:ascii="Arial" w:hAnsi="Arial" w:cs="Arial"/>
        </w:rPr>
      </w:pPr>
      <w:r>
        <w:rPr>
          <w:rFonts w:ascii="Arial" w:hAnsi="Arial" w:cs="Arial"/>
        </w:rPr>
        <w:t>The Directorate achieved 68</w:t>
      </w:r>
      <w:r w:rsidRPr="00F37E0C">
        <w:rPr>
          <w:rFonts w:ascii="Arial" w:hAnsi="Arial" w:cs="Arial"/>
        </w:rPr>
        <w:t>%</w:t>
      </w:r>
      <w:r>
        <w:rPr>
          <w:rFonts w:ascii="Arial" w:hAnsi="Arial" w:cs="Arial"/>
        </w:rPr>
        <w:t xml:space="preserve"> compliance in May against the contracted targets.  </w:t>
      </w:r>
    </w:p>
    <w:p w14:paraId="74F1BB8E" w14:textId="77777777" w:rsidR="00095E41" w:rsidRDefault="00095E41" w:rsidP="00095E41">
      <w:pPr>
        <w:jc w:val="both"/>
        <w:rPr>
          <w:rFonts w:ascii="Arial" w:hAnsi="Arial" w:cs="Arial"/>
        </w:rPr>
      </w:pPr>
    </w:p>
    <w:p w14:paraId="78B527A6" w14:textId="77777777" w:rsidR="00095E41" w:rsidRDefault="00095E41" w:rsidP="00095E41">
      <w:pPr>
        <w:jc w:val="both"/>
        <w:rPr>
          <w:rFonts w:ascii="Arial" w:hAnsi="Arial" w:cs="Arial"/>
        </w:rPr>
      </w:pPr>
      <w:r>
        <w:rPr>
          <w:rFonts w:ascii="Arial" w:hAnsi="Arial" w:cs="Arial"/>
        </w:rPr>
        <w:t>In looking at the performance trends and identifying areas where further action is required, the following issues have been highlighted to the Operations Management Team:</w:t>
      </w:r>
    </w:p>
    <w:p w14:paraId="58BF0F41" w14:textId="77777777" w:rsidR="001B6EEE" w:rsidRDefault="001B6EEE" w:rsidP="001B6EEE">
      <w:pPr>
        <w:pStyle w:val="ListParagraph"/>
        <w:rPr>
          <w:rFonts w:ascii="Arial" w:hAnsi="Arial" w:cs="Arial"/>
          <w:b/>
        </w:rPr>
      </w:pPr>
    </w:p>
    <w:p w14:paraId="34B90582" w14:textId="77777777" w:rsidR="000161D5" w:rsidRPr="00014344" w:rsidRDefault="000161D5" w:rsidP="000161D5">
      <w:pPr>
        <w:pStyle w:val="ListParagraph"/>
        <w:numPr>
          <w:ilvl w:val="0"/>
          <w:numId w:val="10"/>
        </w:numPr>
        <w:jc w:val="both"/>
        <w:rPr>
          <w:rFonts w:ascii="Arial" w:hAnsi="Arial" w:cs="Arial"/>
          <w:b/>
        </w:rPr>
      </w:pPr>
      <w:r w:rsidRPr="00014344">
        <w:rPr>
          <w:rFonts w:ascii="Arial" w:hAnsi="Arial" w:cs="Arial"/>
          <w:b/>
        </w:rPr>
        <w:t>The Out of Hours (OOH) Services</w:t>
      </w:r>
      <w:r w:rsidRPr="00014344">
        <w:rPr>
          <w:rFonts w:ascii="Arial" w:hAnsi="Arial" w:cs="Arial"/>
        </w:rPr>
        <w:t xml:space="preserve">.  Services remain under pressure </w:t>
      </w:r>
      <w:r w:rsidR="002D3AAD" w:rsidRPr="00014344">
        <w:rPr>
          <w:rFonts w:ascii="Arial" w:hAnsi="Arial" w:cs="Arial"/>
        </w:rPr>
        <w:t xml:space="preserve">but </w:t>
      </w:r>
      <w:r w:rsidR="00232D15" w:rsidRPr="00014344">
        <w:rPr>
          <w:rFonts w:ascii="Arial" w:hAnsi="Arial" w:cs="Arial"/>
        </w:rPr>
        <w:t>only 1 of the</w:t>
      </w:r>
      <w:r w:rsidRPr="00014344">
        <w:rPr>
          <w:rFonts w:ascii="Arial" w:hAnsi="Arial" w:cs="Arial"/>
        </w:rPr>
        <w:t xml:space="preserve"> 9 indicators</w:t>
      </w:r>
      <w:r w:rsidR="002D3AAD" w:rsidRPr="00014344">
        <w:rPr>
          <w:rFonts w:ascii="Arial" w:hAnsi="Arial" w:cs="Arial"/>
        </w:rPr>
        <w:t xml:space="preserve"> were</w:t>
      </w:r>
      <w:r w:rsidRPr="00014344">
        <w:rPr>
          <w:rFonts w:ascii="Arial" w:hAnsi="Arial" w:cs="Arial"/>
        </w:rPr>
        <w:t xml:space="preserve"> below the exception reporting threshold </w:t>
      </w:r>
      <w:r w:rsidR="002D3AAD" w:rsidRPr="00014344">
        <w:rPr>
          <w:rFonts w:ascii="Arial" w:hAnsi="Arial" w:cs="Arial"/>
        </w:rPr>
        <w:t xml:space="preserve">in </w:t>
      </w:r>
      <w:r w:rsidR="00232D15" w:rsidRPr="00014344">
        <w:rPr>
          <w:rFonts w:ascii="Arial" w:hAnsi="Arial" w:cs="Arial"/>
        </w:rPr>
        <w:t>May (</w:t>
      </w:r>
      <w:r w:rsidR="002D3AAD" w:rsidRPr="00014344">
        <w:rPr>
          <w:rFonts w:ascii="Arial" w:hAnsi="Arial" w:cs="Arial"/>
        </w:rPr>
        <w:t xml:space="preserve">unfilled clinical shifts). </w:t>
      </w:r>
      <w:r w:rsidR="00232D15" w:rsidRPr="00014344">
        <w:rPr>
          <w:rFonts w:ascii="Arial" w:hAnsi="Arial" w:cs="Arial"/>
        </w:rPr>
        <w:t xml:space="preserve"> </w:t>
      </w:r>
      <w:r w:rsidRPr="00014344">
        <w:rPr>
          <w:rFonts w:ascii="Arial" w:hAnsi="Arial" w:cs="Arial"/>
        </w:rPr>
        <w:t xml:space="preserve">The service continues to ensure that every patient is safe whilst under OOH care and </w:t>
      </w:r>
      <w:r w:rsidR="002D3AAD" w:rsidRPr="00014344">
        <w:rPr>
          <w:rFonts w:ascii="Arial" w:hAnsi="Arial" w:cs="Arial"/>
        </w:rPr>
        <w:t xml:space="preserve">work to improve </w:t>
      </w:r>
      <w:r w:rsidR="004A7F6B" w:rsidRPr="00014344">
        <w:rPr>
          <w:rFonts w:ascii="Arial" w:hAnsi="Arial" w:cs="Arial"/>
        </w:rPr>
        <w:t>performance</w:t>
      </w:r>
      <w:r w:rsidR="002D3AAD" w:rsidRPr="00014344">
        <w:rPr>
          <w:rFonts w:ascii="Arial" w:hAnsi="Arial" w:cs="Arial"/>
        </w:rPr>
        <w:t xml:space="preserve"> continues</w:t>
      </w:r>
      <w:r w:rsidRPr="00014344">
        <w:rPr>
          <w:rFonts w:ascii="Arial" w:hAnsi="Arial" w:cs="Arial"/>
        </w:rPr>
        <w:t xml:space="preserve">.  </w:t>
      </w:r>
    </w:p>
    <w:p w14:paraId="39151E59" w14:textId="77777777" w:rsidR="000161D5" w:rsidRPr="007847D9" w:rsidRDefault="000161D5" w:rsidP="000161D5">
      <w:pPr>
        <w:pStyle w:val="ListParagraph"/>
        <w:jc w:val="both"/>
        <w:rPr>
          <w:rFonts w:ascii="Arial" w:hAnsi="Arial" w:cs="Arial"/>
          <w:b/>
        </w:rPr>
      </w:pPr>
    </w:p>
    <w:p w14:paraId="7A3A192A" w14:textId="77777777" w:rsidR="000161D5" w:rsidRPr="00014344" w:rsidRDefault="000161D5" w:rsidP="00826EA5">
      <w:pPr>
        <w:pStyle w:val="ListParagraph"/>
        <w:numPr>
          <w:ilvl w:val="0"/>
          <w:numId w:val="10"/>
        </w:numPr>
        <w:jc w:val="both"/>
        <w:rPr>
          <w:rFonts w:ascii="Arial" w:hAnsi="Arial" w:cs="Arial"/>
          <w:b/>
        </w:rPr>
      </w:pPr>
      <w:r w:rsidRPr="00014344">
        <w:rPr>
          <w:rFonts w:ascii="Arial" w:hAnsi="Arial" w:cs="Arial"/>
          <w:b/>
        </w:rPr>
        <w:t>Physical Disabilities Physiotherapy Service</w:t>
      </w:r>
      <w:r w:rsidR="00574A97" w:rsidRPr="00014344">
        <w:rPr>
          <w:rFonts w:ascii="Arial" w:hAnsi="Arial" w:cs="Arial"/>
          <w:b/>
        </w:rPr>
        <w:t xml:space="preserve"> (PDPS)</w:t>
      </w:r>
      <w:r w:rsidRPr="00014344">
        <w:rPr>
          <w:rFonts w:ascii="Arial" w:hAnsi="Arial" w:cs="Arial"/>
          <w:b/>
        </w:rPr>
        <w:t xml:space="preserve">.  </w:t>
      </w:r>
      <w:r w:rsidR="00C56C95" w:rsidRPr="00014344">
        <w:rPr>
          <w:rFonts w:ascii="Arial" w:hAnsi="Arial" w:cs="Arial"/>
        </w:rPr>
        <w:t>At the contract review meeting held in early June 2018, Oxfordshire CCG asked for a further month to review the position again p</w:t>
      </w:r>
      <w:r w:rsidR="0024001F" w:rsidRPr="00014344">
        <w:rPr>
          <w:rFonts w:ascii="Arial" w:hAnsi="Arial" w:cs="Arial"/>
        </w:rPr>
        <w:t>rior to agreeing to reduce</w:t>
      </w:r>
      <w:r w:rsidR="00C56C95" w:rsidRPr="00014344">
        <w:rPr>
          <w:rFonts w:ascii="Arial" w:hAnsi="Arial" w:cs="Arial"/>
        </w:rPr>
        <w:t xml:space="preserve"> the performance target to 50% from the existing 95%</w:t>
      </w:r>
      <w:r w:rsidR="00574A97" w:rsidRPr="00014344">
        <w:rPr>
          <w:rFonts w:ascii="Arial" w:hAnsi="Arial" w:cs="Arial"/>
        </w:rPr>
        <w:t xml:space="preserve">.  </w:t>
      </w:r>
      <w:r w:rsidR="0024001F" w:rsidRPr="00014344">
        <w:rPr>
          <w:rFonts w:ascii="Arial" w:hAnsi="Arial" w:cs="Arial"/>
        </w:rPr>
        <w:t>The position will be confirmed in July.</w:t>
      </w:r>
    </w:p>
    <w:p w14:paraId="21E4627C" w14:textId="77777777" w:rsidR="00014344" w:rsidRPr="00014344" w:rsidRDefault="00014344" w:rsidP="00014344">
      <w:pPr>
        <w:pStyle w:val="ListParagraph"/>
        <w:rPr>
          <w:rFonts w:ascii="Arial" w:hAnsi="Arial" w:cs="Arial"/>
          <w:b/>
        </w:rPr>
      </w:pPr>
    </w:p>
    <w:p w14:paraId="51A2FD32" w14:textId="77777777" w:rsidR="00014344" w:rsidRPr="00014344" w:rsidRDefault="00014344" w:rsidP="00826EA5">
      <w:pPr>
        <w:pStyle w:val="ListParagraph"/>
        <w:numPr>
          <w:ilvl w:val="0"/>
          <w:numId w:val="10"/>
        </w:numPr>
        <w:jc w:val="both"/>
        <w:rPr>
          <w:rFonts w:ascii="Arial" w:hAnsi="Arial" w:cs="Arial"/>
          <w:b/>
        </w:rPr>
      </w:pPr>
      <w:r>
        <w:rPr>
          <w:rFonts w:ascii="Arial" w:hAnsi="Arial" w:cs="Arial"/>
          <w:b/>
        </w:rPr>
        <w:t xml:space="preserve">Stroke Therapies – </w:t>
      </w:r>
      <w:r>
        <w:rPr>
          <w:rFonts w:ascii="Arial" w:hAnsi="Arial" w:cs="Arial"/>
        </w:rPr>
        <w:t xml:space="preserve">Workforce pressures continue to affect the Trust’s ability to achieve the targets set for physiotherapy, occupational therapy, </w:t>
      </w:r>
      <w:r w:rsidR="00E8760A">
        <w:rPr>
          <w:rFonts w:ascii="Arial" w:hAnsi="Arial" w:cs="Arial"/>
        </w:rPr>
        <w:t xml:space="preserve">and speech and language therapy.  Actions have already been taken to </w:t>
      </w:r>
      <w:proofErr w:type="spellStart"/>
      <w:r w:rsidR="00E8760A">
        <w:rPr>
          <w:rFonts w:ascii="Arial" w:hAnsi="Arial" w:cs="Arial"/>
        </w:rPr>
        <w:t>maximise</w:t>
      </w:r>
      <w:proofErr w:type="spellEnd"/>
      <w:r w:rsidR="00E8760A">
        <w:rPr>
          <w:rFonts w:ascii="Arial" w:hAnsi="Arial" w:cs="Arial"/>
        </w:rPr>
        <w:t xml:space="preserve"> the available appointments and this position will continue to be monitored closely.</w:t>
      </w:r>
    </w:p>
    <w:p w14:paraId="74D8524F" w14:textId="77777777" w:rsidR="00FC4EF6" w:rsidRDefault="00FC4EF6" w:rsidP="00F678C9">
      <w:pPr>
        <w:jc w:val="both"/>
        <w:rPr>
          <w:rFonts w:ascii="Arial" w:hAnsi="Arial" w:cs="Arial"/>
          <w:b/>
        </w:rPr>
      </w:pPr>
    </w:p>
    <w:p w14:paraId="29DA972A" w14:textId="77777777" w:rsidR="00F678C9" w:rsidRDefault="00F678C9" w:rsidP="00F678C9">
      <w:pPr>
        <w:jc w:val="both"/>
        <w:rPr>
          <w:rFonts w:ascii="Arial" w:hAnsi="Arial" w:cs="Arial"/>
          <w:b/>
        </w:rPr>
      </w:pPr>
      <w:r>
        <w:rPr>
          <w:rFonts w:ascii="Arial" w:hAnsi="Arial" w:cs="Arial"/>
          <w:b/>
        </w:rPr>
        <w:t>Specialist</w:t>
      </w:r>
      <w:r w:rsidRPr="000161D5">
        <w:rPr>
          <w:rFonts w:ascii="Arial" w:hAnsi="Arial" w:cs="Arial"/>
          <w:b/>
        </w:rPr>
        <w:t xml:space="preserve"> Services Directorate</w:t>
      </w:r>
    </w:p>
    <w:p w14:paraId="41E5E07A" w14:textId="77777777" w:rsidR="000B1EC0" w:rsidRDefault="000B1EC0" w:rsidP="00F678C9">
      <w:pPr>
        <w:jc w:val="both"/>
        <w:rPr>
          <w:rFonts w:ascii="Arial" w:hAnsi="Arial" w:cs="Arial"/>
          <w:b/>
        </w:rPr>
      </w:pPr>
    </w:p>
    <w:p w14:paraId="2AE18755" w14:textId="77777777" w:rsidR="000B1EC0" w:rsidRDefault="000B1EC0" w:rsidP="000B1EC0">
      <w:pPr>
        <w:jc w:val="both"/>
        <w:rPr>
          <w:rFonts w:ascii="Arial" w:hAnsi="Arial" w:cs="Arial"/>
        </w:rPr>
      </w:pPr>
      <w:r>
        <w:rPr>
          <w:rFonts w:ascii="Arial" w:hAnsi="Arial" w:cs="Arial"/>
        </w:rPr>
        <w:t>The Directorate achieved 88</w:t>
      </w:r>
      <w:r w:rsidRPr="00F37E0C">
        <w:rPr>
          <w:rFonts w:ascii="Arial" w:hAnsi="Arial" w:cs="Arial"/>
        </w:rPr>
        <w:t>%</w:t>
      </w:r>
      <w:r>
        <w:rPr>
          <w:rFonts w:ascii="Arial" w:hAnsi="Arial" w:cs="Arial"/>
        </w:rPr>
        <w:t xml:space="preserve"> compliance in May against the contracted targets.  </w:t>
      </w:r>
    </w:p>
    <w:p w14:paraId="291187A5" w14:textId="77777777" w:rsidR="000B1EC0" w:rsidRDefault="000B1EC0" w:rsidP="000B1EC0">
      <w:pPr>
        <w:jc w:val="both"/>
        <w:rPr>
          <w:rFonts w:ascii="Arial" w:hAnsi="Arial" w:cs="Arial"/>
        </w:rPr>
      </w:pPr>
    </w:p>
    <w:p w14:paraId="208D8E86" w14:textId="77777777" w:rsidR="000B1EC0" w:rsidRDefault="000B1EC0" w:rsidP="000B1EC0">
      <w:pPr>
        <w:jc w:val="both"/>
        <w:rPr>
          <w:rFonts w:ascii="Arial" w:hAnsi="Arial" w:cs="Arial"/>
        </w:rPr>
      </w:pPr>
      <w:r>
        <w:rPr>
          <w:rFonts w:ascii="Arial" w:hAnsi="Arial" w:cs="Arial"/>
        </w:rPr>
        <w:t xml:space="preserve">In looking at the performance trends and identifying areas where further action is required, the following issues have been </w:t>
      </w:r>
      <w:r w:rsidR="000D26B4">
        <w:rPr>
          <w:rFonts w:ascii="Arial" w:hAnsi="Arial" w:cs="Arial"/>
        </w:rPr>
        <w:t>highlighted to the</w:t>
      </w:r>
      <w:r>
        <w:rPr>
          <w:rFonts w:ascii="Arial" w:hAnsi="Arial" w:cs="Arial"/>
        </w:rPr>
        <w:t xml:space="preserve"> Operations Management Team:</w:t>
      </w:r>
    </w:p>
    <w:p w14:paraId="71A16C64" w14:textId="77777777" w:rsidR="000B1EC0" w:rsidRDefault="000B1EC0" w:rsidP="00F678C9">
      <w:pPr>
        <w:jc w:val="both"/>
        <w:rPr>
          <w:rFonts w:ascii="Arial" w:hAnsi="Arial" w:cs="Arial"/>
          <w:b/>
        </w:rPr>
      </w:pPr>
    </w:p>
    <w:p w14:paraId="58C81DA1" w14:textId="77777777" w:rsidR="00A97A92" w:rsidRPr="00C335B4" w:rsidRDefault="00A97A92" w:rsidP="00C335B4">
      <w:pPr>
        <w:pStyle w:val="ListParagraph"/>
        <w:numPr>
          <w:ilvl w:val="0"/>
          <w:numId w:val="10"/>
        </w:numPr>
        <w:jc w:val="both"/>
        <w:rPr>
          <w:rFonts w:ascii="Arial" w:hAnsi="Arial" w:cs="Arial"/>
        </w:rPr>
      </w:pPr>
      <w:r w:rsidRPr="00C335B4">
        <w:rPr>
          <w:rFonts w:ascii="Arial" w:hAnsi="Arial" w:cs="Arial"/>
          <w:b/>
        </w:rPr>
        <w:t>Learning Disabilities</w:t>
      </w:r>
      <w:r w:rsidR="00472286" w:rsidRPr="00C335B4">
        <w:rPr>
          <w:rFonts w:ascii="Arial" w:hAnsi="Arial" w:cs="Arial"/>
          <w:b/>
        </w:rPr>
        <w:t xml:space="preserve"> –</w:t>
      </w:r>
      <w:r w:rsidR="0087569D">
        <w:rPr>
          <w:rFonts w:ascii="Arial" w:hAnsi="Arial" w:cs="Arial"/>
          <w:b/>
        </w:rPr>
        <w:t xml:space="preserve"> </w:t>
      </w:r>
      <w:r w:rsidR="0087569D">
        <w:rPr>
          <w:rFonts w:ascii="Arial" w:hAnsi="Arial" w:cs="Arial"/>
        </w:rPr>
        <w:t>Work continues to improve data quality on a small number of learning disabilities performance indicators</w:t>
      </w:r>
      <w:r w:rsidR="00472286" w:rsidRPr="00C335B4">
        <w:rPr>
          <w:rFonts w:ascii="Arial" w:hAnsi="Arial" w:cs="Arial"/>
        </w:rPr>
        <w:t>.</w:t>
      </w:r>
      <w:r w:rsidR="0087569D">
        <w:rPr>
          <w:rFonts w:ascii="Arial" w:hAnsi="Arial" w:cs="Arial"/>
        </w:rPr>
        <w:t xml:space="preserve">  Updated information will be reported at the end of July 2018.</w:t>
      </w:r>
    </w:p>
    <w:p w14:paraId="10259982" w14:textId="77777777" w:rsidR="00472286" w:rsidRPr="00472286" w:rsidRDefault="00472286" w:rsidP="00472286">
      <w:pPr>
        <w:pStyle w:val="ListParagraph"/>
        <w:rPr>
          <w:rFonts w:ascii="Arial" w:hAnsi="Arial" w:cs="Arial"/>
        </w:rPr>
      </w:pPr>
    </w:p>
    <w:p w14:paraId="0D7ED8E9" w14:textId="77777777" w:rsidR="00472286" w:rsidRPr="00697940" w:rsidRDefault="00421734" w:rsidP="00CE6E6A">
      <w:pPr>
        <w:pStyle w:val="ListParagraph"/>
        <w:numPr>
          <w:ilvl w:val="0"/>
          <w:numId w:val="10"/>
        </w:numPr>
        <w:jc w:val="both"/>
        <w:rPr>
          <w:rFonts w:ascii="Arial" w:hAnsi="Arial" w:cs="Arial"/>
          <w:b/>
        </w:rPr>
      </w:pPr>
      <w:r>
        <w:rPr>
          <w:rFonts w:ascii="Arial" w:hAnsi="Arial" w:cs="Arial"/>
          <w:b/>
        </w:rPr>
        <w:t xml:space="preserve">Learning Disabilities - </w:t>
      </w:r>
      <w:r w:rsidR="00697940" w:rsidRPr="00697940">
        <w:rPr>
          <w:rFonts w:ascii="Arial" w:hAnsi="Arial" w:cs="Arial"/>
          <w:b/>
        </w:rPr>
        <w:t>Risk Assessments reviewed within 12 months</w:t>
      </w:r>
      <w:r w:rsidR="00697940">
        <w:rPr>
          <w:rFonts w:ascii="Arial" w:hAnsi="Arial" w:cs="Arial"/>
        </w:rPr>
        <w:t xml:space="preserve"> – </w:t>
      </w:r>
      <w:r w:rsidR="00F23468">
        <w:rPr>
          <w:rFonts w:ascii="Arial" w:hAnsi="Arial" w:cs="Arial"/>
        </w:rPr>
        <w:t>Performance continues to improve and t</w:t>
      </w:r>
      <w:r w:rsidR="00697940">
        <w:rPr>
          <w:rFonts w:ascii="Arial" w:hAnsi="Arial" w:cs="Arial"/>
        </w:rPr>
        <w:t xml:space="preserve">he service is on track to achieve their target by July according to the current trajectory. </w:t>
      </w:r>
    </w:p>
    <w:p w14:paraId="56541D76" w14:textId="77777777" w:rsidR="00697940" w:rsidRPr="00697940" w:rsidRDefault="00697940" w:rsidP="00697940">
      <w:pPr>
        <w:pStyle w:val="ListParagraph"/>
        <w:rPr>
          <w:rFonts w:ascii="Arial" w:hAnsi="Arial" w:cs="Arial"/>
          <w:b/>
        </w:rPr>
      </w:pPr>
    </w:p>
    <w:p w14:paraId="73FB2842" w14:textId="77777777" w:rsidR="00180EDB" w:rsidRDefault="00180EDB" w:rsidP="0073522A">
      <w:pPr>
        <w:jc w:val="both"/>
        <w:rPr>
          <w:rFonts w:ascii="Arial" w:hAnsi="Arial" w:cs="Arial"/>
          <w:b/>
        </w:rPr>
      </w:pPr>
    </w:p>
    <w:p w14:paraId="05445781" w14:textId="77777777" w:rsidR="00A025D8" w:rsidRDefault="00A025D8" w:rsidP="0073522A">
      <w:pPr>
        <w:jc w:val="both"/>
        <w:rPr>
          <w:rFonts w:ascii="Arial" w:hAnsi="Arial" w:cs="Arial"/>
          <w:b/>
        </w:rPr>
      </w:pPr>
    </w:p>
    <w:p w14:paraId="29DD9627" w14:textId="77777777" w:rsidR="00A025D8" w:rsidRDefault="00A025D8" w:rsidP="0073522A">
      <w:pPr>
        <w:jc w:val="both"/>
        <w:rPr>
          <w:rFonts w:ascii="Arial" w:hAnsi="Arial" w:cs="Arial"/>
          <w:b/>
        </w:rPr>
      </w:pPr>
    </w:p>
    <w:p w14:paraId="34D6290A" w14:textId="77777777" w:rsidR="00A025D8" w:rsidRDefault="00A025D8" w:rsidP="0073522A">
      <w:pPr>
        <w:jc w:val="both"/>
        <w:rPr>
          <w:rFonts w:ascii="Arial" w:hAnsi="Arial" w:cs="Arial"/>
          <w:b/>
        </w:rPr>
      </w:pPr>
    </w:p>
    <w:p w14:paraId="16F13A6E" w14:textId="77777777" w:rsidR="00A025D8" w:rsidRDefault="00A025D8" w:rsidP="0073522A">
      <w:pPr>
        <w:jc w:val="both"/>
        <w:rPr>
          <w:rFonts w:ascii="Arial" w:hAnsi="Arial" w:cs="Arial"/>
          <w:b/>
        </w:rPr>
      </w:pPr>
      <w:r>
        <w:rPr>
          <w:rFonts w:ascii="Arial" w:hAnsi="Arial" w:cs="Arial"/>
          <w:b/>
        </w:rPr>
        <w:lastRenderedPageBreak/>
        <w:t>Escalation items removed from this month’s report</w:t>
      </w:r>
    </w:p>
    <w:p w14:paraId="3F5B409D" w14:textId="77777777" w:rsidR="00A025D8" w:rsidRDefault="00A025D8" w:rsidP="0073522A">
      <w:pPr>
        <w:jc w:val="both"/>
        <w:rPr>
          <w:rFonts w:ascii="Arial" w:hAnsi="Arial" w:cs="Arial"/>
          <w:b/>
        </w:rPr>
      </w:pPr>
    </w:p>
    <w:p w14:paraId="2ACA98C9" w14:textId="77777777" w:rsidR="00A025D8" w:rsidRPr="00FC2607" w:rsidRDefault="00FC2607" w:rsidP="00A025D8">
      <w:pPr>
        <w:pStyle w:val="ListParagraph"/>
        <w:numPr>
          <w:ilvl w:val="0"/>
          <w:numId w:val="10"/>
        </w:numPr>
        <w:jc w:val="both"/>
        <w:rPr>
          <w:rFonts w:ascii="Arial" w:hAnsi="Arial" w:cs="Arial"/>
          <w:b/>
        </w:rPr>
      </w:pPr>
      <w:r>
        <w:rPr>
          <w:rFonts w:ascii="Arial" w:hAnsi="Arial" w:cs="Arial"/>
          <w:b/>
        </w:rPr>
        <w:t xml:space="preserve">Oxfordshire JMG – </w:t>
      </w:r>
      <w:r>
        <w:rPr>
          <w:rFonts w:ascii="Arial" w:hAnsi="Arial" w:cs="Arial"/>
        </w:rPr>
        <w:t>Number of care placement reviews</w:t>
      </w:r>
    </w:p>
    <w:p w14:paraId="39541104" w14:textId="77777777" w:rsidR="00FC2607" w:rsidRPr="00FC2607" w:rsidRDefault="00FC2607" w:rsidP="00A025D8">
      <w:pPr>
        <w:pStyle w:val="ListParagraph"/>
        <w:numPr>
          <w:ilvl w:val="0"/>
          <w:numId w:val="10"/>
        </w:numPr>
        <w:jc w:val="both"/>
        <w:rPr>
          <w:rFonts w:ascii="Arial" w:hAnsi="Arial" w:cs="Arial"/>
          <w:b/>
        </w:rPr>
      </w:pPr>
      <w:r>
        <w:rPr>
          <w:rFonts w:ascii="Arial" w:hAnsi="Arial" w:cs="Arial"/>
          <w:b/>
        </w:rPr>
        <w:t xml:space="preserve">Estimated Discharge Date (EDD) </w:t>
      </w:r>
      <w:r>
        <w:rPr>
          <w:rFonts w:ascii="Arial" w:hAnsi="Arial" w:cs="Arial"/>
        </w:rPr>
        <w:t>– Solution agreed with Oxfordshire CCG</w:t>
      </w:r>
    </w:p>
    <w:p w14:paraId="691D908E" w14:textId="77777777" w:rsidR="00FC2607" w:rsidRPr="00FC2607" w:rsidRDefault="00FC2607" w:rsidP="00A025D8">
      <w:pPr>
        <w:pStyle w:val="ListParagraph"/>
        <w:numPr>
          <w:ilvl w:val="0"/>
          <w:numId w:val="10"/>
        </w:numPr>
        <w:jc w:val="both"/>
        <w:rPr>
          <w:rFonts w:ascii="Arial" w:hAnsi="Arial" w:cs="Arial"/>
          <w:b/>
        </w:rPr>
      </w:pPr>
      <w:r>
        <w:rPr>
          <w:rFonts w:ascii="Arial" w:hAnsi="Arial" w:cs="Arial"/>
          <w:b/>
        </w:rPr>
        <w:t xml:space="preserve">Average Length of Stay and DTOC – </w:t>
      </w:r>
      <w:r>
        <w:rPr>
          <w:rFonts w:ascii="Arial" w:hAnsi="Arial" w:cs="Arial"/>
        </w:rPr>
        <w:t>Performance no longer reported as an exception though being closely monitored</w:t>
      </w:r>
    </w:p>
    <w:p w14:paraId="2E3F8A14" w14:textId="77777777" w:rsidR="00FC2607" w:rsidRPr="00A025D8" w:rsidRDefault="00FC2607" w:rsidP="00A025D8">
      <w:pPr>
        <w:pStyle w:val="ListParagraph"/>
        <w:numPr>
          <w:ilvl w:val="0"/>
          <w:numId w:val="10"/>
        </w:numPr>
        <w:jc w:val="both"/>
        <w:rPr>
          <w:rFonts w:ascii="Arial" w:hAnsi="Arial" w:cs="Arial"/>
          <w:b/>
        </w:rPr>
      </w:pPr>
      <w:r>
        <w:rPr>
          <w:rFonts w:ascii="Arial" w:hAnsi="Arial" w:cs="Arial"/>
          <w:b/>
        </w:rPr>
        <w:t xml:space="preserve">Learning Disabilities – </w:t>
      </w:r>
      <w:proofErr w:type="gramStart"/>
      <w:r>
        <w:rPr>
          <w:rFonts w:ascii="Arial" w:hAnsi="Arial" w:cs="Arial"/>
          <w:b/>
        </w:rPr>
        <w:t>6 week</w:t>
      </w:r>
      <w:proofErr w:type="gramEnd"/>
      <w:r>
        <w:rPr>
          <w:rFonts w:ascii="Arial" w:hAnsi="Arial" w:cs="Arial"/>
          <w:b/>
        </w:rPr>
        <w:t xml:space="preserve"> Routine Wait.</w:t>
      </w:r>
    </w:p>
    <w:p w14:paraId="56A0E9B8" w14:textId="77777777" w:rsidR="00A025D8" w:rsidRDefault="00A025D8" w:rsidP="0073522A">
      <w:pPr>
        <w:jc w:val="both"/>
        <w:rPr>
          <w:rFonts w:ascii="Arial" w:hAnsi="Arial" w:cs="Arial"/>
          <w:b/>
        </w:rPr>
      </w:pPr>
    </w:p>
    <w:p w14:paraId="76332A7B" w14:textId="77777777" w:rsidR="00A025D8" w:rsidRDefault="00A025D8" w:rsidP="0073522A">
      <w:pPr>
        <w:jc w:val="both"/>
        <w:rPr>
          <w:rFonts w:ascii="Arial" w:hAnsi="Arial" w:cs="Arial"/>
          <w:b/>
        </w:rPr>
      </w:pPr>
    </w:p>
    <w:p w14:paraId="23F1AD71" w14:textId="77777777" w:rsidR="0073522A" w:rsidRDefault="0073522A" w:rsidP="0073522A">
      <w:pPr>
        <w:jc w:val="both"/>
        <w:rPr>
          <w:rFonts w:ascii="Arial" w:hAnsi="Arial" w:cs="Arial"/>
          <w:b/>
        </w:rPr>
      </w:pPr>
      <w:r>
        <w:rPr>
          <w:rFonts w:ascii="Arial" w:hAnsi="Arial" w:cs="Arial"/>
          <w:b/>
        </w:rPr>
        <w:t>Recommendation</w:t>
      </w:r>
    </w:p>
    <w:p w14:paraId="09978C2A" w14:textId="77777777" w:rsidR="0073522A" w:rsidRDefault="0073522A" w:rsidP="0073522A">
      <w:pPr>
        <w:jc w:val="both"/>
        <w:rPr>
          <w:rFonts w:ascii="Arial" w:hAnsi="Arial" w:cs="Arial"/>
        </w:rPr>
      </w:pPr>
    </w:p>
    <w:p w14:paraId="15E8DF02" w14:textId="77777777"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14:paraId="21C00899" w14:textId="77777777" w:rsidR="00982842" w:rsidRDefault="00982842">
      <w:pPr>
        <w:jc w:val="both"/>
        <w:rPr>
          <w:rFonts w:ascii="Arial" w:hAnsi="Arial" w:cs="Arial"/>
          <w:b/>
        </w:rPr>
      </w:pPr>
    </w:p>
    <w:p w14:paraId="5F16AA40" w14:textId="77777777"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 xml:space="preserve">Director of </w:t>
      </w:r>
      <w:r w:rsidR="00C77CF2">
        <w:rPr>
          <w:rFonts w:ascii="Arial" w:hAnsi="Arial" w:cs="Arial"/>
        </w:rPr>
        <w:t>Strategy &amp; Performance</w:t>
      </w:r>
    </w:p>
    <w:p w14:paraId="038E3CD5" w14:textId="77777777" w:rsidR="000E317C" w:rsidRDefault="000E317C" w:rsidP="0073522A">
      <w:pPr>
        <w:ind w:left="1440" w:hanging="1440"/>
        <w:jc w:val="both"/>
        <w:rPr>
          <w:rFonts w:ascii="Arial" w:hAnsi="Arial" w:cs="Arial"/>
        </w:rPr>
      </w:pPr>
    </w:p>
    <w:p w14:paraId="02C07A38" w14:textId="77777777" w:rsidR="00AF0562" w:rsidRPr="0073522A" w:rsidRDefault="00AF0562" w:rsidP="00BE48C0">
      <w:pPr>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276C" w14:textId="77777777" w:rsidR="002D2918" w:rsidRDefault="002D2918" w:rsidP="005B3E3C">
      <w:r>
        <w:separator/>
      </w:r>
    </w:p>
  </w:endnote>
  <w:endnote w:type="continuationSeparator" w:id="0">
    <w:p w14:paraId="0BC5865B" w14:textId="77777777" w:rsidR="002D2918" w:rsidRDefault="002D291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93B11" w14:textId="77777777" w:rsidR="002D2918" w:rsidRDefault="002D2918" w:rsidP="005B3E3C">
      <w:r>
        <w:separator/>
      </w:r>
    </w:p>
  </w:footnote>
  <w:footnote w:type="continuationSeparator" w:id="0">
    <w:p w14:paraId="7B309D65" w14:textId="77777777" w:rsidR="002D2918" w:rsidRDefault="002D291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8707" w14:textId="77777777"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1"/>
  </w:num>
  <w:num w:numId="4">
    <w:abstractNumId w:val="6"/>
  </w:num>
  <w:num w:numId="5">
    <w:abstractNumId w:val="10"/>
  </w:num>
  <w:num w:numId="6">
    <w:abstractNumId w:val="1"/>
  </w:num>
  <w:num w:numId="7">
    <w:abstractNumId w:val="8"/>
  </w:num>
  <w:num w:numId="8">
    <w:abstractNumId w:val="5"/>
  </w:num>
  <w:num w:numId="9">
    <w:abstractNumId w:val="2"/>
  </w:num>
  <w:num w:numId="10">
    <w:abstractNumId w:val="7"/>
  </w:num>
  <w:num w:numId="11">
    <w:abstractNumId w:val="12"/>
  </w:num>
  <w:num w:numId="12">
    <w:abstractNumId w:val="3"/>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134C"/>
    <w:rsid w:val="00014344"/>
    <w:rsid w:val="000161D5"/>
    <w:rsid w:val="00016B35"/>
    <w:rsid w:val="00023074"/>
    <w:rsid w:val="00024D76"/>
    <w:rsid w:val="00026260"/>
    <w:rsid w:val="000302E0"/>
    <w:rsid w:val="00031871"/>
    <w:rsid w:val="00036D9C"/>
    <w:rsid w:val="00041960"/>
    <w:rsid w:val="00045966"/>
    <w:rsid w:val="00050037"/>
    <w:rsid w:val="0005194A"/>
    <w:rsid w:val="00057F0B"/>
    <w:rsid w:val="0006115B"/>
    <w:rsid w:val="00071531"/>
    <w:rsid w:val="00080E72"/>
    <w:rsid w:val="00095E41"/>
    <w:rsid w:val="000A0020"/>
    <w:rsid w:val="000A18FE"/>
    <w:rsid w:val="000A47D9"/>
    <w:rsid w:val="000B1EC0"/>
    <w:rsid w:val="000B77F9"/>
    <w:rsid w:val="000D24FB"/>
    <w:rsid w:val="000D26B4"/>
    <w:rsid w:val="000E317C"/>
    <w:rsid w:val="000E49A0"/>
    <w:rsid w:val="000F2610"/>
    <w:rsid w:val="000F47AD"/>
    <w:rsid w:val="000F77BF"/>
    <w:rsid w:val="00103519"/>
    <w:rsid w:val="00107AAC"/>
    <w:rsid w:val="001123A3"/>
    <w:rsid w:val="001141A1"/>
    <w:rsid w:val="00130D9D"/>
    <w:rsid w:val="00130E60"/>
    <w:rsid w:val="00136461"/>
    <w:rsid w:val="0014509D"/>
    <w:rsid w:val="0014622C"/>
    <w:rsid w:val="001468B7"/>
    <w:rsid w:val="00146C68"/>
    <w:rsid w:val="00152B4C"/>
    <w:rsid w:val="001604E3"/>
    <w:rsid w:val="001726CB"/>
    <w:rsid w:val="00172D01"/>
    <w:rsid w:val="00180EDB"/>
    <w:rsid w:val="0019175D"/>
    <w:rsid w:val="001944AC"/>
    <w:rsid w:val="001948F6"/>
    <w:rsid w:val="001963F3"/>
    <w:rsid w:val="0019785F"/>
    <w:rsid w:val="001A2F3F"/>
    <w:rsid w:val="001A7443"/>
    <w:rsid w:val="001B3AEB"/>
    <w:rsid w:val="001B6EEE"/>
    <w:rsid w:val="001C295C"/>
    <w:rsid w:val="001D03E1"/>
    <w:rsid w:val="001D48E6"/>
    <w:rsid w:val="001D65AB"/>
    <w:rsid w:val="001E1C83"/>
    <w:rsid w:val="001E1E6B"/>
    <w:rsid w:val="001E3511"/>
    <w:rsid w:val="001E6DBC"/>
    <w:rsid w:val="001E7831"/>
    <w:rsid w:val="001F23B3"/>
    <w:rsid w:val="001F2541"/>
    <w:rsid w:val="001F76ED"/>
    <w:rsid w:val="00200556"/>
    <w:rsid w:val="00213006"/>
    <w:rsid w:val="0022050F"/>
    <w:rsid w:val="00222106"/>
    <w:rsid w:val="00227FCE"/>
    <w:rsid w:val="002306E2"/>
    <w:rsid w:val="00232D15"/>
    <w:rsid w:val="00232D98"/>
    <w:rsid w:val="00233516"/>
    <w:rsid w:val="0024001F"/>
    <w:rsid w:val="00243BA6"/>
    <w:rsid w:val="00252E51"/>
    <w:rsid w:val="0025508D"/>
    <w:rsid w:val="00256F43"/>
    <w:rsid w:val="002619EF"/>
    <w:rsid w:val="002710D7"/>
    <w:rsid w:val="0027722A"/>
    <w:rsid w:val="002821F8"/>
    <w:rsid w:val="002875D9"/>
    <w:rsid w:val="00290581"/>
    <w:rsid w:val="00291E9E"/>
    <w:rsid w:val="00292613"/>
    <w:rsid w:val="002A0F36"/>
    <w:rsid w:val="002A73E8"/>
    <w:rsid w:val="002B1020"/>
    <w:rsid w:val="002B6E44"/>
    <w:rsid w:val="002C2F97"/>
    <w:rsid w:val="002C3D1A"/>
    <w:rsid w:val="002C5F95"/>
    <w:rsid w:val="002C7C79"/>
    <w:rsid w:val="002D2918"/>
    <w:rsid w:val="002D3AAD"/>
    <w:rsid w:val="002E3C80"/>
    <w:rsid w:val="002E6FC6"/>
    <w:rsid w:val="002F0C3A"/>
    <w:rsid w:val="002F1E5B"/>
    <w:rsid w:val="002F73C3"/>
    <w:rsid w:val="0030031A"/>
    <w:rsid w:val="003066A9"/>
    <w:rsid w:val="00311FA4"/>
    <w:rsid w:val="003208EA"/>
    <w:rsid w:val="00325CB3"/>
    <w:rsid w:val="00330275"/>
    <w:rsid w:val="00330886"/>
    <w:rsid w:val="003518BC"/>
    <w:rsid w:val="00352ACA"/>
    <w:rsid w:val="003623C4"/>
    <w:rsid w:val="003633C8"/>
    <w:rsid w:val="003640F0"/>
    <w:rsid w:val="0037692B"/>
    <w:rsid w:val="00381949"/>
    <w:rsid w:val="00382967"/>
    <w:rsid w:val="00384B87"/>
    <w:rsid w:val="00384BF2"/>
    <w:rsid w:val="00384DB2"/>
    <w:rsid w:val="00385BF1"/>
    <w:rsid w:val="00386B91"/>
    <w:rsid w:val="003965D7"/>
    <w:rsid w:val="003971F6"/>
    <w:rsid w:val="003A1BA3"/>
    <w:rsid w:val="003A5F04"/>
    <w:rsid w:val="003C2222"/>
    <w:rsid w:val="003D0B91"/>
    <w:rsid w:val="003D7F7F"/>
    <w:rsid w:val="003E47E9"/>
    <w:rsid w:val="003E4910"/>
    <w:rsid w:val="003F226B"/>
    <w:rsid w:val="003F3BD5"/>
    <w:rsid w:val="003F7366"/>
    <w:rsid w:val="004015FF"/>
    <w:rsid w:val="0040186B"/>
    <w:rsid w:val="004021C5"/>
    <w:rsid w:val="00410244"/>
    <w:rsid w:val="004104C7"/>
    <w:rsid w:val="00413D9F"/>
    <w:rsid w:val="00414A70"/>
    <w:rsid w:val="00415ACB"/>
    <w:rsid w:val="00421734"/>
    <w:rsid w:val="004326BB"/>
    <w:rsid w:val="00436775"/>
    <w:rsid w:val="00445343"/>
    <w:rsid w:val="00447BE4"/>
    <w:rsid w:val="0045048F"/>
    <w:rsid w:val="00451DB0"/>
    <w:rsid w:val="00471304"/>
    <w:rsid w:val="00472286"/>
    <w:rsid w:val="004829AE"/>
    <w:rsid w:val="0048584C"/>
    <w:rsid w:val="00492483"/>
    <w:rsid w:val="004A1287"/>
    <w:rsid w:val="004A4DFB"/>
    <w:rsid w:val="004A7F6B"/>
    <w:rsid w:val="004B1544"/>
    <w:rsid w:val="004B6756"/>
    <w:rsid w:val="004C5125"/>
    <w:rsid w:val="004C5897"/>
    <w:rsid w:val="004D0BB5"/>
    <w:rsid w:val="004D1192"/>
    <w:rsid w:val="004D3C66"/>
    <w:rsid w:val="004E1C4A"/>
    <w:rsid w:val="004E2219"/>
    <w:rsid w:val="004E3E03"/>
    <w:rsid w:val="004E4D94"/>
    <w:rsid w:val="004E740C"/>
    <w:rsid w:val="004F4BBA"/>
    <w:rsid w:val="004F5DE5"/>
    <w:rsid w:val="004F61D8"/>
    <w:rsid w:val="005027DB"/>
    <w:rsid w:val="005051F3"/>
    <w:rsid w:val="00513994"/>
    <w:rsid w:val="005168FF"/>
    <w:rsid w:val="00520D02"/>
    <w:rsid w:val="005233AA"/>
    <w:rsid w:val="00527C15"/>
    <w:rsid w:val="00530D1F"/>
    <w:rsid w:val="00531625"/>
    <w:rsid w:val="0054040B"/>
    <w:rsid w:val="0054546A"/>
    <w:rsid w:val="00551B0F"/>
    <w:rsid w:val="00557CC7"/>
    <w:rsid w:val="00563E0F"/>
    <w:rsid w:val="005659FB"/>
    <w:rsid w:val="00574A97"/>
    <w:rsid w:val="0057512E"/>
    <w:rsid w:val="00584D27"/>
    <w:rsid w:val="005A4A64"/>
    <w:rsid w:val="005A5ADF"/>
    <w:rsid w:val="005B01FE"/>
    <w:rsid w:val="005B3E3C"/>
    <w:rsid w:val="005B7F81"/>
    <w:rsid w:val="005C1D1C"/>
    <w:rsid w:val="005C3FC1"/>
    <w:rsid w:val="005D3499"/>
    <w:rsid w:val="005E2583"/>
    <w:rsid w:val="005E617C"/>
    <w:rsid w:val="005F36B6"/>
    <w:rsid w:val="00606B48"/>
    <w:rsid w:val="0061684E"/>
    <w:rsid w:val="0062376E"/>
    <w:rsid w:val="00624CC9"/>
    <w:rsid w:val="00626EFA"/>
    <w:rsid w:val="00630605"/>
    <w:rsid w:val="0063184D"/>
    <w:rsid w:val="006403C3"/>
    <w:rsid w:val="006442D9"/>
    <w:rsid w:val="00650771"/>
    <w:rsid w:val="00654880"/>
    <w:rsid w:val="00657D10"/>
    <w:rsid w:val="00662DC5"/>
    <w:rsid w:val="00665F45"/>
    <w:rsid w:val="00666651"/>
    <w:rsid w:val="00666E6B"/>
    <w:rsid w:val="0067461E"/>
    <w:rsid w:val="00697940"/>
    <w:rsid w:val="00697AA7"/>
    <w:rsid w:val="006A0153"/>
    <w:rsid w:val="006B33BC"/>
    <w:rsid w:val="006C1F9B"/>
    <w:rsid w:val="006C22C2"/>
    <w:rsid w:val="006C2A9A"/>
    <w:rsid w:val="006C62F1"/>
    <w:rsid w:val="006D09AA"/>
    <w:rsid w:val="006E2ED9"/>
    <w:rsid w:val="006E3C3E"/>
    <w:rsid w:val="006F0D59"/>
    <w:rsid w:val="00700391"/>
    <w:rsid w:val="007003DD"/>
    <w:rsid w:val="00722032"/>
    <w:rsid w:val="00724AD0"/>
    <w:rsid w:val="00724D39"/>
    <w:rsid w:val="00725AD2"/>
    <w:rsid w:val="00726160"/>
    <w:rsid w:val="007273B3"/>
    <w:rsid w:val="00732301"/>
    <w:rsid w:val="00733C5D"/>
    <w:rsid w:val="0073522A"/>
    <w:rsid w:val="007359C0"/>
    <w:rsid w:val="007364D9"/>
    <w:rsid w:val="00740EC3"/>
    <w:rsid w:val="00742E7D"/>
    <w:rsid w:val="0074404D"/>
    <w:rsid w:val="007441B8"/>
    <w:rsid w:val="007601EB"/>
    <w:rsid w:val="00764D01"/>
    <w:rsid w:val="00766589"/>
    <w:rsid w:val="0077522B"/>
    <w:rsid w:val="007769CD"/>
    <w:rsid w:val="0078032B"/>
    <w:rsid w:val="007813A6"/>
    <w:rsid w:val="00781566"/>
    <w:rsid w:val="007847D9"/>
    <w:rsid w:val="0078491E"/>
    <w:rsid w:val="007960BE"/>
    <w:rsid w:val="007972A2"/>
    <w:rsid w:val="007976E7"/>
    <w:rsid w:val="007A1640"/>
    <w:rsid w:val="007A2CF0"/>
    <w:rsid w:val="007A515B"/>
    <w:rsid w:val="007B1760"/>
    <w:rsid w:val="007B4C1E"/>
    <w:rsid w:val="007B6D77"/>
    <w:rsid w:val="007C3339"/>
    <w:rsid w:val="007C3C27"/>
    <w:rsid w:val="007C5E02"/>
    <w:rsid w:val="007C6925"/>
    <w:rsid w:val="007D7901"/>
    <w:rsid w:val="00801A75"/>
    <w:rsid w:val="00802701"/>
    <w:rsid w:val="008038A2"/>
    <w:rsid w:val="00811FE8"/>
    <w:rsid w:val="00817DF5"/>
    <w:rsid w:val="00821F0D"/>
    <w:rsid w:val="008275B5"/>
    <w:rsid w:val="00830CA6"/>
    <w:rsid w:val="00841715"/>
    <w:rsid w:val="00841EB0"/>
    <w:rsid w:val="00845979"/>
    <w:rsid w:val="008477E1"/>
    <w:rsid w:val="00847BC4"/>
    <w:rsid w:val="0085366E"/>
    <w:rsid w:val="008635F0"/>
    <w:rsid w:val="0086436B"/>
    <w:rsid w:val="00864ED6"/>
    <w:rsid w:val="0087047B"/>
    <w:rsid w:val="0087190C"/>
    <w:rsid w:val="00872ACD"/>
    <w:rsid w:val="0087569D"/>
    <w:rsid w:val="0088128C"/>
    <w:rsid w:val="0089208D"/>
    <w:rsid w:val="00893C1C"/>
    <w:rsid w:val="00894B97"/>
    <w:rsid w:val="00895A62"/>
    <w:rsid w:val="008967B9"/>
    <w:rsid w:val="008A6A48"/>
    <w:rsid w:val="008C074A"/>
    <w:rsid w:val="008D5C80"/>
    <w:rsid w:val="008E0BA4"/>
    <w:rsid w:val="008E1F96"/>
    <w:rsid w:val="008F77AE"/>
    <w:rsid w:val="00922966"/>
    <w:rsid w:val="009305CD"/>
    <w:rsid w:val="009320C6"/>
    <w:rsid w:val="00945E1F"/>
    <w:rsid w:val="0094603B"/>
    <w:rsid w:val="00946E6E"/>
    <w:rsid w:val="009478B1"/>
    <w:rsid w:val="00954068"/>
    <w:rsid w:val="00954B73"/>
    <w:rsid w:val="009551BC"/>
    <w:rsid w:val="00956A0A"/>
    <w:rsid w:val="00963FBC"/>
    <w:rsid w:val="00966D7B"/>
    <w:rsid w:val="00972958"/>
    <w:rsid w:val="00975819"/>
    <w:rsid w:val="00982842"/>
    <w:rsid w:val="0098298E"/>
    <w:rsid w:val="00983EAF"/>
    <w:rsid w:val="009857D9"/>
    <w:rsid w:val="009869DE"/>
    <w:rsid w:val="00994695"/>
    <w:rsid w:val="009A2D0F"/>
    <w:rsid w:val="009A4401"/>
    <w:rsid w:val="009B143F"/>
    <w:rsid w:val="009C1F52"/>
    <w:rsid w:val="009C223E"/>
    <w:rsid w:val="009C484B"/>
    <w:rsid w:val="009D1058"/>
    <w:rsid w:val="009D265C"/>
    <w:rsid w:val="009D5FD0"/>
    <w:rsid w:val="009D6F76"/>
    <w:rsid w:val="009F50E5"/>
    <w:rsid w:val="00A00EDD"/>
    <w:rsid w:val="00A025D8"/>
    <w:rsid w:val="00A0284F"/>
    <w:rsid w:val="00A241A3"/>
    <w:rsid w:val="00A27187"/>
    <w:rsid w:val="00A3401E"/>
    <w:rsid w:val="00A51265"/>
    <w:rsid w:val="00A674FB"/>
    <w:rsid w:val="00A752CB"/>
    <w:rsid w:val="00A766A0"/>
    <w:rsid w:val="00A82952"/>
    <w:rsid w:val="00A85311"/>
    <w:rsid w:val="00A92981"/>
    <w:rsid w:val="00A940CF"/>
    <w:rsid w:val="00A97A92"/>
    <w:rsid w:val="00AA0C3F"/>
    <w:rsid w:val="00AA306E"/>
    <w:rsid w:val="00AA61FB"/>
    <w:rsid w:val="00AA759A"/>
    <w:rsid w:val="00AB4A1E"/>
    <w:rsid w:val="00AC07C2"/>
    <w:rsid w:val="00AC3814"/>
    <w:rsid w:val="00AC640D"/>
    <w:rsid w:val="00AD04D3"/>
    <w:rsid w:val="00AD0CF6"/>
    <w:rsid w:val="00AD169B"/>
    <w:rsid w:val="00AD6DB3"/>
    <w:rsid w:val="00AD7098"/>
    <w:rsid w:val="00AF0562"/>
    <w:rsid w:val="00AF1F04"/>
    <w:rsid w:val="00B04788"/>
    <w:rsid w:val="00B06C21"/>
    <w:rsid w:val="00B07778"/>
    <w:rsid w:val="00B10453"/>
    <w:rsid w:val="00B10E37"/>
    <w:rsid w:val="00B165F0"/>
    <w:rsid w:val="00B20CD2"/>
    <w:rsid w:val="00B21287"/>
    <w:rsid w:val="00B26E1A"/>
    <w:rsid w:val="00B26F2C"/>
    <w:rsid w:val="00B27AE5"/>
    <w:rsid w:val="00B407B7"/>
    <w:rsid w:val="00B40C2D"/>
    <w:rsid w:val="00B50D5E"/>
    <w:rsid w:val="00B57EC7"/>
    <w:rsid w:val="00B606FB"/>
    <w:rsid w:val="00B607AE"/>
    <w:rsid w:val="00B612E7"/>
    <w:rsid w:val="00B72B51"/>
    <w:rsid w:val="00B92B14"/>
    <w:rsid w:val="00B93287"/>
    <w:rsid w:val="00BA2E08"/>
    <w:rsid w:val="00BA3B3E"/>
    <w:rsid w:val="00BA761E"/>
    <w:rsid w:val="00BC6CBE"/>
    <w:rsid w:val="00BD4559"/>
    <w:rsid w:val="00BD5C2B"/>
    <w:rsid w:val="00BE48C0"/>
    <w:rsid w:val="00BF482A"/>
    <w:rsid w:val="00BF5367"/>
    <w:rsid w:val="00BF6D0E"/>
    <w:rsid w:val="00BF72AE"/>
    <w:rsid w:val="00C053BB"/>
    <w:rsid w:val="00C07817"/>
    <w:rsid w:val="00C11726"/>
    <w:rsid w:val="00C11AA2"/>
    <w:rsid w:val="00C205E5"/>
    <w:rsid w:val="00C235AF"/>
    <w:rsid w:val="00C26D06"/>
    <w:rsid w:val="00C27C64"/>
    <w:rsid w:val="00C335B4"/>
    <w:rsid w:val="00C36082"/>
    <w:rsid w:val="00C41F8A"/>
    <w:rsid w:val="00C56A98"/>
    <w:rsid w:val="00C56B87"/>
    <w:rsid w:val="00C56C95"/>
    <w:rsid w:val="00C60F3E"/>
    <w:rsid w:val="00C6166D"/>
    <w:rsid w:val="00C62464"/>
    <w:rsid w:val="00C65D84"/>
    <w:rsid w:val="00C67F63"/>
    <w:rsid w:val="00C72519"/>
    <w:rsid w:val="00C75116"/>
    <w:rsid w:val="00C76E03"/>
    <w:rsid w:val="00C77CF2"/>
    <w:rsid w:val="00C860A3"/>
    <w:rsid w:val="00C907A3"/>
    <w:rsid w:val="00C92A42"/>
    <w:rsid w:val="00CA6F2A"/>
    <w:rsid w:val="00CB4E16"/>
    <w:rsid w:val="00CB6FA1"/>
    <w:rsid w:val="00CC62C4"/>
    <w:rsid w:val="00CC7855"/>
    <w:rsid w:val="00CD1E3A"/>
    <w:rsid w:val="00CD72A7"/>
    <w:rsid w:val="00CE0678"/>
    <w:rsid w:val="00CE10CD"/>
    <w:rsid w:val="00CE6E6A"/>
    <w:rsid w:val="00CF2916"/>
    <w:rsid w:val="00CF3AC2"/>
    <w:rsid w:val="00CF5DCD"/>
    <w:rsid w:val="00D07064"/>
    <w:rsid w:val="00D17123"/>
    <w:rsid w:val="00D279FC"/>
    <w:rsid w:val="00D34F5E"/>
    <w:rsid w:val="00D35A98"/>
    <w:rsid w:val="00D43903"/>
    <w:rsid w:val="00D45AD7"/>
    <w:rsid w:val="00D55ADD"/>
    <w:rsid w:val="00D56E55"/>
    <w:rsid w:val="00D573E6"/>
    <w:rsid w:val="00D651A1"/>
    <w:rsid w:val="00D65795"/>
    <w:rsid w:val="00D737A3"/>
    <w:rsid w:val="00D765AE"/>
    <w:rsid w:val="00D805E8"/>
    <w:rsid w:val="00D8544F"/>
    <w:rsid w:val="00D97428"/>
    <w:rsid w:val="00DA0FA6"/>
    <w:rsid w:val="00DB4DC4"/>
    <w:rsid w:val="00DC111B"/>
    <w:rsid w:val="00DC29F5"/>
    <w:rsid w:val="00DC5669"/>
    <w:rsid w:val="00DD04A9"/>
    <w:rsid w:val="00DD33DF"/>
    <w:rsid w:val="00DD385F"/>
    <w:rsid w:val="00DE0FC5"/>
    <w:rsid w:val="00DE1293"/>
    <w:rsid w:val="00DE67A8"/>
    <w:rsid w:val="00DF4A53"/>
    <w:rsid w:val="00DF6116"/>
    <w:rsid w:val="00DF6E0E"/>
    <w:rsid w:val="00E12DF5"/>
    <w:rsid w:val="00E2349F"/>
    <w:rsid w:val="00E2445F"/>
    <w:rsid w:val="00E2778C"/>
    <w:rsid w:val="00E33061"/>
    <w:rsid w:val="00E334B0"/>
    <w:rsid w:val="00E41E87"/>
    <w:rsid w:val="00E42165"/>
    <w:rsid w:val="00E45B62"/>
    <w:rsid w:val="00E51AB8"/>
    <w:rsid w:val="00E54343"/>
    <w:rsid w:val="00E64282"/>
    <w:rsid w:val="00E64C48"/>
    <w:rsid w:val="00E71F1F"/>
    <w:rsid w:val="00E722CA"/>
    <w:rsid w:val="00E73227"/>
    <w:rsid w:val="00E827C5"/>
    <w:rsid w:val="00E82DFF"/>
    <w:rsid w:val="00E83000"/>
    <w:rsid w:val="00E841B0"/>
    <w:rsid w:val="00E8760A"/>
    <w:rsid w:val="00E93F2C"/>
    <w:rsid w:val="00E96204"/>
    <w:rsid w:val="00E97CCE"/>
    <w:rsid w:val="00EC09B2"/>
    <w:rsid w:val="00ED4ABC"/>
    <w:rsid w:val="00ED6B7C"/>
    <w:rsid w:val="00EE1C5E"/>
    <w:rsid w:val="00EF4E03"/>
    <w:rsid w:val="00EF6A4B"/>
    <w:rsid w:val="00F14F75"/>
    <w:rsid w:val="00F150BB"/>
    <w:rsid w:val="00F23468"/>
    <w:rsid w:val="00F24980"/>
    <w:rsid w:val="00F24EB2"/>
    <w:rsid w:val="00F3433E"/>
    <w:rsid w:val="00F365C2"/>
    <w:rsid w:val="00F36757"/>
    <w:rsid w:val="00F37E0C"/>
    <w:rsid w:val="00F46AA5"/>
    <w:rsid w:val="00F50A07"/>
    <w:rsid w:val="00F57119"/>
    <w:rsid w:val="00F6367D"/>
    <w:rsid w:val="00F65ABF"/>
    <w:rsid w:val="00F65DCD"/>
    <w:rsid w:val="00F678C9"/>
    <w:rsid w:val="00F77C13"/>
    <w:rsid w:val="00F8330B"/>
    <w:rsid w:val="00F83DC2"/>
    <w:rsid w:val="00F86DE2"/>
    <w:rsid w:val="00F86FA3"/>
    <w:rsid w:val="00F94979"/>
    <w:rsid w:val="00F95454"/>
    <w:rsid w:val="00F95C54"/>
    <w:rsid w:val="00FA3668"/>
    <w:rsid w:val="00FA4D1A"/>
    <w:rsid w:val="00FA5118"/>
    <w:rsid w:val="00FA5818"/>
    <w:rsid w:val="00FB07D8"/>
    <w:rsid w:val="00FB2022"/>
    <w:rsid w:val="00FB3980"/>
    <w:rsid w:val="00FB7008"/>
    <w:rsid w:val="00FC1FA6"/>
    <w:rsid w:val="00FC2607"/>
    <w:rsid w:val="00FC43CD"/>
    <w:rsid w:val="00FC4EF6"/>
    <w:rsid w:val="00FC6DA7"/>
    <w:rsid w:val="00FC75D3"/>
    <w:rsid w:val="00FD2279"/>
    <w:rsid w:val="00FD614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92246"/>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9127788307966"/>
          <c:y val="5.7720944493966565E-2"/>
          <c:w val="0.69824509505372601"/>
          <c:h val="0.68940335833302069"/>
        </c:manualLayout>
      </c:layout>
      <c:barChart>
        <c:barDir val="col"/>
        <c:grouping val="stacked"/>
        <c:varyColors val="0"/>
        <c:ser>
          <c:idx val="0"/>
          <c:order val="0"/>
          <c:tx>
            <c:strRef>
              <c:f>'Trend Graphs'!$B$4</c:f>
              <c:strCache>
                <c:ptCount val="1"/>
                <c:pt idx="0">
                  <c:v>Met</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Graphs'!$C$2:$N$2</c:f>
              <c:strCache>
                <c:ptCount val="12"/>
                <c:pt idx="0">
                  <c:v>M1/FY19</c:v>
                </c:pt>
                <c:pt idx="1">
                  <c:v>M2/FY19</c:v>
                </c:pt>
                <c:pt idx="2">
                  <c:v>M3/FY19</c:v>
                </c:pt>
                <c:pt idx="3">
                  <c:v>M4/FY19</c:v>
                </c:pt>
                <c:pt idx="4">
                  <c:v>M5/FY19</c:v>
                </c:pt>
                <c:pt idx="5">
                  <c:v>M6/FY19</c:v>
                </c:pt>
                <c:pt idx="6">
                  <c:v>M7/FY19</c:v>
                </c:pt>
                <c:pt idx="7">
                  <c:v>M8/FY19</c:v>
                </c:pt>
                <c:pt idx="8">
                  <c:v>M9/FY19</c:v>
                </c:pt>
                <c:pt idx="9">
                  <c:v>M10/FY19</c:v>
                </c:pt>
                <c:pt idx="10">
                  <c:v>M11/FY19</c:v>
                </c:pt>
                <c:pt idx="11">
                  <c:v>M12/FY189</c:v>
                </c:pt>
              </c:strCache>
            </c:strRef>
          </c:cat>
          <c:val>
            <c:numRef>
              <c:f>'Trend Graphs'!$C$4:$N$4</c:f>
              <c:numCache>
                <c:formatCode>General</c:formatCode>
                <c:ptCount val="12"/>
                <c:pt idx="0">
                  <c:v>319</c:v>
                </c:pt>
                <c:pt idx="1">
                  <c:v>329</c:v>
                </c:pt>
              </c:numCache>
            </c:numRef>
          </c:val>
          <c:extLst>
            <c:ext xmlns:c16="http://schemas.microsoft.com/office/drawing/2014/chart" uri="{C3380CC4-5D6E-409C-BE32-E72D297353CC}">
              <c16:uniqueId val="{00000000-563B-446A-9C05-F8A8E87CA2FF}"/>
            </c:ext>
          </c:extLst>
        </c:ser>
        <c:ser>
          <c:idx val="1"/>
          <c:order val="1"/>
          <c:tx>
            <c:strRef>
              <c:f>'Trend Graphs'!$B$5</c:f>
              <c:strCache>
                <c:ptCount val="1"/>
                <c:pt idx="0">
                  <c:v>Not met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Graphs'!$C$2:$N$2</c:f>
              <c:strCache>
                <c:ptCount val="12"/>
                <c:pt idx="0">
                  <c:v>M1/FY19</c:v>
                </c:pt>
                <c:pt idx="1">
                  <c:v>M2/FY19</c:v>
                </c:pt>
                <c:pt idx="2">
                  <c:v>M3/FY19</c:v>
                </c:pt>
                <c:pt idx="3">
                  <c:v>M4/FY19</c:v>
                </c:pt>
                <c:pt idx="4">
                  <c:v>M5/FY19</c:v>
                </c:pt>
                <c:pt idx="5">
                  <c:v>M6/FY19</c:v>
                </c:pt>
                <c:pt idx="6">
                  <c:v>M7/FY19</c:v>
                </c:pt>
                <c:pt idx="7">
                  <c:v>M8/FY19</c:v>
                </c:pt>
                <c:pt idx="8">
                  <c:v>M9/FY19</c:v>
                </c:pt>
                <c:pt idx="9">
                  <c:v>M10/FY19</c:v>
                </c:pt>
                <c:pt idx="10">
                  <c:v>M11/FY19</c:v>
                </c:pt>
                <c:pt idx="11">
                  <c:v>M12/FY189</c:v>
                </c:pt>
              </c:strCache>
            </c:strRef>
          </c:cat>
          <c:val>
            <c:numRef>
              <c:f>'Trend Graphs'!$C$5:$N$5</c:f>
              <c:numCache>
                <c:formatCode>General</c:formatCode>
                <c:ptCount val="12"/>
                <c:pt idx="0">
                  <c:v>59</c:v>
                </c:pt>
                <c:pt idx="1">
                  <c:v>56</c:v>
                </c:pt>
              </c:numCache>
            </c:numRef>
          </c:val>
          <c:extLst>
            <c:ext xmlns:c16="http://schemas.microsoft.com/office/drawing/2014/chart" uri="{C3380CC4-5D6E-409C-BE32-E72D297353CC}">
              <c16:uniqueId val="{00000001-563B-446A-9C05-F8A8E87CA2FF}"/>
            </c:ext>
          </c:extLst>
        </c:ser>
        <c:dLbls>
          <c:showLegendKey val="0"/>
          <c:showVal val="0"/>
          <c:showCatName val="0"/>
          <c:showSerName val="0"/>
          <c:showPercent val="0"/>
          <c:showBubbleSize val="0"/>
        </c:dLbls>
        <c:gapWidth val="75"/>
        <c:overlap val="100"/>
        <c:axId val="28279936"/>
        <c:axId val="28281856"/>
      </c:barChart>
      <c:catAx>
        <c:axId val="28279936"/>
        <c:scaling>
          <c:orientation val="minMax"/>
        </c:scaling>
        <c:delete val="0"/>
        <c:axPos val="b"/>
        <c:title>
          <c:tx>
            <c:rich>
              <a:bodyPr/>
              <a:lstStyle/>
              <a:p>
                <a:pPr>
                  <a:defRPr sz="800"/>
                </a:pPr>
                <a:r>
                  <a:rPr lang="en-GB" sz="800"/>
                  <a:t>Month/Year</a:t>
                </a:r>
              </a:p>
            </c:rich>
          </c:tx>
          <c:overlay val="0"/>
        </c:title>
        <c:numFmt formatCode="General" sourceLinked="0"/>
        <c:majorTickMark val="none"/>
        <c:minorTickMark val="none"/>
        <c:tickLblPos val="nextTo"/>
        <c:crossAx val="28281856"/>
        <c:crosses val="autoZero"/>
        <c:auto val="1"/>
        <c:lblAlgn val="ctr"/>
        <c:lblOffset val="100"/>
        <c:noMultiLvlLbl val="0"/>
      </c:catAx>
      <c:valAx>
        <c:axId val="28281856"/>
        <c:scaling>
          <c:orientation val="minMax"/>
          <c:max val="450"/>
          <c:min val="0"/>
        </c:scaling>
        <c:delete val="0"/>
        <c:axPos val="l"/>
        <c:majorGridlines/>
        <c:title>
          <c:tx>
            <c:rich>
              <a:bodyPr/>
              <a:lstStyle/>
              <a:p>
                <a:pPr>
                  <a:defRPr sz="800"/>
                </a:pPr>
                <a:r>
                  <a:rPr lang="en-US" sz="800"/>
                  <a:t>Number of Indicators</a:t>
                </a:r>
              </a:p>
            </c:rich>
          </c:tx>
          <c:overlay val="0"/>
        </c:title>
        <c:numFmt formatCode="General" sourceLinked="1"/>
        <c:majorTickMark val="out"/>
        <c:minorTickMark val="none"/>
        <c:tickLblPos val="nextTo"/>
        <c:crossAx val="28279936"/>
        <c:crosses val="autoZero"/>
        <c:crossBetween val="between"/>
      </c:valAx>
    </c:plotArea>
    <c:legend>
      <c:legendPos val="r"/>
      <c:overlay val="0"/>
    </c:legend>
    <c:plotVisOnly val="1"/>
    <c:dispBlanksAs val="gap"/>
    <c:showDLblsOverMax val="0"/>
  </c:chart>
  <c:txPr>
    <a:bodyPr/>
    <a:lstStyle/>
    <a:p>
      <a:pPr>
        <a:defRPr sz="9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C9F1-25FD-4A9D-AE68-0EBE4D15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2014-03-17T14:55:00Z</cp:lastPrinted>
  <dcterms:created xsi:type="dcterms:W3CDTF">2018-06-22T13:59:00Z</dcterms:created>
  <dcterms:modified xsi:type="dcterms:W3CDTF">2018-06-22T14:17:00Z</dcterms:modified>
</cp:coreProperties>
</file>