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860CC" w:rsidRDefault="00AD4308">
                            <w:pPr>
                              <w:jc w:val="center"/>
                              <w:rPr>
                                <w:rFonts w:ascii="Segoe UI" w:hAnsi="Segoe UI" w:cs="Segoe UI"/>
                              </w:rPr>
                            </w:pPr>
                            <w:r>
                              <w:rPr>
                                <w:rFonts w:ascii="Segoe UI" w:hAnsi="Segoe UI" w:cs="Segoe UI"/>
                                <w:b/>
                              </w:rPr>
                              <w:t>BOD 81</w:t>
                            </w:r>
                            <w:r w:rsidR="009860CC">
                              <w:rPr>
                                <w:rFonts w:ascii="Segoe UI" w:hAnsi="Segoe UI" w:cs="Segoe UI"/>
                                <w:b/>
                              </w:rPr>
                              <w:t>/2018</w:t>
                            </w:r>
                          </w:p>
                          <w:p w:rsidR="009860CC" w:rsidRPr="00FA3993" w:rsidRDefault="00AD4308">
                            <w:pPr>
                              <w:jc w:val="center"/>
                              <w:rPr>
                                <w:rFonts w:ascii="Segoe UI" w:hAnsi="Segoe UI" w:cs="Segoe UI"/>
                                <w:sz w:val="22"/>
                                <w:szCs w:val="22"/>
                              </w:rPr>
                            </w:pPr>
                            <w:r>
                              <w:rPr>
                                <w:rFonts w:ascii="Segoe UI" w:hAnsi="Segoe UI" w:cs="Segoe UI"/>
                                <w:sz w:val="22"/>
                                <w:szCs w:val="22"/>
                              </w:rPr>
                              <w:t>(Agenda item: 8</w:t>
                            </w:r>
                            <w:r w:rsidR="009860CC">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9860CC" w:rsidRDefault="00AD4308">
                      <w:pPr>
                        <w:jc w:val="center"/>
                        <w:rPr>
                          <w:rFonts w:ascii="Segoe UI" w:hAnsi="Segoe UI" w:cs="Segoe UI"/>
                        </w:rPr>
                      </w:pPr>
                      <w:r>
                        <w:rPr>
                          <w:rFonts w:ascii="Segoe UI" w:hAnsi="Segoe UI" w:cs="Segoe UI"/>
                          <w:b/>
                        </w:rPr>
                        <w:t>BOD 81</w:t>
                      </w:r>
                      <w:r w:rsidR="009860CC">
                        <w:rPr>
                          <w:rFonts w:ascii="Segoe UI" w:hAnsi="Segoe UI" w:cs="Segoe UI"/>
                          <w:b/>
                        </w:rPr>
                        <w:t>/2018</w:t>
                      </w:r>
                    </w:p>
                    <w:p w:rsidR="009860CC" w:rsidRPr="00FA3993" w:rsidRDefault="00AD4308">
                      <w:pPr>
                        <w:jc w:val="center"/>
                        <w:rPr>
                          <w:rFonts w:ascii="Segoe UI" w:hAnsi="Segoe UI" w:cs="Segoe UI"/>
                          <w:sz w:val="22"/>
                          <w:szCs w:val="22"/>
                        </w:rPr>
                      </w:pPr>
                      <w:r>
                        <w:rPr>
                          <w:rFonts w:ascii="Segoe UI" w:hAnsi="Segoe UI" w:cs="Segoe UI"/>
                          <w:sz w:val="22"/>
                          <w:szCs w:val="22"/>
                        </w:rPr>
                        <w:t>(Agenda item: 8</w:t>
                      </w:r>
                      <w:r w:rsidR="009860CC">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AD4308">
      <w:pPr>
        <w:jc w:val="center"/>
        <w:rPr>
          <w:rFonts w:ascii="Segoe UI" w:hAnsi="Segoe UI" w:cs="Segoe UI"/>
          <w:b/>
        </w:rPr>
      </w:pPr>
      <w:r>
        <w:rPr>
          <w:rFonts w:ascii="Segoe UI" w:hAnsi="Segoe UI" w:cs="Segoe UI"/>
          <w:b/>
        </w:rPr>
        <w:t xml:space="preserve">27 </w:t>
      </w:r>
      <w:r w:rsidR="004F3BE2">
        <w:rPr>
          <w:rFonts w:ascii="Segoe UI" w:hAnsi="Segoe UI" w:cs="Segoe UI"/>
          <w:b/>
        </w:rPr>
        <w:t>June</w:t>
      </w:r>
      <w:r w:rsidR="00145747">
        <w:rPr>
          <w:rFonts w:ascii="Segoe UI" w:hAnsi="Segoe UI" w:cs="Segoe UI"/>
          <w:b/>
        </w:rPr>
        <w:t xml:space="preserve"> 2018</w:t>
      </w:r>
    </w:p>
    <w:p w:rsidR="005D3499" w:rsidRPr="00FA3993" w:rsidRDefault="005D3499">
      <w:pPr>
        <w:jc w:val="center"/>
        <w:rPr>
          <w:rFonts w:ascii="Segoe UI" w:hAnsi="Segoe UI" w:cs="Segoe UI"/>
          <w:b/>
        </w:rPr>
      </w:pPr>
    </w:p>
    <w:p w:rsidR="005D3499" w:rsidRPr="00FA3993" w:rsidRDefault="00C93210" w:rsidP="00FD2279">
      <w:pPr>
        <w:jc w:val="center"/>
        <w:rPr>
          <w:rFonts w:ascii="Segoe UI" w:hAnsi="Segoe UI" w:cs="Segoe UI"/>
          <w:b/>
        </w:rPr>
      </w:pPr>
      <w:r>
        <w:rPr>
          <w:rFonts w:ascii="Segoe UI" w:hAnsi="Segoe UI" w:cs="Segoe UI"/>
          <w:b/>
        </w:rPr>
        <w:t>Human Resources Report</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For: Information</w:t>
      </w:r>
    </w:p>
    <w:p w:rsidR="00292613" w:rsidRDefault="00292613">
      <w:pPr>
        <w:rPr>
          <w:rFonts w:ascii="Segoe UI" w:hAnsi="Segoe UI" w:cs="Segoe UI"/>
          <w:b/>
        </w:rPr>
      </w:pPr>
    </w:p>
    <w:p w:rsidR="00C93210" w:rsidRPr="00267DE0" w:rsidRDefault="00C93210" w:rsidP="00C93210">
      <w:pPr>
        <w:jc w:val="both"/>
        <w:rPr>
          <w:rFonts w:ascii="Arial" w:hAnsi="Arial" w:cs="Arial"/>
        </w:rPr>
      </w:pPr>
      <w:r w:rsidRPr="00267DE0">
        <w:rPr>
          <w:rFonts w:ascii="Arial" w:hAnsi="Arial" w:cs="Arial"/>
        </w:rPr>
        <w:t xml:space="preserve">This report shows the position on the workforce performance indicators as at the end of </w:t>
      </w:r>
      <w:r w:rsidR="004F3BE2">
        <w:rPr>
          <w:rFonts w:ascii="Arial" w:hAnsi="Arial" w:cs="Arial"/>
        </w:rPr>
        <w:t xml:space="preserve">May </w:t>
      </w:r>
      <w:r w:rsidR="001D39E4">
        <w:rPr>
          <w:rFonts w:ascii="Arial" w:hAnsi="Arial" w:cs="Arial"/>
        </w:rPr>
        <w:t>2018.</w:t>
      </w:r>
    </w:p>
    <w:p w:rsidR="00C93210" w:rsidRPr="00267DE0" w:rsidRDefault="00C93210" w:rsidP="00C93210">
      <w:pPr>
        <w:ind w:left="-851"/>
        <w:jc w:val="both"/>
        <w:rPr>
          <w:rFonts w:ascii="Arial" w:hAnsi="Arial" w:cs="Arial"/>
        </w:rPr>
      </w:pPr>
    </w:p>
    <w:p w:rsidR="00C93210" w:rsidRPr="00CE0E1A" w:rsidRDefault="00C93210" w:rsidP="00C93210">
      <w:pPr>
        <w:jc w:val="both"/>
        <w:rPr>
          <w:rFonts w:ascii="Arial" w:hAnsi="Arial" w:cs="Arial"/>
        </w:rPr>
      </w:pPr>
      <w:r w:rsidRPr="00267DE0">
        <w:rPr>
          <w:rFonts w:ascii="Arial" w:hAnsi="Arial" w:cs="Arial"/>
        </w:rPr>
        <w:t>The report includes brief details of actions already in place to address some of the challenges as well as plans being developed.</w:t>
      </w:r>
    </w:p>
    <w:p w:rsidR="00C93210" w:rsidRDefault="00C93210" w:rsidP="00C93210">
      <w:pPr>
        <w:jc w:val="both"/>
        <w:rPr>
          <w:rFonts w:ascii="Arial" w:hAnsi="Arial" w:cs="Arial"/>
        </w:rPr>
      </w:pPr>
    </w:p>
    <w:p w:rsidR="00C93210" w:rsidRDefault="00C93210" w:rsidP="00C93210">
      <w:pPr>
        <w:rPr>
          <w:rFonts w:ascii="Arial" w:hAnsi="Arial" w:cs="Arial"/>
          <w:b/>
        </w:rPr>
      </w:pPr>
      <w:r w:rsidRPr="00AB3ABC">
        <w:rPr>
          <w:rFonts w:ascii="Arial" w:hAnsi="Arial" w:cs="Arial"/>
          <w:b/>
        </w:rPr>
        <w:t>Temporary Staffing Spend</w:t>
      </w:r>
    </w:p>
    <w:p w:rsidR="004F3BE2" w:rsidRDefault="004F3BE2" w:rsidP="00C93210">
      <w:pPr>
        <w:rPr>
          <w:rFonts w:ascii="Arial" w:hAnsi="Arial" w:cs="Arial"/>
        </w:rPr>
      </w:pPr>
      <w:r w:rsidRPr="004F3BE2">
        <w:rPr>
          <w:rFonts w:ascii="Arial" w:hAnsi="Arial" w:cs="Arial"/>
        </w:rPr>
        <w:t xml:space="preserve">Total temporary staffing </w:t>
      </w:r>
      <w:proofErr w:type="gramStart"/>
      <w:r w:rsidRPr="004F3BE2">
        <w:rPr>
          <w:rFonts w:ascii="Arial" w:hAnsi="Arial" w:cs="Arial"/>
        </w:rPr>
        <w:t>spend</w:t>
      </w:r>
      <w:proofErr w:type="gramEnd"/>
      <w:r w:rsidRPr="004F3BE2">
        <w:rPr>
          <w:rFonts w:ascii="Arial" w:hAnsi="Arial" w:cs="Arial"/>
        </w:rPr>
        <w:t xml:space="preserve"> decreased by £371K to £2.94m, 15.03% of payroll, the lowest since September 2017 and the first time there has been a reduction </w:t>
      </w:r>
      <w:r>
        <w:rPr>
          <w:rFonts w:ascii="Arial" w:hAnsi="Arial" w:cs="Arial"/>
        </w:rPr>
        <w:t xml:space="preserve">for </w:t>
      </w:r>
      <w:r w:rsidRPr="004F3BE2">
        <w:rPr>
          <w:rFonts w:ascii="Arial" w:hAnsi="Arial" w:cs="Arial"/>
        </w:rPr>
        <w:t xml:space="preserve">2 </w:t>
      </w:r>
      <w:r>
        <w:rPr>
          <w:rFonts w:ascii="Arial" w:hAnsi="Arial" w:cs="Arial"/>
        </w:rPr>
        <w:t xml:space="preserve">consecutive </w:t>
      </w:r>
      <w:r w:rsidRPr="004F3BE2">
        <w:rPr>
          <w:rFonts w:ascii="Arial" w:hAnsi="Arial" w:cs="Arial"/>
        </w:rPr>
        <w:t xml:space="preserve">months.  Total temporary staffing spend has reduced by over £1m since March and agency spend has reduced by £776K.  This can in part be attributed to the </w:t>
      </w:r>
      <w:r>
        <w:rPr>
          <w:rFonts w:ascii="Arial" w:hAnsi="Arial" w:cs="Arial"/>
        </w:rPr>
        <w:t>r</w:t>
      </w:r>
      <w:r w:rsidRPr="004F3BE2">
        <w:rPr>
          <w:rFonts w:ascii="Arial" w:hAnsi="Arial" w:cs="Arial"/>
        </w:rPr>
        <w:t xml:space="preserve">emoval of agency HCA use in </w:t>
      </w:r>
      <w:r>
        <w:rPr>
          <w:rFonts w:ascii="Arial" w:hAnsi="Arial" w:cs="Arial"/>
        </w:rPr>
        <w:t>i</w:t>
      </w:r>
      <w:r w:rsidRPr="004F3BE2">
        <w:rPr>
          <w:rFonts w:ascii="Arial" w:hAnsi="Arial" w:cs="Arial"/>
        </w:rPr>
        <w:t xml:space="preserve">npatient </w:t>
      </w:r>
      <w:r>
        <w:rPr>
          <w:rFonts w:ascii="Arial" w:hAnsi="Arial" w:cs="Arial"/>
        </w:rPr>
        <w:t>u</w:t>
      </w:r>
      <w:r w:rsidRPr="004F3BE2">
        <w:rPr>
          <w:rFonts w:ascii="Arial" w:hAnsi="Arial" w:cs="Arial"/>
        </w:rPr>
        <w:t xml:space="preserve">nits since 14 May.  </w:t>
      </w:r>
    </w:p>
    <w:p w:rsidR="004F3BE2" w:rsidRDefault="004F3BE2" w:rsidP="00C93210">
      <w:pPr>
        <w:rPr>
          <w:rFonts w:ascii="Arial" w:hAnsi="Arial" w:cs="Arial"/>
        </w:rPr>
      </w:pPr>
    </w:p>
    <w:p w:rsidR="004F3BE2" w:rsidRDefault="004F3BE2" w:rsidP="004F3BE2">
      <w:pPr>
        <w:rPr>
          <w:rFonts w:ascii="Arial" w:hAnsi="Arial" w:cs="Arial"/>
          <w:lang w:val="en-GB"/>
        </w:rPr>
      </w:pPr>
      <w:r w:rsidRPr="004F3BE2">
        <w:rPr>
          <w:rFonts w:ascii="Arial" w:hAnsi="Arial" w:cs="Arial"/>
          <w:lang w:val="en-GB"/>
        </w:rPr>
        <w:t xml:space="preserve">Agency spend decreased by £258k to £1.74m in </w:t>
      </w:r>
      <w:proofErr w:type="gramStart"/>
      <w:r w:rsidRPr="004F3BE2">
        <w:rPr>
          <w:rFonts w:ascii="Arial" w:hAnsi="Arial" w:cs="Arial"/>
          <w:lang w:val="en-GB"/>
        </w:rPr>
        <w:t>May,</w:t>
      </w:r>
      <w:proofErr w:type="gramEnd"/>
      <w:r w:rsidRPr="004F3BE2">
        <w:rPr>
          <w:rFonts w:ascii="Arial" w:hAnsi="Arial" w:cs="Arial"/>
          <w:lang w:val="en-GB"/>
        </w:rPr>
        <w:t xml:space="preserve"> 8.88% of payroll, its lowest since September. </w:t>
      </w:r>
    </w:p>
    <w:p w:rsidR="004F3BE2" w:rsidRDefault="004F3BE2" w:rsidP="004F3BE2">
      <w:pPr>
        <w:rPr>
          <w:rFonts w:ascii="Arial" w:hAnsi="Arial" w:cs="Arial"/>
          <w:lang w:val="en-GB"/>
        </w:rPr>
      </w:pPr>
    </w:p>
    <w:p w:rsidR="004F3BE2" w:rsidRDefault="004F3BE2" w:rsidP="004F3BE2">
      <w:pPr>
        <w:rPr>
          <w:rFonts w:ascii="Arial" w:hAnsi="Arial" w:cs="Arial"/>
          <w:lang w:val="en-GB"/>
        </w:rPr>
      </w:pPr>
      <w:r w:rsidRPr="004F3BE2">
        <w:rPr>
          <w:rFonts w:ascii="Arial" w:hAnsi="Arial" w:cs="Arial"/>
          <w:lang w:val="en-GB"/>
        </w:rPr>
        <w:t xml:space="preserve">The greatest decrease was in Additional Clinical Services </w:t>
      </w:r>
      <w:r>
        <w:rPr>
          <w:rFonts w:ascii="Arial" w:hAnsi="Arial" w:cs="Arial"/>
          <w:lang w:val="en-GB"/>
        </w:rPr>
        <w:t xml:space="preserve">and </w:t>
      </w:r>
      <w:r w:rsidRPr="004F3BE2">
        <w:rPr>
          <w:rFonts w:ascii="Arial" w:hAnsi="Arial" w:cs="Arial"/>
          <w:lang w:val="en-GB"/>
        </w:rPr>
        <w:t xml:space="preserve">in the Registered Nursing staffing group.  </w:t>
      </w:r>
    </w:p>
    <w:p w:rsidR="00F82C5A" w:rsidRPr="004F3BE2" w:rsidRDefault="00F82C5A" w:rsidP="004F3BE2">
      <w:pPr>
        <w:rPr>
          <w:rFonts w:ascii="Arial" w:hAnsi="Arial" w:cs="Arial"/>
          <w:lang w:val="en-GB"/>
        </w:rPr>
      </w:pPr>
    </w:p>
    <w:p w:rsidR="004F3BE2" w:rsidRDefault="004F3BE2" w:rsidP="00C93210">
      <w:pPr>
        <w:rPr>
          <w:rFonts w:ascii="Arial" w:hAnsi="Arial" w:cs="Arial"/>
          <w:lang w:val="en-GB"/>
        </w:rPr>
      </w:pPr>
    </w:p>
    <w:p w:rsidR="00F50721" w:rsidRDefault="00F50721" w:rsidP="00C93210">
      <w:pPr>
        <w:rPr>
          <w:rFonts w:ascii="Arial" w:eastAsiaTheme="majorEastAsia" w:hAnsi="Arial" w:cs="Arial"/>
          <w:b/>
          <w:color w:val="000000" w:themeColor="text1"/>
          <w:kern w:val="24"/>
        </w:rPr>
      </w:pPr>
      <w:r>
        <w:rPr>
          <w:rFonts w:ascii="Arial" w:eastAsiaTheme="majorEastAsia" w:hAnsi="Arial" w:cs="Arial"/>
          <w:b/>
          <w:color w:val="000000" w:themeColor="text1"/>
          <w:kern w:val="24"/>
        </w:rPr>
        <w:t>HCA Agency Reduction</w:t>
      </w:r>
    </w:p>
    <w:p w:rsidR="004F3BE2" w:rsidRDefault="004F3BE2" w:rsidP="004F3BE2">
      <w:pPr>
        <w:rPr>
          <w:rFonts w:ascii="Arial" w:eastAsiaTheme="majorEastAsia" w:hAnsi="Arial" w:cs="Arial"/>
          <w:color w:val="000000" w:themeColor="text1"/>
          <w:kern w:val="24"/>
          <w:lang w:val="en-GB"/>
        </w:rPr>
      </w:pPr>
      <w:r w:rsidRPr="004F3BE2">
        <w:rPr>
          <w:rFonts w:ascii="Arial" w:eastAsiaTheme="majorEastAsia" w:hAnsi="Arial" w:cs="Arial"/>
          <w:color w:val="000000" w:themeColor="text1"/>
          <w:kern w:val="24"/>
          <w:lang w:val="en-GB"/>
        </w:rPr>
        <w:t>Since November 201</w:t>
      </w:r>
      <w:r w:rsidR="00F4379D">
        <w:rPr>
          <w:rFonts w:ascii="Arial" w:eastAsiaTheme="majorEastAsia" w:hAnsi="Arial" w:cs="Arial"/>
          <w:color w:val="000000" w:themeColor="text1"/>
          <w:kern w:val="24"/>
          <w:lang w:val="en-GB"/>
        </w:rPr>
        <w:t>7</w:t>
      </w:r>
      <w:r w:rsidRPr="004F3BE2">
        <w:rPr>
          <w:rFonts w:ascii="Arial" w:eastAsiaTheme="majorEastAsia" w:hAnsi="Arial" w:cs="Arial"/>
          <w:color w:val="000000" w:themeColor="text1"/>
          <w:kern w:val="24"/>
          <w:lang w:val="en-GB"/>
        </w:rPr>
        <w:t xml:space="preserve"> a multi-disciplinary project group comprising of operations, nursing, recruitment and </w:t>
      </w:r>
      <w:r>
        <w:rPr>
          <w:rFonts w:ascii="Arial" w:eastAsiaTheme="majorEastAsia" w:hAnsi="Arial" w:cs="Arial"/>
          <w:color w:val="000000" w:themeColor="text1"/>
          <w:kern w:val="24"/>
          <w:lang w:val="en-GB"/>
        </w:rPr>
        <w:t>S</w:t>
      </w:r>
      <w:r w:rsidRPr="004F3BE2">
        <w:rPr>
          <w:rFonts w:ascii="Arial" w:eastAsiaTheme="majorEastAsia" w:hAnsi="Arial" w:cs="Arial"/>
          <w:color w:val="000000" w:themeColor="text1"/>
          <w:kern w:val="24"/>
          <w:lang w:val="en-GB"/>
        </w:rPr>
        <w:t xml:space="preserve">taffing </w:t>
      </w:r>
      <w:r>
        <w:rPr>
          <w:rFonts w:ascii="Arial" w:eastAsiaTheme="majorEastAsia" w:hAnsi="Arial" w:cs="Arial"/>
          <w:color w:val="000000" w:themeColor="text1"/>
          <w:kern w:val="24"/>
          <w:lang w:val="en-GB"/>
        </w:rPr>
        <w:t>S</w:t>
      </w:r>
      <w:r w:rsidRPr="004F3BE2">
        <w:rPr>
          <w:rFonts w:ascii="Arial" w:eastAsiaTheme="majorEastAsia" w:hAnsi="Arial" w:cs="Arial"/>
          <w:color w:val="000000" w:themeColor="text1"/>
          <w:kern w:val="24"/>
          <w:lang w:val="en-GB"/>
        </w:rPr>
        <w:t>olutions has been working towards removing all HCA ag</w:t>
      </w:r>
      <w:r>
        <w:rPr>
          <w:rFonts w:ascii="Arial" w:eastAsiaTheme="majorEastAsia" w:hAnsi="Arial" w:cs="Arial"/>
          <w:color w:val="000000" w:themeColor="text1"/>
          <w:kern w:val="24"/>
          <w:lang w:val="en-GB"/>
        </w:rPr>
        <w:t>ency use across inpatient units.</w:t>
      </w:r>
    </w:p>
    <w:p w:rsidR="004F3BE2" w:rsidRDefault="004F3BE2" w:rsidP="004F3BE2">
      <w:pPr>
        <w:rPr>
          <w:rFonts w:ascii="Arial" w:eastAsiaTheme="majorEastAsia" w:hAnsi="Arial" w:cs="Arial"/>
          <w:color w:val="000000" w:themeColor="text1"/>
          <w:kern w:val="24"/>
          <w:lang w:val="en-GB"/>
        </w:rPr>
      </w:pPr>
    </w:p>
    <w:p w:rsidR="004F3BE2" w:rsidRDefault="004F3BE2" w:rsidP="004F3BE2">
      <w:pPr>
        <w:rPr>
          <w:rFonts w:ascii="Arial" w:eastAsiaTheme="majorEastAsia" w:hAnsi="Arial" w:cs="Arial"/>
          <w:color w:val="000000" w:themeColor="text1"/>
          <w:kern w:val="24"/>
          <w:lang w:val="en-GB"/>
        </w:rPr>
      </w:pPr>
      <w:r>
        <w:rPr>
          <w:rFonts w:ascii="Arial" w:eastAsiaTheme="majorEastAsia" w:hAnsi="Arial" w:cs="Arial"/>
          <w:color w:val="000000" w:themeColor="text1"/>
          <w:kern w:val="24"/>
          <w:lang w:val="en-GB"/>
        </w:rPr>
        <w:lastRenderedPageBreak/>
        <w:t>This was implemented on 14</w:t>
      </w:r>
      <w:r w:rsidRPr="004F3BE2">
        <w:rPr>
          <w:rFonts w:ascii="Arial" w:eastAsiaTheme="majorEastAsia" w:hAnsi="Arial" w:cs="Arial"/>
          <w:color w:val="000000" w:themeColor="text1"/>
          <w:kern w:val="24"/>
          <w:vertAlign w:val="superscript"/>
          <w:lang w:val="en-GB"/>
        </w:rPr>
        <w:t>th</w:t>
      </w:r>
      <w:r>
        <w:rPr>
          <w:rFonts w:ascii="Arial" w:eastAsiaTheme="majorEastAsia" w:hAnsi="Arial" w:cs="Arial"/>
          <w:color w:val="000000" w:themeColor="text1"/>
          <w:kern w:val="24"/>
          <w:lang w:val="en-GB"/>
        </w:rPr>
        <w:t xml:space="preserve"> May 2018 and since then only 10 shifts have been filled by agency workers.</w:t>
      </w:r>
    </w:p>
    <w:p w:rsidR="004F3BE2" w:rsidRDefault="004F3BE2" w:rsidP="004F3BE2">
      <w:pPr>
        <w:rPr>
          <w:rFonts w:ascii="Arial" w:eastAsiaTheme="majorEastAsia" w:hAnsi="Arial" w:cs="Arial"/>
          <w:color w:val="000000" w:themeColor="text1"/>
          <w:kern w:val="24"/>
          <w:lang w:val="en-GB"/>
        </w:rPr>
      </w:pPr>
    </w:p>
    <w:p w:rsidR="00C93210" w:rsidRDefault="00C93210" w:rsidP="00C93210">
      <w:pPr>
        <w:rPr>
          <w:rFonts w:ascii="Arial" w:eastAsiaTheme="majorEastAsia" w:hAnsi="Arial" w:cs="Arial"/>
          <w:b/>
          <w:color w:val="000000" w:themeColor="text1"/>
          <w:kern w:val="24"/>
        </w:rPr>
      </w:pPr>
      <w:r w:rsidRPr="00267DE0">
        <w:rPr>
          <w:rFonts w:ascii="Arial" w:eastAsiaTheme="majorEastAsia" w:hAnsi="Arial" w:cs="Arial"/>
          <w:b/>
          <w:color w:val="000000" w:themeColor="text1"/>
          <w:kern w:val="24"/>
        </w:rPr>
        <w:t>Vacancy</w:t>
      </w:r>
    </w:p>
    <w:p w:rsidR="004F3BE2" w:rsidRDefault="004F3BE2" w:rsidP="00C93210">
      <w:pPr>
        <w:jc w:val="both"/>
        <w:rPr>
          <w:rFonts w:ascii="Arial" w:hAnsi="Arial" w:cs="Arial"/>
        </w:rPr>
      </w:pPr>
      <w:r w:rsidRPr="004F3BE2">
        <w:rPr>
          <w:rFonts w:ascii="Arial" w:hAnsi="Arial" w:cs="Arial"/>
        </w:rPr>
        <w:t>The Vacancy rate has increased to 12.0% in May from 11.4% in April. The increase was driven by an addition to budgeted FTE for the Older Peoples directorate.</w:t>
      </w:r>
    </w:p>
    <w:p w:rsidR="004F3BE2" w:rsidRDefault="004F3BE2" w:rsidP="00C93210">
      <w:pPr>
        <w:jc w:val="both"/>
        <w:rPr>
          <w:rFonts w:ascii="Arial" w:hAnsi="Arial" w:cs="Arial"/>
        </w:rPr>
      </w:pPr>
    </w:p>
    <w:p w:rsidR="00C93210" w:rsidRPr="00CE0E1A" w:rsidRDefault="00C93210" w:rsidP="00C93210">
      <w:pPr>
        <w:jc w:val="both"/>
        <w:rPr>
          <w:rFonts w:ascii="Arial" w:hAnsi="Arial" w:cs="Arial"/>
          <w:b/>
        </w:rPr>
      </w:pPr>
      <w:r w:rsidRPr="00CE0E1A">
        <w:rPr>
          <w:rFonts w:ascii="Arial" w:hAnsi="Arial" w:cs="Arial"/>
          <w:b/>
        </w:rPr>
        <w:t>Turnover</w:t>
      </w:r>
    </w:p>
    <w:p w:rsidR="00F50721" w:rsidRDefault="004F3BE2" w:rsidP="00C93210">
      <w:pPr>
        <w:jc w:val="both"/>
        <w:rPr>
          <w:rFonts w:ascii="Arial" w:eastAsiaTheme="majorEastAsia" w:hAnsi="Arial" w:cs="Arial"/>
          <w:kern w:val="24"/>
        </w:rPr>
      </w:pPr>
      <w:r w:rsidRPr="004F3BE2">
        <w:rPr>
          <w:rFonts w:ascii="Arial" w:eastAsiaTheme="majorEastAsia" w:hAnsi="Arial" w:cs="Arial"/>
          <w:kern w:val="24"/>
        </w:rPr>
        <w:t>The Turnover figure has continu</w:t>
      </w:r>
      <w:r w:rsidR="005302A3">
        <w:rPr>
          <w:rFonts w:ascii="Arial" w:eastAsiaTheme="majorEastAsia" w:hAnsi="Arial" w:cs="Arial"/>
          <w:kern w:val="24"/>
        </w:rPr>
        <w:t>ed to decrease to stand at 14.4</w:t>
      </w:r>
      <w:r w:rsidRPr="004F3BE2">
        <w:rPr>
          <w:rFonts w:ascii="Arial" w:eastAsiaTheme="majorEastAsia" w:hAnsi="Arial" w:cs="Arial"/>
          <w:kern w:val="24"/>
        </w:rPr>
        <w:t>%. The dec</w:t>
      </w:r>
      <w:r w:rsidR="005302A3">
        <w:rPr>
          <w:rFonts w:ascii="Arial" w:eastAsiaTheme="majorEastAsia" w:hAnsi="Arial" w:cs="Arial"/>
          <w:kern w:val="24"/>
        </w:rPr>
        <w:t>rease has been driven by a long-</w:t>
      </w:r>
      <w:r w:rsidRPr="004F3BE2">
        <w:rPr>
          <w:rFonts w:ascii="Arial" w:eastAsiaTheme="majorEastAsia" w:hAnsi="Arial" w:cs="Arial"/>
          <w:kern w:val="24"/>
        </w:rPr>
        <w:t>term decline over the last six months in the Adult and Children and Young Peoples directorates.</w:t>
      </w:r>
    </w:p>
    <w:p w:rsidR="00E30001" w:rsidRPr="00267DE0" w:rsidRDefault="00E30001" w:rsidP="00C93210">
      <w:pPr>
        <w:jc w:val="both"/>
        <w:rPr>
          <w:rFonts w:ascii="Arial" w:eastAsiaTheme="majorEastAsia" w:hAnsi="Arial" w:cs="Arial"/>
          <w:kern w:val="24"/>
        </w:rPr>
      </w:pPr>
    </w:p>
    <w:p w:rsidR="00C93210" w:rsidRPr="00267DE0" w:rsidRDefault="00C93210" w:rsidP="00C93210">
      <w:pPr>
        <w:jc w:val="both"/>
        <w:rPr>
          <w:rFonts w:ascii="Arial" w:eastAsiaTheme="majorEastAsia" w:hAnsi="Arial" w:cs="Arial"/>
          <w:b/>
          <w:kern w:val="24"/>
        </w:rPr>
      </w:pPr>
      <w:r w:rsidRPr="00267DE0">
        <w:rPr>
          <w:rFonts w:ascii="Arial" w:eastAsiaTheme="majorEastAsia" w:hAnsi="Arial" w:cs="Arial"/>
          <w:b/>
          <w:kern w:val="24"/>
        </w:rPr>
        <w:t>Sickness</w:t>
      </w:r>
    </w:p>
    <w:p w:rsidR="004F3BE2" w:rsidRDefault="004F3BE2" w:rsidP="00C93210">
      <w:pPr>
        <w:jc w:val="both"/>
        <w:rPr>
          <w:rFonts w:ascii="Arial" w:hAnsi="Arial" w:cs="Arial"/>
        </w:rPr>
      </w:pPr>
      <w:r w:rsidRPr="004F3BE2">
        <w:rPr>
          <w:rFonts w:ascii="Arial" w:hAnsi="Arial" w:cs="Arial"/>
        </w:rPr>
        <w:t xml:space="preserve">Sickness has decreased over the last four months to stand at 3.86%. The general decrease has been experienced across all directorates. </w:t>
      </w:r>
      <w:r w:rsidR="00F82C5A">
        <w:rPr>
          <w:rFonts w:ascii="Arial" w:hAnsi="Arial" w:cs="Arial"/>
        </w:rPr>
        <w:t>The main reason for the reduction was a large drop in the amount of short term absence due to colds &amp; ‘flu.</w:t>
      </w:r>
    </w:p>
    <w:p w:rsidR="00F82C5A" w:rsidRDefault="00F82C5A" w:rsidP="00C93210">
      <w:pPr>
        <w:jc w:val="both"/>
        <w:rPr>
          <w:rFonts w:ascii="Arial" w:hAnsi="Arial" w:cs="Arial"/>
        </w:rPr>
      </w:pPr>
    </w:p>
    <w:p w:rsidR="00F82C5A" w:rsidRDefault="00F82C5A" w:rsidP="00C93210">
      <w:pPr>
        <w:jc w:val="both"/>
        <w:rPr>
          <w:rFonts w:ascii="Arial" w:hAnsi="Arial" w:cs="Arial"/>
        </w:rPr>
      </w:pPr>
      <w:r>
        <w:rPr>
          <w:rFonts w:ascii="Arial" w:hAnsi="Arial" w:cs="Arial"/>
        </w:rPr>
        <w:t>Many managers still record the reason for absence as “unknown”. Staffing Solutions will explore whether this option can be removed from the WFMS.</w:t>
      </w:r>
    </w:p>
    <w:p w:rsidR="004F3BE2" w:rsidRDefault="004F3BE2" w:rsidP="00C93210">
      <w:pPr>
        <w:jc w:val="both"/>
        <w:rPr>
          <w:rFonts w:ascii="Arial" w:hAnsi="Arial" w:cs="Arial"/>
        </w:rPr>
      </w:pPr>
    </w:p>
    <w:p w:rsidR="00DB4A9D" w:rsidRDefault="00DB4A9D" w:rsidP="00C93210">
      <w:pPr>
        <w:jc w:val="both"/>
        <w:rPr>
          <w:rFonts w:ascii="Arial" w:hAnsi="Arial" w:cs="Arial"/>
          <w:b/>
        </w:rPr>
      </w:pPr>
      <w:r>
        <w:rPr>
          <w:rFonts w:ascii="Arial" w:hAnsi="Arial" w:cs="Arial"/>
          <w:b/>
        </w:rPr>
        <w:t>Recruitment</w:t>
      </w:r>
    </w:p>
    <w:p w:rsidR="00DB4A9D" w:rsidRDefault="00E30001" w:rsidP="00C93210">
      <w:pPr>
        <w:jc w:val="both"/>
        <w:rPr>
          <w:rFonts w:ascii="Arial" w:hAnsi="Arial" w:cs="Arial"/>
        </w:rPr>
      </w:pPr>
      <w:r>
        <w:rPr>
          <w:rFonts w:ascii="Arial" w:hAnsi="Arial" w:cs="Arial"/>
        </w:rPr>
        <w:t>A table showing the current recruitment activity is included in the slide pack accompanying this report.</w:t>
      </w:r>
    </w:p>
    <w:p w:rsidR="00E30001" w:rsidRDefault="00E30001" w:rsidP="00C93210">
      <w:pPr>
        <w:jc w:val="both"/>
        <w:rPr>
          <w:rFonts w:ascii="Arial" w:hAnsi="Arial" w:cs="Arial"/>
        </w:rPr>
      </w:pPr>
    </w:p>
    <w:p w:rsidR="007B43CD" w:rsidRPr="007B43CD" w:rsidRDefault="007B43CD" w:rsidP="00C93210">
      <w:pPr>
        <w:jc w:val="both"/>
        <w:rPr>
          <w:rFonts w:ascii="Arial" w:hAnsi="Arial" w:cs="Arial"/>
          <w:b/>
        </w:rPr>
      </w:pPr>
      <w:r w:rsidRPr="007B43CD">
        <w:rPr>
          <w:rFonts w:ascii="Arial" w:hAnsi="Arial" w:cs="Arial"/>
          <w:b/>
        </w:rPr>
        <w:t>Health &amp; Wellbeing</w:t>
      </w:r>
    </w:p>
    <w:p w:rsidR="007B43CD" w:rsidRPr="007B43CD" w:rsidRDefault="007B43CD" w:rsidP="007B43CD">
      <w:pPr>
        <w:rPr>
          <w:rFonts w:ascii="Arial" w:hAnsi="Arial" w:cs="Arial"/>
          <w:lang w:eastAsia="en-GB"/>
        </w:rPr>
      </w:pPr>
      <w:r w:rsidRPr="007B43CD">
        <w:rPr>
          <w:rFonts w:ascii="Arial" w:hAnsi="Arial" w:cs="Arial"/>
          <w:lang w:eastAsia="en-GB"/>
        </w:rPr>
        <w:t>The Trust recently offered staff the opportunity to participate in a stress survey. There were 1114 electronic returns and a further 300 paper returns. The results are being reviewed and will inform the development of an action plan.</w:t>
      </w:r>
    </w:p>
    <w:p w:rsidR="007B43CD" w:rsidRPr="007B43CD" w:rsidRDefault="007B43CD" w:rsidP="007B43CD">
      <w:pPr>
        <w:rPr>
          <w:rFonts w:ascii="Arial" w:hAnsi="Arial" w:cs="Arial"/>
          <w:lang w:eastAsia="en-GB"/>
        </w:rPr>
      </w:pPr>
    </w:p>
    <w:p w:rsidR="007B43CD" w:rsidRPr="007B43CD" w:rsidRDefault="007B43CD" w:rsidP="007B43CD">
      <w:pPr>
        <w:rPr>
          <w:rFonts w:ascii="Arial" w:hAnsi="Arial" w:cs="Arial"/>
          <w:lang w:eastAsia="en-GB"/>
        </w:rPr>
      </w:pPr>
      <w:r w:rsidRPr="007B43CD">
        <w:rPr>
          <w:rFonts w:ascii="Arial" w:hAnsi="Arial" w:cs="Arial"/>
          <w:lang w:eastAsia="en-GB"/>
        </w:rPr>
        <w:t>The Stress Steering Group is reviewing a business case proposal for an Employee Assistance Programme (EAP). Further developments include an Oxford Brookes resilience training pilot for forensic staff.</w:t>
      </w:r>
    </w:p>
    <w:p w:rsidR="007B43CD" w:rsidRDefault="007B43CD" w:rsidP="007B43CD">
      <w:pPr>
        <w:rPr>
          <w:lang w:eastAsia="en-GB"/>
        </w:rPr>
      </w:pPr>
    </w:p>
    <w:p w:rsidR="001F303A" w:rsidRPr="00267DE0" w:rsidRDefault="00C93210" w:rsidP="00C93210">
      <w:pPr>
        <w:jc w:val="both"/>
        <w:rPr>
          <w:rFonts w:ascii="Arial" w:hAnsi="Arial" w:cs="Arial"/>
          <w:b/>
        </w:rPr>
      </w:pPr>
      <w:r w:rsidRPr="00267DE0">
        <w:rPr>
          <w:rFonts w:ascii="Arial" w:hAnsi="Arial" w:cs="Arial"/>
          <w:b/>
        </w:rPr>
        <w:t>Management of Concerns (Whistle Blowing)</w:t>
      </w:r>
    </w:p>
    <w:p w:rsidR="007E47DF" w:rsidRDefault="00F82C5A" w:rsidP="00AB3ABC">
      <w:pPr>
        <w:rPr>
          <w:rFonts w:ascii="Arial" w:hAnsi="Arial" w:cs="Arial"/>
        </w:rPr>
      </w:pPr>
      <w:r>
        <w:rPr>
          <w:rFonts w:ascii="Arial" w:hAnsi="Arial" w:cs="Arial"/>
        </w:rPr>
        <w:t>3</w:t>
      </w:r>
      <w:r w:rsidR="00E30001">
        <w:rPr>
          <w:rFonts w:ascii="Arial" w:hAnsi="Arial" w:cs="Arial"/>
        </w:rPr>
        <w:t xml:space="preserve"> current case</w:t>
      </w:r>
      <w:r>
        <w:rPr>
          <w:rFonts w:ascii="Arial" w:hAnsi="Arial" w:cs="Arial"/>
        </w:rPr>
        <w:t>s, all</w:t>
      </w:r>
      <w:r w:rsidR="00E30001">
        <w:rPr>
          <w:rFonts w:ascii="Arial" w:hAnsi="Arial" w:cs="Arial"/>
        </w:rPr>
        <w:t xml:space="preserve"> in Adult Directorate </w:t>
      </w:r>
      <w:r>
        <w:rPr>
          <w:rFonts w:ascii="Arial" w:hAnsi="Arial" w:cs="Arial"/>
        </w:rPr>
        <w:t xml:space="preserve">are </w:t>
      </w:r>
      <w:r w:rsidR="005E6BC3">
        <w:rPr>
          <w:rFonts w:ascii="Arial" w:hAnsi="Arial" w:cs="Arial"/>
        </w:rPr>
        <w:t xml:space="preserve">under </w:t>
      </w:r>
      <w:r>
        <w:rPr>
          <w:rFonts w:ascii="Arial" w:hAnsi="Arial" w:cs="Arial"/>
        </w:rPr>
        <w:t xml:space="preserve">currently </w:t>
      </w:r>
      <w:r w:rsidR="005E6BC3">
        <w:rPr>
          <w:rFonts w:ascii="Arial" w:hAnsi="Arial" w:cs="Arial"/>
        </w:rPr>
        <w:t>investigation.</w:t>
      </w:r>
    </w:p>
    <w:p w:rsidR="00ED3C1F" w:rsidRDefault="00ED3C1F" w:rsidP="00AB3ABC">
      <w:pPr>
        <w:rPr>
          <w:rFonts w:ascii="Arial" w:hAnsi="Arial" w:cs="Arial"/>
        </w:rPr>
      </w:pPr>
    </w:p>
    <w:p w:rsidR="00ED3C1F" w:rsidRDefault="00ED3C1F" w:rsidP="00AB3ABC">
      <w:pPr>
        <w:rPr>
          <w:rFonts w:ascii="Arial" w:hAnsi="Arial" w:cs="Arial"/>
          <w:b/>
        </w:rPr>
      </w:pPr>
    </w:p>
    <w:p w:rsidR="00ED3C1F" w:rsidRPr="00ED3C1F" w:rsidRDefault="00ED3C1F" w:rsidP="00AB3ABC">
      <w:pPr>
        <w:rPr>
          <w:rFonts w:ascii="Arial" w:hAnsi="Arial" w:cs="Arial"/>
          <w:b/>
        </w:rPr>
      </w:pPr>
      <w:r w:rsidRPr="00ED3C1F">
        <w:rPr>
          <w:rFonts w:ascii="Arial" w:hAnsi="Arial" w:cs="Arial"/>
          <w:b/>
        </w:rPr>
        <w:t>Retaining staff</w:t>
      </w:r>
    </w:p>
    <w:p w:rsidR="00ED3C1F" w:rsidRDefault="00ED3C1F" w:rsidP="00AB3ABC">
      <w:pPr>
        <w:rPr>
          <w:rFonts w:ascii="Arial" w:hAnsi="Arial" w:cs="Arial"/>
        </w:rPr>
      </w:pPr>
    </w:p>
    <w:p w:rsidR="00221DFC" w:rsidRDefault="00ED3C1F" w:rsidP="00AB3ABC">
      <w:pPr>
        <w:rPr>
          <w:rFonts w:ascii="Arial" w:hAnsi="Arial" w:cs="Arial"/>
        </w:rPr>
      </w:pPr>
      <w:r>
        <w:rPr>
          <w:rFonts w:ascii="Arial" w:hAnsi="Arial" w:cs="Arial"/>
        </w:rPr>
        <w:t xml:space="preserve">Several work-streams are underway to address the retention of staff at Oxford Health.  Already we are starting to see the impact as the </w:t>
      </w:r>
      <w:r w:rsidR="00221DFC">
        <w:rPr>
          <w:rFonts w:ascii="Arial" w:hAnsi="Arial" w:cs="Arial"/>
        </w:rPr>
        <w:t xml:space="preserve">staff </w:t>
      </w:r>
      <w:r>
        <w:rPr>
          <w:rFonts w:ascii="Arial" w:hAnsi="Arial" w:cs="Arial"/>
        </w:rPr>
        <w:t>attr</w:t>
      </w:r>
      <w:r w:rsidR="00221DFC">
        <w:rPr>
          <w:rFonts w:ascii="Arial" w:hAnsi="Arial" w:cs="Arial"/>
        </w:rPr>
        <w:t>ition rate has reduced to 14.4% from 14.8% and most importantly the work has slowed what was an ever-rising figure.  Work has begun to understand, through improved data collection, why people are leaving.</w:t>
      </w:r>
    </w:p>
    <w:p w:rsidR="00221DFC" w:rsidRDefault="00221DFC" w:rsidP="00AB3ABC">
      <w:pPr>
        <w:rPr>
          <w:rFonts w:ascii="Arial" w:hAnsi="Arial" w:cs="Arial"/>
        </w:rPr>
      </w:pPr>
    </w:p>
    <w:p w:rsidR="00ED3C1F" w:rsidRDefault="00221DFC" w:rsidP="00AB3ABC">
      <w:pPr>
        <w:rPr>
          <w:rFonts w:ascii="Arial" w:hAnsi="Arial" w:cs="Arial"/>
        </w:rPr>
      </w:pPr>
      <w:r>
        <w:rPr>
          <w:rFonts w:ascii="Arial" w:hAnsi="Arial" w:cs="Arial"/>
        </w:rPr>
        <w:lastRenderedPageBreak/>
        <w:t xml:space="preserve">We have data both from the staff survey and the recent HSE stress survey that tells us staff are dissatisfied with the high level of casework and </w:t>
      </w:r>
      <w:r w:rsidR="00D574A6">
        <w:rPr>
          <w:rFonts w:ascii="Arial" w:hAnsi="Arial" w:cs="Arial"/>
        </w:rPr>
        <w:t xml:space="preserve">that </w:t>
      </w:r>
      <w:r>
        <w:rPr>
          <w:rFonts w:ascii="Arial" w:hAnsi="Arial" w:cs="Arial"/>
        </w:rPr>
        <w:t xml:space="preserve">workload </w:t>
      </w:r>
      <w:r w:rsidR="00D574A6">
        <w:rPr>
          <w:rFonts w:ascii="Arial" w:hAnsi="Arial" w:cs="Arial"/>
        </w:rPr>
        <w:t xml:space="preserve">is </w:t>
      </w:r>
      <w:r>
        <w:rPr>
          <w:rFonts w:ascii="Arial" w:hAnsi="Arial" w:cs="Arial"/>
        </w:rPr>
        <w:t xml:space="preserve">a cause of organizational stress. </w:t>
      </w:r>
      <w:r w:rsidR="00ED3C1F">
        <w:rPr>
          <w:rFonts w:ascii="Arial" w:hAnsi="Arial" w:cs="Arial"/>
        </w:rPr>
        <w:t>The work on Stress began with a steering group with staff-side managing stress usin</w:t>
      </w:r>
      <w:r>
        <w:rPr>
          <w:rFonts w:ascii="Arial" w:hAnsi="Arial" w:cs="Arial"/>
        </w:rPr>
        <w:t xml:space="preserve">g the HSE Management Standards.  The work of the steering group has expanded to four work-streams to improve the management of organizational demands, control over work load and service delivery, the management of change and the support that we offer </w:t>
      </w:r>
      <w:r w:rsidR="004305B2">
        <w:rPr>
          <w:rFonts w:ascii="Arial" w:hAnsi="Arial" w:cs="Arial"/>
        </w:rPr>
        <w:t xml:space="preserve">our </w:t>
      </w:r>
      <w:r>
        <w:rPr>
          <w:rFonts w:ascii="Arial" w:hAnsi="Arial" w:cs="Arial"/>
        </w:rPr>
        <w:t>staff</w:t>
      </w:r>
      <w:r w:rsidR="004305B2">
        <w:rPr>
          <w:rFonts w:ascii="Arial" w:hAnsi="Arial" w:cs="Arial"/>
        </w:rPr>
        <w:t xml:space="preserve"> (including the consideration of an EAP)</w:t>
      </w:r>
      <w:r>
        <w:rPr>
          <w:rFonts w:ascii="Arial" w:hAnsi="Arial" w:cs="Arial"/>
        </w:rPr>
        <w:t>.</w:t>
      </w:r>
    </w:p>
    <w:p w:rsidR="004305B2" w:rsidRDefault="004305B2" w:rsidP="00AB3ABC">
      <w:pPr>
        <w:rPr>
          <w:rFonts w:ascii="Arial" w:hAnsi="Arial" w:cs="Arial"/>
        </w:rPr>
      </w:pPr>
    </w:p>
    <w:p w:rsidR="004305B2" w:rsidRDefault="004305B2" w:rsidP="00AB3ABC">
      <w:pPr>
        <w:rPr>
          <w:rFonts w:ascii="Arial" w:hAnsi="Arial" w:cs="Arial"/>
        </w:rPr>
      </w:pPr>
      <w:r>
        <w:rPr>
          <w:rFonts w:ascii="Arial" w:hAnsi="Arial" w:cs="Arial"/>
        </w:rPr>
        <w:t xml:space="preserve">The work Staffing Solutions have undertaken to increase the number of bank staff has enabled our substantive and regular directly employed banks staff to undertake work for the Trust instead of using agency staff.  The impact it not solely cost related as we have found using more of our bank staff raises quality and eases pressure on existing staff who feel agency staff </w:t>
      </w:r>
      <w:r w:rsidR="00D574A6">
        <w:rPr>
          <w:rFonts w:ascii="Arial" w:hAnsi="Arial" w:cs="Arial"/>
        </w:rPr>
        <w:t>generally are not able to fulfil all expectations that substantive or bank staff would.</w:t>
      </w:r>
    </w:p>
    <w:p w:rsidR="007E3D51" w:rsidRDefault="007E3D51" w:rsidP="00AB3ABC">
      <w:pPr>
        <w:rPr>
          <w:rFonts w:ascii="Arial" w:hAnsi="Arial" w:cs="Arial"/>
        </w:rPr>
      </w:pPr>
      <w:bookmarkStart w:id="0" w:name="_GoBack"/>
      <w:bookmarkEnd w:id="0"/>
    </w:p>
    <w:p w:rsidR="007E3D51" w:rsidRDefault="007E3D51" w:rsidP="00AB3ABC">
      <w:pPr>
        <w:rPr>
          <w:rFonts w:ascii="Arial" w:hAnsi="Arial" w:cs="Arial"/>
        </w:rPr>
      </w:pPr>
      <w:r>
        <w:rPr>
          <w:rFonts w:ascii="Arial" w:hAnsi="Arial" w:cs="Arial"/>
        </w:rPr>
        <w:t xml:space="preserve">The </w:t>
      </w:r>
      <w:r w:rsidR="00D574A6">
        <w:rPr>
          <w:rFonts w:ascii="Arial" w:hAnsi="Arial" w:cs="Arial"/>
        </w:rPr>
        <w:t>CEO’s team recently</w:t>
      </w:r>
      <w:r>
        <w:rPr>
          <w:rFonts w:ascii="Arial" w:hAnsi="Arial" w:cs="Arial"/>
        </w:rPr>
        <w:t xml:space="preserve"> held a discussion </w:t>
      </w:r>
      <w:r w:rsidR="00D574A6">
        <w:rPr>
          <w:rFonts w:ascii="Arial" w:hAnsi="Arial" w:cs="Arial"/>
        </w:rPr>
        <w:t>about talent and potential, focusing on their direct reports</w:t>
      </w:r>
      <w:r>
        <w:rPr>
          <w:rFonts w:ascii="Arial" w:hAnsi="Arial" w:cs="Arial"/>
        </w:rPr>
        <w:t xml:space="preserve">. </w:t>
      </w:r>
      <w:r w:rsidR="00D574A6">
        <w:rPr>
          <w:rFonts w:ascii="Arial" w:hAnsi="Arial" w:cs="Arial"/>
        </w:rPr>
        <w:t xml:space="preserve">We </w:t>
      </w:r>
      <w:r>
        <w:rPr>
          <w:rFonts w:ascii="Arial" w:hAnsi="Arial" w:cs="Arial"/>
        </w:rPr>
        <w:t>intend to develop a work stream for the management of talent to be used throughout the Trust</w:t>
      </w:r>
      <w:r w:rsidR="00D574A6">
        <w:rPr>
          <w:rFonts w:ascii="Arial" w:hAnsi="Arial" w:cs="Arial"/>
        </w:rPr>
        <w:t>, using guidance and templates from HEE</w:t>
      </w:r>
      <w:r>
        <w:rPr>
          <w:rFonts w:ascii="Arial" w:hAnsi="Arial" w:cs="Arial"/>
        </w:rPr>
        <w:t>.  Staff have indicated that lack of development is the top reason for leaving the trust and with so many vacancies and opportunities available we will include management of talent as an essential part of our work programme.</w:t>
      </w:r>
    </w:p>
    <w:p w:rsidR="00CD3DE3" w:rsidRDefault="00CD3DE3" w:rsidP="00AB3ABC">
      <w:pPr>
        <w:rPr>
          <w:rFonts w:ascii="Arial" w:hAnsi="Arial" w:cs="Arial"/>
        </w:rPr>
      </w:pPr>
    </w:p>
    <w:p w:rsidR="00CD3DE3" w:rsidRDefault="00CD3DE3" w:rsidP="00AB3ABC">
      <w:pPr>
        <w:rPr>
          <w:rFonts w:ascii="Arial" w:hAnsi="Arial" w:cs="Arial"/>
        </w:rPr>
      </w:pPr>
      <w:r>
        <w:rPr>
          <w:rFonts w:ascii="Arial" w:hAnsi="Arial" w:cs="Arial"/>
        </w:rPr>
        <w:t>The Senior HR Business Partners have now been allocated to each Directorate and will extend the work-streams on Stress, EDI,</w:t>
      </w:r>
      <w:r w:rsidR="00D574A6">
        <w:rPr>
          <w:rFonts w:ascii="Arial" w:hAnsi="Arial" w:cs="Arial"/>
        </w:rPr>
        <w:t xml:space="preserve"> Reward and Development with</w:t>
      </w:r>
      <w:r>
        <w:rPr>
          <w:rFonts w:ascii="Arial" w:hAnsi="Arial" w:cs="Arial"/>
        </w:rPr>
        <w:t xml:space="preserve"> the Senior Managers in each directorate.  In addition, the SHRBP will support the organization with improved management of change, complex Employee Relations and</w:t>
      </w:r>
      <w:r w:rsidR="007E3D51">
        <w:rPr>
          <w:rFonts w:ascii="Arial" w:hAnsi="Arial" w:cs="Arial"/>
        </w:rPr>
        <w:t xml:space="preserve"> management of their talent.</w:t>
      </w:r>
      <w:r>
        <w:rPr>
          <w:rFonts w:ascii="Arial" w:hAnsi="Arial" w:cs="Arial"/>
        </w:rPr>
        <w:t xml:space="preserve"> </w:t>
      </w:r>
    </w:p>
    <w:p w:rsidR="005E6BC3" w:rsidRPr="00E30001" w:rsidRDefault="005E6BC3" w:rsidP="00AB3ABC">
      <w:pPr>
        <w:rPr>
          <w:rFonts w:ascii="Arial" w:hAnsi="Arial" w:cs="Arial"/>
        </w:rPr>
      </w:pPr>
    </w:p>
    <w:p w:rsidR="00C93210" w:rsidRDefault="00C93210" w:rsidP="00C93210">
      <w:pPr>
        <w:jc w:val="both"/>
        <w:rPr>
          <w:rFonts w:ascii="Arial" w:hAnsi="Arial" w:cs="Arial"/>
          <w:b/>
        </w:rPr>
      </w:pPr>
      <w:r w:rsidRPr="00CE0E1A">
        <w:rPr>
          <w:rFonts w:ascii="Arial" w:hAnsi="Arial" w:cs="Arial"/>
          <w:b/>
        </w:rPr>
        <w:t>Recommendation</w:t>
      </w:r>
    </w:p>
    <w:p w:rsidR="00C93210" w:rsidRPr="00CE0E1A" w:rsidRDefault="00C93210" w:rsidP="00C93210">
      <w:pPr>
        <w:ind w:left="-851" w:firstLine="851"/>
        <w:jc w:val="both"/>
        <w:rPr>
          <w:rFonts w:ascii="Arial" w:hAnsi="Arial" w:cs="Arial"/>
        </w:rPr>
      </w:pPr>
      <w:r w:rsidRPr="00CE0E1A">
        <w:rPr>
          <w:rFonts w:ascii="Arial" w:hAnsi="Arial" w:cs="Arial"/>
        </w:rPr>
        <w:t>To note the report for information.</w:t>
      </w:r>
    </w:p>
    <w:p w:rsidR="00C93210" w:rsidRPr="00CE0E1A" w:rsidRDefault="00CD3DE3" w:rsidP="00C93210">
      <w:pPr>
        <w:ind w:left="-851" w:firstLine="851"/>
        <w:jc w:val="both"/>
        <w:rPr>
          <w:rFonts w:ascii="Arial" w:hAnsi="Arial" w:cs="Arial"/>
        </w:rPr>
      </w:pPr>
      <w:r>
        <w:rPr>
          <w:rFonts w:ascii="Arial" w:hAnsi="Arial" w:cs="Arial"/>
        </w:rPr>
        <w:t xml:space="preserve"> </w:t>
      </w:r>
    </w:p>
    <w:p w:rsidR="00C93210" w:rsidRPr="00CE0E1A" w:rsidRDefault="00C93210" w:rsidP="00C93210">
      <w:pPr>
        <w:ind w:left="1440" w:hanging="1440"/>
        <w:jc w:val="both"/>
        <w:rPr>
          <w:rFonts w:ascii="Arial" w:hAnsi="Arial" w:cs="Arial"/>
        </w:rPr>
      </w:pPr>
      <w:r w:rsidRPr="00CE0E1A">
        <w:rPr>
          <w:rFonts w:ascii="Arial" w:hAnsi="Arial" w:cs="Arial"/>
          <w:b/>
        </w:rPr>
        <w:t>Author and Title:</w:t>
      </w:r>
      <w:r w:rsidRPr="00CE0E1A">
        <w:rPr>
          <w:rFonts w:ascii="Arial" w:hAnsi="Arial" w:cs="Arial"/>
        </w:rPr>
        <w:t xml:space="preserve"> </w:t>
      </w:r>
      <w:r w:rsidRPr="00CE0E1A">
        <w:rPr>
          <w:rFonts w:ascii="Arial" w:hAnsi="Arial" w:cs="Arial"/>
        </w:rPr>
        <w:tab/>
      </w:r>
    </w:p>
    <w:p w:rsidR="00C93210" w:rsidRPr="00CE0E1A" w:rsidRDefault="00C93210" w:rsidP="00C93210">
      <w:pPr>
        <w:ind w:left="1440" w:hanging="1440"/>
        <w:jc w:val="both"/>
        <w:rPr>
          <w:rFonts w:ascii="Arial" w:hAnsi="Arial" w:cs="Arial"/>
        </w:rPr>
      </w:pPr>
      <w:r w:rsidRPr="00CE0E1A">
        <w:rPr>
          <w:rFonts w:ascii="Arial" w:hAnsi="Arial" w:cs="Arial"/>
        </w:rPr>
        <w:t xml:space="preserve">Simon Denton (Head of </w:t>
      </w:r>
      <w:r>
        <w:rPr>
          <w:rFonts w:ascii="Arial" w:hAnsi="Arial" w:cs="Arial"/>
        </w:rPr>
        <w:t>HR Operations</w:t>
      </w:r>
      <w:r w:rsidRPr="00CE0E1A">
        <w:rPr>
          <w:rFonts w:ascii="Arial" w:hAnsi="Arial" w:cs="Arial"/>
        </w:rPr>
        <w:t>)</w:t>
      </w:r>
    </w:p>
    <w:p w:rsidR="00C93210" w:rsidRPr="00CE0E1A" w:rsidRDefault="00C93210" w:rsidP="00C93210">
      <w:pPr>
        <w:ind w:left="1440" w:hanging="1440"/>
        <w:jc w:val="both"/>
        <w:rPr>
          <w:rFonts w:ascii="Arial" w:hAnsi="Arial" w:cs="Arial"/>
        </w:rPr>
      </w:pPr>
    </w:p>
    <w:p w:rsidR="00C93210" w:rsidRPr="00CE0E1A" w:rsidRDefault="00C93210" w:rsidP="00C93210">
      <w:pPr>
        <w:jc w:val="both"/>
        <w:rPr>
          <w:rFonts w:ascii="Arial" w:hAnsi="Arial" w:cs="Arial"/>
          <w:b/>
        </w:rPr>
      </w:pPr>
      <w:r w:rsidRPr="00CE0E1A">
        <w:rPr>
          <w:rFonts w:ascii="Arial" w:hAnsi="Arial" w:cs="Arial"/>
          <w:b/>
        </w:rPr>
        <w:t>Lead Executive Director:</w:t>
      </w:r>
      <w:r w:rsidRPr="00CE0E1A">
        <w:rPr>
          <w:rFonts w:ascii="Arial" w:hAnsi="Arial" w:cs="Arial"/>
          <w:b/>
        </w:rPr>
        <w:tab/>
      </w:r>
    </w:p>
    <w:p w:rsidR="003927AC" w:rsidRPr="00F945DB" w:rsidRDefault="00C93210" w:rsidP="00AE4E0F">
      <w:pPr>
        <w:jc w:val="both"/>
        <w:rPr>
          <w:rFonts w:ascii="Segoe UI" w:hAnsi="Segoe UI" w:cs="Segoe UI"/>
        </w:rPr>
      </w:pPr>
      <w:r>
        <w:rPr>
          <w:rFonts w:ascii="Arial" w:hAnsi="Arial" w:cs="Arial"/>
        </w:rPr>
        <w:t>Tim Boylin</w:t>
      </w:r>
    </w:p>
    <w:sectPr w:rsidR="003927AC" w:rsidRPr="00F945DB"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A14" w:rsidRDefault="00F81A14" w:rsidP="005B3E3C">
      <w:r>
        <w:separator/>
      </w:r>
    </w:p>
  </w:endnote>
  <w:endnote w:type="continuationSeparator" w:id="0">
    <w:p w:rsidR="00F81A14" w:rsidRDefault="00F81A1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9538"/>
      <w:docPartObj>
        <w:docPartGallery w:val="Page Numbers (Bottom of Page)"/>
        <w:docPartUnique/>
      </w:docPartObj>
    </w:sdtPr>
    <w:sdtEndPr>
      <w:rPr>
        <w:noProof/>
      </w:rPr>
    </w:sdtEndPr>
    <w:sdtContent>
      <w:p w:rsidR="009860CC" w:rsidRDefault="009860CC">
        <w:pPr>
          <w:pStyle w:val="Footer"/>
          <w:jc w:val="center"/>
        </w:pPr>
        <w:r>
          <w:fldChar w:fldCharType="begin"/>
        </w:r>
        <w:r>
          <w:instrText xml:space="preserve"> PAGE   \* MERGEFORMAT </w:instrText>
        </w:r>
        <w:r>
          <w:fldChar w:fldCharType="separate"/>
        </w:r>
        <w:r w:rsidR="00CC095D">
          <w:rPr>
            <w:noProof/>
          </w:rPr>
          <w:t>3</w:t>
        </w:r>
        <w:r>
          <w:rPr>
            <w:noProof/>
          </w:rPr>
          <w:fldChar w:fldCharType="end"/>
        </w:r>
      </w:p>
    </w:sdtContent>
  </w:sdt>
  <w:p w:rsidR="009860CC" w:rsidRDefault="0098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A14" w:rsidRDefault="00F81A14" w:rsidP="005B3E3C">
      <w:r>
        <w:separator/>
      </w:r>
    </w:p>
  </w:footnote>
  <w:footnote w:type="continuationSeparator" w:id="0">
    <w:p w:rsidR="00F81A14" w:rsidRDefault="00F81A14"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0CC" w:rsidRPr="00AD4308" w:rsidRDefault="009860CC" w:rsidP="00AD4308">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12"/>
  </w:num>
  <w:num w:numId="4">
    <w:abstractNumId w:val="5"/>
  </w:num>
  <w:num w:numId="5">
    <w:abstractNumId w:val="14"/>
  </w:num>
  <w:num w:numId="6">
    <w:abstractNumId w:val="6"/>
  </w:num>
  <w:num w:numId="7">
    <w:abstractNumId w:val="3"/>
  </w:num>
  <w:num w:numId="8">
    <w:abstractNumId w:val="11"/>
  </w:num>
  <w:num w:numId="9">
    <w:abstractNumId w:val="9"/>
  </w:num>
  <w:num w:numId="10">
    <w:abstractNumId w:val="13"/>
  </w:num>
  <w:num w:numId="11">
    <w:abstractNumId w:val="4"/>
  </w:num>
  <w:num w:numId="12">
    <w:abstractNumId w:val="2"/>
  </w:num>
  <w:num w:numId="13">
    <w:abstractNumId w:val="15"/>
  </w:num>
  <w:num w:numId="14">
    <w:abstractNumId w:val="10"/>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A3A29"/>
    <w:rsid w:val="000A5A07"/>
    <w:rsid w:val="000B420F"/>
    <w:rsid w:val="000E317C"/>
    <w:rsid w:val="001058A7"/>
    <w:rsid w:val="00132602"/>
    <w:rsid w:val="00145747"/>
    <w:rsid w:val="0018367D"/>
    <w:rsid w:val="001A126D"/>
    <w:rsid w:val="001A3571"/>
    <w:rsid w:val="001B5873"/>
    <w:rsid w:val="001D0455"/>
    <w:rsid w:val="001D39E4"/>
    <w:rsid w:val="001F303A"/>
    <w:rsid w:val="001F76ED"/>
    <w:rsid w:val="00205245"/>
    <w:rsid w:val="00221DFC"/>
    <w:rsid w:val="002250DE"/>
    <w:rsid w:val="00227FCE"/>
    <w:rsid w:val="00241A66"/>
    <w:rsid w:val="002619EF"/>
    <w:rsid w:val="00262F0F"/>
    <w:rsid w:val="00267DE0"/>
    <w:rsid w:val="0028206A"/>
    <w:rsid w:val="002821F8"/>
    <w:rsid w:val="00292613"/>
    <w:rsid w:val="002A73E8"/>
    <w:rsid w:val="002C2F97"/>
    <w:rsid w:val="002E6FC6"/>
    <w:rsid w:val="00306AF0"/>
    <w:rsid w:val="00321B03"/>
    <w:rsid w:val="003828D4"/>
    <w:rsid w:val="003927AC"/>
    <w:rsid w:val="003971F6"/>
    <w:rsid w:val="003F2AF4"/>
    <w:rsid w:val="003F7366"/>
    <w:rsid w:val="00406DBA"/>
    <w:rsid w:val="004305B2"/>
    <w:rsid w:val="004326BB"/>
    <w:rsid w:val="004547E1"/>
    <w:rsid w:val="00456DDE"/>
    <w:rsid w:val="004742D0"/>
    <w:rsid w:val="004F3BE2"/>
    <w:rsid w:val="004F4BBA"/>
    <w:rsid w:val="00503660"/>
    <w:rsid w:val="005233AA"/>
    <w:rsid w:val="005302A3"/>
    <w:rsid w:val="00534040"/>
    <w:rsid w:val="00551AD9"/>
    <w:rsid w:val="00551B0F"/>
    <w:rsid w:val="005659FB"/>
    <w:rsid w:val="005B3E3C"/>
    <w:rsid w:val="005C098E"/>
    <w:rsid w:val="005C3FC1"/>
    <w:rsid w:val="005D3499"/>
    <w:rsid w:val="005E2583"/>
    <w:rsid w:val="005E6BC3"/>
    <w:rsid w:val="0061684E"/>
    <w:rsid w:val="00632413"/>
    <w:rsid w:val="00677292"/>
    <w:rsid w:val="006B14EF"/>
    <w:rsid w:val="006E3C3E"/>
    <w:rsid w:val="006F2F62"/>
    <w:rsid w:val="0073522A"/>
    <w:rsid w:val="0077417C"/>
    <w:rsid w:val="007769CD"/>
    <w:rsid w:val="0078032B"/>
    <w:rsid w:val="00781566"/>
    <w:rsid w:val="007930EA"/>
    <w:rsid w:val="007976E7"/>
    <w:rsid w:val="007A2CF0"/>
    <w:rsid w:val="007A59BB"/>
    <w:rsid w:val="007B02FB"/>
    <w:rsid w:val="007B43CD"/>
    <w:rsid w:val="007B6D77"/>
    <w:rsid w:val="007E3D51"/>
    <w:rsid w:val="007E47DF"/>
    <w:rsid w:val="00802701"/>
    <w:rsid w:val="008038A2"/>
    <w:rsid w:val="008114CC"/>
    <w:rsid w:val="00811FE8"/>
    <w:rsid w:val="0084720C"/>
    <w:rsid w:val="0086436B"/>
    <w:rsid w:val="00894B97"/>
    <w:rsid w:val="008B723F"/>
    <w:rsid w:val="008D50F7"/>
    <w:rsid w:val="00946E6E"/>
    <w:rsid w:val="009860CC"/>
    <w:rsid w:val="009869DE"/>
    <w:rsid w:val="00A2080F"/>
    <w:rsid w:val="00A674FB"/>
    <w:rsid w:val="00A76C2F"/>
    <w:rsid w:val="00A85311"/>
    <w:rsid w:val="00A86977"/>
    <w:rsid w:val="00AA0C3F"/>
    <w:rsid w:val="00AB3ABC"/>
    <w:rsid w:val="00AC3814"/>
    <w:rsid w:val="00AD4308"/>
    <w:rsid w:val="00AE4E0F"/>
    <w:rsid w:val="00AF0562"/>
    <w:rsid w:val="00AF2B41"/>
    <w:rsid w:val="00B10FB2"/>
    <w:rsid w:val="00B26E1A"/>
    <w:rsid w:val="00B26F2C"/>
    <w:rsid w:val="00B50D5E"/>
    <w:rsid w:val="00B91B9B"/>
    <w:rsid w:val="00BA3B3E"/>
    <w:rsid w:val="00BC152C"/>
    <w:rsid w:val="00BF1919"/>
    <w:rsid w:val="00BF3538"/>
    <w:rsid w:val="00BF5367"/>
    <w:rsid w:val="00C07817"/>
    <w:rsid w:val="00C11AA2"/>
    <w:rsid w:val="00C67635"/>
    <w:rsid w:val="00C71005"/>
    <w:rsid w:val="00C93210"/>
    <w:rsid w:val="00C9409B"/>
    <w:rsid w:val="00CC095D"/>
    <w:rsid w:val="00CD3DE3"/>
    <w:rsid w:val="00D07064"/>
    <w:rsid w:val="00D101CB"/>
    <w:rsid w:val="00D279FC"/>
    <w:rsid w:val="00D352A3"/>
    <w:rsid w:val="00D557DE"/>
    <w:rsid w:val="00D55ADD"/>
    <w:rsid w:val="00D574A6"/>
    <w:rsid w:val="00D8544F"/>
    <w:rsid w:val="00D870AD"/>
    <w:rsid w:val="00DA0FA6"/>
    <w:rsid w:val="00DB0979"/>
    <w:rsid w:val="00DB161E"/>
    <w:rsid w:val="00DB4A9D"/>
    <w:rsid w:val="00DD33DF"/>
    <w:rsid w:val="00DE1293"/>
    <w:rsid w:val="00DF10CC"/>
    <w:rsid w:val="00E30001"/>
    <w:rsid w:val="00E44E6E"/>
    <w:rsid w:val="00E827C5"/>
    <w:rsid w:val="00EC6923"/>
    <w:rsid w:val="00ED3C1F"/>
    <w:rsid w:val="00EE0206"/>
    <w:rsid w:val="00EF5BE0"/>
    <w:rsid w:val="00F24EB2"/>
    <w:rsid w:val="00F34FE3"/>
    <w:rsid w:val="00F4379D"/>
    <w:rsid w:val="00F50721"/>
    <w:rsid w:val="00F50A07"/>
    <w:rsid w:val="00F57119"/>
    <w:rsid w:val="00F77C13"/>
    <w:rsid w:val="00F81A14"/>
    <w:rsid w:val="00F82C5A"/>
    <w:rsid w:val="00F945DB"/>
    <w:rsid w:val="00FA3993"/>
    <w:rsid w:val="00FA5118"/>
    <w:rsid w:val="00FB35C1"/>
    <w:rsid w:val="00FD151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1BDB3"/>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A52A-E087-4337-8577-F6346B87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5</cp:revision>
  <cp:lastPrinted>2018-06-19T08:11:00Z</cp:lastPrinted>
  <dcterms:created xsi:type="dcterms:W3CDTF">2018-06-20T07:27:00Z</dcterms:created>
  <dcterms:modified xsi:type="dcterms:W3CDTF">2018-06-20T09:22:00Z</dcterms:modified>
</cp:coreProperties>
</file>