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C69" w:rsidRDefault="00F028AD" w:rsidP="000D5C69">
      <w:pPr>
        <w:pStyle w:val="Heading1"/>
        <w:jc w:val="center"/>
        <w:rPr>
          <w:sz w:val="28"/>
          <w:u w:val="none"/>
        </w:rPr>
      </w:pPr>
      <w:r w:rsidRPr="0015230A">
        <w:rPr>
          <w:noProof/>
          <w:sz w:val="28"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ACC3E" wp14:editId="39AA2A69">
                <wp:simplePos x="0" y="0"/>
                <wp:positionH relativeFrom="column">
                  <wp:posOffset>3700732</wp:posOffset>
                </wp:positionH>
                <wp:positionV relativeFrom="paragraph">
                  <wp:posOffset>12293</wp:posOffset>
                </wp:positionV>
                <wp:extent cx="1268083" cy="448573"/>
                <wp:effectExtent l="0" t="0" r="2794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83" cy="448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30A" w:rsidRPr="00F028AD" w:rsidRDefault="00F028AD" w:rsidP="00F028AD">
                            <w:pPr>
                              <w:pStyle w:val="Heading1"/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F028AD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 xml:space="preserve">BOD </w:t>
                            </w:r>
                            <w:r w:rsidR="00574F9B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86</w:t>
                            </w:r>
                            <w:r w:rsidRPr="00F028AD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/</w:t>
                            </w:r>
                            <w:r w:rsidR="00574F9B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2018</w:t>
                            </w:r>
                          </w:p>
                          <w:p w:rsidR="00F028AD" w:rsidRPr="00F028AD" w:rsidRDefault="00F028AD" w:rsidP="00F028A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028AD">
                              <w:rPr>
                                <w:rFonts w:ascii="Arial" w:hAnsi="Arial" w:cs="Arial"/>
                              </w:rPr>
                              <w:t>(agenda item:14)</w:t>
                            </w:r>
                          </w:p>
                          <w:p w:rsidR="00F028AD" w:rsidRDefault="00F028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ACC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4pt;margin-top:.95pt;width:99.8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">
                <v:textbox>
                  <w:txbxContent>
                    <w:p w:rsidR="0015230A" w:rsidRPr="00F028AD" w:rsidRDefault="00F028AD" w:rsidP="00F028AD">
                      <w:pPr>
                        <w:pStyle w:val="Heading1"/>
                        <w:rPr>
                          <w:rFonts w:cs="Arial"/>
                          <w:sz w:val="22"/>
                          <w:szCs w:val="22"/>
                          <w:u w:val="none"/>
                        </w:rPr>
                      </w:pPr>
                      <w:r w:rsidRPr="00F028AD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 xml:space="preserve">BOD </w:t>
                      </w:r>
                      <w:r w:rsidR="00574F9B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86</w:t>
                      </w:r>
                      <w:r w:rsidRPr="00F028AD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/</w:t>
                      </w:r>
                      <w:r w:rsidR="00574F9B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2018</w:t>
                      </w:r>
                    </w:p>
                    <w:p w:rsidR="00F028AD" w:rsidRPr="00F028AD" w:rsidRDefault="00F028AD" w:rsidP="00F028AD">
                      <w:pPr>
                        <w:rPr>
                          <w:rFonts w:ascii="Arial" w:hAnsi="Arial" w:cs="Arial"/>
                        </w:rPr>
                      </w:pPr>
                      <w:r w:rsidRPr="00F028AD">
                        <w:rPr>
                          <w:rFonts w:ascii="Arial" w:hAnsi="Arial" w:cs="Arial"/>
                        </w:rPr>
                        <w:t>(agenda item:14)</w:t>
                      </w:r>
                    </w:p>
                    <w:p w:rsidR="00F028AD" w:rsidRDefault="00F028AD"/>
                  </w:txbxContent>
                </v:textbox>
              </v:shape>
            </w:pict>
          </mc:Fallback>
        </mc:AlternateContent>
      </w:r>
      <w:r w:rsidR="00E26D07">
        <w:rPr>
          <w:sz w:val="28"/>
          <w:u w:val="none"/>
        </w:rPr>
        <w:t xml:space="preserve">                  </w:t>
      </w:r>
    </w:p>
    <w:p w:rsidR="00436CDB" w:rsidRDefault="00436CDB" w:rsidP="00B9767F">
      <w:pPr>
        <w:pStyle w:val="Heading1"/>
        <w:rPr>
          <w:sz w:val="28"/>
          <w:u w:val="none"/>
        </w:rPr>
      </w:pPr>
    </w:p>
    <w:p w:rsidR="00F028AD" w:rsidRPr="00F028AD" w:rsidRDefault="00F028AD" w:rsidP="00F028AD"/>
    <w:p w:rsidR="005531CE" w:rsidRPr="004E698B" w:rsidRDefault="00DC43FD" w:rsidP="000D5C69">
      <w:pPr>
        <w:pStyle w:val="Heading1"/>
        <w:jc w:val="center"/>
        <w:rPr>
          <w:sz w:val="28"/>
          <w:u w:val="none"/>
        </w:rPr>
      </w:pPr>
      <w:r w:rsidRPr="004E698B">
        <w:rPr>
          <w:sz w:val="28"/>
          <w:u w:val="none"/>
        </w:rPr>
        <w:t xml:space="preserve">Report to </w:t>
      </w:r>
      <w:r w:rsidR="003141D8" w:rsidRPr="004E698B">
        <w:rPr>
          <w:sz w:val="28"/>
          <w:u w:val="none"/>
        </w:rPr>
        <w:t>Board of Directors</w:t>
      </w:r>
      <w:r w:rsidR="00BF10D1" w:rsidRPr="004E698B">
        <w:rPr>
          <w:color w:val="FF0000"/>
          <w:sz w:val="28"/>
          <w:u w:val="none"/>
        </w:rPr>
        <w:br/>
      </w:r>
    </w:p>
    <w:p w:rsidR="002666AC" w:rsidRDefault="000D5C69" w:rsidP="000D5C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E698B">
        <w:rPr>
          <w:rFonts w:ascii="Arial" w:hAnsi="Arial" w:cs="Arial"/>
          <w:b/>
          <w:bCs/>
          <w:sz w:val="24"/>
          <w:szCs w:val="24"/>
        </w:rPr>
        <w:t xml:space="preserve">Financial Position </w:t>
      </w:r>
      <w:r w:rsidR="002666AC">
        <w:rPr>
          <w:rFonts w:ascii="Arial" w:hAnsi="Arial" w:cs="Arial"/>
          <w:b/>
          <w:bCs/>
          <w:sz w:val="24"/>
          <w:szCs w:val="24"/>
        </w:rPr>
        <w:t>2018-19</w:t>
      </w:r>
    </w:p>
    <w:p w:rsidR="00672EF2" w:rsidRPr="004E698B" w:rsidRDefault="0063561D" w:rsidP="000D5C6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May</w:t>
      </w:r>
      <w:r w:rsidR="004E698B" w:rsidRPr="004E698B">
        <w:rPr>
          <w:rFonts w:ascii="Arial" w:hAnsi="Arial" w:cs="Arial"/>
          <w:b/>
          <w:bCs/>
          <w:sz w:val="24"/>
          <w:szCs w:val="24"/>
        </w:rPr>
        <w:t xml:space="preserve"> 201</w:t>
      </w:r>
      <w:r w:rsidR="00A704CA">
        <w:rPr>
          <w:rFonts w:ascii="Arial" w:hAnsi="Arial" w:cs="Arial"/>
          <w:b/>
          <w:bCs/>
          <w:sz w:val="24"/>
          <w:szCs w:val="24"/>
        </w:rPr>
        <w:t>8</w:t>
      </w:r>
      <w:r w:rsidR="004E698B" w:rsidRPr="004E698B">
        <w:rPr>
          <w:rFonts w:ascii="Arial" w:hAnsi="Arial" w:cs="Arial"/>
          <w:b/>
          <w:bCs/>
          <w:sz w:val="24"/>
          <w:szCs w:val="24"/>
        </w:rPr>
        <w:t xml:space="preserve">, Month 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:rsidR="00D53BED" w:rsidRPr="004E698B" w:rsidRDefault="000D5C69" w:rsidP="008262C9">
      <w:pPr>
        <w:jc w:val="center"/>
        <w:rPr>
          <w:b/>
          <w:bCs/>
          <w:sz w:val="28"/>
          <w:szCs w:val="28"/>
        </w:rPr>
      </w:pPr>
      <w:r w:rsidRPr="004E698B">
        <w:rPr>
          <w:rFonts w:ascii="Arial" w:hAnsi="Arial" w:cs="Arial"/>
          <w:b/>
          <w:sz w:val="24"/>
          <w:szCs w:val="24"/>
        </w:rPr>
        <w:t xml:space="preserve">For </w:t>
      </w:r>
      <w:r w:rsidR="00DC43FD" w:rsidRPr="004E698B">
        <w:rPr>
          <w:rFonts w:ascii="Arial" w:hAnsi="Arial" w:cs="Arial"/>
          <w:b/>
          <w:sz w:val="24"/>
          <w:szCs w:val="24"/>
        </w:rPr>
        <w:t>Information</w:t>
      </w:r>
    </w:p>
    <w:p w:rsidR="00312ACF" w:rsidRPr="004E698B" w:rsidRDefault="00312ACF" w:rsidP="00C83A83">
      <w:pPr>
        <w:rPr>
          <w:rFonts w:ascii="Arial" w:hAnsi="Arial" w:cs="Arial"/>
          <w:b/>
          <w:color w:val="FF0000"/>
        </w:rPr>
      </w:pPr>
    </w:p>
    <w:p w:rsidR="005E67CA" w:rsidRPr="004E698B" w:rsidRDefault="005E67CA" w:rsidP="00C83A83">
      <w:pPr>
        <w:rPr>
          <w:rFonts w:ascii="Arial" w:hAnsi="Arial" w:cs="Arial"/>
          <w:b/>
        </w:rPr>
      </w:pPr>
      <w:r w:rsidRPr="004E698B">
        <w:rPr>
          <w:rFonts w:ascii="Arial" w:hAnsi="Arial" w:cs="Arial"/>
          <w:b/>
        </w:rPr>
        <w:t>Introduction</w:t>
      </w:r>
    </w:p>
    <w:p w:rsidR="004E698B" w:rsidRPr="004E698B" w:rsidRDefault="005E67CA" w:rsidP="00C83A83">
      <w:pPr>
        <w:rPr>
          <w:rFonts w:ascii="Arial" w:hAnsi="Arial" w:cs="Arial"/>
        </w:rPr>
      </w:pPr>
      <w:r w:rsidRPr="004E698B">
        <w:rPr>
          <w:rFonts w:ascii="Arial" w:hAnsi="Arial" w:cs="Arial"/>
        </w:rPr>
        <w:t>This report summarises the financial perfor</w:t>
      </w:r>
      <w:r w:rsidR="004E698B" w:rsidRPr="004E698B">
        <w:rPr>
          <w:rFonts w:ascii="Arial" w:hAnsi="Arial" w:cs="Arial"/>
        </w:rPr>
        <w:t xml:space="preserve">mance of the Trust for </w:t>
      </w:r>
      <w:r w:rsidR="0063561D">
        <w:rPr>
          <w:rFonts w:ascii="Arial" w:hAnsi="Arial" w:cs="Arial"/>
        </w:rPr>
        <w:t>May</w:t>
      </w:r>
      <w:r w:rsidR="004E698B" w:rsidRPr="004E698B">
        <w:rPr>
          <w:rFonts w:ascii="Arial" w:hAnsi="Arial" w:cs="Arial"/>
        </w:rPr>
        <w:t xml:space="preserve"> 201</w:t>
      </w:r>
      <w:r w:rsidR="00A704CA">
        <w:rPr>
          <w:rFonts w:ascii="Arial" w:hAnsi="Arial" w:cs="Arial"/>
        </w:rPr>
        <w:t>8</w:t>
      </w:r>
      <w:r w:rsidR="004E698B" w:rsidRPr="004E698B">
        <w:rPr>
          <w:rFonts w:ascii="Arial" w:hAnsi="Arial" w:cs="Arial"/>
        </w:rPr>
        <w:t>.</w:t>
      </w:r>
    </w:p>
    <w:p w:rsidR="00754F44" w:rsidRDefault="00100C1B" w:rsidP="00C83A83">
      <w:pPr>
        <w:rPr>
          <w:rFonts w:ascii="Arial" w:hAnsi="Arial" w:cs="Arial"/>
          <w:b/>
        </w:rPr>
      </w:pPr>
      <w:r w:rsidRPr="004E698B">
        <w:rPr>
          <w:rFonts w:ascii="Arial" w:hAnsi="Arial" w:cs="Arial"/>
          <w:b/>
        </w:rPr>
        <w:t>Performance to D</w:t>
      </w:r>
      <w:r w:rsidR="00754F44" w:rsidRPr="004E698B">
        <w:rPr>
          <w:rFonts w:ascii="Arial" w:hAnsi="Arial" w:cs="Arial"/>
          <w:b/>
        </w:rPr>
        <w:t>ate</w:t>
      </w:r>
    </w:p>
    <w:p w:rsidR="00E41757" w:rsidRPr="00E41757" w:rsidRDefault="0063561D" w:rsidP="00E417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Income Statement at month </w:t>
      </w:r>
      <w:r w:rsidR="00E41757" w:rsidRPr="00E41757">
        <w:rPr>
          <w:rFonts w:ascii="Arial" w:hAnsi="Arial" w:cs="Arial"/>
        </w:rPr>
        <w:t>2 is included at Appendix A.</w:t>
      </w:r>
    </w:p>
    <w:p w:rsidR="008955DE" w:rsidRPr="00B25DDF" w:rsidRDefault="00FB644D" w:rsidP="008955DE">
      <w:pPr>
        <w:rPr>
          <w:rFonts w:ascii="Arial" w:hAnsi="Arial" w:cs="Arial"/>
        </w:rPr>
      </w:pPr>
      <w:r w:rsidRPr="00B25DDF">
        <w:rPr>
          <w:rFonts w:ascii="Arial" w:hAnsi="Arial" w:cs="Arial"/>
        </w:rPr>
        <w:t>The key financial results f</w:t>
      </w:r>
      <w:r w:rsidR="00312ACF" w:rsidRPr="00B25DDF">
        <w:rPr>
          <w:rFonts w:ascii="Arial" w:hAnsi="Arial" w:cs="Arial"/>
        </w:rPr>
        <w:t xml:space="preserve">or </w:t>
      </w:r>
      <w:r w:rsidR="0063561D">
        <w:rPr>
          <w:rFonts w:ascii="Arial" w:hAnsi="Arial" w:cs="Arial"/>
        </w:rPr>
        <w:t>May</w:t>
      </w:r>
      <w:r w:rsidR="004E698B" w:rsidRPr="00B25DDF">
        <w:rPr>
          <w:rFonts w:ascii="Arial" w:hAnsi="Arial" w:cs="Arial"/>
        </w:rPr>
        <w:t xml:space="preserve"> 201</w:t>
      </w:r>
      <w:r w:rsidR="00A704CA">
        <w:rPr>
          <w:rFonts w:ascii="Arial" w:hAnsi="Arial" w:cs="Arial"/>
        </w:rPr>
        <w:t>8</w:t>
      </w:r>
      <w:r w:rsidR="00CC79BA" w:rsidRPr="00B25DDF">
        <w:rPr>
          <w:rFonts w:ascii="Arial" w:hAnsi="Arial" w:cs="Arial"/>
        </w:rPr>
        <w:t xml:space="preserve"> </w:t>
      </w:r>
      <w:r w:rsidRPr="00B25DDF">
        <w:rPr>
          <w:rFonts w:ascii="Arial" w:hAnsi="Arial" w:cs="Arial"/>
        </w:rPr>
        <w:t>are</w:t>
      </w:r>
      <w:r w:rsidR="00C83A83" w:rsidRPr="00B25DDF">
        <w:rPr>
          <w:rFonts w:ascii="Arial" w:hAnsi="Arial" w:cs="Arial"/>
        </w:rPr>
        <w:t>:</w:t>
      </w:r>
    </w:p>
    <w:p w:rsidR="008955DE" w:rsidRPr="00B25DDF" w:rsidRDefault="008955DE" w:rsidP="008955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25DDF">
        <w:rPr>
          <w:rFonts w:ascii="Arial" w:hAnsi="Arial" w:cs="Arial"/>
          <w:sz w:val="22"/>
          <w:szCs w:val="22"/>
        </w:rPr>
        <w:t xml:space="preserve">EBITDA (Earnings before interest, taxation, depreciation and amortisation) of </w:t>
      </w:r>
      <w:r w:rsidR="00B25DDF" w:rsidRPr="00B25DDF">
        <w:rPr>
          <w:rFonts w:ascii="Arial" w:hAnsi="Arial" w:cs="Arial"/>
          <w:b/>
          <w:sz w:val="22"/>
          <w:szCs w:val="22"/>
        </w:rPr>
        <w:t>£</w:t>
      </w:r>
      <w:r w:rsidR="00A704CA">
        <w:rPr>
          <w:rFonts w:ascii="Arial" w:hAnsi="Arial" w:cs="Arial"/>
          <w:b/>
          <w:sz w:val="22"/>
          <w:szCs w:val="22"/>
        </w:rPr>
        <w:t>0.</w:t>
      </w:r>
      <w:r w:rsidR="0063561D">
        <w:rPr>
          <w:rFonts w:ascii="Arial" w:hAnsi="Arial" w:cs="Arial"/>
          <w:b/>
          <w:sz w:val="22"/>
          <w:szCs w:val="22"/>
        </w:rPr>
        <w:t>4</w:t>
      </w:r>
      <w:r w:rsidRPr="00B25DDF">
        <w:rPr>
          <w:rFonts w:ascii="Arial" w:hAnsi="Arial" w:cs="Arial"/>
          <w:b/>
          <w:sz w:val="22"/>
          <w:szCs w:val="22"/>
        </w:rPr>
        <w:t>m</w:t>
      </w:r>
      <w:r w:rsidRPr="00B25DDF">
        <w:rPr>
          <w:rFonts w:ascii="Arial" w:hAnsi="Arial" w:cs="Arial"/>
          <w:sz w:val="22"/>
          <w:szCs w:val="22"/>
        </w:rPr>
        <w:t xml:space="preserve"> which is </w:t>
      </w:r>
      <w:r w:rsidR="00B25DDF" w:rsidRPr="00B25DDF">
        <w:rPr>
          <w:rFonts w:ascii="Arial" w:hAnsi="Arial" w:cs="Arial"/>
          <w:b/>
          <w:sz w:val="22"/>
          <w:szCs w:val="22"/>
        </w:rPr>
        <w:t>£0.</w:t>
      </w:r>
      <w:r w:rsidR="0063561D">
        <w:rPr>
          <w:rFonts w:ascii="Arial" w:hAnsi="Arial" w:cs="Arial"/>
          <w:b/>
          <w:sz w:val="22"/>
          <w:szCs w:val="22"/>
        </w:rPr>
        <w:t>9</w:t>
      </w:r>
      <w:r w:rsidRPr="00B25DDF">
        <w:rPr>
          <w:rFonts w:ascii="Arial" w:hAnsi="Arial" w:cs="Arial"/>
          <w:b/>
          <w:sz w:val="22"/>
          <w:szCs w:val="22"/>
        </w:rPr>
        <w:t xml:space="preserve">m </w:t>
      </w:r>
      <w:r w:rsidR="00B25DDF" w:rsidRPr="00B25DDF">
        <w:rPr>
          <w:rFonts w:ascii="Arial" w:hAnsi="Arial" w:cs="Arial"/>
          <w:sz w:val="22"/>
          <w:szCs w:val="22"/>
        </w:rPr>
        <w:t>adverse</w:t>
      </w:r>
      <w:r w:rsidRPr="00B25DDF">
        <w:rPr>
          <w:rFonts w:ascii="Arial" w:hAnsi="Arial" w:cs="Arial"/>
          <w:b/>
          <w:sz w:val="22"/>
          <w:szCs w:val="22"/>
        </w:rPr>
        <w:t xml:space="preserve"> </w:t>
      </w:r>
      <w:r w:rsidRPr="00B25DDF">
        <w:rPr>
          <w:rFonts w:ascii="Arial" w:hAnsi="Arial" w:cs="Arial"/>
          <w:sz w:val="22"/>
          <w:szCs w:val="22"/>
        </w:rPr>
        <w:t>to plan</w:t>
      </w:r>
      <w:r w:rsidR="00B25DDF" w:rsidRPr="00B25DDF">
        <w:rPr>
          <w:rFonts w:ascii="Arial" w:hAnsi="Arial" w:cs="Arial"/>
          <w:sz w:val="22"/>
          <w:szCs w:val="22"/>
        </w:rPr>
        <w:t>.</w:t>
      </w:r>
      <w:r w:rsidRPr="00B25DDF">
        <w:rPr>
          <w:rFonts w:ascii="Arial" w:hAnsi="Arial" w:cs="Arial"/>
          <w:sz w:val="22"/>
          <w:szCs w:val="22"/>
        </w:rPr>
        <w:t xml:space="preserve"> </w:t>
      </w:r>
    </w:p>
    <w:p w:rsidR="00B25DDF" w:rsidRPr="00B25DDF" w:rsidRDefault="00B25DDF" w:rsidP="00B25DDF">
      <w:pPr>
        <w:pStyle w:val="ListParagraph"/>
        <w:rPr>
          <w:rFonts w:ascii="Arial" w:hAnsi="Arial" w:cs="Arial"/>
        </w:rPr>
      </w:pPr>
    </w:p>
    <w:p w:rsidR="00380327" w:rsidRPr="00D54326" w:rsidRDefault="00380327" w:rsidP="00297418">
      <w:pPr>
        <w:numPr>
          <w:ilvl w:val="0"/>
          <w:numId w:val="1"/>
        </w:numPr>
        <w:rPr>
          <w:rFonts w:ascii="Arial" w:hAnsi="Arial" w:cs="Arial"/>
        </w:rPr>
      </w:pPr>
      <w:r w:rsidRPr="00D54326">
        <w:rPr>
          <w:rFonts w:ascii="Arial" w:hAnsi="Arial" w:cs="Arial"/>
        </w:rPr>
        <w:t>A</w:t>
      </w:r>
      <w:r w:rsidR="00403354" w:rsidRPr="00D54326">
        <w:rPr>
          <w:rFonts w:ascii="Arial" w:hAnsi="Arial" w:cs="Arial"/>
        </w:rPr>
        <w:t xml:space="preserve">n Income and Expenditure </w:t>
      </w:r>
      <w:r w:rsidR="00A704CA" w:rsidRPr="00D54326">
        <w:rPr>
          <w:rFonts w:ascii="Arial" w:hAnsi="Arial" w:cs="Arial"/>
        </w:rPr>
        <w:t>deficit</w:t>
      </w:r>
      <w:r w:rsidR="005F21D4" w:rsidRPr="00D54326">
        <w:rPr>
          <w:rFonts w:ascii="Arial" w:hAnsi="Arial" w:cs="Arial"/>
        </w:rPr>
        <w:t xml:space="preserve"> of </w:t>
      </w:r>
      <w:r w:rsidR="00B25DDF" w:rsidRPr="00D54326">
        <w:rPr>
          <w:rFonts w:ascii="Arial" w:hAnsi="Arial" w:cs="Arial"/>
          <w:b/>
        </w:rPr>
        <w:t>£</w:t>
      </w:r>
      <w:r w:rsidR="0063561D">
        <w:rPr>
          <w:rFonts w:ascii="Arial" w:hAnsi="Arial" w:cs="Arial"/>
          <w:b/>
        </w:rPr>
        <w:t>1.8</w:t>
      </w:r>
      <w:r w:rsidR="005F21D4" w:rsidRPr="00D54326">
        <w:rPr>
          <w:rFonts w:ascii="Arial" w:hAnsi="Arial" w:cs="Arial"/>
          <w:b/>
        </w:rPr>
        <w:t>m</w:t>
      </w:r>
      <w:r w:rsidR="00C90570" w:rsidRPr="00D54326">
        <w:rPr>
          <w:rFonts w:ascii="Arial" w:hAnsi="Arial" w:cs="Arial"/>
          <w:b/>
        </w:rPr>
        <w:t xml:space="preserve"> </w:t>
      </w:r>
      <w:r w:rsidRPr="00D54326">
        <w:rPr>
          <w:rFonts w:ascii="Arial" w:hAnsi="Arial" w:cs="Arial"/>
        </w:rPr>
        <w:t xml:space="preserve">which is </w:t>
      </w:r>
      <w:r w:rsidR="00B25DDF" w:rsidRPr="00D54326">
        <w:rPr>
          <w:rFonts w:ascii="Arial" w:hAnsi="Arial" w:cs="Arial"/>
          <w:b/>
        </w:rPr>
        <w:t>£0.</w:t>
      </w:r>
      <w:r w:rsidR="0063561D">
        <w:rPr>
          <w:rFonts w:ascii="Arial" w:hAnsi="Arial" w:cs="Arial"/>
          <w:b/>
        </w:rPr>
        <w:t>8</w:t>
      </w:r>
      <w:r w:rsidR="005E327F" w:rsidRPr="00D54326">
        <w:rPr>
          <w:rFonts w:ascii="Arial" w:hAnsi="Arial" w:cs="Arial"/>
          <w:b/>
        </w:rPr>
        <w:t xml:space="preserve">m </w:t>
      </w:r>
      <w:r w:rsidR="00B25DDF" w:rsidRPr="00D54326">
        <w:rPr>
          <w:rFonts w:ascii="Arial" w:hAnsi="Arial" w:cs="Arial"/>
        </w:rPr>
        <w:t>adverse to plan.</w:t>
      </w:r>
    </w:p>
    <w:p w:rsidR="00A704CA" w:rsidRPr="00D54326" w:rsidRDefault="00973879" w:rsidP="00A704CA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D54326">
        <w:rPr>
          <w:rFonts w:ascii="Arial" w:eastAsia="Calibri" w:hAnsi="Arial" w:cs="Arial"/>
          <w:sz w:val="22"/>
          <w:szCs w:val="22"/>
          <w:lang w:eastAsia="en-US"/>
        </w:rPr>
        <w:t>The</w:t>
      </w:r>
      <w:r w:rsidR="004737D7" w:rsidRPr="00D5432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25DDF" w:rsidRPr="00D54326">
        <w:rPr>
          <w:rFonts w:ascii="Arial" w:eastAsia="Calibri" w:hAnsi="Arial" w:cs="Arial"/>
          <w:sz w:val="22"/>
          <w:szCs w:val="22"/>
          <w:lang w:eastAsia="en-US"/>
        </w:rPr>
        <w:t xml:space="preserve">adverse </w:t>
      </w:r>
      <w:r w:rsidR="00423B9A" w:rsidRPr="00D54326">
        <w:rPr>
          <w:rFonts w:ascii="Arial" w:eastAsia="Calibri" w:hAnsi="Arial" w:cs="Arial"/>
          <w:sz w:val="22"/>
          <w:szCs w:val="22"/>
          <w:lang w:eastAsia="en-US"/>
        </w:rPr>
        <w:t>variance</w:t>
      </w:r>
      <w:r w:rsidR="00895D9C" w:rsidRPr="00D5432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54326">
        <w:rPr>
          <w:rFonts w:ascii="Arial" w:eastAsia="Calibri" w:hAnsi="Arial" w:cs="Arial"/>
          <w:sz w:val="22"/>
          <w:szCs w:val="22"/>
          <w:lang w:eastAsia="en-US"/>
        </w:rPr>
        <w:t xml:space="preserve">is </w:t>
      </w:r>
      <w:r w:rsidR="00B25DDF" w:rsidRPr="00D54326">
        <w:rPr>
          <w:rFonts w:ascii="Arial" w:eastAsia="Calibri" w:hAnsi="Arial" w:cs="Arial"/>
          <w:sz w:val="22"/>
          <w:szCs w:val="22"/>
          <w:lang w:eastAsia="en-US"/>
        </w:rPr>
        <w:t xml:space="preserve">driven by </w:t>
      </w:r>
      <w:r w:rsidR="002666AC">
        <w:rPr>
          <w:rFonts w:ascii="Arial" w:eastAsia="Calibri" w:hAnsi="Arial" w:cs="Arial"/>
          <w:sz w:val="22"/>
          <w:szCs w:val="22"/>
          <w:lang w:eastAsia="en-US"/>
        </w:rPr>
        <w:t>lower</w:t>
      </w:r>
      <w:r w:rsidR="002666AC" w:rsidRPr="002666AC">
        <w:rPr>
          <w:rFonts w:ascii="Arial" w:eastAsia="Calibri" w:hAnsi="Arial" w:cs="Arial"/>
          <w:sz w:val="22"/>
          <w:szCs w:val="22"/>
          <w:lang w:eastAsia="en-US"/>
        </w:rPr>
        <w:t xml:space="preserve"> than planned additional inc</w:t>
      </w:r>
      <w:r w:rsidR="002666AC">
        <w:rPr>
          <w:rFonts w:ascii="Arial" w:eastAsia="Calibri" w:hAnsi="Arial" w:cs="Arial"/>
          <w:sz w:val="22"/>
          <w:szCs w:val="22"/>
          <w:lang w:eastAsia="en-US"/>
        </w:rPr>
        <w:t xml:space="preserve">ome secured from commissioners </w:t>
      </w:r>
      <w:r w:rsidR="002666AC" w:rsidRPr="002666AC">
        <w:rPr>
          <w:rFonts w:ascii="Arial" w:eastAsia="Calibri" w:hAnsi="Arial" w:cs="Arial"/>
          <w:sz w:val="22"/>
          <w:szCs w:val="22"/>
          <w:lang w:eastAsia="en-US"/>
        </w:rPr>
        <w:t>in respect of Mental Health Standards</w:t>
      </w:r>
      <w:r w:rsidR="00A0140D">
        <w:rPr>
          <w:rFonts w:ascii="Arial" w:eastAsia="Calibri" w:hAnsi="Arial" w:cs="Arial"/>
          <w:sz w:val="22"/>
          <w:szCs w:val="22"/>
          <w:lang w:eastAsia="en-US"/>
        </w:rPr>
        <w:t xml:space="preserve"> and the Mental Health Five Year Forward view</w:t>
      </w:r>
      <w:r w:rsidR="002666AC">
        <w:rPr>
          <w:rFonts w:ascii="Arial" w:eastAsia="Calibri" w:hAnsi="Arial" w:cs="Arial"/>
          <w:sz w:val="22"/>
          <w:szCs w:val="22"/>
          <w:lang w:eastAsia="en-US"/>
        </w:rPr>
        <w:t xml:space="preserve">, shortfall in CIP delivery and </w:t>
      </w:r>
      <w:r w:rsidR="00A704CA" w:rsidRPr="00D54326">
        <w:rPr>
          <w:rFonts w:ascii="Arial" w:eastAsia="Calibri" w:hAnsi="Arial" w:cs="Arial"/>
          <w:sz w:val="22"/>
          <w:szCs w:val="22"/>
          <w:lang w:eastAsia="en-US"/>
        </w:rPr>
        <w:t xml:space="preserve">operational pressures in respect of </w:t>
      </w:r>
      <w:r w:rsidR="004740DF">
        <w:rPr>
          <w:rFonts w:ascii="Arial" w:eastAsia="Calibri" w:hAnsi="Arial" w:cs="Arial"/>
          <w:sz w:val="22"/>
          <w:szCs w:val="22"/>
          <w:lang w:eastAsia="en-US"/>
        </w:rPr>
        <w:t xml:space="preserve">costs for patients required to be treated out of area </w:t>
      </w:r>
      <w:r w:rsidR="009D596C">
        <w:rPr>
          <w:rFonts w:ascii="Arial" w:eastAsia="Calibri" w:hAnsi="Arial" w:cs="Arial"/>
          <w:sz w:val="22"/>
          <w:szCs w:val="22"/>
          <w:lang w:eastAsia="en-US"/>
        </w:rPr>
        <w:t>(OAT</w:t>
      </w:r>
      <w:r w:rsidR="002F011C">
        <w:rPr>
          <w:rFonts w:ascii="Arial" w:eastAsia="Calibri" w:hAnsi="Arial" w:cs="Arial"/>
          <w:sz w:val="22"/>
          <w:szCs w:val="22"/>
          <w:lang w:eastAsia="en-US"/>
        </w:rPr>
        <w:t>s</w:t>
      </w:r>
      <w:r w:rsidR="009D596C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="004740DF">
        <w:rPr>
          <w:rFonts w:ascii="Arial" w:eastAsia="Calibri" w:hAnsi="Arial" w:cs="Arial"/>
          <w:sz w:val="22"/>
          <w:szCs w:val="22"/>
          <w:lang w:eastAsia="en-US"/>
        </w:rPr>
        <w:t>and high use of resi</w:t>
      </w:r>
      <w:r w:rsidR="0063561D">
        <w:rPr>
          <w:rFonts w:ascii="Arial" w:eastAsia="Calibri" w:hAnsi="Arial" w:cs="Arial"/>
          <w:sz w:val="22"/>
          <w:szCs w:val="22"/>
          <w:lang w:eastAsia="en-US"/>
        </w:rPr>
        <w:t>dential care services</w:t>
      </w:r>
      <w:r w:rsidR="002666AC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6B776F" w:rsidRPr="00D54326" w:rsidRDefault="006B776F" w:rsidP="00A704CA">
      <w:pPr>
        <w:pStyle w:val="ListParagraph"/>
        <w:rPr>
          <w:rFonts w:ascii="Arial" w:hAnsi="Arial" w:cs="Arial"/>
          <w:lang w:val="en-US"/>
        </w:rPr>
      </w:pPr>
    </w:p>
    <w:p w:rsidR="007C6437" w:rsidRPr="00D54326" w:rsidRDefault="007C6437" w:rsidP="00D3289F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D54326">
        <w:rPr>
          <w:rFonts w:ascii="Arial" w:hAnsi="Arial" w:cs="Arial"/>
        </w:rPr>
        <w:t xml:space="preserve">A </w:t>
      </w:r>
      <w:r w:rsidR="00B25DDF" w:rsidRPr="00D54326">
        <w:rPr>
          <w:rFonts w:ascii="Arial" w:hAnsi="Arial" w:cs="Arial"/>
        </w:rPr>
        <w:t xml:space="preserve">period-end </w:t>
      </w:r>
      <w:r w:rsidRPr="00D54326">
        <w:rPr>
          <w:rFonts w:ascii="Arial" w:hAnsi="Arial" w:cs="Arial"/>
        </w:rPr>
        <w:t>cash balance of</w:t>
      </w:r>
      <w:r w:rsidR="004A58CB" w:rsidRPr="00D54326">
        <w:rPr>
          <w:rFonts w:ascii="Arial" w:hAnsi="Arial" w:cs="Arial"/>
        </w:rPr>
        <w:t xml:space="preserve"> </w:t>
      </w:r>
      <w:r w:rsidR="00B25DDF" w:rsidRPr="00D54326">
        <w:rPr>
          <w:rFonts w:ascii="Arial" w:hAnsi="Arial" w:cs="Arial"/>
          <w:b/>
        </w:rPr>
        <w:t>£</w:t>
      </w:r>
      <w:r w:rsidR="009E364E">
        <w:rPr>
          <w:rFonts w:ascii="Arial" w:hAnsi="Arial" w:cs="Arial"/>
          <w:b/>
        </w:rPr>
        <w:t>18</w:t>
      </w:r>
      <w:r w:rsidR="00A704CA" w:rsidRPr="00D54326">
        <w:rPr>
          <w:rFonts w:ascii="Arial" w:hAnsi="Arial" w:cs="Arial"/>
          <w:b/>
        </w:rPr>
        <w:t>.</w:t>
      </w:r>
      <w:r w:rsidR="009E364E">
        <w:rPr>
          <w:rFonts w:ascii="Arial" w:hAnsi="Arial" w:cs="Arial"/>
          <w:b/>
        </w:rPr>
        <w:t>1</w:t>
      </w:r>
      <w:r w:rsidR="004A58CB" w:rsidRPr="00D54326">
        <w:rPr>
          <w:rFonts w:ascii="Arial" w:hAnsi="Arial" w:cs="Arial"/>
          <w:b/>
        </w:rPr>
        <w:t>m</w:t>
      </w:r>
      <w:r w:rsidR="004A58CB" w:rsidRPr="00D54326">
        <w:rPr>
          <w:rFonts w:ascii="Arial" w:hAnsi="Arial" w:cs="Arial"/>
        </w:rPr>
        <w:t xml:space="preserve"> which is </w:t>
      </w:r>
      <w:r w:rsidR="00B25DDF" w:rsidRPr="00D54326">
        <w:rPr>
          <w:rFonts w:ascii="Arial" w:hAnsi="Arial" w:cs="Arial"/>
          <w:b/>
        </w:rPr>
        <w:t>£</w:t>
      </w:r>
      <w:r w:rsidR="00A704CA" w:rsidRPr="00D54326">
        <w:rPr>
          <w:rFonts w:ascii="Arial" w:hAnsi="Arial" w:cs="Arial"/>
          <w:b/>
        </w:rPr>
        <w:t>0</w:t>
      </w:r>
      <w:r w:rsidR="009E364E">
        <w:rPr>
          <w:rFonts w:ascii="Arial" w:hAnsi="Arial" w:cs="Arial"/>
          <w:b/>
        </w:rPr>
        <w:t>.7</w:t>
      </w:r>
      <w:r w:rsidR="00CA4776" w:rsidRPr="00D54326">
        <w:rPr>
          <w:rFonts w:ascii="Arial" w:hAnsi="Arial" w:cs="Arial"/>
          <w:b/>
        </w:rPr>
        <w:t>m</w:t>
      </w:r>
      <w:r w:rsidR="00DA3D92" w:rsidRPr="00D54326">
        <w:rPr>
          <w:rFonts w:ascii="Arial" w:hAnsi="Arial" w:cs="Arial"/>
        </w:rPr>
        <w:t xml:space="preserve"> </w:t>
      </w:r>
      <w:r w:rsidR="009E364E">
        <w:rPr>
          <w:rFonts w:ascii="Arial" w:hAnsi="Arial" w:cs="Arial"/>
        </w:rPr>
        <w:t xml:space="preserve">above </w:t>
      </w:r>
      <w:r w:rsidR="00227C01" w:rsidRPr="00D54326">
        <w:rPr>
          <w:rFonts w:ascii="Arial" w:hAnsi="Arial" w:cs="Arial"/>
        </w:rPr>
        <w:t xml:space="preserve">the </w:t>
      </w:r>
      <w:r w:rsidR="004A58CB" w:rsidRPr="00D54326">
        <w:rPr>
          <w:rFonts w:ascii="Arial" w:hAnsi="Arial" w:cs="Arial"/>
        </w:rPr>
        <w:t>plan</w:t>
      </w:r>
      <w:r w:rsidR="00B25DDF" w:rsidRPr="00D54326">
        <w:rPr>
          <w:rFonts w:ascii="Arial" w:hAnsi="Arial" w:cs="Arial"/>
        </w:rPr>
        <w:t>.</w:t>
      </w:r>
      <w:r w:rsidRPr="00D54326">
        <w:rPr>
          <w:rFonts w:ascii="Arial" w:hAnsi="Arial" w:cs="Arial"/>
        </w:rPr>
        <w:t xml:space="preserve"> </w:t>
      </w:r>
    </w:p>
    <w:p w:rsidR="00A704CA" w:rsidRPr="00254307" w:rsidRDefault="006B776F" w:rsidP="00A704CA">
      <w:pPr>
        <w:pStyle w:val="ListParagraph"/>
        <w:numPr>
          <w:ilvl w:val="0"/>
          <w:numId w:val="25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254307">
        <w:rPr>
          <w:rFonts w:ascii="Arial" w:hAnsi="Arial" w:cs="Arial"/>
          <w:sz w:val="22"/>
          <w:szCs w:val="22"/>
        </w:rPr>
        <w:t xml:space="preserve">At </w:t>
      </w:r>
      <w:r w:rsidR="00471434" w:rsidRPr="00254307">
        <w:rPr>
          <w:rFonts w:ascii="Arial" w:hAnsi="Arial" w:cs="Arial"/>
          <w:sz w:val="22"/>
          <w:szCs w:val="22"/>
        </w:rPr>
        <w:t xml:space="preserve">month </w:t>
      </w:r>
      <w:r w:rsidR="009E364E">
        <w:rPr>
          <w:rFonts w:ascii="Arial" w:hAnsi="Arial" w:cs="Arial"/>
          <w:sz w:val="22"/>
          <w:szCs w:val="22"/>
        </w:rPr>
        <w:t>2</w:t>
      </w:r>
      <w:r w:rsidR="00206C78" w:rsidRPr="00254307">
        <w:rPr>
          <w:rFonts w:ascii="Arial" w:hAnsi="Arial" w:cs="Arial"/>
          <w:sz w:val="22"/>
          <w:szCs w:val="22"/>
        </w:rPr>
        <w:t xml:space="preserve"> </w:t>
      </w:r>
      <w:r w:rsidR="00A704CA" w:rsidRPr="00254307">
        <w:rPr>
          <w:rFonts w:ascii="Arial" w:hAnsi="Arial" w:cs="Arial"/>
          <w:sz w:val="22"/>
          <w:szCs w:val="22"/>
        </w:rPr>
        <w:t>t</w:t>
      </w:r>
      <w:r w:rsidR="00A704CA" w:rsidRPr="00254307">
        <w:rPr>
          <w:rFonts w:ascii="Arial" w:eastAsiaTheme="majorEastAsia" w:hAnsi="Arial" w:cs="Arial"/>
          <w:color w:val="0D0D0D"/>
          <w:kern w:val="24"/>
          <w:sz w:val="22"/>
          <w:szCs w:val="22"/>
        </w:rPr>
        <w:t>he Trust’s overall Use of Resources risk rating would be a ‘3’. Within this the Agency metric is rated as a ‘4’ because spend on agency staff was significantly above the ceiling set by NHSI. The Trust continues to work on solutions to help address spend on agency. Additionally</w:t>
      </w:r>
      <w:r w:rsidR="00AF0CCC" w:rsidRPr="00254307">
        <w:rPr>
          <w:rFonts w:ascii="Arial" w:eastAsiaTheme="majorEastAsia" w:hAnsi="Arial" w:cs="Arial"/>
          <w:color w:val="0D0D0D"/>
          <w:kern w:val="24"/>
          <w:sz w:val="22"/>
          <w:szCs w:val="22"/>
        </w:rPr>
        <w:t>,</w:t>
      </w:r>
      <w:r w:rsidR="00A704CA" w:rsidRPr="00254307">
        <w:rPr>
          <w:rFonts w:ascii="Arial" w:eastAsiaTheme="majorEastAsia" w:hAnsi="Arial" w:cs="Arial"/>
          <w:color w:val="0D0D0D"/>
          <w:kern w:val="24"/>
          <w:sz w:val="22"/>
          <w:szCs w:val="22"/>
        </w:rPr>
        <w:t xml:space="preserve"> the capital service cover metric is rated as a ‘4’ because of the operating deficit position, though this metric is expected to improve during the year. </w:t>
      </w:r>
    </w:p>
    <w:p w:rsidR="000E29FA" w:rsidRDefault="000E29FA" w:rsidP="00D53BED">
      <w:pPr>
        <w:spacing w:before="120" w:after="240"/>
        <w:jc w:val="both"/>
        <w:rPr>
          <w:rFonts w:ascii="Arial" w:hAnsi="Arial" w:cs="Arial"/>
          <w:b/>
        </w:rPr>
      </w:pPr>
    </w:p>
    <w:p w:rsidR="00D53BED" w:rsidRPr="00B25DDF" w:rsidRDefault="00100C1B" w:rsidP="00D53BED">
      <w:pPr>
        <w:spacing w:before="120" w:after="240"/>
        <w:jc w:val="both"/>
        <w:rPr>
          <w:rFonts w:ascii="Arial" w:hAnsi="Arial" w:cs="Arial"/>
          <w:b/>
        </w:rPr>
      </w:pPr>
      <w:r w:rsidRPr="00B25DDF">
        <w:rPr>
          <w:rFonts w:ascii="Arial" w:hAnsi="Arial" w:cs="Arial"/>
          <w:b/>
        </w:rPr>
        <w:t>Cost Improvement P</w:t>
      </w:r>
      <w:r w:rsidR="003C6A03" w:rsidRPr="00B25DDF">
        <w:rPr>
          <w:rFonts w:ascii="Arial" w:hAnsi="Arial" w:cs="Arial"/>
          <w:b/>
        </w:rPr>
        <w:t>rogramme</w:t>
      </w:r>
    </w:p>
    <w:p w:rsidR="00450A00" w:rsidRPr="00B25DDF" w:rsidRDefault="005F4076" w:rsidP="00450A00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</w:rPr>
      </w:pPr>
      <w:r w:rsidRPr="00B25DDF">
        <w:rPr>
          <w:rFonts w:ascii="Arial" w:hAnsi="Arial" w:cs="Arial"/>
        </w:rPr>
        <w:t>The Trust had</w:t>
      </w:r>
      <w:r w:rsidR="00B221FF" w:rsidRPr="00B25DDF">
        <w:rPr>
          <w:rFonts w:ascii="Arial" w:hAnsi="Arial" w:cs="Arial"/>
        </w:rPr>
        <w:t xml:space="preserve"> a cost improvement</w:t>
      </w:r>
      <w:r w:rsidR="00D53BED" w:rsidRPr="00B25DDF">
        <w:rPr>
          <w:rFonts w:ascii="Arial" w:hAnsi="Arial" w:cs="Arial"/>
        </w:rPr>
        <w:t xml:space="preserve"> target of </w:t>
      </w:r>
      <w:r w:rsidR="00B221FF" w:rsidRPr="00B25DDF">
        <w:rPr>
          <w:rFonts w:ascii="Arial" w:hAnsi="Arial" w:cs="Arial"/>
          <w:b/>
        </w:rPr>
        <w:t>£</w:t>
      </w:r>
      <w:r w:rsidR="00850D2E">
        <w:rPr>
          <w:rFonts w:ascii="Arial" w:hAnsi="Arial" w:cs="Arial"/>
          <w:b/>
        </w:rPr>
        <w:t>6.0</w:t>
      </w:r>
      <w:r w:rsidR="00D53BED" w:rsidRPr="00B25DDF">
        <w:rPr>
          <w:rFonts w:ascii="Arial" w:hAnsi="Arial" w:cs="Arial"/>
          <w:b/>
        </w:rPr>
        <w:t>m</w:t>
      </w:r>
      <w:r w:rsidR="00B25DDF" w:rsidRPr="00B25DDF">
        <w:rPr>
          <w:rFonts w:ascii="Arial" w:hAnsi="Arial" w:cs="Arial"/>
        </w:rPr>
        <w:t xml:space="preserve"> for 201</w:t>
      </w:r>
      <w:r w:rsidR="00850D2E">
        <w:rPr>
          <w:rFonts w:ascii="Arial" w:hAnsi="Arial" w:cs="Arial"/>
        </w:rPr>
        <w:t>8</w:t>
      </w:r>
      <w:r w:rsidR="00B25DDF" w:rsidRPr="00B25DDF">
        <w:rPr>
          <w:rFonts w:ascii="Arial" w:hAnsi="Arial" w:cs="Arial"/>
        </w:rPr>
        <w:t>/1</w:t>
      </w:r>
      <w:r w:rsidR="00850D2E">
        <w:rPr>
          <w:rFonts w:ascii="Arial" w:hAnsi="Arial" w:cs="Arial"/>
        </w:rPr>
        <w:t>9.</w:t>
      </w:r>
    </w:p>
    <w:p w:rsidR="00850D2E" w:rsidRPr="009E364E" w:rsidRDefault="00D53BED" w:rsidP="00AF22E0">
      <w:pPr>
        <w:pStyle w:val="ListParagraph"/>
        <w:numPr>
          <w:ilvl w:val="0"/>
          <w:numId w:val="7"/>
        </w:numPr>
        <w:spacing w:before="120" w:after="12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9E364E">
        <w:rPr>
          <w:rFonts w:ascii="Arial" w:hAnsi="Arial" w:cs="Arial"/>
          <w:sz w:val="22"/>
          <w:szCs w:val="22"/>
        </w:rPr>
        <w:t xml:space="preserve">Cost improvements of </w:t>
      </w:r>
      <w:r w:rsidR="00B221FF" w:rsidRPr="009E364E">
        <w:rPr>
          <w:rFonts w:ascii="Arial" w:hAnsi="Arial" w:cs="Arial"/>
          <w:b/>
          <w:sz w:val="22"/>
          <w:szCs w:val="22"/>
        </w:rPr>
        <w:t>£</w:t>
      </w:r>
      <w:r w:rsidR="000E29FA" w:rsidRPr="009E364E">
        <w:rPr>
          <w:rFonts w:ascii="Arial" w:hAnsi="Arial" w:cs="Arial"/>
          <w:b/>
          <w:sz w:val="22"/>
          <w:szCs w:val="22"/>
        </w:rPr>
        <w:t>0.</w:t>
      </w:r>
      <w:r w:rsidR="009E364E" w:rsidRPr="009E364E">
        <w:rPr>
          <w:rFonts w:ascii="Arial" w:hAnsi="Arial" w:cs="Arial"/>
          <w:b/>
          <w:sz w:val="22"/>
          <w:szCs w:val="22"/>
        </w:rPr>
        <w:t>1</w:t>
      </w:r>
      <w:r w:rsidR="00850D2E" w:rsidRPr="009E364E">
        <w:rPr>
          <w:rFonts w:ascii="Arial" w:hAnsi="Arial" w:cs="Arial"/>
          <w:b/>
          <w:sz w:val="22"/>
          <w:szCs w:val="22"/>
        </w:rPr>
        <w:t>m</w:t>
      </w:r>
      <w:r w:rsidRPr="009E364E">
        <w:rPr>
          <w:rFonts w:ascii="Arial" w:hAnsi="Arial" w:cs="Arial"/>
          <w:sz w:val="22"/>
          <w:szCs w:val="22"/>
        </w:rPr>
        <w:t xml:space="preserve"> have been delivered</w:t>
      </w:r>
      <w:r w:rsidR="00471434" w:rsidRPr="009E364E">
        <w:rPr>
          <w:rFonts w:ascii="Arial" w:hAnsi="Arial" w:cs="Arial"/>
          <w:sz w:val="22"/>
          <w:szCs w:val="22"/>
        </w:rPr>
        <w:t xml:space="preserve"> </w:t>
      </w:r>
      <w:r w:rsidR="009E364E" w:rsidRPr="009E364E">
        <w:rPr>
          <w:rFonts w:ascii="Arial" w:hAnsi="Arial" w:cs="Arial"/>
          <w:sz w:val="22"/>
          <w:szCs w:val="22"/>
        </w:rPr>
        <w:t>as at the end of May.</w:t>
      </w:r>
      <w:r w:rsidR="0050178F">
        <w:rPr>
          <w:rFonts w:ascii="Arial" w:hAnsi="Arial" w:cs="Arial"/>
          <w:sz w:val="22"/>
          <w:szCs w:val="22"/>
        </w:rPr>
        <w:t xml:space="preserve"> </w:t>
      </w:r>
      <w:r w:rsidR="002666AC">
        <w:rPr>
          <w:rFonts w:ascii="Arial" w:eastAsiaTheme="majorEastAsia" w:hAnsi="Arial" w:cs="Arial"/>
          <w:color w:val="0D0D0D"/>
          <w:kern w:val="24"/>
          <w:sz w:val="22"/>
          <w:szCs w:val="22"/>
        </w:rPr>
        <w:t>Project</w:t>
      </w:r>
      <w:r w:rsidR="009E364E" w:rsidRPr="009E364E">
        <w:rPr>
          <w:rFonts w:ascii="Arial" w:eastAsiaTheme="majorEastAsia" w:hAnsi="Arial" w:cs="Arial"/>
          <w:color w:val="0D0D0D"/>
          <w:kern w:val="24"/>
          <w:sz w:val="22"/>
          <w:szCs w:val="22"/>
        </w:rPr>
        <w:t>s continue to be developed</w:t>
      </w:r>
      <w:r w:rsidR="002666AC">
        <w:rPr>
          <w:rFonts w:ascii="Arial" w:eastAsiaTheme="majorEastAsia" w:hAnsi="Arial" w:cs="Arial"/>
          <w:color w:val="0D0D0D"/>
          <w:kern w:val="24"/>
          <w:sz w:val="22"/>
          <w:szCs w:val="22"/>
        </w:rPr>
        <w:t xml:space="preserve"> to achieve the full year target.</w:t>
      </w:r>
    </w:p>
    <w:p w:rsidR="00850D2E" w:rsidRDefault="00850D2E" w:rsidP="00850D2E">
      <w:pPr>
        <w:spacing w:before="120" w:after="120"/>
        <w:jc w:val="both"/>
        <w:rPr>
          <w:rFonts w:ascii="Arial" w:hAnsi="Arial" w:cs="Arial"/>
        </w:rPr>
      </w:pPr>
    </w:p>
    <w:p w:rsidR="00850D2E" w:rsidRDefault="00850D2E" w:rsidP="00850D2E">
      <w:pPr>
        <w:spacing w:before="120" w:after="120"/>
        <w:jc w:val="both"/>
        <w:rPr>
          <w:rFonts w:ascii="Arial" w:hAnsi="Arial" w:cs="Arial"/>
        </w:rPr>
      </w:pPr>
    </w:p>
    <w:p w:rsidR="00DE56B7" w:rsidRPr="004E698B" w:rsidRDefault="008D209F" w:rsidP="00A375EC">
      <w:pPr>
        <w:spacing w:before="120" w:after="120"/>
        <w:jc w:val="both"/>
        <w:rPr>
          <w:rFonts w:ascii="Arial" w:hAnsi="Arial" w:cs="Arial"/>
          <w:b/>
          <w:color w:val="FF0000"/>
        </w:rPr>
      </w:pPr>
      <w:r w:rsidRPr="000E29FA">
        <w:rPr>
          <w:rFonts w:ascii="Arial" w:hAnsi="Arial" w:cs="Arial"/>
        </w:rPr>
        <w:t xml:space="preserve"> </w:t>
      </w:r>
    </w:p>
    <w:p w:rsidR="00B221FF" w:rsidRPr="00471434" w:rsidRDefault="00100C1B" w:rsidP="00B221FF">
      <w:pPr>
        <w:rPr>
          <w:rFonts w:ascii="Arial" w:hAnsi="Arial" w:cs="Arial"/>
          <w:b/>
          <w:lang w:val="en-US"/>
        </w:rPr>
      </w:pPr>
      <w:r w:rsidRPr="00471434">
        <w:rPr>
          <w:rFonts w:ascii="Arial" w:hAnsi="Arial" w:cs="Arial"/>
          <w:b/>
          <w:lang w:val="en-US"/>
        </w:rPr>
        <w:t>Capital P</w:t>
      </w:r>
      <w:r w:rsidR="00E73A42" w:rsidRPr="00471434">
        <w:rPr>
          <w:rFonts w:ascii="Arial" w:hAnsi="Arial" w:cs="Arial"/>
          <w:b/>
          <w:lang w:val="en-US"/>
        </w:rPr>
        <w:t>rogramme</w:t>
      </w:r>
    </w:p>
    <w:p w:rsidR="001A112D" w:rsidRPr="00471434" w:rsidRDefault="00E41757" w:rsidP="005D5685">
      <w:pPr>
        <w:spacing w:before="120" w:after="120"/>
        <w:jc w:val="both"/>
        <w:rPr>
          <w:rFonts w:ascii="Arial" w:hAnsi="Arial" w:cs="Arial"/>
          <w:lang w:val="en-US"/>
        </w:rPr>
      </w:pPr>
      <w:r w:rsidRPr="00E41757">
        <w:rPr>
          <w:rFonts w:ascii="Arial" w:hAnsi="Arial" w:cs="Arial"/>
        </w:rPr>
        <w:t xml:space="preserve">Capital expenditure in month </w:t>
      </w:r>
      <w:r w:rsidR="00773ED2">
        <w:rPr>
          <w:rFonts w:ascii="Arial" w:hAnsi="Arial" w:cs="Arial"/>
        </w:rPr>
        <w:t>2</w:t>
      </w:r>
      <w:r w:rsidRPr="00E41757">
        <w:rPr>
          <w:rFonts w:ascii="Arial" w:hAnsi="Arial" w:cs="Arial"/>
        </w:rPr>
        <w:t xml:space="preserve"> was </w:t>
      </w:r>
      <w:r w:rsidRPr="00E41757">
        <w:rPr>
          <w:rFonts w:ascii="Arial" w:hAnsi="Arial" w:cs="Arial"/>
          <w:b/>
          <w:bCs/>
        </w:rPr>
        <w:t>£0.</w:t>
      </w:r>
      <w:r w:rsidR="00773ED2">
        <w:rPr>
          <w:rFonts w:ascii="Arial" w:hAnsi="Arial" w:cs="Arial"/>
          <w:b/>
          <w:bCs/>
        </w:rPr>
        <w:t>8</w:t>
      </w:r>
      <w:r w:rsidRPr="00E41757">
        <w:rPr>
          <w:rFonts w:ascii="Arial" w:hAnsi="Arial" w:cs="Arial"/>
          <w:b/>
          <w:bCs/>
        </w:rPr>
        <w:t>m, £</w:t>
      </w:r>
      <w:r w:rsidR="00773ED2">
        <w:rPr>
          <w:rFonts w:ascii="Arial" w:hAnsi="Arial" w:cs="Arial"/>
          <w:b/>
          <w:bCs/>
        </w:rPr>
        <w:t>1.8</w:t>
      </w:r>
      <w:r w:rsidRPr="00E41757">
        <w:rPr>
          <w:rFonts w:ascii="Arial" w:hAnsi="Arial" w:cs="Arial"/>
          <w:b/>
          <w:bCs/>
        </w:rPr>
        <w:t xml:space="preserve">m </w:t>
      </w:r>
      <w:r w:rsidRPr="00E41757">
        <w:rPr>
          <w:rFonts w:ascii="Arial" w:hAnsi="Arial" w:cs="Arial"/>
        </w:rPr>
        <w:t xml:space="preserve">below plan.  The FY19 capital plan was set at </w:t>
      </w:r>
      <w:r w:rsidRPr="00E41757">
        <w:rPr>
          <w:rFonts w:ascii="Arial" w:hAnsi="Arial" w:cs="Arial"/>
          <w:b/>
          <w:bCs/>
        </w:rPr>
        <w:t>£12.8m</w:t>
      </w:r>
      <w:r w:rsidRPr="00E41757">
        <w:rPr>
          <w:rFonts w:ascii="Arial" w:hAnsi="Arial" w:cs="Arial"/>
        </w:rPr>
        <w:t xml:space="preserve">, which includes </w:t>
      </w:r>
      <w:r w:rsidRPr="00E41757">
        <w:rPr>
          <w:rFonts w:ascii="Arial" w:hAnsi="Arial" w:cs="Arial"/>
          <w:b/>
          <w:bCs/>
        </w:rPr>
        <w:t>£4.5m</w:t>
      </w:r>
      <w:r w:rsidRPr="00E41757">
        <w:rPr>
          <w:rFonts w:ascii="Arial" w:hAnsi="Arial" w:cs="Arial"/>
        </w:rPr>
        <w:t xml:space="preserve"> for major building projects</w:t>
      </w:r>
      <w:r w:rsidR="00773ED2">
        <w:rPr>
          <w:rFonts w:ascii="Arial" w:hAnsi="Arial" w:cs="Arial"/>
        </w:rPr>
        <w:t xml:space="preserve"> (</w:t>
      </w:r>
      <w:r w:rsidR="002666AC">
        <w:rPr>
          <w:rFonts w:ascii="Arial" w:hAnsi="Arial" w:cs="Arial"/>
        </w:rPr>
        <w:t xml:space="preserve">including a </w:t>
      </w:r>
      <w:r w:rsidR="00773ED2">
        <w:rPr>
          <w:rFonts w:ascii="Arial" w:hAnsi="Arial" w:cs="Arial"/>
        </w:rPr>
        <w:t>L</w:t>
      </w:r>
      <w:r w:rsidR="002666AC">
        <w:rPr>
          <w:rFonts w:ascii="Arial" w:hAnsi="Arial" w:cs="Arial"/>
        </w:rPr>
        <w:t xml:space="preserve">earning </w:t>
      </w:r>
      <w:r w:rsidR="00773ED2">
        <w:rPr>
          <w:rFonts w:ascii="Arial" w:hAnsi="Arial" w:cs="Arial"/>
        </w:rPr>
        <w:t>D</w:t>
      </w:r>
      <w:r w:rsidR="002666AC">
        <w:rPr>
          <w:rFonts w:ascii="Arial" w:hAnsi="Arial" w:cs="Arial"/>
        </w:rPr>
        <w:t>isability</w:t>
      </w:r>
      <w:r w:rsidR="00773ED2">
        <w:rPr>
          <w:rFonts w:ascii="Arial" w:hAnsi="Arial" w:cs="Arial"/>
        </w:rPr>
        <w:t xml:space="preserve"> L</w:t>
      </w:r>
      <w:r w:rsidR="002666AC">
        <w:rPr>
          <w:rFonts w:ascii="Arial" w:hAnsi="Arial" w:cs="Arial"/>
        </w:rPr>
        <w:t xml:space="preserve">ow </w:t>
      </w:r>
      <w:r w:rsidR="00773ED2">
        <w:rPr>
          <w:rFonts w:ascii="Arial" w:hAnsi="Arial" w:cs="Arial"/>
        </w:rPr>
        <w:t>S</w:t>
      </w:r>
      <w:r w:rsidR="002666AC">
        <w:rPr>
          <w:rFonts w:ascii="Arial" w:hAnsi="Arial" w:cs="Arial"/>
        </w:rPr>
        <w:t xml:space="preserve">ecure </w:t>
      </w:r>
      <w:r w:rsidR="00773ED2">
        <w:rPr>
          <w:rFonts w:ascii="Arial" w:hAnsi="Arial" w:cs="Arial"/>
        </w:rPr>
        <w:t>U</w:t>
      </w:r>
      <w:r w:rsidR="002666AC">
        <w:rPr>
          <w:rFonts w:ascii="Arial" w:hAnsi="Arial" w:cs="Arial"/>
        </w:rPr>
        <w:t>nit</w:t>
      </w:r>
      <w:r w:rsidR="00773ED2">
        <w:rPr>
          <w:rFonts w:ascii="Arial" w:hAnsi="Arial" w:cs="Arial"/>
        </w:rPr>
        <w:t xml:space="preserve"> and P</w:t>
      </w:r>
      <w:r w:rsidR="002666AC">
        <w:rPr>
          <w:rFonts w:ascii="Arial" w:hAnsi="Arial" w:cs="Arial"/>
        </w:rPr>
        <w:t xml:space="preserve">aediatric </w:t>
      </w:r>
      <w:r w:rsidR="00773ED2">
        <w:rPr>
          <w:rFonts w:ascii="Arial" w:hAnsi="Arial" w:cs="Arial"/>
        </w:rPr>
        <w:t>I</w:t>
      </w:r>
      <w:r w:rsidR="002666AC">
        <w:rPr>
          <w:rFonts w:ascii="Arial" w:hAnsi="Arial" w:cs="Arial"/>
        </w:rPr>
        <w:t xml:space="preserve">ntensive </w:t>
      </w:r>
      <w:r w:rsidR="00773ED2">
        <w:rPr>
          <w:rFonts w:ascii="Arial" w:hAnsi="Arial" w:cs="Arial"/>
        </w:rPr>
        <w:t>C</w:t>
      </w:r>
      <w:r w:rsidR="002666AC">
        <w:rPr>
          <w:rFonts w:ascii="Arial" w:hAnsi="Arial" w:cs="Arial"/>
        </w:rPr>
        <w:t xml:space="preserve">are </w:t>
      </w:r>
      <w:r w:rsidR="00773ED2">
        <w:rPr>
          <w:rFonts w:ascii="Arial" w:hAnsi="Arial" w:cs="Arial"/>
        </w:rPr>
        <w:t>U</w:t>
      </w:r>
      <w:r w:rsidR="002666AC">
        <w:rPr>
          <w:rFonts w:ascii="Arial" w:hAnsi="Arial" w:cs="Arial"/>
        </w:rPr>
        <w:t>nit</w:t>
      </w:r>
      <w:r w:rsidR="00773ED2">
        <w:rPr>
          <w:rFonts w:ascii="Arial" w:hAnsi="Arial" w:cs="Arial"/>
        </w:rPr>
        <w:t>)</w:t>
      </w:r>
      <w:r w:rsidRPr="00E41757">
        <w:rPr>
          <w:rFonts w:ascii="Arial" w:hAnsi="Arial" w:cs="Arial"/>
        </w:rPr>
        <w:t xml:space="preserve"> and </w:t>
      </w:r>
      <w:r w:rsidRPr="00E41757">
        <w:rPr>
          <w:rFonts w:ascii="Arial" w:hAnsi="Arial" w:cs="Arial"/>
          <w:b/>
          <w:bCs/>
        </w:rPr>
        <w:t xml:space="preserve">£2.0m </w:t>
      </w:r>
      <w:r w:rsidRPr="00E41757">
        <w:rPr>
          <w:rFonts w:ascii="Arial" w:hAnsi="Arial" w:cs="Arial"/>
        </w:rPr>
        <w:t>f</w:t>
      </w:r>
      <w:r w:rsidR="009D596C">
        <w:rPr>
          <w:rFonts w:ascii="Arial" w:hAnsi="Arial" w:cs="Arial"/>
        </w:rPr>
        <w:t xml:space="preserve">or </w:t>
      </w:r>
      <w:r w:rsidR="004740DF">
        <w:rPr>
          <w:rFonts w:ascii="Arial" w:hAnsi="Arial" w:cs="Arial"/>
        </w:rPr>
        <w:t xml:space="preserve">the </w:t>
      </w:r>
      <w:r w:rsidR="002666AC">
        <w:rPr>
          <w:rFonts w:ascii="Arial" w:hAnsi="Arial" w:cs="Arial"/>
        </w:rPr>
        <w:t xml:space="preserve">national </w:t>
      </w:r>
      <w:r w:rsidRPr="00E41757">
        <w:rPr>
          <w:rFonts w:ascii="Arial" w:hAnsi="Arial" w:cs="Arial"/>
        </w:rPr>
        <w:t>G</w:t>
      </w:r>
      <w:r w:rsidR="004740DF">
        <w:rPr>
          <w:rFonts w:ascii="Arial" w:hAnsi="Arial" w:cs="Arial"/>
        </w:rPr>
        <w:t xml:space="preserve">lobal </w:t>
      </w:r>
      <w:r w:rsidRPr="00E41757">
        <w:rPr>
          <w:rFonts w:ascii="Arial" w:hAnsi="Arial" w:cs="Arial"/>
        </w:rPr>
        <w:t>D</w:t>
      </w:r>
      <w:r w:rsidR="004740DF">
        <w:rPr>
          <w:rFonts w:ascii="Arial" w:hAnsi="Arial" w:cs="Arial"/>
        </w:rPr>
        <w:t xml:space="preserve">igital </w:t>
      </w:r>
      <w:r w:rsidRPr="00E41757">
        <w:rPr>
          <w:rFonts w:ascii="Arial" w:hAnsi="Arial" w:cs="Arial"/>
        </w:rPr>
        <w:t>E</w:t>
      </w:r>
      <w:r w:rsidR="004740DF">
        <w:rPr>
          <w:rFonts w:ascii="Arial" w:hAnsi="Arial" w:cs="Arial"/>
        </w:rPr>
        <w:t>xemplar programme</w:t>
      </w:r>
      <w:r>
        <w:rPr>
          <w:rFonts w:ascii="Arial" w:hAnsi="Arial" w:cs="Arial"/>
        </w:rPr>
        <w:t>.</w:t>
      </w:r>
    </w:p>
    <w:p w:rsidR="003F1D98" w:rsidRDefault="003F1D98" w:rsidP="00226030">
      <w:pPr>
        <w:spacing w:before="120" w:after="120"/>
        <w:jc w:val="both"/>
        <w:rPr>
          <w:rFonts w:ascii="Arial" w:hAnsi="Arial" w:cs="Arial"/>
          <w:b/>
          <w:color w:val="FF0000"/>
          <w:lang w:val="en-US"/>
        </w:rPr>
      </w:pPr>
    </w:p>
    <w:p w:rsidR="003D1564" w:rsidRPr="000E29FA" w:rsidRDefault="003D1564" w:rsidP="003D15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201</w:t>
      </w:r>
      <w:r w:rsidR="00254307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-1</w:t>
      </w:r>
      <w:r w:rsidR="0025430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Plan:</w:t>
      </w:r>
    </w:p>
    <w:p w:rsidR="003D1564" w:rsidRPr="000E29FA" w:rsidRDefault="003D1564" w:rsidP="003D1564">
      <w:pPr>
        <w:rPr>
          <w:rFonts w:ascii="Arial" w:hAnsi="Arial" w:cs="Arial"/>
        </w:rPr>
      </w:pPr>
      <w:r w:rsidRPr="000E29FA">
        <w:rPr>
          <w:rFonts w:ascii="Arial" w:hAnsi="Arial" w:cs="Arial"/>
        </w:rPr>
        <w:t xml:space="preserve">The full year plan </w:t>
      </w:r>
      <w:r w:rsidR="004740DF">
        <w:rPr>
          <w:rFonts w:ascii="Arial" w:hAnsi="Arial" w:cs="Arial"/>
        </w:rPr>
        <w:t>is as follows</w:t>
      </w:r>
      <w:r w:rsidRPr="000E29FA">
        <w:rPr>
          <w:rFonts w:ascii="Arial" w:hAnsi="Arial" w:cs="Arial"/>
        </w:rPr>
        <w:t>:</w:t>
      </w:r>
    </w:p>
    <w:p w:rsidR="003D1564" w:rsidRPr="000E29F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</w:rPr>
      </w:pPr>
      <w:r w:rsidRPr="000E29FA">
        <w:rPr>
          <w:rFonts w:ascii="Arial" w:hAnsi="Arial" w:cs="Arial"/>
        </w:rPr>
        <w:t>An Income &amp; Expenditure surplus of £1.</w:t>
      </w:r>
      <w:r w:rsidR="00E41757">
        <w:rPr>
          <w:rFonts w:ascii="Arial" w:hAnsi="Arial" w:cs="Arial"/>
        </w:rPr>
        <w:t>9</w:t>
      </w:r>
      <w:r w:rsidRPr="000E29FA">
        <w:rPr>
          <w:rFonts w:ascii="Arial" w:hAnsi="Arial" w:cs="Arial"/>
        </w:rPr>
        <w:t>m</w:t>
      </w:r>
    </w:p>
    <w:p w:rsidR="003D1564" w:rsidRPr="000E29F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</w:rPr>
      </w:pPr>
      <w:r w:rsidRPr="000E29FA">
        <w:rPr>
          <w:rFonts w:ascii="Arial" w:hAnsi="Arial" w:cs="Arial"/>
        </w:rPr>
        <w:t>EBITDA of £1</w:t>
      </w:r>
      <w:r w:rsidR="00E41757">
        <w:rPr>
          <w:rFonts w:ascii="Arial" w:hAnsi="Arial" w:cs="Arial"/>
        </w:rPr>
        <w:t>5.6</w:t>
      </w:r>
      <w:r w:rsidRPr="000E29FA">
        <w:rPr>
          <w:rFonts w:ascii="Arial" w:hAnsi="Arial" w:cs="Arial"/>
        </w:rPr>
        <w:t>m</w:t>
      </w:r>
    </w:p>
    <w:p w:rsidR="003D1564" w:rsidRPr="000E29F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</w:rPr>
      </w:pPr>
      <w:r w:rsidRPr="000E29FA">
        <w:rPr>
          <w:rFonts w:ascii="Arial" w:hAnsi="Arial" w:cs="Arial"/>
        </w:rPr>
        <w:t>CIP delivery of £</w:t>
      </w:r>
      <w:r w:rsidR="00E41757">
        <w:rPr>
          <w:rFonts w:ascii="Arial" w:hAnsi="Arial" w:cs="Arial"/>
        </w:rPr>
        <w:t>6.0</w:t>
      </w:r>
      <w:r w:rsidRPr="000E29FA">
        <w:rPr>
          <w:rFonts w:ascii="Arial" w:hAnsi="Arial" w:cs="Arial"/>
        </w:rPr>
        <w:t>m</w:t>
      </w:r>
    </w:p>
    <w:p w:rsidR="003D1564" w:rsidRPr="000E29F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</w:rPr>
      </w:pPr>
      <w:r w:rsidRPr="000E29FA">
        <w:rPr>
          <w:rFonts w:ascii="Arial" w:hAnsi="Arial" w:cs="Arial"/>
        </w:rPr>
        <w:t>A Use of Resources Rating of ‘</w:t>
      </w:r>
      <w:r w:rsidR="00E41757">
        <w:rPr>
          <w:rFonts w:ascii="Arial" w:hAnsi="Arial" w:cs="Arial"/>
        </w:rPr>
        <w:t>3</w:t>
      </w:r>
      <w:r w:rsidRPr="000E29FA">
        <w:rPr>
          <w:rFonts w:ascii="Arial" w:hAnsi="Arial" w:cs="Arial"/>
        </w:rPr>
        <w:t>’</w:t>
      </w:r>
    </w:p>
    <w:p w:rsidR="003D1564" w:rsidRPr="000E29F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</w:rPr>
      </w:pPr>
      <w:r w:rsidRPr="000E29FA">
        <w:rPr>
          <w:rFonts w:ascii="Arial" w:hAnsi="Arial" w:cs="Arial"/>
        </w:rPr>
        <w:t>A year-end cash balance of £</w:t>
      </w:r>
      <w:r w:rsidR="00E41757">
        <w:rPr>
          <w:rFonts w:ascii="Arial" w:hAnsi="Arial" w:cs="Arial"/>
        </w:rPr>
        <w:t>13.</w:t>
      </w:r>
      <w:r w:rsidR="004A41BF">
        <w:rPr>
          <w:rFonts w:ascii="Arial" w:hAnsi="Arial" w:cs="Arial"/>
        </w:rPr>
        <w:t>6</w:t>
      </w:r>
      <w:r w:rsidRPr="000E29FA">
        <w:rPr>
          <w:rFonts w:ascii="Arial" w:hAnsi="Arial" w:cs="Arial"/>
        </w:rPr>
        <w:t>m</w:t>
      </w:r>
    </w:p>
    <w:p w:rsidR="003D1564" w:rsidRPr="000E29F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</w:rPr>
      </w:pPr>
      <w:r w:rsidRPr="000E29FA">
        <w:rPr>
          <w:rFonts w:ascii="Arial" w:hAnsi="Arial" w:cs="Arial"/>
        </w:rPr>
        <w:t>Capital investment of £</w:t>
      </w:r>
      <w:r w:rsidR="004A41BF">
        <w:rPr>
          <w:rFonts w:ascii="Arial" w:hAnsi="Arial" w:cs="Arial"/>
        </w:rPr>
        <w:t>1</w:t>
      </w:r>
      <w:r w:rsidR="004740DF">
        <w:rPr>
          <w:rFonts w:ascii="Arial" w:hAnsi="Arial" w:cs="Arial"/>
        </w:rPr>
        <w:t>2</w:t>
      </w:r>
      <w:r w:rsidR="004A41BF">
        <w:rPr>
          <w:rFonts w:ascii="Arial" w:hAnsi="Arial" w:cs="Arial"/>
        </w:rPr>
        <w:t>.8</w:t>
      </w:r>
      <w:r w:rsidRPr="000E29FA">
        <w:rPr>
          <w:rFonts w:ascii="Arial" w:hAnsi="Arial" w:cs="Arial"/>
        </w:rPr>
        <w:t>m</w:t>
      </w:r>
    </w:p>
    <w:p w:rsidR="003D1564" w:rsidRDefault="003D1564" w:rsidP="00226030">
      <w:pPr>
        <w:spacing w:before="120" w:after="120"/>
        <w:jc w:val="both"/>
        <w:rPr>
          <w:rFonts w:ascii="Arial" w:hAnsi="Arial" w:cs="Arial"/>
          <w:b/>
          <w:color w:val="FF0000"/>
          <w:lang w:val="en-US"/>
        </w:rPr>
      </w:pPr>
    </w:p>
    <w:p w:rsidR="003D1564" w:rsidRPr="00312ACF" w:rsidRDefault="003D1564" w:rsidP="00226030">
      <w:pPr>
        <w:spacing w:before="120" w:after="120"/>
        <w:jc w:val="both"/>
        <w:rPr>
          <w:rFonts w:ascii="Arial" w:hAnsi="Arial" w:cs="Arial"/>
          <w:b/>
          <w:color w:val="FF0000"/>
          <w:lang w:val="en-US"/>
        </w:rPr>
      </w:pPr>
    </w:p>
    <w:p w:rsidR="000D5C69" w:rsidRPr="0011311B" w:rsidRDefault="000D5C69" w:rsidP="008449F4">
      <w:pPr>
        <w:rPr>
          <w:rFonts w:ascii="Arial" w:hAnsi="Arial" w:cs="Arial"/>
          <w:b/>
          <w:lang w:val="en-US"/>
        </w:rPr>
      </w:pPr>
      <w:r w:rsidRPr="0011311B">
        <w:rPr>
          <w:rFonts w:ascii="Arial" w:hAnsi="Arial" w:cs="Arial"/>
          <w:b/>
          <w:lang w:val="en-US"/>
        </w:rPr>
        <w:t>Recommendation</w:t>
      </w:r>
    </w:p>
    <w:p w:rsidR="007D7D56" w:rsidRPr="0011311B" w:rsidRDefault="00094CA9" w:rsidP="0042468A">
      <w:pPr>
        <w:rPr>
          <w:rFonts w:ascii="Arial" w:hAnsi="Arial" w:cs="Arial"/>
        </w:rPr>
      </w:pPr>
      <w:r w:rsidRPr="0011311B">
        <w:rPr>
          <w:rFonts w:ascii="Arial" w:hAnsi="Arial" w:cs="Arial"/>
        </w:rPr>
        <w:t xml:space="preserve">The </w:t>
      </w:r>
      <w:r w:rsidR="00B221FF" w:rsidRPr="0011311B">
        <w:rPr>
          <w:rFonts w:ascii="Arial" w:hAnsi="Arial" w:cs="Arial"/>
        </w:rPr>
        <w:t>Board</w:t>
      </w:r>
      <w:r w:rsidRPr="0011311B">
        <w:rPr>
          <w:rFonts w:ascii="Arial" w:hAnsi="Arial" w:cs="Arial"/>
        </w:rPr>
        <w:t xml:space="preserve"> is asked to note the </w:t>
      </w:r>
      <w:r w:rsidR="00B221FF" w:rsidRPr="0011311B">
        <w:rPr>
          <w:rFonts w:ascii="Arial" w:hAnsi="Arial" w:cs="Arial"/>
        </w:rPr>
        <w:t>financial position of the Trust</w:t>
      </w:r>
      <w:r w:rsidR="007D7D56" w:rsidRPr="0011311B">
        <w:rPr>
          <w:rFonts w:ascii="Arial" w:hAnsi="Arial" w:cs="Arial"/>
        </w:rPr>
        <w:t>.</w:t>
      </w:r>
    </w:p>
    <w:p w:rsidR="007D7D56" w:rsidRPr="00410478" w:rsidRDefault="007D7D56" w:rsidP="0042468A">
      <w:pPr>
        <w:rPr>
          <w:rFonts w:ascii="Arial" w:hAnsi="Arial" w:cs="Arial"/>
          <w:color w:val="FF0000"/>
        </w:rPr>
      </w:pPr>
    </w:p>
    <w:p w:rsidR="003118E9" w:rsidRPr="008B135A" w:rsidRDefault="00672EF2" w:rsidP="0042468A">
      <w:pPr>
        <w:rPr>
          <w:rFonts w:ascii="Arial" w:hAnsi="Arial" w:cs="Arial"/>
        </w:rPr>
      </w:pPr>
      <w:r w:rsidRPr="008B135A">
        <w:rPr>
          <w:rFonts w:ascii="Arial" w:hAnsi="Arial" w:cs="Arial"/>
          <w:b/>
        </w:rPr>
        <w:t>Author and Title:</w:t>
      </w:r>
      <w:r w:rsidR="0042468A" w:rsidRPr="008B135A">
        <w:rPr>
          <w:rFonts w:ascii="Arial" w:hAnsi="Arial" w:cs="Arial"/>
        </w:rPr>
        <w:t xml:space="preserve"> </w:t>
      </w:r>
      <w:r w:rsidR="00021327" w:rsidRPr="008B135A">
        <w:rPr>
          <w:rFonts w:ascii="Arial" w:hAnsi="Arial" w:cs="Arial"/>
        </w:rPr>
        <w:tab/>
      </w:r>
      <w:r w:rsidR="00021327" w:rsidRPr="008B135A">
        <w:rPr>
          <w:rFonts w:ascii="Arial" w:hAnsi="Arial" w:cs="Arial"/>
        </w:rPr>
        <w:tab/>
      </w:r>
      <w:r w:rsidR="00E41757">
        <w:rPr>
          <w:rFonts w:ascii="Arial" w:hAnsi="Arial" w:cs="Arial"/>
        </w:rPr>
        <w:t>Paul Pattison</w:t>
      </w:r>
      <w:r w:rsidR="002B1CE4" w:rsidRPr="008B135A">
        <w:rPr>
          <w:rFonts w:ascii="Arial" w:hAnsi="Arial" w:cs="Arial"/>
        </w:rPr>
        <w:t xml:space="preserve">, </w:t>
      </w:r>
      <w:r w:rsidR="008B135A" w:rsidRPr="008B135A">
        <w:rPr>
          <w:rFonts w:ascii="Arial" w:hAnsi="Arial" w:cs="Arial"/>
        </w:rPr>
        <w:t xml:space="preserve">Acting </w:t>
      </w:r>
      <w:r w:rsidR="002B1CE4" w:rsidRPr="008B135A">
        <w:rPr>
          <w:rFonts w:ascii="Arial" w:hAnsi="Arial" w:cs="Arial"/>
        </w:rPr>
        <w:t>Head of Financial Management</w:t>
      </w:r>
    </w:p>
    <w:p w:rsidR="00FB644D" w:rsidRDefault="00BF10D1" w:rsidP="0042468A">
      <w:pPr>
        <w:rPr>
          <w:rFonts w:ascii="Arial" w:hAnsi="Arial" w:cs="Arial"/>
        </w:rPr>
      </w:pPr>
      <w:r w:rsidRPr="008B135A">
        <w:rPr>
          <w:rFonts w:ascii="Arial" w:hAnsi="Arial" w:cs="Arial"/>
          <w:b/>
        </w:rPr>
        <w:t>Lead Executive Director</w:t>
      </w:r>
      <w:r w:rsidRPr="008B135A">
        <w:rPr>
          <w:rFonts w:ascii="Arial" w:hAnsi="Arial" w:cs="Arial"/>
        </w:rPr>
        <w:t xml:space="preserve">: </w:t>
      </w:r>
      <w:r w:rsidR="00021327" w:rsidRPr="008B135A">
        <w:rPr>
          <w:rFonts w:ascii="Arial" w:hAnsi="Arial" w:cs="Arial"/>
        </w:rPr>
        <w:tab/>
      </w:r>
      <w:r w:rsidRPr="008B135A">
        <w:rPr>
          <w:rFonts w:ascii="Arial" w:hAnsi="Arial" w:cs="Arial"/>
        </w:rPr>
        <w:t>Mike McEnaney, Director of Finance</w:t>
      </w: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41757" w:rsidRDefault="00E41757" w:rsidP="0042468A">
      <w:pPr>
        <w:rPr>
          <w:rFonts w:ascii="Arial" w:hAnsi="Arial" w:cs="Arial"/>
        </w:rPr>
      </w:pPr>
    </w:p>
    <w:p w:rsidR="00E41757" w:rsidRPr="00E41757" w:rsidRDefault="00E41757" w:rsidP="00E41757">
      <w:pPr>
        <w:ind w:left="7200"/>
        <w:rPr>
          <w:rFonts w:ascii="Arial" w:hAnsi="Arial" w:cs="Arial"/>
          <w:sz w:val="24"/>
          <w:szCs w:val="24"/>
        </w:rPr>
      </w:pPr>
      <w:r w:rsidRPr="00E41757">
        <w:rPr>
          <w:rFonts w:ascii="Arial" w:hAnsi="Arial" w:cs="Arial"/>
          <w:sz w:val="24"/>
          <w:szCs w:val="24"/>
        </w:rPr>
        <w:t>Appendix A</w:t>
      </w:r>
    </w:p>
    <w:p w:rsidR="00E41757" w:rsidRPr="00E41757" w:rsidRDefault="00E41757" w:rsidP="0042468A">
      <w:pPr>
        <w:rPr>
          <w:rFonts w:ascii="Arial" w:hAnsi="Arial" w:cs="Arial"/>
          <w:sz w:val="24"/>
          <w:szCs w:val="24"/>
        </w:rPr>
      </w:pPr>
      <w:r w:rsidRPr="00E41757">
        <w:rPr>
          <w:rFonts w:ascii="Arial" w:hAnsi="Arial" w:cs="Arial"/>
          <w:sz w:val="24"/>
          <w:szCs w:val="24"/>
        </w:rPr>
        <w:t xml:space="preserve">Income Statement 2018-19 – month </w:t>
      </w:r>
      <w:r w:rsidR="0063561D">
        <w:rPr>
          <w:rFonts w:ascii="Arial" w:hAnsi="Arial" w:cs="Arial"/>
          <w:sz w:val="24"/>
          <w:szCs w:val="24"/>
        </w:rPr>
        <w:t>2</w:t>
      </w:r>
    </w:p>
    <w:p w:rsidR="00E41757" w:rsidRDefault="00AA5ECD" w:rsidP="0042468A">
      <w:pPr>
        <w:rPr>
          <w:rFonts w:ascii="Arial" w:hAnsi="Arial" w:cs="Arial"/>
        </w:rPr>
      </w:pPr>
      <w:r w:rsidRPr="00AA5ECD">
        <w:rPr>
          <w:noProof/>
          <w:lang w:eastAsia="en-GB"/>
        </w:rPr>
        <w:drawing>
          <wp:inline distT="0" distB="0" distL="0" distR="0" wp14:anchorId="3C11ECAC" wp14:editId="16B14878">
            <wp:extent cx="6452870" cy="319078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896" cy="322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Pr="008B135A" w:rsidRDefault="00E41757" w:rsidP="0042468A">
      <w:pPr>
        <w:rPr>
          <w:rFonts w:ascii="Arial" w:hAnsi="Arial" w:cs="Arial"/>
        </w:rPr>
      </w:pPr>
    </w:p>
    <w:sectPr w:rsidR="00E41757" w:rsidRPr="008B135A" w:rsidSect="005F6D7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E5D" w:rsidRDefault="00757E5D" w:rsidP="009F70C5">
      <w:pPr>
        <w:spacing w:after="0" w:line="240" w:lineRule="auto"/>
      </w:pPr>
      <w:r>
        <w:separator/>
      </w:r>
    </w:p>
  </w:endnote>
  <w:endnote w:type="continuationSeparator" w:id="0">
    <w:p w:rsidR="00757E5D" w:rsidRDefault="00757E5D" w:rsidP="009F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E5D" w:rsidRDefault="00757E5D" w:rsidP="009F70C5">
      <w:pPr>
        <w:spacing w:after="0" w:line="240" w:lineRule="auto"/>
      </w:pPr>
      <w:r>
        <w:separator/>
      </w:r>
    </w:p>
  </w:footnote>
  <w:footnote w:type="continuationSeparator" w:id="0">
    <w:p w:rsidR="00757E5D" w:rsidRDefault="00757E5D" w:rsidP="009F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67F" w:rsidRDefault="008F467F" w:rsidP="009F70C5">
    <w:pPr>
      <w:pStyle w:val="Header"/>
      <w:tabs>
        <w:tab w:val="clear" w:pos="4513"/>
      </w:tabs>
      <w:ind w:left="993" w:hanging="993"/>
      <w:jc w:val="right"/>
    </w:pPr>
    <w:r>
      <w:rPr>
        <w:noProof/>
        <w:lang w:eastAsia="en-GB"/>
      </w:rPr>
      <w:drawing>
        <wp:inline distT="0" distB="0" distL="0" distR="0">
          <wp:extent cx="2124075" cy="4381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5BB5"/>
    <w:multiLevelType w:val="hybridMultilevel"/>
    <w:tmpl w:val="A288EA92"/>
    <w:lvl w:ilvl="0" w:tplc="93ACC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EBB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8B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2A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6B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2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82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CD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D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D5753D"/>
    <w:multiLevelType w:val="hybridMultilevel"/>
    <w:tmpl w:val="066EF56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95376A3"/>
    <w:multiLevelType w:val="hybridMultilevel"/>
    <w:tmpl w:val="D86416C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EB979EE"/>
    <w:multiLevelType w:val="hybridMultilevel"/>
    <w:tmpl w:val="D94842F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FBC440C"/>
    <w:multiLevelType w:val="hybridMultilevel"/>
    <w:tmpl w:val="95789C8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FF13B7"/>
    <w:multiLevelType w:val="hybridMultilevel"/>
    <w:tmpl w:val="01B006B0"/>
    <w:lvl w:ilvl="0" w:tplc="03B22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417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7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86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CB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2B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63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C9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AB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D24B2C"/>
    <w:multiLevelType w:val="hybridMultilevel"/>
    <w:tmpl w:val="177C4D8C"/>
    <w:lvl w:ilvl="0" w:tplc="7C88E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41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E4F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5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EF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63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29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2D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02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B131B6"/>
    <w:multiLevelType w:val="hybridMultilevel"/>
    <w:tmpl w:val="B66005BE"/>
    <w:lvl w:ilvl="0" w:tplc="B9440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8068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90A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A44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987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41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AB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A4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56B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E7020F"/>
    <w:multiLevelType w:val="hybridMultilevel"/>
    <w:tmpl w:val="4F8E4CD8"/>
    <w:lvl w:ilvl="0" w:tplc="830CE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8BD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0F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2B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848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86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A4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E0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A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49F0EB7"/>
    <w:multiLevelType w:val="hybridMultilevel"/>
    <w:tmpl w:val="BB2C31A2"/>
    <w:lvl w:ilvl="0" w:tplc="74682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AB0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22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6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6B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89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41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49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A9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71160CB"/>
    <w:multiLevelType w:val="hybridMultilevel"/>
    <w:tmpl w:val="419A0EAE"/>
    <w:lvl w:ilvl="0" w:tplc="9C0E3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275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A6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A8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6D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C7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45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E6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41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F86FDF"/>
    <w:multiLevelType w:val="hybridMultilevel"/>
    <w:tmpl w:val="0C46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864FA"/>
    <w:multiLevelType w:val="hybridMultilevel"/>
    <w:tmpl w:val="395AAD84"/>
    <w:lvl w:ilvl="0" w:tplc="0D28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6CF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C2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05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64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4D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44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2A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D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BAC24C9"/>
    <w:multiLevelType w:val="hybridMultilevel"/>
    <w:tmpl w:val="C5C00E84"/>
    <w:lvl w:ilvl="0" w:tplc="5AA01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E8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05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CB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03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18C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A6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FE6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AC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9A070F6"/>
    <w:multiLevelType w:val="hybridMultilevel"/>
    <w:tmpl w:val="422C0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94F4D"/>
    <w:multiLevelType w:val="hybridMultilevel"/>
    <w:tmpl w:val="1438FF1C"/>
    <w:lvl w:ilvl="0" w:tplc="77E86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60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AC2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6A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86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62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AD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A1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C4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E517CE1"/>
    <w:multiLevelType w:val="hybridMultilevel"/>
    <w:tmpl w:val="21A6371A"/>
    <w:lvl w:ilvl="0" w:tplc="5C6CF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04F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8B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4E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2E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2B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CC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6F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C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FEB48F6"/>
    <w:multiLevelType w:val="hybridMultilevel"/>
    <w:tmpl w:val="7422D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C7A61"/>
    <w:multiLevelType w:val="hybridMultilevel"/>
    <w:tmpl w:val="84423B6A"/>
    <w:lvl w:ilvl="0" w:tplc="60BEC52A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32D6733"/>
    <w:multiLevelType w:val="hybridMultilevel"/>
    <w:tmpl w:val="D6B0B0E8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868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68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8B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4C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4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AC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61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E2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62D6141"/>
    <w:multiLevelType w:val="hybridMultilevel"/>
    <w:tmpl w:val="F950FF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8912BD"/>
    <w:multiLevelType w:val="hybridMultilevel"/>
    <w:tmpl w:val="0E44C2C8"/>
    <w:lvl w:ilvl="0" w:tplc="29E481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F35A2"/>
    <w:multiLevelType w:val="hybridMultilevel"/>
    <w:tmpl w:val="6D46AC80"/>
    <w:lvl w:ilvl="0" w:tplc="18446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7AB1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C7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09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BE6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E6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08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C0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6B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E7553EB"/>
    <w:multiLevelType w:val="hybridMultilevel"/>
    <w:tmpl w:val="29DA1E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EB4337B"/>
    <w:multiLevelType w:val="hybridMultilevel"/>
    <w:tmpl w:val="CED8D99E"/>
    <w:lvl w:ilvl="0" w:tplc="0D0CDC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523E4"/>
    <w:multiLevelType w:val="hybridMultilevel"/>
    <w:tmpl w:val="0D548C76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481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E44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2B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64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962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09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E1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C3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9"/>
  </w:num>
  <w:num w:numId="3">
    <w:abstractNumId w:val="8"/>
  </w:num>
  <w:num w:numId="4">
    <w:abstractNumId w:val="0"/>
  </w:num>
  <w:num w:numId="5">
    <w:abstractNumId w:val="12"/>
  </w:num>
  <w:num w:numId="6">
    <w:abstractNumId w:val="5"/>
  </w:num>
  <w:num w:numId="7">
    <w:abstractNumId w:val="14"/>
  </w:num>
  <w:num w:numId="8">
    <w:abstractNumId w:val="18"/>
  </w:num>
  <w:num w:numId="9">
    <w:abstractNumId w:val="7"/>
  </w:num>
  <w:num w:numId="10">
    <w:abstractNumId w:val="23"/>
  </w:num>
  <w:num w:numId="11">
    <w:abstractNumId w:val="11"/>
  </w:num>
  <w:num w:numId="12">
    <w:abstractNumId w:val="3"/>
  </w:num>
  <w:num w:numId="13">
    <w:abstractNumId w:val="1"/>
  </w:num>
  <w:num w:numId="14">
    <w:abstractNumId w:val="17"/>
  </w:num>
  <w:num w:numId="15">
    <w:abstractNumId w:val="2"/>
  </w:num>
  <w:num w:numId="16">
    <w:abstractNumId w:val="24"/>
  </w:num>
  <w:num w:numId="17">
    <w:abstractNumId w:val="10"/>
  </w:num>
  <w:num w:numId="18">
    <w:abstractNumId w:val="19"/>
  </w:num>
  <w:num w:numId="19">
    <w:abstractNumId w:val="21"/>
  </w:num>
  <w:num w:numId="20">
    <w:abstractNumId w:val="22"/>
  </w:num>
  <w:num w:numId="21">
    <w:abstractNumId w:val="16"/>
  </w:num>
  <w:num w:numId="22">
    <w:abstractNumId w:val="20"/>
  </w:num>
  <w:num w:numId="23">
    <w:abstractNumId w:val="15"/>
  </w:num>
  <w:num w:numId="24">
    <w:abstractNumId w:val="4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83"/>
    <w:rsid w:val="0000299A"/>
    <w:rsid w:val="0000414E"/>
    <w:rsid w:val="00012EB9"/>
    <w:rsid w:val="00021327"/>
    <w:rsid w:val="00021ED3"/>
    <w:rsid w:val="00022C5D"/>
    <w:rsid w:val="000238C4"/>
    <w:rsid w:val="000315B9"/>
    <w:rsid w:val="00037D28"/>
    <w:rsid w:val="00047F68"/>
    <w:rsid w:val="00050EA0"/>
    <w:rsid w:val="00053A0A"/>
    <w:rsid w:val="00054C2B"/>
    <w:rsid w:val="00056711"/>
    <w:rsid w:val="00071C7B"/>
    <w:rsid w:val="00083A8A"/>
    <w:rsid w:val="000947B0"/>
    <w:rsid w:val="00094CA9"/>
    <w:rsid w:val="000B059E"/>
    <w:rsid w:val="000B468D"/>
    <w:rsid w:val="000C0340"/>
    <w:rsid w:val="000C0D33"/>
    <w:rsid w:val="000D4B86"/>
    <w:rsid w:val="000D5C69"/>
    <w:rsid w:val="000D6F3A"/>
    <w:rsid w:val="000E0C56"/>
    <w:rsid w:val="000E29FA"/>
    <w:rsid w:val="000F6123"/>
    <w:rsid w:val="00100C1B"/>
    <w:rsid w:val="00112C34"/>
    <w:rsid w:val="0011311B"/>
    <w:rsid w:val="00116361"/>
    <w:rsid w:val="00123BBF"/>
    <w:rsid w:val="00124880"/>
    <w:rsid w:val="00124F66"/>
    <w:rsid w:val="00130D1C"/>
    <w:rsid w:val="0013276E"/>
    <w:rsid w:val="001362A8"/>
    <w:rsid w:val="00144701"/>
    <w:rsid w:val="00145E39"/>
    <w:rsid w:val="0015230A"/>
    <w:rsid w:val="00153B4F"/>
    <w:rsid w:val="00156FA0"/>
    <w:rsid w:val="001630CA"/>
    <w:rsid w:val="001634E5"/>
    <w:rsid w:val="00163E15"/>
    <w:rsid w:val="00163E92"/>
    <w:rsid w:val="0016765F"/>
    <w:rsid w:val="00171CE2"/>
    <w:rsid w:val="00175742"/>
    <w:rsid w:val="001766F1"/>
    <w:rsid w:val="00183975"/>
    <w:rsid w:val="001944DA"/>
    <w:rsid w:val="001A112D"/>
    <w:rsid w:val="001A3A97"/>
    <w:rsid w:val="001A72DD"/>
    <w:rsid w:val="001A750D"/>
    <w:rsid w:val="001B0FB6"/>
    <w:rsid w:val="001B3F3E"/>
    <w:rsid w:val="001C1915"/>
    <w:rsid w:val="001C1A23"/>
    <w:rsid w:val="001C4DD8"/>
    <w:rsid w:val="001D3A0D"/>
    <w:rsid w:val="001D5A0A"/>
    <w:rsid w:val="001D715F"/>
    <w:rsid w:val="001E061A"/>
    <w:rsid w:val="001E3D3C"/>
    <w:rsid w:val="001F245E"/>
    <w:rsid w:val="00205F52"/>
    <w:rsid w:val="00206C78"/>
    <w:rsid w:val="002216FE"/>
    <w:rsid w:val="00221729"/>
    <w:rsid w:val="00226030"/>
    <w:rsid w:val="00227C01"/>
    <w:rsid w:val="002321AA"/>
    <w:rsid w:val="00254307"/>
    <w:rsid w:val="002666AC"/>
    <w:rsid w:val="00276DFE"/>
    <w:rsid w:val="00286B09"/>
    <w:rsid w:val="002938EB"/>
    <w:rsid w:val="002962E5"/>
    <w:rsid w:val="00297418"/>
    <w:rsid w:val="00297653"/>
    <w:rsid w:val="002A0946"/>
    <w:rsid w:val="002A0E93"/>
    <w:rsid w:val="002A2CBB"/>
    <w:rsid w:val="002A2D82"/>
    <w:rsid w:val="002A38EB"/>
    <w:rsid w:val="002A57C5"/>
    <w:rsid w:val="002A73F2"/>
    <w:rsid w:val="002B1CE4"/>
    <w:rsid w:val="002B7DAF"/>
    <w:rsid w:val="002D095E"/>
    <w:rsid w:val="002D21F5"/>
    <w:rsid w:val="002E1DD5"/>
    <w:rsid w:val="002E3AA5"/>
    <w:rsid w:val="002F011C"/>
    <w:rsid w:val="003049DC"/>
    <w:rsid w:val="00306313"/>
    <w:rsid w:val="00307EDD"/>
    <w:rsid w:val="00311234"/>
    <w:rsid w:val="003118E9"/>
    <w:rsid w:val="00312ACF"/>
    <w:rsid w:val="003141D8"/>
    <w:rsid w:val="00324270"/>
    <w:rsid w:val="0033086E"/>
    <w:rsid w:val="00330982"/>
    <w:rsid w:val="00332518"/>
    <w:rsid w:val="00334D66"/>
    <w:rsid w:val="003459BD"/>
    <w:rsid w:val="00361583"/>
    <w:rsid w:val="003617BE"/>
    <w:rsid w:val="00362296"/>
    <w:rsid w:val="0036610A"/>
    <w:rsid w:val="00367766"/>
    <w:rsid w:val="00367AC6"/>
    <w:rsid w:val="00380327"/>
    <w:rsid w:val="00381AE6"/>
    <w:rsid w:val="00383304"/>
    <w:rsid w:val="00384650"/>
    <w:rsid w:val="003961B1"/>
    <w:rsid w:val="00397525"/>
    <w:rsid w:val="003C6A03"/>
    <w:rsid w:val="003D1564"/>
    <w:rsid w:val="003D477D"/>
    <w:rsid w:val="003E06AF"/>
    <w:rsid w:val="003E1AC4"/>
    <w:rsid w:val="003E1C35"/>
    <w:rsid w:val="003E4B0F"/>
    <w:rsid w:val="003F03A6"/>
    <w:rsid w:val="003F1D98"/>
    <w:rsid w:val="003F1E09"/>
    <w:rsid w:val="003F2793"/>
    <w:rsid w:val="003F2961"/>
    <w:rsid w:val="003F78A8"/>
    <w:rsid w:val="0040025C"/>
    <w:rsid w:val="00403354"/>
    <w:rsid w:val="004051EB"/>
    <w:rsid w:val="00410478"/>
    <w:rsid w:val="00413C90"/>
    <w:rsid w:val="00421108"/>
    <w:rsid w:val="00423B9A"/>
    <w:rsid w:val="0042468A"/>
    <w:rsid w:val="00433291"/>
    <w:rsid w:val="00436CDB"/>
    <w:rsid w:val="0044134B"/>
    <w:rsid w:val="00441986"/>
    <w:rsid w:val="004432F6"/>
    <w:rsid w:val="00443D4E"/>
    <w:rsid w:val="00450A00"/>
    <w:rsid w:val="004603B2"/>
    <w:rsid w:val="00460FA3"/>
    <w:rsid w:val="0046312B"/>
    <w:rsid w:val="00471434"/>
    <w:rsid w:val="004737AA"/>
    <w:rsid w:val="004737D7"/>
    <w:rsid w:val="004739EB"/>
    <w:rsid w:val="004740DF"/>
    <w:rsid w:val="00482E8D"/>
    <w:rsid w:val="00483205"/>
    <w:rsid w:val="004870DA"/>
    <w:rsid w:val="00487DE7"/>
    <w:rsid w:val="00493288"/>
    <w:rsid w:val="004A1739"/>
    <w:rsid w:val="004A3BAC"/>
    <w:rsid w:val="004A41BF"/>
    <w:rsid w:val="004A58CB"/>
    <w:rsid w:val="004A6EDD"/>
    <w:rsid w:val="004C15B7"/>
    <w:rsid w:val="004D6F5F"/>
    <w:rsid w:val="004E1C79"/>
    <w:rsid w:val="004E20DF"/>
    <w:rsid w:val="004E6270"/>
    <w:rsid w:val="004E698B"/>
    <w:rsid w:val="004F06C5"/>
    <w:rsid w:val="004F252D"/>
    <w:rsid w:val="004F7349"/>
    <w:rsid w:val="0050178F"/>
    <w:rsid w:val="00503ED2"/>
    <w:rsid w:val="005156B3"/>
    <w:rsid w:val="00524C85"/>
    <w:rsid w:val="0053291E"/>
    <w:rsid w:val="0053293D"/>
    <w:rsid w:val="0053444B"/>
    <w:rsid w:val="0053675B"/>
    <w:rsid w:val="00536A1D"/>
    <w:rsid w:val="00540498"/>
    <w:rsid w:val="00545B04"/>
    <w:rsid w:val="005531CE"/>
    <w:rsid w:val="0055584A"/>
    <w:rsid w:val="00557FC7"/>
    <w:rsid w:val="00571104"/>
    <w:rsid w:val="005726BF"/>
    <w:rsid w:val="00573B14"/>
    <w:rsid w:val="00574F9B"/>
    <w:rsid w:val="00585C5C"/>
    <w:rsid w:val="00593FCB"/>
    <w:rsid w:val="005A1806"/>
    <w:rsid w:val="005A3BE0"/>
    <w:rsid w:val="005B6E1C"/>
    <w:rsid w:val="005B6EAF"/>
    <w:rsid w:val="005B753E"/>
    <w:rsid w:val="005C21BC"/>
    <w:rsid w:val="005C306B"/>
    <w:rsid w:val="005C5C89"/>
    <w:rsid w:val="005D07EE"/>
    <w:rsid w:val="005D5685"/>
    <w:rsid w:val="005E30B0"/>
    <w:rsid w:val="005E327F"/>
    <w:rsid w:val="005E67CA"/>
    <w:rsid w:val="005F21D4"/>
    <w:rsid w:val="005F4076"/>
    <w:rsid w:val="005F58F8"/>
    <w:rsid w:val="005F6D75"/>
    <w:rsid w:val="0060283E"/>
    <w:rsid w:val="00614C34"/>
    <w:rsid w:val="006352A5"/>
    <w:rsid w:val="0063561D"/>
    <w:rsid w:val="006360C0"/>
    <w:rsid w:val="0063623B"/>
    <w:rsid w:val="00636264"/>
    <w:rsid w:val="00641155"/>
    <w:rsid w:val="00646D10"/>
    <w:rsid w:val="0065200D"/>
    <w:rsid w:val="00655672"/>
    <w:rsid w:val="0066482F"/>
    <w:rsid w:val="006659D0"/>
    <w:rsid w:val="00667F67"/>
    <w:rsid w:val="00672EF2"/>
    <w:rsid w:val="0067410B"/>
    <w:rsid w:val="006855C3"/>
    <w:rsid w:val="0068742B"/>
    <w:rsid w:val="0069109C"/>
    <w:rsid w:val="006951DC"/>
    <w:rsid w:val="006952E7"/>
    <w:rsid w:val="00695F5E"/>
    <w:rsid w:val="006979B5"/>
    <w:rsid w:val="006B27B5"/>
    <w:rsid w:val="006B776F"/>
    <w:rsid w:val="006D2226"/>
    <w:rsid w:val="006D2D1D"/>
    <w:rsid w:val="006D7236"/>
    <w:rsid w:val="006F3A8E"/>
    <w:rsid w:val="00700CEB"/>
    <w:rsid w:val="00724BC7"/>
    <w:rsid w:val="0073312B"/>
    <w:rsid w:val="0074006D"/>
    <w:rsid w:val="00742AC8"/>
    <w:rsid w:val="00753079"/>
    <w:rsid w:val="00753392"/>
    <w:rsid w:val="00753B87"/>
    <w:rsid w:val="00754F44"/>
    <w:rsid w:val="00757E5D"/>
    <w:rsid w:val="00761EEF"/>
    <w:rsid w:val="007633DD"/>
    <w:rsid w:val="007644ED"/>
    <w:rsid w:val="007714E5"/>
    <w:rsid w:val="0077299F"/>
    <w:rsid w:val="00773ED2"/>
    <w:rsid w:val="00775001"/>
    <w:rsid w:val="00780314"/>
    <w:rsid w:val="00784E93"/>
    <w:rsid w:val="0078577D"/>
    <w:rsid w:val="007903B0"/>
    <w:rsid w:val="007920B0"/>
    <w:rsid w:val="00792B94"/>
    <w:rsid w:val="007A13CE"/>
    <w:rsid w:val="007A4E7F"/>
    <w:rsid w:val="007A752E"/>
    <w:rsid w:val="007A7AEB"/>
    <w:rsid w:val="007B1286"/>
    <w:rsid w:val="007C39B7"/>
    <w:rsid w:val="007C6437"/>
    <w:rsid w:val="007D511C"/>
    <w:rsid w:val="007D7D56"/>
    <w:rsid w:val="007E155D"/>
    <w:rsid w:val="007E196C"/>
    <w:rsid w:val="007E5243"/>
    <w:rsid w:val="007F3857"/>
    <w:rsid w:val="007F3952"/>
    <w:rsid w:val="007F5D22"/>
    <w:rsid w:val="007F68AF"/>
    <w:rsid w:val="008042C5"/>
    <w:rsid w:val="008058BD"/>
    <w:rsid w:val="00806B64"/>
    <w:rsid w:val="00806E8B"/>
    <w:rsid w:val="00822A76"/>
    <w:rsid w:val="0082316C"/>
    <w:rsid w:val="00823477"/>
    <w:rsid w:val="00824DD5"/>
    <w:rsid w:val="008262C9"/>
    <w:rsid w:val="008449F4"/>
    <w:rsid w:val="00850D2E"/>
    <w:rsid w:val="008627A2"/>
    <w:rsid w:val="00887886"/>
    <w:rsid w:val="008911DE"/>
    <w:rsid w:val="008955DE"/>
    <w:rsid w:val="00895D9C"/>
    <w:rsid w:val="008B01B3"/>
    <w:rsid w:val="008B135A"/>
    <w:rsid w:val="008B5804"/>
    <w:rsid w:val="008C1F2D"/>
    <w:rsid w:val="008C3DC6"/>
    <w:rsid w:val="008C4DCD"/>
    <w:rsid w:val="008C6B9A"/>
    <w:rsid w:val="008D209F"/>
    <w:rsid w:val="008D248D"/>
    <w:rsid w:val="008D58D1"/>
    <w:rsid w:val="008F467F"/>
    <w:rsid w:val="008F48E6"/>
    <w:rsid w:val="00901F23"/>
    <w:rsid w:val="009046CE"/>
    <w:rsid w:val="0092416A"/>
    <w:rsid w:val="00926477"/>
    <w:rsid w:val="009275E0"/>
    <w:rsid w:val="00927D40"/>
    <w:rsid w:val="0093147F"/>
    <w:rsid w:val="00934361"/>
    <w:rsid w:val="00946007"/>
    <w:rsid w:val="00954971"/>
    <w:rsid w:val="00966796"/>
    <w:rsid w:val="009710DF"/>
    <w:rsid w:val="00973879"/>
    <w:rsid w:val="00973F72"/>
    <w:rsid w:val="009742BB"/>
    <w:rsid w:val="00980354"/>
    <w:rsid w:val="00981318"/>
    <w:rsid w:val="00983C1C"/>
    <w:rsid w:val="0098550A"/>
    <w:rsid w:val="00985F1F"/>
    <w:rsid w:val="009925E6"/>
    <w:rsid w:val="009A23D5"/>
    <w:rsid w:val="009A4A08"/>
    <w:rsid w:val="009A7309"/>
    <w:rsid w:val="009B64FA"/>
    <w:rsid w:val="009D596C"/>
    <w:rsid w:val="009D5D3F"/>
    <w:rsid w:val="009D5D6E"/>
    <w:rsid w:val="009E364E"/>
    <w:rsid w:val="009E404B"/>
    <w:rsid w:val="009E53B4"/>
    <w:rsid w:val="009F5972"/>
    <w:rsid w:val="009F70C5"/>
    <w:rsid w:val="00A0140D"/>
    <w:rsid w:val="00A02ED2"/>
    <w:rsid w:val="00A1224A"/>
    <w:rsid w:val="00A16B30"/>
    <w:rsid w:val="00A16D41"/>
    <w:rsid w:val="00A22D02"/>
    <w:rsid w:val="00A241C4"/>
    <w:rsid w:val="00A26271"/>
    <w:rsid w:val="00A3197C"/>
    <w:rsid w:val="00A3531E"/>
    <w:rsid w:val="00A36647"/>
    <w:rsid w:val="00A375EC"/>
    <w:rsid w:val="00A406E1"/>
    <w:rsid w:val="00A53CEF"/>
    <w:rsid w:val="00A54466"/>
    <w:rsid w:val="00A54E45"/>
    <w:rsid w:val="00A55A32"/>
    <w:rsid w:val="00A57052"/>
    <w:rsid w:val="00A64882"/>
    <w:rsid w:val="00A704CA"/>
    <w:rsid w:val="00A94C1D"/>
    <w:rsid w:val="00AA1B54"/>
    <w:rsid w:val="00AA297A"/>
    <w:rsid w:val="00AA3C0F"/>
    <w:rsid w:val="00AA512B"/>
    <w:rsid w:val="00AA5ECD"/>
    <w:rsid w:val="00AB22FB"/>
    <w:rsid w:val="00AB48CB"/>
    <w:rsid w:val="00AC46E4"/>
    <w:rsid w:val="00AD4DD8"/>
    <w:rsid w:val="00AD656D"/>
    <w:rsid w:val="00AF0CCC"/>
    <w:rsid w:val="00AF33D5"/>
    <w:rsid w:val="00AF4197"/>
    <w:rsid w:val="00AF47A3"/>
    <w:rsid w:val="00AF6C19"/>
    <w:rsid w:val="00B0435D"/>
    <w:rsid w:val="00B06FD7"/>
    <w:rsid w:val="00B15D83"/>
    <w:rsid w:val="00B221FF"/>
    <w:rsid w:val="00B248AC"/>
    <w:rsid w:val="00B25DDF"/>
    <w:rsid w:val="00B269B8"/>
    <w:rsid w:val="00B31FAD"/>
    <w:rsid w:val="00B3600F"/>
    <w:rsid w:val="00B36D66"/>
    <w:rsid w:val="00B404CF"/>
    <w:rsid w:val="00B41429"/>
    <w:rsid w:val="00B4657B"/>
    <w:rsid w:val="00B67E51"/>
    <w:rsid w:val="00B73313"/>
    <w:rsid w:val="00B7335C"/>
    <w:rsid w:val="00B75848"/>
    <w:rsid w:val="00B779D1"/>
    <w:rsid w:val="00B77D1B"/>
    <w:rsid w:val="00B90122"/>
    <w:rsid w:val="00B9767F"/>
    <w:rsid w:val="00BA01E1"/>
    <w:rsid w:val="00BA5E86"/>
    <w:rsid w:val="00BA780D"/>
    <w:rsid w:val="00BB133D"/>
    <w:rsid w:val="00BB1448"/>
    <w:rsid w:val="00BB26ED"/>
    <w:rsid w:val="00BB294E"/>
    <w:rsid w:val="00BB7AA1"/>
    <w:rsid w:val="00BC0201"/>
    <w:rsid w:val="00BC2D8F"/>
    <w:rsid w:val="00BC2EE0"/>
    <w:rsid w:val="00BD0D5D"/>
    <w:rsid w:val="00BD3C70"/>
    <w:rsid w:val="00BD553B"/>
    <w:rsid w:val="00BE1AE7"/>
    <w:rsid w:val="00BE5CDC"/>
    <w:rsid w:val="00BF10D1"/>
    <w:rsid w:val="00BF2C7F"/>
    <w:rsid w:val="00BF335E"/>
    <w:rsid w:val="00BF71DD"/>
    <w:rsid w:val="00C04BE4"/>
    <w:rsid w:val="00C05C41"/>
    <w:rsid w:val="00C10236"/>
    <w:rsid w:val="00C13CD4"/>
    <w:rsid w:val="00C17D75"/>
    <w:rsid w:val="00C21AF0"/>
    <w:rsid w:val="00C26242"/>
    <w:rsid w:val="00C26402"/>
    <w:rsid w:val="00C40767"/>
    <w:rsid w:val="00C422BC"/>
    <w:rsid w:val="00C429DB"/>
    <w:rsid w:val="00C61442"/>
    <w:rsid w:val="00C81172"/>
    <w:rsid w:val="00C83A83"/>
    <w:rsid w:val="00C84E30"/>
    <w:rsid w:val="00C87BC1"/>
    <w:rsid w:val="00C90570"/>
    <w:rsid w:val="00C909A3"/>
    <w:rsid w:val="00C93E7E"/>
    <w:rsid w:val="00CA12E5"/>
    <w:rsid w:val="00CA1E27"/>
    <w:rsid w:val="00CA4776"/>
    <w:rsid w:val="00CA5D01"/>
    <w:rsid w:val="00CB21C3"/>
    <w:rsid w:val="00CC0080"/>
    <w:rsid w:val="00CC1B8B"/>
    <w:rsid w:val="00CC79BA"/>
    <w:rsid w:val="00CD1574"/>
    <w:rsid w:val="00CE01A3"/>
    <w:rsid w:val="00CE0528"/>
    <w:rsid w:val="00CE0BEA"/>
    <w:rsid w:val="00CE2C97"/>
    <w:rsid w:val="00CE3BF4"/>
    <w:rsid w:val="00CE3C87"/>
    <w:rsid w:val="00CE4817"/>
    <w:rsid w:val="00CF792A"/>
    <w:rsid w:val="00D04A49"/>
    <w:rsid w:val="00D06668"/>
    <w:rsid w:val="00D06AF0"/>
    <w:rsid w:val="00D15143"/>
    <w:rsid w:val="00D1538F"/>
    <w:rsid w:val="00D1610F"/>
    <w:rsid w:val="00D21ADD"/>
    <w:rsid w:val="00D2505C"/>
    <w:rsid w:val="00D31F7E"/>
    <w:rsid w:val="00D3289F"/>
    <w:rsid w:val="00D5261D"/>
    <w:rsid w:val="00D52F7D"/>
    <w:rsid w:val="00D53BED"/>
    <w:rsid w:val="00D54326"/>
    <w:rsid w:val="00D60AEB"/>
    <w:rsid w:val="00D64C85"/>
    <w:rsid w:val="00D65597"/>
    <w:rsid w:val="00D67D84"/>
    <w:rsid w:val="00D77AD2"/>
    <w:rsid w:val="00D81949"/>
    <w:rsid w:val="00D8239B"/>
    <w:rsid w:val="00D82526"/>
    <w:rsid w:val="00D82AF8"/>
    <w:rsid w:val="00DA1852"/>
    <w:rsid w:val="00DA3D92"/>
    <w:rsid w:val="00DB13FC"/>
    <w:rsid w:val="00DB5FAF"/>
    <w:rsid w:val="00DC0240"/>
    <w:rsid w:val="00DC1039"/>
    <w:rsid w:val="00DC3A8A"/>
    <w:rsid w:val="00DC43FD"/>
    <w:rsid w:val="00DC55E6"/>
    <w:rsid w:val="00DD357C"/>
    <w:rsid w:val="00DE19CD"/>
    <w:rsid w:val="00DE56B7"/>
    <w:rsid w:val="00E0724B"/>
    <w:rsid w:val="00E10141"/>
    <w:rsid w:val="00E1471B"/>
    <w:rsid w:val="00E20419"/>
    <w:rsid w:val="00E26496"/>
    <w:rsid w:val="00E26D07"/>
    <w:rsid w:val="00E31E6D"/>
    <w:rsid w:val="00E3286F"/>
    <w:rsid w:val="00E41757"/>
    <w:rsid w:val="00E4371D"/>
    <w:rsid w:val="00E44E48"/>
    <w:rsid w:val="00E51B8A"/>
    <w:rsid w:val="00E56128"/>
    <w:rsid w:val="00E561E7"/>
    <w:rsid w:val="00E635B0"/>
    <w:rsid w:val="00E67B75"/>
    <w:rsid w:val="00E72534"/>
    <w:rsid w:val="00E73A42"/>
    <w:rsid w:val="00E86C73"/>
    <w:rsid w:val="00E91F16"/>
    <w:rsid w:val="00E93A47"/>
    <w:rsid w:val="00E97302"/>
    <w:rsid w:val="00EA6424"/>
    <w:rsid w:val="00EC0295"/>
    <w:rsid w:val="00EC2C09"/>
    <w:rsid w:val="00EC72AD"/>
    <w:rsid w:val="00ED054F"/>
    <w:rsid w:val="00EE1CEA"/>
    <w:rsid w:val="00EE232B"/>
    <w:rsid w:val="00EF3769"/>
    <w:rsid w:val="00EF5EC9"/>
    <w:rsid w:val="00F00278"/>
    <w:rsid w:val="00F00C7F"/>
    <w:rsid w:val="00F028AD"/>
    <w:rsid w:val="00F07668"/>
    <w:rsid w:val="00F232B4"/>
    <w:rsid w:val="00F30B6F"/>
    <w:rsid w:val="00F318D1"/>
    <w:rsid w:val="00F45A75"/>
    <w:rsid w:val="00F47662"/>
    <w:rsid w:val="00F51669"/>
    <w:rsid w:val="00F535EB"/>
    <w:rsid w:val="00F53A63"/>
    <w:rsid w:val="00F55711"/>
    <w:rsid w:val="00F56733"/>
    <w:rsid w:val="00F57ABF"/>
    <w:rsid w:val="00F61130"/>
    <w:rsid w:val="00F63D3E"/>
    <w:rsid w:val="00F76A0F"/>
    <w:rsid w:val="00F77B0E"/>
    <w:rsid w:val="00F91F5D"/>
    <w:rsid w:val="00F930E4"/>
    <w:rsid w:val="00F9424C"/>
    <w:rsid w:val="00F95469"/>
    <w:rsid w:val="00F9716A"/>
    <w:rsid w:val="00FB3869"/>
    <w:rsid w:val="00FB644D"/>
    <w:rsid w:val="00FC5673"/>
    <w:rsid w:val="00FC75AF"/>
    <w:rsid w:val="00FD4EB7"/>
    <w:rsid w:val="00FE0E17"/>
    <w:rsid w:val="00FE55EA"/>
    <w:rsid w:val="00FF3216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16F4C"/>
  <w15:docId w15:val="{A5467F56-45F7-42F9-9665-5053107D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F6D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2EF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2EF2"/>
    <w:rPr>
      <w:rFonts w:ascii="Arial" w:eastAsia="Times New Roman" w:hAnsi="Arial"/>
      <w:b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70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70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F70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F70C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0C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531C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31CE"/>
    <w:rPr>
      <w:rFonts w:ascii="Arial" w:eastAsia="Times New Roman" w:hAnsi="Arial" w:cs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E55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92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4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C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C34"/>
    <w:rPr>
      <w:b/>
      <w:bCs/>
      <w:lang w:eastAsia="en-US"/>
    </w:rPr>
  </w:style>
  <w:style w:type="paragraph" w:styleId="Revision">
    <w:name w:val="Revision"/>
    <w:hidden/>
    <w:uiPriority w:val="99"/>
    <w:semiHidden/>
    <w:rsid w:val="00AA5E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5850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831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18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37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98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0766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2891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515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2912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336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88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92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647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558">
          <w:marLeft w:val="142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1010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632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326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434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6758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146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58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808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453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70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7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557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53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001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040">
          <w:marLeft w:val="70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7968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372">
          <w:marLeft w:val="25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435">
          <w:marLeft w:val="259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25F20-AC5E-483A-BAB0-E6648329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Report</vt:lpstr>
    </vt:vector>
  </TitlesOfParts>
  <Company>NHS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Report</dc:title>
  <dc:creator>julie.waldron</dc:creator>
  <cp:lastModifiedBy>Pattison Paul (RNU) Oxford Health</cp:lastModifiedBy>
  <cp:revision>7</cp:revision>
  <cp:lastPrinted>2017-02-14T15:53:00Z</cp:lastPrinted>
  <dcterms:created xsi:type="dcterms:W3CDTF">2018-06-20T10:26:00Z</dcterms:created>
  <dcterms:modified xsi:type="dcterms:W3CDTF">2018-06-20T13:05:00Z</dcterms:modified>
</cp:coreProperties>
</file>