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5C2C6E" w:rsidRDefault="007B6D77" w:rsidP="0086436B">
      <w:pPr>
        <w:ind w:right="-900"/>
        <w:jc w:val="right"/>
        <w:rPr>
          <w:rFonts w:ascii="Segoe UI" w:hAnsi="Segoe UI" w:cs="Segoe UI"/>
          <w:lang w:val="en-GB"/>
        </w:rPr>
      </w:pPr>
      <w:r w:rsidRPr="005C2C6E">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5C2C6E" w:rsidRDefault="005D3499" w:rsidP="007B02FB">
      <w:pPr>
        <w:pStyle w:val="Heading1"/>
        <w:rPr>
          <w:rFonts w:ascii="Segoe UI" w:hAnsi="Segoe UI" w:cs="Segoe UI"/>
          <w:sz w:val="28"/>
          <w:u w:val="none"/>
        </w:rPr>
      </w:pPr>
    </w:p>
    <w:p w:rsidR="005E2583" w:rsidRPr="005C2C6E" w:rsidRDefault="00E60D96">
      <w:pPr>
        <w:pStyle w:val="Heading1"/>
        <w:jc w:val="center"/>
        <w:rPr>
          <w:rFonts w:ascii="Segoe UI" w:hAnsi="Segoe UI" w:cs="Segoe UI"/>
          <w:sz w:val="28"/>
          <w:u w:val="none"/>
        </w:rPr>
      </w:pPr>
      <w:r w:rsidRPr="005C2C6E">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CB74F6" w:rsidRDefault="00766230">
                            <w:pPr>
                              <w:jc w:val="center"/>
                              <w:rPr>
                                <w:rFonts w:ascii="Segoe UI" w:hAnsi="Segoe UI" w:cs="Segoe UI"/>
                              </w:rPr>
                            </w:pPr>
                            <w:r w:rsidRPr="00CB74F6">
                              <w:rPr>
                                <w:rFonts w:ascii="Segoe UI" w:hAnsi="Segoe UI" w:cs="Segoe UI"/>
                                <w:b/>
                              </w:rPr>
                              <w:t>C</w:t>
                            </w:r>
                            <w:r w:rsidR="00342219" w:rsidRPr="00CB74F6">
                              <w:rPr>
                                <w:rFonts w:ascii="Segoe UI" w:hAnsi="Segoe UI" w:cs="Segoe UI"/>
                                <w:b/>
                              </w:rPr>
                              <w:t>G</w:t>
                            </w:r>
                            <w:r w:rsidRPr="00CB74F6">
                              <w:rPr>
                                <w:rFonts w:ascii="Segoe UI" w:hAnsi="Segoe UI" w:cs="Segoe UI"/>
                                <w:b/>
                              </w:rPr>
                              <w:t xml:space="preserve"> </w:t>
                            </w:r>
                            <w:r w:rsidR="00CB74F6" w:rsidRPr="00CB74F6">
                              <w:rPr>
                                <w:rFonts w:ascii="Segoe UI" w:hAnsi="Segoe UI" w:cs="Segoe UI"/>
                                <w:b/>
                              </w:rPr>
                              <w:t>06/2018</w:t>
                            </w:r>
                          </w:p>
                          <w:p w:rsidR="00FA3993" w:rsidRPr="00FA3993" w:rsidRDefault="00766230">
                            <w:pPr>
                              <w:jc w:val="center"/>
                              <w:rPr>
                                <w:rFonts w:ascii="Segoe UI" w:hAnsi="Segoe UI" w:cs="Segoe UI"/>
                                <w:sz w:val="22"/>
                                <w:szCs w:val="22"/>
                              </w:rPr>
                            </w:pPr>
                            <w:r w:rsidRPr="00CB74F6">
                              <w:rPr>
                                <w:rFonts w:ascii="Segoe UI" w:hAnsi="Segoe UI" w:cs="Segoe UI"/>
                                <w:sz w:val="22"/>
                                <w:szCs w:val="22"/>
                              </w:rPr>
                              <w:t>(Agenda item</w:t>
                            </w:r>
                            <w:r w:rsidR="0022259D" w:rsidRPr="00CB74F6">
                              <w:rPr>
                                <w:rFonts w:ascii="Segoe UI" w:hAnsi="Segoe UI" w:cs="Segoe UI"/>
                                <w:sz w:val="22"/>
                                <w:szCs w:val="22"/>
                              </w:rPr>
                              <w:t>:</w:t>
                            </w:r>
                            <w:r w:rsidR="00CB74F6" w:rsidRPr="00CB74F6">
                              <w:rPr>
                                <w:rFonts w:ascii="Segoe UI" w:hAnsi="Segoe UI" w:cs="Segoe UI"/>
                                <w:sz w:val="22"/>
                                <w:szCs w:val="22"/>
                              </w:rPr>
                              <w:t xml:space="preserve"> 10</w:t>
                            </w:r>
                            <w:r w:rsidR="00FA3993" w:rsidRPr="00CB74F6">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CB74F6" w:rsidRDefault="00766230">
                      <w:pPr>
                        <w:jc w:val="center"/>
                        <w:rPr>
                          <w:rFonts w:ascii="Segoe UI" w:hAnsi="Segoe UI" w:cs="Segoe UI"/>
                        </w:rPr>
                      </w:pPr>
                      <w:r w:rsidRPr="00CB74F6">
                        <w:rPr>
                          <w:rFonts w:ascii="Segoe UI" w:hAnsi="Segoe UI" w:cs="Segoe UI"/>
                          <w:b/>
                        </w:rPr>
                        <w:t>C</w:t>
                      </w:r>
                      <w:r w:rsidR="00342219" w:rsidRPr="00CB74F6">
                        <w:rPr>
                          <w:rFonts w:ascii="Segoe UI" w:hAnsi="Segoe UI" w:cs="Segoe UI"/>
                          <w:b/>
                        </w:rPr>
                        <w:t>G</w:t>
                      </w:r>
                      <w:r w:rsidRPr="00CB74F6">
                        <w:rPr>
                          <w:rFonts w:ascii="Segoe UI" w:hAnsi="Segoe UI" w:cs="Segoe UI"/>
                          <w:b/>
                        </w:rPr>
                        <w:t xml:space="preserve"> </w:t>
                      </w:r>
                      <w:r w:rsidR="00CB74F6" w:rsidRPr="00CB74F6">
                        <w:rPr>
                          <w:rFonts w:ascii="Segoe UI" w:hAnsi="Segoe UI" w:cs="Segoe UI"/>
                          <w:b/>
                        </w:rPr>
                        <w:t>06/2018</w:t>
                      </w:r>
                    </w:p>
                    <w:p w:rsidR="00FA3993" w:rsidRPr="00FA3993" w:rsidRDefault="00766230">
                      <w:pPr>
                        <w:jc w:val="center"/>
                        <w:rPr>
                          <w:rFonts w:ascii="Segoe UI" w:hAnsi="Segoe UI" w:cs="Segoe UI"/>
                          <w:sz w:val="22"/>
                          <w:szCs w:val="22"/>
                        </w:rPr>
                      </w:pPr>
                      <w:r w:rsidRPr="00CB74F6">
                        <w:rPr>
                          <w:rFonts w:ascii="Segoe UI" w:hAnsi="Segoe UI" w:cs="Segoe UI"/>
                          <w:sz w:val="22"/>
                          <w:szCs w:val="22"/>
                        </w:rPr>
                        <w:t>(Agenda item</w:t>
                      </w:r>
                      <w:r w:rsidR="0022259D" w:rsidRPr="00CB74F6">
                        <w:rPr>
                          <w:rFonts w:ascii="Segoe UI" w:hAnsi="Segoe UI" w:cs="Segoe UI"/>
                          <w:sz w:val="22"/>
                          <w:szCs w:val="22"/>
                        </w:rPr>
                        <w:t>:</w:t>
                      </w:r>
                      <w:r w:rsidR="00CB74F6" w:rsidRPr="00CB74F6">
                        <w:rPr>
                          <w:rFonts w:ascii="Segoe UI" w:hAnsi="Segoe UI" w:cs="Segoe UI"/>
                          <w:sz w:val="22"/>
                          <w:szCs w:val="22"/>
                        </w:rPr>
                        <w:t xml:space="preserve"> 10</w:t>
                      </w:r>
                      <w:r w:rsidR="00FA3993" w:rsidRPr="00CB74F6">
                        <w:rPr>
                          <w:rFonts w:ascii="Segoe UI" w:hAnsi="Segoe UI" w:cs="Segoe UI"/>
                          <w:sz w:val="22"/>
                          <w:szCs w:val="22"/>
                        </w:rPr>
                        <w:t>)</w:t>
                      </w:r>
                    </w:p>
                  </w:txbxContent>
                </v:textbox>
              </v:rect>
            </w:pict>
          </mc:Fallback>
        </mc:AlternateContent>
      </w:r>
      <w:r w:rsidR="005D3499" w:rsidRPr="005C2C6E">
        <w:rPr>
          <w:rFonts w:ascii="Segoe UI" w:hAnsi="Segoe UI" w:cs="Segoe UI"/>
          <w:sz w:val="28"/>
          <w:u w:val="none"/>
        </w:rPr>
        <w:t xml:space="preserve">Report to the Meeting </w:t>
      </w:r>
      <w:r w:rsidR="00B50D5E" w:rsidRPr="005C2C6E">
        <w:rPr>
          <w:rFonts w:ascii="Segoe UI" w:hAnsi="Segoe UI" w:cs="Segoe UI"/>
          <w:sz w:val="28"/>
          <w:u w:val="none"/>
        </w:rPr>
        <w:t xml:space="preserve">of the </w:t>
      </w:r>
    </w:p>
    <w:p w:rsidR="002821F8" w:rsidRPr="005C2C6E" w:rsidRDefault="00B50D5E">
      <w:pPr>
        <w:pStyle w:val="Heading1"/>
        <w:jc w:val="center"/>
        <w:rPr>
          <w:rFonts w:ascii="Segoe UI" w:hAnsi="Segoe UI" w:cs="Segoe UI"/>
          <w:sz w:val="28"/>
          <w:u w:val="none"/>
        </w:rPr>
      </w:pPr>
      <w:r w:rsidRPr="005C2C6E">
        <w:rPr>
          <w:rFonts w:ascii="Segoe UI" w:hAnsi="Segoe UI" w:cs="Segoe UI"/>
          <w:sz w:val="28"/>
          <w:u w:val="none"/>
        </w:rPr>
        <w:t xml:space="preserve">Oxford Health NHS </w:t>
      </w:r>
      <w:r w:rsidR="002821F8" w:rsidRPr="005C2C6E">
        <w:rPr>
          <w:rFonts w:ascii="Segoe UI" w:hAnsi="Segoe UI" w:cs="Segoe UI"/>
          <w:sz w:val="28"/>
          <w:u w:val="none"/>
        </w:rPr>
        <w:t xml:space="preserve">Foundation Trust </w:t>
      </w:r>
    </w:p>
    <w:p w:rsidR="00FA3993" w:rsidRPr="005C2C6E" w:rsidRDefault="00FA3993">
      <w:pPr>
        <w:pStyle w:val="Heading1"/>
        <w:jc w:val="center"/>
        <w:rPr>
          <w:rFonts w:ascii="Segoe UI" w:hAnsi="Segoe UI" w:cs="Segoe UI"/>
          <w:sz w:val="28"/>
          <w:u w:val="none"/>
        </w:rPr>
      </w:pPr>
    </w:p>
    <w:p w:rsidR="005D3499" w:rsidRPr="005C2C6E" w:rsidRDefault="00342219">
      <w:pPr>
        <w:pStyle w:val="Heading1"/>
        <w:jc w:val="center"/>
        <w:rPr>
          <w:rFonts w:ascii="Segoe UI" w:hAnsi="Segoe UI" w:cs="Segoe UI"/>
          <w:sz w:val="28"/>
          <w:u w:val="none"/>
        </w:rPr>
      </w:pPr>
      <w:r w:rsidRPr="005C2C6E">
        <w:rPr>
          <w:rFonts w:ascii="Segoe UI" w:hAnsi="Segoe UI" w:cs="Segoe UI"/>
          <w:sz w:val="28"/>
          <w:u w:val="none"/>
        </w:rPr>
        <w:t>Council of Governors</w:t>
      </w:r>
    </w:p>
    <w:p w:rsidR="005D3499" w:rsidRPr="005C2C6E" w:rsidRDefault="005D3499" w:rsidP="00A85311">
      <w:pPr>
        <w:rPr>
          <w:rFonts w:ascii="Segoe UI" w:hAnsi="Segoe UI" w:cs="Segoe UI"/>
          <w:b/>
        </w:rPr>
      </w:pPr>
    </w:p>
    <w:p w:rsidR="005D3499" w:rsidRPr="005C2C6E" w:rsidRDefault="0002155B">
      <w:pPr>
        <w:jc w:val="center"/>
        <w:rPr>
          <w:rFonts w:ascii="Segoe UI" w:hAnsi="Segoe UI" w:cs="Segoe UI"/>
          <w:b/>
        </w:rPr>
      </w:pPr>
      <w:r w:rsidRPr="005C2C6E">
        <w:rPr>
          <w:rFonts w:ascii="Segoe UI" w:hAnsi="Segoe UI" w:cs="Segoe UI"/>
          <w:b/>
        </w:rPr>
        <w:t>March 22</w:t>
      </w:r>
      <w:r w:rsidRPr="005C2C6E">
        <w:rPr>
          <w:rFonts w:ascii="Segoe UI" w:hAnsi="Segoe UI" w:cs="Segoe UI"/>
          <w:b/>
          <w:vertAlign w:val="superscript"/>
        </w:rPr>
        <w:t>nd</w:t>
      </w:r>
      <w:r w:rsidRPr="005C2C6E">
        <w:rPr>
          <w:rFonts w:ascii="Segoe UI" w:hAnsi="Segoe UI" w:cs="Segoe UI"/>
          <w:b/>
        </w:rPr>
        <w:t xml:space="preserve"> 2018</w:t>
      </w:r>
    </w:p>
    <w:p w:rsidR="005D3499" w:rsidRPr="005C2C6E" w:rsidRDefault="005D3499">
      <w:pPr>
        <w:jc w:val="center"/>
        <w:rPr>
          <w:rFonts w:ascii="Segoe UI" w:hAnsi="Segoe UI" w:cs="Segoe UI"/>
          <w:b/>
        </w:rPr>
      </w:pPr>
    </w:p>
    <w:p w:rsidR="00C40728" w:rsidRPr="005C2C6E" w:rsidRDefault="00F715FD" w:rsidP="00FD2279">
      <w:pPr>
        <w:jc w:val="center"/>
        <w:rPr>
          <w:rFonts w:ascii="Segoe UI" w:hAnsi="Segoe UI" w:cs="Segoe UI"/>
          <w:b/>
        </w:rPr>
      </w:pPr>
      <w:r w:rsidRPr="005C2C6E">
        <w:rPr>
          <w:rFonts w:ascii="Segoe UI" w:hAnsi="Segoe UI" w:cs="Segoe UI"/>
          <w:b/>
        </w:rPr>
        <w:t>Performance Report</w:t>
      </w:r>
      <w:r w:rsidR="00C40728" w:rsidRPr="005C2C6E">
        <w:rPr>
          <w:rFonts w:ascii="Segoe UI" w:hAnsi="Segoe UI" w:cs="Segoe UI"/>
          <w:b/>
        </w:rPr>
        <w:t xml:space="preserve"> </w:t>
      </w:r>
    </w:p>
    <w:p w:rsidR="00F715FD" w:rsidRPr="005C2C6E" w:rsidRDefault="00C40728" w:rsidP="00FD2279">
      <w:pPr>
        <w:jc w:val="center"/>
        <w:rPr>
          <w:rFonts w:ascii="Segoe UI" w:hAnsi="Segoe UI" w:cs="Segoe UI"/>
          <w:b/>
        </w:rPr>
      </w:pPr>
      <w:r w:rsidRPr="005C2C6E">
        <w:rPr>
          <w:rFonts w:ascii="Segoe UI" w:hAnsi="Segoe UI" w:cs="Segoe UI"/>
          <w:b/>
        </w:rPr>
        <w:t>(</w:t>
      </w:r>
      <w:r w:rsidR="00C855F5" w:rsidRPr="005C2C6E">
        <w:rPr>
          <w:rFonts w:ascii="Segoe UI" w:hAnsi="Segoe UI" w:cs="Segoe UI"/>
          <w:b/>
        </w:rPr>
        <w:t>October 2017</w:t>
      </w:r>
      <w:r w:rsidR="00C6357C" w:rsidRPr="005C2C6E">
        <w:rPr>
          <w:rFonts w:ascii="Segoe UI" w:hAnsi="Segoe UI" w:cs="Segoe UI"/>
          <w:b/>
        </w:rPr>
        <w:t xml:space="preserve"> </w:t>
      </w:r>
      <w:r w:rsidR="00C855F5" w:rsidRPr="005C2C6E">
        <w:rPr>
          <w:rFonts w:ascii="Segoe UI" w:hAnsi="Segoe UI" w:cs="Segoe UI"/>
          <w:b/>
        </w:rPr>
        <w:t>–</w:t>
      </w:r>
      <w:r w:rsidR="00C6357C" w:rsidRPr="005C2C6E">
        <w:rPr>
          <w:rFonts w:ascii="Segoe UI" w:hAnsi="Segoe UI" w:cs="Segoe UI"/>
          <w:b/>
        </w:rPr>
        <w:t xml:space="preserve"> </w:t>
      </w:r>
      <w:r w:rsidR="00F90501">
        <w:rPr>
          <w:rFonts w:ascii="Segoe UI" w:hAnsi="Segoe UI" w:cs="Segoe UI"/>
          <w:b/>
        </w:rPr>
        <w:t>December 2017</w:t>
      </w:r>
      <w:r w:rsidR="009B1280" w:rsidRPr="005C2C6E">
        <w:rPr>
          <w:rFonts w:ascii="Segoe UI" w:hAnsi="Segoe UI" w:cs="Segoe UI"/>
          <w:b/>
        </w:rPr>
        <w:t>)</w:t>
      </w:r>
      <w:r w:rsidR="00F715FD" w:rsidRPr="005C2C6E">
        <w:rPr>
          <w:rFonts w:ascii="Segoe UI" w:hAnsi="Segoe UI" w:cs="Segoe UI"/>
          <w:b/>
        </w:rPr>
        <w:t xml:space="preserve">  </w:t>
      </w:r>
    </w:p>
    <w:p w:rsidR="005D3499" w:rsidRPr="005C2C6E" w:rsidRDefault="005D3499">
      <w:pPr>
        <w:rPr>
          <w:rFonts w:ascii="Segoe UI" w:hAnsi="Segoe UI" w:cs="Segoe UI"/>
          <w:b/>
        </w:rPr>
      </w:pPr>
    </w:p>
    <w:p w:rsidR="00241A66" w:rsidRPr="005C2C6E" w:rsidRDefault="00F715FD" w:rsidP="00241A66">
      <w:pPr>
        <w:jc w:val="center"/>
        <w:rPr>
          <w:rFonts w:ascii="Segoe UI" w:hAnsi="Segoe UI" w:cs="Segoe UI"/>
        </w:rPr>
      </w:pPr>
      <w:r w:rsidRPr="005C2C6E">
        <w:rPr>
          <w:rFonts w:ascii="Segoe UI" w:hAnsi="Segoe UI" w:cs="Segoe UI"/>
          <w:b/>
          <w:u w:val="single"/>
        </w:rPr>
        <w:t xml:space="preserve">For: </w:t>
      </w:r>
      <w:r w:rsidR="00292613" w:rsidRPr="005C2C6E">
        <w:rPr>
          <w:rFonts w:ascii="Segoe UI" w:hAnsi="Segoe UI" w:cs="Segoe UI"/>
          <w:b/>
          <w:u w:val="single"/>
        </w:rPr>
        <w:t>Information</w:t>
      </w:r>
    </w:p>
    <w:p w:rsidR="00292613" w:rsidRPr="005C2C6E" w:rsidRDefault="00292613">
      <w:pPr>
        <w:rPr>
          <w:rFonts w:ascii="Segoe UI" w:hAnsi="Segoe UI" w:cs="Segoe UI"/>
          <w:b/>
        </w:rPr>
      </w:pPr>
    </w:p>
    <w:p w:rsidR="007A2CF0" w:rsidRPr="005C2C6E" w:rsidRDefault="007A2CF0" w:rsidP="007A2CF0">
      <w:pPr>
        <w:jc w:val="both"/>
        <w:rPr>
          <w:rFonts w:ascii="Segoe UI" w:hAnsi="Segoe UI" w:cs="Segoe UI"/>
          <w:b/>
        </w:rPr>
      </w:pPr>
      <w:r w:rsidRPr="005C2C6E">
        <w:rPr>
          <w:rFonts w:ascii="Segoe UI" w:hAnsi="Segoe UI" w:cs="Segoe UI"/>
          <w:b/>
        </w:rPr>
        <w:t>Executive Summary</w:t>
      </w:r>
    </w:p>
    <w:p w:rsidR="007A2CF0" w:rsidRPr="005C2C6E" w:rsidRDefault="007A2CF0" w:rsidP="007A2CF0">
      <w:pPr>
        <w:jc w:val="both"/>
        <w:rPr>
          <w:rFonts w:ascii="Segoe UI" w:hAnsi="Segoe UI" w:cs="Segoe UI"/>
          <w:i/>
        </w:rPr>
      </w:pPr>
    </w:p>
    <w:p w:rsidR="00533F41" w:rsidRPr="005C2C6E" w:rsidRDefault="00C40728" w:rsidP="007A2CF0">
      <w:pPr>
        <w:jc w:val="both"/>
        <w:rPr>
          <w:rFonts w:ascii="Arial" w:hAnsi="Arial" w:cs="Arial"/>
        </w:rPr>
      </w:pPr>
      <w:r w:rsidRPr="005C2C6E">
        <w:rPr>
          <w:rFonts w:ascii="Arial" w:hAnsi="Arial" w:cs="Arial"/>
        </w:rPr>
        <w:t>This</w:t>
      </w:r>
      <w:r w:rsidR="009B1280" w:rsidRPr="005C2C6E">
        <w:rPr>
          <w:rFonts w:ascii="Arial" w:hAnsi="Arial" w:cs="Arial"/>
        </w:rPr>
        <w:t xml:space="preserve"> report provides </w:t>
      </w:r>
      <w:r w:rsidR="00276E7F" w:rsidRPr="005C2C6E">
        <w:rPr>
          <w:rFonts w:ascii="Arial" w:hAnsi="Arial" w:cs="Arial"/>
        </w:rPr>
        <w:t>a consolidated</w:t>
      </w:r>
      <w:r w:rsidR="009B1280" w:rsidRPr="005C2C6E">
        <w:rPr>
          <w:rFonts w:ascii="Arial" w:hAnsi="Arial" w:cs="Arial"/>
        </w:rPr>
        <w:t xml:space="preserve"> view of the Trusts performance against both national and </w:t>
      </w:r>
      <w:r w:rsidRPr="005C2C6E">
        <w:rPr>
          <w:rFonts w:ascii="Arial" w:hAnsi="Arial" w:cs="Arial"/>
        </w:rPr>
        <w:t>local (contracted) indicators</w:t>
      </w:r>
      <w:r w:rsidR="00276E7F" w:rsidRPr="005C2C6E">
        <w:rPr>
          <w:rFonts w:ascii="Arial" w:hAnsi="Arial" w:cs="Arial"/>
        </w:rPr>
        <w:t xml:space="preserve"> for </w:t>
      </w:r>
      <w:r w:rsidR="00C855F5" w:rsidRPr="005C2C6E">
        <w:rPr>
          <w:rFonts w:ascii="Arial" w:hAnsi="Arial" w:cs="Arial"/>
        </w:rPr>
        <w:t>October 20</w:t>
      </w:r>
      <w:r w:rsidR="009C1F87" w:rsidRPr="005C2C6E">
        <w:rPr>
          <w:rFonts w:ascii="Arial" w:hAnsi="Arial" w:cs="Arial"/>
        </w:rPr>
        <w:t>17</w:t>
      </w:r>
      <w:r w:rsidR="00276E7F" w:rsidRPr="005C2C6E">
        <w:rPr>
          <w:rFonts w:ascii="Arial" w:hAnsi="Arial" w:cs="Arial"/>
        </w:rPr>
        <w:t xml:space="preserve"> – </w:t>
      </w:r>
      <w:r w:rsidR="00F90501">
        <w:rPr>
          <w:rFonts w:ascii="Arial" w:hAnsi="Arial" w:cs="Arial"/>
        </w:rPr>
        <w:t>December 2017</w:t>
      </w:r>
      <w:r w:rsidRPr="005C2C6E">
        <w:rPr>
          <w:rFonts w:ascii="Arial" w:hAnsi="Arial" w:cs="Arial"/>
        </w:rPr>
        <w:t>.  A</w:t>
      </w:r>
      <w:r w:rsidR="009B1280" w:rsidRPr="005C2C6E">
        <w:rPr>
          <w:rFonts w:ascii="Arial" w:hAnsi="Arial" w:cs="Arial"/>
        </w:rPr>
        <w:t xml:space="preserve"> </w:t>
      </w:r>
      <w:bookmarkStart w:id="0" w:name="_GoBack"/>
      <w:bookmarkEnd w:id="0"/>
      <w:r w:rsidR="009B1280" w:rsidRPr="005C2C6E">
        <w:rPr>
          <w:rFonts w:ascii="Arial" w:hAnsi="Arial" w:cs="Arial"/>
        </w:rPr>
        <w:t>standard scorecard approach</w:t>
      </w:r>
      <w:r w:rsidRPr="005C2C6E">
        <w:rPr>
          <w:rFonts w:ascii="Arial" w:hAnsi="Arial" w:cs="Arial"/>
        </w:rPr>
        <w:t xml:space="preserve"> </w:t>
      </w:r>
      <w:r w:rsidR="005D20D4" w:rsidRPr="005C2C6E">
        <w:rPr>
          <w:rFonts w:ascii="Arial" w:hAnsi="Arial" w:cs="Arial"/>
        </w:rPr>
        <w:t>is used</w:t>
      </w:r>
      <w:r w:rsidRPr="005C2C6E">
        <w:rPr>
          <w:rFonts w:ascii="Arial" w:hAnsi="Arial" w:cs="Arial"/>
        </w:rPr>
        <w:t xml:space="preserve"> for all reporting within the Trust</w:t>
      </w:r>
      <w:r w:rsidR="009B1280" w:rsidRPr="005C2C6E">
        <w:rPr>
          <w:rFonts w:ascii="Arial" w:hAnsi="Arial" w:cs="Arial"/>
        </w:rPr>
        <w:t xml:space="preserve"> and </w:t>
      </w:r>
      <w:r w:rsidRPr="005C2C6E">
        <w:rPr>
          <w:rFonts w:ascii="Arial" w:hAnsi="Arial" w:cs="Arial"/>
        </w:rPr>
        <w:t xml:space="preserve">compliance against </w:t>
      </w:r>
      <w:r w:rsidR="007C5E98" w:rsidRPr="005C2C6E">
        <w:rPr>
          <w:rFonts w:ascii="Arial" w:hAnsi="Arial" w:cs="Arial"/>
        </w:rPr>
        <w:t>targets are</w:t>
      </w:r>
      <w:r w:rsidR="009B1280" w:rsidRPr="005C2C6E">
        <w:rPr>
          <w:rFonts w:ascii="Arial" w:hAnsi="Arial" w:cs="Arial"/>
        </w:rPr>
        <w:t xml:space="preserve"> measured using a RAG rating system.  This scoring system enables the performance team and operational services to identify areas for improvement and is supplemented by a narrative to explain any variation</w:t>
      </w:r>
      <w:r w:rsidR="007E3B7E" w:rsidRPr="005C2C6E">
        <w:rPr>
          <w:rFonts w:ascii="Arial" w:hAnsi="Arial" w:cs="Arial"/>
        </w:rPr>
        <w:t xml:space="preserve"> to targets</w:t>
      </w:r>
      <w:r w:rsidR="009B1280" w:rsidRPr="005C2C6E">
        <w:rPr>
          <w:rFonts w:ascii="Arial" w:hAnsi="Arial" w:cs="Arial"/>
        </w:rPr>
        <w:t xml:space="preserve"> and action plans. </w:t>
      </w:r>
      <w:r w:rsidRPr="005C2C6E">
        <w:rPr>
          <w:rFonts w:ascii="Arial" w:hAnsi="Arial" w:cs="Arial"/>
        </w:rPr>
        <w:t xml:space="preserve">  Performance reporting is</w:t>
      </w:r>
      <w:r w:rsidR="00276E7F" w:rsidRPr="005C2C6E">
        <w:rPr>
          <w:rFonts w:ascii="Arial" w:hAnsi="Arial" w:cs="Arial"/>
        </w:rPr>
        <w:t xml:space="preserve"> presented monthly and</w:t>
      </w:r>
      <w:r w:rsidRPr="005C2C6E">
        <w:rPr>
          <w:rFonts w:ascii="Arial" w:hAnsi="Arial" w:cs="Arial"/>
        </w:rPr>
        <w:t xml:space="preserve"> </w:t>
      </w:r>
      <w:proofErr w:type="spellStart"/>
      <w:r w:rsidRPr="005C2C6E">
        <w:rPr>
          <w:rFonts w:ascii="Arial" w:hAnsi="Arial" w:cs="Arial"/>
        </w:rPr>
        <w:t>scrutinised</w:t>
      </w:r>
      <w:proofErr w:type="spellEnd"/>
      <w:r w:rsidRPr="005C2C6E">
        <w:rPr>
          <w:rFonts w:ascii="Arial" w:hAnsi="Arial" w:cs="Arial"/>
        </w:rPr>
        <w:t xml:space="preserve"> by various leadership and oversight committees up to and including the Trust Board</w:t>
      </w:r>
      <w:r w:rsidR="00276E7F" w:rsidRPr="005C2C6E">
        <w:rPr>
          <w:rFonts w:ascii="Arial" w:hAnsi="Arial" w:cs="Arial"/>
        </w:rPr>
        <w:t xml:space="preserve"> and C</w:t>
      </w:r>
      <w:r w:rsidRPr="005C2C6E">
        <w:rPr>
          <w:rFonts w:ascii="Arial" w:hAnsi="Arial" w:cs="Arial"/>
        </w:rPr>
        <w:t>ommissioners.</w:t>
      </w:r>
      <w:r w:rsidR="008620A8" w:rsidRPr="005C2C6E">
        <w:rPr>
          <w:rFonts w:ascii="Arial" w:hAnsi="Arial" w:cs="Arial"/>
        </w:rPr>
        <w:t xml:space="preserve">  See </w:t>
      </w:r>
      <w:r w:rsidR="008620A8" w:rsidRPr="005C2C6E">
        <w:rPr>
          <w:rFonts w:ascii="Arial" w:hAnsi="Arial" w:cs="Arial"/>
          <w:b/>
        </w:rPr>
        <w:t>Appendix 1</w:t>
      </w:r>
      <w:r w:rsidR="008620A8" w:rsidRPr="005C2C6E">
        <w:rPr>
          <w:rFonts w:ascii="Arial" w:hAnsi="Arial" w:cs="Arial"/>
        </w:rPr>
        <w:t xml:space="preserve"> for a diagram showing the Performance Governance Process.</w:t>
      </w:r>
    </w:p>
    <w:p w:rsidR="00533F41" w:rsidRPr="005C2C6E" w:rsidRDefault="00533F41" w:rsidP="007A2CF0">
      <w:pPr>
        <w:jc w:val="both"/>
        <w:rPr>
          <w:rFonts w:ascii="Arial" w:hAnsi="Arial" w:cs="Arial"/>
        </w:rPr>
      </w:pPr>
    </w:p>
    <w:p w:rsidR="00E94A21" w:rsidRPr="005C2C6E" w:rsidRDefault="00E94A21" w:rsidP="00E94A21">
      <w:pPr>
        <w:jc w:val="both"/>
        <w:rPr>
          <w:rFonts w:ascii="Arial" w:hAnsi="Arial" w:cs="Arial"/>
        </w:rPr>
      </w:pPr>
      <w:r w:rsidRPr="005C2C6E">
        <w:rPr>
          <w:rFonts w:ascii="Arial" w:hAnsi="Arial" w:cs="Arial"/>
        </w:rPr>
        <w:t xml:space="preserve">Since </w:t>
      </w:r>
      <w:r w:rsidR="003B4537" w:rsidRPr="005C2C6E">
        <w:rPr>
          <w:rFonts w:ascii="Arial" w:hAnsi="Arial" w:cs="Arial"/>
        </w:rPr>
        <w:t>October</w:t>
      </w:r>
      <w:r w:rsidRPr="005C2C6E">
        <w:rPr>
          <w:rFonts w:ascii="Arial" w:hAnsi="Arial" w:cs="Arial"/>
        </w:rPr>
        <w:t xml:space="preserve"> 201</w:t>
      </w:r>
      <w:r w:rsidR="00BE066C" w:rsidRPr="005C2C6E">
        <w:rPr>
          <w:rFonts w:ascii="Arial" w:hAnsi="Arial" w:cs="Arial"/>
        </w:rPr>
        <w:t>6</w:t>
      </w:r>
      <w:r w:rsidRPr="005C2C6E">
        <w:rPr>
          <w:rFonts w:ascii="Arial" w:hAnsi="Arial" w:cs="Arial"/>
        </w:rPr>
        <w:t xml:space="preserve">, the Trust has either met or exceeded circa. </w:t>
      </w:r>
      <w:r w:rsidR="009155CE" w:rsidRPr="005C2C6E">
        <w:rPr>
          <w:rFonts w:ascii="Arial" w:hAnsi="Arial" w:cs="Arial"/>
        </w:rPr>
        <w:t>90</w:t>
      </w:r>
      <w:r w:rsidRPr="005C2C6E">
        <w:rPr>
          <w:rFonts w:ascii="Arial" w:hAnsi="Arial" w:cs="Arial"/>
        </w:rPr>
        <w:t xml:space="preserve">% of the performance indicators reported.  A diagram showing Trust performance over time is included in </w:t>
      </w:r>
      <w:r w:rsidRPr="005C2C6E">
        <w:rPr>
          <w:rFonts w:ascii="Arial" w:hAnsi="Arial" w:cs="Arial"/>
          <w:b/>
        </w:rPr>
        <w:t>Fig 1</w:t>
      </w:r>
      <w:r w:rsidRPr="005C2C6E">
        <w:rPr>
          <w:rFonts w:ascii="Arial" w:hAnsi="Arial" w:cs="Arial"/>
        </w:rPr>
        <w:t>.  This demonstrates that the Trust is consistently delivering a strong performance</w:t>
      </w:r>
      <w:r w:rsidR="004B24B2" w:rsidRPr="005C2C6E">
        <w:rPr>
          <w:rFonts w:ascii="Arial" w:hAnsi="Arial" w:cs="Arial"/>
        </w:rPr>
        <w:t xml:space="preserve"> against contractual targets set by Clinical Commissioning Groups (CCG’s)</w:t>
      </w:r>
      <w:r w:rsidRPr="005C2C6E">
        <w:rPr>
          <w:rFonts w:ascii="Arial" w:hAnsi="Arial" w:cs="Arial"/>
        </w:rPr>
        <w:t xml:space="preserve">. </w:t>
      </w:r>
    </w:p>
    <w:p w:rsidR="00E94A21" w:rsidRPr="005C2C6E" w:rsidRDefault="00E94A21" w:rsidP="007A2CF0">
      <w:pPr>
        <w:jc w:val="both"/>
        <w:rPr>
          <w:rFonts w:ascii="Arial" w:hAnsi="Arial" w:cs="Arial"/>
        </w:rPr>
      </w:pPr>
    </w:p>
    <w:p w:rsidR="009B1280" w:rsidRPr="005C2C6E" w:rsidRDefault="00533F41" w:rsidP="007A2CF0">
      <w:pPr>
        <w:jc w:val="both"/>
        <w:rPr>
          <w:rFonts w:ascii="Arial" w:hAnsi="Arial" w:cs="Arial"/>
        </w:rPr>
      </w:pPr>
      <w:r w:rsidRPr="005C2C6E">
        <w:rPr>
          <w:rFonts w:ascii="Arial" w:hAnsi="Arial" w:cs="Arial"/>
        </w:rPr>
        <w:t xml:space="preserve">In addition to our local contracted commitments with commissioners, </w:t>
      </w:r>
      <w:r w:rsidR="00C40728" w:rsidRPr="005C2C6E">
        <w:rPr>
          <w:rFonts w:ascii="Arial" w:hAnsi="Arial" w:cs="Arial"/>
        </w:rPr>
        <w:t>the Trust is required to report against t</w:t>
      </w:r>
      <w:r w:rsidRPr="005C2C6E">
        <w:rPr>
          <w:rFonts w:ascii="Arial" w:hAnsi="Arial" w:cs="Arial"/>
        </w:rPr>
        <w:t>he</w:t>
      </w:r>
      <w:r w:rsidR="00C40728" w:rsidRPr="005C2C6E">
        <w:rPr>
          <w:rFonts w:ascii="Arial" w:hAnsi="Arial" w:cs="Arial"/>
        </w:rPr>
        <w:t xml:space="preserve"> nationally mandated</w:t>
      </w:r>
      <w:r w:rsidRPr="005C2C6E">
        <w:rPr>
          <w:rFonts w:ascii="Arial" w:hAnsi="Arial" w:cs="Arial"/>
        </w:rPr>
        <w:t xml:space="preserve"> NHS Single Oversight Framework</w:t>
      </w:r>
      <w:r w:rsidR="00C40728" w:rsidRPr="005C2C6E">
        <w:rPr>
          <w:rFonts w:ascii="Arial" w:hAnsi="Arial" w:cs="Arial"/>
        </w:rPr>
        <w:t>.  These</w:t>
      </w:r>
      <w:r w:rsidRPr="005C2C6E">
        <w:rPr>
          <w:rFonts w:ascii="Arial" w:hAnsi="Arial" w:cs="Arial"/>
        </w:rPr>
        <w:t xml:space="preserve"> indicators hav</w:t>
      </w:r>
      <w:r w:rsidR="00C40728" w:rsidRPr="005C2C6E">
        <w:rPr>
          <w:rFonts w:ascii="Arial" w:hAnsi="Arial" w:cs="Arial"/>
        </w:rPr>
        <w:t xml:space="preserve">e also been included within our reports </w:t>
      </w:r>
      <w:r w:rsidR="00EE17F7" w:rsidRPr="005C2C6E">
        <w:rPr>
          <w:rFonts w:ascii="Arial" w:hAnsi="Arial" w:cs="Arial"/>
        </w:rPr>
        <w:t>so that there is a</w:t>
      </w:r>
      <w:r w:rsidRPr="005C2C6E">
        <w:rPr>
          <w:rFonts w:ascii="Arial" w:hAnsi="Arial" w:cs="Arial"/>
        </w:rPr>
        <w:t xml:space="preserve"> consistent format both within and external to the Trust. </w:t>
      </w:r>
      <w:r w:rsidR="009B1280" w:rsidRPr="005C2C6E">
        <w:rPr>
          <w:rFonts w:ascii="Arial" w:hAnsi="Arial" w:cs="Arial"/>
        </w:rPr>
        <w:t xml:space="preserve"> </w:t>
      </w:r>
      <w:r w:rsidRPr="005C2C6E">
        <w:rPr>
          <w:rFonts w:ascii="Arial" w:hAnsi="Arial" w:cs="Arial"/>
        </w:rPr>
        <w:t>Furt</w:t>
      </w:r>
      <w:r w:rsidR="00C40728" w:rsidRPr="005C2C6E">
        <w:rPr>
          <w:rFonts w:ascii="Arial" w:hAnsi="Arial" w:cs="Arial"/>
        </w:rPr>
        <w:t xml:space="preserve">her work to develop </w:t>
      </w:r>
      <w:r w:rsidR="00656584" w:rsidRPr="005C2C6E">
        <w:rPr>
          <w:rFonts w:ascii="Arial" w:hAnsi="Arial" w:cs="Arial"/>
        </w:rPr>
        <w:t>our reporting in this area</w:t>
      </w:r>
      <w:r w:rsidR="00C40728" w:rsidRPr="005C2C6E">
        <w:rPr>
          <w:rFonts w:ascii="Arial" w:hAnsi="Arial" w:cs="Arial"/>
        </w:rPr>
        <w:t xml:space="preserve"> continues</w:t>
      </w:r>
      <w:r w:rsidRPr="005C2C6E">
        <w:rPr>
          <w:rFonts w:ascii="Arial" w:hAnsi="Arial" w:cs="Arial"/>
        </w:rPr>
        <w:t>.</w:t>
      </w:r>
    </w:p>
    <w:p w:rsidR="009B1280" w:rsidRPr="005C2C6E" w:rsidRDefault="009B1280" w:rsidP="007A2CF0">
      <w:pPr>
        <w:jc w:val="both"/>
        <w:rPr>
          <w:rFonts w:ascii="Arial" w:hAnsi="Arial" w:cs="Arial"/>
        </w:rPr>
      </w:pPr>
    </w:p>
    <w:p w:rsidR="0093333D" w:rsidRPr="005C2C6E" w:rsidRDefault="0093333D" w:rsidP="007A2CF0">
      <w:pPr>
        <w:jc w:val="both"/>
        <w:rPr>
          <w:rFonts w:ascii="Arial" w:hAnsi="Arial" w:cs="Arial"/>
        </w:rPr>
      </w:pPr>
    </w:p>
    <w:p w:rsidR="0093333D" w:rsidRPr="005C2C6E" w:rsidRDefault="0093333D" w:rsidP="0093333D">
      <w:pPr>
        <w:jc w:val="both"/>
        <w:rPr>
          <w:rFonts w:ascii="Arial" w:hAnsi="Arial" w:cs="Arial"/>
        </w:rPr>
      </w:pPr>
    </w:p>
    <w:p w:rsidR="0093333D" w:rsidRPr="005C2C6E" w:rsidRDefault="0093333D" w:rsidP="0093333D">
      <w:pPr>
        <w:jc w:val="both"/>
        <w:rPr>
          <w:rFonts w:ascii="Arial" w:hAnsi="Arial" w:cs="Arial"/>
        </w:rPr>
      </w:pPr>
    </w:p>
    <w:p w:rsidR="0093333D" w:rsidRDefault="0093333D" w:rsidP="0093333D">
      <w:pPr>
        <w:jc w:val="both"/>
        <w:rPr>
          <w:rFonts w:ascii="Arial" w:hAnsi="Arial" w:cs="Arial"/>
          <w:b/>
        </w:rPr>
      </w:pPr>
      <w:r w:rsidRPr="005C2C6E">
        <w:rPr>
          <w:rFonts w:ascii="Arial" w:hAnsi="Arial" w:cs="Arial"/>
          <w:b/>
        </w:rPr>
        <w:lastRenderedPageBreak/>
        <w:t>Fig 1.</w:t>
      </w:r>
      <w:r w:rsidR="00C40728" w:rsidRPr="005C2C6E">
        <w:rPr>
          <w:rFonts w:ascii="Arial" w:hAnsi="Arial" w:cs="Arial"/>
          <w:b/>
        </w:rPr>
        <w:t xml:space="preserve"> Compliance against overall contracted targets</w:t>
      </w:r>
      <w:r w:rsidR="003B4537" w:rsidRPr="005C2C6E">
        <w:rPr>
          <w:rFonts w:ascii="Arial" w:hAnsi="Arial" w:cs="Arial"/>
          <w:b/>
        </w:rPr>
        <w:t>:</w:t>
      </w:r>
    </w:p>
    <w:p w:rsidR="00F90501" w:rsidRDefault="00F90501" w:rsidP="0093333D">
      <w:pPr>
        <w:jc w:val="both"/>
        <w:rPr>
          <w:rFonts w:ascii="Arial" w:hAnsi="Arial" w:cs="Arial"/>
          <w:b/>
        </w:rPr>
      </w:pPr>
    </w:p>
    <w:p w:rsidR="00F90501" w:rsidRPr="005C2C6E" w:rsidRDefault="00F90501" w:rsidP="00F90501">
      <w:pPr>
        <w:jc w:val="center"/>
        <w:rPr>
          <w:rFonts w:ascii="Arial" w:hAnsi="Arial" w:cs="Arial"/>
          <w:b/>
        </w:rPr>
      </w:pPr>
      <w:r w:rsidRPr="00F90501">
        <w:rPr>
          <w:noProof/>
          <w:lang w:val="en-GB" w:eastAsia="en-GB"/>
        </w:rPr>
        <w:drawing>
          <wp:inline distT="0" distB="0" distL="0" distR="0">
            <wp:extent cx="4625163" cy="27487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8813" cy="2750889"/>
                    </a:xfrm>
                    <a:prstGeom prst="rect">
                      <a:avLst/>
                    </a:prstGeom>
                    <a:noFill/>
                    <a:ln>
                      <a:noFill/>
                    </a:ln>
                  </pic:spPr>
                </pic:pic>
              </a:graphicData>
            </a:graphic>
          </wp:inline>
        </w:drawing>
      </w:r>
    </w:p>
    <w:p w:rsidR="003B4537" w:rsidRPr="005C2C6E" w:rsidRDefault="003B4537" w:rsidP="0093333D">
      <w:pPr>
        <w:jc w:val="both"/>
        <w:rPr>
          <w:rFonts w:ascii="Arial" w:hAnsi="Arial" w:cs="Arial"/>
          <w:b/>
        </w:rPr>
      </w:pPr>
    </w:p>
    <w:p w:rsidR="003B4537" w:rsidRPr="005C2C6E" w:rsidRDefault="00F90501" w:rsidP="003B4537">
      <w:pPr>
        <w:jc w:val="center"/>
        <w:rPr>
          <w:rFonts w:ascii="Arial" w:hAnsi="Arial" w:cs="Arial"/>
          <w:b/>
        </w:rPr>
      </w:pPr>
      <w:r w:rsidRPr="00F90501">
        <w:rPr>
          <w:noProof/>
          <w:lang w:val="en-GB" w:eastAsia="en-GB"/>
        </w:rPr>
        <w:drawing>
          <wp:inline distT="0" distB="0" distL="0" distR="0">
            <wp:extent cx="4562404" cy="245581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5002" cy="2462592"/>
                    </a:xfrm>
                    <a:prstGeom prst="rect">
                      <a:avLst/>
                    </a:prstGeom>
                    <a:noFill/>
                    <a:ln>
                      <a:noFill/>
                    </a:ln>
                  </pic:spPr>
                </pic:pic>
              </a:graphicData>
            </a:graphic>
          </wp:inline>
        </w:drawing>
      </w:r>
    </w:p>
    <w:p w:rsidR="0093333D" w:rsidRPr="005C2C6E" w:rsidRDefault="0093333D" w:rsidP="00C6357C">
      <w:pPr>
        <w:jc w:val="center"/>
        <w:rPr>
          <w:noProof/>
          <w:lang w:val="en-GB" w:eastAsia="en-GB"/>
        </w:rPr>
      </w:pPr>
    </w:p>
    <w:p w:rsidR="00C40728" w:rsidRPr="005C2C6E" w:rsidRDefault="00C6357C" w:rsidP="0093333D">
      <w:pPr>
        <w:jc w:val="both"/>
        <w:rPr>
          <w:rFonts w:ascii="Arial" w:hAnsi="Arial" w:cs="Arial"/>
        </w:rPr>
      </w:pPr>
      <w:r w:rsidRPr="005C2C6E">
        <w:rPr>
          <w:rFonts w:ascii="Arial" w:hAnsi="Arial" w:cs="Arial"/>
        </w:rPr>
        <w:t>At an individual Directorate level:</w:t>
      </w:r>
    </w:p>
    <w:p w:rsidR="00C6357C" w:rsidRPr="00C57358" w:rsidRDefault="00C6357C" w:rsidP="00C6357C">
      <w:pPr>
        <w:pStyle w:val="ListParagraph"/>
        <w:numPr>
          <w:ilvl w:val="0"/>
          <w:numId w:val="8"/>
        </w:numPr>
        <w:spacing w:before="300"/>
        <w:rPr>
          <w:rFonts w:ascii="Segoe UI" w:hAnsi="Segoe UI" w:cs="Segoe UI"/>
          <w:sz w:val="22"/>
        </w:rPr>
      </w:pPr>
      <w:r w:rsidRPr="00C57358">
        <w:rPr>
          <w:rFonts w:ascii="Segoe UI" w:hAnsi="Segoe UI" w:cs="Segoe UI"/>
          <w:b/>
          <w:sz w:val="22"/>
        </w:rPr>
        <w:t>Children and Young People (CYP) Directorate</w:t>
      </w:r>
      <w:r w:rsidR="00674B5D" w:rsidRPr="00C57358">
        <w:rPr>
          <w:rFonts w:ascii="Segoe UI" w:hAnsi="Segoe UI" w:cs="Segoe UI"/>
          <w:sz w:val="22"/>
        </w:rPr>
        <w:t xml:space="preserve"> performance has </w:t>
      </w:r>
      <w:r w:rsidR="003B4537" w:rsidRPr="00C57358">
        <w:rPr>
          <w:rFonts w:ascii="Segoe UI" w:hAnsi="Segoe UI" w:cs="Segoe UI"/>
          <w:sz w:val="22"/>
        </w:rPr>
        <w:t>remained consistently around 95</w:t>
      </w:r>
      <w:r w:rsidRPr="00C57358">
        <w:rPr>
          <w:rFonts w:ascii="Segoe UI" w:hAnsi="Segoe UI" w:cs="Segoe UI"/>
          <w:sz w:val="22"/>
        </w:rPr>
        <w:t>% since the start of the reporting year</w:t>
      </w:r>
      <w:r w:rsidR="00F90501" w:rsidRPr="00C57358">
        <w:rPr>
          <w:rFonts w:ascii="Segoe UI" w:hAnsi="Segoe UI" w:cs="Segoe UI"/>
          <w:sz w:val="22"/>
        </w:rPr>
        <w:t xml:space="preserve"> and has averaged 95% over Q3 </w:t>
      </w:r>
      <w:r w:rsidR="00674B5D" w:rsidRPr="00C57358">
        <w:rPr>
          <w:rFonts w:ascii="Segoe UI" w:hAnsi="Segoe UI" w:cs="Segoe UI"/>
          <w:sz w:val="22"/>
        </w:rPr>
        <w:t>(</w:t>
      </w:r>
      <w:r w:rsidR="003B4537" w:rsidRPr="00C57358">
        <w:rPr>
          <w:rFonts w:ascii="Segoe UI" w:hAnsi="Segoe UI" w:cs="Segoe UI"/>
          <w:sz w:val="22"/>
        </w:rPr>
        <w:t>October</w:t>
      </w:r>
      <w:r w:rsidR="00674B5D" w:rsidRPr="00C57358">
        <w:rPr>
          <w:rFonts w:ascii="Segoe UI" w:hAnsi="Segoe UI" w:cs="Segoe UI"/>
          <w:sz w:val="22"/>
        </w:rPr>
        <w:t xml:space="preserve"> – </w:t>
      </w:r>
      <w:r w:rsidR="00F90501" w:rsidRPr="00C57358">
        <w:rPr>
          <w:rFonts w:ascii="Segoe UI" w:hAnsi="Segoe UI" w:cs="Segoe UI"/>
          <w:sz w:val="22"/>
        </w:rPr>
        <w:t>December</w:t>
      </w:r>
      <w:r w:rsidR="00674B5D" w:rsidRPr="00C57358">
        <w:rPr>
          <w:rFonts w:ascii="Segoe UI" w:hAnsi="Segoe UI" w:cs="Segoe UI"/>
          <w:sz w:val="22"/>
        </w:rPr>
        <w:t>)</w:t>
      </w:r>
    </w:p>
    <w:p w:rsidR="00C6357C" w:rsidRPr="00C57358" w:rsidRDefault="00C6357C" w:rsidP="00C6357C">
      <w:pPr>
        <w:pStyle w:val="ListParagraph"/>
        <w:numPr>
          <w:ilvl w:val="0"/>
          <w:numId w:val="8"/>
        </w:numPr>
        <w:spacing w:before="300"/>
        <w:rPr>
          <w:rFonts w:ascii="Segoe UI" w:hAnsi="Segoe UI" w:cs="Segoe UI"/>
          <w:sz w:val="22"/>
        </w:rPr>
      </w:pPr>
      <w:r w:rsidRPr="00C57358">
        <w:rPr>
          <w:rFonts w:ascii="Segoe UI" w:hAnsi="Segoe UI" w:cs="Segoe UI"/>
          <w:b/>
          <w:sz w:val="22"/>
        </w:rPr>
        <w:t>Adults of Working Age (AWA) Directorate</w:t>
      </w:r>
      <w:r w:rsidRPr="00C57358">
        <w:rPr>
          <w:rFonts w:ascii="Segoe UI" w:hAnsi="Segoe UI" w:cs="Segoe UI"/>
          <w:sz w:val="22"/>
        </w:rPr>
        <w:t xml:space="preserve"> performance</w:t>
      </w:r>
      <w:r w:rsidR="003B4537" w:rsidRPr="00C57358">
        <w:rPr>
          <w:rFonts w:ascii="Segoe UI" w:hAnsi="Segoe UI" w:cs="Segoe UI"/>
          <w:sz w:val="22"/>
        </w:rPr>
        <w:t xml:space="preserve"> continues to improve from a position 58% late 2016 with an average of 75% year to date and 74% over the </w:t>
      </w:r>
      <w:r w:rsidR="00C57358" w:rsidRPr="00C57358">
        <w:rPr>
          <w:rFonts w:ascii="Segoe UI" w:hAnsi="Segoe UI" w:cs="Segoe UI"/>
          <w:sz w:val="22"/>
        </w:rPr>
        <w:t xml:space="preserve">Q3 </w:t>
      </w:r>
      <w:r w:rsidR="003B4537" w:rsidRPr="00C57358">
        <w:rPr>
          <w:rFonts w:ascii="Segoe UI" w:hAnsi="Segoe UI" w:cs="Segoe UI"/>
          <w:sz w:val="22"/>
        </w:rPr>
        <w:t xml:space="preserve">(October – </w:t>
      </w:r>
      <w:r w:rsidR="00C57358" w:rsidRPr="00C57358">
        <w:rPr>
          <w:rFonts w:ascii="Segoe UI" w:hAnsi="Segoe UI" w:cs="Segoe UI"/>
          <w:sz w:val="22"/>
        </w:rPr>
        <w:t>December</w:t>
      </w:r>
      <w:r w:rsidR="003B4537" w:rsidRPr="00C57358">
        <w:rPr>
          <w:rFonts w:ascii="Segoe UI" w:hAnsi="Segoe UI" w:cs="Segoe UI"/>
          <w:sz w:val="22"/>
        </w:rPr>
        <w:t>)</w:t>
      </w:r>
      <w:r w:rsidR="00674B5D" w:rsidRPr="00C57358">
        <w:rPr>
          <w:rFonts w:ascii="Segoe UI" w:hAnsi="Segoe UI" w:cs="Segoe UI"/>
          <w:sz w:val="22"/>
        </w:rPr>
        <w:t xml:space="preserve">.  </w:t>
      </w:r>
      <w:r w:rsidR="002432A2">
        <w:rPr>
          <w:rFonts w:ascii="Segoe UI" w:hAnsi="Segoe UI" w:cs="Segoe UI"/>
          <w:sz w:val="22"/>
        </w:rPr>
        <w:t xml:space="preserve"> </w:t>
      </w:r>
    </w:p>
    <w:p w:rsidR="00674B5D" w:rsidRDefault="00C6357C" w:rsidP="00C6357C">
      <w:pPr>
        <w:pStyle w:val="ListParagraph"/>
        <w:numPr>
          <w:ilvl w:val="0"/>
          <w:numId w:val="8"/>
        </w:numPr>
        <w:spacing w:before="300"/>
        <w:rPr>
          <w:rFonts w:ascii="Segoe UI" w:hAnsi="Segoe UI" w:cs="Segoe UI"/>
          <w:sz w:val="22"/>
        </w:rPr>
      </w:pPr>
      <w:r w:rsidRPr="00C57358">
        <w:rPr>
          <w:rFonts w:ascii="Segoe UI" w:hAnsi="Segoe UI" w:cs="Segoe UI"/>
          <w:b/>
          <w:sz w:val="22"/>
        </w:rPr>
        <w:t>Older People’s Directorate (OPD)</w:t>
      </w:r>
      <w:r w:rsidRPr="00C57358">
        <w:rPr>
          <w:rFonts w:ascii="Segoe UI" w:hAnsi="Segoe UI" w:cs="Segoe UI"/>
          <w:sz w:val="22"/>
        </w:rPr>
        <w:t xml:space="preserve"> </w:t>
      </w:r>
      <w:r w:rsidR="00722A2B" w:rsidRPr="00C57358">
        <w:rPr>
          <w:rFonts w:ascii="Segoe UI" w:hAnsi="Segoe UI" w:cs="Segoe UI"/>
          <w:sz w:val="22"/>
        </w:rPr>
        <w:t xml:space="preserve">Performance in Older People’s has improved with a </w:t>
      </w:r>
      <w:r w:rsidR="009155CE" w:rsidRPr="00C57358">
        <w:rPr>
          <w:rFonts w:ascii="Segoe UI" w:hAnsi="Segoe UI" w:cs="Segoe UI"/>
          <w:sz w:val="22"/>
        </w:rPr>
        <w:t xml:space="preserve">YTD </w:t>
      </w:r>
      <w:r w:rsidR="00722A2B" w:rsidRPr="00C57358">
        <w:rPr>
          <w:rFonts w:ascii="Segoe UI" w:hAnsi="Segoe UI" w:cs="Segoe UI"/>
          <w:sz w:val="22"/>
        </w:rPr>
        <w:t xml:space="preserve">position of 75% and </w:t>
      </w:r>
      <w:r w:rsidR="00C57358" w:rsidRPr="00C57358">
        <w:rPr>
          <w:rFonts w:ascii="Segoe UI" w:hAnsi="Segoe UI" w:cs="Segoe UI"/>
          <w:sz w:val="22"/>
        </w:rPr>
        <w:t>80</w:t>
      </w:r>
      <w:r w:rsidR="00722A2B" w:rsidRPr="00C57358">
        <w:rPr>
          <w:rFonts w:ascii="Segoe UI" w:hAnsi="Segoe UI" w:cs="Segoe UI"/>
          <w:sz w:val="22"/>
        </w:rPr>
        <w:t xml:space="preserve">% over </w:t>
      </w:r>
      <w:r w:rsidR="00C57358" w:rsidRPr="00C57358">
        <w:rPr>
          <w:rFonts w:ascii="Segoe UI" w:hAnsi="Segoe UI" w:cs="Segoe UI"/>
          <w:sz w:val="22"/>
        </w:rPr>
        <w:t>Q3</w:t>
      </w:r>
      <w:r w:rsidR="00722A2B" w:rsidRPr="00C57358">
        <w:rPr>
          <w:rFonts w:ascii="Segoe UI" w:hAnsi="Segoe UI" w:cs="Segoe UI"/>
          <w:sz w:val="22"/>
        </w:rPr>
        <w:t xml:space="preserve"> (October – </w:t>
      </w:r>
      <w:r w:rsidR="00C57358" w:rsidRPr="00C57358">
        <w:rPr>
          <w:rFonts w:ascii="Segoe UI" w:hAnsi="Segoe UI" w:cs="Segoe UI"/>
          <w:sz w:val="22"/>
        </w:rPr>
        <w:t>December</w:t>
      </w:r>
      <w:r w:rsidR="00722A2B" w:rsidRPr="00C57358">
        <w:rPr>
          <w:rFonts w:ascii="Segoe UI" w:hAnsi="Segoe UI" w:cs="Segoe UI"/>
          <w:sz w:val="22"/>
        </w:rPr>
        <w:t xml:space="preserve">).  </w:t>
      </w:r>
    </w:p>
    <w:p w:rsidR="00C57358" w:rsidRPr="00C57358" w:rsidRDefault="00C57358" w:rsidP="002432A2">
      <w:pPr>
        <w:spacing w:before="300"/>
        <w:jc w:val="center"/>
        <w:rPr>
          <w:rFonts w:ascii="Segoe UI" w:hAnsi="Segoe UI" w:cs="Segoe UI"/>
          <w:sz w:val="22"/>
        </w:rPr>
      </w:pPr>
      <w:r w:rsidRPr="00C57358">
        <w:rPr>
          <w:noProof/>
          <w:lang w:val="en-GB" w:eastAsia="en-GB"/>
        </w:rPr>
        <w:lastRenderedPageBreak/>
        <w:drawing>
          <wp:inline distT="0" distB="0" distL="0" distR="0">
            <wp:extent cx="4763386" cy="28098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1639" cy="2814671"/>
                    </a:xfrm>
                    <a:prstGeom prst="rect">
                      <a:avLst/>
                    </a:prstGeom>
                    <a:noFill/>
                    <a:ln>
                      <a:noFill/>
                    </a:ln>
                  </pic:spPr>
                </pic:pic>
              </a:graphicData>
            </a:graphic>
          </wp:inline>
        </w:drawing>
      </w:r>
    </w:p>
    <w:p w:rsidR="009B1280" w:rsidRPr="005C2C6E" w:rsidRDefault="0093333D" w:rsidP="007A2CF0">
      <w:pPr>
        <w:jc w:val="both"/>
        <w:rPr>
          <w:rFonts w:ascii="Arial" w:hAnsi="Arial" w:cs="Arial"/>
        </w:rPr>
      </w:pPr>
      <w:r w:rsidRPr="005C2C6E">
        <w:rPr>
          <w:rFonts w:ascii="Arial" w:hAnsi="Arial" w:cs="Arial"/>
        </w:rPr>
        <w:t xml:space="preserve">   </w:t>
      </w:r>
    </w:p>
    <w:p w:rsidR="00895A10" w:rsidRPr="005C2C6E" w:rsidRDefault="00895A10" w:rsidP="0093333D">
      <w:pPr>
        <w:jc w:val="both"/>
        <w:rPr>
          <w:rFonts w:ascii="Arial" w:hAnsi="Arial" w:cs="Arial"/>
        </w:rPr>
      </w:pPr>
      <w:r w:rsidRPr="005C2C6E">
        <w:rPr>
          <w:rFonts w:ascii="Arial" w:hAnsi="Arial" w:cs="Arial"/>
        </w:rPr>
        <w:t>Although the majority of performance indicators are being consistently achieved each month, the Trust continues to underperform in a small number of key areas.</w:t>
      </w:r>
    </w:p>
    <w:p w:rsidR="00895A10" w:rsidRPr="005C2C6E" w:rsidRDefault="00895A10" w:rsidP="0093333D">
      <w:pPr>
        <w:jc w:val="both"/>
        <w:rPr>
          <w:rFonts w:ascii="Arial" w:hAnsi="Arial" w:cs="Arial"/>
        </w:rPr>
      </w:pPr>
    </w:p>
    <w:p w:rsidR="005D20D4" w:rsidRPr="005C2C6E" w:rsidRDefault="005D20D4" w:rsidP="009869CE">
      <w:pPr>
        <w:jc w:val="both"/>
        <w:rPr>
          <w:rFonts w:ascii="Arial" w:hAnsi="Arial" w:cs="Arial"/>
          <w:b/>
        </w:rPr>
      </w:pPr>
      <w:r w:rsidRPr="005C2C6E">
        <w:rPr>
          <w:rFonts w:ascii="Arial" w:hAnsi="Arial" w:cs="Arial"/>
          <w:b/>
        </w:rPr>
        <w:t>Children &amp; Young People</w:t>
      </w:r>
    </w:p>
    <w:p w:rsidR="005D20D4" w:rsidRPr="005C2C6E" w:rsidRDefault="005D20D4" w:rsidP="009869CE">
      <w:pPr>
        <w:jc w:val="both"/>
        <w:rPr>
          <w:rFonts w:ascii="Arial" w:hAnsi="Arial" w:cs="Arial"/>
        </w:rPr>
      </w:pPr>
    </w:p>
    <w:p w:rsidR="008E27C9" w:rsidRPr="005C2C6E" w:rsidRDefault="008E27C9" w:rsidP="008E27C9">
      <w:pPr>
        <w:jc w:val="both"/>
        <w:rPr>
          <w:rFonts w:ascii="Arial" w:hAnsi="Arial" w:cs="Arial"/>
        </w:rPr>
      </w:pPr>
      <w:r w:rsidRPr="005C2C6E">
        <w:rPr>
          <w:rFonts w:ascii="Arial" w:hAnsi="Arial" w:cs="Arial"/>
        </w:rPr>
        <w:t>CYP</w:t>
      </w:r>
      <w:r w:rsidR="009155CE" w:rsidRPr="005C2C6E">
        <w:rPr>
          <w:rFonts w:ascii="Arial" w:hAnsi="Arial" w:cs="Arial"/>
        </w:rPr>
        <w:t xml:space="preserve"> has consistently achieved 95% compliance year to date.</w:t>
      </w:r>
      <w:r w:rsidRPr="005C2C6E">
        <w:rPr>
          <w:rFonts w:ascii="Arial" w:hAnsi="Arial" w:cs="Arial"/>
        </w:rPr>
        <w:t xml:space="preserve"> </w:t>
      </w:r>
    </w:p>
    <w:p w:rsidR="008E27C9" w:rsidRPr="005C2C6E" w:rsidRDefault="008E27C9" w:rsidP="005D20D4">
      <w:pPr>
        <w:jc w:val="both"/>
        <w:rPr>
          <w:rFonts w:ascii="Arial" w:hAnsi="Arial" w:cs="Arial"/>
        </w:rPr>
      </w:pPr>
    </w:p>
    <w:p w:rsidR="005D20D4" w:rsidRPr="005C2C6E" w:rsidRDefault="005D20D4" w:rsidP="005D20D4">
      <w:pPr>
        <w:jc w:val="both"/>
        <w:rPr>
          <w:rFonts w:ascii="Arial" w:hAnsi="Arial" w:cs="Arial"/>
        </w:rPr>
      </w:pPr>
      <w:r w:rsidRPr="005C2C6E">
        <w:rPr>
          <w:rFonts w:ascii="Arial" w:hAnsi="Arial" w:cs="Arial"/>
        </w:rPr>
        <w:t>In looking at the performance trends and identifying areas where further action is required, the following issues have been highlighted and are now overseen by the Operations Management Team:</w:t>
      </w:r>
    </w:p>
    <w:p w:rsidR="005D20D4" w:rsidRPr="005C2C6E" w:rsidRDefault="005D20D4" w:rsidP="005D20D4">
      <w:pPr>
        <w:jc w:val="both"/>
        <w:rPr>
          <w:rFonts w:ascii="Arial" w:hAnsi="Arial" w:cs="Arial"/>
        </w:rPr>
      </w:pPr>
    </w:p>
    <w:p w:rsidR="005D20D4" w:rsidRPr="005C2C6E" w:rsidRDefault="005D20D4" w:rsidP="005D20D4">
      <w:pPr>
        <w:pStyle w:val="ListParagraph"/>
        <w:numPr>
          <w:ilvl w:val="0"/>
          <w:numId w:val="9"/>
        </w:numPr>
        <w:jc w:val="both"/>
        <w:rPr>
          <w:rFonts w:ascii="Arial" w:hAnsi="Arial" w:cs="Arial"/>
          <w:b/>
        </w:rPr>
      </w:pPr>
      <w:r w:rsidRPr="005C2C6E">
        <w:rPr>
          <w:rFonts w:ascii="Arial" w:hAnsi="Arial" w:cs="Arial"/>
          <w:b/>
        </w:rPr>
        <w:t xml:space="preserve">Looked After Children (LAC) – </w:t>
      </w:r>
      <w:r w:rsidR="00284094" w:rsidRPr="005C2C6E">
        <w:rPr>
          <w:rFonts w:ascii="Arial" w:hAnsi="Arial" w:cs="Arial"/>
        </w:rPr>
        <w:t>There has been a decrease in performance reported in November and December</w:t>
      </w:r>
      <w:r w:rsidR="00284094" w:rsidRPr="005C2C6E">
        <w:rPr>
          <w:rFonts w:ascii="Arial" w:hAnsi="Arial" w:cs="Arial"/>
          <w:i/>
        </w:rPr>
        <w:t xml:space="preserve">.  </w:t>
      </w:r>
      <w:r w:rsidR="00284094" w:rsidRPr="005C2C6E">
        <w:rPr>
          <w:rFonts w:ascii="Arial" w:hAnsi="Arial" w:cs="Arial"/>
        </w:rPr>
        <w:t>This is due to a combination of young people refusing an annual health review and delays in placements out of County.  These have been reported to the commissioners in accordance with the agreed governance process</w:t>
      </w:r>
      <w:r w:rsidR="00C57358">
        <w:rPr>
          <w:rFonts w:ascii="Arial" w:hAnsi="Arial" w:cs="Arial"/>
        </w:rPr>
        <w:t xml:space="preserve"> </w:t>
      </w:r>
    </w:p>
    <w:p w:rsidR="005D20D4" w:rsidRPr="005C2C6E" w:rsidRDefault="005D20D4" w:rsidP="005D20D4">
      <w:pPr>
        <w:pStyle w:val="ListParagraph"/>
        <w:jc w:val="both"/>
        <w:rPr>
          <w:rFonts w:ascii="Arial" w:hAnsi="Arial" w:cs="Arial"/>
        </w:rPr>
      </w:pPr>
    </w:p>
    <w:p w:rsidR="005D20D4" w:rsidRPr="005C2C6E" w:rsidRDefault="005D20D4" w:rsidP="005D20D4">
      <w:pPr>
        <w:pStyle w:val="ListParagraph"/>
        <w:numPr>
          <w:ilvl w:val="0"/>
          <w:numId w:val="9"/>
        </w:numPr>
        <w:jc w:val="both"/>
        <w:rPr>
          <w:rFonts w:ascii="Arial" w:hAnsi="Arial" w:cs="Arial"/>
        </w:rPr>
      </w:pPr>
      <w:r w:rsidRPr="005C2C6E">
        <w:rPr>
          <w:rFonts w:ascii="Arial" w:hAnsi="Arial" w:cs="Arial"/>
          <w:b/>
        </w:rPr>
        <w:t xml:space="preserve">CAMHS 4 Week waiting times </w:t>
      </w:r>
      <w:r w:rsidRPr="005C2C6E">
        <w:rPr>
          <w:rFonts w:ascii="Arial" w:hAnsi="Arial" w:cs="Arial"/>
        </w:rPr>
        <w:t xml:space="preserve">– There continues to be issues with the 4 week waiting time targets, in particular in </w:t>
      </w:r>
      <w:r w:rsidR="00284094" w:rsidRPr="005C2C6E">
        <w:rPr>
          <w:rFonts w:ascii="Arial" w:hAnsi="Arial" w:cs="Arial"/>
        </w:rPr>
        <w:t>Buck</w:t>
      </w:r>
      <w:r w:rsidR="00C56F57" w:rsidRPr="005C2C6E">
        <w:rPr>
          <w:rFonts w:ascii="Arial" w:hAnsi="Arial" w:cs="Arial"/>
        </w:rPr>
        <w:t>inghamshire</w:t>
      </w:r>
      <w:r w:rsidR="00284094" w:rsidRPr="005C2C6E">
        <w:rPr>
          <w:rFonts w:ascii="Arial" w:hAnsi="Arial" w:cs="Arial"/>
        </w:rPr>
        <w:t xml:space="preserve"> and </w:t>
      </w:r>
      <w:r w:rsidRPr="005C2C6E">
        <w:rPr>
          <w:rFonts w:ascii="Arial" w:hAnsi="Arial" w:cs="Arial"/>
        </w:rPr>
        <w:t xml:space="preserve">Swindon, Wiltshire and Bath &amp; North East Somerset (BaNES).   </w:t>
      </w:r>
      <w:r w:rsidR="00284094" w:rsidRPr="005C2C6E">
        <w:rPr>
          <w:rFonts w:ascii="Arial" w:hAnsi="Arial" w:cs="Arial"/>
        </w:rPr>
        <w:t xml:space="preserve">In Swindon, Wiltshire and Bath &amp; North East Somerset (BaNES) transition to new service delivery models is </w:t>
      </w:r>
      <w:r w:rsidR="00C56F57" w:rsidRPr="005C2C6E">
        <w:rPr>
          <w:rFonts w:ascii="Arial" w:hAnsi="Arial" w:cs="Arial"/>
        </w:rPr>
        <w:t xml:space="preserve">due to go live in April 2018.  In Buckinghamshire the service is planning how best to deploy resource to ensure all areas of the County are compliant by April 2018. </w:t>
      </w:r>
    </w:p>
    <w:p w:rsidR="005D20D4" w:rsidRPr="005C2C6E" w:rsidRDefault="005D20D4" w:rsidP="005D20D4">
      <w:pPr>
        <w:pStyle w:val="ListParagraph"/>
        <w:jc w:val="both"/>
        <w:rPr>
          <w:rFonts w:ascii="Arial" w:hAnsi="Arial" w:cs="Arial"/>
        </w:rPr>
      </w:pPr>
    </w:p>
    <w:p w:rsidR="00F77DD1" w:rsidRPr="00C57358" w:rsidRDefault="005D20D4" w:rsidP="00EA2EB0">
      <w:pPr>
        <w:pStyle w:val="ListParagraph"/>
        <w:numPr>
          <w:ilvl w:val="0"/>
          <w:numId w:val="9"/>
        </w:numPr>
        <w:jc w:val="both"/>
        <w:rPr>
          <w:rFonts w:ascii="Arial" w:hAnsi="Arial" w:cs="Arial"/>
        </w:rPr>
      </w:pPr>
      <w:r w:rsidRPr="00C57358">
        <w:rPr>
          <w:rFonts w:ascii="Arial" w:hAnsi="Arial" w:cs="Arial"/>
          <w:b/>
        </w:rPr>
        <w:t>CAMHS 12 Week waiting times</w:t>
      </w:r>
      <w:r w:rsidR="00F77DD1" w:rsidRPr="00C57358">
        <w:rPr>
          <w:rFonts w:ascii="Arial" w:hAnsi="Arial" w:cs="Arial"/>
        </w:rPr>
        <w:t>–</w:t>
      </w:r>
      <w:r w:rsidRPr="00C57358">
        <w:rPr>
          <w:rFonts w:ascii="Arial" w:hAnsi="Arial" w:cs="Arial"/>
        </w:rPr>
        <w:t xml:space="preserve"> </w:t>
      </w:r>
      <w:r w:rsidR="00C57358" w:rsidRPr="00F36757">
        <w:rPr>
          <w:rFonts w:ascii="Arial" w:hAnsi="Arial" w:cs="Arial"/>
        </w:rPr>
        <w:t xml:space="preserve">Although CYP has historically delivered excellent performance against the 12 week waiting time target, </w:t>
      </w:r>
      <w:r w:rsidR="00C57358">
        <w:rPr>
          <w:rFonts w:ascii="Arial" w:hAnsi="Arial" w:cs="Arial"/>
        </w:rPr>
        <w:t xml:space="preserve">in the latter stages of 2017 </w:t>
      </w:r>
      <w:r w:rsidR="00C57358" w:rsidRPr="00F36757">
        <w:rPr>
          <w:rFonts w:ascii="Arial" w:hAnsi="Arial" w:cs="Arial"/>
        </w:rPr>
        <w:t xml:space="preserve">performance declined significantly in Oxfordshire.  </w:t>
      </w:r>
      <w:r w:rsidR="00C57358">
        <w:rPr>
          <w:rFonts w:ascii="Arial" w:hAnsi="Arial" w:cs="Arial"/>
        </w:rPr>
        <w:t>However, in December, there has been an improvement reported (66% against a target of 75%) and performance will continue to be closely monitored</w:t>
      </w:r>
    </w:p>
    <w:p w:rsidR="00C57358" w:rsidRDefault="00C57358" w:rsidP="009869CE">
      <w:pPr>
        <w:jc w:val="both"/>
        <w:rPr>
          <w:rFonts w:ascii="Arial" w:hAnsi="Arial" w:cs="Arial"/>
          <w:b/>
        </w:rPr>
      </w:pPr>
    </w:p>
    <w:p w:rsidR="009869CE" w:rsidRPr="005C2C6E" w:rsidRDefault="009869CE" w:rsidP="009869CE">
      <w:pPr>
        <w:jc w:val="both"/>
        <w:rPr>
          <w:rFonts w:ascii="Arial" w:hAnsi="Arial" w:cs="Arial"/>
          <w:b/>
        </w:rPr>
      </w:pPr>
      <w:r w:rsidRPr="005C2C6E">
        <w:rPr>
          <w:rFonts w:ascii="Arial" w:hAnsi="Arial" w:cs="Arial"/>
          <w:b/>
        </w:rPr>
        <w:t>Older Peoples</w:t>
      </w:r>
    </w:p>
    <w:p w:rsidR="009869CE" w:rsidRPr="005C2C6E" w:rsidRDefault="009869CE" w:rsidP="009869CE">
      <w:pPr>
        <w:jc w:val="both"/>
        <w:rPr>
          <w:rFonts w:ascii="Arial" w:hAnsi="Arial" w:cs="Arial"/>
        </w:rPr>
      </w:pPr>
    </w:p>
    <w:p w:rsidR="005D20D4" w:rsidRPr="005C2C6E" w:rsidRDefault="005D20D4" w:rsidP="005D20D4">
      <w:pPr>
        <w:jc w:val="both"/>
        <w:rPr>
          <w:rFonts w:ascii="Arial" w:hAnsi="Arial" w:cs="Arial"/>
        </w:rPr>
      </w:pPr>
      <w:r w:rsidRPr="005C2C6E">
        <w:rPr>
          <w:rFonts w:ascii="Arial" w:hAnsi="Arial" w:cs="Arial"/>
        </w:rPr>
        <w:t xml:space="preserve">The Older Peoples Directorate achieved </w:t>
      </w:r>
      <w:r w:rsidR="00C57358">
        <w:rPr>
          <w:rFonts w:ascii="Arial" w:hAnsi="Arial" w:cs="Arial"/>
        </w:rPr>
        <w:t>80</w:t>
      </w:r>
      <w:r w:rsidRPr="005C2C6E">
        <w:rPr>
          <w:rFonts w:ascii="Arial" w:hAnsi="Arial" w:cs="Arial"/>
        </w:rPr>
        <w:t>% compliance against the contracted targets</w:t>
      </w:r>
      <w:r w:rsidR="009155CE" w:rsidRPr="005C2C6E">
        <w:rPr>
          <w:rFonts w:ascii="Arial" w:hAnsi="Arial" w:cs="Arial"/>
        </w:rPr>
        <w:t xml:space="preserve"> in </w:t>
      </w:r>
      <w:r w:rsidR="00C57358">
        <w:rPr>
          <w:rFonts w:ascii="Arial" w:hAnsi="Arial" w:cs="Arial"/>
        </w:rPr>
        <w:t>Q3 a 6% improvement from 74% achieved in Q2.</w:t>
      </w:r>
      <w:r w:rsidR="009155CE" w:rsidRPr="005C2C6E">
        <w:rPr>
          <w:rFonts w:ascii="Arial" w:hAnsi="Arial" w:cs="Arial"/>
        </w:rPr>
        <w:t xml:space="preserve">  </w:t>
      </w:r>
      <w:r w:rsidR="00F77DD1" w:rsidRPr="005C2C6E">
        <w:rPr>
          <w:rFonts w:ascii="Arial" w:hAnsi="Arial" w:cs="Arial"/>
        </w:rPr>
        <w:t xml:space="preserve"> </w:t>
      </w:r>
    </w:p>
    <w:p w:rsidR="00291052" w:rsidRPr="005C2C6E" w:rsidRDefault="00291052" w:rsidP="005D20D4">
      <w:pPr>
        <w:jc w:val="both"/>
        <w:rPr>
          <w:rFonts w:ascii="Arial" w:hAnsi="Arial" w:cs="Arial"/>
        </w:rPr>
      </w:pPr>
    </w:p>
    <w:p w:rsidR="005D20D4" w:rsidRPr="005C2C6E" w:rsidRDefault="00F77DD1" w:rsidP="005D20D4">
      <w:pPr>
        <w:jc w:val="both"/>
        <w:rPr>
          <w:rFonts w:ascii="Arial" w:hAnsi="Arial" w:cs="Arial"/>
        </w:rPr>
      </w:pPr>
      <w:r w:rsidRPr="005C2C6E">
        <w:rPr>
          <w:rFonts w:ascii="Arial" w:hAnsi="Arial" w:cs="Arial"/>
        </w:rPr>
        <w:t xml:space="preserve"> </w:t>
      </w:r>
      <w:r w:rsidR="005D20D4" w:rsidRPr="005C2C6E">
        <w:rPr>
          <w:rFonts w:ascii="Arial" w:hAnsi="Arial" w:cs="Arial"/>
        </w:rPr>
        <w:t>In looking at the performance trends and identifying areas where further action is required, the following issues have been highlighted and escalated to the Operations Management Team:</w:t>
      </w:r>
    </w:p>
    <w:p w:rsidR="00F77DD1" w:rsidRPr="005C2C6E" w:rsidRDefault="00F77DD1" w:rsidP="005D20D4">
      <w:pPr>
        <w:jc w:val="both"/>
        <w:rPr>
          <w:rFonts w:ascii="Arial" w:hAnsi="Arial" w:cs="Arial"/>
        </w:rPr>
      </w:pPr>
    </w:p>
    <w:p w:rsidR="00C57358" w:rsidRDefault="00C57358" w:rsidP="00C57358">
      <w:pPr>
        <w:pStyle w:val="ListParagraph"/>
        <w:numPr>
          <w:ilvl w:val="0"/>
          <w:numId w:val="9"/>
        </w:numPr>
        <w:jc w:val="both"/>
        <w:rPr>
          <w:rFonts w:ascii="Arial" w:hAnsi="Arial" w:cs="Arial"/>
          <w:b/>
        </w:rPr>
      </w:pPr>
      <w:r>
        <w:rPr>
          <w:rFonts w:ascii="Arial" w:hAnsi="Arial" w:cs="Arial"/>
          <w:b/>
        </w:rPr>
        <w:t xml:space="preserve">Stroke Therapy – </w:t>
      </w:r>
      <w:r>
        <w:rPr>
          <w:rFonts w:ascii="Arial" w:hAnsi="Arial" w:cs="Arial"/>
        </w:rPr>
        <w:t>R</w:t>
      </w:r>
      <w:r w:rsidRPr="00954068">
        <w:rPr>
          <w:rFonts w:ascii="Arial" w:hAnsi="Arial" w:cs="Arial"/>
        </w:rPr>
        <w:t xml:space="preserve">evised stroke indicators that are aligned to the </w:t>
      </w:r>
      <w:proofErr w:type="spellStart"/>
      <w:r w:rsidRPr="00954068">
        <w:rPr>
          <w:rFonts w:ascii="Arial" w:hAnsi="Arial" w:cs="Arial"/>
        </w:rPr>
        <w:t>Sentinal</w:t>
      </w:r>
      <w:proofErr w:type="spellEnd"/>
      <w:r w:rsidRPr="00954068">
        <w:rPr>
          <w:rFonts w:ascii="Arial" w:hAnsi="Arial" w:cs="Arial"/>
        </w:rPr>
        <w:t xml:space="preserve"> Stroke National Audit Programme (SSNAP) were introduced in October following agreement with OCCG that these are a better measure and reflection of stroke therapy input in Community Hospitals.  Overall performance is</w:t>
      </w:r>
      <w:r>
        <w:rPr>
          <w:rFonts w:ascii="Arial" w:hAnsi="Arial" w:cs="Arial"/>
        </w:rPr>
        <w:t xml:space="preserve"> now</w:t>
      </w:r>
      <w:r w:rsidRPr="00954068">
        <w:rPr>
          <w:rFonts w:ascii="Arial" w:hAnsi="Arial" w:cs="Arial"/>
        </w:rPr>
        <w:t xml:space="preserve"> showing an improvement </w:t>
      </w:r>
      <w:r>
        <w:rPr>
          <w:rFonts w:ascii="Arial" w:hAnsi="Arial" w:cs="Arial"/>
        </w:rPr>
        <w:t>and will continue to be closely monitored.</w:t>
      </w:r>
    </w:p>
    <w:p w:rsidR="00C57358" w:rsidRDefault="00C57358" w:rsidP="00C57358">
      <w:pPr>
        <w:pStyle w:val="ListParagraph"/>
        <w:jc w:val="both"/>
        <w:rPr>
          <w:rFonts w:ascii="Arial" w:hAnsi="Arial" w:cs="Arial"/>
          <w:b/>
        </w:rPr>
      </w:pPr>
    </w:p>
    <w:p w:rsidR="00C57358" w:rsidRDefault="00C57358" w:rsidP="00C57358">
      <w:pPr>
        <w:pStyle w:val="ListParagraph"/>
        <w:numPr>
          <w:ilvl w:val="0"/>
          <w:numId w:val="9"/>
        </w:numPr>
        <w:jc w:val="both"/>
        <w:rPr>
          <w:rFonts w:ascii="Arial" w:hAnsi="Arial" w:cs="Arial"/>
          <w:b/>
        </w:rPr>
      </w:pPr>
      <w:r>
        <w:rPr>
          <w:rFonts w:ascii="Arial" w:hAnsi="Arial" w:cs="Arial"/>
          <w:b/>
        </w:rPr>
        <w:t>Oxfordshire Continuing Health Care (CHC) Adults</w:t>
      </w:r>
      <w:r>
        <w:rPr>
          <w:rFonts w:ascii="Arial" w:hAnsi="Arial" w:cs="Arial"/>
        </w:rPr>
        <w:t xml:space="preserve"> – The removal of a backlog of assessments has resulted in a decrease in performance against the </w:t>
      </w:r>
      <w:proofErr w:type="gramStart"/>
      <w:r>
        <w:rPr>
          <w:rFonts w:ascii="Arial" w:hAnsi="Arial" w:cs="Arial"/>
        </w:rPr>
        <w:t>28 day</w:t>
      </w:r>
      <w:proofErr w:type="gramEnd"/>
      <w:r>
        <w:rPr>
          <w:rFonts w:ascii="Arial" w:hAnsi="Arial" w:cs="Arial"/>
        </w:rPr>
        <w:t xml:space="preserve"> target in October.  The service expect performance to recover to the previous level by the end of November 2017</w:t>
      </w:r>
    </w:p>
    <w:p w:rsidR="00C57358" w:rsidRDefault="00C57358" w:rsidP="00C57358">
      <w:pPr>
        <w:pStyle w:val="ListParagraph"/>
        <w:jc w:val="both"/>
        <w:rPr>
          <w:rFonts w:ascii="Arial" w:hAnsi="Arial" w:cs="Arial"/>
          <w:b/>
        </w:rPr>
      </w:pPr>
    </w:p>
    <w:p w:rsidR="00C57358" w:rsidRPr="0089208D" w:rsidRDefault="00C57358" w:rsidP="00C57358">
      <w:pPr>
        <w:pStyle w:val="ListParagraph"/>
        <w:numPr>
          <w:ilvl w:val="0"/>
          <w:numId w:val="9"/>
        </w:numPr>
        <w:jc w:val="both"/>
        <w:rPr>
          <w:rFonts w:ascii="Arial" w:hAnsi="Arial" w:cs="Arial"/>
          <w:b/>
        </w:rPr>
      </w:pPr>
      <w:r>
        <w:rPr>
          <w:rFonts w:ascii="Arial" w:hAnsi="Arial" w:cs="Arial"/>
          <w:b/>
        </w:rPr>
        <w:t>T</w:t>
      </w:r>
      <w:r w:rsidRPr="00D765AE">
        <w:rPr>
          <w:rFonts w:ascii="Arial" w:hAnsi="Arial" w:cs="Arial"/>
          <w:b/>
        </w:rPr>
        <w:t>he Out of Hours</w:t>
      </w:r>
      <w:r>
        <w:rPr>
          <w:rFonts w:ascii="Arial" w:hAnsi="Arial" w:cs="Arial"/>
          <w:b/>
        </w:rPr>
        <w:t xml:space="preserve"> (OOH)</w:t>
      </w:r>
      <w:r w:rsidRPr="00D765AE">
        <w:rPr>
          <w:rFonts w:ascii="Arial" w:hAnsi="Arial" w:cs="Arial"/>
          <w:b/>
        </w:rPr>
        <w:t xml:space="preserve"> Services</w:t>
      </w:r>
      <w:r w:rsidRPr="00D765AE">
        <w:rPr>
          <w:rFonts w:ascii="Arial" w:hAnsi="Arial" w:cs="Arial"/>
        </w:rPr>
        <w:t xml:space="preserve">.  </w:t>
      </w:r>
      <w:r>
        <w:rPr>
          <w:rFonts w:ascii="Arial" w:hAnsi="Arial" w:cs="Arial"/>
        </w:rPr>
        <w:t>Services have been under pressure over the Christmas period and 4 of the 9 indicators have breached due to a combination of demand and also a reduction in GP availability over the festive period.</w:t>
      </w:r>
      <w:r w:rsidRPr="0089208D">
        <w:rPr>
          <w:rFonts w:ascii="Arial" w:hAnsi="Arial" w:cs="Arial"/>
        </w:rPr>
        <w:t xml:space="preserve">  The </w:t>
      </w:r>
      <w:r>
        <w:rPr>
          <w:rFonts w:ascii="Arial" w:hAnsi="Arial" w:cs="Arial"/>
        </w:rPr>
        <w:t>service continues to</w:t>
      </w:r>
      <w:r w:rsidRPr="0089208D">
        <w:rPr>
          <w:rFonts w:ascii="Arial" w:hAnsi="Arial" w:cs="Arial"/>
        </w:rPr>
        <w:t xml:space="preserve"> ensure </w:t>
      </w:r>
      <w:r>
        <w:rPr>
          <w:rFonts w:ascii="Arial" w:hAnsi="Arial" w:cs="Arial"/>
        </w:rPr>
        <w:t xml:space="preserve">that </w:t>
      </w:r>
      <w:r w:rsidRPr="0089208D">
        <w:rPr>
          <w:rFonts w:ascii="Arial" w:hAnsi="Arial" w:cs="Arial"/>
        </w:rPr>
        <w:t>every patient is safe whilst under OOH care and this is a continual focus for the team</w:t>
      </w:r>
    </w:p>
    <w:p w:rsidR="00C57358" w:rsidRDefault="00C57358" w:rsidP="00C57358">
      <w:pPr>
        <w:pStyle w:val="ListParagraph"/>
        <w:jc w:val="both"/>
        <w:rPr>
          <w:rFonts w:ascii="Arial" w:hAnsi="Arial" w:cs="Arial"/>
          <w:b/>
        </w:rPr>
      </w:pPr>
    </w:p>
    <w:p w:rsidR="00C57358" w:rsidRPr="00050037" w:rsidRDefault="00C57358" w:rsidP="00C57358">
      <w:pPr>
        <w:pStyle w:val="ListParagraph"/>
        <w:numPr>
          <w:ilvl w:val="0"/>
          <w:numId w:val="9"/>
        </w:numPr>
        <w:jc w:val="both"/>
        <w:rPr>
          <w:rFonts w:ascii="Arial" w:hAnsi="Arial" w:cs="Arial"/>
          <w:b/>
        </w:rPr>
      </w:pPr>
      <w:r w:rsidRPr="001604E3">
        <w:rPr>
          <w:rFonts w:ascii="Arial" w:hAnsi="Arial" w:cs="Arial"/>
          <w:b/>
        </w:rPr>
        <w:t xml:space="preserve">Physical Disabilities </w:t>
      </w:r>
      <w:r>
        <w:rPr>
          <w:rFonts w:ascii="Arial" w:hAnsi="Arial" w:cs="Arial"/>
          <w:b/>
        </w:rPr>
        <w:t xml:space="preserve">Physiotherapy </w:t>
      </w:r>
      <w:r w:rsidRPr="001604E3">
        <w:rPr>
          <w:rFonts w:ascii="Arial" w:hAnsi="Arial" w:cs="Arial"/>
          <w:b/>
        </w:rPr>
        <w:t xml:space="preserve">Service.  </w:t>
      </w:r>
      <w:r w:rsidRPr="001604E3">
        <w:rPr>
          <w:rFonts w:ascii="Arial" w:hAnsi="Arial" w:cs="Arial"/>
        </w:rPr>
        <w:t>There has been a consistent increase in referrals to the Physical Disabilities</w:t>
      </w:r>
      <w:r>
        <w:rPr>
          <w:rFonts w:ascii="Arial" w:hAnsi="Arial" w:cs="Arial"/>
        </w:rPr>
        <w:t xml:space="preserve"> Physiotherapy</w:t>
      </w:r>
      <w:r w:rsidRPr="001604E3">
        <w:rPr>
          <w:rFonts w:ascii="Arial" w:hAnsi="Arial" w:cs="Arial"/>
        </w:rPr>
        <w:t xml:space="preserve"> Service (due mainly to Parkinson’s).  </w:t>
      </w:r>
      <w:r>
        <w:rPr>
          <w:rFonts w:ascii="Arial" w:hAnsi="Arial" w:cs="Arial"/>
        </w:rPr>
        <w:t>The Service has reviewed the current delivery model and has taken all steps possible to improve efficiency which has been overseen by the commissioners.</w:t>
      </w:r>
      <w:r>
        <w:rPr>
          <w:rFonts w:ascii="Arial" w:hAnsi="Arial" w:cs="Arial"/>
          <w:b/>
        </w:rPr>
        <w:t xml:space="preserve">  </w:t>
      </w:r>
      <w:r>
        <w:rPr>
          <w:rFonts w:ascii="Arial" w:hAnsi="Arial" w:cs="Arial"/>
        </w:rPr>
        <w:t>A business case to justify an increase in investment has been prepared and will be submitted to commissioners shortly.</w:t>
      </w:r>
    </w:p>
    <w:p w:rsidR="00C57358" w:rsidRPr="00050037" w:rsidRDefault="00C57358" w:rsidP="00C57358">
      <w:pPr>
        <w:pStyle w:val="ListParagraph"/>
        <w:rPr>
          <w:rFonts w:ascii="Arial" w:hAnsi="Arial" w:cs="Arial"/>
        </w:rPr>
      </w:pPr>
    </w:p>
    <w:p w:rsidR="00C57358" w:rsidRPr="00DF6116" w:rsidRDefault="00C57358" w:rsidP="00C57358">
      <w:pPr>
        <w:pStyle w:val="ListParagraph"/>
        <w:numPr>
          <w:ilvl w:val="0"/>
          <w:numId w:val="9"/>
        </w:numPr>
        <w:jc w:val="both"/>
        <w:rPr>
          <w:rFonts w:ascii="Arial" w:hAnsi="Arial" w:cs="Arial"/>
          <w:b/>
        </w:rPr>
      </w:pPr>
      <w:r w:rsidRPr="00EC09B2">
        <w:rPr>
          <w:rFonts w:ascii="Arial" w:hAnsi="Arial" w:cs="Arial"/>
          <w:b/>
        </w:rPr>
        <w:t>Delayed Transfers of care (DTOC) and Length of Stay (LOS)</w:t>
      </w:r>
      <w:r w:rsidRPr="00EC09B2">
        <w:rPr>
          <w:rFonts w:ascii="Arial" w:hAnsi="Arial" w:cs="Arial"/>
        </w:rPr>
        <w:t xml:space="preserve"> continue to be an issue across the system.  Although there has been a significant impact due to the delays as a result of the HART service capacity issues, work continues to address the issues that are solely within the remit and control of Oxford Health.  </w:t>
      </w:r>
      <w:r w:rsidRPr="00DF6116">
        <w:rPr>
          <w:rFonts w:ascii="Arial" w:hAnsi="Arial" w:cs="Arial"/>
          <w:b/>
        </w:rPr>
        <w:t xml:space="preserve">Following exceptional work </w:t>
      </w:r>
      <w:r>
        <w:rPr>
          <w:rFonts w:ascii="Arial" w:hAnsi="Arial" w:cs="Arial"/>
          <w:b/>
        </w:rPr>
        <w:t xml:space="preserve">led </w:t>
      </w:r>
      <w:r w:rsidRPr="00DF6116">
        <w:rPr>
          <w:rFonts w:ascii="Arial" w:hAnsi="Arial" w:cs="Arial"/>
          <w:b/>
        </w:rPr>
        <w:t>by</w:t>
      </w:r>
      <w:r w:rsidRPr="00DF6116">
        <w:rPr>
          <w:rFonts w:ascii="Arial" w:hAnsi="Arial" w:cs="Arial"/>
        </w:rPr>
        <w:t xml:space="preserve"> </w:t>
      </w:r>
      <w:r w:rsidRPr="00DF6116">
        <w:rPr>
          <w:rFonts w:ascii="Arial" w:hAnsi="Arial" w:cs="Arial"/>
          <w:b/>
        </w:rPr>
        <w:t>Julie Beardmore</w:t>
      </w:r>
      <w:r>
        <w:rPr>
          <w:rFonts w:ascii="Arial" w:hAnsi="Arial" w:cs="Arial"/>
          <w:b/>
        </w:rPr>
        <w:t xml:space="preserve"> </w:t>
      </w:r>
      <w:r w:rsidRPr="001963F3">
        <w:rPr>
          <w:rFonts w:ascii="Arial" w:hAnsi="Arial" w:cs="Arial"/>
        </w:rPr>
        <w:t>working with community hospital colleagues and social care</w:t>
      </w:r>
      <w:r w:rsidRPr="00DF6116">
        <w:rPr>
          <w:rFonts w:ascii="Arial" w:hAnsi="Arial" w:cs="Arial"/>
          <w:i/>
        </w:rPr>
        <w:t xml:space="preserve"> </w:t>
      </w:r>
      <w:r w:rsidRPr="00DF6116">
        <w:rPr>
          <w:rFonts w:ascii="Arial" w:hAnsi="Arial" w:cs="Arial"/>
        </w:rPr>
        <w:t xml:space="preserve">DTOC’s that are solely within the control of Oxford Health are the lowest they have been for the past 12 months.  In January 2018, the number has recently been reported </w:t>
      </w:r>
      <w:r>
        <w:rPr>
          <w:rFonts w:ascii="Arial" w:hAnsi="Arial" w:cs="Arial"/>
        </w:rPr>
        <w:t>as 5 which is the lowest number ever recorded</w:t>
      </w:r>
      <w:r w:rsidRPr="00DF6116">
        <w:rPr>
          <w:rFonts w:ascii="Arial" w:hAnsi="Arial" w:cs="Arial"/>
        </w:rPr>
        <w:t>.</w:t>
      </w:r>
      <w:r>
        <w:rPr>
          <w:rFonts w:ascii="Arial" w:hAnsi="Arial" w:cs="Arial"/>
        </w:rPr>
        <w:t xml:space="preserve">  Previously, this number ranged from 12 upwards.</w:t>
      </w:r>
    </w:p>
    <w:p w:rsidR="00C57358" w:rsidRPr="00EC09B2" w:rsidRDefault="00C57358" w:rsidP="00C57358">
      <w:pPr>
        <w:pStyle w:val="ListParagraph"/>
        <w:rPr>
          <w:rFonts w:ascii="Arial" w:hAnsi="Arial" w:cs="Arial"/>
          <w:b/>
        </w:rPr>
      </w:pPr>
    </w:p>
    <w:p w:rsidR="00C57358" w:rsidRPr="00107AAC" w:rsidRDefault="00C57358" w:rsidP="00C57358">
      <w:pPr>
        <w:pStyle w:val="ListParagraph"/>
        <w:numPr>
          <w:ilvl w:val="0"/>
          <w:numId w:val="9"/>
        </w:numPr>
        <w:jc w:val="both"/>
        <w:rPr>
          <w:rFonts w:ascii="Arial" w:hAnsi="Arial" w:cs="Arial"/>
          <w:b/>
        </w:rPr>
      </w:pPr>
      <w:r>
        <w:rPr>
          <w:rFonts w:ascii="Arial" w:hAnsi="Arial" w:cs="Arial"/>
          <w:b/>
        </w:rPr>
        <w:lastRenderedPageBreak/>
        <w:t xml:space="preserve">Community Hospitals – Functional Independence Measure (FIM). </w:t>
      </w:r>
      <w:r>
        <w:rPr>
          <w:rFonts w:ascii="Arial" w:hAnsi="Arial" w:cs="Arial"/>
        </w:rPr>
        <w:t xml:space="preserve"> The</w:t>
      </w:r>
      <w:r w:rsidRPr="0062376E">
        <w:rPr>
          <w:rFonts w:ascii="Arial" w:hAnsi="Arial" w:cs="Arial"/>
        </w:rPr>
        <w:t xml:space="preserve"> new KPI applies only to the cohort of patients who are identified has having rehabilitation potential. The service is</w:t>
      </w:r>
      <w:r>
        <w:rPr>
          <w:rFonts w:ascii="Arial" w:hAnsi="Arial" w:cs="Arial"/>
        </w:rPr>
        <w:t xml:space="preserve"> </w:t>
      </w:r>
      <w:r w:rsidRPr="0062376E">
        <w:rPr>
          <w:rFonts w:ascii="Arial" w:hAnsi="Arial" w:cs="Arial"/>
        </w:rPr>
        <w:t>confident that it will be able to demonstrate effective outcomes for patients who are identified as having r</w:t>
      </w:r>
      <w:r>
        <w:rPr>
          <w:rFonts w:ascii="Arial" w:hAnsi="Arial" w:cs="Arial"/>
        </w:rPr>
        <w:t>ehabilitation potential and improvements are now being reported.</w:t>
      </w:r>
      <w:r w:rsidRPr="0062376E">
        <w:rPr>
          <w:rFonts w:ascii="Arial" w:hAnsi="Arial" w:cs="Arial"/>
        </w:rPr>
        <w:t xml:space="preserve"> </w:t>
      </w:r>
    </w:p>
    <w:p w:rsidR="005D20D4" w:rsidRDefault="005D20D4" w:rsidP="005D20D4">
      <w:pPr>
        <w:jc w:val="both"/>
        <w:rPr>
          <w:rFonts w:ascii="Arial" w:hAnsi="Arial" w:cs="Arial"/>
        </w:rPr>
      </w:pPr>
    </w:p>
    <w:p w:rsidR="002432A2" w:rsidRPr="005C2C6E" w:rsidRDefault="002432A2" w:rsidP="005D20D4">
      <w:pPr>
        <w:jc w:val="both"/>
        <w:rPr>
          <w:rFonts w:ascii="Arial" w:hAnsi="Arial" w:cs="Arial"/>
        </w:rPr>
      </w:pPr>
    </w:p>
    <w:p w:rsidR="009869CE" w:rsidRPr="005C2C6E" w:rsidRDefault="009869CE" w:rsidP="009869CE">
      <w:pPr>
        <w:jc w:val="both"/>
        <w:rPr>
          <w:rFonts w:ascii="Arial" w:hAnsi="Arial" w:cs="Arial"/>
          <w:b/>
        </w:rPr>
      </w:pPr>
      <w:r w:rsidRPr="005C2C6E">
        <w:rPr>
          <w:rFonts w:ascii="Arial" w:hAnsi="Arial" w:cs="Arial"/>
          <w:b/>
        </w:rPr>
        <w:t>Adults:</w:t>
      </w:r>
    </w:p>
    <w:p w:rsidR="009869CE" w:rsidRPr="005C2C6E" w:rsidRDefault="009869CE" w:rsidP="009869CE">
      <w:pPr>
        <w:jc w:val="both"/>
        <w:rPr>
          <w:rFonts w:ascii="Arial" w:hAnsi="Arial" w:cs="Arial"/>
          <w:b/>
        </w:rPr>
      </w:pPr>
    </w:p>
    <w:p w:rsidR="005D20D4" w:rsidRPr="005C2C6E" w:rsidRDefault="00582831" w:rsidP="005D20D4">
      <w:pPr>
        <w:jc w:val="both"/>
        <w:rPr>
          <w:rFonts w:ascii="Arial" w:hAnsi="Arial" w:cs="Arial"/>
        </w:rPr>
      </w:pPr>
      <w:r w:rsidRPr="005C2C6E">
        <w:rPr>
          <w:rFonts w:ascii="Arial" w:hAnsi="Arial" w:cs="Arial"/>
        </w:rPr>
        <w:t>The Adults Directorate achieved</w:t>
      </w:r>
      <w:r w:rsidR="009155CE" w:rsidRPr="005C2C6E">
        <w:rPr>
          <w:rFonts w:ascii="Arial" w:hAnsi="Arial" w:cs="Arial"/>
        </w:rPr>
        <w:t xml:space="preserve"> </w:t>
      </w:r>
      <w:r w:rsidR="00BE066C" w:rsidRPr="005C2C6E">
        <w:rPr>
          <w:rFonts w:ascii="Arial" w:hAnsi="Arial" w:cs="Arial"/>
        </w:rPr>
        <w:t xml:space="preserve">74% over </w:t>
      </w:r>
      <w:r w:rsidR="00C57358">
        <w:rPr>
          <w:rFonts w:ascii="Arial" w:hAnsi="Arial" w:cs="Arial"/>
        </w:rPr>
        <w:t>Q3 (</w:t>
      </w:r>
      <w:r w:rsidR="00BE066C" w:rsidRPr="005C2C6E">
        <w:rPr>
          <w:rFonts w:ascii="Arial" w:hAnsi="Arial" w:cs="Arial"/>
        </w:rPr>
        <w:t>October</w:t>
      </w:r>
      <w:r w:rsidR="006B6902">
        <w:rPr>
          <w:rFonts w:ascii="Arial" w:hAnsi="Arial" w:cs="Arial"/>
        </w:rPr>
        <w:t xml:space="preserve"> 2017</w:t>
      </w:r>
      <w:r w:rsidR="00BE066C" w:rsidRPr="005C2C6E">
        <w:rPr>
          <w:rFonts w:ascii="Arial" w:hAnsi="Arial" w:cs="Arial"/>
        </w:rPr>
        <w:t xml:space="preserve"> – </w:t>
      </w:r>
      <w:r w:rsidR="00C57358">
        <w:rPr>
          <w:rFonts w:ascii="Arial" w:hAnsi="Arial" w:cs="Arial"/>
        </w:rPr>
        <w:t>December 2017) a decrease from the Q2 position of 78% but continuing to improve on historical position.</w:t>
      </w:r>
      <w:r w:rsidR="005D20D4" w:rsidRPr="005C2C6E">
        <w:rPr>
          <w:rFonts w:ascii="Arial" w:hAnsi="Arial" w:cs="Arial"/>
        </w:rPr>
        <w:t xml:space="preserve">  </w:t>
      </w:r>
    </w:p>
    <w:p w:rsidR="005D20D4" w:rsidRPr="005C2C6E" w:rsidRDefault="005D20D4" w:rsidP="005D20D4">
      <w:pPr>
        <w:jc w:val="both"/>
        <w:rPr>
          <w:rFonts w:ascii="Arial" w:hAnsi="Arial" w:cs="Arial"/>
        </w:rPr>
      </w:pPr>
    </w:p>
    <w:p w:rsidR="005D20D4" w:rsidRPr="005C2C6E" w:rsidRDefault="005D20D4" w:rsidP="005D20D4">
      <w:pPr>
        <w:jc w:val="both"/>
        <w:rPr>
          <w:rFonts w:ascii="Arial" w:hAnsi="Arial" w:cs="Arial"/>
        </w:rPr>
      </w:pPr>
      <w:r w:rsidRPr="005C2C6E">
        <w:rPr>
          <w:rFonts w:ascii="Arial" w:hAnsi="Arial" w:cs="Arial"/>
        </w:rPr>
        <w:t>In looking at the performance trends and identifying areas where further action is required in the Adults Directorate, the following issues have been highlighted and escalated to the Operations Management Team:</w:t>
      </w:r>
    </w:p>
    <w:p w:rsidR="00C57358" w:rsidRPr="00732301" w:rsidRDefault="00C57358" w:rsidP="00C57358">
      <w:pPr>
        <w:pStyle w:val="ListParagraph"/>
        <w:rPr>
          <w:rFonts w:ascii="Arial" w:hAnsi="Arial" w:cs="Arial"/>
        </w:rPr>
      </w:pPr>
    </w:p>
    <w:p w:rsidR="00C57358" w:rsidRDefault="00C57358" w:rsidP="00C57358">
      <w:pPr>
        <w:pStyle w:val="ListParagraph"/>
        <w:numPr>
          <w:ilvl w:val="0"/>
          <w:numId w:val="9"/>
        </w:numPr>
        <w:jc w:val="both"/>
        <w:rPr>
          <w:rFonts w:ascii="Arial" w:hAnsi="Arial" w:cs="Arial"/>
        </w:rPr>
      </w:pPr>
      <w:r w:rsidRPr="002E3C80">
        <w:rPr>
          <w:rFonts w:ascii="Arial" w:hAnsi="Arial" w:cs="Arial"/>
          <w:b/>
        </w:rPr>
        <w:t>Improving Access to Psychological Therapies (IAPT)</w:t>
      </w:r>
      <w:r w:rsidRPr="00CE6E6A">
        <w:rPr>
          <w:rFonts w:ascii="Arial" w:hAnsi="Arial" w:cs="Arial"/>
        </w:rPr>
        <w:t xml:space="preserve"> - </w:t>
      </w:r>
      <w:r>
        <w:rPr>
          <w:rFonts w:ascii="Arial" w:hAnsi="Arial" w:cs="Arial"/>
        </w:rPr>
        <w:t xml:space="preserve">Although there </w:t>
      </w:r>
      <w:r w:rsidRPr="00CE6E6A">
        <w:rPr>
          <w:rFonts w:ascii="Arial" w:hAnsi="Arial" w:cs="Arial"/>
        </w:rPr>
        <w:t>continues to be a reduction in the number of ‘h</w:t>
      </w:r>
      <w:r>
        <w:rPr>
          <w:rFonts w:ascii="Arial" w:hAnsi="Arial" w:cs="Arial"/>
        </w:rPr>
        <w:t>idden waits’ at step 3, the waiting time for treatment has now decreased to 19 weeks which is still significantly above the target of 8 weeks.</w:t>
      </w:r>
      <w:r w:rsidRPr="00CE6E6A">
        <w:rPr>
          <w:rFonts w:ascii="Arial" w:hAnsi="Arial" w:cs="Arial"/>
        </w:rPr>
        <w:t xml:space="preserve">  </w:t>
      </w:r>
      <w:r>
        <w:rPr>
          <w:rFonts w:ascii="Arial" w:hAnsi="Arial" w:cs="Arial"/>
        </w:rPr>
        <w:t>The service has an action plan in place and additional staff have been recruited.  We are expecting to see further reductions in waiting times over the next quarter.</w:t>
      </w:r>
    </w:p>
    <w:p w:rsidR="00C57358" w:rsidRPr="00FB07D8" w:rsidRDefault="00C57358" w:rsidP="00C57358">
      <w:pPr>
        <w:pStyle w:val="ListParagraph"/>
        <w:rPr>
          <w:rFonts w:ascii="Arial" w:hAnsi="Arial" w:cs="Arial"/>
        </w:rPr>
      </w:pPr>
    </w:p>
    <w:p w:rsidR="00C57358" w:rsidRDefault="00C57358" w:rsidP="00C57358">
      <w:pPr>
        <w:pStyle w:val="ListParagraph"/>
        <w:numPr>
          <w:ilvl w:val="0"/>
          <w:numId w:val="9"/>
        </w:numPr>
        <w:jc w:val="both"/>
        <w:rPr>
          <w:rFonts w:ascii="Arial" w:hAnsi="Arial" w:cs="Arial"/>
        </w:rPr>
      </w:pPr>
      <w:r w:rsidRPr="00FB07D8">
        <w:rPr>
          <w:rFonts w:ascii="Arial" w:hAnsi="Arial" w:cs="Arial"/>
          <w:b/>
        </w:rPr>
        <w:t>Cluster Reviews</w:t>
      </w:r>
      <w:r>
        <w:rPr>
          <w:rFonts w:ascii="Arial" w:hAnsi="Arial" w:cs="Arial"/>
        </w:rPr>
        <w:t xml:space="preserve"> – The cluster reviews indicator in Oxfordshire continues to be below target.  Operational staff continue to be reminded of the importance of clustering within the agreed timescales.</w:t>
      </w:r>
    </w:p>
    <w:p w:rsidR="00C57358" w:rsidRDefault="00C57358" w:rsidP="00C57358">
      <w:pPr>
        <w:pStyle w:val="ListParagraph"/>
        <w:jc w:val="both"/>
        <w:rPr>
          <w:rFonts w:ascii="Arial" w:hAnsi="Arial" w:cs="Arial"/>
        </w:rPr>
      </w:pPr>
    </w:p>
    <w:p w:rsidR="00C57358" w:rsidRDefault="00C57358" w:rsidP="00C57358">
      <w:pPr>
        <w:pStyle w:val="ListParagraph"/>
        <w:numPr>
          <w:ilvl w:val="0"/>
          <w:numId w:val="9"/>
        </w:numPr>
        <w:jc w:val="both"/>
        <w:rPr>
          <w:rFonts w:ascii="Arial" w:hAnsi="Arial" w:cs="Arial"/>
        </w:rPr>
      </w:pPr>
      <w:r w:rsidRPr="00E12DF5">
        <w:rPr>
          <w:rFonts w:ascii="Arial" w:hAnsi="Arial" w:cs="Arial"/>
          <w:b/>
        </w:rPr>
        <w:t>Care Reviews</w:t>
      </w:r>
      <w:r>
        <w:rPr>
          <w:rFonts w:ascii="Arial" w:hAnsi="Arial" w:cs="Arial"/>
        </w:rPr>
        <w:t xml:space="preserve"> - Analysis of the performance data has shown that timescales for care reviews specifically in Aylesbury continue to be below target.  This issue has been discussed with Service Leads who are confident that this is a recording issue and not a clinical issue.  Action is being taken to address the underlying issues.</w:t>
      </w:r>
    </w:p>
    <w:p w:rsidR="002432A2" w:rsidRDefault="002432A2" w:rsidP="00C57358">
      <w:pPr>
        <w:pStyle w:val="ListParagraph"/>
        <w:rPr>
          <w:rFonts w:ascii="Arial" w:hAnsi="Arial" w:cs="Arial"/>
        </w:rPr>
      </w:pPr>
    </w:p>
    <w:p w:rsidR="002432A2" w:rsidRPr="007003DD" w:rsidRDefault="002432A2" w:rsidP="00C57358">
      <w:pPr>
        <w:pStyle w:val="ListParagraph"/>
        <w:rPr>
          <w:rFonts w:ascii="Arial" w:hAnsi="Arial" w:cs="Arial"/>
        </w:rPr>
      </w:pPr>
    </w:p>
    <w:p w:rsidR="00FA3993" w:rsidRPr="005C2C6E" w:rsidRDefault="00FA3993" w:rsidP="007A2CF0">
      <w:pPr>
        <w:jc w:val="both"/>
        <w:rPr>
          <w:rFonts w:ascii="Segoe UI" w:hAnsi="Segoe UI" w:cs="Segoe UI"/>
          <w:b/>
        </w:rPr>
      </w:pPr>
      <w:r w:rsidRPr="005C2C6E">
        <w:rPr>
          <w:rFonts w:ascii="Segoe UI" w:hAnsi="Segoe UI" w:cs="Segoe UI"/>
          <w:b/>
        </w:rPr>
        <w:t>Governance Route/Approval Process</w:t>
      </w:r>
    </w:p>
    <w:p w:rsidR="005D3499" w:rsidRPr="005C2C6E" w:rsidRDefault="00F715FD" w:rsidP="00F715FD">
      <w:pPr>
        <w:jc w:val="both"/>
        <w:rPr>
          <w:rFonts w:ascii="Segoe UI" w:hAnsi="Segoe UI" w:cs="Segoe UI"/>
        </w:rPr>
      </w:pPr>
      <w:r w:rsidRPr="005C2C6E">
        <w:rPr>
          <w:rFonts w:ascii="Segoe UI" w:hAnsi="Segoe UI" w:cs="Segoe UI"/>
        </w:rPr>
        <w:t xml:space="preserve">This is a </w:t>
      </w:r>
      <w:r w:rsidR="007A2CF0" w:rsidRPr="005C2C6E">
        <w:rPr>
          <w:rFonts w:ascii="Segoe UI" w:hAnsi="Segoe UI" w:cs="Segoe UI"/>
        </w:rPr>
        <w:t xml:space="preserve">quarterly update </w:t>
      </w:r>
      <w:r w:rsidRPr="005C2C6E">
        <w:rPr>
          <w:rFonts w:ascii="Segoe UI" w:hAnsi="Segoe UI" w:cs="Segoe UI"/>
        </w:rPr>
        <w:t>report</w:t>
      </w:r>
      <w:r w:rsidR="007A2CF0" w:rsidRPr="005C2C6E">
        <w:rPr>
          <w:rFonts w:ascii="Segoe UI" w:hAnsi="Segoe UI" w:cs="Segoe UI"/>
        </w:rPr>
        <w:t xml:space="preserve">.  </w:t>
      </w:r>
    </w:p>
    <w:p w:rsidR="00F715FD" w:rsidRPr="005C2C6E" w:rsidRDefault="00F715FD" w:rsidP="00F715FD">
      <w:pPr>
        <w:jc w:val="both"/>
        <w:rPr>
          <w:rFonts w:ascii="Segoe UI" w:hAnsi="Segoe UI" w:cs="Segoe UI"/>
          <w:i/>
        </w:rPr>
      </w:pPr>
    </w:p>
    <w:p w:rsidR="0073522A" w:rsidRPr="005C2C6E" w:rsidRDefault="0073522A" w:rsidP="0073522A">
      <w:pPr>
        <w:jc w:val="both"/>
        <w:rPr>
          <w:rFonts w:ascii="Segoe UI" w:hAnsi="Segoe UI" w:cs="Segoe UI"/>
          <w:b/>
        </w:rPr>
      </w:pPr>
      <w:r w:rsidRPr="005C2C6E">
        <w:rPr>
          <w:rFonts w:ascii="Segoe UI" w:hAnsi="Segoe UI" w:cs="Segoe UI"/>
          <w:b/>
        </w:rPr>
        <w:t>Recommendation</w:t>
      </w:r>
    </w:p>
    <w:p w:rsidR="000A5A07" w:rsidRPr="005C2C6E" w:rsidRDefault="000A5A07" w:rsidP="0073522A">
      <w:pPr>
        <w:jc w:val="both"/>
        <w:rPr>
          <w:rFonts w:ascii="Segoe UI" w:hAnsi="Segoe UI" w:cs="Segoe UI"/>
        </w:rPr>
      </w:pPr>
      <w:r w:rsidRPr="005C2C6E">
        <w:rPr>
          <w:rFonts w:ascii="Segoe UI" w:hAnsi="Segoe UI" w:cs="Segoe UI"/>
        </w:rPr>
        <w:t xml:space="preserve">The </w:t>
      </w:r>
      <w:r w:rsidR="00342219" w:rsidRPr="005C2C6E">
        <w:rPr>
          <w:rFonts w:ascii="Segoe UI" w:hAnsi="Segoe UI" w:cs="Segoe UI"/>
        </w:rPr>
        <w:t>Council of Governors is invited</w:t>
      </w:r>
      <w:r w:rsidR="00F715FD" w:rsidRPr="005C2C6E">
        <w:rPr>
          <w:rFonts w:ascii="Segoe UI" w:hAnsi="Segoe UI" w:cs="Segoe UI"/>
        </w:rPr>
        <w:t xml:space="preserve"> to </w:t>
      </w:r>
      <w:r w:rsidRPr="005C2C6E">
        <w:rPr>
          <w:rFonts w:ascii="Segoe UI" w:hAnsi="Segoe UI" w:cs="Segoe UI"/>
        </w:rPr>
        <w:t xml:space="preserve">note the report.  </w:t>
      </w:r>
    </w:p>
    <w:p w:rsidR="002432A2" w:rsidRDefault="002432A2" w:rsidP="00F715FD">
      <w:pPr>
        <w:ind w:left="1440" w:hanging="1440"/>
        <w:jc w:val="both"/>
        <w:rPr>
          <w:rFonts w:ascii="Segoe UI" w:hAnsi="Segoe UI" w:cs="Segoe UI"/>
          <w:b/>
        </w:rPr>
      </w:pPr>
    </w:p>
    <w:p w:rsidR="002432A2" w:rsidRDefault="002432A2" w:rsidP="00F715FD">
      <w:pPr>
        <w:ind w:left="1440" w:hanging="1440"/>
        <w:jc w:val="both"/>
        <w:rPr>
          <w:rFonts w:ascii="Segoe UI" w:hAnsi="Segoe UI" w:cs="Segoe UI"/>
          <w:b/>
        </w:rPr>
      </w:pPr>
    </w:p>
    <w:p w:rsidR="00F715FD" w:rsidRPr="005C2C6E" w:rsidRDefault="002619EF" w:rsidP="00F715FD">
      <w:pPr>
        <w:ind w:left="1440" w:hanging="1440"/>
        <w:jc w:val="both"/>
        <w:rPr>
          <w:rFonts w:ascii="Arial" w:hAnsi="Arial" w:cs="Arial"/>
        </w:rPr>
      </w:pPr>
      <w:r w:rsidRPr="005C2C6E">
        <w:rPr>
          <w:rFonts w:ascii="Segoe UI" w:hAnsi="Segoe UI" w:cs="Segoe UI"/>
          <w:b/>
        </w:rPr>
        <w:t>Author and T</w:t>
      </w:r>
      <w:r w:rsidR="0073522A" w:rsidRPr="005C2C6E">
        <w:rPr>
          <w:rFonts w:ascii="Segoe UI" w:hAnsi="Segoe UI" w:cs="Segoe UI"/>
          <w:b/>
        </w:rPr>
        <w:t>itle:</w:t>
      </w:r>
      <w:r w:rsidR="007B02FB" w:rsidRPr="005C2C6E">
        <w:rPr>
          <w:rFonts w:ascii="Segoe UI" w:hAnsi="Segoe UI" w:cs="Segoe UI"/>
          <w:b/>
        </w:rPr>
        <w:t xml:space="preserve"> </w:t>
      </w:r>
      <w:r w:rsidR="006B6902">
        <w:rPr>
          <w:rFonts w:ascii="Arial" w:hAnsi="Arial" w:cs="Arial"/>
        </w:rPr>
        <w:t>Claire Page</w:t>
      </w:r>
      <w:r w:rsidR="0022259D" w:rsidRPr="005C2C6E">
        <w:rPr>
          <w:rFonts w:ascii="Arial" w:hAnsi="Arial" w:cs="Arial"/>
        </w:rPr>
        <w:t xml:space="preserve">, </w:t>
      </w:r>
      <w:r w:rsidR="006B6902">
        <w:rPr>
          <w:rFonts w:ascii="Arial" w:hAnsi="Arial" w:cs="Arial"/>
        </w:rPr>
        <w:t>Head of Performance and Information</w:t>
      </w:r>
      <w:r w:rsidR="0022259D" w:rsidRPr="005C2C6E">
        <w:rPr>
          <w:rFonts w:ascii="Arial" w:hAnsi="Arial" w:cs="Arial"/>
        </w:rPr>
        <w:t xml:space="preserve"> </w:t>
      </w:r>
    </w:p>
    <w:p w:rsidR="00F715FD" w:rsidRPr="00C57358" w:rsidRDefault="0073522A" w:rsidP="00FA3993">
      <w:pPr>
        <w:jc w:val="both"/>
        <w:rPr>
          <w:rFonts w:ascii="Arial" w:hAnsi="Arial" w:cs="Arial"/>
        </w:rPr>
      </w:pPr>
      <w:r w:rsidRPr="005C2C6E">
        <w:rPr>
          <w:rFonts w:ascii="Segoe UI" w:hAnsi="Segoe UI" w:cs="Segoe UI"/>
          <w:b/>
        </w:rPr>
        <w:t>Lead Executive Director:</w:t>
      </w:r>
      <w:r w:rsidR="00F715FD" w:rsidRPr="005C2C6E">
        <w:rPr>
          <w:rFonts w:ascii="Segoe UI" w:hAnsi="Segoe UI" w:cs="Segoe UI"/>
          <w:b/>
        </w:rPr>
        <w:t xml:space="preserve"> </w:t>
      </w:r>
      <w:r w:rsidR="00C57358">
        <w:rPr>
          <w:rFonts w:ascii="Arial" w:hAnsi="Arial" w:cs="Arial"/>
        </w:rPr>
        <w:t xml:space="preserve">Martyn Ward, </w:t>
      </w:r>
      <w:r w:rsidR="00C57358" w:rsidRPr="00C57358">
        <w:rPr>
          <w:rFonts w:ascii="Arial" w:hAnsi="Arial" w:cs="Arial"/>
        </w:rPr>
        <w:t>Director of Strategy &amp; Performance </w:t>
      </w:r>
    </w:p>
    <w:p w:rsidR="004B24B2" w:rsidRPr="00C57358" w:rsidRDefault="004B24B2" w:rsidP="00FA3993">
      <w:pPr>
        <w:jc w:val="both"/>
        <w:rPr>
          <w:rFonts w:ascii="Arial" w:hAnsi="Arial" w:cs="Arial"/>
        </w:rPr>
      </w:pPr>
    </w:p>
    <w:p w:rsidR="004B24B2" w:rsidRPr="005C2C6E" w:rsidRDefault="004B24B2">
      <w:pPr>
        <w:rPr>
          <w:rFonts w:ascii="Segoe UI" w:hAnsi="Segoe UI" w:cs="Segoe UI"/>
        </w:rPr>
        <w:sectPr w:rsidR="004B24B2" w:rsidRPr="005C2C6E" w:rsidSect="002432A2">
          <w:headerReference w:type="first" r:id="rId12"/>
          <w:pgSz w:w="12240" w:h="15840" w:code="1"/>
          <w:pgMar w:top="1440" w:right="1797" w:bottom="1247" w:left="1797" w:header="709" w:footer="709" w:gutter="0"/>
          <w:cols w:space="708"/>
          <w:titlePg/>
          <w:docGrid w:linePitch="360"/>
        </w:sectPr>
      </w:pPr>
    </w:p>
    <w:p w:rsidR="00F2180B" w:rsidRPr="005C2C6E" w:rsidRDefault="00F2180B">
      <w:pPr>
        <w:rPr>
          <w:rFonts w:ascii="Segoe UI" w:hAnsi="Segoe UI" w:cs="Segoe UI"/>
          <w:b/>
        </w:rPr>
      </w:pPr>
      <w:r w:rsidRPr="005C2C6E">
        <w:rPr>
          <w:rFonts w:ascii="Segoe UI" w:hAnsi="Segoe UI" w:cs="Segoe UI"/>
          <w:b/>
        </w:rPr>
        <w:lastRenderedPageBreak/>
        <w:t>Appendix 1 – Performance Reporting Structure</w:t>
      </w:r>
    </w:p>
    <w:p w:rsidR="00F2180B" w:rsidRPr="005C2C6E" w:rsidRDefault="00F2180B">
      <w:pPr>
        <w:rPr>
          <w:rFonts w:ascii="Segoe UI" w:hAnsi="Segoe UI" w:cs="Segoe UI"/>
          <w:b/>
        </w:rPr>
      </w:pPr>
    </w:p>
    <w:p w:rsidR="00FA3993" w:rsidRPr="0072070D" w:rsidRDefault="00F2180B" w:rsidP="00F2180B">
      <w:pPr>
        <w:jc w:val="center"/>
        <w:rPr>
          <w:rFonts w:ascii="Segoe UI" w:hAnsi="Segoe UI" w:cs="Segoe UI"/>
        </w:rPr>
      </w:pPr>
      <w:r w:rsidRPr="005C2C6E">
        <w:rPr>
          <w:rFonts w:ascii="Segoe UI" w:hAnsi="Segoe UI" w:cs="Segoe UI"/>
          <w:b/>
          <w:noProof/>
          <w:lang w:val="en-GB" w:eastAsia="en-GB"/>
        </w:rPr>
        <w:drawing>
          <wp:inline distT="0" distB="0" distL="0" distR="0" wp14:anchorId="04F7897F" wp14:editId="27627154">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13">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72070D"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AE" w:rsidRDefault="004E0AAE" w:rsidP="005B3E3C">
      <w:r>
        <w:separator/>
      </w:r>
    </w:p>
  </w:endnote>
  <w:endnote w:type="continuationSeparator" w:id="0">
    <w:p w:rsidR="004E0AAE" w:rsidRDefault="004E0AA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AE" w:rsidRDefault="004E0AAE" w:rsidP="005B3E3C">
      <w:r>
        <w:separator/>
      </w:r>
    </w:p>
  </w:footnote>
  <w:footnote w:type="continuationSeparator" w:id="0">
    <w:p w:rsidR="004E0AAE" w:rsidRDefault="004E0AAE"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2155B"/>
    <w:rsid w:val="00025757"/>
    <w:rsid w:val="00030247"/>
    <w:rsid w:val="0004428A"/>
    <w:rsid w:val="00071842"/>
    <w:rsid w:val="000A3A29"/>
    <w:rsid w:val="000A5A07"/>
    <w:rsid w:val="000E317C"/>
    <w:rsid w:val="001F76ED"/>
    <w:rsid w:val="0022259D"/>
    <w:rsid w:val="002250DE"/>
    <w:rsid w:val="00227FCE"/>
    <w:rsid w:val="00241A66"/>
    <w:rsid w:val="002432A2"/>
    <w:rsid w:val="00260E05"/>
    <w:rsid w:val="002619EF"/>
    <w:rsid w:val="00262F0F"/>
    <w:rsid w:val="00276E7F"/>
    <w:rsid w:val="002821F8"/>
    <w:rsid w:val="00284094"/>
    <w:rsid w:val="00291052"/>
    <w:rsid w:val="00292613"/>
    <w:rsid w:val="002A73E8"/>
    <w:rsid w:val="002C2F97"/>
    <w:rsid w:val="002E6FC6"/>
    <w:rsid w:val="00306AF0"/>
    <w:rsid w:val="00335AAA"/>
    <w:rsid w:val="00342219"/>
    <w:rsid w:val="00366067"/>
    <w:rsid w:val="003927AC"/>
    <w:rsid w:val="003971F6"/>
    <w:rsid w:val="003B4537"/>
    <w:rsid w:val="003F2AF4"/>
    <w:rsid w:val="003F7366"/>
    <w:rsid w:val="004326BB"/>
    <w:rsid w:val="004432A3"/>
    <w:rsid w:val="00456DDE"/>
    <w:rsid w:val="004742D0"/>
    <w:rsid w:val="004B24B2"/>
    <w:rsid w:val="004E0AAE"/>
    <w:rsid w:val="004F4BBA"/>
    <w:rsid w:val="005233AA"/>
    <w:rsid w:val="00533F41"/>
    <w:rsid w:val="00551B0F"/>
    <w:rsid w:val="005659FB"/>
    <w:rsid w:val="00582831"/>
    <w:rsid w:val="005B3E3C"/>
    <w:rsid w:val="005C2C6E"/>
    <w:rsid w:val="005C3FC1"/>
    <w:rsid w:val="005D20D4"/>
    <w:rsid w:val="005D3499"/>
    <w:rsid w:val="005E2583"/>
    <w:rsid w:val="0061684E"/>
    <w:rsid w:val="00655B10"/>
    <w:rsid w:val="00656584"/>
    <w:rsid w:val="00674B5D"/>
    <w:rsid w:val="006B6902"/>
    <w:rsid w:val="006E38F4"/>
    <w:rsid w:val="006E3C3E"/>
    <w:rsid w:val="006F2F62"/>
    <w:rsid w:val="00722A2B"/>
    <w:rsid w:val="0073522A"/>
    <w:rsid w:val="00766230"/>
    <w:rsid w:val="007769CD"/>
    <w:rsid w:val="00777514"/>
    <w:rsid w:val="0078032B"/>
    <w:rsid w:val="00781566"/>
    <w:rsid w:val="007976E7"/>
    <w:rsid w:val="007A2CF0"/>
    <w:rsid w:val="007A318A"/>
    <w:rsid w:val="007B02FB"/>
    <w:rsid w:val="007B6D77"/>
    <w:rsid w:val="007C5E98"/>
    <w:rsid w:val="007E3B7E"/>
    <w:rsid w:val="00802701"/>
    <w:rsid w:val="008038A2"/>
    <w:rsid w:val="00811FE8"/>
    <w:rsid w:val="0084720C"/>
    <w:rsid w:val="008620A8"/>
    <w:rsid w:val="0086436B"/>
    <w:rsid w:val="00894B97"/>
    <w:rsid w:val="00895A10"/>
    <w:rsid w:val="008B448F"/>
    <w:rsid w:val="008B5883"/>
    <w:rsid w:val="008E27C9"/>
    <w:rsid w:val="009155CE"/>
    <w:rsid w:val="0092104D"/>
    <w:rsid w:val="0093333D"/>
    <w:rsid w:val="00946E6E"/>
    <w:rsid w:val="009869CE"/>
    <w:rsid w:val="009869DE"/>
    <w:rsid w:val="00996676"/>
    <w:rsid w:val="009B1280"/>
    <w:rsid w:val="009C1F87"/>
    <w:rsid w:val="00A674FB"/>
    <w:rsid w:val="00A85311"/>
    <w:rsid w:val="00A86977"/>
    <w:rsid w:val="00AA0C3F"/>
    <w:rsid w:val="00AC3814"/>
    <w:rsid w:val="00AF0562"/>
    <w:rsid w:val="00AF5363"/>
    <w:rsid w:val="00B10FB2"/>
    <w:rsid w:val="00B26E1A"/>
    <w:rsid w:val="00B26F2C"/>
    <w:rsid w:val="00B50D5E"/>
    <w:rsid w:val="00BA3B3E"/>
    <w:rsid w:val="00BC152C"/>
    <w:rsid w:val="00BD0322"/>
    <w:rsid w:val="00BE066C"/>
    <w:rsid w:val="00BF3538"/>
    <w:rsid w:val="00BF5367"/>
    <w:rsid w:val="00C07817"/>
    <w:rsid w:val="00C11AA2"/>
    <w:rsid w:val="00C40728"/>
    <w:rsid w:val="00C56F57"/>
    <w:rsid w:val="00C57358"/>
    <w:rsid w:val="00C6357C"/>
    <w:rsid w:val="00C67635"/>
    <w:rsid w:val="00C71005"/>
    <w:rsid w:val="00C855F5"/>
    <w:rsid w:val="00CB3A79"/>
    <w:rsid w:val="00CB74F6"/>
    <w:rsid w:val="00D07064"/>
    <w:rsid w:val="00D101CB"/>
    <w:rsid w:val="00D279FC"/>
    <w:rsid w:val="00D3125F"/>
    <w:rsid w:val="00D55ADD"/>
    <w:rsid w:val="00D8544F"/>
    <w:rsid w:val="00D870AD"/>
    <w:rsid w:val="00DA0FA6"/>
    <w:rsid w:val="00DB161E"/>
    <w:rsid w:val="00DC46A7"/>
    <w:rsid w:val="00DD21B1"/>
    <w:rsid w:val="00DD33DF"/>
    <w:rsid w:val="00DE1293"/>
    <w:rsid w:val="00DF10CC"/>
    <w:rsid w:val="00E402C3"/>
    <w:rsid w:val="00E60D96"/>
    <w:rsid w:val="00E827C5"/>
    <w:rsid w:val="00E94A21"/>
    <w:rsid w:val="00EE17F7"/>
    <w:rsid w:val="00EF35EC"/>
    <w:rsid w:val="00F2180B"/>
    <w:rsid w:val="00F24EB2"/>
    <w:rsid w:val="00F259ED"/>
    <w:rsid w:val="00F50A07"/>
    <w:rsid w:val="00F57119"/>
    <w:rsid w:val="00F715FD"/>
    <w:rsid w:val="00F77C13"/>
    <w:rsid w:val="00F77DD1"/>
    <w:rsid w:val="00F90501"/>
    <w:rsid w:val="00F945DB"/>
    <w:rsid w:val="00FA3993"/>
    <w:rsid w:val="00FA5118"/>
    <w:rsid w:val="00FC71D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0203C4"/>
  <w15:docId w15:val="{A1A984DE-B752-40E2-A81D-F267A1D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9120-7F33-4BBC-9413-427EC249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1293</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4</cp:revision>
  <cp:lastPrinted>2018-03-16T12:18:00Z</cp:lastPrinted>
  <dcterms:created xsi:type="dcterms:W3CDTF">2018-03-16T11:20:00Z</dcterms:created>
  <dcterms:modified xsi:type="dcterms:W3CDTF">2018-03-16T12:19:00Z</dcterms:modified>
</cp:coreProperties>
</file>