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4112614</wp:posOffset>
                </wp:positionH>
                <wp:positionV relativeFrom="paragraph">
                  <wp:posOffset>51376</wp:posOffset>
                </wp:positionV>
                <wp:extent cx="1371600" cy="489098"/>
                <wp:effectExtent l="0" t="0" r="19050" b="254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89098"/>
                        </a:xfrm>
                        <a:prstGeom prst="rect">
                          <a:avLst/>
                        </a:prstGeom>
                        <a:solidFill>
                          <a:srgbClr val="FFFFFF"/>
                        </a:solidFill>
                        <a:ln w="9525">
                          <a:solidFill>
                            <a:srgbClr val="000000"/>
                          </a:solidFill>
                          <a:miter lim="800000"/>
                          <a:headEnd/>
                          <a:tailEnd/>
                        </a:ln>
                      </wps:spPr>
                      <wps:txbx>
                        <w:txbxContent>
                          <w:p w:rsidR="00781566" w:rsidRDefault="0025508D">
                            <w:pPr>
                              <w:jc w:val="center"/>
                              <w:rPr>
                                <w:rFonts w:ascii="Arial" w:hAnsi="Arial" w:cs="Arial"/>
                              </w:rPr>
                            </w:pPr>
                            <w:r>
                              <w:rPr>
                                <w:rFonts w:ascii="Arial" w:hAnsi="Arial" w:cs="Arial"/>
                                <w:b/>
                              </w:rPr>
                              <w:t xml:space="preserve">BOD </w:t>
                            </w:r>
                            <w:r w:rsidR="00754EA9">
                              <w:rPr>
                                <w:rFonts w:ascii="Arial" w:hAnsi="Arial" w:cs="Arial"/>
                                <w:b/>
                              </w:rPr>
                              <w:t>93/2018</w:t>
                            </w:r>
                          </w:p>
                          <w:p w:rsidR="0025508D" w:rsidRPr="0025508D" w:rsidRDefault="00754EA9">
                            <w:pPr>
                              <w:jc w:val="center"/>
                              <w:rPr>
                                <w:rFonts w:ascii="Arial" w:hAnsi="Arial" w:cs="Arial"/>
                                <w:sz w:val="22"/>
                                <w:szCs w:val="22"/>
                              </w:rPr>
                            </w:pPr>
                            <w:r>
                              <w:rPr>
                                <w:rFonts w:ascii="Arial" w:hAnsi="Arial" w:cs="Arial"/>
                                <w:sz w:val="22"/>
                                <w:szCs w:val="22"/>
                              </w:rPr>
                              <w:t>(Agenda item: 6</w:t>
                            </w:r>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3.85pt;margin-top:4.05pt;width:108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">
                <v:textbox inset="0,0,0,0">
                  <w:txbxContent>
                    <w:p w:rsidR="00781566" w:rsidRDefault="0025508D">
                      <w:pPr>
                        <w:jc w:val="center"/>
                        <w:rPr>
                          <w:rFonts w:ascii="Arial" w:hAnsi="Arial" w:cs="Arial"/>
                        </w:rPr>
                      </w:pPr>
                      <w:r>
                        <w:rPr>
                          <w:rFonts w:ascii="Arial" w:hAnsi="Arial" w:cs="Arial"/>
                          <w:b/>
                        </w:rPr>
                        <w:t xml:space="preserve">BOD </w:t>
                      </w:r>
                      <w:r w:rsidR="00754EA9">
                        <w:rPr>
                          <w:rFonts w:ascii="Arial" w:hAnsi="Arial" w:cs="Arial"/>
                          <w:b/>
                        </w:rPr>
                        <w:t>93/2018</w:t>
                      </w:r>
                    </w:p>
                    <w:p w:rsidR="0025508D" w:rsidRPr="0025508D" w:rsidRDefault="00754EA9">
                      <w:pPr>
                        <w:jc w:val="center"/>
                        <w:rPr>
                          <w:rFonts w:ascii="Arial" w:hAnsi="Arial" w:cs="Arial"/>
                          <w:sz w:val="22"/>
                          <w:szCs w:val="22"/>
                        </w:rPr>
                      </w:pPr>
                      <w:r>
                        <w:rPr>
                          <w:rFonts w:ascii="Arial" w:hAnsi="Arial" w:cs="Arial"/>
                          <w:sz w:val="22"/>
                          <w:szCs w:val="22"/>
                        </w:rPr>
                        <w:t>(Agenda item: 6</w:t>
                      </w:r>
                      <w:r w:rsidR="0025508D">
                        <w:rPr>
                          <w:rFonts w:ascii="Arial" w:hAnsi="Arial" w:cs="Arial"/>
                          <w:sz w:val="22"/>
                          <w:szCs w:val="22"/>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bookmarkStart w:id="0" w:name="_GoBack"/>
      <w:bookmarkEnd w:id="0"/>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A513BC">
      <w:pPr>
        <w:jc w:val="center"/>
        <w:rPr>
          <w:rFonts w:ascii="Arial" w:hAnsi="Arial" w:cs="Arial"/>
          <w:b/>
        </w:rPr>
      </w:pPr>
      <w:r>
        <w:rPr>
          <w:rFonts w:ascii="Arial" w:hAnsi="Arial" w:cs="Arial"/>
          <w:b/>
        </w:rPr>
        <w:t>26</w:t>
      </w:r>
      <w:r w:rsidR="004F76DF">
        <w:rPr>
          <w:rFonts w:ascii="Arial" w:hAnsi="Arial" w:cs="Arial"/>
          <w:b/>
        </w:rPr>
        <w:t xml:space="preserve"> July 2018</w:t>
      </w:r>
    </w:p>
    <w:p w:rsidR="005D3499" w:rsidRDefault="005D3499">
      <w:pPr>
        <w:jc w:val="center"/>
        <w:rPr>
          <w:rFonts w:ascii="Arial" w:hAnsi="Arial" w:cs="Arial"/>
          <w:b/>
        </w:rPr>
      </w:pPr>
    </w:p>
    <w:p w:rsidR="005D3499" w:rsidRDefault="00922966" w:rsidP="00FD2279">
      <w:pPr>
        <w:jc w:val="center"/>
        <w:rPr>
          <w:rFonts w:ascii="Arial" w:hAnsi="Arial" w:cs="Arial"/>
          <w:b/>
        </w:rPr>
      </w:pPr>
      <w:r>
        <w:rPr>
          <w:rFonts w:ascii="Arial" w:hAnsi="Arial" w:cs="Arial"/>
          <w:b/>
        </w:rPr>
        <w:t xml:space="preserve">Monthly Performance </w:t>
      </w:r>
      <w:r w:rsidR="004F76DF">
        <w:rPr>
          <w:rFonts w:ascii="Arial" w:hAnsi="Arial" w:cs="Arial"/>
          <w:b/>
        </w:rPr>
        <w:t xml:space="preserve">Summary </w:t>
      </w:r>
      <w:r>
        <w:rPr>
          <w:rFonts w:ascii="Arial" w:hAnsi="Arial" w:cs="Arial"/>
          <w:b/>
        </w:rPr>
        <w:t>Report</w:t>
      </w:r>
      <w:r w:rsidR="000B77F9">
        <w:rPr>
          <w:rFonts w:ascii="Arial" w:hAnsi="Arial" w:cs="Arial"/>
          <w:b/>
        </w:rPr>
        <w:t xml:space="preserve"> – </w:t>
      </w:r>
      <w:r w:rsidR="004F76DF">
        <w:rPr>
          <w:rFonts w:ascii="Arial" w:hAnsi="Arial" w:cs="Arial"/>
          <w:b/>
        </w:rPr>
        <w:t>M3 June</w:t>
      </w:r>
      <w:r w:rsidR="00026260">
        <w:rPr>
          <w:rFonts w:ascii="Arial" w:hAnsi="Arial" w:cs="Arial"/>
          <w:b/>
        </w:rPr>
        <w:t xml:space="preserve"> 2018</w:t>
      </w: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7A2CF0" w:rsidRDefault="007A2CF0" w:rsidP="007A2CF0">
      <w:pPr>
        <w:jc w:val="both"/>
        <w:rPr>
          <w:rFonts w:ascii="Arial" w:hAnsi="Arial" w:cs="Arial"/>
          <w:b/>
        </w:rPr>
      </w:pPr>
    </w:p>
    <w:p w:rsidR="004927EF" w:rsidRDefault="00E96204" w:rsidP="007A2CF0">
      <w:pPr>
        <w:jc w:val="both"/>
        <w:rPr>
          <w:rFonts w:ascii="Arial" w:hAnsi="Arial" w:cs="Arial"/>
        </w:rPr>
      </w:pPr>
      <w:r>
        <w:rPr>
          <w:rFonts w:ascii="Arial" w:hAnsi="Arial" w:cs="Arial"/>
        </w:rPr>
        <w:t>The monthly performance report provides an overall view of the Trusts performance against both national and locally contracted indicators.</w:t>
      </w:r>
      <w:r w:rsidR="00C860A3">
        <w:rPr>
          <w:rFonts w:ascii="Arial" w:hAnsi="Arial" w:cs="Arial"/>
        </w:rPr>
        <w:t xml:space="preserve">  Following an internal review,</w:t>
      </w:r>
      <w:r w:rsidR="00707687">
        <w:rPr>
          <w:rFonts w:ascii="Arial" w:hAnsi="Arial" w:cs="Arial"/>
        </w:rPr>
        <w:t xml:space="preserve"> the </w:t>
      </w:r>
      <w:r w:rsidR="00707687" w:rsidRPr="00707687">
        <w:rPr>
          <w:rFonts w:ascii="Arial" w:hAnsi="Arial" w:cs="Arial"/>
          <w:b/>
        </w:rPr>
        <w:t>21</w:t>
      </w:r>
      <w:r w:rsidR="00500DD1">
        <w:rPr>
          <w:rFonts w:ascii="Arial" w:hAnsi="Arial" w:cs="Arial"/>
          <w:b/>
        </w:rPr>
        <w:t xml:space="preserve">02 </w:t>
      </w:r>
      <w:r w:rsidR="00C860A3" w:rsidRPr="00707687">
        <w:rPr>
          <w:rFonts w:ascii="Arial" w:hAnsi="Arial" w:cs="Arial"/>
          <w:b/>
        </w:rPr>
        <w:t>performance indicators</w:t>
      </w:r>
      <w:r w:rsidR="00C860A3">
        <w:rPr>
          <w:rFonts w:ascii="Arial" w:hAnsi="Arial" w:cs="Arial"/>
        </w:rPr>
        <w:t xml:space="preserve"> are now divided into two </w:t>
      </w:r>
      <w:r w:rsidR="004927EF">
        <w:rPr>
          <w:rFonts w:ascii="Arial" w:hAnsi="Arial" w:cs="Arial"/>
        </w:rPr>
        <w:t>categories;</w:t>
      </w:r>
    </w:p>
    <w:p w:rsidR="004927EF" w:rsidRDefault="004927EF" w:rsidP="007A2CF0">
      <w:pPr>
        <w:jc w:val="both"/>
        <w:rPr>
          <w:rFonts w:ascii="Arial" w:hAnsi="Arial" w:cs="Arial"/>
        </w:rPr>
      </w:pPr>
    </w:p>
    <w:p w:rsidR="0051033C" w:rsidRPr="0051033C" w:rsidRDefault="00C860A3" w:rsidP="0051033C">
      <w:pPr>
        <w:pStyle w:val="ListParagraph"/>
        <w:numPr>
          <w:ilvl w:val="0"/>
          <w:numId w:val="16"/>
        </w:numPr>
        <w:jc w:val="both"/>
        <w:rPr>
          <w:rFonts w:ascii="Arial" w:hAnsi="Arial" w:cs="Arial"/>
        </w:rPr>
      </w:pPr>
      <w:r w:rsidRPr="0051033C">
        <w:rPr>
          <w:rFonts w:ascii="Arial" w:hAnsi="Arial" w:cs="Arial"/>
        </w:rPr>
        <w:t>those that have specifically defined targets and must be reported to Commissioners on an agreed basis</w:t>
      </w:r>
      <w:r w:rsidR="00586FE0">
        <w:rPr>
          <w:rFonts w:ascii="Arial" w:hAnsi="Arial" w:cs="Arial"/>
        </w:rPr>
        <w:t xml:space="preserve"> (5</w:t>
      </w:r>
      <w:r w:rsidR="00F639ED">
        <w:rPr>
          <w:rFonts w:ascii="Arial" w:hAnsi="Arial" w:cs="Arial"/>
        </w:rPr>
        <w:t>53</w:t>
      </w:r>
      <w:r w:rsidR="00586FE0">
        <w:rPr>
          <w:rFonts w:ascii="Arial" w:hAnsi="Arial" w:cs="Arial"/>
        </w:rPr>
        <w:t xml:space="preserve"> indicators)</w:t>
      </w:r>
      <w:r w:rsidRPr="0051033C">
        <w:rPr>
          <w:rFonts w:ascii="Arial" w:hAnsi="Arial" w:cs="Arial"/>
        </w:rPr>
        <w:t xml:space="preserve"> and</w:t>
      </w:r>
    </w:p>
    <w:p w:rsidR="0051033C" w:rsidRPr="0051033C" w:rsidRDefault="00C860A3" w:rsidP="0051033C">
      <w:pPr>
        <w:pStyle w:val="ListParagraph"/>
        <w:numPr>
          <w:ilvl w:val="0"/>
          <w:numId w:val="16"/>
        </w:numPr>
        <w:jc w:val="both"/>
        <w:rPr>
          <w:rFonts w:ascii="Arial" w:hAnsi="Arial" w:cs="Arial"/>
        </w:rPr>
      </w:pPr>
      <w:r w:rsidRPr="0051033C">
        <w:rPr>
          <w:rFonts w:ascii="Arial" w:hAnsi="Arial" w:cs="Arial"/>
        </w:rPr>
        <w:t>those that are f</w:t>
      </w:r>
      <w:r w:rsidR="00586FE0">
        <w:rPr>
          <w:rFonts w:ascii="Arial" w:hAnsi="Arial" w:cs="Arial"/>
        </w:rPr>
        <w:t>or context or monitoring only (</w:t>
      </w:r>
      <w:r w:rsidR="00707687">
        <w:rPr>
          <w:rFonts w:ascii="Arial" w:hAnsi="Arial" w:cs="Arial"/>
        </w:rPr>
        <w:t>15</w:t>
      </w:r>
      <w:r w:rsidR="00F639ED">
        <w:rPr>
          <w:rFonts w:ascii="Arial" w:hAnsi="Arial" w:cs="Arial"/>
        </w:rPr>
        <w:t>49</w:t>
      </w:r>
      <w:r w:rsidR="00707687">
        <w:rPr>
          <w:rFonts w:ascii="Arial" w:hAnsi="Arial" w:cs="Arial"/>
        </w:rPr>
        <w:t xml:space="preserve"> indicators)</w:t>
      </w:r>
    </w:p>
    <w:p w:rsidR="0051033C" w:rsidRDefault="0051033C" w:rsidP="007A2CF0">
      <w:pPr>
        <w:jc w:val="both"/>
        <w:rPr>
          <w:rFonts w:ascii="Arial" w:hAnsi="Arial" w:cs="Arial"/>
        </w:rPr>
      </w:pPr>
    </w:p>
    <w:p w:rsidR="00C860A3" w:rsidRDefault="00C860A3" w:rsidP="007A2CF0">
      <w:pPr>
        <w:jc w:val="both"/>
        <w:rPr>
          <w:rFonts w:ascii="Arial" w:hAnsi="Arial" w:cs="Arial"/>
        </w:rPr>
      </w:pPr>
      <w:r>
        <w:rPr>
          <w:rFonts w:ascii="Arial" w:hAnsi="Arial" w:cs="Arial"/>
        </w:rPr>
        <w:t xml:space="preserve">The latter are now only reported </w:t>
      </w:r>
      <w:r w:rsidR="001948F6">
        <w:rPr>
          <w:rFonts w:ascii="Arial" w:hAnsi="Arial" w:cs="Arial"/>
        </w:rPr>
        <w:t xml:space="preserve">on </w:t>
      </w:r>
      <w:r w:rsidR="005168FF">
        <w:rPr>
          <w:rFonts w:ascii="Arial" w:hAnsi="Arial" w:cs="Arial"/>
        </w:rPr>
        <w:t>a numbers basis</w:t>
      </w:r>
      <w:r>
        <w:rPr>
          <w:rFonts w:ascii="Arial" w:hAnsi="Arial" w:cs="Arial"/>
        </w:rPr>
        <w:t xml:space="preserve"> so tha</w:t>
      </w:r>
      <w:r w:rsidR="001948F6">
        <w:rPr>
          <w:rFonts w:ascii="Arial" w:hAnsi="Arial" w:cs="Arial"/>
        </w:rPr>
        <w:t>t the Board are able to see the overall volume of reporting activity</w:t>
      </w:r>
      <w:r w:rsidR="004E3E03">
        <w:rPr>
          <w:rFonts w:ascii="Arial" w:hAnsi="Arial" w:cs="Arial"/>
        </w:rPr>
        <w:t xml:space="preserve"> and to monitor their reduction during 2018/19</w:t>
      </w:r>
      <w:r>
        <w:rPr>
          <w:rFonts w:ascii="Arial" w:hAnsi="Arial" w:cs="Arial"/>
        </w:rPr>
        <w:t>.</w:t>
      </w:r>
    </w:p>
    <w:p w:rsidR="00C84D5C" w:rsidRDefault="00C84D5C" w:rsidP="007A2CF0">
      <w:pPr>
        <w:jc w:val="both"/>
        <w:rPr>
          <w:rFonts w:ascii="Arial" w:hAnsi="Arial" w:cs="Arial"/>
        </w:rPr>
      </w:pPr>
    </w:p>
    <w:tbl>
      <w:tblPr>
        <w:tblW w:w="10060" w:type="dxa"/>
        <w:tblCellMar>
          <w:top w:w="15" w:type="dxa"/>
          <w:bottom w:w="15" w:type="dxa"/>
        </w:tblCellMar>
        <w:tblLook w:val="04A0" w:firstRow="1" w:lastRow="0" w:firstColumn="1" w:lastColumn="0" w:noHBand="0" w:noVBand="1"/>
      </w:tblPr>
      <w:tblGrid>
        <w:gridCol w:w="2972"/>
        <w:gridCol w:w="1026"/>
        <w:gridCol w:w="1121"/>
        <w:gridCol w:w="801"/>
        <w:gridCol w:w="1305"/>
        <w:gridCol w:w="850"/>
        <w:gridCol w:w="1169"/>
        <w:gridCol w:w="816"/>
      </w:tblGrid>
      <w:tr w:rsidR="00C84D5C" w:rsidTr="00572B7C">
        <w:trPr>
          <w:trHeight w:val="330"/>
        </w:trPr>
        <w:tc>
          <w:tcPr>
            <w:tcW w:w="2972" w:type="dxa"/>
            <w:tcBorders>
              <w:top w:val="single" w:sz="4" w:space="0" w:color="FFFFFF"/>
              <w:left w:val="single" w:sz="4" w:space="0" w:color="FFFFFF"/>
              <w:bottom w:val="single" w:sz="4" w:space="0" w:color="FFFFFF"/>
              <w:right w:val="single" w:sz="4" w:space="0" w:color="FFFFFF"/>
            </w:tcBorders>
            <w:noWrap/>
            <w:vAlign w:val="bottom"/>
            <w:hideMark/>
          </w:tcPr>
          <w:p w:rsidR="00C84D5C" w:rsidRDefault="00C84D5C" w:rsidP="00572B7C">
            <w:pPr>
              <w:rPr>
                <w:sz w:val="20"/>
                <w:szCs w:val="20"/>
              </w:rPr>
            </w:pPr>
          </w:p>
        </w:tc>
        <w:tc>
          <w:tcPr>
            <w:tcW w:w="4253" w:type="dxa"/>
            <w:gridSpan w:val="4"/>
            <w:tcBorders>
              <w:top w:val="single" w:sz="4" w:space="0" w:color="FFFFFF"/>
              <w:left w:val="single" w:sz="4" w:space="0" w:color="FFFFFF"/>
              <w:bottom w:val="single" w:sz="4" w:space="0" w:color="FFFFFF"/>
              <w:right w:val="single" w:sz="4" w:space="0" w:color="FFFFFF"/>
            </w:tcBorders>
            <w:shd w:val="clear" w:color="000000" w:fill="002060"/>
            <w:noWrap/>
            <w:vAlign w:val="bottom"/>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Indicators with defined targets</w:t>
            </w:r>
          </w:p>
        </w:tc>
        <w:tc>
          <w:tcPr>
            <w:tcW w:w="850" w:type="dxa"/>
            <w:tcBorders>
              <w:top w:val="single" w:sz="4" w:space="0" w:color="FFFFFF"/>
              <w:left w:val="single" w:sz="4" w:space="0" w:color="FFFFFF"/>
              <w:bottom w:val="single" w:sz="4" w:space="0" w:color="FFFFFF"/>
              <w:right w:val="single" w:sz="4" w:space="0" w:color="FFFFFF"/>
            </w:tcBorders>
            <w:shd w:val="clear" w:color="000000" w:fill="002060"/>
            <w:noWrap/>
            <w:vAlign w:val="bottom"/>
            <w:hideMark/>
          </w:tcPr>
          <w:p w:rsidR="00C84D5C" w:rsidRDefault="00C84D5C" w:rsidP="00572B7C">
            <w:pPr>
              <w:jc w:val="center"/>
              <w:rPr>
                <w:rFonts w:ascii="Segoe UI" w:hAnsi="Segoe UI" w:cs="Segoe UI"/>
                <w:color w:val="FFFFFF"/>
                <w:sz w:val="22"/>
                <w:szCs w:val="22"/>
              </w:rPr>
            </w:pPr>
          </w:p>
        </w:tc>
        <w:tc>
          <w:tcPr>
            <w:tcW w:w="1169"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Indicators with no target</w:t>
            </w:r>
          </w:p>
        </w:tc>
        <w:tc>
          <w:tcPr>
            <w:tcW w:w="816" w:type="dxa"/>
            <w:vMerge w:val="restart"/>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Totals</w:t>
            </w:r>
          </w:p>
        </w:tc>
      </w:tr>
      <w:tr w:rsidR="00C84D5C" w:rsidTr="00572B7C">
        <w:trPr>
          <w:trHeight w:val="645"/>
        </w:trPr>
        <w:tc>
          <w:tcPr>
            <w:tcW w:w="2972" w:type="dxa"/>
            <w:tcBorders>
              <w:top w:val="single" w:sz="4" w:space="0" w:color="FFFFFF"/>
              <w:left w:val="single" w:sz="4" w:space="0" w:color="FFFFFF"/>
              <w:bottom w:val="single" w:sz="4" w:space="0" w:color="FFFFFF"/>
              <w:right w:val="single" w:sz="4" w:space="0" w:color="FFFFFF"/>
            </w:tcBorders>
            <w:shd w:val="clear" w:color="000000" w:fill="2F75B5"/>
            <w:vAlign w:val="center"/>
            <w:hideMark/>
          </w:tcPr>
          <w:p w:rsidR="00C84D5C" w:rsidRDefault="00C84D5C" w:rsidP="00572B7C">
            <w:pPr>
              <w:rPr>
                <w:rFonts w:ascii="Segoe UI" w:hAnsi="Segoe UI" w:cs="Segoe UI"/>
                <w:color w:val="FFFFFF"/>
                <w:sz w:val="22"/>
                <w:szCs w:val="22"/>
              </w:rPr>
            </w:pPr>
            <w:r>
              <w:rPr>
                <w:rFonts w:ascii="Segoe UI" w:hAnsi="Segoe UI" w:cs="Segoe UI"/>
                <w:color w:val="FFFFFF"/>
                <w:sz w:val="22"/>
                <w:szCs w:val="22"/>
              </w:rPr>
              <w:t>Directorate</w:t>
            </w:r>
          </w:p>
        </w:tc>
        <w:tc>
          <w:tcPr>
            <w:tcW w:w="1026" w:type="dxa"/>
            <w:tcBorders>
              <w:top w:val="single" w:sz="4" w:space="0" w:color="FFFFFF"/>
              <w:left w:val="single" w:sz="4" w:space="0" w:color="FFFFFF"/>
              <w:bottom w:val="single" w:sz="4" w:space="0" w:color="FFFFFF"/>
              <w:right w:val="single" w:sz="4" w:space="0" w:color="FFFFFF"/>
            </w:tcBorders>
            <w:shd w:val="clear" w:color="000000" w:fill="2F75B5"/>
            <w:noWrap/>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Monthly</w:t>
            </w:r>
          </w:p>
        </w:tc>
        <w:tc>
          <w:tcPr>
            <w:tcW w:w="1121" w:type="dxa"/>
            <w:tcBorders>
              <w:top w:val="single" w:sz="4" w:space="0" w:color="FFFFFF"/>
              <w:left w:val="single" w:sz="4" w:space="0" w:color="FFFFFF"/>
              <w:bottom w:val="single" w:sz="4" w:space="0" w:color="FFFFFF"/>
              <w:right w:val="single" w:sz="4" w:space="0" w:color="FFFFFF"/>
            </w:tcBorders>
            <w:shd w:val="clear" w:color="000000" w:fill="2F75B5"/>
            <w:noWrap/>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Quarterly</w:t>
            </w:r>
          </w:p>
        </w:tc>
        <w:tc>
          <w:tcPr>
            <w:tcW w:w="801" w:type="dxa"/>
            <w:tcBorders>
              <w:top w:val="single" w:sz="4" w:space="0" w:color="FFFFFF"/>
              <w:left w:val="single" w:sz="4" w:space="0" w:color="FFFFFF"/>
              <w:bottom w:val="single" w:sz="4" w:space="0" w:color="FFFFFF"/>
              <w:right w:val="single" w:sz="4" w:space="0" w:color="FFFFFF"/>
            </w:tcBorders>
            <w:shd w:val="clear" w:color="000000" w:fill="2F75B5"/>
            <w:noWrap/>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Yearly</w:t>
            </w:r>
          </w:p>
        </w:tc>
        <w:tc>
          <w:tcPr>
            <w:tcW w:w="1305" w:type="dxa"/>
            <w:tcBorders>
              <w:top w:val="single" w:sz="4" w:space="0" w:color="FFFFFF"/>
              <w:left w:val="single" w:sz="4" w:space="0" w:color="FFFFFF"/>
              <w:bottom w:val="single" w:sz="4" w:space="0" w:color="FFFFFF"/>
              <w:right w:val="single" w:sz="4" w:space="0" w:color="FFFFFF"/>
            </w:tcBorders>
            <w:shd w:val="clear" w:color="000000" w:fill="2F75B5"/>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Bi-Annual/</w:t>
            </w:r>
          </w:p>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Seasonal</w:t>
            </w:r>
          </w:p>
        </w:tc>
        <w:tc>
          <w:tcPr>
            <w:tcW w:w="850" w:type="dxa"/>
            <w:tcBorders>
              <w:top w:val="single" w:sz="4" w:space="0" w:color="FFFFFF"/>
              <w:left w:val="single" w:sz="4" w:space="0" w:color="FFFFFF"/>
              <w:bottom w:val="single" w:sz="4" w:space="0" w:color="FFFFFF"/>
              <w:right w:val="single" w:sz="4" w:space="0" w:color="FFFFFF"/>
            </w:tcBorders>
            <w:shd w:val="clear" w:color="000000" w:fill="2F75B5"/>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Total</w:t>
            </w:r>
          </w:p>
        </w:tc>
        <w:tc>
          <w:tcPr>
            <w:tcW w:w="1169" w:type="dxa"/>
            <w:vMerge/>
            <w:tcBorders>
              <w:top w:val="single" w:sz="4" w:space="0" w:color="FFFFFF"/>
              <w:left w:val="single" w:sz="4" w:space="0" w:color="FFFFFF"/>
              <w:bottom w:val="single" w:sz="4" w:space="0" w:color="FFFFFF"/>
              <w:right w:val="single" w:sz="4" w:space="0" w:color="FFFFFF"/>
            </w:tcBorders>
            <w:vAlign w:val="center"/>
            <w:hideMark/>
          </w:tcPr>
          <w:p w:rsidR="00C84D5C" w:rsidRDefault="00C84D5C" w:rsidP="00572B7C">
            <w:pPr>
              <w:rPr>
                <w:rFonts w:ascii="Segoe UI" w:hAnsi="Segoe UI" w:cs="Segoe UI"/>
                <w:color w:val="FFFFFF"/>
                <w:sz w:val="22"/>
                <w:szCs w:val="22"/>
              </w:rPr>
            </w:pPr>
          </w:p>
        </w:tc>
        <w:tc>
          <w:tcPr>
            <w:tcW w:w="816" w:type="dxa"/>
            <w:vMerge/>
            <w:tcBorders>
              <w:top w:val="single" w:sz="4" w:space="0" w:color="FFFFFF"/>
              <w:left w:val="single" w:sz="4" w:space="0" w:color="FFFFFF"/>
              <w:bottom w:val="single" w:sz="4" w:space="0" w:color="FFFFFF"/>
              <w:right w:val="single" w:sz="4" w:space="0" w:color="FFFFFF"/>
            </w:tcBorders>
            <w:vAlign w:val="center"/>
            <w:hideMark/>
          </w:tcPr>
          <w:p w:rsidR="00C84D5C" w:rsidRDefault="00C84D5C" w:rsidP="00572B7C">
            <w:pPr>
              <w:rPr>
                <w:rFonts w:ascii="Segoe UI" w:hAnsi="Segoe UI" w:cs="Segoe UI"/>
                <w:color w:val="FFFFFF"/>
                <w:sz w:val="22"/>
                <w:szCs w:val="22"/>
              </w:rPr>
            </w:pPr>
          </w:p>
        </w:tc>
      </w:tr>
      <w:tr w:rsidR="00C84D5C" w:rsidTr="00572B7C">
        <w:trPr>
          <w:trHeight w:val="405"/>
        </w:trPr>
        <w:tc>
          <w:tcPr>
            <w:tcW w:w="10060" w:type="dxa"/>
            <w:gridSpan w:val="8"/>
            <w:tcBorders>
              <w:top w:val="single" w:sz="4" w:space="0" w:color="FFFFFF"/>
              <w:left w:val="single" w:sz="4" w:space="0" w:color="FFFFFF"/>
              <w:bottom w:val="single" w:sz="4" w:space="0" w:color="FFFFFF"/>
              <w:right w:val="single" w:sz="4" w:space="0" w:color="FFFFFF"/>
            </w:tcBorders>
            <w:shd w:val="clear" w:color="000000" w:fill="002060"/>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National Performance</w:t>
            </w:r>
          </w:p>
        </w:tc>
      </w:tr>
      <w:tr w:rsidR="00C84D5C" w:rsidTr="00572B7C">
        <w:trPr>
          <w:trHeight w:val="405"/>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C84D5C" w:rsidRDefault="00C84D5C" w:rsidP="00572B7C">
            <w:pPr>
              <w:rPr>
                <w:rFonts w:ascii="Segoe UI" w:hAnsi="Segoe UI" w:cs="Segoe UI"/>
                <w:color w:val="000000"/>
                <w:sz w:val="22"/>
                <w:szCs w:val="22"/>
              </w:rPr>
            </w:pPr>
            <w:r>
              <w:rPr>
                <w:rFonts w:ascii="Segoe UI" w:hAnsi="Segoe UI" w:cs="Segoe UI"/>
                <w:color w:val="000000"/>
                <w:sz w:val="22"/>
                <w:szCs w:val="22"/>
              </w:rPr>
              <w:t>Single Oversight Framework</w:t>
            </w:r>
          </w:p>
        </w:tc>
        <w:tc>
          <w:tcPr>
            <w:tcW w:w="1026" w:type="dxa"/>
            <w:tcBorders>
              <w:top w:val="nil"/>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16</w:t>
            </w:r>
          </w:p>
        </w:tc>
        <w:tc>
          <w:tcPr>
            <w:tcW w:w="1121" w:type="dxa"/>
            <w:tcBorders>
              <w:top w:val="nil"/>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4</w:t>
            </w:r>
          </w:p>
        </w:tc>
        <w:tc>
          <w:tcPr>
            <w:tcW w:w="801" w:type="dxa"/>
            <w:tcBorders>
              <w:top w:val="nil"/>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2</w:t>
            </w:r>
          </w:p>
        </w:tc>
        <w:tc>
          <w:tcPr>
            <w:tcW w:w="1305" w:type="dxa"/>
            <w:tcBorders>
              <w:top w:val="nil"/>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22</w:t>
            </w:r>
          </w:p>
        </w:tc>
        <w:tc>
          <w:tcPr>
            <w:tcW w:w="1169" w:type="dxa"/>
            <w:tcBorders>
              <w:top w:val="nil"/>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24</w:t>
            </w:r>
          </w:p>
        </w:tc>
        <w:tc>
          <w:tcPr>
            <w:tcW w:w="816" w:type="dxa"/>
            <w:tcBorders>
              <w:top w:val="nil"/>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46</w:t>
            </w:r>
          </w:p>
        </w:tc>
      </w:tr>
      <w:tr w:rsidR="00C84D5C" w:rsidTr="00572B7C">
        <w:trPr>
          <w:trHeight w:val="405"/>
        </w:trPr>
        <w:tc>
          <w:tcPr>
            <w:tcW w:w="10060" w:type="dxa"/>
            <w:gridSpan w:val="8"/>
            <w:tcBorders>
              <w:top w:val="nil"/>
              <w:left w:val="single" w:sz="4" w:space="0" w:color="auto"/>
              <w:bottom w:val="nil"/>
              <w:right w:val="nil"/>
            </w:tcBorders>
            <w:shd w:val="clear" w:color="000000" w:fill="002060"/>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Local JMG Performance</w:t>
            </w:r>
          </w:p>
        </w:tc>
      </w:tr>
      <w:tr w:rsidR="00C84D5C" w:rsidTr="00572B7C">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D5C" w:rsidRDefault="00C84D5C" w:rsidP="00572B7C">
            <w:pPr>
              <w:rPr>
                <w:rFonts w:ascii="Segoe UI" w:hAnsi="Segoe UI" w:cs="Segoe UI"/>
                <w:color w:val="000000"/>
                <w:sz w:val="22"/>
                <w:szCs w:val="22"/>
              </w:rPr>
            </w:pPr>
            <w:r>
              <w:rPr>
                <w:rFonts w:ascii="Segoe UI" w:hAnsi="Segoe UI" w:cs="Segoe UI"/>
                <w:color w:val="000000"/>
                <w:sz w:val="22"/>
                <w:szCs w:val="22"/>
              </w:rPr>
              <w:t>Joint Management Groups</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15</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21</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36</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111</w:t>
            </w:r>
          </w:p>
        </w:tc>
        <w:tc>
          <w:tcPr>
            <w:tcW w:w="81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147</w:t>
            </w:r>
          </w:p>
        </w:tc>
      </w:tr>
      <w:tr w:rsidR="00C84D5C" w:rsidTr="00572B7C">
        <w:trPr>
          <w:trHeight w:val="420"/>
        </w:trPr>
        <w:tc>
          <w:tcPr>
            <w:tcW w:w="10060" w:type="dxa"/>
            <w:gridSpan w:val="8"/>
            <w:tcBorders>
              <w:top w:val="nil"/>
              <w:left w:val="single" w:sz="4" w:space="0" w:color="auto"/>
              <w:bottom w:val="nil"/>
              <w:right w:val="nil"/>
            </w:tcBorders>
            <w:shd w:val="clear" w:color="000000" w:fill="002060"/>
            <w:vAlign w:val="center"/>
            <w:hideMark/>
          </w:tcPr>
          <w:p w:rsidR="00C84D5C" w:rsidRDefault="00C84D5C" w:rsidP="00572B7C">
            <w:pPr>
              <w:jc w:val="center"/>
              <w:rPr>
                <w:rFonts w:ascii="Segoe UI" w:hAnsi="Segoe UI" w:cs="Segoe UI"/>
                <w:color w:val="FFFFFF"/>
                <w:sz w:val="22"/>
                <w:szCs w:val="22"/>
              </w:rPr>
            </w:pPr>
            <w:proofErr w:type="gramStart"/>
            <w:r>
              <w:rPr>
                <w:rFonts w:ascii="Segoe UI" w:hAnsi="Segoe UI" w:cs="Segoe UI"/>
                <w:color w:val="FFFFFF"/>
                <w:sz w:val="22"/>
                <w:szCs w:val="22"/>
              </w:rPr>
              <w:t>Local  Contractual</w:t>
            </w:r>
            <w:proofErr w:type="gramEnd"/>
            <w:r>
              <w:rPr>
                <w:rFonts w:ascii="Segoe UI" w:hAnsi="Segoe UI" w:cs="Segoe UI"/>
                <w:color w:val="FFFFFF"/>
                <w:sz w:val="22"/>
                <w:szCs w:val="22"/>
              </w:rPr>
              <w:t xml:space="preserve"> Performance</w:t>
            </w:r>
          </w:p>
        </w:tc>
      </w:tr>
      <w:tr w:rsidR="00C84D5C" w:rsidTr="00572B7C">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D5C" w:rsidRDefault="00C84D5C" w:rsidP="00572B7C">
            <w:pPr>
              <w:rPr>
                <w:rFonts w:ascii="Segoe UI" w:hAnsi="Segoe UI" w:cs="Segoe UI"/>
                <w:color w:val="000000"/>
                <w:sz w:val="22"/>
                <w:szCs w:val="22"/>
              </w:rPr>
            </w:pPr>
            <w:r>
              <w:rPr>
                <w:rFonts w:ascii="Segoe UI" w:hAnsi="Segoe UI" w:cs="Segoe UI"/>
                <w:color w:val="000000"/>
                <w:sz w:val="22"/>
                <w:szCs w:val="22"/>
              </w:rPr>
              <w:t>Community Services</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73</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63</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27</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175</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739</w:t>
            </w:r>
          </w:p>
        </w:tc>
        <w:tc>
          <w:tcPr>
            <w:tcW w:w="81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914</w:t>
            </w:r>
          </w:p>
        </w:tc>
      </w:tr>
      <w:tr w:rsidR="00C84D5C" w:rsidTr="00572B7C">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rPr>
                <w:rFonts w:ascii="Segoe UI" w:hAnsi="Segoe UI" w:cs="Segoe UI"/>
                <w:color w:val="000000"/>
                <w:sz w:val="22"/>
                <w:szCs w:val="22"/>
              </w:rPr>
            </w:pPr>
            <w:r>
              <w:rPr>
                <w:rFonts w:ascii="Segoe UI" w:hAnsi="Segoe UI" w:cs="Segoe UI"/>
                <w:color w:val="000000"/>
                <w:sz w:val="22"/>
                <w:szCs w:val="22"/>
              </w:rPr>
              <w:lastRenderedPageBreak/>
              <w:t>All Ages Mental Health Oxon and SWB</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111</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11</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8</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134</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355</w:t>
            </w:r>
          </w:p>
        </w:tc>
        <w:tc>
          <w:tcPr>
            <w:tcW w:w="81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489</w:t>
            </w:r>
          </w:p>
        </w:tc>
      </w:tr>
      <w:tr w:rsidR="00C84D5C" w:rsidTr="00572B7C">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rPr>
                <w:rFonts w:ascii="Segoe UI" w:hAnsi="Segoe UI" w:cs="Segoe UI"/>
                <w:color w:val="000000"/>
                <w:sz w:val="22"/>
                <w:szCs w:val="22"/>
              </w:rPr>
            </w:pPr>
            <w:r>
              <w:rPr>
                <w:rFonts w:ascii="Segoe UI" w:hAnsi="Segoe UI" w:cs="Segoe UI"/>
                <w:color w:val="000000"/>
                <w:sz w:val="22"/>
                <w:szCs w:val="22"/>
              </w:rPr>
              <w:t>All Ages Mental Health Buckinghamshire</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47</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5</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56</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208</w:t>
            </w:r>
          </w:p>
        </w:tc>
        <w:tc>
          <w:tcPr>
            <w:tcW w:w="81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264</w:t>
            </w:r>
          </w:p>
        </w:tc>
      </w:tr>
      <w:tr w:rsidR="00C84D5C" w:rsidTr="00572B7C">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rPr>
                <w:rFonts w:ascii="Segoe UI" w:hAnsi="Segoe UI" w:cs="Segoe UI"/>
                <w:color w:val="000000"/>
                <w:sz w:val="22"/>
                <w:szCs w:val="22"/>
              </w:rPr>
            </w:pPr>
            <w:r>
              <w:rPr>
                <w:rFonts w:ascii="Segoe UI" w:hAnsi="Segoe UI" w:cs="Segoe UI"/>
                <w:color w:val="000000"/>
                <w:sz w:val="22"/>
                <w:szCs w:val="22"/>
              </w:rPr>
              <w:t>Specialised Services</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71</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59</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130</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112</w:t>
            </w:r>
          </w:p>
        </w:tc>
        <w:tc>
          <w:tcPr>
            <w:tcW w:w="81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242</w:t>
            </w:r>
          </w:p>
        </w:tc>
      </w:tr>
      <w:tr w:rsidR="00C84D5C" w:rsidTr="00572B7C">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C84D5C" w:rsidRDefault="00C84D5C" w:rsidP="00572B7C">
            <w:pPr>
              <w:jc w:val="right"/>
              <w:rPr>
                <w:rFonts w:ascii="Segoe UI" w:hAnsi="Segoe UI" w:cs="Segoe UI"/>
                <w:color w:val="000000"/>
                <w:sz w:val="22"/>
                <w:szCs w:val="22"/>
              </w:rPr>
            </w:pPr>
            <w:r>
              <w:rPr>
                <w:rFonts w:ascii="Segoe UI" w:hAnsi="Segoe UI" w:cs="Segoe UI"/>
                <w:color w:val="000000"/>
                <w:sz w:val="22"/>
                <w:szCs w:val="22"/>
              </w:rPr>
              <w:t xml:space="preserve">Local Contractual Total </w:t>
            </w:r>
          </w:p>
        </w:tc>
        <w:tc>
          <w:tcPr>
            <w:tcW w:w="102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302</w:t>
            </w:r>
          </w:p>
        </w:tc>
        <w:tc>
          <w:tcPr>
            <w:tcW w:w="112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138</w:t>
            </w:r>
          </w:p>
        </w:tc>
        <w:tc>
          <w:tcPr>
            <w:tcW w:w="80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36</w:t>
            </w:r>
          </w:p>
        </w:tc>
        <w:tc>
          <w:tcPr>
            <w:tcW w:w="130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495</w:t>
            </w:r>
          </w:p>
        </w:tc>
        <w:tc>
          <w:tcPr>
            <w:tcW w:w="116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1414</w:t>
            </w:r>
          </w:p>
        </w:tc>
        <w:tc>
          <w:tcPr>
            <w:tcW w:w="816"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rsidP="00572B7C">
            <w:pPr>
              <w:jc w:val="center"/>
              <w:rPr>
                <w:rFonts w:ascii="Segoe UI" w:hAnsi="Segoe UI" w:cs="Segoe UI"/>
                <w:color w:val="000000"/>
                <w:sz w:val="22"/>
                <w:szCs w:val="22"/>
              </w:rPr>
            </w:pPr>
            <w:r>
              <w:rPr>
                <w:rFonts w:ascii="Segoe UI" w:hAnsi="Segoe UI" w:cs="Segoe UI"/>
                <w:color w:val="000000"/>
                <w:sz w:val="22"/>
                <w:szCs w:val="22"/>
              </w:rPr>
              <w:t>1909</w:t>
            </w:r>
          </w:p>
        </w:tc>
      </w:tr>
      <w:tr w:rsidR="00C84D5C" w:rsidTr="00572B7C">
        <w:trPr>
          <w:trHeight w:val="420"/>
        </w:trPr>
        <w:tc>
          <w:tcPr>
            <w:tcW w:w="297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rsidP="00572B7C">
            <w:pPr>
              <w:jc w:val="right"/>
              <w:rPr>
                <w:rFonts w:ascii="Segoe UI" w:hAnsi="Segoe UI" w:cs="Segoe UI"/>
                <w:color w:val="FFFFFF"/>
                <w:sz w:val="22"/>
                <w:szCs w:val="22"/>
              </w:rPr>
            </w:pPr>
            <w:r>
              <w:rPr>
                <w:rFonts w:ascii="Segoe UI" w:hAnsi="Segoe UI" w:cs="Segoe UI"/>
                <w:color w:val="FFFFFF"/>
                <w:sz w:val="22"/>
                <w:szCs w:val="22"/>
              </w:rPr>
              <w:t>Grand Total</w:t>
            </w:r>
          </w:p>
        </w:tc>
        <w:tc>
          <w:tcPr>
            <w:tcW w:w="1026"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333</w:t>
            </w:r>
          </w:p>
        </w:tc>
        <w:tc>
          <w:tcPr>
            <w:tcW w:w="112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163</w:t>
            </w:r>
          </w:p>
        </w:tc>
        <w:tc>
          <w:tcPr>
            <w:tcW w:w="80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38</w:t>
            </w:r>
          </w:p>
        </w:tc>
        <w:tc>
          <w:tcPr>
            <w:tcW w:w="1305"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19</w:t>
            </w:r>
          </w:p>
        </w:tc>
        <w:tc>
          <w:tcPr>
            <w:tcW w:w="850"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553</w:t>
            </w:r>
          </w:p>
        </w:tc>
        <w:tc>
          <w:tcPr>
            <w:tcW w:w="116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1549</w:t>
            </w:r>
          </w:p>
        </w:tc>
        <w:tc>
          <w:tcPr>
            <w:tcW w:w="816"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rsidP="00572B7C">
            <w:pPr>
              <w:jc w:val="center"/>
              <w:rPr>
                <w:rFonts w:ascii="Segoe UI" w:hAnsi="Segoe UI" w:cs="Segoe UI"/>
                <w:color w:val="FFFFFF"/>
                <w:sz w:val="22"/>
                <w:szCs w:val="22"/>
              </w:rPr>
            </w:pPr>
            <w:r>
              <w:rPr>
                <w:rFonts w:ascii="Segoe UI" w:hAnsi="Segoe UI" w:cs="Segoe UI"/>
                <w:color w:val="FFFFFF"/>
                <w:sz w:val="22"/>
                <w:szCs w:val="22"/>
              </w:rPr>
              <w:t>2102</w:t>
            </w:r>
          </w:p>
        </w:tc>
      </w:tr>
    </w:tbl>
    <w:p w:rsidR="00C84D5C" w:rsidRDefault="00C84D5C" w:rsidP="007A2CF0">
      <w:pPr>
        <w:jc w:val="both"/>
        <w:rPr>
          <w:rFonts w:ascii="Arial" w:hAnsi="Arial" w:cs="Arial"/>
        </w:rPr>
      </w:pPr>
    </w:p>
    <w:p w:rsidR="00F639ED" w:rsidRDefault="00F639ED" w:rsidP="007A2CF0">
      <w:pPr>
        <w:jc w:val="both"/>
        <w:rPr>
          <w:rFonts w:ascii="Arial" w:hAnsi="Arial" w:cs="Arial"/>
        </w:rPr>
      </w:pPr>
    </w:p>
    <w:p w:rsidR="00707687" w:rsidRDefault="00707687" w:rsidP="00707687">
      <w:pPr>
        <w:jc w:val="both"/>
        <w:rPr>
          <w:rFonts w:ascii="Arial" w:hAnsi="Arial" w:cs="Arial"/>
        </w:rPr>
      </w:pPr>
      <w:r>
        <w:rPr>
          <w:rFonts w:ascii="Arial" w:hAnsi="Arial" w:cs="Arial"/>
        </w:rPr>
        <w:t>Work is now underway with Commissioners to reduce the number of performance indicators so that assurance is achieved using indicators of specific clinical value rather than just focusing on activity.</w:t>
      </w:r>
    </w:p>
    <w:p w:rsidR="004F76DF" w:rsidRDefault="004F76DF" w:rsidP="007A2CF0">
      <w:pPr>
        <w:jc w:val="both"/>
        <w:rPr>
          <w:rFonts w:ascii="Arial" w:hAnsi="Arial" w:cs="Arial"/>
        </w:rPr>
      </w:pPr>
    </w:p>
    <w:p w:rsidR="00B25043" w:rsidRDefault="004F76DF" w:rsidP="007A2CF0">
      <w:pPr>
        <w:jc w:val="both"/>
        <w:rPr>
          <w:rFonts w:ascii="Arial" w:hAnsi="Arial" w:cs="Arial"/>
        </w:rPr>
      </w:pPr>
      <w:r>
        <w:rPr>
          <w:rFonts w:ascii="Arial" w:hAnsi="Arial" w:cs="Arial"/>
        </w:rPr>
        <w:t xml:space="preserve">The reporting of performance internally will </w:t>
      </w:r>
      <w:r w:rsidR="0051033C">
        <w:rPr>
          <w:rFonts w:ascii="Arial" w:hAnsi="Arial" w:cs="Arial"/>
        </w:rPr>
        <w:t>now also</w:t>
      </w:r>
      <w:r>
        <w:rPr>
          <w:rFonts w:ascii="Arial" w:hAnsi="Arial" w:cs="Arial"/>
        </w:rPr>
        <w:t xml:space="preserve"> mirror the Trust’s reporting to commissioners with </w:t>
      </w:r>
      <w:r w:rsidR="00BD21B5">
        <w:rPr>
          <w:rFonts w:ascii="Arial" w:hAnsi="Arial" w:cs="Arial"/>
        </w:rPr>
        <w:t>this</w:t>
      </w:r>
      <w:r>
        <w:rPr>
          <w:rFonts w:ascii="Arial" w:hAnsi="Arial" w:cs="Arial"/>
        </w:rPr>
        <w:t xml:space="preserve"> summary performance report </w:t>
      </w:r>
      <w:r w:rsidR="001A2350">
        <w:rPr>
          <w:rFonts w:ascii="Arial" w:hAnsi="Arial" w:cs="Arial"/>
        </w:rPr>
        <w:t xml:space="preserve">provided </w:t>
      </w:r>
      <w:r w:rsidR="003728AB">
        <w:rPr>
          <w:rFonts w:ascii="Arial" w:hAnsi="Arial" w:cs="Arial"/>
        </w:rPr>
        <w:t>one week in</w:t>
      </w:r>
      <w:r>
        <w:rPr>
          <w:rFonts w:ascii="Arial" w:hAnsi="Arial" w:cs="Arial"/>
        </w:rPr>
        <w:t xml:space="preserve"> advance of the Board of Directors meeting</w:t>
      </w:r>
      <w:r w:rsidR="001A2350">
        <w:rPr>
          <w:rFonts w:ascii="Arial" w:hAnsi="Arial" w:cs="Arial"/>
        </w:rPr>
        <w:t xml:space="preserve"> followed by a </w:t>
      </w:r>
      <w:r w:rsidR="00BD21B5">
        <w:rPr>
          <w:rFonts w:ascii="Arial" w:hAnsi="Arial" w:cs="Arial"/>
        </w:rPr>
        <w:t xml:space="preserve">supporting, </w:t>
      </w:r>
      <w:r w:rsidR="003728AB">
        <w:rPr>
          <w:rFonts w:ascii="Arial" w:hAnsi="Arial" w:cs="Arial"/>
        </w:rPr>
        <w:t>more detailed</w:t>
      </w:r>
      <w:r w:rsidR="00BD21B5">
        <w:rPr>
          <w:rFonts w:ascii="Arial" w:hAnsi="Arial" w:cs="Arial"/>
        </w:rPr>
        <w:t>, narrative report which will outline the reasons for the underperformance and actions being taken to resolve.</w:t>
      </w:r>
      <w:r w:rsidR="00B25043">
        <w:rPr>
          <w:rFonts w:ascii="Arial" w:hAnsi="Arial" w:cs="Arial"/>
        </w:rPr>
        <w:t xml:space="preserve">  In taking this approach, the reports will include performance against </w:t>
      </w:r>
      <w:r w:rsidR="00B25043" w:rsidRPr="00557EE3">
        <w:rPr>
          <w:rFonts w:ascii="Arial" w:hAnsi="Arial" w:cs="Arial"/>
          <w:b/>
        </w:rPr>
        <w:t>all indicators</w:t>
      </w:r>
      <w:r w:rsidR="00B25043">
        <w:rPr>
          <w:rFonts w:ascii="Arial" w:hAnsi="Arial" w:cs="Arial"/>
        </w:rPr>
        <w:t>.  Previously, only indicators that were reported by working day 10 were included</w:t>
      </w:r>
      <w:r w:rsidR="00557EE3">
        <w:rPr>
          <w:rFonts w:ascii="Arial" w:hAnsi="Arial" w:cs="Arial"/>
        </w:rPr>
        <w:t xml:space="preserve">.  </w:t>
      </w:r>
      <w:r w:rsidR="00B25043">
        <w:rPr>
          <w:rFonts w:ascii="Arial" w:hAnsi="Arial" w:cs="Arial"/>
        </w:rPr>
        <w:t xml:space="preserve"> </w:t>
      </w:r>
    </w:p>
    <w:p w:rsidR="00B25043" w:rsidRDefault="00B25043" w:rsidP="007A2CF0">
      <w:pPr>
        <w:jc w:val="both"/>
        <w:rPr>
          <w:rFonts w:ascii="Arial" w:hAnsi="Arial" w:cs="Arial"/>
        </w:rPr>
      </w:pPr>
    </w:p>
    <w:p w:rsidR="001468B7" w:rsidRPr="001468B7" w:rsidRDefault="001468B7" w:rsidP="007A2CF0">
      <w:pPr>
        <w:jc w:val="both"/>
        <w:rPr>
          <w:rFonts w:ascii="Arial" w:hAnsi="Arial" w:cs="Arial"/>
          <w:b/>
        </w:rPr>
      </w:pPr>
      <w:r w:rsidRPr="001468B7">
        <w:rPr>
          <w:rFonts w:ascii="Arial" w:hAnsi="Arial" w:cs="Arial"/>
          <w:b/>
        </w:rPr>
        <w:t>Performance Trends:</w:t>
      </w:r>
    </w:p>
    <w:p w:rsidR="003728AB" w:rsidRDefault="003728AB" w:rsidP="003728AB">
      <w:pPr>
        <w:jc w:val="both"/>
        <w:rPr>
          <w:rFonts w:ascii="Arial" w:hAnsi="Arial" w:cs="Arial"/>
        </w:rPr>
      </w:pPr>
    </w:p>
    <w:p w:rsidR="00111E3D" w:rsidRDefault="003728AB" w:rsidP="00111E3D">
      <w:pPr>
        <w:jc w:val="both"/>
        <w:rPr>
          <w:rFonts w:ascii="Arial" w:hAnsi="Arial" w:cs="Arial"/>
        </w:rPr>
      </w:pPr>
      <w:r>
        <w:rPr>
          <w:rFonts w:ascii="Arial" w:hAnsi="Arial" w:cs="Arial"/>
        </w:rPr>
        <w:t xml:space="preserve">In June, the Trust achieved </w:t>
      </w:r>
      <w:r w:rsidR="003A0B7C">
        <w:rPr>
          <w:rFonts w:ascii="Arial" w:hAnsi="Arial" w:cs="Arial"/>
        </w:rPr>
        <w:t>7</w:t>
      </w:r>
      <w:r w:rsidR="00C84D5C">
        <w:rPr>
          <w:rFonts w:ascii="Arial" w:hAnsi="Arial" w:cs="Arial"/>
        </w:rPr>
        <w:t>7</w:t>
      </w:r>
      <w:r w:rsidR="00707687">
        <w:rPr>
          <w:rFonts w:ascii="Arial" w:hAnsi="Arial" w:cs="Arial"/>
        </w:rPr>
        <w:t xml:space="preserve">% of </w:t>
      </w:r>
      <w:r>
        <w:rPr>
          <w:rFonts w:ascii="Arial" w:hAnsi="Arial" w:cs="Arial"/>
        </w:rPr>
        <w:t xml:space="preserve">contracted performance indicators that had clearly defined targets.  </w:t>
      </w:r>
      <w:r w:rsidR="00111E3D" w:rsidRPr="00111E3D">
        <w:rPr>
          <w:rFonts w:ascii="Arial" w:hAnsi="Arial" w:cs="Arial"/>
        </w:rPr>
        <w:t xml:space="preserve">This is a decrease in performance against previous months.  </w:t>
      </w:r>
      <w:r w:rsidR="000B4B09">
        <w:rPr>
          <w:rFonts w:ascii="Arial" w:hAnsi="Arial" w:cs="Arial"/>
        </w:rPr>
        <w:t xml:space="preserve">The number of ‘red’ indicators also increased this month.  </w:t>
      </w:r>
      <w:r w:rsidR="00111E3D" w:rsidRPr="00111E3D">
        <w:rPr>
          <w:rFonts w:ascii="Arial" w:hAnsi="Arial" w:cs="Arial"/>
        </w:rPr>
        <w:t>This is mainly attributable to indicators that would have previously been excluded from the report (due to the timing of their publication) now being included.  In addition, quarterly indicators are also included.</w:t>
      </w:r>
    </w:p>
    <w:p w:rsidR="00C84D5C" w:rsidRDefault="00C84D5C" w:rsidP="00111E3D">
      <w:pPr>
        <w:jc w:val="both"/>
        <w:rPr>
          <w:rFonts w:ascii="Arial" w:hAnsi="Arial" w:cs="Arial"/>
        </w:rPr>
      </w:pPr>
    </w:p>
    <w:tbl>
      <w:tblPr>
        <w:tblW w:w="9960" w:type="dxa"/>
        <w:tblCellMar>
          <w:top w:w="15" w:type="dxa"/>
          <w:bottom w:w="15" w:type="dxa"/>
        </w:tblCellMar>
        <w:tblLook w:val="04A0" w:firstRow="1" w:lastRow="0" w:firstColumn="1" w:lastColumn="0" w:noHBand="0" w:noVBand="1"/>
      </w:tblPr>
      <w:tblGrid>
        <w:gridCol w:w="4200"/>
        <w:gridCol w:w="960"/>
        <w:gridCol w:w="960"/>
        <w:gridCol w:w="960"/>
        <w:gridCol w:w="960"/>
        <w:gridCol w:w="960"/>
        <w:gridCol w:w="960"/>
      </w:tblGrid>
      <w:tr w:rsidR="00C84D5C" w:rsidTr="00C84D5C">
        <w:trPr>
          <w:trHeight w:val="645"/>
        </w:trPr>
        <w:tc>
          <w:tcPr>
            <w:tcW w:w="420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pPr>
              <w:rPr>
                <w:rFonts w:ascii="Segoe UI" w:hAnsi="Segoe UI" w:cs="Segoe UI"/>
                <w:color w:val="FFFFFF"/>
                <w:sz w:val="22"/>
                <w:szCs w:val="22"/>
                <w:lang w:val="en-GB" w:eastAsia="en-GB"/>
              </w:rPr>
            </w:pPr>
            <w:r>
              <w:rPr>
                <w:rFonts w:ascii="Segoe UI" w:hAnsi="Segoe UI" w:cs="Segoe UI"/>
                <w:color w:val="FFFFFF"/>
                <w:sz w:val="22"/>
                <w:szCs w:val="22"/>
              </w:rPr>
              <w:t>Directorate</w:t>
            </w:r>
          </w:p>
        </w:tc>
        <w:tc>
          <w:tcPr>
            <w:tcW w:w="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pPr>
              <w:jc w:val="center"/>
              <w:rPr>
                <w:rFonts w:ascii="Segoe UI" w:hAnsi="Segoe UI" w:cs="Segoe UI"/>
                <w:color w:val="FFFFFF"/>
                <w:sz w:val="22"/>
                <w:szCs w:val="22"/>
              </w:rPr>
            </w:pPr>
            <w:r>
              <w:rPr>
                <w:rFonts w:ascii="Segoe UI" w:hAnsi="Segoe UI" w:cs="Segoe UI"/>
                <w:color w:val="FFFFFF"/>
                <w:sz w:val="22"/>
                <w:szCs w:val="22"/>
              </w:rPr>
              <w:t>Below target &gt;10%</w:t>
            </w:r>
          </w:p>
        </w:tc>
        <w:tc>
          <w:tcPr>
            <w:tcW w:w="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pPr>
              <w:jc w:val="center"/>
              <w:rPr>
                <w:rFonts w:ascii="Segoe UI" w:hAnsi="Segoe UI" w:cs="Segoe UI"/>
                <w:color w:val="FFFFFF"/>
                <w:sz w:val="22"/>
                <w:szCs w:val="22"/>
              </w:rPr>
            </w:pPr>
            <w:r>
              <w:rPr>
                <w:rFonts w:ascii="Segoe UI" w:hAnsi="Segoe UI" w:cs="Segoe UI"/>
                <w:color w:val="FFFFFF"/>
                <w:sz w:val="22"/>
                <w:szCs w:val="22"/>
              </w:rPr>
              <w:t>Below Target -1-9%</w:t>
            </w:r>
          </w:p>
        </w:tc>
        <w:tc>
          <w:tcPr>
            <w:tcW w:w="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pPr>
              <w:jc w:val="center"/>
              <w:rPr>
                <w:rFonts w:ascii="Segoe UI" w:hAnsi="Segoe UI" w:cs="Segoe UI"/>
                <w:color w:val="FFFFFF"/>
                <w:sz w:val="22"/>
                <w:szCs w:val="22"/>
              </w:rPr>
            </w:pPr>
            <w:r>
              <w:rPr>
                <w:rFonts w:ascii="Segoe UI" w:hAnsi="Segoe UI" w:cs="Segoe UI"/>
                <w:color w:val="FFFFFF"/>
                <w:sz w:val="22"/>
                <w:szCs w:val="22"/>
              </w:rPr>
              <w:t>Target Met</w:t>
            </w:r>
          </w:p>
        </w:tc>
        <w:tc>
          <w:tcPr>
            <w:tcW w:w="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pPr>
              <w:rPr>
                <w:rFonts w:ascii="Segoe UI" w:hAnsi="Segoe UI" w:cs="Segoe UI"/>
                <w:color w:val="FFFFFF"/>
                <w:sz w:val="22"/>
                <w:szCs w:val="22"/>
              </w:rPr>
            </w:pPr>
            <w:r>
              <w:rPr>
                <w:rFonts w:ascii="Segoe UI" w:hAnsi="Segoe UI" w:cs="Segoe UI"/>
                <w:color w:val="FFFFFF"/>
                <w:sz w:val="22"/>
                <w:szCs w:val="22"/>
              </w:rPr>
              <w:t>No Target</w:t>
            </w:r>
          </w:p>
        </w:tc>
        <w:tc>
          <w:tcPr>
            <w:tcW w:w="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pPr>
              <w:jc w:val="center"/>
              <w:rPr>
                <w:rFonts w:ascii="Segoe UI" w:hAnsi="Segoe UI" w:cs="Segoe UI"/>
                <w:color w:val="FFFFFF"/>
                <w:sz w:val="22"/>
                <w:szCs w:val="22"/>
              </w:rPr>
            </w:pPr>
            <w:r>
              <w:rPr>
                <w:rFonts w:ascii="Segoe UI" w:hAnsi="Segoe UI" w:cs="Segoe UI"/>
                <w:color w:val="FFFFFF"/>
                <w:sz w:val="22"/>
                <w:szCs w:val="22"/>
              </w:rPr>
              <w:t>Total</w:t>
            </w:r>
          </w:p>
        </w:tc>
        <w:tc>
          <w:tcPr>
            <w:tcW w:w="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84D5C" w:rsidRDefault="00C84D5C">
            <w:pPr>
              <w:jc w:val="center"/>
              <w:rPr>
                <w:rFonts w:ascii="Segoe UI" w:hAnsi="Segoe UI" w:cs="Segoe UI"/>
                <w:color w:val="FFFFFF"/>
                <w:sz w:val="22"/>
                <w:szCs w:val="22"/>
              </w:rPr>
            </w:pPr>
            <w:r>
              <w:rPr>
                <w:rFonts w:ascii="Segoe UI" w:hAnsi="Segoe UI" w:cs="Segoe UI"/>
                <w:color w:val="FFFFFF"/>
                <w:sz w:val="22"/>
                <w:szCs w:val="22"/>
              </w:rPr>
              <w:t>% Met</w:t>
            </w:r>
          </w:p>
        </w:tc>
      </w:tr>
      <w:tr w:rsidR="00C84D5C" w:rsidTr="00C84D5C">
        <w:trPr>
          <w:trHeight w:val="405"/>
        </w:trPr>
        <w:tc>
          <w:tcPr>
            <w:tcW w:w="9960" w:type="dxa"/>
            <w:gridSpan w:val="7"/>
            <w:tcBorders>
              <w:top w:val="single" w:sz="4" w:space="0" w:color="auto"/>
              <w:left w:val="single" w:sz="4" w:space="0" w:color="auto"/>
              <w:bottom w:val="single" w:sz="4" w:space="0" w:color="auto"/>
              <w:right w:val="nil"/>
            </w:tcBorders>
            <w:shd w:val="clear" w:color="000000" w:fill="002060"/>
            <w:vAlign w:val="center"/>
            <w:hideMark/>
          </w:tcPr>
          <w:p w:rsidR="00C84D5C" w:rsidRDefault="00C84D5C">
            <w:pPr>
              <w:jc w:val="center"/>
              <w:rPr>
                <w:rFonts w:ascii="Segoe UI" w:hAnsi="Segoe UI" w:cs="Segoe UI"/>
                <w:color w:val="FFFFFF"/>
                <w:sz w:val="22"/>
                <w:szCs w:val="22"/>
              </w:rPr>
            </w:pPr>
            <w:r>
              <w:rPr>
                <w:rFonts w:ascii="Segoe UI" w:hAnsi="Segoe UI" w:cs="Segoe UI"/>
                <w:color w:val="FFFFFF"/>
                <w:sz w:val="22"/>
                <w:szCs w:val="22"/>
              </w:rPr>
              <w:t>National Performance</w:t>
            </w:r>
          </w:p>
        </w:tc>
      </w:tr>
      <w:tr w:rsidR="00C84D5C" w:rsidTr="00C84D5C">
        <w:trPr>
          <w:trHeight w:val="405"/>
        </w:trPr>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D5C" w:rsidRDefault="00C84D5C">
            <w:pPr>
              <w:rPr>
                <w:rFonts w:ascii="Segoe UI" w:hAnsi="Segoe UI" w:cs="Segoe UI"/>
                <w:color w:val="000000"/>
                <w:sz w:val="22"/>
                <w:szCs w:val="22"/>
              </w:rPr>
            </w:pPr>
            <w:r>
              <w:rPr>
                <w:rFonts w:ascii="Segoe UI" w:hAnsi="Segoe UI" w:cs="Segoe UI"/>
                <w:color w:val="000000"/>
                <w:sz w:val="22"/>
                <w:szCs w:val="22"/>
              </w:rPr>
              <w:t>Single Oversight Framework</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6</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3</w:t>
            </w:r>
          </w:p>
        </w:tc>
        <w:tc>
          <w:tcPr>
            <w:tcW w:w="9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24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20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55%</w:t>
            </w:r>
          </w:p>
        </w:tc>
      </w:tr>
      <w:tr w:rsidR="00C84D5C" w:rsidTr="00C84D5C">
        <w:trPr>
          <w:trHeight w:val="405"/>
        </w:trPr>
        <w:tc>
          <w:tcPr>
            <w:tcW w:w="9960" w:type="dxa"/>
            <w:gridSpan w:val="7"/>
            <w:tcBorders>
              <w:top w:val="single" w:sz="4" w:space="0" w:color="auto"/>
              <w:left w:val="single" w:sz="4" w:space="0" w:color="auto"/>
              <w:bottom w:val="single" w:sz="4" w:space="0" w:color="auto"/>
              <w:right w:val="nil"/>
            </w:tcBorders>
            <w:shd w:val="clear" w:color="000000" w:fill="002060"/>
            <w:vAlign w:val="center"/>
            <w:hideMark/>
          </w:tcPr>
          <w:p w:rsidR="00C84D5C" w:rsidRDefault="00C84D5C">
            <w:pPr>
              <w:jc w:val="center"/>
              <w:rPr>
                <w:rFonts w:ascii="Segoe UI" w:hAnsi="Segoe UI" w:cs="Segoe UI"/>
                <w:color w:val="FFFFFF"/>
                <w:sz w:val="22"/>
                <w:szCs w:val="22"/>
              </w:rPr>
            </w:pPr>
            <w:r>
              <w:rPr>
                <w:rFonts w:ascii="Segoe UI" w:hAnsi="Segoe UI" w:cs="Segoe UI"/>
                <w:color w:val="FFFFFF"/>
                <w:sz w:val="22"/>
                <w:szCs w:val="22"/>
              </w:rPr>
              <w:t>Local JMG Performance</w:t>
            </w:r>
          </w:p>
        </w:tc>
      </w:tr>
      <w:tr w:rsidR="00C84D5C" w:rsidTr="00C84D5C">
        <w:trPr>
          <w:trHeight w:val="420"/>
        </w:trPr>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D5C" w:rsidRDefault="00C84D5C">
            <w:pPr>
              <w:rPr>
                <w:rFonts w:ascii="Segoe UI" w:hAnsi="Segoe UI" w:cs="Segoe UI"/>
                <w:color w:val="000000"/>
                <w:sz w:val="22"/>
                <w:szCs w:val="22"/>
              </w:rPr>
            </w:pPr>
            <w:r>
              <w:rPr>
                <w:rFonts w:ascii="Segoe UI" w:hAnsi="Segoe UI" w:cs="Segoe UI"/>
                <w:color w:val="000000"/>
                <w:sz w:val="22"/>
                <w:szCs w:val="22"/>
              </w:rPr>
              <w:t>Joint Management Groups</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111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73%</w:t>
            </w:r>
          </w:p>
        </w:tc>
      </w:tr>
      <w:tr w:rsidR="00C84D5C" w:rsidTr="00C84D5C">
        <w:trPr>
          <w:trHeight w:val="420"/>
        </w:trPr>
        <w:tc>
          <w:tcPr>
            <w:tcW w:w="9960" w:type="dxa"/>
            <w:gridSpan w:val="7"/>
            <w:tcBorders>
              <w:top w:val="single" w:sz="4" w:space="0" w:color="auto"/>
              <w:left w:val="single" w:sz="4" w:space="0" w:color="auto"/>
              <w:bottom w:val="single" w:sz="4" w:space="0" w:color="auto"/>
              <w:right w:val="nil"/>
            </w:tcBorders>
            <w:shd w:val="clear" w:color="000000" w:fill="002060"/>
            <w:vAlign w:val="center"/>
            <w:hideMark/>
          </w:tcPr>
          <w:p w:rsidR="00C84D5C" w:rsidRDefault="00C84D5C">
            <w:pPr>
              <w:jc w:val="center"/>
              <w:rPr>
                <w:rFonts w:ascii="Segoe UI" w:hAnsi="Segoe UI" w:cs="Segoe UI"/>
                <w:color w:val="FFFFFF"/>
                <w:sz w:val="22"/>
                <w:szCs w:val="22"/>
              </w:rPr>
            </w:pPr>
            <w:r>
              <w:rPr>
                <w:rFonts w:ascii="Segoe UI" w:hAnsi="Segoe UI" w:cs="Segoe UI"/>
                <w:color w:val="FFFFFF"/>
                <w:sz w:val="22"/>
                <w:szCs w:val="22"/>
              </w:rPr>
              <w:t>Local Contractual Performance</w:t>
            </w:r>
          </w:p>
        </w:tc>
      </w:tr>
      <w:tr w:rsidR="00C84D5C" w:rsidTr="00C84D5C">
        <w:trPr>
          <w:trHeight w:val="420"/>
        </w:trPr>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D5C" w:rsidRDefault="00C84D5C">
            <w:pPr>
              <w:rPr>
                <w:rFonts w:ascii="Segoe UI" w:hAnsi="Segoe UI" w:cs="Segoe UI"/>
                <w:color w:val="000000"/>
                <w:sz w:val="22"/>
                <w:szCs w:val="22"/>
              </w:rPr>
            </w:pPr>
            <w:r>
              <w:rPr>
                <w:rFonts w:ascii="Segoe UI" w:hAnsi="Segoe UI" w:cs="Segoe UI"/>
                <w:color w:val="000000"/>
                <w:sz w:val="22"/>
                <w:szCs w:val="22"/>
              </w:rPr>
              <w:t>Community Services</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12</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19</w:t>
            </w:r>
          </w:p>
        </w:tc>
        <w:tc>
          <w:tcPr>
            <w:tcW w:w="9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104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739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135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77%</w:t>
            </w:r>
          </w:p>
        </w:tc>
      </w:tr>
      <w:tr w:rsidR="00C84D5C" w:rsidTr="00C84D5C">
        <w:trPr>
          <w:trHeight w:val="420"/>
        </w:trPr>
        <w:tc>
          <w:tcPr>
            <w:tcW w:w="4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rPr>
                <w:rFonts w:ascii="Segoe UI" w:hAnsi="Segoe UI" w:cs="Segoe UI"/>
                <w:color w:val="000000"/>
                <w:sz w:val="22"/>
                <w:szCs w:val="22"/>
              </w:rPr>
            </w:pPr>
            <w:r>
              <w:rPr>
                <w:rFonts w:ascii="Segoe UI" w:hAnsi="Segoe UI" w:cs="Segoe UI"/>
                <w:color w:val="000000"/>
                <w:sz w:val="22"/>
                <w:szCs w:val="22"/>
              </w:rPr>
              <w:t>All Ages Mental Health Oxon and SWB</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20</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21</w:t>
            </w:r>
          </w:p>
        </w:tc>
        <w:tc>
          <w:tcPr>
            <w:tcW w:w="9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81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355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122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66%</w:t>
            </w:r>
          </w:p>
        </w:tc>
      </w:tr>
      <w:tr w:rsidR="00C84D5C" w:rsidTr="00C84D5C">
        <w:trPr>
          <w:trHeight w:val="420"/>
        </w:trPr>
        <w:tc>
          <w:tcPr>
            <w:tcW w:w="4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rPr>
                <w:rFonts w:ascii="Segoe UI" w:hAnsi="Segoe UI" w:cs="Segoe UI"/>
                <w:color w:val="000000"/>
                <w:sz w:val="22"/>
                <w:szCs w:val="22"/>
              </w:rPr>
            </w:pPr>
            <w:r>
              <w:rPr>
                <w:rFonts w:ascii="Segoe UI" w:hAnsi="Segoe UI" w:cs="Segoe UI"/>
                <w:color w:val="000000"/>
                <w:sz w:val="22"/>
                <w:szCs w:val="22"/>
              </w:rPr>
              <w:t>All Ages Mental Health Buckinghamshire</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7</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7</w:t>
            </w:r>
          </w:p>
        </w:tc>
        <w:tc>
          <w:tcPr>
            <w:tcW w:w="9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38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208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52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73%</w:t>
            </w:r>
          </w:p>
        </w:tc>
      </w:tr>
      <w:tr w:rsidR="00C84D5C" w:rsidTr="00C84D5C">
        <w:trPr>
          <w:trHeight w:val="420"/>
        </w:trPr>
        <w:tc>
          <w:tcPr>
            <w:tcW w:w="4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rPr>
                <w:rFonts w:ascii="Segoe UI" w:hAnsi="Segoe UI" w:cs="Segoe UI"/>
                <w:color w:val="000000"/>
                <w:sz w:val="22"/>
                <w:szCs w:val="22"/>
              </w:rPr>
            </w:pPr>
            <w:r>
              <w:rPr>
                <w:rFonts w:ascii="Segoe UI" w:hAnsi="Segoe UI" w:cs="Segoe UI"/>
                <w:color w:val="000000"/>
                <w:sz w:val="22"/>
                <w:szCs w:val="22"/>
              </w:rPr>
              <w:lastRenderedPageBreak/>
              <w:t>Specialised Services</w:t>
            </w:r>
          </w:p>
        </w:tc>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5</w:t>
            </w: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11</w:t>
            </w:r>
          </w:p>
        </w:tc>
        <w:tc>
          <w:tcPr>
            <w:tcW w:w="96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114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112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130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88%</w:t>
            </w:r>
          </w:p>
        </w:tc>
      </w:tr>
      <w:tr w:rsidR="00C84D5C" w:rsidTr="00C84D5C">
        <w:trPr>
          <w:trHeight w:val="420"/>
        </w:trPr>
        <w:tc>
          <w:tcPr>
            <w:tcW w:w="42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pPr>
              <w:jc w:val="right"/>
              <w:rPr>
                <w:rFonts w:ascii="Segoe UI" w:hAnsi="Segoe UI" w:cs="Segoe UI"/>
                <w:color w:val="000000"/>
                <w:sz w:val="22"/>
                <w:szCs w:val="22"/>
              </w:rPr>
            </w:pPr>
            <w:r>
              <w:rPr>
                <w:rFonts w:ascii="Segoe UI" w:hAnsi="Segoe UI" w:cs="Segoe UI"/>
                <w:color w:val="000000"/>
                <w:sz w:val="22"/>
                <w:szCs w:val="22"/>
              </w:rPr>
              <w:t>Local Contractual Performance Total</w:t>
            </w: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44</w:t>
            </w: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58</w:t>
            </w: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337</w:t>
            </w: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1414</w:t>
            </w: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439</w:t>
            </w: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84D5C" w:rsidRDefault="00C84D5C">
            <w:pPr>
              <w:jc w:val="center"/>
              <w:rPr>
                <w:rFonts w:ascii="Segoe UI" w:hAnsi="Segoe UI" w:cs="Segoe UI"/>
                <w:color w:val="000000"/>
                <w:sz w:val="22"/>
                <w:szCs w:val="22"/>
              </w:rPr>
            </w:pPr>
            <w:r>
              <w:rPr>
                <w:rFonts w:ascii="Segoe UI" w:hAnsi="Segoe UI" w:cs="Segoe UI"/>
                <w:color w:val="000000"/>
                <w:sz w:val="22"/>
                <w:szCs w:val="22"/>
              </w:rPr>
              <w:t>77%</w:t>
            </w:r>
          </w:p>
        </w:tc>
      </w:tr>
    </w:tbl>
    <w:p w:rsidR="00C84D5C" w:rsidRDefault="00C84D5C" w:rsidP="00111E3D">
      <w:pPr>
        <w:jc w:val="both"/>
        <w:rPr>
          <w:rFonts w:ascii="Arial" w:hAnsi="Arial" w:cs="Arial"/>
        </w:rPr>
      </w:pPr>
    </w:p>
    <w:p w:rsidR="00707687" w:rsidRDefault="000B4B09" w:rsidP="003728AB">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3113154</wp:posOffset>
                </wp:positionH>
                <wp:positionV relativeFrom="paragraph">
                  <wp:posOffset>125405</wp:posOffset>
                </wp:positionV>
                <wp:extent cx="3221636" cy="2455693"/>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221636" cy="2455693"/>
                        </a:xfrm>
                        <a:prstGeom prst="rect">
                          <a:avLst/>
                        </a:prstGeom>
                        <a:solidFill>
                          <a:schemeClr val="lt1"/>
                        </a:solidFill>
                        <a:ln w="6350">
                          <a:noFill/>
                        </a:ln>
                      </wps:spPr>
                      <wps:txbx>
                        <w:txbxContent>
                          <w:p w:rsidR="000B4B09" w:rsidRDefault="00C84D5C">
                            <w:r>
                              <w:rPr>
                                <w:noProof/>
                                <w:lang w:val="en-GB" w:eastAsia="en-GB"/>
                              </w:rPr>
                              <w:drawing>
                                <wp:inline distT="0" distB="0" distL="0" distR="0" wp14:anchorId="02F24116" wp14:editId="66FAB576">
                                  <wp:extent cx="2913321" cy="2125980"/>
                                  <wp:effectExtent l="0" t="0" r="1905" b="7620"/>
                                  <wp:docPr id="4" name="Chart 4">
                                    <a:extLst xmlns:a="http://schemas.openxmlformats.org/drawingml/2006/main">
                                      <a:ext uri="{FF2B5EF4-FFF2-40B4-BE49-F238E27FC236}">
                                        <a16:creationId xmlns:a16="http://schemas.microsoft.com/office/drawing/2014/main" id="{7B2A3091-440F-4A08-AAB5-484D6990D6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45.15pt;margin-top:9.85pt;width:253.65pt;height:1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" fillcolor="white [3201]" stroked="f" strokeweight=".5pt">
                <v:textbox>
                  <w:txbxContent>
                    <w:p w:rsidR="000B4B09" w:rsidRDefault="00C84D5C">
                      <w:r>
                        <w:rPr>
                          <w:noProof/>
                        </w:rPr>
                        <w:drawing>
                          <wp:inline distT="0" distB="0" distL="0" distR="0" wp14:anchorId="02F24116" wp14:editId="66FAB576">
                            <wp:extent cx="2913321" cy="2125980"/>
                            <wp:effectExtent l="0" t="0" r="1905" b="7620"/>
                            <wp:docPr id="4" name="Chart 4">
                              <a:extLst xmlns:a="http://schemas.openxmlformats.org/drawingml/2006/main">
                                <a:ext uri="{FF2B5EF4-FFF2-40B4-BE49-F238E27FC236}">
                                  <a16:creationId xmlns:a16="http://schemas.microsoft.com/office/drawing/2014/main" id="{7B2A3091-440F-4A08-AAB5-484D6990D6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707687" w:rsidRDefault="00C84D5C" w:rsidP="003728AB">
      <w:pPr>
        <w:jc w:val="both"/>
        <w:rPr>
          <w:rFonts w:ascii="Arial" w:hAnsi="Arial" w:cs="Arial"/>
        </w:rPr>
      </w:pPr>
      <w:r>
        <w:rPr>
          <w:noProof/>
          <w:lang w:val="en-GB" w:eastAsia="en-GB"/>
        </w:rPr>
        <w:drawing>
          <wp:inline distT="0" distB="0" distL="0" distR="0" wp14:anchorId="20EE5843" wp14:editId="4E55708D">
            <wp:extent cx="3030220" cy="2105247"/>
            <wp:effectExtent l="0" t="0" r="17780" b="9525"/>
            <wp:docPr id="5" name="Chart 5">
              <a:extLst xmlns:a="http://schemas.openxmlformats.org/drawingml/2006/main">
                <a:ext uri="{FF2B5EF4-FFF2-40B4-BE49-F238E27FC236}">
                  <a16:creationId xmlns:a16="http://schemas.microsoft.com/office/drawing/2014/main" id="{7F0311AE-66E6-49EC-BF8C-9FFED9935A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28AB" w:rsidRDefault="003728AB" w:rsidP="0063184D">
      <w:pPr>
        <w:jc w:val="both"/>
        <w:rPr>
          <w:rFonts w:ascii="Arial" w:hAnsi="Arial" w:cs="Arial"/>
          <w:b/>
        </w:rPr>
      </w:pPr>
    </w:p>
    <w:p w:rsidR="00880CA8" w:rsidRDefault="00880CA8" w:rsidP="0063184D">
      <w:pPr>
        <w:jc w:val="bot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880CA8" w:rsidRDefault="00880CA8">
      <w:pPr>
        <w:jc w:val="both"/>
        <w:rPr>
          <w:rFonts w:ascii="Arial" w:hAnsi="Arial" w:cs="Arial"/>
        </w:rPr>
      </w:pPr>
      <w:r>
        <w:rPr>
          <w:rFonts w:ascii="Arial" w:hAnsi="Arial" w:cs="Arial"/>
        </w:rPr>
        <w:t xml:space="preserve">As part of the ongoing development of the performance framework, this month’s report has been divided into two parts.  This is to allow additional time for Operational Services and Performance Analysts to review in detail all performance exceptions and to improve the quality of the supporting narrative.  </w:t>
      </w:r>
    </w:p>
    <w:p w:rsidR="00880CA8" w:rsidRDefault="00880CA8">
      <w:pPr>
        <w:jc w:val="both"/>
        <w:rPr>
          <w:rFonts w:ascii="Arial" w:hAnsi="Arial" w:cs="Arial"/>
        </w:rPr>
      </w:pPr>
    </w:p>
    <w:p w:rsidR="00880CA8" w:rsidRDefault="00D460BD">
      <w:pPr>
        <w:jc w:val="both"/>
        <w:rPr>
          <w:rFonts w:ascii="Arial" w:hAnsi="Arial" w:cs="Arial"/>
        </w:rPr>
      </w:pPr>
      <w:r>
        <w:rPr>
          <w:rFonts w:ascii="Arial" w:hAnsi="Arial" w:cs="Arial"/>
        </w:rPr>
        <w:t>The updated monthly Board</w:t>
      </w:r>
      <w:r w:rsidR="00880CA8">
        <w:rPr>
          <w:rFonts w:ascii="Arial" w:hAnsi="Arial" w:cs="Arial"/>
        </w:rPr>
        <w:t xml:space="preserve"> report provides the Trust performance at a high level </w:t>
      </w:r>
      <w:r w:rsidR="0028065F">
        <w:rPr>
          <w:rFonts w:ascii="Arial" w:hAnsi="Arial" w:cs="Arial"/>
        </w:rPr>
        <w:t>in a scorecard style</w:t>
      </w:r>
      <w:r w:rsidR="00880CA8">
        <w:rPr>
          <w:rFonts w:ascii="Arial" w:hAnsi="Arial" w:cs="Arial"/>
        </w:rPr>
        <w:t xml:space="preserve"> and highlights those are</w:t>
      </w:r>
      <w:r>
        <w:rPr>
          <w:rFonts w:ascii="Arial" w:hAnsi="Arial" w:cs="Arial"/>
        </w:rPr>
        <w:t>as in breach with service narratives</w:t>
      </w:r>
      <w:r w:rsidR="00880CA8">
        <w:rPr>
          <w:rFonts w:ascii="Arial" w:hAnsi="Arial" w:cs="Arial"/>
        </w:rPr>
        <w:t>.</w:t>
      </w:r>
      <w:r>
        <w:rPr>
          <w:rFonts w:ascii="Arial" w:hAnsi="Arial" w:cs="Arial"/>
        </w:rPr>
        <w:t xml:space="preserve">  The specific report to highlight areas to the Board is included in Appendix 1 below.</w:t>
      </w:r>
    </w:p>
    <w:p w:rsidR="00880CA8" w:rsidRDefault="00880CA8">
      <w:pPr>
        <w:jc w:val="both"/>
        <w:rPr>
          <w:rFonts w:ascii="Arial" w:hAnsi="Arial" w:cs="Arial"/>
        </w:rPr>
      </w:pPr>
    </w:p>
    <w:p w:rsidR="005D3499" w:rsidRDefault="00880CA8">
      <w:pPr>
        <w:jc w:val="both"/>
        <w:rPr>
          <w:rFonts w:ascii="Arial" w:hAnsi="Arial" w:cs="Arial"/>
        </w:rPr>
      </w:pPr>
      <w:r>
        <w:rPr>
          <w:rFonts w:ascii="Arial" w:hAnsi="Arial" w:cs="Arial"/>
        </w:rPr>
        <w:t xml:space="preserve">The </w:t>
      </w:r>
      <w:r w:rsidR="00F95454">
        <w:rPr>
          <w:rFonts w:ascii="Arial" w:hAnsi="Arial" w:cs="Arial"/>
        </w:rPr>
        <w:t>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r w:rsidR="00E63781">
        <w:rPr>
          <w:rFonts w:ascii="Arial" w:hAnsi="Arial" w:cs="Arial"/>
        </w:rPr>
        <w:t>.</w:t>
      </w:r>
    </w:p>
    <w:p w:rsidR="00982842" w:rsidRDefault="00982842">
      <w:pPr>
        <w:jc w:val="both"/>
        <w:rPr>
          <w:rFonts w:ascii="Arial" w:hAnsi="Arial" w:cs="Arial"/>
          <w:b/>
        </w:rPr>
      </w:pPr>
    </w:p>
    <w:p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 xml:space="preserve">Martyn Ward – </w:t>
      </w:r>
      <w:r w:rsidR="00BF72AE">
        <w:rPr>
          <w:rFonts w:ascii="Arial" w:hAnsi="Arial" w:cs="Arial"/>
        </w:rPr>
        <w:t xml:space="preserve">Director of </w:t>
      </w:r>
      <w:r w:rsidR="00C77CF2">
        <w:rPr>
          <w:rFonts w:ascii="Arial" w:hAnsi="Arial" w:cs="Arial"/>
        </w:rPr>
        <w:t>Strategy &amp; Performance</w:t>
      </w:r>
    </w:p>
    <w:p w:rsidR="00DB59AD" w:rsidRDefault="00DB59AD" w:rsidP="0073522A">
      <w:pPr>
        <w:ind w:left="1440" w:hanging="1440"/>
        <w:jc w:val="both"/>
        <w:rPr>
          <w:rFonts w:ascii="Arial" w:hAnsi="Arial" w:cs="Arial"/>
        </w:rPr>
      </w:pPr>
    </w:p>
    <w:p w:rsidR="00DB59AD" w:rsidRDefault="00DB59AD">
      <w:pPr>
        <w:rPr>
          <w:rFonts w:ascii="Arial" w:hAnsi="Arial" w:cs="Arial"/>
        </w:rPr>
      </w:pPr>
      <w:r>
        <w:rPr>
          <w:rFonts w:ascii="Arial" w:hAnsi="Arial" w:cs="Arial"/>
        </w:rPr>
        <w:br w:type="page"/>
      </w:r>
    </w:p>
    <w:p w:rsidR="00DB59AD" w:rsidRPr="001468B7" w:rsidRDefault="00DB59AD" w:rsidP="00DB59AD">
      <w:pPr>
        <w:jc w:val="both"/>
        <w:rPr>
          <w:rFonts w:ascii="Arial" w:hAnsi="Arial" w:cs="Arial"/>
          <w:b/>
        </w:rPr>
      </w:pPr>
      <w:r>
        <w:rPr>
          <w:rFonts w:ascii="Arial" w:hAnsi="Arial" w:cs="Arial"/>
          <w:b/>
        </w:rPr>
        <w:lastRenderedPageBreak/>
        <w:t xml:space="preserve">Appendix 1 – Areas of Exception and </w:t>
      </w:r>
      <w:r w:rsidRPr="001468B7">
        <w:rPr>
          <w:rFonts w:ascii="Arial" w:hAnsi="Arial" w:cs="Arial"/>
          <w:b/>
        </w:rPr>
        <w:t>Performance Trends:</w:t>
      </w:r>
    </w:p>
    <w:p w:rsidR="00DB59AD" w:rsidRDefault="00DB59AD" w:rsidP="00DB59AD">
      <w:pPr>
        <w:jc w:val="both"/>
        <w:rPr>
          <w:rFonts w:ascii="Arial" w:hAnsi="Arial" w:cs="Arial"/>
        </w:rPr>
      </w:pPr>
    </w:p>
    <w:p w:rsidR="00DB59AD" w:rsidRDefault="00DB59AD" w:rsidP="00DB59AD">
      <w:pPr>
        <w:jc w:val="both"/>
        <w:rPr>
          <w:rFonts w:ascii="Arial" w:hAnsi="Arial" w:cs="Arial"/>
          <w:b/>
        </w:rPr>
      </w:pPr>
      <w:r>
        <w:rPr>
          <w:rFonts w:ascii="Arial" w:hAnsi="Arial" w:cs="Arial"/>
          <w:b/>
        </w:rPr>
        <w:t>National Position:</w:t>
      </w:r>
    </w:p>
    <w:p w:rsidR="00DB59AD" w:rsidRDefault="00DB59AD" w:rsidP="00DB59AD">
      <w:pPr>
        <w:jc w:val="both"/>
        <w:rPr>
          <w:rFonts w:ascii="Arial" w:hAnsi="Arial" w:cs="Arial"/>
        </w:rPr>
      </w:pPr>
    </w:p>
    <w:p w:rsidR="00DB59AD" w:rsidRPr="00FE2385" w:rsidRDefault="00DB59AD" w:rsidP="00DB59AD">
      <w:pPr>
        <w:jc w:val="both"/>
        <w:rPr>
          <w:rFonts w:ascii="Arial" w:hAnsi="Arial" w:cs="Arial"/>
        </w:rPr>
      </w:pPr>
      <w:r w:rsidRPr="00FE2385">
        <w:rPr>
          <w:rFonts w:ascii="Arial" w:hAnsi="Arial" w:cs="Arial"/>
        </w:rPr>
        <w:t>Following a review of the performance data, the following indicators</w:t>
      </w:r>
      <w:r w:rsidR="001055A3">
        <w:rPr>
          <w:rFonts w:ascii="Arial" w:hAnsi="Arial" w:cs="Arial"/>
        </w:rPr>
        <w:t xml:space="preserve"> are highlighted to the Board as</w:t>
      </w:r>
      <w:r>
        <w:rPr>
          <w:rFonts w:ascii="Arial" w:hAnsi="Arial" w:cs="Arial"/>
        </w:rPr>
        <w:t xml:space="preserve"> </w:t>
      </w:r>
      <w:r w:rsidRPr="00FE2385">
        <w:rPr>
          <w:rFonts w:ascii="Arial" w:hAnsi="Arial" w:cs="Arial"/>
        </w:rPr>
        <w:t>unde</w:t>
      </w:r>
      <w:r>
        <w:rPr>
          <w:rFonts w:ascii="Arial" w:hAnsi="Arial" w:cs="Arial"/>
        </w:rPr>
        <w:t xml:space="preserve">rperforming at a national level.  </w:t>
      </w:r>
    </w:p>
    <w:p w:rsidR="00DB59AD" w:rsidRPr="00C26D06" w:rsidRDefault="00DB59AD" w:rsidP="00DB59AD">
      <w:pPr>
        <w:jc w:val="both"/>
        <w:rPr>
          <w:rFonts w:ascii="Arial" w:hAnsi="Arial" w:cs="Arial"/>
        </w:rPr>
      </w:pPr>
    </w:p>
    <w:p w:rsidR="00DB59AD" w:rsidRPr="00DB59AD" w:rsidRDefault="00DB59AD" w:rsidP="00DB59AD">
      <w:pPr>
        <w:pStyle w:val="ListParagraph"/>
        <w:numPr>
          <w:ilvl w:val="0"/>
          <w:numId w:val="10"/>
        </w:numPr>
        <w:jc w:val="both"/>
        <w:rPr>
          <w:rFonts w:ascii="Arial" w:hAnsi="Arial" w:cs="Arial"/>
          <w:b/>
        </w:rPr>
      </w:pPr>
      <w:r w:rsidRPr="00C26D06">
        <w:rPr>
          <w:rFonts w:ascii="Arial" w:hAnsi="Arial" w:cs="Arial"/>
          <w:b/>
        </w:rPr>
        <w:t xml:space="preserve">Workforce – </w:t>
      </w:r>
      <w:r w:rsidRPr="00C26D06">
        <w:rPr>
          <w:rFonts w:ascii="Arial" w:hAnsi="Arial" w:cs="Arial"/>
        </w:rPr>
        <w:t>The difficulties in recruiting and retaining suitably qualified staff continues to have a direct impact on the Trust’s ability to deliver services.  Work to address these issues conti</w:t>
      </w:r>
      <w:r>
        <w:rPr>
          <w:rFonts w:ascii="Arial" w:hAnsi="Arial" w:cs="Arial"/>
        </w:rPr>
        <w:t>nues to be led by HR under the Workforce Strategy</w:t>
      </w:r>
    </w:p>
    <w:p w:rsidR="00DB59AD" w:rsidRPr="00DB59AD" w:rsidRDefault="00DB59AD" w:rsidP="00DB59AD">
      <w:pPr>
        <w:pStyle w:val="ListParagraph"/>
        <w:jc w:val="both"/>
        <w:rPr>
          <w:rFonts w:ascii="Arial" w:hAnsi="Arial" w:cs="Arial"/>
          <w:b/>
        </w:rPr>
      </w:pPr>
      <w:r w:rsidRPr="00C26D06">
        <w:rPr>
          <w:rFonts w:ascii="Arial" w:hAnsi="Arial" w:cs="Arial"/>
        </w:rPr>
        <w:t xml:space="preserve">  </w:t>
      </w:r>
    </w:p>
    <w:p w:rsidR="00DB59AD" w:rsidRPr="00C26D06" w:rsidRDefault="001055A3" w:rsidP="00DB59AD">
      <w:pPr>
        <w:pStyle w:val="ListParagraph"/>
        <w:numPr>
          <w:ilvl w:val="0"/>
          <w:numId w:val="10"/>
        </w:numPr>
        <w:jc w:val="both"/>
        <w:rPr>
          <w:rFonts w:ascii="Arial" w:hAnsi="Arial" w:cs="Arial"/>
          <w:b/>
        </w:rPr>
      </w:pPr>
      <w:r>
        <w:rPr>
          <w:rFonts w:ascii="Arial" w:hAnsi="Arial" w:cs="Arial"/>
          <w:b/>
        </w:rPr>
        <w:t xml:space="preserve">Out of Area Placements (OAP’s) – </w:t>
      </w:r>
      <w:r>
        <w:rPr>
          <w:rFonts w:ascii="Arial" w:hAnsi="Arial" w:cs="Arial"/>
        </w:rPr>
        <w:t>Due to the pressures in Oxfordshire and Buckinghamshire, OAP’s are well above the targets set by NHSE.  This increase has been due to operational pressures in both systems and a lack of community alternatives</w:t>
      </w:r>
      <w:r w:rsidR="00A874A3">
        <w:rPr>
          <w:rFonts w:ascii="Arial" w:hAnsi="Arial" w:cs="Arial"/>
        </w:rPr>
        <w:t>.</w:t>
      </w:r>
    </w:p>
    <w:p w:rsidR="00DB59AD" w:rsidRPr="00C26D06" w:rsidRDefault="00DB59AD" w:rsidP="00DB59AD">
      <w:pPr>
        <w:pStyle w:val="ListParagraph"/>
        <w:rPr>
          <w:rFonts w:ascii="Arial" w:hAnsi="Arial" w:cs="Arial"/>
          <w:b/>
        </w:rPr>
      </w:pPr>
    </w:p>
    <w:p w:rsidR="00DB59AD" w:rsidRDefault="00DB59AD" w:rsidP="00DB59AD">
      <w:pPr>
        <w:jc w:val="both"/>
        <w:rPr>
          <w:rFonts w:ascii="Arial" w:hAnsi="Arial" w:cs="Arial"/>
        </w:rPr>
      </w:pPr>
    </w:p>
    <w:p w:rsidR="00DB59AD" w:rsidRPr="00F8330B" w:rsidRDefault="00DB59AD" w:rsidP="00DB59AD">
      <w:pPr>
        <w:rPr>
          <w:rFonts w:ascii="Arial" w:hAnsi="Arial" w:cs="Arial"/>
          <w:b/>
        </w:rPr>
      </w:pPr>
      <w:r w:rsidRPr="00F8330B">
        <w:rPr>
          <w:rFonts w:ascii="Arial" w:hAnsi="Arial" w:cs="Arial"/>
          <w:b/>
        </w:rPr>
        <w:t>S75 Agreements with Oxfordshire County Council and Buckinghamshire County Councils</w:t>
      </w:r>
    </w:p>
    <w:p w:rsidR="00DB59AD" w:rsidRPr="00F8330B" w:rsidRDefault="00DB59AD" w:rsidP="00DB59AD">
      <w:pPr>
        <w:rPr>
          <w:rFonts w:ascii="Arial" w:hAnsi="Arial" w:cs="Arial"/>
          <w:b/>
        </w:rPr>
      </w:pPr>
    </w:p>
    <w:p w:rsidR="001055A3" w:rsidRDefault="00DB59AD" w:rsidP="00DB59AD">
      <w:pPr>
        <w:rPr>
          <w:rFonts w:ascii="Arial" w:hAnsi="Arial" w:cs="Arial"/>
        </w:rPr>
      </w:pPr>
      <w:r>
        <w:rPr>
          <w:rFonts w:ascii="Arial" w:hAnsi="Arial" w:cs="Arial"/>
        </w:rPr>
        <w:t xml:space="preserve">The Trust achieved </w:t>
      </w:r>
      <w:r w:rsidR="001055A3">
        <w:rPr>
          <w:rFonts w:ascii="Arial" w:hAnsi="Arial" w:cs="Arial"/>
        </w:rPr>
        <w:t>73</w:t>
      </w:r>
      <w:r w:rsidRPr="00F8330B">
        <w:rPr>
          <w:rFonts w:ascii="Arial" w:hAnsi="Arial" w:cs="Arial"/>
        </w:rPr>
        <w:t xml:space="preserve">% compliance against the indicators </w:t>
      </w:r>
      <w:r>
        <w:rPr>
          <w:rFonts w:ascii="Arial" w:hAnsi="Arial" w:cs="Arial"/>
        </w:rPr>
        <w:t xml:space="preserve">for the Oxfordshire S75 agreement in </w:t>
      </w:r>
      <w:r w:rsidR="001055A3">
        <w:rPr>
          <w:rFonts w:ascii="Arial" w:hAnsi="Arial" w:cs="Arial"/>
        </w:rPr>
        <w:t>May</w:t>
      </w:r>
      <w:r>
        <w:rPr>
          <w:rFonts w:ascii="Arial" w:hAnsi="Arial" w:cs="Arial"/>
        </w:rPr>
        <w:t xml:space="preserve"> 2018</w:t>
      </w:r>
      <w:r w:rsidR="001055A3">
        <w:rPr>
          <w:rFonts w:ascii="Arial" w:hAnsi="Arial" w:cs="Arial"/>
        </w:rPr>
        <w:t xml:space="preserve"> (M2)</w:t>
      </w:r>
      <w:r w:rsidRPr="00F8330B">
        <w:rPr>
          <w:rFonts w:ascii="Arial" w:hAnsi="Arial" w:cs="Arial"/>
        </w:rPr>
        <w:t xml:space="preserve">.  </w:t>
      </w:r>
      <w:r w:rsidR="001055A3">
        <w:rPr>
          <w:rFonts w:ascii="Arial" w:hAnsi="Arial" w:cs="Arial"/>
        </w:rPr>
        <w:t xml:space="preserve">This is a decrease in the performance reported in M1 (97%).  Of the 15 indicators, the Trust achieved 11 with 2 reported as exceptions.   </w:t>
      </w:r>
    </w:p>
    <w:p w:rsidR="001055A3" w:rsidRDefault="001055A3" w:rsidP="00DB59AD">
      <w:pPr>
        <w:rPr>
          <w:rFonts w:ascii="Arial" w:hAnsi="Arial" w:cs="Arial"/>
        </w:rPr>
      </w:pPr>
    </w:p>
    <w:p w:rsidR="00DB59AD" w:rsidRDefault="00DB59AD" w:rsidP="00DB59AD">
      <w:pPr>
        <w:rPr>
          <w:rFonts w:ascii="Arial" w:hAnsi="Arial" w:cs="Arial"/>
        </w:rPr>
      </w:pPr>
      <w:r>
        <w:rPr>
          <w:rFonts w:ascii="Arial" w:hAnsi="Arial" w:cs="Arial"/>
        </w:rPr>
        <w:t xml:space="preserve">The Buckinghamshire JMG </w:t>
      </w:r>
      <w:r w:rsidR="00A874A3">
        <w:rPr>
          <w:rFonts w:ascii="Arial" w:hAnsi="Arial" w:cs="Arial"/>
        </w:rPr>
        <w:t>indicators</w:t>
      </w:r>
      <w:r>
        <w:rPr>
          <w:rFonts w:ascii="Arial" w:hAnsi="Arial" w:cs="Arial"/>
        </w:rPr>
        <w:t xml:space="preserve"> are reported on a quarterly basis so not included this month.</w:t>
      </w:r>
    </w:p>
    <w:p w:rsidR="00DB59AD" w:rsidRDefault="00DB59AD" w:rsidP="00DB59AD">
      <w:pPr>
        <w:rPr>
          <w:rFonts w:ascii="Arial" w:hAnsi="Arial" w:cs="Arial"/>
          <w:b/>
          <w:highlight w:val="yellow"/>
        </w:rPr>
      </w:pPr>
    </w:p>
    <w:p w:rsidR="00DB59AD" w:rsidRPr="00801A75" w:rsidRDefault="00DB59AD" w:rsidP="00DB59AD">
      <w:pPr>
        <w:rPr>
          <w:rFonts w:ascii="Arial" w:hAnsi="Arial" w:cs="Arial"/>
          <w:b/>
        </w:rPr>
      </w:pPr>
      <w:r>
        <w:rPr>
          <w:rFonts w:ascii="Arial" w:hAnsi="Arial" w:cs="Arial"/>
          <w:b/>
        </w:rPr>
        <w:t xml:space="preserve">Oxfordshire, </w:t>
      </w:r>
      <w:proofErr w:type="spellStart"/>
      <w:r>
        <w:rPr>
          <w:rFonts w:ascii="Arial" w:hAnsi="Arial" w:cs="Arial"/>
          <w:b/>
        </w:rPr>
        <w:t>Swindon</w:t>
      </w:r>
      <w:proofErr w:type="spellEnd"/>
      <w:r>
        <w:rPr>
          <w:rFonts w:ascii="Arial" w:hAnsi="Arial" w:cs="Arial"/>
          <w:b/>
        </w:rPr>
        <w:t>, Wiltshire &amp; BANES – All Ages Mental Health</w:t>
      </w:r>
    </w:p>
    <w:p w:rsidR="00DB59AD" w:rsidRPr="003066A9" w:rsidRDefault="00DB59AD" w:rsidP="00DB59AD">
      <w:pPr>
        <w:jc w:val="both"/>
        <w:rPr>
          <w:rFonts w:ascii="Arial" w:hAnsi="Arial" w:cs="Arial"/>
        </w:rPr>
      </w:pPr>
    </w:p>
    <w:p w:rsidR="00DB59AD" w:rsidRDefault="00DB59AD" w:rsidP="00DB59AD">
      <w:pPr>
        <w:jc w:val="both"/>
        <w:rPr>
          <w:rFonts w:ascii="Arial" w:hAnsi="Arial" w:cs="Arial"/>
        </w:rPr>
      </w:pPr>
      <w:r>
        <w:rPr>
          <w:rFonts w:ascii="Arial" w:hAnsi="Arial" w:cs="Arial"/>
        </w:rPr>
        <w:t xml:space="preserve">The Directorate achieved </w:t>
      </w:r>
      <w:r w:rsidR="00B97C1D">
        <w:rPr>
          <w:rFonts w:ascii="Arial" w:hAnsi="Arial" w:cs="Arial"/>
        </w:rPr>
        <w:t>66</w:t>
      </w:r>
      <w:r w:rsidRPr="00F37E0C">
        <w:rPr>
          <w:rFonts w:ascii="Arial" w:hAnsi="Arial" w:cs="Arial"/>
        </w:rPr>
        <w:t>%</w:t>
      </w:r>
      <w:r>
        <w:rPr>
          <w:rFonts w:ascii="Arial" w:hAnsi="Arial" w:cs="Arial"/>
        </w:rPr>
        <w:t xml:space="preserve"> compliance in </w:t>
      </w:r>
      <w:r w:rsidR="00B97C1D">
        <w:rPr>
          <w:rFonts w:ascii="Arial" w:hAnsi="Arial" w:cs="Arial"/>
        </w:rPr>
        <w:t>June</w:t>
      </w:r>
      <w:r>
        <w:rPr>
          <w:rFonts w:ascii="Arial" w:hAnsi="Arial" w:cs="Arial"/>
        </w:rPr>
        <w:t xml:space="preserve"> against the contracted targets.  </w:t>
      </w:r>
      <w:r w:rsidR="00B97C1D">
        <w:rPr>
          <w:rFonts w:ascii="Arial" w:hAnsi="Arial" w:cs="Arial"/>
        </w:rPr>
        <w:t>This is a decline in performance from the 80% achieved in May.</w:t>
      </w:r>
    </w:p>
    <w:p w:rsidR="00DB59AD" w:rsidRDefault="00DB59AD" w:rsidP="00DB59AD">
      <w:pPr>
        <w:jc w:val="both"/>
        <w:rPr>
          <w:rFonts w:ascii="Arial" w:hAnsi="Arial" w:cs="Arial"/>
        </w:rPr>
      </w:pPr>
    </w:p>
    <w:p w:rsidR="00DB59AD" w:rsidRDefault="00DB59AD" w:rsidP="00DB59AD">
      <w:pPr>
        <w:jc w:val="both"/>
        <w:rPr>
          <w:rFonts w:ascii="Arial" w:hAnsi="Arial" w:cs="Arial"/>
        </w:rPr>
      </w:pPr>
      <w:r>
        <w:rPr>
          <w:rFonts w:ascii="Arial" w:hAnsi="Arial" w:cs="Arial"/>
        </w:rPr>
        <w:t>In looking at the performance trends and identifying areas where further action is required, the following issues have been highlighted to the Operations Management Team:</w:t>
      </w:r>
    </w:p>
    <w:p w:rsidR="00DB59AD" w:rsidRDefault="00DB59AD" w:rsidP="00DB59AD">
      <w:pPr>
        <w:jc w:val="both"/>
        <w:rPr>
          <w:rFonts w:ascii="Arial" w:hAnsi="Arial" w:cs="Arial"/>
        </w:rPr>
      </w:pPr>
    </w:p>
    <w:p w:rsidR="00DB59AD" w:rsidRDefault="00DB59AD" w:rsidP="00DB59AD">
      <w:pPr>
        <w:pStyle w:val="ListParagraph"/>
        <w:numPr>
          <w:ilvl w:val="0"/>
          <w:numId w:val="10"/>
        </w:numPr>
        <w:jc w:val="both"/>
        <w:rPr>
          <w:rFonts w:ascii="Arial" w:hAnsi="Arial" w:cs="Arial"/>
        </w:rPr>
      </w:pPr>
      <w:r w:rsidRPr="000A47D9">
        <w:rPr>
          <w:rFonts w:ascii="Arial" w:hAnsi="Arial" w:cs="Arial"/>
          <w:b/>
        </w:rPr>
        <w:t>Oxfordshire CAMHS</w:t>
      </w:r>
      <w:r>
        <w:rPr>
          <w:rFonts w:ascii="Arial" w:hAnsi="Arial" w:cs="Arial"/>
        </w:rPr>
        <w:t xml:space="preserve"> </w:t>
      </w:r>
      <w:r w:rsidR="00656892">
        <w:rPr>
          <w:rFonts w:ascii="Arial" w:hAnsi="Arial" w:cs="Arial"/>
        </w:rPr>
        <w:t>–</w:t>
      </w:r>
      <w:r>
        <w:rPr>
          <w:rFonts w:ascii="Arial" w:hAnsi="Arial" w:cs="Arial"/>
        </w:rPr>
        <w:t xml:space="preserve"> </w:t>
      </w:r>
      <w:r w:rsidR="00656892">
        <w:rPr>
          <w:rFonts w:ascii="Arial" w:hAnsi="Arial" w:cs="Arial"/>
        </w:rPr>
        <w:t xml:space="preserve">Work to review and validate the performance data for CAMHS services has now been completed and signed off following the restructuring of teams.  Although the Trust is not currently achieving the contracted performance targets, a plan is being developed to contract with a third party company to provide additional capacity on a short term basis.    </w:t>
      </w:r>
      <w:r w:rsidRPr="000A47D9">
        <w:rPr>
          <w:rFonts w:ascii="Arial" w:hAnsi="Arial" w:cs="Arial"/>
        </w:rPr>
        <w:t xml:space="preserve">  </w:t>
      </w:r>
    </w:p>
    <w:p w:rsidR="00DB59AD" w:rsidRDefault="00DB59AD" w:rsidP="00DB59AD">
      <w:pPr>
        <w:pStyle w:val="ListParagraph"/>
        <w:jc w:val="both"/>
        <w:rPr>
          <w:rFonts w:ascii="Arial" w:hAnsi="Arial" w:cs="Arial"/>
        </w:rPr>
      </w:pPr>
    </w:p>
    <w:p w:rsidR="00DB59AD" w:rsidRPr="00243BA6" w:rsidRDefault="00DB59AD" w:rsidP="00DB59AD">
      <w:pPr>
        <w:pStyle w:val="ListParagraph"/>
        <w:numPr>
          <w:ilvl w:val="0"/>
          <w:numId w:val="10"/>
        </w:numPr>
        <w:jc w:val="both"/>
        <w:rPr>
          <w:rFonts w:ascii="Arial" w:hAnsi="Arial" w:cs="Arial"/>
        </w:rPr>
      </w:pPr>
      <w:r w:rsidRPr="00243BA6">
        <w:rPr>
          <w:rFonts w:ascii="Arial" w:hAnsi="Arial" w:cs="Arial"/>
          <w:b/>
        </w:rPr>
        <w:t>Improving Access to Psychological Therapies (IAPT)</w:t>
      </w:r>
      <w:r w:rsidRPr="00243BA6">
        <w:rPr>
          <w:rFonts w:ascii="Arial" w:hAnsi="Arial" w:cs="Arial"/>
        </w:rPr>
        <w:t xml:space="preserve"> </w:t>
      </w:r>
      <w:r w:rsidRPr="00243BA6">
        <w:rPr>
          <w:rFonts w:ascii="Arial" w:hAnsi="Arial" w:cs="Arial"/>
          <w:b/>
        </w:rPr>
        <w:t>CBT &amp; Counselling</w:t>
      </w:r>
      <w:r w:rsidRPr="00243BA6">
        <w:rPr>
          <w:rFonts w:ascii="Arial" w:hAnsi="Arial" w:cs="Arial"/>
        </w:rPr>
        <w:t xml:space="preserve"> – Ongoing accommodation issues are preventing IAPT services from achieving access targets.</w:t>
      </w:r>
      <w:r w:rsidR="00FB73B8">
        <w:rPr>
          <w:rFonts w:ascii="Arial" w:hAnsi="Arial" w:cs="Arial"/>
        </w:rPr>
        <w:t xml:space="preserve">  Historically, the services have been delivered from GP surgeries, however, with space now being at a premium across the system, further investment will be required so that alternative accommodation can be found.</w:t>
      </w:r>
      <w:r w:rsidRPr="00243BA6">
        <w:rPr>
          <w:rFonts w:ascii="Arial" w:hAnsi="Arial" w:cs="Arial"/>
        </w:rPr>
        <w:t xml:space="preserve"> T</w:t>
      </w:r>
      <w:r w:rsidR="00FB73B8">
        <w:rPr>
          <w:rFonts w:ascii="Arial" w:hAnsi="Arial" w:cs="Arial"/>
        </w:rPr>
        <w:t>his</w:t>
      </w:r>
      <w:r>
        <w:rPr>
          <w:rFonts w:ascii="Arial" w:hAnsi="Arial" w:cs="Arial"/>
        </w:rPr>
        <w:t xml:space="preserve"> issue </w:t>
      </w:r>
      <w:r w:rsidR="00761444">
        <w:rPr>
          <w:rFonts w:ascii="Arial" w:hAnsi="Arial" w:cs="Arial"/>
        </w:rPr>
        <w:t>has been escalated to Commissioners and potential solutions are being reviewed</w:t>
      </w:r>
      <w:r>
        <w:rPr>
          <w:rFonts w:ascii="Arial" w:hAnsi="Arial" w:cs="Arial"/>
        </w:rPr>
        <w:t>.</w:t>
      </w:r>
    </w:p>
    <w:p w:rsidR="00DB59AD" w:rsidRPr="00EE1C5E" w:rsidRDefault="00DB59AD" w:rsidP="00DB59AD">
      <w:pPr>
        <w:pStyle w:val="ListParagraph"/>
        <w:jc w:val="both"/>
        <w:rPr>
          <w:rFonts w:ascii="Arial" w:hAnsi="Arial" w:cs="Arial"/>
        </w:rPr>
      </w:pPr>
      <w:r w:rsidRPr="00EE1C5E">
        <w:rPr>
          <w:rFonts w:ascii="Arial" w:hAnsi="Arial" w:cs="Arial"/>
        </w:rPr>
        <w:lastRenderedPageBreak/>
        <w:t xml:space="preserve">  </w:t>
      </w:r>
    </w:p>
    <w:p w:rsidR="00DB59AD" w:rsidRDefault="00DB59AD" w:rsidP="00DB59AD">
      <w:pPr>
        <w:pStyle w:val="ListParagraph"/>
        <w:numPr>
          <w:ilvl w:val="0"/>
          <w:numId w:val="10"/>
        </w:numPr>
        <w:jc w:val="both"/>
        <w:rPr>
          <w:rFonts w:ascii="Arial" w:hAnsi="Arial" w:cs="Arial"/>
        </w:rPr>
      </w:pPr>
      <w:r w:rsidRPr="00FB07D8">
        <w:rPr>
          <w:rFonts w:ascii="Arial" w:hAnsi="Arial" w:cs="Arial"/>
          <w:b/>
        </w:rPr>
        <w:t>Cluster Reviews</w:t>
      </w:r>
      <w:r>
        <w:rPr>
          <w:rFonts w:ascii="Arial" w:hAnsi="Arial" w:cs="Arial"/>
        </w:rPr>
        <w:t xml:space="preserve"> – The cluster review indicators continue to be below target though improvements continue to be made.  Operational staff are being regularly reminded of the importance of clustering within the agreed timescales.  This issue has been </w:t>
      </w:r>
      <w:r w:rsidR="004539A6">
        <w:rPr>
          <w:rFonts w:ascii="Arial" w:hAnsi="Arial" w:cs="Arial"/>
        </w:rPr>
        <w:t>discussed at the Operations Management Team and with Commissioners</w:t>
      </w:r>
      <w:r>
        <w:rPr>
          <w:rFonts w:ascii="Arial" w:hAnsi="Arial" w:cs="Arial"/>
        </w:rPr>
        <w:t xml:space="preserve">. </w:t>
      </w:r>
      <w:r w:rsidR="004539A6">
        <w:rPr>
          <w:rFonts w:ascii="Arial" w:hAnsi="Arial" w:cs="Arial"/>
        </w:rPr>
        <w:t xml:space="preserve"> This indicator is now under review as although there is agreement that the cluster reviews should be carried out, a specific timescale is not considered to be of clinical value.</w:t>
      </w:r>
    </w:p>
    <w:p w:rsidR="004539A6" w:rsidRPr="004539A6" w:rsidRDefault="004539A6" w:rsidP="004539A6">
      <w:pPr>
        <w:pStyle w:val="ListParagraph"/>
        <w:rPr>
          <w:rFonts w:ascii="Arial" w:hAnsi="Arial" w:cs="Arial"/>
        </w:rPr>
      </w:pPr>
    </w:p>
    <w:p w:rsidR="004539A6" w:rsidRPr="00426CE1" w:rsidRDefault="001E2D28" w:rsidP="00DB59AD">
      <w:pPr>
        <w:pStyle w:val="ListParagraph"/>
        <w:numPr>
          <w:ilvl w:val="0"/>
          <w:numId w:val="10"/>
        </w:numPr>
        <w:jc w:val="both"/>
        <w:rPr>
          <w:rFonts w:ascii="Arial" w:hAnsi="Arial" w:cs="Arial"/>
          <w:b/>
        </w:rPr>
      </w:pPr>
      <w:r w:rsidRPr="001E2D28">
        <w:rPr>
          <w:rFonts w:ascii="Arial" w:hAnsi="Arial" w:cs="Arial"/>
          <w:b/>
        </w:rPr>
        <w:t xml:space="preserve">Percentage of non-urgent </w:t>
      </w:r>
      <w:r w:rsidR="00605D55">
        <w:rPr>
          <w:rFonts w:ascii="Arial" w:hAnsi="Arial" w:cs="Arial"/>
          <w:b/>
        </w:rPr>
        <w:t xml:space="preserve">referrals </w:t>
      </w:r>
      <w:r w:rsidRPr="001E2D28">
        <w:rPr>
          <w:rFonts w:ascii="Arial" w:hAnsi="Arial" w:cs="Arial"/>
          <w:b/>
        </w:rPr>
        <w:t>that are assessed within 28 calendar days</w:t>
      </w:r>
      <w:r w:rsidR="00605D55">
        <w:rPr>
          <w:rFonts w:ascii="Arial" w:hAnsi="Arial" w:cs="Arial"/>
          <w:b/>
        </w:rPr>
        <w:t xml:space="preserve"> (Adult Community Mental Health) – </w:t>
      </w:r>
      <w:r w:rsidR="00605D55">
        <w:rPr>
          <w:rFonts w:ascii="Arial" w:hAnsi="Arial" w:cs="Arial"/>
        </w:rPr>
        <w:t>Due to a significant increase in referrals and pressure within operational teams, the target for this indicator has been increased to 8 weeks (from 4 weeks).  Against the revised target, the Trust is achieving 92% compliance.</w:t>
      </w:r>
    </w:p>
    <w:p w:rsidR="00426CE1" w:rsidRPr="00426CE1" w:rsidRDefault="00426CE1" w:rsidP="00426CE1">
      <w:pPr>
        <w:pStyle w:val="ListParagraph"/>
        <w:rPr>
          <w:rFonts w:ascii="Arial" w:hAnsi="Arial" w:cs="Arial"/>
          <w:b/>
        </w:rPr>
      </w:pPr>
    </w:p>
    <w:p w:rsidR="00426CE1" w:rsidRPr="009632F8" w:rsidRDefault="00426CE1" w:rsidP="00DB59AD">
      <w:pPr>
        <w:pStyle w:val="ListParagraph"/>
        <w:numPr>
          <w:ilvl w:val="0"/>
          <w:numId w:val="10"/>
        </w:numPr>
        <w:jc w:val="both"/>
        <w:rPr>
          <w:rFonts w:ascii="Arial" w:hAnsi="Arial" w:cs="Arial"/>
          <w:b/>
        </w:rPr>
      </w:pPr>
      <w:r>
        <w:rPr>
          <w:rFonts w:ascii="Arial" w:hAnsi="Arial" w:cs="Arial"/>
          <w:b/>
        </w:rPr>
        <w:t xml:space="preserve">GP Letters.  Part 1 &amp; 2 Summaries – </w:t>
      </w:r>
      <w:r>
        <w:rPr>
          <w:rFonts w:ascii="Arial" w:hAnsi="Arial" w:cs="Arial"/>
        </w:rPr>
        <w:t>There has been a significant decline in summaries being sent to patient GP’s within 10 days following discharge.  This issue will be reviewed further with services and additional support will be provided to improve this position.</w:t>
      </w:r>
    </w:p>
    <w:p w:rsidR="009632F8" w:rsidRPr="009632F8" w:rsidRDefault="009632F8" w:rsidP="009632F8">
      <w:pPr>
        <w:pStyle w:val="ListParagraph"/>
        <w:rPr>
          <w:rFonts w:ascii="Arial" w:hAnsi="Arial" w:cs="Arial"/>
          <w:b/>
        </w:rPr>
      </w:pPr>
    </w:p>
    <w:p w:rsidR="009632F8" w:rsidRPr="001E2D28" w:rsidRDefault="009632F8" w:rsidP="00DB59AD">
      <w:pPr>
        <w:pStyle w:val="ListParagraph"/>
        <w:numPr>
          <w:ilvl w:val="0"/>
          <w:numId w:val="10"/>
        </w:numPr>
        <w:jc w:val="both"/>
        <w:rPr>
          <w:rFonts w:ascii="Arial" w:hAnsi="Arial" w:cs="Arial"/>
          <w:b/>
        </w:rPr>
      </w:pPr>
      <w:r>
        <w:rPr>
          <w:rFonts w:ascii="Arial" w:hAnsi="Arial" w:cs="Arial"/>
          <w:b/>
        </w:rPr>
        <w:t xml:space="preserve">CAMHS – </w:t>
      </w:r>
      <w:proofErr w:type="spellStart"/>
      <w:r>
        <w:rPr>
          <w:rFonts w:ascii="Arial" w:hAnsi="Arial" w:cs="Arial"/>
          <w:b/>
        </w:rPr>
        <w:t>Swindon</w:t>
      </w:r>
      <w:proofErr w:type="spellEnd"/>
      <w:r>
        <w:rPr>
          <w:rFonts w:ascii="Arial" w:hAnsi="Arial" w:cs="Arial"/>
          <w:b/>
        </w:rPr>
        <w:t xml:space="preserve">, Wiltshire, Bath and North East Somerset.  </w:t>
      </w:r>
      <w:r>
        <w:rPr>
          <w:rFonts w:ascii="Arial" w:hAnsi="Arial" w:cs="Arial"/>
        </w:rPr>
        <w:t xml:space="preserve">Following the inclusion of the performance data in the monthly Board report, there are a number of indicators that are underperforming and </w:t>
      </w:r>
      <w:r w:rsidR="00A62349">
        <w:rPr>
          <w:rFonts w:ascii="Arial" w:hAnsi="Arial" w:cs="Arial"/>
        </w:rPr>
        <w:t>require</w:t>
      </w:r>
      <w:r>
        <w:rPr>
          <w:rFonts w:ascii="Arial" w:hAnsi="Arial" w:cs="Arial"/>
        </w:rPr>
        <w:t xml:space="preserve"> further investigation.  A review will be carried out and reported to the Board in September 2018.</w:t>
      </w:r>
    </w:p>
    <w:p w:rsidR="00DB59AD" w:rsidRPr="00311FA4" w:rsidRDefault="00DB59AD" w:rsidP="00DB59AD">
      <w:pPr>
        <w:pStyle w:val="ListParagraph"/>
        <w:rPr>
          <w:rFonts w:ascii="Arial" w:hAnsi="Arial" w:cs="Arial"/>
        </w:rPr>
      </w:pPr>
    </w:p>
    <w:p w:rsidR="00DB59AD" w:rsidRPr="003623C4" w:rsidRDefault="00DB59AD" w:rsidP="00DB59AD">
      <w:pPr>
        <w:pStyle w:val="ListParagraph"/>
        <w:rPr>
          <w:rFonts w:ascii="Arial" w:hAnsi="Arial" w:cs="Arial"/>
        </w:rPr>
      </w:pPr>
    </w:p>
    <w:p w:rsidR="00DB59AD" w:rsidRPr="00092DC0" w:rsidRDefault="00DB59AD" w:rsidP="00DB59AD">
      <w:pPr>
        <w:rPr>
          <w:rFonts w:ascii="Arial" w:hAnsi="Arial" w:cs="Arial"/>
          <w:b/>
        </w:rPr>
      </w:pPr>
      <w:r w:rsidRPr="00092DC0">
        <w:rPr>
          <w:rFonts w:ascii="Arial" w:hAnsi="Arial" w:cs="Arial"/>
          <w:b/>
        </w:rPr>
        <w:t>Buckinghamshire – All Ages Mental Health</w:t>
      </w:r>
    </w:p>
    <w:p w:rsidR="00DB59AD" w:rsidRPr="00092DC0" w:rsidRDefault="00DB59AD" w:rsidP="00DB59AD">
      <w:pPr>
        <w:rPr>
          <w:rFonts w:ascii="Arial" w:hAnsi="Arial" w:cs="Arial"/>
          <w:b/>
        </w:rPr>
      </w:pPr>
    </w:p>
    <w:p w:rsidR="00DB59AD" w:rsidRPr="00092DC0" w:rsidRDefault="00DB59AD" w:rsidP="00DB59AD">
      <w:pPr>
        <w:jc w:val="both"/>
        <w:rPr>
          <w:rFonts w:ascii="Arial" w:hAnsi="Arial" w:cs="Arial"/>
        </w:rPr>
      </w:pPr>
      <w:r w:rsidRPr="00092DC0">
        <w:rPr>
          <w:rFonts w:ascii="Arial" w:hAnsi="Arial" w:cs="Arial"/>
        </w:rPr>
        <w:t xml:space="preserve">The Directorate achieved </w:t>
      </w:r>
      <w:r w:rsidR="00092DC0" w:rsidRPr="00092DC0">
        <w:rPr>
          <w:rFonts w:ascii="Arial" w:hAnsi="Arial" w:cs="Arial"/>
        </w:rPr>
        <w:t>7</w:t>
      </w:r>
      <w:r w:rsidRPr="00092DC0">
        <w:rPr>
          <w:rFonts w:ascii="Arial" w:hAnsi="Arial" w:cs="Arial"/>
        </w:rPr>
        <w:t xml:space="preserve">3% compliance in </w:t>
      </w:r>
      <w:r w:rsidR="00092DC0" w:rsidRPr="00092DC0">
        <w:rPr>
          <w:rFonts w:ascii="Arial" w:hAnsi="Arial" w:cs="Arial"/>
        </w:rPr>
        <w:t>June</w:t>
      </w:r>
      <w:r w:rsidRPr="00092DC0">
        <w:rPr>
          <w:rFonts w:ascii="Arial" w:hAnsi="Arial" w:cs="Arial"/>
        </w:rPr>
        <w:t xml:space="preserve"> against the contracted targets.  </w:t>
      </w:r>
    </w:p>
    <w:p w:rsidR="00DB59AD" w:rsidRPr="00092DC0" w:rsidRDefault="00DB59AD" w:rsidP="00DB59AD">
      <w:pPr>
        <w:jc w:val="both"/>
        <w:rPr>
          <w:rFonts w:ascii="Arial" w:hAnsi="Arial" w:cs="Arial"/>
        </w:rPr>
      </w:pPr>
    </w:p>
    <w:p w:rsidR="00DB59AD" w:rsidRPr="00092DC0" w:rsidRDefault="00DB59AD" w:rsidP="00DB59AD">
      <w:pPr>
        <w:jc w:val="both"/>
        <w:rPr>
          <w:rFonts w:ascii="Arial" w:hAnsi="Arial" w:cs="Arial"/>
        </w:rPr>
      </w:pPr>
      <w:r w:rsidRPr="00092DC0">
        <w:rPr>
          <w:rFonts w:ascii="Arial" w:hAnsi="Arial" w:cs="Arial"/>
        </w:rPr>
        <w:t>In looking at the performance trends and identifying areas where further action is required, the following issue will be reviewed by the Operations Management Team as it has been reported for three consecutive months:</w:t>
      </w:r>
    </w:p>
    <w:p w:rsidR="00DB59AD" w:rsidRPr="00092DC0" w:rsidRDefault="00DB59AD" w:rsidP="00DB59AD">
      <w:pPr>
        <w:jc w:val="both"/>
        <w:rPr>
          <w:rFonts w:ascii="Arial" w:hAnsi="Arial" w:cs="Arial"/>
        </w:rPr>
      </w:pPr>
    </w:p>
    <w:p w:rsidR="00DB59AD" w:rsidRDefault="00DB59AD" w:rsidP="00DB59AD">
      <w:pPr>
        <w:pStyle w:val="ListParagraph"/>
        <w:numPr>
          <w:ilvl w:val="0"/>
          <w:numId w:val="10"/>
        </w:numPr>
        <w:jc w:val="both"/>
        <w:rPr>
          <w:rFonts w:ascii="Arial" w:hAnsi="Arial" w:cs="Arial"/>
        </w:rPr>
      </w:pPr>
      <w:r w:rsidRPr="00092DC0">
        <w:rPr>
          <w:rFonts w:ascii="Arial" w:hAnsi="Arial" w:cs="Arial"/>
          <w:b/>
        </w:rPr>
        <w:t>Care Reviews</w:t>
      </w:r>
      <w:r w:rsidRPr="00092DC0">
        <w:rPr>
          <w:rFonts w:ascii="Arial" w:hAnsi="Arial" w:cs="Arial"/>
        </w:rPr>
        <w:t xml:space="preserve"> - Analysis of the performance data has shown that timescales for care reviews </w:t>
      </w:r>
      <w:r w:rsidR="00092DC0" w:rsidRPr="00092DC0">
        <w:rPr>
          <w:rFonts w:ascii="Arial" w:hAnsi="Arial" w:cs="Arial"/>
        </w:rPr>
        <w:t>across the county</w:t>
      </w:r>
      <w:r w:rsidRPr="00092DC0">
        <w:rPr>
          <w:rFonts w:ascii="Arial" w:hAnsi="Arial" w:cs="Arial"/>
        </w:rPr>
        <w:t xml:space="preserve"> continue to be below target.  Service leads continue to work with operational services to improve this position and performance is being closely monitored.  </w:t>
      </w:r>
    </w:p>
    <w:p w:rsidR="00092DC0" w:rsidRDefault="00092DC0" w:rsidP="00092DC0">
      <w:pPr>
        <w:pStyle w:val="ListParagraph"/>
        <w:jc w:val="both"/>
        <w:rPr>
          <w:rFonts w:ascii="Arial" w:hAnsi="Arial" w:cs="Arial"/>
        </w:rPr>
      </w:pPr>
    </w:p>
    <w:p w:rsidR="00092DC0" w:rsidRPr="00092DC0" w:rsidRDefault="00A874A3" w:rsidP="00092DC0">
      <w:pPr>
        <w:pStyle w:val="ListParagraph"/>
        <w:numPr>
          <w:ilvl w:val="0"/>
          <w:numId w:val="10"/>
        </w:numPr>
        <w:jc w:val="both"/>
        <w:rPr>
          <w:rFonts w:ascii="Arial" w:hAnsi="Arial" w:cs="Arial"/>
        </w:rPr>
      </w:pPr>
      <w:r>
        <w:rPr>
          <w:rFonts w:ascii="Arial" w:hAnsi="Arial" w:cs="Arial"/>
          <w:b/>
        </w:rPr>
        <w:t>Did Not Attend (</w:t>
      </w:r>
      <w:r w:rsidR="00092DC0">
        <w:rPr>
          <w:rFonts w:ascii="Arial" w:hAnsi="Arial" w:cs="Arial"/>
          <w:b/>
        </w:rPr>
        <w:t>DNA</w:t>
      </w:r>
      <w:r>
        <w:rPr>
          <w:rFonts w:ascii="Arial" w:hAnsi="Arial" w:cs="Arial"/>
          <w:b/>
        </w:rPr>
        <w:t>)</w:t>
      </w:r>
      <w:r w:rsidR="00092DC0">
        <w:rPr>
          <w:rFonts w:ascii="Arial" w:hAnsi="Arial" w:cs="Arial"/>
          <w:b/>
        </w:rPr>
        <w:t xml:space="preserve"> rates </w:t>
      </w:r>
      <w:r w:rsidR="00092DC0">
        <w:rPr>
          <w:rFonts w:ascii="Arial" w:hAnsi="Arial" w:cs="Arial"/>
        </w:rPr>
        <w:t>–</w:t>
      </w:r>
      <w:r w:rsidR="00C04554">
        <w:rPr>
          <w:rFonts w:ascii="Arial" w:hAnsi="Arial" w:cs="Arial"/>
        </w:rPr>
        <w:t xml:space="preserve"> </w:t>
      </w:r>
      <w:r w:rsidR="00092DC0" w:rsidRPr="00092DC0">
        <w:rPr>
          <w:rFonts w:ascii="Arial" w:hAnsi="Arial" w:cs="Arial"/>
        </w:rPr>
        <w:t>The service has noticed an increase in the DNA rate during the exam period and approaching the school summer holidays</w:t>
      </w:r>
    </w:p>
    <w:p w:rsidR="00DB59AD" w:rsidRPr="003D2972" w:rsidRDefault="00DB59AD" w:rsidP="00DB59AD">
      <w:pPr>
        <w:jc w:val="both"/>
        <w:rPr>
          <w:rFonts w:ascii="Arial" w:hAnsi="Arial" w:cs="Arial"/>
          <w:highlight w:val="yellow"/>
        </w:rPr>
      </w:pPr>
    </w:p>
    <w:p w:rsidR="00DB59AD" w:rsidRPr="003D2972" w:rsidRDefault="00DB59AD" w:rsidP="00DB59AD">
      <w:pPr>
        <w:jc w:val="both"/>
        <w:rPr>
          <w:rFonts w:ascii="Arial" w:hAnsi="Arial" w:cs="Arial"/>
          <w:highlight w:val="yellow"/>
        </w:rPr>
      </w:pPr>
    </w:p>
    <w:p w:rsidR="00DB59AD" w:rsidRPr="00EA71F9" w:rsidRDefault="00DB59AD" w:rsidP="00DB59AD">
      <w:pPr>
        <w:jc w:val="both"/>
        <w:rPr>
          <w:rFonts w:ascii="Arial" w:hAnsi="Arial" w:cs="Arial"/>
          <w:b/>
        </w:rPr>
      </w:pPr>
      <w:r w:rsidRPr="00EA71F9">
        <w:rPr>
          <w:rFonts w:ascii="Arial" w:hAnsi="Arial" w:cs="Arial"/>
          <w:b/>
        </w:rPr>
        <w:t>Oxfordshire Community Services Directorate</w:t>
      </w:r>
    </w:p>
    <w:p w:rsidR="00DB59AD" w:rsidRPr="00EA71F9" w:rsidRDefault="00DB59AD" w:rsidP="00DB59AD">
      <w:pPr>
        <w:jc w:val="both"/>
        <w:rPr>
          <w:rFonts w:ascii="Arial" w:hAnsi="Arial" w:cs="Arial"/>
          <w:b/>
        </w:rPr>
      </w:pPr>
    </w:p>
    <w:p w:rsidR="00DB59AD" w:rsidRPr="00EA71F9" w:rsidRDefault="00C04554" w:rsidP="00DB59AD">
      <w:pPr>
        <w:jc w:val="both"/>
        <w:rPr>
          <w:rFonts w:ascii="Arial" w:hAnsi="Arial" w:cs="Arial"/>
        </w:rPr>
      </w:pPr>
      <w:r w:rsidRPr="00EA71F9">
        <w:rPr>
          <w:rFonts w:ascii="Arial" w:hAnsi="Arial" w:cs="Arial"/>
        </w:rPr>
        <w:t>The Directorate achieved 77</w:t>
      </w:r>
      <w:r w:rsidR="00DB59AD" w:rsidRPr="00EA71F9">
        <w:rPr>
          <w:rFonts w:ascii="Arial" w:hAnsi="Arial" w:cs="Arial"/>
        </w:rPr>
        <w:t xml:space="preserve">% compliance in </w:t>
      </w:r>
      <w:r w:rsidRPr="00EA71F9">
        <w:rPr>
          <w:rFonts w:ascii="Arial" w:hAnsi="Arial" w:cs="Arial"/>
        </w:rPr>
        <w:t>June</w:t>
      </w:r>
      <w:r w:rsidR="00DB59AD" w:rsidRPr="00EA71F9">
        <w:rPr>
          <w:rFonts w:ascii="Arial" w:hAnsi="Arial" w:cs="Arial"/>
        </w:rPr>
        <w:t xml:space="preserve"> against the contracted targets.  </w:t>
      </w:r>
    </w:p>
    <w:p w:rsidR="00DB59AD" w:rsidRPr="003D2972" w:rsidRDefault="00DB59AD" w:rsidP="00DB59AD">
      <w:pPr>
        <w:jc w:val="both"/>
        <w:rPr>
          <w:rFonts w:ascii="Arial" w:hAnsi="Arial" w:cs="Arial"/>
          <w:highlight w:val="yellow"/>
        </w:rPr>
      </w:pPr>
    </w:p>
    <w:p w:rsidR="00DB59AD" w:rsidRPr="00C04554" w:rsidRDefault="00DB59AD" w:rsidP="00DB59AD">
      <w:pPr>
        <w:jc w:val="both"/>
        <w:rPr>
          <w:rFonts w:ascii="Arial" w:hAnsi="Arial" w:cs="Arial"/>
        </w:rPr>
      </w:pPr>
      <w:r w:rsidRPr="00C04554">
        <w:rPr>
          <w:rFonts w:ascii="Arial" w:hAnsi="Arial" w:cs="Arial"/>
        </w:rPr>
        <w:lastRenderedPageBreak/>
        <w:t>In looking at the performance trends and identifying areas where further action is required, the following issues have been highlighted to the Operations Management Team:</w:t>
      </w:r>
    </w:p>
    <w:p w:rsidR="00DB59AD" w:rsidRPr="00C04554" w:rsidRDefault="00DB59AD" w:rsidP="00DB59AD">
      <w:pPr>
        <w:pStyle w:val="ListParagraph"/>
        <w:rPr>
          <w:rFonts w:ascii="Arial" w:hAnsi="Arial" w:cs="Arial"/>
          <w:b/>
        </w:rPr>
      </w:pPr>
    </w:p>
    <w:p w:rsidR="00DB59AD" w:rsidRPr="00C04554" w:rsidRDefault="00DB59AD" w:rsidP="00DB59AD">
      <w:pPr>
        <w:pStyle w:val="ListParagraph"/>
        <w:numPr>
          <w:ilvl w:val="0"/>
          <w:numId w:val="10"/>
        </w:numPr>
        <w:jc w:val="both"/>
        <w:rPr>
          <w:rFonts w:ascii="Arial" w:hAnsi="Arial" w:cs="Arial"/>
          <w:b/>
        </w:rPr>
      </w:pPr>
      <w:r w:rsidRPr="00C04554">
        <w:rPr>
          <w:rFonts w:ascii="Arial" w:hAnsi="Arial" w:cs="Arial"/>
          <w:b/>
        </w:rPr>
        <w:t>The Out of Hours (OOH) Services</w:t>
      </w:r>
      <w:r w:rsidRPr="00C04554">
        <w:rPr>
          <w:rFonts w:ascii="Arial" w:hAnsi="Arial" w:cs="Arial"/>
        </w:rPr>
        <w:t xml:space="preserve">.  Services remain under pressure but only 1 of the 9 indicators were below the exception reporting threshold in </w:t>
      </w:r>
      <w:r w:rsidR="00C04554" w:rsidRPr="00C04554">
        <w:rPr>
          <w:rFonts w:ascii="Arial" w:hAnsi="Arial" w:cs="Arial"/>
        </w:rPr>
        <w:t>June</w:t>
      </w:r>
      <w:r w:rsidRPr="00C04554">
        <w:rPr>
          <w:rFonts w:ascii="Arial" w:hAnsi="Arial" w:cs="Arial"/>
        </w:rPr>
        <w:t xml:space="preserve"> (unfilled clinical shifts).  The service continues to ensure that every patient is safe whilst under OOH care and work to improve performance continues.  </w:t>
      </w:r>
      <w:r w:rsidR="00C04554" w:rsidRPr="00C04554">
        <w:rPr>
          <w:rFonts w:ascii="Arial" w:hAnsi="Arial" w:cs="Arial"/>
        </w:rPr>
        <w:t>The CCG has agreed in principal to the withdrawal of this indicator</w:t>
      </w:r>
      <w:r w:rsidR="00C04554">
        <w:rPr>
          <w:rFonts w:ascii="Arial" w:hAnsi="Arial" w:cs="Arial"/>
        </w:rPr>
        <w:t xml:space="preserve"> a</w:t>
      </w:r>
      <w:r w:rsidR="00A874A3">
        <w:rPr>
          <w:rFonts w:ascii="Arial" w:hAnsi="Arial" w:cs="Arial"/>
        </w:rPr>
        <w:t>s</w:t>
      </w:r>
      <w:r w:rsidR="00C04554">
        <w:rPr>
          <w:rFonts w:ascii="Arial" w:hAnsi="Arial" w:cs="Arial"/>
        </w:rPr>
        <w:t xml:space="preserve"> this is not a robust measure of clinical care provision and access performance.</w:t>
      </w:r>
    </w:p>
    <w:p w:rsidR="00DB59AD" w:rsidRPr="003D2972" w:rsidRDefault="00DB59AD" w:rsidP="00DB59AD">
      <w:pPr>
        <w:pStyle w:val="ListParagraph"/>
        <w:jc w:val="both"/>
        <w:rPr>
          <w:rFonts w:ascii="Arial" w:hAnsi="Arial" w:cs="Arial"/>
          <w:b/>
          <w:highlight w:val="yellow"/>
        </w:rPr>
      </w:pPr>
    </w:p>
    <w:p w:rsidR="00DB59AD" w:rsidRPr="00C04554" w:rsidRDefault="00DB59AD" w:rsidP="00DB59AD">
      <w:pPr>
        <w:pStyle w:val="ListParagraph"/>
        <w:numPr>
          <w:ilvl w:val="0"/>
          <w:numId w:val="10"/>
        </w:numPr>
        <w:jc w:val="both"/>
        <w:rPr>
          <w:rFonts w:ascii="Arial" w:hAnsi="Arial" w:cs="Arial"/>
        </w:rPr>
      </w:pPr>
      <w:r w:rsidRPr="00C04554">
        <w:rPr>
          <w:rFonts w:ascii="Arial" w:hAnsi="Arial" w:cs="Arial"/>
          <w:b/>
        </w:rPr>
        <w:t xml:space="preserve">Physical Disabilities Physiotherapy Service (PDPS). </w:t>
      </w:r>
      <w:r w:rsidR="00C04554">
        <w:rPr>
          <w:rFonts w:ascii="Arial" w:hAnsi="Arial" w:cs="Arial"/>
          <w:b/>
        </w:rPr>
        <w:t xml:space="preserve"> </w:t>
      </w:r>
      <w:r w:rsidR="00C04554" w:rsidRPr="00C04554">
        <w:rPr>
          <w:rFonts w:ascii="Arial" w:hAnsi="Arial" w:cs="Arial"/>
        </w:rPr>
        <w:t xml:space="preserve">A business case has been submitted to the CCG and is awaiting </w:t>
      </w:r>
      <w:r w:rsidR="00C04554">
        <w:rPr>
          <w:rFonts w:ascii="Arial" w:hAnsi="Arial" w:cs="Arial"/>
        </w:rPr>
        <w:t>approval, however, the CCG are in the process of reviewing the full pathway.  Whilst this is underway the CCG has agreed not to challenge performance against this measure.</w:t>
      </w:r>
    </w:p>
    <w:p w:rsidR="00DB59AD" w:rsidRPr="003D2972" w:rsidRDefault="00DB59AD" w:rsidP="00DB59AD">
      <w:pPr>
        <w:pStyle w:val="ListParagraph"/>
        <w:rPr>
          <w:rFonts w:ascii="Arial" w:hAnsi="Arial" w:cs="Arial"/>
          <w:b/>
          <w:highlight w:val="yellow"/>
        </w:rPr>
      </w:pPr>
    </w:p>
    <w:p w:rsidR="00DB59AD" w:rsidRPr="00C04554" w:rsidRDefault="00DB59AD" w:rsidP="00DB59AD">
      <w:pPr>
        <w:pStyle w:val="ListParagraph"/>
        <w:numPr>
          <w:ilvl w:val="0"/>
          <w:numId w:val="10"/>
        </w:numPr>
        <w:jc w:val="both"/>
        <w:rPr>
          <w:rFonts w:ascii="Arial" w:hAnsi="Arial" w:cs="Arial"/>
          <w:b/>
        </w:rPr>
      </w:pPr>
      <w:r w:rsidRPr="00C04554">
        <w:rPr>
          <w:rFonts w:ascii="Arial" w:hAnsi="Arial" w:cs="Arial"/>
          <w:b/>
        </w:rPr>
        <w:t xml:space="preserve">Stroke Therapies – </w:t>
      </w:r>
      <w:r w:rsidRPr="00C04554">
        <w:rPr>
          <w:rFonts w:ascii="Arial" w:hAnsi="Arial" w:cs="Arial"/>
        </w:rPr>
        <w:t xml:space="preserve">Workforce pressures continue to affect the Trust’s ability to achieve the targets </w:t>
      </w:r>
      <w:r w:rsidR="00C04554" w:rsidRPr="00C04554">
        <w:rPr>
          <w:rFonts w:ascii="Arial" w:hAnsi="Arial" w:cs="Arial"/>
        </w:rPr>
        <w:t xml:space="preserve">particularly in relation to </w:t>
      </w:r>
      <w:r w:rsidRPr="00C04554">
        <w:rPr>
          <w:rFonts w:ascii="Arial" w:hAnsi="Arial" w:cs="Arial"/>
        </w:rPr>
        <w:t xml:space="preserve">speech and language therapy.  Actions have already been taken to </w:t>
      </w:r>
      <w:proofErr w:type="spellStart"/>
      <w:r w:rsidRPr="00C04554">
        <w:rPr>
          <w:rFonts w:ascii="Arial" w:hAnsi="Arial" w:cs="Arial"/>
        </w:rPr>
        <w:t>maximise</w:t>
      </w:r>
      <w:proofErr w:type="spellEnd"/>
      <w:r w:rsidRPr="00C04554">
        <w:rPr>
          <w:rFonts w:ascii="Arial" w:hAnsi="Arial" w:cs="Arial"/>
        </w:rPr>
        <w:t xml:space="preserve"> the available appointments and this position will continue to be monitored closely.</w:t>
      </w:r>
    </w:p>
    <w:p w:rsidR="00C04554" w:rsidRPr="00C04554" w:rsidRDefault="00C04554" w:rsidP="00C04554">
      <w:pPr>
        <w:pStyle w:val="ListParagraph"/>
        <w:rPr>
          <w:rFonts w:ascii="Arial" w:hAnsi="Arial" w:cs="Arial"/>
          <w:b/>
        </w:rPr>
      </w:pPr>
    </w:p>
    <w:p w:rsidR="00DB59AD" w:rsidRPr="00C04554" w:rsidRDefault="00C04554" w:rsidP="00637EFE">
      <w:pPr>
        <w:pStyle w:val="ListParagraph"/>
        <w:numPr>
          <w:ilvl w:val="0"/>
          <w:numId w:val="10"/>
        </w:numPr>
        <w:jc w:val="both"/>
        <w:rPr>
          <w:rFonts w:ascii="Arial" w:hAnsi="Arial" w:cs="Arial"/>
          <w:b/>
        </w:rPr>
      </w:pPr>
      <w:r w:rsidRPr="00C04554">
        <w:rPr>
          <w:rFonts w:ascii="Arial" w:hAnsi="Arial" w:cs="Arial"/>
          <w:b/>
        </w:rPr>
        <w:t xml:space="preserve">Continuing Care – </w:t>
      </w:r>
      <w:r w:rsidRPr="00C04554">
        <w:rPr>
          <w:rFonts w:ascii="Arial" w:hAnsi="Arial" w:cs="Arial"/>
        </w:rPr>
        <w:t>a 30% increase in referrals in May impa</w:t>
      </w:r>
      <w:r w:rsidR="00A874A3">
        <w:rPr>
          <w:rFonts w:ascii="Arial" w:hAnsi="Arial" w:cs="Arial"/>
        </w:rPr>
        <w:t>cted on the existing resources</w:t>
      </w:r>
      <w:r w:rsidRPr="00C04554">
        <w:rPr>
          <w:rFonts w:ascii="Arial" w:hAnsi="Arial" w:cs="Arial"/>
        </w:rPr>
        <w:t xml:space="preserve"> </w:t>
      </w:r>
      <w:r w:rsidR="00A874A3">
        <w:rPr>
          <w:rFonts w:ascii="Arial" w:hAnsi="Arial" w:cs="Arial"/>
        </w:rPr>
        <w:t>available</w:t>
      </w:r>
      <w:r w:rsidRPr="00C04554">
        <w:rPr>
          <w:rFonts w:ascii="Arial" w:hAnsi="Arial" w:cs="Arial"/>
        </w:rPr>
        <w:t xml:space="preserve"> to undertake work in a timely manner.  The review element of the work was impacted due to </w:t>
      </w:r>
      <w:r w:rsidR="00A874A3">
        <w:rPr>
          <w:rFonts w:ascii="Arial" w:hAnsi="Arial" w:cs="Arial"/>
        </w:rPr>
        <w:t xml:space="preserve">the </w:t>
      </w:r>
      <w:proofErr w:type="spellStart"/>
      <w:r w:rsidR="00A874A3">
        <w:rPr>
          <w:rFonts w:ascii="Arial" w:hAnsi="Arial" w:cs="Arial"/>
        </w:rPr>
        <w:t>prioritisation</w:t>
      </w:r>
      <w:proofErr w:type="spellEnd"/>
      <w:r w:rsidR="00A874A3">
        <w:rPr>
          <w:rFonts w:ascii="Arial" w:hAnsi="Arial" w:cs="Arial"/>
        </w:rPr>
        <w:t xml:space="preserve"> of</w:t>
      </w:r>
      <w:r w:rsidRPr="00C04554">
        <w:rPr>
          <w:rFonts w:ascii="Arial" w:hAnsi="Arial" w:cs="Arial"/>
        </w:rPr>
        <w:t xml:space="preserve"> new referrals who may be in the discharge pathway from an acute setting or at home without care. The 3-month reviews were given priority as no longer eligible for CHC is more likely at this point </w:t>
      </w:r>
      <w:r w:rsidR="00A874A3">
        <w:rPr>
          <w:rFonts w:ascii="Arial" w:hAnsi="Arial" w:cs="Arial"/>
        </w:rPr>
        <w:t>to</w:t>
      </w:r>
      <w:r w:rsidRPr="00C04554">
        <w:rPr>
          <w:rFonts w:ascii="Arial" w:hAnsi="Arial" w:cs="Arial"/>
        </w:rPr>
        <w:t xml:space="preserve"> have a positive impact on the work flow and financial risk going forward.</w:t>
      </w:r>
      <w:r w:rsidRPr="00C04554">
        <w:rPr>
          <w:rFonts w:ascii="Arial" w:hAnsi="Arial" w:cs="Arial"/>
          <w:b/>
        </w:rPr>
        <w:t xml:space="preserve">  </w:t>
      </w:r>
    </w:p>
    <w:p w:rsidR="00C04554" w:rsidRPr="00C04554" w:rsidRDefault="00C04554" w:rsidP="00C04554">
      <w:pPr>
        <w:jc w:val="both"/>
        <w:rPr>
          <w:rFonts w:ascii="Arial" w:hAnsi="Arial" w:cs="Arial"/>
          <w:b/>
        </w:rPr>
      </w:pPr>
    </w:p>
    <w:p w:rsidR="00DB59AD" w:rsidRPr="00C04554" w:rsidRDefault="00DB59AD" w:rsidP="00DB59AD">
      <w:pPr>
        <w:jc w:val="both"/>
        <w:rPr>
          <w:rFonts w:ascii="Arial" w:hAnsi="Arial" w:cs="Arial"/>
          <w:b/>
        </w:rPr>
      </w:pPr>
      <w:r w:rsidRPr="00C04554">
        <w:rPr>
          <w:rFonts w:ascii="Arial" w:hAnsi="Arial" w:cs="Arial"/>
          <w:b/>
        </w:rPr>
        <w:t>Specialist Services Directorate</w:t>
      </w:r>
    </w:p>
    <w:p w:rsidR="00DB59AD" w:rsidRPr="00C04554" w:rsidRDefault="00DB59AD" w:rsidP="00DB59AD">
      <w:pPr>
        <w:jc w:val="both"/>
        <w:rPr>
          <w:rFonts w:ascii="Arial" w:hAnsi="Arial" w:cs="Arial"/>
          <w:b/>
        </w:rPr>
      </w:pPr>
    </w:p>
    <w:p w:rsidR="00DB59AD" w:rsidRPr="00C04554" w:rsidRDefault="00DB59AD" w:rsidP="00DB59AD">
      <w:pPr>
        <w:jc w:val="both"/>
        <w:rPr>
          <w:rFonts w:ascii="Arial" w:hAnsi="Arial" w:cs="Arial"/>
        </w:rPr>
      </w:pPr>
      <w:r w:rsidRPr="00C04554">
        <w:rPr>
          <w:rFonts w:ascii="Arial" w:hAnsi="Arial" w:cs="Arial"/>
        </w:rPr>
        <w:t xml:space="preserve">The Directorate achieved 88% compliance in </w:t>
      </w:r>
      <w:r w:rsidR="00C04554" w:rsidRPr="00C04554">
        <w:rPr>
          <w:rFonts w:ascii="Arial" w:hAnsi="Arial" w:cs="Arial"/>
        </w:rPr>
        <w:t>June</w:t>
      </w:r>
      <w:r w:rsidRPr="00C04554">
        <w:rPr>
          <w:rFonts w:ascii="Arial" w:hAnsi="Arial" w:cs="Arial"/>
        </w:rPr>
        <w:t xml:space="preserve"> against the contracted targets.  </w:t>
      </w:r>
    </w:p>
    <w:p w:rsidR="00DB59AD" w:rsidRPr="00C04554" w:rsidRDefault="00DB59AD" w:rsidP="00DB59AD">
      <w:pPr>
        <w:jc w:val="both"/>
        <w:rPr>
          <w:rFonts w:ascii="Arial" w:hAnsi="Arial" w:cs="Arial"/>
        </w:rPr>
      </w:pPr>
    </w:p>
    <w:p w:rsidR="00DB59AD" w:rsidRPr="00EA71F9" w:rsidRDefault="00DB59AD" w:rsidP="00DB59AD">
      <w:pPr>
        <w:jc w:val="both"/>
        <w:rPr>
          <w:rFonts w:ascii="Arial" w:hAnsi="Arial" w:cs="Arial"/>
        </w:rPr>
      </w:pPr>
      <w:r w:rsidRPr="00C04554">
        <w:rPr>
          <w:rFonts w:ascii="Arial" w:hAnsi="Arial" w:cs="Arial"/>
        </w:rPr>
        <w:t xml:space="preserve">In looking at the performance trends and identifying areas where further action is required, </w:t>
      </w:r>
      <w:r w:rsidRPr="00EA71F9">
        <w:rPr>
          <w:rFonts w:ascii="Arial" w:hAnsi="Arial" w:cs="Arial"/>
        </w:rPr>
        <w:t>the following issues have been highlighted to the Operations Management Team:</w:t>
      </w:r>
    </w:p>
    <w:p w:rsidR="00DB59AD" w:rsidRPr="00EA71F9" w:rsidRDefault="00DB59AD" w:rsidP="00DB59AD">
      <w:pPr>
        <w:jc w:val="both"/>
        <w:rPr>
          <w:rFonts w:ascii="Arial" w:hAnsi="Arial" w:cs="Arial"/>
          <w:b/>
        </w:rPr>
      </w:pPr>
    </w:p>
    <w:p w:rsidR="00DB59AD" w:rsidRPr="00EA71F9" w:rsidRDefault="00DB59AD" w:rsidP="00F116C3">
      <w:pPr>
        <w:pStyle w:val="ListParagraph"/>
        <w:numPr>
          <w:ilvl w:val="0"/>
          <w:numId w:val="10"/>
        </w:numPr>
        <w:jc w:val="both"/>
        <w:rPr>
          <w:rFonts w:ascii="Arial" w:hAnsi="Arial" w:cs="Arial"/>
        </w:rPr>
      </w:pPr>
      <w:r w:rsidRPr="00EA71F9">
        <w:rPr>
          <w:rFonts w:ascii="Arial" w:hAnsi="Arial" w:cs="Arial"/>
          <w:b/>
        </w:rPr>
        <w:t xml:space="preserve">Learning Disabilities – </w:t>
      </w:r>
      <w:r w:rsidR="00C04554" w:rsidRPr="00EA71F9">
        <w:rPr>
          <w:rFonts w:ascii="Arial" w:hAnsi="Arial" w:cs="Arial"/>
        </w:rPr>
        <w:t xml:space="preserve">work continues to move from manual reporting of this indicator.  At the time of reporting not at </w:t>
      </w:r>
      <w:r w:rsidR="00EA71F9" w:rsidRPr="00EA71F9">
        <w:rPr>
          <w:rFonts w:ascii="Arial" w:hAnsi="Arial" w:cs="Arial"/>
        </w:rPr>
        <w:t>data had been received, however, initial</w:t>
      </w:r>
      <w:r w:rsidR="00C04554" w:rsidRPr="00EA71F9">
        <w:rPr>
          <w:rFonts w:ascii="Arial" w:hAnsi="Arial" w:cs="Arial"/>
        </w:rPr>
        <w:t xml:space="preserve"> review shows that the breaches relate to one service locality in particular, which </w:t>
      </w:r>
      <w:r w:rsidR="00EA71F9" w:rsidRPr="00EA71F9">
        <w:rPr>
          <w:rFonts w:ascii="Arial" w:hAnsi="Arial" w:cs="Arial"/>
        </w:rPr>
        <w:t xml:space="preserve">the service </w:t>
      </w:r>
      <w:r w:rsidR="00C04554" w:rsidRPr="00EA71F9">
        <w:rPr>
          <w:rFonts w:ascii="Arial" w:hAnsi="Arial" w:cs="Arial"/>
        </w:rPr>
        <w:t>is taking steps to remedy.</w:t>
      </w:r>
      <w:r w:rsidR="00EA71F9" w:rsidRPr="00EA71F9">
        <w:rPr>
          <w:rFonts w:ascii="Arial" w:hAnsi="Arial" w:cs="Arial"/>
        </w:rPr>
        <w:t xml:space="preserve">  The</w:t>
      </w:r>
      <w:r w:rsidR="00C04554" w:rsidRPr="00EA71F9">
        <w:rPr>
          <w:rFonts w:ascii="Arial" w:hAnsi="Arial" w:cs="Arial"/>
        </w:rPr>
        <w:t xml:space="preserve"> CCG continue to receive weekly updates from the service re: data accuracy/collation.</w:t>
      </w:r>
    </w:p>
    <w:p w:rsidR="00C04554" w:rsidRPr="00EA71F9" w:rsidRDefault="00C04554" w:rsidP="00EA71F9">
      <w:pPr>
        <w:pStyle w:val="ListParagraph"/>
        <w:jc w:val="both"/>
        <w:rPr>
          <w:rFonts w:ascii="Arial" w:hAnsi="Arial" w:cs="Arial"/>
        </w:rPr>
      </w:pPr>
    </w:p>
    <w:p w:rsidR="00DB59AD" w:rsidRPr="00EA71F9" w:rsidRDefault="00C04554" w:rsidP="00D353DD">
      <w:pPr>
        <w:pStyle w:val="ListParagraph"/>
        <w:numPr>
          <w:ilvl w:val="0"/>
          <w:numId w:val="10"/>
        </w:numPr>
        <w:jc w:val="both"/>
        <w:rPr>
          <w:rFonts w:ascii="Arial" w:hAnsi="Arial" w:cs="Arial"/>
        </w:rPr>
      </w:pPr>
      <w:r w:rsidRPr="00EA71F9">
        <w:rPr>
          <w:rFonts w:ascii="Arial" w:hAnsi="Arial" w:cs="Arial"/>
          <w:b/>
        </w:rPr>
        <w:t>Dental</w:t>
      </w:r>
      <w:r w:rsidR="00DB59AD" w:rsidRPr="00EA71F9">
        <w:rPr>
          <w:rFonts w:ascii="Arial" w:hAnsi="Arial" w:cs="Arial"/>
          <w:b/>
        </w:rPr>
        <w:t xml:space="preserve"> </w:t>
      </w:r>
      <w:r w:rsidR="00EA71F9" w:rsidRPr="00EA71F9">
        <w:rPr>
          <w:rFonts w:ascii="Arial" w:hAnsi="Arial" w:cs="Arial"/>
          <w:b/>
        </w:rPr>
        <w:t xml:space="preserve">activity – </w:t>
      </w:r>
      <w:r w:rsidR="00EA71F9" w:rsidRPr="00EA71F9">
        <w:rPr>
          <w:rFonts w:ascii="Arial" w:hAnsi="Arial" w:cs="Arial"/>
        </w:rPr>
        <w:t>activity will vary month on month, and will not show a true level of activity until the final episode of care is complete. Monthly breaches are reported for board purposes only and are not a cause for concern to NHSE commissioners, as targets will be met by year end.</w:t>
      </w:r>
    </w:p>
    <w:p w:rsidR="00DB59AD" w:rsidRDefault="00DB59AD" w:rsidP="00DB59AD">
      <w:pPr>
        <w:pStyle w:val="ListParagraph"/>
        <w:rPr>
          <w:rFonts w:ascii="Arial" w:hAnsi="Arial" w:cs="Arial"/>
          <w:b/>
          <w:highlight w:val="yellow"/>
        </w:rPr>
      </w:pPr>
    </w:p>
    <w:p w:rsidR="00EA71F9" w:rsidRPr="003D2972" w:rsidRDefault="00EA71F9" w:rsidP="00DB59AD">
      <w:pPr>
        <w:pStyle w:val="ListParagraph"/>
        <w:rPr>
          <w:rFonts w:ascii="Arial" w:hAnsi="Arial" w:cs="Arial"/>
          <w:b/>
          <w:highlight w:val="yellow"/>
        </w:rPr>
      </w:pPr>
    </w:p>
    <w:p w:rsidR="00DB59AD" w:rsidRPr="003D2972" w:rsidRDefault="00DB59AD" w:rsidP="00DB59AD">
      <w:pPr>
        <w:jc w:val="both"/>
        <w:rPr>
          <w:rFonts w:ascii="Arial" w:hAnsi="Arial" w:cs="Arial"/>
          <w:b/>
          <w:highlight w:val="yellow"/>
        </w:rPr>
      </w:pPr>
    </w:p>
    <w:sectPr w:rsidR="00DB59AD" w:rsidRPr="003D2972" w:rsidSect="00BD21B5">
      <w:headerReference w:type="default" r:id="rId12"/>
      <w:pgSz w:w="12240" w:h="15840"/>
      <w:pgMar w:top="1276" w:right="118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7B6" w:rsidRDefault="00CA37B6" w:rsidP="005B3E3C">
      <w:r>
        <w:separator/>
      </w:r>
    </w:p>
  </w:endnote>
  <w:endnote w:type="continuationSeparator" w:id="0">
    <w:p w:rsidR="00CA37B6" w:rsidRDefault="00CA37B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Segoe UI"/>
    <w:charset w:val="00"/>
    <w:family w:val="swiss"/>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7B6" w:rsidRDefault="00CA37B6" w:rsidP="005B3E3C">
      <w:r>
        <w:separator/>
      </w:r>
    </w:p>
  </w:footnote>
  <w:footnote w:type="continuationSeparator" w:id="0">
    <w:p w:rsidR="00CA37B6" w:rsidRDefault="00CA37B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B68"/>
    <w:multiLevelType w:val="hybridMultilevel"/>
    <w:tmpl w:val="CBF2B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32DF"/>
    <w:multiLevelType w:val="hybridMultilevel"/>
    <w:tmpl w:val="50C6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6678F"/>
    <w:multiLevelType w:val="hybridMultilevel"/>
    <w:tmpl w:val="6CE06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92562E6"/>
    <w:multiLevelType w:val="hybridMultilevel"/>
    <w:tmpl w:val="ABA0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2D20DC"/>
    <w:multiLevelType w:val="hybridMultilevel"/>
    <w:tmpl w:val="F4502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6"/>
  </w:num>
  <w:num w:numId="5">
    <w:abstractNumId w:val="11"/>
  </w:num>
  <w:num w:numId="6">
    <w:abstractNumId w:val="1"/>
  </w:num>
  <w:num w:numId="7">
    <w:abstractNumId w:val="8"/>
  </w:num>
  <w:num w:numId="8">
    <w:abstractNumId w:val="5"/>
  </w:num>
  <w:num w:numId="9">
    <w:abstractNumId w:val="2"/>
  </w:num>
  <w:num w:numId="10">
    <w:abstractNumId w:val="7"/>
  </w:num>
  <w:num w:numId="11">
    <w:abstractNumId w:val="13"/>
  </w:num>
  <w:num w:numId="12">
    <w:abstractNumId w:val="3"/>
  </w:num>
  <w:num w:numId="13">
    <w:abstractNumId w:val="4"/>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7830"/>
    <w:rsid w:val="0001134C"/>
    <w:rsid w:val="00014344"/>
    <w:rsid w:val="000161D5"/>
    <w:rsid w:val="00016B35"/>
    <w:rsid w:val="00023074"/>
    <w:rsid w:val="00024D76"/>
    <w:rsid w:val="00026260"/>
    <w:rsid w:val="000302E0"/>
    <w:rsid w:val="00031871"/>
    <w:rsid w:val="00036D9C"/>
    <w:rsid w:val="00041960"/>
    <w:rsid w:val="00045966"/>
    <w:rsid w:val="00050037"/>
    <w:rsid w:val="0005194A"/>
    <w:rsid w:val="00057F0B"/>
    <w:rsid w:val="0006115B"/>
    <w:rsid w:val="00071531"/>
    <w:rsid w:val="00080E72"/>
    <w:rsid w:val="00092DC0"/>
    <w:rsid w:val="00095E41"/>
    <w:rsid w:val="000A0020"/>
    <w:rsid w:val="000A18FE"/>
    <w:rsid w:val="000A47D9"/>
    <w:rsid w:val="000B1EC0"/>
    <w:rsid w:val="000B4B09"/>
    <w:rsid w:val="000B77F9"/>
    <w:rsid w:val="000D24FB"/>
    <w:rsid w:val="000D26B4"/>
    <w:rsid w:val="000E317C"/>
    <w:rsid w:val="000E49A0"/>
    <w:rsid w:val="000F2610"/>
    <w:rsid w:val="000F47AD"/>
    <w:rsid w:val="000F77BF"/>
    <w:rsid w:val="00100727"/>
    <w:rsid w:val="00103519"/>
    <w:rsid w:val="001055A3"/>
    <w:rsid w:val="00107AAC"/>
    <w:rsid w:val="00111E3D"/>
    <w:rsid w:val="001123A3"/>
    <w:rsid w:val="001141A1"/>
    <w:rsid w:val="00130D9D"/>
    <w:rsid w:val="00130E60"/>
    <w:rsid w:val="00136461"/>
    <w:rsid w:val="0014509D"/>
    <w:rsid w:val="0014622C"/>
    <w:rsid w:val="001468B7"/>
    <w:rsid w:val="00146C68"/>
    <w:rsid w:val="00152B4C"/>
    <w:rsid w:val="001604E3"/>
    <w:rsid w:val="001726CB"/>
    <w:rsid w:val="00172D01"/>
    <w:rsid w:val="00180EDB"/>
    <w:rsid w:val="0019175D"/>
    <w:rsid w:val="001944AC"/>
    <w:rsid w:val="001948F6"/>
    <w:rsid w:val="001963F3"/>
    <w:rsid w:val="0019785F"/>
    <w:rsid w:val="001A2350"/>
    <w:rsid w:val="001A2F3F"/>
    <w:rsid w:val="001A7443"/>
    <w:rsid w:val="001B3AEB"/>
    <w:rsid w:val="001B6EEE"/>
    <w:rsid w:val="001C295C"/>
    <w:rsid w:val="001D03E1"/>
    <w:rsid w:val="001D48E6"/>
    <w:rsid w:val="001D65AB"/>
    <w:rsid w:val="001E1C83"/>
    <w:rsid w:val="001E1E6B"/>
    <w:rsid w:val="001E2D28"/>
    <w:rsid w:val="001E3511"/>
    <w:rsid w:val="001E6DBC"/>
    <w:rsid w:val="001E7831"/>
    <w:rsid w:val="001F23B3"/>
    <w:rsid w:val="001F2541"/>
    <w:rsid w:val="001F76ED"/>
    <w:rsid w:val="00200556"/>
    <w:rsid w:val="00213006"/>
    <w:rsid w:val="0022050F"/>
    <w:rsid w:val="00222106"/>
    <w:rsid w:val="00227FCE"/>
    <w:rsid w:val="002306E2"/>
    <w:rsid w:val="00232D15"/>
    <w:rsid w:val="00232D98"/>
    <w:rsid w:val="00233516"/>
    <w:rsid w:val="0024001F"/>
    <w:rsid w:val="00243BA6"/>
    <w:rsid w:val="00252E51"/>
    <w:rsid w:val="0025508D"/>
    <w:rsid w:val="00256F43"/>
    <w:rsid w:val="002619EF"/>
    <w:rsid w:val="002710D7"/>
    <w:rsid w:val="0027722A"/>
    <w:rsid w:val="0028065F"/>
    <w:rsid w:val="002821F8"/>
    <w:rsid w:val="00285EAF"/>
    <w:rsid w:val="002875D9"/>
    <w:rsid w:val="00290581"/>
    <w:rsid w:val="00291E9E"/>
    <w:rsid w:val="00292613"/>
    <w:rsid w:val="002A0F36"/>
    <w:rsid w:val="002A73E8"/>
    <w:rsid w:val="002B1020"/>
    <w:rsid w:val="002B6E44"/>
    <w:rsid w:val="002C2F97"/>
    <w:rsid w:val="002C3D1A"/>
    <w:rsid w:val="002C5F95"/>
    <w:rsid w:val="002C7C79"/>
    <w:rsid w:val="002D3AAD"/>
    <w:rsid w:val="002E3C80"/>
    <w:rsid w:val="002E6FC6"/>
    <w:rsid w:val="002F0C3A"/>
    <w:rsid w:val="002F1E5B"/>
    <w:rsid w:val="002F73C3"/>
    <w:rsid w:val="0030031A"/>
    <w:rsid w:val="003066A9"/>
    <w:rsid w:val="00311FA4"/>
    <w:rsid w:val="003208EA"/>
    <w:rsid w:val="00325CB3"/>
    <w:rsid w:val="00330275"/>
    <w:rsid w:val="00330886"/>
    <w:rsid w:val="00344EDA"/>
    <w:rsid w:val="003518BC"/>
    <w:rsid w:val="00352ACA"/>
    <w:rsid w:val="003623C4"/>
    <w:rsid w:val="003633C8"/>
    <w:rsid w:val="003640F0"/>
    <w:rsid w:val="003728AB"/>
    <w:rsid w:val="0037692B"/>
    <w:rsid w:val="00381949"/>
    <w:rsid w:val="00382967"/>
    <w:rsid w:val="00384B87"/>
    <w:rsid w:val="00384BF2"/>
    <w:rsid w:val="00384DB2"/>
    <w:rsid w:val="00385BF1"/>
    <w:rsid w:val="00386B91"/>
    <w:rsid w:val="003965D7"/>
    <w:rsid w:val="003971F6"/>
    <w:rsid w:val="003A0B7C"/>
    <w:rsid w:val="003A1BA3"/>
    <w:rsid w:val="003A5F04"/>
    <w:rsid w:val="003C2222"/>
    <w:rsid w:val="003D0B91"/>
    <w:rsid w:val="003D2972"/>
    <w:rsid w:val="003D7F7F"/>
    <w:rsid w:val="003E47E9"/>
    <w:rsid w:val="003E4910"/>
    <w:rsid w:val="003F226B"/>
    <w:rsid w:val="003F3BD5"/>
    <w:rsid w:val="003F7366"/>
    <w:rsid w:val="004015FF"/>
    <w:rsid w:val="0040186B"/>
    <w:rsid w:val="004021C5"/>
    <w:rsid w:val="00410244"/>
    <w:rsid w:val="004104C7"/>
    <w:rsid w:val="00413D9F"/>
    <w:rsid w:val="00414A70"/>
    <w:rsid w:val="00415ACB"/>
    <w:rsid w:val="00421734"/>
    <w:rsid w:val="00426CE1"/>
    <w:rsid w:val="004326BB"/>
    <w:rsid w:val="00436775"/>
    <w:rsid w:val="00445343"/>
    <w:rsid w:val="00447BE4"/>
    <w:rsid w:val="0045048F"/>
    <w:rsid w:val="00451DB0"/>
    <w:rsid w:val="004539A6"/>
    <w:rsid w:val="00471304"/>
    <w:rsid w:val="00472286"/>
    <w:rsid w:val="004829AE"/>
    <w:rsid w:val="0048584C"/>
    <w:rsid w:val="00492483"/>
    <w:rsid w:val="004927EF"/>
    <w:rsid w:val="004A1287"/>
    <w:rsid w:val="004A4DFB"/>
    <w:rsid w:val="004A7F6B"/>
    <w:rsid w:val="004B1544"/>
    <w:rsid w:val="004B6756"/>
    <w:rsid w:val="004C5125"/>
    <w:rsid w:val="004C5897"/>
    <w:rsid w:val="004D0BB5"/>
    <w:rsid w:val="004D1192"/>
    <w:rsid w:val="004D3C66"/>
    <w:rsid w:val="004E1C4A"/>
    <w:rsid w:val="004E2219"/>
    <w:rsid w:val="004E3E03"/>
    <w:rsid w:val="004E4D94"/>
    <w:rsid w:val="004E740C"/>
    <w:rsid w:val="004F4BBA"/>
    <w:rsid w:val="004F5DE5"/>
    <w:rsid w:val="004F61D8"/>
    <w:rsid w:val="004F76DF"/>
    <w:rsid w:val="00500DD1"/>
    <w:rsid w:val="005027DB"/>
    <w:rsid w:val="005051F3"/>
    <w:rsid w:val="0051033C"/>
    <w:rsid w:val="00513994"/>
    <w:rsid w:val="005168FF"/>
    <w:rsid w:val="00520D02"/>
    <w:rsid w:val="005233AA"/>
    <w:rsid w:val="00527C15"/>
    <w:rsid w:val="00530D1F"/>
    <w:rsid w:val="00531625"/>
    <w:rsid w:val="0054040B"/>
    <w:rsid w:val="00544B19"/>
    <w:rsid w:val="0054546A"/>
    <w:rsid w:val="00551B0F"/>
    <w:rsid w:val="00557CC7"/>
    <w:rsid w:val="00557EE3"/>
    <w:rsid w:val="00563E0F"/>
    <w:rsid w:val="005659FB"/>
    <w:rsid w:val="00574A97"/>
    <w:rsid w:val="0057512E"/>
    <w:rsid w:val="00584D27"/>
    <w:rsid w:val="00586FE0"/>
    <w:rsid w:val="005A4A64"/>
    <w:rsid w:val="005A5ADF"/>
    <w:rsid w:val="005B01FE"/>
    <w:rsid w:val="005B3E3C"/>
    <w:rsid w:val="005B7F81"/>
    <w:rsid w:val="005C1D1C"/>
    <w:rsid w:val="005C3FC1"/>
    <w:rsid w:val="005D3499"/>
    <w:rsid w:val="005E2583"/>
    <w:rsid w:val="005E617C"/>
    <w:rsid w:val="005F36B6"/>
    <w:rsid w:val="00605D55"/>
    <w:rsid w:val="00606B48"/>
    <w:rsid w:val="006159A1"/>
    <w:rsid w:val="0061684E"/>
    <w:rsid w:val="0062376E"/>
    <w:rsid w:val="00624CC9"/>
    <w:rsid w:val="00626EFA"/>
    <w:rsid w:val="00630605"/>
    <w:rsid w:val="0063184D"/>
    <w:rsid w:val="006403C3"/>
    <w:rsid w:val="006442D9"/>
    <w:rsid w:val="00650771"/>
    <w:rsid w:val="00654880"/>
    <w:rsid w:val="00656892"/>
    <w:rsid w:val="00657D10"/>
    <w:rsid w:val="00662DC5"/>
    <w:rsid w:val="00665F45"/>
    <w:rsid w:val="00666651"/>
    <w:rsid w:val="00666E6B"/>
    <w:rsid w:val="0067461E"/>
    <w:rsid w:val="00697940"/>
    <w:rsid w:val="00697AA7"/>
    <w:rsid w:val="006A0153"/>
    <w:rsid w:val="006B33BC"/>
    <w:rsid w:val="006C0893"/>
    <w:rsid w:val="006C1F9B"/>
    <w:rsid w:val="006C22C2"/>
    <w:rsid w:val="006C2A9A"/>
    <w:rsid w:val="006C62F1"/>
    <w:rsid w:val="006D09AA"/>
    <w:rsid w:val="006E2ED9"/>
    <w:rsid w:val="006E3C3E"/>
    <w:rsid w:val="006F0D59"/>
    <w:rsid w:val="00700391"/>
    <w:rsid w:val="007003DD"/>
    <w:rsid w:val="00707687"/>
    <w:rsid w:val="00722032"/>
    <w:rsid w:val="00724AD0"/>
    <w:rsid w:val="00724D39"/>
    <w:rsid w:val="00725AD2"/>
    <w:rsid w:val="00726160"/>
    <w:rsid w:val="007273B3"/>
    <w:rsid w:val="00732301"/>
    <w:rsid w:val="00733C5D"/>
    <w:rsid w:val="0073522A"/>
    <w:rsid w:val="007359C0"/>
    <w:rsid w:val="007364D9"/>
    <w:rsid w:val="00740EC3"/>
    <w:rsid w:val="00742E7D"/>
    <w:rsid w:val="0074404D"/>
    <w:rsid w:val="007441B8"/>
    <w:rsid w:val="00754EA9"/>
    <w:rsid w:val="007601EB"/>
    <w:rsid w:val="00761444"/>
    <w:rsid w:val="00764D01"/>
    <w:rsid w:val="0077522B"/>
    <w:rsid w:val="007769CD"/>
    <w:rsid w:val="0078032B"/>
    <w:rsid w:val="007813A6"/>
    <w:rsid w:val="00781566"/>
    <w:rsid w:val="007847D9"/>
    <w:rsid w:val="0078491E"/>
    <w:rsid w:val="007960BE"/>
    <w:rsid w:val="007972A2"/>
    <w:rsid w:val="007976E7"/>
    <w:rsid w:val="007A1640"/>
    <w:rsid w:val="007A2CF0"/>
    <w:rsid w:val="007A515B"/>
    <w:rsid w:val="007B1760"/>
    <w:rsid w:val="007B4C1E"/>
    <w:rsid w:val="007B6D77"/>
    <w:rsid w:val="007C3339"/>
    <w:rsid w:val="007C3C27"/>
    <w:rsid w:val="007C5E02"/>
    <w:rsid w:val="007C6925"/>
    <w:rsid w:val="007D7901"/>
    <w:rsid w:val="00801A75"/>
    <w:rsid w:val="00802701"/>
    <w:rsid w:val="008038A2"/>
    <w:rsid w:val="00811FE8"/>
    <w:rsid w:val="00817DF5"/>
    <w:rsid w:val="00821F0D"/>
    <w:rsid w:val="008275B5"/>
    <w:rsid w:val="00830CA6"/>
    <w:rsid w:val="00841715"/>
    <w:rsid w:val="00841EB0"/>
    <w:rsid w:val="00845979"/>
    <w:rsid w:val="008477E1"/>
    <w:rsid w:val="00847BC4"/>
    <w:rsid w:val="0085366E"/>
    <w:rsid w:val="008635F0"/>
    <w:rsid w:val="0086436B"/>
    <w:rsid w:val="00864ED6"/>
    <w:rsid w:val="0087047B"/>
    <w:rsid w:val="0087190C"/>
    <w:rsid w:val="00872ACD"/>
    <w:rsid w:val="0087569D"/>
    <w:rsid w:val="00880CA8"/>
    <w:rsid w:val="0088128C"/>
    <w:rsid w:val="0089208D"/>
    <w:rsid w:val="00893C1C"/>
    <w:rsid w:val="00894B97"/>
    <w:rsid w:val="00895A62"/>
    <w:rsid w:val="008967B9"/>
    <w:rsid w:val="008A6A48"/>
    <w:rsid w:val="008C074A"/>
    <w:rsid w:val="008D5C80"/>
    <w:rsid w:val="008E0BA4"/>
    <w:rsid w:val="008E1F96"/>
    <w:rsid w:val="008E2171"/>
    <w:rsid w:val="008F77AE"/>
    <w:rsid w:val="00921F81"/>
    <w:rsid w:val="00922966"/>
    <w:rsid w:val="009305CD"/>
    <w:rsid w:val="009320C6"/>
    <w:rsid w:val="00945E1F"/>
    <w:rsid w:val="0094603B"/>
    <w:rsid w:val="00946E6E"/>
    <w:rsid w:val="009478B1"/>
    <w:rsid w:val="00954068"/>
    <w:rsid w:val="00954B73"/>
    <w:rsid w:val="009551BC"/>
    <w:rsid w:val="00956A0A"/>
    <w:rsid w:val="009632F8"/>
    <w:rsid w:val="00963FBC"/>
    <w:rsid w:val="00966D7B"/>
    <w:rsid w:val="00972958"/>
    <w:rsid w:val="00975819"/>
    <w:rsid w:val="00982842"/>
    <w:rsid w:val="0098298E"/>
    <w:rsid w:val="00983EAF"/>
    <w:rsid w:val="009857D9"/>
    <w:rsid w:val="009869DE"/>
    <w:rsid w:val="00994695"/>
    <w:rsid w:val="009A2D0F"/>
    <w:rsid w:val="009A4401"/>
    <w:rsid w:val="009B143F"/>
    <w:rsid w:val="009C1F52"/>
    <w:rsid w:val="009C223E"/>
    <w:rsid w:val="009C484B"/>
    <w:rsid w:val="009D1058"/>
    <w:rsid w:val="009D265C"/>
    <w:rsid w:val="009D5FD0"/>
    <w:rsid w:val="009D6F76"/>
    <w:rsid w:val="009F50E5"/>
    <w:rsid w:val="00A00EDD"/>
    <w:rsid w:val="00A025D8"/>
    <w:rsid w:val="00A0284F"/>
    <w:rsid w:val="00A241A3"/>
    <w:rsid w:val="00A27187"/>
    <w:rsid w:val="00A3401E"/>
    <w:rsid w:val="00A51265"/>
    <w:rsid w:val="00A513BC"/>
    <w:rsid w:val="00A62349"/>
    <w:rsid w:val="00A674FB"/>
    <w:rsid w:val="00A752CB"/>
    <w:rsid w:val="00A766A0"/>
    <w:rsid w:val="00A82952"/>
    <w:rsid w:val="00A85311"/>
    <w:rsid w:val="00A874A3"/>
    <w:rsid w:val="00A92981"/>
    <w:rsid w:val="00A940CF"/>
    <w:rsid w:val="00A97A92"/>
    <w:rsid w:val="00AA0C3F"/>
    <w:rsid w:val="00AA306E"/>
    <w:rsid w:val="00AA61FB"/>
    <w:rsid w:val="00AA759A"/>
    <w:rsid w:val="00AC07C2"/>
    <w:rsid w:val="00AC3814"/>
    <w:rsid w:val="00AC4F3A"/>
    <w:rsid w:val="00AC640D"/>
    <w:rsid w:val="00AD04D3"/>
    <w:rsid w:val="00AD0CF6"/>
    <w:rsid w:val="00AD169B"/>
    <w:rsid w:val="00AD6DB3"/>
    <w:rsid w:val="00AD7098"/>
    <w:rsid w:val="00AF0562"/>
    <w:rsid w:val="00AF1F04"/>
    <w:rsid w:val="00AF6FA7"/>
    <w:rsid w:val="00B04788"/>
    <w:rsid w:val="00B06C21"/>
    <w:rsid w:val="00B07778"/>
    <w:rsid w:val="00B10453"/>
    <w:rsid w:val="00B10E37"/>
    <w:rsid w:val="00B165F0"/>
    <w:rsid w:val="00B20CD2"/>
    <w:rsid w:val="00B21287"/>
    <w:rsid w:val="00B25043"/>
    <w:rsid w:val="00B26E1A"/>
    <w:rsid w:val="00B26F2C"/>
    <w:rsid w:val="00B27AE5"/>
    <w:rsid w:val="00B407B7"/>
    <w:rsid w:val="00B40C2D"/>
    <w:rsid w:val="00B50D5E"/>
    <w:rsid w:val="00B57EC7"/>
    <w:rsid w:val="00B606FB"/>
    <w:rsid w:val="00B607AE"/>
    <w:rsid w:val="00B612E7"/>
    <w:rsid w:val="00B72B51"/>
    <w:rsid w:val="00B92B14"/>
    <w:rsid w:val="00B93287"/>
    <w:rsid w:val="00B97C1D"/>
    <w:rsid w:val="00BA2E08"/>
    <w:rsid w:val="00BA3B3E"/>
    <w:rsid w:val="00BA761E"/>
    <w:rsid w:val="00BC6CBE"/>
    <w:rsid w:val="00BD21B5"/>
    <w:rsid w:val="00BD4559"/>
    <w:rsid w:val="00BD5C2B"/>
    <w:rsid w:val="00BE48C0"/>
    <w:rsid w:val="00BF482A"/>
    <w:rsid w:val="00BF5367"/>
    <w:rsid w:val="00BF6D0E"/>
    <w:rsid w:val="00BF72AE"/>
    <w:rsid w:val="00C04554"/>
    <w:rsid w:val="00C053BB"/>
    <w:rsid w:val="00C07817"/>
    <w:rsid w:val="00C11726"/>
    <w:rsid w:val="00C11AA2"/>
    <w:rsid w:val="00C17F90"/>
    <w:rsid w:val="00C205E5"/>
    <w:rsid w:val="00C235AF"/>
    <w:rsid w:val="00C26D06"/>
    <w:rsid w:val="00C27C64"/>
    <w:rsid w:val="00C335B4"/>
    <w:rsid w:val="00C36082"/>
    <w:rsid w:val="00C41F8A"/>
    <w:rsid w:val="00C56B87"/>
    <w:rsid w:val="00C56C95"/>
    <w:rsid w:val="00C60F3E"/>
    <w:rsid w:val="00C6166D"/>
    <w:rsid w:val="00C62464"/>
    <w:rsid w:val="00C65D84"/>
    <w:rsid w:val="00C67F63"/>
    <w:rsid w:val="00C72519"/>
    <w:rsid w:val="00C75116"/>
    <w:rsid w:val="00C76E03"/>
    <w:rsid w:val="00C77CF2"/>
    <w:rsid w:val="00C84D5C"/>
    <w:rsid w:val="00C860A3"/>
    <w:rsid w:val="00C907A3"/>
    <w:rsid w:val="00C92A42"/>
    <w:rsid w:val="00CA37B6"/>
    <w:rsid w:val="00CA6F2A"/>
    <w:rsid w:val="00CB4E16"/>
    <w:rsid w:val="00CB6FA1"/>
    <w:rsid w:val="00CC62C4"/>
    <w:rsid w:val="00CC7855"/>
    <w:rsid w:val="00CD1E3A"/>
    <w:rsid w:val="00CD72A7"/>
    <w:rsid w:val="00CE0678"/>
    <w:rsid w:val="00CE10CD"/>
    <w:rsid w:val="00CE6E6A"/>
    <w:rsid w:val="00CF2916"/>
    <w:rsid w:val="00CF3AC2"/>
    <w:rsid w:val="00CF5DCD"/>
    <w:rsid w:val="00D07064"/>
    <w:rsid w:val="00D17123"/>
    <w:rsid w:val="00D279FC"/>
    <w:rsid w:val="00D34F5E"/>
    <w:rsid w:val="00D35A98"/>
    <w:rsid w:val="00D43903"/>
    <w:rsid w:val="00D45AD7"/>
    <w:rsid w:val="00D460BD"/>
    <w:rsid w:val="00D55ADD"/>
    <w:rsid w:val="00D56E55"/>
    <w:rsid w:val="00D573E6"/>
    <w:rsid w:val="00D651A1"/>
    <w:rsid w:val="00D65795"/>
    <w:rsid w:val="00D737A3"/>
    <w:rsid w:val="00D765AE"/>
    <w:rsid w:val="00D805E8"/>
    <w:rsid w:val="00D8544F"/>
    <w:rsid w:val="00D97428"/>
    <w:rsid w:val="00DA0FA6"/>
    <w:rsid w:val="00DB4DC4"/>
    <w:rsid w:val="00DB59AD"/>
    <w:rsid w:val="00DC111B"/>
    <w:rsid w:val="00DC29F5"/>
    <w:rsid w:val="00DC5669"/>
    <w:rsid w:val="00DD04A9"/>
    <w:rsid w:val="00DD33DF"/>
    <w:rsid w:val="00DD385F"/>
    <w:rsid w:val="00DE0FC5"/>
    <w:rsid w:val="00DE1293"/>
    <w:rsid w:val="00DE67A8"/>
    <w:rsid w:val="00DF4A53"/>
    <w:rsid w:val="00DF6116"/>
    <w:rsid w:val="00DF6E0E"/>
    <w:rsid w:val="00E03BEC"/>
    <w:rsid w:val="00E12DF5"/>
    <w:rsid w:val="00E2349F"/>
    <w:rsid w:val="00E2445F"/>
    <w:rsid w:val="00E2778C"/>
    <w:rsid w:val="00E33061"/>
    <w:rsid w:val="00E334B0"/>
    <w:rsid w:val="00E41E87"/>
    <w:rsid w:val="00E42165"/>
    <w:rsid w:val="00E45B62"/>
    <w:rsid w:val="00E51AB8"/>
    <w:rsid w:val="00E54343"/>
    <w:rsid w:val="00E63781"/>
    <w:rsid w:val="00E64282"/>
    <w:rsid w:val="00E64C48"/>
    <w:rsid w:val="00E71F1F"/>
    <w:rsid w:val="00E722CA"/>
    <w:rsid w:val="00E73227"/>
    <w:rsid w:val="00E827C5"/>
    <w:rsid w:val="00E82DFF"/>
    <w:rsid w:val="00E83000"/>
    <w:rsid w:val="00E841B0"/>
    <w:rsid w:val="00E8760A"/>
    <w:rsid w:val="00E93F2C"/>
    <w:rsid w:val="00E96204"/>
    <w:rsid w:val="00E97CCE"/>
    <w:rsid w:val="00EA71F9"/>
    <w:rsid w:val="00EC09B2"/>
    <w:rsid w:val="00ED4ABC"/>
    <w:rsid w:val="00ED6B7C"/>
    <w:rsid w:val="00EE1C5E"/>
    <w:rsid w:val="00EF4E03"/>
    <w:rsid w:val="00EF6A4B"/>
    <w:rsid w:val="00F14F75"/>
    <w:rsid w:val="00F150BB"/>
    <w:rsid w:val="00F23468"/>
    <w:rsid w:val="00F24980"/>
    <w:rsid w:val="00F24EB2"/>
    <w:rsid w:val="00F3433E"/>
    <w:rsid w:val="00F354BB"/>
    <w:rsid w:val="00F365C2"/>
    <w:rsid w:val="00F36757"/>
    <w:rsid w:val="00F37E0C"/>
    <w:rsid w:val="00F46AA5"/>
    <w:rsid w:val="00F50A07"/>
    <w:rsid w:val="00F57119"/>
    <w:rsid w:val="00F6367D"/>
    <w:rsid w:val="00F639ED"/>
    <w:rsid w:val="00F65ABF"/>
    <w:rsid w:val="00F65DCD"/>
    <w:rsid w:val="00F678C9"/>
    <w:rsid w:val="00F77C13"/>
    <w:rsid w:val="00F8330B"/>
    <w:rsid w:val="00F83DC2"/>
    <w:rsid w:val="00F86FA3"/>
    <w:rsid w:val="00F94979"/>
    <w:rsid w:val="00F95454"/>
    <w:rsid w:val="00F95C54"/>
    <w:rsid w:val="00FA3668"/>
    <w:rsid w:val="00FA4D1A"/>
    <w:rsid w:val="00FA5118"/>
    <w:rsid w:val="00FA5818"/>
    <w:rsid w:val="00FB07D8"/>
    <w:rsid w:val="00FB2022"/>
    <w:rsid w:val="00FB3980"/>
    <w:rsid w:val="00FB7008"/>
    <w:rsid w:val="00FB73B8"/>
    <w:rsid w:val="00FC1FA6"/>
    <w:rsid w:val="00FC2607"/>
    <w:rsid w:val="00FC39F0"/>
    <w:rsid w:val="00FC43CD"/>
    <w:rsid w:val="00FC4EF6"/>
    <w:rsid w:val="00FC6DA7"/>
    <w:rsid w:val="00FC75D3"/>
    <w:rsid w:val="00FD2279"/>
    <w:rsid w:val="00FD6142"/>
    <w:rsid w:val="00FE0C76"/>
    <w:rsid w:val="00FE113A"/>
    <w:rsid w:val="00FE2385"/>
    <w:rsid w:val="00FF028F"/>
    <w:rsid w:val="00FF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12F3F0"/>
  <w15:docId w15:val="{A9B5ACBE-D485-4EED-82A6-7192B71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 w:type="paragraph" w:styleId="PlainText">
    <w:name w:val="Plain Text"/>
    <w:basedOn w:val="Normal"/>
    <w:link w:val="PlainTextChar"/>
    <w:uiPriority w:val="99"/>
    <w:unhideWhenUsed/>
    <w:rsid w:val="00B607AE"/>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B607AE"/>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2947">
      <w:bodyDiv w:val="1"/>
      <w:marLeft w:val="0"/>
      <w:marRight w:val="0"/>
      <w:marTop w:val="0"/>
      <w:marBottom w:val="0"/>
      <w:divBdr>
        <w:top w:val="none" w:sz="0" w:space="0" w:color="auto"/>
        <w:left w:val="none" w:sz="0" w:space="0" w:color="auto"/>
        <w:bottom w:val="none" w:sz="0" w:space="0" w:color="auto"/>
        <w:right w:val="none" w:sz="0" w:space="0" w:color="auto"/>
      </w:divBdr>
    </w:div>
    <w:div w:id="221983943">
      <w:bodyDiv w:val="1"/>
      <w:marLeft w:val="0"/>
      <w:marRight w:val="0"/>
      <w:marTop w:val="0"/>
      <w:marBottom w:val="0"/>
      <w:divBdr>
        <w:top w:val="none" w:sz="0" w:space="0" w:color="auto"/>
        <w:left w:val="none" w:sz="0" w:space="0" w:color="auto"/>
        <w:bottom w:val="none" w:sz="0" w:space="0" w:color="auto"/>
        <w:right w:val="none" w:sz="0" w:space="0" w:color="auto"/>
      </w:divBdr>
    </w:div>
    <w:div w:id="379593066">
      <w:bodyDiv w:val="1"/>
      <w:marLeft w:val="0"/>
      <w:marRight w:val="0"/>
      <w:marTop w:val="0"/>
      <w:marBottom w:val="0"/>
      <w:divBdr>
        <w:top w:val="none" w:sz="0" w:space="0" w:color="auto"/>
        <w:left w:val="none" w:sz="0" w:space="0" w:color="auto"/>
        <w:bottom w:val="none" w:sz="0" w:space="0" w:color="auto"/>
        <w:right w:val="none" w:sz="0" w:space="0" w:color="auto"/>
      </w:divBdr>
    </w:div>
    <w:div w:id="503862382">
      <w:bodyDiv w:val="1"/>
      <w:marLeft w:val="0"/>
      <w:marRight w:val="0"/>
      <w:marTop w:val="0"/>
      <w:marBottom w:val="0"/>
      <w:divBdr>
        <w:top w:val="none" w:sz="0" w:space="0" w:color="auto"/>
        <w:left w:val="none" w:sz="0" w:space="0" w:color="auto"/>
        <w:bottom w:val="none" w:sz="0" w:space="0" w:color="auto"/>
        <w:right w:val="none" w:sz="0" w:space="0" w:color="auto"/>
      </w:divBdr>
    </w:div>
    <w:div w:id="550769542">
      <w:bodyDiv w:val="1"/>
      <w:marLeft w:val="0"/>
      <w:marRight w:val="0"/>
      <w:marTop w:val="0"/>
      <w:marBottom w:val="0"/>
      <w:divBdr>
        <w:top w:val="none" w:sz="0" w:space="0" w:color="auto"/>
        <w:left w:val="none" w:sz="0" w:space="0" w:color="auto"/>
        <w:bottom w:val="none" w:sz="0" w:space="0" w:color="auto"/>
        <w:right w:val="none" w:sz="0" w:space="0" w:color="auto"/>
      </w:divBdr>
    </w:div>
    <w:div w:id="1010646889">
      <w:bodyDiv w:val="1"/>
      <w:marLeft w:val="0"/>
      <w:marRight w:val="0"/>
      <w:marTop w:val="0"/>
      <w:marBottom w:val="0"/>
      <w:divBdr>
        <w:top w:val="none" w:sz="0" w:space="0" w:color="auto"/>
        <w:left w:val="none" w:sz="0" w:space="0" w:color="auto"/>
        <w:bottom w:val="none" w:sz="0" w:space="0" w:color="auto"/>
        <w:right w:val="none" w:sz="0" w:space="0" w:color="auto"/>
      </w:divBdr>
    </w:div>
    <w:div w:id="1139612790">
      <w:bodyDiv w:val="1"/>
      <w:marLeft w:val="0"/>
      <w:marRight w:val="0"/>
      <w:marTop w:val="0"/>
      <w:marBottom w:val="0"/>
      <w:divBdr>
        <w:top w:val="none" w:sz="0" w:space="0" w:color="auto"/>
        <w:left w:val="none" w:sz="0" w:space="0" w:color="auto"/>
        <w:bottom w:val="none" w:sz="0" w:space="0" w:color="auto"/>
        <w:right w:val="none" w:sz="0" w:space="0" w:color="auto"/>
      </w:divBdr>
    </w:div>
    <w:div w:id="1375618071">
      <w:bodyDiv w:val="1"/>
      <w:marLeft w:val="0"/>
      <w:marRight w:val="0"/>
      <w:marTop w:val="0"/>
      <w:marBottom w:val="0"/>
      <w:divBdr>
        <w:top w:val="none" w:sz="0" w:space="0" w:color="auto"/>
        <w:left w:val="none" w:sz="0" w:space="0" w:color="auto"/>
        <w:bottom w:val="none" w:sz="0" w:space="0" w:color="auto"/>
        <w:right w:val="none" w:sz="0" w:space="0" w:color="auto"/>
      </w:divBdr>
    </w:div>
    <w:div w:id="1808813169">
      <w:bodyDiv w:val="1"/>
      <w:marLeft w:val="0"/>
      <w:marRight w:val="0"/>
      <w:marTop w:val="0"/>
      <w:marBottom w:val="0"/>
      <w:divBdr>
        <w:top w:val="none" w:sz="0" w:space="0" w:color="auto"/>
        <w:left w:val="none" w:sz="0" w:space="0" w:color="auto"/>
        <w:bottom w:val="none" w:sz="0" w:space="0" w:color="auto"/>
        <w:right w:val="none" w:sz="0" w:space="0" w:color="auto"/>
      </w:divBdr>
    </w:div>
    <w:div w:id="1860854320">
      <w:bodyDiv w:val="1"/>
      <w:marLeft w:val="0"/>
      <w:marRight w:val="0"/>
      <w:marTop w:val="0"/>
      <w:marBottom w:val="0"/>
      <w:divBdr>
        <w:top w:val="none" w:sz="0" w:space="0" w:color="auto"/>
        <w:left w:val="none" w:sz="0" w:space="0" w:color="auto"/>
        <w:bottom w:val="none" w:sz="0" w:space="0" w:color="auto"/>
        <w:right w:val="none" w:sz="0" w:space="0" w:color="auto"/>
      </w:divBdr>
    </w:div>
    <w:div w:id="1870489832">
      <w:bodyDiv w:val="1"/>
      <w:marLeft w:val="0"/>
      <w:marRight w:val="0"/>
      <w:marTop w:val="0"/>
      <w:marBottom w:val="0"/>
      <w:divBdr>
        <w:top w:val="none" w:sz="0" w:space="0" w:color="auto"/>
        <w:left w:val="none" w:sz="0" w:space="0" w:color="auto"/>
        <w:bottom w:val="none" w:sz="0" w:space="0" w:color="auto"/>
        <w:right w:val="none" w:sz="0" w:space="0" w:color="auto"/>
      </w:divBdr>
    </w:div>
    <w:div w:id="20294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Segoe UI" panose="020B0502040204020203" pitchFamily="34" charset="0"/>
                <a:ea typeface="Segoe UI" panose="020B0502040204020203" pitchFamily="34" charset="0"/>
                <a:cs typeface="Segoe UI" panose="020B0502040204020203" pitchFamily="34" charset="0"/>
              </a:defRPr>
            </a:pPr>
            <a:r>
              <a:rPr lang="en-US"/>
              <a:t>Total number of red indicators  (&gt;10% under target) trend</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Segoe UI" panose="020B0502040204020203" pitchFamily="34" charset="0"/>
              <a:ea typeface="Segoe UI" panose="020B0502040204020203" pitchFamily="34" charset="0"/>
              <a:cs typeface="Segoe UI" panose="020B0502040204020203" pitchFamily="34" charset="0"/>
            </a:defRPr>
          </a:pPr>
          <a:endParaRPr lang="en-US"/>
        </a:p>
      </c:txPr>
    </c:title>
    <c:autoTitleDeleted val="0"/>
    <c:plotArea>
      <c:layout/>
      <c:lineChart>
        <c:grouping val="standard"/>
        <c:varyColors val="0"/>
        <c:ser>
          <c:idx val="0"/>
          <c:order val="0"/>
          <c:tx>
            <c:strRef>
              <c:f>Graphs!$C$22</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Graphs!$D$21:$F$21</c:f>
              <c:strCache>
                <c:ptCount val="3"/>
                <c:pt idx="0">
                  <c:v>M1/FY19</c:v>
                </c:pt>
                <c:pt idx="1">
                  <c:v>M2/FY19</c:v>
                </c:pt>
                <c:pt idx="2">
                  <c:v>M3/FY19</c:v>
                </c:pt>
              </c:strCache>
            </c:strRef>
          </c:cat>
          <c:val>
            <c:numRef>
              <c:f>Graphs!$D$22:$F$22</c:f>
              <c:numCache>
                <c:formatCode>0</c:formatCode>
                <c:ptCount val="3"/>
                <c:pt idx="0">
                  <c:v>32</c:v>
                </c:pt>
                <c:pt idx="1">
                  <c:v>41</c:v>
                </c:pt>
                <c:pt idx="2">
                  <c:v>44</c:v>
                </c:pt>
              </c:numCache>
            </c:numRef>
          </c:val>
          <c:smooth val="0"/>
          <c:extLst>
            <c:ext xmlns:c16="http://schemas.microsoft.com/office/drawing/2014/chart" uri="{C3380CC4-5D6E-409C-BE32-E72D297353CC}">
              <c16:uniqueId val="{00000000-4C9D-4F9F-A8ED-39670D279197}"/>
            </c:ext>
          </c:extLst>
        </c:ser>
        <c:dLbls>
          <c:showLegendKey val="0"/>
          <c:showVal val="0"/>
          <c:showCatName val="0"/>
          <c:showSerName val="0"/>
          <c:showPercent val="0"/>
          <c:showBubbleSize val="0"/>
        </c:dLbls>
        <c:marker val="1"/>
        <c:smooth val="0"/>
        <c:axId val="1026595408"/>
        <c:axId val="1026596064"/>
      </c:lineChart>
      <c:catAx>
        <c:axId val="102659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1026596064"/>
        <c:crosses val="autoZero"/>
        <c:auto val="1"/>
        <c:lblAlgn val="ctr"/>
        <c:lblOffset val="100"/>
        <c:noMultiLvlLbl val="0"/>
      </c:catAx>
      <c:valAx>
        <c:axId val="1026596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102659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8071724165242128"/>
          <c:y val="9.2636591746615649E-2"/>
          <c:w val="0.73474071189550594"/>
          <c:h val="0.69572042669064338"/>
        </c:manualLayout>
      </c:layout>
      <c:lineChart>
        <c:grouping val="standard"/>
        <c:varyColors val="0"/>
        <c:ser>
          <c:idx val="0"/>
          <c:order val="0"/>
          <c:cat>
            <c:strRef>
              <c:f>Graphs!$G$2:$I$2</c:f>
              <c:strCache>
                <c:ptCount val="3"/>
                <c:pt idx="0">
                  <c:v>M1/FY19</c:v>
                </c:pt>
                <c:pt idx="1">
                  <c:v>M2/FY19</c:v>
                </c:pt>
                <c:pt idx="2">
                  <c:v>M3/FY19</c:v>
                </c:pt>
              </c:strCache>
            </c:strRef>
          </c:cat>
          <c:val>
            <c:numRef>
              <c:f>Graphs!$G$3:$I$3</c:f>
              <c:numCache>
                <c:formatCode>0%</c:formatCode>
                <c:ptCount val="3"/>
                <c:pt idx="0">
                  <c:v>0.84</c:v>
                </c:pt>
                <c:pt idx="1">
                  <c:v>0.83</c:v>
                </c:pt>
                <c:pt idx="2">
                  <c:v>0.77</c:v>
                </c:pt>
              </c:numCache>
            </c:numRef>
          </c:val>
          <c:smooth val="0"/>
          <c:extLst>
            <c:ext xmlns:c16="http://schemas.microsoft.com/office/drawing/2014/chart" uri="{C3380CC4-5D6E-409C-BE32-E72D297353CC}">
              <c16:uniqueId val="{00000000-CFB1-4FE7-8068-B10E8BB662A1}"/>
            </c:ext>
          </c:extLst>
        </c:ser>
        <c:dLbls>
          <c:showLegendKey val="0"/>
          <c:showVal val="0"/>
          <c:showCatName val="0"/>
          <c:showSerName val="0"/>
          <c:showPercent val="0"/>
          <c:showBubbleSize val="0"/>
        </c:dLbls>
        <c:hiLowLines/>
        <c:marker val="1"/>
        <c:smooth val="0"/>
        <c:axId val="34840576"/>
        <c:axId val="34842496"/>
      </c:lineChart>
      <c:catAx>
        <c:axId val="34840576"/>
        <c:scaling>
          <c:orientation val="minMax"/>
        </c:scaling>
        <c:delete val="0"/>
        <c:axPos val="b"/>
        <c:title>
          <c:tx>
            <c:rich>
              <a:bodyPr/>
              <a:lstStyle/>
              <a:p>
                <a:pPr>
                  <a:defRPr b="0"/>
                </a:pPr>
                <a:r>
                  <a:rPr lang="en-US" b="0"/>
                  <a:t>Month/Year</a:t>
                </a:r>
              </a:p>
            </c:rich>
          </c:tx>
          <c:overlay val="0"/>
        </c:title>
        <c:numFmt formatCode="General" sourceLinked="0"/>
        <c:majorTickMark val="none"/>
        <c:minorTickMark val="none"/>
        <c:tickLblPos val="nextTo"/>
        <c:crossAx val="34842496"/>
        <c:crosses val="autoZero"/>
        <c:auto val="1"/>
        <c:lblAlgn val="ctr"/>
        <c:lblOffset val="100"/>
        <c:noMultiLvlLbl val="0"/>
      </c:catAx>
      <c:valAx>
        <c:axId val="34842496"/>
        <c:scaling>
          <c:orientation val="minMax"/>
          <c:min val="0.70000000000000007"/>
        </c:scaling>
        <c:delete val="0"/>
        <c:axPos val="l"/>
        <c:majorGridlines/>
        <c:title>
          <c:tx>
            <c:rich>
              <a:bodyPr/>
              <a:lstStyle/>
              <a:p>
                <a:pPr>
                  <a:defRPr b="0"/>
                </a:pPr>
                <a:r>
                  <a:rPr lang="en-US" b="0"/>
                  <a:t>% compliance</a:t>
                </a:r>
              </a:p>
            </c:rich>
          </c:tx>
          <c:overlay val="0"/>
        </c:title>
        <c:numFmt formatCode="0%" sourceLinked="1"/>
        <c:majorTickMark val="out"/>
        <c:minorTickMark val="none"/>
        <c:tickLblPos val="nextTo"/>
        <c:crossAx val="34840576"/>
        <c:crosses val="autoZero"/>
        <c:crossBetween val="between"/>
      </c:valAx>
    </c:plotArea>
    <c:plotVisOnly val="1"/>
    <c:dispBlanksAs val="gap"/>
    <c:showDLblsOverMax val="0"/>
  </c:chart>
  <c:txPr>
    <a:bodyPr/>
    <a:lstStyle/>
    <a:p>
      <a:pPr>
        <a:defRPr sz="800">
          <a:latin typeface="Segoe UI" panose="020B0502040204020203" pitchFamily="34" charset="0"/>
          <a:ea typeface="Segoe UI" panose="020B0502040204020203" pitchFamily="34" charset="0"/>
          <a:cs typeface="Segoe UI" panose="020B0502040204020203"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26C8-E26B-402C-A803-27079EA9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1739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cp:revision>
  <cp:lastPrinted>2014-03-17T14:55:00Z</cp:lastPrinted>
  <dcterms:created xsi:type="dcterms:W3CDTF">2018-07-24T13:25:00Z</dcterms:created>
  <dcterms:modified xsi:type="dcterms:W3CDTF">2018-07-24T15:15:00Z</dcterms:modified>
</cp:coreProperties>
</file>