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F5E" w:rsidRPr="006A5F4B" w:rsidRDefault="00B36E43" w:rsidP="00B36E43">
      <w:pPr>
        <w:jc w:val="right"/>
      </w:pPr>
      <w:r w:rsidRPr="00913639">
        <w:rPr>
          <w:noProof/>
        </w:rPr>
        <w:drawing>
          <wp:inline distT="0" distB="0" distL="0" distR="0" wp14:anchorId="25A87900" wp14:editId="4B36C4F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AD0F54" w:rsidP="0033440C">
      <w:pPr>
        <w:pStyle w:val="BodyText3"/>
        <w:tabs>
          <w:tab w:val="left" w:pos="345"/>
          <w:tab w:val="center" w:pos="4323"/>
        </w:tabs>
      </w:pPr>
      <w:r>
        <w:t>26 July</w:t>
      </w:r>
      <w:r w:rsidR="00D96B61">
        <w:t xml:space="preserve"> 2018</w:t>
      </w:r>
      <w:r w:rsidR="0033440C">
        <w:t xml:space="preserve"> </w:t>
      </w:r>
      <w:r w:rsidR="0033440C" w:rsidRPr="006A5F4B">
        <w:t xml:space="preserve">at </w:t>
      </w:r>
      <w:r w:rsidR="009E4F16">
        <w:t>08:30</w:t>
      </w:r>
      <w:r w:rsidR="0033440C">
        <w:t xml:space="preserve"> </w:t>
      </w:r>
    </w:p>
    <w:p w:rsidR="00FD1A72" w:rsidRDefault="00AD0F54" w:rsidP="002B49A5">
      <w:pPr>
        <w:pStyle w:val="BodyText3"/>
        <w:tabs>
          <w:tab w:val="left" w:pos="345"/>
          <w:tab w:val="center" w:pos="4323"/>
        </w:tabs>
      </w:pPr>
      <w:r>
        <w:t>Conference Room, The Whiteleaf Centre</w:t>
      </w:r>
    </w:p>
    <w:p w:rsidR="00AD0F54" w:rsidRPr="006A5F4B" w:rsidRDefault="00AD0F54" w:rsidP="002B49A5">
      <w:pPr>
        <w:pStyle w:val="BodyText3"/>
        <w:tabs>
          <w:tab w:val="left" w:pos="345"/>
          <w:tab w:val="center" w:pos="4323"/>
        </w:tabs>
      </w:pPr>
      <w:proofErr w:type="spellStart"/>
      <w:r>
        <w:t>Bierton</w:t>
      </w:r>
      <w:proofErr w:type="spellEnd"/>
      <w:r>
        <w:t xml:space="preserve"> Road, </w:t>
      </w:r>
      <w:proofErr w:type="spellStart"/>
      <w:r>
        <w:t>Aylesbury</w:t>
      </w:r>
      <w:proofErr w:type="spellEnd"/>
      <w:r>
        <w:t>, Buckinghamshire HP20 1EG</w:t>
      </w:r>
    </w:p>
    <w:p w:rsidR="0033440C" w:rsidRPr="006A5F4B" w:rsidRDefault="0033440C" w:rsidP="0033440C">
      <w:pPr>
        <w:pStyle w:val="BodyText3"/>
      </w:pPr>
    </w:p>
    <w:p w:rsidR="0033440C" w:rsidRPr="006A5F4B" w:rsidRDefault="0033440C" w:rsidP="0033440C">
      <w:pPr>
        <w:rPr>
          <w:rFonts w:ascii="Arial" w:hAnsi="Arial" w:cs="Arial"/>
          <w:b/>
        </w:rPr>
      </w:pPr>
      <w:r w:rsidRPr="00FD1A72">
        <w:rPr>
          <w:rFonts w:ascii="Arial" w:hAnsi="Arial" w:cs="Arial"/>
          <w:b/>
        </w:rPr>
        <w:t>Present:</w:t>
      </w:r>
    </w:p>
    <w:tbl>
      <w:tblPr>
        <w:tblW w:w="9464" w:type="dxa"/>
        <w:tblLook w:val="0000" w:firstRow="0" w:lastRow="0" w:firstColumn="0" w:lastColumn="0" w:noHBand="0" w:noVBand="0"/>
      </w:tblPr>
      <w:tblGrid>
        <w:gridCol w:w="2376"/>
        <w:gridCol w:w="7088"/>
      </w:tblGrid>
      <w:tr w:rsidR="0033440C" w:rsidRPr="006A5F4B" w:rsidTr="00683794">
        <w:trPr>
          <w:trHeight w:val="106"/>
        </w:trPr>
        <w:tc>
          <w:tcPr>
            <w:tcW w:w="2376" w:type="dxa"/>
          </w:tcPr>
          <w:p w:rsidR="0033440C" w:rsidRPr="006A5F4B" w:rsidRDefault="00C27FC5" w:rsidP="00C27FC5">
            <w:pPr>
              <w:rPr>
                <w:rFonts w:ascii="Arial" w:hAnsi="Arial" w:cs="Arial"/>
              </w:rPr>
            </w:pPr>
            <w:r>
              <w:rPr>
                <w:rFonts w:ascii="Arial" w:hAnsi="Arial" w:cs="Arial"/>
              </w:rPr>
              <w:t>Martin Howell</w:t>
            </w:r>
          </w:p>
        </w:tc>
        <w:tc>
          <w:tcPr>
            <w:tcW w:w="7088" w:type="dxa"/>
          </w:tcPr>
          <w:p w:rsidR="0033440C" w:rsidRPr="007937B3" w:rsidRDefault="00C27FC5" w:rsidP="000954C6">
            <w:pPr>
              <w:rPr>
                <w:rFonts w:ascii="Arial" w:hAnsi="Arial" w:cs="Arial"/>
              </w:rPr>
            </w:pPr>
            <w:r>
              <w:rPr>
                <w:rFonts w:ascii="Arial" w:hAnsi="Arial" w:cs="Arial"/>
              </w:rPr>
              <w:t>Trust Chair</w:t>
            </w:r>
            <w:r w:rsidR="009E651A">
              <w:rPr>
                <w:rFonts w:ascii="Arial" w:hAnsi="Arial" w:cs="Arial"/>
              </w:rPr>
              <w:t xml:space="preserve"> </w:t>
            </w:r>
            <w:r w:rsidR="00E24308">
              <w:rPr>
                <w:rFonts w:ascii="Arial" w:hAnsi="Arial" w:cs="Arial"/>
              </w:rPr>
              <w:t>(the Chair)</w:t>
            </w:r>
            <w:r w:rsidR="007937B3">
              <w:rPr>
                <w:rFonts w:ascii="Arial" w:hAnsi="Arial" w:cs="Arial"/>
              </w:rPr>
              <w:t xml:space="preserve"> (</w:t>
            </w:r>
            <w:r w:rsidR="009E651A">
              <w:rPr>
                <w:rFonts w:ascii="Arial" w:hAnsi="Arial" w:cs="Arial"/>
                <w:b/>
              </w:rPr>
              <w:t>M</w:t>
            </w:r>
            <w:r>
              <w:rPr>
                <w:rFonts w:ascii="Arial" w:hAnsi="Arial" w:cs="Arial"/>
                <w:b/>
              </w:rPr>
              <w:t>GH</w:t>
            </w:r>
            <w:r w:rsidR="007937B3">
              <w:rPr>
                <w:rFonts w:ascii="Arial" w:hAnsi="Arial" w:cs="Arial"/>
              </w:rPr>
              <w:t>)</w:t>
            </w:r>
          </w:p>
        </w:tc>
      </w:tr>
      <w:tr w:rsidR="00E24308" w:rsidRPr="006A5F4B" w:rsidTr="00683794">
        <w:trPr>
          <w:trHeight w:val="106"/>
        </w:trPr>
        <w:tc>
          <w:tcPr>
            <w:tcW w:w="2376" w:type="dxa"/>
          </w:tcPr>
          <w:p w:rsidR="00E24308" w:rsidRDefault="00E24308" w:rsidP="000954C6">
            <w:pPr>
              <w:rPr>
                <w:rFonts w:ascii="Arial" w:hAnsi="Arial" w:cs="Arial"/>
              </w:rPr>
            </w:pPr>
            <w:r>
              <w:rPr>
                <w:rFonts w:ascii="Arial" w:hAnsi="Arial" w:cs="Arial"/>
              </w:rPr>
              <w:t>John Allison</w:t>
            </w:r>
          </w:p>
        </w:tc>
        <w:tc>
          <w:tcPr>
            <w:tcW w:w="7088" w:type="dxa"/>
          </w:tcPr>
          <w:p w:rsidR="00E24308" w:rsidRPr="007937B3" w:rsidRDefault="00E24308" w:rsidP="00C46C80">
            <w:pPr>
              <w:rPr>
                <w:rFonts w:ascii="Arial" w:hAnsi="Arial" w:cs="Arial"/>
              </w:rPr>
            </w:pPr>
            <w:r>
              <w:rPr>
                <w:rFonts w:ascii="Arial" w:hAnsi="Arial" w:cs="Arial"/>
              </w:rPr>
              <w:t>Non-Executive Director</w:t>
            </w:r>
            <w:r w:rsidR="007937B3">
              <w:rPr>
                <w:rFonts w:ascii="Arial" w:hAnsi="Arial" w:cs="Arial"/>
              </w:rPr>
              <w:t xml:space="preserve"> (</w:t>
            </w:r>
            <w:proofErr w:type="spellStart"/>
            <w:r w:rsidR="007937B3">
              <w:rPr>
                <w:rFonts w:ascii="Arial" w:hAnsi="Arial" w:cs="Arial"/>
                <w:b/>
              </w:rPr>
              <w:t>JAl</w:t>
            </w:r>
            <w:proofErr w:type="spellEnd"/>
            <w:r w:rsidR="007937B3">
              <w:rPr>
                <w:rFonts w:ascii="Arial" w:hAnsi="Arial" w:cs="Arial"/>
              </w:rPr>
              <w:t>)</w:t>
            </w:r>
          </w:p>
        </w:tc>
      </w:tr>
      <w:tr w:rsidR="00570C5C" w:rsidRPr="006A5F4B" w:rsidTr="00683794">
        <w:trPr>
          <w:trHeight w:val="106"/>
        </w:trPr>
        <w:tc>
          <w:tcPr>
            <w:tcW w:w="2376" w:type="dxa"/>
          </w:tcPr>
          <w:p w:rsidR="00570C5C" w:rsidRDefault="00570C5C" w:rsidP="000954C6">
            <w:pPr>
              <w:rPr>
                <w:rFonts w:ascii="Arial" w:hAnsi="Arial" w:cs="Arial"/>
              </w:rPr>
            </w:pPr>
            <w:r>
              <w:rPr>
                <w:rFonts w:ascii="Arial" w:hAnsi="Arial" w:cs="Arial"/>
              </w:rPr>
              <w:t>Ros Alstead</w:t>
            </w:r>
          </w:p>
        </w:tc>
        <w:tc>
          <w:tcPr>
            <w:tcW w:w="7088" w:type="dxa"/>
          </w:tcPr>
          <w:p w:rsidR="00570C5C" w:rsidRPr="00570C5C" w:rsidRDefault="00570C5C" w:rsidP="00C46C80">
            <w:pPr>
              <w:rPr>
                <w:rFonts w:ascii="Arial" w:hAnsi="Arial" w:cs="Arial"/>
              </w:rPr>
            </w:pPr>
            <w:r>
              <w:rPr>
                <w:rFonts w:ascii="Arial" w:hAnsi="Arial" w:cs="Arial"/>
              </w:rPr>
              <w:t>Director of Nursing &amp; Clinical Standards (</w:t>
            </w:r>
            <w:r>
              <w:rPr>
                <w:rFonts w:ascii="Arial" w:hAnsi="Arial" w:cs="Arial"/>
                <w:b/>
              </w:rPr>
              <w:t>RA</w:t>
            </w:r>
            <w:r>
              <w:rPr>
                <w:rFonts w:ascii="Arial" w:hAnsi="Arial" w:cs="Arial"/>
              </w:rPr>
              <w:t>)</w:t>
            </w:r>
          </w:p>
        </w:tc>
      </w:tr>
      <w:tr w:rsidR="00A06782" w:rsidRPr="006A5F4B" w:rsidTr="00683794">
        <w:trPr>
          <w:trHeight w:val="106"/>
        </w:trPr>
        <w:tc>
          <w:tcPr>
            <w:tcW w:w="2376" w:type="dxa"/>
          </w:tcPr>
          <w:p w:rsidR="00A06782" w:rsidRDefault="00A06782" w:rsidP="000954C6">
            <w:pPr>
              <w:rPr>
                <w:rFonts w:ascii="Arial" w:hAnsi="Arial" w:cs="Arial"/>
              </w:rPr>
            </w:pPr>
            <w:r>
              <w:rPr>
                <w:rFonts w:ascii="Arial" w:hAnsi="Arial" w:cs="Arial"/>
              </w:rPr>
              <w:t>Jonathan Asbridge</w:t>
            </w:r>
          </w:p>
        </w:tc>
        <w:tc>
          <w:tcPr>
            <w:tcW w:w="7088" w:type="dxa"/>
          </w:tcPr>
          <w:p w:rsidR="00A06782" w:rsidRPr="00A06782" w:rsidRDefault="00A06782" w:rsidP="00C46C80">
            <w:pPr>
              <w:rPr>
                <w:rFonts w:ascii="Arial" w:hAnsi="Arial" w:cs="Arial"/>
              </w:rPr>
            </w:pPr>
            <w:r>
              <w:rPr>
                <w:rFonts w:ascii="Arial" w:hAnsi="Arial" w:cs="Arial"/>
              </w:rPr>
              <w:t>Non-Executive Director (</w:t>
            </w:r>
            <w:proofErr w:type="spellStart"/>
            <w:r>
              <w:rPr>
                <w:rFonts w:ascii="Arial" w:hAnsi="Arial" w:cs="Arial"/>
                <w:b/>
              </w:rPr>
              <w:t>JAsb</w:t>
            </w:r>
            <w:proofErr w:type="spellEnd"/>
            <w:r>
              <w:rPr>
                <w:rFonts w:ascii="Arial" w:hAnsi="Arial" w:cs="Arial"/>
              </w:rPr>
              <w:t xml:space="preserve">) </w:t>
            </w:r>
            <w:r w:rsidR="003F0BA3">
              <w:rPr>
                <w:rFonts w:ascii="Arial" w:hAnsi="Arial" w:cs="Arial"/>
              </w:rPr>
              <w:t xml:space="preserve">- </w:t>
            </w:r>
            <w:r>
              <w:rPr>
                <w:rFonts w:ascii="Arial" w:hAnsi="Arial" w:cs="Arial"/>
                <w:i/>
              </w:rPr>
              <w:t>part meeting</w:t>
            </w:r>
          </w:p>
        </w:tc>
      </w:tr>
      <w:tr w:rsidR="00AA0BD4" w:rsidRPr="006A5F4B" w:rsidTr="00683794">
        <w:trPr>
          <w:trHeight w:val="106"/>
        </w:trPr>
        <w:tc>
          <w:tcPr>
            <w:tcW w:w="2376" w:type="dxa"/>
          </w:tcPr>
          <w:p w:rsidR="00AA0BD4" w:rsidRDefault="00AA0BD4" w:rsidP="000954C6">
            <w:pPr>
              <w:rPr>
                <w:rFonts w:ascii="Arial" w:hAnsi="Arial" w:cs="Arial"/>
              </w:rPr>
            </w:pPr>
            <w:r>
              <w:rPr>
                <w:rFonts w:ascii="Arial" w:hAnsi="Arial" w:cs="Arial"/>
              </w:rPr>
              <w:t>Stuart Bell</w:t>
            </w:r>
          </w:p>
        </w:tc>
        <w:tc>
          <w:tcPr>
            <w:tcW w:w="7088" w:type="dxa"/>
          </w:tcPr>
          <w:p w:rsidR="00AA0BD4" w:rsidRPr="007937B3" w:rsidRDefault="00AA0BD4" w:rsidP="009E3F89">
            <w:pPr>
              <w:rPr>
                <w:rFonts w:ascii="Arial" w:hAnsi="Arial" w:cs="Arial"/>
              </w:rPr>
            </w:pPr>
            <w:r>
              <w:rPr>
                <w:rFonts w:ascii="Arial" w:hAnsi="Arial" w:cs="Arial"/>
              </w:rPr>
              <w:t xml:space="preserve">Chief Executive </w:t>
            </w:r>
            <w:r w:rsidR="007937B3">
              <w:rPr>
                <w:rFonts w:ascii="Arial" w:hAnsi="Arial" w:cs="Arial"/>
              </w:rPr>
              <w:t>(</w:t>
            </w:r>
            <w:r w:rsidR="007937B3">
              <w:rPr>
                <w:rFonts w:ascii="Arial" w:hAnsi="Arial" w:cs="Arial"/>
                <w:b/>
              </w:rPr>
              <w:t>SB</w:t>
            </w:r>
            <w:r w:rsidR="007937B3">
              <w:rPr>
                <w:rFonts w:ascii="Arial" w:hAnsi="Arial" w:cs="Arial"/>
              </w:rPr>
              <w:t>)</w:t>
            </w:r>
          </w:p>
        </w:tc>
      </w:tr>
      <w:tr w:rsidR="00C27FC5" w:rsidRPr="006A5F4B" w:rsidTr="00683794">
        <w:trPr>
          <w:trHeight w:val="106"/>
        </w:trPr>
        <w:tc>
          <w:tcPr>
            <w:tcW w:w="2376" w:type="dxa"/>
          </w:tcPr>
          <w:p w:rsidR="00C27FC5" w:rsidRDefault="00C27FC5" w:rsidP="000954C6">
            <w:pPr>
              <w:rPr>
                <w:rFonts w:ascii="Arial" w:hAnsi="Arial" w:cs="Arial"/>
              </w:rPr>
            </w:pPr>
            <w:r>
              <w:rPr>
                <w:rFonts w:ascii="Arial" w:hAnsi="Arial" w:cs="Arial"/>
              </w:rPr>
              <w:t>Tim Boylin</w:t>
            </w:r>
          </w:p>
        </w:tc>
        <w:tc>
          <w:tcPr>
            <w:tcW w:w="7088" w:type="dxa"/>
          </w:tcPr>
          <w:p w:rsidR="00C27FC5" w:rsidRPr="00C27FC5" w:rsidRDefault="00C27FC5" w:rsidP="009E3F89">
            <w:pPr>
              <w:rPr>
                <w:rFonts w:ascii="Arial" w:hAnsi="Arial" w:cs="Arial"/>
              </w:rPr>
            </w:pPr>
            <w:r>
              <w:rPr>
                <w:rFonts w:ascii="Arial" w:hAnsi="Arial" w:cs="Arial"/>
              </w:rPr>
              <w:t>Director of HR (</w:t>
            </w:r>
            <w:r>
              <w:rPr>
                <w:rFonts w:ascii="Arial" w:hAnsi="Arial" w:cs="Arial"/>
                <w:b/>
              </w:rPr>
              <w:t>TB</w:t>
            </w:r>
            <w:r>
              <w:rPr>
                <w:rFonts w:ascii="Arial" w:hAnsi="Arial" w:cs="Arial"/>
              </w:rPr>
              <w:t>)</w:t>
            </w:r>
            <w:r>
              <w:rPr>
                <w:rStyle w:val="FootnoteReference"/>
                <w:rFonts w:ascii="Arial" w:hAnsi="Arial" w:cs="Arial"/>
              </w:rPr>
              <w:footnoteReference w:id="1"/>
            </w:r>
          </w:p>
        </w:tc>
      </w:tr>
      <w:tr w:rsidR="00C10B0B" w:rsidRPr="006A5F4B" w:rsidTr="00683794">
        <w:trPr>
          <w:trHeight w:val="270"/>
        </w:trPr>
        <w:tc>
          <w:tcPr>
            <w:tcW w:w="2376" w:type="dxa"/>
          </w:tcPr>
          <w:p w:rsidR="00C10B0B" w:rsidRDefault="00C10B0B" w:rsidP="00A10FF1">
            <w:pPr>
              <w:rPr>
                <w:rFonts w:ascii="Arial" w:hAnsi="Arial" w:cs="Arial"/>
              </w:rPr>
            </w:pPr>
            <w:r>
              <w:rPr>
                <w:rFonts w:ascii="Arial" w:hAnsi="Arial" w:cs="Arial"/>
              </w:rPr>
              <w:t>Alyson Coates</w:t>
            </w:r>
          </w:p>
        </w:tc>
        <w:tc>
          <w:tcPr>
            <w:tcW w:w="7088" w:type="dxa"/>
          </w:tcPr>
          <w:p w:rsidR="00C10B0B" w:rsidRPr="00C10B0B" w:rsidRDefault="00C10B0B" w:rsidP="00122435">
            <w:pPr>
              <w:rPr>
                <w:rFonts w:ascii="Arial" w:hAnsi="Arial" w:cs="Arial"/>
              </w:rPr>
            </w:pPr>
            <w:r>
              <w:rPr>
                <w:rFonts w:ascii="Arial" w:hAnsi="Arial" w:cs="Arial"/>
              </w:rPr>
              <w:t>Non-Executive Director (</w:t>
            </w:r>
            <w:r>
              <w:rPr>
                <w:rFonts w:ascii="Arial" w:hAnsi="Arial" w:cs="Arial"/>
                <w:b/>
              </w:rPr>
              <w:t>AC</w:t>
            </w:r>
            <w:r>
              <w:rPr>
                <w:rFonts w:ascii="Arial" w:hAnsi="Arial" w:cs="Arial"/>
              </w:rPr>
              <w:t>)</w:t>
            </w:r>
          </w:p>
        </w:tc>
      </w:tr>
      <w:tr w:rsidR="00A06782" w:rsidRPr="006A5F4B" w:rsidTr="00683794">
        <w:trPr>
          <w:trHeight w:val="270"/>
        </w:trPr>
        <w:tc>
          <w:tcPr>
            <w:tcW w:w="2376" w:type="dxa"/>
          </w:tcPr>
          <w:p w:rsidR="00A06782" w:rsidRDefault="00A06782" w:rsidP="00A10FF1">
            <w:pPr>
              <w:rPr>
                <w:rFonts w:ascii="Arial" w:hAnsi="Arial" w:cs="Arial"/>
              </w:rPr>
            </w:pPr>
            <w:r>
              <w:rPr>
                <w:rFonts w:ascii="Arial" w:hAnsi="Arial" w:cs="Arial"/>
              </w:rPr>
              <w:t>Sue Dopson</w:t>
            </w:r>
          </w:p>
        </w:tc>
        <w:tc>
          <w:tcPr>
            <w:tcW w:w="7088" w:type="dxa"/>
          </w:tcPr>
          <w:p w:rsidR="00A06782" w:rsidRPr="00A06782" w:rsidRDefault="00A06782" w:rsidP="00122435">
            <w:pPr>
              <w:rPr>
                <w:rFonts w:ascii="Arial" w:hAnsi="Arial" w:cs="Arial"/>
              </w:rPr>
            </w:pPr>
            <w:r>
              <w:rPr>
                <w:rFonts w:ascii="Arial" w:hAnsi="Arial" w:cs="Arial"/>
              </w:rPr>
              <w:t>Non-Executive Director (</w:t>
            </w:r>
            <w:r>
              <w:rPr>
                <w:rFonts w:ascii="Arial" w:hAnsi="Arial" w:cs="Arial"/>
                <w:b/>
              </w:rPr>
              <w:t>SD</w:t>
            </w:r>
            <w:r>
              <w:rPr>
                <w:rFonts w:ascii="Arial" w:hAnsi="Arial" w:cs="Arial"/>
              </w:rPr>
              <w:t>)</w:t>
            </w:r>
          </w:p>
        </w:tc>
      </w:tr>
      <w:tr w:rsidR="00A06782" w:rsidRPr="006A5F4B" w:rsidTr="00683794">
        <w:trPr>
          <w:trHeight w:val="270"/>
        </w:trPr>
        <w:tc>
          <w:tcPr>
            <w:tcW w:w="2376" w:type="dxa"/>
          </w:tcPr>
          <w:p w:rsidR="00A06782" w:rsidRDefault="00A06782" w:rsidP="00A10FF1">
            <w:pPr>
              <w:rPr>
                <w:rFonts w:ascii="Arial" w:hAnsi="Arial" w:cs="Arial"/>
              </w:rPr>
            </w:pPr>
            <w:r>
              <w:rPr>
                <w:rFonts w:ascii="Arial" w:hAnsi="Arial" w:cs="Arial"/>
              </w:rPr>
              <w:t>Bernard Galton</w:t>
            </w:r>
          </w:p>
        </w:tc>
        <w:tc>
          <w:tcPr>
            <w:tcW w:w="7088" w:type="dxa"/>
          </w:tcPr>
          <w:p w:rsidR="00A06782" w:rsidRPr="00A06782" w:rsidRDefault="00A06782" w:rsidP="00A10FF1">
            <w:pPr>
              <w:rPr>
                <w:rFonts w:ascii="Arial" w:hAnsi="Arial" w:cs="Arial"/>
              </w:rPr>
            </w:pPr>
            <w:r>
              <w:rPr>
                <w:rFonts w:ascii="Arial" w:hAnsi="Arial" w:cs="Arial"/>
              </w:rPr>
              <w:t>Non-Executive Director (</w:t>
            </w:r>
            <w:r>
              <w:rPr>
                <w:rFonts w:ascii="Arial" w:hAnsi="Arial" w:cs="Arial"/>
                <w:b/>
              </w:rPr>
              <w:t>BG</w:t>
            </w:r>
            <w:r>
              <w:rPr>
                <w:rFonts w:ascii="Arial" w:hAnsi="Arial" w:cs="Arial"/>
              </w:rPr>
              <w:t>)</w:t>
            </w:r>
          </w:p>
        </w:tc>
      </w:tr>
      <w:tr w:rsidR="00112C39" w:rsidRPr="006A5F4B" w:rsidTr="00683794">
        <w:trPr>
          <w:trHeight w:val="270"/>
        </w:trPr>
        <w:tc>
          <w:tcPr>
            <w:tcW w:w="2376" w:type="dxa"/>
          </w:tcPr>
          <w:p w:rsidR="00112C39" w:rsidRDefault="00112C39" w:rsidP="00A10FF1">
            <w:pPr>
              <w:rPr>
                <w:rFonts w:ascii="Arial" w:hAnsi="Arial" w:cs="Arial"/>
              </w:rPr>
            </w:pPr>
            <w:r>
              <w:rPr>
                <w:rFonts w:ascii="Arial" w:hAnsi="Arial" w:cs="Arial"/>
              </w:rPr>
              <w:t>Mark Hancock</w:t>
            </w:r>
          </w:p>
        </w:tc>
        <w:tc>
          <w:tcPr>
            <w:tcW w:w="7088" w:type="dxa"/>
          </w:tcPr>
          <w:p w:rsidR="00112C39" w:rsidRPr="00112C39" w:rsidRDefault="00112C39" w:rsidP="00A10FF1">
            <w:pPr>
              <w:rPr>
                <w:rFonts w:ascii="Arial" w:hAnsi="Arial" w:cs="Arial"/>
              </w:rPr>
            </w:pPr>
            <w:r>
              <w:rPr>
                <w:rFonts w:ascii="Arial" w:hAnsi="Arial" w:cs="Arial"/>
              </w:rPr>
              <w:t>Medical Director (</w:t>
            </w:r>
            <w:proofErr w:type="spellStart"/>
            <w:r>
              <w:rPr>
                <w:rFonts w:ascii="Arial" w:hAnsi="Arial" w:cs="Arial"/>
                <w:b/>
              </w:rPr>
              <w:t>MHa</w:t>
            </w:r>
            <w:proofErr w:type="spellEnd"/>
            <w:r>
              <w:rPr>
                <w:rFonts w:ascii="Arial" w:hAnsi="Arial" w:cs="Arial"/>
              </w:rPr>
              <w:t>)</w:t>
            </w:r>
          </w:p>
        </w:tc>
      </w:tr>
      <w:tr w:rsidR="00A10FF1" w:rsidRPr="006A5F4B" w:rsidTr="00683794">
        <w:trPr>
          <w:trHeight w:val="270"/>
        </w:trPr>
        <w:tc>
          <w:tcPr>
            <w:tcW w:w="2376" w:type="dxa"/>
          </w:tcPr>
          <w:p w:rsidR="00A10FF1" w:rsidRDefault="00A10FF1" w:rsidP="00A10FF1">
            <w:pPr>
              <w:rPr>
                <w:rFonts w:ascii="Arial" w:hAnsi="Arial" w:cs="Arial"/>
              </w:rPr>
            </w:pPr>
            <w:r>
              <w:rPr>
                <w:rFonts w:ascii="Arial" w:hAnsi="Arial" w:cs="Arial"/>
              </w:rPr>
              <w:t>Chris Hurst</w:t>
            </w:r>
          </w:p>
        </w:tc>
        <w:tc>
          <w:tcPr>
            <w:tcW w:w="7088" w:type="dxa"/>
          </w:tcPr>
          <w:p w:rsidR="00A10FF1" w:rsidRPr="007937B3" w:rsidRDefault="00A10FF1" w:rsidP="00A10FF1">
            <w:pPr>
              <w:rPr>
                <w:rFonts w:ascii="Arial" w:hAnsi="Arial" w:cs="Arial"/>
              </w:rPr>
            </w:pPr>
            <w:r>
              <w:rPr>
                <w:rFonts w:ascii="Arial" w:hAnsi="Arial" w:cs="Arial"/>
              </w:rPr>
              <w:t>Non-Executive Director (</w:t>
            </w:r>
            <w:r>
              <w:rPr>
                <w:rFonts w:ascii="Arial" w:hAnsi="Arial" w:cs="Arial"/>
                <w:b/>
              </w:rPr>
              <w:t>CMH</w:t>
            </w:r>
            <w:r>
              <w:rPr>
                <w:rFonts w:ascii="Arial" w:hAnsi="Arial" w:cs="Arial"/>
              </w:rPr>
              <w:t>)</w:t>
            </w:r>
          </w:p>
        </w:tc>
      </w:tr>
      <w:tr w:rsidR="00A10FF1" w:rsidRPr="006A5F4B" w:rsidTr="00683794">
        <w:trPr>
          <w:trHeight w:val="270"/>
        </w:trPr>
        <w:tc>
          <w:tcPr>
            <w:tcW w:w="2376" w:type="dxa"/>
          </w:tcPr>
          <w:p w:rsidR="00A10FF1" w:rsidRDefault="00A10FF1" w:rsidP="00A10FF1">
            <w:pPr>
              <w:rPr>
                <w:rFonts w:ascii="Arial" w:hAnsi="Arial" w:cs="Arial"/>
              </w:rPr>
            </w:pPr>
            <w:r>
              <w:rPr>
                <w:rFonts w:ascii="Arial" w:hAnsi="Arial" w:cs="Arial"/>
              </w:rPr>
              <w:t>Mike McEnaney</w:t>
            </w:r>
          </w:p>
        </w:tc>
        <w:tc>
          <w:tcPr>
            <w:tcW w:w="7088" w:type="dxa"/>
          </w:tcPr>
          <w:p w:rsidR="00A10FF1" w:rsidRPr="00570C5C" w:rsidRDefault="00A10FF1" w:rsidP="00A10FF1">
            <w:pPr>
              <w:rPr>
                <w:rFonts w:ascii="Arial" w:hAnsi="Arial" w:cs="Arial"/>
                <w:i/>
              </w:rPr>
            </w:pPr>
            <w:r>
              <w:rPr>
                <w:rFonts w:ascii="Arial" w:hAnsi="Arial" w:cs="Arial"/>
              </w:rPr>
              <w:t>Director of Finance (</w:t>
            </w:r>
            <w:r>
              <w:rPr>
                <w:rFonts w:ascii="Arial" w:hAnsi="Arial" w:cs="Arial"/>
                <w:b/>
              </w:rPr>
              <w:t>MME</w:t>
            </w:r>
            <w:r>
              <w:rPr>
                <w:rFonts w:ascii="Arial" w:hAnsi="Arial" w:cs="Arial"/>
              </w:rPr>
              <w:t xml:space="preserve">) </w:t>
            </w:r>
            <w:r w:rsidR="003F0BA3">
              <w:rPr>
                <w:rFonts w:ascii="Arial" w:hAnsi="Arial" w:cs="Arial"/>
              </w:rPr>
              <w:t xml:space="preserve">- </w:t>
            </w:r>
            <w:r w:rsidR="00570C5C">
              <w:rPr>
                <w:rFonts w:ascii="Arial" w:hAnsi="Arial" w:cs="Arial"/>
                <w:i/>
              </w:rPr>
              <w:t>part meeting</w:t>
            </w:r>
          </w:p>
        </w:tc>
      </w:tr>
      <w:tr w:rsidR="00A06782" w:rsidRPr="006A5F4B" w:rsidTr="00683794">
        <w:trPr>
          <w:trHeight w:val="270"/>
        </w:trPr>
        <w:tc>
          <w:tcPr>
            <w:tcW w:w="2376" w:type="dxa"/>
          </w:tcPr>
          <w:p w:rsidR="00A06782" w:rsidRDefault="00A06782" w:rsidP="00A10FF1">
            <w:pPr>
              <w:rPr>
                <w:rFonts w:ascii="Arial" w:hAnsi="Arial" w:cs="Arial"/>
              </w:rPr>
            </w:pPr>
            <w:r>
              <w:rPr>
                <w:rFonts w:ascii="Arial" w:hAnsi="Arial" w:cs="Arial"/>
              </w:rPr>
              <w:t>Aroop Mozumder</w:t>
            </w:r>
          </w:p>
        </w:tc>
        <w:tc>
          <w:tcPr>
            <w:tcW w:w="7088" w:type="dxa"/>
          </w:tcPr>
          <w:p w:rsidR="00A06782" w:rsidRPr="00A06782" w:rsidRDefault="00A06782" w:rsidP="00A10FF1">
            <w:pPr>
              <w:rPr>
                <w:rFonts w:ascii="Arial" w:hAnsi="Arial" w:cs="Arial"/>
              </w:rPr>
            </w:pPr>
            <w:r>
              <w:rPr>
                <w:rFonts w:ascii="Arial" w:hAnsi="Arial" w:cs="Arial"/>
              </w:rPr>
              <w:t>Non-Executive Director (</w:t>
            </w:r>
            <w:r>
              <w:rPr>
                <w:rFonts w:ascii="Arial" w:hAnsi="Arial" w:cs="Arial"/>
                <w:b/>
              </w:rPr>
              <w:t>AM</w:t>
            </w:r>
            <w:r>
              <w:rPr>
                <w:rFonts w:ascii="Arial" w:hAnsi="Arial" w:cs="Arial"/>
              </w:rPr>
              <w:t>)</w:t>
            </w:r>
          </w:p>
        </w:tc>
      </w:tr>
      <w:tr w:rsidR="00A10FF1" w:rsidRPr="006A5F4B" w:rsidTr="00683794">
        <w:trPr>
          <w:trHeight w:val="270"/>
        </w:trPr>
        <w:tc>
          <w:tcPr>
            <w:tcW w:w="2376" w:type="dxa"/>
          </w:tcPr>
          <w:p w:rsidR="00A10FF1" w:rsidRPr="00E5171B" w:rsidRDefault="00A10FF1" w:rsidP="00A10FF1">
            <w:pPr>
              <w:rPr>
                <w:rFonts w:ascii="Arial" w:hAnsi="Arial" w:cs="Arial"/>
                <w:b/>
              </w:rPr>
            </w:pPr>
            <w:r>
              <w:rPr>
                <w:rFonts w:ascii="Arial" w:hAnsi="Arial" w:cs="Arial"/>
              </w:rPr>
              <w:t>Kerry Rogers</w:t>
            </w:r>
          </w:p>
        </w:tc>
        <w:tc>
          <w:tcPr>
            <w:tcW w:w="7088" w:type="dxa"/>
          </w:tcPr>
          <w:p w:rsidR="00A10FF1" w:rsidRPr="00C27FC5" w:rsidRDefault="00A10FF1" w:rsidP="00A10FF1">
            <w:pPr>
              <w:rPr>
                <w:rFonts w:ascii="Arial" w:hAnsi="Arial" w:cs="Arial"/>
                <w:i/>
              </w:rPr>
            </w:pPr>
            <w:r>
              <w:rPr>
                <w:rFonts w:ascii="Arial" w:hAnsi="Arial" w:cs="Arial"/>
              </w:rPr>
              <w:t>Director of Corporate Affairs &amp; Company Secretary (</w:t>
            </w:r>
            <w:r>
              <w:rPr>
                <w:rFonts w:ascii="Arial" w:hAnsi="Arial" w:cs="Arial"/>
                <w:b/>
              </w:rPr>
              <w:t>KR</w:t>
            </w:r>
            <w:r>
              <w:rPr>
                <w:rFonts w:ascii="Arial" w:hAnsi="Arial" w:cs="Arial"/>
              </w:rPr>
              <w:t>)</w:t>
            </w:r>
            <w:r>
              <w:rPr>
                <w:rStyle w:val="FootnoteReference"/>
                <w:rFonts w:ascii="Arial" w:hAnsi="Arial" w:cs="Arial"/>
              </w:rPr>
              <w:footnoteReference w:id="2"/>
            </w:r>
          </w:p>
        </w:tc>
      </w:tr>
      <w:tr w:rsidR="00E40A8A" w:rsidRPr="006A5F4B" w:rsidTr="00683794">
        <w:trPr>
          <w:trHeight w:val="270"/>
        </w:trPr>
        <w:tc>
          <w:tcPr>
            <w:tcW w:w="2376" w:type="dxa"/>
          </w:tcPr>
          <w:p w:rsidR="00E40A8A" w:rsidRDefault="00E40A8A" w:rsidP="00E40A8A">
            <w:pPr>
              <w:rPr>
                <w:rFonts w:ascii="Arial" w:hAnsi="Arial" w:cs="Arial"/>
              </w:rPr>
            </w:pPr>
            <w:r>
              <w:rPr>
                <w:rFonts w:ascii="Arial" w:hAnsi="Arial" w:cs="Arial"/>
              </w:rPr>
              <w:t>Martyn Ward</w:t>
            </w:r>
          </w:p>
        </w:tc>
        <w:tc>
          <w:tcPr>
            <w:tcW w:w="7088" w:type="dxa"/>
          </w:tcPr>
          <w:p w:rsidR="00E40A8A" w:rsidRPr="007937B3" w:rsidRDefault="00E40A8A" w:rsidP="00E40A8A">
            <w:pPr>
              <w:rPr>
                <w:rFonts w:ascii="Arial" w:hAnsi="Arial" w:cs="Arial"/>
              </w:rPr>
            </w:pPr>
            <w:r>
              <w:rPr>
                <w:rFonts w:ascii="Arial" w:hAnsi="Arial" w:cs="Arial"/>
              </w:rPr>
              <w:t xml:space="preserve">Director of Strategy &amp; </w:t>
            </w:r>
            <w:r w:rsidR="0040640B">
              <w:rPr>
                <w:rFonts w:ascii="Arial" w:hAnsi="Arial" w:cs="Arial"/>
              </w:rPr>
              <w:t>Chief Information Officer</w:t>
            </w:r>
            <w:r w:rsidR="00683794">
              <w:rPr>
                <w:rFonts w:ascii="Arial" w:hAnsi="Arial" w:cs="Arial"/>
              </w:rPr>
              <w:t xml:space="preserve"> (CIO)</w:t>
            </w:r>
            <w:r>
              <w:rPr>
                <w:rFonts w:ascii="Arial" w:hAnsi="Arial" w:cs="Arial"/>
              </w:rPr>
              <w:t xml:space="preserve"> (</w:t>
            </w:r>
            <w:r>
              <w:rPr>
                <w:rFonts w:ascii="Arial" w:hAnsi="Arial" w:cs="Arial"/>
                <w:b/>
              </w:rPr>
              <w:t>MW</w:t>
            </w:r>
            <w:r>
              <w:rPr>
                <w:rFonts w:ascii="Arial" w:hAnsi="Arial" w:cs="Arial"/>
              </w:rPr>
              <w:t>)</w:t>
            </w:r>
            <w:r w:rsidR="00122435">
              <w:rPr>
                <w:rStyle w:val="FootnoteReference"/>
                <w:rFonts w:ascii="Arial" w:hAnsi="Arial" w:cs="Arial"/>
              </w:rPr>
              <w:footnoteReference w:id="3"/>
            </w:r>
          </w:p>
        </w:tc>
      </w:tr>
      <w:tr w:rsidR="00E40A8A" w:rsidRPr="006A5F4B" w:rsidTr="00683794">
        <w:trPr>
          <w:trHeight w:val="270"/>
        </w:trPr>
        <w:tc>
          <w:tcPr>
            <w:tcW w:w="2376" w:type="dxa"/>
          </w:tcPr>
          <w:p w:rsidR="00E40A8A" w:rsidRDefault="00E40A8A" w:rsidP="00E40A8A">
            <w:pPr>
              <w:rPr>
                <w:rFonts w:ascii="Arial" w:hAnsi="Arial" w:cs="Arial"/>
              </w:rPr>
            </w:pPr>
          </w:p>
        </w:tc>
        <w:tc>
          <w:tcPr>
            <w:tcW w:w="7088" w:type="dxa"/>
          </w:tcPr>
          <w:p w:rsidR="00E40A8A" w:rsidRPr="007937B3" w:rsidRDefault="00E40A8A" w:rsidP="00E40A8A">
            <w:pPr>
              <w:rPr>
                <w:rFonts w:ascii="Arial" w:hAnsi="Arial" w:cs="Arial"/>
              </w:rPr>
            </w:pPr>
          </w:p>
        </w:tc>
      </w:tr>
      <w:tr w:rsidR="00E40A8A" w:rsidRPr="006A5F4B" w:rsidTr="00B36E43">
        <w:trPr>
          <w:trHeight w:val="285"/>
        </w:trPr>
        <w:tc>
          <w:tcPr>
            <w:tcW w:w="9464" w:type="dxa"/>
            <w:gridSpan w:val="2"/>
          </w:tcPr>
          <w:p w:rsidR="00E40A8A" w:rsidRPr="006A5F4B" w:rsidRDefault="00E40A8A" w:rsidP="00E40A8A">
            <w:pPr>
              <w:rPr>
                <w:rFonts w:ascii="Arial" w:hAnsi="Arial" w:cs="Arial"/>
                <w:b/>
              </w:rPr>
            </w:pPr>
            <w:r w:rsidRPr="00B36E43">
              <w:rPr>
                <w:rFonts w:ascii="Arial" w:hAnsi="Arial" w:cs="Arial"/>
                <w:b/>
              </w:rPr>
              <w:t>In attendance:</w:t>
            </w:r>
          </w:p>
        </w:tc>
      </w:tr>
      <w:tr w:rsidR="00570C5C" w:rsidRPr="006A5F4B" w:rsidTr="00683794">
        <w:trPr>
          <w:trHeight w:val="349"/>
        </w:trPr>
        <w:tc>
          <w:tcPr>
            <w:tcW w:w="2376" w:type="dxa"/>
          </w:tcPr>
          <w:p w:rsidR="00570C5C" w:rsidRDefault="00570C5C" w:rsidP="00E40A8A">
            <w:pPr>
              <w:rPr>
                <w:rFonts w:ascii="Arial" w:hAnsi="Arial" w:cs="Arial"/>
              </w:rPr>
            </w:pPr>
            <w:r>
              <w:rPr>
                <w:rFonts w:ascii="Arial" w:hAnsi="Arial" w:cs="Arial"/>
              </w:rPr>
              <w:t>Donan Kelly</w:t>
            </w:r>
          </w:p>
        </w:tc>
        <w:tc>
          <w:tcPr>
            <w:tcW w:w="7088" w:type="dxa"/>
          </w:tcPr>
          <w:p w:rsidR="00570C5C" w:rsidRPr="00570C5C" w:rsidRDefault="00570C5C" w:rsidP="00E40A8A">
            <w:pPr>
              <w:rPr>
                <w:rFonts w:ascii="Arial" w:hAnsi="Arial" w:cs="Arial"/>
              </w:rPr>
            </w:pPr>
            <w:r w:rsidRPr="00570C5C">
              <w:rPr>
                <w:rFonts w:ascii="Arial" w:hAnsi="Arial" w:cs="Arial"/>
              </w:rPr>
              <w:t xml:space="preserve">Joint Service Director </w:t>
            </w:r>
            <w:r w:rsidR="00683794">
              <w:rPr>
                <w:rFonts w:ascii="Arial" w:hAnsi="Arial" w:cs="Arial"/>
              </w:rPr>
              <w:t xml:space="preserve">- </w:t>
            </w:r>
            <w:r w:rsidRPr="00570C5C">
              <w:rPr>
                <w:rFonts w:ascii="Arial" w:hAnsi="Arial" w:cs="Arial"/>
              </w:rPr>
              <w:t>Oxfordshire and West Mental Health Directorate</w:t>
            </w:r>
            <w:r>
              <w:rPr>
                <w:rFonts w:ascii="Arial" w:hAnsi="Arial" w:cs="Arial"/>
              </w:rPr>
              <w:t xml:space="preserve"> – attending for the Chief Operating Officer (</w:t>
            </w:r>
            <w:r>
              <w:rPr>
                <w:rFonts w:ascii="Arial" w:hAnsi="Arial" w:cs="Arial"/>
                <w:b/>
              </w:rPr>
              <w:t>DK</w:t>
            </w:r>
            <w:r>
              <w:rPr>
                <w:rFonts w:ascii="Arial" w:hAnsi="Arial" w:cs="Arial"/>
              </w:rPr>
              <w:t>)</w:t>
            </w:r>
            <w:r>
              <w:rPr>
                <w:rStyle w:val="FootnoteReference"/>
                <w:rFonts w:ascii="Arial" w:hAnsi="Arial" w:cs="Arial"/>
              </w:rPr>
              <w:footnoteReference w:id="4"/>
            </w:r>
          </w:p>
        </w:tc>
      </w:tr>
      <w:tr w:rsidR="004C1EE2" w:rsidRPr="006A5F4B" w:rsidTr="00683794">
        <w:trPr>
          <w:trHeight w:val="349"/>
        </w:trPr>
        <w:tc>
          <w:tcPr>
            <w:tcW w:w="2376" w:type="dxa"/>
          </w:tcPr>
          <w:p w:rsidR="004C1EE2" w:rsidRDefault="004C1EE2" w:rsidP="00E40A8A">
            <w:pPr>
              <w:rPr>
                <w:rFonts w:ascii="Arial" w:hAnsi="Arial" w:cs="Arial"/>
              </w:rPr>
            </w:pPr>
            <w:r>
              <w:rPr>
                <w:rFonts w:ascii="Arial" w:hAnsi="Arial" w:cs="Arial"/>
              </w:rPr>
              <w:t>Donna Mackenzie</w:t>
            </w:r>
          </w:p>
        </w:tc>
        <w:tc>
          <w:tcPr>
            <w:tcW w:w="7088" w:type="dxa"/>
          </w:tcPr>
          <w:p w:rsidR="004C1EE2" w:rsidRPr="004C1EE2" w:rsidRDefault="004C1EE2" w:rsidP="00E40A8A">
            <w:pPr>
              <w:rPr>
                <w:rFonts w:ascii="Arial" w:hAnsi="Arial" w:cs="Arial"/>
                <w:i/>
              </w:rPr>
            </w:pPr>
            <w:r w:rsidRPr="004C1EE2">
              <w:rPr>
                <w:rFonts w:ascii="Arial" w:hAnsi="Arial" w:cs="Arial"/>
              </w:rPr>
              <w:t>Patient Experience &amp; Involvement Manager</w:t>
            </w:r>
            <w:r>
              <w:rPr>
                <w:rFonts w:ascii="Arial" w:hAnsi="Arial" w:cs="Arial"/>
              </w:rPr>
              <w:t xml:space="preserve"> (</w:t>
            </w:r>
            <w:r>
              <w:rPr>
                <w:rFonts w:ascii="Arial" w:hAnsi="Arial" w:cs="Arial"/>
                <w:b/>
              </w:rPr>
              <w:t>DM</w:t>
            </w:r>
            <w:r>
              <w:rPr>
                <w:rFonts w:ascii="Arial" w:hAnsi="Arial" w:cs="Arial"/>
              </w:rPr>
              <w:t xml:space="preserve">) </w:t>
            </w:r>
            <w:r w:rsidR="003F0BA3">
              <w:rPr>
                <w:rFonts w:ascii="Arial" w:hAnsi="Arial" w:cs="Arial"/>
              </w:rPr>
              <w:t xml:space="preserve">- </w:t>
            </w:r>
            <w:r>
              <w:rPr>
                <w:rFonts w:ascii="Arial" w:hAnsi="Arial" w:cs="Arial"/>
                <w:i/>
              </w:rPr>
              <w:t>part meeting</w:t>
            </w:r>
          </w:p>
        </w:tc>
      </w:tr>
      <w:tr w:rsidR="00112C39" w:rsidRPr="006A5F4B" w:rsidTr="00683794">
        <w:trPr>
          <w:trHeight w:val="349"/>
        </w:trPr>
        <w:tc>
          <w:tcPr>
            <w:tcW w:w="2376" w:type="dxa"/>
          </w:tcPr>
          <w:p w:rsidR="00112C39" w:rsidRDefault="003F0BA3" w:rsidP="00E40A8A">
            <w:pPr>
              <w:rPr>
                <w:rFonts w:ascii="Arial" w:hAnsi="Arial" w:cs="Arial"/>
              </w:rPr>
            </w:pPr>
            <w:r w:rsidRPr="003F0BA3">
              <w:rPr>
                <w:rFonts w:ascii="Arial" w:hAnsi="Arial" w:cs="Arial"/>
              </w:rPr>
              <w:t>Rachel Miller</w:t>
            </w:r>
          </w:p>
        </w:tc>
        <w:tc>
          <w:tcPr>
            <w:tcW w:w="7088" w:type="dxa"/>
          </w:tcPr>
          <w:p w:rsidR="00112C39" w:rsidRPr="00A06782" w:rsidRDefault="003F0BA3" w:rsidP="00E40A8A">
            <w:pPr>
              <w:rPr>
                <w:rFonts w:ascii="Arial" w:hAnsi="Arial" w:cs="Arial"/>
              </w:rPr>
            </w:pPr>
            <w:r w:rsidRPr="003F0BA3">
              <w:rPr>
                <w:rFonts w:ascii="Arial" w:hAnsi="Arial" w:cs="Arial"/>
              </w:rPr>
              <w:t>Service User Experience Lead fo</w:t>
            </w:r>
            <w:r>
              <w:rPr>
                <w:rFonts w:ascii="Arial" w:hAnsi="Arial" w:cs="Arial"/>
              </w:rPr>
              <w:t xml:space="preserve">r Learning Disability Services - </w:t>
            </w:r>
            <w:r>
              <w:rPr>
                <w:rFonts w:ascii="Arial" w:hAnsi="Arial" w:cs="Arial"/>
                <w:i/>
              </w:rPr>
              <w:t>part meeting</w:t>
            </w:r>
            <w:r w:rsidRPr="003F0BA3">
              <w:rPr>
                <w:rFonts w:ascii="Arial" w:hAnsi="Arial" w:cs="Arial"/>
              </w:rPr>
              <w:t xml:space="preserve"> </w:t>
            </w:r>
          </w:p>
        </w:tc>
      </w:tr>
      <w:tr w:rsidR="00E40A8A" w:rsidRPr="006A5F4B" w:rsidTr="00683794">
        <w:trPr>
          <w:trHeight w:val="349"/>
        </w:trPr>
        <w:tc>
          <w:tcPr>
            <w:tcW w:w="2376" w:type="dxa"/>
          </w:tcPr>
          <w:p w:rsidR="00E40A8A" w:rsidRDefault="00E40A8A" w:rsidP="00E40A8A">
            <w:pPr>
              <w:rPr>
                <w:rFonts w:ascii="Arial" w:hAnsi="Arial" w:cs="Arial"/>
              </w:rPr>
            </w:pPr>
            <w:r>
              <w:rPr>
                <w:rFonts w:ascii="Arial" w:hAnsi="Arial" w:cs="Arial"/>
              </w:rPr>
              <w:t>Hannah Smith</w:t>
            </w:r>
          </w:p>
        </w:tc>
        <w:tc>
          <w:tcPr>
            <w:tcW w:w="7088" w:type="dxa"/>
          </w:tcPr>
          <w:p w:rsidR="00E40A8A" w:rsidRPr="007937B3" w:rsidRDefault="00E40A8A" w:rsidP="00E40A8A">
            <w:pPr>
              <w:rPr>
                <w:rFonts w:ascii="Arial" w:hAnsi="Arial" w:cs="Arial"/>
              </w:rPr>
            </w:pPr>
            <w:r>
              <w:rPr>
                <w:rFonts w:ascii="Arial" w:hAnsi="Arial" w:cs="Arial"/>
              </w:rPr>
              <w:t>Assistant Trust Secretary (Minutes) (</w:t>
            </w:r>
            <w:r>
              <w:rPr>
                <w:rFonts w:ascii="Arial" w:hAnsi="Arial" w:cs="Arial"/>
                <w:b/>
              </w:rPr>
              <w:t>HS</w:t>
            </w:r>
            <w:r>
              <w:rPr>
                <w:rFonts w:ascii="Arial" w:hAnsi="Arial" w:cs="Arial"/>
              </w:rPr>
              <w:t>)</w:t>
            </w:r>
          </w:p>
        </w:tc>
      </w:tr>
    </w:tbl>
    <w:p w:rsidR="00813AF0" w:rsidRPr="00813AF0" w:rsidRDefault="00813AF0" w:rsidP="00AF2872">
      <w:pPr>
        <w:pStyle w:val="Header"/>
        <w:tabs>
          <w:tab w:val="clear" w:pos="4153"/>
          <w:tab w:val="clear" w:pos="8306"/>
          <w:tab w:val="left" w:pos="2472"/>
        </w:tabs>
        <w:rPr>
          <w:rFonts w:cs="Arial"/>
          <w:i/>
          <w:lang w:val="en-GB" w:eastAsia="en-GB"/>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AD0F54" w:rsidP="00A64AB4">
            <w:pPr>
              <w:keepNext/>
              <w:keepLines/>
              <w:rPr>
                <w:rFonts w:ascii="Arial" w:hAnsi="Arial" w:cs="Arial"/>
                <w:b/>
              </w:rPr>
            </w:pPr>
            <w:r>
              <w:rPr>
                <w:rFonts w:ascii="Arial" w:hAnsi="Arial" w:cs="Arial"/>
                <w:b/>
              </w:rPr>
              <w:t>118</w:t>
            </w:r>
            <w:r w:rsidR="00D96B61">
              <w:rPr>
                <w:rFonts w:ascii="Arial" w:hAnsi="Arial" w:cs="Arial"/>
                <w:b/>
              </w:rPr>
              <w:t>/18</w:t>
            </w:r>
          </w:p>
          <w:p w:rsidR="00A64AB4" w:rsidRPr="00666D1B" w:rsidRDefault="00A64AB4" w:rsidP="00A64AB4">
            <w:pPr>
              <w:keepNext/>
              <w:keepLines/>
              <w:rPr>
                <w:rFonts w:ascii="Arial" w:hAnsi="Arial" w:cs="Arial"/>
              </w:rPr>
            </w:pPr>
            <w:r w:rsidRPr="00666D1B">
              <w:rPr>
                <w:rFonts w:ascii="Arial" w:hAnsi="Arial" w:cs="Arial"/>
              </w:rPr>
              <w:t>a</w:t>
            </w: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p>
          <w:p w:rsidR="00A10FF1" w:rsidRDefault="00A10FF1" w:rsidP="00785867">
            <w:pPr>
              <w:keepNext/>
              <w:keepLines/>
              <w:rPr>
                <w:rFonts w:ascii="Arial" w:hAnsi="Arial" w:cs="Arial"/>
              </w:rPr>
            </w:pPr>
          </w:p>
          <w:p w:rsidR="00B641DE" w:rsidRDefault="00B641DE" w:rsidP="00785867">
            <w:pPr>
              <w:keepNext/>
              <w:keepLines/>
              <w:rPr>
                <w:rFonts w:ascii="Arial" w:hAnsi="Arial" w:cs="Arial"/>
              </w:rPr>
            </w:pPr>
            <w:r>
              <w:rPr>
                <w:rFonts w:ascii="Arial" w:hAnsi="Arial" w:cs="Arial"/>
              </w:rPr>
              <w:t>b</w:t>
            </w:r>
          </w:p>
          <w:p w:rsidR="00B641DE" w:rsidRPr="00666D1B" w:rsidRDefault="00B641DE" w:rsidP="00785867">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jc w:val="both"/>
              <w:rPr>
                <w:rFonts w:ascii="Arial" w:hAnsi="Arial" w:cs="Arial"/>
              </w:rPr>
            </w:pPr>
          </w:p>
          <w:p w:rsidR="00A10FF1" w:rsidRPr="00A10FF1" w:rsidRDefault="00A10FF1" w:rsidP="00A10FF1">
            <w:pPr>
              <w:rPr>
                <w:rFonts w:ascii="Arial" w:hAnsi="Arial" w:cs="Arial"/>
              </w:rPr>
            </w:pPr>
            <w:r w:rsidRPr="00A10FF1">
              <w:rPr>
                <w:rFonts w:ascii="Arial" w:hAnsi="Arial" w:cs="Arial"/>
              </w:rPr>
              <w:t>The Chair welcomed membe</w:t>
            </w:r>
            <w:r w:rsidR="00174007">
              <w:rPr>
                <w:rFonts w:ascii="Arial" w:hAnsi="Arial" w:cs="Arial"/>
              </w:rPr>
              <w:t xml:space="preserve">rs of the Board present and </w:t>
            </w:r>
            <w:r w:rsidRPr="00A10FF1">
              <w:rPr>
                <w:rFonts w:ascii="Arial" w:hAnsi="Arial" w:cs="Arial"/>
              </w:rPr>
              <w:t>staff</w:t>
            </w:r>
            <w:r w:rsidR="004C75DA">
              <w:rPr>
                <w:rFonts w:ascii="Arial" w:hAnsi="Arial" w:cs="Arial"/>
              </w:rPr>
              <w:t>, governors</w:t>
            </w:r>
            <w:r w:rsidRPr="00A10FF1">
              <w:rPr>
                <w:rFonts w:ascii="Arial" w:hAnsi="Arial" w:cs="Arial"/>
              </w:rPr>
              <w:t xml:space="preserve"> and members of the public who had attended to observe the meeting. </w:t>
            </w:r>
          </w:p>
          <w:p w:rsidR="00A10FF1" w:rsidRPr="00A10FF1" w:rsidRDefault="00A10FF1" w:rsidP="00A10FF1">
            <w:pPr>
              <w:rPr>
                <w:rFonts w:ascii="Arial" w:hAnsi="Arial" w:cs="Arial"/>
              </w:rPr>
            </w:pPr>
          </w:p>
          <w:p w:rsidR="00AD0F54" w:rsidRPr="00666D1B" w:rsidRDefault="00A10FF1" w:rsidP="00AD0F54">
            <w:pPr>
              <w:rPr>
                <w:rFonts w:ascii="Arial" w:hAnsi="Arial" w:cs="Arial"/>
              </w:rPr>
            </w:pPr>
            <w:r w:rsidRPr="00A10FF1">
              <w:rPr>
                <w:rFonts w:ascii="Arial" w:hAnsi="Arial" w:cs="Arial"/>
              </w:rPr>
              <w:t>Apologies for absence were received from:</w:t>
            </w:r>
            <w:r w:rsidR="0040640B">
              <w:rPr>
                <w:rFonts w:ascii="Arial" w:hAnsi="Arial" w:cs="Arial"/>
              </w:rPr>
              <w:t xml:space="preserve"> </w:t>
            </w:r>
            <w:r w:rsidR="00570C5C" w:rsidRPr="00570C5C">
              <w:rPr>
                <w:rFonts w:ascii="Arial" w:hAnsi="Arial" w:cs="Arial"/>
              </w:rPr>
              <w:t xml:space="preserve">Dominic Hardisty, Chief Operating Officer; and Lucy Weston, Associate Non-Executive Director.  </w:t>
            </w:r>
          </w:p>
          <w:p w:rsidR="00A10FF1" w:rsidRPr="00666D1B" w:rsidRDefault="00A10FF1" w:rsidP="007828B9">
            <w:pPr>
              <w:rPr>
                <w:rFonts w:ascii="Arial" w:hAnsi="Arial" w:cs="Arial"/>
              </w:rPr>
            </w:pPr>
          </w:p>
        </w:tc>
        <w:tc>
          <w:tcPr>
            <w:tcW w:w="1054" w:type="dxa"/>
          </w:tcPr>
          <w:p w:rsidR="00A64AB4" w:rsidRPr="00666D1B" w:rsidRDefault="00A64AB4" w:rsidP="00A64AB4">
            <w:pPr>
              <w:keepNext/>
              <w:keepLines/>
              <w:rPr>
                <w:rFonts w:ascii="Arial" w:hAnsi="Arial" w:cs="Arial"/>
              </w:rPr>
            </w:pPr>
          </w:p>
        </w:tc>
      </w:tr>
      <w:tr w:rsidR="004B283B" w:rsidRPr="00666D1B">
        <w:trPr>
          <w:trHeight w:val="650"/>
        </w:trPr>
        <w:tc>
          <w:tcPr>
            <w:tcW w:w="993" w:type="dxa"/>
          </w:tcPr>
          <w:p w:rsidR="004B283B" w:rsidRPr="00666D1B" w:rsidRDefault="004B283B" w:rsidP="003A3966">
            <w:pPr>
              <w:keepNext/>
              <w:keepLines/>
              <w:rPr>
                <w:rFonts w:ascii="Arial" w:hAnsi="Arial" w:cs="Arial"/>
                <w:b/>
              </w:rPr>
            </w:pPr>
            <w:r w:rsidRPr="00666D1B">
              <w:rPr>
                <w:rFonts w:ascii="Arial" w:hAnsi="Arial" w:cs="Arial"/>
                <w:b/>
              </w:rPr>
              <w:t xml:space="preserve">BOD </w:t>
            </w:r>
            <w:r w:rsidR="00AD0F54">
              <w:rPr>
                <w:rFonts w:ascii="Arial" w:hAnsi="Arial" w:cs="Arial"/>
                <w:b/>
              </w:rPr>
              <w:t>119</w:t>
            </w:r>
            <w:r w:rsidR="00D96B61">
              <w:rPr>
                <w:rFonts w:ascii="Arial" w:hAnsi="Arial" w:cs="Arial"/>
                <w:b/>
              </w:rPr>
              <w:t>/18</w:t>
            </w:r>
          </w:p>
          <w:p w:rsidR="004B283B" w:rsidRPr="00666D1B" w:rsidRDefault="004B283B" w:rsidP="003A3966">
            <w:pPr>
              <w:keepNext/>
              <w:keepLines/>
              <w:rPr>
                <w:rFonts w:ascii="Arial" w:hAnsi="Arial" w:cs="Arial"/>
              </w:rPr>
            </w:pPr>
            <w:r w:rsidRPr="00666D1B">
              <w:rPr>
                <w:rFonts w:ascii="Arial" w:hAnsi="Arial" w:cs="Arial"/>
              </w:rPr>
              <w:t>a</w:t>
            </w:r>
          </w:p>
          <w:p w:rsidR="004C75DA" w:rsidRPr="00B3004F" w:rsidRDefault="004C75DA" w:rsidP="003A3966">
            <w:pPr>
              <w:keepNext/>
              <w:keepLines/>
              <w:rPr>
                <w:rFonts w:ascii="Arial" w:hAnsi="Arial" w:cs="Arial"/>
              </w:rPr>
            </w:pPr>
          </w:p>
        </w:tc>
        <w:tc>
          <w:tcPr>
            <w:tcW w:w="7087" w:type="dxa"/>
          </w:tcPr>
          <w:p w:rsidR="00A0194F" w:rsidRDefault="004B283B" w:rsidP="00EC7FCC">
            <w:pPr>
              <w:keepNext/>
              <w:keepLines/>
              <w:jc w:val="both"/>
              <w:rPr>
                <w:rFonts w:ascii="Arial" w:hAnsi="Arial" w:cs="Arial"/>
                <w:bCs/>
              </w:rPr>
            </w:pPr>
            <w:r w:rsidRPr="00666D1B">
              <w:rPr>
                <w:rFonts w:ascii="Arial" w:hAnsi="Arial" w:cs="Arial"/>
                <w:b/>
                <w:bCs/>
              </w:rPr>
              <w:t xml:space="preserve">Declarations of </w:t>
            </w:r>
            <w:r w:rsidR="00EC7FCC">
              <w:rPr>
                <w:rFonts w:ascii="Arial" w:hAnsi="Arial" w:cs="Arial"/>
                <w:b/>
                <w:bCs/>
              </w:rPr>
              <w:t>Interests</w:t>
            </w:r>
          </w:p>
          <w:p w:rsidR="00961874" w:rsidRDefault="00961874" w:rsidP="00EC7FCC">
            <w:pPr>
              <w:keepNext/>
              <w:keepLines/>
              <w:jc w:val="both"/>
              <w:rPr>
                <w:rFonts w:ascii="Arial" w:hAnsi="Arial" w:cs="Arial"/>
                <w:bCs/>
              </w:rPr>
            </w:pPr>
          </w:p>
          <w:p w:rsidR="00A10FF1" w:rsidRPr="00A10FF1" w:rsidRDefault="00A10FF1" w:rsidP="00A10FF1">
            <w:pPr>
              <w:keepNext/>
              <w:keepLines/>
              <w:jc w:val="both"/>
              <w:rPr>
                <w:rFonts w:ascii="Arial" w:hAnsi="Arial" w:cs="Arial"/>
                <w:bCs/>
              </w:rPr>
            </w:pPr>
            <w:r w:rsidRPr="00A10FF1">
              <w:rPr>
                <w:rFonts w:ascii="Arial" w:hAnsi="Arial" w:cs="Arial"/>
                <w:bCs/>
              </w:rPr>
              <w:t xml:space="preserve">No interests were declared pertinent to matters on the agenda. </w:t>
            </w:r>
          </w:p>
          <w:p w:rsidR="0035442F" w:rsidRPr="00961874" w:rsidRDefault="0035442F" w:rsidP="007828B9">
            <w:pPr>
              <w:keepNext/>
              <w:keepLines/>
              <w:jc w:val="both"/>
              <w:rPr>
                <w:rFonts w:ascii="Arial" w:hAnsi="Arial" w:cs="Arial"/>
                <w:bCs/>
              </w:rPr>
            </w:pPr>
          </w:p>
        </w:tc>
        <w:tc>
          <w:tcPr>
            <w:tcW w:w="1054" w:type="dxa"/>
          </w:tcPr>
          <w:p w:rsidR="004B283B" w:rsidRDefault="004B283B" w:rsidP="003A3966">
            <w:pPr>
              <w:keepNext/>
              <w:keepLines/>
              <w:rPr>
                <w:rFonts w:ascii="Arial" w:hAnsi="Arial" w:cs="Arial"/>
                <w:b/>
              </w:rPr>
            </w:pPr>
          </w:p>
          <w:p w:rsidR="00A0194F" w:rsidRDefault="00A0194F" w:rsidP="003A3966">
            <w:pPr>
              <w:keepNext/>
              <w:keepLines/>
              <w:rPr>
                <w:rFonts w:ascii="Arial" w:hAnsi="Arial" w:cs="Arial"/>
                <w:b/>
              </w:rPr>
            </w:pPr>
          </w:p>
          <w:p w:rsidR="009058EA" w:rsidRDefault="009058EA" w:rsidP="003A3966">
            <w:pPr>
              <w:keepNext/>
              <w:keepLines/>
              <w:rPr>
                <w:rFonts w:ascii="Arial" w:hAnsi="Arial" w:cs="Arial"/>
                <w:b/>
              </w:rPr>
            </w:pPr>
          </w:p>
        </w:tc>
      </w:tr>
      <w:tr w:rsidR="004B283B" w:rsidRPr="00666D1B">
        <w:trPr>
          <w:trHeight w:val="650"/>
        </w:trPr>
        <w:tc>
          <w:tcPr>
            <w:tcW w:w="993" w:type="dxa"/>
          </w:tcPr>
          <w:p w:rsidR="004B283B" w:rsidRPr="00666D1B" w:rsidRDefault="004B283B" w:rsidP="005F51D7">
            <w:pPr>
              <w:keepNext/>
              <w:keepLines/>
              <w:rPr>
                <w:rFonts w:ascii="Arial" w:hAnsi="Arial" w:cs="Arial"/>
                <w:b/>
              </w:rPr>
            </w:pPr>
            <w:r w:rsidRPr="00666D1B">
              <w:rPr>
                <w:rFonts w:ascii="Arial" w:hAnsi="Arial" w:cs="Arial"/>
                <w:b/>
              </w:rPr>
              <w:t xml:space="preserve">BOD </w:t>
            </w:r>
            <w:r w:rsidR="00AD0F54">
              <w:rPr>
                <w:rFonts w:ascii="Arial" w:hAnsi="Arial" w:cs="Arial"/>
                <w:b/>
              </w:rPr>
              <w:t>120</w:t>
            </w:r>
            <w:r w:rsidR="0016411D">
              <w:rPr>
                <w:rFonts w:ascii="Arial" w:hAnsi="Arial" w:cs="Arial"/>
                <w:b/>
              </w:rPr>
              <w:t>/1</w:t>
            </w:r>
            <w:r w:rsidR="00D96B61">
              <w:rPr>
                <w:rFonts w:ascii="Arial" w:hAnsi="Arial" w:cs="Arial"/>
                <w:b/>
              </w:rPr>
              <w:t>8</w:t>
            </w:r>
          </w:p>
          <w:p w:rsidR="004B283B" w:rsidRPr="00666D1B" w:rsidRDefault="004B283B" w:rsidP="005F51D7">
            <w:pPr>
              <w:keepNext/>
              <w:keepLines/>
              <w:rPr>
                <w:rFonts w:ascii="Arial" w:hAnsi="Arial" w:cs="Arial"/>
              </w:rPr>
            </w:pPr>
            <w:r w:rsidRPr="00666D1B">
              <w:rPr>
                <w:rFonts w:ascii="Arial" w:hAnsi="Arial" w:cs="Arial"/>
              </w:rPr>
              <w:t>a</w:t>
            </w:r>
          </w:p>
          <w:p w:rsidR="004B283B" w:rsidRDefault="004B283B" w:rsidP="005F51D7">
            <w:pPr>
              <w:keepNext/>
              <w:keepLines/>
              <w:rPr>
                <w:rFonts w:ascii="Arial" w:hAnsi="Arial" w:cs="Arial"/>
              </w:rPr>
            </w:pPr>
          </w:p>
          <w:p w:rsidR="00F47972" w:rsidRDefault="00F47972" w:rsidP="001048B9">
            <w:pPr>
              <w:keepNext/>
              <w:keepLines/>
              <w:rPr>
                <w:rFonts w:ascii="Arial" w:hAnsi="Arial" w:cs="Arial"/>
              </w:rPr>
            </w:pPr>
          </w:p>
          <w:p w:rsidR="004E6EA6" w:rsidRDefault="004E6EA6" w:rsidP="001048B9">
            <w:pPr>
              <w:keepNext/>
              <w:keepLines/>
              <w:rPr>
                <w:rFonts w:ascii="Arial" w:hAnsi="Arial" w:cs="Arial"/>
              </w:rPr>
            </w:pPr>
          </w:p>
          <w:p w:rsidR="004E6EA6" w:rsidRDefault="004E6EA6"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CD53DE" w:rsidRDefault="00CD53DE" w:rsidP="001048B9">
            <w:pPr>
              <w:keepNext/>
              <w:keepLines/>
              <w:rPr>
                <w:rFonts w:ascii="Arial" w:hAnsi="Arial" w:cs="Arial"/>
              </w:rPr>
            </w:pPr>
            <w:r>
              <w:rPr>
                <w:rFonts w:ascii="Arial" w:hAnsi="Arial" w:cs="Arial"/>
              </w:rPr>
              <w:t>b</w:t>
            </w:r>
          </w:p>
          <w:p w:rsidR="00CD53DE" w:rsidRDefault="00CD53DE" w:rsidP="001048B9">
            <w:pPr>
              <w:keepNext/>
              <w:keepLines/>
              <w:rPr>
                <w:rFonts w:ascii="Arial" w:hAnsi="Arial" w:cs="Arial"/>
              </w:rPr>
            </w:pPr>
          </w:p>
          <w:p w:rsidR="00BE2D76" w:rsidRDefault="00BE2D76" w:rsidP="00AD0F54">
            <w:pPr>
              <w:keepNext/>
              <w:keepLines/>
              <w:rPr>
                <w:rFonts w:ascii="Arial" w:hAnsi="Arial" w:cs="Arial"/>
              </w:rPr>
            </w:pPr>
          </w:p>
          <w:p w:rsidR="00570C5C" w:rsidRDefault="00570C5C" w:rsidP="00AD0F54">
            <w:pPr>
              <w:keepNext/>
              <w:keepLines/>
              <w:rPr>
                <w:rFonts w:ascii="Arial" w:hAnsi="Arial" w:cs="Arial"/>
              </w:rPr>
            </w:pPr>
            <w:r>
              <w:rPr>
                <w:rFonts w:ascii="Arial" w:hAnsi="Arial" w:cs="Arial"/>
              </w:rPr>
              <w:t>c</w:t>
            </w:r>
          </w:p>
          <w:p w:rsidR="00570C5C" w:rsidRDefault="00570C5C" w:rsidP="00AD0F54">
            <w:pPr>
              <w:keepNext/>
              <w:keepLines/>
              <w:rPr>
                <w:rFonts w:ascii="Arial" w:hAnsi="Arial" w:cs="Arial"/>
              </w:rPr>
            </w:pPr>
          </w:p>
          <w:p w:rsidR="00570C5C" w:rsidRDefault="00570C5C" w:rsidP="00AD0F54">
            <w:pPr>
              <w:keepNext/>
              <w:keepLines/>
              <w:rPr>
                <w:rFonts w:ascii="Arial" w:hAnsi="Arial" w:cs="Arial"/>
              </w:rPr>
            </w:pPr>
          </w:p>
          <w:p w:rsidR="00570C5C" w:rsidRDefault="00570C5C" w:rsidP="00AD0F54">
            <w:pPr>
              <w:keepNext/>
              <w:keepLines/>
              <w:rPr>
                <w:rFonts w:ascii="Arial" w:hAnsi="Arial" w:cs="Arial"/>
              </w:rPr>
            </w:pPr>
          </w:p>
          <w:p w:rsidR="00570C5C" w:rsidRDefault="00570C5C" w:rsidP="00AD0F54">
            <w:pPr>
              <w:keepNext/>
              <w:keepLines/>
              <w:rPr>
                <w:rFonts w:ascii="Arial" w:hAnsi="Arial" w:cs="Arial"/>
              </w:rPr>
            </w:pPr>
          </w:p>
          <w:p w:rsidR="00570C5C" w:rsidRPr="00666D1B" w:rsidRDefault="00570C5C" w:rsidP="00AD0F54">
            <w:pPr>
              <w:keepNext/>
              <w:keepLines/>
              <w:rPr>
                <w:rFonts w:ascii="Arial" w:hAnsi="Arial" w:cs="Arial"/>
              </w:rPr>
            </w:pPr>
            <w:r>
              <w:rPr>
                <w:rFonts w:ascii="Arial" w:hAnsi="Arial" w:cs="Arial"/>
              </w:rPr>
              <w:t>d</w:t>
            </w:r>
          </w:p>
        </w:tc>
        <w:tc>
          <w:tcPr>
            <w:tcW w:w="7087" w:type="dxa"/>
          </w:tcPr>
          <w:p w:rsidR="004B283B" w:rsidRDefault="004B283B" w:rsidP="00404679">
            <w:pPr>
              <w:jc w:val="both"/>
              <w:rPr>
                <w:rFonts w:ascii="Arial" w:hAnsi="Arial" w:cs="Arial"/>
                <w:bCs/>
              </w:rPr>
            </w:pPr>
            <w:r w:rsidRPr="00666D1B">
              <w:rPr>
                <w:rFonts w:ascii="Arial" w:hAnsi="Arial" w:cs="Arial"/>
                <w:b/>
                <w:bCs/>
              </w:rPr>
              <w:t xml:space="preserve">Minutes of the Meeting </w:t>
            </w:r>
            <w:r w:rsidRPr="00404679">
              <w:rPr>
                <w:rFonts w:ascii="Arial" w:hAnsi="Arial" w:cs="Arial"/>
                <w:b/>
                <w:bCs/>
              </w:rPr>
              <w:t xml:space="preserve">held on </w:t>
            </w:r>
            <w:r w:rsidR="003F0BA3">
              <w:rPr>
                <w:rFonts w:ascii="Arial" w:hAnsi="Arial" w:cs="Arial"/>
                <w:b/>
                <w:bCs/>
              </w:rPr>
              <w:t>27 June 2018</w:t>
            </w:r>
          </w:p>
          <w:p w:rsidR="004B283B" w:rsidRDefault="004B283B" w:rsidP="00404679">
            <w:pPr>
              <w:jc w:val="both"/>
              <w:rPr>
                <w:rFonts w:ascii="Arial" w:hAnsi="Arial" w:cs="Arial"/>
                <w:bCs/>
              </w:rPr>
            </w:pPr>
          </w:p>
          <w:p w:rsidR="00233988" w:rsidRPr="00233988" w:rsidRDefault="00233988" w:rsidP="00233988">
            <w:pPr>
              <w:jc w:val="both"/>
              <w:rPr>
                <w:rFonts w:ascii="Arial" w:hAnsi="Arial" w:cs="Arial"/>
                <w:bCs/>
              </w:rPr>
            </w:pPr>
            <w:r w:rsidRPr="00233988">
              <w:rPr>
                <w:rFonts w:ascii="Arial" w:hAnsi="Arial" w:cs="Arial"/>
                <w:bCs/>
              </w:rPr>
              <w:t xml:space="preserve">The Minutes of the meeting were approved as a true and accurate record.  </w:t>
            </w:r>
          </w:p>
          <w:p w:rsidR="00233988" w:rsidRPr="00233988" w:rsidRDefault="00233988" w:rsidP="00233988">
            <w:pPr>
              <w:jc w:val="both"/>
              <w:rPr>
                <w:rFonts w:ascii="Arial" w:hAnsi="Arial" w:cs="Arial"/>
                <w:bCs/>
              </w:rPr>
            </w:pPr>
          </w:p>
          <w:p w:rsidR="00233988" w:rsidRPr="00233988" w:rsidRDefault="00233988" w:rsidP="00233988">
            <w:pPr>
              <w:jc w:val="both"/>
              <w:rPr>
                <w:rFonts w:ascii="Arial" w:hAnsi="Arial" w:cs="Arial"/>
                <w:b/>
                <w:bCs/>
                <w:i/>
              </w:rPr>
            </w:pPr>
            <w:r w:rsidRPr="00233988">
              <w:rPr>
                <w:rFonts w:ascii="Arial" w:hAnsi="Arial" w:cs="Arial"/>
                <w:b/>
                <w:bCs/>
                <w:i/>
              </w:rPr>
              <w:t xml:space="preserve">Matters Arising </w:t>
            </w:r>
          </w:p>
          <w:p w:rsidR="004C75DA" w:rsidRDefault="004C75DA" w:rsidP="004C75DA">
            <w:pPr>
              <w:jc w:val="both"/>
              <w:rPr>
                <w:rFonts w:ascii="Arial" w:hAnsi="Arial" w:cs="Arial"/>
                <w:bCs/>
              </w:rPr>
            </w:pPr>
          </w:p>
          <w:p w:rsidR="00570C5C" w:rsidRPr="00570C5C" w:rsidRDefault="00570C5C" w:rsidP="00570C5C">
            <w:pPr>
              <w:jc w:val="both"/>
              <w:rPr>
                <w:rFonts w:ascii="Arial" w:hAnsi="Arial" w:cs="Arial"/>
                <w:b/>
                <w:bCs/>
              </w:rPr>
            </w:pPr>
            <w:r w:rsidRPr="00570C5C">
              <w:rPr>
                <w:rFonts w:ascii="Arial" w:hAnsi="Arial" w:cs="Arial"/>
                <w:b/>
                <w:bCs/>
              </w:rPr>
              <w:t>Item BOD 106/18(k) Equality &amp; Diversity – Board focus</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 xml:space="preserve">The Board Seminar in January 2019 </w:t>
            </w:r>
            <w:r w:rsidR="00B73A1F">
              <w:rPr>
                <w:rFonts w:ascii="Arial" w:hAnsi="Arial" w:cs="Arial"/>
                <w:bCs/>
              </w:rPr>
              <w:t xml:space="preserve">was </w:t>
            </w:r>
            <w:r w:rsidRPr="00570C5C">
              <w:rPr>
                <w:rFonts w:ascii="Arial" w:hAnsi="Arial" w:cs="Arial"/>
                <w:bCs/>
              </w:rPr>
              <w:t xml:space="preserve">now held for focus on Equality &amp; Diversity.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 xml:space="preserve">The Board noted that the following actions were on hold for future reporting: BOD 109/18(d) - Effectiveness reporting for October 2018; and BOD 49/18(b)&amp;(e) – development of Research &amp; Development reporting.  </w:t>
            </w:r>
          </w:p>
          <w:p w:rsidR="00570C5C" w:rsidRPr="00570C5C" w:rsidRDefault="00570C5C" w:rsidP="00570C5C">
            <w:pPr>
              <w:jc w:val="both"/>
              <w:rPr>
                <w:rFonts w:ascii="Arial" w:hAnsi="Arial" w:cs="Arial"/>
                <w:bCs/>
              </w:rPr>
            </w:pPr>
          </w:p>
          <w:p w:rsidR="0040640B" w:rsidRPr="0040640B" w:rsidRDefault="00570C5C" w:rsidP="00570C5C">
            <w:pPr>
              <w:jc w:val="both"/>
              <w:rPr>
                <w:rFonts w:ascii="Arial" w:hAnsi="Arial" w:cs="Arial"/>
                <w:bCs/>
              </w:rPr>
            </w:pPr>
            <w:r w:rsidRPr="00570C5C">
              <w:rPr>
                <w:rFonts w:ascii="Arial" w:hAnsi="Arial" w:cs="Arial"/>
                <w:bCs/>
              </w:rPr>
              <w:t>The Board confirmed that the remaining actions held over from the 25 October 2017</w:t>
            </w:r>
            <w:r w:rsidR="00DE7B92">
              <w:rPr>
                <w:rFonts w:ascii="Arial" w:hAnsi="Arial" w:cs="Arial"/>
                <w:bCs/>
              </w:rPr>
              <w:t>,</w:t>
            </w:r>
            <w:r w:rsidRPr="00570C5C">
              <w:rPr>
                <w:rFonts w:ascii="Arial" w:hAnsi="Arial" w:cs="Arial"/>
                <w:bCs/>
              </w:rPr>
              <w:t xml:space="preserve"> 25 April 2018 and 27 June 2</w:t>
            </w:r>
            <w:r w:rsidR="00DE7B92">
              <w:rPr>
                <w:rFonts w:ascii="Arial" w:hAnsi="Arial" w:cs="Arial"/>
                <w:bCs/>
              </w:rPr>
              <w:t>018 Summaries</w:t>
            </w:r>
            <w:r w:rsidRPr="00570C5C">
              <w:rPr>
                <w:rFonts w:ascii="Arial" w:hAnsi="Arial" w:cs="Arial"/>
                <w:bCs/>
              </w:rPr>
              <w:t xml:space="preserve"> of Actions had been completed, actioned or were on the agenda for the meeting: BOD 101/18(e) – Service Line reporting; BOD 102/18(a) – Whiteleaf Centre meeting layout; and BOD 75/18(b) and BOD 180/17(b)-(c) – Board Assurance Framework.</w:t>
            </w:r>
          </w:p>
          <w:p w:rsidR="0040640B" w:rsidRPr="00747CB8" w:rsidRDefault="0040640B" w:rsidP="00AD0F54">
            <w:pPr>
              <w:jc w:val="both"/>
              <w:rPr>
                <w:rFonts w:ascii="Arial" w:hAnsi="Arial" w:cs="Arial"/>
                <w:bCs/>
              </w:rPr>
            </w:pPr>
          </w:p>
        </w:tc>
        <w:tc>
          <w:tcPr>
            <w:tcW w:w="1054" w:type="dxa"/>
          </w:tcPr>
          <w:p w:rsidR="004B283B" w:rsidRDefault="004B283B" w:rsidP="00687605">
            <w:pPr>
              <w:keepNext/>
              <w:keepLines/>
              <w:rPr>
                <w:rFonts w:ascii="Arial" w:hAnsi="Arial" w:cs="Arial"/>
                <w:b/>
              </w:rPr>
            </w:pPr>
          </w:p>
          <w:p w:rsidR="002C3D42" w:rsidRDefault="002C3D42" w:rsidP="009E3F89">
            <w:pPr>
              <w:keepNext/>
              <w:keepLines/>
              <w:rPr>
                <w:rFonts w:ascii="Arial" w:hAnsi="Arial" w:cs="Arial"/>
                <w:b/>
              </w:rPr>
            </w:pPr>
          </w:p>
          <w:p w:rsidR="001C060B" w:rsidRDefault="001C060B"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Pr="00666D1B" w:rsidRDefault="004C599F" w:rsidP="002C6DEA">
            <w:pPr>
              <w:keepNext/>
              <w:keepLines/>
              <w:rPr>
                <w:rFonts w:ascii="Arial" w:hAnsi="Arial" w:cs="Arial"/>
                <w:b/>
              </w:rPr>
            </w:pPr>
          </w:p>
        </w:tc>
      </w:tr>
      <w:tr w:rsidR="00667B38" w:rsidRPr="00666D1B">
        <w:trPr>
          <w:trHeight w:val="650"/>
        </w:trPr>
        <w:tc>
          <w:tcPr>
            <w:tcW w:w="993" w:type="dxa"/>
          </w:tcPr>
          <w:p w:rsidR="00667B38" w:rsidRDefault="00667B38" w:rsidP="00667B38">
            <w:pPr>
              <w:keepNext/>
              <w:keepLines/>
              <w:rPr>
                <w:rFonts w:ascii="Arial" w:hAnsi="Arial" w:cs="Arial"/>
                <w:b/>
              </w:rPr>
            </w:pPr>
            <w:r>
              <w:rPr>
                <w:rFonts w:ascii="Arial" w:hAnsi="Arial" w:cs="Arial"/>
                <w:b/>
              </w:rPr>
              <w:t xml:space="preserve">BOD </w:t>
            </w:r>
            <w:r w:rsidR="00AD0F54">
              <w:rPr>
                <w:rFonts w:ascii="Arial" w:hAnsi="Arial" w:cs="Arial"/>
                <w:b/>
              </w:rPr>
              <w:t>121</w:t>
            </w:r>
            <w:r w:rsidR="00D96B61">
              <w:rPr>
                <w:rFonts w:ascii="Arial" w:hAnsi="Arial" w:cs="Arial"/>
                <w:b/>
              </w:rPr>
              <w:t>/18</w:t>
            </w:r>
          </w:p>
          <w:p w:rsidR="00667B38" w:rsidRDefault="00667B38" w:rsidP="00667B38">
            <w:pPr>
              <w:keepNext/>
              <w:keepLines/>
              <w:rPr>
                <w:rFonts w:ascii="Arial" w:hAnsi="Arial" w:cs="Arial"/>
              </w:rPr>
            </w:pPr>
            <w:r w:rsidRPr="00A0138D">
              <w:rPr>
                <w:rFonts w:ascii="Arial" w:hAnsi="Arial" w:cs="Arial"/>
              </w:rPr>
              <w:t>a</w:t>
            </w:r>
          </w:p>
          <w:p w:rsidR="00FE1C33" w:rsidRDefault="00FE1C33" w:rsidP="00667B38">
            <w:pPr>
              <w:keepNext/>
              <w:keepLines/>
              <w:rPr>
                <w:rFonts w:ascii="Arial" w:hAnsi="Arial" w:cs="Arial"/>
              </w:rPr>
            </w:pPr>
          </w:p>
          <w:p w:rsidR="007F0A44" w:rsidRDefault="007F0A44" w:rsidP="007D6163">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570C5C" w:rsidRDefault="00570C5C" w:rsidP="00C10B0B">
            <w:pPr>
              <w:keepNext/>
              <w:keepLines/>
              <w:rPr>
                <w:rFonts w:ascii="Arial" w:hAnsi="Arial" w:cs="Arial"/>
              </w:rPr>
            </w:pPr>
          </w:p>
          <w:p w:rsidR="00AD6871" w:rsidRDefault="00AD6871" w:rsidP="00C10B0B">
            <w:pPr>
              <w:keepNext/>
              <w:keepLines/>
              <w:rPr>
                <w:rFonts w:ascii="Arial" w:hAnsi="Arial" w:cs="Arial"/>
              </w:rPr>
            </w:pPr>
            <w:r>
              <w:rPr>
                <w:rFonts w:ascii="Arial" w:hAnsi="Arial" w:cs="Arial"/>
              </w:rPr>
              <w:t>b</w:t>
            </w: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t>c</w:t>
            </w: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t>d</w:t>
            </w: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lastRenderedPageBreak/>
              <w:t>e</w:t>
            </w: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t>f</w:t>
            </w: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t>g</w:t>
            </w: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t>h</w:t>
            </w: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roofErr w:type="spellStart"/>
            <w:r>
              <w:rPr>
                <w:rFonts w:ascii="Arial" w:hAnsi="Arial" w:cs="Arial"/>
              </w:rPr>
              <w:lastRenderedPageBreak/>
              <w:t>i</w:t>
            </w:r>
            <w:proofErr w:type="spellEnd"/>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t>j</w:t>
            </w: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t>k</w:t>
            </w: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t>l</w:t>
            </w: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t>m</w:t>
            </w: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t>n</w:t>
            </w: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p>
          <w:p w:rsidR="00504080" w:rsidRDefault="00504080" w:rsidP="00C10B0B">
            <w:pPr>
              <w:keepNext/>
              <w:keepLines/>
              <w:rPr>
                <w:rFonts w:ascii="Arial" w:hAnsi="Arial" w:cs="Arial"/>
              </w:rPr>
            </w:pPr>
            <w:r>
              <w:rPr>
                <w:rFonts w:ascii="Arial" w:hAnsi="Arial" w:cs="Arial"/>
              </w:rPr>
              <w:t>o</w:t>
            </w:r>
          </w:p>
          <w:p w:rsidR="00AD6871" w:rsidRPr="00F17421" w:rsidRDefault="00AD6871" w:rsidP="00C10B0B">
            <w:pPr>
              <w:keepNext/>
              <w:keepLines/>
              <w:rPr>
                <w:rFonts w:ascii="Arial" w:hAnsi="Arial" w:cs="Arial"/>
              </w:rPr>
            </w:pPr>
          </w:p>
        </w:tc>
        <w:tc>
          <w:tcPr>
            <w:tcW w:w="7087" w:type="dxa"/>
          </w:tcPr>
          <w:p w:rsidR="004C75DA" w:rsidRPr="004C75DA" w:rsidRDefault="004C75DA" w:rsidP="004C75DA">
            <w:pPr>
              <w:jc w:val="both"/>
              <w:rPr>
                <w:rFonts w:ascii="Arial" w:hAnsi="Arial" w:cs="Arial"/>
                <w:b/>
                <w:bCs/>
              </w:rPr>
            </w:pPr>
            <w:r w:rsidRPr="004C75DA">
              <w:rPr>
                <w:rFonts w:ascii="Arial" w:hAnsi="Arial" w:cs="Arial"/>
                <w:b/>
                <w:bCs/>
              </w:rPr>
              <w:lastRenderedPageBreak/>
              <w:t xml:space="preserve">Chief Executive’s Report </w:t>
            </w:r>
          </w:p>
          <w:p w:rsidR="004C75DA" w:rsidRPr="004C75DA" w:rsidRDefault="004C75DA" w:rsidP="004C75DA">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 xml:space="preserve">The Chief Executive presented the report BOD 91/2018 which provided updates against: recent local and national issues; and on legal, regulatory, compliance and policy matters.  </w:t>
            </w:r>
          </w:p>
          <w:p w:rsid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
                <w:bCs/>
                <w:i/>
              </w:rPr>
            </w:pPr>
            <w:r w:rsidRPr="00570C5C">
              <w:rPr>
                <w:rFonts w:ascii="Arial" w:hAnsi="Arial" w:cs="Arial"/>
                <w:b/>
                <w:bCs/>
                <w:i/>
              </w:rPr>
              <w:lastRenderedPageBreak/>
              <w:t>Adequacy of funding for mental health services and agreement of local contracts</w:t>
            </w:r>
          </w:p>
          <w:p w:rsidR="00570C5C" w:rsidRPr="00570C5C" w:rsidRDefault="00570C5C" w:rsidP="00570C5C">
            <w:pPr>
              <w:jc w:val="both"/>
              <w:rPr>
                <w:rFonts w:ascii="Arial" w:hAnsi="Arial" w:cs="Arial"/>
                <w:b/>
                <w:bCs/>
                <w:i/>
              </w:rPr>
            </w:pPr>
          </w:p>
          <w:p w:rsidR="00570C5C" w:rsidRPr="00570C5C" w:rsidRDefault="00570C5C" w:rsidP="00570C5C">
            <w:pPr>
              <w:jc w:val="both"/>
              <w:rPr>
                <w:rFonts w:ascii="Arial" w:hAnsi="Arial" w:cs="Arial"/>
                <w:bCs/>
              </w:rPr>
            </w:pPr>
            <w:r w:rsidRPr="00570C5C">
              <w:rPr>
                <w:rFonts w:ascii="Arial" w:hAnsi="Arial" w:cs="Arial"/>
                <w:bCs/>
              </w:rPr>
              <w:t xml:space="preserve">The Chief Executive referred to his report and noted that contracts had still not been signed for FY19.  </w:t>
            </w:r>
            <w:proofErr w:type="gramStart"/>
            <w:r w:rsidRPr="00570C5C">
              <w:rPr>
                <w:rFonts w:ascii="Arial" w:hAnsi="Arial" w:cs="Arial"/>
                <w:bCs/>
              </w:rPr>
              <w:t>In particular in</w:t>
            </w:r>
            <w:proofErr w:type="gramEnd"/>
            <w:r w:rsidRPr="00570C5C">
              <w:rPr>
                <w:rFonts w:ascii="Arial" w:hAnsi="Arial" w:cs="Arial"/>
                <w:bCs/>
              </w:rPr>
              <w:t xml:space="preserve"> relation to Oxfordshire, the gap to meet the Trust’s estimate of what would be required to stabilise the position in relation to mental health services and to meet the requirements of the Mental Health Five Year Forward View was approximately £5 million.  The gap to meet and the issues related more to mental health, rather than community, funding under the contract.  He referred to the independent work being conducted by Trevor Shipman, Non-Executive Director at Kettering General Hospital NHS FT, looking at levels of investment in mental health in Oxfordshire and Buckinghamshire.  He noted that this work may be helpful in informing the situation but was unlikely to result in further funding for the current financial year.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 xml:space="preserve">The Trust Chair asked whether the Trust should be considering contingency planning to take cost out of services.  The Chief Executive replied that although contingency planning was taking place, taking cost out of services could seriously compromise the provision of mental health services in Oxfordshire.  Instead, the Trust was reviewing thresholds for admission into services although it was acknowledged that this may impact upon primary care services.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 xml:space="preserve">Aroop Mozumder asked about the thresholds for GPs/primary care to refer patients to mental health services/secondary care, noting that with increasing pressure upon GPs there was potentially less time available for them to manage patients with mental health issues therefore referring on to secondary services may have become a way for GPs to manage this.  The Chief Executive noted that this was being considered; he explained that following moves to a new model of working in mental health partnership, the threshold and criteria for referrals and admission may have been relaxed but in the face of increasing demand this needed to be reviewed.  The Medical Director added that in addition to a lowering of the threshold, the current model of care also involved GPs no longer referring to a single consultant or contact; this may also have led to an increase in referrals as communication with secondary services was not happening in the same way as before.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i/>
              </w:rPr>
            </w:pPr>
            <w:r w:rsidRPr="00570C5C">
              <w:rPr>
                <w:rFonts w:ascii="Arial" w:hAnsi="Arial" w:cs="Arial"/>
                <w:bCs/>
                <w:i/>
              </w:rPr>
              <w:t xml:space="preserve">The Director of Finance and Jonathan Asbridge joined the meeting. </w:t>
            </w:r>
          </w:p>
          <w:p w:rsidR="00570C5C" w:rsidRPr="00570C5C" w:rsidRDefault="00570C5C" w:rsidP="00570C5C">
            <w:pPr>
              <w:jc w:val="both"/>
              <w:rPr>
                <w:rFonts w:ascii="Arial" w:hAnsi="Arial" w:cs="Arial"/>
                <w:bCs/>
              </w:rPr>
            </w:pPr>
            <w:r w:rsidRPr="00570C5C">
              <w:rPr>
                <w:rFonts w:ascii="Arial" w:hAnsi="Arial" w:cs="Arial"/>
                <w:bCs/>
              </w:rPr>
              <w:lastRenderedPageBreak/>
              <w:t xml:space="preserve">The Chief Executive also referred to the increase in non-elective activity and the growth of demand in Oxfordshire, even compared to the rest of the country; he noted the impact this was having upon the emergency system, pressure upon beds and the impact on local providers and the CCG.  The Trust was engaged with the wider system in considering what could be done to try to avoid emergency admissions.  The Trust had proposed suspending contractual targets against services whilst efforts were redirected towards supporting clinical teams to reduce admissions.  However, such proposals would also require wider system support, for example they would depend upon being able to mobilise sufficient primary care/GP time to be able to support clinical teams with such activity.  Although the CCG was not in a financial deficit position, financial pressures were impacting upon local providers.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 xml:space="preserve">Chris Hurst noted that there was growing recognition </w:t>
            </w:r>
            <w:r w:rsidR="003F0BA3">
              <w:rPr>
                <w:rFonts w:ascii="Arial" w:hAnsi="Arial" w:cs="Arial"/>
                <w:bCs/>
              </w:rPr>
              <w:t xml:space="preserve">for </w:t>
            </w:r>
            <w:r w:rsidRPr="00570C5C">
              <w:rPr>
                <w:rFonts w:ascii="Arial" w:hAnsi="Arial" w:cs="Arial"/>
                <w:bCs/>
              </w:rPr>
              <w:t xml:space="preserve">services to be provided differently </w:t>
            </w:r>
            <w:proofErr w:type="gramStart"/>
            <w:r w:rsidRPr="00570C5C">
              <w:rPr>
                <w:rFonts w:ascii="Arial" w:hAnsi="Arial" w:cs="Arial"/>
                <w:bCs/>
              </w:rPr>
              <w:t>in order to</w:t>
            </w:r>
            <w:proofErr w:type="gramEnd"/>
            <w:r w:rsidRPr="00570C5C">
              <w:rPr>
                <w:rFonts w:ascii="Arial" w:hAnsi="Arial" w:cs="Arial"/>
                <w:bCs/>
              </w:rPr>
              <w:t xml:space="preserve"> make most effective use of available resources, especially staffing capacity.   The Director of Nursing &amp; Clinical Standards added that the workforce would need to be reconfigured </w:t>
            </w:r>
            <w:r w:rsidR="003F0BA3">
              <w:rPr>
                <w:rFonts w:ascii="Arial" w:hAnsi="Arial" w:cs="Arial"/>
                <w:bCs/>
              </w:rPr>
              <w:t>to meet demand</w:t>
            </w:r>
            <w:r w:rsidRPr="00570C5C">
              <w:rPr>
                <w:rFonts w:ascii="Arial" w:hAnsi="Arial" w:cs="Arial"/>
                <w:bCs/>
              </w:rPr>
              <w:t xml:space="preserve">.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The Director of Strategy &amp; CIO provided an update on the Trust’s work in Buckinghamshire on the management of the Continuing Health Care (</w:t>
            </w:r>
            <w:r w:rsidRPr="00683794">
              <w:rPr>
                <w:rFonts w:ascii="Arial" w:hAnsi="Arial" w:cs="Arial"/>
                <w:b/>
                <w:bCs/>
              </w:rPr>
              <w:t>CHC</w:t>
            </w:r>
            <w:r w:rsidRPr="00570C5C">
              <w:rPr>
                <w:rFonts w:ascii="Arial" w:hAnsi="Arial" w:cs="Arial"/>
                <w:bCs/>
              </w:rPr>
              <w:t xml:space="preserve">) budget (as reported to the Board at its meeting on 28 February 2018, the Trust had stipulated that where savings in the Buckinghamshire CHC budget could be achieved then they should be reinvested in mental health services).  He reported that 70% savings had been achieved following work on the backlog of cases; he noted that this was a credit to the teams involved.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
                <w:bCs/>
                <w:i/>
              </w:rPr>
            </w:pPr>
            <w:r w:rsidRPr="00570C5C">
              <w:rPr>
                <w:rFonts w:ascii="Arial" w:hAnsi="Arial" w:cs="Arial"/>
                <w:b/>
                <w:bCs/>
                <w:i/>
              </w:rPr>
              <w:t>Workforce</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The Chief Executive referred to his report and noted that although the Trust’s steps to reduce agency usage, including through ceasing to use agency Health Care Assistants (</w:t>
            </w:r>
            <w:r w:rsidRPr="00570C5C">
              <w:rPr>
                <w:rFonts w:ascii="Arial" w:hAnsi="Arial" w:cs="Arial"/>
                <w:b/>
                <w:bCs/>
              </w:rPr>
              <w:t>HCAs</w:t>
            </w:r>
            <w:r w:rsidRPr="00570C5C">
              <w:rPr>
                <w:rFonts w:ascii="Arial" w:hAnsi="Arial" w:cs="Arial"/>
                <w:bCs/>
              </w:rPr>
              <w:t xml:space="preserve">), were a positive move, a reduction in high levels of agency spend was yet to be seen.  However, this was still in a transitional phase and it was positive that the number of HCAs on the staff bank was increasing.  The Trust had also held a review with NHS Improvement on agency usage and the Trust’s approach had been supported.  Next steps included reducing agency usage across: administrative and clerical posts; and bespoke or specialist areas which had traditionally relied heavily on agency staff.   </w:t>
            </w:r>
          </w:p>
          <w:p w:rsidR="00570C5C" w:rsidRPr="00570C5C" w:rsidRDefault="00570C5C" w:rsidP="00570C5C">
            <w:pPr>
              <w:jc w:val="both"/>
              <w:rPr>
                <w:rFonts w:ascii="Arial" w:hAnsi="Arial" w:cs="Arial"/>
                <w:bCs/>
              </w:rPr>
            </w:pPr>
            <w:r w:rsidRPr="00570C5C">
              <w:rPr>
                <w:rFonts w:ascii="Arial" w:hAnsi="Arial" w:cs="Arial"/>
                <w:bCs/>
              </w:rPr>
              <w:lastRenderedPageBreak/>
              <w:t xml:space="preserve">John Allison asked why agency staff were required to fill administrative and clerical posts as opposed to hiring substantive staff.  The Director of Finance replied that it was sometimes necessary to fill a gap whilst recruitment to substantive posts was taking place or in the case of specialist areas with </w:t>
            </w:r>
            <w:proofErr w:type="gramStart"/>
            <w:r w:rsidRPr="00570C5C">
              <w:rPr>
                <w:rFonts w:ascii="Arial" w:hAnsi="Arial" w:cs="Arial"/>
                <w:bCs/>
              </w:rPr>
              <w:t>particular skill</w:t>
            </w:r>
            <w:proofErr w:type="gramEnd"/>
            <w:r w:rsidRPr="00570C5C">
              <w:rPr>
                <w:rFonts w:ascii="Arial" w:hAnsi="Arial" w:cs="Arial"/>
                <w:bCs/>
              </w:rPr>
              <w:t xml:space="preserve"> shortages, such as in IT.  The Director of Nursing &amp; Clinical Standards added that for lower banded administrative and clerical work, NHS base pay rates were not necessarily competitive compared to the commercial market but the Trust may be constrained, by being part of a national pay system, from making a better offer.  However, she highlighted that there was a discrepancy between high expectations of the clinical workforce compared to the administrative workforce on the pay banding system, noting that whereas a university degree and 5-6 years’ experience may be required for a nurse under Agenda for Change Band 6, this level could potentially be more quickly and easily reached in administrative roles.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 xml:space="preserve">Bernard Galton noted that ‘administrative and clerical’ was a broad term which could encompass </w:t>
            </w:r>
            <w:r w:rsidR="00504080">
              <w:rPr>
                <w:rFonts w:ascii="Arial" w:hAnsi="Arial" w:cs="Arial"/>
                <w:bCs/>
              </w:rPr>
              <w:t>various</w:t>
            </w:r>
            <w:r w:rsidRPr="00570C5C">
              <w:rPr>
                <w:rFonts w:ascii="Arial" w:hAnsi="Arial" w:cs="Arial"/>
                <w:bCs/>
              </w:rPr>
              <w:t xml:space="preserve"> important and specialist functions; he asked what further work was taking place to break down the categories within this grouping.  The Director of HR replied that a project to determine this was commencing; he agreed that the term ‘clerical’ could also be misleading as it may imply junior roles whereas it could encompass spec</w:t>
            </w:r>
            <w:r w:rsidR="00E46DEE">
              <w:rPr>
                <w:rFonts w:ascii="Arial" w:hAnsi="Arial" w:cs="Arial"/>
                <w:bCs/>
              </w:rPr>
              <w:t>ialist roles such as in Estates</w:t>
            </w:r>
            <w:r w:rsidRPr="00570C5C">
              <w:rPr>
                <w:rFonts w:ascii="Arial" w:hAnsi="Arial" w:cs="Arial"/>
                <w:bCs/>
              </w:rPr>
              <w:t xml:space="preserve"> </w:t>
            </w:r>
            <w:r w:rsidR="00E46DEE">
              <w:rPr>
                <w:rFonts w:ascii="Arial" w:hAnsi="Arial" w:cs="Arial"/>
                <w:bCs/>
              </w:rPr>
              <w:t xml:space="preserve">(e.g. surveyors) or IT (e.g. </w:t>
            </w:r>
            <w:r w:rsidRPr="00570C5C">
              <w:rPr>
                <w:rFonts w:ascii="Arial" w:hAnsi="Arial" w:cs="Arial"/>
                <w:bCs/>
              </w:rPr>
              <w:t>web designers</w:t>
            </w:r>
            <w:r w:rsidR="00E46DEE">
              <w:rPr>
                <w:rFonts w:ascii="Arial" w:hAnsi="Arial" w:cs="Arial"/>
                <w:bCs/>
              </w:rPr>
              <w:t>)</w:t>
            </w:r>
            <w:r w:rsidRPr="00570C5C">
              <w:rPr>
                <w:rFonts w:ascii="Arial" w:hAnsi="Arial" w:cs="Arial"/>
                <w:bCs/>
              </w:rPr>
              <w:t xml:space="preserve">.  Jonathan Asbridge added that contract work was often a career choice for IT specialists.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 xml:space="preserve">Bernard Galton asked about strengthening options for internal resourcing </w:t>
            </w:r>
            <w:proofErr w:type="gramStart"/>
            <w:r w:rsidRPr="00570C5C">
              <w:rPr>
                <w:rFonts w:ascii="Arial" w:hAnsi="Arial" w:cs="Arial"/>
                <w:bCs/>
              </w:rPr>
              <w:t>so as to</w:t>
            </w:r>
            <w:proofErr w:type="gramEnd"/>
            <w:r w:rsidRPr="00570C5C">
              <w:rPr>
                <w:rFonts w:ascii="Arial" w:hAnsi="Arial" w:cs="Arial"/>
                <w:bCs/>
              </w:rPr>
              <w:t xml:space="preserve"> be able to move and redeploy staff, especially over the Trust’s large geographical footprint.  The Director of HR agreed that this was an area for development to support staff to be able to progress their careers internally, especially as career progression was a reason given for leaving.  The Board discussed whether it could be beneficial to take more control of moving staff internally to fill vacancies and spotting opportunities for their career development or whether this risked disregarding the views of local staff, unions and underestimated the import</w:t>
            </w:r>
            <w:r w:rsidR="00504080">
              <w:rPr>
                <w:rFonts w:ascii="Arial" w:hAnsi="Arial" w:cs="Arial"/>
                <w:bCs/>
              </w:rPr>
              <w:t xml:space="preserve">ance of team fit and culture. </w:t>
            </w:r>
            <w:r w:rsidRPr="00570C5C">
              <w:rPr>
                <w:rFonts w:ascii="Arial" w:hAnsi="Arial" w:cs="Arial"/>
                <w:bCs/>
              </w:rPr>
              <w:t xml:space="preserve">Alyson Coates expressed frustration at the slow pace of change in addressing workforce recruitment and retention challenges which were amongst the key strategic risks for the Trust.  The Trust Chair noted that it was important to progress the workforce agenda, through the work of the Director of HR, but whilst taking a measured view of risks which a change in approach could lead to. </w:t>
            </w:r>
          </w:p>
          <w:p w:rsidR="00570C5C" w:rsidRPr="00570C5C" w:rsidRDefault="00570C5C" w:rsidP="00570C5C">
            <w:pPr>
              <w:jc w:val="both"/>
              <w:rPr>
                <w:rFonts w:ascii="Arial" w:hAnsi="Arial" w:cs="Arial"/>
                <w:b/>
                <w:bCs/>
                <w:i/>
              </w:rPr>
            </w:pPr>
            <w:r w:rsidRPr="00570C5C">
              <w:rPr>
                <w:rFonts w:ascii="Arial" w:hAnsi="Arial" w:cs="Arial"/>
                <w:b/>
                <w:bCs/>
                <w:i/>
              </w:rPr>
              <w:lastRenderedPageBreak/>
              <w:t>Electronic Health Records</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The Chief Executive referred to his report and confirmed that the Trust had been successful in its bid to NHS England for funding to develop a Local Health and Care Record Exemplar (</w:t>
            </w:r>
            <w:r w:rsidRPr="00570C5C">
              <w:rPr>
                <w:rFonts w:ascii="Arial" w:hAnsi="Arial" w:cs="Arial"/>
                <w:b/>
                <w:bCs/>
              </w:rPr>
              <w:t>LHCRE</w:t>
            </w:r>
            <w:r w:rsidRPr="00570C5C">
              <w:rPr>
                <w:rFonts w:ascii="Arial" w:hAnsi="Arial" w:cs="Arial"/>
                <w:bCs/>
              </w:rPr>
              <w:t>) over the next two years.  This would also support work around interoperability between digital systems across different organisations.  Aroop Mozumder asked about the advantages for the Trust.  The Chief Executive explained that it was particularly useful for the Trust to be involved in this consortium of partners from the BOB (Buckinghamshire, Oxfordshire and Berkshire West), Frimley and Surrey STPs (Sustainability &amp; Transformation Partnershi</w:t>
            </w:r>
            <w:r w:rsidR="000B4A52">
              <w:rPr>
                <w:rFonts w:ascii="Arial" w:hAnsi="Arial" w:cs="Arial"/>
                <w:bCs/>
              </w:rPr>
              <w:t>ps).  Their combined experience</w:t>
            </w:r>
            <w:r w:rsidRPr="00570C5C">
              <w:rPr>
                <w:rFonts w:ascii="Arial" w:hAnsi="Arial" w:cs="Arial"/>
                <w:bCs/>
              </w:rPr>
              <w:t xml:space="preserve"> included expertise in: using digital devices at h</w:t>
            </w:r>
            <w:r w:rsidR="000B4A52">
              <w:rPr>
                <w:rFonts w:ascii="Arial" w:hAnsi="Arial" w:cs="Arial"/>
                <w:bCs/>
              </w:rPr>
              <w:t xml:space="preserve">ome </w:t>
            </w:r>
            <w:proofErr w:type="gramStart"/>
            <w:r w:rsidR="000B4A52">
              <w:rPr>
                <w:rFonts w:ascii="Arial" w:hAnsi="Arial" w:cs="Arial"/>
                <w:bCs/>
              </w:rPr>
              <w:t>as a way to</w:t>
            </w:r>
            <w:proofErr w:type="gramEnd"/>
            <w:r w:rsidR="000B4A52">
              <w:rPr>
                <w:rFonts w:ascii="Arial" w:hAnsi="Arial" w:cs="Arial"/>
                <w:bCs/>
              </w:rPr>
              <w:t xml:space="preserve"> support</w:t>
            </w:r>
            <w:r w:rsidRPr="00570C5C">
              <w:rPr>
                <w:rFonts w:ascii="Arial" w:hAnsi="Arial" w:cs="Arial"/>
                <w:bCs/>
              </w:rPr>
              <w:t xml:space="preserve"> people </w:t>
            </w:r>
            <w:r w:rsidR="000B4A52">
              <w:rPr>
                <w:rFonts w:ascii="Arial" w:hAnsi="Arial" w:cs="Arial"/>
                <w:bCs/>
              </w:rPr>
              <w:t xml:space="preserve">towards more independence; and </w:t>
            </w:r>
            <w:r w:rsidRPr="00570C5C">
              <w:rPr>
                <w:rFonts w:ascii="Arial" w:hAnsi="Arial" w:cs="Arial"/>
                <w:bCs/>
              </w:rPr>
              <w:t xml:space="preserve">integrating different Electronic Health Records systems.  This was an opportunity to collaborate, learn, develop more consistent approaches towards digital coordination and improve the Trust’s potential eligibility to become a digital innovation hub.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
                <w:bCs/>
                <w:i/>
              </w:rPr>
            </w:pPr>
            <w:r w:rsidRPr="00570C5C">
              <w:rPr>
                <w:rFonts w:ascii="Arial" w:hAnsi="Arial" w:cs="Arial"/>
                <w:b/>
                <w:bCs/>
                <w:i/>
              </w:rPr>
              <w:t>New Models of Care</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The Chief Executive referred to his report and noted that work was continuing to develop New Models of Care for Adult Eating Disorders and Tier 4 Child &amp; Adolescent Mental Health Services</w:t>
            </w:r>
            <w:r w:rsidR="00683794">
              <w:rPr>
                <w:rFonts w:ascii="Arial" w:hAnsi="Arial" w:cs="Arial"/>
                <w:bCs/>
              </w:rPr>
              <w:t xml:space="preserve"> (</w:t>
            </w:r>
            <w:r w:rsidR="00683794" w:rsidRPr="00683794">
              <w:rPr>
                <w:rFonts w:ascii="Arial" w:hAnsi="Arial" w:cs="Arial"/>
                <w:b/>
                <w:bCs/>
              </w:rPr>
              <w:t>CAMHS</w:t>
            </w:r>
            <w:r w:rsidRPr="00570C5C">
              <w:rPr>
                <w:rFonts w:ascii="Arial" w:hAnsi="Arial" w:cs="Arial"/>
                <w:bCs/>
              </w:rPr>
              <w:t xml:space="preserve">), whilst discussions were progressing with NHS England in relation to specialist dentistry.  Final Board agreement would be required in due course before the new models could formally commence.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
                <w:bCs/>
                <w:i/>
              </w:rPr>
            </w:pPr>
            <w:r w:rsidRPr="00570C5C">
              <w:rPr>
                <w:rFonts w:ascii="Arial" w:hAnsi="Arial" w:cs="Arial"/>
                <w:b/>
                <w:bCs/>
                <w:i/>
              </w:rPr>
              <w:t>Legal, Regulatory and Policy update</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Cs/>
              </w:rPr>
            </w:pPr>
            <w:r w:rsidRPr="00570C5C">
              <w:rPr>
                <w:rFonts w:ascii="Arial" w:hAnsi="Arial" w:cs="Arial"/>
                <w:bCs/>
              </w:rPr>
              <w:t xml:space="preserve">The Board noted: the new recommendations for a revised definition and measurement framework for pressure ulcers; the NHS England guidance on working with bereaved families and carers; minor updates from NHS Improvement to the Single Oversight Framework; NHS Improvement’s group to address issues around exception reporting for junior doctors; and the NHS Improvement patient experience framework, including a self-assessment tool.    </w:t>
            </w:r>
          </w:p>
          <w:p w:rsidR="00570C5C" w:rsidRPr="00570C5C" w:rsidRDefault="00570C5C" w:rsidP="00570C5C">
            <w:pPr>
              <w:jc w:val="both"/>
              <w:rPr>
                <w:rFonts w:ascii="Arial" w:hAnsi="Arial" w:cs="Arial"/>
                <w:bCs/>
              </w:rPr>
            </w:pPr>
          </w:p>
          <w:p w:rsidR="00570C5C" w:rsidRPr="00570C5C" w:rsidRDefault="00570C5C" w:rsidP="00570C5C">
            <w:pPr>
              <w:jc w:val="both"/>
              <w:rPr>
                <w:rFonts w:ascii="Arial" w:hAnsi="Arial" w:cs="Arial"/>
                <w:b/>
                <w:bCs/>
                <w:i/>
              </w:rPr>
            </w:pPr>
            <w:r w:rsidRPr="00570C5C">
              <w:rPr>
                <w:rFonts w:ascii="Arial" w:hAnsi="Arial" w:cs="Arial"/>
                <w:b/>
                <w:bCs/>
                <w:i/>
              </w:rPr>
              <w:t>New Learning Disability (LD) improvement standards</w:t>
            </w:r>
          </w:p>
          <w:p w:rsidR="00570C5C" w:rsidRPr="00570C5C" w:rsidRDefault="00570C5C" w:rsidP="00570C5C">
            <w:pPr>
              <w:jc w:val="both"/>
              <w:rPr>
                <w:rFonts w:ascii="Arial" w:hAnsi="Arial" w:cs="Arial"/>
                <w:bCs/>
              </w:rPr>
            </w:pPr>
          </w:p>
          <w:p w:rsidR="00AD6871" w:rsidRPr="00503BBE" w:rsidRDefault="00570C5C" w:rsidP="00504080">
            <w:pPr>
              <w:jc w:val="both"/>
              <w:rPr>
                <w:rFonts w:ascii="Arial" w:hAnsi="Arial" w:cs="Arial"/>
                <w:bCs/>
              </w:rPr>
            </w:pPr>
            <w:r w:rsidRPr="00570C5C">
              <w:rPr>
                <w:rFonts w:ascii="Arial" w:hAnsi="Arial" w:cs="Arial"/>
                <w:bCs/>
              </w:rPr>
              <w:t xml:space="preserve">The Board noted the new LD standards against which performance had been reported directly to the Board since the standards were first consulted upon; a copy of the new LD </w:t>
            </w:r>
          </w:p>
        </w:tc>
        <w:tc>
          <w:tcPr>
            <w:tcW w:w="1054" w:type="dxa"/>
          </w:tcPr>
          <w:p w:rsidR="003A2A37" w:rsidRDefault="003A2A37"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tc>
      </w:tr>
      <w:tr w:rsidR="00504080" w:rsidRPr="00666D1B">
        <w:trPr>
          <w:trHeight w:val="650"/>
        </w:trPr>
        <w:tc>
          <w:tcPr>
            <w:tcW w:w="993" w:type="dxa"/>
          </w:tcPr>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b/>
              </w:rPr>
            </w:pPr>
          </w:p>
          <w:p w:rsidR="00504080" w:rsidRDefault="00504080" w:rsidP="00667B38">
            <w:pPr>
              <w:keepNext/>
              <w:keepLines/>
              <w:rPr>
                <w:rFonts w:ascii="Arial" w:hAnsi="Arial" w:cs="Arial"/>
              </w:rPr>
            </w:pPr>
            <w:r>
              <w:rPr>
                <w:rFonts w:ascii="Arial" w:hAnsi="Arial" w:cs="Arial"/>
              </w:rPr>
              <w:t>p</w:t>
            </w:r>
          </w:p>
          <w:p w:rsidR="00504080" w:rsidRDefault="00504080" w:rsidP="00667B38">
            <w:pPr>
              <w:keepNext/>
              <w:keepLines/>
              <w:rPr>
                <w:rFonts w:ascii="Arial" w:hAnsi="Arial" w:cs="Arial"/>
              </w:rPr>
            </w:pPr>
          </w:p>
          <w:p w:rsidR="00504080" w:rsidRDefault="00504080" w:rsidP="00667B38">
            <w:pPr>
              <w:keepNext/>
              <w:keepLines/>
              <w:rPr>
                <w:rFonts w:ascii="Arial" w:hAnsi="Arial" w:cs="Arial"/>
              </w:rPr>
            </w:pPr>
          </w:p>
          <w:p w:rsidR="00504080" w:rsidRDefault="00504080" w:rsidP="00667B38">
            <w:pPr>
              <w:keepNext/>
              <w:keepLines/>
              <w:rPr>
                <w:rFonts w:ascii="Arial" w:hAnsi="Arial" w:cs="Arial"/>
              </w:rPr>
            </w:pPr>
          </w:p>
          <w:p w:rsidR="00504080" w:rsidRDefault="00504080" w:rsidP="00667B38">
            <w:pPr>
              <w:keepNext/>
              <w:keepLines/>
              <w:rPr>
                <w:rFonts w:ascii="Arial" w:hAnsi="Arial" w:cs="Arial"/>
              </w:rPr>
            </w:pPr>
          </w:p>
          <w:p w:rsidR="00504080" w:rsidRDefault="00504080" w:rsidP="00667B38">
            <w:pPr>
              <w:keepNext/>
              <w:keepLines/>
              <w:rPr>
                <w:rFonts w:ascii="Arial" w:hAnsi="Arial" w:cs="Arial"/>
              </w:rPr>
            </w:pPr>
          </w:p>
          <w:p w:rsidR="00504080" w:rsidRDefault="00504080" w:rsidP="00667B38">
            <w:pPr>
              <w:keepNext/>
              <w:keepLines/>
              <w:rPr>
                <w:rFonts w:ascii="Arial" w:hAnsi="Arial" w:cs="Arial"/>
              </w:rPr>
            </w:pPr>
          </w:p>
          <w:p w:rsidR="00504080" w:rsidRDefault="00504080" w:rsidP="00667B38">
            <w:pPr>
              <w:keepNext/>
              <w:keepLines/>
              <w:rPr>
                <w:rFonts w:ascii="Arial" w:hAnsi="Arial" w:cs="Arial"/>
              </w:rPr>
            </w:pPr>
          </w:p>
          <w:p w:rsidR="00504080" w:rsidRDefault="00504080" w:rsidP="00667B38">
            <w:pPr>
              <w:keepNext/>
              <w:keepLines/>
              <w:rPr>
                <w:rFonts w:ascii="Arial" w:hAnsi="Arial" w:cs="Arial"/>
              </w:rPr>
            </w:pPr>
          </w:p>
          <w:p w:rsidR="00504080" w:rsidRDefault="00504080" w:rsidP="00667B38">
            <w:pPr>
              <w:keepNext/>
              <w:keepLines/>
              <w:rPr>
                <w:rFonts w:ascii="Arial" w:hAnsi="Arial" w:cs="Arial"/>
              </w:rPr>
            </w:pPr>
          </w:p>
          <w:p w:rsidR="00504080" w:rsidRPr="00504080" w:rsidRDefault="00504080" w:rsidP="00667B38">
            <w:pPr>
              <w:keepNext/>
              <w:keepLines/>
              <w:rPr>
                <w:rFonts w:ascii="Arial" w:hAnsi="Arial" w:cs="Arial"/>
              </w:rPr>
            </w:pPr>
            <w:r>
              <w:rPr>
                <w:rFonts w:ascii="Arial" w:hAnsi="Arial" w:cs="Arial"/>
              </w:rPr>
              <w:t>q</w:t>
            </w:r>
          </w:p>
        </w:tc>
        <w:tc>
          <w:tcPr>
            <w:tcW w:w="7087" w:type="dxa"/>
          </w:tcPr>
          <w:p w:rsidR="00504080" w:rsidRPr="00570C5C" w:rsidRDefault="00504080" w:rsidP="00504080">
            <w:pPr>
              <w:jc w:val="both"/>
              <w:rPr>
                <w:rFonts w:ascii="Arial" w:hAnsi="Arial" w:cs="Arial"/>
                <w:bCs/>
              </w:rPr>
            </w:pPr>
            <w:r w:rsidRPr="00570C5C">
              <w:rPr>
                <w:rFonts w:ascii="Arial" w:hAnsi="Arial" w:cs="Arial"/>
                <w:bCs/>
              </w:rPr>
              <w:t>standards were also included at paper BOD 92(ii)/2018 with the Trust highlighted as an exemplar against standard 4 (Specialist LD services).  The Director of Nursing &amp; Clinical Standards expressed concern that future LD reporting would not be to the Board directly but to the Caring &amp; Responsive (</w:t>
            </w:r>
            <w:r w:rsidRPr="00570C5C">
              <w:rPr>
                <w:rFonts w:ascii="Arial" w:hAnsi="Arial" w:cs="Arial"/>
                <w:b/>
                <w:bCs/>
              </w:rPr>
              <w:t>C&amp;R</w:t>
            </w:r>
            <w:r w:rsidRPr="00570C5C">
              <w:rPr>
                <w:rFonts w:ascii="Arial" w:hAnsi="Arial" w:cs="Arial"/>
                <w:bCs/>
              </w:rPr>
              <w:t xml:space="preserve">) quality sub-committee, with escalation upwards via the Quality Committee if required.  She explained that the Trust still had some way to go before the Board could be satisfied that the standards were all clearly being met, noting that previous reporting had shown some areas were still red or amber rated.  She reminded the Board that the LD standards (and the Board’s oversight responsibilities) were also to be applied across Trust services, not just within the specific LD service.  She also cautioned against losing direct Board oversight of the specific LD service however, after the transfer of LD services a year ago in July 2017, especially </w:t>
            </w:r>
            <w:proofErr w:type="gramStart"/>
            <w:r w:rsidRPr="00570C5C">
              <w:rPr>
                <w:rFonts w:ascii="Arial" w:hAnsi="Arial" w:cs="Arial"/>
                <w:bCs/>
              </w:rPr>
              <w:t>in light of</w:t>
            </w:r>
            <w:proofErr w:type="gramEnd"/>
            <w:r w:rsidRPr="00570C5C">
              <w:rPr>
                <w:rFonts w:ascii="Arial" w:hAnsi="Arial" w:cs="Arial"/>
                <w:bCs/>
              </w:rPr>
              <w:t xml:space="preserve"> the learning for Southern Health NHS FT from the </w:t>
            </w:r>
            <w:proofErr w:type="spellStart"/>
            <w:r w:rsidRPr="00570C5C">
              <w:rPr>
                <w:rFonts w:ascii="Arial" w:hAnsi="Arial" w:cs="Arial"/>
                <w:bCs/>
              </w:rPr>
              <w:t>Verita</w:t>
            </w:r>
            <w:proofErr w:type="spellEnd"/>
            <w:r w:rsidRPr="00570C5C">
              <w:rPr>
                <w:rFonts w:ascii="Arial" w:hAnsi="Arial" w:cs="Arial"/>
                <w:bCs/>
              </w:rPr>
              <w:t xml:space="preserve"> independent review which had highlighted the risks which could arise 18 months to 2 years after the transition of LD services.   The Chief Executive noted that a balanced view should be taken but that the Trust should not take its eye off this area. </w:t>
            </w:r>
          </w:p>
          <w:p w:rsidR="00504080" w:rsidRPr="00570C5C" w:rsidRDefault="00504080" w:rsidP="00504080">
            <w:pPr>
              <w:jc w:val="both"/>
              <w:rPr>
                <w:rFonts w:ascii="Arial" w:hAnsi="Arial" w:cs="Arial"/>
                <w:bCs/>
              </w:rPr>
            </w:pPr>
          </w:p>
          <w:p w:rsidR="00504080" w:rsidRPr="00570C5C" w:rsidRDefault="00504080" w:rsidP="00504080">
            <w:pPr>
              <w:jc w:val="both"/>
              <w:rPr>
                <w:rFonts w:ascii="Arial" w:hAnsi="Arial" w:cs="Arial"/>
                <w:bCs/>
              </w:rPr>
            </w:pPr>
            <w:r w:rsidRPr="00570C5C">
              <w:rPr>
                <w:rFonts w:ascii="Arial" w:hAnsi="Arial" w:cs="Arial"/>
                <w:bCs/>
              </w:rPr>
              <w:t xml:space="preserve">The Director of Nursing &amp; Clinical Standards recommended regular/quarterly progress reporting to the Quality Committee, not just reliance on escalation reporting from C&amp;R, with potentially </w:t>
            </w:r>
            <w:proofErr w:type="gramStart"/>
            <w:r w:rsidRPr="00570C5C">
              <w:rPr>
                <w:rFonts w:ascii="Arial" w:hAnsi="Arial" w:cs="Arial"/>
                <w:bCs/>
              </w:rPr>
              <w:t>six monthly</w:t>
            </w:r>
            <w:proofErr w:type="gramEnd"/>
            <w:r w:rsidRPr="00570C5C">
              <w:rPr>
                <w:rFonts w:ascii="Arial" w:hAnsi="Arial" w:cs="Arial"/>
                <w:bCs/>
              </w:rPr>
              <w:t xml:space="preserve"> reporting still directly to the Board.  The Board agreed that the Quality Committee should receive direct quarterly reporting and that the initial progress report should also be escalated directly to the Board for further consideration as to whether to establish Board reporting six monthly or at another frequency.  </w:t>
            </w:r>
          </w:p>
          <w:p w:rsidR="00504080" w:rsidRPr="00570C5C" w:rsidRDefault="00504080" w:rsidP="00504080">
            <w:pPr>
              <w:jc w:val="both"/>
              <w:rPr>
                <w:rFonts w:ascii="Arial" w:hAnsi="Arial" w:cs="Arial"/>
                <w:bCs/>
              </w:rPr>
            </w:pPr>
          </w:p>
          <w:p w:rsidR="00504080" w:rsidRPr="00570C5C" w:rsidRDefault="00504080" w:rsidP="00504080">
            <w:pPr>
              <w:jc w:val="both"/>
              <w:rPr>
                <w:rFonts w:ascii="Arial" w:hAnsi="Arial" w:cs="Arial"/>
                <w:b/>
                <w:bCs/>
              </w:rPr>
            </w:pPr>
            <w:r w:rsidRPr="00570C5C">
              <w:rPr>
                <w:rFonts w:ascii="Arial" w:hAnsi="Arial" w:cs="Arial"/>
                <w:b/>
                <w:bCs/>
              </w:rPr>
              <w:t xml:space="preserve">The Board noted the report.  </w:t>
            </w:r>
          </w:p>
          <w:p w:rsidR="00504080" w:rsidRPr="004C75DA" w:rsidRDefault="00504080" w:rsidP="004C75DA">
            <w:pPr>
              <w:jc w:val="both"/>
              <w:rPr>
                <w:rFonts w:ascii="Arial" w:hAnsi="Arial" w:cs="Arial"/>
                <w:b/>
                <w:bCs/>
              </w:rPr>
            </w:pPr>
          </w:p>
        </w:tc>
        <w:tc>
          <w:tcPr>
            <w:tcW w:w="1054" w:type="dxa"/>
          </w:tcPr>
          <w:p w:rsidR="00504080" w:rsidRDefault="00504080"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p>
          <w:p w:rsidR="00683794" w:rsidRDefault="00683794" w:rsidP="002C6DEA">
            <w:pPr>
              <w:keepNext/>
              <w:keepLines/>
              <w:rPr>
                <w:rFonts w:ascii="Arial" w:hAnsi="Arial" w:cs="Arial"/>
                <w:b/>
              </w:rPr>
            </w:pPr>
            <w:r>
              <w:rPr>
                <w:rFonts w:ascii="Arial" w:hAnsi="Arial" w:cs="Arial"/>
                <w:b/>
              </w:rPr>
              <w:t>DH</w:t>
            </w:r>
          </w:p>
        </w:tc>
      </w:tr>
      <w:tr w:rsidR="00E24308" w:rsidRPr="00666D1B">
        <w:trPr>
          <w:trHeight w:val="650"/>
        </w:trPr>
        <w:tc>
          <w:tcPr>
            <w:tcW w:w="993" w:type="dxa"/>
          </w:tcPr>
          <w:p w:rsidR="00887190" w:rsidRDefault="006A3C3D" w:rsidP="00F47972">
            <w:pPr>
              <w:keepNext/>
              <w:keepLines/>
              <w:rPr>
                <w:rFonts w:ascii="Arial" w:hAnsi="Arial" w:cs="Arial"/>
              </w:rPr>
            </w:pPr>
            <w:r>
              <w:rPr>
                <w:rFonts w:ascii="Arial" w:hAnsi="Arial" w:cs="Arial"/>
                <w:b/>
              </w:rPr>
              <w:t xml:space="preserve">BOD </w:t>
            </w:r>
            <w:r w:rsidR="00AD0F54">
              <w:rPr>
                <w:rFonts w:ascii="Arial" w:hAnsi="Arial" w:cs="Arial"/>
                <w:b/>
              </w:rPr>
              <w:t>122</w:t>
            </w:r>
            <w:r w:rsidR="00E24308" w:rsidRPr="00000FC1">
              <w:rPr>
                <w:rFonts w:ascii="Arial" w:hAnsi="Arial" w:cs="Arial"/>
                <w:b/>
              </w:rPr>
              <w:t>/1</w:t>
            </w:r>
            <w:r w:rsidR="00D96B61">
              <w:rPr>
                <w:rFonts w:ascii="Arial" w:hAnsi="Arial" w:cs="Arial"/>
                <w:b/>
              </w:rPr>
              <w:t>8</w:t>
            </w:r>
          </w:p>
          <w:p w:rsidR="000E60F7" w:rsidRDefault="000E60F7" w:rsidP="00F47972">
            <w:pPr>
              <w:keepNext/>
              <w:keepLines/>
              <w:rPr>
                <w:rFonts w:ascii="Arial" w:hAnsi="Arial" w:cs="Arial"/>
              </w:rPr>
            </w:pPr>
            <w:r>
              <w:rPr>
                <w:rFonts w:ascii="Arial" w:hAnsi="Arial" w:cs="Arial"/>
              </w:rPr>
              <w:t>a</w:t>
            </w:r>
          </w:p>
          <w:p w:rsidR="007F0A44" w:rsidRDefault="007F0A44" w:rsidP="00D96B61">
            <w:pPr>
              <w:keepNext/>
              <w:keepLines/>
              <w:rPr>
                <w:rFonts w:ascii="Arial" w:hAnsi="Arial" w:cs="Arial"/>
              </w:rPr>
            </w:pPr>
          </w:p>
          <w:p w:rsidR="00BE2D76" w:rsidRDefault="00BE2D76" w:rsidP="00CB115C">
            <w:pPr>
              <w:keepNext/>
              <w:keepLines/>
              <w:rPr>
                <w:rFonts w:ascii="Arial" w:hAnsi="Arial" w:cs="Arial"/>
              </w:rPr>
            </w:pPr>
          </w:p>
          <w:p w:rsidR="00EC57A9" w:rsidRDefault="00EC57A9"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b</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c</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d</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e</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626B2D" w:rsidRDefault="00626B2D"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683794" w:rsidP="00CB115C">
            <w:pPr>
              <w:keepNext/>
              <w:keepLines/>
              <w:rPr>
                <w:rFonts w:ascii="Arial" w:hAnsi="Arial" w:cs="Arial"/>
              </w:rPr>
            </w:pPr>
            <w:r>
              <w:rPr>
                <w:rFonts w:ascii="Arial" w:hAnsi="Arial" w:cs="Arial"/>
              </w:rPr>
              <w:t>f</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683794" w:rsidRDefault="00683794" w:rsidP="00CB115C">
            <w:pPr>
              <w:keepNext/>
              <w:keepLines/>
              <w:rPr>
                <w:rFonts w:ascii="Arial" w:hAnsi="Arial" w:cs="Arial"/>
              </w:rPr>
            </w:pPr>
            <w:r>
              <w:rPr>
                <w:rFonts w:ascii="Arial" w:hAnsi="Arial" w:cs="Arial"/>
              </w:rPr>
              <w:t>g</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683794" w:rsidP="00CB115C">
            <w:pPr>
              <w:keepNext/>
              <w:keepLines/>
              <w:rPr>
                <w:rFonts w:ascii="Arial" w:hAnsi="Arial" w:cs="Arial"/>
              </w:rPr>
            </w:pPr>
            <w:r>
              <w:rPr>
                <w:rFonts w:ascii="Arial" w:hAnsi="Arial" w:cs="Arial"/>
              </w:rPr>
              <w:t>h</w:t>
            </w:r>
          </w:p>
          <w:p w:rsidR="00504080" w:rsidRDefault="00504080" w:rsidP="00CB115C">
            <w:pPr>
              <w:keepNext/>
              <w:keepLines/>
              <w:rPr>
                <w:rFonts w:ascii="Arial" w:hAnsi="Arial" w:cs="Arial"/>
              </w:rPr>
            </w:pPr>
          </w:p>
          <w:p w:rsidR="00AD6871" w:rsidRDefault="00AD6871" w:rsidP="00CB115C">
            <w:pPr>
              <w:keepNext/>
              <w:keepLines/>
              <w:rPr>
                <w:rFonts w:ascii="Arial" w:hAnsi="Arial" w:cs="Arial"/>
              </w:rPr>
            </w:pPr>
          </w:p>
          <w:p w:rsidR="00AD6871" w:rsidRPr="000E60F7" w:rsidRDefault="00AD6871" w:rsidP="00CB115C">
            <w:pPr>
              <w:keepNext/>
              <w:keepLines/>
              <w:rPr>
                <w:rFonts w:ascii="Arial" w:hAnsi="Arial" w:cs="Arial"/>
              </w:rPr>
            </w:pPr>
          </w:p>
        </w:tc>
        <w:tc>
          <w:tcPr>
            <w:tcW w:w="7087" w:type="dxa"/>
          </w:tcPr>
          <w:p w:rsidR="00EC57A9" w:rsidRPr="00EC57A9" w:rsidRDefault="00EC57A9" w:rsidP="00EC57A9">
            <w:pPr>
              <w:jc w:val="both"/>
              <w:rPr>
                <w:rFonts w:ascii="Arial" w:hAnsi="Arial" w:cs="Arial"/>
                <w:b/>
                <w:bCs/>
              </w:rPr>
            </w:pPr>
            <w:r w:rsidRPr="00EC57A9">
              <w:rPr>
                <w:rFonts w:ascii="Arial" w:hAnsi="Arial" w:cs="Arial"/>
                <w:b/>
                <w:bCs/>
              </w:rPr>
              <w:lastRenderedPageBreak/>
              <w:t>Chief Operating Officer’s Report</w:t>
            </w:r>
          </w:p>
          <w:p w:rsidR="00EC57A9" w:rsidRPr="00EC57A9" w:rsidRDefault="00EC57A9" w:rsidP="00EC57A9">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 xml:space="preserve">The Joint Service Director presented the report BOD 92/2018 which provided an update on quality, people and sustainability together with a narrative of key issues being managed by the Operational Management Team.  </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
                <w:bCs/>
                <w:i/>
              </w:rPr>
            </w:pPr>
            <w:r w:rsidRPr="00457450">
              <w:rPr>
                <w:rFonts w:ascii="Arial" w:hAnsi="Arial" w:cs="Arial"/>
                <w:b/>
                <w:bCs/>
                <w:i/>
              </w:rPr>
              <w:t>Quality</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 xml:space="preserve">He referred to the report and highlighted: </w:t>
            </w:r>
            <w:proofErr w:type="gramStart"/>
            <w:r w:rsidRPr="00457450">
              <w:rPr>
                <w:rFonts w:ascii="Arial" w:hAnsi="Arial" w:cs="Arial"/>
                <w:bCs/>
              </w:rPr>
              <w:t>the</w:t>
            </w:r>
            <w:proofErr w:type="gramEnd"/>
            <w:r w:rsidRPr="00457450">
              <w:rPr>
                <w:rFonts w:ascii="Arial" w:hAnsi="Arial" w:cs="Arial"/>
                <w:bCs/>
              </w:rPr>
              <w:t xml:space="preserve"> School Health Nursing end-of-year meeting; the Leading Together programme on co-production; and the Care Quality Commission (</w:t>
            </w:r>
            <w:r w:rsidRPr="00457450">
              <w:rPr>
                <w:rFonts w:ascii="Arial" w:hAnsi="Arial" w:cs="Arial"/>
                <w:b/>
                <w:bCs/>
              </w:rPr>
              <w:t>CQC</w:t>
            </w:r>
            <w:r w:rsidRPr="00457450">
              <w:rPr>
                <w:rFonts w:ascii="Arial" w:hAnsi="Arial" w:cs="Arial"/>
                <w:bCs/>
              </w:rPr>
              <w:t xml:space="preserve">) Well </w:t>
            </w:r>
            <w:r w:rsidRPr="00457450">
              <w:rPr>
                <w:rFonts w:ascii="Arial" w:hAnsi="Arial" w:cs="Arial"/>
                <w:bCs/>
              </w:rPr>
              <w:lastRenderedPageBreak/>
              <w:t xml:space="preserve">Led inspection (publication still awaited), noting that the Trust, through the IC5 group, should also focus on areas which had not been subject to inspection by the CQC.  </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
                <w:bCs/>
                <w:i/>
              </w:rPr>
            </w:pPr>
            <w:r w:rsidRPr="00457450">
              <w:rPr>
                <w:rFonts w:ascii="Arial" w:hAnsi="Arial" w:cs="Arial"/>
                <w:b/>
                <w:bCs/>
                <w:i/>
              </w:rPr>
              <w:t>People</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He referre</w:t>
            </w:r>
            <w:r w:rsidR="000B4A52">
              <w:rPr>
                <w:rFonts w:ascii="Arial" w:hAnsi="Arial" w:cs="Arial"/>
                <w:bCs/>
              </w:rPr>
              <w:t>d to the report and highlighted that</w:t>
            </w:r>
            <w:r w:rsidRPr="00457450">
              <w:rPr>
                <w:rFonts w:ascii="Arial" w:hAnsi="Arial" w:cs="Arial"/>
                <w:bCs/>
              </w:rPr>
              <w:t xml:space="preserve"> it was one year on fro</w:t>
            </w:r>
            <w:r w:rsidR="000B4A52">
              <w:rPr>
                <w:rFonts w:ascii="Arial" w:hAnsi="Arial" w:cs="Arial"/>
                <w:bCs/>
              </w:rPr>
              <w:t xml:space="preserve">m the transition of LD services.  He also noted that </w:t>
            </w:r>
            <w:r w:rsidRPr="00457450">
              <w:rPr>
                <w:rFonts w:ascii="Arial" w:hAnsi="Arial" w:cs="Arial"/>
                <w:bCs/>
              </w:rPr>
              <w:t xml:space="preserve">a meeting had taken place with consultants in </w:t>
            </w:r>
            <w:r w:rsidRPr="00683794">
              <w:rPr>
                <w:rFonts w:ascii="Arial" w:hAnsi="Arial" w:cs="Arial"/>
                <w:bCs/>
              </w:rPr>
              <w:t>CAMHS</w:t>
            </w:r>
            <w:r w:rsidRPr="00457450">
              <w:rPr>
                <w:rFonts w:ascii="Arial" w:hAnsi="Arial" w:cs="Arial"/>
                <w:bCs/>
              </w:rPr>
              <w:t xml:space="preserve"> to</w:t>
            </w:r>
            <w:r w:rsidR="000B4A52">
              <w:rPr>
                <w:rFonts w:ascii="Arial" w:hAnsi="Arial" w:cs="Arial"/>
                <w:bCs/>
              </w:rPr>
              <w:t xml:space="preserve"> discuss challenges faced by that</w:t>
            </w:r>
            <w:r w:rsidRPr="00457450">
              <w:rPr>
                <w:rFonts w:ascii="Arial" w:hAnsi="Arial" w:cs="Arial"/>
                <w:bCs/>
              </w:rPr>
              <w:t xml:space="preserve"> service, which was timely given the ongoing process of service transformation, and a further meeting was scheduled for September.  </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 xml:space="preserve">Phase 2 of the consultation on the restructuring of Operations had just completed and the HR team was putting together responses to questions.  Expressions of interest were now being sought for the new posts.  However, it may still take time to strengthen the speciality and professional leadership as there was not currently the budget available to fund </w:t>
            </w:r>
            <w:proofErr w:type="gramStart"/>
            <w:r w:rsidRPr="00457450">
              <w:rPr>
                <w:rFonts w:ascii="Arial" w:hAnsi="Arial" w:cs="Arial"/>
                <w:bCs/>
              </w:rPr>
              <w:t>all of</w:t>
            </w:r>
            <w:proofErr w:type="gramEnd"/>
            <w:r w:rsidRPr="00457450">
              <w:rPr>
                <w:rFonts w:ascii="Arial" w:hAnsi="Arial" w:cs="Arial"/>
                <w:bCs/>
              </w:rPr>
              <w:t xml:space="preserve"> the posts which Operations would like to appoint to; it was expected that, over time, funding could be redeployed following retirements from some posts, with the aim of being able to reach a full complement of clinical leaders within 12-18 months without creating material cost pressures.  </w:t>
            </w:r>
          </w:p>
          <w:p w:rsidR="00457450" w:rsidRPr="00457450" w:rsidRDefault="00457450" w:rsidP="00457450">
            <w:pPr>
              <w:jc w:val="both"/>
              <w:rPr>
                <w:rFonts w:ascii="Arial" w:hAnsi="Arial" w:cs="Arial"/>
                <w:bCs/>
              </w:rPr>
            </w:pPr>
          </w:p>
          <w:p w:rsidR="00683794" w:rsidRDefault="00457450" w:rsidP="00457450">
            <w:pPr>
              <w:jc w:val="both"/>
              <w:rPr>
                <w:rFonts w:ascii="Arial" w:hAnsi="Arial" w:cs="Arial"/>
                <w:bCs/>
              </w:rPr>
            </w:pPr>
            <w:r w:rsidRPr="00457450">
              <w:rPr>
                <w:rFonts w:ascii="Arial" w:hAnsi="Arial" w:cs="Arial"/>
                <w:bCs/>
              </w:rPr>
              <w:t>The Board discussed the reduction in the use of agency HCAs, noting that there was not yet a reduction in high levels of agency spend (as referred to in discussion of the Chie</w:t>
            </w:r>
            <w:r>
              <w:rPr>
                <w:rFonts w:ascii="Arial" w:hAnsi="Arial" w:cs="Arial"/>
                <w:bCs/>
              </w:rPr>
              <w:t>f Executive’s report at item 121</w:t>
            </w:r>
            <w:r w:rsidR="00626B2D">
              <w:rPr>
                <w:rFonts w:ascii="Arial" w:hAnsi="Arial" w:cs="Arial"/>
                <w:bCs/>
              </w:rPr>
              <w:t>/18 (h)</w:t>
            </w:r>
            <w:r w:rsidRPr="00457450">
              <w:rPr>
                <w:rFonts w:ascii="Arial" w:hAnsi="Arial" w:cs="Arial"/>
                <w:bCs/>
              </w:rPr>
              <w:t xml:space="preserve"> above).  The Director of HR reported that approximately 40 HCAs were in the pipeline for the staff bank, pending Disclosure &amp; Barring Service checks and references.  The Trust Chair noted that it would be useful to report on progress by September.  </w:t>
            </w:r>
          </w:p>
          <w:p w:rsidR="00683794" w:rsidRDefault="00683794"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 xml:space="preserve">John Allison referred to the report and the next area of focus being on agency administrative staff; he asked if the Trust could forego some use of agency administrative staff, and accept less, especially during a period of transition.  The Joint Service Director replied that from a clinical perspective this may not be helpful if less administrative support resulted in increased pressure upon clinicians.  John Allison clarified that he was not suggesting a transfer of functions but a change in expectations, such as the amount of detail provided in reporting to the Board which may be a heavy use of administrative time.  The Chief Executive added that this was part of discussions with commissioners around contractual monitoring and requirements; </w:t>
            </w:r>
            <w:r w:rsidRPr="00457450">
              <w:rPr>
                <w:rFonts w:ascii="Arial" w:hAnsi="Arial" w:cs="Arial"/>
                <w:bCs/>
              </w:rPr>
              <w:lastRenderedPageBreak/>
              <w:t xml:space="preserve">however, he noted the value of administrative support services to clinical functions, such as the positive difference which had been made by business managers at the Whiteleaf Centre who had helped to free up ward managers’ time.  Chris Hurst added that whilst clinical services needed appropriate administrative support </w:t>
            </w:r>
            <w:proofErr w:type="gramStart"/>
            <w:r w:rsidRPr="00457450">
              <w:rPr>
                <w:rFonts w:ascii="Arial" w:hAnsi="Arial" w:cs="Arial"/>
                <w:bCs/>
              </w:rPr>
              <w:t>in order to</w:t>
            </w:r>
            <w:proofErr w:type="gramEnd"/>
            <w:r w:rsidRPr="00457450">
              <w:rPr>
                <w:rFonts w:ascii="Arial" w:hAnsi="Arial" w:cs="Arial"/>
                <w:bCs/>
              </w:rPr>
              <w:t xml:space="preserve"> function, the Trust should not only challenge commissioners but also itself on requirements and areas which it could not afford to resource.  </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 xml:space="preserve">The Joint Service Director also noted that there was work taking place to align Non-Executive Directors with clinical directorates and to build on those relationships.  The Chief Executive added that the new directorate performance meetings could be </w:t>
            </w:r>
            <w:r w:rsidR="004F38A9">
              <w:rPr>
                <w:rFonts w:ascii="Arial" w:hAnsi="Arial" w:cs="Arial"/>
                <w:bCs/>
              </w:rPr>
              <w:t xml:space="preserve">a </w:t>
            </w:r>
            <w:r w:rsidRPr="00457450">
              <w:rPr>
                <w:rFonts w:ascii="Arial" w:hAnsi="Arial" w:cs="Arial"/>
                <w:bCs/>
              </w:rPr>
              <w:t xml:space="preserve">useful platform for this.  John Allison expressed some reservation about Non-Executive Directors becoming too close to operational work and noted that appropriate boundaries could be considered further.   </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
                <w:bCs/>
                <w:i/>
              </w:rPr>
            </w:pPr>
            <w:r w:rsidRPr="00457450">
              <w:rPr>
                <w:rFonts w:ascii="Arial" w:hAnsi="Arial" w:cs="Arial"/>
                <w:b/>
                <w:bCs/>
                <w:i/>
              </w:rPr>
              <w:t>Development of future reporting</w:t>
            </w:r>
          </w:p>
          <w:p w:rsidR="00457450" w:rsidRPr="00457450" w:rsidRDefault="00457450" w:rsidP="00457450">
            <w:pPr>
              <w:jc w:val="both"/>
              <w:rPr>
                <w:rFonts w:ascii="Arial" w:hAnsi="Arial" w:cs="Arial"/>
                <w:bCs/>
              </w:rPr>
            </w:pPr>
          </w:p>
          <w:p w:rsidR="00FE2174" w:rsidRDefault="00457450" w:rsidP="00EC57A9">
            <w:pPr>
              <w:jc w:val="both"/>
              <w:rPr>
                <w:rFonts w:ascii="Arial" w:hAnsi="Arial" w:cs="Arial"/>
                <w:bCs/>
              </w:rPr>
            </w:pPr>
            <w:r w:rsidRPr="00457450">
              <w:rPr>
                <w:rFonts w:ascii="Arial" w:hAnsi="Arial" w:cs="Arial"/>
                <w:bCs/>
              </w:rPr>
              <w:t xml:space="preserve">The Board discussed the report and noted that the </w:t>
            </w:r>
            <w:proofErr w:type="gramStart"/>
            <w:r w:rsidRPr="00457450">
              <w:rPr>
                <w:rFonts w:ascii="Arial" w:hAnsi="Arial" w:cs="Arial"/>
                <w:bCs/>
              </w:rPr>
              <w:t>high level</w:t>
            </w:r>
            <w:proofErr w:type="gramEnd"/>
            <w:r w:rsidRPr="00457450">
              <w:rPr>
                <w:rFonts w:ascii="Arial" w:hAnsi="Arial" w:cs="Arial"/>
                <w:bCs/>
              </w:rPr>
              <w:t xml:space="preserve"> summary did not provide granular detail on the position within directorates.  At the same time, it was important for the report not to duplicate the Chief Executive’s Report or the Performance Report; although inevitably there had been some overlap, this may indicate that joint reporting could be the way forward.  As the Performance Report developed to provide more information on a directorate by directorate basis, this may also need to be reconciled with a new way of reporting on Operations; operational commentary upon contractual and other performance and analysis of what this could mean for the Trust and direction of travel could potentially be done through joint reporting.  The Director of Nursing &amp; Clinical Standards cautioned that Performance Reporting may not be capturing some services or elements of services which were not formally required to be reported against under contractual indicators; she reminded the Board that it was still important for the Executive or the Board to receive reporting against these and that these may merit a deep dive to consider further.  Aroop Mozumder noted that there was a difference between reporting which: (</w:t>
            </w:r>
            <w:proofErr w:type="spellStart"/>
            <w:r w:rsidRPr="00457450">
              <w:rPr>
                <w:rFonts w:ascii="Arial" w:hAnsi="Arial" w:cs="Arial"/>
                <w:bCs/>
              </w:rPr>
              <w:t>i</w:t>
            </w:r>
            <w:proofErr w:type="spellEnd"/>
            <w:r w:rsidRPr="00457450">
              <w:rPr>
                <w:rFonts w:ascii="Arial" w:hAnsi="Arial" w:cs="Arial"/>
                <w:bCs/>
              </w:rPr>
              <w:t xml:space="preserve">) evidenced performance, as currently provided through the Performance Report; and (ii) set out an operational view on managing the risks to that performance, which the Board should be cautious not to lose.  </w:t>
            </w:r>
          </w:p>
          <w:p w:rsidR="00683794" w:rsidRPr="00EC57A9" w:rsidRDefault="00683794" w:rsidP="00EC57A9">
            <w:pPr>
              <w:jc w:val="both"/>
              <w:rPr>
                <w:rFonts w:ascii="Arial" w:hAnsi="Arial" w:cs="Arial"/>
                <w:bCs/>
              </w:rPr>
            </w:pPr>
          </w:p>
        </w:tc>
        <w:tc>
          <w:tcPr>
            <w:tcW w:w="1054" w:type="dxa"/>
          </w:tcPr>
          <w:p w:rsidR="00E24308" w:rsidRDefault="00E24308" w:rsidP="00687605">
            <w:pPr>
              <w:keepNext/>
              <w:keepLines/>
              <w:rPr>
                <w:rFonts w:ascii="Arial" w:hAnsi="Arial" w:cs="Arial"/>
                <w:b/>
              </w:rPr>
            </w:pPr>
          </w:p>
          <w:p w:rsidR="00BD0CDD" w:rsidRDefault="00BD0CDD" w:rsidP="00687605">
            <w:pPr>
              <w:keepNext/>
              <w:keepLines/>
              <w:rPr>
                <w:rFonts w:ascii="Arial" w:hAnsi="Arial" w:cs="Arial"/>
                <w:b/>
              </w:rPr>
            </w:pPr>
          </w:p>
          <w:p w:rsidR="00C2046B" w:rsidRDefault="00C2046B"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p>
          <w:p w:rsidR="00626B2D" w:rsidRDefault="00626B2D" w:rsidP="00CB115C">
            <w:pPr>
              <w:keepNext/>
              <w:keepLines/>
              <w:rPr>
                <w:rFonts w:ascii="Arial" w:hAnsi="Arial" w:cs="Arial"/>
                <w:b/>
              </w:rPr>
            </w:pPr>
            <w:r>
              <w:rPr>
                <w:rFonts w:ascii="Arial" w:hAnsi="Arial" w:cs="Arial"/>
                <w:b/>
              </w:rPr>
              <w:t>DH/TB</w:t>
            </w:r>
          </w:p>
        </w:tc>
      </w:tr>
      <w:tr w:rsidR="00504080" w:rsidRPr="00666D1B">
        <w:trPr>
          <w:trHeight w:val="650"/>
        </w:trPr>
        <w:tc>
          <w:tcPr>
            <w:tcW w:w="993" w:type="dxa"/>
          </w:tcPr>
          <w:p w:rsidR="00504080" w:rsidRDefault="00683794" w:rsidP="00F47972">
            <w:pPr>
              <w:keepNext/>
              <w:keepLines/>
              <w:rPr>
                <w:rFonts w:ascii="Arial" w:hAnsi="Arial" w:cs="Arial"/>
              </w:rPr>
            </w:pPr>
            <w:proofErr w:type="spellStart"/>
            <w:r>
              <w:rPr>
                <w:rFonts w:ascii="Arial" w:hAnsi="Arial" w:cs="Arial"/>
              </w:rPr>
              <w:lastRenderedPageBreak/>
              <w:t>i</w:t>
            </w:r>
            <w:proofErr w:type="spellEnd"/>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683794" w:rsidP="00F47972">
            <w:pPr>
              <w:keepNext/>
              <w:keepLines/>
              <w:rPr>
                <w:rFonts w:ascii="Arial" w:hAnsi="Arial" w:cs="Arial"/>
              </w:rPr>
            </w:pPr>
            <w:r>
              <w:rPr>
                <w:rFonts w:ascii="Arial" w:hAnsi="Arial" w:cs="Arial"/>
              </w:rPr>
              <w:t>j</w:t>
            </w: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Pr="00504080" w:rsidRDefault="00683794" w:rsidP="00F47972">
            <w:pPr>
              <w:keepNext/>
              <w:keepLines/>
              <w:rPr>
                <w:rFonts w:ascii="Arial" w:hAnsi="Arial" w:cs="Arial"/>
              </w:rPr>
            </w:pPr>
            <w:r>
              <w:rPr>
                <w:rFonts w:ascii="Arial" w:hAnsi="Arial" w:cs="Arial"/>
              </w:rPr>
              <w:t>k</w:t>
            </w:r>
          </w:p>
        </w:tc>
        <w:tc>
          <w:tcPr>
            <w:tcW w:w="7087" w:type="dxa"/>
          </w:tcPr>
          <w:p w:rsidR="00504080" w:rsidRDefault="00504080" w:rsidP="00504080">
            <w:pPr>
              <w:jc w:val="both"/>
              <w:rPr>
                <w:rFonts w:ascii="Arial" w:hAnsi="Arial" w:cs="Arial"/>
                <w:bCs/>
              </w:rPr>
            </w:pPr>
            <w:r w:rsidRPr="00457450">
              <w:rPr>
                <w:rFonts w:ascii="Arial" w:hAnsi="Arial" w:cs="Arial"/>
                <w:bCs/>
              </w:rPr>
              <w:t xml:space="preserve">The Board discussed whether a combined Operations and Performance Report could be constructed and noted how this may align and integrate with developments currently taking place around: Integrated Performance Reporting; Service Line Reporting; the Well Led action plan (from the external PwC assessment during 2017 against NHS Improvement’s Well Led framework for governance reviews); and reporting generally on quality, performance and workforce.  </w:t>
            </w:r>
          </w:p>
          <w:p w:rsidR="00504080" w:rsidRDefault="00504080" w:rsidP="00504080">
            <w:pPr>
              <w:jc w:val="both"/>
              <w:rPr>
                <w:rFonts w:ascii="Arial" w:hAnsi="Arial" w:cs="Arial"/>
                <w:bCs/>
              </w:rPr>
            </w:pPr>
          </w:p>
          <w:p w:rsidR="00504080" w:rsidRPr="00457450" w:rsidRDefault="00504080" w:rsidP="00504080">
            <w:pPr>
              <w:jc w:val="both"/>
              <w:rPr>
                <w:rFonts w:ascii="Arial" w:hAnsi="Arial" w:cs="Arial"/>
                <w:bCs/>
              </w:rPr>
            </w:pPr>
            <w:r w:rsidRPr="00457450">
              <w:rPr>
                <w:rFonts w:ascii="Arial" w:hAnsi="Arial" w:cs="Arial"/>
                <w:bCs/>
              </w:rPr>
              <w:t>The Chief Executive reminded the Board of the wider implications of: (</w:t>
            </w:r>
            <w:proofErr w:type="spellStart"/>
            <w:r w:rsidRPr="00457450">
              <w:rPr>
                <w:rFonts w:ascii="Arial" w:hAnsi="Arial" w:cs="Arial"/>
                <w:bCs/>
              </w:rPr>
              <w:t>i</w:t>
            </w:r>
            <w:proofErr w:type="spellEnd"/>
            <w:r w:rsidRPr="00457450">
              <w:rPr>
                <w:rFonts w:ascii="Arial" w:hAnsi="Arial" w:cs="Arial"/>
                <w:bCs/>
              </w:rPr>
              <w:t xml:space="preserve">) the consultation on the restructuring of Operations, which had impacted not just upon Operations but also upon clinical leadership structures; and (ii) the decision to move away from use of agency HCAs.  He noted the importance of wider strategic discussion around such organisational development and change.  The Director of Finance added that in other industries and sectors, the separation of Performance from Operational Reporting may be considered unusual and that this may have developed from the way in which NHS contracting and commissioning was treated as separate from the core business of providing healthcare.  However, it may make more sense for the area with operational responsibility for delivery of a service to also report on the performance of it and on the quality of service delivery, including an assessment of overall risks.  The Board noted that the development of combined Operations and Performance Reporting may be for further consideration by the Executive, with a view to an update in September 2018 and, potentially, some change to reporting to the Board from October 2018.   </w:t>
            </w:r>
          </w:p>
          <w:p w:rsidR="00504080" w:rsidRPr="00457450" w:rsidRDefault="00504080" w:rsidP="00504080">
            <w:pPr>
              <w:jc w:val="both"/>
              <w:rPr>
                <w:rFonts w:ascii="Arial" w:hAnsi="Arial" w:cs="Arial"/>
                <w:bCs/>
              </w:rPr>
            </w:pPr>
          </w:p>
          <w:p w:rsidR="00504080" w:rsidRPr="00457450" w:rsidRDefault="00504080" w:rsidP="00504080">
            <w:pPr>
              <w:jc w:val="both"/>
              <w:rPr>
                <w:rFonts w:ascii="Arial" w:hAnsi="Arial" w:cs="Arial"/>
                <w:b/>
                <w:bCs/>
              </w:rPr>
            </w:pPr>
            <w:r w:rsidRPr="00457450">
              <w:rPr>
                <w:rFonts w:ascii="Arial" w:hAnsi="Arial" w:cs="Arial"/>
                <w:b/>
                <w:bCs/>
              </w:rPr>
              <w:t xml:space="preserve">The Board noted the report.  </w:t>
            </w:r>
          </w:p>
          <w:p w:rsidR="00504080" w:rsidRPr="00EC57A9" w:rsidRDefault="00504080" w:rsidP="00EC57A9">
            <w:pPr>
              <w:jc w:val="both"/>
              <w:rPr>
                <w:rFonts w:ascii="Arial" w:hAnsi="Arial" w:cs="Arial"/>
                <w:b/>
                <w:bCs/>
              </w:rPr>
            </w:pPr>
          </w:p>
        </w:tc>
        <w:tc>
          <w:tcPr>
            <w:tcW w:w="1054" w:type="dxa"/>
          </w:tcPr>
          <w:p w:rsidR="00504080" w:rsidRDefault="00504080"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p>
          <w:p w:rsidR="004F38A9" w:rsidRDefault="004F38A9" w:rsidP="00687605">
            <w:pPr>
              <w:keepNext/>
              <w:keepLines/>
              <w:rPr>
                <w:rFonts w:ascii="Arial" w:hAnsi="Arial" w:cs="Arial"/>
                <w:b/>
              </w:rPr>
            </w:pPr>
            <w:r>
              <w:rPr>
                <w:rFonts w:ascii="Arial" w:hAnsi="Arial" w:cs="Arial"/>
                <w:b/>
              </w:rPr>
              <w:t>DH/</w:t>
            </w:r>
          </w:p>
          <w:p w:rsidR="004F38A9" w:rsidRDefault="004F38A9" w:rsidP="00687605">
            <w:pPr>
              <w:keepNext/>
              <w:keepLines/>
              <w:rPr>
                <w:rFonts w:ascii="Arial" w:hAnsi="Arial" w:cs="Arial"/>
                <w:b/>
              </w:rPr>
            </w:pPr>
            <w:r>
              <w:rPr>
                <w:rFonts w:ascii="Arial" w:hAnsi="Arial" w:cs="Arial"/>
                <w:b/>
              </w:rPr>
              <w:t>MW</w:t>
            </w:r>
          </w:p>
        </w:tc>
      </w:tr>
      <w:tr w:rsidR="00F35EEE" w:rsidRPr="00666D1B">
        <w:trPr>
          <w:trHeight w:val="650"/>
        </w:trPr>
        <w:tc>
          <w:tcPr>
            <w:tcW w:w="993" w:type="dxa"/>
          </w:tcPr>
          <w:p w:rsidR="00F35EEE" w:rsidRDefault="005F11D6" w:rsidP="00F35EEE">
            <w:pPr>
              <w:keepNext/>
              <w:keepLines/>
              <w:rPr>
                <w:rFonts w:ascii="Arial" w:hAnsi="Arial" w:cs="Arial"/>
                <w:b/>
              </w:rPr>
            </w:pPr>
            <w:r>
              <w:rPr>
                <w:rFonts w:ascii="Arial" w:hAnsi="Arial" w:cs="Arial"/>
                <w:b/>
              </w:rPr>
              <w:t xml:space="preserve">BOD </w:t>
            </w:r>
            <w:r w:rsidR="00AD0F54">
              <w:rPr>
                <w:rFonts w:ascii="Arial" w:hAnsi="Arial" w:cs="Arial"/>
                <w:b/>
              </w:rPr>
              <w:t>123</w:t>
            </w:r>
            <w:r w:rsidR="00F35EEE" w:rsidRPr="00000FC1">
              <w:rPr>
                <w:rFonts w:ascii="Arial" w:hAnsi="Arial" w:cs="Arial"/>
                <w:b/>
              </w:rPr>
              <w:t>/1</w:t>
            </w:r>
            <w:r w:rsidR="00D96B61">
              <w:rPr>
                <w:rFonts w:ascii="Arial" w:hAnsi="Arial" w:cs="Arial"/>
                <w:b/>
              </w:rPr>
              <w:t>8</w:t>
            </w:r>
          </w:p>
          <w:p w:rsidR="001E2128" w:rsidRDefault="00F35EEE" w:rsidP="00F47972">
            <w:pPr>
              <w:keepNext/>
              <w:keepLines/>
              <w:rPr>
                <w:rFonts w:ascii="Arial" w:hAnsi="Arial" w:cs="Arial"/>
              </w:rPr>
            </w:pPr>
            <w:r w:rsidRPr="00000FC1">
              <w:rPr>
                <w:rFonts w:ascii="Arial" w:hAnsi="Arial" w:cs="Arial"/>
              </w:rPr>
              <w:t>a</w:t>
            </w:r>
          </w:p>
          <w:p w:rsidR="00AD6871" w:rsidRDefault="00AD6871"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b</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c</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d</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e</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f</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g</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h</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roofErr w:type="spellStart"/>
            <w:r>
              <w:rPr>
                <w:rFonts w:ascii="Arial" w:hAnsi="Arial" w:cs="Arial"/>
              </w:rPr>
              <w:t>i</w:t>
            </w:r>
            <w:proofErr w:type="spellEnd"/>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Pr="00F47972" w:rsidRDefault="00504080" w:rsidP="00CB115C">
            <w:pPr>
              <w:keepNext/>
              <w:keepLines/>
              <w:rPr>
                <w:rFonts w:ascii="Arial" w:hAnsi="Arial" w:cs="Arial"/>
              </w:rPr>
            </w:pPr>
          </w:p>
        </w:tc>
        <w:tc>
          <w:tcPr>
            <w:tcW w:w="7087" w:type="dxa"/>
          </w:tcPr>
          <w:p w:rsidR="00EC57A9" w:rsidRPr="00EC57A9" w:rsidRDefault="00EC57A9" w:rsidP="00EC57A9">
            <w:pPr>
              <w:jc w:val="both"/>
              <w:rPr>
                <w:rFonts w:ascii="Arial" w:hAnsi="Arial" w:cs="Arial"/>
                <w:b/>
                <w:bCs/>
              </w:rPr>
            </w:pPr>
            <w:r w:rsidRPr="00AD0F54">
              <w:rPr>
                <w:rFonts w:ascii="Arial" w:hAnsi="Arial" w:cs="Arial"/>
                <w:b/>
                <w:bCs/>
              </w:rPr>
              <w:lastRenderedPageBreak/>
              <w:t>P</w:t>
            </w:r>
            <w:r w:rsidRPr="00EC57A9">
              <w:rPr>
                <w:rFonts w:ascii="Arial" w:hAnsi="Arial" w:cs="Arial"/>
                <w:b/>
                <w:bCs/>
              </w:rPr>
              <w:t>erformance Report</w:t>
            </w:r>
            <w:r w:rsidR="00457450">
              <w:rPr>
                <w:rFonts w:ascii="Arial" w:hAnsi="Arial" w:cs="Arial"/>
                <w:b/>
                <w:bCs/>
              </w:rPr>
              <w:t xml:space="preserve"> </w:t>
            </w:r>
            <w:r w:rsidR="00457450" w:rsidRPr="00457450">
              <w:rPr>
                <w:rFonts w:ascii="Arial" w:hAnsi="Arial" w:cs="Arial"/>
                <w:b/>
                <w:bCs/>
              </w:rPr>
              <w:t>for June 2018 (Month 3)</w:t>
            </w:r>
          </w:p>
          <w:p w:rsidR="00EC57A9" w:rsidRPr="00EC57A9" w:rsidRDefault="00EC57A9" w:rsidP="00EC57A9">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The Director of Strategy &amp; CIO presented the report BOD 93/2018 on performance against: national indicators (the Single Oversight Framework and national contractual requirements); and local indicators (local contractual performance and Joint Management Groups</w:t>
            </w:r>
            <w:r w:rsidR="00D6267E">
              <w:rPr>
                <w:rFonts w:ascii="Arial" w:hAnsi="Arial" w:cs="Arial"/>
                <w:bCs/>
              </w:rPr>
              <w:t>’</w:t>
            </w:r>
            <w:r w:rsidRPr="00457450">
              <w:rPr>
                <w:rFonts w:ascii="Arial" w:hAnsi="Arial" w:cs="Arial"/>
                <w:bCs/>
              </w:rPr>
              <w:t xml:space="preserve"> (</w:t>
            </w:r>
            <w:r w:rsidRPr="00B11556">
              <w:rPr>
                <w:rFonts w:ascii="Arial" w:hAnsi="Arial" w:cs="Arial"/>
                <w:b/>
                <w:bCs/>
              </w:rPr>
              <w:t>JMG</w:t>
            </w:r>
            <w:r w:rsidRPr="00457450">
              <w:rPr>
                <w:rFonts w:ascii="Arial" w:hAnsi="Arial" w:cs="Arial"/>
                <w:bCs/>
              </w:rPr>
              <w:t>) performance).  The Trust had achieved 77% of local contractual performance indicators with clearly defined targets, compared to 85% reported in May and April 2018</w:t>
            </w:r>
            <w:r w:rsidR="00D6267E">
              <w:rPr>
                <w:rFonts w:ascii="Arial" w:hAnsi="Arial" w:cs="Arial"/>
                <w:bCs/>
              </w:rPr>
              <w:t>;</w:t>
            </w:r>
            <w:r w:rsidRPr="00457450">
              <w:rPr>
                <w:rFonts w:ascii="Arial" w:hAnsi="Arial" w:cs="Arial"/>
                <w:bCs/>
              </w:rPr>
              <w:t xml:space="preserve"> previously the Trust had generally achieved 90% compliance overall.  The number of reportable indicators varied each month (depending upon frequency of the reporting expected e.g. quarterly or monthly) but were reducing; work continued with commissioners to reduce still further the number </w:t>
            </w:r>
            <w:r w:rsidRPr="00457450">
              <w:rPr>
                <w:rFonts w:ascii="Arial" w:hAnsi="Arial" w:cs="Arial"/>
                <w:bCs/>
              </w:rPr>
              <w:lastRenderedPageBreak/>
              <w:t xml:space="preserve">of indicators.  The 2,102 indicators were also now divided into two categories: those with defined targets for reporting to commissioners </w:t>
            </w:r>
            <w:r w:rsidR="00D6267E">
              <w:rPr>
                <w:rFonts w:ascii="Arial" w:hAnsi="Arial" w:cs="Arial"/>
                <w:bCs/>
              </w:rPr>
              <w:t>(</w:t>
            </w:r>
            <w:r w:rsidRPr="00457450">
              <w:rPr>
                <w:rFonts w:ascii="Arial" w:hAnsi="Arial" w:cs="Arial"/>
                <w:bCs/>
              </w:rPr>
              <w:t>553); and those for context or monitoring only (1,549).  Areas of underperformance were set out in the report.  Workforce pressures and difficulties in recruitment and retention continued.  Out of Area Placements (</w:t>
            </w:r>
            <w:r w:rsidRPr="00B11556">
              <w:rPr>
                <w:rFonts w:ascii="Arial" w:hAnsi="Arial" w:cs="Arial"/>
                <w:b/>
                <w:bCs/>
              </w:rPr>
              <w:t>OAPs</w:t>
            </w:r>
            <w:r w:rsidRPr="00457450">
              <w:rPr>
                <w:rFonts w:ascii="Arial" w:hAnsi="Arial" w:cs="Arial"/>
                <w:bCs/>
              </w:rPr>
              <w:t xml:space="preserve">) in Oxfordshire and Buckinghamshire were also well above targets due to operational pressures and lack of community alternative options.  </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 xml:space="preserve">He highlighted the reporting on trends and breaches but noted that the additional time taken for analysts to investigate the reasons why breaches had happened had resulted in less time for the report to be produced and for the Board to be able to review.  </w:t>
            </w:r>
          </w:p>
          <w:p w:rsidR="00457450" w:rsidRPr="00457450" w:rsidRDefault="00457450" w:rsidP="00457450">
            <w:pPr>
              <w:jc w:val="both"/>
              <w:rPr>
                <w:rFonts w:ascii="Arial" w:hAnsi="Arial" w:cs="Arial"/>
                <w:bCs/>
              </w:rPr>
            </w:pPr>
          </w:p>
          <w:p w:rsidR="00457450" w:rsidRPr="00B11556" w:rsidRDefault="00457450" w:rsidP="00457450">
            <w:pPr>
              <w:jc w:val="both"/>
              <w:rPr>
                <w:rFonts w:ascii="Arial" w:hAnsi="Arial" w:cs="Arial"/>
                <w:b/>
                <w:bCs/>
                <w:i/>
              </w:rPr>
            </w:pPr>
            <w:r w:rsidRPr="00B11556">
              <w:rPr>
                <w:rFonts w:ascii="Arial" w:hAnsi="Arial" w:cs="Arial"/>
                <w:b/>
                <w:bCs/>
                <w:i/>
              </w:rPr>
              <w:t>OAPs – Oxfordshire and Buckinghamshire</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 xml:space="preserve">The Director of Corporate Affairs &amp; Company Secretary asked about the high number of OAPs and whether reporting distinguished between those which were: longstanding; related to particularly complex needs; or the result of failures in system-working.  The Director of Strategy &amp; CIO replied that this was not yet included in this report.  The Director of Nursing &amp; Clinical Standards noted that the Board should also be sighted on distance/how far away from base people under OAPs were.  The Chief Executive added that this was an example of an area where joint Performance and Operational Reporting upon impact and detail would be useful.  </w:t>
            </w:r>
          </w:p>
          <w:p w:rsidR="00457450" w:rsidRPr="00457450" w:rsidRDefault="00457450" w:rsidP="00457450">
            <w:pPr>
              <w:jc w:val="both"/>
              <w:rPr>
                <w:rFonts w:ascii="Arial" w:hAnsi="Arial" w:cs="Arial"/>
                <w:bCs/>
              </w:rPr>
            </w:pPr>
          </w:p>
          <w:p w:rsidR="00457450" w:rsidRPr="00B11556" w:rsidRDefault="00457450" w:rsidP="00457450">
            <w:pPr>
              <w:jc w:val="both"/>
              <w:rPr>
                <w:rFonts w:ascii="Arial" w:hAnsi="Arial" w:cs="Arial"/>
                <w:b/>
                <w:bCs/>
                <w:i/>
              </w:rPr>
            </w:pPr>
            <w:r w:rsidRPr="00B11556">
              <w:rPr>
                <w:rFonts w:ascii="Arial" w:hAnsi="Arial" w:cs="Arial"/>
                <w:b/>
                <w:bCs/>
                <w:i/>
              </w:rPr>
              <w:t>Section 75 JMGs</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 xml:space="preserve">In relation to performance indicators for the Section 75 JMG with Oxfordshire County Council, the Trust had achieved 73% compliance in May 2018 (Month 2), which was a decrease in performance against 97% compliance in April 2018 and 92% compliance in March 2018 (reporting was one month in arrears).  2 indicators were reported as exceptions, having not been achieved, compared to 1 in April.  The Buckinghamshire JMG indicators were reported on a quarterly basis and were therefore not included this month.  </w:t>
            </w:r>
          </w:p>
          <w:p w:rsidR="00457450" w:rsidRPr="00457450" w:rsidRDefault="00457450" w:rsidP="00457450">
            <w:pPr>
              <w:jc w:val="both"/>
              <w:rPr>
                <w:rFonts w:ascii="Arial" w:hAnsi="Arial" w:cs="Arial"/>
                <w:bCs/>
              </w:rPr>
            </w:pPr>
          </w:p>
          <w:p w:rsidR="00457450" w:rsidRPr="00B11556" w:rsidRDefault="00457450" w:rsidP="00457450">
            <w:pPr>
              <w:jc w:val="both"/>
              <w:rPr>
                <w:rFonts w:ascii="Arial" w:hAnsi="Arial" w:cs="Arial"/>
                <w:b/>
                <w:bCs/>
                <w:i/>
              </w:rPr>
            </w:pPr>
            <w:r w:rsidRPr="00B11556">
              <w:rPr>
                <w:rFonts w:ascii="Arial" w:hAnsi="Arial" w:cs="Arial"/>
                <w:b/>
                <w:bCs/>
                <w:i/>
              </w:rPr>
              <w:t>All Ages Mental Health Oxfordshire Directorate</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 xml:space="preserve">The All Ages Mental Health Oxfordshire Directorate (which also included Swindon, Wiltshire &amp; </w:t>
            </w:r>
            <w:proofErr w:type="spellStart"/>
            <w:r w:rsidRPr="00457450">
              <w:rPr>
                <w:rFonts w:ascii="Arial" w:hAnsi="Arial" w:cs="Arial"/>
                <w:bCs/>
              </w:rPr>
              <w:t>BaNES</w:t>
            </w:r>
            <w:proofErr w:type="spellEnd"/>
            <w:r w:rsidRPr="00457450">
              <w:rPr>
                <w:rFonts w:ascii="Arial" w:hAnsi="Arial" w:cs="Arial"/>
                <w:bCs/>
              </w:rPr>
              <w:t xml:space="preserve"> (Bath &amp; North-East Somerset) had achieved 66% compliance in June which was a </w:t>
            </w:r>
            <w:r w:rsidRPr="00457450">
              <w:rPr>
                <w:rFonts w:ascii="Arial" w:hAnsi="Arial" w:cs="Arial"/>
                <w:bCs/>
              </w:rPr>
              <w:lastRenderedPageBreak/>
              <w:t xml:space="preserve">decrease compared to 80% compliance in May and 87% compliance in April.  Issues and anomalies were as set out in the report.  The Board discussed issues around CAMHS waiting times and the number of children who may be waiting longer than 12 weeks.  Alyson Coates expressed concern about the impact upon individuals during this waiting time who may deteriorate and then needed to be accelerated into services.  The Chief Executive replied that there was an issue around capacity to fund CAMHS, especially </w:t>
            </w:r>
            <w:proofErr w:type="gramStart"/>
            <w:r w:rsidRPr="00457450">
              <w:rPr>
                <w:rFonts w:ascii="Arial" w:hAnsi="Arial" w:cs="Arial"/>
                <w:bCs/>
              </w:rPr>
              <w:t>in light of</w:t>
            </w:r>
            <w:proofErr w:type="gramEnd"/>
            <w:r w:rsidRPr="00457450">
              <w:rPr>
                <w:rFonts w:ascii="Arial" w:hAnsi="Arial" w:cs="Arial"/>
                <w:bCs/>
              </w:rPr>
              <w:t xml:space="preserve"> increasing activity levels, noting that this was a reason why it was important to petition for CAMHS waiting times to be treated in a similar way to, and given equal importance with, acute sector waiting times.  Alyson Coates noted that it was important to raise visibility of this issue around CAMHS waiting times compared to acute sector waiting times.  The Director of Nursing &amp; Clinical Standards noted that although she was more assured about the reliability of the data being presented around the issue of CAMHS waiting times, she was not yet assured about actions being taken, impact assessments or the management of risks to potentially deteriorating patients.  The Joint Service Director replied that mitigating actions were in place for those waiting over 16 weeks but there was a national issue around funding for access to CAMHS.  The Director of Strategy &amp; CIO added that a meeting between the Executive and the CCG on CAMHS was also scheduled during August 2018.  </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 xml:space="preserve">Aroop Mozumder asked whether the risks to potentially deteriorating patients were held by GPs or the Trust.  The Joint Service Director replied that GPs and families were carrying some of the risk – not all referrals to services came through GPs as families and children could also self-refer.  The Board discussed the pressure upon GPs and primary care.  The Chief Executive reminded the meeting that through CCGs with GP representatives on board, commissioners had the power to allocate funding.  The Joint Service Director added that with the new Single Point of Access, whereas previously young people may have had to see various GPs and councillors before being referred to services, referrals could now be more direct and self-referral was supported.  </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The Board considered issues highlighted around Cluster Reviews in the report, noting that clustering was around fitting individual patients into a care cluster which could help to manage resources within the cluster effectively.  The Finance Director added that clustering also provided an insight into clinical conditions which could be particularly useful for non-</w:t>
            </w:r>
            <w:r w:rsidRPr="00457450">
              <w:rPr>
                <w:rFonts w:ascii="Arial" w:hAnsi="Arial" w:cs="Arial"/>
                <w:bCs/>
              </w:rPr>
              <w:lastRenderedPageBreak/>
              <w:t>clinicians.  However, the Medical Director explained that there was a challenge when some patients were re-clustered and found not to meet the agreed thresholds for ongoing treatment although their clinical teams</w:t>
            </w:r>
            <w:r w:rsidR="000254E7">
              <w:rPr>
                <w:rFonts w:ascii="Arial" w:hAnsi="Arial" w:cs="Arial"/>
                <w:bCs/>
              </w:rPr>
              <w:t xml:space="preserve"> still recommended </w:t>
            </w:r>
            <w:r w:rsidRPr="00457450">
              <w:rPr>
                <w:rFonts w:ascii="Arial" w:hAnsi="Arial" w:cs="Arial"/>
                <w:bCs/>
              </w:rPr>
              <w:t xml:space="preserve">that they receive treatment.   The Chief Executive noted that in a population-based model of care then clustering could be a useful stratification tool and indicator of demand, which could ultimately inform funding/a payment system; however, the Trust was not currently using it in this way or as part of a payment system for mental health services or a way of targeting resources but had instead drifted towards seeing it as a contractual requirement.  The indicator around Cluster Reviews was under review with commissioners as although there was agreement that cluster reviews should be carried out, measurement against a specific timescale was not considered to be of clinical value.  The way in which clustering was currently being measured did not necessarily provide assurance that patients with greatest need were being targeted appropriately and there was a risk that the clustering target itself (currently around timescales) was subject to more focus than patients.  </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
                <w:bCs/>
                <w:i/>
              </w:rPr>
            </w:pPr>
            <w:r w:rsidRPr="00457450">
              <w:rPr>
                <w:rFonts w:ascii="Arial" w:hAnsi="Arial" w:cs="Arial"/>
                <w:b/>
                <w:bCs/>
                <w:i/>
              </w:rPr>
              <w:t>All Ages Mental Health Buckinghamshire Directorate</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Cs/>
              </w:rPr>
            </w:pPr>
            <w:r w:rsidRPr="00457450">
              <w:rPr>
                <w:rFonts w:ascii="Arial" w:hAnsi="Arial" w:cs="Arial"/>
                <w:bCs/>
              </w:rPr>
              <w:t xml:space="preserve">The All Ages Mental Health Buckinghamshire Directorate had achieved 73% compliance in June which was a decrease compared to 93% compliance in May and 84% compliance in April.  </w:t>
            </w:r>
          </w:p>
          <w:p w:rsidR="00457450" w:rsidRPr="00457450" w:rsidRDefault="00457450" w:rsidP="00457450">
            <w:pPr>
              <w:jc w:val="both"/>
              <w:rPr>
                <w:rFonts w:ascii="Arial" w:hAnsi="Arial" w:cs="Arial"/>
                <w:bCs/>
              </w:rPr>
            </w:pPr>
          </w:p>
          <w:p w:rsidR="00457450" w:rsidRPr="00457450" w:rsidRDefault="00457450" w:rsidP="00457450">
            <w:pPr>
              <w:jc w:val="both"/>
              <w:rPr>
                <w:rFonts w:ascii="Arial" w:hAnsi="Arial" w:cs="Arial"/>
                <w:b/>
                <w:bCs/>
                <w:i/>
              </w:rPr>
            </w:pPr>
            <w:r w:rsidRPr="00457450">
              <w:rPr>
                <w:rFonts w:ascii="Arial" w:hAnsi="Arial" w:cs="Arial"/>
                <w:b/>
                <w:bCs/>
                <w:i/>
              </w:rPr>
              <w:t>Community Services Directorate (Oxfordshire)</w:t>
            </w:r>
          </w:p>
          <w:p w:rsidR="00457450" w:rsidRPr="00457450" w:rsidRDefault="00457450" w:rsidP="00457450">
            <w:pPr>
              <w:jc w:val="both"/>
              <w:rPr>
                <w:rFonts w:ascii="Arial" w:hAnsi="Arial" w:cs="Arial"/>
                <w:bCs/>
              </w:rPr>
            </w:pPr>
          </w:p>
          <w:p w:rsidR="00AD0F54" w:rsidRPr="001124F6" w:rsidRDefault="00457450" w:rsidP="00504080">
            <w:pPr>
              <w:jc w:val="both"/>
              <w:rPr>
                <w:rFonts w:ascii="Arial" w:hAnsi="Arial" w:cs="Arial"/>
                <w:bCs/>
              </w:rPr>
            </w:pPr>
            <w:r w:rsidRPr="00457450">
              <w:rPr>
                <w:rFonts w:ascii="Arial" w:hAnsi="Arial" w:cs="Arial"/>
                <w:bCs/>
              </w:rPr>
              <w:t xml:space="preserve">The Community Services Directorate had achieved 77% compliance in June which was an improvement on 68% compliance in May albeit not up to 80% compliance in April.  Pressures continued for Out </w:t>
            </w:r>
            <w:proofErr w:type="gramStart"/>
            <w:r w:rsidRPr="00457450">
              <w:rPr>
                <w:rFonts w:ascii="Arial" w:hAnsi="Arial" w:cs="Arial"/>
                <w:bCs/>
              </w:rPr>
              <w:t>Of</w:t>
            </w:r>
            <w:proofErr w:type="gramEnd"/>
            <w:r w:rsidRPr="00457450">
              <w:rPr>
                <w:rFonts w:ascii="Arial" w:hAnsi="Arial" w:cs="Arial"/>
                <w:bCs/>
              </w:rPr>
              <w:t xml:space="preserve"> Hours (</w:t>
            </w:r>
            <w:r w:rsidRPr="00457450">
              <w:rPr>
                <w:rFonts w:ascii="Arial" w:hAnsi="Arial" w:cs="Arial"/>
                <w:b/>
                <w:bCs/>
              </w:rPr>
              <w:t>OOH</w:t>
            </w:r>
            <w:r w:rsidRPr="00457450">
              <w:rPr>
                <w:rFonts w:ascii="Arial" w:hAnsi="Arial" w:cs="Arial"/>
                <w:bCs/>
              </w:rPr>
              <w:t xml:space="preserve">) services but only 1 of the 9 indicators (unfilled clinical shifts) remained below the exception reporting threshold in June and May; the service continued to ensure that patients had remained safe whilst under OOH care.  The CCG had also agreed in principle to the withdrawal of this indicator (unfilled clinical shifts) as not a robust measure of clinical care provision and access performance; the Director of Nursing &amp; Clinical Standards cautioned that this data in relation to performance and staffing should still be reported elsewhere however, especially if safe staffing on shifts was at risk.  Jonathan Asbridge noted the improvement in the OOH service, especially considering previous adverse CQC reporting which had caused concern but been addressed.  </w:t>
            </w:r>
          </w:p>
        </w:tc>
        <w:tc>
          <w:tcPr>
            <w:tcW w:w="1054" w:type="dxa"/>
          </w:tcPr>
          <w:p w:rsidR="00F35EEE" w:rsidRDefault="00F35EEE" w:rsidP="00687605">
            <w:pPr>
              <w:keepNext/>
              <w:keepLines/>
              <w:rPr>
                <w:rFonts w:ascii="Arial" w:hAnsi="Arial" w:cs="Arial"/>
                <w:b/>
              </w:rPr>
            </w:pPr>
          </w:p>
          <w:p w:rsidR="00BE4F46" w:rsidRDefault="00BE4F46" w:rsidP="002B49A5">
            <w:pPr>
              <w:keepNext/>
              <w:keepLines/>
              <w:rPr>
                <w:rFonts w:ascii="Arial" w:hAnsi="Arial" w:cs="Arial"/>
                <w:b/>
              </w:rPr>
            </w:pPr>
          </w:p>
          <w:p w:rsidR="00BE4F46" w:rsidRDefault="00BE4F46" w:rsidP="002B49A5">
            <w:pPr>
              <w:keepNext/>
              <w:keepLines/>
              <w:rPr>
                <w:rFonts w:ascii="Arial" w:hAnsi="Arial" w:cs="Arial"/>
                <w:b/>
              </w:rPr>
            </w:pPr>
          </w:p>
          <w:p w:rsidR="00BE4F46" w:rsidRDefault="00BE4F46"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p>
          <w:p w:rsidR="000254E7" w:rsidRDefault="000254E7" w:rsidP="002B49A5">
            <w:pPr>
              <w:keepNext/>
              <w:keepLines/>
              <w:rPr>
                <w:rFonts w:ascii="Arial" w:hAnsi="Arial" w:cs="Arial"/>
                <w:b/>
              </w:rPr>
            </w:pPr>
            <w:r>
              <w:rPr>
                <w:rFonts w:ascii="Arial" w:hAnsi="Arial" w:cs="Arial"/>
                <w:b/>
              </w:rPr>
              <w:t>MW</w:t>
            </w: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p>
          <w:p w:rsidR="003105A8" w:rsidRDefault="003105A8" w:rsidP="002B49A5">
            <w:pPr>
              <w:keepNext/>
              <w:keepLines/>
              <w:rPr>
                <w:rFonts w:ascii="Arial" w:hAnsi="Arial" w:cs="Arial"/>
                <w:b/>
              </w:rPr>
            </w:pPr>
            <w:r>
              <w:rPr>
                <w:rFonts w:ascii="Arial" w:hAnsi="Arial" w:cs="Arial"/>
                <w:b/>
              </w:rPr>
              <w:t>MW</w:t>
            </w:r>
          </w:p>
        </w:tc>
      </w:tr>
      <w:tr w:rsidR="00EC57A9" w:rsidRPr="00666D1B">
        <w:trPr>
          <w:trHeight w:val="650"/>
        </w:trPr>
        <w:tc>
          <w:tcPr>
            <w:tcW w:w="993" w:type="dxa"/>
          </w:tcPr>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504080" w:rsidRDefault="00504080" w:rsidP="00F35EEE">
            <w:pPr>
              <w:keepNext/>
              <w:keepLines/>
              <w:rPr>
                <w:rFonts w:ascii="Arial" w:hAnsi="Arial" w:cs="Arial"/>
              </w:rPr>
            </w:pPr>
            <w:r>
              <w:rPr>
                <w:rFonts w:ascii="Arial" w:hAnsi="Arial" w:cs="Arial"/>
              </w:rPr>
              <w:t>j</w:t>
            </w:r>
          </w:p>
          <w:p w:rsidR="00504080" w:rsidRDefault="00504080" w:rsidP="00F35EEE">
            <w:pPr>
              <w:keepNext/>
              <w:keepLines/>
              <w:rPr>
                <w:rFonts w:ascii="Arial" w:hAnsi="Arial" w:cs="Arial"/>
              </w:rPr>
            </w:pPr>
          </w:p>
          <w:p w:rsidR="00504080" w:rsidRDefault="00504080" w:rsidP="00F35EEE">
            <w:pPr>
              <w:keepNext/>
              <w:keepLines/>
              <w:rPr>
                <w:rFonts w:ascii="Arial" w:hAnsi="Arial" w:cs="Arial"/>
              </w:rPr>
            </w:pPr>
          </w:p>
          <w:p w:rsidR="00504080" w:rsidRDefault="00504080" w:rsidP="00F35EEE">
            <w:pPr>
              <w:keepNext/>
              <w:keepLines/>
              <w:rPr>
                <w:rFonts w:ascii="Arial" w:hAnsi="Arial" w:cs="Arial"/>
              </w:rPr>
            </w:pPr>
          </w:p>
          <w:p w:rsidR="00504080" w:rsidRDefault="00504080" w:rsidP="00F35EEE">
            <w:pPr>
              <w:keepNext/>
              <w:keepLines/>
              <w:rPr>
                <w:rFonts w:ascii="Arial" w:hAnsi="Arial" w:cs="Arial"/>
              </w:rPr>
            </w:pPr>
            <w:r>
              <w:rPr>
                <w:rFonts w:ascii="Arial" w:hAnsi="Arial" w:cs="Arial"/>
              </w:rPr>
              <w:t>k</w:t>
            </w:r>
          </w:p>
          <w:p w:rsidR="00AD6871" w:rsidRPr="00AD6871" w:rsidRDefault="00AD6871" w:rsidP="00F35EEE">
            <w:pPr>
              <w:keepNext/>
              <w:keepLines/>
              <w:rPr>
                <w:rFonts w:ascii="Arial" w:hAnsi="Arial" w:cs="Arial"/>
              </w:rPr>
            </w:pPr>
          </w:p>
        </w:tc>
        <w:tc>
          <w:tcPr>
            <w:tcW w:w="7087" w:type="dxa"/>
          </w:tcPr>
          <w:p w:rsidR="00504080" w:rsidRPr="00457450" w:rsidRDefault="00504080" w:rsidP="00504080">
            <w:pPr>
              <w:jc w:val="both"/>
              <w:rPr>
                <w:rFonts w:ascii="Arial" w:hAnsi="Arial" w:cs="Arial"/>
                <w:b/>
                <w:bCs/>
                <w:i/>
              </w:rPr>
            </w:pPr>
            <w:r w:rsidRPr="00457450">
              <w:rPr>
                <w:rFonts w:ascii="Arial" w:hAnsi="Arial" w:cs="Arial"/>
                <w:b/>
                <w:bCs/>
                <w:i/>
              </w:rPr>
              <w:t>Specialised Services Directorate</w:t>
            </w:r>
          </w:p>
          <w:p w:rsidR="00504080" w:rsidRPr="00457450" w:rsidRDefault="00504080" w:rsidP="00504080">
            <w:pPr>
              <w:jc w:val="both"/>
              <w:rPr>
                <w:rFonts w:ascii="Arial" w:hAnsi="Arial" w:cs="Arial"/>
                <w:bCs/>
              </w:rPr>
            </w:pPr>
          </w:p>
          <w:p w:rsidR="00504080" w:rsidRPr="00457450" w:rsidRDefault="00504080" w:rsidP="00504080">
            <w:pPr>
              <w:jc w:val="both"/>
              <w:rPr>
                <w:rFonts w:ascii="Arial" w:hAnsi="Arial" w:cs="Arial"/>
                <w:bCs/>
              </w:rPr>
            </w:pPr>
            <w:r w:rsidRPr="00457450">
              <w:rPr>
                <w:rFonts w:ascii="Arial" w:hAnsi="Arial" w:cs="Arial"/>
                <w:bCs/>
              </w:rPr>
              <w:t xml:space="preserve">The Specialised Services Directorate had maintained 88% compliance in June comparative to 88% compliance in May and 86% compliance in April.  </w:t>
            </w:r>
          </w:p>
          <w:p w:rsidR="00504080" w:rsidRPr="00457450" w:rsidRDefault="00504080" w:rsidP="00504080">
            <w:pPr>
              <w:jc w:val="both"/>
              <w:rPr>
                <w:rFonts w:ascii="Arial" w:hAnsi="Arial" w:cs="Arial"/>
                <w:bCs/>
              </w:rPr>
            </w:pPr>
          </w:p>
          <w:p w:rsidR="00504080" w:rsidRPr="00457450" w:rsidRDefault="00504080" w:rsidP="00504080">
            <w:pPr>
              <w:jc w:val="both"/>
              <w:rPr>
                <w:rFonts w:ascii="Arial" w:hAnsi="Arial" w:cs="Arial"/>
                <w:b/>
                <w:bCs/>
              </w:rPr>
            </w:pPr>
            <w:r w:rsidRPr="00457450">
              <w:rPr>
                <w:rFonts w:ascii="Arial" w:hAnsi="Arial" w:cs="Arial"/>
                <w:b/>
                <w:bCs/>
              </w:rPr>
              <w:t xml:space="preserve">The Board noted the report.  </w:t>
            </w:r>
          </w:p>
          <w:p w:rsidR="00EC57A9" w:rsidRPr="00EC57A9" w:rsidRDefault="00EC57A9" w:rsidP="00AD0F54">
            <w:pPr>
              <w:jc w:val="both"/>
              <w:rPr>
                <w:rFonts w:ascii="Arial" w:hAnsi="Arial" w:cs="Arial"/>
                <w:bCs/>
              </w:rPr>
            </w:pPr>
          </w:p>
        </w:tc>
        <w:tc>
          <w:tcPr>
            <w:tcW w:w="1054" w:type="dxa"/>
          </w:tcPr>
          <w:p w:rsidR="00EC57A9" w:rsidRDefault="00EC57A9" w:rsidP="00687605">
            <w:pPr>
              <w:keepNext/>
              <w:keepLines/>
              <w:rPr>
                <w:rFonts w:ascii="Arial" w:hAnsi="Arial" w:cs="Arial"/>
                <w:b/>
              </w:rPr>
            </w:pPr>
          </w:p>
        </w:tc>
      </w:tr>
      <w:tr w:rsidR="00E24308" w:rsidRPr="00666D1B">
        <w:trPr>
          <w:trHeight w:val="650"/>
        </w:trPr>
        <w:tc>
          <w:tcPr>
            <w:tcW w:w="993" w:type="dxa"/>
          </w:tcPr>
          <w:p w:rsidR="006A3C3D" w:rsidRDefault="006A3C3D" w:rsidP="00F47972">
            <w:pPr>
              <w:keepNext/>
              <w:keepLines/>
              <w:rPr>
                <w:rFonts w:ascii="Arial" w:hAnsi="Arial" w:cs="Arial"/>
                <w:b/>
              </w:rPr>
            </w:pPr>
            <w:r>
              <w:rPr>
                <w:rFonts w:ascii="Arial" w:hAnsi="Arial" w:cs="Arial"/>
                <w:b/>
              </w:rPr>
              <w:t xml:space="preserve">BOD </w:t>
            </w:r>
            <w:r w:rsidR="00AD0F54">
              <w:rPr>
                <w:rFonts w:ascii="Arial" w:hAnsi="Arial" w:cs="Arial"/>
                <w:b/>
              </w:rPr>
              <w:t>124</w:t>
            </w:r>
            <w:r w:rsidR="003F07C2" w:rsidRPr="00000FC1">
              <w:rPr>
                <w:rFonts w:ascii="Arial" w:hAnsi="Arial" w:cs="Arial"/>
                <w:b/>
              </w:rPr>
              <w:t>/1</w:t>
            </w:r>
            <w:r w:rsidR="00D96B61">
              <w:rPr>
                <w:rFonts w:ascii="Arial" w:hAnsi="Arial" w:cs="Arial"/>
                <w:b/>
              </w:rPr>
              <w:t>8</w:t>
            </w:r>
          </w:p>
          <w:p w:rsidR="00F22124" w:rsidRDefault="001124F6" w:rsidP="002B49A5">
            <w:pPr>
              <w:keepNext/>
              <w:keepLines/>
              <w:rPr>
                <w:rFonts w:ascii="Arial" w:hAnsi="Arial" w:cs="Arial"/>
              </w:rPr>
            </w:pPr>
            <w:r>
              <w:rPr>
                <w:rFonts w:ascii="Arial" w:hAnsi="Arial" w:cs="Arial"/>
              </w:rPr>
              <w:t>a</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r>
              <w:rPr>
                <w:rFonts w:ascii="Arial" w:hAnsi="Arial" w:cs="Arial"/>
              </w:rPr>
              <w:t>b</w:t>
            </w: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r>
              <w:rPr>
                <w:rFonts w:ascii="Arial" w:hAnsi="Arial" w:cs="Arial"/>
              </w:rPr>
              <w:t>c</w:t>
            </w: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Default="00504080" w:rsidP="002C6DEA">
            <w:pPr>
              <w:keepNext/>
              <w:keepLines/>
              <w:rPr>
                <w:rFonts w:ascii="Arial" w:hAnsi="Arial" w:cs="Arial"/>
              </w:rPr>
            </w:pPr>
          </w:p>
          <w:p w:rsidR="00504080" w:rsidRPr="00000FC1" w:rsidRDefault="00504080" w:rsidP="002C6DEA">
            <w:pPr>
              <w:keepNext/>
              <w:keepLines/>
              <w:rPr>
                <w:rFonts w:ascii="Arial" w:hAnsi="Arial" w:cs="Arial"/>
              </w:rPr>
            </w:pPr>
            <w:r>
              <w:rPr>
                <w:rFonts w:ascii="Arial" w:hAnsi="Arial" w:cs="Arial"/>
              </w:rPr>
              <w:t>d</w:t>
            </w:r>
          </w:p>
        </w:tc>
        <w:tc>
          <w:tcPr>
            <w:tcW w:w="7087" w:type="dxa"/>
          </w:tcPr>
          <w:p w:rsidR="00F42430" w:rsidRPr="00F42430" w:rsidRDefault="00F42430" w:rsidP="00F42430">
            <w:pPr>
              <w:jc w:val="both"/>
              <w:rPr>
                <w:rFonts w:ascii="Arial" w:hAnsi="Arial" w:cs="Arial"/>
                <w:b/>
                <w:bCs/>
              </w:rPr>
            </w:pPr>
            <w:r w:rsidRPr="00F42430">
              <w:rPr>
                <w:rFonts w:ascii="Arial" w:hAnsi="Arial" w:cs="Arial"/>
                <w:b/>
                <w:bCs/>
              </w:rPr>
              <w:t>Patient Story – LD service</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Patient Experience &amp; Involvement Manager joined the meeting and introduced a service user from the LD service together with the Service User Experience Lead for the LD service.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service user talked to the Board about their experiences since the LD service had transferred to the Trust in July 2017.  They highlighted their participation in the LD User Group Meeting and confirmed that the LD User Group had also met with the CQC during the most recent inspection.  They noted </w:t>
            </w:r>
            <w:proofErr w:type="gramStart"/>
            <w:r w:rsidRPr="00F42430">
              <w:rPr>
                <w:rFonts w:ascii="Arial" w:hAnsi="Arial" w:cs="Arial"/>
                <w:bCs/>
              </w:rPr>
              <w:t>particular challenges</w:t>
            </w:r>
            <w:proofErr w:type="gramEnd"/>
            <w:r w:rsidRPr="00F42430">
              <w:rPr>
                <w:rFonts w:ascii="Arial" w:hAnsi="Arial" w:cs="Arial"/>
                <w:bCs/>
              </w:rPr>
              <w:t xml:space="preserve"> which they and others had experienced when receiving incoming phone calls which were recorded as ex-directory so that caller names were not displayed; they confirmed that this issue had been reported and resolved so that caller names could now be displayed.  They noted the work of the LD User Group in making the Initial Assessment Form more accessible, including </w:t>
            </w:r>
            <w:proofErr w:type="gramStart"/>
            <w:r w:rsidRPr="00F42430">
              <w:rPr>
                <w:rFonts w:ascii="Arial" w:hAnsi="Arial" w:cs="Arial"/>
                <w:bCs/>
              </w:rPr>
              <w:t>through the use of</w:t>
            </w:r>
            <w:proofErr w:type="gramEnd"/>
            <w:r w:rsidRPr="00F42430">
              <w:rPr>
                <w:rFonts w:ascii="Arial" w:hAnsi="Arial" w:cs="Arial"/>
                <w:bCs/>
              </w:rPr>
              <w:t xml:space="preserve"> a range of symbols and images.  They recommended the development of more easy-read documents and the Service User Experience Lead for the LD service showed the Board an example of an easy-read agenda.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Trust Chair thanked the service user for their valuable feedback and emphasised the importance of their participation in helping to develop the service and the culture at the Trust.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
                <w:bCs/>
              </w:rPr>
            </w:pPr>
            <w:r w:rsidRPr="00F42430">
              <w:rPr>
                <w:rFonts w:ascii="Arial" w:hAnsi="Arial" w:cs="Arial"/>
                <w:b/>
                <w:bCs/>
              </w:rPr>
              <w:t xml:space="preserve">The Board noted the presentation and thanked the service user for their story.  </w:t>
            </w:r>
          </w:p>
          <w:p w:rsidR="00F42430" w:rsidRPr="00F42430" w:rsidRDefault="00F42430" w:rsidP="00F42430">
            <w:pPr>
              <w:jc w:val="both"/>
              <w:rPr>
                <w:rFonts w:ascii="Arial" w:hAnsi="Arial" w:cs="Arial"/>
                <w:bCs/>
              </w:rPr>
            </w:pPr>
          </w:p>
          <w:p w:rsidR="00EC57A9" w:rsidRPr="00504080" w:rsidRDefault="00F42430" w:rsidP="00AD0F54">
            <w:pPr>
              <w:jc w:val="both"/>
              <w:rPr>
                <w:rFonts w:ascii="Arial" w:hAnsi="Arial" w:cs="Arial"/>
                <w:bCs/>
                <w:i/>
              </w:rPr>
            </w:pPr>
            <w:r w:rsidRPr="00F42430">
              <w:rPr>
                <w:rFonts w:ascii="Arial" w:hAnsi="Arial" w:cs="Arial"/>
                <w:bCs/>
                <w:i/>
              </w:rPr>
              <w:t xml:space="preserve">The LD service user and the Service User Experience Lead left the meeting.  </w:t>
            </w:r>
          </w:p>
        </w:tc>
        <w:tc>
          <w:tcPr>
            <w:tcW w:w="1054" w:type="dxa"/>
          </w:tcPr>
          <w:p w:rsidR="00EF1551" w:rsidRDefault="00EF1551"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tc>
      </w:tr>
      <w:tr w:rsidR="00EC57A9" w:rsidRPr="00666D1B">
        <w:trPr>
          <w:trHeight w:val="650"/>
        </w:trPr>
        <w:tc>
          <w:tcPr>
            <w:tcW w:w="993" w:type="dxa"/>
          </w:tcPr>
          <w:p w:rsidR="00F42430" w:rsidRDefault="00F42430" w:rsidP="00F42430">
            <w:pPr>
              <w:keepNext/>
              <w:keepLines/>
              <w:rPr>
                <w:rFonts w:ascii="Arial" w:hAnsi="Arial" w:cs="Arial"/>
              </w:rPr>
            </w:pPr>
            <w:r>
              <w:rPr>
                <w:rFonts w:ascii="Arial" w:hAnsi="Arial" w:cs="Arial"/>
                <w:b/>
              </w:rPr>
              <w:t xml:space="preserve">BOD </w:t>
            </w:r>
            <w:r w:rsidR="003F0BA3">
              <w:rPr>
                <w:rFonts w:ascii="Arial" w:hAnsi="Arial" w:cs="Arial"/>
                <w:b/>
              </w:rPr>
              <w:t>125</w:t>
            </w:r>
            <w:r w:rsidRPr="00000FC1">
              <w:rPr>
                <w:rFonts w:ascii="Arial" w:hAnsi="Arial" w:cs="Arial"/>
                <w:b/>
              </w:rPr>
              <w:t>/1</w:t>
            </w:r>
            <w:r>
              <w:rPr>
                <w:rFonts w:ascii="Arial" w:hAnsi="Arial" w:cs="Arial"/>
                <w:b/>
              </w:rPr>
              <w:t>8</w:t>
            </w:r>
          </w:p>
          <w:p w:rsidR="00EC57A9" w:rsidRDefault="00504080" w:rsidP="00F47972">
            <w:pPr>
              <w:keepNext/>
              <w:keepLines/>
              <w:rPr>
                <w:rFonts w:ascii="Arial" w:hAnsi="Arial" w:cs="Arial"/>
              </w:rPr>
            </w:pPr>
            <w:r>
              <w:rPr>
                <w:rFonts w:ascii="Arial" w:hAnsi="Arial" w:cs="Arial"/>
              </w:rPr>
              <w:t>a</w:t>
            </w: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r>
              <w:rPr>
                <w:rFonts w:ascii="Arial" w:hAnsi="Arial" w:cs="Arial"/>
              </w:rPr>
              <w:t>b</w:t>
            </w: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r>
              <w:rPr>
                <w:rFonts w:ascii="Arial" w:hAnsi="Arial" w:cs="Arial"/>
              </w:rPr>
              <w:t>c</w:t>
            </w: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p>
          <w:p w:rsidR="00504080" w:rsidRDefault="00504080" w:rsidP="00F47972">
            <w:pPr>
              <w:keepNext/>
              <w:keepLines/>
              <w:rPr>
                <w:rFonts w:ascii="Arial" w:hAnsi="Arial" w:cs="Arial"/>
              </w:rPr>
            </w:pPr>
            <w:r>
              <w:rPr>
                <w:rFonts w:ascii="Arial" w:hAnsi="Arial" w:cs="Arial"/>
              </w:rPr>
              <w:t>d</w:t>
            </w:r>
          </w:p>
          <w:p w:rsidR="00AD6871" w:rsidRDefault="00AD6871" w:rsidP="00F47972">
            <w:pPr>
              <w:keepNext/>
              <w:keepLines/>
              <w:rPr>
                <w:rFonts w:ascii="Arial" w:hAnsi="Arial" w:cs="Arial"/>
              </w:rPr>
            </w:pPr>
          </w:p>
          <w:p w:rsidR="00AD6871" w:rsidRDefault="00AD6871" w:rsidP="00F47972">
            <w:pPr>
              <w:keepNext/>
              <w:keepLines/>
              <w:rPr>
                <w:rFonts w:ascii="Arial" w:hAnsi="Arial" w:cs="Arial"/>
              </w:rPr>
            </w:pPr>
          </w:p>
          <w:p w:rsidR="00AD0F54" w:rsidRDefault="00AD0F54" w:rsidP="00F47972">
            <w:pPr>
              <w:keepNext/>
              <w:keepLines/>
              <w:rPr>
                <w:rFonts w:ascii="Arial" w:hAnsi="Arial" w:cs="Arial"/>
              </w:rPr>
            </w:pPr>
          </w:p>
          <w:p w:rsidR="00AD0F54" w:rsidRDefault="00504080" w:rsidP="00F47972">
            <w:pPr>
              <w:keepNext/>
              <w:keepLines/>
              <w:rPr>
                <w:rFonts w:ascii="Arial" w:hAnsi="Arial" w:cs="Arial"/>
              </w:rPr>
            </w:pPr>
            <w:r>
              <w:rPr>
                <w:rFonts w:ascii="Arial" w:hAnsi="Arial" w:cs="Arial"/>
              </w:rPr>
              <w:t>e</w:t>
            </w:r>
          </w:p>
          <w:p w:rsidR="00AD0F54" w:rsidRPr="00AD6871" w:rsidRDefault="00AD0F54" w:rsidP="00F47972">
            <w:pPr>
              <w:keepNext/>
              <w:keepLines/>
              <w:rPr>
                <w:rFonts w:ascii="Arial" w:hAnsi="Arial" w:cs="Arial"/>
              </w:rPr>
            </w:pPr>
          </w:p>
        </w:tc>
        <w:tc>
          <w:tcPr>
            <w:tcW w:w="7087" w:type="dxa"/>
          </w:tcPr>
          <w:p w:rsidR="00F42430" w:rsidRPr="00EC57A9" w:rsidRDefault="00F42430" w:rsidP="00F42430">
            <w:pPr>
              <w:jc w:val="both"/>
              <w:rPr>
                <w:rFonts w:ascii="Arial" w:hAnsi="Arial" w:cs="Arial"/>
                <w:b/>
                <w:bCs/>
              </w:rPr>
            </w:pPr>
            <w:r w:rsidRPr="00EC57A9">
              <w:rPr>
                <w:rFonts w:ascii="Arial" w:hAnsi="Arial" w:cs="Arial"/>
                <w:b/>
                <w:bCs/>
              </w:rPr>
              <w:lastRenderedPageBreak/>
              <w:t>Human Resources (Workforce Performance) Report</w:t>
            </w:r>
          </w:p>
          <w:p w:rsidR="00EC57A9" w:rsidRDefault="00EC57A9" w:rsidP="00AD0F54">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Director of HR presented the report BOD 94/2018 which set out the position on workforce performance indicators including temporary staffing spend, the HCA agency reduction, vacancies, </w:t>
            </w:r>
            <w:r w:rsidRPr="00F42430">
              <w:rPr>
                <w:rFonts w:ascii="Arial" w:hAnsi="Arial" w:cs="Arial"/>
                <w:bCs/>
              </w:rPr>
              <w:lastRenderedPageBreak/>
              <w:t>turnover, sickness, recruitment, health and wellbeing, management of concerns (whistleblowing), proportion of Black &amp; Minority Ethnic (</w:t>
            </w:r>
            <w:r w:rsidRPr="00F42430">
              <w:rPr>
                <w:rFonts w:ascii="Arial" w:hAnsi="Arial" w:cs="Arial"/>
                <w:b/>
                <w:bCs/>
              </w:rPr>
              <w:t>BME</w:t>
            </w:r>
            <w:r w:rsidRPr="00F42430">
              <w:rPr>
                <w:rFonts w:ascii="Arial" w:hAnsi="Arial" w:cs="Arial"/>
                <w:bCs/>
              </w:rPr>
              <w:t>) staff involved in formal disciplinary processes, retention, national pay review and Workforce Race Equality Standards (</w:t>
            </w:r>
            <w:r w:rsidRPr="00F42430">
              <w:rPr>
                <w:rFonts w:ascii="Arial" w:hAnsi="Arial" w:cs="Arial"/>
                <w:b/>
                <w:bCs/>
              </w:rPr>
              <w:t>WRES</w:t>
            </w:r>
            <w:r w:rsidRPr="00F42430">
              <w:rPr>
                <w:rFonts w:ascii="Arial" w:hAnsi="Arial" w:cs="Arial"/>
                <w:bCs/>
              </w:rPr>
              <w:t xml:space="preserve">).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He referred to the WRES data in the report and highlighted that, for the first time, data from June 2018 demonstrated a higher proportion of BME staff entering disciplinary processes.  This was an area of </w:t>
            </w:r>
            <w:proofErr w:type="gramStart"/>
            <w:r w:rsidRPr="00F42430">
              <w:rPr>
                <w:rFonts w:ascii="Arial" w:hAnsi="Arial" w:cs="Arial"/>
                <w:bCs/>
              </w:rPr>
              <w:t>particular focus</w:t>
            </w:r>
            <w:proofErr w:type="gramEnd"/>
            <w:r w:rsidRPr="00F42430">
              <w:rPr>
                <w:rFonts w:ascii="Arial" w:hAnsi="Arial" w:cs="Arial"/>
                <w:bCs/>
              </w:rPr>
              <w:t xml:space="preserve"> and concern, especially as proportionately the Trust overall had fewer BME than white staff.  Following discussion with the Royal College of Nursing, the Trust was developing a training programme and would target rollout in October 2018, coinciding with Black History Month.  He noted that the Trust should focus on race equality, not just gender equality, and that this was of </w:t>
            </w:r>
            <w:proofErr w:type="gramStart"/>
            <w:r w:rsidRPr="00F42430">
              <w:rPr>
                <w:rFonts w:ascii="Arial" w:hAnsi="Arial" w:cs="Arial"/>
                <w:bCs/>
              </w:rPr>
              <w:t>particular concern</w:t>
            </w:r>
            <w:proofErr w:type="gramEnd"/>
            <w:r w:rsidRPr="00F42430">
              <w:rPr>
                <w:rFonts w:ascii="Arial" w:hAnsi="Arial" w:cs="Arial"/>
                <w:bCs/>
              </w:rPr>
              <w:t xml:space="preserve"> to the Equality &amp; Diversity steering group.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Trust was implementing the national pay review including back pay, in line with other NHS organisations, for staff on Agenda for Change.  The Director of HR noted that the position was not clear, however, for those staff not on Agenda for Change terms and conditions.  The pay deal was more complex than in recent years.  The Director of Finance agreed and noted that if the treasury had set aside insufficient funds then there may be a shortfall in future months; central funding was coming through monthly but it was complicated to route this through CCGs on a recurrent basis and if there was a shortfall/gap then this may only become apparent once funding mechanisms had bedded in.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Medical Director reported the recent national announcement around doctors’ pay, which would not be backdated, and noted that this may cause consternation.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
                <w:bCs/>
              </w:rPr>
            </w:pPr>
            <w:r w:rsidRPr="00F42430">
              <w:rPr>
                <w:rFonts w:ascii="Arial" w:hAnsi="Arial" w:cs="Arial"/>
                <w:b/>
                <w:bCs/>
              </w:rPr>
              <w:t xml:space="preserve">The Board noted the report.  </w:t>
            </w:r>
          </w:p>
          <w:p w:rsidR="00F42430" w:rsidRPr="00EC57A9" w:rsidRDefault="00F42430" w:rsidP="00F42430">
            <w:pPr>
              <w:jc w:val="both"/>
              <w:rPr>
                <w:rFonts w:ascii="Arial" w:hAnsi="Arial" w:cs="Arial"/>
                <w:bCs/>
              </w:rPr>
            </w:pPr>
          </w:p>
        </w:tc>
        <w:tc>
          <w:tcPr>
            <w:tcW w:w="1054" w:type="dxa"/>
          </w:tcPr>
          <w:p w:rsidR="00EC57A9" w:rsidRDefault="00EC57A9" w:rsidP="00CB115C">
            <w:pPr>
              <w:keepNext/>
              <w:keepLines/>
              <w:rPr>
                <w:rFonts w:ascii="Arial" w:hAnsi="Arial" w:cs="Arial"/>
                <w:b/>
              </w:rPr>
            </w:pPr>
          </w:p>
          <w:p w:rsidR="00347DEF" w:rsidRDefault="00347DEF" w:rsidP="00CB115C">
            <w:pPr>
              <w:keepNext/>
              <w:keepLines/>
              <w:rPr>
                <w:rFonts w:ascii="Arial" w:hAnsi="Arial" w:cs="Arial"/>
                <w:b/>
              </w:rPr>
            </w:pPr>
          </w:p>
          <w:p w:rsidR="00347DEF" w:rsidRDefault="00347DEF" w:rsidP="00CB115C">
            <w:pPr>
              <w:keepNext/>
              <w:keepLines/>
              <w:rPr>
                <w:rFonts w:ascii="Arial" w:hAnsi="Arial" w:cs="Arial"/>
                <w:b/>
              </w:rPr>
            </w:pPr>
          </w:p>
        </w:tc>
      </w:tr>
      <w:tr w:rsidR="00F35EEE" w:rsidRPr="00666D1B">
        <w:trPr>
          <w:trHeight w:val="650"/>
        </w:trPr>
        <w:tc>
          <w:tcPr>
            <w:tcW w:w="993" w:type="dxa"/>
          </w:tcPr>
          <w:p w:rsidR="00F35EEE" w:rsidRDefault="009E4F16" w:rsidP="00F35EEE">
            <w:pPr>
              <w:keepNext/>
              <w:keepLines/>
              <w:rPr>
                <w:rFonts w:ascii="Arial" w:hAnsi="Arial" w:cs="Arial"/>
              </w:rPr>
            </w:pPr>
            <w:r>
              <w:rPr>
                <w:rFonts w:ascii="Arial" w:hAnsi="Arial" w:cs="Arial"/>
                <w:b/>
              </w:rPr>
              <w:t xml:space="preserve">BOD </w:t>
            </w:r>
            <w:r w:rsidR="003F0BA3">
              <w:rPr>
                <w:rFonts w:ascii="Arial" w:hAnsi="Arial" w:cs="Arial"/>
                <w:b/>
              </w:rPr>
              <w:t>126</w:t>
            </w:r>
            <w:r w:rsidR="00F35EEE" w:rsidRPr="00000FC1">
              <w:rPr>
                <w:rFonts w:ascii="Arial" w:hAnsi="Arial" w:cs="Arial"/>
                <w:b/>
              </w:rPr>
              <w:t>/1</w:t>
            </w:r>
            <w:r w:rsidR="00D96B61">
              <w:rPr>
                <w:rFonts w:ascii="Arial" w:hAnsi="Arial" w:cs="Arial"/>
                <w:b/>
              </w:rPr>
              <w:t>8</w:t>
            </w:r>
          </w:p>
          <w:p w:rsidR="000F4BDB" w:rsidRDefault="00F35EEE" w:rsidP="00F35EEE">
            <w:pPr>
              <w:keepNext/>
              <w:keepLines/>
              <w:rPr>
                <w:rFonts w:ascii="Arial" w:hAnsi="Arial" w:cs="Arial"/>
              </w:rPr>
            </w:pPr>
            <w:r>
              <w:rPr>
                <w:rFonts w:ascii="Arial" w:hAnsi="Arial" w:cs="Arial"/>
              </w:rPr>
              <w:t>a</w:t>
            </w:r>
          </w:p>
          <w:p w:rsidR="000F4BDB" w:rsidRDefault="000F4BDB" w:rsidP="00F35EEE">
            <w:pPr>
              <w:keepNext/>
              <w:keepLines/>
              <w:rPr>
                <w:rFonts w:ascii="Arial" w:hAnsi="Arial" w:cs="Arial"/>
              </w:rPr>
            </w:pPr>
          </w:p>
          <w:p w:rsidR="00F06992" w:rsidRDefault="00F06992" w:rsidP="007B593F">
            <w:pPr>
              <w:keepNext/>
              <w:keepLines/>
              <w:rPr>
                <w:rFonts w:ascii="Arial" w:hAnsi="Arial" w:cs="Arial"/>
              </w:rPr>
            </w:pPr>
          </w:p>
          <w:p w:rsidR="00AD6871" w:rsidRDefault="00AD6871" w:rsidP="007B593F">
            <w:pPr>
              <w:keepNext/>
              <w:keepLines/>
              <w:rPr>
                <w:rFonts w:ascii="Arial" w:hAnsi="Arial" w:cs="Arial"/>
              </w:rPr>
            </w:pPr>
          </w:p>
          <w:p w:rsidR="00AD6871" w:rsidRPr="00187C45" w:rsidRDefault="00AD6871" w:rsidP="00AD0F54">
            <w:pPr>
              <w:keepNext/>
              <w:keepLines/>
              <w:rPr>
                <w:rFonts w:ascii="Arial" w:hAnsi="Arial" w:cs="Arial"/>
              </w:rPr>
            </w:pPr>
          </w:p>
        </w:tc>
        <w:tc>
          <w:tcPr>
            <w:tcW w:w="7087" w:type="dxa"/>
          </w:tcPr>
          <w:p w:rsidR="00F42430" w:rsidRPr="00F42430" w:rsidRDefault="00F42430" w:rsidP="00F42430">
            <w:pPr>
              <w:jc w:val="both"/>
              <w:rPr>
                <w:rFonts w:ascii="Arial" w:hAnsi="Arial" w:cs="Arial"/>
                <w:b/>
                <w:bCs/>
              </w:rPr>
            </w:pPr>
            <w:r w:rsidRPr="00F42430">
              <w:rPr>
                <w:rFonts w:ascii="Arial" w:hAnsi="Arial" w:cs="Arial"/>
                <w:b/>
                <w:bCs/>
              </w:rPr>
              <w:t>Inpatient Safer Staffing Report</w:t>
            </w:r>
          </w:p>
          <w:p w:rsidR="00F42430" w:rsidRPr="00F42430" w:rsidRDefault="00F42430" w:rsidP="00F42430">
            <w:pPr>
              <w:jc w:val="both"/>
              <w:rPr>
                <w:rFonts w:ascii="Arial" w:hAnsi="Arial" w:cs="Arial"/>
                <w:bCs/>
              </w:rPr>
            </w:pPr>
          </w:p>
          <w:p w:rsidR="00F42430" w:rsidRPr="00F42430" w:rsidRDefault="00F42430" w:rsidP="00504080">
            <w:pPr>
              <w:jc w:val="both"/>
              <w:rPr>
                <w:rFonts w:ascii="Arial" w:hAnsi="Arial" w:cs="Arial"/>
                <w:bCs/>
              </w:rPr>
            </w:pPr>
            <w:r w:rsidRPr="00F42430">
              <w:rPr>
                <w:rFonts w:ascii="Arial" w:hAnsi="Arial" w:cs="Arial"/>
                <w:bCs/>
              </w:rPr>
              <w:t xml:space="preserve">The Director of Nursing &amp; Clinical Standards presented the report BOD 95/2018 which, this month, provided more specific focus on: agency use; the impact of maintaining safe staffing on patient care; CHPPD (Care Hours Per Patient Day) reporting requirements; and implementation of the Safe Care acuity and demand data collection module on the Health Roster.  During 21 May to 17 June 2018, average weekly daytime fill rates for </w:t>
            </w:r>
          </w:p>
        </w:tc>
        <w:tc>
          <w:tcPr>
            <w:tcW w:w="1054" w:type="dxa"/>
          </w:tcPr>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tc>
      </w:tr>
      <w:tr w:rsidR="007B593F" w:rsidRPr="00666D1B">
        <w:trPr>
          <w:trHeight w:val="650"/>
        </w:trPr>
        <w:tc>
          <w:tcPr>
            <w:tcW w:w="993" w:type="dxa"/>
          </w:tcPr>
          <w:p w:rsidR="00024BB9" w:rsidRDefault="00024BB9"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r>
              <w:rPr>
                <w:rFonts w:ascii="Arial" w:hAnsi="Arial" w:cs="Arial"/>
              </w:rPr>
              <w:t>b</w:t>
            </w: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p>
          <w:p w:rsidR="00504080" w:rsidRDefault="00504080" w:rsidP="007828B9">
            <w:pPr>
              <w:keepNext/>
              <w:keepLines/>
              <w:rPr>
                <w:rFonts w:ascii="Arial" w:hAnsi="Arial" w:cs="Arial"/>
              </w:rPr>
            </w:pPr>
            <w:r>
              <w:rPr>
                <w:rFonts w:ascii="Arial" w:hAnsi="Arial" w:cs="Arial"/>
              </w:rPr>
              <w:t>c</w:t>
            </w:r>
          </w:p>
          <w:p w:rsidR="00396767" w:rsidRPr="00024BB9" w:rsidRDefault="00396767" w:rsidP="007828B9">
            <w:pPr>
              <w:keepNext/>
              <w:keepLines/>
              <w:rPr>
                <w:rFonts w:ascii="Arial" w:hAnsi="Arial" w:cs="Arial"/>
              </w:rPr>
            </w:pPr>
          </w:p>
        </w:tc>
        <w:tc>
          <w:tcPr>
            <w:tcW w:w="7087" w:type="dxa"/>
          </w:tcPr>
          <w:p w:rsidR="00504080" w:rsidRPr="00F42430" w:rsidRDefault="00504080" w:rsidP="00504080">
            <w:pPr>
              <w:jc w:val="both"/>
              <w:rPr>
                <w:rFonts w:ascii="Arial" w:hAnsi="Arial" w:cs="Arial"/>
                <w:bCs/>
              </w:rPr>
            </w:pPr>
            <w:r w:rsidRPr="00F42430">
              <w:rPr>
                <w:rFonts w:ascii="Arial" w:hAnsi="Arial" w:cs="Arial"/>
                <w:bCs/>
              </w:rPr>
              <w:t xml:space="preserve">registered and unregistered staff had been above the Trust target of 85%, being 95% or above for registered staff and 92% or above for unregistered.  Average weekly night time fill rates had also been above the target of 85%.  However, 8 wards were still below the 85% target for average daytime fill rates for registered nurses (also 8 in the previous reporting period) but all wards had 93% or above of unregistered staff to ensure safe staffing numbers overall.  Substantive, flexible and agency registered (nursing) staff had been used to fill shifts.  Average weekly agency usage had reduced to 9.85% (from 11.22% in the previous reporting period) and the work to reduce agency HCA usage continued.  The reasons for needing to use agency staffing remained: high levels of patient acuity driving the need for agency/temporary staffing.  There were no instances to link staffing levels with adverse patient outcomes or the project to reduce agency HCA usage; this was being monitored through the Trust’s incident reporting processes.  </w:t>
            </w:r>
          </w:p>
          <w:p w:rsidR="00504080" w:rsidRPr="00F42430" w:rsidRDefault="00504080" w:rsidP="00504080">
            <w:pPr>
              <w:jc w:val="both"/>
              <w:rPr>
                <w:rFonts w:ascii="Arial" w:hAnsi="Arial" w:cs="Arial"/>
                <w:bCs/>
              </w:rPr>
            </w:pPr>
          </w:p>
          <w:p w:rsidR="00504080" w:rsidRPr="00F42430" w:rsidRDefault="00504080" w:rsidP="00504080">
            <w:pPr>
              <w:jc w:val="both"/>
              <w:rPr>
                <w:rFonts w:ascii="Arial" w:hAnsi="Arial" w:cs="Arial"/>
                <w:bCs/>
              </w:rPr>
            </w:pPr>
            <w:r w:rsidRPr="00F42430">
              <w:rPr>
                <w:rFonts w:ascii="Arial" w:hAnsi="Arial" w:cs="Arial"/>
                <w:bCs/>
              </w:rPr>
              <w:t xml:space="preserve">John Allison asked if the report was prepared specifically for the Board or was also required for/could be used in other contexts.  The Director of Nursing &amp; Clinical Standards replied that it was a requirement for boards to consider </w:t>
            </w:r>
            <w:proofErr w:type="gramStart"/>
            <w:r w:rsidRPr="00F42430">
              <w:rPr>
                <w:rFonts w:ascii="Arial" w:hAnsi="Arial" w:cs="Arial"/>
                <w:bCs/>
              </w:rPr>
              <w:t>whether or not</w:t>
            </w:r>
            <w:proofErr w:type="gramEnd"/>
            <w:r w:rsidRPr="00F42430">
              <w:rPr>
                <w:rFonts w:ascii="Arial" w:hAnsi="Arial" w:cs="Arial"/>
                <w:bCs/>
              </w:rPr>
              <w:t xml:space="preserve"> wards were safely staffed, on a monthly basis, following the Mid Staffordshire NHS FT enquiry; she added that the CQC had also reviewed the way in which the Trust published information on safe staffing and this was an area of national regulatory focus.  She noted that workforce and staffing was a significant risk for the Trust and it was important, in acute and mental health sectors, for ward staffing and the amount of effort which took place to ensure safe staffing to be highlighted for the attention of boards.   </w:t>
            </w:r>
          </w:p>
          <w:p w:rsidR="00504080" w:rsidRPr="00F42430" w:rsidRDefault="00504080" w:rsidP="00504080">
            <w:pPr>
              <w:jc w:val="both"/>
              <w:rPr>
                <w:rFonts w:ascii="Arial" w:hAnsi="Arial" w:cs="Arial"/>
                <w:bCs/>
              </w:rPr>
            </w:pPr>
          </w:p>
          <w:p w:rsidR="00504080" w:rsidRPr="00F42430" w:rsidRDefault="00504080" w:rsidP="00504080">
            <w:pPr>
              <w:jc w:val="both"/>
              <w:rPr>
                <w:rFonts w:ascii="Arial" w:hAnsi="Arial" w:cs="Arial"/>
                <w:b/>
                <w:bCs/>
              </w:rPr>
            </w:pPr>
            <w:r w:rsidRPr="00F42430">
              <w:rPr>
                <w:rFonts w:ascii="Arial" w:hAnsi="Arial" w:cs="Arial"/>
                <w:b/>
                <w:bCs/>
              </w:rPr>
              <w:t xml:space="preserve">The Board noted the report.  </w:t>
            </w:r>
          </w:p>
          <w:p w:rsidR="004C1EE2" w:rsidRPr="00504080" w:rsidRDefault="004C1EE2" w:rsidP="004C1EE2">
            <w:pPr>
              <w:jc w:val="both"/>
              <w:rPr>
                <w:rFonts w:ascii="Arial" w:hAnsi="Arial" w:cs="Arial"/>
                <w:bCs/>
              </w:rPr>
            </w:pPr>
          </w:p>
        </w:tc>
        <w:tc>
          <w:tcPr>
            <w:tcW w:w="1054" w:type="dxa"/>
          </w:tcPr>
          <w:p w:rsidR="007B593F" w:rsidRDefault="007B593F" w:rsidP="00687605">
            <w:pPr>
              <w:keepNext/>
              <w:keepLines/>
              <w:rPr>
                <w:rFonts w:ascii="Arial" w:hAnsi="Arial" w:cs="Arial"/>
                <w:b/>
              </w:rPr>
            </w:pPr>
          </w:p>
          <w:p w:rsidR="00136AF8" w:rsidRDefault="00136AF8" w:rsidP="00687605">
            <w:pPr>
              <w:keepNext/>
              <w:keepLines/>
              <w:rPr>
                <w:rFonts w:ascii="Arial" w:hAnsi="Arial" w:cs="Arial"/>
                <w:b/>
              </w:rPr>
            </w:pPr>
          </w:p>
        </w:tc>
      </w:tr>
      <w:tr w:rsidR="00241F56" w:rsidRPr="00666D1B">
        <w:trPr>
          <w:trHeight w:val="650"/>
        </w:trPr>
        <w:tc>
          <w:tcPr>
            <w:tcW w:w="993" w:type="dxa"/>
          </w:tcPr>
          <w:p w:rsidR="000F4BDB" w:rsidRDefault="00241F56" w:rsidP="00D877DD">
            <w:pPr>
              <w:keepNext/>
              <w:keepLines/>
              <w:rPr>
                <w:rFonts w:ascii="Arial" w:hAnsi="Arial" w:cs="Arial"/>
              </w:rPr>
            </w:pPr>
            <w:r>
              <w:rPr>
                <w:rFonts w:ascii="Arial" w:hAnsi="Arial" w:cs="Arial"/>
                <w:b/>
              </w:rPr>
              <w:t xml:space="preserve">BOD </w:t>
            </w:r>
            <w:r w:rsidR="003F0BA3">
              <w:rPr>
                <w:rFonts w:ascii="Arial" w:hAnsi="Arial" w:cs="Arial"/>
                <w:b/>
              </w:rPr>
              <w:t>127</w:t>
            </w:r>
            <w:r w:rsidRPr="00000FC1">
              <w:rPr>
                <w:rFonts w:ascii="Arial" w:hAnsi="Arial" w:cs="Arial"/>
                <w:b/>
              </w:rPr>
              <w:t>/1</w:t>
            </w:r>
            <w:r w:rsidR="00D877DD">
              <w:rPr>
                <w:rFonts w:ascii="Arial" w:hAnsi="Arial" w:cs="Arial"/>
                <w:b/>
              </w:rPr>
              <w:t>8</w:t>
            </w:r>
          </w:p>
          <w:p w:rsidR="00016BAE" w:rsidRDefault="00016BAE" w:rsidP="00D877DD">
            <w:pPr>
              <w:keepNext/>
              <w:keepLines/>
              <w:rPr>
                <w:rFonts w:ascii="Arial" w:hAnsi="Arial" w:cs="Arial"/>
              </w:rPr>
            </w:pPr>
            <w:r>
              <w:rPr>
                <w:rFonts w:ascii="Arial" w:hAnsi="Arial" w:cs="Arial"/>
              </w:rPr>
              <w:t>a</w:t>
            </w: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Pr="00016BAE" w:rsidRDefault="00396767" w:rsidP="00D877DD">
            <w:pPr>
              <w:keepNext/>
              <w:keepLines/>
              <w:rPr>
                <w:rFonts w:ascii="Arial" w:hAnsi="Arial" w:cs="Arial"/>
              </w:rPr>
            </w:pPr>
          </w:p>
        </w:tc>
        <w:tc>
          <w:tcPr>
            <w:tcW w:w="7087" w:type="dxa"/>
          </w:tcPr>
          <w:p w:rsidR="00F42430" w:rsidRPr="00F42430" w:rsidRDefault="00F42430" w:rsidP="00F42430">
            <w:pPr>
              <w:jc w:val="both"/>
              <w:rPr>
                <w:rFonts w:ascii="Arial" w:hAnsi="Arial" w:cs="Arial"/>
                <w:b/>
                <w:bCs/>
              </w:rPr>
            </w:pPr>
            <w:r w:rsidRPr="00F42430">
              <w:rPr>
                <w:rFonts w:ascii="Arial" w:hAnsi="Arial" w:cs="Arial"/>
                <w:b/>
                <w:bCs/>
              </w:rPr>
              <w:t>Quality &amp; Safety Report: Patient Experience</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Director of Nursing &amp; Clinical Standards presented the report BOD 96/2018 which provided an overview of feedback from patients and carers and examples of action taken (‘You Said, We Did’).  </w:t>
            </w:r>
            <w:proofErr w:type="gramStart"/>
            <w:r w:rsidRPr="00F42430">
              <w:rPr>
                <w:rFonts w:ascii="Arial" w:hAnsi="Arial" w:cs="Arial"/>
                <w:bCs/>
              </w:rPr>
              <w:t>The majority of</w:t>
            </w:r>
            <w:proofErr w:type="gramEnd"/>
            <w:r w:rsidRPr="00F42430">
              <w:rPr>
                <w:rFonts w:ascii="Arial" w:hAnsi="Arial" w:cs="Arial"/>
                <w:bCs/>
              </w:rPr>
              <w:t xml:space="preserve"> feedback was positive but the same persistent themes continued to be reported.  Recent Linking Leaders conferences had been used to focus on themes around family engagement, involvement and communication; these remained areas to consider for every patient.  </w:t>
            </w:r>
          </w:p>
          <w:p w:rsidR="00F42430" w:rsidRDefault="00F42430" w:rsidP="00F42430">
            <w:pPr>
              <w:jc w:val="both"/>
              <w:rPr>
                <w:rFonts w:ascii="Arial" w:hAnsi="Arial" w:cs="Arial"/>
                <w:bCs/>
              </w:rPr>
            </w:pPr>
          </w:p>
          <w:p w:rsidR="00D6425B" w:rsidRPr="0037236C" w:rsidRDefault="00D6425B" w:rsidP="00D6425B">
            <w:pPr>
              <w:jc w:val="both"/>
              <w:rPr>
                <w:rFonts w:ascii="Arial" w:hAnsi="Arial" w:cs="Arial"/>
                <w:bCs/>
              </w:rPr>
            </w:pPr>
          </w:p>
        </w:tc>
        <w:tc>
          <w:tcPr>
            <w:tcW w:w="1054" w:type="dxa"/>
          </w:tcPr>
          <w:p w:rsidR="00A900EA" w:rsidRDefault="00A900EA" w:rsidP="00687605">
            <w:pPr>
              <w:keepNext/>
              <w:keepLines/>
              <w:rPr>
                <w:rFonts w:ascii="Arial" w:hAnsi="Arial" w:cs="Arial"/>
                <w:b/>
              </w:rPr>
            </w:pPr>
          </w:p>
        </w:tc>
      </w:tr>
      <w:tr w:rsidR="00D6425B" w:rsidRPr="00666D1B">
        <w:trPr>
          <w:trHeight w:val="650"/>
        </w:trPr>
        <w:tc>
          <w:tcPr>
            <w:tcW w:w="993" w:type="dxa"/>
          </w:tcPr>
          <w:p w:rsidR="00396767" w:rsidRDefault="00504080" w:rsidP="00D877DD">
            <w:pPr>
              <w:keepNext/>
              <w:keepLines/>
              <w:rPr>
                <w:rFonts w:ascii="Arial" w:hAnsi="Arial" w:cs="Arial"/>
              </w:rPr>
            </w:pPr>
            <w:r>
              <w:rPr>
                <w:rFonts w:ascii="Arial" w:hAnsi="Arial" w:cs="Arial"/>
              </w:rPr>
              <w:lastRenderedPageBreak/>
              <w:t>b</w:t>
            </w:r>
          </w:p>
          <w:p w:rsidR="00504080" w:rsidRDefault="00504080" w:rsidP="00D877DD">
            <w:pPr>
              <w:keepNext/>
              <w:keepLines/>
              <w:rPr>
                <w:rFonts w:ascii="Arial" w:hAnsi="Arial" w:cs="Arial"/>
              </w:rPr>
            </w:pPr>
          </w:p>
          <w:p w:rsidR="00504080" w:rsidRDefault="00504080" w:rsidP="00D877DD">
            <w:pPr>
              <w:keepNext/>
              <w:keepLines/>
              <w:rPr>
                <w:rFonts w:ascii="Arial" w:hAnsi="Arial" w:cs="Arial"/>
              </w:rPr>
            </w:pPr>
          </w:p>
          <w:p w:rsidR="00504080" w:rsidRDefault="00504080" w:rsidP="00D877DD">
            <w:pPr>
              <w:keepNext/>
              <w:keepLines/>
              <w:rPr>
                <w:rFonts w:ascii="Arial" w:hAnsi="Arial" w:cs="Arial"/>
              </w:rPr>
            </w:pPr>
          </w:p>
          <w:p w:rsidR="00504080" w:rsidRDefault="00504080" w:rsidP="00D877DD">
            <w:pPr>
              <w:keepNext/>
              <w:keepLines/>
              <w:rPr>
                <w:rFonts w:ascii="Arial" w:hAnsi="Arial" w:cs="Arial"/>
              </w:rPr>
            </w:pPr>
          </w:p>
          <w:p w:rsidR="00504080" w:rsidRDefault="00504080" w:rsidP="00D877DD">
            <w:pPr>
              <w:keepNext/>
              <w:keepLines/>
              <w:rPr>
                <w:rFonts w:ascii="Arial" w:hAnsi="Arial" w:cs="Arial"/>
              </w:rPr>
            </w:pPr>
          </w:p>
          <w:p w:rsidR="00504080" w:rsidRDefault="00504080" w:rsidP="00D877DD">
            <w:pPr>
              <w:keepNext/>
              <w:keepLines/>
              <w:rPr>
                <w:rFonts w:ascii="Arial" w:hAnsi="Arial" w:cs="Arial"/>
              </w:rPr>
            </w:pPr>
          </w:p>
          <w:p w:rsidR="00504080" w:rsidRDefault="00504080" w:rsidP="00D877DD">
            <w:pPr>
              <w:keepNext/>
              <w:keepLines/>
              <w:rPr>
                <w:rFonts w:ascii="Arial" w:hAnsi="Arial" w:cs="Arial"/>
              </w:rPr>
            </w:pPr>
          </w:p>
          <w:p w:rsidR="00504080" w:rsidRDefault="00504080" w:rsidP="00D877DD">
            <w:pPr>
              <w:keepNext/>
              <w:keepLines/>
              <w:rPr>
                <w:rFonts w:ascii="Arial" w:hAnsi="Arial" w:cs="Arial"/>
              </w:rPr>
            </w:pPr>
          </w:p>
          <w:p w:rsidR="00504080" w:rsidRDefault="00504080" w:rsidP="00D877DD">
            <w:pPr>
              <w:keepNext/>
              <w:keepLines/>
              <w:rPr>
                <w:rFonts w:ascii="Arial" w:hAnsi="Arial" w:cs="Arial"/>
              </w:rPr>
            </w:pPr>
          </w:p>
          <w:p w:rsidR="00504080" w:rsidRPr="00396767" w:rsidRDefault="00504080" w:rsidP="00D877DD">
            <w:pPr>
              <w:keepNext/>
              <w:keepLines/>
              <w:rPr>
                <w:rFonts w:ascii="Arial" w:hAnsi="Arial" w:cs="Arial"/>
              </w:rPr>
            </w:pPr>
            <w:r>
              <w:rPr>
                <w:rFonts w:ascii="Arial" w:hAnsi="Arial" w:cs="Arial"/>
              </w:rPr>
              <w:t>c</w:t>
            </w:r>
          </w:p>
        </w:tc>
        <w:tc>
          <w:tcPr>
            <w:tcW w:w="7087" w:type="dxa"/>
          </w:tcPr>
          <w:p w:rsidR="00504080" w:rsidRPr="00F42430" w:rsidRDefault="00504080" w:rsidP="00504080">
            <w:pPr>
              <w:jc w:val="both"/>
              <w:rPr>
                <w:rFonts w:ascii="Arial" w:hAnsi="Arial" w:cs="Arial"/>
                <w:bCs/>
              </w:rPr>
            </w:pPr>
            <w:r w:rsidRPr="00F42430">
              <w:rPr>
                <w:rFonts w:ascii="Arial" w:hAnsi="Arial" w:cs="Arial"/>
                <w:bCs/>
              </w:rPr>
              <w:t xml:space="preserve">Aroop Mozumder noted that the scores achieved were impressive and he congratulated staff.  He asked if there was any evidence to suggest that high agency or flexible staff usage on wards impacted on patient experience.  The Joint Service Director replied that it was possible to break the data down to highlight individual wards and consider if agency usage had an impact.  The Director of Nursing &amp; Clinical Standards confirmed that this was being considered and this data also triangulated with reporting on complaints.  </w:t>
            </w:r>
          </w:p>
          <w:p w:rsidR="00504080" w:rsidRPr="00F42430" w:rsidRDefault="00504080" w:rsidP="00504080">
            <w:pPr>
              <w:jc w:val="both"/>
              <w:rPr>
                <w:rFonts w:ascii="Arial" w:hAnsi="Arial" w:cs="Arial"/>
                <w:bCs/>
              </w:rPr>
            </w:pPr>
          </w:p>
          <w:p w:rsidR="00504080" w:rsidRPr="00F42430" w:rsidRDefault="00504080" w:rsidP="00504080">
            <w:pPr>
              <w:jc w:val="both"/>
              <w:rPr>
                <w:rFonts w:ascii="Arial" w:hAnsi="Arial" w:cs="Arial"/>
                <w:b/>
                <w:bCs/>
              </w:rPr>
            </w:pPr>
            <w:r w:rsidRPr="00F42430">
              <w:rPr>
                <w:rFonts w:ascii="Arial" w:hAnsi="Arial" w:cs="Arial"/>
                <w:b/>
                <w:bCs/>
              </w:rPr>
              <w:t xml:space="preserve">The Board noted the report. </w:t>
            </w:r>
          </w:p>
          <w:p w:rsidR="00504080" w:rsidRPr="00F42430" w:rsidRDefault="00504080" w:rsidP="00504080">
            <w:pPr>
              <w:jc w:val="both"/>
              <w:rPr>
                <w:rFonts w:ascii="Arial" w:hAnsi="Arial" w:cs="Arial"/>
                <w:bCs/>
              </w:rPr>
            </w:pPr>
          </w:p>
          <w:p w:rsidR="00504080" w:rsidRPr="004C1EE2" w:rsidRDefault="00504080" w:rsidP="00504080">
            <w:pPr>
              <w:jc w:val="both"/>
              <w:rPr>
                <w:rFonts w:ascii="Arial" w:hAnsi="Arial" w:cs="Arial"/>
                <w:bCs/>
              </w:rPr>
            </w:pPr>
            <w:r w:rsidRPr="00F42430">
              <w:rPr>
                <w:rFonts w:ascii="Arial" w:hAnsi="Arial" w:cs="Arial"/>
                <w:bCs/>
                <w:i/>
              </w:rPr>
              <w:t>The Patient Experience &amp; Involvement Manager left the meeting</w:t>
            </w:r>
            <w:r w:rsidRPr="00F42430">
              <w:rPr>
                <w:rFonts w:ascii="Arial" w:hAnsi="Arial" w:cs="Arial"/>
                <w:bCs/>
              </w:rPr>
              <w:t xml:space="preserve">.  </w:t>
            </w:r>
          </w:p>
          <w:p w:rsidR="00D6425B" w:rsidRPr="00504080" w:rsidRDefault="00D6425B" w:rsidP="00AD0F54">
            <w:pPr>
              <w:jc w:val="both"/>
              <w:rPr>
                <w:rFonts w:ascii="Arial" w:hAnsi="Arial" w:cs="Arial"/>
                <w:bCs/>
              </w:rPr>
            </w:pPr>
          </w:p>
        </w:tc>
        <w:tc>
          <w:tcPr>
            <w:tcW w:w="1054" w:type="dxa"/>
          </w:tcPr>
          <w:p w:rsidR="00D6425B" w:rsidRDefault="00D6425B" w:rsidP="00687605">
            <w:pPr>
              <w:keepNext/>
              <w:keepLines/>
              <w:rPr>
                <w:rFonts w:ascii="Arial" w:hAnsi="Arial" w:cs="Arial"/>
                <w:b/>
              </w:rPr>
            </w:pPr>
          </w:p>
        </w:tc>
      </w:tr>
      <w:tr w:rsidR="00C6654F" w:rsidRPr="00666D1B">
        <w:trPr>
          <w:trHeight w:val="650"/>
        </w:trPr>
        <w:tc>
          <w:tcPr>
            <w:tcW w:w="993" w:type="dxa"/>
          </w:tcPr>
          <w:p w:rsidR="00D965DF" w:rsidRDefault="00D965DF" w:rsidP="00D965DF">
            <w:pPr>
              <w:keepNext/>
              <w:keepLines/>
              <w:rPr>
                <w:rFonts w:ascii="Arial" w:hAnsi="Arial" w:cs="Arial"/>
              </w:rPr>
            </w:pPr>
            <w:r>
              <w:rPr>
                <w:rFonts w:ascii="Arial" w:hAnsi="Arial" w:cs="Arial"/>
                <w:b/>
              </w:rPr>
              <w:t xml:space="preserve">BOD </w:t>
            </w:r>
            <w:r w:rsidR="003F0BA3">
              <w:rPr>
                <w:rFonts w:ascii="Arial" w:hAnsi="Arial" w:cs="Arial"/>
                <w:b/>
              </w:rPr>
              <w:t>128</w:t>
            </w:r>
            <w:r w:rsidRPr="00000FC1">
              <w:rPr>
                <w:rFonts w:ascii="Arial" w:hAnsi="Arial" w:cs="Arial"/>
                <w:b/>
              </w:rPr>
              <w:t>/1</w:t>
            </w:r>
            <w:r>
              <w:rPr>
                <w:rFonts w:ascii="Arial" w:hAnsi="Arial" w:cs="Arial"/>
                <w:b/>
              </w:rPr>
              <w:t>8</w:t>
            </w:r>
          </w:p>
          <w:p w:rsidR="00504080" w:rsidRDefault="00504080" w:rsidP="00CB115C">
            <w:pPr>
              <w:keepNext/>
              <w:keepLines/>
              <w:rPr>
                <w:rFonts w:ascii="Arial" w:hAnsi="Arial" w:cs="Arial"/>
              </w:rPr>
            </w:pPr>
          </w:p>
          <w:p w:rsidR="00024BB9" w:rsidRDefault="00F06992" w:rsidP="00CB115C">
            <w:pPr>
              <w:keepNext/>
              <w:keepLines/>
              <w:rPr>
                <w:rFonts w:ascii="Arial" w:hAnsi="Arial" w:cs="Arial"/>
              </w:rPr>
            </w:pPr>
            <w:r>
              <w:rPr>
                <w:rFonts w:ascii="Arial" w:hAnsi="Arial" w:cs="Arial"/>
              </w:rPr>
              <w:t>a</w:t>
            </w: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p>
          <w:p w:rsidR="00504080" w:rsidRDefault="00504080" w:rsidP="00CB115C">
            <w:pPr>
              <w:keepNext/>
              <w:keepLines/>
              <w:rPr>
                <w:rFonts w:ascii="Arial" w:hAnsi="Arial" w:cs="Arial"/>
              </w:rPr>
            </w:pPr>
            <w:r>
              <w:rPr>
                <w:rFonts w:ascii="Arial" w:hAnsi="Arial" w:cs="Arial"/>
              </w:rPr>
              <w:t>b</w:t>
            </w: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F06992" w:rsidRPr="001124F6" w:rsidRDefault="00F06992" w:rsidP="00AD0F54">
            <w:pPr>
              <w:keepNext/>
              <w:keepLines/>
              <w:rPr>
                <w:rFonts w:ascii="Arial" w:hAnsi="Arial" w:cs="Arial"/>
              </w:rPr>
            </w:pPr>
          </w:p>
        </w:tc>
        <w:tc>
          <w:tcPr>
            <w:tcW w:w="7087" w:type="dxa"/>
          </w:tcPr>
          <w:p w:rsidR="00F42430" w:rsidRPr="00F42430" w:rsidRDefault="00F42430" w:rsidP="00F42430">
            <w:pPr>
              <w:jc w:val="both"/>
              <w:rPr>
                <w:rFonts w:ascii="Arial" w:hAnsi="Arial" w:cs="Arial"/>
                <w:b/>
                <w:bCs/>
              </w:rPr>
            </w:pPr>
            <w:r w:rsidRPr="00F42430">
              <w:rPr>
                <w:rFonts w:ascii="Arial" w:hAnsi="Arial" w:cs="Arial"/>
                <w:b/>
                <w:bCs/>
              </w:rPr>
              <w:t>Complaints &amp; Patient Advice &amp; Liaison Service (PALS) annual report FY18</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Director of Nursing &amp; Clinical Standards presented the report BOD 97/2018 which provided an annual report of formal complaints, PALS contacts, MP enquiries and compliments.  She noted that it was important for the Board to understand the caseload, </w:t>
            </w:r>
            <w:proofErr w:type="gramStart"/>
            <w:r w:rsidRPr="00F42430">
              <w:rPr>
                <w:rFonts w:ascii="Arial" w:hAnsi="Arial" w:cs="Arial"/>
                <w:bCs/>
              </w:rPr>
              <w:t>in particular referrals</w:t>
            </w:r>
            <w:proofErr w:type="gramEnd"/>
            <w:r w:rsidRPr="00F42430">
              <w:rPr>
                <w:rFonts w:ascii="Arial" w:hAnsi="Arial" w:cs="Arial"/>
                <w:bCs/>
              </w:rPr>
              <w:t xml:space="preserve"> to the Parliamentary Health Service Ombudsman or Local Government Ombudsman and the outcome of their investigations; she confirmed that the Ombudsmen generally agreed with the quality of the Trust’s complaints investigations.  She highlighted that operational and staffing pressures were contributing to poorer patient experience; whilst the detail and progress of cases was reviewed on a weekly basis, she noted that annual reporting helped to illustrate the impact more starkly.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Board considered the analysis of themes from concerns and complaints.  Aroop Mozumder referred to page 9 of the report and the number of cases which related to medication issues; he asked whether this was an unusually high proportion and whether linked to the administration of medicines or another aspect.  Jonathan Asbridge noted that it may be useful for this to be considered in more detail through the Quality Committee; the Director of Nursing &amp; Clinical Standards to action through the Patient Experience group with reporting up to the Quality Committee in due course.  The Medical Director added that as some patients did not consent to treatment, it was not necessarily unusual for there to be complaints in relation to prescribing or from patients who did not want to receive depot injections.  </w:t>
            </w:r>
          </w:p>
          <w:p w:rsidR="00F42430" w:rsidRPr="00D6425B" w:rsidRDefault="00F42430" w:rsidP="00504080">
            <w:pPr>
              <w:jc w:val="both"/>
              <w:rPr>
                <w:rFonts w:ascii="Arial" w:hAnsi="Arial" w:cs="Arial"/>
                <w:bCs/>
              </w:rPr>
            </w:pPr>
          </w:p>
        </w:tc>
        <w:tc>
          <w:tcPr>
            <w:tcW w:w="1054" w:type="dxa"/>
          </w:tcPr>
          <w:p w:rsidR="00C6654F" w:rsidRDefault="00C6654F" w:rsidP="00687605">
            <w:pPr>
              <w:keepNext/>
              <w:keepLines/>
              <w:rPr>
                <w:rFonts w:ascii="Arial" w:hAnsi="Arial" w:cs="Arial"/>
                <w:b/>
              </w:rPr>
            </w:pPr>
          </w:p>
          <w:p w:rsidR="00016BAE" w:rsidRDefault="00016BAE"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p>
          <w:p w:rsidR="00337D04" w:rsidRDefault="00337D04" w:rsidP="00112C39">
            <w:pPr>
              <w:keepNext/>
              <w:keepLines/>
              <w:rPr>
                <w:rFonts w:ascii="Arial" w:hAnsi="Arial" w:cs="Arial"/>
                <w:b/>
              </w:rPr>
            </w:pPr>
            <w:r>
              <w:rPr>
                <w:rFonts w:ascii="Arial" w:hAnsi="Arial" w:cs="Arial"/>
                <w:b/>
              </w:rPr>
              <w:t>RA</w:t>
            </w:r>
          </w:p>
        </w:tc>
      </w:tr>
      <w:tr w:rsidR="00F12EF0" w:rsidRPr="00666D1B">
        <w:trPr>
          <w:trHeight w:val="650"/>
        </w:trPr>
        <w:tc>
          <w:tcPr>
            <w:tcW w:w="993" w:type="dxa"/>
          </w:tcPr>
          <w:p w:rsidR="000F4BDB" w:rsidRDefault="00504080" w:rsidP="00D965DF">
            <w:pPr>
              <w:keepNext/>
              <w:keepLines/>
              <w:rPr>
                <w:rFonts w:ascii="Arial" w:hAnsi="Arial" w:cs="Arial"/>
              </w:rPr>
            </w:pPr>
            <w:r>
              <w:rPr>
                <w:rFonts w:ascii="Arial" w:hAnsi="Arial" w:cs="Arial"/>
              </w:rPr>
              <w:lastRenderedPageBreak/>
              <w:t>c</w:t>
            </w:r>
          </w:p>
          <w:p w:rsidR="00504080" w:rsidRDefault="00504080" w:rsidP="00D965DF">
            <w:pPr>
              <w:keepNext/>
              <w:keepLines/>
              <w:rPr>
                <w:rFonts w:ascii="Arial" w:hAnsi="Arial" w:cs="Arial"/>
              </w:rPr>
            </w:pPr>
          </w:p>
          <w:p w:rsidR="00504080" w:rsidRDefault="00504080" w:rsidP="00D965DF">
            <w:pPr>
              <w:keepNext/>
              <w:keepLines/>
              <w:rPr>
                <w:rFonts w:ascii="Arial" w:hAnsi="Arial" w:cs="Arial"/>
              </w:rPr>
            </w:pPr>
          </w:p>
          <w:p w:rsidR="00504080" w:rsidRDefault="00504080" w:rsidP="00D965DF">
            <w:pPr>
              <w:keepNext/>
              <w:keepLines/>
              <w:rPr>
                <w:rFonts w:ascii="Arial" w:hAnsi="Arial" w:cs="Arial"/>
              </w:rPr>
            </w:pPr>
          </w:p>
          <w:p w:rsidR="00504080" w:rsidRDefault="00504080" w:rsidP="00D965DF">
            <w:pPr>
              <w:keepNext/>
              <w:keepLines/>
              <w:rPr>
                <w:rFonts w:ascii="Arial" w:hAnsi="Arial" w:cs="Arial"/>
              </w:rPr>
            </w:pPr>
          </w:p>
          <w:p w:rsidR="00B73907" w:rsidRDefault="00B73907" w:rsidP="00D965DF">
            <w:pPr>
              <w:keepNext/>
              <w:keepLines/>
              <w:rPr>
                <w:rFonts w:ascii="Arial" w:hAnsi="Arial" w:cs="Arial"/>
              </w:rPr>
            </w:pPr>
          </w:p>
          <w:p w:rsidR="00396767" w:rsidRDefault="00504080" w:rsidP="00D965DF">
            <w:pPr>
              <w:keepNext/>
              <w:keepLines/>
              <w:rPr>
                <w:rFonts w:ascii="Arial" w:hAnsi="Arial" w:cs="Arial"/>
              </w:rPr>
            </w:pPr>
            <w:r>
              <w:rPr>
                <w:rFonts w:ascii="Arial" w:hAnsi="Arial" w:cs="Arial"/>
              </w:rPr>
              <w:t>d</w:t>
            </w:r>
          </w:p>
          <w:p w:rsidR="00396767" w:rsidRPr="000F4BDB" w:rsidRDefault="00396767" w:rsidP="00D965DF">
            <w:pPr>
              <w:keepNext/>
              <w:keepLines/>
              <w:rPr>
                <w:rFonts w:ascii="Arial" w:hAnsi="Arial" w:cs="Arial"/>
              </w:rPr>
            </w:pPr>
          </w:p>
        </w:tc>
        <w:tc>
          <w:tcPr>
            <w:tcW w:w="7087" w:type="dxa"/>
          </w:tcPr>
          <w:p w:rsidR="00504080" w:rsidRPr="00F42430" w:rsidRDefault="00504080" w:rsidP="00504080">
            <w:pPr>
              <w:jc w:val="both"/>
              <w:rPr>
                <w:rFonts w:ascii="Arial" w:hAnsi="Arial" w:cs="Arial"/>
                <w:bCs/>
              </w:rPr>
            </w:pPr>
            <w:r w:rsidRPr="00F42430">
              <w:rPr>
                <w:rFonts w:ascii="Arial" w:hAnsi="Arial" w:cs="Arial"/>
                <w:bCs/>
              </w:rPr>
              <w:t xml:space="preserve">The Director of Corporate Affairs &amp; Company Secretary reminded the Board of the importance of taking a </w:t>
            </w:r>
            <w:r w:rsidR="002D3793">
              <w:rPr>
                <w:rFonts w:ascii="Arial" w:hAnsi="Arial" w:cs="Arial"/>
                <w:bCs/>
              </w:rPr>
              <w:t xml:space="preserve">balanced view of complaints </w:t>
            </w:r>
            <w:proofErr w:type="gramStart"/>
            <w:r w:rsidR="002D3793">
              <w:rPr>
                <w:rFonts w:ascii="Arial" w:hAnsi="Arial" w:cs="Arial"/>
                <w:bCs/>
              </w:rPr>
              <w:t xml:space="preserve">and </w:t>
            </w:r>
            <w:r w:rsidRPr="00F42430">
              <w:rPr>
                <w:rFonts w:ascii="Arial" w:hAnsi="Arial" w:cs="Arial"/>
                <w:bCs/>
              </w:rPr>
              <w:t>also</w:t>
            </w:r>
            <w:proofErr w:type="gramEnd"/>
            <w:r w:rsidRPr="00F42430">
              <w:rPr>
                <w:rFonts w:ascii="Arial" w:hAnsi="Arial" w:cs="Arial"/>
                <w:bCs/>
              </w:rPr>
              <w:t xml:space="preserve"> compliments, noting the 11,953 compliments received against the 232 complaints for the reporting period.  </w:t>
            </w:r>
          </w:p>
          <w:p w:rsidR="00504080" w:rsidRPr="00F42430" w:rsidRDefault="00504080" w:rsidP="00504080">
            <w:pPr>
              <w:jc w:val="both"/>
              <w:rPr>
                <w:rFonts w:ascii="Arial" w:hAnsi="Arial" w:cs="Arial"/>
                <w:b/>
                <w:bCs/>
              </w:rPr>
            </w:pPr>
          </w:p>
          <w:p w:rsidR="00504080" w:rsidRPr="00F42430" w:rsidRDefault="00504080" w:rsidP="00504080">
            <w:pPr>
              <w:jc w:val="both"/>
              <w:rPr>
                <w:rFonts w:ascii="Arial" w:hAnsi="Arial" w:cs="Arial"/>
                <w:b/>
                <w:bCs/>
              </w:rPr>
            </w:pPr>
            <w:r w:rsidRPr="00F42430">
              <w:rPr>
                <w:rFonts w:ascii="Arial" w:hAnsi="Arial" w:cs="Arial"/>
                <w:b/>
                <w:bCs/>
              </w:rPr>
              <w:t>The Board noted the report.</w:t>
            </w:r>
          </w:p>
          <w:p w:rsidR="00016BAE" w:rsidRPr="00F12EF0" w:rsidRDefault="00016BAE" w:rsidP="00AD0F54">
            <w:pPr>
              <w:jc w:val="both"/>
              <w:rPr>
                <w:rFonts w:ascii="Arial" w:hAnsi="Arial" w:cs="Arial"/>
                <w:bCs/>
              </w:rPr>
            </w:pPr>
          </w:p>
        </w:tc>
        <w:tc>
          <w:tcPr>
            <w:tcW w:w="1054" w:type="dxa"/>
          </w:tcPr>
          <w:p w:rsidR="00F12EF0" w:rsidRDefault="00F12EF0"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345B36" w:rsidRDefault="00345B36" w:rsidP="00687605">
            <w:pPr>
              <w:keepNext/>
              <w:keepLines/>
              <w:rPr>
                <w:rFonts w:ascii="Arial" w:hAnsi="Arial" w:cs="Arial"/>
                <w:b/>
              </w:rPr>
            </w:pPr>
          </w:p>
          <w:p w:rsidR="00C00A8B" w:rsidRDefault="00C00A8B" w:rsidP="00687605">
            <w:pPr>
              <w:keepNext/>
              <w:keepLines/>
              <w:rPr>
                <w:rFonts w:ascii="Arial" w:hAnsi="Arial" w:cs="Arial"/>
                <w:b/>
              </w:rPr>
            </w:pPr>
          </w:p>
        </w:tc>
      </w:tr>
      <w:tr w:rsidR="00E24308" w:rsidRPr="00666D1B">
        <w:trPr>
          <w:trHeight w:val="650"/>
        </w:trPr>
        <w:tc>
          <w:tcPr>
            <w:tcW w:w="993" w:type="dxa"/>
          </w:tcPr>
          <w:p w:rsidR="00E24308" w:rsidRDefault="006A3C3D" w:rsidP="00F47972">
            <w:pPr>
              <w:keepNext/>
              <w:keepLines/>
              <w:rPr>
                <w:rFonts w:ascii="Arial" w:hAnsi="Arial" w:cs="Arial"/>
              </w:rPr>
            </w:pPr>
            <w:r>
              <w:rPr>
                <w:rFonts w:ascii="Arial" w:hAnsi="Arial" w:cs="Arial"/>
                <w:b/>
              </w:rPr>
              <w:t xml:space="preserve">BOD </w:t>
            </w:r>
            <w:r w:rsidR="003F0BA3">
              <w:rPr>
                <w:rFonts w:ascii="Arial" w:hAnsi="Arial" w:cs="Arial"/>
                <w:b/>
              </w:rPr>
              <w:t>129</w:t>
            </w:r>
            <w:r w:rsidR="00E24308" w:rsidRPr="00000FC1">
              <w:rPr>
                <w:rFonts w:ascii="Arial" w:hAnsi="Arial" w:cs="Arial"/>
                <w:b/>
              </w:rPr>
              <w:t>/1</w:t>
            </w:r>
            <w:r w:rsidR="00D877DD">
              <w:rPr>
                <w:rFonts w:ascii="Arial" w:hAnsi="Arial" w:cs="Arial"/>
                <w:b/>
              </w:rPr>
              <w:t>8</w:t>
            </w:r>
          </w:p>
          <w:p w:rsidR="00024BB9" w:rsidRDefault="00B73907" w:rsidP="007C45CC">
            <w:pPr>
              <w:keepNext/>
              <w:keepLines/>
              <w:rPr>
                <w:rFonts w:ascii="Arial" w:hAnsi="Arial" w:cs="Arial"/>
              </w:rPr>
            </w:pPr>
            <w:r>
              <w:rPr>
                <w:rFonts w:ascii="Arial" w:hAnsi="Arial" w:cs="Arial"/>
              </w:rPr>
              <w:t>a</w:t>
            </w:r>
          </w:p>
          <w:p w:rsidR="00B73907" w:rsidRDefault="00B73907" w:rsidP="007C45CC">
            <w:pPr>
              <w:keepNext/>
              <w:keepLines/>
              <w:rPr>
                <w:rFonts w:ascii="Arial" w:hAnsi="Arial" w:cs="Arial"/>
              </w:rPr>
            </w:pPr>
          </w:p>
          <w:p w:rsidR="00B73907" w:rsidRDefault="00B73907"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r>
              <w:rPr>
                <w:rFonts w:ascii="Arial" w:hAnsi="Arial" w:cs="Arial"/>
              </w:rPr>
              <w:t>b</w:t>
            </w: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r>
              <w:rPr>
                <w:rFonts w:ascii="Arial" w:hAnsi="Arial" w:cs="Arial"/>
              </w:rPr>
              <w:t>c</w:t>
            </w: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p>
          <w:p w:rsidR="00504080" w:rsidRDefault="00504080" w:rsidP="007C45CC">
            <w:pPr>
              <w:keepNext/>
              <w:keepLines/>
              <w:rPr>
                <w:rFonts w:ascii="Arial" w:hAnsi="Arial" w:cs="Arial"/>
              </w:rPr>
            </w:pPr>
            <w:r>
              <w:rPr>
                <w:rFonts w:ascii="Arial" w:hAnsi="Arial" w:cs="Arial"/>
              </w:rPr>
              <w:t>d</w:t>
            </w:r>
          </w:p>
          <w:p w:rsidR="00B73907" w:rsidRPr="000E60F7" w:rsidRDefault="00B73907" w:rsidP="007C45CC">
            <w:pPr>
              <w:keepNext/>
              <w:keepLines/>
              <w:rPr>
                <w:rFonts w:ascii="Arial" w:hAnsi="Arial" w:cs="Arial"/>
              </w:rPr>
            </w:pPr>
          </w:p>
        </w:tc>
        <w:tc>
          <w:tcPr>
            <w:tcW w:w="7087" w:type="dxa"/>
          </w:tcPr>
          <w:p w:rsidR="00F42430" w:rsidRPr="00F42430" w:rsidRDefault="00F42430" w:rsidP="00F42430">
            <w:pPr>
              <w:jc w:val="both"/>
              <w:rPr>
                <w:rFonts w:ascii="Arial" w:hAnsi="Arial" w:cs="Arial"/>
                <w:b/>
                <w:bCs/>
              </w:rPr>
            </w:pPr>
            <w:r w:rsidRPr="00F42430">
              <w:rPr>
                <w:rFonts w:ascii="Arial" w:hAnsi="Arial" w:cs="Arial"/>
                <w:b/>
                <w:bCs/>
              </w:rPr>
              <w:t>Finance Report</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Director of Finance presented the report BOD 99/2018 which summarised the financial performance of the Trust for June 2018 (Month 3, FY19).  There was an Income and Expenditure deficit of £1.3 million, which was £0.1 million favourable to plan (compared to a Month 2 position of a deficit of £1.8 million which was £0.8 million adverse to plan).  EBITDA (Earnings Before Interest, Taxation, Depreciation and Amortisation) was £2 million which was in line with plan (compared to the Month 2 position which had been £0.4 million adverse to plan).  Operational pressures had been partly offset by a one-off technical gain relating to a reduction in the Trust’s Private Finance Initiative liability; the underlying position excluding this technical gain was £0.6 million adverse to plan.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cash balance was healthy and £5.9 million above plan.  Capital expenditure was £2.2 million below plan (compared to £1.8 million below plan in Month 2).  The Use of Resources risk rating remained a ‘3’ (where ‘1’ was the best rating/low risk and ‘4’ the worst/high risk).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Aroop Mozumder noted that the capital programme was still slipping and asked whether this should be considered as a strategic issue for the Board.  The Director of Finance replied that the capital programme was more on plan than in previous years but the challenge was in getting spend against commitments.  Chris Hurst added that the capital programme was already regularly reviewed through the Finance &amp; Investment Committee.  </w:t>
            </w:r>
          </w:p>
          <w:p w:rsidR="00F42430" w:rsidRPr="00F42430" w:rsidRDefault="00F42430" w:rsidP="00F42430">
            <w:pPr>
              <w:jc w:val="both"/>
              <w:rPr>
                <w:rFonts w:ascii="Arial" w:hAnsi="Arial" w:cs="Arial"/>
                <w:bCs/>
              </w:rPr>
            </w:pPr>
          </w:p>
          <w:p w:rsidR="00D6425B" w:rsidRPr="00F42430" w:rsidRDefault="00F42430" w:rsidP="00F42430">
            <w:pPr>
              <w:jc w:val="both"/>
              <w:rPr>
                <w:rFonts w:ascii="Arial" w:hAnsi="Arial" w:cs="Arial"/>
                <w:b/>
                <w:bCs/>
              </w:rPr>
            </w:pPr>
            <w:r w:rsidRPr="00F42430">
              <w:rPr>
                <w:rFonts w:ascii="Arial" w:hAnsi="Arial" w:cs="Arial"/>
                <w:b/>
                <w:bCs/>
              </w:rPr>
              <w:t xml:space="preserve">The Board noted the report.  </w:t>
            </w:r>
          </w:p>
          <w:p w:rsidR="00F42430" w:rsidRPr="00243076" w:rsidRDefault="00F42430" w:rsidP="00F42430">
            <w:pPr>
              <w:jc w:val="both"/>
              <w:rPr>
                <w:rFonts w:ascii="Arial" w:hAnsi="Arial" w:cs="Arial"/>
                <w:bCs/>
              </w:rPr>
            </w:pPr>
          </w:p>
        </w:tc>
        <w:tc>
          <w:tcPr>
            <w:tcW w:w="1054" w:type="dxa"/>
          </w:tcPr>
          <w:p w:rsidR="00E24308" w:rsidRDefault="00E24308" w:rsidP="00687605">
            <w:pPr>
              <w:keepNext/>
              <w:keepLines/>
              <w:rPr>
                <w:rFonts w:ascii="Arial" w:hAnsi="Arial" w:cs="Arial"/>
                <w:b/>
              </w:rPr>
            </w:pPr>
          </w:p>
          <w:p w:rsidR="00D20EE1" w:rsidRDefault="00D20EE1" w:rsidP="00D20EE1">
            <w:pPr>
              <w:keepNext/>
              <w:keepLines/>
              <w:rPr>
                <w:rFonts w:ascii="Arial" w:hAnsi="Arial" w:cs="Arial"/>
                <w:b/>
              </w:rPr>
            </w:pPr>
          </w:p>
          <w:p w:rsidR="008541BC" w:rsidRDefault="008541BC" w:rsidP="00687605">
            <w:pPr>
              <w:keepNext/>
              <w:keepLines/>
              <w:rPr>
                <w:rFonts w:ascii="Arial" w:hAnsi="Arial" w:cs="Arial"/>
                <w:b/>
              </w:rPr>
            </w:pPr>
          </w:p>
        </w:tc>
      </w:tr>
      <w:tr w:rsidR="00E24308" w:rsidRPr="00666D1B">
        <w:trPr>
          <w:trHeight w:val="650"/>
        </w:trPr>
        <w:tc>
          <w:tcPr>
            <w:tcW w:w="993" w:type="dxa"/>
          </w:tcPr>
          <w:p w:rsidR="006A3C3D" w:rsidRDefault="006A3C3D" w:rsidP="00F47972">
            <w:pPr>
              <w:keepNext/>
              <w:keepLines/>
              <w:rPr>
                <w:rFonts w:ascii="Arial" w:hAnsi="Arial" w:cs="Arial"/>
                <w:b/>
              </w:rPr>
            </w:pPr>
            <w:r>
              <w:rPr>
                <w:rFonts w:ascii="Arial" w:hAnsi="Arial" w:cs="Arial"/>
                <w:b/>
              </w:rPr>
              <w:t xml:space="preserve">BOD </w:t>
            </w:r>
            <w:r w:rsidR="003F0BA3">
              <w:rPr>
                <w:rFonts w:ascii="Arial" w:hAnsi="Arial" w:cs="Arial"/>
                <w:b/>
              </w:rPr>
              <w:t>130</w:t>
            </w:r>
            <w:r w:rsidR="003F07C2" w:rsidRPr="00000FC1">
              <w:rPr>
                <w:rFonts w:ascii="Arial" w:hAnsi="Arial" w:cs="Arial"/>
                <w:b/>
              </w:rPr>
              <w:t>/1</w:t>
            </w:r>
            <w:r w:rsidR="00D877DD">
              <w:rPr>
                <w:rFonts w:ascii="Arial" w:hAnsi="Arial" w:cs="Arial"/>
                <w:b/>
              </w:rPr>
              <w:t>8</w:t>
            </w:r>
          </w:p>
          <w:p w:rsidR="00E24308" w:rsidRDefault="00E24308" w:rsidP="00F47972">
            <w:pPr>
              <w:keepNext/>
              <w:keepLines/>
              <w:rPr>
                <w:rFonts w:ascii="Arial" w:hAnsi="Arial" w:cs="Arial"/>
              </w:rPr>
            </w:pPr>
            <w:r w:rsidRPr="00000FC1">
              <w:rPr>
                <w:rFonts w:ascii="Arial" w:hAnsi="Arial" w:cs="Arial"/>
              </w:rPr>
              <w:t>a</w:t>
            </w:r>
          </w:p>
          <w:p w:rsidR="00EE1851" w:rsidRDefault="00EE1851" w:rsidP="00AA0BD4">
            <w:pPr>
              <w:keepNext/>
              <w:keepLines/>
              <w:rPr>
                <w:rFonts w:ascii="Arial" w:hAnsi="Arial" w:cs="Arial"/>
              </w:rPr>
            </w:pPr>
          </w:p>
          <w:p w:rsidR="00B73907" w:rsidRDefault="00B73907" w:rsidP="00AA0BD4">
            <w:pPr>
              <w:keepNext/>
              <w:keepLines/>
              <w:rPr>
                <w:rFonts w:ascii="Arial" w:hAnsi="Arial" w:cs="Arial"/>
              </w:rPr>
            </w:pPr>
          </w:p>
          <w:p w:rsidR="00396767" w:rsidRDefault="00396767" w:rsidP="00AA0BD4">
            <w:pPr>
              <w:keepNext/>
              <w:keepLines/>
              <w:rPr>
                <w:rFonts w:ascii="Arial" w:hAnsi="Arial" w:cs="Arial"/>
              </w:rPr>
            </w:pPr>
          </w:p>
          <w:p w:rsidR="00504080" w:rsidRDefault="00504080" w:rsidP="00AA0BD4">
            <w:pPr>
              <w:keepNext/>
              <w:keepLines/>
              <w:rPr>
                <w:rFonts w:ascii="Arial" w:hAnsi="Arial" w:cs="Arial"/>
              </w:rPr>
            </w:pPr>
          </w:p>
          <w:p w:rsidR="00504080" w:rsidRDefault="00504080" w:rsidP="00AA0BD4">
            <w:pPr>
              <w:keepNext/>
              <w:keepLines/>
              <w:rPr>
                <w:rFonts w:ascii="Arial" w:hAnsi="Arial" w:cs="Arial"/>
              </w:rPr>
            </w:pPr>
          </w:p>
          <w:p w:rsidR="00504080" w:rsidRDefault="00504080" w:rsidP="00AA0BD4">
            <w:pPr>
              <w:keepNext/>
              <w:keepLines/>
              <w:rPr>
                <w:rFonts w:ascii="Arial" w:hAnsi="Arial" w:cs="Arial"/>
              </w:rPr>
            </w:pPr>
          </w:p>
          <w:p w:rsidR="00504080" w:rsidRDefault="00504080" w:rsidP="00AA0BD4">
            <w:pPr>
              <w:keepNext/>
              <w:keepLines/>
              <w:rPr>
                <w:rFonts w:ascii="Arial" w:hAnsi="Arial" w:cs="Arial"/>
              </w:rPr>
            </w:pPr>
          </w:p>
          <w:p w:rsidR="00504080" w:rsidRDefault="00504080" w:rsidP="00AA0BD4">
            <w:pPr>
              <w:keepNext/>
              <w:keepLines/>
              <w:rPr>
                <w:rFonts w:ascii="Arial" w:hAnsi="Arial" w:cs="Arial"/>
              </w:rPr>
            </w:pPr>
          </w:p>
          <w:p w:rsidR="00504080" w:rsidRPr="00000FC1" w:rsidRDefault="00504080" w:rsidP="00AA0BD4">
            <w:pPr>
              <w:keepNext/>
              <w:keepLines/>
              <w:rPr>
                <w:rFonts w:ascii="Arial" w:hAnsi="Arial" w:cs="Arial"/>
              </w:rPr>
            </w:pPr>
            <w:r>
              <w:rPr>
                <w:rFonts w:ascii="Arial" w:hAnsi="Arial" w:cs="Arial"/>
              </w:rPr>
              <w:t>b</w:t>
            </w:r>
          </w:p>
        </w:tc>
        <w:tc>
          <w:tcPr>
            <w:tcW w:w="7087" w:type="dxa"/>
          </w:tcPr>
          <w:p w:rsidR="00F42430" w:rsidRPr="00F42430" w:rsidRDefault="00F42430" w:rsidP="00F42430">
            <w:pPr>
              <w:jc w:val="both"/>
              <w:rPr>
                <w:rFonts w:ascii="Arial" w:hAnsi="Arial" w:cs="Arial"/>
                <w:b/>
                <w:bCs/>
              </w:rPr>
            </w:pPr>
            <w:r w:rsidRPr="00F42430">
              <w:rPr>
                <w:rFonts w:ascii="Arial" w:hAnsi="Arial" w:cs="Arial"/>
                <w:b/>
                <w:bCs/>
              </w:rPr>
              <w:lastRenderedPageBreak/>
              <w:t>Operational Plan – Quarter 1 Report</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Director of Strategy and CIO presented the report BOD 99/2018 which provided an update on progress against delivery of the Operational Plan 2018/19 against activity, quality, </w:t>
            </w:r>
            <w:r w:rsidRPr="00F42430">
              <w:rPr>
                <w:rFonts w:ascii="Arial" w:hAnsi="Arial" w:cs="Arial"/>
                <w:bCs/>
              </w:rPr>
              <w:lastRenderedPageBreak/>
              <w:t xml:space="preserve">workforce, finance and key programme targets.  Key programmes included areas of strategic focus around: </w:t>
            </w:r>
            <w:proofErr w:type="gramStart"/>
            <w:r w:rsidRPr="00F42430">
              <w:rPr>
                <w:rFonts w:ascii="Arial" w:hAnsi="Arial" w:cs="Arial"/>
                <w:bCs/>
              </w:rPr>
              <w:t>the</w:t>
            </w:r>
            <w:proofErr w:type="gramEnd"/>
            <w:r w:rsidRPr="00F42430">
              <w:rPr>
                <w:rFonts w:ascii="Arial" w:hAnsi="Arial" w:cs="Arial"/>
                <w:bCs/>
              </w:rPr>
              <w:t xml:space="preserve"> Mental Health Five Year Forward View; New Care Models; the Oxfordshire Care Alliance and Care Closer to Home; and Learning Disabilities Transformation.  </w:t>
            </w:r>
          </w:p>
          <w:p w:rsidR="00F42430" w:rsidRPr="00F42430" w:rsidRDefault="00F42430" w:rsidP="00F42430">
            <w:pPr>
              <w:jc w:val="both"/>
              <w:rPr>
                <w:rFonts w:ascii="Arial" w:hAnsi="Arial" w:cs="Arial"/>
                <w:bCs/>
              </w:rPr>
            </w:pPr>
          </w:p>
          <w:p w:rsidR="00D6425B" w:rsidRPr="00F42430" w:rsidRDefault="00F42430" w:rsidP="00F42430">
            <w:pPr>
              <w:jc w:val="both"/>
              <w:rPr>
                <w:rFonts w:ascii="Arial" w:hAnsi="Arial" w:cs="Arial"/>
                <w:b/>
                <w:bCs/>
              </w:rPr>
            </w:pPr>
            <w:r w:rsidRPr="00F42430">
              <w:rPr>
                <w:rFonts w:ascii="Arial" w:hAnsi="Arial" w:cs="Arial"/>
                <w:b/>
                <w:bCs/>
              </w:rPr>
              <w:t xml:space="preserve">The Board noted the report.  </w:t>
            </w:r>
          </w:p>
          <w:p w:rsidR="00F42430" w:rsidRPr="00B3504A" w:rsidRDefault="00F42430" w:rsidP="00F42430">
            <w:pPr>
              <w:jc w:val="both"/>
              <w:rPr>
                <w:rFonts w:ascii="Arial" w:hAnsi="Arial" w:cs="Arial"/>
                <w:bCs/>
              </w:rPr>
            </w:pPr>
          </w:p>
        </w:tc>
        <w:tc>
          <w:tcPr>
            <w:tcW w:w="1054" w:type="dxa"/>
          </w:tcPr>
          <w:p w:rsidR="00E24308" w:rsidRDefault="00E24308" w:rsidP="00687605">
            <w:pPr>
              <w:keepNext/>
              <w:keepLines/>
              <w:rPr>
                <w:rFonts w:ascii="Arial" w:hAnsi="Arial" w:cs="Arial"/>
                <w:b/>
              </w:rPr>
            </w:pPr>
          </w:p>
          <w:p w:rsidR="001A1424" w:rsidRDefault="001A1424" w:rsidP="00687605">
            <w:pPr>
              <w:keepNext/>
              <w:keepLines/>
              <w:rPr>
                <w:rFonts w:ascii="Arial" w:hAnsi="Arial" w:cs="Arial"/>
                <w:b/>
              </w:rPr>
            </w:pPr>
          </w:p>
        </w:tc>
      </w:tr>
      <w:tr w:rsidR="00772174" w:rsidRPr="00666D1B">
        <w:trPr>
          <w:trHeight w:val="650"/>
        </w:trPr>
        <w:tc>
          <w:tcPr>
            <w:tcW w:w="993" w:type="dxa"/>
          </w:tcPr>
          <w:p w:rsidR="00772174" w:rsidRDefault="00772174" w:rsidP="00772174">
            <w:pPr>
              <w:rPr>
                <w:rFonts w:ascii="Arial" w:hAnsi="Arial" w:cs="Arial"/>
              </w:rPr>
            </w:pPr>
            <w:r>
              <w:rPr>
                <w:rFonts w:ascii="Arial" w:hAnsi="Arial" w:cs="Arial"/>
                <w:b/>
              </w:rPr>
              <w:t xml:space="preserve">BOD </w:t>
            </w:r>
            <w:r w:rsidR="003F0BA3">
              <w:rPr>
                <w:rFonts w:ascii="Arial" w:hAnsi="Arial" w:cs="Arial"/>
                <w:b/>
              </w:rPr>
              <w:t>131</w:t>
            </w:r>
            <w:r>
              <w:rPr>
                <w:rFonts w:ascii="Arial" w:hAnsi="Arial" w:cs="Arial"/>
                <w:b/>
              </w:rPr>
              <w:t>/1</w:t>
            </w:r>
            <w:r w:rsidR="00D877DD">
              <w:rPr>
                <w:rFonts w:ascii="Arial" w:hAnsi="Arial" w:cs="Arial"/>
                <w:b/>
              </w:rPr>
              <w:t>8</w:t>
            </w:r>
          </w:p>
          <w:p w:rsidR="00772174" w:rsidRDefault="00772174" w:rsidP="00772174">
            <w:pPr>
              <w:rPr>
                <w:rFonts w:ascii="Arial" w:hAnsi="Arial" w:cs="Arial"/>
              </w:rPr>
            </w:pPr>
            <w:r>
              <w:rPr>
                <w:rFonts w:ascii="Arial" w:hAnsi="Arial" w:cs="Arial"/>
              </w:rPr>
              <w:t>a</w:t>
            </w:r>
          </w:p>
          <w:p w:rsidR="000F4BDB" w:rsidRDefault="000F4BDB" w:rsidP="00C015BB">
            <w:pPr>
              <w:rPr>
                <w:rFonts w:ascii="Arial" w:hAnsi="Arial" w:cs="Arial"/>
              </w:rPr>
            </w:pPr>
          </w:p>
          <w:p w:rsidR="00B73907" w:rsidRDefault="00B73907" w:rsidP="00C015BB">
            <w:pPr>
              <w:rPr>
                <w:rFonts w:ascii="Arial" w:hAnsi="Arial" w:cs="Arial"/>
              </w:rPr>
            </w:pPr>
          </w:p>
          <w:p w:rsidR="00396767" w:rsidRDefault="00396767"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r>
              <w:rPr>
                <w:rFonts w:ascii="Arial" w:hAnsi="Arial" w:cs="Arial"/>
              </w:rPr>
              <w:t>b</w:t>
            </w:r>
          </w:p>
          <w:p w:rsidR="00504080" w:rsidRDefault="00504080"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p>
          <w:p w:rsidR="00504080" w:rsidRDefault="00504080" w:rsidP="00C015BB">
            <w:pPr>
              <w:rPr>
                <w:rFonts w:ascii="Arial" w:hAnsi="Arial" w:cs="Arial"/>
              </w:rPr>
            </w:pPr>
          </w:p>
          <w:p w:rsidR="00504080" w:rsidRPr="00187C45" w:rsidRDefault="00504080" w:rsidP="00C015BB">
            <w:pPr>
              <w:rPr>
                <w:rFonts w:ascii="Arial" w:hAnsi="Arial" w:cs="Arial"/>
              </w:rPr>
            </w:pPr>
            <w:r>
              <w:rPr>
                <w:rFonts w:ascii="Arial" w:hAnsi="Arial" w:cs="Arial"/>
              </w:rPr>
              <w:t>c</w:t>
            </w:r>
          </w:p>
        </w:tc>
        <w:tc>
          <w:tcPr>
            <w:tcW w:w="7087" w:type="dxa"/>
          </w:tcPr>
          <w:p w:rsidR="00F42430" w:rsidRPr="00F42430" w:rsidRDefault="00F42430" w:rsidP="00F42430">
            <w:pPr>
              <w:jc w:val="both"/>
              <w:rPr>
                <w:rFonts w:ascii="Arial" w:hAnsi="Arial" w:cs="Arial"/>
                <w:b/>
                <w:bCs/>
              </w:rPr>
            </w:pPr>
            <w:r w:rsidRPr="00F42430">
              <w:rPr>
                <w:rFonts w:ascii="Arial" w:hAnsi="Arial" w:cs="Arial"/>
                <w:b/>
                <w:bCs/>
              </w:rPr>
              <w:t>Board Assurance Framework (BAF) – Quarter 1 Report</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Assistant Trust Secretary presented the report BOD 100/2018 which set out suggestions for revising risk descriptions and the inclusion of a new strategic risk around cyber security.  The Board requested that the detail of the proposed changes be considered separately and in longer session at the Board Seminar in September 2018.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Aroop Mozumder suggested that the Board could also consider ensuring that the extreme risks (around financial exposure, cost improvement programme, health and social care systems, workforce requirements and vacancies) were reviewed at every Board meeting and discussed as subjects.  The Director of Corporate Affairs &amp; Company Secretary noted that this thinking could be developed into ensuring that the Board was receiving appropriate assurances and mitigations; the agenda for Board meetings already linked individual items to relevant BAF risks.   The Director of Finance added that risks could also be more integrated into the Operational Plan/business plan.  </w:t>
            </w:r>
          </w:p>
          <w:p w:rsidR="00F42430" w:rsidRPr="00F42430" w:rsidRDefault="00F42430" w:rsidP="00F42430">
            <w:pPr>
              <w:jc w:val="both"/>
              <w:rPr>
                <w:rFonts w:ascii="Arial" w:hAnsi="Arial" w:cs="Arial"/>
                <w:bCs/>
              </w:rPr>
            </w:pPr>
          </w:p>
          <w:p w:rsidR="00D6425B" w:rsidRPr="00F42430" w:rsidRDefault="00F42430" w:rsidP="00F42430">
            <w:pPr>
              <w:jc w:val="both"/>
              <w:rPr>
                <w:rFonts w:ascii="Arial" w:hAnsi="Arial" w:cs="Arial"/>
                <w:b/>
                <w:bCs/>
              </w:rPr>
            </w:pPr>
            <w:r w:rsidRPr="00F42430">
              <w:rPr>
                <w:rFonts w:ascii="Arial" w:hAnsi="Arial" w:cs="Arial"/>
                <w:b/>
                <w:bCs/>
              </w:rPr>
              <w:t xml:space="preserve">The Board noted the report and that the detail would be discussed further at Board Seminar.  </w:t>
            </w:r>
          </w:p>
          <w:p w:rsidR="00F42430" w:rsidRPr="00D6425B" w:rsidRDefault="00F42430" w:rsidP="00F42430">
            <w:pPr>
              <w:jc w:val="both"/>
              <w:rPr>
                <w:rFonts w:ascii="Arial" w:hAnsi="Arial" w:cs="Arial"/>
                <w:bCs/>
              </w:rPr>
            </w:pPr>
          </w:p>
        </w:tc>
        <w:tc>
          <w:tcPr>
            <w:tcW w:w="1054" w:type="dxa"/>
          </w:tcPr>
          <w:p w:rsidR="00772174" w:rsidRDefault="00772174" w:rsidP="00687605">
            <w:pPr>
              <w:keepNext/>
              <w:keepLines/>
              <w:rPr>
                <w:rFonts w:ascii="Arial" w:hAnsi="Arial" w:cs="Arial"/>
                <w:b/>
              </w:rPr>
            </w:pPr>
          </w:p>
          <w:p w:rsidR="008D6D01" w:rsidRDefault="008D6D01" w:rsidP="00687605">
            <w:pPr>
              <w:keepNext/>
              <w:keepLines/>
              <w:rPr>
                <w:rFonts w:ascii="Arial" w:hAnsi="Arial" w:cs="Arial"/>
                <w:b/>
              </w:rPr>
            </w:pPr>
          </w:p>
          <w:p w:rsidR="00E42FCE" w:rsidRDefault="00E42FCE" w:rsidP="00687605">
            <w:pPr>
              <w:keepNext/>
              <w:keepLines/>
              <w:rPr>
                <w:rFonts w:ascii="Arial" w:hAnsi="Arial" w:cs="Arial"/>
                <w:b/>
              </w:rPr>
            </w:pPr>
          </w:p>
          <w:p w:rsidR="00A26150" w:rsidRDefault="00A26150" w:rsidP="00687605">
            <w:pPr>
              <w:keepNext/>
              <w:keepLines/>
              <w:rPr>
                <w:rFonts w:ascii="Arial" w:hAnsi="Arial" w:cs="Arial"/>
                <w:b/>
              </w:rPr>
            </w:pPr>
          </w:p>
          <w:p w:rsidR="00A26150" w:rsidRDefault="00A26150" w:rsidP="00687605">
            <w:pPr>
              <w:keepNext/>
              <w:keepLines/>
              <w:rPr>
                <w:rFonts w:ascii="Arial" w:hAnsi="Arial" w:cs="Arial"/>
                <w:b/>
              </w:rPr>
            </w:pPr>
          </w:p>
          <w:p w:rsidR="00A26150" w:rsidRDefault="00A26150" w:rsidP="00687605">
            <w:pPr>
              <w:keepNext/>
              <w:keepLines/>
              <w:rPr>
                <w:rFonts w:ascii="Arial" w:hAnsi="Arial" w:cs="Arial"/>
                <w:b/>
              </w:rPr>
            </w:pPr>
          </w:p>
          <w:p w:rsidR="00A26150" w:rsidRDefault="00A26150" w:rsidP="00687605">
            <w:pPr>
              <w:keepNext/>
              <w:keepLines/>
              <w:rPr>
                <w:rFonts w:ascii="Arial" w:hAnsi="Arial" w:cs="Arial"/>
                <w:b/>
              </w:rPr>
            </w:pPr>
            <w:r>
              <w:rPr>
                <w:rFonts w:ascii="Arial" w:hAnsi="Arial" w:cs="Arial"/>
                <w:b/>
              </w:rPr>
              <w:t>HS</w:t>
            </w:r>
          </w:p>
        </w:tc>
      </w:tr>
      <w:tr w:rsidR="00C87136" w:rsidRPr="00666D1B">
        <w:trPr>
          <w:trHeight w:val="650"/>
        </w:trPr>
        <w:tc>
          <w:tcPr>
            <w:tcW w:w="993" w:type="dxa"/>
          </w:tcPr>
          <w:p w:rsidR="00C87136" w:rsidRDefault="00AA0BD4" w:rsidP="00C87136">
            <w:pPr>
              <w:rPr>
                <w:rFonts w:ascii="Arial" w:hAnsi="Arial" w:cs="Arial"/>
              </w:rPr>
            </w:pPr>
            <w:r>
              <w:rPr>
                <w:rFonts w:ascii="Arial" w:hAnsi="Arial" w:cs="Arial"/>
                <w:b/>
              </w:rPr>
              <w:t xml:space="preserve">BOD </w:t>
            </w:r>
            <w:r w:rsidR="003F0BA3">
              <w:rPr>
                <w:rFonts w:ascii="Arial" w:hAnsi="Arial" w:cs="Arial"/>
                <w:b/>
              </w:rPr>
              <w:t>132</w:t>
            </w:r>
            <w:r w:rsidR="00C87136">
              <w:rPr>
                <w:rFonts w:ascii="Arial" w:hAnsi="Arial" w:cs="Arial"/>
                <w:b/>
              </w:rPr>
              <w:t>/1</w:t>
            </w:r>
            <w:r w:rsidR="00D877DD">
              <w:rPr>
                <w:rFonts w:ascii="Arial" w:hAnsi="Arial" w:cs="Arial"/>
                <w:b/>
              </w:rPr>
              <w:t>8</w:t>
            </w:r>
          </w:p>
          <w:p w:rsidR="00C87136" w:rsidRDefault="00C87136" w:rsidP="00C87136">
            <w:pPr>
              <w:rPr>
                <w:rFonts w:ascii="Arial" w:hAnsi="Arial" w:cs="Arial"/>
              </w:rPr>
            </w:pPr>
            <w:r>
              <w:rPr>
                <w:rFonts w:ascii="Arial" w:hAnsi="Arial" w:cs="Arial"/>
              </w:rPr>
              <w:t>a</w:t>
            </w:r>
          </w:p>
          <w:p w:rsidR="00504080" w:rsidRDefault="00504080" w:rsidP="00C87136">
            <w:pPr>
              <w:rPr>
                <w:rFonts w:ascii="Arial" w:hAnsi="Arial" w:cs="Arial"/>
              </w:rPr>
            </w:pPr>
          </w:p>
          <w:p w:rsidR="00504080" w:rsidRDefault="00504080" w:rsidP="00C87136">
            <w:pPr>
              <w:rPr>
                <w:rFonts w:ascii="Arial" w:hAnsi="Arial" w:cs="Arial"/>
              </w:rPr>
            </w:pPr>
          </w:p>
          <w:p w:rsidR="00504080" w:rsidRDefault="00504080" w:rsidP="00C87136">
            <w:pPr>
              <w:rPr>
                <w:rFonts w:ascii="Arial" w:hAnsi="Arial" w:cs="Arial"/>
              </w:rPr>
            </w:pPr>
          </w:p>
          <w:p w:rsidR="00504080" w:rsidRDefault="00504080" w:rsidP="00C87136">
            <w:pPr>
              <w:rPr>
                <w:rFonts w:ascii="Arial" w:hAnsi="Arial" w:cs="Arial"/>
              </w:rPr>
            </w:pPr>
          </w:p>
          <w:p w:rsidR="00EE1851" w:rsidRPr="00FB5D19" w:rsidRDefault="00504080" w:rsidP="00874F50">
            <w:pPr>
              <w:rPr>
                <w:rFonts w:ascii="Arial" w:hAnsi="Arial" w:cs="Arial"/>
              </w:rPr>
            </w:pPr>
            <w:r>
              <w:rPr>
                <w:rFonts w:ascii="Arial" w:hAnsi="Arial" w:cs="Arial"/>
              </w:rPr>
              <w:t>b</w:t>
            </w:r>
          </w:p>
        </w:tc>
        <w:tc>
          <w:tcPr>
            <w:tcW w:w="7087" w:type="dxa"/>
          </w:tcPr>
          <w:p w:rsidR="00F42430" w:rsidRPr="00F42430" w:rsidRDefault="00F42430" w:rsidP="00F42430">
            <w:pPr>
              <w:jc w:val="both"/>
              <w:rPr>
                <w:rFonts w:ascii="Arial" w:hAnsi="Arial" w:cs="Arial"/>
                <w:b/>
                <w:bCs/>
              </w:rPr>
            </w:pPr>
            <w:r w:rsidRPr="00F42430">
              <w:rPr>
                <w:rFonts w:ascii="Arial" w:hAnsi="Arial" w:cs="Arial"/>
                <w:b/>
                <w:bCs/>
              </w:rPr>
              <w:t>Employer-based Clinical Excellence Awards (CEA)</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Medical Director presented the report BOD 98/2018 which set out the recommendation of the CEA panel, noting that this was further to the oral update which he had provided to the Board meeting in private on 27 June 2018.    </w:t>
            </w:r>
          </w:p>
          <w:p w:rsidR="00F42430" w:rsidRPr="00F42430" w:rsidRDefault="00F42430" w:rsidP="00F42430">
            <w:pPr>
              <w:jc w:val="both"/>
              <w:rPr>
                <w:rFonts w:ascii="Arial" w:hAnsi="Arial" w:cs="Arial"/>
                <w:b/>
                <w:bCs/>
              </w:rPr>
            </w:pPr>
          </w:p>
          <w:p w:rsidR="00D6425B" w:rsidRPr="00F42430" w:rsidRDefault="00F42430" w:rsidP="00F42430">
            <w:pPr>
              <w:jc w:val="both"/>
              <w:rPr>
                <w:rFonts w:ascii="Arial" w:hAnsi="Arial" w:cs="Arial"/>
                <w:b/>
                <w:bCs/>
              </w:rPr>
            </w:pPr>
            <w:r w:rsidRPr="00F42430">
              <w:rPr>
                <w:rFonts w:ascii="Arial" w:hAnsi="Arial" w:cs="Arial"/>
                <w:b/>
                <w:bCs/>
              </w:rPr>
              <w:t xml:space="preserve">The Board APPROVED the recommendations.  </w:t>
            </w:r>
          </w:p>
          <w:p w:rsidR="00F42430" w:rsidRPr="00C57ABC" w:rsidRDefault="00F42430" w:rsidP="00F42430">
            <w:pPr>
              <w:jc w:val="both"/>
              <w:rPr>
                <w:rFonts w:ascii="Arial" w:hAnsi="Arial" w:cs="Arial"/>
                <w:bCs/>
              </w:rPr>
            </w:pPr>
          </w:p>
        </w:tc>
        <w:tc>
          <w:tcPr>
            <w:tcW w:w="1054" w:type="dxa"/>
          </w:tcPr>
          <w:p w:rsidR="00C87136" w:rsidRDefault="00C87136" w:rsidP="00687605">
            <w:pPr>
              <w:keepNext/>
              <w:keepLines/>
              <w:rPr>
                <w:rFonts w:ascii="Arial" w:hAnsi="Arial" w:cs="Arial"/>
                <w:b/>
              </w:rPr>
            </w:pPr>
          </w:p>
          <w:p w:rsidR="000E58C3" w:rsidRDefault="000E58C3" w:rsidP="00687605">
            <w:pPr>
              <w:keepNext/>
              <w:keepLines/>
              <w:rPr>
                <w:rFonts w:ascii="Arial" w:hAnsi="Arial" w:cs="Arial"/>
                <w:b/>
              </w:rPr>
            </w:pPr>
          </w:p>
        </w:tc>
      </w:tr>
      <w:tr w:rsidR="00FD1A72" w:rsidRPr="00666D1B">
        <w:trPr>
          <w:trHeight w:val="650"/>
        </w:trPr>
        <w:tc>
          <w:tcPr>
            <w:tcW w:w="993" w:type="dxa"/>
          </w:tcPr>
          <w:p w:rsidR="00FD1A72" w:rsidRDefault="003F0BA3" w:rsidP="00FD1A72">
            <w:pPr>
              <w:rPr>
                <w:rFonts w:ascii="Arial" w:hAnsi="Arial" w:cs="Arial"/>
              </w:rPr>
            </w:pPr>
            <w:r>
              <w:rPr>
                <w:rFonts w:ascii="Arial" w:hAnsi="Arial" w:cs="Arial"/>
                <w:b/>
              </w:rPr>
              <w:t>BOD 133</w:t>
            </w:r>
            <w:r w:rsidR="00FD1A72" w:rsidRPr="00E22C3A">
              <w:rPr>
                <w:rFonts w:ascii="Arial" w:hAnsi="Arial" w:cs="Arial"/>
                <w:b/>
              </w:rPr>
              <w:t>/1</w:t>
            </w:r>
            <w:r w:rsidR="00FD1A72">
              <w:rPr>
                <w:rFonts w:ascii="Arial" w:hAnsi="Arial" w:cs="Arial"/>
                <w:b/>
              </w:rPr>
              <w:t>8</w:t>
            </w:r>
          </w:p>
          <w:p w:rsidR="00FD1A72" w:rsidRDefault="00FD1A72" w:rsidP="00FD1A72">
            <w:pPr>
              <w:rPr>
                <w:rFonts w:ascii="Arial" w:hAnsi="Arial" w:cs="Arial"/>
              </w:rPr>
            </w:pPr>
            <w:r>
              <w:rPr>
                <w:rFonts w:ascii="Arial" w:hAnsi="Arial" w:cs="Arial"/>
              </w:rPr>
              <w:t>a</w:t>
            </w: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r>
              <w:rPr>
                <w:rFonts w:ascii="Arial" w:hAnsi="Arial" w:cs="Arial"/>
              </w:rPr>
              <w:t>b</w:t>
            </w: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r>
              <w:rPr>
                <w:rFonts w:ascii="Arial" w:hAnsi="Arial" w:cs="Arial"/>
              </w:rPr>
              <w:t>c</w:t>
            </w: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r>
              <w:rPr>
                <w:rFonts w:ascii="Arial" w:hAnsi="Arial" w:cs="Arial"/>
              </w:rPr>
              <w:t>d</w:t>
            </w: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r>
              <w:rPr>
                <w:rFonts w:ascii="Arial" w:hAnsi="Arial" w:cs="Arial"/>
              </w:rPr>
              <w:t>e</w:t>
            </w: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504080" w:rsidRDefault="00504080" w:rsidP="00FD1A72">
            <w:pPr>
              <w:rPr>
                <w:rFonts w:ascii="Arial" w:hAnsi="Arial" w:cs="Arial"/>
              </w:rPr>
            </w:pPr>
          </w:p>
          <w:p w:rsidR="00BE2D76" w:rsidRDefault="00BE2D76" w:rsidP="00112C39">
            <w:pPr>
              <w:rPr>
                <w:rFonts w:ascii="Arial" w:hAnsi="Arial" w:cs="Arial"/>
              </w:rPr>
            </w:pPr>
          </w:p>
          <w:p w:rsidR="00AD6871" w:rsidRPr="000F4BDB" w:rsidRDefault="00504080" w:rsidP="00112C39">
            <w:pPr>
              <w:rPr>
                <w:rFonts w:ascii="Arial" w:hAnsi="Arial" w:cs="Arial"/>
              </w:rPr>
            </w:pPr>
            <w:r>
              <w:rPr>
                <w:rFonts w:ascii="Arial" w:hAnsi="Arial" w:cs="Arial"/>
              </w:rPr>
              <w:t>f</w:t>
            </w:r>
          </w:p>
        </w:tc>
        <w:tc>
          <w:tcPr>
            <w:tcW w:w="7087" w:type="dxa"/>
          </w:tcPr>
          <w:p w:rsidR="00F42430" w:rsidRPr="00F42430" w:rsidRDefault="00F42430" w:rsidP="00F42430">
            <w:pPr>
              <w:jc w:val="both"/>
              <w:rPr>
                <w:rFonts w:ascii="Arial" w:hAnsi="Arial" w:cs="Arial"/>
                <w:b/>
                <w:bCs/>
              </w:rPr>
            </w:pPr>
            <w:r w:rsidRPr="00F42430">
              <w:rPr>
                <w:rFonts w:ascii="Arial" w:hAnsi="Arial" w:cs="Arial"/>
                <w:b/>
                <w:bCs/>
              </w:rPr>
              <w:lastRenderedPageBreak/>
              <w:t>Estates Strategy</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Director of Estates and Facilities joined the meeting and gave a presentation on the Estates Strategy, noting that this had been developed through various Estates Strategy workshops in </w:t>
            </w:r>
            <w:r w:rsidRPr="00F42430">
              <w:rPr>
                <w:rFonts w:ascii="Arial" w:hAnsi="Arial" w:cs="Arial"/>
                <w:bCs/>
              </w:rPr>
              <w:lastRenderedPageBreak/>
              <w:t>January and February.  She explained that the development of the Buckinghamshire Integrated Care System would change how estates operated within its footprint and that close</w:t>
            </w:r>
            <w:r w:rsidR="002D3793">
              <w:rPr>
                <w:rFonts w:ascii="Arial" w:hAnsi="Arial" w:cs="Arial"/>
                <w:bCs/>
              </w:rPr>
              <w:t>r</w:t>
            </w:r>
            <w:r w:rsidRPr="00F42430">
              <w:rPr>
                <w:rFonts w:ascii="Arial" w:hAnsi="Arial" w:cs="Arial"/>
                <w:bCs/>
              </w:rPr>
              <w:t xml:space="preserve"> working with county councils and other bodies was anticipated; changes to service models w</w:t>
            </w:r>
            <w:r w:rsidR="002D3793">
              <w:rPr>
                <w:rFonts w:ascii="Arial" w:hAnsi="Arial" w:cs="Arial"/>
                <w:bCs/>
              </w:rPr>
              <w:t>ould also impact upon estates.  T</w:t>
            </w:r>
            <w:r w:rsidRPr="00F42430">
              <w:rPr>
                <w:rFonts w:ascii="Arial" w:hAnsi="Arial" w:cs="Arial"/>
                <w:bCs/>
              </w:rPr>
              <w:t xml:space="preserve">he Estates Strategy was </w:t>
            </w:r>
            <w:r w:rsidR="002D3793">
              <w:rPr>
                <w:rFonts w:ascii="Arial" w:hAnsi="Arial" w:cs="Arial"/>
                <w:bCs/>
              </w:rPr>
              <w:t xml:space="preserve">also </w:t>
            </w:r>
            <w:r w:rsidRPr="00F42430">
              <w:rPr>
                <w:rFonts w:ascii="Arial" w:hAnsi="Arial" w:cs="Arial"/>
                <w:bCs/>
              </w:rPr>
              <w:t>closely aligned around the 3 strategic themes of</w:t>
            </w:r>
            <w:r w:rsidR="002D3793">
              <w:rPr>
                <w:rFonts w:ascii="Arial" w:hAnsi="Arial" w:cs="Arial"/>
                <w:bCs/>
              </w:rPr>
              <w:t>:</w:t>
            </w:r>
            <w:r w:rsidRPr="00F42430">
              <w:rPr>
                <w:rFonts w:ascii="Arial" w:hAnsi="Arial" w:cs="Arial"/>
                <w:bCs/>
              </w:rPr>
              <w:t xml:space="preserve"> </w:t>
            </w:r>
            <w:proofErr w:type="gramStart"/>
            <w:r w:rsidRPr="00F42430">
              <w:rPr>
                <w:rFonts w:ascii="Arial" w:hAnsi="Arial" w:cs="Arial"/>
                <w:bCs/>
              </w:rPr>
              <w:t>the</w:t>
            </w:r>
            <w:proofErr w:type="gramEnd"/>
            <w:r w:rsidRPr="00F42430">
              <w:rPr>
                <w:rFonts w:ascii="Arial" w:hAnsi="Arial" w:cs="Arial"/>
                <w:bCs/>
              </w:rPr>
              <w:t xml:space="preserve"> Mental Health Five Year Forward View; New Care Models; and the Oxfordshire Care Alliance/Care Closer to Home.  </w:t>
            </w:r>
            <w:r w:rsidR="002D3793">
              <w:rPr>
                <w:rFonts w:ascii="Arial" w:hAnsi="Arial" w:cs="Arial"/>
                <w:bCs/>
              </w:rPr>
              <w:t>It</w:t>
            </w:r>
            <w:r w:rsidRPr="00F42430">
              <w:rPr>
                <w:rFonts w:ascii="Arial" w:hAnsi="Arial" w:cs="Arial"/>
                <w:bCs/>
              </w:rPr>
              <w:t xml:space="preserve"> was also influenced by the 7 key strategic priorities, the strategic drivers/objectives and various external drivers.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She provided a summary of plans to configure the future estate including: </w:t>
            </w:r>
          </w:p>
          <w:p w:rsidR="00F42430" w:rsidRPr="00F42430" w:rsidRDefault="00F42430" w:rsidP="00F42430">
            <w:pPr>
              <w:pStyle w:val="ListParagraph"/>
              <w:numPr>
                <w:ilvl w:val="0"/>
                <w:numId w:val="18"/>
              </w:numPr>
              <w:jc w:val="both"/>
              <w:rPr>
                <w:rFonts w:ascii="Arial" w:hAnsi="Arial" w:cs="Arial"/>
                <w:bCs/>
                <w:sz w:val="24"/>
                <w:szCs w:val="24"/>
              </w:rPr>
            </w:pPr>
            <w:r w:rsidRPr="00F42430">
              <w:rPr>
                <w:rFonts w:ascii="Arial" w:hAnsi="Arial" w:cs="Arial"/>
                <w:bCs/>
                <w:sz w:val="24"/>
                <w:szCs w:val="24"/>
              </w:rPr>
              <w:t xml:space="preserve">the development of the Littlemore site as a forensic hub </w:t>
            </w:r>
            <w:proofErr w:type="gramStart"/>
            <w:r w:rsidRPr="00F42430">
              <w:rPr>
                <w:rFonts w:ascii="Arial" w:hAnsi="Arial" w:cs="Arial"/>
                <w:bCs/>
                <w:sz w:val="24"/>
                <w:szCs w:val="24"/>
              </w:rPr>
              <w:t>and also</w:t>
            </w:r>
            <w:proofErr w:type="gramEnd"/>
            <w:r w:rsidRPr="00F42430">
              <w:rPr>
                <w:rFonts w:ascii="Arial" w:hAnsi="Arial" w:cs="Arial"/>
                <w:bCs/>
                <w:sz w:val="24"/>
                <w:szCs w:val="24"/>
              </w:rPr>
              <w:t xml:space="preserve"> with a LD low secure unit; </w:t>
            </w:r>
          </w:p>
          <w:p w:rsidR="00F42430" w:rsidRPr="00F42430" w:rsidRDefault="00F42430" w:rsidP="00F42430">
            <w:pPr>
              <w:pStyle w:val="ListParagraph"/>
              <w:numPr>
                <w:ilvl w:val="0"/>
                <w:numId w:val="18"/>
              </w:numPr>
              <w:jc w:val="both"/>
              <w:rPr>
                <w:rFonts w:ascii="Arial" w:hAnsi="Arial" w:cs="Arial"/>
                <w:bCs/>
                <w:sz w:val="24"/>
                <w:szCs w:val="24"/>
              </w:rPr>
            </w:pPr>
            <w:r w:rsidRPr="00F42430">
              <w:rPr>
                <w:rFonts w:ascii="Arial" w:hAnsi="Arial" w:cs="Arial"/>
                <w:bCs/>
                <w:sz w:val="24"/>
                <w:szCs w:val="24"/>
              </w:rPr>
              <w:t xml:space="preserve">the redevelopment of the Warneford site in partnership with Oxford University to provide modern mental health facilities and research and education facilities; </w:t>
            </w:r>
          </w:p>
          <w:p w:rsidR="00F42430" w:rsidRPr="00F42430" w:rsidRDefault="00F42430" w:rsidP="00F42430">
            <w:pPr>
              <w:pStyle w:val="ListParagraph"/>
              <w:numPr>
                <w:ilvl w:val="0"/>
                <w:numId w:val="18"/>
              </w:numPr>
              <w:jc w:val="both"/>
              <w:rPr>
                <w:rFonts w:ascii="Arial" w:hAnsi="Arial" w:cs="Arial"/>
                <w:bCs/>
                <w:sz w:val="24"/>
                <w:szCs w:val="24"/>
              </w:rPr>
            </w:pPr>
            <w:r w:rsidRPr="00F42430">
              <w:rPr>
                <w:rFonts w:ascii="Arial" w:hAnsi="Arial" w:cs="Arial"/>
                <w:bCs/>
                <w:sz w:val="24"/>
                <w:szCs w:val="24"/>
              </w:rPr>
              <w:t xml:space="preserve">the development of locality hubs to support community services; </w:t>
            </w:r>
          </w:p>
          <w:p w:rsidR="00F42430" w:rsidRPr="00F42430" w:rsidRDefault="00F42430" w:rsidP="00F42430">
            <w:pPr>
              <w:pStyle w:val="ListParagraph"/>
              <w:numPr>
                <w:ilvl w:val="0"/>
                <w:numId w:val="18"/>
              </w:numPr>
              <w:jc w:val="both"/>
              <w:rPr>
                <w:rFonts w:ascii="Arial" w:hAnsi="Arial" w:cs="Arial"/>
                <w:bCs/>
                <w:sz w:val="24"/>
                <w:szCs w:val="24"/>
              </w:rPr>
            </w:pPr>
            <w:r w:rsidRPr="00F42430">
              <w:rPr>
                <w:rFonts w:ascii="Arial" w:hAnsi="Arial" w:cs="Arial"/>
                <w:bCs/>
                <w:sz w:val="24"/>
                <w:szCs w:val="24"/>
              </w:rPr>
              <w:t xml:space="preserve">the provision of community inpatient beds in appropriate locations; and </w:t>
            </w:r>
          </w:p>
          <w:p w:rsidR="00F42430" w:rsidRPr="002D3793" w:rsidRDefault="00F42430" w:rsidP="00F42430">
            <w:pPr>
              <w:pStyle w:val="ListParagraph"/>
              <w:numPr>
                <w:ilvl w:val="0"/>
                <w:numId w:val="18"/>
              </w:numPr>
              <w:jc w:val="both"/>
              <w:rPr>
                <w:rFonts w:ascii="Arial" w:hAnsi="Arial" w:cs="Arial"/>
                <w:bCs/>
                <w:sz w:val="24"/>
                <w:szCs w:val="24"/>
              </w:rPr>
            </w:pPr>
            <w:r w:rsidRPr="00F42430">
              <w:rPr>
                <w:rFonts w:ascii="Arial" w:hAnsi="Arial" w:cs="Arial"/>
                <w:bCs/>
                <w:sz w:val="24"/>
                <w:szCs w:val="24"/>
              </w:rPr>
              <w:t xml:space="preserve">the importance of ensuring/continuing to ensure: safe and secure estates and facilities; and sustainable environmental plans including travel plans.  </w:t>
            </w:r>
          </w:p>
          <w:p w:rsidR="00F42430" w:rsidRPr="00F42430" w:rsidRDefault="00F42430" w:rsidP="00F42430">
            <w:pPr>
              <w:jc w:val="both"/>
              <w:rPr>
                <w:rFonts w:ascii="Arial" w:hAnsi="Arial" w:cs="Arial"/>
                <w:bCs/>
              </w:rPr>
            </w:pPr>
            <w:r w:rsidRPr="00F42430">
              <w:rPr>
                <w:rFonts w:ascii="Arial" w:hAnsi="Arial" w:cs="Arial"/>
                <w:bCs/>
              </w:rPr>
              <w:t>She highlighted risks that:</w:t>
            </w:r>
          </w:p>
          <w:p w:rsidR="00F42430" w:rsidRPr="00F42430" w:rsidRDefault="00F42430" w:rsidP="00F42430">
            <w:pPr>
              <w:pStyle w:val="ListParagraph"/>
              <w:numPr>
                <w:ilvl w:val="0"/>
                <w:numId w:val="19"/>
              </w:numPr>
              <w:jc w:val="both"/>
              <w:rPr>
                <w:rFonts w:ascii="Arial" w:hAnsi="Arial" w:cs="Arial"/>
                <w:bCs/>
                <w:sz w:val="24"/>
                <w:szCs w:val="24"/>
              </w:rPr>
            </w:pPr>
            <w:r w:rsidRPr="00F42430">
              <w:rPr>
                <w:rFonts w:ascii="Arial" w:hAnsi="Arial" w:cs="Arial"/>
                <w:bCs/>
                <w:sz w:val="24"/>
                <w:szCs w:val="24"/>
              </w:rPr>
              <w:t xml:space="preserve">if the Trust continued to operate as it did currently then an increasing population would lead to a requirement for increased accommodation; </w:t>
            </w:r>
          </w:p>
          <w:p w:rsidR="00F42430" w:rsidRPr="00F42430" w:rsidRDefault="00F42430" w:rsidP="00F42430">
            <w:pPr>
              <w:pStyle w:val="ListParagraph"/>
              <w:numPr>
                <w:ilvl w:val="0"/>
                <w:numId w:val="19"/>
              </w:numPr>
              <w:jc w:val="both"/>
              <w:rPr>
                <w:rFonts w:ascii="Arial" w:hAnsi="Arial" w:cs="Arial"/>
                <w:bCs/>
                <w:sz w:val="24"/>
                <w:szCs w:val="24"/>
              </w:rPr>
            </w:pPr>
            <w:r w:rsidRPr="00F42430">
              <w:rPr>
                <w:rFonts w:ascii="Arial" w:hAnsi="Arial" w:cs="Arial"/>
                <w:bCs/>
                <w:sz w:val="24"/>
                <w:szCs w:val="24"/>
              </w:rPr>
              <w:t xml:space="preserve">if the Trust did not model its future needs then there was a risk of building facilities in the wrong places or investing poorly in the future; and </w:t>
            </w:r>
          </w:p>
          <w:p w:rsidR="00F42430" w:rsidRPr="00F42430" w:rsidRDefault="00F42430" w:rsidP="00F42430">
            <w:pPr>
              <w:pStyle w:val="ListParagraph"/>
              <w:numPr>
                <w:ilvl w:val="0"/>
                <w:numId w:val="19"/>
              </w:numPr>
              <w:jc w:val="both"/>
              <w:rPr>
                <w:rFonts w:ascii="Arial" w:hAnsi="Arial" w:cs="Arial"/>
                <w:bCs/>
                <w:sz w:val="24"/>
                <w:szCs w:val="24"/>
              </w:rPr>
            </w:pPr>
            <w:r w:rsidRPr="00F42430">
              <w:rPr>
                <w:rFonts w:ascii="Arial" w:hAnsi="Arial" w:cs="Arial"/>
                <w:bCs/>
                <w:sz w:val="24"/>
                <w:szCs w:val="24"/>
              </w:rPr>
              <w:t xml:space="preserve">affordability would be a challenge.  </w:t>
            </w:r>
          </w:p>
          <w:p w:rsidR="00F42430" w:rsidRPr="00F42430" w:rsidRDefault="00F42430" w:rsidP="00F42430">
            <w:pPr>
              <w:jc w:val="both"/>
              <w:rPr>
                <w:rFonts w:ascii="Arial" w:hAnsi="Arial" w:cs="Arial"/>
                <w:bCs/>
              </w:rPr>
            </w:pPr>
            <w:r w:rsidRPr="00F42430">
              <w:rPr>
                <w:rFonts w:ascii="Arial" w:hAnsi="Arial" w:cs="Arial"/>
                <w:bCs/>
              </w:rPr>
              <w:t xml:space="preserve">The Board considered the achievement of goals around environmental sustainability.  Bernard Galton asked how confident the Trust could be in the likelihood of achieving a 26% carbon reduction.  The Director of Estates &amp; Facilities replied that there were good plans and proposals within the capital programme to achieve this but she acknowledged that it would be a challenge and that the Trust may also need external support to be able to meet this.   The Director of Strategy &amp; CIO asked about the sustainability of the fixed estate and fixed </w:t>
            </w:r>
            <w:r w:rsidRPr="00F42430">
              <w:rPr>
                <w:rFonts w:ascii="Arial" w:hAnsi="Arial" w:cs="Arial"/>
                <w:bCs/>
              </w:rPr>
              <w:lastRenderedPageBreak/>
              <w:t xml:space="preserve">buildings.  The Director of Estates &amp; Facilities noted that it may be sensible to move away from traditional buildings and to support more mobile working but this would require cultural change and change management.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Alyson Coates asked about workforce challenges in delivering the Estates Strategy.  The Director of Estates &amp; Facilities replied that there were generally workforce shortages within Estates &amp; Facilities, especially amongst domestic staff.  The Director of HR added that this linked to discussions around the importance of providing more staff accommodation to be able to support recruitment and retention.  </w:t>
            </w:r>
          </w:p>
          <w:p w:rsidR="00F42430" w:rsidRPr="00F42430" w:rsidRDefault="00F42430" w:rsidP="00F42430">
            <w:pPr>
              <w:jc w:val="both"/>
              <w:rPr>
                <w:rFonts w:ascii="Arial" w:hAnsi="Arial" w:cs="Arial"/>
                <w:bCs/>
              </w:rPr>
            </w:pPr>
          </w:p>
          <w:p w:rsidR="000648E4" w:rsidRPr="00F42430" w:rsidRDefault="00F42430" w:rsidP="00F42430">
            <w:pPr>
              <w:jc w:val="both"/>
              <w:rPr>
                <w:rFonts w:ascii="Arial" w:hAnsi="Arial" w:cs="Arial"/>
                <w:b/>
                <w:bCs/>
              </w:rPr>
            </w:pPr>
            <w:r w:rsidRPr="00F42430">
              <w:rPr>
                <w:rFonts w:ascii="Arial" w:hAnsi="Arial" w:cs="Arial"/>
                <w:b/>
                <w:bCs/>
              </w:rPr>
              <w:t xml:space="preserve">The Board noted the presentation.  </w:t>
            </w:r>
          </w:p>
          <w:p w:rsidR="00396767" w:rsidRPr="00FD1A72" w:rsidRDefault="00396767" w:rsidP="000648E4">
            <w:pPr>
              <w:jc w:val="both"/>
              <w:rPr>
                <w:rFonts w:ascii="Arial" w:hAnsi="Arial" w:cs="Arial"/>
                <w:bCs/>
              </w:rPr>
            </w:pPr>
          </w:p>
        </w:tc>
        <w:tc>
          <w:tcPr>
            <w:tcW w:w="1054" w:type="dxa"/>
          </w:tcPr>
          <w:p w:rsidR="00FD1A72" w:rsidRDefault="00FD1A72" w:rsidP="00687605">
            <w:pPr>
              <w:keepNext/>
              <w:keepLines/>
              <w:rPr>
                <w:rFonts w:ascii="Arial" w:hAnsi="Arial" w:cs="Arial"/>
                <w:b/>
              </w:rPr>
            </w:pPr>
          </w:p>
          <w:p w:rsidR="000E58C3" w:rsidRDefault="000E58C3" w:rsidP="00687605">
            <w:pPr>
              <w:keepNext/>
              <w:keepLines/>
              <w:rPr>
                <w:rFonts w:ascii="Arial" w:hAnsi="Arial" w:cs="Arial"/>
                <w:b/>
              </w:rPr>
            </w:pPr>
          </w:p>
        </w:tc>
      </w:tr>
      <w:tr w:rsidR="00F42430" w:rsidRPr="00666D1B">
        <w:trPr>
          <w:trHeight w:val="650"/>
        </w:trPr>
        <w:tc>
          <w:tcPr>
            <w:tcW w:w="993" w:type="dxa"/>
          </w:tcPr>
          <w:p w:rsidR="00F42430" w:rsidRDefault="003F0BA3" w:rsidP="00F42430">
            <w:pPr>
              <w:rPr>
                <w:rFonts w:ascii="Arial" w:hAnsi="Arial" w:cs="Arial"/>
              </w:rPr>
            </w:pPr>
            <w:r>
              <w:rPr>
                <w:rFonts w:ascii="Arial" w:hAnsi="Arial" w:cs="Arial"/>
                <w:b/>
              </w:rPr>
              <w:lastRenderedPageBreak/>
              <w:t>BOD 134</w:t>
            </w:r>
            <w:r w:rsidR="00F42430" w:rsidRPr="00E22C3A">
              <w:rPr>
                <w:rFonts w:ascii="Arial" w:hAnsi="Arial" w:cs="Arial"/>
                <w:b/>
              </w:rPr>
              <w:t>/1</w:t>
            </w:r>
            <w:r w:rsidR="00F42430">
              <w:rPr>
                <w:rFonts w:ascii="Arial" w:hAnsi="Arial" w:cs="Arial"/>
                <w:b/>
              </w:rPr>
              <w:t>8</w:t>
            </w:r>
          </w:p>
          <w:p w:rsidR="00F42430" w:rsidRDefault="00F42430" w:rsidP="00F42430">
            <w:pPr>
              <w:rPr>
                <w:rFonts w:ascii="Arial" w:hAnsi="Arial" w:cs="Arial"/>
              </w:rPr>
            </w:pPr>
            <w:r>
              <w:rPr>
                <w:rFonts w:ascii="Arial" w:hAnsi="Arial" w:cs="Arial"/>
              </w:rPr>
              <w:t>a</w:t>
            </w:r>
          </w:p>
          <w:p w:rsidR="00F42430" w:rsidRDefault="00F42430" w:rsidP="00FD1A72">
            <w:pPr>
              <w:rPr>
                <w:rFonts w:ascii="Arial" w:hAnsi="Arial" w:cs="Arial"/>
                <w:b/>
              </w:rPr>
            </w:pPr>
          </w:p>
        </w:tc>
        <w:tc>
          <w:tcPr>
            <w:tcW w:w="7087" w:type="dxa"/>
          </w:tcPr>
          <w:p w:rsidR="00F42430" w:rsidRPr="00F42430" w:rsidRDefault="00F42430" w:rsidP="00F42430">
            <w:pPr>
              <w:jc w:val="both"/>
              <w:rPr>
                <w:rFonts w:ascii="Arial" w:hAnsi="Arial" w:cs="Arial"/>
                <w:b/>
                <w:bCs/>
              </w:rPr>
            </w:pPr>
            <w:r w:rsidRPr="00F42430">
              <w:rPr>
                <w:rFonts w:ascii="Arial" w:hAnsi="Arial" w:cs="Arial"/>
                <w:b/>
                <w:bCs/>
              </w:rPr>
              <w:t>Updates from Committees</w:t>
            </w:r>
          </w:p>
          <w:p w:rsidR="00F42430" w:rsidRPr="00F42430" w:rsidRDefault="00F42430" w:rsidP="00F42430">
            <w:pPr>
              <w:jc w:val="both"/>
              <w:rPr>
                <w:rFonts w:ascii="Arial" w:hAnsi="Arial" w:cs="Arial"/>
                <w:bCs/>
              </w:rPr>
            </w:pPr>
          </w:p>
          <w:p w:rsidR="00F42430" w:rsidRDefault="00F42430" w:rsidP="00F42430">
            <w:pPr>
              <w:jc w:val="both"/>
              <w:rPr>
                <w:rFonts w:ascii="Arial" w:hAnsi="Arial" w:cs="Arial"/>
                <w:bCs/>
              </w:rPr>
            </w:pPr>
            <w:r w:rsidRPr="00F42430">
              <w:rPr>
                <w:rFonts w:ascii="Arial" w:hAnsi="Arial" w:cs="Arial"/>
                <w:bCs/>
              </w:rPr>
              <w:t xml:space="preserve">The Board received the minutes of the meetings of the Quality Committee on 09 May 2018, the Finance &amp; Investment Committee on 10 May 2018 and the Charity Committee on 12 June 2018 at papers BOD 102-104/2018.  </w:t>
            </w:r>
          </w:p>
          <w:p w:rsidR="00F42430" w:rsidRPr="00F42430" w:rsidRDefault="00F42430" w:rsidP="00F42430">
            <w:pPr>
              <w:jc w:val="both"/>
              <w:rPr>
                <w:rFonts w:ascii="Arial" w:hAnsi="Arial" w:cs="Arial"/>
                <w:bCs/>
              </w:rPr>
            </w:pPr>
          </w:p>
        </w:tc>
        <w:tc>
          <w:tcPr>
            <w:tcW w:w="1054" w:type="dxa"/>
          </w:tcPr>
          <w:p w:rsidR="00F42430" w:rsidRDefault="00F42430" w:rsidP="00687605">
            <w:pPr>
              <w:keepNext/>
              <w:keepLines/>
              <w:rPr>
                <w:rFonts w:ascii="Arial" w:hAnsi="Arial" w:cs="Arial"/>
                <w:b/>
              </w:rPr>
            </w:pPr>
          </w:p>
        </w:tc>
      </w:tr>
      <w:tr w:rsidR="00E22C3A" w:rsidRPr="00666D1B">
        <w:trPr>
          <w:trHeight w:val="650"/>
        </w:trPr>
        <w:tc>
          <w:tcPr>
            <w:tcW w:w="993" w:type="dxa"/>
          </w:tcPr>
          <w:p w:rsidR="00E22C3A" w:rsidRDefault="003F0BA3" w:rsidP="00C87136">
            <w:pPr>
              <w:rPr>
                <w:rFonts w:ascii="Arial" w:hAnsi="Arial" w:cs="Arial"/>
              </w:rPr>
            </w:pPr>
            <w:r>
              <w:rPr>
                <w:rFonts w:ascii="Arial" w:hAnsi="Arial" w:cs="Arial"/>
                <w:b/>
              </w:rPr>
              <w:t>BOD 135</w:t>
            </w:r>
            <w:r w:rsidR="00E22C3A" w:rsidRPr="00E22C3A">
              <w:rPr>
                <w:rFonts w:ascii="Arial" w:hAnsi="Arial" w:cs="Arial"/>
                <w:b/>
              </w:rPr>
              <w:t>/1</w:t>
            </w:r>
            <w:r w:rsidR="00D877DD">
              <w:rPr>
                <w:rFonts w:ascii="Arial" w:hAnsi="Arial" w:cs="Arial"/>
                <w:b/>
              </w:rPr>
              <w:t>8</w:t>
            </w:r>
          </w:p>
          <w:p w:rsidR="00A42C51" w:rsidRDefault="00B445E0" w:rsidP="00D877DD">
            <w:pPr>
              <w:rPr>
                <w:rFonts w:ascii="Arial" w:hAnsi="Arial" w:cs="Arial"/>
              </w:rPr>
            </w:pPr>
            <w:r>
              <w:rPr>
                <w:rFonts w:ascii="Arial" w:hAnsi="Arial" w:cs="Arial"/>
              </w:rPr>
              <w:t>a</w:t>
            </w:r>
          </w:p>
          <w:p w:rsidR="000648E4" w:rsidRPr="00B445E0" w:rsidRDefault="000648E4" w:rsidP="00D877DD">
            <w:pPr>
              <w:rPr>
                <w:rFonts w:ascii="Arial" w:hAnsi="Arial" w:cs="Arial"/>
              </w:rPr>
            </w:pPr>
          </w:p>
        </w:tc>
        <w:tc>
          <w:tcPr>
            <w:tcW w:w="7087" w:type="dxa"/>
          </w:tcPr>
          <w:p w:rsidR="00FD0B92" w:rsidRPr="00FD0B92" w:rsidRDefault="00FD0B92" w:rsidP="00FD0B92">
            <w:pPr>
              <w:jc w:val="both"/>
              <w:rPr>
                <w:rFonts w:ascii="Arial" w:hAnsi="Arial" w:cs="Arial"/>
                <w:b/>
                <w:bCs/>
              </w:rPr>
            </w:pPr>
            <w:r w:rsidRPr="00FD0B92">
              <w:rPr>
                <w:rFonts w:ascii="Arial" w:hAnsi="Arial" w:cs="Arial"/>
                <w:b/>
                <w:bCs/>
              </w:rPr>
              <w:t>Any Other Business and Strategic Risks</w:t>
            </w:r>
          </w:p>
          <w:p w:rsidR="00FD0B92" w:rsidRPr="00FD0B92" w:rsidRDefault="00FD0B92" w:rsidP="00FD0B92">
            <w:pPr>
              <w:jc w:val="both"/>
              <w:rPr>
                <w:rFonts w:ascii="Arial" w:hAnsi="Arial" w:cs="Arial"/>
                <w:bCs/>
              </w:rPr>
            </w:pPr>
          </w:p>
          <w:p w:rsidR="000648E4" w:rsidRPr="00CC7CE6" w:rsidRDefault="00F42430" w:rsidP="00874F50">
            <w:pPr>
              <w:jc w:val="both"/>
              <w:rPr>
                <w:rFonts w:ascii="Arial" w:hAnsi="Arial" w:cs="Arial"/>
                <w:bCs/>
              </w:rPr>
            </w:pPr>
            <w:r w:rsidRPr="00F42430">
              <w:rPr>
                <w:rFonts w:ascii="Arial" w:hAnsi="Arial" w:cs="Arial"/>
                <w:bCs/>
              </w:rPr>
              <w:t>None.  No changes noted to strategic risks.</w:t>
            </w:r>
          </w:p>
        </w:tc>
        <w:tc>
          <w:tcPr>
            <w:tcW w:w="1054" w:type="dxa"/>
          </w:tcPr>
          <w:p w:rsidR="00E22C3A" w:rsidRDefault="00E22C3A" w:rsidP="00687605">
            <w:pPr>
              <w:keepNext/>
              <w:keepLines/>
              <w:rPr>
                <w:rFonts w:ascii="Arial" w:hAnsi="Arial" w:cs="Arial"/>
                <w:b/>
              </w:rPr>
            </w:pPr>
          </w:p>
          <w:p w:rsidR="007953B4" w:rsidRDefault="007953B4" w:rsidP="00687605">
            <w:pPr>
              <w:keepNext/>
              <w:keepLines/>
              <w:rPr>
                <w:rFonts w:ascii="Arial" w:hAnsi="Arial" w:cs="Arial"/>
                <w:b/>
              </w:rPr>
            </w:pPr>
          </w:p>
          <w:p w:rsidR="00EF361A" w:rsidRDefault="00EF361A" w:rsidP="00687605">
            <w:pPr>
              <w:keepNext/>
              <w:keepLines/>
              <w:rPr>
                <w:rFonts w:ascii="Arial" w:hAnsi="Arial" w:cs="Arial"/>
                <w:b/>
              </w:rPr>
            </w:pPr>
          </w:p>
        </w:tc>
      </w:tr>
      <w:tr w:rsidR="00E22C3A" w:rsidRPr="00666D1B">
        <w:trPr>
          <w:trHeight w:val="650"/>
        </w:trPr>
        <w:tc>
          <w:tcPr>
            <w:tcW w:w="993" w:type="dxa"/>
          </w:tcPr>
          <w:p w:rsidR="00E22C3A" w:rsidRDefault="00CB6286" w:rsidP="00C87136">
            <w:pPr>
              <w:rPr>
                <w:rFonts w:ascii="Arial" w:hAnsi="Arial" w:cs="Arial"/>
              </w:rPr>
            </w:pPr>
            <w:r>
              <w:rPr>
                <w:rFonts w:ascii="Arial" w:hAnsi="Arial" w:cs="Arial"/>
                <w:b/>
              </w:rPr>
              <w:t xml:space="preserve">BOD </w:t>
            </w:r>
            <w:r w:rsidR="003F0BA3">
              <w:rPr>
                <w:rFonts w:ascii="Arial" w:hAnsi="Arial" w:cs="Arial"/>
                <w:b/>
              </w:rPr>
              <w:t>136</w:t>
            </w:r>
            <w:r w:rsidR="00E22C3A" w:rsidRPr="00E22C3A">
              <w:rPr>
                <w:rFonts w:ascii="Arial" w:hAnsi="Arial" w:cs="Arial"/>
                <w:b/>
              </w:rPr>
              <w:t>/1</w:t>
            </w:r>
            <w:r w:rsidR="00D877DD">
              <w:rPr>
                <w:rFonts w:ascii="Arial" w:hAnsi="Arial" w:cs="Arial"/>
                <w:b/>
              </w:rPr>
              <w:t>8</w:t>
            </w:r>
          </w:p>
          <w:p w:rsidR="00B445E0" w:rsidRDefault="00B445E0" w:rsidP="00C87136">
            <w:pPr>
              <w:rPr>
                <w:rFonts w:ascii="Arial" w:hAnsi="Arial" w:cs="Arial"/>
              </w:rPr>
            </w:pPr>
            <w:r>
              <w:rPr>
                <w:rFonts w:ascii="Arial" w:hAnsi="Arial" w:cs="Arial"/>
              </w:rPr>
              <w:t>a</w:t>
            </w:r>
          </w:p>
          <w:p w:rsidR="00283587" w:rsidRDefault="00283587"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r>
              <w:rPr>
                <w:rFonts w:ascii="Arial" w:hAnsi="Arial" w:cs="Arial"/>
              </w:rPr>
              <w:lastRenderedPageBreak/>
              <w:t>b</w:t>
            </w: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r>
              <w:rPr>
                <w:rFonts w:ascii="Arial" w:hAnsi="Arial" w:cs="Arial"/>
              </w:rPr>
              <w:t>c</w:t>
            </w:r>
          </w:p>
          <w:p w:rsidR="002D3793" w:rsidRDefault="002D3793" w:rsidP="00D877DD">
            <w:pPr>
              <w:rPr>
                <w:rFonts w:ascii="Arial" w:hAnsi="Arial" w:cs="Arial"/>
              </w:rPr>
            </w:pPr>
          </w:p>
          <w:p w:rsidR="002D3793" w:rsidRDefault="002D3793" w:rsidP="00D877DD">
            <w:pPr>
              <w:rPr>
                <w:rFonts w:ascii="Arial" w:hAnsi="Arial" w:cs="Arial"/>
              </w:rPr>
            </w:pPr>
          </w:p>
          <w:p w:rsidR="002D3793" w:rsidRDefault="002D3793" w:rsidP="00D877DD">
            <w:pPr>
              <w:rPr>
                <w:rFonts w:ascii="Arial" w:hAnsi="Arial" w:cs="Arial"/>
              </w:rPr>
            </w:pPr>
          </w:p>
          <w:p w:rsidR="002D3793" w:rsidRPr="00B445E0" w:rsidRDefault="002D3793" w:rsidP="00D877DD">
            <w:pPr>
              <w:rPr>
                <w:rFonts w:ascii="Arial" w:hAnsi="Arial" w:cs="Arial"/>
              </w:rPr>
            </w:pPr>
            <w:r>
              <w:rPr>
                <w:rFonts w:ascii="Arial" w:hAnsi="Arial" w:cs="Arial"/>
              </w:rPr>
              <w:t>d</w:t>
            </w:r>
          </w:p>
        </w:tc>
        <w:tc>
          <w:tcPr>
            <w:tcW w:w="7087" w:type="dxa"/>
          </w:tcPr>
          <w:p w:rsidR="00FD0B92" w:rsidRPr="00EF361A" w:rsidRDefault="00FD0B92" w:rsidP="00FD0B92">
            <w:pPr>
              <w:jc w:val="both"/>
              <w:rPr>
                <w:rFonts w:ascii="Arial" w:hAnsi="Arial" w:cs="Arial"/>
                <w:b/>
                <w:bCs/>
              </w:rPr>
            </w:pPr>
            <w:r w:rsidRPr="00EF361A">
              <w:rPr>
                <w:rFonts w:ascii="Arial" w:hAnsi="Arial" w:cs="Arial"/>
                <w:b/>
                <w:bCs/>
              </w:rPr>
              <w:lastRenderedPageBreak/>
              <w:t>Questions from Observers</w:t>
            </w:r>
          </w:p>
          <w:p w:rsidR="00FD0B92" w:rsidRPr="00FD0B92" w:rsidRDefault="00FD0B92" w:rsidP="00FD0B92">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Madeleine Radburn, Deputy Lead Governor, suggested that the Board consider:</w:t>
            </w:r>
          </w:p>
          <w:p w:rsidR="00F42430" w:rsidRPr="00F42430" w:rsidRDefault="00F42430" w:rsidP="00F42430">
            <w:pPr>
              <w:pStyle w:val="ListParagraph"/>
              <w:numPr>
                <w:ilvl w:val="0"/>
                <w:numId w:val="20"/>
              </w:numPr>
              <w:jc w:val="both"/>
              <w:rPr>
                <w:rFonts w:ascii="Arial" w:hAnsi="Arial" w:cs="Arial"/>
                <w:bCs/>
                <w:sz w:val="24"/>
                <w:szCs w:val="24"/>
              </w:rPr>
            </w:pPr>
            <w:r w:rsidRPr="00F42430">
              <w:rPr>
                <w:rFonts w:ascii="Arial" w:hAnsi="Arial" w:cs="Arial"/>
                <w:bCs/>
                <w:sz w:val="24"/>
                <w:szCs w:val="24"/>
              </w:rPr>
              <w:t>more use of volunteers to help to plug gaps in staffing;</w:t>
            </w:r>
          </w:p>
          <w:p w:rsidR="00F42430" w:rsidRPr="00F42430" w:rsidRDefault="00F42430" w:rsidP="00F42430">
            <w:pPr>
              <w:pStyle w:val="ListParagraph"/>
              <w:numPr>
                <w:ilvl w:val="0"/>
                <w:numId w:val="20"/>
              </w:numPr>
              <w:jc w:val="both"/>
              <w:rPr>
                <w:rFonts w:ascii="Arial" w:hAnsi="Arial" w:cs="Arial"/>
                <w:bCs/>
                <w:sz w:val="24"/>
                <w:szCs w:val="24"/>
              </w:rPr>
            </w:pPr>
            <w:r w:rsidRPr="00F42430">
              <w:rPr>
                <w:rFonts w:ascii="Arial" w:hAnsi="Arial" w:cs="Arial"/>
                <w:bCs/>
                <w:sz w:val="24"/>
                <w:szCs w:val="24"/>
              </w:rPr>
              <w:t xml:space="preserve">taking more responsibility for educating the public </w:t>
            </w:r>
            <w:proofErr w:type="gramStart"/>
            <w:r w:rsidRPr="00F42430">
              <w:rPr>
                <w:rFonts w:ascii="Arial" w:hAnsi="Arial" w:cs="Arial"/>
                <w:bCs/>
                <w:sz w:val="24"/>
                <w:szCs w:val="24"/>
              </w:rPr>
              <w:t>in order to</w:t>
            </w:r>
            <w:proofErr w:type="gramEnd"/>
            <w:r w:rsidRPr="00F42430">
              <w:rPr>
                <w:rFonts w:ascii="Arial" w:hAnsi="Arial" w:cs="Arial"/>
                <w:bCs/>
                <w:sz w:val="24"/>
                <w:szCs w:val="24"/>
              </w:rPr>
              <w:t xml:space="preserve"> </w:t>
            </w:r>
            <w:r w:rsidR="00223271">
              <w:rPr>
                <w:rFonts w:ascii="Arial" w:hAnsi="Arial" w:cs="Arial"/>
                <w:bCs/>
                <w:sz w:val="24"/>
                <w:szCs w:val="24"/>
              </w:rPr>
              <w:t>prevent</w:t>
            </w:r>
            <w:r w:rsidRPr="00F42430">
              <w:rPr>
                <w:rFonts w:ascii="Arial" w:hAnsi="Arial" w:cs="Arial"/>
                <w:bCs/>
                <w:sz w:val="24"/>
                <w:szCs w:val="24"/>
              </w:rPr>
              <w:t xml:space="preserve"> admissions to Accident &amp; Emergency.  She noted that she needed information on how to prevent pressure ulcers which she could then share more widely which may help to inform people and prevent admissions; and</w:t>
            </w:r>
          </w:p>
          <w:p w:rsidR="00F42430" w:rsidRPr="00504080" w:rsidRDefault="00F42430" w:rsidP="00F42430">
            <w:pPr>
              <w:pStyle w:val="ListParagraph"/>
              <w:numPr>
                <w:ilvl w:val="0"/>
                <w:numId w:val="20"/>
              </w:numPr>
              <w:jc w:val="both"/>
              <w:rPr>
                <w:rFonts w:ascii="Arial" w:hAnsi="Arial" w:cs="Arial"/>
                <w:bCs/>
                <w:sz w:val="24"/>
                <w:szCs w:val="24"/>
              </w:rPr>
            </w:pPr>
            <w:r w:rsidRPr="00F42430">
              <w:rPr>
                <w:rFonts w:ascii="Arial" w:hAnsi="Arial" w:cs="Arial"/>
                <w:bCs/>
                <w:sz w:val="24"/>
                <w:szCs w:val="24"/>
              </w:rPr>
              <w:t>better use of building space which was currently standing empty, especially in relation to Wantage community hospital and the physiotherapy block at Witney (especially whilst</w:t>
            </w:r>
            <w:r w:rsidR="00223271">
              <w:rPr>
                <w:rFonts w:ascii="Arial" w:hAnsi="Arial" w:cs="Arial"/>
                <w:bCs/>
                <w:sz w:val="24"/>
                <w:szCs w:val="24"/>
              </w:rPr>
              <w:t xml:space="preserve"> patients were standing in</w:t>
            </w:r>
            <w:r w:rsidRPr="00F42430">
              <w:rPr>
                <w:rFonts w:ascii="Arial" w:hAnsi="Arial" w:cs="Arial"/>
                <w:bCs/>
                <w:sz w:val="24"/>
                <w:szCs w:val="24"/>
              </w:rPr>
              <w:t xml:space="preserve"> the Witney waiting area </w:t>
            </w:r>
            <w:bookmarkStart w:id="0" w:name="_GoBack"/>
            <w:bookmarkEnd w:id="0"/>
            <w:r w:rsidRPr="00F42430">
              <w:rPr>
                <w:rFonts w:ascii="Arial" w:hAnsi="Arial" w:cs="Arial"/>
                <w:bCs/>
                <w:sz w:val="24"/>
                <w:szCs w:val="24"/>
              </w:rPr>
              <w:t>due to lack of space during periods when a number of clinics were being held).</w:t>
            </w:r>
          </w:p>
          <w:p w:rsidR="00F42430" w:rsidRPr="00F42430" w:rsidRDefault="00F42430" w:rsidP="00F42430">
            <w:pPr>
              <w:jc w:val="both"/>
              <w:rPr>
                <w:rFonts w:ascii="Arial" w:hAnsi="Arial" w:cs="Arial"/>
                <w:bCs/>
              </w:rPr>
            </w:pPr>
            <w:r w:rsidRPr="00F42430">
              <w:rPr>
                <w:rFonts w:ascii="Arial" w:hAnsi="Arial" w:cs="Arial"/>
                <w:bCs/>
              </w:rPr>
              <w:lastRenderedPageBreak/>
              <w:t xml:space="preserve">The Director of Corporate Affairs &amp; Company Secretary noted that advertising for volunteer posts was taking place but cautioned that the Trust must also be mindful of employment legislation and HR and union requirements and take care not to use volunteers to fill existing establishment posts.  </w:t>
            </w:r>
          </w:p>
          <w:p w:rsidR="00F42430" w:rsidRPr="00F42430" w:rsidRDefault="00F42430" w:rsidP="00F42430">
            <w:pPr>
              <w:jc w:val="both"/>
              <w:rPr>
                <w:rFonts w:ascii="Arial" w:hAnsi="Arial" w:cs="Arial"/>
                <w:bCs/>
              </w:rPr>
            </w:pPr>
          </w:p>
          <w:p w:rsidR="00F42430" w:rsidRPr="00F42430" w:rsidRDefault="00F42430" w:rsidP="00F42430">
            <w:pPr>
              <w:jc w:val="both"/>
              <w:rPr>
                <w:rFonts w:ascii="Arial" w:hAnsi="Arial" w:cs="Arial"/>
                <w:bCs/>
              </w:rPr>
            </w:pPr>
            <w:r w:rsidRPr="00F42430">
              <w:rPr>
                <w:rFonts w:ascii="Arial" w:hAnsi="Arial" w:cs="Arial"/>
                <w:bCs/>
              </w:rPr>
              <w:t xml:space="preserve">The Director of Nursing &amp; Clinical Standards confirmed that she would separately provide relevant information around pressure ulcers, which could be more widely disseminated.  </w:t>
            </w:r>
          </w:p>
          <w:p w:rsidR="00F42430" w:rsidRPr="00F42430" w:rsidRDefault="00F42430" w:rsidP="00F42430">
            <w:pPr>
              <w:jc w:val="both"/>
              <w:rPr>
                <w:rFonts w:ascii="Arial" w:hAnsi="Arial" w:cs="Arial"/>
                <w:bCs/>
              </w:rPr>
            </w:pPr>
          </w:p>
          <w:p w:rsidR="00EF361A" w:rsidRDefault="00F42430" w:rsidP="00F42430">
            <w:pPr>
              <w:jc w:val="both"/>
              <w:rPr>
                <w:rFonts w:ascii="Arial" w:hAnsi="Arial" w:cs="Arial"/>
                <w:bCs/>
              </w:rPr>
            </w:pPr>
            <w:r w:rsidRPr="00F42430">
              <w:rPr>
                <w:rFonts w:ascii="Arial" w:hAnsi="Arial" w:cs="Arial"/>
                <w:bCs/>
              </w:rPr>
              <w:t xml:space="preserve">The Joint Service Director replied that, in relation to Witney and the physiotherapy block, plans for this were currently being developed with Estates.  The Director of Nursing &amp; Clinical Standards added that at Witney there was also temporary seating space for the waiting area which staff should be making available.  The Chief Executive added that in relation to Wantage, this was subject to the consultation being arranged by the CCG but this was also being considered by the Health Overview and Scrutiny Committee.  </w:t>
            </w:r>
          </w:p>
          <w:p w:rsidR="00F42430" w:rsidRPr="00E22C3A" w:rsidRDefault="00F42430" w:rsidP="00F42430">
            <w:pPr>
              <w:jc w:val="both"/>
              <w:rPr>
                <w:rFonts w:ascii="Arial" w:hAnsi="Arial" w:cs="Arial"/>
                <w:bCs/>
              </w:rPr>
            </w:pPr>
          </w:p>
        </w:tc>
        <w:tc>
          <w:tcPr>
            <w:tcW w:w="1054" w:type="dxa"/>
          </w:tcPr>
          <w:p w:rsidR="00E22C3A" w:rsidRDefault="00E22C3A" w:rsidP="00687605">
            <w:pPr>
              <w:keepNext/>
              <w:keepLines/>
              <w:rPr>
                <w:rFonts w:ascii="Arial" w:hAnsi="Arial" w:cs="Arial"/>
                <w:b/>
              </w:rPr>
            </w:pPr>
          </w:p>
          <w:p w:rsidR="00D336CF" w:rsidRDefault="00D336CF" w:rsidP="00687605">
            <w:pPr>
              <w:keepNext/>
              <w:keepLines/>
              <w:rPr>
                <w:rFonts w:ascii="Arial" w:hAnsi="Arial" w:cs="Arial"/>
                <w:b/>
              </w:rPr>
            </w:pPr>
          </w:p>
        </w:tc>
      </w:tr>
      <w:tr w:rsidR="00660548" w:rsidRPr="00666D1B">
        <w:trPr>
          <w:trHeight w:val="650"/>
        </w:trPr>
        <w:tc>
          <w:tcPr>
            <w:tcW w:w="993" w:type="dxa"/>
          </w:tcPr>
          <w:p w:rsidR="00660548" w:rsidRDefault="006A3C3D" w:rsidP="00C52D43">
            <w:pPr>
              <w:rPr>
                <w:rFonts w:ascii="Arial" w:hAnsi="Arial" w:cs="Arial"/>
              </w:rPr>
            </w:pPr>
            <w:r>
              <w:rPr>
                <w:rFonts w:ascii="Arial" w:hAnsi="Arial" w:cs="Arial"/>
                <w:b/>
              </w:rPr>
              <w:t xml:space="preserve">BOD </w:t>
            </w:r>
            <w:r w:rsidR="003F0BA3">
              <w:rPr>
                <w:rFonts w:ascii="Arial" w:hAnsi="Arial" w:cs="Arial"/>
                <w:b/>
              </w:rPr>
              <w:t>137</w:t>
            </w:r>
            <w:r w:rsidR="00660548">
              <w:rPr>
                <w:rFonts w:ascii="Arial" w:hAnsi="Arial" w:cs="Arial"/>
                <w:b/>
              </w:rPr>
              <w:t>/1</w:t>
            </w:r>
            <w:r w:rsidR="00D877DD">
              <w:rPr>
                <w:rFonts w:ascii="Arial" w:hAnsi="Arial" w:cs="Arial"/>
                <w:b/>
              </w:rPr>
              <w:t>8</w:t>
            </w:r>
          </w:p>
          <w:p w:rsidR="00660548" w:rsidRPr="00660548" w:rsidRDefault="00660548" w:rsidP="00C52D43">
            <w:pPr>
              <w:rPr>
                <w:rFonts w:ascii="Arial" w:hAnsi="Arial" w:cs="Arial"/>
              </w:rPr>
            </w:pPr>
            <w:r>
              <w:rPr>
                <w:rFonts w:ascii="Arial" w:hAnsi="Arial" w:cs="Arial"/>
              </w:rPr>
              <w:t>a</w:t>
            </w:r>
          </w:p>
        </w:tc>
        <w:tc>
          <w:tcPr>
            <w:tcW w:w="7087" w:type="dxa"/>
          </w:tcPr>
          <w:p w:rsidR="00660548" w:rsidRDefault="00660548" w:rsidP="00C52D43">
            <w:pPr>
              <w:jc w:val="both"/>
              <w:rPr>
                <w:rFonts w:ascii="Arial" w:hAnsi="Arial" w:cs="Arial"/>
                <w:bCs/>
              </w:rPr>
            </w:pPr>
          </w:p>
          <w:p w:rsidR="00660548" w:rsidRDefault="00660548" w:rsidP="00C52D43">
            <w:pPr>
              <w:jc w:val="both"/>
              <w:rPr>
                <w:rFonts w:ascii="Arial" w:hAnsi="Arial" w:cs="Arial"/>
                <w:bCs/>
              </w:rPr>
            </w:pPr>
            <w:r w:rsidRPr="00660548">
              <w:rPr>
                <w:rFonts w:ascii="Arial" w:hAnsi="Arial" w:cs="Arial"/>
                <w:bCs/>
              </w:rPr>
              <w:t xml:space="preserve">In accordance with Schedule 7 of the NHS Act 2006, the Board resolved to exclude members of the public from Part 2 of the board meeting having regard to commercial sensitivity and/or confidentiality; personal information; </w:t>
            </w:r>
            <w:r w:rsidR="001C39ED">
              <w:rPr>
                <w:rFonts w:ascii="Arial" w:hAnsi="Arial" w:cs="Arial"/>
                <w:bCs/>
              </w:rPr>
              <w:t xml:space="preserve">and </w:t>
            </w:r>
            <w:r w:rsidRPr="00660548">
              <w:rPr>
                <w:rFonts w:ascii="Arial" w:hAnsi="Arial" w:cs="Arial"/>
                <w:bCs/>
              </w:rPr>
              <w:t>legal professional privilege in relation to the business to be discussed.</w:t>
            </w:r>
          </w:p>
          <w:p w:rsidR="00660548" w:rsidRPr="00660548" w:rsidRDefault="00660548" w:rsidP="00C52D43">
            <w:pPr>
              <w:jc w:val="both"/>
              <w:rPr>
                <w:rFonts w:ascii="Arial" w:hAnsi="Arial" w:cs="Arial"/>
                <w:bCs/>
              </w:rPr>
            </w:pPr>
          </w:p>
        </w:tc>
        <w:tc>
          <w:tcPr>
            <w:tcW w:w="1054" w:type="dxa"/>
          </w:tcPr>
          <w:p w:rsidR="00660548" w:rsidRDefault="00660548" w:rsidP="00687605">
            <w:pPr>
              <w:keepNext/>
              <w:keepLines/>
              <w:rPr>
                <w:rFonts w:ascii="Arial" w:hAnsi="Arial" w:cs="Arial"/>
                <w:b/>
              </w:rPr>
            </w:pPr>
          </w:p>
        </w:tc>
      </w:tr>
      <w:tr w:rsidR="004B283B" w:rsidRPr="00666D1B">
        <w:trPr>
          <w:trHeight w:val="40"/>
        </w:trPr>
        <w:tc>
          <w:tcPr>
            <w:tcW w:w="993" w:type="dxa"/>
          </w:tcPr>
          <w:p w:rsidR="004B283B" w:rsidRPr="00666D1B" w:rsidRDefault="004B283B" w:rsidP="005F51D7">
            <w:pPr>
              <w:rPr>
                <w:rFonts w:ascii="Arial" w:hAnsi="Arial" w:cs="Arial"/>
              </w:rPr>
            </w:pPr>
          </w:p>
        </w:tc>
        <w:tc>
          <w:tcPr>
            <w:tcW w:w="7087" w:type="dxa"/>
          </w:tcPr>
          <w:p w:rsidR="004B283B" w:rsidRDefault="004B283B" w:rsidP="005F51D7">
            <w:pPr>
              <w:jc w:val="both"/>
              <w:rPr>
                <w:rFonts w:ascii="Arial" w:hAnsi="Arial" w:cs="Arial"/>
                <w:bCs/>
              </w:rPr>
            </w:pPr>
            <w:r w:rsidRPr="00666D1B">
              <w:rPr>
                <w:rFonts w:ascii="Arial" w:hAnsi="Arial" w:cs="Arial"/>
                <w:bCs/>
              </w:rPr>
              <w:t xml:space="preserve">The meeting was closed at </w:t>
            </w:r>
            <w:r w:rsidR="00F42430">
              <w:rPr>
                <w:rFonts w:ascii="Arial" w:hAnsi="Arial" w:cs="Arial"/>
                <w:bCs/>
              </w:rPr>
              <w:t>12:43</w:t>
            </w:r>
            <w:r w:rsidR="000B592F">
              <w:rPr>
                <w:rFonts w:ascii="Arial" w:hAnsi="Arial" w:cs="Arial"/>
                <w:bCs/>
              </w:rPr>
              <w:t xml:space="preserve"> </w:t>
            </w:r>
            <w:r w:rsidR="00F12EF0">
              <w:rPr>
                <w:rFonts w:ascii="Arial" w:hAnsi="Arial" w:cs="Arial"/>
                <w:bCs/>
              </w:rPr>
              <w:t xml:space="preserve">  </w:t>
            </w:r>
          </w:p>
          <w:p w:rsidR="004B283B" w:rsidRPr="00666D1B" w:rsidRDefault="004B283B" w:rsidP="005F51D7">
            <w:pPr>
              <w:jc w:val="both"/>
              <w:rPr>
                <w:rFonts w:ascii="Arial" w:hAnsi="Arial" w:cs="Arial"/>
                <w:b/>
                <w:bCs/>
              </w:rPr>
            </w:pPr>
          </w:p>
          <w:p w:rsidR="004B283B" w:rsidRPr="00937E38" w:rsidRDefault="004B283B" w:rsidP="0052610B">
            <w:pPr>
              <w:jc w:val="both"/>
              <w:rPr>
                <w:rFonts w:ascii="Arial" w:hAnsi="Arial" w:cs="Arial"/>
                <w:b/>
                <w:bCs/>
              </w:rPr>
            </w:pPr>
            <w:r>
              <w:rPr>
                <w:rFonts w:ascii="Arial" w:hAnsi="Arial" w:cs="Arial"/>
                <w:b/>
                <w:bCs/>
              </w:rPr>
              <w:t>Date of next meet</w:t>
            </w:r>
            <w:r w:rsidR="00CB6286">
              <w:rPr>
                <w:rFonts w:ascii="Arial" w:hAnsi="Arial" w:cs="Arial"/>
                <w:b/>
                <w:bCs/>
              </w:rPr>
              <w:t xml:space="preserve">ing: </w:t>
            </w:r>
            <w:r w:rsidR="00874F50">
              <w:rPr>
                <w:rFonts w:ascii="Arial" w:hAnsi="Arial" w:cs="Arial"/>
                <w:b/>
                <w:bCs/>
              </w:rPr>
              <w:t>27 September</w:t>
            </w:r>
            <w:r w:rsidR="00CB6286">
              <w:rPr>
                <w:rFonts w:ascii="Arial" w:hAnsi="Arial" w:cs="Arial"/>
                <w:b/>
                <w:bCs/>
              </w:rPr>
              <w:t xml:space="preserve"> </w:t>
            </w:r>
            <w:r w:rsidR="0019586F">
              <w:rPr>
                <w:rFonts w:ascii="Arial" w:hAnsi="Arial" w:cs="Arial"/>
                <w:b/>
                <w:bCs/>
              </w:rPr>
              <w:t>201</w:t>
            </w:r>
            <w:r w:rsidR="00D877DD">
              <w:rPr>
                <w:rFonts w:ascii="Arial" w:hAnsi="Arial" w:cs="Arial"/>
                <w:b/>
                <w:bCs/>
              </w:rPr>
              <w:t>8</w:t>
            </w:r>
          </w:p>
        </w:tc>
        <w:tc>
          <w:tcPr>
            <w:tcW w:w="1054" w:type="dxa"/>
          </w:tcPr>
          <w:p w:rsidR="004B283B" w:rsidRPr="00666D1B" w:rsidRDefault="004B283B" w:rsidP="005F51D7">
            <w:pPr>
              <w:keepNext/>
              <w:keepLines/>
              <w:rPr>
                <w:rFonts w:ascii="Arial" w:hAnsi="Arial" w:cs="Arial"/>
              </w:rPr>
            </w:pPr>
          </w:p>
        </w:tc>
      </w:tr>
    </w:tbl>
    <w:p w:rsidR="005F51D7" w:rsidRPr="00666D1B" w:rsidRDefault="005F51D7">
      <w:pPr>
        <w:rPr>
          <w:rFonts w:ascii="Arial" w:hAnsi="Arial" w:cs="Arial"/>
          <w:b/>
        </w:rPr>
      </w:pPr>
    </w:p>
    <w:sectPr w:rsidR="005F51D7" w:rsidRPr="00666D1B" w:rsidSect="00B431E7">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B2D" w:rsidRDefault="00626B2D">
      <w:r>
        <w:separator/>
      </w:r>
    </w:p>
  </w:endnote>
  <w:endnote w:type="continuationSeparator" w:id="0">
    <w:p w:rsidR="00626B2D" w:rsidRDefault="0062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B2D" w:rsidRDefault="00626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B2D" w:rsidRDefault="00626B2D">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23271">
      <w:rPr>
        <w:rStyle w:val="PageNumber"/>
        <w:rFonts w:ascii="Arial" w:hAnsi="Arial" w:cs="Arial"/>
        <w:noProof/>
      </w:rPr>
      <w:t>22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B2D" w:rsidRDefault="00626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B2D" w:rsidRDefault="00626B2D">
      <w:r>
        <w:separator/>
      </w:r>
    </w:p>
  </w:footnote>
  <w:footnote w:type="continuationSeparator" w:id="0">
    <w:p w:rsidR="00626B2D" w:rsidRDefault="00626B2D">
      <w:r>
        <w:continuationSeparator/>
      </w:r>
    </w:p>
  </w:footnote>
  <w:footnote w:id="1">
    <w:p w:rsidR="00626B2D" w:rsidRDefault="00626B2D">
      <w:pPr>
        <w:pStyle w:val="FootnoteText"/>
      </w:pPr>
      <w:r>
        <w:rPr>
          <w:rStyle w:val="FootnoteReference"/>
        </w:rPr>
        <w:footnoteRef/>
      </w:r>
      <w:r>
        <w:t xml:space="preserve"> Non-voting</w:t>
      </w:r>
    </w:p>
  </w:footnote>
  <w:footnote w:id="2">
    <w:p w:rsidR="00626B2D" w:rsidRDefault="00626B2D">
      <w:pPr>
        <w:pStyle w:val="FootnoteText"/>
      </w:pPr>
      <w:r>
        <w:rPr>
          <w:rStyle w:val="FootnoteReference"/>
        </w:rPr>
        <w:footnoteRef/>
      </w:r>
      <w:r>
        <w:t xml:space="preserve"> Non-voting</w:t>
      </w:r>
    </w:p>
  </w:footnote>
  <w:footnote w:id="3">
    <w:p w:rsidR="00626B2D" w:rsidRDefault="00626B2D">
      <w:pPr>
        <w:pStyle w:val="FootnoteText"/>
      </w:pPr>
      <w:r>
        <w:rPr>
          <w:rStyle w:val="FootnoteReference"/>
        </w:rPr>
        <w:footnoteRef/>
      </w:r>
      <w:r>
        <w:t xml:space="preserve"> Non-voting</w:t>
      </w:r>
    </w:p>
  </w:footnote>
  <w:footnote w:id="4">
    <w:p w:rsidR="00626B2D" w:rsidRDefault="00626B2D">
      <w:pPr>
        <w:pStyle w:val="FootnoteText"/>
      </w:pPr>
      <w:r>
        <w:rPr>
          <w:rStyle w:val="FootnoteReference"/>
        </w:rPr>
        <w:footnoteRef/>
      </w:r>
      <w:r>
        <w:t xml:space="preserve"> An officer in attendance for an Executive but without formal acting up status may not count towards the quorum – Standing Orders 3.12.2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B2D" w:rsidRDefault="00626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B2D" w:rsidRPr="007F0E99" w:rsidRDefault="00626B2D">
    <w:pPr>
      <w:pStyle w:val="Header"/>
      <w:jc w:val="center"/>
      <w:rPr>
        <w:rFonts w:cs="Arial"/>
        <w:i/>
        <w:iCs/>
        <w:sz w:val="20"/>
        <w:lang w:val="en-GB"/>
      </w:rPr>
    </w:pPr>
    <w:r>
      <w:rPr>
        <w:rFonts w:cs="Arial"/>
        <w:i/>
        <w:iCs/>
        <w:sz w:val="20"/>
        <w:lang w:val="en-GB"/>
      </w:rPr>
      <w:t>Public</w:t>
    </w:r>
  </w:p>
  <w:p w:rsidR="00626B2D" w:rsidRDefault="00626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B2D" w:rsidRDefault="00626B2D" w:rsidP="005F51D7">
    <w:pPr>
      <w:pStyle w:val="Header"/>
      <w:jc w:val="right"/>
      <w:rPr>
        <w:b/>
        <w:sz w:val="20"/>
        <w:szCs w:val="20"/>
      </w:rPr>
    </w:pPr>
    <w:sdt>
      <w:sdtPr>
        <w:rPr>
          <w:b/>
          <w:sz w:val="20"/>
          <w:szCs w:val="20"/>
        </w:rPr>
        <w:id w:val="-428503134"/>
        <w:docPartObj>
          <w:docPartGallery w:val="Watermarks"/>
          <w:docPartUnique/>
        </w:docPartObj>
      </w:sdtPr>
      <w:sdtContent>
        <w:r w:rsidRPr="005E76EA">
          <w:rPr>
            <w:b/>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710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9D1C82">
      <w:rPr>
        <w:b/>
        <w:sz w:val="20"/>
        <w:szCs w:val="20"/>
      </w:rPr>
      <w:t>BOD</w:t>
    </w:r>
    <w:r>
      <w:rPr>
        <w:b/>
        <w:sz w:val="20"/>
        <w:szCs w:val="20"/>
      </w:rPr>
      <w:t xml:space="preserve"> 105/2018</w:t>
    </w:r>
  </w:p>
  <w:p w:rsidR="00626B2D" w:rsidRPr="00E92794" w:rsidRDefault="00626B2D" w:rsidP="005F51D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709"/>
    <w:multiLevelType w:val="hybridMultilevel"/>
    <w:tmpl w:val="B16C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22A4D"/>
    <w:multiLevelType w:val="hybridMultilevel"/>
    <w:tmpl w:val="2E56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1C76"/>
    <w:multiLevelType w:val="hybridMultilevel"/>
    <w:tmpl w:val="48F6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A11B0"/>
    <w:multiLevelType w:val="hybridMultilevel"/>
    <w:tmpl w:val="9BB0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273B1"/>
    <w:multiLevelType w:val="hybridMultilevel"/>
    <w:tmpl w:val="33B2839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B6834"/>
    <w:multiLevelType w:val="hybridMultilevel"/>
    <w:tmpl w:val="D054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B0AF7"/>
    <w:multiLevelType w:val="hybridMultilevel"/>
    <w:tmpl w:val="8D5A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37541"/>
    <w:multiLevelType w:val="hybridMultilevel"/>
    <w:tmpl w:val="3026A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00F3E"/>
    <w:multiLevelType w:val="hybridMultilevel"/>
    <w:tmpl w:val="F068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453BA"/>
    <w:multiLevelType w:val="hybridMultilevel"/>
    <w:tmpl w:val="9BF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456F4"/>
    <w:multiLevelType w:val="hybridMultilevel"/>
    <w:tmpl w:val="1C9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134E7"/>
    <w:multiLevelType w:val="hybridMultilevel"/>
    <w:tmpl w:val="9BE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B401E"/>
    <w:multiLevelType w:val="hybridMultilevel"/>
    <w:tmpl w:val="F164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C6721"/>
    <w:multiLevelType w:val="hybridMultilevel"/>
    <w:tmpl w:val="6D2A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915C6"/>
    <w:multiLevelType w:val="hybridMultilevel"/>
    <w:tmpl w:val="DF0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F556E"/>
    <w:multiLevelType w:val="hybridMultilevel"/>
    <w:tmpl w:val="34A0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1A3097"/>
    <w:multiLevelType w:val="hybridMultilevel"/>
    <w:tmpl w:val="8030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F6BCC"/>
    <w:multiLevelType w:val="hybridMultilevel"/>
    <w:tmpl w:val="946C6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DF61B7"/>
    <w:multiLevelType w:val="hybridMultilevel"/>
    <w:tmpl w:val="E822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131F6"/>
    <w:multiLevelType w:val="hybridMultilevel"/>
    <w:tmpl w:val="F13E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3"/>
  </w:num>
  <w:num w:numId="4">
    <w:abstractNumId w:val="10"/>
  </w:num>
  <w:num w:numId="5">
    <w:abstractNumId w:val="1"/>
  </w:num>
  <w:num w:numId="6">
    <w:abstractNumId w:val="9"/>
  </w:num>
  <w:num w:numId="7">
    <w:abstractNumId w:val="18"/>
  </w:num>
  <w:num w:numId="8">
    <w:abstractNumId w:val="8"/>
  </w:num>
  <w:num w:numId="9">
    <w:abstractNumId w:val="4"/>
  </w:num>
  <w:num w:numId="10">
    <w:abstractNumId w:val="3"/>
  </w:num>
  <w:num w:numId="11">
    <w:abstractNumId w:val="17"/>
  </w:num>
  <w:num w:numId="12">
    <w:abstractNumId w:val="19"/>
  </w:num>
  <w:num w:numId="13">
    <w:abstractNumId w:val="11"/>
  </w:num>
  <w:num w:numId="14">
    <w:abstractNumId w:val="12"/>
  </w:num>
  <w:num w:numId="15">
    <w:abstractNumId w:val="16"/>
  </w:num>
  <w:num w:numId="16">
    <w:abstractNumId w:val="7"/>
  </w:num>
  <w:num w:numId="17">
    <w:abstractNumId w:val="0"/>
  </w:num>
  <w:num w:numId="18">
    <w:abstractNumId w:val="5"/>
  </w:num>
  <w:num w:numId="19">
    <w:abstractNumId w:val="14"/>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8"/>
    <o:shapelayout v:ext="edit">
      <o:idmap v:ext="edit" data="4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1B37"/>
    <w:rsid w:val="000022AE"/>
    <w:rsid w:val="0000278B"/>
    <w:rsid w:val="000047EE"/>
    <w:rsid w:val="00005B8F"/>
    <w:rsid w:val="00006D0C"/>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5EE1"/>
    <w:rsid w:val="00016BAE"/>
    <w:rsid w:val="00016F18"/>
    <w:rsid w:val="00017EF3"/>
    <w:rsid w:val="00022DA4"/>
    <w:rsid w:val="00023094"/>
    <w:rsid w:val="000232FD"/>
    <w:rsid w:val="000233D8"/>
    <w:rsid w:val="00024BB9"/>
    <w:rsid w:val="000254E7"/>
    <w:rsid w:val="00025A90"/>
    <w:rsid w:val="000269E4"/>
    <w:rsid w:val="00027FA9"/>
    <w:rsid w:val="00030511"/>
    <w:rsid w:val="000305BF"/>
    <w:rsid w:val="00031A89"/>
    <w:rsid w:val="00031E92"/>
    <w:rsid w:val="0003235C"/>
    <w:rsid w:val="0003259F"/>
    <w:rsid w:val="00032B47"/>
    <w:rsid w:val="000331A7"/>
    <w:rsid w:val="00033CC4"/>
    <w:rsid w:val="00033DAA"/>
    <w:rsid w:val="00033E70"/>
    <w:rsid w:val="0003421D"/>
    <w:rsid w:val="000345B6"/>
    <w:rsid w:val="0003506B"/>
    <w:rsid w:val="0003544C"/>
    <w:rsid w:val="00035A24"/>
    <w:rsid w:val="0003685E"/>
    <w:rsid w:val="00036A31"/>
    <w:rsid w:val="00037223"/>
    <w:rsid w:val="00041164"/>
    <w:rsid w:val="000416C4"/>
    <w:rsid w:val="00041929"/>
    <w:rsid w:val="00041AB8"/>
    <w:rsid w:val="0004219F"/>
    <w:rsid w:val="00042CE7"/>
    <w:rsid w:val="00042DA2"/>
    <w:rsid w:val="00043834"/>
    <w:rsid w:val="00044EB0"/>
    <w:rsid w:val="00046367"/>
    <w:rsid w:val="00046919"/>
    <w:rsid w:val="00047ADE"/>
    <w:rsid w:val="00047F8A"/>
    <w:rsid w:val="000502C4"/>
    <w:rsid w:val="000506FE"/>
    <w:rsid w:val="0005173C"/>
    <w:rsid w:val="00052492"/>
    <w:rsid w:val="00052AA1"/>
    <w:rsid w:val="00052EC0"/>
    <w:rsid w:val="00053661"/>
    <w:rsid w:val="00053984"/>
    <w:rsid w:val="0005479D"/>
    <w:rsid w:val="000549C7"/>
    <w:rsid w:val="0005535D"/>
    <w:rsid w:val="00055FB1"/>
    <w:rsid w:val="0005645B"/>
    <w:rsid w:val="000566B1"/>
    <w:rsid w:val="0005721F"/>
    <w:rsid w:val="00060139"/>
    <w:rsid w:val="000603F8"/>
    <w:rsid w:val="000604CD"/>
    <w:rsid w:val="00061032"/>
    <w:rsid w:val="00061AA0"/>
    <w:rsid w:val="00061D25"/>
    <w:rsid w:val="00062A5C"/>
    <w:rsid w:val="00063622"/>
    <w:rsid w:val="00063C8F"/>
    <w:rsid w:val="000648E4"/>
    <w:rsid w:val="000667F0"/>
    <w:rsid w:val="0006707B"/>
    <w:rsid w:val="000670C9"/>
    <w:rsid w:val="000670F3"/>
    <w:rsid w:val="00067B9F"/>
    <w:rsid w:val="00067FE0"/>
    <w:rsid w:val="00070020"/>
    <w:rsid w:val="0007002F"/>
    <w:rsid w:val="0007030E"/>
    <w:rsid w:val="00070C8E"/>
    <w:rsid w:val="00070E3F"/>
    <w:rsid w:val="000711A4"/>
    <w:rsid w:val="00071215"/>
    <w:rsid w:val="00071EE6"/>
    <w:rsid w:val="00072DB3"/>
    <w:rsid w:val="000734BD"/>
    <w:rsid w:val="000735AD"/>
    <w:rsid w:val="0007364E"/>
    <w:rsid w:val="00073670"/>
    <w:rsid w:val="0007394A"/>
    <w:rsid w:val="00073B50"/>
    <w:rsid w:val="000751A5"/>
    <w:rsid w:val="00075EF0"/>
    <w:rsid w:val="000760A2"/>
    <w:rsid w:val="000761C9"/>
    <w:rsid w:val="000765D5"/>
    <w:rsid w:val="000765F5"/>
    <w:rsid w:val="00076BB6"/>
    <w:rsid w:val="00077B57"/>
    <w:rsid w:val="000810B7"/>
    <w:rsid w:val="000822E2"/>
    <w:rsid w:val="000825FB"/>
    <w:rsid w:val="00082D50"/>
    <w:rsid w:val="0008392A"/>
    <w:rsid w:val="00083A47"/>
    <w:rsid w:val="00083C7F"/>
    <w:rsid w:val="000845A7"/>
    <w:rsid w:val="00084C5A"/>
    <w:rsid w:val="00084CAB"/>
    <w:rsid w:val="000868E5"/>
    <w:rsid w:val="00086FD1"/>
    <w:rsid w:val="00087F9C"/>
    <w:rsid w:val="000904F1"/>
    <w:rsid w:val="000911E3"/>
    <w:rsid w:val="000911E5"/>
    <w:rsid w:val="000912EF"/>
    <w:rsid w:val="00092CF7"/>
    <w:rsid w:val="000933FE"/>
    <w:rsid w:val="0009360B"/>
    <w:rsid w:val="000936AA"/>
    <w:rsid w:val="000939FF"/>
    <w:rsid w:val="00093A68"/>
    <w:rsid w:val="0009450F"/>
    <w:rsid w:val="000949AA"/>
    <w:rsid w:val="00094B67"/>
    <w:rsid w:val="000954C6"/>
    <w:rsid w:val="000956A3"/>
    <w:rsid w:val="000958AC"/>
    <w:rsid w:val="00095A01"/>
    <w:rsid w:val="0009616A"/>
    <w:rsid w:val="000962DE"/>
    <w:rsid w:val="000964D9"/>
    <w:rsid w:val="00096891"/>
    <w:rsid w:val="0009699A"/>
    <w:rsid w:val="00096EF5"/>
    <w:rsid w:val="000A087D"/>
    <w:rsid w:val="000A25A5"/>
    <w:rsid w:val="000A4629"/>
    <w:rsid w:val="000A4650"/>
    <w:rsid w:val="000A58BB"/>
    <w:rsid w:val="000A5BBC"/>
    <w:rsid w:val="000A7A3C"/>
    <w:rsid w:val="000B1B42"/>
    <w:rsid w:val="000B2259"/>
    <w:rsid w:val="000B33EB"/>
    <w:rsid w:val="000B3DC1"/>
    <w:rsid w:val="000B4359"/>
    <w:rsid w:val="000B4A52"/>
    <w:rsid w:val="000B5073"/>
    <w:rsid w:val="000B592F"/>
    <w:rsid w:val="000B6967"/>
    <w:rsid w:val="000C056B"/>
    <w:rsid w:val="000C05EB"/>
    <w:rsid w:val="000C220E"/>
    <w:rsid w:val="000C3538"/>
    <w:rsid w:val="000C35DE"/>
    <w:rsid w:val="000C3918"/>
    <w:rsid w:val="000C3F7C"/>
    <w:rsid w:val="000C4416"/>
    <w:rsid w:val="000C445C"/>
    <w:rsid w:val="000C4AB4"/>
    <w:rsid w:val="000C4CAB"/>
    <w:rsid w:val="000C5946"/>
    <w:rsid w:val="000C5E7E"/>
    <w:rsid w:val="000C5FAF"/>
    <w:rsid w:val="000C717D"/>
    <w:rsid w:val="000D09AD"/>
    <w:rsid w:val="000D0A00"/>
    <w:rsid w:val="000D11D2"/>
    <w:rsid w:val="000D188D"/>
    <w:rsid w:val="000D2AC7"/>
    <w:rsid w:val="000D2BA0"/>
    <w:rsid w:val="000D2CA1"/>
    <w:rsid w:val="000D38E3"/>
    <w:rsid w:val="000D4ADC"/>
    <w:rsid w:val="000D4D46"/>
    <w:rsid w:val="000D4EC3"/>
    <w:rsid w:val="000D4F8B"/>
    <w:rsid w:val="000D5936"/>
    <w:rsid w:val="000D5DB6"/>
    <w:rsid w:val="000D5DFF"/>
    <w:rsid w:val="000D6237"/>
    <w:rsid w:val="000D6CDD"/>
    <w:rsid w:val="000D7883"/>
    <w:rsid w:val="000D7B7A"/>
    <w:rsid w:val="000D7FBF"/>
    <w:rsid w:val="000D7FFA"/>
    <w:rsid w:val="000E0261"/>
    <w:rsid w:val="000E1CA0"/>
    <w:rsid w:val="000E2C42"/>
    <w:rsid w:val="000E3327"/>
    <w:rsid w:val="000E3337"/>
    <w:rsid w:val="000E376A"/>
    <w:rsid w:val="000E37BE"/>
    <w:rsid w:val="000E4429"/>
    <w:rsid w:val="000E50E1"/>
    <w:rsid w:val="000E55A8"/>
    <w:rsid w:val="000E582A"/>
    <w:rsid w:val="000E58C3"/>
    <w:rsid w:val="000E5A58"/>
    <w:rsid w:val="000E5FE2"/>
    <w:rsid w:val="000E60F7"/>
    <w:rsid w:val="000F12F2"/>
    <w:rsid w:val="000F1C91"/>
    <w:rsid w:val="000F210F"/>
    <w:rsid w:val="000F2539"/>
    <w:rsid w:val="000F3597"/>
    <w:rsid w:val="000F3AC5"/>
    <w:rsid w:val="000F4501"/>
    <w:rsid w:val="000F4BDB"/>
    <w:rsid w:val="000F4F26"/>
    <w:rsid w:val="000F5C0A"/>
    <w:rsid w:val="000F6EB7"/>
    <w:rsid w:val="000F7AD2"/>
    <w:rsid w:val="000F7D50"/>
    <w:rsid w:val="00100490"/>
    <w:rsid w:val="00103237"/>
    <w:rsid w:val="001033DF"/>
    <w:rsid w:val="00103FCF"/>
    <w:rsid w:val="00104031"/>
    <w:rsid w:val="001044C6"/>
    <w:rsid w:val="001048B9"/>
    <w:rsid w:val="00105805"/>
    <w:rsid w:val="00105C40"/>
    <w:rsid w:val="001060B1"/>
    <w:rsid w:val="001060C6"/>
    <w:rsid w:val="00106BDB"/>
    <w:rsid w:val="00110935"/>
    <w:rsid w:val="00111029"/>
    <w:rsid w:val="00112017"/>
    <w:rsid w:val="00112133"/>
    <w:rsid w:val="001124F6"/>
    <w:rsid w:val="00112C39"/>
    <w:rsid w:val="00113E39"/>
    <w:rsid w:val="00113EE7"/>
    <w:rsid w:val="00117014"/>
    <w:rsid w:val="0011728E"/>
    <w:rsid w:val="001177B3"/>
    <w:rsid w:val="00117BF9"/>
    <w:rsid w:val="00117FAC"/>
    <w:rsid w:val="001209F9"/>
    <w:rsid w:val="001210A3"/>
    <w:rsid w:val="0012138E"/>
    <w:rsid w:val="00121505"/>
    <w:rsid w:val="00121823"/>
    <w:rsid w:val="00122435"/>
    <w:rsid w:val="0012274D"/>
    <w:rsid w:val="001234C7"/>
    <w:rsid w:val="001237B4"/>
    <w:rsid w:val="001249FF"/>
    <w:rsid w:val="00124C6A"/>
    <w:rsid w:val="001272FC"/>
    <w:rsid w:val="0012745D"/>
    <w:rsid w:val="001274F7"/>
    <w:rsid w:val="00127CF2"/>
    <w:rsid w:val="00133E2C"/>
    <w:rsid w:val="00134001"/>
    <w:rsid w:val="0013401F"/>
    <w:rsid w:val="0013487D"/>
    <w:rsid w:val="0013637D"/>
    <w:rsid w:val="00136AF8"/>
    <w:rsid w:val="00136DD1"/>
    <w:rsid w:val="00136EC8"/>
    <w:rsid w:val="0013772F"/>
    <w:rsid w:val="00137740"/>
    <w:rsid w:val="0014003A"/>
    <w:rsid w:val="0014033F"/>
    <w:rsid w:val="00141C64"/>
    <w:rsid w:val="00142C7F"/>
    <w:rsid w:val="0014347C"/>
    <w:rsid w:val="001441FE"/>
    <w:rsid w:val="00144ED5"/>
    <w:rsid w:val="0014567E"/>
    <w:rsid w:val="00145F51"/>
    <w:rsid w:val="00146777"/>
    <w:rsid w:val="001474A4"/>
    <w:rsid w:val="001474F0"/>
    <w:rsid w:val="001501DD"/>
    <w:rsid w:val="00150661"/>
    <w:rsid w:val="0015075B"/>
    <w:rsid w:val="001517CA"/>
    <w:rsid w:val="00151E31"/>
    <w:rsid w:val="00151EE2"/>
    <w:rsid w:val="0015267D"/>
    <w:rsid w:val="00152FCB"/>
    <w:rsid w:val="001533E5"/>
    <w:rsid w:val="00153635"/>
    <w:rsid w:val="00153A12"/>
    <w:rsid w:val="00153C68"/>
    <w:rsid w:val="00154298"/>
    <w:rsid w:val="00155215"/>
    <w:rsid w:val="001558D5"/>
    <w:rsid w:val="00156F2B"/>
    <w:rsid w:val="00157C84"/>
    <w:rsid w:val="001607A5"/>
    <w:rsid w:val="00161E35"/>
    <w:rsid w:val="00163163"/>
    <w:rsid w:val="001635F5"/>
    <w:rsid w:val="00163B28"/>
    <w:rsid w:val="00163E4D"/>
    <w:rsid w:val="0016411D"/>
    <w:rsid w:val="0016421D"/>
    <w:rsid w:val="00164F3F"/>
    <w:rsid w:val="001655AF"/>
    <w:rsid w:val="00167399"/>
    <w:rsid w:val="00167B7D"/>
    <w:rsid w:val="00167F67"/>
    <w:rsid w:val="0017034F"/>
    <w:rsid w:val="00170872"/>
    <w:rsid w:val="00170926"/>
    <w:rsid w:val="00171613"/>
    <w:rsid w:val="001718FA"/>
    <w:rsid w:val="001724D2"/>
    <w:rsid w:val="00172667"/>
    <w:rsid w:val="00173534"/>
    <w:rsid w:val="00173732"/>
    <w:rsid w:val="00174007"/>
    <w:rsid w:val="00174572"/>
    <w:rsid w:val="00174920"/>
    <w:rsid w:val="00174C99"/>
    <w:rsid w:val="00174EC2"/>
    <w:rsid w:val="001756F4"/>
    <w:rsid w:val="00175EED"/>
    <w:rsid w:val="00177EFF"/>
    <w:rsid w:val="00180140"/>
    <w:rsid w:val="00180246"/>
    <w:rsid w:val="001807D5"/>
    <w:rsid w:val="00180C84"/>
    <w:rsid w:val="00181943"/>
    <w:rsid w:val="001821EA"/>
    <w:rsid w:val="00183247"/>
    <w:rsid w:val="001833B3"/>
    <w:rsid w:val="0018384D"/>
    <w:rsid w:val="00183858"/>
    <w:rsid w:val="00183DB5"/>
    <w:rsid w:val="001841BB"/>
    <w:rsid w:val="00184FA7"/>
    <w:rsid w:val="00185213"/>
    <w:rsid w:val="00185350"/>
    <w:rsid w:val="00186A20"/>
    <w:rsid w:val="00187891"/>
    <w:rsid w:val="00187C45"/>
    <w:rsid w:val="001907CF"/>
    <w:rsid w:val="00190A95"/>
    <w:rsid w:val="001912DA"/>
    <w:rsid w:val="00192320"/>
    <w:rsid w:val="001936B7"/>
    <w:rsid w:val="001940FF"/>
    <w:rsid w:val="00194704"/>
    <w:rsid w:val="00194A2C"/>
    <w:rsid w:val="00194F5E"/>
    <w:rsid w:val="00195732"/>
    <w:rsid w:val="0019586F"/>
    <w:rsid w:val="001A12CA"/>
    <w:rsid w:val="001A1424"/>
    <w:rsid w:val="001A1672"/>
    <w:rsid w:val="001A377B"/>
    <w:rsid w:val="001A3C38"/>
    <w:rsid w:val="001A3CB9"/>
    <w:rsid w:val="001A3FBA"/>
    <w:rsid w:val="001A478D"/>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5A34"/>
    <w:rsid w:val="001B65A0"/>
    <w:rsid w:val="001B7C7D"/>
    <w:rsid w:val="001B7E58"/>
    <w:rsid w:val="001B7E97"/>
    <w:rsid w:val="001C060B"/>
    <w:rsid w:val="001C07FB"/>
    <w:rsid w:val="001C138C"/>
    <w:rsid w:val="001C19CA"/>
    <w:rsid w:val="001C27AD"/>
    <w:rsid w:val="001C2A6A"/>
    <w:rsid w:val="001C2E30"/>
    <w:rsid w:val="001C2E9C"/>
    <w:rsid w:val="001C33B6"/>
    <w:rsid w:val="001C39ED"/>
    <w:rsid w:val="001C446A"/>
    <w:rsid w:val="001C45E0"/>
    <w:rsid w:val="001C498E"/>
    <w:rsid w:val="001C5D5A"/>
    <w:rsid w:val="001C5E27"/>
    <w:rsid w:val="001C605D"/>
    <w:rsid w:val="001C647F"/>
    <w:rsid w:val="001C7260"/>
    <w:rsid w:val="001D0995"/>
    <w:rsid w:val="001D2597"/>
    <w:rsid w:val="001D26CB"/>
    <w:rsid w:val="001D316E"/>
    <w:rsid w:val="001D33B7"/>
    <w:rsid w:val="001D4EF8"/>
    <w:rsid w:val="001D5059"/>
    <w:rsid w:val="001D51A5"/>
    <w:rsid w:val="001D5A41"/>
    <w:rsid w:val="001D5DE0"/>
    <w:rsid w:val="001D5FF6"/>
    <w:rsid w:val="001D654D"/>
    <w:rsid w:val="001D6C70"/>
    <w:rsid w:val="001D716B"/>
    <w:rsid w:val="001E019C"/>
    <w:rsid w:val="001E1147"/>
    <w:rsid w:val="001E2128"/>
    <w:rsid w:val="001E328E"/>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A02"/>
    <w:rsid w:val="001F2DA7"/>
    <w:rsid w:val="001F35CA"/>
    <w:rsid w:val="001F44B6"/>
    <w:rsid w:val="001F460D"/>
    <w:rsid w:val="001F5E8E"/>
    <w:rsid w:val="001F6203"/>
    <w:rsid w:val="001F69C4"/>
    <w:rsid w:val="001F6F65"/>
    <w:rsid w:val="001F7579"/>
    <w:rsid w:val="001F774C"/>
    <w:rsid w:val="001F7F14"/>
    <w:rsid w:val="00200866"/>
    <w:rsid w:val="00200D6E"/>
    <w:rsid w:val="00201739"/>
    <w:rsid w:val="00203557"/>
    <w:rsid w:val="002035B0"/>
    <w:rsid w:val="002035FF"/>
    <w:rsid w:val="00204204"/>
    <w:rsid w:val="002043E3"/>
    <w:rsid w:val="00204856"/>
    <w:rsid w:val="00204CF9"/>
    <w:rsid w:val="002055EC"/>
    <w:rsid w:val="00205F14"/>
    <w:rsid w:val="00206042"/>
    <w:rsid w:val="00206988"/>
    <w:rsid w:val="00206F32"/>
    <w:rsid w:val="002071DB"/>
    <w:rsid w:val="002072EB"/>
    <w:rsid w:val="00207419"/>
    <w:rsid w:val="00207600"/>
    <w:rsid w:val="002077C8"/>
    <w:rsid w:val="00207D12"/>
    <w:rsid w:val="00210775"/>
    <w:rsid w:val="002108F1"/>
    <w:rsid w:val="00211598"/>
    <w:rsid w:val="00211F24"/>
    <w:rsid w:val="002122B8"/>
    <w:rsid w:val="00212642"/>
    <w:rsid w:val="00212AAE"/>
    <w:rsid w:val="002134C9"/>
    <w:rsid w:val="002206F2"/>
    <w:rsid w:val="00222190"/>
    <w:rsid w:val="00222AE2"/>
    <w:rsid w:val="00222D30"/>
    <w:rsid w:val="00223271"/>
    <w:rsid w:val="00225EC4"/>
    <w:rsid w:val="00226F75"/>
    <w:rsid w:val="00227176"/>
    <w:rsid w:val="0022735C"/>
    <w:rsid w:val="00227F85"/>
    <w:rsid w:val="00230DDD"/>
    <w:rsid w:val="00232080"/>
    <w:rsid w:val="002320CA"/>
    <w:rsid w:val="002323E8"/>
    <w:rsid w:val="0023263D"/>
    <w:rsid w:val="00233988"/>
    <w:rsid w:val="00233E95"/>
    <w:rsid w:val="00233EE0"/>
    <w:rsid w:val="00234C89"/>
    <w:rsid w:val="0023501B"/>
    <w:rsid w:val="00235344"/>
    <w:rsid w:val="00236541"/>
    <w:rsid w:val="00237884"/>
    <w:rsid w:val="00237F41"/>
    <w:rsid w:val="0024011E"/>
    <w:rsid w:val="00241462"/>
    <w:rsid w:val="00241E3F"/>
    <w:rsid w:val="00241F56"/>
    <w:rsid w:val="00242181"/>
    <w:rsid w:val="00242CEA"/>
    <w:rsid w:val="00242E63"/>
    <w:rsid w:val="00243076"/>
    <w:rsid w:val="00244DBB"/>
    <w:rsid w:val="00244FF2"/>
    <w:rsid w:val="002453AD"/>
    <w:rsid w:val="002456E6"/>
    <w:rsid w:val="00245EF2"/>
    <w:rsid w:val="002462B2"/>
    <w:rsid w:val="00246D06"/>
    <w:rsid w:val="00247553"/>
    <w:rsid w:val="00250259"/>
    <w:rsid w:val="0025027F"/>
    <w:rsid w:val="00251039"/>
    <w:rsid w:val="00252709"/>
    <w:rsid w:val="002539FE"/>
    <w:rsid w:val="00253BA7"/>
    <w:rsid w:val="002545E5"/>
    <w:rsid w:val="0025466D"/>
    <w:rsid w:val="00254671"/>
    <w:rsid w:val="0025483F"/>
    <w:rsid w:val="00254875"/>
    <w:rsid w:val="00254DF3"/>
    <w:rsid w:val="0025612A"/>
    <w:rsid w:val="00256608"/>
    <w:rsid w:val="00256717"/>
    <w:rsid w:val="0025675B"/>
    <w:rsid w:val="002572B5"/>
    <w:rsid w:val="00260A5B"/>
    <w:rsid w:val="002611FB"/>
    <w:rsid w:val="002617D0"/>
    <w:rsid w:val="0026186A"/>
    <w:rsid w:val="00261D59"/>
    <w:rsid w:val="0026245E"/>
    <w:rsid w:val="00262598"/>
    <w:rsid w:val="00263270"/>
    <w:rsid w:val="00263638"/>
    <w:rsid w:val="00263F2E"/>
    <w:rsid w:val="00263F6D"/>
    <w:rsid w:val="00263F8D"/>
    <w:rsid w:val="0026426C"/>
    <w:rsid w:val="00264A8D"/>
    <w:rsid w:val="00265439"/>
    <w:rsid w:val="00265925"/>
    <w:rsid w:val="00266272"/>
    <w:rsid w:val="00266AE5"/>
    <w:rsid w:val="00267067"/>
    <w:rsid w:val="0026785D"/>
    <w:rsid w:val="00267EA8"/>
    <w:rsid w:val="002705E0"/>
    <w:rsid w:val="00270EF6"/>
    <w:rsid w:val="002714D3"/>
    <w:rsid w:val="00271B7A"/>
    <w:rsid w:val="00271CF9"/>
    <w:rsid w:val="00271D2D"/>
    <w:rsid w:val="00271F95"/>
    <w:rsid w:val="00272212"/>
    <w:rsid w:val="0027249F"/>
    <w:rsid w:val="00272870"/>
    <w:rsid w:val="00272961"/>
    <w:rsid w:val="00273567"/>
    <w:rsid w:val="00273C42"/>
    <w:rsid w:val="00275320"/>
    <w:rsid w:val="00275403"/>
    <w:rsid w:val="002763A8"/>
    <w:rsid w:val="00276DC6"/>
    <w:rsid w:val="002771C6"/>
    <w:rsid w:val="002773E7"/>
    <w:rsid w:val="0027744E"/>
    <w:rsid w:val="002775AB"/>
    <w:rsid w:val="002775EE"/>
    <w:rsid w:val="0027761B"/>
    <w:rsid w:val="00277A15"/>
    <w:rsid w:val="002809B8"/>
    <w:rsid w:val="00280A61"/>
    <w:rsid w:val="00280DE4"/>
    <w:rsid w:val="0028172F"/>
    <w:rsid w:val="00281FFE"/>
    <w:rsid w:val="00283587"/>
    <w:rsid w:val="0028371D"/>
    <w:rsid w:val="00283C71"/>
    <w:rsid w:val="0028421A"/>
    <w:rsid w:val="00284C26"/>
    <w:rsid w:val="002860B6"/>
    <w:rsid w:val="00286446"/>
    <w:rsid w:val="00287796"/>
    <w:rsid w:val="00290121"/>
    <w:rsid w:val="00290A5B"/>
    <w:rsid w:val="00291464"/>
    <w:rsid w:val="002920F7"/>
    <w:rsid w:val="00293303"/>
    <w:rsid w:val="00293440"/>
    <w:rsid w:val="00293D35"/>
    <w:rsid w:val="00294097"/>
    <w:rsid w:val="00294311"/>
    <w:rsid w:val="00294D1E"/>
    <w:rsid w:val="00295767"/>
    <w:rsid w:val="00295B52"/>
    <w:rsid w:val="00295F60"/>
    <w:rsid w:val="002962E1"/>
    <w:rsid w:val="0029758A"/>
    <w:rsid w:val="00297B8E"/>
    <w:rsid w:val="002A07B1"/>
    <w:rsid w:val="002A08FA"/>
    <w:rsid w:val="002A0C10"/>
    <w:rsid w:val="002A0EF4"/>
    <w:rsid w:val="002A18F5"/>
    <w:rsid w:val="002A218D"/>
    <w:rsid w:val="002A25AF"/>
    <w:rsid w:val="002A4027"/>
    <w:rsid w:val="002A41E2"/>
    <w:rsid w:val="002A48C5"/>
    <w:rsid w:val="002A4DCE"/>
    <w:rsid w:val="002A5088"/>
    <w:rsid w:val="002A5E5E"/>
    <w:rsid w:val="002B271C"/>
    <w:rsid w:val="002B350F"/>
    <w:rsid w:val="002B35FD"/>
    <w:rsid w:val="002B3D56"/>
    <w:rsid w:val="002B49A5"/>
    <w:rsid w:val="002B4BA4"/>
    <w:rsid w:val="002B4BBF"/>
    <w:rsid w:val="002B4D1C"/>
    <w:rsid w:val="002B4E8B"/>
    <w:rsid w:val="002B5565"/>
    <w:rsid w:val="002B64BD"/>
    <w:rsid w:val="002B6A77"/>
    <w:rsid w:val="002B7A2A"/>
    <w:rsid w:val="002C03CE"/>
    <w:rsid w:val="002C03FC"/>
    <w:rsid w:val="002C0E89"/>
    <w:rsid w:val="002C110B"/>
    <w:rsid w:val="002C14A3"/>
    <w:rsid w:val="002C1960"/>
    <w:rsid w:val="002C2785"/>
    <w:rsid w:val="002C353C"/>
    <w:rsid w:val="002C36C9"/>
    <w:rsid w:val="002C3D42"/>
    <w:rsid w:val="002C3FEF"/>
    <w:rsid w:val="002C44A8"/>
    <w:rsid w:val="002C45C0"/>
    <w:rsid w:val="002C5198"/>
    <w:rsid w:val="002C54F6"/>
    <w:rsid w:val="002C5B5A"/>
    <w:rsid w:val="002C6017"/>
    <w:rsid w:val="002C6D8C"/>
    <w:rsid w:val="002C6DEA"/>
    <w:rsid w:val="002C7085"/>
    <w:rsid w:val="002C7448"/>
    <w:rsid w:val="002C75AD"/>
    <w:rsid w:val="002C7801"/>
    <w:rsid w:val="002D1661"/>
    <w:rsid w:val="002D210C"/>
    <w:rsid w:val="002D228F"/>
    <w:rsid w:val="002D36FB"/>
    <w:rsid w:val="002D3793"/>
    <w:rsid w:val="002D4A4C"/>
    <w:rsid w:val="002D52D8"/>
    <w:rsid w:val="002D59AC"/>
    <w:rsid w:val="002D59CC"/>
    <w:rsid w:val="002D5EB6"/>
    <w:rsid w:val="002D6B03"/>
    <w:rsid w:val="002D6FF5"/>
    <w:rsid w:val="002D75B6"/>
    <w:rsid w:val="002E035A"/>
    <w:rsid w:val="002E0EA2"/>
    <w:rsid w:val="002E0FA0"/>
    <w:rsid w:val="002E11C9"/>
    <w:rsid w:val="002E15DA"/>
    <w:rsid w:val="002E186A"/>
    <w:rsid w:val="002E1A69"/>
    <w:rsid w:val="002E1D03"/>
    <w:rsid w:val="002E1E62"/>
    <w:rsid w:val="002E212A"/>
    <w:rsid w:val="002E2190"/>
    <w:rsid w:val="002E2977"/>
    <w:rsid w:val="002E3738"/>
    <w:rsid w:val="002E43EC"/>
    <w:rsid w:val="002E497A"/>
    <w:rsid w:val="002E52FD"/>
    <w:rsid w:val="002E564D"/>
    <w:rsid w:val="002E572F"/>
    <w:rsid w:val="002E65E9"/>
    <w:rsid w:val="002E730B"/>
    <w:rsid w:val="002E7779"/>
    <w:rsid w:val="002E7E59"/>
    <w:rsid w:val="002F01BF"/>
    <w:rsid w:val="002F1047"/>
    <w:rsid w:val="002F1302"/>
    <w:rsid w:val="002F1B08"/>
    <w:rsid w:val="002F1E7D"/>
    <w:rsid w:val="002F2313"/>
    <w:rsid w:val="002F39D1"/>
    <w:rsid w:val="002F3A54"/>
    <w:rsid w:val="002F3CA3"/>
    <w:rsid w:val="002F3CAB"/>
    <w:rsid w:val="002F41D7"/>
    <w:rsid w:val="002F4D88"/>
    <w:rsid w:val="002F4DF9"/>
    <w:rsid w:val="002F4EDE"/>
    <w:rsid w:val="002F521E"/>
    <w:rsid w:val="002F68BC"/>
    <w:rsid w:val="002F6C20"/>
    <w:rsid w:val="002F6E8F"/>
    <w:rsid w:val="002F7B9D"/>
    <w:rsid w:val="003000DB"/>
    <w:rsid w:val="00300846"/>
    <w:rsid w:val="00300E61"/>
    <w:rsid w:val="00301F2D"/>
    <w:rsid w:val="003021AA"/>
    <w:rsid w:val="00302203"/>
    <w:rsid w:val="003031E4"/>
    <w:rsid w:val="00303406"/>
    <w:rsid w:val="00303DFA"/>
    <w:rsid w:val="0030519C"/>
    <w:rsid w:val="003051EE"/>
    <w:rsid w:val="00305A9D"/>
    <w:rsid w:val="00305E3A"/>
    <w:rsid w:val="0030633D"/>
    <w:rsid w:val="00307671"/>
    <w:rsid w:val="0031029F"/>
    <w:rsid w:val="003105A8"/>
    <w:rsid w:val="0031087B"/>
    <w:rsid w:val="00310F9A"/>
    <w:rsid w:val="0031168D"/>
    <w:rsid w:val="00311E96"/>
    <w:rsid w:val="00313291"/>
    <w:rsid w:val="00313DD0"/>
    <w:rsid w:val="0031420D"/>
    <w:rsid w:val="00314504"/>
    <w:rsid w:val="00314D1D"/>
    <w:rsid w:val="00314F6A"/>
    <w:rsid w:val="00315EA3"/>
    <w:rsid w:val="00316387"/>
    <w:rsid w:val="00321BED"/>
    <w:rsid w:val="00321DC8"/>
    <w:rsid w:val="0032203D"/>
    <w:rsid w:val="00322210"/>
    <w:rsid w:val="003222C6"/>
    <w:rsid w:val="00322AAC"/>
    <w:rsid w:val="00322B0A"/>
    <w:rsid w:val="00322C55"/>
    <w:rsid w:val="00323729"/>
    <w:rsid w:val="00323AFD"/>
    <w:rsid w:val="00323DB2"/>
    <w:rsid w:val="00324157"/>
    <w:rsid w:val="00324E7D"/>
    <w:rsid w:val="003262AD"/>
    <w:rsid w:val="0032637A"/>
    <w:rsid w:val="00327977"/>
    <w:rsid w:val="00327EFE"/>
    <w:rsid w:val="0033126C"/>
    <w:rsid w:val="00331459"/>
    <w:rsid w:val="00331A6D"/>
    <w:rsid w:val="00332B0E"/>
    <w:rsid w:val="00332DC5"/>
    <w:rsid w:val="003334CD"/>
    <w:rsid w:val="00333BCC"/>
    <w:rsid w:val="00333E95"/>
    <w:rsid w:val="0033440C"/>
    <w:rsid w:val="00335301"/>
    <w:rsid w:val="00335CB6"/>
    <w:rsid w:val="00335FB8"/>
    <w:rsid w:val="00336016"/>
    <w:rsid w:val="00336F6D"/>
    <w:rsid w:val="00337D04"/>
    <w:rsid w:val="00337F89"/>
    <w:rsid w:val="00340934"/>
    <w:rsid w:val="00341BEC"/>
    <w:rsid w:val="003423C9"/>
    <w:rsid w:val="00342BCB"/>
    <w:rsid w:val="003438F8"/>
    <w:rsid w:val="0034471D"/>
    <w:rsid w:val="0034481D"/>
    <w:rsid w:val="00345B36"/>
    <w:rsid w:val="00345CCE"/>
    <w:rsid w:val="0034682F"/>
    <w:rsid w:val="00347443"/>
    <w:rsid w:val="00347D96"/>
    <w:rsid w:val="00347DEF"/>
    <w:rsid w:val="00347FFA"/>
    <w:rsid w:val="00351285"/>
    <w:rsid w:val="00352575"/>
    <w:rsid w:val="00352E83"/>
    <w:rsid w:val="00352E8F"/>
    <w:rsid w:val="00353C51"/>
    <w:rsid w:val="0035442F"/>
    <w:rsid w:val="00354E8F"/>
    <w:rsid w:val="00356F5E"/>
    <w:rsid w:val="00357185"/>
    <w:rsid w:val="00360ACE"/>
    <w:rsid w:val="00360DB2"/>
    <w:rsid w:val="00362754"/>
    <w:rsid w:val="003627F9"/>
    <w:rsid w:val="00364DCC"/>
    <w:rsid w:val="00366139"/>
    <w:rsid w:val="003663F8"/>
    <w:rsid w:val="003665EA"/>
    <w:rsid w:val="00367D16"/>
    <w:rsid w:val="00370D94"/>
    <w:rsid w:val="00370DA4"/>
    <w:rsid w:val="00370DEF"/>
    <w:rsid w:val="003717F1"/>
    <w:rsid w:val="00372025"/>
    <w:rsid w:val="0037234A"/>
    <w:rsid w:val="0037236C"/>
    <w:rsid w:val="003724D7"/>
    <w:rsid w:val="00373475"/>
    <w:rsid w:val="003739BD"/>
    <w:rsid w:val="00375210"/>
    <w:rsid w:val="00376EE0"/>
    <w:rsid w:val="00377F58"/>
    <w:rsid w:val="00380105"/>
    <w:rsid w:val="00380464"/>
    <w:rsid w:val="00381374"/>
    <w:rsid w:val="003815CC"/>
    <w:rsid w:val="003816F0"/>
    <w:rsid w:val="00381C24"/>
    <w:rsid w:val="00382A8E"/>
    <w:rsid w:val="00383930"/>
    <w:rsid w:val="00384ACA"/>
    <w:rsid w:val="00384BDF"/>
    <w:rsid w:val="00385405"/>
    <w:rsid w:val="00385B54"/>
    <w:rsid w:val="00387100"/>
    <w:rsid w:val="00387361"/>
    <w:rsid w:val="003875DA"/>
    <w:rsid w:val="00387B15"/>
    <w:rsid w:val="00387E6C"/>
    <w:rsid w:val="00391B29"/>
    <w:rsid w:val="00391D5A"/>
    <w:rsid w:val="0039263D"/>
    <w:rsid w:val="00392857"/>
    <w:rsid w:val="00392B2B"/>
    <w:rsid w:val="003931F8"/>
    <w:rsid w:val="00393251"/>
    <w:rsid w:val="00393287"/>
    <w:rsid w:val="00393360"/>
    <w:rsid w:val="003941FB"/>
    <w:rsid w:val="0039476B"/>
    <w:rsid w:val="00395303"/>
    <w:rsid w:val="00396767"/>
    <w:rsid w:val="0039730D"/>
    <w:rsid w:val="003A139A"/>
    <w:rsid w:val="003A21C3"/>
    <w:rsid w:val="003A2A37"/>
    <w:rsid w:val="003A320E"/>
    <w:rsid w:val="003A37BD"/>
    <w:rsid w:val="003A3966"/>
    <w:rsid w:val="003A4A94"/>
    <w:rsid w:val="003A5FAF"/>
    <w:rsid w:val="003A63E9"/>
    <w:rsid w:val="003A6976"/>
    <w:rsid w:val="003A770D"/>
    <w:rsid w:val="003A7CCA"/>
    <w:rsid w:val="003B1318"/>
    <w:rsid w:val="003B171C"/>
    <w:rsid w:val="003B34FA"/>
    <w:rsid w:val="003B357D"/>
    <w:rsid w:val="003B4BC2"/>
    <w:rsid w:val="003B4E2E"/>
    <w:rsid w:val="003B6373"/>
    <w:rsid w:val="003B6A41"/>
    <w:rsid w:val="003B6EBD"/>
    <w:rsid w:val="003B6F38"/>
    <w:rsid w:val="003B7070"/>
    <w:rsid w:val="003B7228"/>
    <w:rsid w:val="003B75F0"/>
    <w:rsid w:val="003C0BC4"/>
    <w:rsid w:val="003C16DF"/>
    <w:rsid w:val="003C1B18"/>
    <w:rsid w:val="003C2C8C"/>
    <w:rsid w:val="003C412D"/>
    <w:rsid w:val="003C4219"/>
    <w:rsid w:val="003C5749"/>
    <w:rsid w:val="003C5A77"/>
    <w:rsid w:val="003C5AE5"/>
    <w:rsid w:val="003C6128"/>
    <w:rsid w:val="003C6A31"/>
    <w:rsid w:val="003C6CB4"/>
    <w:rsid w:val="003C7B97"/>
    <w:rsid w:val="003D05FD"/>
    <w:rsid w:val="003D20A6"/>
    <w:rsid w:val="003D2281"/>
    <w:rsid w:val="003D28FF"/>
    <w:rsid w:val="003D2EDC"/>
    <w:rsid w:val="003D3597"/>
    <w:rsid w:val="003D37A6"/>
    <w:rsid w:val="003D37E4"/>
    <w:rsid w:val="003D451C"/>
    <w:rsid w:val="003D515C"/>
    <w:rsid w:val="003D5B31"/>
    <w:rsid w:val="003D6680"/>
    <w:rsid w:val="003D6CC7"/>
    <w:rsid w:val="003D6DDD"/>
    <w:rsid w:val="003E1EBF"/>
    <w:rsid w:val="003E1F00"/>
    <w:rsid w:val="003E2287"/>
    <w:rsid w:val="003E299A"/>
    <w:rsid w:val="003E30B1"/>
    <w:rsid w:val="003E32BA"/>
    <w:rsid w:val="003E4275"/>
    <w:rsid w:val="003E5187"/>
    <w:rsid w:val="003E59B9"/>
    <w:rsid w:val="003E6292"/>
    <w:rsid w:val="003E6C13"/>
    <w:rsid w:val="003F030A"/>
    <w:rsid w:val="003F07C2"/>
    <w:rsid w:val="003F0BA3"/>
    <w:rsid w:val="003F1BE4"/>
    <w:rsid w:val="003F2045"/>
    <w:rsid w:val="003F2483"/>
    <w:rsid w:val="003F3361"/>
    <w:rsid w:val="003F3792"/>
    <w:rsid w:val="003F38A8"/>
    <w:rsid w:val="003F39AD"/>
    <w:rsid w:val="003F4D69"/>
    <w:rsid w:val="003F594B"/>
    <w:rsid w:val="003F5AF6"/>
    <w:rsid w:val="003F612E"/>
    <w:rsid w:val="003F6D03"/>
    <w:rsid w:val="003F7D61"/>
    <w:rsid w:val="0040045D"/>
    <w:rsid w:val="0040064A"/>
    <w:rsid w:val="00402E2E"/>
    <w:rsid w:val="00402E40"/>
    <w:rsid w:val="00402EC1"/>
    <w:rsid w:val="0040374F"/>
    <w:rsid w:val="00403BE7"/>
    <w:rsid w:val="00404323"/>
    <w:rsid w:val="00404383"/>
    <w:rsid w:val="004043C8"/>
    <w:rsid w:val="00404679"/>
    <w:rsid w:val="004046AE"/>
    <w:rsid w:val="00404B5C"/>
    <w:rsid w:val="0040514B"/>
    <w:rsid w:val="00405A41"/>
    <w:rsid w:val="00405C9F"/>
    <w:rsid w:val="0040640B"/>
    <w:rsid w:val="00407562"/>
    <w:rsid w:val="00407A02"/>
    <w:rsid w:val="00407C87"/>
    <w:rsid w:val="00410617"/>
    <w:rsid w:val="004127CC"/>
    <w:rsid w:val="00412D41"/>
    <w:rsid w:val="00412DC7"/>
    <w:rsid w:val="00414773"/>
    <w:rsid w:val="004158CA"/>
    <w:rsid w:val="00415F67"/>
    <w:rsid w:val="00416158"/>
    <w:rsid w:val="004165AB"/>
    <w:rsid w:val="00416E93"/>
    <w:rsid w:val="00417995"/>
    <w:rsid w:val="00417BBF"/>
    <w:rsid w:val="00420207"/>
    <w:rsid w:val="004209E0"/>
    <w:rsid w:val="00420CB2"/>
    <w:rsid w:val="00421BDB"/>
    <w:rsid w:val="00421FBB"/>
    <w:rsid w:val="00422A3E"/>
    <w:rsid w:val="004230C3"/>
    <w:rsid w:val="004269B5"/>
    <w:rsid w:val="00426F67"/>
    <w:rsid w:val="00426F94"/>
    <w:rsid w:val="004272A6"/>
    <w:rsid w:val="004274B7"/>
    <w:rsid w:val="00427710"/>
    <w:rsid w:val="004303F2"/>
    <w:rsid w:val="0043137F"/>
    <w:rsid w:val="00432C42"/>
    <w:rsid w:val="00432C48"/>
    <w:rsid w:val="00434637"/>
    <w:rsid w:val="00434F75"/>
    <w:rsid w:val="00434F81"/>
    <w:rsid w:val="004358C3"/>
    <w:rsid w:val="00436265"/>
    <w:rsid w:val="004369EE"/>
    <w:rsid w:val="00436A74"/>
    <w:rsid w:val="0044226E"/>
    <w:rsid w:val="00442975"/>
    <w:rsid w:val="0044338D"/>
    <w:rsid w:val="004438E5"/>
    <w:rsid w:val="00444ABB"/>
    <w:rsid w:val="004460A5"/>
    <w:rsid w:val="00446D33"/>
    <w:rsid w:val="00447C57"/>
    <w:rsid w:val="00447CEF"/>
    <w:rsid w:val="00450506"/>
    <w:rsid w:val="00451040"/>
    <w:rsid w:val="00452712"/>
    <w:rsid w:val="00452BA8"/>
    <w:rsid w:val="00452E27"/>
    <w:rsid w:val="004531AC"/>
    <w:rsid w:val="0045407B"/>
    <w:rsid w:val="00454D1F"/>
    <w:rsid w:val="004551DF"/>
    <w:rsid w:val="004558D4"/>
    <w:rsid w:val="00455DCF"/>
    <w:rsid w:val="00456301"/>
    <w:rsid w:val="00457450"/>
    <w:rsid w:val="004578DA"/>
    <w:rsid w:val="00460054"/>
    <w:rsid w:val="004606BC"/>
    <w:rsid w:val="004625DC"/>
    <w:rsid w:val="004625E7"/>
    <w:rsid w:val="0046260C"/>
    <w:rsid w:val="00463069"/>
    <w:rsid w:val="0046487A"/>
    <w:rsid w:val="00464EB5"/>
    <w:rsid w:val="004655DB"/>
    <w:rsid w:val="00466B79"/>
    <w:rsid w:val="00466C13"/>
    <w:rsid w:val="004676E2"/>
    <w:rsid w:val="004679AA"/>
    <w:rsid w:val="00467B69"/>
    <w:rsid w:val="004702A9"/>
    <w:rsid w:val="004706EC"/>
    <w:rsid w:val="004715D0"/>
    <w:rsid w:val="00471F3C"/>
    <w:rsid w:val="00471FCD"/>
    <w:rsid w:val="0047249C"/>
    <w:rsid w:val="00472B1A"/>
    <w:rsid w:val="004744B0"/>
    <w:rsid w:val="004768E5"/>
    <w:rsid w:val="00477266"/>
    <w:rsid w:val="0047785D"/>
    <w:rsid w:val="004800BF"/>
    <w:rsid w:val="00480449"/>
    <w:rsid w:val="00480E59"/>
    <w:rsid w:val="0048107B"/>
    <w:rsid w:val="00481401"/>
    <w:rsid w:val="0048148F"/>
    <w:rsid w:val="004820FF"/>
    <w:rsid w:val="0048283C"/>
    <w:rsid w:val="0048299A"/>
    <w:rsid w:val="00482BE8"/>
    <w:rsid w:val="00482E71"/>
    <w:rsid w:val="004837D8"/>
    <w:rsid w:val="00483E42"/>
    <w:rsid w:val="00484146"/>
    <w:rsid w:val="00484BAC"/>
    <w:rsid w:val="00486FD0"/>
    <w:rsid w:val="00487665"/>
    <w:rsid w:val="00491A95"/>
    <w:rsid w:val="004923CE"/>
    <w:rsid w:val="004925DE"/>
    <w:rsid w:val="00492880"/>
    <w:rsid w:val="00493712"/>
    <w:rsid w:val="0049412B"/>
    <w:rsid w:val="00494887"/>
    <w:rsid w:val="00494D2E"/>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7835"/>
    <w:rsid w:val="004B0FF6"/>
    <w:rsid w:val="004B1562"/>
    <w:rsid w:val="004B1829"/>
    <w:rsid w:val="004B1AAA"/>
    <w:rsid w:val="004B2375"/>
    <w:rsid w:val="004B283B"/>
    <w:rsid w:val="004B29CD"/>
    <w:rsid w:val="004B2A1E"/>
    <w:rsid w:val="004B2B7A"/>
    <w:rsid w:val="004B3537"/>
    <w:rsid w:val="004B3633"/>
    <w:rsid w:val="004B3FBC"/>
    <w:rsid w:val="004B4264"/>
    <w:rsid w:val="004B451C"/>
    <w:rsid w:val="004B4CC8"/>
    <w:rsid w:val="004B544A"/>
    <w:rsid w:val="004B64D7"/>
    <w:rsid w:val="004B7494"/>
    <w:rsid w:val="004B75EE"/>
    <w:rsid w:val="004C0226"/>
    <w:rsid w:val="004C03BA"/>
    <w:rsid w:val="004C0927"/>
    <w:rsid w:val="004C0FB6"/>
    <w:rsid w:val="004C1806"/>
    <w:rsid w:val="004C18D8"/>
    <w:rsid w:val="004C1EE2"/>
    <w:rsid w:val="004C278B"/>
    <w:rsid w:val="004C3A88"/>
    <w:rsid w:val="004C40A3"/>
    <w:rsid w:val="004C599F"/>
    <w:rsid w:val="004C6118"/>
    <w:rsid w:val="004C659E"/>
    <w:rsid w:val="004C66AC"/>
    <w:rsid w:val="004C6C68"/>
    <w:rsid w:val="004C75DA"/>
    <w:rsid w:val="004C7ED3"/>
    <w:rsid w:val="004C7FD0"/>
    <w:rsid w:val="004D037A"/>
    <w:rsid w:val="004D072B"/>
    <w:rsid w:val="004D0A6E"/>
    <w:rsid w:val="004D0D03"/>
    <w:rsid w:val="004D0D1B"/>
    <w:rsid w:val="004D1317"/>
    <w:rsid w:val="004D17A7"/>
    <w:rsid w:val="004D1D35"/>
    <w:rsid w:val="004D1E94"/>
    <w:rsid w:val="004D2570"/>
    <w:rsid w:val="004D2D35"/>
    <w:rsid w:val="004D3150"/>
    <w:rsid w:val="004D343A"/>
    <w:rsid w:val="004D3469"/>
    <w:rsid w:val="004D36FA"/>
    <w:rsid w:val="004D57ED"/>
    <w:rsid w:val="004D6856"/>
    <w:rsid w:val="004D6D49"/>
    <w:rsid w:val="004D75C1"/>
    <w:rsid w:val="004D75C5"/>
    <w:rsid w:val="004D78AC"/>
    <w:rsid w:val="004E0FB0"/>
    <w:rsid w:val="004E10FF"/>
    <w:rsid w:val="004E20EC"/>
    <w:rsid w:val="004E2A17"/>
    <w:rsid w:val="004E30BE"/>
    <w:rsid w:val="004E35EF"/>
    <w:rsid w:val="004E4094"/>
    <w:rsid w:val="004E45EC"/>
    <w:rsid w:val="004E4CA5"/>
    <w:rsid w:val="004E699C"/>
    <w:rsid w:val="004E6EA6"/>
    <w:rsid w:val="004E7C60"/>
    <w:rsid w:val="004E7F41"/>
    <w:rsid w:val="004F0077"/>
    <w:rsid w:val="004F0238"/>
    <w:rsid w:val="004F0A61"/>
    <w:rsid w:val="004F0DA1"/>
    <w:rsid w:val="004F0EB6"/>
    <w:rsid w:val="004F2765"/>
    <w:rsid w:val="004F30F8"/>
    <w:rsid w:val="004F38A9"/>
    <w:rsid w:val="004F3DB4"/>
    <w:rsid w:val="004F4630"/>
    <w:rsid w:val="004F4763"/>
    <w:rsid w:val="004F4EBF"/>
    <w:rsid w:val="004F5169"/>
    <w:rsid w:val="004F5968"/>
    <w:rsid w:val="004F6555"/>
    <w:rsid w:val="004F7A18"/>
    <w:rsid w:val="004F7A86"/>
    <w:rsid w:val="0050055C"/>
    <w:rsid w:val="00501015"/>
    <w:rsid w:val="005017ED"/>
    <w:rsid w:val="00501ABF"/>
    <w:rsid w:val="0050344D"/>
    <w:rsid w:val="0050357C"/>
    <w:rsid w:val="00503BBE"/>
    <w:rsid w:val="00504080"/>
    <w:rsid w:val="005041BA"/>
    <w:rsid w:val="00504432"/>
    <w:rsid w:val="00504631"/>
    <w:rsid w:val="00505659"/>
    <w:rsid w:val="005061E3"/>
    <w:rsid w:val="00506DB8"/>
    <w:rsid w:val="00506F76"/>
    <w:rsid w:val="005072A5"/>
    <w:rsid w:val="00507654"/>
    <w:rsid w:val="00507737"/>
    <w:rsid w:val="00507C00"/>
    <w:rsid w:val="00510241"/>
    <w:rsid w:val="00513573"/>
    <w:rsid w:val="00513B75"/>
    <w:rsid w:val="00513B85"/>
    <w:rsid w:val="00513CD4"/>
    <w:rsid w:val="00513EDC"/>
    <w:rsid w:val="00514D74"/>
    <w:rsid w:val="005150D3"/>
    <w:rsid w:val="005155C8"/>
    <w:rsid w:val="005173D5"/>
    <w:rsid w:val="005177A2"/>
    <w:rsid w:val="005201F8"/>
    <w:rsid w:val="0052130A"/>
    <w:rsid w:val="00521790"/>
    <w:rsid w:val="00521FB1"/>
    <w:rsid w:val="00522045"/>
    <w:rsid w:val="00522E2E"/>
    <w:rsid w:val="005231C2"/>
    <w:rsid w:val="005236B3"/>
    <w:rsid w:val="0052373A"/>
    <w:rsid w:val="00524154"/>
    <w:rsid w:val="0052426C"/>
    <w:rsid w:val="00524733"/>
    <w:rsid w:val="00525547"/>
    <w:rsid w:val="005258CC"/>
    <w:rsid w:val="0052610B"/>
    <w:rsid w:val="005262C8"/>
    <w:rsid w:val="00526921"/>
    <w:rsid w:val="005274A2"/>
    <w:rsid w:val="00527E1A"/>
    <w:rsid w:val="005304E3"/>
    <w:rsid w:val="00530BBE"/>
    <w:rsid w:val="0053114D"/>
    <w:rsid w:val="00531E3A"/>
    <w:rsid w:val="00532161"/>
    <w:rsid w:val="005339AE"/>
    <w:rsid w:val="00535582"/>
    <w:rsid w:val="00536B41"/>
    <w:rsid w:val="00537C11"/>
    <w:rsid w:val="00537F8A"/>
    <w:rsid w:val="00540B21"/>
    <w:rsid w:val="00540D3D"/>
    <w:rsid w:val="00540E92"/>
    <w:rsid w:val="00541AD9"/>
    <w:rsid w:val="005429C8"/>
    <w:rsid w:val="005429CD"/>
    <w:rsid w:val="005450C0"/>
    <w:rsid w:val="00546CDA"/>
    <w:rsid w:val="005479C1"/>
    <w:rsid w:val="00551FC6"/>
    <w:rsid w:val="0055244D"/>
    <w:rsid w:val="00552C35"/>
    <w:rsid w:val="005536BB"/>
    <w:rsid w:val="00553B89"/>
    <w:rsid w:val="005542FB"/>
    <w:rsid w:val="00555A28"/>
    <w:rsid w:val="00556072"/>
    <w:rsid w:val="005563C7"/>
    <w:rsid w:val="00556725"/>
    <w:rsid w:val="00560269"/>
    <w:rsid w:val="00560C57"/>
    <w:rsid w:val="00561768"/>
    <w:rsid w:val="00561DC9"/>
    <w:rsid w:val="00563563"/>
    <w:rsid w:val="00564597"/>
    <w:rsid w:val="005657B0"/>
    <w:rsid w:val="00565809"/>
    <w:rsid w:val="00565CA0"/>
    <w:rsid w:val="00565F8E"/>
    <w:rsid w:val="00566971"/>
    <w:rsid w:val="00567821"/>
    <w:rsid w:val="00567932"/>
    <w:rsid w:val="00567A5C"/>
    <w:rsid w:val="00567D06"/>
    <w:rsid w:val="00570090"/>
    <w:rsid w:val="00570157"/>
    <w:rsid w:val="00570C5C"/>
    <w:rsid w:val="00570D1C"/>
    <w:rsid w:val="00570F34"/>
    <w:rsid w:val="00571D9F"/>
    <w:rsid w:val="0057322E"/>
    <w:rsid w:val="00573C44"/>
    <w:rsid w:val="00573CF9"/>
    <w:rsid w:val="00574C8E"/>
    <w:rsid w:val="0057564D"/>
    <w:rsid w:val="00576A6E"/>
    <w:rsid w:val="005776EE"/>
    <w:rsid w:val="005778AC"/>
    <w:rsid w:val="00577B41"/>
    <w:rsid w:val="00577FBE"/>
    <w:rsid w:val="005803D0"/>
    <w:rsid w:val="00580401"/>
    <w:rsid w:val="00580BCA"/>
    <w:rsid w:val="00580CD6"/>
    <w:rsid w:val="0058184B"/>
    <w:rsid w:val="00581F6E"/>
    <w:rsid w:val="005821EE"/>
    <w:rsid w:val="00583C7C"/>
    <w:rsid w:val="00584164"/>
    <w:rsid w:val="00584B19"/>
    <w:rsid w:val="00584FF2"/>
    <w:rsid w:val="00585CB9"/>
    <w:rsid w:val="00586ACE"/>
    <w:rsid w:val="0058724A"/>
    <w:rsid w:val="005874CA"/>
    <w:rsid w:val="0059014B"/>
    <w:rsid w:val="00590CF9"/>
    <w:rsid w:val="00590ED0"/>
    <w:rsid w:val="005912DC"/>
    <w:rsid w:val="005917C8"/>
    <w:rsid w:val="00591D8A"/>
    <w:rsid w:val="00592333"/>
    <w:rsid w:val="00592701"/>
    <w:rsid w:val="00593156"/>
    <w:rsid w:val="0059329E"/>
    <w:rsid w:val="00593A7C"/>
    <w:rsid w:val="0059491F"/>
    <w:rsid w:val="00594B2D"/>
    <w:rsid w:val="00594C71"/>
    <w:rsid w:val="005950F6"/>
    <w:rsid w:val="005951FA"/>
    <w:rsid w:val="00595436"/>
    <w:rsid w:val="00595DE9"/>
    <w:rsid w:val="00595FE5"/>
    <w:rsid w:val="0059662B"/>
    <w:rsid w:val="00596FCD"/>
    <w:rsid w:val="0059779C"/>
    <w:rsid w:val="005A0CC8"/>
    <w:rsid w:val="005A1DB5"/>
    <w:rsid w:val="005A1FC9"/>
    <w:rsid w:val="005A2A36"/>
    <w:rsid w:val="005A2B88"/>
    <w:rsid w:val="005A2EED"/>
    <w:rsid w:val="005A38F0"/>
    <w:rsid w:val="005A4C45"/>
    <w:rsid w:val="005A59FE"/>
    <w:rsid w:val="005A64B3"/>
    <w:rsid w:val="005A69E6"/>
    <w:rsid w:val="005A7662"/>
    <w:rsid w:val="005A7EE9"/>
    <w:rsid w:val="005B0A4A"/>
    <w:rsid w:val="005B0ED0"/>
    <w:rsid w:val="005B16F3"/>
    <w:rsid w:val="005B1CE2"/>
    <w:rsid w:val="005B2360"/>
    <w:rsid w:val="005B2870"/>
    <w:rsid w:val="005B3114"/>
    <w:rsid w:val="005B3321"/>
    <w:rsid w:val="005B43FB"/>
    <w:rsid w:val="005B578B"/>
    <w:rsid w:val="005B5D25"/>
    <w:rsid w:val="005B6C12"/>
    <w:rsid w:val="005B769D"/>
    <w:rsid w:val="005B783D"/>
    <w:rsid w:val="005C0D16"/>
    <w:rsid w:val="005C124E"/>
    <w:rsid w:val="005C27A3"/>
    <w:rsid w:val="005C310F"/>
    <w:rsid w:val="005C347F"/>
    <w:rsid w:val="005C35CB"/>
    <w:rsid w:val="005C4297"/>
    <w:rsid w:val="005C49A5"/>
    <w:rsid w:val="005C4D2F"/>
    <w:rsid w:val="005C4D4B"/>
    <w:rsid w:val="005C4EF9"/>
    <w:rsid w:val="005C5249"/>
    <w:rsid w:val="005C52EF"/>
    <w:rsid w:val="005D3628"/>
    <w:rsid w:val="005D38E0"/>
    <w:rsid w:val="005D47F9"/>
    <w:rsid w:val="005D4900"/>
    <w:rsid w:val="005D55EE"/>
    <w:rsid w:val="005D6818"/>
    <w:rsid w:val="005D71AB"/>
    <w:rsid w:val="005E0543"/>
    <w:rsid w:val="005E0C24"/>
    <w:rsid w:val="005E1774"/>
    <w:rsid w:val="005E21AD"/>
    <w:rsid w:val="005E289D"/>
    <w:rsid w:val="005E2CD1"/>
    <w:rsid w:val="005E3303"/>
    <w:rsid w:val="005E3803"/>
    <w:rsid w:val="005E3C5F"/>
    <w:rsid w:val="005E40D0"/>
    <w:rsid w:val="005E4121"/>
    <w:rsid w:val="005E422B"/>
    <w:rsid w:val="005E4444"/>
    <w:rsid w:val="005E4CDF"/>
    <w:rsid w:val="005E4E4C"/>
    <w:rsid w:val="005E6163"/>
    <w:rsid w:val="005E69BA"/>
    <w:rsid w:val="005E6BB6"/>
    <w:rsid w:val="005E7150"/>
    <w:rsid w:val="005E76EA"/>
    <w:rsid w:val="005E778D"/>
    <w:rsid w:val="005F11D6"/>
    <w:rsid w:val="005F1B30"/>
    <w:rsid w:val="005F25A5"/>
    <w:rsid w:val="005F262B"/>
    <w:rsid w:val="005F2A51"/>
    <w:rsid w:val="005F3230"/>
    <w:rsid w:val="005F361D"/>
    <w:rsid w:val="005F3846"/>
    <w:rsid w:val="005F3F01"/>
    <w:rsid w:val="005F421F"/>
    <w:rsid w:val="005F42E5"/>
    <w:rsid w:val="005F4550"/>
    <w:rsid w:val="005F51D7"/>
    <w:rsid w:val="005F54D3"/>
    <w:rsid w:val="005F597D"/>
    <w:rsid w:val="005F5AAB"/>
    <w:rsid w:val="005F5ECA"/>
    <w:rsid w:val="005F5EE8"/>
    <w:rsid w:val="005F64E0"/>
    <w:rsid w:val="0060012D"/>
    <w:rsid w:val="00600170"/>
    <w:rsid w:val="006007F5"/>
    <w:rsid w:val="00600D60"/>
    <w:rsid w:val="00601170"/>
    <w:rsid w:val="00601452"/>
    <w:rsid w:val="0060227F"/>
    <w:rsid w:val="00602462"/>
    <w:rsid w:val="00602599"/>
    <w:rsid w:val="00602889"/>
    <w:rsid w:val="00602A39"/>
    <w:rsid w:val="00602D9B"/>
    <w:rsid w:val="00602E32"/>
    <w:rsid w:val="00603508"/>
    <w:rsid w:val="00604611"/>
    <w:rsid w:val="0060513A"/>
    <w:rsid w:val="00605CA7"/>
    <w:rsid w:val="0060692D"/>
    <w:rsid w:val="00606BDE"/>
    <w:rsid w:val="006108DA"/>
    <w:rsid w:val="00611393"/>
    <w:rsid w:val="00611480"/>
    <w:rsid w:val="00611C37"/>
    <w:rsid w:val="006121FE"/>
    <w:rsid w:val="00612F00"/>
    <w:rsid w:val="00613972"/>
    <w:rsid w:val="00614108"/>
    <w:rsid w:val="00614F3C"/>
    <w:rsid w:val="00615B25"/>
    <w:rsid w:val="00615FC0"/>
    <w:rsid w:val="00616195"/>
    <w:rsid w:val="00616221"/>
    <w:rsid w:val="00617866"/>
    <w:rsid w:val="00617DE9"/>
    <w:rsid w:val="00617E93"/>
    <w:rsid w:val="00617FAC"/>
    <w:rsid w:val="006201A8"/>
    <w:rsid w:val="006216B3"/>
    <w:rsid w:val="0062208D"/>
    <w:rsid w:val="00622807"/>
    <w:rsid w:val="0062290F"/>
    <w:rsid w:val="00624251"/>
    <w:rsid w:val="006242D1"/>
    <w:rsid w:val="00625965"/>
    <w:rsid w:val="00625A0F"/>
    <w:rsid w:val="00625BED"/>
    <w:rsid w:val="00625D34"/>
    <w:rsid w:val="00626365"/>
    <w:rsid w:val="00626B2D"/>
    <w:rsid w:val="00626F7E"/>
    <w:rsid w:val="0062714C"/>
    <w:rsid w:val="0062735E"/>
    <w:rsid w:val="00627B21"/>
    <w:rsid w:val="00631FDA"/>
    <w:rsid w:val="00632860"/>
    <w:rsid w:val="00632C74"/>
    <w:rsid w:val="00632D28"/>
    <w:rsid w:val="006341FE"/>
    <w:rsid w:val="006349C5"/>
    <w:rsid w:val="00634EE2"/>
    <w:rsid w:val="00635954"/>
    <w:rsid w:val="00635C02"/>
    <w:rsid w:val="006369EB"/>
    <w:rsid w:val="006378FD"/>
    <w:rsid w:val="00637BEA"/>
    <w:rsid w:val="00637DF0"/>
    <w:rsid w:val="0064031F"/>
    <w:rsid w:val="006405E1"/>
    <w:rsid w:val="00640957"/>
    <w:rsid w:val="00640BD7"/>
    <w:rsid w:val="006413B6"/>
    <w:rsid w:val="00641D32"/>
    <w:rsid w:val="00642652"/>
    <w:rsid w:val="0064413A"/>
    <w:rsid w:val="00644B3A"/>
    <w:rsid w:val="00644F12"/>
    <w:rsid w:val="00645589"/>
    <w:rsid w:val="0064590C"/>
    <w:rsid w:val="00647012"/>
    <w:rsid w:val="0064713D"/>
    <w:rsid w:val="00647362"/>
    <w:rsid w:val="00647EC4"/>
    <w:rsid w:val="00650494"/>
    <w:rsid w:val="00650846"/>
    <w:rsid w:val="00650DE0"/>
    <w:rsid w:val="00651247"/>
    <w:rsid w:val="00651E01"/>
    <w:rsid w:val="006524B9"/>
    <w:rsid w:val="006527E7"/>
    <w:rsid w:val="006529B3"/>
    <w:rsid w:val="00655126"/>
    <w:rsid w:val="0065583F"/>
    <w:rsid w:val="00655A07"/>
    <w:rsid w:val="00655B63"/>
    <w:rsid w:val="006562CE"/>
    <w:rsid w:val="00656C90"/>
    <w:rsid w:val="006572A9"/>
    <w:rsid w:val="00660548"/>
    <w:rsid w:val="006608FC"/>
    <w:rsid w:val="006630C9"/>
    <w:rsid w:val="00663B90"/>
    <w:rsid w:val="00664215"/>
    <w:rsid w:val="00664831"/>
    <w:rsid w:val="00664A6D"/>
    <w:rsid w:val="00664BF5"/>
    <w:rsid w:val="00665114"/>
    <w:rsid w:val="006656CC"/>
    <w:rsid w:val="00665CF7"/>
    <w:rsid w:val="006666A1"/>
    <w:rsid w:val="00666D1B"/>
    <w:rsid w:val="00667B38"/>
    <w:rsid w:val="00667D54"/>
    <w:rsid w:val="006704B9"/>
    <w:rsid w:val="00671F3C"/>
    <w:rsid w:val="0067218A"/>
    <w:rsid w:val="00673AEB"/>
    <w:rsid w:val="00673E05"/>
    <w:rsid w:val="00674939"/>
    <w:rsid w:val="00674BF3"/>
    <w:rsid w:val="006759A2"/>
    <w:rsid w:val="0067711B"/>
    <w:rsid w:val="006807CE"/>
    <w:rsid w:val="00680C5B"/>
    <w:rsid w:val="00682167"/>
    <w:rsid w:val="006827EF"/>
    <w:rsid w:val="00683178"/>
    <w:rsid w:val="00683794"/>
    <w:rsid w:val="006842ED"/>
    <w:rsid w:val="0068447C"/>
    <w:rsid w:val="006849DF"/>
    <w:rsid w:val="0068681E"/>
    <w:rsid w:val="00686FAF"/>
    <w:rsid w:val="00687218"/>
    <w:rsid w:val="00687301"/>
    <w:rsid w:val="00687605"/>
    <w:rsid w:val="00687781"/>
    <w:rsid w:val="0068798B"/>
    <w:rsid w:val="00690272"/>
    <w:rsid w:val="00690B26"/>
    <w:rsid w:val="00690C89"/>
    <w:rsid w:val="00690DAA"/>
    <w:rsid w:val="00691958"/>
    <w:rsid w:val="00692224"/>
    <w:rsid w:val="00692BE6"/>
    <w:rsid w:val="00692D07"/>
    <w:rsid w:val="00693C1F"/>
    <w:rsid w:val="00693CD5"/>
    <w:rsid w:val="006948D3"/>
    <w:rsid w:val="00695A86"/>
    <w:rsid w:val="00695B5C"/>
    <w:rsid w:val="00695B97"/>
    <w:rsid w:val="00695E1D"/>
    <w:rsid w:val="006962EE"/>
    <w:rsid w:val="00696999"/>
    <w:rsid w:val="0069749E"/>
    <w:rsid w:val="00697506"/>
    <w:rsid w:val="00697622"/>
    <w:rsid w:val="00697CD3"/>
    <w:rsid w:val="006A03C2"/>
    <w:rsid w:val="006A0603"/>
    <w:rsid w:val="006A18F3"/>
    <w:rsid w:val="006A1A02"/>
    <w:rsid w:val="006A313A"/>
    <w:rsid w:val="006A3AE0"/>
    <w:rsid w:val="006A3C3D"/>
    <w:rsid w:val="006A4422"/>
    <w:rsid w:val="006A45A9"/>
    <w:rsid w:val="006A5239"/>
    <w:rsid w:val="006A55D8"/>
    <w:rsid w:val="006A586B"/>
    <w:rsid w:val="006A777B"/>
    <w:rsid w:val="006A7989"/>
    <w:rsid w:val="006B0FC0"/>
    <w:rsid w:val="006B1641"/>
    <w:rsid w:val="006B181A"/>
    <w:rsid w:val="006B1DE8"/>
    <w:rsid w:val="006B3508"/>
    <w:rsid w:val="006B351B"/>
    <w:rsid w:val="006B3E1D"/>
    <w:rsid w:val="006B4640"/>
    <w:rsid w:val="006B4A4E"/>
    <w:rsid w:val="006B4ADF"/>
    <w:rsid w:val="006B4E95"/>
    <w:rsid w:val="006B5BC2"/>
    <w:rsid w:val="006B672B"/>
    <w:rsid w:val="006B6759"/>
    <w:rsid w:val="006B7492"/>
    <w:rsid w:val="006B7FDD"/>
    <w:rsid w:val="006C0781"/>
    <w:rsid w:val="006C082D"/>
    <w:rsid w:val="006C0C0C"/>
    <w:rsid w:val="006C1045"/>
    <w:rsid w:val="006C13D6"/>
    <w:rsid w:val="006C25D0"/>
    <w:rsid w:val="006C2F46"/>
    <w:rsid w:val="006C3A0C"/>
    <w:rsid w:val="006C538E"/>
    <w:rsid w:val="006C6A4F"/>
    <w:rsid w:val="006C6C3A"/>
    <w:rsid w:val="006C6D96"/>
    <w:rsid w:val="006C7BC7"/>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222A"/>
    <w:rsid w:val="006F3081"/>
    <w:rsid w:val="006F3118"/>
    <w:rsid w:val="006F3BDE"/>
    <w:rsid w:val="006F3BFE"/>
    <w:rsid w:val="006F3E7D"/>
    <w:rsid w:val="006F409F"/>
    <w:rsid w:val="006F49CC"/>
    <w:rsid w:val="006F4F67"/>
    <w:rsid w:val="006F5268"/>
    <w:rsid w:val="006F6BA9"/>
    <w:rsid w:val="006F71A2"/>
    <w:rsid w:val="006F7D0C"/>
    <w:rsid w:val="007015C7"/>
    <w:rsid w:val="00702894"/>
    <w:rsid w:val="0070310E"/>
    <w:rsid w:val="0070459C"/>
    <w:rsid w:val="00704808"/>
    <w:rsid w:val="00705537"/>
    <w:rsid w:val="00705C63"/>
    <w:rsid w:val="00706458"/>
    <w:rsid w:val="007069CE"/>
    <w:rsid w:val="00706DBC"/>
    <w:rsid w:val="00707B75"/>
    <w:rsid w:val="00707DF9"/>
    <w:rsid w:val="00707F53"/>
    <w:rsid w:val="00710FDF"/>
    <w:rsid w:val="00711D2D"/>
    <w:rsid w:val="00711E23"/>
    <w:rsid w:val="00712507"/>
    <w:rsid w:val="00712788"/>
    <w:rsid w:val="00712850"/>
    <w:rsid w:val="007144AD"/>
    <w:rsid w:val="00715940"/>
    <w:rsid w:val="00715A0D"/>
    <w:rsid w:val="00715E1E"/>
    <w:rsid w:val="00715EFA"/>
    <w:rsid w:val="007163C1"/>
    <w:rsid w:val="007164AF"/>
    <w:rsid w:val="00716A28"/>
    <w:rsid w:val="00717659"/>
    <w:rsid w:val="007206E5"/>
    <w:rsid w:val="00720FD9"/>
    <w:rsid w:val="0072102B"/>
    <w:rsid w:val="0072110E"/>
    <w:rsid w:val="00721161"/>
    <w:rsid w:val="00721680"/>
    <w:rsid w:val="00722B44"/>
    <w:rsid w:val="00722E71"/>
    <w:rsid w:val="00724865"/>
    <w:rsid w:val="00724A9E"/>
    <w:rsid w:val="007255BD"/>
    <w:rsid w:val="00725850"/>
    <w:rsid w:val="007259C8"/>
    <w:rsid w:val="0072669E"/>
    <w:rsid w:val="007277DC"/>
    <w:rsid w:val="00730EB3"/>
    <w:rsid w:val="007315D6"/>
    <w:rsid w:val="0073217D"/>
    <w:rsid w:val="0073239B"/>
    <w:rsid w:val="00733995"/>
    <w:rsid w:val="00733B32"/>
    <w:rsid w:val="00733C83"/>
    <w:rsid w:val="00734340"/>
    <w:rsid w:val="007356C6"/>
    <w:rsid w:val="00735D88"/>
    <w:rsid w:val="007365D6"/>
    <w:rsid w:val="007378C6"/>
    <w:rsid w:val="00737FDE"/>
    <w:rsid w:val="00740187"/>
    <w:rsid w:val="00741790"/>
    <w:rsid w:val="0074230A"/>
    <w:rsid w:val="00742AEB"/>
    <w:rsid w:val="0074315C"/>
    <w:rsid w:val="00743392"/>
    <w:rsid w:val="00743422"/>
    <w:rsid w:val="00743856"/>
    <w:rsid w:val="00743E18"/>
    <w:rsid w:val="00744878"/>
    <w:rsid w:val="00744C5B"/>
    <w:rsid w:val="007451A3"/>
    <w:rsid w:val="007451F6"/>
    <w:rsid w:val="007455B3"/>
    <w:rsid w:val="00745ED6"/>
    <w:rsid w:val="00746733"/>
    <w:rsid w:val="00746B33"/>
    <w:rsid w:val="00746B92"/>
    <w:rsid w:val="0074734C"/>
    <w:rsid w:val="00747CB8"/>
    <w:rsid w:val="00751383"/>
    <w:rsid w:val="007524B6"/>
    <w:rsid w:val="00752530"/>
    <w:rsid w:val="0075255E"/>
    <w:rsid w:val="007531CF"/>
    <w:rsid w:val="00755111"/>
    <w:rsid w:val="0075554C"/>
    <w:rsid w:val="00755A88"/>
    <w:rsid w:val="0075641F"/>
    <w:rsid w:val="00756FBB"/>
    <w:rsid w:val="007575BB"/>
    <w:rsid w:val="00757AA4"/>
    <w:rsid w:val="00760740"/>
    <w:rsid w:val="00763AD8"/>
    <w:rsid w:val="007645DC"/>
    <w:rsid w:val="0076664E"/>
    <w:rsid w:val="007668C6"/>
    <w:rsid w:val="00767015"/>
    <w:rsid w:val="00770EB0"/>
    <w:rsid w:val="007713F4"/>
    <w:rsid w:val="00771ED3"/>
    <w:rsid w:val="00772174"/>
    <w:rsid w:val="0077414D"/>
    <w:rsid w:val="007752CF"/>
    <w:rsid w:val="00775D25"/>
    <w:rsid w:val="00775ECF"/>
    <w:rsid w:val="0077765F"/>
    <w:rsid w:val="0077798A"/>
    <w:rsid w:val="00777C65"/>
    <w:rsid w:val="00781BFB"/>
    <w:rsid w:val="00782027"/>
    <w:rsid w:val="0078232D"/>
    <w:rsid w:val="007828B9"/>
    <w:rsid w:val="0078335C"/>
    <w:rsid w:val="007835C1"/>
    <w:rsid w:val="00783733"/>
    <w:rsid w:val="00784B4D"/>
    <w:rsid w:val="007851D7"/>
    <w:rsid w:val="00785867"/>
    <w:rsid w:val="00786154"/>
    <w:rsid w:val="007864EC"/>
    <w:rsid w:val="00787AF0"/>
    <w:rsid w:val="00787DB4"/>
    <w:rsid w:val="007900C5"/>
    <w:rsid w:val="007901C7"/>
    <w:rsid w:val="00790817"/>
    <w:rsid w:val="00791D42"/>
    <w:rsid w:val="00791FC5"/>
    <w:rsid w:val="0079244C"/>
    <w:rsid w:val="00792E3C"/>
    <w:rsid w:val="00793122"/>
    <w:rsid w:val="00793590"/>
    <w:rsid w:val="007937B3"/>
    <w:rsid w:val="00793E06"/>
    <w:rsid w:val="00794F82"/>
    <w:rsid w:val="007953B4"/>
    <w:rsid w:val="0079552B"/>
    <w:rsid w:val="007961C4"/>
    <w:rsid w:val="0079663D"/>
    <w:rsid w:val="00797136"/>
    <w:rsid w:val="0079763E"/>
    <w:rsid w:val="007A0364"/>
    <w:rsid w:val="007A0B5C"/>
    <w:rsid w:val="007A2349"/>
    <w:rsid w:val="007A2504"/>
    <w:rsid w:val="007A339F"/>
    <w:rsid w:val="007A57E8"/>
    <w:rsid w:val="007A58CB"/>
    <w:rsid w:val="007A643E"/>
    <w:rsid w:val="007A6B07"/>
    <w:rsid w:val="007A6CB8"/>
    <w:rsid w:val="007A6EBE"/>
    <w:rsid w:val="007A7F37"/>
    <w:rsid w:val="007B00A7"/>
    <w:rsid w:val="007B14D7"/>
    <w:rsid w:val="007B17CA"/>
    <w:rsid w:val="007B39DC"/>
    <w:rsid w:val="007B3A93"/>
    <w:rsid w:val="007B3CAE"/>
    <w:rsid w:val="007B40CD"/>
    <w:rsid w:val="007B4310"/>
    <w:rsid w:val="007B44FA"/>
    <w:rsid w:val="007B4DF2"/>
    <w:rsid w:val="007B5206"/>
    <w:rsid w:val="007B593F"/>
    <w:rsid w:val="007B5B1E"/>
    <w:rsid w:val="007B6246"/>
    <w:rsid w:val="007B6496"/>
    <w:rsid w:val="007B6789"/>
    <w:rsid w:val="007B7912"/>
    <w:rsid w:val="007B7E5C"/>
    <w:rsid w:val="007C02CF"/>
    <w:rsid w:val="007C2321"/>
    <w:rsid w:val="007C3686"/>
    <w:rsid w:val="007C41FF"/>
    <w:rsid w:val="007C434E"/>
    <w:rsid w:val="007C45CC"/>
    <w:rsid w:val="007C4687"/>
    <w:rsid w:val="007C5454"/>
    <w:rsid w:val="007C720B"/>
    <w:rsid w:val="007C72FC"/>
    <w:rsid w:val="007C7B31"/>
    <w:rsid w:val="007C7C35"/>
    <w:rsid w:val="007D0349"/>
    <w:rsid w:val="007D05ED"/>
    <w:rsid w:val="007D06C0"/>
    <w:rsid w:val="007D0996"/>
    <w:rsid w:val="007D1746"/>
    <w:rsid w:val="007D17A9"/>
    <w:rsid w:val="007D17F2"/>
    <w:rsid w:val="007D3CCA"/>
    <w:rsid w:val="007D4559"/>
    <w:rsid w:val="007D506A"/>
    <w:rsid w:val="007D562A"/>
    <w:rsid w:val="007D594C"/>
    <w:rsid w:val="007D59E6"/>
    <w:rsid w:val="007D6163"/>
    <w:rsid w:val="007D6209"/>
    <w:rsid w:val="007D624E"/>
    <w:rsid w:val="007D6F8A"/>
    <w:rsid w:val="007D71C2"/>
    <w:rsid w:val="007D7362"/>
    <w:rsid w:val="007E1B38"/>
    <w:rsid w:val="007E273B"/>
    <w:rsid w:val="007E2CC9"/>
    <w:rsid w:val="007E354F"/>
    <w:rsid w:val="007E3974"/>
    <w:rsid w:val="007E3E3D"/>
    <w:rsid w:val="007E5BC9"/>
    <w:rsid w:val="007E5EDB"/>
    <w:rsid w:val="007E6A48"/>
    <w:rsid w:val="007E6ABF"/>
    <w:rsid w:val="007E7330"/>
    <w:rsid w:val="007F009E"/>
    <w:rsid w:val="007F0440"/>
    <w:rsid w:val="007F07C4"/>
    <w:rsid w:val="007F0880"/>
    <w:rsid w:val="007F0A44"/>
    <w:rsid w:val="007F0F71"/>
    <w:rsid w:val="007F1B0E"/>
    <w:rsid w:val="007F2DE6"/>
    <w:rsid w:val="007F34F8"/>
    <w:rsid w:val="007F3B48"/>
    <w:rsid w:val="007F4280"/>
    <w:rsid w:val="007F4E26"/>
    <w:rsid w:val="007F54AE"/>
    <w:rsid w:val="007F559F"/>
    <w:rsid w:val="007F5DB0"/>
    <w:rsid w:val="007F6671"/>
    <w:rsid w:val="007F6EDC"/>
    <w:rsid w:val="007F6EE7"/>
    <w:rsid w:val="007F6F8B"/>
    <w:rsid w:val="007F7397"/>
    <w:rsid w:val="007F73D8"/>
    <w:rsid w:val="008009B8"/>
    <w:rsid w:val="00800E10"/>
    <w:rsid w:val="00801099"/>
    <w:rsid w:val="00801522"/>
    <w:rsid w:val="008020F4"/>
    <w:rsid w:val="008024DC"/>
    <w:rsid w:val="00803658"/>
    <w:rsid w:val="00804000"/>
    <w:rsid w:val="00804ACA"/>
    <w:rsid w:val="00804E44"/>
    <w:rsid w:val="008057D6"/>
    <w:rsid w:val="00805AD2"/>
    <w:rsid w:val="00805C1D"/>
    <w:rsid w:val="00806043"/>
    <w:rsid w:val="008118F7"/>
    <w:rsid w:val="00811FB0"/>
    <w:rsid w:val="00812A59"/>
    <w:rsid w:val="00813AF0"/>
    <w:rsid w:val="00814644"/>
    <w:rsid w:val="00814C50"/>
    <w:rsid w:val="008150C7"/>
    <w:rsid w:val="00815F97"/>
    <w:rsid w:val="0081614A"/>
    <w:rsid w:val="00816284"/>
    <w:rsid w:val="00816D1B"/>
    <w:rsid w:val="00817B48"/>
    <w:rsid w:val="00817D9B"/>
    <w:rsid w:val="008203B3"/>
    <w:rsid w:val="008206B1"/>
    <w:rsid w:val="00820ECC"/>
    <w:rsid w:val="0082119F"/>
    <w:rsid w:val="0082133A"/>
    <w:rsid w:val="00821632"/>
    <w:rsid w:val="00821AD9"/>
    <w:rsid w:val="00821FC2"/>
    <w:rsid w:val="00822875"/>
    <w:rsid w:val="00823157"/>
    <w:rsid w:val="00824908"/>
    <w:rsid w:val="00824DBD"/>
    <w:rsid w:val="00824E30"/>
    <w:rsid w:val="0082577B"/>
    <w:rsid w:val="00825837"/>
    <w:rsid w:val="00826470"/>
    <w:rsid w:val="00826819"/>
    <w:rsid w:val="0082723D"/>
    <w:rsid w:val="00830804"/>
    <w:rsid w:val="0083092F"/>
    <w:rsid w:val="00832091"/>
    <w:rsid w:val="00832272"/>
    <w:rsid w:val="008324CD"/>
    <w:rsid w:val="00832FC4"/>
    <w:rsid w:val="00833544"/>
    <w:rsid w:val="008347BD"/>
    <w:rsid w:val="00834AEA"/>
    <w:rsid w:val="00836123"/>
    <w:rsid w:val="0083629C"/>
    <w:rsid w:val="008365B7"/>
    <w:rsid w:val="00836E31"/>
    <w:rsid w:val="00840760"/>
    <w:rsid w:val="00841D46"/>
    <w:rsid w:val="00843BB6"/>
    <w:rsid w:val="00844B18"/>
    <w:rsid w:val="0084519F"/>
    <w:rsid w:val="008455DB"/>
    <w:rsid w:val="0084575D"/>
    <w:rsid w:val="00846360"/>
    <w:rsid w:val="0084688C"/>
    <w:rsid w:val="00846B16"/>
    <w:rsid w:val="00847500"/>
    <w:rsid w:val="00847797"/>
    <w:rsid w:val="00850533"/>
    <w:rsid w:val="008505A4"/>
    <w:rsid w:val="008513EA"/>
    <w:rsid w:val="0085193C"/>
    <w:rsid w:val="00851A96"/>
    <w:rsid w:val="008528B1"/>
    <w:rsid w:val="00853497"/>
    <w:rsid w:val="00853604"/>
    <w:rsid w:val="008541BC"/>
    <w:rsid w:val="00854671"/>
    <w:rsid w:val="0085603B"/>
    <w:rsid w:val="00857076"/>
    <w:rsid w:val="008576CC"/>
    <w:rsid w:val="00857770"/>
    <w:rsid w:val="00857B7E"/>
    <w:rsid w:val="00857DA3"/>
    <w:rsid w:val="00860BA5"/>
    <w:rsid w:val="00861022"/>
    <w:rsid w:val="00862067"/>
    <w:rsid w:val="0086272F"/>
    <w:rsid w:val="00862AB5"/>
    <w:rsid w:val="00863291"/>
    <w:rsid w:val="0086400B"/>
    <w:rsid w:val="00864958"/>
    <w:rsid w:val="00865CE3"/>
    <w:rsid w:val="00865DEB"/>
    <w:rsid w:val="008669E4"/>
    <w:rsid w:val="00866C28"/>
    <w:rsid w:val="00867FAD"/>
    <w:rsid w:val="008728E5"/>
    <w:rsid w:val="00872F2E"/>
    <w:rsid w:val="008735C1"/>
    <w:rsid w:val="008738DA"/>
    <w:rsid w:val="0087430D"/>
    <w:rsid w:val="00874F50"/>
    <w:rsid w:val="00875D8E"/>
    <w:rsid w:val="00875FDE"/>
    <w:rsid w:val="00876237"/>
    <w:rsid w:val="00876B09"/>
    <w:rsid w:val="00876E0B"/>
    <w:rsid w:val="00877D08"/>
    <w:rsid w:val="008808F3"/>
    <w:rsid w:val="00882075"/>
    <w:rsid w:val="00882BD6"/>
    <w:rsid w:val="008840D1"/>
    <w:rsid w:val="008847F6"/>
    <w:rsid w:val="00886CBE"/>
    <w:rsid w:val="00887190"/>
    <w:rsid w:val="008872E5"/>
    <w:rsid w:val="00890806"/>
    <w:rsid w:val="008909E2"/>
    <w:rsid w:val="00890C3F"/>
    <w:rsid w:val="0089113C"/>
    <w:rsid w:val="00891DFE"/>
    <w:rsid w:val="00891FB9"/>
    <w:rsid w:val="00892AEF"/>
    <w:rsid w:val="00892F99"/>
    <w:rsid w:val="0089320E"/>
    <w:rsid w:val="00893EBB"/>
    <w:rsid w:val="008945FD"/>
    <w:rsid w:val="00894BDC"/>
    <w:rsid w:val="00895140"/>
    <w:rsid w:val="00895D69"/>
    <w:rsid w:val="00895D7F"/>
    <w:rsid w:val="00896CA7"/>
    <w:rsid w:val="00896D31"/>
    <w:rsid w:val="0089726E"/>
    <w:rsid w:val="008973EC"/>
    <w:rsid w:val="00897789"/>
    <w:rsid w:val="008979B7"/>
    <w:rsid w:val="008A05EE"/>
    <w:rsid w:val="008A0BEE"/>
    <w:rsid w:val="008A1832"/>
    <w:rsid w:val="008A2811"/>
    <w:rsid w:val="008A4268"/>
    <w:rsid w:val="008A4A41"/>
    <w:rsid w:val="008A4C32"/>
    <w:rsid w:val="008A4D91"/>
    <w:rsid w:val="008A55B4"/>
    <w:rsid w:val="008A5D6F"/>
    <w:rsid w:val="008A614C"/>
    <w:rsid w:val="008A62B2"/>
    <w:rsid w:val="008A67BB"/>
    <w:rsid w:val="008A69D4"/>
    <w:rsid w:val="008A7084"/>
    <w:rsid w:val="008A7305"/>
    <w:rsid w:val="008A73B5"/>
    <w:rsid w:val="008A778E"/>
    <w:rsid w:val="008A7EC2"/>
    <w:rsid w:val="008B0218"/>
    <w:rsid w:val="008B0CE2"/>
    <w:rsid w:val="008B1616"/>
    <w:rsid w:val="008B1648"/>
    <w:rsid w:val="008B17CB"/>
    <w:rsid w:val="008B1EA7"/>
    <w:rsid w:val="008B1F9E"/>
    <w:rsid w:val="008B2B2C"/>
    <w:rsid w:val="008B493D"/>
    <w:rsid w:val="008B5263"/>
    <w:rsid w:val="008B53FF"/>
    <w:rsid w:val="008B5936"/>
    <w:rsid w:val="008B5D14"/>
    <w:rsid w:val="008B6356"/>
    <w:rsid w:val="008B63E2"/>
    <w:rsid w:val="008B672D"/>
    <w:rsid w:val="008B6C75"/>
    <w:rsid w:val="008B76AF"/>
    <w:rsid w:val="008C00C8"/>
    <w:rsid w:val="008C0832"/>
    <w:rsid w:val="008C13FF"/>
    <w:rsid w:val="008C1B7D"/>
    <w:rsid w:val="008C3771"/>
    <w:rsid w:val="008C3A89"/>
    <w:rsid w:val="008C3C2F"/>
    <w:rsid w:val="008C46EA"/>
    <w:rsid w:val="008C4958"/>
    <w:rsid w:val="008C583F"/>
    <w:rsid w:val="008C610D"/>
    <w:rsid w:val="008C6440"/>
    <w:rsid w:val="008C65DC"/>
    <w:rsid w:val="008C69CF"/>
    <w:rsid w:val="008C69D3"/>
    <w:rsid w:val="008C7078"/>
    <w:rsid w:val="008C7ECD"/>
    <w:rsid w:val="008D106A"/>
    <w:rsid w:val="008D26FE"/>
    <w:rsid w:val="008D36FF"/>
    <w:rsid w:val="008D3A36"/>
    <w:rsid w:val="008D52F5"/>
    <w:rsid w:val="008D66FC"/>
    <w:rsid w:val="008D6D01"/>
    <w:rsid w:val="008D7672"/>
    <w:rsid w:val="008D7A7B"/>
    <w:rsid w:val="008E082E"/>
    <w:rsid w:val="008E0E9A"/>
    <w:rsid w:val="008E0F9F"/>
    <w:rsid w:val="008E162A"/>
    <w:rsid w:val="008E2EFD"/>
    <w:rsid w:val="008E37F7"/>
    <w:rsid w:val="008E3885"/>
    <w:rsid w:val="008E3A20"/>
    <w:rsid w:val="008E3FAD"/>
    <w:rsid w:val="008E4272"/>
    <w:rsid w:val="008E488A"/>
    <w:rsid w:val="008E4F43"/>
    <w:rsid w:val="008E4F8D"/>
    <w:rsid w:val="008E5016"/>
    <w:rsid w:val="008E568C"/>
    <w:rsid w:val="008E6480"/>
    <w:rsid w:val="008E655E"/>
    <w:rsid w:val="008E7E2D"/>
    <w:rsid w:val="008F0219"/>
    <w:rsid w:val="008F10AD"/>
    <w:rsid w:val="008F1890"/>
    <w:rsid w:val="008F1BD6"/>
    <w:rsid w:val="008F1CD5"/>
    <w:rsid w:val="008F3090"/>
    <w:rsid w:val="008F3DF7"/>
    <w:rsid w:val="008F4291"/>
    <w:rsid w:val="008F5058"/>
    <w:rsid w:val="008F6332"/>
    <w:rsid w:val="008F7691"/>
    <w:rsid w:val="008F7918"/>
    <w:rsid w:val="0090055E"/>
    <w:rsid w:val="00900F2B"/>
    <w:rsid w:val="00901633"/>
    <w:rsid w:val="00901E41"/>
    <w:rsid w:val="00902ABF"/>
    <w:rsid w:val="00903F6A"/>
    <w:rsid w:val="00904438"/>
    <w:rsid w:val="00904A2D"/>
    <w:rsid w:val="0090569C"/>
    <w:rsid w:val="009058EA"/>
    <w:rsid w:val="00905F27"/>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4E13"/>
    <w:rsid w:val="009151E1"/>
    <w:rsid w:val="00916684"/>
    <w:rsid w:val="00917226"/>
    <w:rsid w:val="009173F3"/>
    <w:rsid w:val="00920DF8"/>
    <w:rsid w:val="00921136"/>
    <w:rsid w:val="009213CF"/>
    <w:rsid w:val="00921750"/>
    <w:rsid w:val="0092196E"/>
    <w:rsid w:val="00922540"/>
    <w:rsid w:val="00922661"/>
    <w:rsid w:val="009231F9"/>
    <w:rsid w:val="0092416D"/>
    <w:rsid w:val="009241B1"/>
    <w:rsid w:val="0092790F"/>
    <w:rsid w:val="00930531"/>
    <w:rsid w:val="009311EF"/>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228"/>
    <w:rsid w:val="009513FB"/>
    <w:rsid w:val="009517FB"/>
    <w:rsid w:val="00951CE9"/>
    <w:rsid w:val="00951DE6"/>
    <w:rsid w:val="009528EC"/>
    <w:rsid w:val="009532BE"/>
    <w:rsid w:val="009532DF"/>
    <w:rsid w:val="009537FA"/>
    <w:rsid w:val="00953B6C"/>
    <w:rsid w:val="00960ADE"/>
    <w:rsid w:val="00961034"/>
    <w:rsid w:val="009617D1"/>
    <w:rsid w:val="00961874"/>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67DA1"/>
    <w:rsid w:val="00967E89"/>
    <w:rsid w:val="00970476"/>
    <w:rsid w:val="00970E74"/>
    <w:rsid w:val="00971FCF"/>
    <w:rsid w:val="00972F05"/>
    <w:rsid w:val="00973B27"/>
    <w:rsid w:val="00974AF0"/>
    <w:rsid w:val="009754EF"/>
    <w:rsid w:val="00975E25"/>
    <w:rsid w:val="009767A2"/>
    <w:rsid w:val="009769C4"/>
    <w:rsid w:val="00976DC6"/>
    <w:rsid w:val="009776A7"/>
    <w:rsid w:val="00977977"/>
    <w:rsid w:val="009779BE"/>
    <w:rsid w:val="00980C39"/>
    <w:rsid w:val="00980D49"/>
    <w:rsid w:val="00983305"/>
    <w:rsid w:val="0098434C"/>
    <w:rsid w:val="009844CF"/>
    <w:rsid w:val="00984F29"/>
    <w:rsid w:val="009853AF"/>
    <w:rsid w:val="009856C6"/>
    <w:rsid w:val="009858C2"/>
    <w:rsid w:val="00986D89"/>
    <w:rsid w:val="00990C77"/>
    <w:rsid w:val="00991983"/>
    <w:rsid w:val="00991DBD"/>
    <w:rsid w:val="00991EAF"/>
    <w:rsid w:val="0099404C"/>
    <w:rsid w:val="00994421"/>
    <w:rsid w:val="00994BC2"/>
    <w:rsid w:val="00994E15"/>
    <w:rsid w:val="009969D6"/>
    <w:rsid w:val="00997512"/>
    <w:rsid w:val="009A02AB"/>
    <w:rsid w:val="009A1113"/>
    <w:rsid w:val="009A1594"/>
    <w:rsid w:val="009A1644"/>
    <w:rsid w:val="009A175A"/>
    <w:rsid w:val="009A2A88"/>
    <w:rsid w:val="009A34D7"/>
    <w:rsid w:val="009A3910"/>
    <w:rsid w:val="009A3AE7"/>
    <w:rsid w:val="009A3D28"/>
    <w:rsid w:val="009A57FE"/>
    <w:rsid w:val="009A5C48"/>
    <w:rsid w:val="009A6CB9"/>
    <w:rsid w:val="009A75F5"/>
    <w:rsid w:val="009A78B4"/>
    <w:rsid w:val="009B0289"/>
    <w:rsid w:val="009B0B48"/>
    <w:rsid w:val="009B2231"/>
    <w:rsid w:val="009B24B2"/>
    <w:rsid w:val="009B329C"/>
    <w:rsid w:val="009B331C"/>
    <w:rsid w:val="009B3695"/>
    <w:rsid w:val="009B38E9"/>
    <w:rsid w:val="009B3C26"/>
    <w:rsid w:val="009B3D0F"/>
    <w:rsid w:val="009B3E1F"/>
    <w:rsid w:val="009B58F6"/>
    <w:rsid w:val="009B5D9C"/>
    <w:rsid w:val="009B7C6E"/>
    <w:rsid w:val="009C07C0"/>
    <w:rsid w:val="009C1A9F"/>
    <w:rsid w:val="009C1B27"/>
    <w:rsid w:val="009C1DA8"/>
    <w:rsid w:val="009C1EB9"/>
    <w:rsid w:val="009C2260"/>
    <w:rsid w:val="009C361D"/>
    <w:rsid w:val="009C36F2"/>
    <w:rsid w:val="009C437B"/>
    <w:rsid w:val="009C4EE4"/>
    <w:rsid w:val="009C5805"/>
    <w:rsid w:val="009C6794"/>
    <w:rsid w:val="009C753F"/>
    <w:rsid w:val="009D03D9"/>
    <w:rsid w:val="009D063A"/>
    <w:rsid w:val="009D23E6"/>
    <w:rsid w:val="009D27A9"/>
    <w:rsid w:val="009D2BAA"/>
    <w:rsid w:val="009D3E64"/>
    <w:rsid w:val="009D54E2"/>
    <w:rsid w:val="009D5976"/>
    <w:rsid w:val="009D62CE"/>
    <w:rsid w:val="009D64A6"/>
    <w:rsid w:val="009D685E"/>
    <w:rsid w:val="009D689A"/>
    <w:rsid w:val="009D6DCA"/>
    <w:rsid w:val="009D771F"/>
    <w:rsid w:val="009D7A00"/>
    <w:rsid w:val="009D7DFA"/>
    <w:rsid w:val="009E0663"/>
    <w:rsid w:val="009E13AA"/>
    <w:rsid w:val="009E1F60"/>
    <w:rsid w:val="009E2883"/>
    <w:rsid w:val="009E2FAC"/>
    <w:rsid w:val="009E3776"/>
    <w:rsid w:val="009E3F89"/>
    <w:rsid w:val="009E41FA"/>
    <w:rsid w:val="009E4F16"/>
    <w:rsid w:val="009E5B81"/>
    <w:rsid w:val="009E5D43"/>
    <w:rsid w:val="009E6418"/>
    <w:rsid w:val="009E651A"/>
    <w:rsid w:val="009E706E"/>
    <w:rsid w:val="009E72D4"/>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CD9"/>
    <w:rsid w:val="00A00E1F"/>
    <w:rsid w:val="00A00F5E"/>
    <w:rsid w:val="00A0138D"/>
    <w:rsid w:val="00A015D7"/>
    <w:rsid w:val="00A0194F"/>
    <w:rsid w:val="00A019AC"/>
    <w:rsid w:val="00A0203C"/>
    <w:rsid w:val="00A0230E"/>
    <w:rsid w:val="00A0288C"/>
    <w:rsid w:val="00A03A3F"/>
    <w:rsid w:val="00A03E2F"/>
    <w:rsid w:val="00A05FEA"/>
    <w:rsid w:val="00A06782"/>
    <w:rsid w:val="00A0728C"/>
    <w:rsid w:val="00A0755A"/>
    <w:rsid w:val="00A07C35"/>
    <w:rsid w:val="00A07FBB"/>
    <w:rsid w:val="00A10FF1"/>
    <w:rsid w:val="00A11497"/>
    <w:rsid w:val="00A13DA6"/>
    <w:rsid w:val="00A154B5"/>
    <w:rsid w:val="00A15A0D"/>
    <w:rsid w:val="00A17F18"/>
    <w:rsid w:val="00A21F97"/>
    <w:rsid w:val="00A228BF"/>
    <w:rsid w:val="00A25001"/>
    <w:rsid w:val="00A25DA9"/>
    <w:rsid w:val="00A26150"/>
    <w:rsid w:val="00A262EB"/>
    <w:rsid w:val="00A275D8"/>
    <w:rsid w:val="00A27B22"/>
    <w:rsid w:val="00A3108A"/>
    <w:rsid w:val="00A31539"/>
    <w:rsid w:val="00A32AC0"/>
    <w:rsid w:val="00A337F3"/>
    <w:rsid w:val="00A339FF"/>
    <w:rsid w:val="00A33C92"/>
    <w:rsid w:val="00A33DB9"/>
    <w:rsid w:val="00A346B3"/>
    <w:rsid w:val="00A34A21"/>
    <w:rsid w:val="00A35097"/>
    <w:rsid w:val="00A3519E"/>
    <w:rsid w:val="00A35602"/>
    <w:rsid w:val="00A3618A"/>
    <w:rsid w:val="00A364EF"/>
    <w:rsid w:val="00A36981"/>
    <w:rsid w:val="00A405DF"/>
    <w:rsid w:val="00A408C1"/>
    <w:rsid w:val="00A4138D"/>
    <w:rsid w:val="00A4158C"/>
    <w:rsid w:val="00A41694"/>
    <w:rsid w:val="00A41A11"/>
    <w:rsid w:val="00A42873"/>
    <w:rsid w:val="00A42C51"/>
    <w:rsid w:val="00A438D8"/>
    <w:rsid w:val="00A443B8"/>
    <w:rsid w:val="00A444D6"/>
    <w:rsid w:val="00A448BF"/>
    <w:rsid w:val="00A448CE"/>
    <w:rsid w:val="00A44D51"/>
    <w:rsid w:val="00A452DD"/>
    <w:rsid w:val="00A45934"/>
    <w:rsid w:val="00A467CA"/>
    <w:rsid w:val="00A46E4E"/>
    <w:rsid w:val="00A47764"/>
    <w:rsid w:val="00A47F79"/>
    <w:rsid w:val="00A50441"/>
    <w:rsid w:val="00A5120E"/>
    <w:rsid w:val="00A5237D"/>
    <w:rsid w:val="00A53D70"/>
    <w:rsid w:val="00A54298"/>
    <w:rsid w:val="00A54A98"/>
    <w:rsid w:val="00A55200"/>
    <w:rsid w:val="00A56294"/>
    <w:rsid w:val="00A56C21"/>
    <w:rsid w:val="00A57014"/>
    <w:rsid w:val="00A57669"/>
    <w:rsid w:val="00A5784E"/>
    <w:rsid w:val="00A62AA2"/>
    <w:rsid w:val="00A634DF"/>
    <w:rsid w:val="00A64269"/>
    <w:rsid w:val="00A64296"/>
    <w:rsid w:val="00A642BB"/>
    <w:rsid w:val="00A64446"/>
    <w:rsid w:val="00A64AB4"/>
    <w:rsid w:val="00A668CD"/>
    <w:rsid w:val="00A679A2"/>
    <w:rsid w:val="00A7003E"/>
    <w:rsid w:val="00A712AB"/>
    <w:rsid w:val="00A7141D"/>
    <w:rsid w:val="00A71651"/>
    <w:rsid w:val="00A717A2"/>
    <w:rsid w:val="00A73FC2"/>
    <w:rsid w:val="00A7533B"/>
    <w:rsid w:val="00A75B43"/>
    <w:rsid w:val="00A765C2"/>
    <w:rsid w:val="00A76AB6"/>
    <w:rsid w:val="00A773B5"/>
    <w:rsid w:val="00A773C5"/>
    <w:rsid w:val="00A77C0D"/>
    <w:rsid w:val="00A77D58"/>
    <w:rsid w:val="00A77DDA"/>
    <w:rsid w:val="00A8028F"/>
    <w:rsid w:val="00A82345"/>
    <w:rsid w:val="00A82B9E"/>
    <w:rsid w:val="00A8397A"/>
    <w:rsid w:val="00A83EAF"/>
    <w:rsid w:val="00A840A9"/>
    <w:rsid w:val="00A847CA"/>
    <w:rsid w:val="00A84CA6"/>
    <w:rsid w:val="00A85655"/>
    <w:rsid w:val="00A857A5"/>
    <w:rsid w:val="00A85D3D"/>
    <w:rsid w:val="00A85EB7"/>
    <w:rsid w:val="00A86ACD"/>
    <w:rsid w:val="00A86DE5"/>
    <w:rsid w:val="00A900EA"/>
    <w:rsid w:val="00A90E47"/>
    <w:rsid w:val="00A911B9"/>
    <w:rsid w:val="00A91B82"/>
    <w:rsid w:val="00A924FC"/>
    <w:rsid w:val="00A9280D"/>
    <w:rsid w:val="00A93DBC"/>
    <w:rsid w:val="00A94220"/>
    <w:rsid w:val="00A959F4"/>
    <w:rsid w:val="00A969ED"/>
    <w:rsid w:val="00A96EC3"/>
    <w:rsid w:val="00AA0BD4"/>
    <w:rsid w:val="00AA0DF8"/>
    <w:rsid w:val="00AA12E7"/>
    <w:rsid w:val="00AA16B1"/>
    <w:rsid w:val="00AA2138"/>
    <w:rsid w:val="00AA2B84"/>
    <w:rsid w:val="00AA3CC2"/>
    <w:rsid w:val="00AA4B39"/>
    <w:rsid w:val="00AA4FCC"/>
    <w:rsid w:val="00AA5B93"/>
    <w:rsid w:val="00AA764E"/>
    <w:rsid w:val="00AB012B"/>
    <w:rsid w:val="00AB0328"/>
    <w:rsid w:val="00AB06A1"/>
    <w:rsid w:val="00AB11EA"/>
    <w:rsid w:val="00AB14E2"/>
    <w:rsid w:val="00AB150F"/>
    <w:rsid w:val="00AB1A9C"/>
    <w:rsid w:val="00AB264A"/>
    <w:rsid w:val="00AB29B8"/>
    <w:rsid w:val="00AB3400"/>
    <w:rsid w:val="00AB3413"/>
    <w:rsid w:val="00AB3A87"/>
    <w:rsid w:val="00AB4337"/>
    <w:rsid w:val="00AB5486"/>
    <w:rsid w:val="00AB5728"/>
    <w:rsid w:val="00AB5BDE"/>
    <w:rsid w:val="00AB5FD5"/>
    <w:rsid w:val="00AB6011"/>
    <w:rsid w:val="00AB6661"/>
    <w:rsid w:val="00AB70AC"/>
    <w:rsid w:val="00AB7417"/>
    <w:rsid w:val="00AB78AE"/>
    <w:rsid w:val="00AB7AC8"/>
    <w:rsid w:val="00AB7D38"/>
    <w:rsid w:val="00AC15C7"/>
    <w:rsid w:val="00AC1A0D"/>
    <w:rsid w:val="00AC1D4D"/>
    <w:rsid w:val="00AC29BB"/>
    <w:rsid w:val="00AC318D"/>
    <w:rsid w:val="00AC3B22"/>
    <w:rsid w:val="00AC3C87"/>
    <w:rsid w:val="00AC48AF"/>
    <w:rsid w:val="00AC4F21"/>
    <w:rsid w:val="00AC5052"/>
    <w:rsid w:val="00AC576C"/>
    <w:rsid w:val="00AC5CDE"/>
    <w:rsid w:val="00AC63BF"/>
    <w:rsid w:val="00AC6D92"/>
    <w:rsid w:val="00AC6E83"/>
    <w:rsid w:val="00AC7458"/>
    <w:rsid w:val="00AC7B88"/>
    <w:rsid w:val="00AD0C18"/>
    <w:rsid w:val="00AD0F54"/>
    <w:rsid w:val="00AD225A"/>
    <w:rsid w:val="00AD2560"/>
    <w:rsid w:val="00AD25E2"/>
    <w:rsid w:val="00AD27D0"/>
    <w:rsid w:val="00AD2850"/>
    <w:rsid w:val="00AD285F"/>
    <w:rsid w:val="00AD33F4"/>
    <w:rsid w:val="00AD3AFE"/>
    <w:rsid w:val="00AD4B00"/>
    <w:rsid w:val="00AD5354"/>
    <w:rsid w:val="00AD6871"/>
    <w:rsid w:val="00AD7D6E"/>
    <w:rsid w:val="00AE0FD5"/>
    <w:rsid w:val="00AE1AA4"/>
    <w:rsid w:val="00AE2BEC"/>
    <w:rsid w:val="00AE4395"/>
    <w:rsid w:val="00AE4861"/>
    <w:rsid w:val="00AE4B56"/>
    <w:rsid w:val="00AE5576"/>
    <w:rsid w:val="00AE5845"/>
    <w:rsid w:val="00AF0931"/>
    <w:rsid w:val="00AF0E02"/>
    <w:rsid w:val="00AF0ECE"/>
    <w:rsid w:val="00AF0F43"/>
    <w:rsid w:val="00AF18FE"/>
    <w:rsid w:val="00AF1CA8"/>
    <w:rsid w:val="00AF201F"/>
    <w:rsid w:val="00AF2872"/>
    <w:rsid w:val="00AF3494"/>
    <w:rsid w:val="00AF3FFA"/>
    <w:rsid w:val="00AF4C61"/>
    <w:rsid w:val="00AF5733"/>
    <w:rsid w:val="00AF5CAA"/>
    <w:rsid w:val="00AF60CB"/>
    <w:rsid w:val="00AF64EA"/>
    <w:rsid w:val="00AF6B2C"/>
    <w:rsid w:val="00AF6CDE"/>
    <w:rsid w:val="00AF7705"/>
    <w:rsid w:val="00B00DE8"/>
    <w:rsid w:val="00B01558"/>
    <w:rsid w:val="00B0225E"/>
    <w:rsid w:val="00B02566"/>
    <w:rsid w:val="00B02D18"/>
    <w:rsid w:val="00B03DF8"/>
    <w:rsid w:val="00B04127"/>
    <w:rsid w:val="00B04C5A"/>
    <w:rsid w:val="00B05366"/>
    <w:rsid w:val="00B05BA8"/>
    <w:rsid w:val="00B05DB8"/>
    <w:rsid w:val="00B0683C"/>
    <w:rsid w:val="00B07F2A"/>
    <w:rsid w:val="00B107F9"/>
    <w:rsid w:val="00B11327"/>
    <w:rsid w:val="00B11556"/>
    <w:rsid w:val="00B11996"/>
    <w:rsid w:val="00B123F1"/>
    <w:rsid w:val="00B125C5"/>
    <w:rsid w:val="00B12969"/>
    <w:rsid w:val="00B12FA5"/>
    <w:rsid w:val="00B13E33"/>
    <w:rsid w:val="00B145B2"/>
    <w:rsid w:val="00B15F90"/>
    <w:rsid w:val="00B17AC6"/>
    <w:rsid w:val="00B201BE"/>
    <w:rsid w:val="00B2044A"/>
    <w:rsid w:val="00B20A6A"/>
    <w:rsid w:val="00B20D2A"/>
    <w:rsid w:val="00B2135C"/>
    <w:rsid w:val="00B21CBF"/>
    <w:rsid w:val="00B22DFD"/>
    <w:rsid w:val="00B233E7"/>
    <w:rsid w:val="00B25CFB"/>
    <w:rsid w:val="00B27736"/>
    <w:rsid w:val="00B27902"/>
    <w:rsid w:val="00B27BFB"/>
    <w:rsid w:val="00B3004F"/>
    <w:rsid w:val="00B307FA"/>
    <w:rsid w:val="00B30DC5"/>
    <w:rsid w:val="00B32218"/>
    <w:rsid w:val="00B32C39"/>
    <w:rsid w:val="00B33001"/>
    <w:rsid w:val="00B33E97"/>
    <w:rsid w:val="00B340A2"/>
    <w:rsid w:val="00B34F77"/>
    <w:rsid w:val="00B3504A"/>
    <w:rsid w:val="00B3547F"/>
    <w:rsid w:val="00B35AD4"/>
    <w:rsid w:val="00B35E52"/>
    <w:rsid w:val="00B365A6"/>
    <w:rsid w:val="00B36AB2"/>
    <w:rsid w:val="00B36E43"/>
    <w:rsid w:val="00B37E84"/>
    <w:rsid w:val="00B37EBF"/>
    <w:rsid w:val="00B40717"/>
    <w:rsid w:val="00B40CB4"/>
    <w:rsid w:val="00B41F96"/>
    <w:rsid w:val="00B424DF"/>
    <w:rsid w:val="00B42D0F"/>
    <w:rsid w:val="00B42E7F"/>
    <w:rsid w:val="00B431E7"/>
    <w:rsid w:val="00B438D4"/>
    <w:rsid w:val="00B4395C"/>
    <w:rsid w:val="00B445E0"/>
    <w:rsid w:val="00B44E6F"/>
    <w:rsid w:val="00B451BE"/>
    <w:rsid w:val="00B466C2"/>
    <w:rsid w:val="00B46723"/>
    <w:rsid w:val="00B46DB6"/>
    <w:rsid w:val="00B46F53"/>
    <w:rsid w:val="00B504C9"/>
    <w:rsid w:val="00B52E99"/>
    <w:rsid w:val="00B539DC"/>
    <w:rsid w:val="00B53C1D"/>
    <w:rsid w:val="00B548F5"/>
    <w:rsid w:val="00B54DFA"/>
    <w:rsid w:val="00B54F13"/>
    <w:rsid w:val="00B558EF"/>
    <w:rsid w:val="00B5738E"/>
    <w:rsid w:val="00B57629"/>
    <w:rsid w:val="00B577DF"/>
    <w:rsid w:val="00B57A26"/>
    <w:rsid w:val="00B6040E"/>
    <w:rsid w:val="00B60CFC"/>
    <w:rsid w:val="00B60D71"/>
    <w:rsid w:val="00B61585"/>
    <w:rsid w:val="00B632A4"/>
    <w:rsid w:val="00B63E12"/>
    <w:rsid w:val="00B641DE"/>
    <w:rsid w:val="00B64445"/>
    <w:rsid w:val="00B64B8E"/>
    <w:rsid w:val="00B705C8"/>
    <w:rsid w:val="00B70DBF"/>
    <w:rsid w:val="00B71560"/>
    <w:rsid w:val="00B71B78"/>
    <w:rsid w:val="00B73514"/>
    <w:rsid w:val="00B7351F"/>
    <w:rsid w:val="00B73907"/>
    <w:rsid w:val="00B73A1F"/>
    <w:rsid w:val="00B73FC5"/>
    <w:rsid w:val="00B74597"/>
    <w:rsid w:val="00B74723"/>
    <w:rsid w:val="00B75F25"/>
    <w:rsid w:val="00B7660B"/>
    <w:rsid w:val="00B777E6"/>
    <w:rsid w:val="00B77F33"/>
    <w:rsid w:val="00B81BB0"/>
    <w:rsid w:val="00B81BFF"/>
    <w:rsid w:val="00B84207"/>
    <w:rsid w:val="00B84245"/>
    <w:rsid w:val="00B8468A"/>
    <w:rsid w:val="00B84A7F"/>
    <w:rsid w:val="00B84FC1"/>
    <w:rsid w:val="00B859B9"/>
    <w:rsid w:val="00B86431"/>
    <w:rsid w:val="00B9107E"/>
    <w:rsid w:val="00B911B2"/>
    <w:rsid w:val="00B92B33"/>
    <w:rsid w:val="00B92E86"/>
    <w:rsid w:val="00B9310E"/>
    <w:rsid w:val="00B9362A"/>
    <w:rsid w:val="00B9464D"/>
    <w:rsid w:val="00B94830"/>
    <w:rsid w:val="00B9510C"/>
    <w:rsid w:val="00B9563B"/>
    <w:rsid w:val="00B9589B"/>
    <w:rsid w:val="00B95DF0"/>
    <w:rsid w:val="00B96F8E"/>
    <w:rsid w:val="00B96FA7"/>
    <w:rsid w:val="00B97241"/>
    <w:rsid w:val="00B97E9B"/>
    <w:rsid w:val="00BA0DF7"/>
    <w:rsid w:val="00BA11CD"/>
    <w:rsid w:val="00BA15DE"/>
    <w:rsid w:val="00BA212B"/>
    <w:rsid w:val="00BA2378"/>
    <w:rsid w:val="00BA2CC1"/>
    <w:rsid w:val="00BA3ABC"/>
    <w:rsid w:val="00BA4237"/>
    <w:rsid w:val="00BA5142"/>
    <w:rsid w:val="00BA5688"/>
    <w:rsid w:val="00BA5E0A"/>
    <w:rsid w:val="00BA621E"/>
    <w:rsid w:val="00BA6C05"/>
    <w:rsid w:val="00BA7A30"/>
    <w:rsid w:val="00BA7AE2"/>
    <w:rsid w:val="00BB042D"/>
    <w:rsid w:val="00BB0E78"/>
    <w:rsid w:val="00BB1698"/>
    <w:rsid w:val="00BB1872"/>
    <w:rsid w:val="00BB1C7C"/>
    <w:rsid w:val="00BB2146"/>
    <w:rsid w:val="00BB2659"/>
    <w:rsid w:val="00BB2773"/>
    <w:rsid w:val="00BB3715"/>
    <w:rsid w:val="00BB3998"/>
    <w:rsid w:val="00BB3A24"/>
    <w:rsid w:val="00BB3FDB"/>
    <w:rsid w:val="00BB4D7B"/>
    <w:rsid w:val="00BB63DA"/>
    <w:rsid w:val="00BB66BB"/>
    <w:rsid w:val="00BB66C2"/>
    <w:rsid w:val="00BB6C4D"/>
    <w:rsid w:val="00BB6E34"/>
    <w:rsid w:val="00BB7008"/>
    <w:rsid w:val="00BB7AA7"/>
    <w:rsid w:val="00BB7DDA"/>
    <w:rsid w:val="00BC07E7"/>
    <w:rsid w:val="00BC194A"/>
    <w:rsid w:val="00BC25CC"/>
    <w:rsid w:val="00BC277B"/>
    <w:rsid w:val="00BC3306"/>
    <w:rsid w:val="00BC3955"/>
    <w:rsid w:val="00BC44DA"/>
    <w:rsid w:val="00BC456D"/>
    <w:rsid w:val="00BC45F2"/>
    <w:rsid w:val="00BC53BB"/>
    <w:rsid w:val="00BC5AE7"/>
    <w:rsid w:val="00BC5B4F"/>
    <w:rsid w:val="00BC6080"/>
    <w:rsid w:val="00BC7E53"/>
    <w:rsid w:val="00BD0053"/>
    <w:rsid w:val="00BD0103"/>
    <w:rsid w:val="00BD06C8"/>
    <w:rsid w:val="00BD0CDD"/>
    <w:rsid w:val="00BD2C0C"/>
    <w:rsid w:val="00BD2C88"/>
    <w:rsid w:val="00BD4805"/>
    <w:rsid w:val="00BD4C38"/>
    <w:rsid w:val="00BD5D92"/>
    <w:rsid w:val="00BD7764"/>
    <w:rsid w:val="00BD776E"/>
    <w:rsid w:val="00BD7D05"/>
    <w:rsid w:val="00BE17CD"/>
    <w:rsid w:val="00BE1C10"/>
    <w:rsid w:val="00BE1C26"/>
    <w:rsid w:val="00BE1EC3"/>
    <w:rsid w:val="00BE2D76"/>
    <w:rsid w:val="00BE3005"/>
    <w:rsid w:val="00BE3C2B"/>
    <w:rsid w:val="00BE43A1"/>
    <w:rsid w:val="00BE4F46"/>
    <w:rsid w:val="00BE58D3"/>
    <w:rsid w:val="00BE5948"/>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086B"/>
    <w:rsid w:val="00C00A8B"/>
    <w:rsid w:val="00C015BB"/>
    <w:rsid w:val="00C01818"/>
    <w:rsid w:val="00C01A7C"/>
    <w:rsid w:val="00C01AFB"/>
    <w:rsid w:val="00C01B2F"/>
    <w:rsid w:val="00C01BD0"/>
    <w:rsid w:val="00C01C15"/>
    <w:rsid w:val="00C01D1D"/>
    <w:rsid w:val="00C01FD4"/>
    <w:rsid w:val="00C02BF8"/>
    <w:rsid w:val="00C03FB2"/>
    <w:rsid w:val="00C063A9"/>
    <w:rsid w:val="00C063DD"/>
    <w:rsid w:val="00C078E2"/>
    <w:rsid w:val="00C10B0B"/>
    <w:rsid w:val="00C1189D"/>
    <w:rsid w:val="00C11DBA"/>
    <w:rsid w:val="00C1255C"/>
    <w:rsid w:val="00C12A5D"/>
    <w:rsid w:val="00C12EBC"/>
    <w:rsid w:val="00C132BD"/>
    <w:rsid w:val="00C13BB3"/>
    <w:rsid w:val="00C14A6A"/>
    <w:rsid w:val="00C14D23"/>
    <w:rsid w:val="00C14DE5"/>
    <w:rsid w:val="00C14E47"/>
    <w:rsid w:val="00C1677E"/>
    <w:rsid w:val="00C17036"/>
    <w:rsid w:val="00C2046B"/>
    <w:rsid w:val="00C20C87"/>
    <w:rsid w:val="00C21AF9"/>
    <w:rsid w:val="00C23403"/>
    <w:rsid w:val="00C23C2F"/>
    <w:rsid w:val="00C23C6A"/>
    <w:rsid w:val="00C25B21"/>
    <w:rsid w:val="00C26830"/>
    <w:rsid w:val="00C2706D"/>
    <w:rsid w:val="00C27FC5"/>
    <w:rsid w:val="00C30756"/>
    <w:rsid w:val="00C30DAB"/>
    <w:rsid w:val="00C30E0C"/>
    <w:rsid w:val="00C3101B"/>
    <w:rsid w:val="00C31B1A"/>
    <w:rsid w:val="00C31C79"/>
    <w:rsid w:val="00C31C9A"/>
    <w:rsid w:val="00C33022"/>
    <w:rsid w:val="00C3368E"/>
    <w:rsid w:val="00C336B6"/>
    <w:rsid w:val="00C33E96"/>
    <w:rsid w:val="00C344F1"/>
    <w:rsid w:val="00C346D7"/>
    <w:rsid w:val="00C34896"/>
    <w:rsid w:val="00C362D1"/>
    <w:rsid w:val="00C36C25"/>
    <w:rsid w:val="00C37CF1"/>
    <w:rsid w:val="00C37F9C"/>
    <w:rsid w:val="00C40069"/>
    <w:rsid w:val="00C40BA6"/>
    <w:rsid w:val="00C40C23"/>
    <w:rsid w:val="00C40D5C"/>
    <w:rsid w:val="00C412D7"/>
    <w:rsid w:val="00C42057"/>
    <w:rsid w:val="00C4278D"/>
    <w:rsid w:val="00C42A55"/>
    <w:rsid w:val="00C42CA5"/>
    <w:rsid w:val="00C42F17"/>
    <w:rsid w:val="00C4313D"/>
    <w:rsid w:val="00C4355E"/>
    <w:rsid w:val="00C43A97"/>
    <w:rsid w:val="00C43B2E"/>
    <w:rsid w:val="00C45495"/>
    <w:rsid w:val="00C45601"/>
    <w:rsid w:val="00C45863"/>
    <w:rsid w:val="00C45C8A"/>
    <w:rsid w:val="00C463DD"/>
    <w:rsid w:val="00C46453"/>
    <w:rsid w:val="00C46C80"/>
    <w:rsid w:val="00C46CAF"/>
    <w:rsid w:val="00C46D42"/>
    <w:rsid w:val="00C46EFC"/>
    <w:rsid w:val="00C47CDB"/>
    <w:rsid w:val="00C5018D"/>
    <w:rsid w:val="00C50917"/>
    <w:rsid w:val="00C50AE1"/>
    <w:rsid w:val="00C50DE7"/>
    <w:rsid w:val="00C52D43"/>
    <w:rsid w:val="00C53337"/>
    <w:rsid w:val="00C5333A"/>
    <w:rsid w:val="00C533C9"/>
    <w:rsid w:val="00C53625"/>
    <w:rsid w:val="00C53B8B"/>
    <w:rsid w:val="00C550DB"/>
    <w:rsid w:val="00C55828"/>
    <w:rsid w:val="00C5680B"/>
    <w:rsid w:val="00C569AB"/>
    <w:rsid w:val="00C56EB4"/>
    <w:rsid w:val="00C57356"/>
    <w:rsid w:val="00C57ABC"/>
    <w:rsid w:val="00C60874"/>
    <w:rsid w:val="00C62B77"/>
    <w:rsid w:val="00C62D0F"/>
    <w:rsid w:val="00C63799"/>
    <w:rsid w:val="00C63E39"/>
    <w:rsid w:val="00C6415D"/>
    <w:rsid w:val="00C6419C"/>
    <w:rsid w:val="00C6457D"/>
    <w:rsid w:val="00C64902"/>
    <w:rsid w:val="00C65622"/>
    <w:rsid w:val="00C65683"/>
    <w:rsid w:val="00C65D12"/>
    <w:rsid w:val="00C6654F"/>
    <w:rsid w:val="00C670BE"/>
    <w:rsid w:val="00C671DA"/>
    <w:rsid w:val="00C6766F"/>
    <w:rsid w:val="00C700B9"/>
    <w:rsid w:val="00C7077C"/>
    <w:rsid w:val="00C71650"/>
    <w:rsid w:val="00C71A95"/>
    <w:rsid w:val="00C72054"/>
    <w:rsid w:val="00C74ADB"/>
    <w:rsid w:val="00C7567E"/>
    <w:rsid w:val="00C75B04"/>
    <w:rsid w:val="00C76465"/>
    <w:rsid w:val="00C76614"/>
    <w:rsid w:val="00C768AC"/>
    <w:rsid w:val="00C76968"/>
    <w:rsid w:val="00C77105"/>
    <w:rsid w:val="00C77F30"/>
    <w:rsid w:val="00C802DB"/>
    <w:rsid w:val="00C803C6"/>
    <w:rsid w:val="00C8094F"/>
    <w:rsid w:val="00C814C3"/>
    <w:rsid w:val="00C8168B"/>
    <w:rsid w:val="00C818B9"/>
    <w:rsid w:val="00C8219C"/>
    <w:rsid w:val="00C82268"/>
    <w:rsid w:val="00C835C0"/>
    <w:rsid w:val="00C844F0"/>
    <w:rsid w:val="00C845FC"/>
    <w:rsid w:val="00C84DF8"/>
    <w:rsid w:val="00C856A4"/>
    <w:rsid w:val="00C8612F"/>
    <w:rsid w:val="00C87136"/>
    <w:rsid w:val="00C90A39"/>
    <w:rsid w:val="00C9125C"/>
    <w:rsid w:val="00C91924"/>
    <w:rsid w:val="00C93033"/>
    <w:rsid w:val="00C93D55"/>
    <w:rsid w:val="00C94999"/>
    <w:rsid w:val="00C94A33"/>
    <w:rsid w:val="00C953F0"/>
    <w:rsid w:val="00C9555D"/>
    <w:rsid w:val="00C9571E"/>
    <w:rsid w:val="00C971C0"/>
    <w:rsid w:val="00C97B4B"/>
    <w:rsid w:val="00CA0168"/>
    <w:rsid w:val="00CA02A0"/>
    <w:rsid w:val="00CA0D3F"/>
    <w:rsid w:val="00CA12A5"/>
    <w:rsid w:val="00CA1FF7"/>
    <w:rsid w:val="00CA2649"/>
    <w:rsid w:val="00CA335B"/>
    <w:rsid w:val="00CA3EFF"/>
    <w:rsid w:val="00CA6AE7"/>
    <w:rsid w:val="00CA76D1"/>
    <w:rsid w:val="00CB0382"/>
    <w:rsid w:val="00CB115C"/>
    <w:rsid w:val="00CB1245"/>
    <w:rsid w:val="00CB187A"/>
    <w:rsid w:val="00CB2004"/>
    <w:rsid w:val="00CB28B4"/>
    <w:rsid w:val="00CB3383"/>
    <w:rsid w:val="00CB3E97"/>
    <w:rsid w:val="00CB590B"/>
    <w:rsid w:val="00CB6286"/>
    <w:rsid w:val="00CB6961"/>
    <w:rsid w:val="00CB6C23"/>
    <w:rsid w:val="00CB6DF4"/>
    <w:rsid w:val="00CB7236"/>
    <w:rsid w:val="00CB7F57"/>
    <w:rsid w:val="00CC050C"/>
    <w:rsid w:val="00CC1124"/>
    <w:rsid w:val="00CC209C"/>
    <w:rsid w:val="00CC2650"/>
    <w:rsid w:val="00CC2F79"/>
    <w:rsid w:val="00CC3294"/>
    <w:rsid w:val="00CC3B0B"/>
    <w:rsid w:val="00CC3B3C"/>
    <w:rsid w:val="00CC4D70"/>
    <w:rsid w:val="00CC5927"/>
    <w:rsid w:val="00CC5C9A"/>
    <w:rsid w:val="00CC69C1"/>
    <w:rsid w:val="00CC730F"/>
    <w:rsid w:val="00CC733B"/>
    <w:rsid w:val="00CC789D"/>
    <w:rsid w:val="00CC79E9"/>
    <w:rsid w:val="00CC7CE6"/>
    <w:rsid w:val="00CD216D"/>
    <w:rsid w:val="00CD2235"/>
    <w:rsid w:val="00CD322D"/>
    <w:rsid w:val="00CD3755"/>
    <w:rsid w:val="00CD3B7B"/>
    <w:rsid w:val="00CD3F37"/>
    <w:rsid w:val="00CD4CCF"/>
    <w:rsid w:val="00CD4CD7"/>
    <w:rsid w:val="00CD51F3"/>
    <w:rsid w:val="00CD52AC"/>
    <w:rsid w:val="00CD53DE"/>
    <w:rsid w:val="00CD6371"/>
    <w:rsid w:val="00CD6E0D"/>
    <w:rsid w:val="00CD7976"/>
    <w:rsid w:val="00CE130C"/>
    <w:rsid w:val="00CE176E"/>
    <w:rsid w:val="00CE17F6"/>
    <w:rsid w:val="00CE188C"/>
    <w:rsid w:val="00CE2A74"/>
    <w:rsid w:val="00CE39D3"/>
    <w:rsid w:val="00CE3BE8"/>
    <w:rsid w:val="00CE4777"/>
    <w:rsid w:val="00CE485D"/>
    <w:rsid w:val="00CE4EDD"/>
    <w:rsid w:val="00CE524E"/>
    <w:rsid w:val="00CE54AC"/>
    <w:rsid w:val="00CE557B"/>
    <w:rsid w:val="00CE5850"/>
    <w:rsid w:val="00CE6422"/>
    <w:rsid w:val="00CE7567"/>
    <w:rsid w:val="00CE7AC7"/>
    <w:rsid w:val="00CF0C7C"/>
    <w:rsid w:val="00CF1361"/>
    <w:rsid w:val="00CF1B88"/>
    <w:rsid w:val="00CF227F"/>
    <w:rsid w:val="00CF2638"/>
    <w:rsid w:val="00CF2704"/>
    <w:rsid w:val="00CF2C84"/>
    <w:rsid w:val="00CF2D4E"/>
    <w:rsid w:val="00CF37FA"/>
    <w:rsid w:val="00CF3C85"/>
    <w:rsid w:val="00CF3F1A"/>
    <w:rsid w:val="00CF4395"/>
    <w:rsid w:val="00CF5778"/>
    <w:rsid w:val="00CF5E49"/>
    <w:rsid w:val="00CF5EC2"/>
    <w:rsid w:val="00CF5EFA"/>
    <w:rsid w:val="00CF6F3E"/>
    <w:rsid w:val="00CF7570"/>
    <w:rsid w:val="00CF7C0F"/>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7B6"/>
    <w:rsid w:val="00D15BA8"/>
    <w:rsid w:val="00D162B8"/>
    <w:rsid w:val="00D16F29"/>
    <w:rsid w:val="00D171AF"/>
    <w:rsid w:val="00D173B5"/>
    <w:rsid w:val="00D176B9"/>
    <w:rsid w:val="00D17CB9"/>
    <w:rsid w:val="00D20486"/>
    <w:rsid w:val="00D20940"/>
    <w:rsid w:val="00D20EE1"/>
    <w:rsid w:val="00D21594"/>
    <w:rsid w:val="00D21D6C"/>
    <w:rsid w:val="00D24314"/>
    <w:rsid w:val="00D24515"/>
    <w:rsid w:val="00D256C6"/>
    <w:rsid w:val="00D25EAE"/>
    <w:rsid w:val="00D26160"/>
    <w:rsid w:val="00D26186"/>
    <w:rsid w:val="00D2708B"/>
    <w:rsid w:val="00D273DE"/>
    <w:rsid w:val="00D27FFE"/>
    <w:rsid w:val="00D30781"/>
    <w:rsid w:val="00D308F9"/>
    <w:rsid w:val="00D318EA"/>
    <w:rsid w:val="00D32336"/>
    <w:rsid w:val="00D326AB"/>
    <w:rsid w:val="00D32809"/>
    <w:rsid w:val="00D32B30"/>
    <w:rsid w:val="00D336CF"/>
    <w:rsid w:val="00D34396"/>
    <w:rsid w:val="00D35431"/>
    <w:rsid w:val="00D35509"/>
    <w:rsid w:val="00D35BF7"/>
    <w:rsid w:val="00D35D03"/>
    <w:rsid w:val="00D36207"/>
    <w:rsid w:val="00D3668F"/>
    <w:rsid w:val="00D3689E"/>
    <w:rsid w:val="00D3695D"/>
    <w:rsid w:val="00D37AB1"/>
    <w:rsid w:val="00D40D71"/>
    <w:rsid w:val="00D414C2"/>
    <w:rsid w:val="00D42774"/>
    <w:rsid w:val="00D4289E"/>
    <w:rsid w:val="00D428E7"/>
    <w:rsid w:val="00D42D32"/>
    <w:rsid w:val="00D44883"/>
    <w:rsid w:val="00D449C8"/>
    <w:rsid w:val="00D44C27"/>
    <w:rsid w:val="00D46949"/>
    <w:rsid w:val="00D478DC"/>
    <w:rsid w:val="00D47F55"/>
    <w:rsid w:val="00D50CE3"/>
    <w:rsid w:val="00D50D0F"/>
    <w:rsid w:val="00D510C7"/>
    <w:rsid w:val="00D511B3"/>
    <w:rsid w:val="00D512C8"/>
    <w:rsid w:val="00D518A3"/>
    <w:rsid w:val="00D5409C"/>
    <w:rsid w:val="00D5597A"/>
    <w:rsid w:val="00D57C6A"/>
    <w:rsid w:val="00D604E0"/>
    <w:rsid w:val="00D61D2C"/>
    <w:rsid w:val="00D6267E"/>
    <w:rsid w:val="00D62F03"/>
    <w:rsid w:val="00D63A52"/>
    <w:rsid w:val="00D6425B"/>
    <w:rsid w:val="00D645B9"/>
    <w:rsid w:val="00D658C3"/>
    <w:rsid w:val="00D7000D"/>
    <w:rsid w:val="00D704CF"/>
    <w:rsid w:val="00D710C1"/>
    <w:rsid w:val="00D7145E"/>
    <w:rsid w:val="00D720E9"/>
    <w:rsid w:val="00D728DC"/>
    <w:rsid w:val="00D7349B"/>
    <w:rsid w:val="00D748CB"/>
    <w:rsid w:val="00D74C72"/>
    <w:rsid w:val="00D76094"/>
    <w:rsid w:val="00D765A1"/>
    <w:rsid w:val="00D76A90"/>
    <w:rsid w:val="00D7716A"/>
    <w:rsid w:val="00D77350"/>
    <w:rsid w:val="00D800E0"/>
    <w:rsid w:val="00D80CBD"/>
    <w:rsid w:val="00D80ED0"/>
    <w:rsid w:val="00D813C1"/>
    <w:rsid w:val="00D8346A"/>
    <w:rsid w:val="00D838D2"/>
    <w:rsid w:val="00D83A12"/>
    <w:rsid w:val="00D83AB5"/>
    <w:rsid w:val="00D8470E"/>
    <w:rsid w:val="00D84933"/>
    <w:rsid w:val="00D84CB0"/>
    <w:rsid w:val="00D85560"/>
    <w:rsid w:val="00D858CD"/>
    <w:rsid w:val="00D85B99"/>
    <w:rsid w:val="00D85D12"/>
    <w:rsid w:val="00D86E51"/>
    <w:rsid w:val="00D877DD"/>
    <w:rsid w:val="00D87B51"/>
    <w:rsid w:val="00D87FED"/>
    <w:rsid w:val="00D902BC"/>
    <w:rsid w:val="00D90430"/>
    <w:rsid w:val="00D911C1"/>
    <w:rsid w:val="00D914ED"/>
    <w:rsid w:val="00D91737"/>
    <w:rsid w:val="00D92818"/>
    <w:rsid w:val="00D929A9"/>
    <w:rsid w:val="00D92E6E"/>
    <w:rsid w:val="00D92F09"/>
    <w:rsid w:val="00D9325F"/>
    <w:rsid w:val="00D93EED"/>
    <w:rsid w:val="00D94B1D"/>
    <w:rsid w:val="00D94B46"/>
    <w:rsid w:val="00D94DCB"/>
    <w:rsid w:val="00D95172"/>
    <w:rsid w:val="00D955D2"/>
    <w:rsid w:val="00D95735"/>
    <w:rsid w:val="00D965DF"/>
    <w:rsid w:val="00D96B61"/>
    <w:rsid w:val="00DA08E9"/>
    <w:rsid w:val="00DA0F03"/>
    <w:rsid w:val="00DA1012"/>
    <w:rsid w:val="00DA10FD"/>
    <w:rsid w:val="00DA1C58"/>
    <w:rsid w:val="00DA291C"/>
    <w:rsid w:val="00DA2A75"/>
    <w:rsid w:val="00DA32F3"/>
    <w:rsid w:val="00DA35A9"/>
    <w:rsid w:val="00DA3AA1"/>
    <w:rsid w:val="00DA3EB1"/>
    <w:rsid w:val="00DA4606"/>
    <w:rsid w:val="00DA4937"/>
    <w:rsid w:val="00DA4956"/>
    <w:rsid w:val="00DA4CD0"/>
    <w:rsid w:val="00DA4D00"/>
    <w:rsid w:val="00DA5267"/>
    <w:rsid w:val="00DA58F6"/>
    <w:rsid w:val="00DA631B"/>
    <w:rsid w:val="00DA66C6"/>
    <w:rsid w:val="00DA731F"/>
    <w:rsid w:val="00DA75C9"/>
    <w:rsid w:val="00DA79EF"/>
    <w:rsid w:val="00DB051A"/>
    <w:rsid w:val="00DB1CBD"/>
    <w:rsid w:val="00DB1E8B"/>
    <w:rsid w:val="00DB295A"/>
    <w:rsid w:val="00DB29BB"/>
    <w:rsid w:val="00DB3987"/>
    <w:rsid w:val="00DB3B02"/>
    <w:rsid w:val="00DB3C27"/>
    <w:rsid w:val="00DB4FB4"/>
    <w:rsid w:val="00DB6A8B"/>
    <w:rsid w:val="00DB73C5"/>
    <w:rsid w:val="00DC06E7"/>
    <w:rsid w:val="00DC1385"/>
    <w:rsid w:val="00DC1C8C"/>
    <w:rsid w:val="00DC1D44"/>
    <w:rsid w:val="00DC2A2F"/>
    <w:rsid w:val="00DC2C63"/>
    <w:rsid w:val="00DC329D"/>
    <w:rsid w:val="00DC35B3"/>
    <w:rsid w:val="00DC37FB"/>
    <w:rsid w:val="00DC38BB"/>
    <w:rsid w:val="00DC46CC"/>
    <w:rsid w:val="00DC639C"/>
    <w:rsid w:val="00DC65C1"/>
    <w:rsid w:val="00DC6847"/>
    <w:rsid w:val="00DC69EC"/>
    <w:rsid w:val="00DC6D7D"/>
    <w:rsid w:val="00DC728F"/>
    <w:rsid w:val="00DD0052"/>
    <w:rsid w:val="00DD1339"/>
    <w:rsid w:val="00DD20BE"/>
    <w:rsid w:val="00DD27D0"/>
    <w:rsid w:val="00DD2C39"/>
    <w:rsid w:val="00DD2DC0"/>
    <w:rsid w:val="00DD4A1A"/>
    <w:rsid w:val="00DD517C"/>
    <w:rsid w:val="00DD5375"/>
    <w:rsid w:val="00DD5AC2"/>
    <w:rsid w:val="00DD679A"/>
    <w:rsid w:val="00DD67CF"/>
    <w:rsid w:val="00DD70E2"/>
    <w:rsid w:val="00DE087B"/>
    <w:rsid w:val="00DE177D"/>
    <w:rsid w:val="00DE23F9"/>
    <w:rsid w:val="00DE2529"/>
    <w:rsid w:val="00DE3787"/>
    <w:rsid w:val="00DE39B5"/>
    <w:rsid w:val="00DE3A43"/>
    <w:rsid w:val="00DE4AF0"/>
    <w:rsid w:val="00DE4E60"/>
    <w:rsid w:val="00DE563C"/>
    <w:rsid w:val="00DE5CE3"/>
    <w:rsid w:val="00DE6509"/>
    <w:rsid w:val="00DE77F1"/>
    <w:rsid w:val="00DE7B92"/>
    <w:rsid w:val="00DE7DF2"/>
    <w:rsid w:val="00DF079A"/>
    <w:rsid w:val="00DF1D54"/>
    <w:rsid w:val="00DF1E4D"/>
    <w:rsid w:val="00DF1FE8"/>
    <w:rsid w:val="00DF26F3"/>
    <w:rsid w:val="00DF28E9"/>
    <w:rsid w:val="00DF2C56"/>
    <w:rsid w:val="00DF38D7"/>
    <w:rsid w:val="00DF3FDF"/>
    <w:rsid w:val="00DF476F"/>
    <w:rsid w:val="00DF565A"/>
    <w:rsid w:val="00DF60C1"/>
    <w:rsid w:val="00DF61FA"/>
    <w:rsid w:val="00DF6347"/>
    <w:rsid w:val="00DF67DA"/>
    <w:rsid w:val="00DF771A"/>
    <w:rsid w:val="00DF7AF7"/>
    <w:rsid w:val="00E01507"/>
    <w:rsid w:val="00E02346"/>
    <w:rsid w:val="00E02D7A"/>
    <w:rsid w:val="00E03503"/>
    <w:rsid w:val="00E03551"/>
    <w:rsid w:val="00E04252"/>
    <w:rsid w:val="00E0458B"/>
    <w:rsid w:val="00E045BF"/>
    <w:rsid w:val="00E046FD"/>
    <w:rsid w:val="00E04AEB"/>
    <w:rsid w:val="00E060AC"/>
    <w:rsid w:val="00E064E2"/>
    <w:rsid w:val="00E064FC"/>
    <w:rsid w:val="00E06723"/>
    <w:rsid w:val="00E0716D"/>
    <w:rsid w:val="00E0724D"/>
    <w:rsid w:val="00E0736A"/>
    <w:rsid w:val="00E07416"/>
    <w:rsid w:val="00E104C2"/>
    <w:rsid w:val="00E10E6B"/>
    <w:rsid w:val="00E111B4"/>
    <w:rsid w:val="00E117C7"/>
    <w:rsid w:val="00E11940"/>
    <w:rsid w:val="00E119E2"/>
    <w:rsid w:val="00E124EA"/>
    <w:rsid w:val="00E143B3"/>
    <w:rsid w:val="00E143D8"/>
    <w:rsid w:val="00E15CC3"/>
    <w:rsid w:val="00E16B4A"/>
    <w:rsid w:val="00E17868"/>
    <w:rsid w:val="00E200F2"/>
    <w:rsid w:val="00E20214"/>
    <w:rsid w:val="00E21CAA"/>
    <w:rsid w:val="00E21F7F"/>
    <w:rsid w:val="00E2216E"/>
    <w:rsid w:val="00E22C3A"/>
    <w:rsid w:val="00E22CC7"/>
    <w:rsid w:val="00E235C2"/>
    <w:rsid w:val="00E24308"/>
    <w:rsid w:val="00E24673"/>
    <w:rsid w:val="00E24D1B"/>
    <w:rsid w:val="00E25110"/>
    <w:rsid w:val="00E25115"/>
    <w:rsid w:val="00E2593D"/>
    <w:rsid w:val="00E26024"/>
    <w:rsid w:val="00E2666C"/>
    <w:rsid w:val="00E2697E"/>
    <w:rsid w:val="00E277CB"/>
    <w:rsid w:val="00E27D52"/>
    <w:rsid w:val="00E304EA"/>
    <w:rsid w:val="00E30716"/>
    <w:rsid w:val="00E30785"/>
    <w:rsid w:val="00E31FD3"/>
    <w:rsid w:val="00E32F2C"/>
    <w:rsid w:val="00E34412"/>
    <w:rsid w:val="00E34CF2"/>
    <w:rsid w:val="00E35B15"/>
    <w:rsid w:val="00E35B6C"/>
    <w:rsid w:val="00E40A8A"/>
    <w:rsid w:val="00E40D08"/>
    <w:rsid w:val="00E411F5"/>
    <w:rsid w:val="00E4160F"/>
    <w:rsid w:val="00E41AB1"/>
    <w:rsid w:val="00E427E4"/>
    <w:rsid w:val="00E429CF"/>
    <w:rsid w:val="00E42EFA"/>
    <w:rsid w:val="00E42FCE"/>
    <w:rsid w:val="00E43351"/>
    <w:rsid w:val="00E434F3"/>
    <w:rsid w:val="00E437A5"/>
    <w:rsid w:val="00E43843"/>
    <w:rsid w:val="00E43ABB"/>
    <w:rsid w:val="00E4424D"/>
    <w:rsid w:val="00E44AFE"/>
    <w:rsid w:val="00E44BC3"/>
    <w:rsid w:val="00E44F7B"/>
    <w:rsid w:val="00E454FB"/>
    <w:rsid w:val="00E4573E"/>
    <w:rsid w:val="00E457B6"/>
    <w:rsid w:val="00E459B1"/>
    <w:rsid w:val="00E4661E"/>
    <w:rsid w:val="00E46DEE"/>
    <w:rsid w:val="00E47121"/>
    <w:rsid w:val="00E4741C"/>
    <w:rsid w:val="00E514F2"/>
    <w:rsid w:val="00E515E6"/>
    <w:rsid w:val="00E5171B"/>
    <w:rsid w:val="00E5245D"/>
    <w:rsid w:val="00E52533"/>
    <w:rsid w:val="00E530A0"/>
    <w:rsid w:val="00E53161"/>
    <w:rsid w:val="00E5398B"/>
    <w:rsid w:val="00E53D56"/>
    <w:rsid w:val="00E53E7E"/>
    <w:rsid w:val="00E55363"/>
    <w:rsid w:val="00E5579E"/>
    <w:rsid w:val="00E560A8"/>
    <w:rsid w:val="00E568F4"/>
    <w:rsid w:val="00E56BFC"/>
    <w:rsid w:val="00E56C22"/>
    <w:rsid w:val="00E57282"/>
    <w:rsid w:val="00E576E1"/>
    <w:rsid w:val="00E578B4"/>
    <w:rsid w:val="00E60D37"/>
    <w:rsid w:val="00E60D6B"/>
    <w:rsid w:val="00E61321"/>
    <w:rsid w:val="00E618AB"/>
    <w:rsid w:val="00E61C63"/>
    <w:rsid w:val="00E62865"/>
    <w:rsid w:val="00E63032"/>
    <w:rsid w:val="00E63329"/>
    <w:rsid w:val="00E63F66"/>
    <w:rsid w:val="00E6550A"/>
    <w:rsid w:val="00E661A4"/>
    <w:rsid w:val="00E66F56"/>
    <w:rsid w:val="00E71182"/>
    <w:rsid w:val="00E712B0"/>
    <w:rsid w:val="00E714B8"/>
    <w:rsid w:val="00E7183C"/>
    <w:rsid w:val="00E72317"/>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349"/>
    <w:rsid w:val="00E85386"/>
    <w:rsid w:val="00E859D6"/>
    <w:rsid w:val="00E85DC0"/>
    <w:rsid w:val="00E8626B"/>
    <w:rsid w:val="00E86F4F"/>
    <w:rsid w:val="00E87255"/>
    <w:rsid w:val="00E90464"/>
    <w:rsid w:val="00E90AC5"/>
    <w:rsid w:val="00E90F93"/>
    <w:rsid w:val="00E91168"/>
    <w:rsid w:val="00E92541"/>
    <w:rsid w:val="00E929A9"/>
    <w:rsid w:val="00E92B19"/>
    <w:rsid w:val="00E93755"/>
    <w:rsid w:val="00E942EF"/>
    <w:rsid w:val="00E944BE"/>
    <w:rsid w:val="00E95B03"/>
    <w:rsid w:val="00E95D80"/>
    <w:rsid w:val="00E96628"/>
    <w:rsid w:val="00E96A47"/>
    <w:rsid w:val="00E96D2B"/>
    <w:rsid w:val="00E975D3"/>
    <w:rsid w:val="00E97670"/>
    <w:rsid w:val="00EA0446"/>
    <w:rsid w:val="00EA11A0"/>
    <w:rsid w:val="00EA12BD"/>
    <w:rsid w:val="00EA1D29"/>
    <w:rsid w:val="00EA2D75"/>
    <w:rsid w:val="00EA4004"/>
    <w:rsid w:val="00EA48CC"/>
    <w:rsid w:val="00EA61FF"/>
    <w:rsid w:val="00EB0514"/>
    <w:rsid w:val="00EB0DF4"/>
    <w:rsid w:val="00EB337D"/>
    <w:rsid w:val="00EB36FD"/>
    <w:rsid w:val="00EB43A1"/>
    <w:rsid w:val="00EB591D"/>
    <w:rsid w:val="00EB7BE9"/>
    <w:rsid w:val="00EC0516"/>
    <w:rsid w:val="00EC13B1"/>
    <w:rsid w:val="00EC3378"/>
    <w:rsid w:val="00EC351D"/>
    <w:rsid w:val="00EC3A32"/>
    <w:rsid w:val="00EC3F3D"/>
    <w:rsid w:val="00EC470E"/>
    <w:rsid w:val="00EC4963"/>
    <w:rsid w:val="00EC4EDC"/>
    <w:rsid w:val="00EC511C"/>
    <w:rsid w:val="00EC57A9"/>
    <w:rsid w:val="00EC79F6"/>
    <w:rsid w:val="00EC7FCC"/>
    <w:rsid w:val="00ED0BDB"/>
    <w:rsid w:val="00ED1578"/>
    <w:rsid w:val="00ED1896"/>
    <w:rsid w:val="00ED1D27"/>
    <w:rsid w:val="00ED1F09"/>
    <w:rsid w:val="00ED21E9"/>
    <w:rsid w:val="00ED2287"/>
    <w:rsid w:val="00ED38D3"/>
    <w:rsid w:val="00ED3FC6"/>
    <w:rsid w:val="00ED4F7F"/>
    <w:rsid w:val="00ED5525"/>
    <w:rsid w:val="00ED610B"/>
    <w:rsid w:val="00ED6644"/>
    <w:rsid w:val="00ED674D"/>
    <w:rsid w:val="00ED720C"/>
    <w:rsid w:val="00ED7E23"/>
    <w:rsid w:val="00EE07F3"/>
    <w:rsid w:val="00EE0DFD"/>
    <w:rsid w:val="00EE16BD"/>
    <w:rsid w:val="00EE17DF"/>
    <w:rsid w:val="00EE1851"/>
    <w:rsid w:val="00EE3BF5"/>
    <w:rsid w:val="00EE6E4F"/>
    <w:rsid w:val="00EE7485"/>
    <w:rsid w:val="00EF00C5"/>
    <w:rsid w:val="00EF0414"/>
    <w:rsid w:val="00EF0B04"/>
    <w:rsid w:val="00EF1551"/>
    <w:rsid w:val="00EF1E4E"/>
    <w:rsid w:val="00EF22B2"/>
    <w:rsid w:val="00EF2D36"/>
    <w:rsid w:val="00EF361A"/>
    <w:rsid w:val="00EF38BE"/>
    <w:rsid w:val="00EF3947"/>
    <w:rsid w:val="00EF3FDE"/>
    <w:rsid w:val="00EF4F4E"/>
    <w:rsid w:val="00EF60FE"/>
    <w:rsid w:val="00EF7587"/>
    <w:rsid w:val="00EF7691"/>
    <w:rsid w:val="00EF7C1C"/>
    <w:rsid w:val="00EF7EA1"/>
    <w:rsid w:val="00F00921"/>
    <w:rsid w:val="00F00924"/>
    <w:rsid w:val="00F009E4"/>
    <w:rsid w:val="00F01173"/>
    <w:rsid w:val="00F01400"/>
    <w:rsid w:val="00F01527"/>
    <w:rsid w:val="00F01E49"/>
    <w:rsid w:val="00F03382"/>
    <w:rsid w:val="00F034F4"/>
    <w:rsid w:val="00F0428F"/>
    <w:rsid w:val="00F04A80"/>
    <w:rsid w:val="00F06992"/>
    <w:rsid w:val="00F07B0B"/>
    <w:rsid w:val="00F07C6A"/>
    <w:rsid w:val="00F07D22"/>
    <w:rsid w:val="00F100EF"/>
    <w:rsid w:val="00F1043D"/>
    <w:rsid w:val="00F1043F"/>
    <w:rsid w:val="00F106B4"/>
    <w:rsid w:val="00F1129B"/>
    <w:rsid w:val="00F116ED"/>
    <w:rsid w:val="00F12B14"/>
    <w:rsid w:val="00F12DD7"/>
    <w:rsid w:val="00F12EF0"/>
    <w:rsid w:val="00F13158"/>
    <w:rsid w:val="00F14973"/>
    <w:rsid w:val="00F149AE"/>
    <w:rsid w:val="00F1537C"/>
    <w:rsid w:val="00F16299"/>
    <w:rsid w:val="00F167D6"/>
    <w:rsid w:val="00F1724F"/>
    <w:rsid w:val="00F173B8"/>
    <w:rsid w:val="00F17409"/>
    <w:rsid w:val="00F17421"/>
    <w:rsid w:val="00F17BAA"/>
    <w:rsid w:val="00F20079"/>
    <w:rsid w:val="00F201ED"/>
    <w:rsid w:val="00F20D8E"/>
    <w:rsid w:val="00F21032"/>
    <w:rsid w:val="00F21796"/>
    <w:rsid w:val="00F2189B"/>
    <w:rsid w:val="00F22124"/>
    <w:rsid w:val="00F22ABF"/>
    <w:rsid w:val="00F232A7"/>
    <w:rsid w:val="00F237A9"/>
    <w:rsid w:val="00F241F0"/>
    <w:rsid w:val="00F248F8"/>
    <w:rsid w:val="00F26FAD"/>
    <w:rsid w:val="00F272C6"/>
    <w:rsid w:val="00F274C9"/>
    <w:rsid w:val="00F277BA"/>
    <w:rsid w:val="00F3329A"/>
    <w:rsid w:val="00F34097"/>
    <w:rsid w:val="00F34374"/>
    <w:rsid w:val="00F35987"/>
    <w:rsid w:val="00F35C45"/>
    <w:rsid w:val="00F35EEE"/>
    <w:rsid w:val="00F35FE6"/>
    <w:rsid w:val="00F36260"/>
    <w:rsid w:val="00F3729B"/>
    <w:rsid w:val="00F3736C"/>
    <w:rsid w:val="00F375ED"/>
    <w:rsid w:val="00F40D13"/>
    <w:rsid w:val="00F40E74"/>
    <w:rsid w:val="00F411F1"/>
    <w:rsid w:val="00F41E9E"/>
    <w:rsid w:val="00F42430"/>
    <w:rsid w:val="00F4253E"/>
    <w:rsid w:val="00F426C5"/>
    <w:rsid w:val="00F43B90"/>
    <w:rsid w:val="00F43BEF"/>
    <w:rsid w:val="00F43C94"/>
    <w:rsid w:val="00F443AE"/>
    <w:rsid w:val="00F4469D"/>
    <w:rsid w:val="00F44E0C"/>
    <w:rsid w:val="00F45499"/>
    <w:rsid w:val="00F45CAA"/>
    <w:rsid w:val="00F45DF5"/>
    <w:rsid w:val="00F465FD"/>
    <w:rsid w:val="00F47972"/>
    <w:rsid w:val="00F47DC9"/>
    <w:rsid w:val="00F50165"/>
    <w:rsid w:val="00F503CF"/>
    <w:rsid w:val="00F51F12"/>
    <w:rsid w:val="00F533CC"/>
    <w:rsid w:val="00F54C23"/>
    <w:rsid w:val="00F54DE3"/>
    <w:rsid w:val="00F5552F"/>
    <w:rsid w:val="00F55651"/>
    <w:rsid w:val="00F55DC2"/>
    <w:rsid w:val="00F55F9A"/>
    <w:rsid w:val="00F56E53"/>
    <w:rsid w:val="00F60BFF"/>
    <w:rsid w:val="00F6207C"/>
    <w:rsid w:val="00F62C69"/>
    <w:rsid w:val="00F631A7"/>
    <w:rsid w:val="00F63B41"/>
    <w:rsid w:val="00F64158"/>
    <w:rsid w:val="00F64345"/>
    <w:rsid w:val="00F65389"/>
    <w:rsid w:val="00F6594D"/>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192"/>
    <w:rsid w:val="00F73486"/>
    <w:rsid w:val="00F7374B"/>
    <w:rsid w:val="00F73CF3"/>
    <w:rsid w:val="00F7423A"/>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3FD4"/>
    <w:rsid w:val="00F84250"/>
    <w:rsid w:val="00F845CA"/>
    <w:rsid w:val="00F86660"/>
    <w:rsid w:val="00F875B7"/>
    <w:rsid w:val="00F909D6"/>
    <w:rsid w:val="00F90F27"/>
    <w:rsid w:val="00F91F50"/>
    <w:rsid w:val="00F925C3"/>
    <w:rsid w:val="00F938BF"/>
    <w:rsid w:val="00F93949"/>
    <w:rsid w:val="00F93CCF"/>
    <w:rsid w:val="00F94279"/>
    <w:rsid w:val="00F944B4"/>
    <w:rsid w:val="00F947B6"/>
    <w:rsid w:val="00F95755"/>
    <w:rsid w:val="00F95B70"/>
    <w:rsid w:val="00F97AEE"/>
    <w:rsid w:val="00FA0058"/>
    <w:rsid w:val="00FA028D"/>
    <w:rsid w:val="00FA05EF"/>
    <w:rsid w:val="00FA0711"/>
    <w:rsid w:val="00FA22CD"/>
    <w:rsid w:val="00FA2750"/>
    <w:rsid w:val="00FA3730"/>
    <w:rsid w:val="00FA37BB"/>
    <w:rsid w:val="00FA3F91"/>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AD2"/>
    <w:rsid w:val="00FB5D19"/>
    <w:rsid w:val="00FB6314"/>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30D"/>
    <w:rsid w:val="00FD0548"/>
    <w:rsid w:val="00FD0884"/>
    <w:rsid w:val="00FD0B92"/>
    <w:rsid w:val="00FD16E7"/>
    <w:rsid w:val="00FD1A72"/>
    <w:rsid w:val="00FD256F"/>
    <w:rsid w:val="00FD2D98"/>
    <w:rsid w:val="00FD2F0D"/>
    <w:rsid w:val="00FD30B3"/>
    <w:rsid w:val="00FD41A5"/>
    <w:rsid w:val="00FD434F"/>
    <w:rsid w:val="00FD463B"/>
    <w:rsid w:val="00FD4AC9"/>
    <w:rsid w:val="00FD6E22"/>
    <w:rsid w:val="00FD74B5"/>
    <w:rsid w:val="00FD7889"/>
    <w:rsid w:val="00FD7C56"/>
    <w:rsid w:val="00FE1607"/>
    <w:rsid w:val="00FE1909"/>
    <w:rsid w:val="00FE1C33"/>
    <w:rsid w:val="00FE2174"/>
    <w:rsid w:val="00FE2621"/>
    <w:rsid w:val="00FE2A1F"/>
    <w:rsid w:val="00FE2C9A"/>
    <w:rsid w:val="00FE3EF4"/>
    <w:rsid w:val="00FE4051"/>
    <w:rsid w:val="00FE40CF"/>
    <w:rsid w:val="00FE4274"/>
    <w:rsid w:val="00FE4470"/>
    <w:rsid w:val="00FE4987"/>
    <w:rsid w:val="00FE5B6A"/>
    <w:rsid w:val="00FE6316"/>
    <w:rsid w:val="00FE69A3"/>
    <w:rsid w:val="00FE6ACD"/>
    <w:rsid w:val="00FE6C61"/>
    <w:rsid w:val="00FE6F31"/>
    <w:rsid w:val="00FE7026"/>
    <w:rsid w:val="00FE788B"/>
    <w:rsid w:val="00FE7B1F"/>
    <w:rsid w:val="00FE7E8D"/>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8"/>
    <o:shapelayout v:ext="edit">
      <o:idmap v:ext="edit" data="1"/>
    </o:shapelayout>
  </w:shapeDefaults>
  <w:decimalSymbol w:val="."/>
  <w:listSeparator w:val=","/>
  <w14:docId w14:val="40A4B97C"/>
  <w15:docId w15:val="{E69F38A8-2DFA-43B5-8A2A-1050AB1E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B38"/>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5319E-2EA0-45EF-860B-5E2DFC30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7321</Words>
  <Characters>41730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Smith Hannah (RNU) Oxford Health</cp:lastModifiedBy>
  <cp:revision>15</cp:revision>
  <cp:lastPrinted>2016-11-24T08:29:00Z</cp:lastPrinted>
  <dcterms:created xsi:type="dcterms:W3CDTF">2018-09-24T02:09:00Z</dcterms:created>
  <dcterms:modified xsi:type="dcterms:W3CDTF">2018-09-24T14:10:00Z</dcterms:modified>
</cp:coreProperties>
</file>