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4199A" w:rsidRDefault="000D1F31">
                            <w:pPr>
                              <w:jc w:val="center"/>
                              <w:rPr>
                                <w:rFonts w:ascii="Segoe UI" w:hAnsi="Segoe UI" w:cs="Segoe UI"/>
                              </w:rPr>
                            </w:pPr>
                            <w:r>
                              <w:rPr>
                                <w:rFonts w:ascii="Segoe UI" w:hAnsi="Segoe UI" w:cs="Segoe UI"/>
                                <w:b/>
                              </w:rPr>
                              <w:t>BOD 108</w:t>
                            </w:r>
                            <w:r w:rsidR="0014199A">
                              <w:rPr>
                                <w:rFonts w:ascii="Segoe UI" w:hAnsi="Segoe UI" w:cs="Segoe UI"/>
                                <w:b/>
                              </w:rPr>
                              <w:t>/2018</w:t>
                            </w:r>
                          </w:p>
                          <w:p w:rsidR="0014199A" w:rsidRPr="00FA3993" w:rsidRDefault="000D1F31">
                            <w:pPr>
                              <w:jc w:val="center"/>
                              <w:rPr>
                                <w:rFonts w:ascii="Segoe UI" w:hAnsi="Segoe UI" w:cs="Segoe UI"/>
                                <w:sz w:val="22"/>
                                <w:szCs w:val="22"/>
                              </w:rPr>
                            </w:pPr>
                            <w:r>
                              <w:rPr>
                                <w:rFonts w:ascii="Segoe UI" w:hAnsi="Segoe UI" w:cs="Segoe UI"/>
                                <w:sz w:val="22"/>
                                <w:szCs w:val="22"/>
                              </w:rPr>
                              <w:t>(Agenda item: 7</w:t>
                            </w:r>
                            <w:bookmarkStart w:id="0" w:name="_GoBack"/>
                            <w:bookmarkEnd w:id="0"/>
                            <w:r w:rsidR="0014199A">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14199A" w:rsidRDefault="000D1F31">
                      <w:pPr>
                        <w:jc w:val="center"/>
                        <w:rPr>
                          <w:rFonts w:ascii="Segoe UI" w:hAnsi="Segoe UI" w:cs="Segoe UI"/>
                        </w:rPr>
                      </w:pPr>
                      <w:r>
                        <w:rPr>
                          <w:rFonts w:ascii="Segoe UI" w:hAnsi="Segoe UI" w:cs="Segoe UI"/>
                          <w:b/>
                        </w:rPr>
                        <w:t>BOD 108</w:t>
                      </w:r>
                      <w:r w:rsidR="0014199A">
                        <w:rPr>
                          <w:rFonts w:ascii="Segoe UI" w:hAnsi="Segoe UI" w:cs="Segoe UI"/>
                          <w:b/>
                        </w:rPr>
                        <w:t>/2018</w:t>
                      </w:r>
                    </w:p>
                    <w:p w:rsidR="0014199A" w:rsidRPr="00FA3993" w:rsidRDefault="000D1F31">
                      <w:pPr>
                        <w:jc w:val="center"/>
                        <w:rPr>
                          <w:rFonts w:ascii="Segoe UI" w:hAnsi="Segoe UI" w:cs="Segoe UI"/>
                          <w:sz w:val="22"/>
                          <w:szCs w:val="22"/>
                        </w:rPr>
                      </w:pPr>
                      <w:r>
                        <w:rPr>
                          <w:rFonts w:ascii="Segoe UI" w:hAnsi="Segoe UI" w:cs="Segoe UI"/>
                          <w:sz w:val="22"/>
                          <w:szCs w:val="22"/>
                        </w:rPr>
                        <w:t>(Agenda item: 7</w:t>
                      </w:r>
                      <w:bookmarkStart w:id="1" w:name="_GoBack"/>
                      <w:bookmarkEnd w:id="1"/>
                      <w:r w:rsidR="0014199A">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C0074B">
      <w:pPr>
        <w:jc w:val="center"/>
        <w:rPr>
          <w:rFonts w:ascii="Segoe UI" w:hAnsi="Segoe UI" w:cs="Segoe UI"/>
          <w:b/>
        </w:rPr>
      </w:pPr>
      <w:r>
        <w:rPr>
          <w:rFonts w:ascii="Segoe UI" w:hAnsi="Segoe UI" w:cs="Segoe UI"/>
          <w:b/>
        </w:rPr>
        <w:t xml:space="preserve">27 </w:t>
      </w:r>
      <w:r w:rsidR="00697D48">
        <w:rPr>
          <w:rFonts w:ascii="Segoe UI" w:hAnsi="Segoe UI" w:cs="Segoe UI"/>
          <w:b/>
        </w:rPr>
        <w:t xml:space="preserve">September </w:t>
      </w:r>
      <w:r w:rsidR="00145747">
        <w:rPr>
          <w:rFonts w:ascii="Segoe UI" w:hAnsi="Segoe UI" w:cs="Segoe UI"/>
          <w:b/>
        </w:rPr>
        <w:t>2018</w:t>
      </w:r>
    </w:p>
    <w:p w:rsidR="005D3499" w:rsidRPr="00FA3993" w:rsidRDefault="005D3499">
      <w:pPr>
        <w:jc w:val="center"/>
        <w:rPr>
          <w:rFonts w:ascii="Segoe UI" w:hAnsi="Segoe UI" w:cs="Segoe UI"/>
          <w:b/>
        </w:rPr>
      </w:pPr>
    </w:p>
    <w:p w:rsidR="005D3499" w:rsidRPr="00FA3993" w:rsidRDefault="00C93210" w:rsidP="00FD2279">
      <w:pPr>
        <w:jc w:val="center"/>
        <w:rPr>
          <w:rFonts w:ascii="Segoe UI" w:hAnsi="Segoe UI" w:cs="Segoe UI"/>
          <w:b/>
        </w:rPr>
      </w:pPr>
      <w:r>
        <w:rPr>
          <w:rFonts w:ascii="Segoe UI" w:hAnsi="Segoe UI" w:cs="Segoe UI"/>
          <w:b/>
        </w:rPr>
        <w:t>Human Resources Report</w:t>
      </w:r>
    </w:p>
    <w:p w:rsidR="005D3499" w:rsidRPr="00FA3993" w:rsidRDefault="005D3499">
      <w:pPr>
        <w:rPr>
          <w:rFonts w:ascii="Segoe UI" w:hAnsi="Segoe UI" w:cs="Segoe UI"/>
          <w:b/>
        </w:rPr>
      </w:pPr>
    </w:p>
    <w:p w:rsidR="00241A66" w:rsidRDefault="00292613" w:rsidP="00241A66">
      <w:pPr>
        <w:jc w:val="center"/>
        <w:rPr>
          <w:rFonts w:ascii="Segoe UI" w:hAnsi="Segoe UI" w:cs="Segoe UI"/>
        </w:rPr>
      </w:pPr>
      <w:r w:rsidRPr="00FA3993">
        <w:rPr>
          <w:rFonts w:ascii="Segoe UI" w:hAnsi="Segoe UI" w:cs="Segoe UI"/>
          <w:b/>
          <w:u w:val="single"/>
        </w:rPr>
        <w:t>For: Information</w:t>
      </w:r>
    </w:p>
    <w:p w:rsidR="00292613" w:rsidRDefault="00292613">
      <w:pPr>
        <w:rPr>
          <w:rFonts w:ascii="Segoe UI" w:hAnsi="Segoe UI" w:cs="Segoe UI"/>
          <w:b/>
        </w:rPr>
      </w:pPr>
    </w:p>
    <w:p w:rsidR="00C93210" w:rsidRPr="009E0559" w:rsidRDefault="00C93210" w:rsidP="00C93210">
      <w:pPr>
        <w:jc w:val="both"/>
        <w:rPr>
          <w:rFonts w:ascii="Segoe UI" w:hAnsi="Segoe UI" w:cs="Segoe UI"/>
        </w:rPr>
      </w:pPr>
      <w:r w:rsidRPr="009E0559">
        <w:rPr>
          <w:rFonts w:ascii="Segoe UI" w:hAnsi="Segoe UI" w:cs="Segoe UI"/>
        </w:rPr>
        <w:t xml:space="preserve">This report shows the position on the workforce performance indicators as at the end of </w:t>
      </w:r>
      <w:r w:rsidR="00697D48" w:rsidRPr="009E0559">
        <w:rPr>
          <w:rFonts w:ascii="Segoe UI" w:hAnsi="Segoe UI" w:cs="Segoe UI"/>
        </w:rPr>
        <w:t xml:space="preserve">August </w:t>
      </w:r>
      <w:r w:rsidR="001D39E4" w:rsidRPr="009E0559">
        <w:rPr>
          <w:rFonts w:ascii="Segoe UI" w:hAnsi="Segoe UI" w:cs="Segoe UI"/>
        </w:rPr>
        <w:t>2018.</w:t>
      </w:r>
    </w:p>
    <w:p w:rsidR="00C93210" w:rsidRPr="009E0559" w:rsidRDefault="00C93210" w:rsidP="00C93210">
      <w:pPr>
        <w:ind w:left="-851"/>
        <w:jc w:val="both"/>
        <w:rPr>
          <w:rFonts w:ascii="Segoe UI" w:hAnsi="Segoe UI" w:cs="Segoe UI"/>
        </w:rPr>
      </w:pPr>
    </w:p>
    <w:p w:rsidR="00C93210" w:rsidRPr="009E0559" w:rsidRDefault="00C93210" w:rsidP="00C93210">
      <w:pPr>
        <w:jc w:val="both"/>
        <w:rPr>
          <w:rFonts w:ascii="Segoe UI" w:hAnsi="Segoe UI" w:cs="Segoe UI"/>
        </w:rPr>
      </w:pPr>
      <w:r w:rsidRPr="009E0559">
        <w:rPr>
          <w:rFonts w:ascii="Segoe UI" w:hAnsi="Segoe UI" w:cs="Segoe UI"/>
        </w:rPr>
        <w:t>The report includes brief details of actions already in place to address some of the challenges as well as plans being developed.</w:t>
      </w:r>
    </w:p>
    <w:p w:rsidR="004F3BE2" w:rsidRPr="009E0559" w:rsidRDefault="004F3BE2" w:rsidP="00C93210">
      <w:pPr>
        <w:rPr>
          <w:rFonts w:ascii="Segoe UI" w:hAnsi="Segoe UI" w:cs="Segoe UI"/>
          <w:lang w:val="en-GB"/>
        </w:rPr>
      </w:pPr>
    </w:p>
    <w:p w:rsidR="00F50721" w:rsidRPr="009E0559" w:rsidRDefault="00F50721" w:rsidP="00C93210">
      <w:pPr>
        <w:rPr>
          <w:rFonts w:ascii="Segoe UI" w:eastAsiaTheme="majorEastAsia" w:hAnsi="Segoe UI" w:cs="Segoe UI"/>
          <w:b/>
          <w:color w:val="000000" w:themeColor="text1"/>
          <w:kern w:val="24"/>
        </w:rPr>
      </w:pPr>
      <w:r w:rsidRPr="009E0559">
        <w:rPr>
          <w:rFonts w:ascii="Segoe UI" w:eastAsiaTheme="majorEastAsia" w:hAnsi="Segoe UI" w:cs="Segoe UI"/>
          <w:b/>
          <w:color w:val="000000" w:themeColor="text1"/>
          <w:kern w:val="24"/>
        </w:rPr>
        <w:t>HCA Agency Reduction</w:t>
      </w:r>
    </w:p>
    <w:p w:rsidR="00697D48" w:rsidRPr="009E0559" w:rsidRDefault="00697D48" w:rsidP="00697D48">
      <w:pPr>
        <w:rPr>
          <w:rFonts w:ascii="Segoe UI" w:eastAsiaTheme="majorEastAsia" w:hAnsi="Segoe UI" w:cs="Segoe UI"/>
          <w:color w:val="000000" w:themeColor="text1"/>
          <w:kern w:val="24"/>
          <w:lang w:val="en-GB"/>
        </w:rPr>
      </w:pPr>
      <w:r w:rsidRPr="009E0559">
        <w:rPr>
          <w:rFonts w:ascii="Segoe UI" w:eastAsiaTheme="majorEastAsia" w:hAnsi="Segoe UI" w:cs="Segoe UI"/>
          <w:color w:val="000000" w:themeColor="text1"/>
          <w:kern w:val="24"/>
          <w:lang w:val="en-GB"/>
        </w:rPr>
        <w:t xml:space="preserve">In May 2018 the Trust stopped using agency HCA workers in inpatient units.  Where a HCA Flexible Worker cannot be sourced Registered Nurses are being used. </w:t>
      </w:r>
    </w:p>
    <w:p w:rsidR="00697D48" w:rsidRPr="009E0559" w:rsidRDefault="00697D48" w:rsidP="00697D48">
      <w:pPr>
        <w:rPr>
          <w:rFonts w:ascii="Segoe UI" w:eastAsiaTheme="majorEastAsia" w:hAnsi="Segoe UI" w:cs="Segoe UI"/>
          <w:color w:val="000000" w:themeColor="text1"/>
          <w:kern w:val="24"/>
          <w:lang w:val="en-GB"/>
        </w:rPr>
      </w:pPr>
    </w:p>
    <w:p w:rsidR="00697D48" w:rsidRPr="009E0559" w:rsidRDefault="00697D48" w:rsidP="00697D48">
      <w:pPr>
        <w:rPr>
          <w:rFonts w:ascii="Segoe UI" w:eastAsiaTheme="majorEastAsia" w:hAnsi="Segoe UI" w:cs="Segoe UI"/>
          <w:color w:val="000000" w:themeColor="text1"/>
          <w:kern w:val="24"/>
          <w:lang w:val="en-GB"/>
        </w:rPr>
      </w:pPr>
      <w:r w:rsidRPr="009E0559">
        <w:rPr>
          <w:rFonts w:ascii="Segoe UI" w:eastAsiaTheme="majorEastAsia" w:hAnsi="Segoe UI" w:cs="Segoe UI"/>
          <w:color w:val="000000" w:themeColor="text1"/>
          <w:kern w:val="24"/>
          <w:lang w:val="en-GB"/>
        </w:rPr>
        <w:t xml:space="preserve">The data shows a sustained increase in the number of bank hours used and a corresponding decrease in agency hours. </w:t>
      </w:r>
    </w:p>
    <w:p w:rsidR="00697D48" w:rsidRPr="009E0559" w:rsidRDefault="00697D48" w:rsidP="00697D48">
      <w:pPr>
        <w:rPr>
          <w:rFonts w:ascii="Segoe UI" w:eastAsiaTheme="majorEastAsia" w:hAnsi="Segoe UI" w:cs="Segoe UI"/>
          <w:color w:val="000000" w:themeColor="text1"/>
          <w:kern w:val="24"/>
          <w:lang w:val="en-GB"/>
        </w:rPr>
      </w:pPr>
    </w:p>
    <w:p w:rsidR="00211978" w:rsidRPr="009E0559" w:rsidRDefault="00697D48" w:rsidP="00211978">
      <w:pPr>
        <w:rPr>
          <w:rFonts w:ascii="Segoe UI" w:eastAsiaTheme="majorEastAsia" w:hAnsi="Segoe UI" w:cs="Segoe UI"/>
          <w:color w:val="000000" w:themeColor="text1"/>
          <w:kern w:val="24"/>
          <w:lang w:val="en-GB"/>
        </w:rPr>
      </w:pPr>
      <w:r w:rsidRPr="009E0559">
        <w:rPr>
          <w:rFonts w:ascii="Segoe UI" w:eastAsiaTheme="majorEastAsia" w:hAnsi="Segoe UI" w:cs="Segoe UI"/>
          <w:color w:val="000000" w:themeColor="text1"/>
          <w:kern w:val="24"/>
          <w:lang w:val="en-GB"/>
        </w:rPr>
        <w:t>Using Registered Nurse agency shifts instead of HCA agency shifts and increased use of NHSI price cap overrides has resulted in an increase in average cost per hour for temporary staffing although this has decreased significantly in July back to pre-</w:t>
      </w:r>
      <w:r w:rsidR="00211978" w:rsidRPr="009E0559">
        <w:rPr>
          <w:rFonts w:ascii="Segoe UI" w:eastAsiaTheme="majorEastAsia" w:hAnsi="Segoe UI" w:cs="Segoe UI"/>
          <w:color w:val="000000" w:themeColor="text1"/>
          <w:kern w:val="24"/>
          <w:lang w:val="en-GB"/>
        </w:rPr>
        <w:t>initiative levels. However, it is important to note that t</w:t>
      </w:r>
      <w:r w:rsidR="009E0559" w:rsidRPr="009E0559">
        <w:rPr>
          <w:rFonts w:ascii="Segoe UI" w:eastAsiaTheme="majorEastAsia" w:hAnsi="Segoe UI" w:cs="Segoe UI"/>
          <w:color w:val="000000" w:themeColor="text1"/>
          <w:kern w:val="24"/>
          <w:lang w:val="en-GB"/>
        </w:rPr>
        <w:t xml:space="preserve">he increase in Registered Nursing </w:t>
      </w:r>
      <w:r w:rsidR="00211978" w:rsidRPr="009E0559">
        <w:rPr>
          <w:rFonts w:ascii="Segoe UI" w:eastAsiaTheme="majorEastAsia" w:hAnsi="Segoe UI" w:cs="Segoe UI"/>
          <w:color w:val="000000" w:themeColor="text1"/>
          <w:kern w:val="24"/>
          <w:lang w:val="en-GB"/>
        </w:rPr>
        <w:t xml:space="preserve">agency </w:t>
      </w:r>
      <w:r w:rsidR="009E0559" w:rsidRPr="009E0559">
        <w:rPr>
          <w:rFonts w:ascii="Segoe UI" w:eastAsiaTheme="majorEastAsia" w:hAnsi="Segoe UI" w:cs="Segoe UI"/>
          <w:color w:val="000000" w:themeColor="text1"/>
          <w:kern w:val="24"/>
          <w:lang w:val="en-GB"/>
        </w:rPr>
        <w:t xml:space="preserve">use </w:t>
      </w:r>
      <w:r w:rsidR="00211978" w:rsidRPr="009E0559">
        <w:rPr>
          <w:rFonts w:ascii="Segoe UI" w:eastAsiaTheme="majorEastAsia" w:hAnsi="Segoe UI" w:cs="Segoe UI"/>
          <w:color w:val="000000" w:themeColor="text1"/>
          <w:kern w:val="24"/>
          <w:lang w:val="en-GB"/>
        </w:rPr>
        <w:t>is not solely a result of grade swops arising from the HCA agency reduction.</w:t>
      </w:r>
    </w:p>
    <w:p w:rsidR="00697D48" w:rsidRPr="009E0559" w:rsidRDefault="00697D48" w:rsidP="00697D48">
      <w:pPr>
        <w:rPr>
          <w:rFonts w:ascii="Segoe UI" w:eastAsiaTheme="majorEastAsia" w:hAnsi="Segoe UI" w:cs="Segoe UI"/>
          <w:color w:val="000000" w:themeColor="text1"/>
          <w:kern w:val="24"/>
          <w:lang w:val="en-GB"/>
        </w:rPr>
      </w:pPr>
    </w:p>
    <w:p w:rsidR="00677185" w:rsidRPr="009E0559" w:rsidRDefault="00677185" w:rsidP="00677185">
      <w:pPr>
        <w:rPr>
          <w:rFonts w:ascii="Segoe UI" w:eastAsiaTheme="majorEastAsia" w:hAnsi="Segoe UI" w:cs="Segoe UI"/>
          <w:color w:val="000000" w:themeColor="text1"/>
          <w:kern w:val="24"/>
          <w:lang w:val="en-GB"/>
        </w:rPr>
      </w:pPr>
      <w:r w:rsidRPr="009E0559">
        <w:rPr>
          <w:rFonts w:ascii="Segoe UI" w:eastAsiaTheme="majorEastAsia" w:hAnsi="Segoe UI" w:cs="Segoe UI"/>
          <w:color w:val="000000" w:themeColor="text1"/>
          <w:kern w:val="24"/>
          <w:lang w:val="en-GB"/>
        </w:rPr>
        <w:t xml:space="preserve">Recruitment of HCA Flexible Workers is continuing to reduce the number of grade swops and agency overrides.  Floating bank workers are also being </w:t>
      </w:r>
      <w:r w:rsidRPr="009E0559">
        <w:rPr>
          <w:rFonts w:ascii="Segoe UI" w:eastAsiaTheme="majorEastAsia" w:hAnsi="Segoe UI" w:cs="Segoe UI"/>
          <w:color w:val="000000" w:themeColor="text1"/>
          <w:kern w:val="24"/>
          <w:lang w:val="en-GB"/>
        </w:rPr>
        <w:lastRenderedPageBreak/>
        <w:t xml:space="preserve">introduced for each </w:t>
      </w:r>
      <w:r w:rsidR="00EB12C0">
        <w:rPr>
          <w:rFonts w:ascii="Segoe UI" w:eastAsiaTheme="majorEastAsia" w:hAnsi="Segoe UI" w:cs="Segoe UI"/>
          <w:color w:val="000000" w:themeColor="text1"/>
          <w:kern w:val="24"/>
          <w:lang w:val="en-GB"/>
        </w:rPr>
        <w:t xml:space="preserve">major </w:t>
      </w:r>
      <w:r w:rsidRPr="009E0559">
        <w:rPr>
          <w:rFonts w:ascii="Segoe UI" w:eastAsiaTheme="majorEastAsia" w:hAnsi="Segoe UI" w:cs="Segoe UI"/>
          <w:color w:val="000000" w:themeColor="text1"/>
          <w:kern w:val="24"/>
          <w:lang w:val="en-GB"/>
        </w:rPr>
        <w:t>site to support last minute requirements and prevent agency usage.  A review is to take place as to the financial viability of continuing with the grade swop policy whilst further bank recruitment of HCA workers occurs.</w:t>
      </w:r>
    </w:p>
    <w:p w:rsidR="009E0559" w:rsidRPr="009E0559" w:rsidRDefault="009E0559" w:rsidP="00677185">
      <w:pPr>
        <w:rPr>
          <w:rFonts w:ascii="Segoe UI" w:eastAsiaTheme="majorEastAsia" w:hAnsi="Segoe UI" w:cs="Segoe UI"/>
          <w:color w:val="000000" w:themeColor="text1"/>
          <w:kern w:val="24"/>
          <w:lang w:val="en-GB"/>
        </w:rPr>
      </w:pPr>
    </w:p>
    <w:p w:rsidR="009E0559" w:rsidRPr="009E0559" w:rsidRDefault="009E0559" w:rsidP="00677185">
      <w:pPr>
        <w:rPr>
          <w:rFonts w:ascii="Segoe UI" w:eastAsiaTheme="majorEastAsia" w:hAnsi="Segoe UI" w:cs="Segoe UI"/>
          <w:color w:val="000000" w:themeColor="text1"/>
          <w:kern w:val="24"/>
          <w:lang w:val="en-GB"/>
        </w:rPr>
      </w:pPr>
      <w:r w:rsidRPr="009E0559">
        <w:rPr>
          <w:rFonts w:ascii="Segoe UI" w:eastAsiaTheme="majorEastAsia" w:hAnsi="Segoe UI" w:cs="Segoe UI"/>
          <w:color w:val="000000" w:themeColor="text1"/>
          <w:kern w:val="24"/>
          <w:lang w:val="en-GB"/>
        </w:rPr>
        <w:t xml:space="preserve">A plan is being explored to appoint a flexible worker to discuss the benefits of transferring to the internal bank with agency workers who are on long lines of work. </w:t>
      </w:r>
    </w:p>
    <w:p w:rsidR="004F3BE2" w:rsidRPr="009E0559" w:rsidRDefault="004F3BE2">
      <w:pPr>
        <w:rPr>
          <w:rFonts w:ascii="Segoe UI" w:eastAsiaTheme="majorEastAsia" w:hAnsi="Segoe UI" w:cs="Segoe UI"/>
          <w:color w:val="000000" w:themeColor="text1"/>
          <w:kern w:val="24"/>
          <w:lang w:val="en-GB"/>
        </w:rPr>
      </w:pPr>
    </w:p>
    <w:p w:rsidR="00DB4A9D" w:rsidRPr="00B327BE" w:rsidRDefault="00DB4A9D" w:rsidP="00C93210">
      <w:pPr>
        <w:jc w:val="both"/>
        <w:rPr>
          <w:rFonts w:ascii="Segoe UI" w:hAnsi="Segoe UI" w:cs="Segoe UI"/>
          <w:b/>
        </w:rPr>
      </w:pPr>
      <w:r w:rsidRPr="009E0559">
        <w:rPr>
          <w:rFonts w:ascii="Segoe UI" w:hAnsi="Segoe UI" w:cs="Segoe UI"/>
          <w:b/>
        </w:rPr>
        <w:t>Recrui</w:t>
      </w:r>
      <w:r w:rsidRPr="00B327BE">
        <w:rPr>
          <w:rFonts w:ascii="Segoe UI" w:hAnsi="Segoe UI" w:cs="Segoe UI"/>
          <w:b/>
        </w:rPr>
        <w:t>tment</w:t>
      </w:r>
    </w:p>
    <w:p w:rsidR="00B327BE" w:rsidRDefault="00B327BE" w:rsidP="00B327BE">
      <w:pPr>
        <w:rPr>
          <w:rFonts w:ascii="Segoe UI" w:hAnsi="Segoe UI" w:cs="Segoe UI"/>
        </w:rPr>
      </w:pPr>
      <w:r w:rsidRPr="00B327BE">
        <w:rPr>
          <w:rFonts w:ascii="Segoe UI" w:hAnsi="Segoe UI" w:cs="Segoe UI"/>
        </w:rPr>
        <w:t xml:space="preserve">In September the Workforce with Executive meeting agreed some proposals </w:t>
      </w:r>
      <w:r w:rsidR="00661308">
        <w:rPr>
          <w:rFonts w:ascii="Segoe UI" w:hAnsi="Segoe UI" w:cs="Segoe UI"/>
        </w:rPr>
        <w:t xml:space="preserve">which should </w:t>
      </w:r>
      <w:r w:rsidRPr="00B327BE">
        <w:rPr>
          <w:rFonts w:ascii="Segoe UI" w:hAnsi="Segoe UI" w:cs="Segoe UI"/>
        </w:rPr>
        <w:t>streamline the recruitment process:</w:t>
      </w:r>
    </w:p>
    <w:p w:rsidR="00AC6E26" w:rsidRPr="00B327BE" w:rsidRDefault="00AC6E26" w:rsidP="00B327BE">
      <w:pPr>
        <w:rPr>
          <w:rFonts w:ascii="Segoe UI" w:hAnsi="Segoe UI" w:cs="Segoe UI"/>
        </w:rPr>
      </w:pPr>
    </w:p>
    <w:p w:rsidR="00B327BE" w:rsidRDefault="00B327BE" w:rsidP="00B327BE">
      <w:pPr>
        <w:pStyle w:val="ListParagraph"/>
        <w:numPr>
          <w:ilvl w:val="0"/>
          <w:numId w:val="21"/>
        </w:numPr>
        <w:rPr>
          <w:rFonts w:ascii="Segoe UI" w:hAnsi="Segoe UI" w:cs="Segoe UI"/>
        </w:rPr>
      </w:pPr>
      <w:r w:rsidRPr="00B327BE">
        <w:rPr>
          <w:rFonts w:ascii="Segoe UI" w:hAnsi="Segoe UI" w:cs="Segoe UI"/>
        </w:rPr>
        <w:t>No longer requiring employment references to cover 5 years for roles in CYP Directorate. Three years is the standard requirement;</w:t>
      </w:r>
    </w:p>
    <w:p w:rsidR="00B32A0D" w:rsidRPr="00B327BE" w:rsidRDefault="00B32A0D" w:rsidP="00B32A0D">
      <w:pPr>
        <w:pStyle w:val="ListParagraph"/>
        <w:rPr>
          <w:rFonts w:ascii="Segoe UI" w:hAnsi="Segoe UI" w:cs="Segoe UI"/>
        </w:rPr>
      </w:pPr>
    </w:p>
    <w:p w:rsidR="00B327BE" w:rsidRPr="00B327BE" w:rsidRDefault="00B327BE" w:rsidP="00B327BE">
      <w:pPr>
        <w:numPr>
          <w:ilvl w:val="0"/>
          <w:numId w:val="21"/>
        </w:numPr>
        <w:rPr>
          <w:rFonts w:ascii="Segoe UI" w:hAnsi="Segoe UI" w:cs="Segoe UI"/>
        </w:rPr>
      </w:pPr>
      <w:r w:rsidRPr="00B327BE">
        <w:rPr>
          <w:rFonts w:ascii="Segoe UI" w:hAnsi="Segoe UI" w:cs="Segoe UI"/>
        </w:rPr>
        <w:t>To accept people from other NHS Trusts with fewer checks (in line with the “passporting” idea being promoted by BOB and nationally);</w:t>
      </w:r>
    </w:p>
    <w:p w:rsidR="00B32A0D" w:rsidRDefault="00B32A0D" w:rsidP="00B32A0D">
      <w:pPr>
        <w:ind w:left="720"/>
        <w:rPr>
          <w:rFonts w:ascii="Segoe UI" w:hAnsi="Segoe UI" w:cs="Segoe UI"/>
        </w:rPr>
      </w:pPr>
    </w:p>
    <w:p w:rsidR="00B327BE" w:rsidRPr="00B327BE" w:rsidRDefault="00B327BE" w:rsidP="00B327BE">
      <w:pPr>
        <w:numPr>
          <w:ilvl w:val="0"/>
          <w:numId w:val="21"/>
        </w:numPr>
        <w:rPr>
          <w:rFonts w:ascii="Segoe UI" w:hAnsi="Segoe UI" w:cs="Segoe UI"/>
        </w:rPr>
      </w:pPr>
      <w:r w:rsidRPr="00B327BE">
        <w:rPr>
          <w:rFonts w:ascii="Segoe UI" w:hAnsi="Segoe UI" w:cs="Segoe UI"/>
        </w:rPr>
        <w:t>Various steps removed from the process for moving people internally (fewer Occupational Health checks, only re-do DBS if new job requires greater clearance, simpler approach to internal references)</w:t>
      </w:r>
      <w:r w:rsidR="00C364D4">
        <w:rPr>
          <w:rFonts w:ascii="Segoe UI" w:hAnsi="Segoe UI" w:cs="Segoe UI"/>
        </w:rPr>
        <w:t>.</w:t>
      </w:r>
    </w:p>
    <w:p w:rsidR="00B327BE" w:rsidRPr="00B327BE" w:rsidRDefault="00B327BE" w:rsidP="00C93210">
      <w:pPr>
        <w:jc w:val="both"/>
        <w:rPr>
          <w:rFonts w:ascii="Segoe UI" w:hAnsi="Segoe UI" w:cs="Segoe UI"/>
        </w:rPr>
      </w:pPr>
    </w:p>
    <w:p w:rsidR="00B327BE" w:rsidRPr="00B327BE" w:rsidRDefault="00B327BE" w:rsidP="00C93210">
      <w:pPr>
        <w:jc w:val="both"/>
        <w:rPr>
          <w:rFonts w:ascii="Segoe UI" w:hAnsi="Segoe UI" w:cs="Segoe UI"/>
        </w:rPr>
      </w:pPr>
      <w:r w:rsidRPr="00B327BE">
        <w:rPr>
          <w:rFonts w:ascii="Segoe UI" w:hAnsi="Segoe UI" w:cs="Segoe UI"/>
        </w:rPr>
        <w:t>Further details about the implementation of these changes will be released in due course.</w:t>
      </w:r>
    </w:p>
    <w:p w:rsidR="00E30001" w:rsidRPr="000D2077" w:rsidRDefault="00E30001" w:rsidP="00C93210">
      <w:pPr>
        <w:jc w:val="both"/>
        <w:rPr>
          <w:rFonts w:ascii="Segoe UI" w:hAnsi="Segoe UI" w:cs="Segoe UI"/>
        </w:rPr>
      </w:pPr>
    </w:p>
    <w:p w:rsidR="007B43CD" w:rsidRPr="000D2077" w:rsidRDefault="007B43CD" w:rsidP="00C93210">
      <w:pPr>
        <w:jc w:val="both"/>
        <w:rPr>
          <w:rFonts w:ascii="Segoe UI" w:hAnsi="Segoe UI" w:cs="Segoe UI"/>
          <w:b/>
        </w:rPr>
      </w:pPr>
      <w:r w:rsidRPr="000D2077">
        <w:rPr>
          <w:rFonts w:ascii="Segoe UI" w:hAnsi="Segoe UI" w:cs="Segoe UI"/>
          <w:b/>
        </w:rPr>
        <w:t>Health &amp; Wellbeing</w:t>
      </w:r>
    </w:p>
    <w:p w:rsidR="00B32A0D" w:rsidRPr="000D2077" w:rsidRDefault="00B32A0D" w:rsidP="00B32A0D">
      <w:pPr>
        <w:rPr>
          <w:rFonts w:ascii="Segoe UI" w:hAnsi="Segoe UI" w:cs="Segoe UI"/>
        </w:rPr>
      </w:pPr>
      <w:r w:rsidRPr="000D2077">
        <w:rPr>
          <w:rFonts w:ascii="Segoe UI" w:hAnsi="Segoe UI" w:cs="Segoe UI"/>
        </w:rPr>
        <w:t xml:space="preserve">The 3 </w:t>
      </w:r>
      <w:r w:rsidR="000D2077">
        <w:rPr>
          <w:rFonts w:ascii="Segoe UI" w:hAnsi="Segoe UI" w:cs="Segoe UI"/>
        </w:rPr>
        <w:t xml:space="preserve">Stress </w:t>
      </w:r>
      <w:r w:rsidRPr="000D2077">
        <w:rPr>
          <w:rFonts w:ascii="Segoe UI" w:hAnsi="Segoe UI" w:cs="Segoe UI"/>
        </w:rPr>
        <w:t>workstreams have now all met and initial work to date will be fed back to the next Stress Steering Group for analysis and agreement of next stages.</w:t>
      </w:r>
    </w:p>
    <w:p w:rsidR="00B32A0D" w:rsidRPr="000D2077" w:rsidRDefault="00B32A0D" w:rsidP="00B32A0D">
      <w:pPr>
        <w:rPr>
          <w:rFonts w:ascii="Segoe UI" w:hAnsi="Segoe UI" w:cs="Segoe UI"/>
        </w:rPr>
      </w:pPr>
    </w:p>
    <w:p w:rsidR="00B32A0D" w:rsidRDefault="000D2077" w:rsidP="00B32A0D">
      <w:pPr>
        <w:rPr>
          <w:rFonts w:ascii="Segoe UI" w:hAnsi="Segoe UI" w:cs="Segoe UI"/>
        </w:rPr>
      </w:pPr>
      <w:r>
        <w:rPr>
          <w:rFonts w:ascii="Segoe UI" w:hAnsi="Segoe UI" w:cs="Segoe UI"/>
        </w:rPr>
        <w:t xml:space="preserve">The Trust’s </w:t>
      </w:r>
      <w:r w:rsidR="00B32A0D" w:rsidRPr="000D2077">
        <w:rPr>
          <w:rFonts w:ascii="Segoe UI" w:hAnsi="Segoe UI" w:cs="Segoe UI"/>
        </w:rPr>
        <w:t>Stress Risk Assessment has been amended and additional advice provided to ensure it is user friendly. We are now looking to identify key teams to pilot these.</w:t>
      </w:r>
    </w:p>
    <w:p w:rsidR="000D2077" w:rsidRPr="000D2077" w:rsidRDefault="000D2077" w:rsidP="00B32A0D">
      <w:pPr>
        <w:rPr>
          <w:rFonts w:ascii="Segoe UI" w:hAnsi="Segoe UI" w:cs="Segoe UI"/>
        </w:rPr>
      </w:pPr>
    </w:p>
    <w:p w:rsidR="00B32A0D" w:rsidRPr="000D2077" w:rsidRDefault="00B32A0D" w:rsidP="00B32A0D">
      <w:pPr>
        <w:rPr>
          <w:rFonts w:ascii="Segoe UI" w:hAnsi="Segoe UI" w:cs="Segoe UI"/>
        </w:rPr>
      </w:pPr>
      <w:r w:rsidRPr="000D2077">
        <w:rPr>
          <w:rFonts w:ascii="Segoe UI" w:hAnsi="Segoe UI" w:cs="Segoe UI"/>
        </w:rPr>
        <w:t xml:space="preserve">300 comments from the Stress Survey have been </w:t>
      </w:r>
      <w:proofErr w:type="spellStart"/>
      <w:r w:rsidRPr="000D2077">
        <w:rPr>
          <w:rFonts w:ascii="Segoe UI" w:hAnsi="Segoe UI" w:cs="Segoe UI"/>
        </w:rPr>
        <w:t>analysed</w:t>
      </w:r>
      <w:proofErr w:type="spellEnd"/>
      <w:r w:rsidRPr="000D2077">
        <w:rPr>
          <w:rFonts w:ascii="Segoe UI" w:hAnsi="Segoe UI" w:cs="Segoe UI"/>
        </w:rPr>
        <w:t xml:space="preserve"> and broken down into the 6 HSE management standards. Work is being undertaken with Communications to feedback results as well as identify key areas of work. The plan is to communicate out 1</w:t>
      </w:r>
      <w:r w:rsidRPr="000D2077">
        <w:rPr>
          <w:rFonts w:ascii="Segoe UI" w:hAnsi="Segoe UI" w:cs="Segoe UI"/>
          <w:vertAlign w:val="superscript"/>
        </w:rPr>
        <w:t>st</w:t>
      </w:r>
      <w:r w:rsidRPr="000D2077">
        <w:rPr>
          <w:rFonts w:ascii="Segoe UI" w:hAnsi="Segoe UI" w:cs="Segoe UI"/>
        </w:rPr>
        <w:t xml:space="preserve"> October 2018.</w:t>
      </w:r>
    </w:p>
    <w:p w:rsidR="00B32A0D" w:rsidRDefault="00B32A0D" w:rsidP="00B32A0D">
      <w:pPr>
        <w:rPr>
          <w:rFonts w:ascii="Segoe UI" w:hAnsi="Segoe UI" w:cs="Segoe UI"/>
        </w:rPr>
      </w:pPr>
    </w:p>
    <w:p w:rsidR="00B32A0D" w:rsidRPr="000D2077" w:rsidRDefault="00F24050" w:rsidP="00B32A0D">
      <w:pPr>
        <w:rPr>
          <w:rFonts w:ascii="Segoe UI" w:hAnsi="Segoe UI" w:cs="Segoe UI"/>
        </w:rPr>
      </w:pPr>
      <w:r>
        <w:rPr>
          <w:rFonts w:ascii="Segoe UI" w:hAnsi="Segoe UI" w:cs="Segoe UI"/>
        </w:rPr>
        <w:lastRenderedPageBreak/>
        <w:t>W</w:t>
      </w:r>
      <w:r w:rsidR="00B32A0D" w:rsidRPr="000D2077">
        <w:rPr>
          <w:rFonts w:ascii="Segoe UI" w:hAnsi="Segoe UI" w:cs="Segoe UI"/>
        </w:rPr>
        <w:t>ork is being undertaken with Psychological Services, Occupational Health and others to explore additional support for staff involved in work related traumatic incidents</w:t>
      </w:r>
    </w:p>
    <w:p w:rsidR="00B32A0D" w:rsidRPr="000D2077" w:rsidRDefault="00B32A0D" w:rsidP="00B32A0D">
      <w:pPr>
        <w:rPr>
          <w:rFonts w:ascii="Segoe UI" w:hAnsi="Segoe UI" w:cs="Segoe UI"/>
        </w:rPr>
      </w:pPr>
    </w:p>
    <w:p w:rsidR="00B32A0D" w:rsidRPr="000D2077" w:rsidRDefault="000D2077" w:rsidP="00B32A0D">
      <w:pPr>
        <w:rPr>
          <w:rFonts w:ascii="Segoe UI" w:hAnsi="Segoe UI" w:cs="Segoe UI"/>
        </w:rPr>
      </w:pPr>
      <w:r w:rsidRPr="000D2077">
        <w:rPr>
          <w:rFonts w:ascii="Segoe UI" w:hAnsi="Segoe UI" w:cs="Segoe UI"/>
        </w:rPr>
        <w:t>We are e</w:t>
      </w:r>
      <w:r w:rsidR="00B32A0D" w:rsidRPr="000D2077">
        <w:rPr>
          <w:rFonts w:ascii="Segoe UI" w:hAnsi="Segoe UI" w:cs="Segoe UI"/>
        </w:rPr>
        <w:t xml:space="preserve">xploring </w:t>
      </w:r>
      <w:r w:rsidRPr="000D2077">
        <w:rPr>
          <w:rFonts w:ascii="Segoe UI" w:hAnsi="Segoe UI" w:cs="Segoe UI"/>
        </w:rPr>
        <w:t xml:space="preserve">a </w:t>
      </w:r>
      <w:r w:rsidR="00B32A0D" w:rsidRPr="000D2077">
        <w:rPr>
          <w:rFonts w:ascii="Segoe UI" w:hAnsi="Segoe UI" w:cs="Segoe UI"/>
        </w:rPr>
        <w:t>possible pilot for Schwartz Rounds with Psychological Services</w:t>
      </w:r>
      <w:r w:rsidRPr="000D2077">
        <w:rPr>
          <w:rFonts w:ascii="Segoe UI" w:hAnsi="Segoe UI" w:cs="Segoe UI"/>
        </w:rPr>
        <w:t>. Schwartz</w:t>
      </w:r>
      <w:r w:rsidR="00B32A0D" w:rsidRPr="000D2077">
        <w:rPr>
          <w:rFonts w:ascii="Segoe UI" w:hAnsi="Segoe UI" w:cs="Segoe UI"/>
        </w:rPr>
        <w:t xml:space="preserve"> </w:t>
      </w:r>
      <w:r w:rsidRPr="000D2077">
        <w:rPr>
          <w:rFonts w:ascii="Segoe UI" w:hAnsi="Segoe UI" w:cs="Segoe UI"/>
        </w:rPr>
        <w:t>Rounds aim to provide an opportunity for staff to reflect on their roles and there is evidence that staff attending them feel less stressed and have greater appreciation of the roles of other staff.</w:t>
      </w:r>
    </w:p>
    <w:p w:rsidR="00B32A0D" w:rsidRPr="000D2077" w:rsidRDefault="00B32A0D" w:rsidP="00B32A0D">
      <w:pPr>
        <w:rPr>
          <w:rFonts w:ascii="Segoe UI" w:hAnsi="Segoe UI" w:cs="Segoe UI"/>
        </w:rPr>
      </w:pPr>
    </w:p>
    <w:p w:rsidR="00B32A0D" w:rsidRPr="000D2077" w:rsidRDefault="00B32A0D" w:rsidP="00B32A0D">
      <w:pPr>
        <w:rPr>
          <w:rFonts w:ascii="Segoe UI" w:hAnsi="Segoe UI" w:cs="Segoe UI"/>
        </w:rPr>
      </w:pPr>
      <w:r w:rsidRPr="000D2077">
        <w:rPr>
          <w:rFonts w:ascii="Segoe UI" w:hAnsi="Segoe UI" w:cs="Segoe UI"/>
        </w:rPr>
        <w:t>EAP remains a potential tool to support staff</w:t>
      </w:r>
    </w:p>
    <w:p w:rsidR="00B32A0D" w:rsidRPr="000D2077" w:rsidRDefault="00B32A0D" w:rsidP="00B32A0D">
      <w:pPr>
        <w:rPr>
          <w:rFonts w:ascii="Segoe UI" w:hAnsi="Segoe UI" w:cs="Segoe UI"/>
        </w:rPr>
      </w:pPr>
    </w:p>
    <w:p w:rsidR="00B32A0D" w:rsidRPr="000D2077" w:rsidRDefault="00B32A0D" w:rsidP="00B32A0D">
      <w:pPr>
        <w:rPr>
          <w:rFonts w:ascii="Segoe UI" w:hAnsi="Segoe UI" w:cs="Segoe UI"/>
        </w:rPr>
      </w:pPr>
      <w:r w:rsidRPr="000D2077">
        <w:rPr>
          <w:rFonts w:ascii="Segoe UI" w:hAnsi="Segoe UI" w:cs="Segoe UI"/>
        </w:rPr>
        <w:t xml:space="preserve">Occupational Health remains concerned </w:t>
      </w:r>
      <w:r w:rsidR="000D2077" w:rsidRPr="000D2077">
        <w:rPr>
          <w:rFonts w:ascii="Segoe UI" w:hAnsi="Segoe UI" w:cs="Segoe UI"/>
        </w:rPr>
        <w:t xml:space="preserve">about the </w:t>
      </w:r>
      <w:r w:rsidRPr="000D2077">
        <w:rPr>
          <w:rFonts w:ascii="Segoe UI" w:hAnsi="Segoe UI" w:cs="Segoe UI"/>
        </w:rPr>
        <w:t>shortage of counsellors</w:t>
      </w:r>
    </w:p>
    <w:p w:rsidR="00B32A0D" w:rsidRPr="000D2077" w:rsidRDefault="00B32A0D" w:rsidP="00B32A0D">
      <w:pPr>
        <w:rPr>
          <w:rFonts w:ascii="Segoe UI" w:hAnsi="Segoe UI" w:cs="Segoe UI"/>
        </w:rPr>
      </w:pPr>
    </w:p>
    <w:p w:rsidR="00B32A0D" w:rsidRPr="000D2077" w:rsidRDefault="00B32A0D" w:rsidP="00B32A0D">
      <w:pPr>
        <w:rPr>
          <w:rFonts w:ascii="Segoe UI" w:hAnsi="Segoe UI" w:cs="Segoe UI"/>
        </w:rPr>
      </w:pPr>
      <w:r w:rsidRPr="000D2077">
        <w:rPr>
          <w:rFonts w:ascii="Segoe UI" w:hAnsi="Segoe UI" w:cs="Segoe UI"/>
          <w:bCs/>
        </w:rPr>
        <w:t>Physical Health</w:t>
      </w:r>
      <w:r w:rsidRPr="000D2077">
        <w:rPr>
          <w:rFonts w:ascii="Segoe UI" w:hAnsi="Segoe UI" w:cs="Segoe UI"/>
        </w:rPr>
        <w:t xml:space="preserve"> </w:t>
      </w:r>
      <w:r w:rsidR="000D2077" w:rsidRPr="000D2077">
        <w:rPr>
          <w:rFonts w:ascii="Segoe UI" w:hAnsi="Segoe UI" w:cs="Segoe UI"/>
        </w:rPr>
        <w:t xml:space="preserve">campaigns </w:t>
      </w:r>
      <w:r w:rsidRPr="000D2077">
        <w:rPr>
          <w:rFonts w:ascii="Segoe UI" w:hAnsi="Segoe UI" w:cs="Segoe UI"/>
        </w:rPr>
        <w:t>will raise awareness this year of:</w:t>
      </w:r>
    </w:p>
    <w:p w:rsidR="00B32A0D" w:rsidRPr="000D2077" w:rsidRDefault="00B32A0D" w:rsidP="000D2077">
      <w:pPr>
        <w:pStyle w:val="ListParagraph"/>
        <w:numPr>
          <w:ilvl w:val="0"/>
          <w:numId w:val="22"/>
        </w:numPr>
        <w:rPr>
          <w:rFonts w:ascii="Segoe UI" w:hAnsi="Segoe UI" w:cs="Segoe UI"/>
        </w:rPr>
      </w:pPr>
      <w:r w:rsidRPr="000D2077">
        <w:rPr>
          <w:rFonts w:ascii="Segoe UI" w:hAnsi="Segoe UI" w:cs="Segoe UI"/>
        </w:rPr>
        <w:t>Menopause in the workplace</w:t>
      </w:r>
    </w:p>
    <w:p w:rsidR="00B32A0D" w:rsidRPr="000D2077" w:rsidRDefault="00B32A0D" w:rsidP="000D2077">
      <w:pPr>
        <w:pStyle w:val="ListParagraph"/>
        <w:numPr>
          <w:ilvl w:val="0"/>
          <w:numId w:val="22"/>
        </w:numPr>
        <w:rPr>
          <w:rFonts w:ascii="Segoe UI" w:hAnsi="Segoe UI" w:cs="Segoe UI"/>
        </w:rPr>
      </w:pPr>
      <w:r w:rsidRPr="000D2077">
        <w:rPr>
          <w:rFonts w:ascii="Segoe UI" w:hAnsi="Segoe UI" w:cs="Segoe UI"/>
        </w:rPr>
        <w:t>Signs &amp; symptoms of testicular cancer and prostatitis</w:t>
      </w:r>
    </w:p>
    <w:p w:rsidR="00B32A0D" w:rsidRPr="000D2077" w:rsidRDefault="00B32A0D" w:rsidP="000D2077">
      <w:pPr>
        <w:pStyle w:val="ListParagraph"/>
        <w:numPr>
          <w:ilvl w:val="0"/>
          <w:numId w:val="22"/>
        </w:numPr>
        <w:rPr>
          <w:rFonts w:ascii="Segoe UI" w:hAnsi="Segoe UI" w:cs="Segoe UI"/>
        </w:rPr>
      </w:pPr>
      <w:r w:rsidRPr="000D2077">
        <w:rPr>
          <w:rFonts w:ascii="Segoe UI" w:hAnsi="Segoe UI" w:cs="Segoe UI"/>
        </w:rPr>
        <w:t>Signs &amp; symptoms of bowel cancer</w:t>
      </w:r>
    </w:p>
    <w:p w:rsidR="00B32A0D" w:rsidRPr="000D2077" w:rsidRDefault="00B32A0D" w:rsidP="00B32A0D">
      <w:pPr>
        <w:rPr>
          <w:rFonts w:ascii="Segoe UI" w:hAnsi="Segoe UI" w:cs="Segoe UI"/>
        </w:rPr>
      </w:pPr>
    </w:p>
    <w:p w:rsidR="00B32A0D" w:rsidRPr="000D2077" w:rsidRDefault="00B32A0D" w:rsidP="00B32A0D">
      <w:pPr>
        <w:rPr>
          <w:rFonts w:ascii="Segoe UI" w:hAnsi="Segoe UI" w:cs="Segoe UI"/>
        </w:rPr>
      </w:pPr>
      <w:r w:rsidRPr="000D2077">
        <w:rPr>
          <w:rFonts w:ascii="Segoe UI" w:hAnsi="Segoe UI" w:cs="Segoe UI"/>
        </w:rPr>
        <w:t>Wellbeing Champions will be supporting and promoting this year’s Flu campaign</w:t>
      </w:r>
    </w:p>
    <w:p w:rsidR="007B43CD" w:rsidRPr="009E0559" w:rsidRDefault="007B43CD" w:rsidP="007B43CD">
      <w:pPr>
        <w:rPr>
          <w:rFonts w:ascii="Segoe UI" w:hAnsi="Segoe UI" w:cs="Segoe UI"/>
          <w:lang w:eastAsia="en-GB"/>
        </w:rPr>
      </w:pPr>
    </w:p>
    <w:p w:rsidR="001F303A" w:rsidRPr="009E0559" w:rsidRDefault="00C93210" w:rsidP="00C93210">
      <w:pPr>
        <w:jc w:val="both"/>
        <w:rPr>
          <w:rFonts w:ascii="Segoe UI" w:hAnsi="Segoe UI" w:cs="Segoe UI"/>
          <w:b/>
        </w:rPr>
      </w:pPr>
      <w:r w:rsidRPr="009E0559">
        <w:rPr>
          <w:rFonts w:ascii="Segoe UI" w:hAnsi="Segoe UI" w:cs="Segoe UI"/>
          <w:b/>
        </w:rPr>
        <w:t>Management of Concerns (Whistle Blowing)</w:t>
      </w:r>
    </w:p>
    <w:p w:rsidR="007E47DF" w:rsidRPr="009E0559" w:rsidRDefault="00211978" w:rsidP="00AB3ABC">
      <w:pPr>
        <w:rPr>
          <w:rFonts w:ascii="Segoe UI" w:hAnsi="Segoe UI" w:cs="Segoe UI"/>
        </w:rPr>
      </w:pPr>
      <w:r w:rsidRPr="009E0559">
        <w:rPr>
          <w:rFonts w:ascii="Segoe UI" w:hAnsi="Segoe UI" w:cs="Segoe UI"/>
        </w:rPr>
        <w:t>4</w:t>
      </w:r>
      <w:r w:rsidR="0047158A" w:rsidRPr="009E0559">
        <w:rPr>
          <w:rFonts w:ascii="Segoe UI" w:hAnsi="Segoe UI" w:cs="Segoe UI"/>
        </w:rPr>
        <w:t xml:space="preserve"> </w:t>
      </w:r>
      <w:r w:rsidR="00E30001" w:rsidRPr="009E0559">
        <w:rPr>
          <w:rFonts w:ascii="Segoe UI" w:hAnsi="Segoe UI" w:cs="Segoe UI"/>
        </w:rPr>
        <w:t>current case</w:t>
      </w:r>
      <w:r w:rsidR="00F82C5A" w:rsidRPr="009E0559">
        <w:rPr>
          <w:rFonts w:ascii="Segoe UI" w:hAnsi="Segoe UI" w:cs="Segoe UI"/>
        </w:rPr>
        <w:t xml:space="preserve">s, </w:t>
      </w:r>
      <w:r w:rsidRPr="009E0559">
        <w:rPr>
          <w:rFonts w:ascii="Segoe UI" w:hAnsi="Segoe UI" w:cs="Segoe UI"/>
        </w:rPr>
        <w:t xml:space="preserve">3 in Adult Directorate and one relating to a flexible worker. All are </w:t>
      </w:r>
      <w:r w:rsidR="00F82C5A" w:rsidRPr="009E0559">
        <w:rPr>
          <w:rFonts w:ascii="Segoe UI" w:hAnsi="Segoe UI" w:cs="Segoe UI"/>
        </w:rPr>
        <w:t xml:space="preserve">currently </w:t>
      </w:r>
      <w:r w:rsidR="005E6BC3" w:rsidRPr="009E0559">
        <w:rPr>
          <w:rFonts w:ascii="Segoe UI" w:hAnsi="Segoe UI" w:cs="Segoe UI"/>
        </w:rPr>
        <w:t>investigation.</w:t>
      </w:r>
    </w:p>
    <w:p w:rsidR="00ED3C1F" w:rsidRPr="009E0559" w:rsidRDefault="00ED3C1F" w:rsidP="00AB3ABC">
      <w:pPr>
        <w:rPr>
          <w:rFonts w:ascii="Segoe UI" w:hAnsi="Segoe UI" w:cs="Segoe UI"/>
        </w:rPr>
      </w:pPr>
    </w:p>
    <w:p w:rsidR="00ED3C1F" w:rsidRPr="009E0559" w:rsidRDefault="00211978" w:rsidP="00AB3ABC">
      <w:pPr>
        <w:rPr>
          <w:rFonts w:ascii="Segoe UI" w:hAnsi="Segoe UI" w:cs="Segoe UI"/>
          <w:b/>
        </w:rPr>
      </w:pPr>
      <w:r w:rsidRPr="009E0559">
        <w:rPr>
          <w:rFonts w:ascii="Segoe UI" w:hAnsi="Segoe UI" w:cs="Segoe UI"/>
          <w:b/>
        </w:rPr>
        <w:t>WRES</w:t>
      </w:r>
    </w:p>
    <w:p w:rsidR="007B62C7" w:rsidRPr="009E0559" w:rsidRDefault="0051104E" w:rsidP="00AB3ABC">
      <w:pPr>
        <w:rPr>
          <w:rFonts w:ascii="Segoe UI" w:hAnsi="Segoe UI" w:cs="Segoe UI"/>
        </w:rPr>
      </w:pPr>
      <w:r w:rsidRPr="009E0559">
        <w:rPr>
          <w:rFonts w:ascii="Segoe UI" w:hAnsi="Segoe UI" w:cs="Segoe UI"/>
        </w:rPr>
        <w:t xml:space="preserve">The </w:t>
      </w:r>
      <w:r w:rsidR="00661308">
        <w:rPr>
          <w:rFonts w:ascii="Segoe UI" w:hAnsi="Segoe UI" w:cs="Segoe UI"/>
        </w:rPr>
        <w:t>most recent annual</w:t>
      </w:r>
      <w:r w:rsidR="007B62C7" w:rsidRPr="009E0559">
        <w:rPr>
          <w:rFonts w:ascii="Segoe UI" w:hAnsi="Segoe UI" w:cs="Segoe UI"/>
        </w:rPr>
        <w:t xml:space="preserve"> </w:t>
      </w:r>
      <w:r w:rsidR="00211978" w:rsidRPr="009E0559">
        <w:rPr>
          <w:rFonts w:ascii="Segoe UI" w:hAnsi="Segoe UI" w:cs="Segoe UI"/>
        </w:rPr>
        <w:t xml:space="preserve">WRES </w:t>
      </w:r>
      <w:r w:rsidR="00661308">
        <w:rPr>
          <w:rFonts w:ascii="Segoe UI" w:hAnsi="Segoe UI" w:cs="Segoe UI"/>
        </w:rPr>
        <w:t xml:space="preserve">summary </w:t>
      </w:r>
      <w:r w:rsidR="007B62C7" w:rsidRPr="009E0559">
        <w:rPr>
          <w:rFonts w:ascii="Segoe UI" w:hAnsi="Segoe UI" w:cs="Segoe UI"/>
        </w:rPr>
        <w:t>was submitted in August 2018.</w:t>
      </w:r>
    </w:p>
    <w:p w:rsidR="007B62C7" w:rsidRPr="009E0559" w:rsidRDefault="007B62C7" w:rsidP="00AB3ABC">
      <w:pPr>
        <w:rPr>
          <w:rFonts w:ascii="Segoe UI" w:hAnsi="Segoe UI" w:cs="Segoe UI"/>
        </w:rPr>
      </w:pPr>
    </w:p>
    <w:p w:rsidR="007B62C7" w:rsidRPr="009E0559" w:rsidRDefault="007B62C7" w:rsidP="00AB3ABC">
      <w:pPr>
        <w:rPr>
          <w:rFonts w:ascii="Segoe UI" w:hAnsi="Segoe UI" w:cs="Segoe UI"/>
        </w:rPr>
      </w:pPr>
      <w:r w:rsidRPr="009E0559">
        <w:rPr>
          <w:rFonts w:ascii="Segoe UI" w:hAnsi="Segoe UI" w:cs="Segoe UI"/>
        </w:rPr>
        <w:t>One area of improvement that has been identified relates to Indicator 3:</w:t>
      </w:r>
    </w:p>
    <w:p w:rsidR="007B62C7" w:rsidRDefault="007B62C7" w:rsidP="00AB3ABC">
      <w:pPr>
        <w:rPr>
          <w:rFonts w:ascii="Arial" w:hAnsi="Arial" w:cs="Arial"/>
        </w:rPr>
      </w:pPr>
    </w:p>
    <w:p w:rsidR="00355F58" w:rsidRDefault="007B62C7" w:rsidP="00AB3ABC">
      <w:pPr>
        <w:rPr>
          <w:rFonts w:ascii="Arial" w:hAnsi="Arial" w:cs="Arial"/>
        </w:rPr>
      </w:pPr>
      <w:r>
        <w:rPr>
          <w:rFonts w:ascii="Segoe UI" w:hAnsi="Segoe UI" w:cs="Segoe UI"/>
          <w:b/>
          <w:noProof/>
          <w:lang w:eastAsia="en-GB"/>
        </w:rPr>
        <w:drawing>
          <wp:inline distT="0" distB="0" distL="0" distR="0" wp14:anchorId="0CCCEE3B" wp14:editId="2CDC0A34">
            <wp:extent cx="5490210" cy="73614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210" cy="736148"/>
                    </a:xfrm>
                    <a:prstGeom prst="rect">
                      <a:avLst/>
                    </a:prstGeom>
                    <a:noFill/>
                  </pic:spPr>
                </pic:pic>
              </a:graphicData>
            </a:graphic>
          </wp:inline>
        </w:drawing>
      </w:r>
      <w:r>
        <w:rPr>
          <w:rFonts w:ascii="Arial" w:hAnsi="Arial" w:cs="Arial"/>
        </w:rPr>
        <w:t xml:space="preserve"> </w:t>
      </w:r>
    </w:p>
    <w:p w:rsidR="007B62C7" w:rsidRDefault="007B62C7" w:rsidP="00AB3ABC">
      <w:pPr>
        <w:rPr>
          <w:rFonts w:ascii="Arial" w:hAnsi="Arial" w:cs="Arial"/>
        </w:rPr>
      </w:pPr>
    </w:p>
    <w:p w:rsidR="00AC6E26" w:rsidRDefault="00AC6E26" w:rsidP="00AC6E26">
      <w:pPr>
        <w:rPr>
          <w:rFonts w:ascii="Segoe UI" w:hAnsi="Segoe UI" w:cs="Segoe UI"/>
        </w:rPr>
      </w:pPr>
    </w:p>
    <w:p w:rsidR="00AC6E26" w:rsidRPr="009E0559" w:rsidRDefault="00AC6E26" w:rsidP="00AC6E26">
      <w:pPr>
        <w:rPr>
          <w:rFonts w:ascii="Segoe UI" w:hAnsi="Segoe UI" w:cs="Segoe UI"/>
        </w:rPr>
      </w:pPr>
      <w:r>
        <w:rPr>
          <w:rFonts w:ascii="Segoe UI" w:hAnsi="Segoe UI" w:cs="Segoe UI"/>
        </w:rPr>
        <w:t>As at 17</w:t>
      </w:r>
      <w:r w:rsidRPr="00AC6E26">
        <w:rPr>
          <w:rFonts w:ascii="Segoe UI" w:hAnsi="Segoe UI" w:cs="Segoe UI"/>
          <w:vertAlign w:val="superscript"/>
        </w:rPr>
        <w:t>th</w:t>
      </w:r>
      <w:r>
        <w:rPr>
          <w:rFonts w:ascii="Segoe UI" w:hAnsi="Segoe UI" w:cs="Segoe UI"/>
        </w:rPr>
        <w:t xml:space="preserve"> September 2018, 50% of current disciplinary cases involve white staff, 50% staff from a BME background.</w:t>
      </w:r>
    </w:p>
    <w:p w:rsidR="00AC6E26" w:rsidRDefault="00AC6E26" w:rsidP="00AB3ABC">
      <w:pPr>
        <w:rPr>
          <w:rFonts w:ascii="Segoe UI" w:hAnsi="Segoe UI" w:cs="Segoe UI"/>
        </w:rPr>
      </w:pPr>
    </w:p>
    <w:p w:rsidR="00ED3C1F" w:rsidRDefault="007B62C7" w:rsidP="00AB3ABC">
      <w:pPr>
        <w:rPr>
          <w:rFonts w:ascii="Segoe UI" w:hAnsi="Segoe UI" w:cs="Segoe UI"/>
        </w:rPr>
      </w:pPr>
      <w:r w:rsidRPr="009E0559">
        <w:rPr>
          <w:rFonts w:ascii="Segoe UI" w:hAnsi="Segoe UI" w:cs="Segoe UI"/>
        </w:rPr>
        <w:t xml:space="preserve">Further initiatives associated with further improving this </w:t>
      </w:r>
      <w:proofErr w:type="gramStart"/>
      <w:r w:rsidRPr="009E0559">
        <w:rPr>
          <w:rFonts w:ascii="Segoe UI" w:hAnsi="Segoe UI" w:cs="Segoe UI"/>
        </w:rPr>
        <w:t>particular indicator</w:t>
      </w:r>
      <w:proofErr w:type="gramEnd"/>
      <w:r w:rsidRPr="009E0559">
        <w:rPr>
          <w:rFonts w:ascii="Segoe UI" w:hAnsi="Segoe UI" w:cs="Segoe UI"/>
        </w:rPr>
        <w:t xml:space="preserve"> are currently being examined and we will update on these in due course.</w:t>
      </w:r>
    </w:p>
    <w:p w:rsidR="00661308" w:rsidRDefault="00661308" w:rsidP="00AB3ABC">
      <w:pPr>
        <w:rPr>
          <w:rFonts w:ascii="Segoe UI" w:hAnsi="Segoe UI" w:cs="Segoe UI"/>
        </w:rPr>
      </w:pPr>
    </w:p>
    <w:p w:rsidR="00661308" w:rsidRDefault="00661308" w:rsidP="00AB3ABC">
      <w:pPr>
        <w:rPr>
          <w:rFonts w:ascii="Segoe UI" w:hAnsi="Segoe UI" w:cs="Segoe UI"/>
        </w:rPr>
      </w:pPr>
      <w:r>
        <w:rPr>
          <w:rFonts w:ascii="Segoe UI" w:hAnsi="Segoe UI" w:cs="Segoe UI"/>
        </w:rPr>
        <w:lastRenderedPageBreak/>
        <w:t>We are planning to use Black History Month (October) to raise the profile of the WRES data and the underlying issues.</w:t>
      </w:r>
    </w:p>
    <w:p w:rsidR="007B62C7" w:rsidRPr="009E0559" w:rsidRDefault="007B62C7" w:rsidP="00AB3ABC">
      <w:pPr>
        <w:rPr>
          <w:rFonts w:ascii="Segoe UI" w:hAnsi="Segoe UI" w:cs="Segoe UI"/>
        </w:rPr>
      </w:pPr>
    </w:p>
    <w:p w:rsidR="00ED3C1F" w:rsidRPr="009E0559" w:rsidRDefault="003C2BD2" w:rsidP="00AB3ABC">
      <w:pPr>
        <w:rPr>
          <w:rFonts w:ascii="Segoe UI" w:hAnsi="Segoe UI" w:cs="Segoe UI"/>
          <w:b/>
        </w:rPr>
      </w:pPr>
      <w:r w:rsidRPr="009E0559">
        <w:rPr>
          <w:rFonts w:ascii="Segoe UI" w:hAnsi="Segoe UI" w:cs="Segoe UI"/>
          <w:b/>
        </w:rPr>
        <w:t xml:space="preserve">Retention </w:t>
      </w:r>
    </w:p>
    <w:p w:rsidR="00661308" w:rsidRPr="008D26A8" w:rsidRDefault="00661308" w:rsidP="00AB3ABC">
      <w:pPr>
        <w:rPr>
          <w:rFonts w:ascii="Segoe UI" w:hAnsi="Segoe UI" w:cs="Segoe UI"/>
        </w:rPr>
      </w:pPr>
      <w:bookmarkStart w:id="2" w:name="_Hlk524958049"/>
      <w:r w:rsidRPr="008D26A8">
        <w:rPr>
          <w:rFonts w:ascii="Segoe UI" w:hAnsi="Segoe UI" w:cs="Segoe UI"/>
        </w:rPr>
        <w:t>The work on Retention continues and</w:t>
      </w:r>
      <w:r w:rsidR="008D26A8" w:rsidRPr="008D26A8">
        <w:rPr>
          <w:rFonts w:ascii="Segoe UI" w:hAnsi="Segoe UI" w:cs="Segoe UI"/>
        </w:rPr>
        <w:t>,</w:t>
      </w:r>
      <w:r w:rsidRPr="008D26A8">
        <w:rPr>
          <w:rFonts w:ascii="Segoe UI" w:hAnsi="Segoe UI" w:cs="Segoe UI"/>
        </w:rPr>
        <w:t xml:space="preserve"> as can be seen from the data slides</w:t>
      </w:r>
      <w:r w:rsidR="008D26A8" w:rsidRPr="008D26A8">
        <w:rPr>
          <w:rFonts w:ascii="Segoe UI" w:hAnsi="Segoe UI" w:cs="Segoe UI"/>
        </w:rPr>
        <w:t>,</w:t>
      </w:r>
      <w:r w:rsidRPr="008D26A8">
        <w:rPr>
          <w:rFonts w:ascii="Segoe UI" w:hAnsi="Segoe UI" w:cs="Segoe UI"/>
        </w:rPr>
        <w:t xml:space="preserve"> the number of leavers has stabilized but is proving difficult to reduce. At the heart of the Retention strategy is making Oxford Health a great place to work.</w:t>
      </w:r>
    </w:p>
    <w:p w:rsidR="00661308" w:rsidRPr="008D26A8" w:rsidRDefault="00661308" w:rsidP="00AB3ABC">
      <w:pPr>
        <w:rPr>
          <w:rFonts w:ascii="Segoe UI" w:hAnsi="Segoe UI" w:cs="Segoe UI"/>
        </w:rPr>
      </w:pPr>
    </w:p>
    <w:p w:rsidR="004305B2" w:rsidRPr="008D26A8" w:rsidRDefault="00661308" w:rsidP="00AB3ABC">
      <w:pPr>
        <w:rPr>
          <w:rFonts w:ascii="Segoe UI" w:hAnsi="Segoe UI" w:cs="Segoe UI"/>
        </w:rPr>
      </w:pPr>
      <w:r w:rsidRPr="008D26A8">
        <w:rPr>
          <w:rFonts w:ascii="Segoe UI" w:hAnsi="Segoe UI" w:cs="Segoe UI"/>
        </w:rPr>
        <w:t xml:space="preserve">As mentioned above the Stress work is progressing well with strong support from operational leaders and from staff </w:t>
      </w:r>
      <w:proofErr w:type="gramStart"/>
      <w:r w:rsidRPr="008D26A8">
        <w:rPr>
          <w:rFonts w:ascii="Segoe UI" w:hAnsi="Segoe UI" w:cs="Segoe UI"/>
        </w:rPr>
        <w:t>side.</w:t>
      </w:r>
      <w:r w:rsidR="00221DFC" w:rsidRPr="008D26A8">
        <w:rPr>
          <w:rFonts w:ascii="Segoe UI" w:hAnsi="Segoe UI" w:cs="Segoe UI"/>
        </w:rPr>
        <w:t>.</w:t>
      </w:r>
      <w:proofErr w:type="gramEnd"/>
      <w:r w:rsidR="00221DFC" w:rsidRPr="008D26A8">
        <w:rPr>
          <w:rFonts w:ascii="Segoe UI" w:hAnsi="Segoe UI" w:cs="Segoe UI"/>
        </w:rPr>
        <w:t xml:space="preserve"> </w:t>
      </w:r>
    </w:p>
    <w:p w:rsidR="00D97F5E" w:rsidRPr="008D26A8" w:rsidRDefault="00D97F5E" w:rsidP="00AB3ABC">
      <w:pPr>
        <w:rPr>
          <w:rFonts w:ascii="Segoe UI" w:hAnsi="Segoe UI" w:cs="Segoe UI"/>
        </w:rPr>
      </w:pPr>
    </w:p>
    <w:p w:rsidR="0007071D" w:rsidRPr="008D26A8" w:rsidRDefault="004305B2" w:rsidP="00AB3ABC">
      <w:pPr>
        <w:rPr>
          <w:rFonts w:ascii="Segoe UI" w:hAnsi="Segoe UI" w:cs="Segoe UI"/>
        </w:rPr>
      </w:pPr>
      <w:r w:rsidRPr="008D26A8">
        <w:rPr>
          <w:rFonts w:ascii="Segoe UI" w:hAnsi="Segoe UI" w:cs="Segoe UI"/>
        </w:rPr>
        <w:t xml:space="preserve">The Staffing Solutions </w:t>
      </w:r>
      <w:r w:rsidR="00661308" w:rsidRPr="008D26A8">
        <w:rPr>
          <w:rFonts w:ascii="Segoe UI" w:hAnsi="Segoe UI" w:cs="Segoe UI"/>
        </w:rPr>
        <w:t xml:space="preserve">team is being expanded </w:t>
      </w:r>
      <w:proofErr w:type="gramStart"/>
      <w:r w:rsidR="00661308" w:rsidRPr="008D26A8">
        <w:rPr>
          <w:rFonts w:ascii="Segoe UI" w:hAnsi="Segoe UI" w:cs="Segoe UI"/>
        </w:rPr>
        <w:t>in order to</w:t>
      </w:r>
      <w:proofErr w:type="gramEnd"/>
      <w:r w:rsidR="00661308" w:rsidRPr="008D26A8">
        <w:rPr>
          <w:rFonts w:ascii="Segoe UI" w:hAnsi="Segoe UI" w:cs="Segoe UI"/>
        </w:rPr>
        <w:t xml:space="preserve"> give us a bigger and stronger staff bank. This will enable us to continue to reduce reliance on agency personnel – we know from our </w:t>
      </w:r>
      <w:r w:rsidR="0007071D" w:rsidRPr="008D26A8">
        <w:rPr>
          <w:rFonts w:ascii="Segoe UI" w:hAnsi="Segoe UI" w:cs="Segoe UI"/>
        </w:rPr>
        <w:t xml:space="preserve">employed </w:t>
      </w:r>
      <w:r w:rsidR="00661308" w:rsidRPr="008D26A8">
        <w:rPr>
          <w:rFonts w:ascii="Segoe UI" w:hAnsi="Segoe UI" w:cs="Segoe UI"/>
        </w:rPr>
        <w:t>staff that there is significant frustration at the level of agency staff engaged</w:t>
      </w:r>
      <w:r w:rsidR="0007071D" w:rsidRPr="008D26A8">
        <w:rPr>
          <w:rFonts w:ascii="Segoe UI" w:hAnsi="Segoe UI" w:cs="Segoe UI"/>
        </w:rPr>
        <w:t xml:space="preserve"> across the Trust</w:t>
      </w:r>
      <w:r w:rsidR="00661308" w:rsidRPr="008D26A8">
        <w:rPr>
          <w:rFonts w:ascii="Segoe UI" w:hAnsi="Segoe UI" w:cs="Segoe UI"/>
        </w:rPr>
        <w:t>. We have made the bank more attractive in terms of pay rates and shift availability.</w:t>
      </w:r>
    </w:p>
    <w:p w:rsidR="007E3D51" w:rsidRPr="008D26A8" w:rsidRDefault="0007071D" w:rsidP="00AB3ABC">
      <w:pPr>
        <w:rPr>
          <w:rFonts w:ascii="Segoe UI" w:hAnsi="Segoe UI" w:cs="Segoe UI"/>
        </w:rPr>
      </w:pPr>
      <w:r w:rsidRPr="008D26A8">
        <w:rPr>
          <w:rFonts w:ascii="Segoe UI" w:hAnsi="Segoe UI" w:cs="Segoe UI"/>
        </w:rPr>
        <w:t xml:space="preserve"> </w:t>
      </w:r>
    </w:p>
    <w:p w:rsidR="007E3D51" w:rsidRPr="008D26A8" w:rsidRDefault="00D574A6" w:rsidP="00AB3ABC">
      <w:pPr>
        <w:rPr>
          <w:rFonts w:ascii="Segoe UI" w:hAnsi="Segoe UI" w:cs="Segoe UI"/>
        </w:rPr>
      </w:pPr>
      <w:r w:rsidRPr="008D26A8">
        <w:rPr>
          <w:rFonts w:ascii="Segoe UI" w:hAnsi="Segoe UI" w:cs="Segoe UI"/>
        </w:rPr>
        <w:t xml:space="preserve">We </w:t>
      </w:r>
      <w:r w:rsidR="0007071D" w:rsidRPr="008D26A8">
        <w:rPr>
          <w:rFonts w:ascii="Segoe UI" w:hAnsi="Segoe UI" w:cs="Segoe UI"/>
        </w:rPr>
        <w:t>have started discussions</w:t>
      </w:r>
      <w:r w:rsidR="008D26A8" w:rsidRPr="008D26A8">
        <w:rPr>
          <w:rFonts w:ascii="Segoe UI" w:hAnsi="Segoe UI" w:cs="Segoe UI"/>
        </w:rPr>
        <w:t xml:space="preserve"> at the senior level</w:t>
      </w:r>
      <w:r w:rsidR="0007071D" w:rsidRPr="008D26A8">
        <w:rPr>
          <w:rFonts w:ascii="Segoe UI" w:hAnsi="Segoe UI" w:cs="Segoe UI"/>
        </w:rPr>
        <w:t xml:space="preserve"> about talent and succession and </w:t>
      </w:r>
      <w:r w:rsidR="007E3D51" w:rsidRPr="008D26A8">
        <w:rPr>
          <w:rFonts w:ascii="Segoe UI" w:hAnsi="Segoe UI" w:cs="Segoe UI"/>
        </w:rPr>
        <w:t>intend to develop a work stream for the management of talent to be used throughout the Trust</w:t>
      </w:r>
      <w:r w:rsidR="008D26A8" w:rsidRPr="008D26A8">
        <w:rPr>
          <w:rFonts w:ascii="Segoe UI" w:hAnsi="Segoe UI" w:cs="Segoe UI"/>
        </w:rPr>
        <w:t>, working with L&amp;D and</w:t>
      </w:r>
      <w:r w:rsidRPr="008D26A8">
        <w:rPr>
          <w:rFonts w:ascii="Segoe UI" w:hAnsi="Segoe UI" w:cs="Segoe UI"/>
        </w:rPr>
        <w:t>, using guidance and templates from HEE</w:t>
      </w:r>
      <w:r w:rsidR="007E3D51" w:rsidRPr="008D26A8">
        <w:rPr>
          <w:rFonts w:ascii="Segoe UI" w:hAnsi="Segoe UI" w:cs="Segoe UI"/>
        </w:rPr>
        <w:t xml:space="preserve">.  Staff have indicated that lack of development is </w:t>
      </w:r>
      <w:r w:rsidR="0007071D" w:rsidRPr="008D26A8">
        <w:rPr>
          <w:rFonts w:ascii="Segoe UI" w:hAnsi="Segoe UI" w:cs="Segoe UI"/>
        </w:rPr>
        <w:t>one of the</w:t>
      </w:r>
      <w:r w:rsidR="007E3D51" w:rsidRPr="008D26A8">
        <w:rPr>
          <w:rFonts w:ascii="Segoe UI" w:hAnsi="Segoe UI" w:cs="Segoe UI"/>
        </w:rPr>
        <w:t xml:space="preserve"> top reason</w:t>
      </w:r>
      <w:r w:rsidR="0007071D" w:rsidRPr="008D26A8">
        <w:rPr>
          <w:rFonts w:ascii="Segoe UI" w:hAnsi="Segoe UI" w:cs="Segoe UI"/>
        </w:rPr>
        <w:t>s</w:t>
      </w:r>
      <w:r w:rsidR="007E3D51" w:rsidRPr="008D26A8">
        <w:rPr>
          <w:rFonts w:ascii="Segoe UI" w:hAnsi="Segoe UI" w:cs="Segoe UI"/>
        </w:rPr>
        <w:t xml:space="preserve"> for leaving the trust</w:t>
      </w:r>
      <w:r w:rsidR="0007071D" w:rsidRPr="008D26A8">
        <w:rPr>
          <w:rFonts w:ascii="Segoe UI" w:hAnsi="Segoe UI" w:cs="Segoe UI"/>
        </w:rPr>
        <w:t xml:space="preserve">. With </w:t>
      </w:r>
      <w:r w:rsidR="007E3D51" w:rsidRPr="008D26A8">
        <w:rPr>
          <w:rFonts w:ascii="Segoe UI" w:hAnsi="Segoe UI" w:cs="Segoe UI"/>
        </w:rPr>
        <w:t>so many vacancies and opportunities available we</w:t>
      </w:r>
      <w:r w:rsidR="0007071D" w:rsidRPr="008D26A8">
        <w:rPr>
          <w:rFonts w:ascii="Segoe UI" w:hAnsi="Segoe UI" w:cs="Segoe UI"/>
        </w:rPr>
        <w:t xml:space="preserve"> need to improve</w:t>
      </w:r>
      <w:r w:rsidR="007E3D51" w:rsidRPr="008D26A8">
        <w:rPr>
          <w:rFonts w:ascii="Segoe UI" w:hAnsi="Segoe UI" w:cs="Segoe UI"/>
        </w:rPr>
        <w:t xml:space="preserve"> management of talent </w:t>
      </w:r>
      <w:r w:rsidR="0007071D" w:rsidRPr="008D26A8">
        <w:rPr>
          <w:rFonts w:ascii="Segoe UI" w:hAnsi="Segoe UI" w:cs="Segoe UI"/>
        </w:rPr>
        <w:t>and the understanding of career development opportunities</w:t>
      </w:r>
      <w:r w:rsidR="007E3D51" w:rsidRPr="008D26A8">
        <w:rPr>
          <w:rFonts w:ascii="Segoe UI" w:hAnsi="Segoe UI" w:cs="Segoe UI"/>
        </w:rPr>
        <w:t xml:space="preserve"> an essential part of our work programme.</w:t>
      </w:r>
    </w:p>
    <w:p w:rsidR="0007071D" w:rsidRPr="008D26A8" w:rsidRDefault="0007071D" w:rsidP="00AB3ABC">
      <w:pPr>
        <w:rPr>
          <w:rFonts w:ascii="Segoe UI" w:hAnsi="Segoe UI" w:cs="Segoe UI"/>
        </w:rPr>
      </w:pPr>
    </w:p>
    <w:p w:rsidR="0007071D" w:rsidRPr="008D26A8" w:rsidRDefault="0007071D" w:rsidP="00AB3ABC">
      <w:pPr>
        <w:rPr>
          <w:rFonts w:ascii="Segoe UI" w:hAnsi="Segoe UI" w:cs="Segoe UI"/>
        </w:rPr>
      </w:pPr>
      <w:r w:rsidRPr="008D26A8">
        <w:rPr>
          <w:rFonts w:ascii="Segoe UI" w:hAnsi="Segoe UI" w:cs="Segoe UI"/>
        </w:rPr>
        <w:t>We are working with other local Trusts to jointly evaluate other ideas including “itchy feet” conversations for people who may be ready for a move.</w:t>
      </w:r>
      <w:r w:rsidR="008D26A8" w:rsidRPr="008D26A8">
        <w:rPr>
          <w:rFonts w:ascii="Segoe UI" w:hAnsi="Segoe UI" w:cs="Segoe UI"/>
        </w:rPr>
        <w:t xml:space="preserve"> </w:t>
      </w:r>
    </w:p>
    <w:p w:rsidR="008D26A8" w:rsidRPr="008D26A8" w:rsidRDefault="008D26A8" w:rsidP="00AB3ABC">
      <w:pPr>
        <w:rPr>
          <w:rFonts w:ascii="Segoe UI" w:hAnsi="Segoe UI" w:cs="Segoe UI"/>
        </w:rPr>
      </w:pPr>
    </w:p>
    <w:p w:rsidR="008D26A8" w:rsidRPr="008D26A8" w:rsidRDefault="008D26A8" w:rsidP="00AB3ABC">
      <w:pPr>
        <w:rPr>
          <w:rFonts w:ascii="Segoe UI" w:hAnsi="Segoe UI" w:cs="Segoe UI"/>
        </w:rPr>
      </w:pPr>
      <w:r w:rsidRPr="008D26A8">
        <w:rPr>
          <w:rFonts w:ascii="Segoe UI" w:hAnsi="Segoe UI" w:cs="Segoe UI"/>
        </w:rPr>
        <w:t>The work on Equality and Diversity continues and powerful workshops on disability have been held with around 200 leaders.</w:t>
      </w:r>
    </w:p>
    <w:p w:rsidR="00CD3DE3" w:rsidRPr="008D26A8" w:rsidRDefault="00CD3DE3" w:rsidP="00AB3ABC">
      <w:pPr>
        <w:rPr>
          <w:rFonts w:ascii="Segoe UI" w:hAnsi="Segoe UI" w:cs="Segoe UI"/>
        </w:rPr>
      </w:pPr>
    </w:p>
    <w:p w:rsidR="00CD3DE3" w:rsidRPr="008D26A8" w:rsidRDefault="00CD3DE3" w:rsidP="00AB3ABC">
      <w:pPr>
        <w:rPr>
          <w:rFonts w:ascii="Segoe UI" w:hAnsi="Segoe UI" w:cs="Segoe UI"/>
        </w:rPr>
      </w:pPr>
      <w:r w:rsidRPr="008D26A8">
        <w:rPr>
          <w:rFonts w:ascii="Segoe UI" w:hAnsi="Segoe UI" w:cs="Segoe UI"/>
        </w:rPr>
        <w:t xml:space="preserve">The Senior HR Business Partners have now been allocated to each Directorate and will </w:t>
      </w:r>
      <w:r w:rsidR="0007071D" w:rsidRPr="008D26A8">
        <w:rPr>
          <w:rFonts w:ascii="Segoe UI" w:hAnsi="Segoe UI" w:cs="Segoe UI"/>
        </w:rPr>
        <w:t xml:space="preserve">support the </w:t>
      </w:r>
      <w:r w:rsidRPr="008D26A8">
        <w:rPr>
          <w:rFonts w:ascii="Segoe UI" w:hAnsi="Segoe UI" w:cs="Segoe UI"/>
        </w:rPr>
        <w:t>work-streams on Stress, EDI,</w:t>
      </w:r>
      <w:r w:rsidR="00D574A6" w:rsidRPr="008D26A8">
        <w:rPr>
          <w:rFonts w:ascii="Segoe UI" w:hAnsi="Segoe UI" w:cs="Segoe UI"/>
        </w:rPr>
        <w:t xml:space="preserve"> Reward and Development with</w:t>
      </w:r>
      <w:r w:rsidRPr="008D26A8">
        <w:rPr>
          <w:rFonts w:ascii="Segoe UI" w:hAnsi="Segoe UI" w:cs="Segoe UI"/>
        </w:rPr>
        <w:t xml:space="preserve"> the Senior Managers in each directorate.  In addition, the SHRBP will support the organization with improved management of change, complex Employee Relations and</w:t>
      </w:r>
      <w:r w:rsidR="007E3D51" w:rsidRPr="008D26A8">
        <w:rPr>
          <w:rFonts w:ascii="Segoe UI" w:hAnsi="Segoe UI" w:cs="Segoe UI"/>
        </w:rPr>
        <w:t xml:space="preserve"> management of their talent.</w:t>
      </w:r>
      <w:r w:rsidRPr="008D26A8">
        <w:rPr>
          <w:rFonts w:ascii="Segoe UI" w:hAnsi="Segoe UI" w:cs="Segoe UI"/>
        </w:rPr>
        <w:t xml:space="preserve"> </w:t>
      </w:r>
    </w:p>
    <w:bookmarkEnd w:id="2"/>
    <w:p w:rsidR="00DA6E73" w:rsidRPr="00B327BE" w:rsidRDefault="00DA6E73" w:rsidP="00AB3ABC">
      <w:pPr>
        <w:rPr>
          <w:rFonts w:ascii="Segoe UI" w:hAnsi="Segoe UI" w:cs="Segoe UI"/>
          <w:i/>
        </w:rPr>
      </w:pPr>
    </w:p>
    <w:p w:rsidR="00F24050" w:rsidRDefault="00F24050" w:rsidP="00AB3ABC">
      <w:pPr>
        <w:rPr>
          <w:rFonts w:ascii="Segoe UI" w:hAnsi="Segoe UI" w:cs="Segoe UI"/>
          <w:b/>
        </w:rPr>
      </w:pPr>
    </w:p>
    <w:p w:rsidR="00F24050" w:rsidRDefault="00F24050" w:rsidP="00AB3ABC">
      <w:pPr>
        <w:rPr>
          <w:rFonts w:ascii="Segoe UI" w:hAnsi="Segoe UI" w:cs="Segoe UI"/>
          <w:b/>
        </w:rPr>
      </w:pPr>
    </w:p>
    <w:p w:rsidR="00F24050" w:rsidRPr="00F24050" w:rsidRDefault="00F24050" w:rsidP="00F24050">
      <w:pPr>
        <w:jc w:val="right"/>
        <w:rPr>
          <w:rFonts w:ascii="Segoe UI" w:hAnsi="Segoe UI" w:cs="Segoe UI"/>
        </w:rPr>
      </w:pPr>
      <w:r w:rsidRPr="00F24050">
        <w:rPr>
          <w:rFonts w:ascii="Segoe UI" w:hAnsi="Segoe UI" w:cs="Segoe UI"/>
        </w:rPr>
        <w:t>Continued /</w:t>
      </w:r>
    </w:p>
    <w:p w:rsidR="005E6BC3" w:rsidRPr="009E0559" w:rsidRDefault="00DA6E73" w:rsidP="00AB3ABC">
      <w:pPr>
        <w:rPr>
          <w:rFonts w:ascii="Segoe UI" w:hAnsi="Segoe UI" w:cs="Segoe UI"/>
          <w:b/>
        </w:rPr>
      </w:pPr>
      <w:r w:rsidRPr="009E0559">
        <w:rPr>
          <w:rFonts w:ascii="Segoe UI" w:hAnsi="Segoe UI" w:cs="Segoe UI"/>
          <w:b/>
        </w:rPr>
        <w:lastRenderedPageBreak/>
        <w:t>Pay Review – NHS Terms and Conditions</w:t>
      </w:r>
      <w:r w:rsidR="009E0559" w:rsidRPr="009E0559">
        <w:rPr>
          <w:rFonts w:ascii="Segoe UI" w:hAnsi="Segoe UI" w:cs="Segoe UI"/>
          <w:b/>
        </w:rPr>
        <w:t xml:space="preserve"> Refresh</w:t>
      </w:r>
    </w:p>
    <w:p w:rsidR="00DA6E73" w:rsidRPr="009E0559" w:rsidRDefault="009E0559" w:rsidP="00AB3ABC">
      <w:pPr>
        <w:rPr>
          <w:rFonts w:ascii="Segoe UI" w:hAnsi="Segoe UI" w:cs="Segoe UI"/>
        </w:rPr>
      </w:pPr>
      <w:r w:rsidRPr="009E0559">
        <w:rPr>
          <w:rFonts w:ascii="Segoe UI" w:hAnsi="Segoe UI" w:cs="Segoe UI"/>
        </w:rPr>
        <w:t>Work is progressing in relation to the changes introduced by the 2018 Terms &amp; Conditions Refresh. Band 1 job descriptions are being reviewed and no new entrants will join on Band 1 from December 2018.</w:t>
      </w:r>
    </w:p>
    <w:p w:rsidR="00DA6E73" w:rsidRPr="009E0559" w:rsidRDefault="00DA6E73" w:rsidP="00AB3ABC">
      <w:pPr>
        <w:rPr>
          <w:rFonts w:ascii="Segoe UI" w:hAnsi="Segoe UI" w:cs="Segoe UI"/>
          <w:b/>
        </w:rPr>
      </w:pPr>
    </w:p>
    <w:p w:rsidR="00AC6E26" w:rsidRDefault="00AC6E26" w:rsidP="00C93210">
      <w:pPr>
        <w:jc w:val="both"/>
        <w:rPr>
          <w:rFonts w:ascii="Segoe UI" w:hAnsi="Segoe UI" w:cs="Segoe UI"/>
          <w:b/>
        </w:rPr>
      </w:pPr>
      <w:r>
        <w:rPr>
          <w:rFonts w:ascii="Segoe UI" w:hAnsi="Segoe UI" w:cs="Segoe UI"/>
          <w:b/>
        </w:rPr>
        <w:t>Job Evaluation</w:t>
      </w:r>
    </w:p>
    <w:p w:rsidR="00AC6E26" w:rsidRDefault="00AC6E26" w:rsidP="00AC6E26">
      <w:pPr>
        <w:jc w:val="both"/>
        <w:rPr>
          <w:rFonts w:ascii="Segoe UI" w:hAnsi="Segoe UI" w:cs="Segoe UI"/>
          <w:bCs/>
        </w:rPr>
      </w:pPr>
      <w:r>
        <w:rPr>
          <w:rFonts w:ascii="Segoe UI" w:hAnsi="Segoe UI" w:cs="Segoe UI"/>
          <w:bCs/>
        </w:rPr>
        <w:t>In the summer of 2017 we began a project to move to a new system to support the job evaluation process. Prior to this change the</w:t>
      </w:r>
      <w:r w:rsidR="000D2077">
        <w:rPr>
          <w:rFonts w:ascii="Segoe UI" w:hAnsi="Segoe UI" w:cs="Segoe UI"/>
          <w:bCs/>
        </w:rPr>
        <w:t xml:space="preserve"> turnaround time was 70-84 days</w:t>
      </w:r>
      <w:r>
        <w:rPr>
          <w:rFonts w:ascii="Segoe UI" w:hAnsi="Segoe UI" w:cs="Segoe UI"/>
          <w:bCs/>
        </w:rPr>
        <w:t xml:space="preserve">. This restricted the ability to support change </w:t>
      </w:r>
      <w:r w:rsidR="008D26A8">
        <w:rPr>
          <w:rFonts w:ascii="Segoe UI" w:hAnsi="Segoe UI" w:cs="Segoe UI"/>
          <w:bCs/>
        </w:rPr>
        <w:t>in an agile way</w:t>
      </w:r>
      <w:r>
        <w:rPr>
          <w:rFonts w:ascii="Segoe UI" w:hAnsi="Segoe UI" w:cs="Segoe UI"/>
          <w:bCs/>
        </w:rPr>
        <w:t xml:space="preserve">. </w:t>
      </w:r>
    </w:p>
    <w:p w:rsidR="00AC6E26" w:rsidRDefault="00AC6E26" w:rsidP="00AC6E26">
      <w:pPr>
        <w:jc w:val="both"/>
        <w:rPr>
          <w:rFonts w:ascii="Segoe UI" w:hAnsi="Segoe UI" w:cs="Segoe UI"/>
          <w:bCs/>
        </w:rPr>
      </w:pPr>
    </w:p>
    <w:p w:rsidR="00AC6E26" w:rsidRDefault="00AC6E26" w:rsidP="00AC6E26">
      <w:pPr>
        <w:jc w:val="both"/>
        <w:rPr>
          <w:rFonts w:ascii="Segoe UI" w:hAnsi="Segoe UI" w:cs="Segoe UI"/>
          <w:bCs/>
        </w:rPr>
      </w:pPr>
      <w:r>
        <w:rPr>
          <w:rFonts w:ascii="Segoe UI" w:hAnsi="Segoe UI" w:cs="Segoe UI"/>
          <w:bCs/>
        </w:rPr>
        <w:t xml:space="preserve">One year on, we have a good quality system with an auditable trail </w:t>
      </w:r>
      <w:proofErr w:type="gramStart"/>
      <w:r>
        <w:rPr>
          <w:rFonts w:ascii="Segoe UI" w:hAnsi="Segoe UI" w:cs="Segoe UI"/>
          <w:bCs/>
        </w:rPr>
        <w:t>with  practitioners</w:t>
      </w:r>
      <w:proofErr w:type="gramEnd"/>
      <w:r>
        <w:rPr>
          <w:rFonts w:ascii="Segoe UI" w:hAnsi="Segoe UI" w:cs="Segoe UI"/>
          <w:bCs/>
        </w:rPr>
        <w:t xml:space="preserve"> who have had refreshed skills training in the job evaluation process. We also have a developing job description library. The average turnaround time has reduced to 21 days.</w:t>
      </w:r>
    </w:p>
    <w:p w:rsidR="00AC6E26" w:rsidRDefault="00AC6E26" w:rsidP="00AC6E26">
      <w:pPr>
        <w:jc w:val="both"/>
        <w:rPr>
          <w:rFonts w:ascii="Segoe UI" w:hAnsi="Segoe UI" w:cs="Segoe UI"/>
          <w:bCs/>
        </w:rPr>
      </w:pPr>
    </w:p>
    <w:p w:rsidR="00C93210" w:rsidRPr="009E0559" w:rsidRDefault="00C93210" w:rsidP="00C93210">
      <w:pPr>
        <w:jc w:val="both"/>
        <w:rPr>
          <w:rFonts w:ascii="Segoe UI" w:hAnsi="Segoe UI" w:cs="Segoe UI"/>
          <w:b/>
        </w:rPr>
      </w:pPr>
      <w:r w:rsidRPr="009E0559">
        <w:rPr>
          <w:rFonts w:ascii="Segoe UI" w:hAnsi="Segoe UI" w:cs="Segoe UI"/>
          <w:b/>
        </w:rPr>
        <w:t>Recommendation</w:t>
      </w:r>
    </w:p>
    <w:p w:rsidR="00C93210" w:rsidRPr="009E0559" w:rsidRDefault="00C93210" w:rsidP="00C93210">
      <w:pPr>
        <w:ind w:left="-851" w:firstLine="851"/>
        <w:jc w:val="both"/>
        <w:rPr>
          <w:rFonts w:ascii="Segoe UI" w:hAnsi="Segoe UI" w:cs="Segoe UI"/>
        </w:rPr>
      </w:pPr>
      <w:r w:rsidRPr="009E0559">
        <w:rPr>
          <w:rFonts w:ascii="Segoe UI" w:hAnsi="Segoe UI" w:cs="Segoe UI"/>
        </w:rPr>
        <w:t>To note the report for information.</w:t>
      </w:r>
    </w:p>
    <w:p w:rsidR="00C93210" w:rsidRPr="009E0559" w:rsidRDefault="00CD3DE3" w:rsidP="00C93210">
      <w:pPr>
        <w:ind w:left="-851" w:firstLine="851"/>
        <w:jc w:val="both"/>
        <w:rPr>
          <w:rFonts w:ascii="Segoe UI" w:hAnsi="Segoe UI" w:cs="Segoe UI"/>
        </w:rPr>
      </w:pPr>
      <w:r w:rsidRPr="009E0559">
        <w:rPr>
          <w:rFonts w:ascii="Segoe UI" w:hAnsi="Segoe UI" w:cs="Segoe UI"/>
        </w:rPr>
        <w:t xml:space="preserve"> </w:t>
      </w:r>
    </w:p>
    <w:p w:rsidR="00C93210" w:rsidRPr="009E0559" w:rsidRDefault="00C93210" w:rsidP="00C93210">
      <w:pPr>
        <w:ind w:left="1440" w:hanging="1440"/>
        <w:jc w:val="both"/>
        <w:rPr>
          <w:rFonts w:ascii="Segoe UI" w:hAnsi="Segoe UI" w:cs="Segoe UI"/>
        </w:rPr>
      </w:pPr>
      <w:r w:rsidRPr="009E0559">
        <w:rPr>
          <w:rFonts w:ascii="Segoe UI" w:hAnsi="Segoe UI" w:cs="Segoe UI"/>
          <w:b/>
        </w:rPr>
        <w:t>Author and Title:</w:t>
      </w:r>
      <w:r w:rsidRPr="009E0559">
        <w:rPr>
          <w:rFonts w:ascii="Segoe UI" w:hAnsi="Segoe UI" w:cs="Segoe UI"/>
        </w:rPr>
        <w:t xml:space="preserve"> </w:t>
      </w:r>
      <w:r w:rsidRPr="009E0559">
        <w:rPr>
          <w:rFonts w:ascii="Segoe UI" w:hAnsi="Segoe UI" w:cs="Segoe UI"/>
        </w:rPr>
        <w:tab/>
      </w:r>
    </w:p>
    <w:p w:rsidR="00C93210" w:rsidRPr="009E0559" w:rsidRDefault="00C93210" w:rsidP="00C93210">
      <w:pPr>
        <w:ind w:left="1440" w:hanging="1440"/>
        <w:jc w:val="both"/>
        <w:rPr>
          <w:rFonts w:ascii="Segoe UI" w:hAnsi="Segoe UI" w:cs="Segoe UI"/>
        </w:rPr>
      </w:pPr>
      <w:r w:rsidRPr="009E0559">
        <w:rPr>
          <w:rFonts w:ascii="Segoe UI" w:hAnsi="Segoe UI" w:cs="Segoe UI"/>
        </w:rPr>
        <w:t>Simon Denton (Head of HR Operations)</w:t>
      </w:r>
    </w:p>
    <w:p w:rsidR="00C93210" w:rsidRPr="009E0559" w:rsidRDefault="00C93210" w:rsidP="00C93210">
      <w:pPr>
        <w:ind w:left="1440" w:hanging="1440"/>
        <w:jc w:val="both"/>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Lead Executive Director:</w:t>
      </w:r>
      <w:r w:rsidRPr="009E0559">
        <w:rPr>
          <w:rFonts w:ascii="Segoe UI" w:hAnsi="Segoe UI" w:cs="Segoe UI"/>
          <w:b/>
        </w:rPr>
        <w:tab/>
      </w:r>
    </w:p>
    <w:p w:rsidR="003927AC" w:rsidRPr="009E0559" w:rsidRDefault="00C93210" w:rsidP="00AE4E0F">
      <w:pPr>
        <w:jc w:val="both"/>
        <w:rPr>
          <w:rFonts w:ascii="Segoe UI" w:hAnsi="Segoe UI" w:cs="Segoe UI"/>
        </w:rPr>
      </w:pPr>
      <w:r w:rsidRPr="009E0559">
        <w:rPr>
          <w:rFonts w:ascii="Segoe UI" w:hAnsi="Segoe UI" w:cs="Segoe UI"/>
        </w:rPr>
        <w:t>Tim Boylin</w:t>
      </w:r>
    </w:p>
    <w:sectPr w:rsidR="003927AC" w:rsidRPr="009E0559" w:rsidSect="00262F0F">
      <w:footerReference w:type="default" r:id="rId10"/>
      <w:head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0D1F31">
          <w:rPr>
            <w:noProof/>
          </w:rPr>
          <w:t>5</w:t>
        </w:r>
        <w:r>
          <w:rPr>
            <w:noProof/>
          </w:rPr>
          <w:fldChar w:fldCharType="end"/>
        </w:r>
      </w:p>
    </w:sdtContent>
  </w:sdt>
  <w:p w:rsidR="0014199A" w:rsidRDefault="0014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9A" w:rsidRPr="00866990" w:rsidRDefault="0014199A" w:rsidP="00866990">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15"/>
  </w:num>
  <w:num w:numId="4">
    <w:abstractNumId w:val="5"/>
  </w:num>
  <w:num w:numId="5">
    <w:abstractNumId w:val="17"/>
  </w:num>
  <w:num w:numId="6">
    <w:abstractNumId w:val="7"/>
  </w:num>
  <w:num w:numId="7">
    <w:abstractNumId w:val="3"/>
  </w:num>
  <w:num w:numId="8">
    <w:abstractNumId w:val="14"/>
  </w:num>
  <w:num w:numId="9">
    <w:abstractNumId w:val="12"/>
  </w:num>
  <w:num w:numId="10">
    <w:abstractNumId w:val="16"/>
  </w:num>
  <w:num w:numId="11">
    <w:abstractNumId w:val="4"/>
  </w:num>
  <w:num w:numId="12">
    <w:abstractNumId w:val="2"/>
  </w:num>
  <w:num w:numId="13">
    <w:abstractNumId w:val="19"/>
  </w:num>
  <w:num w:numId="14">
    <w:abstractNumId w:val="13"/>
  </w:num>
  <w:num w:numId="15">
    <w:abstractNumId w:val="0"/>
  </w:num>
  <w:num w:numId="16">
    <w:abstractNumId w:val="1"/>
  </w:num>
  <w:num w:numId="17">
    <w:abstractNumId w:val="10"/>
  </w:num>
  <w:num w:numId="18">
    <w:abstractNumId w:val="8"/>
  </w:num>
  <w:num w:numId="19">
    <w:abstractNumId w:val="9"/>
  </w:num>
  <w:num w:numId="20">
    <w:abstractNumId w:val="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30247"/>
    <w:rsid w:val="0007071D"/>
    <w:rsid w:val="00071842"/>
    <w:rsid w:val="000A3A29"/>
    <w:rsid w:val="000A5A07"/>
    <w:rsid w:val="000B420F"/>
    <w:rsid w:val="000D1F31"/>
    <w:rsid w:val="000D2077"/>
    <w:rsid w:val="000E317C"/>
    <w:rsid w:val="000E4FE4"/>
    <w:rsid w:val="001058A7"/>
    <w:rsid w:val="00132602"/>
    <w:rsid w:val="0014199A"/>
    <w:rsid w:val="00145747"/>
    <w:rsid w:val="0018367D"/>
    <w:rsid w:val="001A126D"/>
    <w:rsid w:val="001A3571"/>
    <w:rsid w:val="001B5873"/>
    <w:rsid w:val="001D0455"/>
    <w:rsid w:val="001D39E4"/>
    <w:rsid w:val="001F303A"/>
    <w:rsid w:val="001F76ED"/>
    <w:rsid w:val="00205245"/>
    <w:rsid w:val="00211978"/>
    <w:rsid w:val="00221DFC"/>
    <w:rsid w:val="002250DE"/>
    <w:rsid w:val="00227FCE"/>
    <w:rsid w:val="00241A66"/>
    <w:rsid w:val="002619EF"/>
    <w:rsid w:val="00262F0F"/>
    <w:rsid w:val="00267DE0"/>
    <w:rsid w:val="0028206A"/>
    <w:rsid w:val="002821F8"/>
    <w:rsid w:val="0028603C"/>
    <w:rsid w:val="00292613"/>
    <w:rsid w:val="002A73E8"/>
    <w:rsid w:val="002C2F97"/>
    <w:rsid w:val="002E6FC6"/>
    <w:rsid w:val="00306AF0"/>
    <w:rsid w:val="00321B03"/>
    <w:rsid w:val="00355F58"/>
    <w:rsid w:val="003828D4"/>
    <w:rsid w:val="003927AC"/>
    <w:rsid w:val="003971F6"/>
    <w:rsid w:val="003C2BD2"/>
    <w:rsid w:val="003F2AF4"/>
    <w:rsid w:val="003F7366"/>
    <w:rsid w:val="00406DBA"/>
    <w:rsid w:val="004305B2"/>
    <w:rsid w:val="004326BB"/>
    <w:rsid w:val="004547E1"/>
    <w:rsid w:val="00456DDE"/>
    <w:rsid w:val="0047158A"/>
    <w:rsid w:val="004742D0"/>
    <w:rsid w:val="004F3BE2"/>
    <w:rsid w:val="004F3DAD"/>
    <w:rsid w:val="004F4BBA"/>
    <w:rsid w:val="00503660"/>
    <w:rsid w:val="0051104E"/>
    <w:rsid w:val="005233AA"/>
    <w:rsid w:val="005302A3"/>
    <w:rsid w:val="00534040"/>
    <w:rsid w:val="00541187"/>
    <w:rsid w:val="00551AD9"/>
    <w:rsid w:val="00551B0F"/>
    <w:rsid w:val="005659FB"/>
    <w:rsid w:val="005B3E3C"/>
    <w:rsid w:val="005C098E"/>
    <w:rsid w:val="005C3FC1"/>
    <w:rsid w:val="005D3499"/>
    <w:rsid w:val="005E2583"/>
    <w:rsid w:val="005E6BC3"/>
    <w:rsid w:val="005F2CB6"/>
    <w:rsid w:val="0061684E"/>
    <w:rsid w:val="00632413"/>
    <w:rsid w:val="00661308"/>
    <w:rsid w:val="00677185"/>
    <w:rsid w:val="00677292"/>
    <w:rsid w:val="00697D48"/>
    <w:rsid w:val="006B14EF"/>
    <w:rsid w:val="006E3C3E"/>
    <w:rsid w:val="006F2F62"/>
    <w:rsid w:val="0073522A"/>
    <w:rsid w:val="0077417C"/>
    <w:rsid w:val="007769CD"/>
    <w:rsid w:val="0078032B"/>
    <w:rsid w:val="00781566"/>
    <w:rsid w:val="007930EA"/>
    <w:rsid w:val="007976E7"/>
    <w:rsid w:val="007A2CF0"/>
    <w:rsid w:val="007A59BB"/>
    <w:rsid w:val="007B02FB"/>
    <w:rsid w:val="007B43CD"/>
    <w:rsid w:val="007B62C7"/>
    <w:rsid w:val="007B6D77"/>
    <w:rsid w:val="007E3D51"/>
    <w:rsid w:val="007E47DF"/>
    <w:rsid w:val="00802701"/>
    <w:rsid w:val="008038A2"/>
    <w:rsid w:val="008114CC"/>
    <w:rsid w:val="00811FE8"/>
    <w:rsid w:val="0084720C"/>
    <w:rsid w:val="0086436B"/>
    <w:rsid w:val="00866990"/>
    <w:rsid w:val="00894B97"/>
    <w:rsid w:val="008B723F"/>
    <w:rsid w:val="008D26A8"/>
    <w:rsid w:val="008D50F7"/>
    <w:rsid w:val="00910617"/>
    <w:rsid w:val="00946E6E"/>
    <w:rsid w:val="009860CC"/>
    <w:rsid w:val="009869DE"/>
    <w:rsid w:val="009E0559"/>
    <w:rsid w:val="00A2080F"/>
    <w:rsid w:val="00A674FB"/>
    <w:rsid w:val="00A76C2F"/>
    <w:rsid w:val="00A85311"/>
    <w:rsid w:val="00A86977"/>
    <w:rsid w:val="00AA0C3F"/>
    <w:rsid w:val="00AB3ABC"/>
    <w:rsid w:val="00AC3814"/>
    <w:rsid w:val="00AC6E26"/>
    <w:rsid w:val="00AE4E0F"/>
    <w:rsid w:val="00AF0562"/>
    <w:rsid w:val="00AF2B41"/>
    <w:rsid w:val="00B10FB2"/>
    <w:rsid w:val="00B26E1A"/>
    <w:rsid w:val="00B26F2C"/>
    <w:rsid w:val="00B327BE"/>
    <w:rsid w:val="00B32A0D"/>
    <w:rsid w:val="00B500BF"/>
    <w:rsid w:val="00B50D5E"/>
    <w:rsid w:val="00B91B9B"/>
    <w:rsid w:val="00BA3B3E"/>
    <w:rsid w:val="00BC152C"/>
    <w:rsid w:val="00BF1919"/>
    <w:rsid w:val="00BF3538"/>
    <w:rsid w:val="00BF5367"/>
    <w:rsid w:val="00C0074B"/>
    <w:rsid w:val="00C07817"/>
    <w:rsid w:val="00C11AA2"/>
    <w:rsid w:val="00C364D4"/>
    <w:rsid w:val="00C67635"/>
    <w:rsid w:val="00C71005"/>
    <w:rsid w:val="00C93210"/>
    <w:rsid w:val="00C9409B"/>
    <w:rsid w:val="00CD3DE3"/>
    <w:rsid w:val="00D07064"/>
    <w:rsid w:val="00D101CB"/>
    <w:rsid w:val="00D279FC"/>
    <w:rsid w:val="00D352A3"/>
    <w:rsid w:val="00D557DE"/>
    <w:rsid w:val="00D55ADD"/>
    <w:rsid w:val="00D574A6"/>
    <w:rsid w:val="00D8544F"/>
    <w:rsid w:val="00D870AD"/>
    <w:rsid w:val="00D97F5E"/>
    <w:rsid w:val="00DA0FA6"/>
    <w:rsid w:val="00DA6E73"/>
    <w:rsid w:val="00DB0979"/>
    <w:rsid w:val="00DB161E"/>
    <w:rsid w:val="00DB4A9D"/>
    <w:rsid w:val="00DD33DF"/>
    <w:rsid w:val="00DE1293"/>
    <w:rsid w:val="00DF10CC"/>
    <w:rsid w:val="00E30001"/>
    <w:rsid w:val="00E44E6E"/>
    <w:rsid w:val="00E6416E"/>
    <w:rsid w:val="00E827C5"/>
    <w:rsid w:val="00EB12C0"/>
    <w:rsid w:val="00EC6923"/>
    <w:rsid w:val="00ED3C1F"/>
    <w:rsid w:val="00EE0206"/>
    <w:rsid w:val="00EF5BE0"/>
    <w:rsid w:val="00F24050"/>
    <w:rsid w:val="00F24EB2"/>
    <w:rsid w:val="00F34FE3"/>
    <w:rsid w:val="00F4379D"/>
    <w:rsid w:val="00F50721"/>
    <w:rsid w:val="00F50A07"/>
    <w:rsid w:val="00F57119"/>
    <w:rsid w:val="00F77C13"/>
    <w:rsid w:val="00F81A14"/>
    <w:rsid w:val="00F82C5A"/>
    <w:rsid w:val="00F945DB"/>
    <w:rsid w:val="00FA3993"/>
    <w:rsid w:val="00FA5118"/>
    <w:rsid w:val="00FB35C1"/>
    <w:rsid w:val="00FD151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2A765C"/>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11A5-2D59-44FB-A855-5F3DC2F4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2018-07-16T14:01:00Z</cp:lastPrinted>
  <dcterms:created xsi:type="dcterms:W3CDTF">2018-09-20T08:05:00Z</dcterms:created>
  <dcterms:modified xsi:type="dcterms:W3CDTF">2018-09-20T20:53:00Z</dcterms:modified>
</cp:coreProperties>
</file>