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61978" w14:textId="77777777" w:rsidR="008E78D4" w:rsidRPr="00D80BA0" w:rsidRDefault="008E78D4" w:rsidP="00D80BA0">
      <w:pPr>
        <w:contextualSpacing/>
        <w:rPr>
          <w:rFonts w:asciiTheme="minorHAnsi" w:hAnsiTheme="minorHAnsi" w:cstheme="minorHAnsi"/>
          <w:b/>
          <w:sz w:val="22"/>
          <w:szCs w:val="22"/>
        </w:rPr>
      </w:pPr>
      <w:r w:rsidRPr="00D80BA0">
        <w:rPr>
          <w:rFonts w:asciiTheme="minorHAnsi" w:hAnsiTheme="minorHAnsi" w:cstheme="minorHAnsi"/>
          <w:noProof/>
          <w:sz w:val="22"/>
          <w:szCs w:val="22"/>
        </w:rPr>
        <w:drawing>
          <wp:anchor distT="0" distB="0" distL="114300" distR="114300" simplePos="0" relativeHeight="251661312" behindDoc="1" locked="0" layoutInCell="1" allowOverlap="1" wp14:anchorId="18F56744" wp14:editId="19876031">
            <wp:simplePos x="0" y="0"/>
            <wp:positionH relativeFrom="column">
              <wp:posOffset>4358640</wp:posOffset>
            </wp:positionH>
            <wp:positionV relativeFrom="paragraph">
              <wp:posOffset>-185420</wp:posOffset>
            </wp:positionV>
            <wp:extent cx="2034540" cy="1229995"/>
            <wp:effectExtent l="0" t="0" r="3810" b="8255"/>
            <wp:wrapTight wrapText="bothSides">
              <wp:wrapPolygon edited="0">
                <wp:start x="0" y="0"/>
                <wp:lineTo x="0" y="21410"/>
                <wp:lineTo x="21438" y="21410"/>
                <wp:lineTo x="21438" y="0"/>
                <wp:lineTo x="0" y="0"/>
              </wp:wrapPolygon>
            </wp:wrapTight>
            <wp:docPr id="32" name="Picture 32" descr="\\obmh.nhs.uk\home\MHOx-Home2\carmel.parker\My Documents\2017\new leaflet templates\A4 logo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mh.nhs.uk\home\MHOx-Home2\carmel.parker\My Documents\2017\new leaflet templates\A4 logo siz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1229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BCDF5" w14:textId="77777777" w:rsidR="008E78D4" w:rsidRPr="00D80BA0" w:rsidRDefault="008E78D4" w:rsidP="00D80BA0">
      <w:pPr>
        <w:keepNext/>
        <w:ind w:left="432"/>
        <w:contextualSpacing/>
        <w:jc w:val="center"/>
        <w:outlineLvl w:val="0"/>
        <w:rPr>
          <w:rFonts w:asciiTheme="minorHAnsi" w:hAnsiTheme="minorHAnsi" w:cstheme="minorHAnsi"/>
          <w:b/>
          <w:bCs/>
          <w:kern w:val="32"/>
          <w:sz w:val="22"/>
          <w:szCs w:val="22"/>
        </w:rPr>
      </w:pPr>
    </w:p>
    <w:p w14:paraId="5B892723" w14:textId="77777777" w:rsidR="008E78D4" w:rsidRPr="00D80BA0" w:rsidRDefault="008E78D4" w:rsidP="00D80BA0">
      <w:pPr>
        <w:keepNext/>
        <w:ind w:left="432"/>
        <w:contextualSpacing/>
        <w:jc w:val="center"/>
        <w:outlineLvl w:val="0"/>
        <w:rPr>
          <w:rFonts w:asciiTheme="minorHAnsi" w:hAnsiTheme="minorHAnsi" w:cstheme="minorHAnsi"/>
          <w:b/>
          <w:bCs/>
          <w:kern w:val="32"/>
          <w:sz w:val="22"/>
          <w:szCs w:val="22"/>
        </w:rPr>
      </w:pPr>
    </w:p>
    <w:p w14:paraId="37AF62BA" w14:textId="77777777" w:rsidR="008E78D4" w:rsidRPr="00D80BA0" w:rsidRDefault="008E78D4" w:rsidP="00D80BA0">
      <w:pPr>
        <w:keepNext/>
        <w:tabs>
          <w:tab w:val="left" w:pos="0"/>
        </w:tabs>
        <w:contextualSpacing/>
        <w:jc w:val="center"/>
        <w:outlineLvl w:val="0"/>
        <w:rPr>
          <w:rFonts w:asciiTheme="minorHAnsi" w:hAnsiTheme="minorHAnsi" w:cstheme="minorHAnsi"/>
          <w:b/>
          <w:bCs/>
          <w:kern w:val="32"/>
          <w:sz w:val="22"/>
          <w:szCs w:val="22"/>
        </w:rPr>
      </w:pPr>
    </w:p>
    <w:p w14:paraId="5E6B3A75" w14:textId="77777777" w:rsidR="008E78D4" w:rsidRPr="00D80BA0" w:rsidRDefault="008E78D4" w:rsidP="00D80BA0">
      <w:pPr>
        <w:keepNext/>
        <w:tabs>
          <w:tab w:val="left" w:pos="0"/>
        </w:tabs>
        <w:contextualSpacing/>
        <w:outlineLvl w:val="0"/>
        <w:rPr>
          <w:rFonts w:asciiTheme="minorHAnsi" w:hAnsiTheme="minorHAnsi" w:cstheme="minorHAnsi"/>
          <w:b/>
          <w:bCs/>
          <w:kern w:val="32"/>
          <w:sz w:val="22"/>
          <w:szCs w:val="22"/>
        </w:rPr>
      </w:pPr>
    </w:p>
    <w:p w14:paraId="52AE7FE2" w14:textId="77777777" w:rsidR="00911DFC" w:rsidRPr="00D80BA0" w:rsidRDefault="00911DFC" w:rsidP="00D80BA0">
      <w:pPr>
        <w:keepNext/>
        <w:tabs>
          <w:tab w:val="left" w:pos="0"/>
        </w:tabs>
        <w:contextualSpacing/>
        <w:outlineLvl w:val="0"/>
        <w:rPr>
          <w:rFonts w:asciiTheme="minorHAnsi" w:hAnsiTheme="minorHAnsi" w:cstheme="minorHAnsi"/>
          <w:b/>
          <w:bCs/>
          <w:kern w:val="32"/>
          <w:sz w:val="22"/>
          <w:szCs w:val="22"/>
        </w:rPr>
      </w:pPr>
    </w:p>
    <w:p w14:paraId="1EB4320F" w14:textId="77777777" w:rsidR="002C4ABF" w:rsidRDefault="002C4ABF" w:rsidP="002C4ABF">
      <w:pPr>
        <w:keepNext/>
        <w:overflowPunct w:val="0"/>
        <w:autoSpaceDE w:val="0"/>
        <w:autoSpaceDN w:val="0"/>
        <w:adjustRightInd w:val="0"/>
        <w:jc w:val="center"/>
        <w:textAlignment w:val="baseline"/>
        <w:outlineLvl w:val="0"/>
        <w:rPr>
          <w:rFonts w:ascii="Arial" w:hAnsi="Arial" w:cs="Arial"/>
          <w:b/>
        </w:rPr>
      </w:pPr>
      <w:r w:rsidRPr="00A90196">
        <w:rPr>
          <w:rFonts w:ascii="Arial" w:hAnsi="Arial" w:cs="Arial"/>
          <w:b/>
          <w:noProof/>
          <w:u w:val="single"/>
        </w:rPr>
        <mc:AlternateContent>
          <mc:Choice Requires="wps">
            <w:drawing>
              <wp:anchor distT="0" distB="0" distL="114300" distR="114300" simplePos="0" relativeHeight="251663360" behindDoc="0" locked="0" layoutInCell="1" allowOverlap="1" wp14:anchorId="333DB743" wp14:editId="61AC5E5A">
                <wp:simplePos x="0" y="0"/>
                <wp:positionH relativeFrom="column">
                  <wp:posOffset>4933950</wp:posOffset>
                </wp:positionH>
                <wp:positionV relativeFrom="paragraph">
                  <wp:posOffset>197485</wp:posOffset>
                </wp:positionV>
                <wp:extent cx="1371600" cy="571500"/>
                <wp:effectExtent l="9525" t="6985" r="9525" b="1206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727CF723" w14:textId="40A1C19D" w:rsidR="00381C0B" w:rsidRPr="00244DD7" w:rsidRDefault="00381C0B" w:rsidP="002C4ABF">
                            <w:pPr>
                              <w:jc w:val="center"/>
                              <w:rPr>
                                <w:rFonts w:ascii="Arial" w:hAnsi="Arial" w:cs="Arial"/>
                              </w:rPr>
                            </w:pPr>
                            <w:r>
                              <w:rPr>
                                <w:rFonts w:ascii="Arial" w:hAnsi="Arial" w:cs="Arial"/>
                                <w:b/>
                              </w:rPr>
                              <w:t>BOD</w:t>
                            </w:r>
                            <w:r w:rsidRPr="00244DD7">
                              <w:rPr>
                                <w:rFonts w:ascii="Arial" w:hAnsi="Arial" w:cs="Arial"/>
                                <w:b/>
                              </w:rPr>
                              <w:t xml:space="preserve"> </w:t>
                            </w:r>
                            <w:r w:rsidR="00C82485">
                              <w:rPr>
                                <w:rFonts w:ascii="Arial" w:hAnsi="Arial" w:cs="Arial"/>
                                <w:b/>
                              </w:rPr>
                              <w:t>110</w:t>
                            </w:r>
                            <w:r>
                              <w:rPr>
                                <w:rFonts w:ascii="Arial" w:hAnsi="Arial" w:cs="Arial"/>
                                <w:b/>
                              </w:rPr>
                              <w:t>/2018</w:t>
                            </w:r>
                            <w:r>
                              <w:rPr>
                                <w:rFonts w:ascii="Arial" w:hAnsi="Arial" w:cs="Arial"/>
                              </w:rPr>
                              <w:br/>
                              <w:t xml:space="preserve">(Agenda item: </w:t>
                            </w:r>
                            <w:r w:rsidR="00C82485">
                              <w:rPr>
                                <w:rFonts w:ascii="Arial" w:hAnsi="Arial" w:cs="Arial"/>
                              </w:rPr>
                              <w:t>9</w:t>
                            </w:r>
                            <w:r>
                              <w:rPr>
                                <w:rFonts w:ascii="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DB743" id="Rectangle 10" o:spid="_x0000_s1026" style="position:absolute;left:0;text-align:left;margin-left:388.5pt;margin-top:15.55pt;width:108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">
                <v:textbox inset="0,0,0,0">
                  <w:txbxContent>
                    <w:p w14:paraId="727CF723" w14:textId="40A1C19D" w:rsidR="00381C0B" w:rsidRPr="00244DD7" w:rsidRDefault="00381C0B" w:rsidP="002C4ABF">
                      <w:pPr>
                        <w:jc w:val="center"/>
                        <w:rPr>
                          <w:rFonts w:ascii="Arial" w:hAnsi="Arial" w:cs="Arial"/>
                        </w:rPr>
                      </w:pPr>
                      <w:r>
                        <w:rPr>
                          <w:rFonts w:ascii="Arial" w:hAnsi="Arial" w:cs="Arial"/>
                          <w:b/>
                        </w:rPr>
                        <w:t>BOD</w:t>
                      </w:r>
                      <w:r w:rsidRPr="00244DD7">
                        <w:rPr>
                          <w:rFonts w:ascii="Arial" w:hAnsi="Arial" w:cs="Arial"/>
                          <w:b/>
                        </w:rPr>
                        <w:t xml:space="preserve"> </w:t>
                      </w:r>
                      <w:r w:rsidR="00C82485">
                        <w:rPr>
                          <w:rFonts w:ascii="Arial" w:hAnsi="Arial" w:cs="Arial"/>
                          <w:b/>
                        </w:rPr>
                        <w:t>110</w:t>
                      </w:r>
                      <w:r>
                        <w:rPr>
                          <w:rFonts w:ascii="Arial" w:hAnsi="Arial" w:cs="Arial"/>
                          <w:b/>
                        </w:rPr>
                        <w:t>/2018</w:t>
                      </w:r>
                      <w:r>
                        <w:rPr>
                          <w:rFonts w:ascii="Arial" w:hAnsi="Arial" w:cs="Arial"/>
                        </w:rPr>
                        <w:br/>
                        <w:t xml:space="preserve">(Agenda item: </w:t>
                      </w:r>
                      <w:r w:rsidR="00C82485">
                        <w:rPr>
                          <w:rFonts w:ascii="Arial" w:hAnsi="Arial" w:cs="Arial"/>
                        </w:rPr>
                        <w:t>9</w:t>
                      </w:r>
                      <w:r>
                        <w:rPr>
                          <w:rFonts w:ascii="Arial" w:hAnsi="Arial" w:cs="Arial"/>
                        </w:rPr>
                        <w:t>)</w:t>
                      </w:r>
                    </w:p>
                  </w:txbxContent>
                </v:textbox>
              </v:rect>
            </w:pict>
          </mc:Fallback>
        </mc:AlternateContent>
      </w:r>
      <w:r w:rsidRPr="00A90196">
        <w:rPr>
          <w:rFonts w:ascii="Arial" w:hAnsi="Arial" w:cs="Arial"/>
          <w:b/>
        </w:rPr>
        <w:t xml:space="preserve"> </w:t>
      </w:r>
    </w:p>
    <w:p w14:paraId="1DDDF15B" w14:textId="77777777" w:rsidR="002C4ABF" w:rsidRDefault="002C4ABF" w:rsidP="002C4ABF">
      <w:pPr>
        <w:keepNext/>
        <w:overflowPunct w:val="0"/>
        <w:autoSpaceDE w:val="0"/>
        <w:autoSpaceDN w:val="0"/>
        <w:adjustRightInd w:val="0"/>
        <w:jc w:val="center"/>
        <w:textAlignment w:val="baseline"/>
        <w:outlineLvl w:val="0"/>
        <w:rPr>
          <w:rFonts w:ascii="Arial" w:hAnsi="Arial" w:cs="Arial"/>
          <w:b/>
        </w:rPr>
      </w:pPr>
    </w:p>
    <w:p w14:paraId="11BD6951" w14:textId="1511BBEB" w:rsidR="002C4ABF" w:rsidRPr="00A90196" w:rsidRDefault="002C4ABF" w:rsidP="002C4ABF">
      <w:pPr>
        <w:keepNext/>
        <w:overflowPunct w:val="0"/>
        <w:autoSpaceDE w:val="0"/>
        <w:autoSpaceDN w:val="0"/>
        <w:adjustRightInd w:val="0"/>
        <w:jc w:val="center"/>
        <w:textAlignment w:val="baseline"/>
        <w:outlineLvl w:val="0"/>
        <w:rPr>
          <w:rFonts w:ascii="Arial" w:hAnsi="Arial" w:cs="Arial"/>
          <w:b/>
        </w:rPr>
      </w:pPr>
      <w:r w:rsidRPr="00A90196">
        <w:rPr>
          <w:rFonts w:ascii="Arial" w:hAnsi="Arial" w:cs="Arial"/>
          <w:b/>
        </w:rPr>
        <w:t xml:space="preserve">Report to the Meeting of the </w:t>
      </w:r>
    </w:p>
    <w:p w14:paraId="2A7DFDC7" w14:textId="77777777" w:rsidR="002C4ABF" w:rsidRPr="00A90196" w:rsidRDefault="002C4ABF" w:rsidP="002C4ABF">
      <w:pPr>
        <w:keepNext/>
        <w:overflowPunct w:val="0"/>
        <w:autoSpaceDE w:val="0"/>
        <w:autoSpaceDN w:val="0"/>
        <w:adjustRightInd w:val="0"/>
        <w:jc w:val="center"/>
        <w:textAlignment w:val="baseline"/>
        <w:outlineLvl w:val="0"/>
        <w:rPr>
          <w:rFonts w:ascii="Arial" w:hAnsi="Arial" w:cs="Arial"/>
          <w:b/>
        </w:rPr>
      </w:pPr>
      <w:r w:rsidRPr="00A90196">
        <w:rPr>
          <w:rFonts w:ascii="Arial" w:hAnsi="Arial" w:cs="Arial"/>
          <w:b/>
        </w:rPr>
        <w:t xml:space="preserve">Oxford Health NHS Foundation Trust </w:t>
      </w:r>
    </w:p>
    <w:p w14:paraId="3E7D7B5B" w14:textId="77777777" w:rsidR="002C4ABF" w:rsidRPr="00A90196" w:rsidRDefault="002C4ABF" w:rsidP="002C4ABF">
      <w:pPr>
        <w:keepNext/>
        <w:overflowPunct w:val="0"/>
        <w:autoSpaceDE w:val="0"/>
        <w:autoSpaceDN w:val="0"/>
        <w:adjustRightInd w:val="0"/>
        <w:jc w:val="center"/>
        <w:textAlignment w:val="baseline"/>
        <w:outlineLvl w:val="0"/>
        <w:rPr>
          <w:rFonts w:ascii="Arial" w:hAnsi="Arial" w:cs="Arial"/>
          <w:b/>
        </w:rPr>
      </w:pPr>
    </w:p>
    <w:p w14:paraId="6EF23782" w14:textId="77777777" w:rsidR="002C4ABF" w:rsidRPr="00A90196" w:rsidRDefault="002C4ABF" w:rsidP="002C4ABF">
      <w:pPr>
        <w:keepNext/>
        <w:overflowPunct w:val="0"/>
        <w:autoSpaceDE w:val="0"/>
        <w:autoSpaceDN w:val="0"/>
        <w:adjustRightInd w:val="0"/>
        <w:jc w:val="center"/>
        <w:textAlignment w:val="baseline"/>
        <w:outlineLvl w:val="0"/>
        <w:rPr>
          <w:rFonts w:ascii="Arial" w:hAnsi="Arial" w:cs="Arial"/>
          <w:b/>
        </w:rPr>
      </w:pPr>
      <w:r w:rsidRPr="00A90196">
        <w:rPr>
          <w:rFonts w:ascii="Arial" w:hAnsi="Arial" w:cs="Arial"/>
          <w:b/>
        </w:rPr>
        <w:t>Board of Directors</w:t>
      </w:r>
    </w:p>
    <w:p w14:paraId="5D48742E" w14:textId="77777777" w:rsidR="002C4ABF" w:rsidRPr="00A90196" w:rsidRDefault="002C4ABF" w:rsidP="002C4ABF">
      <w:pPr>
        <w:rPr>
          <w:rFonts w:ascii="Arial" w:hAnsi="Arial" w:cs="Arial"/>
          <w:b/>
        </w:rPr>
      </w:pPr>
    </w:p>
    <w:p w14:paraId="3F9DEF96" w14:textId="347C7AC1" w:rsidR="002C4ABF" w:rsidRPr="00A90196" w:rsidRDefault="002C4ABF" w:rsidP="002C4ABF">
      <w:pPr>
        <w:jc w:val="center"/>
        <w:rPr>
          <w:rFonts w:ascii="Arial" w:hAnsi="Arial" w:cs="Arial"/>
          <w:b/>
        </w:rPr>
      </w:pPr>
      <w:r>
        <w:rPr>
          <w:rFonts w:ascii="Arial" w:hAnsi="Arial" w:cs="Arial"/>
          <w:b/>
        </w:rPr>
        <w:t>27</w:t>
      </w:r>
      <w:r w:rsidRPr="002C4ABF">
        <w:rPr>
          <w:rFonts w:ascii="Arial" w:hAnsi="Arial" w:cs="Arial"/>
          <w:b/>
          <w:vertAlign w:val="superscript"/>
        </w:rPr>
        <w:t>th</w:t>
      </w:r>
      <w:r>
        <w:rPr>
          <w:rFonts w:ascii="Arial" w:hAnsi="Arial" w:cs="Arial"/>
          <w:b/>
        </w:rPr>
        <w:t xml:space="preserve"> September</w:t>
      </w:r>
      <w:r w:rsidRPr="00A90196">
        <w:rPr>
          <w:rFonts w:ascii="Arial" w:hAnsi="Arial" w:cs="Arial"/>
          <w:b/>
        </w:rPr>
        <w:t xml:space="preserve"> 2018</w:t>
      </w:r>
    </w:p>
    <w:p w14:paraId="28FD3665" w14:textId="77777777" w:rsidR="002C4ABF" w:rsidRPr="00A90196" w:rsidRDefault="002C4ABF" w:rsidP="002C4ABF">
      <w:pPr>
        <w:jc w:val="center"/>
        <w:rPr>
          <w:rFonts w:ascii="Arial" w:hAnsi="Arial" w:cs="Arial"/>
          <w:b/>
        </w:rPr>
      </w:pPr>
      <w:bookmarkStart w:id="0" w:name="_GoBack"/>
      <w:bookmarkEnd w:id="0"/>
    </w:p>
    <w:p w14:paraId="151C7F8F" w14:textId="29157E4B" w:rsidR="002C4ABF" w:rsidRPr="00A90196" w:rsidRDefault="002C4ABF" w:rsidP="002C4ABF">
      <w:pPr>
        <w:pStyle w:val="Heading1"/>
        <w:numPr>
          <w:ilvl w:val="0"/>
          <w:numId w:val="0"/>
        </w:numPr>
        <w:ind w:left="432"/>
        <w:jc w:val="center"/>
        <w:rPr>
          <w:sz w:val="24"/>
          <w:szCs w:val="24"/>
        </w:rPr>
      </w:pPr>
      <w:r>
        <w:rPr>
          <w:sz w:val="24"/>
          <w:szCs w:val="24"/>
        </w:rPr>
        <w:t>Quality Report: Focus on Incident, Mortality and Patient Safety</w:t>
      </w:r>
    </w:p>
    <w:p w14:paraId="015653A4" w14:textId="39FC9CEF" w:rsidR="002C4ABF" w:rsidRPr="00A90196" w:rsidRDefault="00153743" w:rsidP="00153743">
      <w:pPr>
        <w:jc w:val="center"/>
        <w:rPr>
          <w:rFonts w:ascii="Arial" w:hAnsi="Arial" w:cs="Arial"/>
          <w:b/>
        </w:rPr>
      </w:pPr>
      <w:r>
        <w:rPr>
          <w:rFonts w:ascii="Arial" w:hAnsi="Arial" w:cs="Arial"/>
          <w:b/>
        </w:rPr>
        <w:t>(revised)</w:t>
      </w:r>
    </w:p>
    <w:p w14:paraId="67D36104" w14:textId="77777777" w:rsidR="002C4ABF" w:rsidRPr="00A90196" w:rsidRDefault="002C4ABF" w:rsidP="002C4ABF">
      <w:pPr>
        <w:jc w:val="center"/>
        <w:rPr>
          <w:rFonts w:ascii="Arial" w:hAnsi="Arial" w:cs="Arial"/>
          <w:b/>
          <w:u w:val="single"/>
        </w:rPr>
      </w:pPr>
      <w:r w:rsidRPr="00A90196">
        <w:rPr>
          <w:rFonts w:ascii="Arial" w:hAnsi="Arial" w:cs="Arial"/>
          <w:b/>
          <w:u w:val="single"/>
        </w:rPr>
        <w:t>For: Information</w:t>
      </w:r>
    </w:p>
    <w:p w14:paraId="62694C81" w14:textId="77777777" w:rsidR="008E78D4" w:rsidRPr="00D80BA0" w:rsidRDefault="008E78D4" w:rsidP="00D80BA0">
      <w:pPr>
        <w:contextualSpacing/>
        <w:jc w:val="both"/>
        <w:rPr>
          <w:rFonts w:asciiTheme="minorHAnsi" w:hAnsiTheme="minorHAnsi" w:cstheme="minorHAnsi"/>
          <w:b/>
          <w:sz w:val="22"/>
          <w:szCs w:val="22"/>
        </w:rPr>
      </w:pPr>
    </w:p>
    <w:p w14:paraId="7CA8CEBF" w14:textId="77777777" w:rsidR="008E78D4" w:rsidRPr="00D80BA0" w:rsidRDefault="008E78D4" w:rsidP="00D80BA0">
      <w:pPr>
        <w:contextualSpacing/>
        <w:jc w:val="both"/>
        <w:rPr>
          <w:rFonts w:asciiTheme="minorHAnsi" w:hAnsiTheme="minorHAnsi" w:cstheme="minorHAnsi"/>
          <w:b/>
          <w:sz w:val="22"/>
          <w:szCs w:val="22"/>
        </w:rPr>
      </w:pPr>
      <w:r w:rsidRPr="00D80BA0">
        <w:rPr>
          <w:rFonts w:asciiTheme="minorHAnsi" w:hAnsiTheme="minorHAnsi" w:cstheme="minorHAnsi"/>
          <w:b/>
          <w:sz w:val="22"/>
          <w:szCs w:val="22"/>
        </w:rPr>
        <w:t>Executive Summary</w:t>
      </w:r>
    </w:p>
    <w:p w14:paraId="5EC88D04" w14:textId="77777777" w:rsidR="00D80BA0" w:rsidRDefault="008E78D4" w:rsidP="00D80BA0">
      <w:pPr>
        <w:contextualSpacing/>
        <w:jc w:val="both"/>
        <w:rPr>
          <w:rFonts w:asciiTheme="minorHAnsi" w:hAnsiTheme="minorHAnsi" w:cstheme="minorHAnsi"/>
          <w:sz w:val="22"/>
          <w:szCs w:val="22"/>
          <w:lang w:val="en-US" w:eastAsia="en-US"/>
        </w:rPr>
      </w:pPr>
      <w:r w:rsidRPr="00D80BA0">
        <w:rPr>
          <w:rFonts w:asciiTheme="minorHAnsi" w:hAnsiTheme="minorHAnsi" w:cstheme="minorHAnsi"/>
          <w:sz w:val="22"/>
          <w:szCs w:val="22"/>
          <w:lang w:val="en-US" w:eastAsia="en-US"/>
        </w:rPr>
        <w:t>The followi</w:t>
      </w:r>
      <w:r w:rsidR="00C85958" w:rsidRPr="00D80BA0">
        <w:rPr>
          <w:rFonts w:asciiTheme="minorHAnsi" w:hAnsiTheme="minorHAnsi" w:cstheme="minorHAnsi"/>
          <w:sz w:val="22"/>
          <w:szCs w:val="22"/>
          <w:lang w:val="en-US" w:eastAsia="en-US"/>
        </w:rPr>
        <w:t xml:space="preserve">ng report provides a summary about the safety of care up to August 2018. </w:t>
      </w:r>
    </w:p>
    <w:p w14:paraId="5C895C12" w14:textId="77777777" w:rsidR="00D80BA0" w:rsidRDefault="00D80BA0" w:rsidP="00D80BA0">
      <w:pPr>
        <w:contextualSpacing/>
        <w:jc w:val="both"/>
        <w:rPr>
          <w:rFonts w:asciiTheme="minorHAnsi" w:hAnsiTheme="minorHAnsi" w:cstheme="minorHAnsi"/>
          <w:sz w:val="22"/>
          <w:szCs w:val="22"/>
          <w:lang w:val="en-US" w:eastAsia="en-US"/>
        </w:rPr>
      </w:pPr>
    </w:p>
    <w:p w14:paraId="0C09052F" w14:textId="1A9DD1E9" w:rsidR="00D80BA0" w:rsidRDefault="00D80BA0" w:rsidP="00D80BA0">
      <w:pPr>
        <w:contextualSpacing/>
        <w:jc w:val="both"/>
        <w:rPr>
          <w:rFonts w:asciiTheme="minorHAnsi" w:hAnsiTheme="minorHAnsi" w:cstheme="minorHAnsi"/>
          <w:sz w:val="22"/>
          <w:szCs w:val="22"/>
          <w:lang w:val="en-US" w:eastAsia="en-US"/>
        </w:rPr>
      </w:pPr>
      <w:r>
        <w:rPr>
          <w:rFonts w:asciiTheme="minorHAnsi" w:hAnsiTheme="minorHAnsi" w:cstheme="minorHAnsi"/>
          <w:sz w:val="22"/>
          <w:szCs w:val="22"/>
          <w:lang w:val="en-US" w:eastAsia="en-US"/>
        </w:rPr>
        <w:t>A more detailed version of the report was considered by the Safety quality-sub committee on 8</w:t>
      </w:r>
      <w:r w:rsidRPr="00D80BA0">
        <w:rPr>
          <w:rFonts w:asciiTheme="minorHAnsi" w:hAnsiTheme="minorHAnsi" w:cstheme="minorHAnsi"/>
          <w:sz w:val="22"/>
          <w:szCs w:val="22"/>
          <w:vertAlign w:val="superscript"/>
          <w:lang w:val="en-US" w:eastAsia="en-US"/>
        </w:rPr>
        <w:t>th</w:t>
      </w:r>
      <w:r>
        <w:rPr>
          <w:rFonts w:asciiTheme="minorHAnsi" w:hAnsiTheme="minorHAnsi" w:cstheme="minorHAnsi"/>
          <w:sz w:val="22"/>
          <w:szCs w:val="22"/>
          <w:lang w:val="en-US" w:eastAsia="en-US"/>
        </w:rPr>
        <w:t xml:space="preserve"> August 2018.</w:t>
      </w:r>
    </w:p>
    <w:p w14:paraId="10F81E5C" w14:textId="77777777" w:rsidR="00D80BA0" w:rsidRDefault="00D80BA0" w:rsidP="00D80BA0">
      <w:pPr>
        <w:contextualSpacing/>
        <w:jc w:val="both"/>
        <w:rPr>
          <w:rFonts w:asciiTheme="minorHAnsi" w:hAnsiTheme="minorHAnsi" w:cstheme="minorHAnsi"/>
          <w:sz w:val="22"/>
          <w:szCs w:val="22"/>
          <w:lang w:val="en-US" w:eastAsia="en-US"/>
        </w:rPr>
      </w:pPr>
    </w:p>
    <w:p w14:paraId="73106613" w14:textId="67866D31" w:rsidR="008E78D4" w:rsidRPr="00D80BA0" w:rsidRDefault="00D80BA0" w:rsidP="00D80BA0">
      <w:pPr>
        <w:contextualSpacing/>
        <w:jc w:val="both"/>
        <w:rPr>
          <w:rFonts w:asciiTheme="minorHAnsi" w:hAnsiTheme="minorHAnsi" w:cstheme="minorHAnsi"/>
          <w:sz w:val="22"/>
          <w:szCs w:val="22"/>
          <w:lang w:val="en-US" w:eastAsia="en-US"/>
        </w:rPr>
      </w:pPr>
      <w:r>
        <w:rPr>
          <w:rFonts w:asciiTheme="minorHAnsi" w:hAnsiTheme="minorHAnsi" w:cstheme="minorHAnsi"/>
          <w:sz w:val="22"/>
          <w:szCs w:val="22"/>
          <w:lang w:val="en-US" w:eastAsia="en-US"/>
        </w:rPr>
        <w:t>In summary;</w:t>
      </w:r>
    </w:p>
    <w:p w14:paraId="6C79A6A7" w14:textId="77777777" w:rsidR="00D80BA0" w:rsidRPr="00D80BA0" w:rsidRDefault="00D80BA0" w:rsidP="00D80BA0">
      <w:pPr>
        <w:numPr>
          <w:ilvl w:val="0"/>
          <w:numId w:val="5"/>
        </w:numPr>
        <w:contextualSpacing/>
        <w:jc w:val="both"/>
        <w:rPr>
          <w:rFonts w:asciiTheme="minorHAnsi" w:hAnsiTheme="minorHAnsi" w:cstheme="minorHAnsi"/>
          <w:sz w:val="22"/>
          <w:szCs w:val="22"/>
        </w:rPr>
      </w:pPr>
      <w:r w:rsidRPr="00D80BA0">
        <w:rPr>
          <w:rFonts w:asciiTheme="minorHAnsi" w:eastAsia="Calibri" w:hAnsiTheme="minorHAnsi" w:cstheme="minorHAnsi"/>
          <w:sz w:val="22"/>
          <w:szCs w:val="22"/>
          <w:lang w:eastAsia="en-US"/>
        </w:rPr>
        <w:t xml:space="preserve">The incident reporting levels on Ulysses have continued to increase, with the majority of incidents relating to no harm (66%) or low harm in line with the national picture. This indicates a positive learning culture from teams who report incidents to learn. </w:t>
      </w:r>
    </w:p>
    <w:p w14:paraId="11FB44D7" w14:textId="77777777" w:rsidR="00D80BA0" w:rsidRPr="00D80BA0" w:rsidRDefault="00D80BA0" w:rsidP="00D80BA0">
      <w:pPr>
        <w:numPr>
          <w:ilvl w:val="0"/>
          <w:numId w:val="5"/>
        </w:numPr>
        <w:contextualSpacing/>
        <w:rPr>
          <w:rFonts w:asciiTheme="minorHAnsi" w:eastAsiaTheme="minorHAnsi" w:hAnsiTheme="minorHAnsi" w:cstheme="minorHAnsi"/>
          <w:sz w:val="22"/>
          <w:szCs w:val="22"/>
          <w:lang w:eastAsia="en-US"/>
        </w:rPr>
      </w:pPr>
      <w:r w:rsidRPr="00D80BA0">
        <w:rPr>
          <w:rFonts w:asciiTheme="minorHAnsi" w:eastAsiaTheme="minorHAnsi" w:hAnsiTheme="minorHAnsi" w:cstheme="minorHAnsi"/>
          <w:sz w:val="22"/>
          <w:szCs w:val="22"/>
          <w:lang w:eastAsia="en-US"/>
        </w:rPr>
        <w:t>Most of the incidents in 17/18 related to skin integrity (16%), violence and aggression (16%), communication/confidentiality (10%) and self-harm (8%). A breakdown by cause group split by mental health services and physical health services is included in the report.</w:t>
      </w:r>
    </w:p>
    <w:p w14:paraId="6F8C9C6F" w14:textId="77777777" w:rsidR="00D80BA0" w:rsidRPr="00D80BA0" w:rsidRDefault="00D80BA0" w:rsidP="00D80BA0">
      <w:pPr>
        <w:numPr>
          <w:ilvl w:val="0"/>
          <w:numId w:val="5"/>
        </w:numPr>
        <w:contextualSpacing/>
        <w:jc w:val="both"/>
        <w:rPr>
          <w:rFonts w:asciiTheme="minorHAnsi" w:hAnsiTheme="minorHAnsi" w:cstheme="minorHAnsi"/>
          <w:sz w:val="22"/>
          <w:szCs w:val="22"/>
        </w:rPr>
      </w:pPr>
      <w:r w:rsidRPr="00D80BA0">
        <w:rPr>
          <w:rFonts w:asciiTheme="minorHAnsi" w:eastAsia="Calibri" w:hAnsiTheme="minorHAnsi" w:cstheme="minorHAnsi"/>
          <w:sz w:val="22"/>
          <w:szCs w:val="22"/>
          <w:lang w:eastAsia="en-US"/>
        </w:rPr>
        <w:t>Incidents resulting in major harm have reduced. In Q1 70% of skin integrity incidents were inherited prior to receiving care from services in the trust. The Trust has achieved a notable reduction in the number of serious incidents -acquired pressure ulcers with lapses in care following the success of a number of initiatives implemented across the District Nursing Service.</w:t>
      </w:r>
    </w:p>
    <w:p w14:paraId="005A2E3D" w14:textId="5A605B56" w:rsidR="00D80BA0" w:rsidRPr="00D80BA0" w:rsidRDefault="00D80BA0" w:rsidP="00D80BA0">
      <w:pPr>
        <w:numPr>
          <w:ilvl w:val="0"/>
          <w:numId w:val="5"/>
        </w:numPr>
        <w:shd w:val="clear" w:color="auto" w:fill="FFFFFF" w:themeFill="background1"/>
        <w:contextualSpacing/>
        <w:jc w:val="both"/>
        <w:rPr>
          <w:rFonts w:asciiTheme="minorHAnsi" w:hAnsiTheme="minorHAnsi" w:cstheme="minorHAnsi"/>
          <w:sz w:val="22"/>
          <w:szCs w:val="22"/>
        </w:rPr>
      </w:pPr>
      <w:r w:rsidRPr="00D80BA0">
        <w:rPr>
          <w:rFonts w:asciiTheme="minorHAnsi" w:hAnsiTheme="minorHAnsi" w:cstheme="minorHAnsi"/>
          <w:sz w:val="22"/>
          <w:szCs w:val="22"/>
        </w:rPr>
        <w:t>In Q1 2018/19 there have been 6 RIDDOR reportable incidents</w:t>
      </w:r>
      <w:r w:rsidR="0022773F">
        <w:rPr>
          <w:rFonts w:asciiTheme="minorHAnsi" w:hAnsiTheme="minorHAnsi" w:cstheme="minorHAnsi"/>
          <w:sz w:val="22"/>
          <w:szCs w:val="22"/>
        </w:rPr>
        <w:t xml:space="preserve"> </w:t>
      </w:r>
      <w:r w:rsidRPr="00D80BA0">
        <w:rPr>
          <w:rFonts w:asciiTheme="minorHAnsi" w:hAnsiTheme="minorHAnsi" w:cstheme="minorHAnsi"/>
          <w:sz w:val="22"/>
          <w:szCs w:val="22"/>
        </w:rPr>
        <w:t>where staff have been injured at work. The health, safety and security manager contacts each member of staff when they return from a RIDDOR reportable sickness to offer a debrief, support and guidance.</w:t>
      </w:r>
    </w:p>
    <w:p w14:paraId="6514433B" w14:textId="1A2607AC" w:rsidR="00D80BA0" w:rsidRPr="00D80BA0" w:rsidRDefault="00D80BA0" w:rsidP="00D80BA0">
      <w:pPr>
        <w:numPr>
          <w:ilvl w:val="0"/>
          <w:numId w:val="5"/>
        </w:numPr>
        <w:contextualSpacing/>
        <w:jc w:val="both"/>
        <w:rPr>
          <w:rFonts w:asciiTheme="minorHAnsi" w:hAnsiTheme="minorHAnsi" w:cstheme="minorHAnsi"/>
          <w:sz w:val="22"/>
          <w:szCs w:val="22"/>
          <w:lang w:val="en-US" w:eastAsia="en-US"/>
        </w:rPr>
      </w:pPr>
      <w:r w:rsidRPr="00D80BA0">
        <w:rPr>
          <w:rFonts w:asciiTheme="minorHAnsi" w:hAnsiTheme="minorHAnsi" w:cstheme="minorHAnsi"/>
          <w:sz w:val="22"/>
          <w:szCs w:val="22"/>
          <w:lang w:val="en-US" w:eastAsia="en-US"/>
        </w:rPr>
        <w:t>The directorate mortality review processes are well embedded to identify learning from unexpected/ inpatient deaths. There have been two deaths of detained patients under the MHA in Q1 2018/19; one was a forensic inpatient who died in April 2018 of a drug overdose and an SI investigation is underway and the second a forensic patient living in the community who died in May 2018, an IRR and a mortality review was completed. The National Quality Board has published its first edition of ‘Learning from deaths-Guidance for NHS trusts on working with bereaved families and carers</w:t>
      </w:r>
      <w:r w:rsidR="0022773F">
        <w:rPr>
          <w:rFonts w:asciiTheme="minorHAnsi" w:hAnsiTheme="minorHAnsi" w:cstheme="minorHAnsi"/>
          <w:sz w:val="22"/>
          <w:szCs w:val="22"/>
          <w:lang w:val="en-US" w:eastAsia="en-US"/>
        </w:rPr>
        <w:t>’</w:t>
      </w:r>
      <w:r w:rsidRPr="00D80BA0">
        <w:rPr>
          <w:rFonts w:asciiTheme="minorHAnsi" w:hAnsiTheme="minorHAnsi" w:cstheme="minorHAnsi"/>
          <w:sz w:val="22"/>
          <w:szCs w:val="22"/>
          <w:lang w:val="en-US" w:eastAsia="en-US"/>
        </w:rPr>
        <w:t xml:space="preserve"> (July 2018). A review of the new standards is being completed with mortality leads from the directorates to identify improvements for 2018/19.</w:t>
      </w:r>
    </w:p>
    <w:p w14:paraId="55640B0B" w14:textId="77777777" w:rsidR="00D80BA0" w:rsidRPr="00D80BA0" w:rsidRDefault="00D80BA0" w:rsidP="00D80BA0">
      <w:pPr>
        <w:numPr>
          <w:ilvl w:val="0"/>
          <w:numId w:val="5"/>
        </w:numPr>
        <w:contextualSpacing/>
        <w:jc w:val="both"/>
        <w:rPr>
          <w:rFonts w:asciiTheme="minorHAnsi" w:eastAsia="Calibri" w:hAnsiTheme="minorHAnsi" w:cstheme="minorHAnsi"/>
          <w:sz w:val="22"/>
          <w:szCs w:val="22"/>
          <w:lang w:val="en-US" w:eastAsia="en-US"/>
        </w:rPr>
      </w:pPr>
      <w:r w:rsidRPr="00D80BA0">
        <w:rPr>
          <w:rFonts w:asciiTheme="minorHAnsi" w:eastAsiaTheme="minorHAnsi" w:hAnsiTheme="minorHAnsi" w:cstheme="minorHAnsi"/>
          <w:color w:val="000000" w:themeColor="text1"/>
          <w:sz w:val="22"/>
          <w:szCs w:val="22"/>
          <w:lang w:eastAsia="en-US"/>
        </w:rPr>
        <w:t>The pattern of deaths is analysed quarterly and presented to the Trust board seminar in September 2018. The majority</w:t>
      </w:r>
      <w:r w:rsidRPr="00D80BA0">
        <w:rPr>
          <w:rFonts w:asciiTheme="minorHAnsi" w:eastAsiaTheme="minorEastAsia" w:hAnsiTheme="minorHAnsi" w:cstheme="minorHAnsi"/>
          <w:sz w:val="22"/>
          <w:szCs w:val="22"/>
          <w:lang w:val="en-US" w:eastAsia="en-US"/>
        </w:rPr>
        <w:t xml:space="preserve"> of deaths relate to people aged over 75 who had received treatment from one of our physical health services, such as the district nursing service. We saw an increase in deaths in January 2018 in line with the national picture. </w:t>
      </w:r>
      <w:r w:rsidRPr="00D80BA0">
        <w:rPr>
          <w:rFonts w:asciiTheme="minorHAnsi" w:eastAsia="Calibri" w:hAnsiTheme="minorHAnsi" w:cstheme="minorHAnsi"/>
          <w:sz w:val="22"/>
          <w:szCs w:val="22"/>
          <w:lang w:val="en-US" w:eastAsia="en-US"/>
        </w:rPr>
        <w:t xml:space="preserve">The key themes for learning from the review of deaths largely remain similar and these include: family engagement and communication, physical health for patients with a mental health illness, communication at points of transitions and changes in care between teams, services and organisations. </w:t>
      </w:r>
    </w:p>
    <w:p w14:paraId="7A089250" w14:textId="77777777" w:rsidR="00D80BA0" w:rsidRPr="00D80BA0" w:rsidRDefault="00D80BA0" w:rsidP="00D80BA0">
      <w:pPr>
        <w:numPr>
          <w:ilvl w:val="0"/>
          <w:numId w:val="5"/>
        </w:numPr>
        <w:contextualSpacing/>
        <w:jc w:val="both"/>
        <w:rPr>
          <w:rFonts w:asciiTheme="minorHAnsi" w:hAnsiTheme="minorHAnsi" w:cstheme="minorHAnsi"/>
          <w:sz w:val="22"/>
          <w:szCs w:val="22"/>
        </w:rPr>
      </w:pPr>
      <w:r w:rsidRPr="00D80BA0">
        <w:rPr>
          <w:rFonts w:asciiTheme="minorHAnsi" w:eastAsia="Calibri" w:hAnsiTheme="minorHAnsi" w:cstheme="minorHAnsi"/>
          <w:sz w:val="22"/>
          <w:szCs w:val="22"/>
          <w:lang w:eastAsia="en-US"/>
        </w:rPr>
        <w:t xml:space="preserve">The Trust continues to work collaboratively with the new national Healthcare Safety Investigation Branch (HSIB) around a theme on communication at points of transition during care, to ask. The </w:t>
      </w:r>
      <w:r w:rsidRPr="00D80BA0">
        <w:rPr>
          <w:rFonts w:asciiTheme="minorHAnsi" w:eastAsia="Calibri" w:hAnsiTheme="minorHAnsi" w:cstheme="minorHAnsi"/>
          <w:sz w:val="22"/>
          <w:szCs w:val="22"/>
          <w:lang w:eastAsia="en-US"/>
        </w:rPr>
        <w:lastRenderedPageBreak/>
        <w:t>report was published on the HSIB website in July 2018. Representatives of HSIB attended the Trust board seminar in September 2018 to present their findings and the national recommendations.</w:t>
      </w:r>
    </w:p>
    <w:p w14:paraId="18F57F1C" w14:textId="77777777" w:rsidR="0022773F" w:rsidRPr="00D80BA0" w:rsidRDefault="0022773F" w:rsidP="0022773F">
      <w:pPr>
        <w:pStyle w:val="ListParagraph"/>
        <w:numPr>
          <w:ilvl w:val="0"/>
          <w:numId w:val="38"/>
        </w:numPr>
        <w:jc w:val="both"/>
        <w:rPr>
          <w:rFonts w:asciiTheme="minorHAnsi" w:hAnsiTheme="minorHAnsi" w:cstheme="minorHAnsi"/>
          <w:sz w:val="22"/>
          <w:szCs w:val="22"/>
        </w:rPr>
      </w:pPr>
      <w:r>
        <w:rPr>
          <w:rFonts w:asciiTheme="minorHAnsi" w:hAnsiTheme="minorHAnsi" w:cstheme="minorHAnsi"/>
          <w:sz w:val="22"/>
          <w:szCs w:val="22"/>
        </w:rPr>
        <w:t>A coroner will issue a regulation 28 to prevent any future deaths (PFD) if they feel any actions or learning is not being acted on sufficiently. The trust received two PFDs in 2017/18 and two so far in 2018/19. The cases in 2018/19 relate to the;</w:t>
      </w:r>
    </w:p>
    <w:p w14:paraId="66393C8C" w14:textId="099DD3BC" w:rsidR="00153743" w:rsidRPr="00A134DD" w:rsidRDefault="00153743" w:rsidP="00153743">
      <w:pPr>
        <w:numPr>
          <w:ilvl w:val="0"/>
          <w:numId w:val="35"/>
        </w:numPr>
        <w:tabs>
          <w:tab w:val="left" w:pos="1560"/>
        </w:tabs>
        <w:ind w:left="1560" w:hanging="426"/>
        <w:contextualSpacing/>
        <w:jc w:val="both"/>
        <w:rPr>
          <w:rFonts w:asciiTheme="minorHAnsi" w:hAnsiTheme="minorHAnsi" w:cstheme="minorHAnsi"/>
          <w:b/>
          <w:sz w:val="22"/>
          <w:szCs w:val="22"/>
        </w:rPr>
      </w:pPr>
      <w:r w:rsidRPr="00A134DD">
        <w:rPr>
          <w:rFonts w:asciiTheme="minorHAnsi" w:hAnsiTheme="minorHAnsi" w:cstheme="minorHAnsi"/>
          <w:sz w:val="22"/>
          <w:szCs w:val="22"/>
        </w:rPr>
        <w:t>Suicide of a male in 2015 receiving community treatment by an AMHT in Buckinghamshire. The Trust conducted an inte</w:t>
      </w:r>
      <w:r>
        <w:rPr>
          <w:rFonts w:asciiTheme="minorHAnsi" w:hAnsiTheme="minorHAnsi" w:cstheme="minorHAnsi"/>
          <w:sz w:val="22"/>
          <w:szCs w:val="22"/>
        </w:rPr>
        <w:t>rnal SI into the death which has</w:t>
      </w:r>
      <w:r w:rsidRPr="00A134DD">
        <w:rPr>
          <w:rFonts w:asciiTheme="minorHAnsi" w:hAnsiTheme="minorHAnsi" w:cstheme="minorHAnsi"/>
          <w:sz w:val="22"/>
          <w:szCs w:val="22"/>
        </w:rPr>
        <w:t xml:space="preserve"> been closed by the CCG and shared with the coroner. PFD received May 2018. Trust has responded to the coroner to address the additional areas identified at</w:t>
      </w:r>
      <w:r>
        <w:rPr>
          <w:rFonts w:asciiTheme="minorHAnsi" w:hAnsiTheme="minorHAnsi" w:cstheme="minorHAnsi"/>
          <w:sz w:val="22"/>
          <w:szCs w:val="22"/>
        </w:rPr>
        <w:t xml:space="preserve"> the</w:t>
      </w:r>
      <w:r w:rsidRPr="00A134DD">
        <w:rPr>
          <w:rFonts w:asciiTheme="minorHAnsi" w:hAnsiTheme="minorHAnsi" w:cstheme="minorHAnsi"/>
          <w:sz w:val="22"/>
          <w:szCs w:val="22"/>
        </w:rPr>
        <w:t xml:space="preserve"> inquest</w:t>
      </w:r>
      <w:r>
        <w:rPr>
          <w:rFonts w:asciiTheme="minorHAnsi" w:hAnsiTheme="minorHAnsi" w:cstheme="minorHAnsi"/>
          <w:sz w:val="22"/>
          <w:szCs w:val="22"/>
        </w:rPr>
        <w:t xml:space="preserve"> and is working with his family to commission an external investigation.</w:t>
      </w:r>
    </w:p>
    <w:p w14:paraId="56AE165D" w14:textId="5F501B7E" w:rsidR="0022773F" w:rsidRPr="0022773F" w:rsidRDefault="0022773F" w:rsidP="0022773F">
      <w:pPr>
        <w:numPr>
          <w:ilvl w:val="0"/>
          <w:numId w:val="35"/>
        </w:numPr>
        <w:tabs>
          <w:tab w:val="left" w:pos="1560"/>
        </w:tabs>
        <w:ind w:left="1560" w:hanging="426"/>
        <w:contextualSpacing/>
        <w:jc w:val="both"/>
        <w:rPr>
          <w:rFonts w:asciiTheme="minorHAnsi" w:hAnsiTheme="minorHAnsi" w:cstheme="minorHAnsi"/>
          <w:b/>
          <w:sz w:val="22"/>
          <w:szCs w:val="22"/>
        </w:rPr>
      </w:pPr>
      <w:r w:rsidRPr="00D80BA0">
        <w:rPr>
          <w:rFonts w:asciiTheme="minorHAnsi" w:hAnsiTheme="minorHAnsi" w:cstheme="minorHAnsi"/>
          <w:sz w:val="22"/>
          <w:szCs w:val="22"/>
        </w:rPr>
        <w:t xml:space="preserve">Suicide of a female on an acute mental health ward in March 2017. External investigation completed and shared with </w:t>
      </w:r>
      <w:r w:rsidR="00153743">
        <w:rPr>
          <w:rFonts w:asciiTheme="minorHAnsi" w:hAnsiTheme="minorHAnsi" w:cstheme="minorHAnsi"/>
          <w:sz w:val="22"/>
          <w:szCs w:val="22"/>
        </w:rPr>
        <w:t xml:space="preserve">the </w:t>
      </w:r>
      <w:r w:rsidRPr="00D80BA0">
        <w:rPr>
          <w:rFonts w:asciiTheme="minorHAnsi" w:hAnsiTheme="minorHAnsi" w:cstheme="minorHAnsi"/>
          <w:sz w:val="22"/>
          <w:szCs w:val="22"/>
        </w:rPr>
        <w:t>coroner. PFD received July 2018 and response being drafted.</w:t>
      </w:r>
    </w:p>
    <w:p w14:paraId="35E207CA" w14:textId="09387A07" w:rsidR="00D80BA0" w:rsidRPr="00D80BA0" w:rsidRDefault="00D80BA0" w:rsidP="00D80BA0">
      <w:pPr>
        <w:numPr>
          <w:ilvl w:val="0"/>
          <w:numId w:val="5"/>
        </w:numPr>
        <w:contextualSpacing/>
        <w:jc w:val="both"/>
        <w:rPr>
          <w:rFonts w:asciiTheme="minorHAnsi" w:hAnsiTheme="minorHAnsi" w:cstheme="minorHAnsi"/>
          <w:sz w:val="22"/>
          <w:szCs w:val="22"/>
        </w:rPr>
      </w:pPr>
      <w:r w:rsidRPr="00D80BA0">
        <w:rPr>
          <w:rFonts w:asciiTheme="minorHAnsi" w:hAnsiTheme="minorHAnsi" w:cstheme="minorHAnsi"/>
          <w:sz w:val="22"/>
          <w:szCs w:val="22"/>
        </w:rPr>
        <w:t>The reduction in restrictive practice has been maintained. A small number of patients are accounting for a large number of the restraints. Prone restraints are low except for in May 2018 relating to a specific patient. Most common reason for the use of restrictive practice is violence and aggression. Patient and staff harm during restraints has increased in Q1 which is being looking into by the PEACE team. The PEACE team are focusing on a number of work streams i.e. PEACE champions programme, implementation of Safewards interventions, developing new PEACE refresher training for ward staff.</w:t>
      </w:r>
    </w:p>
    <w:p w14:paraId="3B51AC9F" w14:textId="77777777" w:rsidR="00D80BA0" w:rsidRPr="00D80BA0" w:rsidRDefault="00D80BA0" w:rsidP="00D80BA0">
      <w:pPr>
        <w:numPr>
          <w:ilvl w:val="0"/>
          <w:numId w:val="5"/>
        </w:numPr>
        <w:contextualSpacing/>
        <w:jc w:val="both"/>
        <w:rPr>
          <w:rFonts w:asciiTheme="minorHAnsi" w:hAnsiTheme="minorHAnsi" w:cstheme="minorHAnsi"/>
          <w:sz w:val="22"/>
          <w:szCs w:val="22"/>
        </w:rPr>
      </w:pPr>
      <w:r w:rsidRPr="00D80BA0">
        <w:rPr>
          <w:rFonts w:asciiTheme="minorHAnsi" w:hAnsiTheme="minorHAnsi" w:cstheme="minorHAnsi"/>
          <w:sz w:val="22"/>
          <w:szCs w:val="22"/>
        </w:rPr>
        <w:t>A review has been completed of all national Medicines and Healthcare Products Regulatory Agency (MHRA) alerts back to 2003, to ensure all relevant alerts have been identified and appropriate actions have been taken and then sustained. Following a recent letter from NHS Improvement in June 2018 about ensuring actions national alerts are sustained (two alerts were named of which once was relevant to Trust services), the Trust is systematically going back through all relevant national alerts and looking at the evidence submitted to close and whether the action resolves the risk.</w:t>
      </w:r>
    </w:p>
    <w:p w14:paraId="47581A3E" w14:textId="64568652" w:rsidR="00D80BA0" w:rsidRDefault="00D80BA0" w:rsidP="00D80BA0">
      <w:pPr>
        <w:numPr>
          <w:ilvl w:val="0"/>
          <w:numId w:val="5"/>
        </w:numPr>
        <w:contextualSpacing/>
        <w:jc w:val="both"/>
        <w:rPr>
          <w:rFonts w:asciiTheme="minorHAnsi" w:hAnsiTheme="minorHAnsi" w:cstheme="minorHAnsi"/>
          <w:sz w:val="22"/>
          <w:szCs w:val="22"/>
        </w:rPr>
      </w:pPr>
      <w:r w:rsidRPr="00D80BA0">
        <w:rPr>
          <w:rFonts w:asciiTheme="minorHAnsi" w:hAnsiTheme="minorHAnsi" w:cstheme="minorHAnsi"/>
          <w:sz w:val="22"/>
          <w:szCs w:val="22"/>
        </w:rPr>
        <w:t>Further work is required on the management and oversight of medical devices across the Trust. Processes around purchasing, standardising equipment and maintenance/ collaboration through contracts has improved, although assurance around training/ staff competence is not robust in all services. The management and responsibility for prescribing equipment both for current patient and then patients who are discharged needs further work and investment. The contract with Millbrook (managed by Oxfordshire County Council) for providing prescribed equipment is under review with the development of better monitoring and input from clinicians at OHFT. More clarity is needed to improve prescriber responsibility. The medical devices committee oversees the work and has recently changed the chair and membership.</w:t>
      </w:r>
    </w:p>
    <w:p w14:paraId="2BFAB71A" w14:textId="77777777" w:rsidR="0022773F" w:rsidRPr="00D80BA0" w:rsidRDefault="0022773F" w:rsidP="0022773F">
      <w:pPr>
        <w:numPr>
          <w:ilvl w:val="0"/>
          <w:numId w:val="5"/>
        </w:numPr>
        <w:shd w:val="clear" w:color="auto" w:fill="FFFFFF" w:themeFill="background1"/>
        <w:contextualSpacing/>
        <w:jc w:val="both"/>
        <w:rPr>
          <w:rFonts w:asciiTheme="minorHAnsi" w:eastAsia="Calibri" w:hAnsiTheme="minorHAnsi" w:cstheme="minorHAnsi"/>
          <w:sz w:val="22"/>
          <w:szCs w:val="22"/>
          <w:lang w:val="en-US" w:eastAsia="en-US"/>
        </w:rPr>
      </w:pPr>
      <w:r w:rsidRPr="00D80BA0">
        <w:rPr>
          <w:rFonts w:asciiTheme="minorHAnsi" w:hAnsiTheme="minorHAnsi" w:cstheme="minorHAnsi"/>
          <w:sz w:val="22"/>
          <w:szCs w:val="22"/>
        </w:rPr>
        <w:t>In Q1 of 2018/19, 16 SIs were identified and reported, of these 5 were subsequently downgraded. Of the SIs reported in Q1, 5 involve a death of which 4 are suspected suicides. Of those SI investigations reported in Q1 2018/19 all investigation reports were submitted to the commissioners within the required time frame.</w:t>
      </w:r>
      <w:r w:rsidRPr="00D80BA0">
        <w:rPr>
          <w:rFonts w:asciiTheme="minorHAnsi" w:eastAsia="Calibri" w:hAnsiTheme="minorHAnsi" w:cstheme="minorHAnsi"/>
          <w:sz w:val="22"/>
          <w:szCs w:val="22"/>
          <w:lang w:val="en-US" w:eastAsia="en-US"/>
        </w:rPr>
        <w:t xml:space="preserve"> </w:t>
      </w:r>
      <w:r w:rsidRPr="00D80BA0">
        <w:rPr>
          <w:rFonts w:asciiTheme="minorHAnsi" w:hAnsiTheme="minorHAnsi" w:cstheme="minorHAnsi"/>
          <w:sz w:val="22"/>
          <w:szCs w:val="22"/>
        </w:rPr>
        <w:t xml:space="preserve">An analysis of SI’s over the last 3 years is presented, showing a decline overall due to the reduction of SI’s relating to pressure damage. Self-harm and pressure damage remain the two main causes of SI’s. </w:t>
      </w:r>
    </w:p>
    <w:p w14:paraId="666BD958" w14:textId="6F7DF8DE" w:rsidR="0022773F" w:rsidRPr="0022773F" w:rsidRDefault="0022773F" w:rsidP="0022773F">
      <w:pPr>
        <w:pStyle w:val="ListParagraph"/>
        <w:numPr>
          <w:ilvl w:val="0"/>
          <w:numId w:val="5"/>
        </w:numPr>
        <w:shd w:val="clear" w:color="auto" w:fill="FFFFFF" w:themeFill="background1"/>
        <w:jc w:val="both"/>
        <w:rPr>
          <w:rFonts w:asciiTheme="minorHAnsi" w:eastAsia="Calibri" w:hAnsiTheme="minorHAnsi" w:cstheme="minorHAnsi"/>
          <w:sz w:val="22"/>
          <w:szCs w:val="22"/>
          <w:highlight w:val="yellow"/>
          <w:lang w:val="en-US" w:eastAsia="en-US"/>
        </w:rPr>
      </w:pPr>
      <w:r w:rsidRPr="00D80BA0">
        <w:rPr>
          <w:rFonts w:asciiTheme="minorHAnsi" w:hAnsiTheme="minorHAnsi" w:cstheme="minorHAnsi"/>
          <w:sz w:val="22"/>
          <w:szCs w:val="22"/>
        </w:rPr>
        <w:t xml:space="preserve">The SI team will continue to focus on ways of sharing the learning from SI investigations and sharing local learning for moderate incidents including attending team reviews, using the Quality and Risk team bulletin bi-monthly and contributing to directorate Quality and Safety meetings. Four listening events have been held for staff to share their experiences of being involved or on leading an SI investigation, the outcomes will be used to improve the approach and processes for SIs. </w:t>
      </w:r>
    </w:p>
    <w:p w14:paraId="19F38522" w14:textId="77777777" w:rsidR="00D80BA0" w:rsidRPr="00D80BA0" w:rsidRDefault="00D80BA0" w:rsidP="00D80BA0">
      <w:pPr>
        <w:numPr>
          <w:ilvl w:val="0"/>
          <w:numId w:val="5"/>
        </w:numPr>
        <w:contextualSpacing/>
        <w:jc w:val="both"/>
        <w:rPr>
          <w:rFonts w:asciiTheme="minorHAnsi" w:hAnsiTheme="minorHAnsi" w:cstheme="minorHAnsi"/>
          <w:sz w:val="22"/>
          <w:szCs w:val="22"/>
        </w:rPr>
      </w:pPr>
      <w:r w:rsidRPr="00D80BA0">
        <w:rPr>
          <w:rFonts w:asciiTheme="minorHAnsi" w:hAnsiTheme="minorHAnsi" w:cstheme="minorHAnsi"/>
          <w:sz w:val="22"/>
          <w:szCs w:val="22"/>
        </w:rPr>
        <w:t xml:space="preserve">The Trust has had three confirmed never events in the last 12 months; </w:t>
      </w:r>
    </w:p>
    <w:p w14:paraId="2E471D34" w14:textId="6121EBB5" w:rsidR="00D80BA0" w:rsidRPr="00D80BA0" w:rsidRDefault="00153743" w:rsidP="00D80BA0">
      <w:pPr>
        <w:numPr>
          <w:ilvl w:val="0"/>
          <w:numId w:val="34"/>
        </w:numPr>
        <w:ind w:left="1560" w:hanging="426"/>
        <w:contextualSpacing/>
        <w:rPr>
          <w:rFonts w:asciiTheme="minorHAnsi" w:hAnsiTheme="minorHAnsi" w:cstheme="minorHAnsi"/>
          <w:sz w:val="22"/>
          <w:szCs w:val="22"/>
        </w:rPr>
      </w:pPr>
      <w:r>
        <w:rPr>
          <w:rFonts w:asciiTheme="minorHAnsi" w:eastAsia="Calibri" w:hAnsiTheme="minorHAnsi" w:cstheme="minorHAnsi"/>
          <w:bCs/>
          <w:sz w:val="22"/>
          <w:szCs w:val="22"/>
          <w:lang w:eastAsia="en-US"/>
        </w:rPr>
        <w:t xml:space="preserve">2017/18 - </w:t>
      </w:r>
      <w:r w:rsidR="00D80BA0" w:rsidRPr="00D80BA0">
        <w:rPr>
          <w:rFonts w:asciiTheme="minorHAnsi" w:eastAsia="Calibri" w:hAnsiTheme="minorHAnsi" w:cstheme="minorHAnsi"/>
          <w:bCs/>
          <w:sz w:val="22"/>
          <w:szCs w:val="22"/>
          <w:lang w:eastAsia="en-US"/>
        </w:rPr>
        <w:t>Circumstances surrounding the tragic death of a disabled child at their home in November 2017 who was receiving support from the Children’s Integrated Therapies Service</w:t>
      </w:r>
      <w:r w:rsidR="00D80BA0" w:rsidRPr="00D80BA0">
        <w:rPr>
          <w:rFonts w:asciiTheme="minorHAnsi" w:hAnsiTheme="minorHAnsi" w:cstheme="minorHAnsi"/>
          <w:sz w:val="22"/>
          <w:szCs w:val="22"/>
        </w:rPr>
        <w:t xml:space="preserve">. The combined bedrail, bedframe and mattress dimensions did not comply with Medicines and Healthcare Products Regulatory Agency (MHRA) Safe Use of Bed rails 2013 guidance. SI investigation, CDOP process and coroner’s inquest completed. Action plan shared at the Quality Committee in May 2018. Progress </w:t>
      </w:r>
      <w:r>
        <w:rPr>
          <w:rFonts w:asciiTheme="minorHAnsi" w:hAnsiTheme="minorHAnsi" w:cstheme="minorHAnsi"/>
          <w:sz w:val="22"/>
          <w:szCs w:val="22"/>
        </w:rPr>
        <w:t>against actions to be shared with the family and Coroner.</w:t>
      </w:r>
    </w:p>
    <w:p w14:paraId="7938220A" w14:textId="385DF988" w:rsidR="00D80BA0" w:rsidRPr="00D80BA0" w:rsidRDefault="00153743" w:rsidP="00D80BA0">
      <w:pPr>
        <w:numPr>
          <w:ilvl w:val="0"/>
          <w:numId w:val="34"/>
        </w:numPr>
        <w:ind w:left="1560" w:hanging="426"/>
        <w:contextualSpacing/>
        <w:rPr>
          <w:rFonts w:asciiTheme="minorHAnsi" w:hAnsiTheme="minorHAnsi" w:cstheme="minorHAnsi"/>
          <w:sz w:val="22"/>
          <w:szCs w:val="22"/>
        </w:rPr>
      </w:pPr>
      <w:r>
        <w:rPr>
          <w:rFonts w:asciiTheme="minorHAnsi" w:hAnsiTheme="minorHAnsi" w:cstheme="minorHAnsi"/>
          <w:sz w:val="22"/>
          <w:szCs w:val="22"/>
        </w:rPr>
        <w:t xml:space="preserve">2018/19 - </w:t>
      </w:r>
      <w:r w:rsidR="00D80BA0" w:rsidRPr="00D80BA0">
        <w:rPr>
          <w:rFonts w:asciiTheme="minorHAnsi" w:hAnsiTheme="minorHAnsi" w:cstheme="minorHAnsi"/>
          <w:sz w:val="22"/>
          <w:szCs w:val="22"/>
        </w:rPr>
        <w:t>In August 2018 a member of the salaried dental service by accident extracted the wrong tooth of a child under a GA. The tooth was immediately re-implanted</w:t>
      </w:r>
      <w:r>
        <w:rPr>
          <w:rFonts w:asciiTheme="minorHAnsi" w:hAnsiTheme="minorHAnsi" w:cstheme="minorHAnsi"/>
          <w:sz w:val="22"/>
          <w:szCs w:val="22"/>
        </w:rPr>
        <w:t xml:space="preserve">. </w:t>
      </w:r>
      <w:r w:rsidR="00D80BA0" w:rsidRPr="00D80BA0">
        <w:rPr>
          <w:rFonts w:asciiTheme="minorHAnsi" w:hAnsiTheme="minorHAnsi" w:cstheme="minorHAnsi"/>
          <w:sz w:val="22"/>
          <w:szCs w:val="22"/>
        </w:rPr>
        <w:t>SI investigated started.</w:t>
      </w:r>
    </w:p>
    <w:p w14:paraId="797EC4C7" w14:textId="17860265" w:rsidR="00D80BA0" w:rsidRDefault="00153743" w:rsidP="00D80BA0">
      <w:pPr>
        <w:numPr>
          <w:ilvl w:val="0"/>
          <w:numId w:val="34"/>
        </w:numPr>
        <w:ind w:left="1560" w:hanging="426"/>
        <w:contextualSpacing/>
        <w:rPr>
          <w:rFonts w:asciiTheme="minorHAnsi" w:hAnsiTheme="minorHAnsi" w:cstheme="minorHAnsi"/>
          <w:sz w:val="22"/>
          <w:szCs w:val="22"/>
        </w:rPr>
      </w:pPr>
      <w:r>
        <w:rPr>
          <w:rFonts w:asciiTheme="minorHAnsi" w:hAnsiTheme="minorHAnsi" w:cstheme="minorHAnsi"/>
          <w:sz w:val="22"/>
          <w:szCs w:val="22"/>
        </w:rPr>
        <w:lastRenderedPageBreak/>
        <w:t xml:space="preserve">2018/19 - </w:t>
      </w:r>
      <w:r w:rsidR="00D80BA0" w:rsidRPr="00D80BA0">
        <w:rPr>
          <w:rFonts w:asciiTheme="minorHAnsi" w:hAnsiTheme="minorHAnsi" w:cstheme="minorHAnsi"/>
          <w:sz w:val="22"/>
          <w:szCs w:val="22"/>
        </w:rPr>
        <w:t xml:space="preserve">In August 2018 </w:t>
      </w:r>
      <w:r>
        <w:rPr>
          <w:rFonts w:asciiTheme="minorHAnsi" w:hAnsiTheme="minorHAnsi" w:cstheme="minorHAnsi"/>
          <w:sz w:val="22"/>
          <w:szCs w:val="22"/>
        </w:rPr>
        <w:t>a</w:t>
      </w:r>
      <w:r w:rsidR="00D80BA0" w:rsidRPr="00D80BA0">
        <w:rPr>
          <w:rFonts w:asciiTheme="minorHAnsi" w:hAnsiTheme="minorHAnsi" w:cstheme="minorHAnsi"/>
          <w:sz w:val="22"/>
          <w:szCs w:val="22"/>
        </w:rPr>
        <w:t xml:space="preserve"> collapsible shower curtain rail </w:t>
      </w:r>
      <w:r>
        <w:rPr>
          <w:rFonts w:asciiTheme="minorHAnsi" w:hAnsiTheme="minorHAnsi" w:cstheme="minorHAnsi"/>
          <w:sz w:val="22"/>
          <w:szCs w:val="22"/>
        </w:rPr>
        <w:t>on a CAMHS ward did not collapse under weight</w:t>
      </w:r>
      <w:r w:rsidR="00D80BA0" w:rsidRPr="00D80BA0">
        <w:rPr>
          <w:rFonts w:asciiTheme="minorHAnsi" w:hAnsiTheme="minorHAnsi" w:cstheme="minorHAnsi"/>
          <w:sz w:val="22"/>
          <w:szCs w:val="22"/>
        </w:rPr>
        <w:t>. We are in liaison with the manufacturer who is supporting the trust to investigate the circumstances and alternative products available. We have issued an external alert to inform other mental health trusts</w:t>
      </w:r>
      <w:r>
        <w:rPr>
          <w:rFonts w:asciiTheme="minorHAnsi" w:hAnsiTheme="minorHAnsi" w:cstheme="minorHAnsi"/>
          <w:sz w:val="22"/>
          <w:szCs w:val="22"/>
        </w:rPr>
        <w:t xml:space="preserve"> of a</w:t>
      </w:r>
      <w:r w:rsidR="0022773F">
        <w:rPr>
          <w:rFonts w:asciiTheme="minorHAnsi" w:hAnsiTheme="minorHAnsi" w:cstheme="minorHAnsi"/>
          <w:sz w:val="22"/>
          <w:szCs w:val="22"/>
        </w:rPr>
        <w:t xml:space="preserve"> likely risk</w:t>
      </w:r>
      <w:r w:rsidR="00D80BA0" w:rsidRPr="00D80BA0">
        <w:rPr>
          <w:rFonts w:asciiTheme="minorHAnsi" w:hAnsiTheme="minorHAnsi" w:cstheme="minorHAnsi"/>
          <w:sz w:val="22"/>
          <w:szCs w:val="22"/>
        </w:rPr>
        <w:t xml:space="preserve">. </w:t>
      </w:r>
      <w:r w:rsidR="0022773F">
        <w:rPr>
          <w:rFonts w:asciiTheme="minorHAnsi" w:hAnsiTheme="minorHAnsi" w:cstheme="minorHAnsi"/>
          <w:sz w:val="22"/>
          <w:szCs w:val="22"/>
        </w:rPr>
        <w:t>SI investigation has</w:t>
      </w:r>
      <w:r w:rsidR="00D80BA0" w:rsidRPr="00D80BA0">
        <w:rPr>
          <w:rFonts w:asciiTheme="minorHAnsi" w:hAnsiTheme="minorHAnsi" w:cstheme="minorHAnsi"/>
          <w:sz w:val="22"/>
          <w:szCs w:val="22"/>
        </w:rPr>
        <w:t xml:space="preserve"> started.</w:t>
      </w:r>
    </w:p>
    <w:p w14:paraId="445E5FF5" w14:textId="77777777" w:rsidR="00153743" w:rsidRPr="00153743" w:rsidRDefault="00153743" w:rsidP="00153743">
      <w:pPr>
        <w:pStyle w:val="ListParagraph"/>
        <w:numPr>
          <w:ilvl w:val="0"/>
          <w:numId w:val="34"/>
        </w:numPr>
        <w:rPr>
          <w:rFonts w:asciiTheme="minorHAnsi" w:hAnsiTheme="minorHAnsi" w:cstheme="minorHAnsi"/>
          <w:sz w:val="22"/>
          <w:szCs w:val="22"/>
          <w:lang w:eastAsia="en-US"/>
        </w:rPr>
      </w:pPr>
      <w:r w:rsidRPr="00153743">
        <w:rPr>
          <w:rFonts w:asciiTheme="minorHAnsi" w:hAnsiTheme="minorHAnsi" w:cstheme="minorHAnsi"/>
          <w:sz w:val="22"/>
          <w:szCs w:val="22"/>
        </w:rPr>
        <w:t xml:space="preserve">In July 2018 there was an outbreak of an invasive group A streptococcal infection with a cluster of eight people affected in West Oxfordshire. The </w:t>
      </w:r>
      <w:r w:rsidRPr="00153743">
        <w:rPr>
          <w:rFonts w:asciiTheme="minorHAnsi" w:hAnsiTheme="minorHAnsi" w:cstheme="minorHAnsi"/>
          <w:sz w:val="22"/>
          <w:szCs w:val="22"/>
          <w:lang w:eastAsia="en-US"/>
        </w:rPr>
        <w:t>similarities across the people was that: all live alone, were over 70 years old, they used different care agencies on a regular basis, they were seen by the same district nursing team, they all have open wounds and they need dressings changed regularly. In total 18-19 OHFT staff were screened and all had negative results for carrying the infection. Two patients have subsequently died at the OUHFT. A review has been started.</w:t>
      </w:r>
    </w:p>
    <w:p w14:paraId="1C145820" w14:textId="4D697D6E" w:rsidR="00651A5C" w:rsidRPr="00D80BA0" w:rsidRDefault="00651A5C" w:rsidP="00D80BA0">
      <w:pPr>
        <w:contextualSpacing/>
        <w:rPr>
          <w:rFonts w:asciiTheme="minorHAnsi" w:hAnsiTheme="minorHAnsi" w:cstheme="minorHAnsi"/>
          <w:sz w:val="22"/>
          <w:szCs w:val="22"/>
          <w:lang w:eastAsia="en-US"/>
        </w:rPr>
      </w:pPr>
    </w:p>
    <w:p w14:paraId="053503A7" w14:textId="77777777" w:rsidR="008E78D4" w:rsidRPr="00D80BA0" w:rsidRDefault="008E78D4" w:rsidP="00D80BA0">
      <w:pPr>
        <w:contextualSpacing/>
        <w:jc w:val="both"/>
        <w:rPr>
          <w:rFonts w:asciiTheme="minorHAnsi" w:hAnsiTheme="minorHAnsi" w:cstheme="minorHAnsi"/>
          <w:b/>
          <w:sz w:val="22"/>
          <w:szCs w:val="22"/>
        </w:rPr>
      </w:pPr>
      <w:r w:rsidRPr="00D80BA0">
        <w:rPr>
          <w:rFonts w:asciiTheme="minorHAnsi" w:hAnsiTheme="minorHAnsi" w:cstheme="minorHAnsi"/>
          <w:b/>
          <w:sz w:val="22"/>
          <w:szCs w:val="22"/>
        </w:rPr>
        <w:t>Recommendation:</w:t>
      </w:r>
    </w:p>
    <w:p w14:paraId="5DD9D0EB" w14:textId="69A92679" w:rsidR="008E78D4" w:rsidRPr="00D80BA0" w:rsidRDefault="0022773F" w:rsidP="00D80BA0">
      <w:pPr>
        <w:contextualSpacing/>
        <w:jc w:val="both"/>
        <w:rPr>
          <w:rFonts w:asciiTheme="minorHAnsi" w:hAnsiTheme="minorHAnsi" w:cstheme="minorHAnsi"/>
          <w:sz w:val="22"/>
          <w:szCs w:val="22"/>
        </w:rPr>
      </w:pPr>
      <w:r>
        <w:rPr>
          <w:rFonts w:asciiTheme="minorHAnsi" w:hAnsiTheme="minorHAnsi" w:cstheme="minorHAnsi"/>
          <w:sz w:val="22"/>
          <w:szCs w:val="22"/>
        </w:rPr>
        <w:t>To note.</w:t>
      </w:r>
    </w:p>
    <w:p w14:paraId="0830AA81" w14:textId="77777777" w:rsidR="008E78D4" w:rsidRPr="00D80BA0" w:rsidRDefault="008E78D4" w:rsidP="00D80BA0">
      <w:pPr>
        <w:contextualSpacing/>
        <w:jc w:val="both"/>
        <w:rPr>
          <w:rFonts w:asciiTheme="minorHAnsi" w:hAnsiTheme="minorHAnsi" w:cstheme="minorHAnsi"/>
          <w:b/>
          <w:sz w:val="22"/>
          <w:szCs w:val="22"/>
        </w:rPr>
      </w:pPr>
    </w:p>
    <w:p w14:paraId="4E09D641" w14:textId="13CBC477" w:rsidR="008E78D4" w:rsidRPr="00D80BA0" w:rsidRDefault="008E78D4" w:rsidP="00D80BA0">
      <w:pPr>
        <w:ind w:left="2880" w:hanging="2880"/>
        <w:contextualSpacing/>
        <w:jc w:val="both"/>
        <w:rPr>
          <w:rFonts w:asciiTheme="minorHAnsi" w:hAnsiTheme="minorHAnsi" w:cstheme="minorHAnsi"/>
          <w:sz w:val="22"/>
          <w:szCs w:val="22"/>
        </w:rPr>
      </w:pPr>
      <w:r w:rsidRPr="00D80BA0">
        <w:rPr>
          <w:rFonts w:asciiTheme="minorHAnsi" w:hAnsiTheme="minorHAnsi" w:cstheme="minorHAnsi"/>
          <w:b/>
          <w:sz w:val="22"/>
          <w:szCs w:val="22"/>
        </w:rPr>
        <w:t>Author and title:</w:t>
      </w:r>
      <w:r w:rsidRPr="00D80BA0">
        <w:rPr>
          <w:rFonts w:asciiTheme="minorHAnsi" w:hAnsiTheme="minorHAnsi" w:cstheme="minorHAnsi"/>
          <w:sz w:val="22"/>
          <w:szCs w:val="22"/>
        </w:rPr>
        <w:t xml:space="preserve"> </w:t>
      </w:r>
      <w:r w:rsidRPr="00D80BA0">
        <w:rPr>
          <w:rFonts w:asciiTheme="minorHAnsi" w:hAnsiTheme="minorHAnsi" w:cstheme="minorHAnsi"/>
          <w:sz w:val="22"/>
          <w:szCs w:val="22"/>
        </w:rPr>
        <w:tab/>
      </w:r>
      <w:r w:rsidR="0022773F" w:rsidRPr="00D80BA0">
        <w:rPr>
          <w:rFonts w:asciiTheme="minorHAnsi" w:hAnsiTheme="minorHAnsi" w:cstheme="minorHAnsi"/>
          <w:sz w:val="22"/>
          <w:szCs w:val="22"/>
        </w:rPr>
        <w:t>Jane Kershaw</w:t>
      </w:r>
      <w:r w:rsidR="0022773F">
        <w:rPr>
          <w:rFonts w:asciiTheme="minorHAnsi" w:hAnsiTheme="minorHAnsi" w:cstheme="minorHAnsi"/>
          <w:sz w:val="22"/>
          <w:szCs w:val="22"/>
        </w:rPr>
        <w:t>,</w:t>
      </w:r>
      <w:r w:rsidR="0022773F" w:rsidRPr="00D80BA0">
        <w:rPr>
          <w:rFonts w:asciiTheme="minorHAnsi" w:hAnsiTheme="minorHAnsi" w:cstheme="minorHAnsi"/>
          <w:sz w:val="22"/>
          <w:szCs w:val="22"/>
        </w:rPr>
        <w:t xml:space="preserve"> </w:t>
      </w:r>
      <w:r w:rsidRPr="00D80BA0">
        <w:rPr>
          <w:rFonts w:asciiTheme="minorHAnsi" w:hAnsiTheme="minorHAnsi" w:cstheme="minorHAnsi"/>
          <w:sz w:val="22"/>
          <w:szCs w:val="22"/>
        </w:rPr>
        <w:t>Charlotte Forder</w:t>
      </w:r>
      <w:r w:rsidR="0022773F">
        <w:rPr>
          <w:rFonts w:asciiTheme="minorHAnsi" w:hAnsiTheme="minorHAnsi" w:cstheme="minorHAnsi"/>
          <w:sz w:val="22"/>
          <w:szCs w:val="22"/>
        </w:rPr>
        <w:t xml:space="preserve"> and</w:t>
      </w:r>
      <w:r w:rsidR="00591438" w:rsidRPr="00D80BA0">
        <w:rPr>
          <w:rFonts w:asciiTheme="minorHAnsi" w:hAnsiTheme="minorHAnsi" w:cstheme="minorHAnsi"/>
          <w:sz w:val="22"/>
          <w:szCs w:val="22"/>
        </w:rPr>
        <w:t xml:space="preserve"> Pam Treadwell</w:t>
      </w:r>
      <w:r w:rsidRPr="00D80BA0">
        <w:rPr>
          <w:rFonts w:asciiTheme="minorHAnsi" w:hAnsiTheme="minorHAnsi" w:cstheme="minorHAnsi"/>
          <w:sz w:val="22"/>
          <w:szCs w:val="22"/>
        </w:rPr>
        <w:t xml:space="preserve"> (Quality and Risk Team)</w:t>
      </w:r>
    </w:p>
    <w:p w14:paraId="6A6D48B6" w14:textId="77777777" w:rsidR="008E78D4" w:rsidRPr="00D80BA0" w:rsidRDefault="008E78D4"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 xml:space="preserve">                                     </w:t>
      </w:r>
      <w:r w:rsidRPr="00D80BA0">
        <w:rPr>
          <w:rFonts w:asciiTheme="minorHAnsi" w:hAnsiTheme="minorHAnsi" w:cstheme="minorHAnsi"/>
          <w:sz w:val="22"/>
          <w:szCs w:val="22"/>
        </w:rPr>
        <w:tab/>
      </w:r>
    </w:p>
    <w:p w14:paraId="7D8B6ACB" w14:textId="77777777" w:rsidR="008E78D4" w:rsidRPr="00D80BA0" w:rsidRDefault="008E78D4" w:rsidP="00D80BA0">
      <w:pPr>
        <w:contextualSpacing/>
        <w:jc w:val="both"/>
        <w:rPr>
          <w:rFonts w:asciiTheme="minorHAnsi" w:hAnsiTheme="minorHAnsi" w:cstheme="minorHAnsi"/>
          <w:sz w:val="22"/>
          <w:szCs w:val="22"/>
        </w:rPr>
      </w:pPr>
      <w:r w:rsidRPr="00D80BA0">
        <w:rPr>
          <w:rFonts w:asciiTheme="minorHAnsi" w:hAnsiTheme="minorHAnsi" w:cstheme="minorHAnsi"/>
          <w:b/>
          <w:sz w:val="22"/>
          <w:szCs w:val="22"/>
        </w:rPr>
        <w:t>Lead Executive Director:</w:t>
      </w:r>
      <w:r w:rsidRPr="00D80BA0">
        <w:rPr>
          <w:rFonts w:asciiTheme="minorHAnsi" w:hAnsiTheme="minorHAnsi" w:cstheme="minorHAnsi"/>
          <w:b/>
          <w:sz w:val="22"/>
          <w:szCs w:val="22"/>
        </w:rPr>
        <w:tab/>
      </w:r>
      <w:r w:rsidRPr="00D80BA0">
        <w:rPr>
          <w:rFonts w:asciiTheme="minorHAnsi" w:hAnsiTheme="minorHAnsi" w:cstheme="minorHAnsi"/>
          <w:sz w:val="22"/>
          <w:szCs w:val="22"/>
        </w:rPr>
        <w:t>Ros Alstead Director of Nursing and Clinical Governance</w:t>
      </w:r>
    </w:p>
    <w:p w14:paraId="688CF789" w14:textId="77777777" w:rsidR="00C714E0" w:rsidRPr="00D80BA0" w:rsidRDefault="00C714E0" w:rsidP="00D80BA0">
      <w:pPr>
        <w:contextualSpacing/>
        <w:rPr>
          <w:rFonts w:asciiTheme="minorHAnsi" w:hAnsiTheme="minorHAnsi" w:cstheme="minorHAnsi"/>
          <w:sz w:val="22"/>
          <w:szCs w:val="22"/>
          <w:lang w:val="en-US" w:eastAsia="en-US"/>
        </w:rPr>
      </w:pPr>
      <w:r w:rsidRPr="00D80BA0">
        <w:rPr>
          <w:rFonts w:asciiTheme="minorHAnsi" w:hAnsiTheme="minorHAnsi" w:cstheme="minorHAnsi"/>
          <w:sz w:val="22"/>
          <w:szCs w:val="22"/>
        </w:rPr>
        <w:br w:type="page"/>
      </w:r>
    </w:p>
    <w:p w14:paraId="03014479" w14:textId="77777777" w:rsidR="00186E78" w:rsidRPr="00D80BA0" w:rsidRDefault="00186E78" w:rsidP="00D80BA0">
      <w:pPr>
        <w:contextualSpacing/>
        <w:jc w:val="both"/>
        <w:rPr>
          <w:rFonts w:asciiTheme="minorHAnsi" w:hAnsiTheme="minorHAnsi" w:cstheme="minorHAnsi"/>
          <w:sz w:val="22"/>
          <w:szCs w:val="22"/>
        </w:rPr>
      </w:pPr>
    </w:p>
    <w:p w14:paraId="62AC998A" w14:textId="77777777" w:rsidR="00605696" w:rsidRPr="00D80BA0" w:rsidRDefault="00304B1B" w:rsidP="00D80BA0">
      <w:pPr>
        <w:contextualSpacing/>
        <w:jc w:val="both"/>
        <w:rPr>
          <w:rFonts w:asciiTheme="minorHAnsi" w:hAnsiTheme="minorHAnsi" w:cstheme="minorHAnsi"/>
          <w:b/>
          <w:sz w:val="22"/>
          <w:szCs w:val="22"/>
          <w:u w:val="single"/>
          <w:lang w:val="en-US" w:eastAsia="en-US"/>
        </w:rPr>
      </w:pPr>
      <w:r w:rsidRPr="00D80BA0">
        <w:rPr>
          <w:rFonts w:asciiTheme="minorHAnsi" w:hAnsiTheme="minorHAnsi" w:cstheme="minorHAnsi"/>
          <w:b/>
          <w:sz w:val="22"/>
          <w:szCs w:val="22"/>
          <w:lang w:val="en-US" w:eastAsia="en-US"/>
        </w:rPr>
        <w:t xml:space="preserve">1.0 </w:t>
      </w:r>
      <w:r w:rsidR="009E74FE" w:rsidRPr="00D80BA0">
        <w:rPr>
          <w:rFonts w:asciiTheme="minorHAnsi" w:hAnsiTheme="minorHAnsi" w:cstheme="minorHAnsi"/>
          <w:b/>
          <w:sz w:val="22"/>
          <w:szCs w:val="22"/>
          <w:u w:val="single"/>
          <w:lang w:val="en-US" w:eastAsia="en-US"/>
        </w:rPr>
        <w:t xml:space="preserve">Overview of Reported Incidents </w:t>
      </w:r>
    </w:p>
    <w:p w14:paraId="128B3D32" w14:textId="77777777" w:rsidR="003308F8" w:rsidRPr="00D80BA0" w:rsidRDefault="003308F8" w:rsidP="00D80BA0">
      <w:pPr>
        <w:contextualSpacing/>
        <w:jc w:val="both"/>
        <w:rPr>
          <w:rFonts w:asciiTheme="minorHAnsi" w:hAnsiTheme="minorHAnsi" w:cstheme="minorHAnsi"/>
          <w:sz w:val="22"/>
          <w:szCs w:val="22"/>
          <w:u w:val="single"/>
          <w:lang w:val="en-US" w:eastAsia="en-US"/>
        </w:rPr>
      </w:pPr>
      <w:r w:rsidRPr="00D80BA0">
        <w:rPr>
          <w:rFonts w:asciiTheme="minorHAnsi" w:hAnsiTheme="minorHAnsi" w:cstheme="minorHAnsi"/>
          <w:sz w:val="22"/>
          <w:szCs w:val="22"/>
          <w:u w:val="single"/>
          <w:lang w:val="en-US" w:eastAsia="en-US"/>
        </w:rPr>
        <w:t>1.1 Number of incidents</w:t>
      </w:r>
    </w:p>
    <w:p w14:paraId="51F176A9" w14:textId="2C21607C" w:rsidR="00F66C51" w:rsidRPr="00D80BA0" w:rsidRDefault="00F66C51" w:rsidP="00D80BA0">
      <w:pPr>
        <w:contextualSpacing/>
        <w:jc w:val="both"/>
        <w:rPr>
          <w:rFonts w:asciiTheme="minorHAnsi" w:hAnsiTheme="minorHAnsi" w:cstheme="minorHAnsi"/>
          <w:sz w:val="22"/>
          <w:szCs w:val="22"/>
          <w:lang w:val="en-US" w:eastAsia="en-US"/>
        </w:rPr>
      </w:pPr>
      <w:r w:rsidRPr="00D80BA0">
        <w:rPr>
          <w:rFonts w:asciiTheme="minorHAnsi" w:hAnsiTheme="minorHAnsi" w:cstheme="minorHAnsi"/>
          <w:sz w:val="22"/>
          <w:szCs w:val="22"/>
          <w:lang w:val="en-US" w:eastAsia="en-US"/>
        </w:rPr>
        <w:t>Figure 1 shows reporting levels have continued to increase from the point the Ulysses incident reporting system was introduced across all services from 2011</w:t>
      </w:r>
      <w:r w:rsidR="006E456F" w:rsidRPr="00D80BA0">
        <w:rPr>
          <w:rFonts w:asciiTheme="minorHAnsi" w:hAnsiTheme="minorHAnsi" w:cstheme="minorHAnsi"/>
          <w:sz w:val="22"/>
          <w:szCs w:val="22"/>
          <w:lang w:val="en-US" w:eastAsia="en-US"/>
        </w:rPr>
        <w:t>. T</w:t>
      </w:r>
      <w:r w:rsidR="00D54081" w:rsidRPr="00D80BA0">
        <w:rPr>
          <w:rFonts w:asciiTheme="minorHAnsi" w:hAnsiTheme="minorHAnsi" w:cstheme="minorHAnsi"/>
          <w:sz w:val="22"/>
          <w:szCs w:val="22"/>
          <w:lang w:val="en-US" w:eastAsia="en-US"/>
        </w:rPr>
        <w:t>he increase in reporting in Q2</w:t>
      </w:r>
      <w:r w:rsidR="006E456F" w:rsidRPr="00D80BA0">
        <w:rPr>
          <w:rFonts w:asciiTheme="minorHAnsi" w:hAnsiTheme="minorHAnsi" w:cstheme="minorHAnsi"/>
          <w:sz w:val="22"/>
          <w:szCs w:val="22"/>
          <w:lang w:val="en-US" w:eastAsia="en-US"/>
        </w:rPr>
        <w:t xml:space="preserve"> and Q3</w:t>
      </w:r>
      <w:r w:rsidR="00481C52" w:rsidRPr="00D80BA0">
        <w:rPr>
          <w:rFonts w:asciiTheme="minorHAnsi" w:hAnsiTheme="minorHAnsi" w:cstheme="minorHAnsi"/>
          <w:sz w:val="22"/>
          <w:szCs w:val="22"/>
          <w:lang w:val="en-US" w:eastAsia="en-US"/>
        </w:rPr>
        <w:t xml:space="preserve"> of 17/18</w:t>
      </w:r>
      <w:r w:rsidR="00D54081" w:rsidRPr="00D80BA0">
        <w:rPr>
          <w:rFonts w:asciiTheme="minorHAnsi" w:hAnsiTheme="minorHAnsi" w:cstheme="minorHAnsi"/>
          <w:sz w:val="22"/>
          <w:szCs w:val="22"/>
          <w:lang w:val="en-US" w:eastAsia="en-US"/>
        </w:rPr>
        <w:t xml:space="preserve"> relates to CAMHS, the adult mental health wards and community mental health teams, and the transfer of the learning disa</w:t>
      </w:r>
      <w:r w:rsidR="006E456F" w:rsidRPr="00D80BA0">
        <w:rPr>
          <w:rFonts w:asciiTheme="minorHAnsi" w:hAnsiTheme="minorHAnsi" w:cstheme="minorHAnsi"/>
          <w:sz w:val="22"/>
          <w:szCs w:val="22"/>
          <w:lang w:val="en-US" w:eastAsia="en-US"/>
        </w:rPr>
        <w:t>bilities s</w:t>
      </w:r>
      <w:r w:rsidR="00406B9B" w:rsidRPr="00D80BA0">
        <w:rPr>
          <w:rFonts w:asciiTheme="minorHAnsi" w:hAnsiTheme="minorHAnsi" w:cstheme="minorHAnsi"/>
          <w:sz w:val="22"/>
          <w:szCs w:val="22"/>
          <w:lang w:val="en-US" w:eastAsia="en-US"/>
        </w:rPr>
        <w:t>ervice from July 2017.</w:t>
      </w:r>
    </w:p>
    <w:p w14:paraId="177F4573" w14:textId="6B8296B7" w:rsidR="00986519" w:rsidRPr="00D80BA0" w:rsidRDefault="00986519" w:rsidP="00D80BA0">
      <w:pPr>
        <w:contextualSpacing/>
        <w:jc w:val="both"/>
        <w:rPr>
          <w:rFonts w:asciiTheme="minorHAnsi" w:hAnsiTheme="minorHAnsi" w:cstheme="minorHAnsi"/>
          <w:sz w:val="22"/>
          <w:szCs w:val="22"/>
          <w:lang w:val="en-US" w:eastAsia="en-US"/>
        </w:rPr>
      </w:pPr>
    </w:p>
    <w:p w14:paraId="28465A61" w14:textId="77777777" w:rsidR="00986519" w:rsidRPr="00D80BA0" w:rsidRDefault="00986519" w:rsidP="00D80BA0">
      <w:pPr>
        <w:keepNext/>
        <w:contextualSpacing/>
        <w:jc w:val="both"/>
        <w:rPr>
          <w:rFonts w:asciiTheme="minorHAnsi" w:hAnsiTheme="minorHAnsi" w:cstheme="minorHAnsi"/>
          <w:sz w:val="22"/>
          <w:szCs w:val="22"/>
        </w:rPr>
      </w:pPr>
      <w:r w:rsidRPr="00D80BA0">
        <w:rPr>
          <w:rFonts w:asciiTheme="minorHAnsi" w:hAnsiTheme="minorHAnsi" w:cstheme="minorHAnsi"/>
          <w:noProof/>
          <w:sz w:val="22"/>
          <w:szCs w:val="22"/>
        </w:rPr>
        <w:drawing>
          <wp:inline distT="0" distB="0" distL="0" distR="0" wp14:anchorId="39833C07" wp14:editId="7AA29A1A">
            <wp:extent cx="6058551" cy="2807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5497" cy="2815787"/>
                    </a:xfrm>
                    <a:prstGeom prst="rect">
                      <a:avLst/>
                    </a:prstGeom>
                    <a:noFill/>
                  </pic:spPr>
                </pic:pic>
              </a:graphicData>
            </a:graphic>
          </wp:inline>
        </w:drawing>
      </w:r>
    </w:p>
    <w:p w14:paraId="2E060F3C" w14:textId="77777777" w:rsidR="00986519" w:rsidRPr="00D80BA0" w:rsidRDefault="00986519" w:rsidP="00D80BA0">
      <w:pPr>
        <w:pStyle w:val="Caption"/>
        <w:spacing w:after="0"/>
        <w:contextualSpacing/>
        <w:jc w:val="both"/>
        <w:rPr>
          <w:rFonts w:asciiTheme="minorHAnsi" w:hAnsiTheme="minorHAnsi" w:cstheme="minorHAnsi"/>
          <w:b w:val="0"/>
          <w:i/>
          <w:color w:val="auto"/>
          <w:sz w:val="22"/>
          <w:szCs w:val="22"/>
        </w:rPr>
      </w:pPr>
      <w:r w:rsidRPr="00D80BA0">
        <w:rPr>
          <w:rFonts w:asciiTheme="minorHAnsi" w:hAnsiTheme="minorHAnsi" w:cstheme="minorHAnsi"/>
          <w:b w:val="0"/>
          <w:i/>
          <w:color w:val="auto"/>
          <w:sz w:val="22"/>
          <w:szCs w:val="22"/>
        </w:rPr>
        <w:t xml:space="preserve">Figure </w:t>
      </w:r>
      <w:r w:rsidRPr="00D80BA0">
        <w:rPr>
          <w:rFonts w:asciiTheme="minorHAnsi" w:hAnsiTheme="minorHAnsi" w:cstheme="minorHAnsi"/>
          <w:b w:val="0"/>
          <w:i/>
          <w:color w:val="auto"/>
          <w:sz w:val="22"/>
          <w:szCs w:val="22"/>
        </w:rPr>
        <w:fldChar w:fldCharType="begin"/>
      </w:r>
      <w:r w:rsidRPr="00D80BA0">
        <w:rPr>
          <w:rFonts w:asciiTheme="minorHAnsi" w:hAnsiTheme="minorHAnsi" w:cstheme="minorHAnsi"/>
          <w:b w:val="0"/>
          <w:i/>
          <w:color w:val="auto"/>
          <w:sz w:val="22"/>
          <w:szCs w:val="22"/>
        </w:rPr>
        <w:instrText xml:space="preserve"> SEQ Figure \* ARABIC </w:instrText>
      </w:r>
      <w:r w:rsidRPr="00D80BA0">
        <w:rPr>
          <w:rFonts w:asciiTheme="minorHAnsi" w:hAnsiTheme="minorHAnsi" w:cstheme="minorHAnsi"/>
          <w:b w:val="0"/>
          <w:i/>
          <w:color w:val="auto"/>
          <w:sz w:val="22"/>
          <w:szCs w:val="22"/>
        </w:rPr>
        <w:fldChar w:fldCharType="separate"/>
      </w:r>
      <w:r w:rsidRPr="00D80BA0">
        <w:rPr>
          <w:rFonts w:asciiTheme="minorHAnsi" w:hAnsiTheme="minorHAnsi" w:cstheme="minorHAnsi"/>
          <w:b w:val="0"/>
          <w:i/>
          <w:noProof/>
          <w:color w:val="auto"/>
          <w:sz w:val="22"/>
          <w:szCs w:val="22"/>
        </w:rPr>
        <w:t>1</w:t>
      </w:r>
      <w:r w:rsidRPr="00D80BA0">
        <w:rPr>
          <w:rFonts w:asciiTheme="minorHAnsi" w:hAnsiTheme="minorHAnsi" w:cstheme="minorHAnsi"/>
          <w:b w:val="0"/>
          <w:i/>
          <w:color w:val="auto"/>
          <w:sz w:val="22"/>
          <w:szCs w:val="22"/>
        </w:rPr>
        <w:fldChar w:fldCharType="end"/>
      </w:r>
      <w:r w:rsidRPr="00D80BA0">
        <w:rPr>
          <w:rFonts w:asciiTheme="minorHAnsi" w:hAnsiTheme="minorHAnsi" w:cstheme="minorHAnsi"/>
          <w:b w:val="0"/>
          <w:i/>
          <w:color w:val="auto"/>
          <w:sz w:val="22"/>
          <w:szCs w:val="22"/>
        </w:rPr>
        <w:t>. Control chart displaying monthly number of incidents reported on Ulysses system from August 2011-  June 2018</w:t>
      </w:r>
      <w:r w:rsidRPr="00D80BA0">
        <w:rPr>
          <w:rFonts w:asciiTheme="minorHAnsi" w:hAnsiTheme="minorHAnsi" w:cstheme="minorHAnsi"/>
          <w:b w:val="0"/>
          <w:i/>
          <w:color w:val="auto"/>
          <w:sz w:val="22"/>
          <w:szCs w:val="22"/>
        </w:rPr>
        <w:tab/>
      </w:r>
    </w:p>
    <w:p w14:paraId="66A65A31" w14:textId="5C0C3844" w:rsidR="00986519" w:rsidRPr="00D80BA0" w:rsidRDefault="00986519" w:rsidP="00D80BA0">
      <w:pPr>
        <w:contextualSpacing/>
        <w:jc w:val="both"/>
        <w:rPr>
          <w:rFonts w:asciiTheme="minorHAnsi" w:hAnsiTheme="minorHAnsi" w:cstheme="minorHAnsi"/>
          <w:sz w:val="22"/>
          <w:szCs w:val="22"/>
          <w:lang w:val="en-US" w:eastAsia="en-US"/>
        </w:rPr>
      </w:pPr>
    </w:p>
    <w:p w14:paraId="7975E212" w14:textId="1D4A46B3" w:rsidR="00986519" w:rsidRPr="00D80BA0" w:rsidRDefault="00986519"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Overall no seasonality has been observed in numbers of incidents reported. Similar numbers of incidents are reported as occurring from Monday – Friday, while reduced numbers are reported on weekends. A review of the times at which incidents were reported as occurring showed that 29% of all incidents in the past year occurred between 10am and 1pm. Looking at the timing of incidents within particular cause groups shows the following differences;</w:t>
      </w:r>
    </w:p>
    <w:p w14:paraId="3A6ECCD1" w14:textId="77777777" w:rsidR="00986519" w:rsidRPr="00D80BA0" w:rsidRDefault="00986519" w:rsidP="00D80BA0">
      <w:pPr>
        <w:pStyle w:val="ListParagraph"/>
        <w:numPr>
          <w:ilvl w:val="0"/>
          <w:numId w:val="3"/>
        </w:numPr>
        <w:jc w:val="both"/>
        <w:rPr>
          <w:rFonts w:asciiTheme="minorHAnsi" w:hAnsiTheme="minorHAnsi" w:cstheme="minorHAnsi"/>
          <w:sz w:val="22"/>
          <w:szCs w:val="22"/>
        </w:rPr>
      </w:pPr>
      <w:r w:rsidRPr="00D80BA0">
        <w:rPr>
          <w:rFonts w:asciiTheme="minorHAnsi" w:hAnsiTheme="minorHAnsi" w:cstheme="minorHAnsi"/>
          <w:sz w:val="22"/>
          <w:szCs w:val="22"/>
        </w:rPr>
        <w:t>Violence + Aggression on inpatient wards – high numbers of incidents occur throughout the day, with most occurring from 11am – 12pm, and numbers tailing off from around 8pm.</w:t>
      </w:r>
    </w:p>
    <w:p w14:paraId="47B44691" w14:textId="77777777" w:rsidR="00986519" w:rsidRPr="00D80BA0" w:rsidRDefault="00986519" w:rsidP="00D80BA0">
      <w:pPr>
        <w:pStyle w:val="ListParagraph"/>
        <w:numPr>
          <w:ilvl w:val="0"/>
          <w:numId w:val="3"/>
        </w:numPr>
        <w:jc w:val="both"/>
        <w:rPr>
          <w:rFonts w:asciiTheme="minorHAnsi" w:hAnsiTheme="minorHAnsi" w:cstheme="minorHAnsi"/>
          <w:sz w:val="22"/>
          <w:szCs w:val="22"/>
        </w:rPr>
      </w:pPr>
      <w:r w:rsidRPr="00D80BA0">
        <w:rPr>
          <w:rFonts w:asciiTheme="minorHAnsi" w:hAnsiTheme="minorHAnsi" w:cstheme="minorHAnsi"/>
          <w:sz w:val="22"/>
          <w:szCs w:val="22"/>
        </w:rPr>
        <w:t>Self-Harm on inpatient wards– Most incidents occur in the evening with 49% of incidents in the previous year occurring between 5pm and midnight, and 24% between 8pm and 11pm.</w:t>
      </w:r>
    </w:p>
    <w:p w14:paraId="6A03FDF1" w14:textId="77777777" w:rsidR="00986519" w:rsidRPr="00D80BA0" w:rsidRDefault="00986519" w:rsidP="00D80BA0">
      <w:pPr>
        <w:pStyle w:val="ListParagraph"/>
        <w:numPr>
          <w:ilvl w:val="0"/>
          <w:numId w:val="3"/>
        </w:numPr>
        <w:jc w:val="both"/>
        <w:rPr>
          <w:rFonts w:asciiTheme="minorHAnsi" w:hAnsiTheme="minorHAnsi" w:cstheme="minorHAnsi"/>
          <w:sz w:val="22"/>
          <w:szCs w:val="22"/>
        </w:rPr>
      </w:pPr>
      <w:r w:rsidRPr="00D80BA0">
        <w:rPr>
          <w:rFonts w:asciiTheme="minorHAnsi" w:hAnsiTheme="minorHAnsi" w:cstheme="minorHAnsi"/>
          <w:sz w:val="22"/>
          <w:szCs w:val="22"/>
        </w:rPr>
        <w:t xml:space="preserve">AWOLs – Incidents tend to occur in the afternoon, 57% occurred between 1pm and 8pm with a peak between 2pm and 4pm when 19% of incidents occurred. </w:t>
      </w:r>
    </w:p>
    <w:p w14:paraId="3631FB84" w14:textId="77777777" w:rsidR="00986519" w:rsidRPr="00D80BA0" w:rsidRDefault="00986519" w:rsidP="00D80BA0">
      <w:pPr>
        <w:pStyle w:val="ListParagraph"/>
        <w:numPr>
          <w:ilvl w:val="0"/>
          <w:numId w:val="3"/>
        </w:numPr>
        <w:jc w:val="both"/>
        <w:rPr>
          <w:rFonts w:asciiTheme="minorHAnsi" w:hAnsiTheme="minorHAnsi" w:cstheme="minorHAnsi"/>
          <w:sz w:val="22"/>
          <w:szCs w:val="22"/>
        </w:rPr>
      </w:pPr>
      <w:r w:rsidRPr="00D80BA0">
        <w:rPr>
          <w:rFonts w:asciiTheme="minorHAnsi" w:hAnsiTheme="minorHAnsi" w:cstheme="minorHAnsi"/>
          <w:sz w:val="22"/>
          <w:szCs w:val="22"/>
        </w:rPr>
        <w:t>Staffing on inpatient wards– The highest proportion of incidents in the previous year were reported as occurring between 8pm and 10pm (17%), and also between 7 and 8am (14%).</w:t>
      </w:r>
    </w:p>
    <w:p w14:paraId="45E20C2D" w14:textId="1EE39834" w:rsidR="00986519" w:rsidRPr="00D80BA0" w:rsidRDefault="00986519" w:rsidP="00D80BA0">
      <w:pPr>
        <w:contextualSpacing/>
        <w:jc w:val="both"/>
        <w:rPr>
          <w:rFonts w:asciiTheme="minorHAnsi" w:hAnsiTheme="minorHAnsi" w:cstheme="minorHAnsi"/>
          <w:sz w:val="22"/>
          <w:szCs w:val="22"/>
          <w:lang w:val="en-US" w:eastAsia="en-US"/>
        </w:rPr>
      </w:pPr>
    </w:p>
    <w:p w14:paraId="1C52B5C5" w14:textId="7738DFC0" w:rsidR="00364C03" w:rsidRPr="00D80BA0" w:rsidRDefault="00364C03" w:rsidP="00D80BA0">
      <w:pPr>
        <w:contextualSpacing/>
        <w:jc w:val="both"/>
        <w:rPr>
          <w:rFonts w:asciiTheme="minorHAnsi" w:hAnsiTheme="minorHAnsi" w:cstheme="minorHAnsi"/>
          <w:sz w:val="22"/>
          <w:szCs w:val="22"/>
          <w:lang w:val="en-US" w:eastAsia="en-US"/>
        </w:rPr>
      </w:pPr>
      <w:r w:rsidRPr="00D80BA0">
        <w:rPr>
          <w:rFonts w:asciiTheme="minorHAnsi" w:hAnsiTheme="minorHAnsi" w:cstheme="minorHAnsi"/>
          <w:sz w:val="22"/>
          <w:szCs w:val="22"/>
        </w:rPr>
        <w:t>On average across the community hospital wards 2.7 incidents are reported per 100 bed days and across mental health wards 4.6 incidents are reported per 100 bed days.</w:t>
      </w:r>
    </w:p>
    <w:p w14:paraId="3DE08958" w14:textId="77777777" w:rsidR="00364C03" w:rsidRPr="00D80BA0" w:rsidRDefault="00364C03" w:rsidP="00D80BA0">
      <w:pPr>
        <w:contextualSpacing/>
        <w:jc w:val="both"/>
        <w:rPr>
          <w:rFonts w:asciiTheme="minorHAnsi" w:hAnsiTheme="minorHAnsi" w:cstheme="minorHAnsi"/>
          <w:sz w:val="22"/>
          <w:szCs w:val="22"/>
          <w:lang w:val="en-US" w:eastAsia="en-US"/>
        </w:rPr>
      </w:pPr>
    </w:p>
    <w:p w14:paraId="63EDC4AB" w14:textId="5322FEA0" w:rsidR="00986519" w:rsidRPr="00D80BA0" w:rsidRDefault="00986519" w:rsidP="00D80BA0">
      <w:pPr>
        <w:contextualSpacing/>
        <w:rPr>
          <w:rFonts w:asciiTheme="minorHAnsi" w:hAnsiTheme="minorHAnsi" w:cstheme="minorHAnsi"/>
          <w:sz w:val="22"/>
          <w:szCs w:val="22"/>
        </w:rPr>
      </w:pPr>
      <w:r w:rsidRPr="00D80BA0">
        <w:rPr>
          <w:rFonts w:asciiTheme="minorHAnsi" w:hAnsiTheme="minorHAnsi" w:cstheme="minorHAnsi"/>
          <w:sz w:val="22"/>
          <w:szCs w:val="22"/>
        </w:rPr>
        <w:t>There was an increase in incidents (92) in May and June 2018 reported by 10 different Health visiting services, of these 68 related to communication/confidentiality, with 35 incidents in the sub-category ‘poor communication patients affected and 14 in the sub-category of ‘delay in providing care/treatment/follow up’. Overall, across several categories, 47 incidents were reported in the quarter that related to health visitors not being notified of pregnancies by the midwifery service, meaning that patients were not contacted to arrange antenatal visits. The incidents were caused because of a change in electronic system by the OUHFT which has now been identified and resolved by the safeguarding teams in both organisations.</w:t>
      </w:r>
    </w:p>
    <w:p w14:paraId="6E9059D4" w14:textId="50764E0D" w:rsidR="00986519" w:rsidRPr="00D80BA0" w:rsidRDefault="00986519" w:rsidP="00D80BA0">
      <w:pPr>
        <w:contextualSpacing/>
        <w:rPr>
          <w:rFonts w:asciiTheme="minorHAnsi" w:hAnsiTheme="minorHAnsi" w:cstheme="minorHAnsi"/>
          <w:sz w:val="22"/>
          <w:szCs w:val="22"/>
        </w:rPr>
      </w:pPr>
    </w:p>
    <w:p w14:paraId="794BFC2F" w14:textId="493E8BA7" w:rsidR="00986519" w:rsidRPr="00D80BA0" w:rsidRDefault="00986519"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 xml:space="preserve">Within the AMHTs there has been general increase in incidents since March 2017, with an average of 37 incidents per month reported prior to this, and an average of 56 incidents per month from March onwards. Increases are seen in both AMHT Oxon City + NE, and in AMHT Bucks Aylesbury. Spikes were also seen in AMHT Oxon South in May and June of 2018 when 19 and 15 incidents were reported respectively, compared </w:t>
      </w:r>
      <w:r w:rsidRPr="00D80BA0">
        <w:rPr>
          <w:rFonts w:asciiTheme="minorHAnsi" w:hAnsiTheme="minorHAnsi" w:cstheme="minorHAnsi"/>
          <w:sz w:val="22"/>
          <w:szCs w:val="22"/>
        </w:rPr>
        <w:lastRenderedPageBreak/>
        <w:t>with a mean average of 5 per month. In total 45 incidents were reported in the quarter and of these 15 were incidents of violence/aggression, with 10 different patients involved.</w:t>
      </w:r>
    </w:p>
    <w:p w14:paraId="37620817" w14:textId="65F64738" w:rsidR="00257372" w:rsidRPr="00D80BA0" w:rsidRDefault="00257372" w:rsidP="00D80BA0">
      <w:pPr>
        <w:contextualSpacing/>
        <w:jc w:val="both"/>
        <w:rPr>
          <w:rFonts w:asciiTheme="minorHAnsi" w:hAnsiTheme="minorHAnsi" w:cstheme="minorHAnsi"/>
          <w:sz w:val="22"/>
          <w:szCs w:val="22"/>
        </w:rPr>
      </w:pPr>
    </w:p>
    <w:p w14:paraId="464D7624" w14:textId="77777777" w:rsidR="00DC4437" w:rsidRPr="00D80BA0" w:rsidRDefault="00DC4437" w:rsidP="00D80BA0">
      <w:pPr>
        <w:pStyle w:val="ListParagraph"/>
        <w:numPr>
          <w:ilvl w:val="1"/>
          <w:numId w:val="4"/>
        </w:numPr>
        <w:rPr>
          <w:rFonts w:asciiTheme="minorHAnsi" w:hAnsiTheme="minorHAnsi" w:cstheme="minorHAnsi"/>
          <w:sz w:val="22"/>
          <w:szCs w:val="22"/>
          <w:u w:val="single"/>
        </w:rPr>
      </w:pPr>
      <w:r w:rsidRPr="00D80BA0">
        <w:rPr>
          <w:rFonts w:asciiTheme="minorHAnsi" w:hAnsiTheme="minorHAnsi" w:cstheme="minorHAnsi"/>
          <w:sz w:val="22"/>
          <w:szCs w:val="22"/>
          <w:u w:val="single"/>
        </w:rPr>
        <w:t>Actual Impact of Incidents</w:t>
      </w:r>
    </w:p>
    <w:p w14:paraId="24BA0C96" w14:textId="73AEE1F4" w:rsidR="00392D7E" w:rsidRPr="00D80BA0" w:rsidRDefault="00257372"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Overall in Q</w:t>
      </w:r>
      <w:r w:rsidR="006D143E" w:rsidRPr="00D80BA0">
        <w:rPr>
          <w:rFonts w:asciiTheme="minorHAnsi" w:hAnsiTheme="minorHAnsi" w:cstheme="minorHAnsi"/>
          <w:sz w:val="22"/>
          <w:szCs w:val="22"/>
        </w:rPr>
        <w:t>1</w:t>
      </w:r>
      <w:r w:rsidR="001248FF" w:rsidRPr="00D80BA0">
        <w:rPr>
          <w:rFonts w:asciiTheme="minorHAnsi" w:hAnsiTheme="minorHAnsi" w:cstheme="minorHAnsi"/>
          <w:sz w:val="22"/>
          <w:szCs w:val="22"/>
        </w:rPr>
        <w:t xml:space="preserve"> </w:t>
      </w:r>
      <w:r w:rsidR="006D143E" w:rsidRPr="00D80BA0">
        <w:rPr>
          <w:rFonts w:asciiTheme="minorHAnsi" w:hAnsiTheme="minorHAnsi" w:cstheme="minorHAnsi"/>
          <w:sz w:val="22"/>
          <w:szCs w:val="22"/>
        </w:rPr>
        <w:t>2018/19, 3307</w:t>
      </w:r>
      <w:r w:rsidRPr="00D80BA0">
        <w:rPr>
          <w:rFonts w:asciiTheme="minorHAnsi" w:hAnsiTheme="minorHAnsi" w:cstheme="minorHAnsi"/>
          <w:sz w:val="22"/>
          <w:szCs w:val="22"/>
        </w:rPr>
        <w:t xml:space="preserve"> incidents were reported</w:t>
      </w:r>
      <w:r w:rsidR="00B60A26" w:rsidRPr="00D80BA0">
        <w:rPr>
          <w:rFonts w:asciiTheme="minorHAnsi" w:hAnsiTheme="minorHAnsi" w:cstheme="minorHAnsi"/>
          <w:sz w:val="22"/>
          <w:szCs w:val="22"/>
        </w:rPr>
        <w:t xml:space="preserve"> and 66</w:t>
      </w:r>
      <w:r w:rsidR="00B470A7" w:rsidRPr="00D80BA0">
        <w:rPr>
          <w:rFonts w:asciiTheme="minorHAnsi" w:hAnsiTheme="minorHAnsi" w:cstheme="minorHAnsi"/>
          <w:sz w:val="22"/>
          <w:szCs w:val="22"/>
        </w:rPr>
        <w:t xml:space="preserve">% </w:t>
      </w:r>
      <w:r w:rsidR="005F4312" w:rsidRPr="00D80BA0">
        <w:rPr>
          <w:rFonts w:asciiTheme="minorHAnsi" w:hAnsiTheme="minorHAnsi" w:cstheme="minorHAnsi"/>
          <w:sz w:val="22"/>
          <w:szCs w:val="22"/>
        </w:rPr>
        <w:t>of these</w:t>
      </w:r>
      <w:r w:rsidR="00096A87" w:rsidRPr="00D80BA0">
        <w:rPr>
          <w:rFonts w:asciiTheme="minorHAnsi" w:hAnsiTheme="minorHAnsi" w:cstheme="minorHAnsi"/>
          <w:sz w:val="22"/>
          <w:szCs w:val="22"/>
        </w:rPr>
        <w:t xml:space="preserve"> were reported as causing no harm. This</w:t>
      </w:r>
      <w:r w:rsidRPr="00D80BA0">
        <w:rPr>
          <w:rFonts w:asciiTheme="minorHAnsi" w:hAnsiTheme="minorHAnsi" w:cstheme="minorHAnsi"/>
          <w:sz w:val="22"/>
          <w:szCs w:val="22"/>
        </w:rPr>
        <w:t xml:space="preserve"> is </w:t>
      </w:r>
      <w:r w:rsidR="00B50722" w:rsidRPr="00D80BA0">
        <w:rPr>
          <w:rFonts w:asciiTheme="minorHAnsi" w:hAnsiTheme="minorHAnsi" w:cstheme="minorHAnsi"/>
          <w:sz w:val="22"/>
          <w:szCs w:val="22"/>
        </w:rPr>
        <w:t xml:space="preserve">generally </w:t>
      </w:r>
      <w:r w:rsidRPr="00D80BA0">
        <w:rPr>
          <w:rFonts w:asciiTheme="minorHAnsi" w:hAnsiTheme="minorHAnsi" w:cstheme="minorHAnsi"/>
          <w:sz w:val="22"/>
          <w:szCs w:val="22"/>
        </w:rPr>
        <w:t>in line with the nationa</w:t>
      </w:r>
      <w:r w:rsidR="00406B9B" w:rsidRPr="00D80BA0">
        <w:rPr>
          <w:rFonts w:asciiTheme="minorHAnsi" w:hAnsiTheme="minorHAnsi" w:cstheme="minorHAnsi"/>
          <w:sz w:val="22"/>
          <w:szCs w:val="22"/>
        </w:rPr>
        <w:t xml:space="preserve">l picture, </w:t>
      </w:r>
      <w:r w:rsidR="00B50722" w:rsidRPr="00D80BA0">
        <w:rPr>
          <w:rFonts w:asciiTheme="minorHAnsi" w:hAnsiTheme="minorHAnsi" w:cstheme="minorHAnsi"/>
          <w:sz w:val="22"/>
          <w:szCs w:val="22"/>
        </w:rPr>
        <w:t>however,</w:t>
      </w:r>
      <w:r w:rsidR="00E07CDC" w:rsidRPr="00D80BA0">
        <w:rPr>
          <w:rFonts w:asciiTheme="minorHAnsi" w:hAnsiTheme="minorHAnsi" w:cstheme="minorHAnsi"/>
          <w:sz w:val="22"/>
          <w:szCs w:val="22"/>
        </w:rPr>
        <w:t xml:space="preserve"> as discussed in the previous report,</w:t>
      </w:r>
      <w:r w:rsidR="00B50722" w:rsidRPr="00D80BA0">
        <w:rPr>
          <w:rFonts w:asciiTheme="minorHAnsi" w:hAnsiTheme="minorHAnsi" w:cstheme="minorHAnsi"/>
          <w:sz w:val="22"/>
          <w:szCs w:val="22"/>
        </w:rPr>
        <w:t xml:space="preserve"> since Q4 16/17 </w:t>
      </w:r>
      <w:r w:rsidRPr="00D80BA0">
        <w:rPr>
          <w:rFonts w:asciiTheme="minorHAnsi" w:hAnsiTheme="minorHAnsi" w:cstheme="minorHAnsi"/>
          <w:sz w:val="22"/>
          <w:szCs w:val="22"/>
        </w:rPr>
        <w:t>a hig</w:t>
      </w:r>
      <w:r w:rsidR="00B50722" w:rsidRPr="00D80BA0">
        <w:rPr>
          <w:rFonts w:asciiTheme="minorHAnsi" w:hAnsiTheme="minorHAnsi" w:cstheme="minorHAnsi"/>
          <w:sz w:val="22"/>
          <w:szCs w:val="22"/>
        </w:rPr>
        <w:t xml:space="preserve">her proportion of </w:t>
      </w:r>
      <w:r w:rsidR="005E4974" w:rsidRPr="00D80BA0">
        <w:rPr>
          <w:rFonts w:asciiTheme="minorHAnsi" w:hAnsiTheme="minorHAnsi" w:cstheme="minorHAnsi"/>
          <w:sz w:val="22"/>
          <w:szCs w:val="22"/>
        </w:rPr>
        <w:t xml:space="preserve">patient safety </w:t>
      </w:r>
      <w:r w:rsidR="00B50722" w:rsidRPr="00D80BA0">
        <w:rPr>
          <w:rFonts w:asciiTheme="minorHAnsi" w:hAnsiTheme="minorHAnsi" w:cstheme="minorHAnsi"/>
          <w:sz w:val="22"/>
          <w:szCs w:val="22"/>
        </w:rPr>
        <w:t>incidents have been</w:t>
      </w:r>
      <w:r w:rsidRPr="00D80BA0">
        <w:rPr>
          <w:rFonts w:asciiTheme="minorHAnsi" w:hAnsiTheme="minorHAnsi" w:cstheme="minorHAnsi"/>
          <w:sz w:val="22"/>
          <w:szCs w:val="22"/>
        </w:rPr>
        <w:t xml:space="preserve"> reported by </w:t>
      </w:r>
      <w:r w:rsidR="003308F8" w:rsidRPr="00D80BA0">
        <w:rPr>
          <w:rFonts w:asciiTheme="minorHAnsi" w:hAnsiTheme="minorHAnsi" w:cstheme="minorHAnsi"/>
          <w:sz w:val="22"/>
          <w:szCs w:val="22"/>
        </w:rPr>
        <w:t>the trust</w:t>
      </w:r>
      <w:r w:rsidRPr="00D80BA0">
        <w:rPr>
          <w:rFonts w:asciiTheme="minorHAnsi" w:hAnsiTheme="minorHAnsi" w:cstheme="minorHAnsi"/>
          <w:sz w:val="22"/>
          <w:szCs w:val="22"/>
        </w:rPr>
        <w:t xml:space="preserve"> in the category of major injury/s</w:t>
      </w:r>
      <w:r w:rsidR="00B50722" w:rsidRPr="00D80BA0">
        <w:rPr>
          <w:rFonts w:asciiTheme="minorHAnsi" w:hAnsiTheme="minorHAnsi" w:cstheme="minorHAnsi"/>
          <w:sz w:val="22"/>
          <w:szCs w:val="22"/>
        </w:rPr>
        <w:t>evere property damage</w:t>
      </w:r>
      <w:r w:rsidR="005E4974" w:rsidRPr="00D80BA0">
        <w:rPr>
          <w:rFonts w:asciiTheme="minorHAnsi" w:hAnsiTheme="minorHAnsi" w:cstheme="minorHAnsi"/>
          <w:sz w:val="22"/>
          <w:szCs w:val="22"/>
        </w:rPr>
        <w:t xml:space="preserve">. </w:t>
      </w:r>
      <w:r w:rsidR="004F0A46" w:rsidRPr="00D80BA0">
        <w:rPr>
          <w:rFonts w:asciiTheme="minorHAnsi" w:hAnsiTheme="minorHAnsi" w:cstheme="minorHAnsi"/>
          <w:sz w:val="22"/>
          <w:szCs w:val="22"/>
        </w:rPr>
        <w:t xml:space="preserve">This </w:t>
      </w:r>
      <w:r w:rsidR="00F61270" w:rsidRPr="00D80BA0">
        <w:rPr>
          <w:rFonts w:asciiTheme="minorHAnsi" w:hAnsiTheme="minorHAnsi" w:cstheme="minorHAnsi"/>
          <w:sz w:val="22"/>
          <w:szCs w:val="22"/>
        </w:rPr>
        <w:t>was</w:t>
      </w:r>
      <w:r w:rsidR="004F0A46" w:rsidRPr="00D80BA0">
        <w:rPr>
          <w:rFonts w:asciiTheme="minorHAnsi" w:hAnsiTheme="minorHAnsi" w:cstheme="minorHAnsi"/>
          <w:sz w:val="22"/>
          <w:szCs w:val="22"/>
        </w:rPr>
        <w:t xml:space="preserve"> as a result of the introduction of the category of SCALE in April 2017, and a decision within the older people directorate that grade 4 pressure ulcers be graded as major impact, even if there were no lapses in care. </w:t>
      </w:r>
    </w:p>
    <w:p w14:paraId="1081913D" w14:textId="4ED8C91D" w:rsidR="00E73B5D" w:rsidRPr="00D80BA0" w:rsidRDefault="00E73B5D" w:rsidP="00D80BA0">
      <w:pPr>
        <w:contextualSpacing/>
        <w:jc w:val="both"/>
        <w:rPr>
          <w:rFonts w:asciiTheme="minorHAnsi" w:hAnsiTheme="minorHAnsi" w:cstheme="minorHAnsi"/>
          <w:sz w:val="22"/>
          <w:szCs w:val="22"/>
        </w:rPr>
      </w:pPr>
    </w:p>
    <w:p w14:paraId="198575F2" w14:textId="39B57B13" w:rsidR="00E73B5D" w:rsidRPr="00D80BA0" w:rsidRDefault="00F61270" w:rsidP="00D80BA0">
      <w:pPr>
        <w:contextualSpacing/>
        <w:rPr>
          <w:rFonts w:asciiTheme="minorHAnsi" w:hAnsiTheme="minorHAnsi" w:cstheme="minorHAnsi"/>
          <w:sz w:val="22"/>
          <w:szCs w:val="22"/>
        </w:rPr>
      </w:pPr>
      <w:r w:rsidRPr="00D80BA0">
        <w:rPr>
          <w:rFonts w:asciiTheme="minorHAnsi" w:hAnsiTheme="minorHAnsi" w:cstheme="minorHAnsi"/>
          <w:sz w:val="22"/>
          <w:szCs w:val="22"/>
        </w:rPr>
        <w:t xml:space="preserve">In </w:t>
      </w:r>
      <w:r w:rsidR="002337E4" w:rsidRPr="00D80BA0">
        <w:rPr>
          <w:rFonts w:asciiTheme="minorHAnsi" w:hAnsiTheme="minorHAnsi" w:cstheme="minorHAnsi"/>
          <w:sz w:val="22"/>
          <w:szCs w:val="22"/>
        </w:rPr>
        <w:t>Q1 29</w:t>
      </w:r>
      <w:r w:rsidRPr="00D80BA0">
        <w:rPr>
          <w:rFonts w:asciiTheme="minorHAnsi" w:hAnsiTheme="minorHAnsi" w:cstheme="minorHAnsi"/>
          <w:sz w:val="22"/>
          <w:szCs w:val="22"/>
        </w:rPr>
        <w:t xml:space="preserve"> incidents were reported with major injury</w:t>
      </w:r>
      <w:r w:rsidR="002337E4" w:rsidRPr="00D80BA0">
        <w:rPr>
          <w:rFonts w:asciiTheme="minorHAnsi" w:hAnsiTheme="minorHAnsi" w:cstheme="minorHAnsi"/>
          <w:sz w:val="22"/>
          <w:szCs w:val="22"/>
        </w:rPr>
        <w:t xml:space="preserve">, </w:t>
      </w:r>
      <w:r w:rsidRPr="00D80BA0">
        <w:rPr>
          <w:rFonts w:asciiTheme="minorHAnsi" w:hAnsiTheme="minorHAnsi" w:cstheme="minorHAnsi"/>
          <w:sz w:val="22"/>
          <w:szCs w:val="22"/>
        </w:rPr>
        <w:t>compare</w:t>
      </w:r>
      <w:r w:rsidR="002337E4" w:rsidRPr="00D80BA0">
        <w:rPr>
          <w:rFonts w:asciiTheme="minorHAnsi" w:hAnsiTheme="minorHAnsi" w:cstheme="minorHAnsi"/>
          <w:sz w:val="22"/>
          <w:szCs w:val="22"/>
        </w:rPr>
        <w:t>d with 35 in Q4 17/18. Of the 29</w:t>
      </w:r>
      <w:r w:rsidR="00257372" w:rsidRPr="00D80BA0">
        <w:rPr>
          <w:rFonts w:asciiTheme="minorHAnsi" w:hAnsiTheme="minorHAnsi" w:cstheme="minorHAnsi"/>
          <w:sz w:val="22"/>
          <w:szCs w:val="22"/>
        </w:rPr>
        <w:t xml:space="preserve"> incidents with major injury/sever</w:t>
      </w:r>
      <w:r w:rsidR="00A4468F" w:rsidRPr="00D80BA0">
        <w:rPr>
          <w:rFonts w:asciiTheme="minorHAnsi" w:hAnsiTheme="minorHAnsi" w:cstheme="minorHAnsi"/>
          <w:sz w:val="22"/>
          <w:szCs w:val="22"/>
        </w:rPr>
        <w:t xml:space="preserve">e property </w:t>
      </w:r>
      <w:r w:rsidRPr="00D80BA0">
        <w:rPr>
          <w:rFonts w:asciiTheme="minorHAnsi" w:hAnsiTheme="minorHAnsi" w:cstheme="minorHAnsi"/>
          <w:sz w:val="22"/>
          <w:szCs w:val="22"/>
        </w:rPr>
        <w:t>damage reported in Q1</w:t>
      </w:r>
      <w:r w:rsidR="008679BB" w:rsidRPr="00D80BA0">
        <w:rPr>
          <w:rFonts w:asciiTheme="minorHAnsi" w:hAnsiTheme="minorHAnsi" w:cstheme="minorHAnsi"/>
          <w:sz w:val="22"/>
          <w:szCs w:val="22"/>
        </w:rPr>
        <w:t xml:space="preserve">, </w:t>
      </w:r>
      <w:r w:rsidR="00FA4341" w:rsidRPr="00D80BA0">
        <w:rPr>
          <w:rFonts w:asciiTheme="minorHAnsi" w:hAnsiTheme="minorHAnsi" w:cstheme="minorHAnsi"/>
          <w:sz w:val="22"/>
          <w:szCs w:val="22"/>
        </w:rPr>
        <w:t>11 were related t</w:t>
      </w:r>
      <w:r w:rsidR="002337E4" w:rsidRPr="00D80BA0">
        <w:rPr>
          <w:rFonts w:asciiTheme="minorHAnsi" w:hAnsiTheme="minorHAnsi" w:cstheme="minorHAnsi"/>
          <w:sz w:val="22"/>
          <w:szCs w:val="22"/>
        </w:rPr>
        <w:t>o</w:t>
      </w:r>
      <w:r w:rsidR="00FA4341" w:rsidRPr="00D80BA0">
        <w:rPr>
          <w:rFonts w:asciiTheme="minorHAnsi" w:hAnsiTheme="minorHAnsi" w:cstheme="minorHAnsi"/>
          <w:sz w:val="22"/>
          <w:szCs w:val="22"/>
        </w:rPr>
        <w:t xml:space="preserve"> skin integrity with 8</w:t>
      </w:r>
      <w:r w:rsidRPr="00D80BA0">
        <w:rPr>
          <w:rFonts w:asciiTheme="minorHAnsi" w:hAnsiTheme="minorHAnsi" w:cstheme="minorHAnsi"/>
          <w:sz w:val="22"/>
          <w:szCs w:val="22"/>
        </w:rPr>
        <w:t xml:space="preserve"> incidents of grade 4 pressure </w:t>
      </w:r>
      <w:r w:rsidR="00FA4341" w:rsidRPr="00D80BA0">
        <w:rPr>
          <w:rFonts w:asciiTheme="minorHAnsi" w:hAnsiTheme="minorHAnsi" w:cstheme="minorHAnsi"/>
          <w:sz w:val="22"/>
          <w:szCs w:val="22"/>
        </w:rPr>
        <w:t xml:space="preserve">damage 3 </w:t>
      </w:r>
      <w:r w:rsidRPr="00D80BA0">
        <w:rPr>
          <w:rFonts w:asciiTheme="minorHAnsi" w:hAnsiTheme="minorHAnsi" w:cstheme="minorHAnsi"/>
          <w:sz w:val="22"/>
          <w:szCs w:val="22"/>
        </w:rPr>
        <w:t>incidents of SCALE,</w:t>
      </w:r>
      <w:r w:rsidR="00FA4341" w:rsidRPr="00D80BA0">
        <w:rPr>
          <w:rFonts w:asciiTheme="minorHAnsi" w:hAnsiTheme="minorHAnsi" w:cstheme="minorHAnsi"/>
          <w:sz w:val="22"/>
          <w:szCs w:val="22"/>
        </w:rPr>
        <w:t xml:space="preserve"> and they were recorded across 9</w:t>
      </w:r>
      <w:r w:rsidRPr="00D80BA0">
        <w:rPr>
          <w:rFonts w:asciiTheme="minorHAnsi" w:hAnsiTheme="minorHAnsi" w:cstheme="minorHAnsi"/>
          <w:sz w:val="22"/>
          <w:szCs w:val="22"/>
        </w:rPr>
        <w:t xml:space="preserve"> different departments</w:t>
      </w:r>
      <w:r w:rsidR="00FA4341" w:rsidRPr="00D80BA0">
        <w:rPr>
          <w:rFonts w:asciiTheme="minorHAnsi" w:hAnsiTheme="minorHAnsi" w:cstheme="minorHAnsi"/>
          <w:sz w:val="22"/>
          <w:szCs w:val="22"/>
        </w:rPr>
        <w:t xml:space="preserve"> (8 DN teams and one podiatry team)</w:t>
      </w:r>
      <w:r w:rsidRPr="00D80BA0">
        <w:rPr>
          <w:rFonts w:asciiTheme="minorHAnsi" w:hAnsiTheme="minorHAnsi" w:cstheme="minorHAnsi"/>
          <w:sz w:val="22"/>
          <w:szCs w:val="22"/>
        </w:rPr>
        <w:t xml:space="preserve">. </w:t>
      </w:r>
      <w:r w:rsidR="00A2383E" w:rsidRPr="00D80BA0">
        <w:rPr>
          <w:rFonts w:asciiTheme="minorHAnsi" w:hAnsiTheme="minorHAnsi" w:cstheme="minorHAnsi"/>
          <w:sz w:val="22"/>
          <w:szCs w:val="22"/>
        </w:rPr>
        <w:t xml:space="preserve">Two of the incidents of grade 4 pressure damage are being investigated as serious incidents. </w:t>
      </w:r>
      <w:r w:rsidRPr="00D80BA0">
        <w:rPr>
          <w:rFonts w:asciiTheme="minorHAnsi" w:hAnsiTheme="minorHAnsi" w:cstheme="minorHAnsi"/>
          <w:sz w:val="22"/>
          <w:szCs w:val="22"/>
        </w:rPr>
        <w:t xml:space="preserve">There were </w:t>
      </w:r>
      <w:r w:rsidR="00D237AE" w:rsidRPr="00D80BA0">
        <w:rPr>
          <w:rFonts w:asciiTheme="minorHAnsi" w:hAnsiTheme="minorHAnsi" w:cstheme="minorHAnsi"/>
          <w:sz w:val="22"/>
          <w:szCs w:val="22"/>
        </w:rPr>
        <w:t>5</w:t>
      </w:r>
      <w:r w:rsidRPr="00D80BA0">
        <w:rPr>
          <w:rFonts w:asciiTheme="minorHAnsi" w:hAnsiTheme="minorHAnsi" w:cstheme="minorHAnsi"/>
          <w:sz w:val="22"/>
          <w:szCs w:val="22"/>
        </w:rPr>
        <w:t xml:space="preserve"> incidents </w:t>
      </w:r>
      <w:r w:rsidR="00AD0A66" w:rsidRPr="00D80BA0">
        <w:rPr>
          <w:rFonts w:asciiTheme="minorHAnsi" w:hAnsiTheme="minorHAnsi" w:cstheme="minorHAnsi"/>
          <w:sz w:val="22"/>
          <w:szCs w:val="22"/>
        </w:rPr>
        <w:t xml:space="preserve">of self-harm for which major injury were reported, </w:t>
      </w:r>
      <w:r w:rsidR="00D237AE" w:rsidRPr="00D80BA0">
        <w:rPr>
          <w:rFonts w:asciiTheme="minorHAnsi" w:hAnsiTheme="minorHAnsi" w:cstheme="minorHAnsi"/>
          <w:sz w:val="22"/>
          <w:szCs w:val="22"/>
        </w:rPr>
        <w:t>4</w:t>
      </w:r>
      <w:r w:rsidR="00AD0A66" w:rsidRPr="00D80BA0">
        <w:rPr>
          <w:rFonts w:asciiTheme="minorHAnsi" w:hAnsiTheme="minorHAnsi" w:cstheme="minorHAnsi"/>
          <w:sz w:val="22"/>
          <w:szCs w:val="22"/>
        </w:rPr>
        <w:t xml:space="preserve"> in 3 different AMHTs and one at CAMHS Marlborough House. 3 patients took overdoses and there was one incident of hanging</w:t>
      </w:r>
      <w:r w:rsidR="00D237AE" w:rsidRPr="00D80BA0">
        <w:rPr>
          <w:rFonts w:asciiTheme="minorHAnsi" w:hAnsiTheme="minorHAnsi" w:cstheme="minorHAnsi"/>
          <w:sz w:val="22"/>
          <w:szCs w:val="22"/>
        </w:rPr>
        <w:t xml:space="preserve"> and one incident of a patient jumping from a bridge</w:t>
      </w:r>
      <w:r w:rsidR="00AD0A66" w:rsidRPr="00D80BA0">
        <w:rPr>
          <w:rFonts w:asciiTheme="minorHAnsi" w:hAnsiTheme="minorHAnsi" w:cstheme="minorHAnsi"/>
          <w:sz w:val="22"/>
          <w:szCs w:val="22"/>
        </w:rPr>
        <w:t>, the patients were all treated in A+E</w:t>
      </w:r>
      <w:r w:rsidR="00406B9B" w:rsidRPr="00D80BA0">
        <w:rPr>
          <w:rFonts w:asciiTheme="minorHAnsi" w:hAnsiTheme="minorHAnsi" w:cstheme="minorHAnsi"/>
          <w:sz w:val="22"/>
          <w:szCs w:val="22"/>
        </w:rPr>
        <w:t>.</w:t>
      </w:r>
      <w:r w:rsidR="00986519" w:rsidRPr="00D80BA0">
        <w:rPr>
          <w:rFonts w:asciiTheme="minorHAnsi" w:hAnsiTheme="minorHAnsi" w:cstheme="minorHAnsi"/>
          <w:sz w:val="22"/>
          <w:szCs w:val="22"/>
        </w:rPr>
        <w:t xml:space="preserve"> </w:t>
      </w:r>
      <w:r w:rsidR="00D237AE" w:rsidRPr="00D80BA0">
        <w:rPr>
          <w:rFonts w:asciiTheme="minorHAnsi" w:hAnsiTheme="minorHAnsi" w:cstheme="minorHAnsi"/>
          <w:sz w:val="22"/>
          <w:szCs w:val="22"/>
        </w:rPr>
        <w:t>Four falls wer</w:t>
      </w:r>
      <w:r w:rsidR="00A2383E" w:rsidRPr="00D80BA0">
        <w:rPr>
          <w:rFonts w:asciiTheme="minorHAnsi" w:hAnsiTheme="minorHAnsi" w:cstheme="minorHAnsi"/>
          <w:sz w:val="22"/>
          <w:szCs w:val="22"/>
        </w:rPr>
        <w:t>e reported with major injury in</w:t>
      </w:r>
      <w:r w:rsidR="00AD0A66" w:rsidRPr="00D80BA0">
        <w:rPr>
          <w:rFonts w:asciiTheme="minorHAnsi" w:hAnsiTheme="minorHAnsi" w:cstheme="minorHAnsi"/>
          <w:sz w:val="22"/>
          <w:szCs w:val="22"/>
        </w:rPr>
        <w:t xml:space="preserve"> </w:t>
      </w:r>
      <w:r w:rsidR="0077194E" w:rsidRPr="00D80BA0">
        <w:rPr>
          <w:rFonts w:asciiTheme="minorHAnsi" w:hAnsiTheme="minorHAnsi" w:cstheme="minorHAnsi"/>
          <w:sz w:val="22"/>
          <w:szCs w:val="22"/>
        </w:rPr>
        <w:t>Q1, in one inciden</w:t>
      </w:r>
      <w:r w:rsidR="00062A0C" w:rsidRPr="00D80BA0">
        <w:rPr>
          <w:rFonts w:asciiTheme="minorHAnsi" w:hAnsiTheme="minorHAnsi" w:cstheme="minorHAnsi"/>
          <w:sz w:val="22"/>
          <w:szCs w:val="22"/>
        </w:rPr>
        <w:t xml:space="preserve">t a patient fell from the </w:t>
      </w:r>
      <w:r w:rsidR="00092F08" w:rsidRPr="00D80BA0">
        <w:rPr>
          <w:rFonts w:asciiTheme="minorHAnsi" w:hAnsiTheme="minorHAnsi" w:cstheme="minorHAnsi"/>
          <w:sz w:val="22"/>
          <w:szCs w:val="22"/>
        </w:rPr>
        <w:t xml:space="preserve">homeless hostel </w:t>
      </w:r>
      <w:r w:rsidR="00986519" w:rsidRPr="00D80BA0">
        <w:rPr>
          <w:rFonts w:asciiTheme="minorHAnsi" w:hAnsiTheme="minorHAnsi" w:cstheme="minorHAnsi"/>
          <w:sz w:val="22"/>
          <w:szCs w:val="22"/>
        </w:rPr>
        <w:t>window, o</w:t>
      </w:r>
      <w:r w:rsidR="0077194E" w:rsidRPr="00D80BA0">
        <w:rPr>
          <w:rFonts w:asciiTheme="minorHAnsi" w:hAnsiTheme="minorHAnsi" w:cstheme="minorHAnsi"/>
          <w:sz w:val="22"/>
          <w:szCs w:val="22"/>
        </w:rPr>
        <w:t>ne was on Cherwell ward while a patient was mobilising, one patient fell from a bed in a community hospital and the 4</w:t>
      </w:r>
      <w:r w:rsidR="0077194E" w:rsidRPr="00D80BA0">
        <w:rPr>
          <w:rFonts w:asciiTheme="minorHAnsi" w:hAnsiTheme="minorHAnsi" w:cstheme="minorHAnsi"/>
          <w:sz w:val="22"/>
          <w:szCs w:val="22"/>
          <w:vertAlign w:val="superscript"/>
        </w:rPr>
        <w:t>th</w:t>
      </w:r>
      <w:r w:rsidR="0077194E" w:rsidRPr="00D80BA0">
        <w:rPr>
          <w:rFonts w:asciiTheme="minorHAnsi" w:hAnsiTheme="minorHAnsi" w:cstheme="minorHAnsi"/>
          <w:sz w:val="22"/>
          <w:szCs w:val="22"/>
        </w:rPr>
        <w:t xml:space="preserve"> incident occurred during a physio visit to a care</w:t>
      </w:r>
      <w:r w:rsidR="00A71F9C" w:rsidRPr="00D80BA0">
        <w:rPr>
          <w:rFonts w:asciiTheme="minorHAnsi" w:hAnsiTheme="minorHAnsi" w:cstheme="minorHAnsi"/>
          <w:sz w:val="22"/>
          <w:szCs w:val="22"/>
        </w:rPr>
        <w:t xml:space="preserve"> </w:t>
      </w:r>
      <w:r w:rsidR="0077194E" w:rsidRPr="00D80BA0">
        <w:rPr>
          <w:rFonts w:asciiTheme="minorHAnsi" w:hAnsiTheme="minorHAnsi" w:cstheme="minorHAnsi"/>
          <w:sz w:val="22"/>
          <w:szCs w:val="22"/>
        </w:rPr>
        <w:t xml:space="preserve">home when a patient was mobilising. </w:t>
      </w:r>
      <w:r w:rsidR="002337E4" w:rsidRPr="00D80BA0">
        <w:rPr>
          <w:rFonts w:asciiTheme="minorHAnsi" w:hAnsiTheme="minorHAnsi" w:cstheme="minorHAnsi"/>
          <w:sz w:val="22"/>
          <w:szCs w:val="22"/>
        </w:rPr>
        <w:t>The</w:t>
      </w:r>
      <w:r w:rsidR="00986519" w:rsidRPr="00D80BA0">
        <w:rPr>
          <w:rFonts w:asciiTheme="minorHAnsi" w:hAnsiTheme="minorHAnsi" w:cstheme="minorHAnsi"/>
          <w:sz w:val="22"/>
          <w:szCs w:val="22"/>
        </w:rPr>
        <w:t xml:space="preserve"> one major incident of violence and a</w:t>
      </w:r>
      <w:r w:rsidR="002337E4" w:rsidRPr="00D80BA0">
        <w:rPr>
          <w:rFonts w:asciiTheme="minorHAnsi" w:hAnsiTheme="minorHAnsi" w:cstheme="minorHAnsi"/>
          <w:sz w:val="22"/>
          <w:szCs w:val="22"/>
        </w:rPr>
        <w:t>ggression</w:t>
      </w:r>
      <w:r w:rsidR="00A2383E" w:rsidRPr="00D80BA0">
        <w:rPr>
          <w:rFonts w:asciiTheme="minorHAnsi" w:hAnsiTheme="minorHAnsi" w:cstheme="minorHAnsi"/>
          <w:sz w:val="22"/>
          <w:szCs w:val="22"/>
        </w:rPr>
        <w:t xml:space="preserve"> was in CAMHS and related to a stabbing, both the victim and the alleged instigator had been know</w:t>
      </w:r>
      <w:r w:rsidR="00986519" w:rsidRPr="00D80BA0">
        <w:rPr>
          <w:rFonts w:asciiTheme="minorHAnsi" w:hAnsiTheme="minorHAnsi" w:cstheme="minorHAnsi"/>
          <w:sz w:val="22"/>
          <w:szCs w:val="22"/>
        </w:rPr>
        <w:t xml:space="preserve">n to CAMHS services. </w:t>
      </w:r>
      <w:r w:rsidR="00200A0C" w:rsidRPr="00D80BA0">
        <w:rPr>
          <w:rFonts w:asciiTheme="minorHAnsi" w:hAnsiTheme="minorHAnsi" w:cstheme="minorHAnsi"/>
          <w:sz w:val="22"/>
          <w:szCs w:val="22"/>
        </w:rPr>
        <w:t>The remaining incidents with maj</w:t>
      </w:r>
      <w:r w:rsidR="00A565C2" w:rsidRPr="00D80BA0">
        <w:rPr>
          <w:rFonts w:asciiTheme="minorHAnsi" w:hAnsiTheme="minorHAnsi" w:cstheme="minorHAnsi"/>
          <w:sz w:val="22"/>
          <w:szCs w:val="22"/>
        </w:rPr>
        <w:t>or impact were reported across 7</w:t>
      </w:r>
      <w:r w:rsidR="00200A0C" w:rsidRPr="00D80BA0">
        <w:rPr>
          <w:rFonts w:asciiTheme="minorHAnsi" w:hAnsiTheme="minorHAnsi" w:cstheme="minorHAnsi"/>
          <w:sz w:val="22"/>
          <w:szCs w:val="22"/>
        </w:rPr>
        <w:t xml:space="preserve"> different categories and departments</w:t>
      </w:r>
      <w:r w:rsidR="00A565C2" w:rsidRPr="00D80BA0">
        <w:rPr>
          <w:rFonts w:asciiTheme="minorHAnsi" w:hAnsiTheme="minorHAnsi" w:cstheme="minorHAnsi"/>
          <w:sz w:val="22"/>
          <w:szCs w:val="22"/>
        </w:rPr>
        <w:t>, 2 of these related to damage to property and the others to injury to patients, one incident is being investigated via the complaints process</w:t>
      </w:r>
      <w:r w:rsidR="00200A0C" w:rsidRPr="00D80BA0">
        <w:rPr>
          <w:rFonts w:asciiTheme="minorHAnsi" w:hAnsiTheme="minorHAnsi" w:cstheme="minorHAnsi"/>
          <w:sz w:val="22"/>
          <w:szCs w:val="22"/>
        </w:rPr>
        <w:t xml:space="preserve">. </w:t>
      </w:r>
    </w:p>
    <w:p w14:paraId="09D0BFE2" w14:textId="4E2D2788" w:rsidR="00393B0A" w:rsidRPr="00D80BA0" w:rsidRDefault="00F20CA8" w:rsidP="00D80BA0">
      <w:pPr>
        <w:pStyle w:val="Caption"/>
        <w:spacing w:after="0"/>
        <w:contextualSpacing/>
        <w:jc w:val="both"/>
        <w:rPr>
          <w:rFonts w:asciiTheme="minorHAnsi" w:hAnsiTheme="minorHAnsi" w:cstheme="minorHAnsi"/>
          <w:b w:val="0"/>
          <w:i/>
          <w:color w:val="auto"/>
          <w:sz w:val="22"/>
          <w:szCs w:val="22"/>
        </w:rPr>
      </w:pPr>
      <w:r w:rsidRPr="00D80BA0">
        <w:rPr>
          <w:rFonts w:asciiTheme="minorHAnsi" w:hAnsiTheme="minorHAnsi" w:cstheme="minorHAnsi"/>
          <w:b w:val="0"/>
          <w:i/>
          <w:color w:val="auto"/>
          <w:sz w:val="22"/>
          <w:szCs w:val="22"/>
        </w:rPr>
        <w:tab/>
      </w:r>
    </w:p>
    <w:p w14:paraId="5137698F" w14:textId="31DBCEA2" w:rsidR="0079524F" w:rsidRPr="00D80BA0" w:rsidRDefault="00364C03" w:rsidP="00D80BA0">
      <w:pPr>
        <w:ind w:right="-624"/>
        <w:contextualSpacing/>
        <w:rPr>
          <w:rFonts w:asciiTheme="minorHAnsi" w:hAnsiTheme="minorHAnsi" w:cstheme="minorHAnsi"/>
          <w:sz w:val="22"/>
          <w:szCs w:val="22"/>
          <w:u w:val="single"/>
        </w:rPr>
      </w:pPr>
      <w:r w:rsidRPr="00D80BA0">
        <w:rPr>
          <w:rFonts w:asciiTheme="minorHAnsi" w:hAnsiTheme="minorHAnsi" w:cstheme="minorHAnsi"/>
          <w:sz w:val="22"/>
          <w:szCs w:val="22"/>
          <w:u w:val="single"/>
        </w:rPr>
        <w:t>1.3</w:t>
      </w:r>
      <w:r w:rsidR="00304B1B" w:rsidRPr="00D80BA0">
        <w:rPr>
          <w:rFonts w:asciiTheme="minorHAnsi" w:hAnsiTheme="minorHAnsi" w:cstheme="minorHAnsi"/>
          <w:sz w:val="22"/>
          <w:szCs w:val="22"/>
          <w:u w:val="single"/>
        </w:rPr>
        <w:t xml:space="preserve"> </w:t>
      </w:r>
      <w:r w:rsidR="002F5968" w:rsidRPr="00D80BA0">
        <w:rPr>
          <w:rFonts w:asciiTheme="minorHAnsi" w:hAnsiTheme="minorHAnsi" w:cstheme="minorHAnsi"/>
          <w:sz w:val="22"/>
          <w:szCs w:val="22"/>
          <w:u w:val="single"/>
        </w:rPr>
        <w:t>Cause Gro</w:t>
      </w:r>
      <w:r w:rsidR="0079524F" w:rsidRPr="00D80BA0">
        <w:rPr>
          <w:rFonts w:asciiTheme="minorHAnsi" w:hAnsiTheme="minorHAnsi" w:cstheme="minorHAnsi"/>
          <w:sz w:val="22"/>
          <w:szCs w:val="22"/>
          <w:u w:val="single"/>
        </w:rPr>
        <w:t>ups</w:t>
      </w:r>
      <w:r w:rsidRPr="00D80BA0">
        <w:rPr>
          <w:rFonts w:asciiTheme="minorHAnsi" w:hAnsiTheme="minorHAnsi" w:cstheme="minorHAnsi"/>
          <w:sz w:val="22"/>
          <w:szCs w:val="22"/>
          <w:u w:val="single"/>
        </w:rPr>
        <w:t xml:space="preserve"> of Incidents</w:t>
      </w:r>
    </w:p>
    <w:p w14:paraId="35E6D04E" w14:textId="2ECF31C8" w:rsidR="00364C03" w:rsidRPr="00D80BA0" w:rsidRDefault="00D01595"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Table 2</w:t>
      </w:r>
      <w:r w:rsidR="0056547F" w:rsidRPr="00D80BA0">
        <w:rPr>
          <w:rFonts w:asciiTheme="minorHAnsi" w:hAnsiTheme="minorHAnsi" w:cstheme="minorHAnsi"/>
          <w:sz w:val="22"/>
          <w:szCs w:val="22"/>
        </w:rPr>
        <w:t xml:space="preserve"> shows the</w:t>
      </w:r>
      <w:r w:rsidR="007569C6" w:rsidRPr="00D80BA0">
        <w:rPr>
          <w:rFonts w:asciiTheme="minorHAnsi" w:hAnsiTheme="minorHAnsi" w:cstheme="minorHAnsi"/>
          <w:sz w:val="22"/>
          <w:szCs w:val="22"/>
        </w:rPr>
        <w:t xml:space="preserve"> </w:t>
      </w:r>
      <w:r w:rsidR="002A658F" w:rsidRPr="00D80BA0">
        <w:rPr>
          <w:rFonts w:asciiTheme="minorHAnsi" w:hAnsiTheme="minorHAnsi" w:cstheme="minorHAnsi"/>
          <w:sz w:val="22"/>
          <w:szCs w:val="22"/>
        </w:rPr>
        <w:t>three</w:t>
      </w:r>
      <w:r w:rsidR="003641C0" w:rsidRPr="00D80BA0">
        <w:rPr>
          <w:rFonts w:asciiTheme="minorHAnsi" w:hAnsiTheme="minorHAnsi" w:cstheme="minorHAnsi"/>
          <w:sz w:val="22"/>
          <w:szCs w:val="22"/>
        </w:rPr>
        <w:t xml:space="preserve"> </w:t>
      </w:r>
      <w:r w:rsidR="007569C6" w:rsidRPr="00D80BA0">
        <w:rPr>
          <w:rFonts w:asciiTheme="minorHAnsi" w:hAnsiTheme="minorHAnsi" w:cstheme="minorHAnsi"/>
          <w:sz w:val="22"/>
          <w:szCs w:val="22"/>
        </w:rPr>
        <w:t>cause groups</w:t>
      </w:r>
      <w:r w:rsidR="003641C0" w:rsidRPr="00D80BA0">
        <w:rPr>
          <w:rFonts w:asciiTheme="minorHAnsi" w:hAnsiTheme="minorHAnsi" w:cstheme="minorHAnsi"/>
          <w:sz w:val="22"/>
          <w:szCs w:val="22"/>
        </w:rPr>
        <w:t xml:space="preserve"> with most reported incidents</w:t>
      </w:r>
      <w:r w:rsidR="005D663E" w:rsidRPr="00D80BA0">
        <w:rPr>
          <w:rFonts w:asciiTheme="minorHAnsi" w:hAnsiTheme="minorHAnsi" w:cstheme="minorHAnsi"/>
          <w:sz w:val="22"/>
          <w:szCs w:val="22"/>
        </w:rPr>
        <w:t xml:space="preserve"> </w:t>
      </w:r>
      <w:r w:rsidR="00364C03" w:rsidRPr="00D80BA0">
        <w:rPr>
          <w:rFonts w:asciiTheme="minorHAnsi" w:hAnsiTheme="minorHAnsi" w:cstheme="minorHAnsi"/>
          <w:sz w:val="22"/>
          <w:szCs w:val="22"/>
        </w:rPr>
        <w:t>across</w:t>
      </w:r>
      <w:r w:rsidR="00261161" w:rsidRPr="00D80BA0">
        <w:rPr>
          <w:rFonts w:asciiTheme="minorHAnsi" w:hAnsiTheme="minorHAnsi" w:cstheme="minorHAnsi"/>
          <w:sz w:val="22"/>
          <w:szCs w:val="22"/>
        </w:rPr>
        <w:t xml:space="preserve"> services in</w:t>
      </w:r>
      <w:r w:rsidR="003166BF" w:rsidRPr="00D80BA0">
        <w:rPr>
          <w:rFonts w:asciiTheme="minorHAnsi" w:hAnsiTheme="minorHAnsi" w:cstheme="minorHAnsi"/>
          <w:sz w:val="22"/>
          <w:szCs w:val="22"/>
        </w:rPr>
        <w:t xml:space="preserve"> Q1</w:t>
      </w:r>
      <w:r w:rsidRPr="00D80BA0">
        <w:rPr>
          <w:rFonts w:asciiTheme="minorHAnsi" w:hAnsiTheme="minorHAnsi" w:cstheme="minorHAnsi"/>
          <w:sz w:val="22"/>
          <w:szCs w:val="22"/>
        </w:rPr>
        <w:t>.</w:t>
      </w:r>
      <w:r w:rsidR="00364C03" w:rsidRPr="00D80BA0">
        <w:rPr>
          <w:rFonts w:asciiTheme="minorHAnsi" w:hAnsiTheme="minorHAnsi" w:cstheme="minorHAnsi"/>
          <w:sz w:val="22"/>
          <w:szCs w:val="22"/>
        </w:rPr>
        <w:t xml:space="preserve"> An analysis is carried out quarterly across all cause groups and reported to the Safety Quality Sub-Committee, with only a summary reported here. Violence/Aggression was the cause associated with 16.4% of all Q1 incidents (n=628) while 16% were incidents of Skin Integrity (n=612). As in Q4 the third highest cause of incidents in Q4 2017/18 was communication/confidentiality.</w:t>
      </w:r>
    </w:p>
    <w:p w14:paraId="1423510C" w14:textId="40231515" w:rsidR="009B402A" w:rsidRPr="00D80BA0" w:rsidRDefault="009B402A" w:rsidP="00D80BA0">
      <w:pPr>
        <w:contextualSpacing/>
        <w:jc w:val="both"/>
        <w:rPr>
          <w:rFonts w:asciiTheme="minorHAnsi" w:hAnsiTheme="minorHAnsi" w:cstheme="minorHAnsi"/>
          <w:sz w:val="22"/>
          <w:szCs w:val="22"/>
        </w:rPr>
      </w:pPr>
    </w:p>
    <w:p w14:paraId="29E8E2B9" w14:textId="21564F0F" w:rsidR="0056547F" w:rsidRPr="00D80BA0" w:rsidRDefault="00D01595" w:rsidP="00D80BA0">
      <w:pPr>
        <w:contextualSpacing/>
        <w:jc w:val="both"/>
        <w:rPr>
          <w:rFonts w:asciiTheme="minorHAnsi" w:hAnsiTheme="minorHAnsi" w:cstheme="minorHAnsi"/>
          <w:i/>
          <w:sz w:val="22"/>
          <w:szCs w:val="22"/>
        </w:rPr>
      </w:pPr>
      <w:r w:rsidRPr="00D80BA0">
        <w:rPr>
          <w:rFonts w:asciiTheme="minorHAnsi" w:hAnsiTheme="minorHAnsi" w:cstheme="minorHAnsi"/>
          <w:i/>
          <w:sz w:val="22"/>
          <w:szCs w:val="22"/>
        </w:rPr>
        <w:t>Table 2</w:t>
      </w:r>
      <w:r w:rsidR="002B0200" w:rsidRPr="00D80BA0">
        <w:rPr>
          <w:rFonts w:asciiTheme="minorHAnsi" w:hAnsiTheme="minorHAnsi" w:cstheme="minorHAnsi"/>
          <w:i/>
          <w:sz w:val="22"/>
          <w:szCs w:val="22"/>
        </w:rPr>
        <w:t>. Cause groups with most reported incidents</w:t>
      </w:r>
      <w:r w:rsidR="007C2C09" w:rsidRPr="00D80BA0">
        <w:rPr>
          <w:rFonts w:asciiTheme="minorHAnsi" w:hAnsiTheme="minorHAnsi" w:cstheme="minorHAnsi"/>
          <w:i/>
          <w:sz w:val="22"/>
          <w:szCs w:val="22"/>
        </w:rPr>
        <w:t>, Q1 18/19</w:t>
      </w:r>
    </w:p>
    <w:tbl>
      <w:tblPr>
        <w:tblStyle w:val="TableGrid"/>
        <w:tblW w:w="9498" w:type="dxa"/>
        <w:tblInd w:w="-5" w:type="dxa"/>
        <w:tblLook w:val="04A0" w:firstRow="1" w:lastRow="0" w:firstColumn="1" w:lastColumn="0" w:noHBand="0" w:noVBand="1"/>
      </w:tblPr>
      <w:tblGrid>
        <w:gridCol w:w="3033"/>
        <w:gridCol w:w="3088"/>
        <w:gridCol w:w="3377"/>
      </w:tblGrid>
      <w:tr w:rsidR="002337E4" w:rsidRPr="00D80BA0" w14:paraId="25B630AC" w14:textId="77777777" w:rsidTr="00C226C7">
        <w:tc>
          <w:tcPr>
            <w:tcW w:w="3033" w:type="dxa"/>
            <w:shd w:val="clear" w:color="auto" w:fill="B8CCE4" w:themeFill="accent1" w:themeFillTint="66"/>
          </w:tcPr>
          <w:p w14:paraId="664E90DF" w14:textId="77777777" w:rsidR="0056547F" w:rsidRPr="00D80BA0" w:rsidRDefault="0056547F" w:rsidP="00D80BA0">
            <w:pPr>
              <w:contextualSpacing/>
              <w:jc w:val="center"/>
              <w:rPr>
                <w:rFonts w:asciiTheme="minorHAnsi" w:hAnsiTheme="minorHAnsi" w:cstheme="minorHAnsi"/>
                <w:sz w:val="22"/>
                <w:szCs w:val="22"/>
              </w:rPr>
            </w:pPr>
            <w:r w:rsidRPr="00D80BA0">
              <w:rPr>
                <w:rFonts w:asciiTheme="minorHAnsi" w:hAnsiTheme="minorHAnsi" w:cstheme="minorHAnsi"/>
                <w:sz w:val="22"/>
                <w:szCs w:val="22"/>
              </w:rPr>
              <w:t>Trust-wide services</w:t>
            </w:r>
          </w:p>
        </w:tc>
        <w:tc>
          <w:tcPr>
            <w:tcW w:w="3088" w:type="dxa"/>
            <w:shd w:val="clear" w:color="auto" w:fill="B8CCE4" w:themeFill="accent1" w:themeFillTint="66"/>
          </w:tcPr>
          <w:p w14:paraId="6F18A7A8" w14:textId="77777777" w:rsidR="0056547F" w:rsidRPr="00D80BA0" w:rsidRDefault="0056547F" w:rsidP="00D80BA0">
            <w:pPr>
              <w:contextualSpacing/>
              <w:jc w:val="center"/>
              <w:rPr>
                <w:rFonts w:asciiTheme="minorHAnsi" w:hAnsiTheme="minorHAnsi" w:cstheme="minorHAnsi"/>
                <w:sz w:val="22"/>
                <w:szCs w:val="22"/>
              </w:rPr>
            </w:pPr>
            <w:r w:rsidRPr="00D80BA0">
              <w:rPr>
                <w:rFonts w:asciiTheme="minorHAnsi" w:hAnsiTheme="minorHAnsi" w:cstheme="minorHAnsi"/>
                <w:sz w:val="22"/>
                <w:szCs w:val="22"/>
              </w:rPr>
              <w:t>Mental health services</w:t>
            </w:r>
          </w:p>
        </w:tc>
        <w:tc>
          <w:tcPr>
            <w:tcW w:w="3377" w:type="dxa"/>
            <w:shd w:val="clear" w:color="auto" w:fill="B8CCE4" w:themeFill="accent1" w:themeFillTint="66"/>
          </w:tcPr>
          <w:p w14:paraId="1FE4C069" w14:textId="77777777" w:rsidR="0056547F" w:rsidRPr="00D80BA0" w:rsidRDefault="0056547F" w:rsidP="00D80BA0">
            <w:pPr>
              <w:contextualSpacing/>
              <w:jc w:val="center"/>
              <w:rPr>
                <w:rFonts w:asciiTheme="minorHAnsi" w:hAnsiTheme="minorHAnsi" w:cstheme="minorHAnsi"/>
                <w:sz w:val="22"/>
                <w:szCs w:val="22"/>
              </w:rPr>
            </w:pPr>
            <w:r w:rsidRPr="00D80BA0">
              <w:rPr>
                <w:rFonts w:asciiTheme="minorHAnsi" w:hAnsiTheme="minorHAnsi" w:cstheme="minorHAnsi"/>
                <w:sz w:val="22"/>
                <w:szCs w:val="22"/>
              </w:rPr>
              <w:t>Physical health services</w:t>
            </w:r>
          </w:p>
        </w:tc>
      </w:tr>
      <w:tr w:rsidR="002337E4" w:rsidRPr="00D80BA0" w14:paraId="3F65EFAC" w14:textId="77777777" w:rsidTr="00C226C7">
        <w:tc>
          <w:tcPr>
            <w:tcW w:w="3033" w:type="dxa"/>
          </w:tcPr>
          <w:p w14:paraId="5975F69F" w14:textId="77777777" w:rsidR="007C2C09" w:rsidRPr="00D80BA0" w:rsidRDefault="0044564A" w:rsidP="00D80BA0">
            <w:pPr>
              <w:contextualSpacing/>
              <w:rPr>
                <w:rFonts w:asciiTheme="minorHAnsi" w:hAnsiTheme="minorHAnsi" w:cstheme="minorHAnsi"/>
                <w:sz w:val="22"/>
                <w:szCs w:val="22"/>
              </w:rPr>
            </w:pPr>
            <w:r w:rsidRPr="00D80BA0">
              <w:rPr>
                <w:rFonts w:asciiTheme="minorHAnsi" w:hAnsiTheme="minorHAnsi" w:cstheme="minorHAnsi"/>
                <w:sz w:val="22"/>
                <w:szCs w:val="22"/>
              </w:rPr>
              <w:t>Violence/Aggression (n=628</w:t>
            </w:r>
            <w:r w:rsidR="007C2C09" w:rsidRPr="00D80BA0">
              <w:rPr>
                <w:rFonts w:asciiTheme="minorHAnsi" w:hAnsiTheme="minorHAnsi" w:cstheme="minorHAnsi"/>
                <w:sz w:val="22"/>
                <w:szCs w:val="22"/>
              </w:rPr>
              <w:t>)</w:t>
            </w:r>
          </w:p>
        </w:tc>
        <w:tc>
          <w:tcPr>
            <w:tcW w:w="3088" w:type="dxa"/>
          </w:tcPr>
          <w:p w14:paraId="1D831E2F" w14:textId="77777777" w:rsidR="007C2C09" w:rsidRPr="00D80BA0" w:rsidRDefault="007C2C09" w:rsidP="00D80BA0">
            <w:pPr>
              <w:contextualSpacing/>
              <w:rPr>
                <w:rFonts w:asciiTheme="minorHAnsi" w:hAnsiTheme="minorHAnsi" w:cstheme="minorHAnsi"/>
                <w:sz w:val="22"/>
                <w:szCs w:val="22"/>
              </w:rPr>
            </w:pPr>
            <w:r w:rsidRPr="00D80BA0">
              <w:rPr>
                <w:rFonts w:asciiTheme="minorHAnsi" w:hAnsiTheme="minorHAnsi" w:cstheme="minorHAnsi"/>
                <w:sz w:val="22"/>
                <w:szCs w:val="22"/>
              </w:rPr>
              <w:t>Violence and Aggression (n=585)</w:t>
            </w:r>
          </w:p>
        </w:tc>
        <w:tc>
          <w:tcPr>
            <w:tcW w:w="3377" w:type="dxa"/>
          </w:tcPr>
          <w:p w14:paraId="4A29C48B" w14:textId="77777777" w:rsidR="007C2C09" w:rsidRPr="00D80BA0" w:rsidRDefault="007C2C09" w:rsidP="00D80BA0">
            <w:pPr>
              <w:contextualSpacing/>
              <w:rPr>
                <w:rFonts w:asciiTheme="minorHAnsi" w:hAnsiTheme="minorHAnsi" w:cstheme="minorHAnsi"/>
                <w:sz w:val="22"/>
                <w:szCs w:val="22"/>
              </w:rPr>
            </w:pPr>
            <w:r w:rsidRPr="00D80BA0">
              <w:rPr>
                <w:rFonts w:asciiTheme="minorHAnsi" w:hAnsiTheme="minorHAnsi" w:cstheme="minorHAnsi"/>
                <w:sz w:val="22"/>
                <w:szCs w:val="22"/>
              </w:rPr>
              <w:t>Skin Integrity</w:t>
            </w:r>
            <w:r w:rsidR="0044564A" w:rsidRPr="00D80BA0">
              <w:rPr>
                <w:rFonts w:asciiTheme="minorHAnsi" w:hAnsiTheme="minorHAnsi" w:cstheme="minorHAnsi"/>
                <w:sz w:val="22"/>
                <w:szCs w:val="22"/>
              </w:rPr>
              <w:t xml:space="preserve"> (n=602</w:t>
            </w:r>
            <w:r w:rsidRPr="00D80BA0">
              <w:rPr>
                <w:rFonts w:asciiTheme="minorHAnsi" w:hAnsiTheme="minorHAnsi" w:cstheme="minorHAnsi"/>
                <w:sz w:val="22"/>
                <w:szCs w:val="22"/>
              </w:rPr>
              <w:t>)</w:t>
            </w:r>
          </w:p>
        </w:tc>
      </w:tr>
      <w:tr w:rsidR="002337E4" w:rsidRPr="00D80BA0" w14:paraId="02287098" w14:textId="77777777" w:rsidTr="00C226C7">
        <w:tc>
          <w:tcPr>
            <w:tcW w:w="3033" w:type="dxa"/>
          </w:tcPr>
          <w:p w14:paraId="44A877E5" w14:textId="77777777" w:rsidR="007C2C09" w:rsidRPr="00D80BA0" w:rsidRDefault="007C2C09" w:rsidP="00D80BA0">
            <w:pPr>
              <w:contextualSpacing/>
              <w:rPr>
                <w:rFonts w:asciiTheme="minorHAnsi" w:hAnsiTheme="minorHAnsi" w:cstheme="minorHAnsi"/>
                <w:sz w:val="22"/>
                <w:szCs w:val="22"/>
              </w:rPr>
            </w:pPr>
            <w:r w:rsidRPr="00D80BA0">
              <w:rPr>
                <w:rFonts w:asciiTheme="minorHAnsi" w:hAnsiTheme="minorHAnsi" w:cstheme="minorHAnsi"/>
                <w:sz w:val="22"/>
                <w:szCs w:val="22"/>
              </w:rPr>
              <w:t>Skin Integrity (n=612)</w:t>
            </w:r>
          </w:p>
        </w:tc>
        <w:tc>
          <w:tcPr>
            <w:tcW w:w="3088" w:type="dxa"/>
          </w:tcPr>
          <w:p w14:paraId="0E0C60F0" w14:textId="77777777" w:rsidR="007C2C09" w:rsidRPr="00D80BA0" w:rsidRDefault="007C2C09" w:rsidP="00D80BA0">
            <w:pPr>
              <w:contextualSpacing/>
              <w:rPr>
                <w:rFonts w:asciiTheme="minorHAnsi" w:hAnsiTheme="minorHAnsi" w:cstheme="minorHAnsi"/>
                <w:sz w:val="22"/>
                <w:szCs w:val="22"/>
              </w:rPr>
            </w:pPr>
            <w:r w:rsidRPr="00D80BA0">
              <w:rPr>
                <w:rFonts w:asciiTheme="minorHAnsi" w:hAnsiTheme="minorHAnsi" w:cstheme="minorHAnsi"/>
                <w:sz w:val="22"/>
                <w:szCs w:val="22"/>
              </w:rPr>
              <w:t>Self-Harm (n=318)</w:t>
            </w:r>
          </w:p>
        </w:tc>
        <w:tc>
          <w:tcPr>
            <w:tcW w:w="3377" w:type="dxa"/>
          </w:tcPr>
          <w:p w14:paraId="0BEF9B60" w14:textId="77777777" w:rsidR="007C2C09" w:rsidRPr="00D80BA0" w:rsidRDefault="007C2C09" w:rsidP="00D80BA0">
            <w:pPr>
              <w:contextualSpacing/>
              <w:rPr>
                <w:rFonts w:asciiTheme="minorHAnsi" w:hAnsiTheme="minorHAnsi" w:cstheme="minorHAnsi"/>
                <w:sz w:val="22"/>
                <w:szCs w:val="22"/>
              </w:rPr>
            </w:pPr>
            <w:r w:rsidRPr="00D80BA0">
              <w:rPr>
                <w:rFonts w:asciiTheme="minorHAnsi" w:hAnsiTheme="minorHAnsi" w:cstheme="minorHAnsi"/>
                <w:sz w:val="22"/>
                <w:szCs w:val="22"/>
              </w:rPr>
              <w:t>Communication/Confidentiality (n=206)</w:t>
            </w:r>
          </w:p>
        </w:tc>
      </w:tr>
      <w:tr w:rsidR="002337E4" w:rsidRPr="00D80BA0" w14:paraId="5206ECD2" w14:textId="77777777" w:rsidTr="00C226C7">
        <w:tc>
          <w:tcPr>
            <w:tcW w:w="3033" w:type="dxa"/>
          </w:tcPr>
          <w:p w14:paraId="64742BF7" w14:textId="77777777" w:rsidR="007C2C09" w:rsidRPr="00D80BA0" w:rsidRDefault="007C2C09" w:rsidP="00D80BA0">
            <w:pPr>
              <w:contextualSpacing/>
              <w:rPr>
                <w:rFonts w:asciiTheme="minorHAnsi" w:hAnsiTheme="minorHAnsi" w:cstheme="minorHAnsi"/>
                <w:sz w:val="22"/>
                <w:szCs w:val="22"/>
              </w:rPr>
            </w:pPr>
            <w:r w:rsidRPr="00D80BA0">
              <w:rPr>
                <w:rFonts w:asciiTheme="minorHAnsi" w:hAnsiTheme="minorHAnsi" w:cstheme="minorHAnsi"/>
                <w:sz w:val="22"/>
                <w:szCs w:val="22"/>
              </w:rPr>
              <w:t>Communication/Confidentiality (n=367)</w:t>
            </w:r>
          </w:p>
        </w:tc>
        <w:tc>
          <w:tcPr>
            <w:tcW w:w="3088" w:type="dxa"/>
          </w:tcPr>
          <w:p w14:paraId="57C79E23" w14:textId="77777777" w:rsidR="007C2C09" w:rsidRPr="00D80BA0" w:rsidRDefault="007C2C09" w:rsidP="00D80BA0">
            <w:pPr>
              <w:contextualSpacing/>
              <w:rPr>
                <w:rFonts w:asciiTheme="minorHAnsi" w:hAnsiTheme="minorHAnsi" w:cstheme="minorHAnsi"/>
                <w:sz w:val="22"/>
                <w:szCs w:val="22"/>
              </w:rPr>
            </w:pPr>
            <w:r w:rsidRPr="00D80BA0">
              <w:rPr>
                <w:rFonts w:asciiTheme="minorHAnsi" w:hAnsiTheme="minorHAnsi" w:cstheme="minorHAnsi"/>
                <w:sz w:val="22"/>
                <w:szCs w:val="22"/>
              </w:rPr>
              <w:t>Security (n=274)</w:t>
            </w:r>
          </w:p>
        </w:tc>
        <w:tc>
          <w:tcPr>
            <w:tcW w:w="3377" w:type="dxa"/>
          </w:tcPr>
          <w:p w14:paraId="200A9BC7" w14:textId="77777777" w:rsidR="007C2C09" w:rsidRPr="00D80BA0" w:rsidRDefault="007C2C09" w:rsidP="00D80BA0">
            <w:pPr>
              <w:contextualSpacing/>
              <w:rPr>
                <w:rFonts w:asciiTheme="minorHAnsi" w:hAnsiTheme="minorHAnsi" w:cstheme="minorHAnsi"/>
                <w:sz w:val="22"/>
                <w:szCs w:val="22"/>
              </w:rPr>
            </w:pPr>
            <w:r w:rsidRPr="00D80BA0">
              <w:rPr>
                <w:rFonts w:asciiTheme="minorHAnsi" w:hAnsiTheme="minorHAnsi" w:cstheme="minorHAnsi"/>
                <w:sz w:val="22"/>
                <w:szCs w:val="22"/>
              </w:rPr>
              <w:t>Fall related (n=150)</w:t>
            </w:r>
          </w:p>
        </w:tc>
      </w:tr>
    </w:tbl>
    <w:p w14:paraId="6CEF49EE" w14:textId="0D929CC1" w:rsidR="00F249AD" w:rsidRPr="00D80BA0" w:rsidRDefault="00F249AD" w:rsidP="00D80BA0">
      <w:pPr>
        <w:contextualSpacing/>
        <w:jc w:val="both"/>
        <w:rPr>
          <w:rFonts w:asciiTheme="minorHAnsi" w:hAnsiTheme="minorHAnsi" w:cstheme="minorHAnsi"/>
          <w:sz w:val="22"/>
          <w:szCs w:val="22"/>
        </w:rPr>
      </w:pPr>
    </w:p>
    <w:p w14:paraId="524B6074" w14:textId="4F859DB2" w:rsidR="00F71024" w:rsidRPr="00D80BA0" w:rsidRDefault="00F71024"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 xml:space="preserve">The CAMHS Highfield ward continues to have high numbers of self-harm incidents, with an increase in Q1 (67 compared to 36 in Q4). The majority of the incidents (43 of 67, 64%) were incidents of cutting, and there were also 11 ligature related incidents, 7 incidents of patients striking themselves/objects, and 3 overdoses. Fourteen different patients on the ward were involved in incidents, with 8 patients having more than one incident. For one patient 18 different incidents were reported, 16 of which were incidents of cutting. Six incidents were graded as moderate, 4 of which involved the same patient. </w:t>
      </w:r>
    </w:p>
    <w:p w14:paraId="1CD1BAFC" w14:textId="4CAFB353" w:rsidR="00F71024" w:rsidRPr="00D80BA0" w:rsidRDefault="00F71024" w:rsidP="00D80BA0">
      <w:pPr>
        <w:contextualSpacing/>
        <w:jc w:val="both"/>
        <w:rPr>
          <w:rFonts w:asciiTheme="minorHAnsi" w:hAnsiTheme="minorHAnsi" w:cstheme="minorHAnsi"/>
          <w:sz w:val="22"/>
          <w:szCs w:val="22"/>
        </w:rPr>
      </w:pPr>
    </w:p>
    <w:p w14:paraId="2B4820B8" w14:textId="61B19E94" w:rsidR="00F249AD" w:rsidRPr="00D80BA0" w:rsidRDefault="00F249AD" w:rsidP="00D80BA0">
      <w:pPr>
        <w:contextualSpacing/>
        <w:rPr>
          <w:rFonts w:asciiTheme="minorHAnsi" w:hAnsiTheme="minorHAnsi" w:cstheme="minorHAnsi"/>
          <w:sz w:val="22"/>
          <w:szCs w:val="22"/>
          <w:u w:val="single"/>
        </w:rPr>
      </w:pPr>
      <w:r w:rsidRPr="00D80BA0">
        <w:rPr>
          <w:rFonts w:asciiTheme="minorHAnsi" w:hAnsiTheme="minorHAnsi" w:cstheme="minorHAnsi"/>
          <w:sz w:val="22"/>
          <w:szCs w:val="22"/>
          <w:u w:val="single"/>
        </w:rPr>
        <w:t>1.3.1 Violence and Aggression Incidents</w:t>
      </w:r>
    </w:p>
    <w:p w14:paraId="548C3D51" w14:textId="0663A9F3" w:rsidR="00F249AD" w:rsidRPr="00D80BA0" w:rsidRDefault="00F249AD"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Violence and aggression continues to be the highest cause of reported incidents with 628 incidents in Q1, 604 incidents in Q4 and 594 incidents in Q3. Most incidents are acts by patients towards staff with no injury</w:t>
      </w:r>
      <w:r w:rsidR="00155834" w:rsidRPr="00D80BA0">
        <w:rPr>
          <w:rFonts w:asciiTheme="minorHAnsi" w:hAnsiTheme="minorHAnsi" w:cstheme="minorHAnsi"/>
          <w:sz w:val="22"/>
          <w:szCs w:val="22"/>
        </w:rPr>
        <w:t xml:space="preserve"> (73% of incidents)</w:t>
      </w:r>
      <w:r w:rsidRPr="00D80BA0">
        <w:rPr>
          <w:rFonts w:asciiTheme="minorHAnsi" w:hAnsiTheme="minorHAnsi" w:cstheme="minorHAnsi"/>
          <w:sz w:val="22"/>
          <w:szCs w:val="22"/>
        </w:rPr>
        <w:t xml:space="preserve">. There is no overall trend in numbers of incidents of violence and aggression over the past 3 years, however, since mid-2017 there has been an increase in incidents in the adult directorate, and a decline in incidents in the older people directorate, both of which have been maintained in Q1. The increase in incidents in the adult directorate (from an average of 125 per month to 155 per month) coincides with the </w:t>
      </w:r>
      <w:r w:rsidRPr="00D80BA0">
        <w:rPr>
          <w:rFonts w:asciiTheme="minorHAnsi" w:hAnsiTheme="minorHAnsi" w:cstheme="minorHAnsi"/>
          <w:sz w:val="22"/>
          <w:szCs w:val="22"/>
        </w:rPr>
        <w:lastRenderedPageBreak/>
        <w:t xml:space="preserve">transfer of learning disability services to Oxford Health in July 2018, spikes have also been seen in other adult wards over this time. On Evenlode ward 47 incidents were reported, compared with 40 in the previous quarter and 23 in the one before that. It seems that there has been an increase in incidents of violence and aggression at around the time of the transfer of the service from Southern Health to Oxford Health in July 2017, however this is thought to be as a result of a change in patient acuity rather than as a result of the transfer. </w:t>
      </w:r>
    </w:p>
    <w:p w14:paraId="2319334E" w14:textId="77777777" w:rsidR="00F249AD" w:rsidRPr="00D80BA0" w:rsidRDefault="00F249AD" w:rsidP="00D80BA0">
      <w:pPr>
        <w:contextualSpacing/>
        <w:jc w:val="both"/>
        <w:rPr>
          <w:rFonts w:asciiTheme="minorHAnsi" w:hAnsiTheme="minorHAnsi" w:cstheme="minorHAnsi"/>
          <w:sz w:val="22"/>
          <w:szCs w:val="22"/>
        </w:rPr>
      </w:pPr>
    </w:p>
    <w:p w14:paraId="4A6BC53D" w14:textId="77777777" w:rsidR="00F249AD" w:rsidRPr="00D80BA0" w:rsidRDefault="00F249AD" w:rsidP="00D80BA0">
      <w:pPr>
        <w:contextualSpacing/>
        <w:jc w:val="both"/>
        <w:rPr>
          <w:rFonts w:asciiTheme="minorHAnsi" w:hAnsiTheme="minorHAnsi" w:cstheme="minorHAnsi"/>
          <w:sz w:val="22"/>
          <w:szCs w:val="22"/>
        </w:rPr>
      </w:pPr>
    </w:p>
    <w:p w14:paraId="237A9E36" w14:textId="2410720A" w:rsidR="00F249AD" w:rsidRPr="00D80BA0" w:rsidRDefault="00F249AD"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In Q1, the highest reporter of incidents of violence and aggression was CAMHS Highfield Ward, with 54 reported incidents, of the incidents 10 different patients were involved as instigators, and one patient was involved in 25 incidents. Of these 23 of them were in the sub-category of ‘violence no injury-patient on staff’.</w:t>
      </w:r>
    </w:p>
    <w:p w14:paraId="1A8D07CC" w14:textId="2BDBFF13" w:rsidR="00F249AD" w:rsidRPr="00D80BA0" w:rsidRDefault="00F249AD" w:rsidP="00D80BA0">
      <w:pPr>
        <w:contextualSpacing/>
        <w:jc w:val="both"/>
        <w:rPr>
          <w:rFonts w:asciiTheme="minorHAnsi" w:hAnsiTheme="minorHAnsi" w:cstheme="minorHAnsi"/>
          <w:sz w:val="22"/>
          <w:szCs w:val="22"/>
        </w:rPr>
      </w:pPr>
    </w:p>
    <w:p w14:paraId="2F70EC63" w14:textId="07F165D1" w:rsidR="00F249AD" w:rsidRPr="00D80BA0" w:rsidRDefault="00F249AD"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 xml:space="preserve">Twenty incidents were reported with a moderate actual </w:t>
      </w:r>
      <w:r w:rsidR="0022773F" w:rsidRPr="00D80BA0">
        <w:rPr>
          <w:rFonts w:asciiTheme="minorHAnsi" w:hAnsiTheme="minorHAnsi" w:cstheme="minorHAnsi"/>
          <w:sz w:val="22"/>
          <w:szCs w:val="22"/>
        </w:rPr>
        <w:t>impact;</w:t>
      </w:r>
      <w:r w:rsidRPr="00D80BA0">
        <w:rPr>
          <w:rFonts w:asciiTheme="minorHAnsi" w:hAnsiTheme="minorHAnsi" w:cstheme="minorHAnsi"/>
          <w:sz w:val="22"/>
          <w:szCs w:val="22"/>
        </w:rPr>
        <w:t xml:space="preserve"> these were across 16 different wards. Four wards had 2 incidents each (Wenric, Vaughan Thomas, Ashurst and Ke</w:t>
      </w:r>
      <w:r w:rsidR="00155834" w:rsidRPr="00D80BA0">
        <w:rPr>
          <w:rFonts w:asciiTheme="minorHAnsi" w:hAnsiTheme="minorHAnsi" w:cstheme="minorHAnsi"/>
          <w:sz w:val="22"/>
          <w:szCs w:val="22"/>
        </w:rPr>
        <w:t>strel).  A further incident of violence and a</w:t>
      </w:r>
      <w:r w:rsidRPr="00D80BA0">
        <w:rPr>
          <w:rFonts w:asciiTheme="minorHAnsi" w:hAnsiTheme="minorHAnsi" w:cstheme="minorHAnsi"/>
          <w:sz w:val="22"/>
          <w:szCs w:val="22"/>
        </w:rPr>
        <w:t>ggression resulted in RIDDOR, this was on Evenlode as a result</w:t>
      </w:r>
      <w:r w:rsidR="00155834" w:rsidRPr="00D80BA0">
        <w:rPr>
          <w:rFonts w:asciiTheme="minorHAnsi" w:hAnsiTheme="minorHAnsi" w:cstheme="minorHAnsi"/>
          <w:sz w:val="22"/>
          <w:szCs w:val="22"/>
        </w:rPr>
        <w:t xml:space="preserve"> of a patient trying to pull a</w:t>
      </w:r>
      <w:r w:rsidRPr="00D80BA0">
        <w:rPr>
          <w:rFonts w:asciiTheme="minorHAnsi" w:hAnsiTheme="minorHAnsi" w:cstheme="minorHAnsi"/>
          <w:sz w:val="22"/>
          <w:szCs w:val="22"/>
        </w:rPr>
        <w:t xml:space="preserve"> staff member over.</w:t>
      </w:r>
    </w:p>
    <w:p w14:paraId="641BD1FB" w14:textId="26BDFC89" w:rsidR="00F249AD" w:rsidRPr="00D80BA0" w:rsidRDefault="00F249AD" w:rsidP="00D80BA0">
      <w:pPr>
        <w:contextualSpacing/>
        <w:jc w:val="both"/>
        <w:rPr>
          <w:rFonts w:asciiTheme="minorHAnsi" w:hAnsiTheme="minorHAnsi" w:cstheme="minorHAnsi"/>
          <w:sz w:val="22"/>
          <w:szCs w:val="22"/>
        </w:rPr>
      </w:pPr>
    </w:p>
    <w:p w14:paraId="6F38BB68" w14:textId="76AA9716" w:rsidR="00155834" w:rsidRPr="00D80BA0" w:rsidRDefault="00155834"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Reducing violence and aggression on adult acute mental health wards is a local quality objective for 2018/19. Work underway includes;</w:t>
      </w:r>
    </w:p>
    <w:p w14:paraId="6E7A75EC" w14:textId="2439CCF2" w:rsidR="00155834" w:rsidRPr="00D80BA0" w:rsidRDefault="005C2E8C" w:rsidP="00D80BA0">
      <w:pPr>
        <w:numPr>
          <w:ilvl w:val="0"/>
          <w:numId w:val="9"/>
        </w:numPr>
        <w:contextualSpacing/>
        <w:jc w:val="both"/>
        <w:rPr>
          <w:rFonts w:asciiTheme="minorHAnsi" w:hAnsiTheme="minorHAnsi" w:cstheme="minorHAnsi"/>
          <w:sz w:val="22"/>
          <w:szCs w:val="22"/>
          <w:lang w:eastAsia="en-US"/>
        </w:rPr>
      </w:pPr>
      <w:r w:rsidRPr="00D80BA0">
        <w:rPr>
          <w:rFonts w:asciiTheme="minorHAnsi" w:hAnsiTheme="minorHAnsi" w:cstheme="minorHAnsi"/>
          <w:sz w:val="22"/>
          <w:szCs w:val="22"/>
          <w:lang w:eastAsia="en-US"/>
        </w:rPr>
        <w:t>Being part of the</w:t>
      </w:r>
      <w:r w:rsidR="00155834" w:rsidRPr="00D80BA0">
        <w:rPr>
          <w:rFonts w:asciiTheme="minorHAnsi" w:hAnsiTheme="minorHAnsi" w:cstheme="minorHAnsi"/>
          <w:sz w:val="22"/>
          <w:szCs w:val="22"/>
          <w:lang w:eastAsia="en-US"/>
        </w:rPr>
        <w:t xml:space="preserve"> national ‘observation and engagement collaborative’ being led by NHS Improvement, looking at how observations are done, what patients understand and how staff feel about doing them. A key foundation of the work is to look at how to sustain quality initiatives. </w:t>
      </w:r>
    </w:p>
    <w:p w14:paraId="6B0AC35C" w14:textId="6984761B" w:rsidR="00155834" w:rsidRPr="00D80BA0" w:rsidRDefault="00155834" w:rsidP="00D80BA0">
      <w:pPr>
        <w:numPr>
          <w:ilvl w:val="0"/>
          <w:numId w:val="9"/>
        </w:numPr>
        <w:contextualSpacing/>
        <w:jc w:val="both"/>
        <w:rPr>
          <w:rFonts w:asciiTheme="minorHAnsi" w:hAnsiTheme="minorHAnsi" w:cstheme="minorHAnsi"/>
          <w:sz w:val="22"/>
          <w:szCs w:val="22"/>
          <w:lang w:eastAsia="en-US"/>
        </w:rPr>
      </w:pPr>
      <w:r w:rsidRPr="00D80BA0">
        <w:rPr>
          <w:rFonts w:asciiTheme="minorHAnsi" w:hAnsiTheme="minorHAnsi" w:cstheme="minorHAnsi"/>
          <w:sz w:val="22"/>
          <w:szCs w:val="22"/>
          <w:lang w:eastAsia="en-US"/>
        </w:rPr>
        <w:t>Work with staff to recognise early trigger points which can lead potentially to acts of violence and aggression</w:t>
      </w:r>
    </w:p>
    <w:p w14:paraId="68D6A876" w14:textId="50AEE9BE" w:rsidR="00675148" w:rsidRPr="00D80BA0" w:rsidRDefault="00675148" w:rsidP="00D80BA0">
      <w:pPr>
        <w:numPr>
          <w:ilvl w:val="0"/>
          <w:numId w:val="9"/>
        </w:numPr>
        <w:contextualSpacing/>
        <w:jc w:val="both"/>
        <w:rPr>
          <w:rFonts w:asciiTheme="minorHAnsi" w:hAnsiTheme="minorHAnsi" w:cstheme="minorHAnsi"/>
          <w:sz w:val="22"/>
          <w:szCs w:val="22"/>
          <w:lang w:eastAsia="en-US"/>
        </w:rPr>
      </w:pPr>
      <w:r w:rsidRPr="00D80BA0">
        <w:rPr>
          <w:rFonts w:asciiTheme="minorHAnsi" w:hAnsiTheme="minorHAnsi" w:cstheme="minorHAnsi"/>
          <w:sz w:val="22"/>
          <w:szCs w:val="22"/>
        </w:rPr>
        <w:t xml:space="preserve">‘knowing me’ boards have been introduced across a number of the adult acute wards to improve relationships between staff and patients, so patients are less likely to be violent to staff. </w:t>
      </w:r>
    </w:p>
    <w:p w14:paraId="14DA262E" w14:textId="06B431DD" w:rsidR="00F249AD" w:rsidRPr="00D80BA0" w:rsidRDefault="00F249AD" w:rsidP="00D80BA0">
      <w:pPr>
        <w:contextualSpacing/>
        <w:jc w:val="both"/>
        <w:rPr>
          <w:rFonts w:asciiTheme="minorHAnsi" w:hAnsiTheme="minorHAnsi" w:cstheme="minorHAnsi"/>
          <w:sz w:val="22"/>
          <w:szCs w:val="22"/>
        </w:rPr>
      </w:pPr>
    </w:p>
    <w:p w14:paraId="3E181F7F" w14:textId="7B5B14D0" w:rsidR="005C2E8C" w:rsidRPr="00D80BA0" w:rsidRDefault="005C2E8C" w:rsidP="00D80BA0">
      <w:pPr>
        <w:contextualSpacing/>
        <w:rPr>
          <w:rFonts w:asciiTheme="minorHAnsi" w:hAnsiTheme="minorHAnsi" w:cstheme="minorHAnsi"/>
          <w:sz w:val="22"/>
          <w:szCs w:val="22"/>
          <w:u w:val="single"/>
        </w:rPr>
      </w:pPr>
      <w:r w:rsidRPr="00D80BA0">
        <w:rPr>
          <w:rFonts w:asciiTheme="minorHAnsi" w:hAnsiTheme="minorHAnsi" w:cstheme="minorHAnsi"/>
          <w:sz w:val="22"/>
          <w:szCs w:val="22"/>
          <w:u w:val="single"/>
        </w:rPr>
        <w:t>1.3.2 Skin Integrity (pressure damage)</w:t>
      </w:r>
    </w:p>
    <w:p w14:paraId="3E7D2041" w14:textId="76D747AA" w:rsidR="005C2E8C" w:rsidRPr="00D80BA0" w:rsidRDefault="005C2E8C"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Since July 2016 57% of the reported pressure ulcers have been categorised as being inherited, rather</w:t>
      </w:r>
      <w:r w:rsidR="00E43DF3" w:rsidRPr="00D80BA0">
        <w:rPr>
          <w:rFonts w:asciiTheme="minorHAnsi" w:hAnsiTheme="minorHAnsi" w:cstheme="minorHAnsi"/>
          <w:sz w:val="22"/>
          <w:szCs w:val="22"/>
        </w:rPr>
        <w:t xml:space="preserve"> than being acquired/developed whilst receiving treatment from our services</w:t>
      </w:r>
      <w:r w:rsidRPr="00D80BA0">
        <w:rPr>
          <w:rFonts w:asciiTheme="minorHAnsi" w:hAnsiTheme="minorHAnsi" w:cstheme="minorHAnsi"/>
          <w:sz w:val="22"/>
          <w:szCs w:val="22"/>
        </w:rPr>
        <w:t xml:space="preserve">, in Q1 18/19 </w:t>
      </w:r>
      <w:r w:rsidR="00E43DF3" w:rsidRPr="00D80BA0">
        <w:rPr>
          <w:rFonts w:asciiTheme="minorHAnsi" w:hAnsiTheme="minorHAnsi" w:cstheme="minorHAnsi"/>
          <w:sz w:val="22"/>
          <w:szCs w:val="22"/>
        </w:rPr>
        <w:t xml:space="preserve">- </w:t>
      </w:r>
      <w:r w:rsidRPr="00D80BA0">
        <w:rPr>
          <w:rFonts w:asciiTheme="minorHAnsi" w:hAnsiTheme="minorHAnsi" w:cstheme="minorHAnsi"/>
          <w:sz w:val="22"/>
          <w:szCs w:val="22"/>
        </w:rPr>
        <w:t>70% of the reported pressure ulcers were inherited</w:t>
      </w:r>
      <w:r w:rsidR="00E43DF3" w:rsidRPr="00D80BA0">
        <w:rPr>
          <w:rFonts w:asciiTheme="minorHAnsi" w:hAnsiTheme="minorHAnsi" w:cstheme="minorHAnsi"/>
          <w:sz w:val="22"/>
          <w:szCs w:val="22"/>
        </w:rPr>
        <w:t xml:space="preserve"> (figure 2</w:t>
      </w:r>
      <w:r w:rsidRPr="00D80BA0">
        <w:rPr>
          <w:rFonts w:asciiTheme="minorHAnsi" w:hAnsiTheme="minorHAnsi" w:cstheme="minorHAnsi"/>
          <w:sz w:val="22"/>
          <w:szCs w:val="22"/>
        </w:rPr>
        <w:t>)</w:t>
      </w:r>
      <w:r w:rsidRPr="00D80BA0">
        <w:rPr>
          <w:rFonts w:asciiTheme="minorHAnsi" w:hAnsiTheme="minorHAnsi" w:cstheme="minorHAnsi"/>
          <w:b/>
          <w:bCs/>
          <w:sz w:val="22"/>
          <w:szCs w:val="22"/>
          <w:vertAlign w:val="superscript"/>
        </w:rPr>
        <w:footnoteReference w:id="1"/>
      </w:r>
      <w:r w:rsidRPr="00D80BA0">
        <w:rPr>
          <w:rFonts w:asciiTheme="minorHAnsi" w:hAnsiTheme="minorHAnsi" w:cstheme="minorHAnsi"/>
          <w:sz w:val="22"/>
          <w:szCs w:val="22"/>
        </w:rPr>
        <w:t>.</w:t>
      </w:r>
    </w:p>
    <w:p w14:paraId="3BE548A2" w14:textId="1FE51E58" w:rsidR="00E43DF3" w:rsidRPr="00D80BA0" w:rsidRDefault="00E43DF3" w:rsidP="00D80BA0">
      <w:pPr>
        <w:contextualSpacing/>
        <w:jc w:val="both"/>
        <w:rPr>
          <w:rFonts w:asciiTheme="minorHAnsi" w:hAnsiTheme="minorHAnsi" w:cstheme="minorHAnsi"/>
          <w:sz w:val="22"/>
          <w:szCs w:val="22"/>
        </w:rPr>
      </w:pPr>
    </w:p>
    <w:p w14:paraId="28A4C322" w14:textId="77777777" w:rsidR="00E43DF3" w:rsidRPr="00D80BA0" w:rsidRDefault="00E43DF3" w:rsidP="00D80BA0">
      <w:pPr>
        <w:contextualSpacing/>
        <w:jc w:val="both"/>
        <w:rPr>
          <w:rFonts w:asciiTheme="minorHAnsi" w:eastAsia="Calibri" w:hAnsiTheme="minorHAnsi" w:cstheme="minorHAnsi"/>
          <w:sz w:val="22"/>
          <w:szCs w:val="22"/>
          <w:lang w:eastAsia="en-US"/>
        </w:rPr>
      </w:pPr>
      <w:r w:rsidRPr="00D80BA0">
        <w:rPr>
          <w:rFonts w:asciiTheme="minorHAnsi" w:eastAsia="Calibri" w:hAnsiTheme="minorHAnsi" w:cstheme="minorHAnsi"/>
          <w:noProof/>
          <w:sz w:val="22"/>
          <w:szCs w:val="22"/>
        </w:rPr>
        <w:drawing>
          <wp:inline distT="0" distB="0" distL="0" distR="0" wp14:anchorId="21E5307D" wp14:editId="7081E819">
            <wp:extent cx="6001032" cy="2580527"/>
            <wp:effectExtent l="19050" t="19050" r="19050" b="1079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9746" cy="2597174"/>
                    </a:xfrm>
                    <a:prstGeom prst="rect">
                      <a:avLst/>
                    </a:prstGeom>
                    <a:noFill/>
                    <a:ln>
                      <a:solidFill>
                        <a:sysClr val="windowText" lastClr="000000">
                          <a:lumMod val="50000"/>
                          <a:lumOff val="50000"/>
                        </a:sysClr>
                      </a:solidFill>
                    </a:ln>
                  </pic:spPr>
                </pic:pic>
              </a:graphicData>
            </a:graphic>
          </wp:inline>
        </w:drawing>
      </w:r>
    </w:p>
    <w:p w14:paraId="53DEB57C" w14:textId="77777777" w:rsidR="00E43DF3" w:rsidRPr="00D80BA0" w:rsidRDefault="00E43DF3" w:rsidP="00D80BA0">
      <w:pPr>
        <w:contextualSpacing/>
        <w:jc w:val="both"/>
        <w:rPr>
          <w:rFonts w:asciiTheme="minorHAnsi" w:hAnsiTheme="minorHAnsi" w:cstheme="minorHAnsi"/>
          <w:i/>
          <w:sz w:val="22"/>
          <w:szCs w:val="22"/>
        </w:rPr>
      </w:pPr>
      <w:r w:rsidRPr="00D80BA0">
        <w:rPr>
          <w:rFonts w:asciiTheme="minorHAnsi" w:hAnsiTheme="minorHAnsi" w:cstheme="minorHAnsi"/>
          <w:i/>
          <w:sz w:val="22"/>
          <w:szCs w:val="22"/>
        </w:rPr>
        <w:t>Figure: 2. Incidents of acquired and inherited pressure damage, July 2016 – June 2018</w:t>
      </w:r>
    </w:p>
    <w:p w14:paraId="33C9CEB1" w14:textId="77777777" w:rsidR="00E43DF3" w:rsidRPr="00D80BA0" w:rsidRDefault="00E43DF3" w:rsidP="00D80BA0">
      <w:pPr>
        <w:contextualSpacing/>
        <w:jc w:val="both"/>
        <w:rPr>
          <w:rFonts w:asciiTheme="minorHAnsi" w:hAnsiTheme="minorHAnsi" w:cstheme="minorHAnsi"/>
          <w:sz w:val="22"/>
          <w:szCs w:val="22"/>
        </w:rPr>
      </w:pPr>
    </w:p>
    <w:p w14:paraId="1F95180E" w14:textId="56467A9B" w:rsidR="005C2E8C" w:rsidRPr="00D80BA0" w:rsidRDefault="005C2E8C" w:rsidP="00D80BA0">
      <w:pPr>
        <w:contextualSpacing/>
        <w:jc w:val="both"/>
        <w:rPr>
          <w:rFonts w:asciiTheme="minorHAnsi" w:eastAsia="Calibri" w:hAnsiTheme="minorHAnsi" w:cstheme="minorHAnsi"/>
          <w:sz w:val="22"/>
          <w:szCs w:val="22"/>
          <w:lang w:eastAsia="en-US"/>
        </w:rPr>
      </w:pPr>
      <w:r w:rsidRPr="00D80BA0">
        <w:rPr>
          <w:rFonts w:asciiTheme="minorHAnsi" w:eastAsia="Calibri" w:hAnsiTheme="minorHAnsi" w:cstheme="minorHAnsi"/>
          <w:sz w:val="22"/>
          <w:szCs w:val="22"/>
          <w:lang w:eastAsia="en-US"/>
        </w:rPr>
        <w:t xml:space="preserve">In 2017/18, the Trust achieved a notable reduction in the number of serious acquired pressure ulcers with lapses in care. There were 7 acquired category 3 or 4 pressure ulcers with lapses in care in 2017/18 compared to a total of 21 in 2016/17 and 28 in 2015/16. </w:t>
      </w:r>
      <w:r w:rsidR="00E43DF3" w:rsidRPr="00D80BA0">
        <w:rPr>
          <w:rFonts w:asciiTheme="minorHAnsi" w:eastAsia="Calibri" w:hAnsiTheme="minorHAnsi" w:cstheme="minorHAnsi"/>
          <w:sz w:val="22"/>
          <w:szCs w:val="22"/>
          <w:lang w:eastAsia="en-US"/>
        </w:rPr>
        <w:t xml:space="preserve">This is as a result of long term improvement work to increase the early identification and care planning particularly on lower grade damage, provide education to patients </w:t>
      </w:r>
      <w:r w:rsidR="00E43DF3" w:rsidRPr="00D80BA0">
        <w:rPr>
          <w:rFonts w:asciiTheme="minorHAnsi" w:eastAsia="Calibri" w:hAnsiTheme="minorHAnsi" w:cstheme="minorHAnsi"/>
          <w:sz w:val="22"/>
          <w:szCs w:val="22"/>
          <w:lang w:eastAsia="en-US"/>
        </w:rPr>
        <w:lastRenderedPageBreak/>
        <w:t>and their carers, focus work on prevention, update the handover process and improve staff training and quick time learning.</w:t>
      </w:r>
    </w:p>
    <w:p w14:paraId="35C887B6" w14:textId="77777777" w:rsidR="005C2E8C" w:rsidRPr="00D80BA0" w:rsidRDefault="005C2E8C" w:rsidP="00D80BA0">
      <w:pPr>
        <w:contextualSpacing/>
        <w:jc w:val="both"/>
        <w:rPr>
          <w:rFonts w:asciiTheme="minorHAnsi" w:eastAsia="Calibri" w:hAnsiTheme="minorHAnsi" w:cstheme="minorHAnsi"/>
          <w:sz w:val="22"/>
          <w:szCs w:val="22"/>
          <w:lang w:eastAsia="en-US"/>
        </w:rPr>
      </w:pPr>
    </w:p>
    <w:p w14:paraId="7B75F312" w14:textId="2C11AD20" w:rsidR="00F249AD" w:rsidRPr="00D80BA0" w:rsidRDefault="005C2E8C" w:rsidP="00D80BA0">
      <w:pPr>
        <w:contextualSpacing/>
        <w:jc w:val="both"/>
        <w:rPr>
          <w:rFonts w:asciiTheme="minorHAnsi" w:eastAsia="Calibri" w:hAnsiTheme="minorHAnsi" w:cstheme="minorHAnsi"/>
          <w:sz w:val="22"/>
          <w:szCs w:val="22"/>
          <w:lang w:eastAsia="en-US"/>
        </w:rPr>
      </w:pPr>
      <w:r w:rsidRPr="00D80BA0">
        <w:rPr>
          <w:rFonts w:asciiTheme="minorHAnsi" w:eastAsia="Calibri" w:hAnsiTheme="minorHAnsi" w:cstheme="minorHAnsi"/>
          <w:sz w:val="22"/>
          <w:szCs w:val="22"/>
          <w:lang w:eastAsia="en-US"/>
        </w:rPr>
        <w:t>Of the 154 acquired pressure ulcers reported in Q1, 46 were graded as major. Lapses in care were reported for 6 incidents (5 in 5 different District Nursing teams and 1 in Podiatry), and 2 of these are being investigated as serious incidents, both in District Nursing</w:t>
      </w:r>
      <w:r w:rsidR="00E43DF3" w:rsidRPr="00D80BA0">
        <w:rPr>
          <w:rFonts w:asciiTheme="minorHAnsi" w:eastAsia="Calibri" w:hAnsiTheme="minorHAnsi" w:cstheme="minorHAnsi"/>
          <w:sz w:val="22"/>
          <w:szCs w:val="22"/>
          <w:lang w:eastAsia="en-US"/>
        </w:rPr>
        <w:t xml:space="preserve"> service</w:t>
      </w:r>
      <w:r w:rsidRPr="00D80BA0">
        <w:rPr>
          <w:rFonts w:asciiTheme="minorHAnsi" w:eastAsia="Calibri" w:hAnsiTheme="minorHAnsi" w:cstheme="minorHAnsi"/>
          <w:sz w:val="22"/>
          <w:szCs w:val="22"/>
          <w:lang w:eastAsia="en-US"/>
        </w:rPr>
        <w:t xml:space="preserve">. </w:t>
      </w:r>
    </w:p>
    <w:p w14:paraId="3BE7733C" w14:textId="77777777" w:rsidR="00F249AD" w:rsidRPr="00D80BA0" w:rsidRDefault="00F249AD" w:rsidP="00D80BA0">
      <w:pPr>
        <w:contextualSpacing/>
        <w:jc w:val="both"/>
        <w:rPr>
          <w:rFonts w:asciiTheme="minorHAnsi" w:hAnsiTheme="minorHAnsi" w:cstheme="minorHAnsi"/>
          <w:sz w:val="22"/>
          <w:szCs w:val="22"/>
        </w:rPr>
      </w:pPr>
    </w:p>
    <w:p w14:paraId="4E3113F2" w14:textId="79E8A42D" w:rsidR="003B42D0" w:rsidRPr="00D80BA0" w:rsidRDefault="000653C9" w:rsidP="00D80BA0">
      <w:pPr>
        <w:contextualSpacing/>
        <w:jc w:val="both"/>
        <w:rPr>
          <w:rFonts w:asciiTheme="minorHAnsi" w:hAnsiTheme="minorHAnsi" w:cstheme="minorHAnsi"/>
          <w:sz w:val="22"/>
          <w:szCs w:val="22"/>
          <w:u w:val="single"/>
        </w:rPr>
      </w:pPr>
      <w:r w:rsidRPr="00D80BA0">
        <w:rPr>
          <w:rFonts w:asciiTheme="minorHAnsi" w:hAnsiTheme="minorHAnsi" w:cstheme="minorHAnsi"/>
          <w:sz w:val="22"/>
          <w:szCs w:val="22"/>
          <w:u w:val="single"/>
        </w:rPr>
        <w:t>1.4 RIDDOR reportable incidents (staff injured at work)</w:t>
      </w:r>
    </w:p>
    <w:p w14:paraId="4232776B" w14:textId="1EAC5870" w:rsidR="000653C9" w:rsidRPr="00D80BA0" w:rsidRDefault="000653C9" w:rsidP="00D80BA0">
      <w:pPr>
        <w:contextualSpacing/>
        <w:jc w:val="both"/>
        <w:rPr>
          <w:rFonts w:asciiTheme="minorHAnsi" w:eastAsiaTheme="minorHAnsi" w:hAnsiTheme="minorHAnsi" w:cstheme="minorHAnsi"/>
          <w:sz w:val="22"/>
          <w:szCs w:val="22"/>
          <w:lang w:eastAsia="en-US"/>
        </w:rPr>
      </w:pPr>
      <w:r w:rsidRPr="00D80BA0">
        <w:rPr>
          <w:rFonts w:asciiTheme="minorHAnsi" w:eastAsiaTheme="minorHAnsi" w:hAnsiTheme="minorHAnsi" w:cstheme="minorHAnsi"/>
          <w:sz w:val="22"/>
          <w:szCs w:val="22"/>
          <w:lang w:eastAsia="en-US"/>
        </w:rPr>
        <w:t xml:space="preserve">In Q1 2018/19 six RIDDOR incidents were reported where staff were injured at work and off sick for more than 7 days, </w:t>
      </w:r>
      <w:r w:rsidRPr="000653C9">
        <w:rPr>
          <w:rFonts w:asciiTheme="minorHAnsi" w:eastAsiaTheme="minorHAnsi" w:hAnsiTheme="minorHAnsi" w:cstheme="minorHAnsi"/>
          <w:sz w:val="22"/>
          <w:szCs w:val="22"/>
          <w:lang w:eastAsia="en-US"/>
        </w:rPr>
        <w:t>with 4 of these incidents occurring in the quarter before</w:t>
      </w:r>
      <w:r w:rsidR="00283BC9" w:rsidRPr="00D80BA0">
        <w:rPr>
          <w:rFonts w:asciiTheme="minorHAnsi" w:eastAsiaTheme="minorHAnsi" w:hAnsiTheme="minorHAnsi" w:cstheme="minorHAnsi"/>
          <w:sz w:val="22"/>
          <w:szCs w:val="22"/>
          <w:lang w:eastAsia="en-US"/>
        </w:rPr>
        <w:t xml:space="preserve"> (Feb and March 2018)</w:t>
      </w:r>
      <w:r w:rsidRPr="000653C9">
        <w:rPr>
          <w:rFonts w:asciiTheme="minorHAnsi" w:eastAsiaTheme="minorHAnsi" w:hAnsiTheme="minorHAnsi" w:cstheme="minorHAnsi"/>
          <w:sz w:val="22"/>
          <w:szCs w:val="22"/>
          <w:lang w:eastAsia="en-US"/>
        </w:rPr>
        <w:t xml:space="preserve">. One of the incidents was reportable for two members of staff as both sustained injuries that resulted in them being off work for more than 7 days. </w:t>
      </w:r>
      <w:r w:rsidRPr="00D80BA0">
        <w:rPr>
          <w:rFonts w:asciiTheme="minorHAnsi" w:eastAsiaTheme="minorHAnsi" w:hAnsiTheme="minorHAnsi" w:cstheme="minorHAnsi"/>
          <w:sz w:val="22"/>
          <w:szCs w:val="22"/>
          <w:lang w:eastAsia="en-US"/>
        </w:rPr>
        <w:t xml:space="preserve">Out of the 6 incidents, 4 were due to violence and aggression from patients and 2 were as a result of manual handling. </w:t>
      </w:r>
    </w:p>
    <w:p w14:paraId="25B4C45C" w14:textId="38D76A39" w:rsidR="000653C9" w:rsidRPr="000653C9" w:rsidRDefault="000653C9" w:rsidP="00D80BA0">
      <w:pPr>
        <w:contextualSpacing/>
        <w:jc w:val="both"/>
        <w:rPr>
          <w:rFonts w:asciiTheme="minorHAnsi" w:eastAsiaTheme="minorHAnsi" w:hAnsiTheme="minorHAnsi" w:cstheme="minorHAnsi"/>
          <w:sz w:val="22"/>
          <w:szCs w:val="22"/>
          <w:lang w:eastAsia="en-US"/>
        </w:rPr>
      </w:pPr>
      <w:r w:rsidRPr="000653C9">
        <w:rPr>
          <w:rFonts w:asciiTheme="minorHAnsi" w:eastAsiaTheme="minorHAnsi" w:hAnsiTheme="minorHAnsi" w:cstheme="minorHAnsi"/>
          <w:sz w:val="22"/>
          <w:szCs w:val="22"/>
          <w:lang w:eastAsia="en-US"/>
        </w:rPr>
        <w:t xml:space="preserve">Of all RIDDOR incidents since April 2016 </w:t>
      </w:r>
      <w:r w:rsidR="00E43DF3" w:rsidRPr="00D80BA0">
        <w:rPr>
          <w:rFonts w:asciiTheme="minorHAnsi" w:eastAsiaTheme="minorHAnsi" w:hAnsiTheme="minorHAnsi" w:cstheme="minorHAnsi"/>
          <w:sz w:val="22"/>
          <w:szCs w:val="22"/>
          <w:lang w:eastAsia="en-US"/>
        </w:rPr>
        <w:t>(see figure 3</w:t>
      </w:r>
      <w:r w:rsidR="00283BC9" w:rsidRPr="00D80BA0">
        <w:rPr>
          <w:rFonts w:asciiTheme="minorHAnsi" w:eastAsiaTheme="minorHAnsi" w:hAnsiTheme="minorHAnsi" w:cstheme="minorHAnsi"/>
          <w:sz w:val="22"/>
          <w:szCs w:val="22"/>
          <w:lang w:eastAsia="en-US"/>
        </w:rPr>
        <w:t xml:space="preserve">), </w:t>
      </w:r>
      <w:r w:rsidRPr="000653C9">
        <w:rPr>
          <w:rFonts w:asciiTheme="minorHAnsi" w:eastAsiaTheme="minorHAnsi" w:hAnsiTheme="minorHAnsi" w:cstheme="minorHAnsi"/>
          <w:sz w:val="22"/>
          <w:szCs w:val="22"/>
          <w:lang w:eastAsia="en-US"/>
        </w:rPr>
        <w:t>52% have been Violence/Aggression (33 of 63), 30% have been fall Related (n=19) and 16% (n=10) were manual handling. 14</w:t>
      </w:r>
      <w:r w:rsidR="00283BC9" w:rsidRPr="00D80BA0">
        <w:rPr>
          <w:rFonts w:asciiTheme="minorHAnsi" w:eastAsiaTheme="minorHAnsi" w:hAnsiTheme="minorHAnsi" w:cstheme="minorHAnsi"/>
          <w:sz w:val="22"/>
          <w:szCs w:val="22"/>
          <w:lang w:eastAsia="en-US"/>
        </w:rPr>
        <w:t xml:space="preserve">/ </w:t>
      </w:r>
      <w:r w:rsidRPr="000653C9">
        <w:rPr>
          <w:rFonts w:asciiTheme="minorHAnsi" w:eastAsiaTheme="minorHAnsi" w:hAnsiTheme="minorHAnsi" w:cstheme="minorHAnsi"/>
          <w:sz w:val="22"/>
          <w:szCs w:val="22"/>
          <w:lang w:eastAsia="en-US"/>
        </w:rPr>
        <w:t>63 incidents</w:t>
      </w:r>
      <w:r w:rsidR="00283BC9" w:rsidRPr="00D80BA0">
        <w:rPr>
          <w:rFonts w:asciiTheme="minorHAnsi" w:eastAsiaTheme="minorHAnsi" w:hAnsiTheme="minorHAnsi" w:cstheme="minorHAnsi"/>
          <w:sz w:val="22"/>
          <w:szCs w:val="22"/>
          <w:lang w:eastAsia="en-US"/>
        </w:rPr>
        <w:t xml:space="preserve"> have occurred on a</w:t>
      </w:r>
      <w:r w:rsidRPr="000653C9">
        <w:rPr>
          <w:rFonts w:asciiTheme="minorHAnsi" w:eastAsiaTheme="minorHAnsi" w:hAnsiTheme="minorHAnsi" w:cstheme="minorHAnsi"/>
          <w:sz w:val="22"/>
          <w:szCs w:val="22"/>
          <w:lang w:eastAsia="en-US"/>
        </w:rPr>
        <w:t xml:space="preserve">dult acute mental health wards, eight </w:t>
      </w:r>
      <w:r w:rsidR="00283BC9" w:rsidRPr="00D80BA0">
        <w:rPr>
          <w:rFonts w:asciiTheme="minorHAnsi" w:eastAsiaTheme="minorHAnsi" w:hAnsiTheme="minorHAnsi" w:cstheme="minorHAnsi"/>
          <w:sz w:val="22"/>
          <w:szCs w:val="22"/>
          <w:lang w:eastAsia="en-US"/>
        </w:rPr>
        <w:t>on o</w:t>
      </w:r>
      <w:r w:rsidRPr="000653C9">
        <w:rPr>
          <w:rFonts w:asciiTheme="minorHAnsi" w:eastAsiaTheme="minorHAnsi" w:hAnsiTheme="minorHAnsi" w:cstheme="minorHAnsi"/>
          <w:sz w:val="22"/>
          <w:szCs w:val="22"/>
          <w:lang w:eastAsia="en-US"/>
        </w:rPr>
        <w:t xml:space="preserve">lder </w:t>
      </w:r>
      <w:r w:rsidR="0022773F" w:rsidRPr="00D80BA0">
        <w:rPr>
          <w:rFonts w:asciiTheme="minorHAnsi" w:eastAsiaTheme="minorHAnsi" w:hAnsiTheme="minorHAnsi" w:cstheme="minorHAnsi"/>
          <w:sz w:val="22"/>
          <w:szCs w:val="22"/>
          <w:lang w:eastAsia="en-US"/>
        </w:rPr>
        <w:t>people</w:t>
      </w:r>
      <w:r w:rsidRPr="000653C9">
        <w:rPr>
          <w:rFonts w:asciiTheme="minorHAnsi" w:eastAsiaTheme="minorHAnsi" w:hAnsiTheme="minorHAnsi" w:cstheme="minorHAnsi"/>
          <w:sz w:val="22"/>
          <w:szCs w:val="22"/>
          <w:lang w:eastAsia="en-US"/>
        </w:rPr>
        <w:t xml:space="preserve"> mental health wards, and five in the learning disability services (since</w:t>
      </w:r>
      <w:r w:rsidR="00283BC9" w:rsidRPr="00D80BA0">
        <w:rPr>
          <w:rFonts w:asciiTheme="minorHAnsi" w:eastAsiaTheme="minorHAnsi" w:hAnsiTheme="minorHAnsi" w:cstheme="minorHAnsi"/>
          <w:sz w:val="22"/>
          <w:szCs w:val="22"/>
          <w:lang w:eastAsia="en-US"/>
        </w:rPr>
        <w:t xml:space="preserve"> taking on the service in</w:t>
      </w:r>
      <w:r w:rsidRPr="000653C9">
        <w:rPr>
          <w:rFonts w:asciiTheme="minorHAnsi" w:eastAsiaTheme="minorHAnsi" w:hAnsiTheme="minorHAnsi" w:cstheme="minorHAnsi"/>
          <w:sz w:val="22"/>
          <w:szCs w:val="22"/>
          <w:lang w:eastAsia="en-US"/>
        </w:rPr>
        <w:t xml:space="preserve"> July 2017), with 4/5 of these on the forensic LD ward, Evenlode.</w:t>
      </w:r>
    </w:p>
    <w:p w14:paraId="27085CD0" w14:textId="77777777" w:rsidR="000653C9" w:rsidRPr="00D80BA0" w:rsidRDefault="000653C9" w:rsidP="00D80BA0">
      <w:pPr>
        <w:contextualSpacing/>
        <w:jc w:val="both"/>
        <w:rPr>
          <w:rFonts w:asciiTheme="minorHAnsi" w:eastAsiaTheme="minorHAnsi" w:hAnsiTheme="minorHAnsi" w:cstheme="minorHAnsi"/>
          <w:sz w:val="22"/>
          <w:szCs w:val="22"/>
          <w:lang w:eastAsia="en-US"/>
        </w:rPr>
      </w:pPr>
    </w:p>
    <w:p w14:paraId="1322654D" w14:textId="1C8B4CA7" w:rsidR="000653C9" w:rsidRPr="000653C9" w:rsidRDefault="000653C9" w:rsidP="00D80BA0">
      <w:pPr>
        <w:contextualSpacing/>
        <w:jc w:val="both"/>
        <w:rPr>
          <w:rFonts w:asciiTheme="minorHAnsi" w:eastAsiaTheme="minorHAnsi" w:hAnsiTheme="minorHAnsi" w:cstheme="minorHAnsi"/>
          <w:sz w:val="22"/>
          <w:szCs w:val="22"/>
          <w:lang w:eastAsia="en-US"/>
        </w:rPr>
      </w:pPr>
      <w:r w:rsidRPr="00D80BA0">
        <w:rPr>
          <w:rFonts w:asciiTheme="minorHAnsi" w:hAnsiTheme="minorHAnsi" w:cstheme="minorHAnsi"/>
          <w:sz w:val="22"/>
          <w:szCs w:val="22"/>
        </w:rPr>
        <w:t>The health, safety and security manager contacts each member of staff when they return from a RIDDOR reportable sickness to offer a debrief, support and guidance.</w:t>
      </w:r>
    </w:p>
    <w:p w14:paraId="2E18A505" w14:textId="77777777" w:rsidR="00283BC9" w:rsidRPr="00283BC9" w:rsidRDefault="00283BC9" w:rsidP="00D80BA0">
      <w:pPr>
        <w:contextualSpacing/>
        <w:jc w:val="both"/>
        <w:rPr>
          <w:rFonts w:asciiTheme="minorHAnsi" w:eastAsiaTheme="minorHAnsi" w:hAnsiTheme="minorHAnsi" w:cstheme="minorHAnsi"/>
          <w:sz w:val="22"/>
          <w:szCs w:val="22"/>
          <w:lang w:eastAsia="en-US"/>
        </w:rPr>
      </w:pPr>
      <w:r w:rsidRPr="00283BC9">
        <w:rPr>
          <w:rFonts w:asciiTheme="minorHAnsi" w:eastAsiaTheme="minorHAnsi" w:hAnsiTheme="minorHAnsi" w:cstheme="minorHAnsi"/>
          <w:noProof/>
          <w:sz w:val="22"/>
          <w:szCs w:val="22"/>
        </w:rPr>
        <w:drawing>
          <wp:inline distT="0" distB="0" distL="0" distR="0" wp14:anchorId="7161A76D" wp14:editId="4A60F078">
            <wp:extent cx="6317615" cy="297451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9888" cy="2980290"/>
                    </a:xfrm>
                    <a:prstGeom prst="rect">
                      <a:avLst/>
                    </a:prstGeom>
                    <a:noFill/>
                  </pic:spPr>
                </pic:pic>
              </a:graphicData>
            </a:graphic>
          </wp:inline>
        </w:drawing>
      </w:r>
    </w:p>
    <w:p w14:paraId="027F86C3" w14:textId="59E31EC1" w:rsidR="00283BC9" w:rsidRPr="00283BC9" w:rsidRDefault="00E43DF3" w:rsidP="00D80BA0">
      <w:pPr>
        <w:contextualSpacing/>
        <w:jc w:val="both"/>
        <w:rPr>
          <w:rFonts w:asciiTheme="minorHAnsi" w:eastAsiaTheme="minorHAnsi" w:hAnsiTheme="minorHAnsi" w:cstheme="minorHAnsi"/>
          <w:sz w:val="22"/>
          <w:szCs w:val="22"/>
          <w:lang w:eastAsia="en-US"/>
        </w:rPr>
      </w:pPr>
      <w:r w:rsidRPr="00D80BA0">
        <w:rPr>
          <w:rFonts w:asciiTheme="minorHAnsi" w:eastAsiaTheme="minorHAnsi" w:hAnsiTheme="minorHAnsi" w:cstheme="minorHAnsi"/>
          <w:sz w:val="22"/>
          <w:szCs w:val="22"/>
          <w:lang w:eastAsia="en-US"/>
        </w:rPr>
        <w:t>Figure 3</w:t>
      </w:r>
      <w:r w:rsidR="00283BC9" w:rsidRPr="00D80BA0">
        <w:rPr>
          <w:rFonts w:asciiTheme="minorHAnsi" w:eastAsiaTheme="minorHAnsi" w:hAnsiTheme="minorHAnsi" w:cstheme="minorHAnsi"/>
          <w:sz w:val="22"/>
          <w:szCs w:val="22"/>
          <w:lang w:eastAsia="en-US"/>
        </w:rPr>
        <w:t>.</w:t>
      </w:r>
      <w:r w:rsidR="00283BC9" w:rsidRPr="00283BC9">
        <w:rPr>
          <w:rFonts w:asciiTheme="minorHAnsi" w:eastAsiaTheme="minorHAnsi" w:hAnsiTheme="minorHAnsi" w:cstheme="minorHAnsi"/>
          <w:sz w:val="22"/>
          <w:szCs w:val="22"/>
          <w:lang w:eastAsia="en-US"/>
        </w:rPr>
        <w:t xml:space="preserve"> Number of incidents that have resulted in RIDDORS, based on reported date of the incident on Ulysses, from 01.04.15– 30.06.18</w:t>
      </w:r>
    </w:p>
    <w:p w14:paraId="3C34E0AC" w14:textId="05B81484" w:rsidR="00D01595" w:rsidRPr="00D80BA0" w:rsidRDefault="00D01595" w:rsidP="00D80BA0">
      <w:pPr>
        <w:contextualSpacing/>
        <w:jc w:val="both"/>
        <w:rPr>
          <w:rFonts w:asciiTheme="minorHAnsi" w:hAnsiTheme="minorHAnsi" w:cstheme="minorHAnsi"/>
          <w:sz w:val="22"/>
          <w:szCs w:val="22"/>
        </w:rPr>
      </w:pPr>
    </w:p>
    <w:p w14:paraId="1338720A" w14:textId="7B5E1236" w:rsidR="00194E35" w:rsidRPr="00D80BA0" w:rsidRDefault="00F71024" w:rsidP="00D80BA0">
      <w:pPr>
        <w:contextualSpacing/>
        <w:rPr>
          <w:rFonts w:asciiTheme="minorHAnsi" w:hAnsiTheme="minorHAnsi" w:cstheme="minorHAnsi"/>
          <w:b/>
          <w:sz w:val="22"/>
          <w:szCs w:val="22"/>
          <w:u w:val="single"/>
        </w:rPr>
      </w:pPr>
      <w:r w:rsidRPr="00D80BA0">
        <w:rPr>
          <w:rFonts w:asciiTheme="minorHAnsi" w:hAnsiTheme="minorHAnsi" w:cstheme="minorHAnsi"/>
          <w:b/>
          <w:sz w:val="22"/>
          <w:szCs w:val="22"/>
          <w:u w:val="single"/>
        </w:rPr>
        <w:t>2.0 Restrictive Practic</w:t>
      </w:r>
      <w:r w:rsidR="00194E35" w:rsidRPr="00D80BA0">
        <w:rPr>
          <w:rFonts w:asciiTheme="minorHAnsi" w:hAnsiTheme="minorHAnsi" w:cstheme="minorHAnsi"/>
          <w:b/>
          <w:sz w:val="22"/>
          <w:szCs w:val="22"/>
          <w:u w:val="single"/>
        </w:rPr>
        <w:t>e</w:t>
      </w:r>
    </w:p>
    <w:p w14:paraId="777B9876" w14:textId="77777777" w:rsidR="00194E35" w:rsidRPr="00D80BA0" w:rsidRDefault="00194E35" w:rsidP="00D80BA0">
      <w:pPr>
        <w:contextualSpacing/>
        <w:jc w:val="both"/>
        <w:rPr>
          <w:rFonts w:asciiTheme="minorHAnsi" w:eastAsia="Calibri" w:hAnsiTheme="minorHAnsi" w:cstheme="minorHAnsi"/>
          <w:sz w:val="22"/>
          <w:szCs w:val="22"/>
          <w:lang w:eastAsia="en-US"/>
        </w:rPr>
      </w:pPr>
      <w:r w:rsidRPr="00D80BA0">
        <w:rPr>
          <w:rFonts w:asciiTheme="minorHAnsi" w:eastAsia="Calibri" w:hAnsiTheme="minorHAnsi" w:cstheme="minorHAnsi"/>
          <w:sz w:val="22"/>
          <w:szCs w:val="22"/>
          <w:lang w:eastAsia="en-US"/>
        </w:rPr>
        <w:t>The use of restrictive practice is reported to the weekly clinical review meeting and then on exception to the Executive Team. The most common reasons for using restraint continues to be violence and aggression on staff or self-harm.</w:t>
      </w:r>
    </w:p>
    <w:p w14:paraId="5B94D4DC" w14:textId="77777777" w:rsidR="00194E35" w:rsidRPr="00D80BA0" w:rsidRDefault="00194E35" w:rsidP="00D80BA0">
      <w:pPr>
        <w:contextualSpacing/>
        <w:rPr>
          <w:rFonts w:asciiTheme="minorHAnsi" w:hAnsiTheme="minorHAnsi" w:cstheme="minorHAnsi"/>
          <w:b/>
          <w:sz w:val="22"/>
          <w:szCs w:val="22"/>
          <w:u w:val="single"/>
        </w:rPr>
      </w:pPr>
    </w:p>
    <w:p w14:paraId="77B6EEA2" w14:textId="77777777" w:rsidR="00194E35" w:rsidRPr="00D80BA0" w:rsidRDefault="00194E35" w:rsidP="00D80BA0">
      <w:pPr>
        <w:contextualSpacing/>
        <w:jc w:val="both"/>
        <w:rPr>
          <w:rFonts w:asciiTheme="minorHAnsi" w:eastAsia="Calibri" w:hAnsiTheme="minorHAnsi" w:cstheme="minorHAnsi"/>
          <w:sz w:val="22"/>
          <w:szCs w:val="22"/>
          <w:u w:val="single"/>
          <w:lang w:eastAsia="en-US"/>
        </w:rPr>
      </w:pPr>
      <w:r w:rsidRPr="00D80BA0">
        <w:rPr>
          <w:rFonts w:asciiTheme="minorHAnsi" w:eastAsia="Calibri" w:hAnsiTheme="minorHAnsi" w:cstheme="minorHAnsi"/>
          <w:sz w:val="22"/>
          <w:szCs w:val="22"/>
          <w:u w:val="single"/>
          <w:lang w:eastAsia="en-US"/>
        </w:rPr>
        <w:t>2.1 Trends</w:t>
      </w:r>
    </w:p>
    <w:p w14:paraId="3FEDC093" w14:textId="3F69810D" w:rsidR="00194E35" w:rsidRPr="00D80BA0" w:rsidRDefault="00194E35" w:rsidP="00D80BA0">
      <w:pPr>
        <w:contextualSpacing/>
        <w:rPr>
          <w:rFonts w:asciiTheme="minorHAnsi" w:hAnsiTheme="minorHAnsi" w:cstheme="minorHAnsi"/>
          <w:noProof/>
          <w:sz w:val="22"/>
          <w:szCs w:val="22"/>
        </w:rPr>
      </w:pPr>
      <w:r w:rsidRPr="00D80BA0">
        <w:rPr>
          <w:rFonts w:asciiTheme="minorHAnsi" w:hAnsiTheme="minorHAnsi" w:cstheme="minorHAnsi"/>
          <w:noProof/>
          <w:sz w:val="22"/>
          <w:szCs w:val="22"/>
        </w:rPr>
        <w:t>Reductions in the use of restraint have been seen in both the adult and older people directorate since April 2015, whereas no o</w:t>
      </w:r>
      <w:r w:rsidR="0050648F" w:rsidRPr="00D80BA0">
        <w:rPr>
          <w:rFonts w:asciiTheme="minorHAnsi" w:hAnsiTheme="minorHAnsi" w:cstheme="minorHAnsi"/>
          <w:noProof/>
          <w:sz w:val="22"/>
          <w:szCs w:val="22"/>
        </w:rPr>
        <w:t>verall change has been seen in children and young people</w:t>
      </w:r>
      <w:r w:rsidRPr="00D80BA0">
        <w:rPr>
          <w:rFonts w:asciiTheme="minorHAnsi" w:hAnsiTheme="minorHAnsi" w:cstheme="minorHAnsi"/>
          <w:noProof/>
          <w:sz w:val="22"/>
          <w:szCs w:val="22"/>
        </w:rPr>
        <w:t xml:space="preserve"> (although below average numbers were reported between November 2017 and April 2018). </w:t>
      </w:r>
    </w:p>
    <w:p w14:paraId="4D889362" w14:textId="77777777" w:rsidR="0050648F" w:rsidRPr="00D80BA0" w:rsidRDefault="0050648F" w:rsidP="00D80BA0">
      <w:pPr>
        <w:contextualSpacing/>
        <w:rPr>
          <w:rFonts w:asciiTheme="minorHAnsi" w:hAnsiTheme="minorHAnsi" w:cstheme="minorHAnsi"/>
          <w:noProof/>
          <w:sz w:val="22"/>
          <w:szCs w:val="22"/>
        </w:rPr>
      </w:pPr>
    </w:p>
    <w:p w14:paraId="1F01ADD5" w14:textId="7C78410B" w:rsidR="00194E35" w:rsidRPr="00D80BA0" w:rsidRDefault="0050648F" w:rsidP="00D80BA0">
      <w:pPr>
        <w:contextualSpacing/>
        <w:rPr>
          <w:rFonts w:asciiTheme="minorHAnsi" w:hAnsiTheme="minorHAnsi" w:cstheme="minorHAnsi"/>
          <w:noProof/>
          <w:sz w:val="22"/>
          <w:szCs w:val="22"/>
        </w:rPr>
      </w:pPr>
      <w:r w:rsidRPr="00D80BA0">
        <w:rPr>
          <w:rFonts w:asciiTheme="minorHAnsi" w:hAnsiTheme="minorHAnsi" w:cstheme="minorHAnsi"/>
          <w:noProof/>
          <w:sz w:val="22"/>
          <w:szCs w:val="22"/>
        </w:rPr>
        <w:t>In the a</w:t>
      </w:r>
      <w:r w:rsidR="00194E35" w:rsidRPr="00D80BA0">
        <w:rPr>
          <w:rFonts w:asciiTheme="minorHAnsi" w:hAnsiTheme="minorHAnsi" w:cstheme="minorHAnsi"/>
          <w:noProof/>
          <w:sz w:val="22"/>
          <w:szCs w:val="22"/>
        </w:rPr>
        <w:t>dult directorate the reduction was seen in 2016 and numbers have remained consta</w:t>
      </w:r>
      <w:r w:rsidRPr="00D80BA0">
        <w:rPr>
          <w:rFonts w:asciiTheme="minorHAnsi" w:hAnsiTheme="minorHAnsi" w:cstheme="minorHAnsi"/>
          <w:noProof/>
          <w:sz w:val="22"/>
          <w:szCs w:val="22"/>
        </w:rPr>
        <w:t>nt since then, whereas, in the o</w:t>
      </w:r>
      <w:r w:rsidR="00194E35" w:rsidRPr="00D80BA0">
        <w:rPr>
          <w:rFonts w:asciiTheme="minorHAnsi" w:hAnsiTheme="minorHAnsi" w:cstheme="minorHAnsi"/>
          <w:noProof/>
          <w:sz w:val="22"/>
          <w:szCs w:val="22"/>
        </w:rPr>
        <w:t>lder adult directorate the reduction was seen in August 2017, this was as a result in a decrease in incidents involving restraint on Sandford ward. The</w:t>
      </w:r>
      <w:r w:rsidRPr="00D80BA0">
        <w:rPr>
          <w:rFonts w:asciiTheme="minorHAnsi" w:hAnsiTheme="minorHAnsi" w:cstheme="minorHAnsi"/>
          <w:noProof/>
          <w:sz w:val="22"/>
          <w:szCs w:val="22"/>
        </w:rPr>
        <w:t xml:space="preserve"> increase in restraints in the children and young p</w:t>
      </w:r>
      <w:r w:rsidR="00194E35" w:rsidRPr="00D80BA0">
        <w:rPr>
          <w:rFonts w:asciiTheme="minorHAnsi" w:hAnsiTheme="minorHAnsi" w:cstheme="minorHAnsi"/>
          <w:noProof/>
          <w:sz w:val="22"/>
          <w:szCs w:val="22"/>
        </w:rPr>
        <w:t>eople directorate in Q1 seems to be a result of</w:t>
      </w:r>
      <w:r w:rsidRPr="00D80BA0">
        <w:rPr>
          <w:rFonts w:asciiTheme="minorHAnsi" w:hAnsiTheme="minorHAnsi" w:cstheme="minorHAnsi"/>
          <w:noProof/>
          <w:sz w:val="22"/>
          <w:szCs w:val="22"/>
        </w:rPr>
        <w:t xml:space="preserve"> multiple restraints on two</w:t>
      </w:r>
      <w:r w:rsidR="00194E35" w:rsidRPr="00D80BA0">
        <w:rPr>
          <w:rFonts w:asciiTheme="minorHAnsi" w:hAnsiTheme="minorHAnsi" w:cstheme="minorHAnsi"/>
          <w:noProof/>
          <w:sz w:val="22"/>
          <w:szCs w:val="22"/>
        </w:rPr>
        <w:t xml:space="preserve"> patients, one of whom was restrained in 40 incidents, and the other in 29 incidents.</w:t>
      </w:r>
    </w:p>
    <w:p w14:paraId="1E768379" w14:textId="77777777" w:rsidR="00194E35" w:rsidRPr="00D80BA0" w:rsidRDefault="00194E35" w:rsidP="00D80BA0">
      <w:pPr>
        <w:contextualSpacing/>
        <w:jc w:val="both"/>
        <w:rPr>
          <w:rFonts w:asciiTheme="minorHAnsi" w:eastAsia="Calibri" w:hAnsiTheme="minorHAnsi" w:cstheme="minorHAnsi"/>
          <w:sz w:val="22"/>
          <w:szCs w:val="22"/>
          <w:lang w:eastAsia="en-US"/>
        </w:rPr>
      </w:pPr>
    </w:p>
    <w:p w14:paraId="439E6A2F" w14:textId="36BB42CE" w:rsidR="00194E35" w:rsidRPr="00D80BA0" w:rsidRDefault="00194E35"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lastRenderedPageBreak/>
        <w:t>Since the decrease in use of prone and supine position in 2016</w:t>
      </w:r>
      <w:r w:rsidR="003A58F6" w:rsidRPr="00D80BA0">
        <w:rPr>
          <w:rFonts w:asciiTheme="minorHAnsi" w:hAnsiTheme="minorHAnsi" w:cstheme="minorHAnsi"/>
          <w:sz w:val="22"/>
          <w:szCs w:val="22"/>
        </w:rPr>
        <w:t xml:space="preserve"> (figure 4)</w:t>
      </w:r>
      <w:r w:rsidRPr="00D80BA0">
        <w:rPr>
          <w:rFonts w:asciiTheme="minorHAnsi" w:hAnsiTheme="minorHAnsi" w:cstheme="minorHAnsi"/>
          <w:sz w:val="22"/>
          <w:szCs w:val="22"/>
        </w:rPr>
        <w:t>, numbers have remained with</w:t>
      </w:r>
      <w:r w:rsidR="003A58F6" w:rsidRPr="00D80BA0">
        <w:rPr>
          <w:rFonts w:asciiTheme="minorHAnsi" w:hAnsiTheme="minorHAnsi" w:cstheme="minorHAnsi"/>
          <w:sz w:val="22"/>
          <w:szCs w:val="22"/>
        </w:rPr>
        <w:t xml:space="preserve">in normal levels of variation. </w:t>
      </w:r>
      <w:r w:rsidRPr="00D80BA0">
        <w:rPr>
          <w:rFonts w:asciiTheme="minorHAnsi" w:hAnsiTheme="minorHAnsi" w:cstheme="minorHAnsi"/>
          <w:sz w:val="22"/>
          <w:szCs w:val="22"/>
        </w:rPr>
        <w:t>An average of 19 incidents per month have included use of the prone position since June 2016 (compared with an average of 29 per month prior to that), but numbers were above average in May</w:t>
      </w:r>
      <w:r w:rsidR="003A58F6" w:rsidRPr="00D80BA0">
        <w:rPr>
          <w:rFonts w:asciiTheme="minorHAnsi" w:hAnsiTheme="minorHAnsi" w:cstheme="minorHAnsi"/>
          <w:sz w:val="22"/>
          <w:szCs w:val="22"/>
        </w:rPr>
        <w:t xml:space="preserve"> 2018</w:t>
      </w:r>
      <w:r w:rsidRPr="00D80BA0">
        <w:rPr>
          <w:rFonts w:asciiTheme="minorHAnsi" w:hAnsiTheme="minorHAnsi" w:cstheme="minorHAnsi"/>
          <w:sz w:val="22"/>
          <w:szCs w:val="22"/>
        </w:rPr>
        <w:t xml:space="preserve"> with 31 incidents in total. Of these 18 </w:t>
      </w:r>
      <w:r w:rsidR="003A58F6" w:rsidRPr="00D80BA0">
        <w:rPr>
          <w:rFonts w:asciiTheme="minorHAnsi" w:hAnsiTheme="minorHAnsi" w:cstheme="minorHAnsi"/>
          <w:sz w:val="22"/>
          <w:szCs w:val="22"/>
        </w:rPr>
        <w:t>related to a</w:t>
      </w:r>
      <w:r w:rsidRPr="00D80BA0">
        <w:rPr>
          <w:rFonts w:asciiTheme="minorHAnsi" w:hAnsiTheme="minorHAnsi" w:cstheme="minorHAnsi"/>
          <w:sz w:val="22"/>
          <w:szCs w:val="22"/>
        </w:rPr>
        <w:t xml:space="preserve"> particular patient on </w:t>
      </w:r>
      <w:r w:rsidR="003A58F6" w:rsidRPr="00D80BA0">
        <w:rPr>
          <w:rFonts w:asciiTheme="minorHAnsi" w:hAnsiTheme="minorHAnsi" w:cstheme="minorHAnsi"/>
          <w:sz w:val="22"/>
          <w:szCs w:val="22"/>
        </w:rPr>
        <w:t xml:space="preserve">CAMHS </w:t>
      </w:r>
      <w:r w:rsidRPr="00D80BA0">
        <w:rPr>
          <w:rFonts w:asciiTheme="minorHAnsi" w:hAnsiTheme="minorHAnsi" w:cstheme="minorHAnsi"/>
          <w:sz w:val="22"/>
          <w:szCs w:val="22"/>
        </w:rPr>
        <w:t>Highfield</w:t>
      </w:r>
      <w:r w:rsidR="003A58F6" w:rsidRPr="00D80BA0">
        <w:rPr>
          <w:rFonts w:asciiTheme="minorHAnsi" w:hAnsiTheme="minorHAnsi" w:cstheme="minorHAnsi"/>
          <w:sz w:val="22"/>
          <w:szCs w:val="22"/>
        </w:rPr>
        <w:t xml:space="preserve"> ward</w:t>
      </w:r>
      <w:r w:rsidRPr="00D80BA0">
        <w:rPr>
          <w:rFonts w:asciiTheme="minorHAnsi" w:hAnsiTheme="minorHAnsi" w:cstheme="minorHAnsi"/>
          <w:sz w:val="22"/>
          <w:szCs w:val="22"/>
        </w:rPr>
        <w:t>, the reason given for use of the prone position for these incidents was IM medication. No change has been seen to the total duration of prone r</w:t>
      </w:r>
      <w:r w:rsidR="003A58F6" w:rsidRPr="00D80BA0">
        <w:rPr>
          <w:rFonts w:asciiTheme="minorHAnsi" w:hAnsiTheme="minorHAnsi" w:cstheme="minorHAnsi"/>
          <w:sz w:val="22"/>
          <w:szCs w:val="22"/>
        </w:rPr>
        <w:t>estraints in the previous year.</w:t>
      </w:r>
    </w:p>
    <w:p w14:paraId="2F5C73E1" w14:textId="77777777" w:rsidR="00194E35" w:rsidRPr="00D80BA0" w:rsidRDefault="00194E35" w:rsidP="00D80BA0">
      <w:pPr>
        <w:contextualSpacing/>
        <w:jc w:val="both"/>
        <w:rPr>
          <w:rFonts w:asciiTheme="minorHAnsi" w:hAnsiTheme="minorHAnsi" w:cstheme="minorHAnsi"/>
          <w:sz w:val="22"/>
          <w:szCs w:val="22"/>
        </w:rPr>
      </w:pPr>
    </w:p>
    <w:p w14:paraId="08D63A4F" w14:textId="77777777" w:rsidR="00194E35" w:rsidRPr="00D80BA0" w:rsidRDefault="00194E35" w:rsidP="00D80BA0">
      <w:pPr>
        <w:contextualSpacing/>
        <w:jc w:val="both"/>
        <w:rPr>
          <w:rFonts w:asciiTheme="minorHAnsi" w:eastAsia="Calibri" w:hAnsiTheme="minorHAnsi" w:cstheme="minorHAnsi"/>
          <w:sz w:val="22"/>
          <w:szCs w:val="22"/>
          <w:lang w:val="en-US"/>
        </w:rPr>
      </w:pPr>
      <w:r w:rsidRPr="00D80BA0">
        <w:rPr>
          <w:rFonts w:asciiTheme="minorHAnsi" w:hAnsiTheme="minorHAnsi" w:cstheme="minorHAnsi"/>
          <w:noProof/>
          <w:sz w:val="22"/>
          <w:szCs w:val="22"/>
        </w:rPr>
        <w:t>The number of forms recording the use of the highest level of hold, thumb-wrist hold has remained low at below 2.6% (9 restraints in Q1) maintaining the low usage of high level holds.</w:t>
      </w:r>
    </w:p>
    <w:p w14:paraId="1D87ABB0" w14:textId="77777777" w:rsidR="00194E35" w:rsidRPr="00D80BA0" w:rsidRDefault="00194E35" w:rsidP="00D80BA0">
      <w:pPr>
        <w:contextualSpacing/>
        <w:rPr>
          <w:rFonts w:asciiTheme="minorHAnsi" w:hAnsiTheme="minorHAnsi" w:cstheme="minorHAnsi"/>
          <w:b/>
          <w:sz w:val="22"/>
          <w:szCs w:val="22"/>
          <w:u w:val="single"/>
        </w:rPr>
      </w:pPr>
    </w:p>
    <w:p w14:paraId="78D2413F" w14:textId="6C6DFFC2" w:rsidR="00194E35" w:rsidRPr="00D80BA0" w:rsidRDefault="00194E35" w:rsidP="00D80BA0">
      <w:pPr>
        <w:contextualSpacing/>
        <w:jc w:val="both"/>
        <w:rPr>
          <w:rFonts w:asciiTheme="minorHAnsi" w:hAnsiTheme="minorHAnsi" w:cstheme="minorHAnsi"/>
          <w:i/>
          <w:sz w:val="22"/>
          <w:szCs w:val="22"/>
        </w:rPr>
      </w:pPr>
      <w:r w:rsidRPr="00D80BA0">
        <w:rPr>
          <w:rFonts w:asciiTheme="minorHAnsi" w:hAnsiTheme="minorHAnsi" w:cstheme="minorHAnsi"/>
          <w:i/>
          <w:noProof/>
          <w:sz w:val="22"/>
          <w:szCs w:val="22"/>
        </w:rPr>
        <w:drawing>
          <wp:inline distT="0" distB="0" distL="0" distR="0" wp14:anchorId="7DC5F608" wp14:editId="2E7C8E56">
            <wp:extent cx="5818388" cy="2551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5558" cy="2558959"/>
                    </a:xfrm>
                    <a:prstGeom prst="rect">
                      <a:avLst/>
                    </a:prstGeom>
                    <a:noFill/>
                  </pic:spPr>
                </pic:pic>
              </a:graphicData>
            </a:graphic>
          </wp:inline>
        </w:drawing>
      </w:r>
      <w:r w:rsidR="003A58F6" w:rsidRPr="00D80BA0">
        <w:rPr>
          <w:rFonts w:asciiTheme="minorHAnsi" w:hAnsiTheme="minorHAnsi" w:cstheme="minorHAnsi"/>
          <w:i/>
          <w:sz w:val="22"/>
          <w:szCs w:val="22"/>
        </w:rPr>
        <w:t xml:space="preserve">Figure </w:t>
      </w:r>
      <w:r w:rsidR="00E91D6B" w:rsidRPr="00D80BA0">
        <w:rPr>
          <w:rFonts w:asciiTheme="minorHAnsi" w:hAnsiTheme="minorHAnsi" w:cstheme="minorHAnsi"/>
          <w:i/>
          <w:sz w:val="22"/>
          <w:szCs w:val="22"/>
        </w:rPr>
        <w:t>4</w:t>
      </w:r>
      <w:r w:rsidRPr="00D80BA0">
        <w:rPr>
          <w:rFonts w:asciiTheme="minorHAnsi" w:hAnsiTheme="minorHAnsi" w:cstheme="minorHAnsi"/>
          <w:i/>
          <w:sz w:val="22"/>
          <w:szCs w:val="22"/>
        </w:rPr>
        <w:t xml:space="preserve">. Number of incidents in which prone </w:t>
      </w:r>
      <w:r w:rsidR="00E91D6B" w:rsidRPr="00D80BA0">
        <w:rPr>
          <w:rFonts w:asciiTheme="minorHAnsi" w:hAnsiTheme="minorHAnsi" w:cstheme="minorHAnsi"/>
          <w:i/>
          <w:sz w:val="22"/>
          <w:szCs w:val="22"/>
        </w:rPr>
        <w:t>restraint used, April 2015-June</w:t>
      </w:r>
      <w:r w:rsidRPr="00D80BA0">
        <w:rPr>
          <w:rFonts w:asciiTheme="minorHAnsi" w:hAnsiTheme="minorHAnsi" w:cstheme="minorHAnsi"/>
          <w:i/>
          <w:sz w:val="22"/>
          <w:szCs w:val="22"/>
        </w:rPr>
        <w:t xml:space="preserve"> 2018</w:t>
      </w:r>
    </w:p>
    <w:p w14:paraId="01D7187A" w14:textId="0FB80726" w:rsidR="00AE2284" w:rsidRPr="00D80BA0" w:rsidRDefault="00AE2284" w:rsidP="00D80BA0">
      <w:pPr>
        <w:contextualSpacing/>
        <w:jc w:val="both"/>
        <w:rPr>
          <w:rFonts w:asciiTheme="minorHAnsi" w:hAnsiTheme="minorHAnsi" w:cstheme="minorHAnsi"/>
          <w:i/>
          <w:sz w:val="22"/>
          <w:szCs w:val="22"/>
        </w:rPr>
      </w:pPr>
    </w:p>
    <w:p w14:paraId="0BE11710" w14:textId="6CEA050A" w:rsidR="00AE2284" w:rsidRPr="00D80BA0" w:rsidRDefault="00AE2284"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 xml:space="preserve">In 75% of incidents involving restraint in Q1, no injury or property damage was recorded (n=261). One incident of a patient being violent towards staff on Wenric was RIDDOR reportable due to resulting injuries to staff members. </w:t>
      </w:r>
      <w:r w:rsidR="003A58F6" w:rsidRPr="00D80BA0">
        <w:rPr>
          <w:rFonts w:asciiTheme="minorHAnsi" w:hAnsiTheme="minorHAnsi" w:cstheme="minorHAnsi"/>
          <w:sz w:val="22"/>
          <w:szCs w:val="22"/>
        </w:rPr>
        <w:t>12/ 70</w:t>
      </w:r>
      <w:r w:rsidRPr="00D80BA0">
        <w:rPr>
          <w:rFonts w:asciiTheme="minorHAnsi" w:hAnsiTheme="minorHAnsi" w:cstheme="minorHAnsi"/>
          <w:sz w:val="22"/>
          <w:szCs w:val="22"/>
        </w:rPr>
        <w:t xml:space="preserve"> incidents in Q1 resulted in moderate injury/damage to property, these were across 9 different wards. These incidents involved injuries towards staff and property</w:t>
      </w:r>
      <w:r w:rsidR="003A58F6" w:rsidRPr="00D80BA0">
        <w:rPr>
          <w:rFonts w:asciiTheme="minorHAnsi" w:hAnsiTheme="minorHAnsi" w:cstheme="minorHAnsi"/>
          <w:sz w:val="22"/>
          <w:szCs w:val="22"/>
        </w:rPr>
        <w:t xml:space="preserve"> damage as a result of violence and </w:t>
      </w:r>
      <w:r w:rsidRPr="00D80BA0">
        <w:rPr>
          <w:rFonts w:asciiTheme="minorHAnsi" w:hAnsiTheme="minorHAnsi" w:cstheme="minorHAnsi"/>
          <w:sz w:val="22"/>
          <w:szCs w:val="22"/>
        </w:rPr>
        <w:t>aggression, and 3 incidents of self-ha</w:t>
      </w:r>
      <w:r w:rsidR="003A58F6" w:rsidRPr="00D80BA0">
        <w:rPr>
          <w:rFonts w:asciiTheme="minorHAnsi" w:hAnsiTheme="minorHAnsi" w:cstheme="minorHAnsi"/>
          <w:sz w:val="22"/>
          <w:szCs w:val="22"/>
        </w:rPr>
        <w:t xml:space="preserve">rm that resulted in restraint. </w:t>
      </w:r>
      <w:r w:rsidRPr="00D80BA0">
        <w:rPr>
          <w:rFonts w:asciiTheme="minorHAnsi" w:hAnsiTheme="minorHAnsi" w:cstheme="minorHAnsi"/>
          <w:sz w:val="22"/>
          <w:szCs w:val="22"/>
        </w:rPr>
        <w:t xml:space="preserve">Looking at injuries as a result of restraint, </w:t>
      </w:r>
      <w:r w:rsidR="003A58F6" w:rsidRPr="00D80BA0">
        <w:rPr>
          <w:rFonts w:asciiTheme="minorHAnsi" w:hAnsiTheme="minorHAnsi" w:cstheme="minorHAnsi"/>
          <w:sz w:val="22"/>
          <w:szCs w:val="22"/>
        </w:rPr>
        <w:t>in Q1 - 7 different p</w:t>
      </w:r>
      <w:r w:rsidRPr="00D80BA0">
        <w:rPr>
          <w:rFonts w:asciiTheme="minorHAnsi" w:hAnsiTheme="minorHAnsi" w:cstheme="minorHAnsi"/>
          <w:sz w:val="22"/>
          <w:szCs w:val="22"/>
        </w:rPr>
        <w:t>atient</w:t>
      </w:r>
      <w:r w:rsidR="003A58F6" w:rsidRPr="00D80BA0">
        <w:rPr>
          <w:rFonts w:asciiTheme="minorHAnsi" w:hAnsiTheme="minorHAnsi" w:cstheme="minorHAnsi"/>
          <w:sz w:val="22"/>
          <w:szCs w:val="22"/>
        </w:rPr>
        <w:t>s suffered an injury during 9 different restraint interventions</w:t>
      </w:r>
      <w:r w:rsidRPr="00D80BA0">
        <w:rPr>
          <w:rFonts w:asciiTheme="minorHAnsi" w:hAnsiTheme="minorHAnsi" w:cstheme="minorHAnsi"/>
          <w:sz w:val="22"/>
          <w:szCs w:val="22"/>
        </w:rPr>
        <w:t xml:space="preserve">. </w:t>
      </w:r>
      <w:r w:rsidR="00985E52" w:rsidRPr="00D80BA0">
        <w:rPr>
          <w:rFonts w:asciiTheme="minorHAnsi" w:hAnsiTheme="minorHAnsi" w:cstheme="minorHAnsi"/>
          <w:sz w:val="22"/>
          <w:szCs w:val="22"/>
        </w:rPr>
        <w:t>A focused review of staff injuries and patient injuries is currently taking place, both in relation to violence and aggression incidents and those involving restraint.</w:t>
      </w:r>
    </w:p>
    <w:p w14:paraId="351E0493" w14:textId="6F369351" w:rsidR="00194E35" w:rsidRPr="00D80BA0" w:rsidRDefault="00194E35" w:rsidP="00D80BA0">
      <w:pPr>
        <w:contextualSpacing/>
        <w:rPr>
          <w:rFonts w:asciiTheme="minorHAnsi" w:hAnsiTheme="minorHAnsi" w:cstheme="minorHAnsi"/>
          <w:b/>
          <w:sz w:val="22"/>
          <w:szCs w:val="22"/>
          <w:u w:val="single"/>
        </w:rPr>
      </w:pPr>
    </w:p>
    <w:p w14:paraId="421E38B0" w14:textId="54C719DA" w:rsidR="00194E35" w:rsidRPr="00D80BA0" w:rsidRDefault="00194E35" w:rsidP="00D80BA0">
      <w:pPr>
        <w:contextualSpacing/>
        <w:rPr>
          <w:rFonts w:asciiTheme="minorHAnsi" w:hAnsiTheme="minorHAnsi" w:cstheme="minorHAnsi"/>
          <w:sz w:val="22"/>
          <w:szCs w:val="22"/>
        </w:rPr>
      </w:pPr>
      <w:r w:rsidRPr="00D80BA0">
        <w:rPr>
          <w:rFonts w:asciiTheme="minorHAnsi" w:hAnsiTheme="minorHAnsi" w:cstheme="minorHAnsi"/>
          <w:sz w:val="22"/>
          <w:szCs w:val="22"/>
        </w:rPr>
        <w:t>In Q1</w:t>
      </w:r>
      <w:r w:rsidR="003A58F6" w:rsidRPr="00D80BA0">
        <w:rPr>
          <w:rFonts w:asciiTheme="minorHAnsi" w:hAnsiTheme="minorHAnsi" w:cstheme="minorHAnsi"/>
          <w:sz w:val="22"/>
          <w:szCs w:val="22"/>
        </w:rPr>
        <w:t>,</w:t>
      </w:r>
      <w:r w:rsidRPr="00D80BA0">
        <w:rPr>
          <w:rFonts w:asciiTheme="minorHAnsi" w:hAnsiTheme="minorHAnsi" w:cstheme="minorHAnsi"/>
          <w:sz w:val="22"/>
          <w:szCs w:val="22"/>
        </w:rPr>
        <w:t xml:space="preserve"> 15 patients were restrained five times or more, accounting for 50% (172 out of 347) of all</w:t>
      </w:r>
      <w:r w:rsidR="003A58F6" w:rsidRPr="00D80BA0">
        <w:rPr>
          <w:rFonts w:asciiTheme="minorHAnsi" w:hAnsiTheme="minorHAnsi" w:cstheme="minorHAnsi"/>
          <w:sz w:val="22"/>
          <w:szCs w:val="22"/>
        </w:rPr>
        <w:t xml:space="preserve"> incidents involving restraint. Violence and a</w:t>
      </w:r>
      <w:r w:rsidRPr="00D80BA0">
        <w:rPr>
          <w:rFonts w:asciiTheme="minorHAnsi" w:hAnsiTheme="minorHAnsi" w:cstheme="minorHAnsi"/>
          <w:sz w:val="22"/>
          <w:szCs w:val="22"/>
        </w:rPr>
        <w:t>ggression has consistently been the cause attributed to most incidents in which restraint is used, in Q1 55% of incidents attributed to this compared with 68% in Q4. The second highest cause of restraint in previous quarters has been self-harm, however, in Q1 this was ‘Health’. In total 22% of incidents (n=76) were in this category, compared with 7% in Q4 (n=18). Of the 76 incidents reported in this category,</w:t>
      </w:r>
      <w:r w:rsidR="003A58F6" w:rsidRPr="00D80BA0">
        <w:rPr>
          <w:rFonts w:asciiTheme="minorHAnsi" w:hAnsiTheme="minorHAnsi" w:cstheme="minorHAnsi"/>
          <w:sz w:val="22"/>
          <w:szCs w:val="22"/>
        </w:rPr>
        <w:t xml:space="preserve"> </w:t>
      </w:r>
      <w:r w:rsidRPr="00D80BA0">
        <w:rPr>
          <w:rFonts w:asciiTheme="minorHAnsi" w:hAnsiTheme="minorHAnsi" w:cstheme="minorHAnsi"/>
          <w:sz w:val="22"/>
          <w:szCs w:val="22"/>
        </w:rPr>
        <w:t>63 (83%) were on CAMHS Highfield</w:t>
      </w:r>
      <w:r w:rsidR="003A58F6" w:rsidRPr="00D80BA0">
        <w:rPr>
          <w:rFonts w:asciiTheme="minorHAnsi" w:hAnsiTheme="minorHAnsi" w:cstheme="minorHAnsi"/>
          <w:sz w:val="22"/>
          <w:szCs w:val="22"/>
        </w:rPr>
        <w:t xml:space="preserve"> ward</w:t>
      </w:r>
      <w:r w:rsidRPr="00D80BA0">
        <w:rPr>
          <w:rFonts w:asciiTheme="minorHAnsi" w:hAnsiTheme="minorHAnsi" w:cstheme="minorHAnsi"/>
          <w:sz w:val="22"/>
          <w:szCs w:val="22"/>
        </w:rPr>
        <w:t xml:space="preserve">, and of these 58 were in the sub-category of ‘patient resisting treatment’. These incidents involved 5 different patients, but most interventions were on two patients, one of whom was resisting </w:t>
      </w:r>
      <w:r w:rsidR="003A58F6" w:rsidRPr="00D80BA0">
        <w:rPr>
          <w:rFonts w:asciiTheme="minorHAnsi" w:hAnsiTheme="minorHAnsi" w:cstheme="minorHAnsi"/>
          <w:sz w:val="22"/>
          <w:szCs w:val="22"/>
        </w:rPr>
        <w:t>eating so was being fed through an NG tube</w:t>
      </w:r>
      <w:r w:rsidRPr="00D80BA0">
        <w:rPr>
          <w:rFonts w:asciiTheme="minorHAnsi" w:hAnsiTheme="minorHAnsi" w:cstheme="minorHAnsi"/>
          <w:sz w:val="22"/>
          <w:szCs w:val="22"/>
        </w:rPr>
        <w:t xml:space="preserve"> (27 incidents) and the other who was resisting medication (19 incidents). </w:t>
      </w:r>
    </w:p>
    <w:p w14:paraId="4C232EC4" w14:textId="5596D034" w:rsidR="00194E35" w:rsidRPr="00D80BA0" w:rsidRDefault="00194E35" w:rsidP="00D80BA0">
      <w:pPr>
        <w:contextualSpacing/>
        <w:jc w:val="both"/>
        <w:rPr>
          <w:rFonts w:asciiTheme="minorHAnsi" w:eastAsia="Calibri" w:hAnsiTheme="minorHAnsi" w:cstheme="minorHAnsi"/>
          <w:sz w:val="22"/>
          <w:szCs w:val="22"/>
          <w:lang w:eastAsia="en-US"/>
        </w:rPr>
      </w:pPr>
    </w:p>
    <w:p w14:paraId="7CC5F542" w14:textId="725D5E20" w:rsidR="00194E35" w:rsidRPr="00D80BA0" w:rsidRDefault="00194E35" w:rsidP="00D80BA0">
      <w:pPr>
        <w:contextualSpacing/>
        <w:rPr>
          <w:rFonts w:asciiTheme="minorHAnsi" w:hAnsiTheme="minorHAnsi" w:cstheme="minorHAnsi"/>
          <w:noProof/>
          <w:sz w:val="22"/>
          <w:szCs w:val="22"/>
        </w:rPr>
      </w:pPr>
      <w:r w:rsidRPr="00D80BA0">
        <w:rPr>
          <w:rFonts w:asciiTheme="minorHAnsi" w:hAnsiTheme="minorHAnsi" w:cstheme="minorHAnsi"/>
          <w:noProof/>
          <w:sz w:val="22"/>
          <w:szCs w:val="22"/>
        </w:rPr>
        <w:t xml:space="preserve">Although the number of incidents of violence and aggression increased in the middle </w:t>
      </w:r>
      <w:r w:rsidR="00E91D6B" w:rsidRPr="00D80BA0">
        <w:rPr>
          <w:rFonts w:asciiTheme="minorHAnsi" w:hAnsiTheme="minorHAnsi" w:cstheme="minorHAnsi"/>
          <w:noProof/>
          <w:sz w:val="22"/>
          <w:szCs w:val="22"/>
        </w:rPr>
        <w:t>of 2017,  the decline in the pr</w:t>
      </w:r>
      <w:r w:rsidRPr="00D80BA0">
        <w:rPr>
          <w:rFonts w:asciiTheme="minorHAnsi" w:hAnsiTheme="minorHAnsi" w:cstheme="minorHAnsi"/>
          <w:noProof/>
          <w:sz w:val="22"/>
          <w:szCs w:val="22"/>
        </w:rPr>
        <w:t>oportion of these incidents in which restraint was used has been maintained at around 31% since Ja</w:t>
      </w:r>
      <w:r w:rsidR="00E91D6B" w:rsidRPr="00D80BA0">
        <w:rPr>
          <w:rFonts w:asciiTheme="minorHAnsi" w:hAnsiTheme="minorHAnsi" w:cstheme="minorHAnsi"/>
          <w:noProof/>
          <w:sz w:val="22"/>
          <w:szCs w:val="22"/>
        </w:rPr>
        <w:t xml:space="preserve">nuary 2017, following a reduction </w:t>
      </w:r>
      <w:r w:rsidR="003A58F6" w:rsidRPr="00D80BA0">
        <w:rPr>
          <w:rFonts w:asciiTheme="minorHAnsi" w:hAnsiTheme="minorHAnsi" w:cstheme="minorHAnsi"/>
          <w:noProof/>
          <w:sz w:val="22"/>
          <w:szCs w:val="22"/>
        </w:rPr>
        <w:t xml:space="preserve">from 39% prior to that (figure </w:t>
      </w:r>
      <w:r w:rsidR="00E91D6B" w:rsidRPr="00D80BA0">
        <w:rPr>
          <w:rFonts w:asciiTheme="minorHAnsi" w:hAnsiTheme="minorHAnsi" w:cstheme="minorHAnsi"/>
          <w:noProof/>
          <w:sz w:val="22"/>
          <w:szCs w:val="22"/>
        </w:rPr>
        <w:t>5)</w:t>
      </w:r>
      <w:r w:rsidRPr="00D80BA0">
        <w:rPr>
          <w:rFonts w:asciiTheme="minorHAnsi" w:hAnsiTheme="minorHAnsi" w:cstheme="minorHAnsi"/>
          <w:noProof/>
          <w:sz w:val="22"/>
          <w:szCs w:val="22"/>
        </w:rPr>
        <w:t xml:space="preserve">.   </w:t>
      </w:r>
    </w:p>
    <w:p w14:paraId="515EDFEF" w14:textId="77777777" w:rsidR="00194E35" w:rsidRPr="00D80BA0" w:rsidRDefault="00194E35" w:rsidP="00D80BA0">
      <w:pPr>
        <w:contextualSpacing/>
        <w:jc w:val="both"/>
        <w:rPr>
          <w:rFonts w:asciiTheme="minorHAnsi" w:eastAsia="Calibri" w:hAnsiTheme="minorHAnsi" w:cstheme="minorHAnsi"/>
          <w:sz w:val="22"/>
          <w:szCs w:val="22"/>
          <w:lang w:eastAsia="en-US"/>
        </w:rPr>
      </w:pPr>
    </w:p>
    <w:p w14:paraId="3FC1B083" w14:textId="487B7307" w:rsidR="00194E35" w:rsidRPr="00D80BA0" w:rsidRDefault="00194E35" w:rsidP="00D80BA0">
      <w:pPr>
        <w:contextualSpacing/>
        <w:rPr>
          <w:rFonts w:asciiTheme="minorHAnsi" w:hAnsiTheme="minorHAnsi" w:cstheme="minorHAnsi"/>
          <w:noProof/>
          <w:sz w:val="22"/>
          <w:szCs w:val="22"/>
        </w:rPr>
      </w:pPr>
      <w:r w:rsidRPr="00D80BA0">
        <w:rPr>
          <w:rFonts w:asciiTheme="minorHAnsi" w:hAnsiTheme="minorHAnsi" w:cstheme="minorHAnsi"/>
          <w:noProof/>
          <w:sz w:val="22"/>
          <w:szCs w:val="22"/>
        </w:rPr>
        <w:lastRenderedPageBreak/>
        <w:drawing>
          <wp:inline distT="0" distB="0" distL="0" distR="0" wp14:anchorId="7B6D55C6" wp14:editId="5C7F392B">
            <wp:extent cx="5911860" cy="2800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3613" cy="2810654"/>
                    </a:xfrm>
                    <a:prstGeom prst="rect">
                      <a:avLst/>
                    </a:prstGeom>
                    <a:noFill/>
                  </pic:spPr>
                </pic:pic>
              </a:graphicData>
            </a:graphic>
          </wp:inline>
        </w:drawing>
      </w:r>
      <w:r w:rsidRPr="00D80BA0">
        <w:rPr>
          <w:rFonts w:asciiTheme="minorHAnsi" w:hAnsiTheme="minorHAnsi" w:cstheme="minorHAnsi"/>
          <w:i/>
          <w:sz w:val="22"/>
          <w:szCs w:val="22"/>
        </w:rPr>
        <w:t xml:space="preserve">Figure </w:t>
      </w:r>
      <w:r w:rsidR="00E91D6B" w:rsidRPr="00D80BA0">
        <w:rPr>
          <w:rFonts w:asciiTheme="minorHAnsi" w:hAnsiTheme="minorHAnsi" w:cstheme="minorHAnsi"/>
          <w:i/>
          <w:sz w:val="22"/>
          <w:szCs w:val="22"/>
        </w:rPr>
        <w:t>5</w:t>
      </w:r>
      <w:r w:rsidRPr="00D80BA0">
        <w:rPr>
          <w:rFonts w:asciiTheme="minorHAnsi" w:hAnsiTheme="minorHAnsi" w:cstheme="minorHAnsi"/>
          <w:i/>
          <w:sz w:val="22"/>
          <w:szCs w:val="22"/>
        </w:rPr>
        <w:t>. Proportion of incidents of Violence/Aggression in which restraint used, April 2015-June 2018</w:t>
      </w:r>
    </w:p>
    <w:p w14:paraId="049D5F85" w14:textId="77777777" w:rsidR="00194E35" w:rsidRPr="00D80BA0" w:rsidRDefault="00194E35" w:rsidP="00D80BA0">
      <w:pPr>
        <w:contextualSpacing/>
        <w:jc w:val="both"/>
        <w:rPr>
          <w:rFonts w:asciiTheme="minorHAnsi" w:eastAsia="Calibri" w:hAnsiTheme="minorHAnsi" w:cstheme="minorHAnsi"/>
          <w:sz w:val="22"/>
          <w:szCs w:val="22"/>
          <w:lang w:eastAsia="en-US"/>
        </w:rPr>
      </w:pPr>
    </w:p>
    <w:p w14:paraId="24662133" w14:textId="77777777" w:rsidR="00194E35" w:rsidRPr="00D80BA0" w:rsidRDefault="00194E35" w:rsidP="00D80BA0">
      <w:pPr>
        <w:contextualSpacing/>
        <w:jc w:val="both"/>
        <w:rPr>
          <w:rFonts w:asciiTheme="minorHAnsi" w:eastAsia="Calibri" w:hAnsiTheme="minorHAnsi" w:cstheme="minorHAnsi"/>
          <w:sz w:val="22"/>
          <w:szCs w:val="22"/>
          <w:lang w:val="en-US"/>
        </w:rPr>
      </w:pPr>
      <w:r w:rsidRPr="00D80BA0">
        <w:rPr>
          <w:rFonts w:asciiTheme="minorHAnsi" w:eastAsia="Calibri" w:hAnsiTheme="minorHAnsi" w:cstheme="minorHAnsi"/>
          <w:sz w:val="22"/>
          <w:szCs w:val="22"/>
          <w:lang w:val="en-US"/>
        </w:rPr>
        <w:t xml:space="preserve">Use of seclusion dropped towards the end of 2015 and has been variable over the past 2 years. </w:t>
      </w:r>
    </w:p>
    <w:p w14:paraId="10727483" w14:textId="7EB8A241" w:rsidR="00194E35" w:rsidRPr="00D80BA0" w:rsidRDefault="00194E35" w:rsidP="00D80BA0">
      <w:pPr>
        <w:contextualSpacing/>
        <w:rPr>
          <w:rFonts w:asciiTheme="minorHAnsi" w:hAnsiTheme="minorHAnsi" w:cstheme="minorHAnsi"/>
          <w:sz w:val="22"/>
          <w:szCs w:val="22"/>
        </w:rPr>
      </w:pPr>
      <w:r w:rsidRPr="00D80BA0">
        <w:rPr>
          <w:rFonts w:asciiTheme="minorHAnsi" w:hAnsiTheme="minorHAnsi" w:cstheme="minorHAnsi"/>
          <w:sz w:val="22"/>
          <w:szCs w:val="22"/>
        </w:rPr>
        <w:t xml:space="preserve">The Adult directorate consistently has the highest use of seclusion within the trust accounting for 95% of all seclusions. </w:t>
      </w:r>
      <w:r w:rsidRPr="00D80BA0">
        <w:rPr>
          <w:rFonts w:asciiTheme="minorHAnsi" w:eastAsia="Calibri" w:hAnsiTheme="minorHAnsi" w:cstheme="minorHAnsi"/>
          <w:sz w:val="22"/>
          <w:szCs w:val="22"/>
          <w:lang w:val="en-US"/>
        </w:rPr>
        <w:t xml:space="preserve">The cause group attributed to the majority of seclusions </w:t>
      </w:r>
      <w:r w:rsidR="006C15EA" w:rsidRPr="00D80BA0">
        <w:rPr>
          <w:rFonts w:asciiTheme="minorHAnsi" w:eastAsia="Calibri" w:hAnsiTheme="minorHAnsi" w:cstheme="minorHAnsi"/>
          <w:sz w:val="22"/>
          <w:szCs w:val="22"/>
          <w:lang w:val="en-US"/>
        </w:rPr>
        <w:t xml:space="preserve">in Q1 was </w:t>
      </w:r>
      <w:r w:rsidRPr="00D80BA0">
        <w:rPr>
          <w:rFonts w:asciiTheme="minorHAnsi" w:eastAsia="Calibri" w:hAnsiTheme="minorHAnsi" w:cstheme="minorHAnsi"/>
          <w:sz w:val="22"/>
          <w:szCs w:val="22"/>
          <w:lang w:val="en-US"/>
        </w:rPr>
        <w:t>violence a</w:t>
      </w:r>
      <w:r w:rsidR="006C15EA" w:rsidRPr="00D80BA0">
        <w:rPr>
          <w:rFonts w:asciiTheme="minorHAnsi" w:eastAsia="Calibri" w:hAnsiTheme="minorHAnsi" w:cstheme="minorHAnsi"/>
          <w:sz w:val="22"/>
          <w:szCs w:val="22"/>
          <w:lang w:val="en-US"/>
        </w:rPr>
        <w:t>nd aggression</w:t>
      </w:r>
      <w:r w:rsidRPr="00D80BA0">
        <w:rPr>
          <w:rFonts w:asciiTheme="minorHAnsi" w:eastAsia="Calibri" w:hAnsiTheme="minorHAnsi" w:cstheme="minorHAnsi"/>
          <w:sz w:val="22"/>
          <w:szCs w:val="22"/>
          <w:lang w:val="en-US"/>
        </w:rPr>
        <w:t xml:space="preserve"> (98 of 109 incidents). </w:t>
      </w:r>
    </w:p>
    <w:p w14:paraId="11EC81E9" w14:textId="77777777" w:rsidR="00194E35" w:rsidRPr="00D80BA0" w:rsidRDefault="00194E35" w:rsidP="00D80BA0">
      <w:pPr>
        <w:contextualSpacing/>
        <w:rPr>
          <w:rFonts w:asciiTheme="minorHAnsi" w:hAnsiTheme="minorHAnsi" w:cstheme="minorHAnsi"/>
          <w:sz w:val="22"/>
          <w:szCs w:val="22"/>
        </w:rPr>
      </w:pPr>
    </w:p>
    <w:p w14:paraId="7B04F751" w14:textId="28489830" w:rsidR="00194E35" w:rsidRPr="00D80BA0" w:rsidRDefault="00194E35" w:rsidP="00D80BA0">
      <w:pPr>
        <w:contextualSpacing/>
        <w:rPr>
          <w:rFonts w:asciiTheme="minorHAnsi" w:hAnsiTheme="minorHAnsi" w:cstheme="minorHAnsi"/>
          <w:sz w:val="22"/>
          <w:szCs w:val="22"/>
        </w:rPr>
      </w:pPr>
      <w:r w:rsidRPr="00D80BA0">
        <w:rPr>
          <w:rFonts w:asciiTheme="minorHAnsi" w:hAnsiTheme="minorHAnsi" w:cstheme="minorHAnsi"/>
          <w:sz w:val="22"/>
          <w:szCs w:val="22"/>
        </w:rPr>
        <w:t>The chart</w:t>
      </w:r>
      <w:r w:rsidR="006C15EA" w:rsidRPr="00D80BA0">
        <w:rPr>
          <w:rFonts w:asciiTheme="minorHAnsi" w:hAnsiTheme="minorHAnsi" w:cstheme="minorHAnsi"/>
          <w:sz w:val="22"/>
          <w:szCs w:val="22"/>
        </w:rPr>
        <w:t>, figure 6,</w:t>
      </w:r>
      <w:r w:rsidRPr="00D80BA0">
        <w:rPr>
          <w:rFonts w:asciiTheme="minorHAnsi" w:hAnsiTheme="minorHAnsi" w:cstheme="minorHAnsi"/>
          <w:sz w:val="22"/>
          <w:szCs w:val="22"/>
        </w:rPr>
        <w:t xml:space="preserve"> below enables us to crudely compare use of restrictive practice. At present the overall picture from the data outlined in this report is that our restrictive practice is reducing albeit at a very steady rate.  </w:t>
      </w:r>
    </w:p>
    <w:p w14:paraId="0890D8DD" w14:textId="77777777" w:rsidR="00194E35" w:rsidRPr="00D80BA0" w:rsidRDefault="00194E35" w:rsidP="00D80BA0">
      <w:pPr>
        <w:contextualSpacing/>
        <w:rPr>
          <w:rFonts w:asciiTheme="minorHAnsi" w:hAnsiTheme="minorHAnsi" w:cstheme="minorHAnsi"/>
          <w:b/>
          <w:sz w:val="22"/>
          <w:szCs w:val="22"/>
          <w:u w:val="single"/>
        </w:rPr>
      </w:pPr>
    </w:p>
    <w:p w14:paraId="37DC4245" w14:textId="400D86C1" w:rsidR="00194E35" w:rsidRPr="00D80BA0" w:rsidRDefault="00194E35" w:rsidP="00D80BA0">
      <w:pPr>
        <w:contextualSpacing/>
        <w:rPr>
          <w:rFonts w:asciiTheme="minorHAnsi" w:hAnsiTheme="minorHAnsi" w:cstheme="minorHAnsi"/>
          <w:i/>
          <w:sz w:val="22"/>
          <w:szCs w:val="22"/>
        </w:rPr>
      </w:pPr>
      <w:r w:rsidRPr="00D80BA0">
        <w:rPr>
          <w:rFonts w:asciiTheme="minorHAnsi" w:hAnsiTheme="minorHAnsi" w:cstheme="minorHAnsi"/>
          <w:i/>
          <w:noProof/>
          <w:sz w:val="22"/>
          <w:szCs w:val="22"/>
        </w:rPr>
        <w:drawing>
          <wp:inline distT="0" distB="0" distL="0" distR="0" wp14:anchorId="5C932D93" wp14:editId="1CD66828">
            <wp:extent cx="5912485" cy="3028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28140" cy="3036970"/>
                    </a:xfrm>
                    <a:prstGeom prst="rect">
                      <a:avLst/>
                    </a:prstGeom>
                    <a:noFill/>
                  </pic:spPr>
                </pic:pic>
              </a:graphicData>
            </a:graphic>
          </wp:inline>
        </w:drawing>
      </w:r>
      <w:r w:rsidR="006C15EA" w:rsidRPr="00D80BA0">
        <w:rPr>
          <w:rFonts w:asciiTheme="minorHAnsi" w:hAnsiTheme="minorHAnsi" w:cstheme="minorHAnsi"/>
          <w:i/>
          <w:sz w:val="22"/>
          <w:szCs w:val="22"/>
        </w:rPr>
        <w:t xml:space="preserve">Figure </w:t>
      </w:r>
      <w:r w:rsidR="00E91D6B" w:rsidRPr="00D80BA0">
        <w:rPr>
          <w:rFonts w:asciiTheme="minorHAnsi" w:hAnsiTheme="minorHAnsi" w:cstheme="minorHAnsi"/>
          <w:i/>
          <w:sz w:val="22"/>
          <w:szCs w:val="22"/>
        </w:rPr>
        <w:t>6</w:t>
      </w:r>
      <w:r w:rsidRPr="00D80BA0">
        <w:rPr>
          <w:rFonts w:asciiTheme="minorHAnsi" w:hAnsiTheme="minorHAnsi" w:cstheme="minorHAnsi"/>
          <w:i/>
          <w:sz w:val="22"/>
          <w:szCs w:val="22"/>
        </w:rPr>
        <w:t>. Comparison of types of interventions used, April 2015-June 2018</w:t>
      </w:r>
    </w:p>
    <w:p w14:paraId="018D9520" w14:textId="0CFD7869" w:rsidR="00E91D6B" w:rsidRPr="00D80BA0" w:rsidRDefault="00E91D6B" w:rsidP="00D80BA0">
      <w:pPr>
        <w:contextualSpacing/>
        <w:rPr>
          <w:rFonts w:asciiTheme="minorHAnsi" w:hAnsiTheme="minorHAnsi" w:cstheme="minorHAnsi"/>
          <w:i/>
          <w:sz w:val="22"/>
          <w:szCs w:val="22"/>
        </w:rPr>
      </w:pPr>
    </w:p>
    <w:p w14:paraId="183B10EA" w14:textId="39FE701D" w:rsidR="00194E35" w:rsidRPr="00D80BA0" w:rsidRDefault="00E91D6B" w:rsidP="00D80BA0">
      <w:pPr>
        <w:contextualSpacing/>
        <w:rPr>
          <w:rFonts w:asciiTheme="minorHAnsi" w:hAnsiTheme="minorHAnsi" w:cstheme="minorHAnsi"/>
          <w:sz w:val="22"/>
          <w:szCs w:val="22"/>
          <w:u w:val="single"/>
        </w:rPr>
      </w:pPr>
      <w:r w:rsidRPr="00D80BA0">
        <w:rPr>
          <w:rFonts w:asciiTheme="minorHAnsi" w:hAnsiTheme="minorHAnsi" w:cstheme="minorHAnsi"/>
          <w:sz w:val="22"/>
          <w:szCs w:val="22"/>
          <w:u w:val="single"/>
        </w:rPr>
        <w:t xml:space="preserve">2.2 </w:t>
      </w:r>
      <w:r w:rsidR="002973A7" w:rsidRPr="00D80BA0">
        <w:rPr>
          <w:rFonts w:asciiTheme="minorHAnsi" w:hAnsiTheme="minorHAnsi" w:cstheme="minorHAnsi"/>
          <w:sz w:val="22"/>
          <w:szCs w:val="22"/>
          <w:u w:val="single"/>
        </w:rPr>
        <w:t>PEACE Project</w:t>
      </w:r>
    </w:p>
    <w:p w14:paraId="2D04B022" w14:textId="3C91BF0E" w:rsidR="00194E35" w:rsidRPr="00D80BA0" w:rsidRDefault="002973A7" w:rsidP="00D80BA0">
      <w:pPr>
        <w:contextualSpacing/>
        <w:rPr>
          <w:rFonts w:asciiTheme="minorHAnsi" w:hAnsiTheme="minorHAnsi" w:cstheme="minorHAnsi"/>
          <w:sz w:val="22"/>
          <w:szCs w:val="22"/>
        </w:rPr>
      </w:pPr>
      <w:r w:rsidRPr="00D80BA0">
        <w:rPr>
          <w:rFonts w:asciiTheme="minorHAnsi" w:hAnsiTheme="minorHAnsi" w:cstheme="minorHAnsi"/>
          <w:sz w:val="22"/>
          <w:szCs w:val="22"/>
        </w:rPr>
        <w:t xml:space="preserve">The </w:t>
      </w:r>
      <w:r w:rsidR="00194E35" w:rsidRPr="00D80BA0">
        <w:rPr>
          <w:rFonts w:asciiTheme="minorHAnsi" w:hAnsiTheme="minorHAnsi" w:cstheme="minorHAnsi"/>
          <w:sz w:val="22"/>
          <w:szCs w:val="22"/>
        </w:rPr>
        <w:t xml:space="preserve">PEACE </w:t>
      </w:r>
      <w:r w:rsidRPr="00D80BA0">
        <w:rPr>
          <w:rFonts w:asciiTheme="minorHAnsi" w:hAnsiTheme="minorHAnsi" w:cstheme="minorHAnsi"/>
          <w:sz w:val="22"/>
          <w:szCs w:val="22"/>
        </w:rPr>
        <w:t xml:space="preserve">steering group is working on the following work streams to minimise the use of restrictive interventions; </w:t>
      </w:r>
      <w:r w:rsidR="00194E35" w:rsidRPr="00D80BA0">
        <w:rPr>
          <w:rFonts w:asciiTheme="minorHAnsi" w:hAnsiTheme="minorHAnsi" w:cstheme="minorHAnsi"/>
          <w:sz w:val="22"/>
          <w:szCs w:val="22"/>
        </w:rPr>
        <w:t>workforce development, use of data, effective debrief, use of restrictive intervention reduction tools, leadership towards organisational cha</w:t>
      </w:r>
      <w:r w:rsidRPr="00D80BA0">
        <w:rPr>
          <w:rFonts w:asciiTheme="minorHAnsi" w:hAnsiTheme="minorHAnsi" w:cstheme="minorHAnsi"/>
          <w:sz w:val="22"/>
          <w:szCs w:val="22"/>
        </w:rPr>
        <w:t>nge and service user experience</w:t>
      </w:r>
      <w:r w:rsidR="00194E35" w:rsidRPr="00D80BA0">
        <w:rPr>
          <w:rFonts w:asciiTheme="minorHAnsi" w:hAnsiTheme="minorHAnsi" w:cstheme="minorHAnsi"/>
          <w:sz w:val="22"/>
          <w:szCs w:val="22"/>
        </w:rPr>
        <w:t xml:space="preserve">. </w:t>
      </w:r>
    </w:p>
    <w:p w14:paraId="27E5DB00" w14:textId="77777777" w:rsidR="00194E35" w:rsidRPr="00D80BA0" w:rsidRDefault="00194E35" w:rsidP="00D80BA0">
      <w:pPr>
        <w:contextualSpacing/>
        <w:rPr>
          <w:rFonts w:asciiTheme="minorHAnsi" w:hAnsiTheme="minorHAnsi" w:cstheme="minorHAnsi"/>
          <w:sz w:val="22"/>
          <w:szCs w:val="22"/>
          <w:u w:val="single"/>
        </w:rPr>
      </w:pPr>
    </w:p>
    <w:p w14:paraId="380F4FE4" w14:textId="77777777" w:rsidR="00194E35" w:rsidRPr="00D80BA0" w:rsidRDefault="00194E35" w:rsidP="00D80BA0">
      <w:pPr>
        <w:contextualSpacing/>
        <w:rPr>
          <w:rFonts w:asciiTheme="minorHAnsi" w:hAnsiTheme="minorHAnsi" w:cstheme="minorHAnsi"/>
          <w:sz w:val="22"/>
          <w:szCs w:val="22"/>
        </w:rPr>
      </w:pPr>
      <w:r w:rsidRPr="00D80BA0">
        <w:rPr>
          <w:rFonts w:asciiTheme="minorHAnsi" w:hAnsiTheme="minorHAnsi" w:cstheme="minorHAnsi"/>
          <w:sz w:val="22"/>
          <w:szCs w:val="22"/>
        </w:rPr>
        <w:t xml:space="preserve">Below summarises the current areas of focus and update on recent activities: </w:t>
      </w:r>
    </w:p>
    <w:p w14:paraId="3E789CD8" w14:textId="77777777" w:rsidR="00194E35" w:rsidRPr="00D80BA0" w:rsidRDefault="00194E35" w:rsidP="00D80BA0">
      <w:pPr>
        <w:pStyle w:val="ListParagraph"/>
        <w:numPr>
          <w:ilvl w:val="0"/>
          <w:numId w:val="29"/>
        </w:numPr>
        <w:rPr>
          <w:rFonts w:asciiTheme="minorHAnsi" w:hAnsiTheme="minorHAnsi" w:cstheme="minorHAnsi"/>
          <w:sz w:val="22"/>
          <w:szCs w:val="22"/>
        </w:rPr>
      </w:pPr>
      <w:r w:rsidRPr="00D80BA0">
        <w:rPr>
          <w:rFonts w:asciiTheme="minorHAnsi" w:hAnsiTheme="minorHAnsi" w:cstheme="minorHAnsi"/>
          <w:sz w:val="22"/>
          <w:szCs w:val="22"/>
        </w:rPr>
        <w:t xml:space="preserve">PEACE Champions programme to harness the continued enthusiasm of frontline staff to be involved in supporting the ethos of PEACE approach.  </w:t>
      </w:r>
    </w:p>
    <w:p w14:paraId="3425DB18" w14:textId="5FC410E5" w:rsidR="00194E35" w:rsidRPr="00D80BA0" w:rsidRDefault="00194E35" w:rsidP="00D80BA0">
      <w:pPr>
        <w:pStyle w:val="ListParagraph"/>
        <w:rPr>
          <w:rFonts w:asciiTheme="minorHAnsi" w:hAnsiTheme="minorHAnsi" w:cstheme="minorHAnsi"/>
          <w:sz w:val="22"/>
          <w:szCs w:val="22"/>
        </w:rPr>
      </w:pPr>
      <w:r w:rsidRPr="00D80BA0">
        <w:rPr>
          <w:rFonts w:asciiTheme="minorHAnsi" w:hAnsiTheme="minorHAnsi" w:cstheme="minorHAnsi"/>
          <w:i/>
          <w:sz w:val="22"/>
          <w:szCs w:val="22"/>
        </w:rPr>
        <w:lastRenderedPageBreak/>
        <w:t>A ‘Sharing Positive Practice’ Day was held in May</w:t>
      </w:r>
      <w:r w:rsidR="002973A7" w:rsidRPr="00D80BA0">
        <w:rPr>
          <w:rFonts w:asciiTheme="minorHAnsi" w:hAnsiTheme="minorHAnsi" w:cstheme="minorHAnsi"/>
          <w:i/>
          <w:sz w:val="22"/>
          <w:szCs w:val="22"/>
        </w:rPr>
        <w:t xml:space="preserve"> 2018</w:t>
      </w:r>
      <w:r w:rsidRPr="00D80BA0">
        <w:rPr>
          <w:rFonts w:asciiTheme="minorHAnsi" w:hAnsiTheme="minorHAnsi" w:cstheme="minorHAnsi"/>
          <w:i/>
          <w:sz w:val="22"/>
          <w:szCs w:val="22"/>
        </w:rPr>
        <w:t xml:space="preserve"> for Champions and any aspiring Champions or interested staff. The day gave the Champions an opportunity to share their experience of the role</w:t>
      </w:r>
      <w:r w:rsidRPr="00D80BA0">
        <w:rPr>
          <w:rFonts w:asciiTheme="minorHAnsi" w:hAnsiTheme="minorHAnsi" w:cstheme="minorHAnsi"/>
          <w:sz w:val="22"/>
          <w:szCs w:val="22"/>
        </w:rPr>
        <w:t xml:space="preserve">. </w:t>
      </w:r>
      <w:r w:rsidRPr="00D80BA0">
        <w:rPr>
          <w:rFonts w:asciiTheme="minorHAnsi" w:hAnsiTheme="minorHAnsi" w:cstheme="minorHAnsi"/>
          <w:i/>
          <w:sz w:val="22"/>
          <w:szCs w:val="22"/>
        </w:rPr>
        <w:t>An overview will be circulated to teams</w:t>
      </w:r>
      <w:r w:rsidRPr="00D80BA0">
        <w:rPr>
          <w:rFonts w:asciiTheme="minorHAnsi" w:hAnsiTheme="minorHAnsi" w:cstheme="minorHAnsi"/>
          <w:sz w:val="22"/>
          <w:szCs w:val="22"/>
        </w:rPr>
        <w:t>.</w:t>
      </w:r>
    </w:p>
    <w:p w14:paraId="2B52EC48" w14:textId="77777777" w:rsidR="00194E35" w:rsidRPr="00D80BA0" w:rsidRDefault="00194E35" w:rsidP="00D80BA0">
      <w:pPr>
        <w:pStyle w:val="ListParagraph"/>
        <w:numPr>
          <w:ilvl w:val="0"/>
          <w:numId w:val="29"/>
        </w:numPr>
        <w:rPr>
          <w:rFonts w:asciiTheme="minorHAnsi" w:hAnsiTheme="minorHAnsi" w:cstheme="minorHAnsi"/>
          <w:sz w:val="22"/>
          <w:szCs w:val="22"/>
        </w:rPr>
      </w:pPr>
      <w:r w:rsidRPr="00D80BA0">
        <w:rPr>
          <w:rFonts w:asciiTheme="minorHAnsi" w:hAnsiTheme="minorHAnsi" w:cstheme="minorHAnsi"/>
          <w:sz w:val="22"/>
          <w:szCs w:val="22"/>
        </w:rPr>
        <w:t>Provision of accurate and timely data through improved incident reporting systems and providing core data that teams can use to identify themes and support formulation of effective interventions.</w:t>
      </w:r>
    </w:p>
    <w:p w14:paraId="273F415A" w14:textId="2F6C794D" w:rsidR="00194E35" w:rsidRPr="00D80BA0" w:rsidRDefault="00194E35" w:rsidP="00D80BA0">
      <w:pPr>
        <w:pStyle w:val="ListParagraph"/>
        <w:rPr>
          <w:rFonts w:asciiTheme="minorHAnsi" w:hAnsiTheme="minorHAnsi" w:cstheme="minorHAnsi"/>
          <w:sz w:val="22"/>
          <w:szCs w:val="22"/>
        </w:rPr>
      </w:pPr>
      <w:r w:rsidRPr="00D80BA0">
        <w:rPr>
          <w:rFonts w:asciiTheme="minorHAnsi" w:hAnsiTheme="minorHAnsi" w:cstheme="minorHAnsi"/>
          <w:i/>
          <w:sz w:val="22"/>
          <w:szCs w:val="22"/>
        </w:rPr>
        <w:t>Core team and Trust wide</w:t>
      </w:r>
      <w:r w:rsidR="002973A7" w:rsidRPr="00D80BA0">
        <w:rPr>
          <w:rFonts w:asciiTheme="minorHAnsi" w:hAnsiTheme="minorHAnsi" w:cstheme="minorHAnsi"/>
          <w:i/>
          <w:sz w:val="22"/>
          <w:szCs w:val="22"/>
        </w:rPr>
        <w:t xml:space="preserve"> data has been agreed which</w:t>
      </w:r>
      <w:r w:rsidRPr="00D80BA0">
        <w:rPr>
          <w:rFonts w:asciiTheme="minorHAnsi" w:hAnsiTheme="minorHAnsi" w:cstheme="minorHAnsi"/>
          <w:i/>
          <w:sz w:val="22"/>
          <w:szCs w:val="22"/>
        </w:rPr>
        <w:t xml:space="preserve"> form</w:t>
      </w:r>
      <w:r w:rsidR="002973A7" w:rsidRPr="00D80BA0">
        <w:rPr>
          <w:rFonts w:asciiTheme="minorHAnsi" w:hAnsiTheme="minorHAnsi" w:cstheme="minorHAnsi"/>
          <w:i/>
          <w:sz w:val="22"/>
          <w:szCs w:val="22"/>
        </w:rPr>
        <w:t>s</w:t>
      </w:r>
      <w:r w:rsidRPr="00D80BA0">
        <w:rPr>
          <w:rFonts w:asciiTheme="minorHAnsi" w:hAnsiTheme="minorHAnsi" w:cstheme="minorHAnsi"/>
          <w:i/>
          <w:sz w:val="22"/>
          <w:szCs w:val="22"/>
        </w:rPr>
        <w:t xml:space="preserve"> the basis for teams </w:t>
      </w:r>
      <w:r w:rsidR="002973A7" w:rsidRPr="00D80BA0">
        <w:rPr>
          <w:rFonts w:asciiTheme="minorHAnsi" w:hAnsiTheme="minorHAnsi" w:cstheme="minorHAnsi"/>
          <w:i/>
          <w:sz w:val="22"/>
          <w:szCs w:val="22"/>
        </w:rPr>
        <w:t xml:space="preserve">on a monthly basis </w:t>
      </w:r>
      <w:r w:rsidRPr="00D80BA0">
        <w:rPr>
          <w:rFonts w:asciiTheme="minorHAnsi" w:hAnsiTheme="minorHAnsi" w:cstheme="minorHAnsi"/>
          <w:i/>
          <w:sz w:val="22"/>
          <w:szCs w:val="22"/>
        </w:rPr>
        <w:t xml:space="preserve">to identify themes and </w:t>
      </w:r>
      <w:r w:rsidR="002973A7" w:rsidRPr="00D80BA0">
        <w:rPr>
          <w:rFonts w:asciiTheme="minorHAnsi" w:hAnsiTheme="minorHAnsi" w:cstheme="minorHAnsi"/>
          <w:i/>
          <w:sz w:val="22"/>
          <w:szCs w:val="22"/>
        </w:rPr>
        <w:t>identify</w:t>
      </w:r>
      <w:r w:rsidRPr="00D80BA0">
        <w:rPr>
          <w:rFonts w:asciiTheme="minorHAnsi" w:hAnsiTheme="minorHAnsi" w:cstheme="minorHAnsi"/>
          <w:i/>
          <w:sz w:val="22"/>
          <w:szCs w:val="22"/>
        </w:rPr>
        <w:t xml:space="preserve"> actions</w:t>
      </w:r>
      <w:r w:rsidR="002973A7" w:rsidRPr="00D80BA0">
        <w:rPr>
          <w:rFonts w:asciiTheme="minorHAnsi" w:hAnsiTheme="minorHAnsi" w:cstheme="minorHAnsi"/>
          <w:i/>
          <w:sz w:val="22"/>
          <w:szCs w:val="22"/>
        </w:rPr>
        <w:t>.</w:t>
      </w:r>
    </w:p>
    <w:p w14:paraId="5C3801CE" w14:textId="531F06F0" w:rsidR="00194E35" w:rsidRPr="00D80BA0" w:rsidRDefault="00194E35" w:rsidP="00D80BA0">
      <w:pPr>
        <w:pStyle w:val="ListParagraph"/>
        <w:numPr>
          <w:ilvl w:val="0"/>
          <w:numId w:val="29"/>
        </w:numPr>
        <w:rPr>
          <w:rFonts w:asciiTheme="minorHAnsi" w:hAnsiTheme="minorHAnsi" w:cstheme="minorHAnsi"/>
          <w:sz w:val="22"/>
          <w:szCs w:val="22"/>
        </w:rPr>
      </w:pPr>
      <w:r w:rsidRPr="00D80BA0">
        <w:rPr>
          <w:rFonts w:asciiTheme="minorHAnsi" w:hAnsiTheme="minorHAnsi" w:cstheme="minorHAnsi"/>
          <w:sz w:val="22"/>
          <w:szCs w:val="22"/>
        </w:rPr>
        <w:t>Support implementation of Safewards interventions starting with Know Each Other across all inpatient areas.</w:t>
      </w:r>
      <w:r w:rsidR="002973A7" w:rsidRPr="00D80BA0">
        <w:rPr>
          <w:rFonts w:asciiTheme="minorHAnsi" w:hAnsiTheme="minorHAnsi" w:cstheme="minorHAnsi"/>
          <w:sz w:val="22"/>
          <w:szCs w:val="22"/>
        </w:rPr>
        <w:t xml:space="preserve"> </w:t>
      </w:r>
      <w:r w:rsidRPr="00D80BA0">
        <w:rPr>
          <w:rFonts w:asciiTheme="minorHAnsi" w:hAnsiTheme="minorHAnsi" w:cstheme="minorHAnsi"/>
          <w:i/>
          <w:sz w:val="22"/>
          <w:szCs w:val="22"/>
        </w:rPr>
        <w:t xml:space="preserve">KEO is now visible in most clinical areas and Champions are working to introduce other Safewards </w:t>
      </w:r>
      <w:r w:rsidR="0022773F" w:rsidRPr="00D80BA0">
        <w:rPr>
          <w:rFonts w:asciiTheme="minorHAnsi" w:hAnsiTheme="minorHAnsi" w:cstheme="minorHAnsi"/>
          <w:i/>
          <w:sz w:val="22"/>
          <w:szCs w:val="22"/>
        </w:rPr>
        <w:t>interventions</w:t>
      </w:r>
      <w:r w:rsidRPr="00D80BA0">
        <w:rPr>
          <w:rFonts w:asciiTheme="minorHAnsi" w:hAnsiTheme="minorHAnsi" w:cstheme="minorHAnsi"/>
          <w:i/>
          <w:sz w:val="22"/>
          <w:szCs w:val="22"/>
        </w:rPr>
        <w:t xml:space="preserve"> </w:t>
      </w:r>
    </w:p>
    <w:p w14:paraId="7B1930F5" w14:textId="6DDADF51" w:rsidR="00194E35" w:rsidRPr="00D80BA0" w:rsidRDefault="00194E35" w:rsidP="00D80BA0">
      <w:pPr>
        <w:pStyle w:val="ListParagraph"/>
        <w:numPr>
          <w:ilvl w:val="0"/>
          <w:numId w:val="29"/>
        </w:numPr>
        <w:rPr>
          <w:rFonts w:asciiTheme="minorHAnsi" w:hAnsiTheme="minorHAnsi" w:cstheme="minorHAnsi"/>
          <w:sz w:val="22"/>
          <w:szCs w:val="22"/>
        </w:rPr>
      </w:pPr>
      <w:r w:rsidRPr="00D80BA0">
        <w:rPr>
          <w:rFonts w:asciiTheme="minorHAnsi" w:hAnsiTheme="minorHAnsi" w:cstheme="minorHAnsi"/>
          <w:sz w:val="22"/>
          <w:szCs w:val="22"/>
        </w:rPr>
        <w:t>Close the gap between learning and practice, this will include provision of 2-day PEACE refreshers which focus on a simulation based approach designed to improve technical and non-technical skills while reinforcing PEACE ethos.</w:t>
      </w:r>
      <w:r w:rsidR="002973A7" w:rsidRPr="00D80BA0">
        <w:rPr>
          <w:rFonts w:asciiTheme="minorHAnsi" w:hAnsiTheme="minorHAnsi" w:cstheme="minorHAnsi"/>
          <w:sz w:val="22"/>
          <w:szCs w:val="22"/>
        </w:rPr>
        <w:t xml:space="preserve"> </w:t>
      </w:r>
      <w:r w:rsidRPr="00D80BA0">
        <w:rPr>
          <w:rFonts w:asciiTheme="minorHAnsi" w:hAnsiTheme="minorHAnsi" w:cstheme="minorHAnsi"/>
          <w:i/>
          <w:sz w:val="22"/>
          <w:szCs w:val="22"/>
        </w:rPr>
        <w:t>This has been agreed in principle. The PEACE team have employed additional trainers who are experienced clinicians to support development of content following an extensive review of the literature and busin</w:t>
      </w:r>
      <w:r w:rsidR="002973A7" w:rsidRPr="00D80BA0">
        <w:rPr>
          <w:rFonts w:asciiTheme="minorHAnsi" w:hAnsiTheme="minorHAnsi" w:cstheme="minorHAnsi"/>
          <w:i/>
          <w:sz w:val="22"/>
          <w:szCs w:val="22"/>
        </w:rPr>
        <w:t>ess case based on QI principles</w:t>
      </w:r>
      <w:r w:rsidRPr="00D80BA0">
        <w:rPr>
          <w:rFonts w:asciiTheme="minorHAnsi" w:hAnsiTheme="minorHAnsi" w:cstheme="minorHAnsi"/>
          <w:i/>
          <w:sz w:val="22"/>
          <w:szCs w:val="22"/>
        </w:rPr>
        <w:t xml:space="preserve">. Training to debrief and evaluate this approach has been sourced. </w:t>
      </w:r>
    </w:p>
    <w:p w14:paraId="1078337F" w14:textId="77777777" w:rsidR="00194E35" w:rsidRPr="00D80BA0" w:rsidRDefault="00194E35" w:rsidP="00D80BA0">
      <w:pPr>
        <w:pStyle w:val="ListParagraph"/>
        <w:numPr>
          <w:ilvl w:val="0"/>
          <w:numId w:val="29"/>
        </w:numPr>
        <w:rPr>
          <w:rFonts w:asciiTheme="minorHAnsi" w:hAnsiTheme="minorHAnsi" w:cstheme="minorHAnsi"/>
          <w:sz w:val="22"/>
          <w:szCs w:val="22"/>
        </w:rPr>
      </w:pPr>
      <w:r w:rsidRPr="00D80BA0">
        <w:rPr>
          <w:rFonts w:asciiTheme="minorHAnsi" w:hAnsiTheme="minorHAnsi" w:cstheme="minorHAnsi"/>
          <w:sz w:val="22"/>
          <w:szCs w:val="22"/>
        </w:rPr>
        <w:t>Improve effectiveness of PEACE governance meeting by scrutiny of data to highlight complaints, hotspots and anomalies. A review of membership to ensure senior representation to account for use of restrictive practices in their area and deliver tangible actions where necessary.</w:t>
      </w:r>
    </w:p>
    <w:p w14:paraId="6E5C58CA" w14:textId="137AC62B" w:rsidR="00194E35" w:rsidRPr="00D80BA0" w:rsidRDefault="00194E35" w:rsidP="00D80BA0">
      <w:pPr>
        <w:pStyle w:val="ListParagraph"/>
        <w:rPr>
          <w:rFonts w:asciiTheme="minorHAnsi" w:hAnsiTheme="minorHAnsi" w:cstheme="minorHAnsi"/>
          <w:sz w:val="22"/>
          <w:szCs w:val="22"/>
        </w:rPr>
      </w:pPr>
      <w:r w:rsidRPr="00D80BA0">
        <w:rPr>
          <w:rFonts w:asciiTheme="minorHAnsi" w:hAnsiTheme="minorHAnsi" w:cstheme="minorHAnsi"/>
          <w:i/>
          <w:sz w:val="22"/>
          <w:szCs w:val="22"/>
        </w:rPr>
        <w:t>Meeting now produces summary of actions to improve implementation</w:t>
      </w:r>
      <w:r w:rsidR="002973A7" w:rsidRPr="00D80BA0">
        <w:rPr>
          <w:rFonts w:asciiTheme="minorHAnsi" w:hAnsiTheme="minorHAnsi" w:cstheme="minorHAnsi"/>
          <w:sz w:val="22"/>
          <w:szCs w:val="22"/>
        </w:rPr>
        <w:t xml:space="preserve">. An action </w:t>
      </w:r>
      <w:r w:rsidR="002973A7" w:rsidRPr="00D80BA0">
        <w:rPr>
          <w:rFonts w:asciiTheme="minorHAnsi" w:hAnsiTheme="minorHAnsi" w:cstheme="minorHAnsi"/>
          <w:i/>
          <w:sz w:val="22"/>
          <w:szCs w:val="22"/>
        </w:rPr>
        <w:t>e</w:t>
      </w:r>
      <w:r w:rsidRPr="00D80BA0">
        <w:rPr>
          <w:rFonts w:asciiTheme="minorHAnsi" w:hAnsiTheme="minorHAnsi" w:cstheme="minorHAnsi"/>
          <w:i/>
          <w:sz w:val="22"/>
          <w:szCs w:val="22"/>
        </w:rPr>
        <w:t>ffect diagram has been developed to illustrate the program theory and theories of change and can be used to evaluate impact of interventions.</w:t>
      </w:r>
    </w:p>
    <w:p w14:paraId="5F0032EE" w14:textId="0CE2432C" w:rsidR="00194E35" w:rsidRPr="00D80BA0" w:rsidRDefault="00194E35" w:rsidP="00D80BA0">
      <w:pPr>
        <w:pStyle w:val="ListParagraph"/>
        <w:numPr>
          <w:ilvl w:val="0"/>
          <w:numId w:val="29"/>
        </w:numPr>
        <w:rPr>
          <w:rFonts w:asciiTheme="minorHAnsi" w:hAnsiTheme="minorHAnsi" w:cstheme="minorHAnsi"/>
          <w:sz w:val="22"/>
          <w:szCs w:val="22"/>
        </w:rPr>
      </w:pPr>
      <w:r w:rsidRPr="00D80BA0">
        <w:rPr>
          <w:rFonts w:asciiTheme="minorHAnsi" w:hAnsiTheme="minorHAnsi" w:cstheme="minorHAnsi"/>
          <w:sz w:val="22"/>
          <w:szCs w:val="22"/>
        </w:rPr>
        <w:t xml:space="preserve">Ensure PEACE training meets service needs and future commissioning </w:t>
      </w:r>
      <w:r w:rsidR="0022773F" w:rsidRPr="00D80BA0">
        <w:rPr>
          <w:rFonts w:asciiTheme="minorHAnsi" w:hAnsiTheme="minorHAnsi" w:cstheme="minorHAnsi"/>
          <w:sz w:val="22"/>
          <w:szCs w:val="22"/>
        </w:rPr>
        <w:t>standards.</w:t>
      </w:r>
      <w:r w:rsidRPr="00D80BA0">
        <w:rPr>
          <w:rFonts w:asciiTheme="minorHAnsi" w:hAnsiTheme="minorHAnsi" w:cstheme="minorHAnsi"/>
          <w:sz w:val="22"/>
          <w:szCs w:val="22"/>
        </w:rPr>
        <w:t xml:space="preserve"> There is now an available pathway to accreditation which will provide assurance that future commissioning changes are met in terms of training </w:t>
      </w:r>
      <w:r w:rsidR="002973A7" w:rsidRPr="00D80BA0">
        <w:rPr>
          <w:rFonts w:asciiTheme="minorHAnsi" w:hAnsiTheme="minorHAnsi" w:cstheme="minorHAnsi"/>
          <w:sz w:val="22"/>
          <w:szCs w:val="22"/>
        </w:rPr>
        <w:t>provision.</w:t>
      </w:r>
      <w:r w:rsidRPr="00D80BA0">
        <w:rPr>
          <w:rFonts w:asciiTheme="minorHAnsi" w:hAnsiTheme="minorHAnsi" w:cstheme="minorHAnsi"/>
          <w:sz w:val="22"/>
          <w:szCs w:val="22"/>
        </w:rPr>
        <w:t xml:space="preserve"> This is in</w:t>
      </w:r>
      <w:r w:rsidR="002973A7" w:rsidRPr="00D80BA0">
        <w:rPr>
          <w:rFonts w:asciiTheme="minorHAnsi" w:hAnsiTheme="minorHAnsi" w:cstheme="minorHAnsi"/>
          <w:sz w:val="22"/>
          <w:szCs w:val="22"/>
        </w:rPr>
        <w:t xml:space="preserve"> part due to the inclusion of learning disability</w:t>
      </w:r>
      <w:r w:rsidRPr="00D80BA0">
        <w:rPr>
          <w:rFonts w:asciiTheme="minorHAnsi" w:hAnsiTheme="minorHAnsi" w:cstheme="minorHAnsi"/>
          <w:sz w:val="22"/>
          <w:szCs w:val="22"/>
        </w:rPr>
        <w:t xml:space="preserve"> inpatient services but also the anticipated change in the BILD Code of Practice which will include training standa</w:t>
      </w:r>
      <w:r w:rsidR="002973A7" w:rsidRPr="00D80BA0">
        <w:rPr>
          <w:rFonts w:asciiTheme="minorHAnsi" w:hAnsiTheme="minorHAnsi" w:cstheme="minorHAnsi"/>
          <w:sz w:val="22"/>
          <w:szCs w:val="22"/>
        </w:rPr>
        <w:t>rds relevant to services with mental health</w:t>
      </w:r>
      <w:r w:rsidRPr="00D80BA0">
        <w:rPr>
          <w:rFonts w:asciiTheme="minorHAnsi" w:hAnsiTheme="minorHAnsi" w:cstheme="minorHAnsi"/>
          <w:sz w:val="22"/>
          <w:szCs w:val="22"/>
        </w:rPr>
        <w:t xml:space="preserve"> provision. </w:t>
      </w:r>
      <w:r w:rsidRPr="00D80BA0">
        <w:rPr>
          <w:rFonts w:asciiTheme="minorHAnsi" w:hAnsiTheme="minorHAnsi" w:cstheme="minorHAnsi"/>
          <w:i/>
          <w:sz w:val="22"/>
          <w:szCs w:val="22"/>
        </w:rPr>
        <w:t>BILD project post has been developed and agreed.</w:t>
      </w:r>
      <w:r w:rsidRPr="00D80BA0">
        <w:rPr>
          <w:rFonts w:asciiTheme="minorHAnsi" w:hAnsiTheme="minorHAnsi" w:cstheme="minorHAnsi"/>
          <w:sz w:val="22"/>
          <w:szCs w:val="22"/>
        </w:rPr>
        <w:t xml:space="preserve"> </w:t>
      </w:r>
      <w:r w:rsidRPr="00D80BA0">
        <w:rPr>
          <w:rFonts w:asciiTheme="minorHAnsi" w:hAnsiTheme="minorHAnsi" w:cstheme="minorHAnsi"/>
          <w:i/>
          <w:sz w:val="22"/>
          <w:szCs w:val="22"/>
        </w:rPr>
        <w:t xml:space="preserve">This post will ensure that PEACE is </w:t>
      </w:r>
      <w:r w:rsidR="002973A7" w:rsidRPr="00D80BA0">
        <w:rPr>
          <w:rFonts w:asciiTheme="minorHAnsi" w:hAnsiTheme="minorHAnsi" w:cstheme="minorHAnsi"/>
          <w:i/>
          <w:sz w:val="22"/>
          <w:szCs w:val="22"/>
        </w:rPr>
        <w:t>fully aligned and embedded in learning disability</w:t>
      </w:r>
      <w:r w:rsidRPr="00D80BA0">
        <w:rPr>
          <w:rFonts w:asciiTheme="minorHAnsi" w:hAnsiTheme="minorHAnsi" w:cstheme="minorHAnsi"/>
          <w:i/>
          <w:sz w:val="22"/>
          <w:szCs w:val="22"/>
        </w:rPr>
        <w:t xml:space="preserve"> inpatient services and that training meets the standards required to achieve accreditation and meets the needs of all OH services within an agreed timeframe.</w:t>
      </w:r>
    </w:p>
    <w:p w14:paraId="2A3CE911" w14:textId="4FBCF5BA" w:rsidR="00194E35" w:rsidRPr="00D80BA0" w:rsidRDefault="00194E35" w:rsidP="00D80BA0">
      <w:pPr>
        <w:pStyle w:val="ListParagraph"/>
        <w:numPr>
          <w:ilvl w:val="0"/>
          <w:numId w:val="29"/>
        </w:numPr>
        <w:rPr>
          <w:rFonts w:asciiTheme="minorHAnsi" w:hAnsiTheme="minorHAnsi" w:cstheme="minorHAnsi"/>
          <w:sz w:val="22"/>
          <w:szCs w:val="22"/>
        </w:rPr>
      </w:pPr>
      <w:r w:rsidRPr="00D80BA0">
        <w:rPr>
          <w:rFonts w:asciiTheme="minorHAnsi" w:hAnsiTheme="minorHAnsi" w:cstheme="minorHAnsi"/>
          <w:sz w:val="22"/>
          <w:szCs w:val="22"/>
        </w:rPr>
        <w:t xml:space="preserve">Raise awareness of PEACE to increase level of positive </w:t>
      </w:r>
      <w:r w:rsidR="002973A7" w:rsidRPr="00D80BA0">
        <w:rPr>
          <w:rFonts w:asciiTheme="minorHAnsi" w:hAnsiTheme="minorHAnsi" w:cstheme="minorHAnsi"/>
          <w:sz w:val="22"/>
          <w:szCs w:val="22"/>
        </w:rPr>
        <w:t>engagement,</w:t>
      </w:r>
      <w:r w:rsidRPr="00D80BA0">
        <w:rPr>
          <w:rFonts w:asciiTheme="minorHAnsi" w:hAnsiTheme="minorHAnsi" w:cstheme="minorHAnsi"/>
          <w:sz w:val="22"/>
          <w:szCs w:val="22"/>
        </w:rPr>
        <w:t xml:space="preserve"> improving morale and unhelpful stigmatising of staff and patients. </w:t>
      </w:r>
      <w:r w:rsidR="0022773F">
        <w:rPr>
          <w:rFonts w:asciiTheme="minorHAnsi" w:hAnsiTheme="minorHAnsi" w:cstheme="minorHAnsi"/>
          <w:i/>
          <w:sz w:val="22"/>
          <w:szCs w:val="22"/>
        </w:rPr>
        <w:t>Request for Communications</w:t>
      </w:r>
      <w:r w:rsidRPr="00D80BA0">
        <w:rPr>
          <w:rFonts w:asciiTheme="minorHAnsi" w:hAnsiTheme="minorHAnsi" w:cstheme="minorHAnsi"/>
          <w:i/>
          <w:sz w:val="22"/>
          <w:szCs w:val="22"/>
        </w:rPr>
        <w:t xml:space="preserve"> team to support easily accessible resource area and positive presence on Intranet page. Involvement in Healthfest</w:t>
      </w:r>
      <w:r w:rsidR="0022773F">
        <w:rPr>
          <w:rFonts w:asciiTheme="minorHAnsi" w:hAnsiTheme="minorHAnsi" w:cstheme="minorHAnsi"/>
          <w:i/>
          <w:sz w:val="22"/>
          <w:szCs w:val="22"/>
        </w:rPr>
        <w:t xml:space="preserve"> in September 2018</w:t>
      </w:r>
      <w:r w:rsidR="0022773F" w:rsidRPr="00D80BA0">
        <w:rPr>
          <w:rFonts w:asciiTheme="minorHAnsi" w:hAnsiTheme="minorHAnsi" w:cstheme="minorHAnsi"/>
          <w:i/>
          <w:sz w:val="22"/>
          <w:szCs w:val="22"/>
        </w:rPr>
        <w:t>,</w:t>
      </w:r>
      <w:r w:rsidRPr="00D80BA0">
        <w:rPr>
          <w:rFonts w:asciiTheme="minorHAnsi" w:hAnsiTheme="minorHAnsi" w:cstheme="minorHAnsi"/>
          <w:i/>
          <w:sz w:val="22"/>
          <w:szCs w:val="22"/>
        </w:rPr>
        <w:t xml:space="preserve"> PEACE will have a stall where we can promote Champions work with Safewards interventions s</w:t>
      </w:r>
      <w:r w:rsidR="002973A7" w:rsidRPr="00D80BA0">
        <w:rPr>
          <w:rFonts w:asciiTheme="minorHAnsi" w:hAnsiTheme="minorHAnsi" w:cstheme="minorHAnsi"/>
          <w:i/>
          <w:sz w:val="22"/>
          <w:szCs w:val="22"/>
        </w:rPr>
        <w:t xml:space="preserve">uch as </w:t>
      </w:r>
      <w:r w:rsidR="0022773F" w:rsidRPr="00D80BA0">
        <w:rPr>
          <w:rFonts w:asciiTheme="minorHAnsi" w:hAnsiTheme="minorHAnsi" w:cstheme="minorHAnsi"/>
          <w:i/>
          <w:sz w:val="22"/>
          <w:szCs w:val="22"/>
        </w:rPr>
        <w:t>KEO,</w:t>
      </w:r>
      <w:r w:rsidR="002973A7" w:rsidRPr="00D80BA0">
        <w:rPr>
          <w:rFonts w:asciiTheme="minorHAnsi" w:hAnsiTheme="minorHAnsi" w:cstheme="minorHAnsi"/>
          <w:i/>
          <w:sz w:val="22"/>
          <w:szCs w:val="22"/>
        </w:rPr>
        <w:t xml:space="preserve"> Positive </w:t>
      </w:r>
      <w:r w:rsidR="0022773F" w:rsidRPr="00D80BA0">
        <w:rPr>
          <w:rFonts w:asciiTheme="minorHAnsi" w:hAnsiTheme="minorHAnsi" w:cstheme="minorHAnsi"/>
          <w:i/>
          <w:sz w:val="22"/>
          <w:szCs w:val="22"/>
        </w:rPr>
        <w:t>Words,</w:t>
      </w:r>
      <w:r w:rsidR="002973A7" w:rsidRPr="00D80BA0">
        <w:rPr>
          <w:rFonts w:asciiTheme="minorHAnsi" w:hAnsiTheme="minorHAnsi" w:cstheme="minorHAnsi"/>
          <w:i/>
          <w:sz w:val="22"/>
          <w:szCs w:val="22"/>
        </w:rPr>
        <w:t xml:space="preserve"> Safew</w:t>
      </w:r>
      <w:r w:rsidRPr="00D80BA0">
        <w:rPr>
          <w:rFonts w:asciiTheme="minorHAnsi" w:hAnsiTheme="minorHAnsi" w:cstheme="minorHAnsi"/>
          <w:i/>
          <w:sz w:val="22"/>
          <w:szCs w:val="22"/>
        </w:rPr>
        <w:t>ords and use of sensory</w:t>
      </w:r>
      <w:r w:rsidRPr="00D80BA0">
        <w:rPr>
          <w:rFonts w:asciiTheme="minorHAnsi" w:hAnsiTheme="minorHAnsi" w:cstheme="minorHAnsi"/>
          <w:sz w:val="22"/>
          <w:szCs w:val="22"/>
        </w:rPr>
        <w:t xml:space="preserve"> </w:t>
      </w:r>
      <w:r w:rsidRPr="00D80BA0">
        <w:rPr>
          <w:rFonts w:asciiTheme="minorHAnsi" w:hAnsiTheme="minorHAnsi" w:cstheme="minorHAnsi"/>
          <w:i/>
          <w:sz w:val="22"/>
          <w:szCs w:val="22"/>
        </w:rPr>
        <w:t>activities</w:t>
      </w:r>
      <w:r w:rsidRPr="00D80BA0">
        <w:rPr>
          <w:rFonts w:asciiTheme="minorHAnsi" w:hAnsiTheme="minorHAnsi" w:cstheme="minorHAnsi"/>
          <w:sz w:val="22"/>
          <w:szCs w:val="22"/>
        </w:rPr>
        <w:t>.</w:t>
      </w:r>
    </w:p>
    <w:p w14:paraId="6E0AF730" w14:textId="0BF6F72B" w:rsidR="00E91D6B" w:rsidRPr="00D80BA0" w:rsidRDefault="00E91D6B" w:rsidP="00D80BA0">
      <w:pPr>
        <w:contextualSpacing/>
        <w:rPr>
          <w:rFonts w:asciiTheme="minorHAnsi" w:hAnsiTheme="minorHAnsi" w:cstheme="minorHAnsi"/>
          <w:sz w:val="22"/>
          <w:szCs w:val="22"/>
          <w:u w:val="single"/>
        </w:rPr>
      </w:pPr>
    </w:p>
    <w:p w14:paraId="53E894BA" w14:textId="21C2B568" w:rsidR="002F5968" w:rsidRPr="00D80BA0" w:rsidRDefault="00D01595" w:rsidP="00D80BA0">
      <w:pPr>
        <w:contextualSpacing/>
        <w:rPr>
          <w:rFonts w:asciiTheme="minorHAnsi" w:hAnsiTheme="minorHAnsi" w:cstheme="minorHAnsi"/>
          <w:b/>
          <w:sz w:val="22"/>
          <w:szCs w:val="22"/>
          <w:u w:val="single"/>
        </w:rPr>
      </w:pPr>
      <w:r w:rsidRPr="00D80BA0">
        <w:rPr>
          <w:rFonts w:asciiTheme="minorHAnsi" w:hAnsiTheme="minorHAnsi" w:cstheme="minorHAnsi"/>
          <w:b/>
          <w:sz w:val="22"/>
          <w:szCs w:val="22"/>
          <w:u w:val="single"/>
        </w:rPr>
        <w:t>3</w:t>
      </w:r>
      <w:r w:rsidR="00304B1B" w:rsidRPr="00D80BA0">
        <w:rPr>
          <w:rFonts w:asciiTheme="minorHAnsi" w:hAnsiTheme="minorHAnsi" w:cstheme="minorHAnsi"/>
          <w:b/>
          <w:sz w:val="22"/>
          <w:szCs w:val="22"/>
          <w:u w:val="single"/>
        </w:rPr>
        <w:t xml:space="preserve">.0 </w:t>
      </w:r>
      <w:r w:rsidR="00384C71" w:rsidRPr="00D80BA0">
        <w:rPr>
          <w:rFonts w:asciiTheme="minorHAnsi" w:hAnsiTheme="minorHAnsi" w:cstheme="minorHAnsi"/>
          <w:b/>
          <w:sz w:val="22"/>
          <w:szCs w:val="22"/>
          <w:u w:val="single"/>
        </w:rPr>
        <w:t xml:space="preserve">Data Quality </w:t>
      </w:r>
    </w:p>
    <w:p w14:paraId="1C9E9337" w14:textId="1589D914" w:rsidR="005E4D6D" w:rsidRPr="00D80BA0" w:rsidRDefault="00D01595" w:rsidP="00D80BA0">
      <w:pPr>
        <w:contextualSpacing/>
        <w:jc w:val="both"/>
        <w:rPr>
          <w:rFonts w:asciiTheme="minorHAnsi" w:hAnsiTheme="minorHAnsi" w:cstheme="minorHAnsi"/>
          <w:sz w:val="22"/>
          <w:szCs w:val="22"/>
          <w:u w:val="single"/>
        </w:rPr>
      </w:pPr>
      <w:r w:rsidRPr="00D80BA0">
        <w:rPr>
          <w:rFonts w:asciiTheme="minorHAnsi" w:hAnsiTheme="minorHAnsi" w:cstheme="minorHAnsi"/>
          <w:sz w:val="22"/>
          <w:szCs w:val="22"/>
          <w:u w:val="single"/>
        </w:rPr>
        <w:t>3</w:t>
      </w:r>
      <w:r w:rsidR="005E4D6D" w:rsidRPr="00D80BA0">
        <w:rPr>
          <w:rFonts w:asciiTheme="minorHAnsi" w:hAnsiTheme="minorHAnsi" w:cstheme="minorHAnsi"/>
          <w:sz w:val="22"/>
          <w:szCs w:val="22"/>
          <w:u w:val="single"/>
        </w:rPr>
        <w:t>.1 Contract with Ulysses Limited</w:t>
      </w:r>
    </w:p>
    <w:p w14:paraId="0A827130" w14:textId="4F2707A8" w:rsidR="005E4D6D" w:rsidRPr="00D80BA0" w:rsidRDefault="007E62ED"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The s</w:t>
      </w:r>
      <w:r w:rsidR="005E4D6D" w:rsidRPr="00D80BA0">
        <w:rPr>
          <w:rFonts w:asciiTheme="minorHAnsi" w:hAnsiTheme="minorHAnsi" w:cstheme="minorHAnsi"/>
          <w:sz w:val="22"/>
          <w:szCs w:val="22"/>
        </w:rPr>
        <w:t xml:space="preserve">oftware licence contract with Ulysses Limited </w:t>
      </w:r>
      <w:r w:rsidR="002973A7" w:rsidRPr="00D80BA0">
        <w:rPr>
          <w:rFonts w:asciiTheme="minorHAnsi" w:hAnsiTheme="minorHAnsi" w:cstheme="minorHAnsi"/>
          <w:sz w:val="22"/>
          <w:szCs w:val="22"/>
        </w:rPr>
        <w:t>was renewed for one year from August 2018.</w:t>
      </w:r>
      <w:r w:rsidRPr="00D80BA0">
        <w:rPr>
          <w:rFonts w:asciiTheme="minorHAnsi" w:hAnsiTheme="minorHAnsi" w:cstheme="minorHAnsi"/>
          <w:sz w:val="22"/>
          <w:szCs w:val="22"/>
        </w:rPr>
        <w:t xml:space="preserve"> Currently Ulysses is used for</w:t>
      </w:r>
      <w:r w:rsidR="005E4D6D" w:rsidRPr="00D80BA0">
        <w:rPr>
          <w:rFonts w:asciiTheme="minorHAnsi" w:hAnsiTheme="minorHAnsi" w:cstheme="minorHAnsi"/>
          <w:sz w:val="22"/>
          <w:szCs w:val="22"/>
        </w:rPr>
        <w:t xml:space="preserve"> incid</w:t>
      </w:r>
      <w:r w:rsidRPr="00D80BA0">
        <w:rPr>
          <w:rFonts w:asciiTheme="minorHAnsi" w:hAnsiTheme="minorHAnsi" w:cstheme="minorHAnsi"/>
          <w:sz w:val="22"/>
          <w:szCs w:val="22"/>
        </w:rPr>
        <w:t xml:space="preserve">ent management system, and also </w:t>
      </w:r>
      <w:r w:rsidR="005E4D6D" w:rsidRPr="00D80BA0">
        <w:rPr>
          <w:rFonts w:asciiTheme="minorHAnsi" w:hAnsiTheme="minorHAnsi" w:cstheme="minorHAnsi"/>
          <w:sz w:val="22"/>
          <w:szCs w:val="22"/>
        </w:rPr>
        <w:t>to manage concerns/ complaints, legal</w:t>
      </w:r>
      <w:r w:rsidR="00C472E5" w:rsidRPr="00D80BA0">
        <w:rPr>
          <w:rFonts w:asciiTheme="minorHAnsi" w:hAnsiTheme="minorHAnsi" w:cstheme="minorHAnsi"/>
          <w:sz w:val="22"/>
          <w:szCs w:val="22"/>
        </w:rPr>
        <w:t xml:space="preserve"> claims, policy register</w:t>
      </w:r>
      <w:r w:rsidR="002973A7" w:rsidRPr="00D80BA0">
        <w:rPr>
          <w:rFonts w:asciiTheme="minorHAnsi" w:hAnsiTheme="minorHAnsi" w:cstheme="minorHAnsi"/>
          <w:sz w:val="22"/>
          <w:szCs w:val="22"/>
        </w:rPr>
        <w:t>,</w:t>
      </w:r>
      <w:r w:rsidR="00C472E5" w:rsidRPr="00D80BA0">
        <w:rPr>
          <w:rFonts w:asciiTheme="minorHAnsi" w:hAnsiTheme="minorHAnsi" w:cstheme="minorHAnsi"/>
          <w:sz w:val="22"/>
          <w:szCs w:val="22"/>
        </w:rPr>
        <w:t xml:space="preserve"> patient safety</w:t>
      </w:r>
      <w:r w:rsidR="005E4D6D" w:rsidRPr="00D80BA0">
        <w:rPr>
          <w:rFonts w:asciiTheme="minorHAnsi" w:hAnsiTheme="minorHAnsi" w:cstheme="minorHAnsi"/>
          <w:sz w:val="22"/>
          <w:szCs w:val="22"/>
        </w:rPr>
        <w:t xml:space="preserve"> alerts</w:t>
      </w:r>
      <w:r w:rsidR="002973A7" w:rsidRPr="00D80BA0">
        <w:rPr>
          <w:rFonts w:asciiTheme="minorHAnsi" w:hAnsiTheme="minorHAnsi" w:cstheme="minorHAnsi"/>
          <w:sz w:val="22"/>
          <w:szCs w:val="22"/>
        </w:rPr>
        <w:t xml:space="preserve"> and NICE implementation</w:t>
      </w:r>
      <w:r w:rsidR="005E4D6D" w:rsidRPr="00D80BA0">
        <w:rPr>
          <w:rFonts w:asciiTheme="minorHAnsi" w:hAnsiTheme="minorHAnsi" w:cstheme="minorHAnsi"/>
          <w:sz w:val="22"/>
          <w:szCs w:val="22"/>
        </w:rPr>
        <w:t>. The last upgrade to the system w</w:t>
      </w:r>
      <w:r w:rsidR="00806C8B" w:rsidRPr="00D80BA0">
        <w:rPr>
          <w:rFonts w:asciiTheme="minorHAnsi" w:hAnsiTheme="minorHAnsi" w:cstheme="minorHAnsi"/>
          <w:sz w:val="22"/>
          <w:szCs w:val="22"/>
        </w:rPr>
        <w:t>as im</w:t>
      </w:r>
      <w:r w:rsidR="00F91ECC" w:rsidRPr="00D80BA0">
        <w:rPr>
          <w:rFonts w:asciiTheme="minorHAnsi" w:hAnsiTheme="minorHAnsi" w:cstheme="minorHAnsi"/>
          <w:sz w:val="22"/>
          <w:szCs w:val="22"/>
        </w:rPr>
        <w:t>plemented by Ulysses in March 2018 which included a number of improvements to options for questionnaires</w:t>
      </w:r>
      <w:r w:rsidRPr="00D80BA0">
        <w:rPr>
          <w:rFonts w:asciiTheme="minorHAnsi" w:hAnsiTheme="minorHAnsi" w:cstheme="minorHAnsi"/>
          <w:sz w:val="22"/>
          <w:szCs w:val="22"/>
        </w:rPr>
        <w:t xml:space="preserve"> and dashboards</w:t>
      </w:r>
      <w:r w:rsidR="00F91ECC" w:rsidRPr="00D80BA0">
        <w:rPr>
          <w:rFonts w:asciiTheme="minorHAnsi" w:hAnsiTheme="minorHAnsi" w:cstheme="minorHAnsi"/>
          <w:sz w:val="22"/>
          <w:szCs w:val="22"/>
        </w:rPr>
        <w:t xml:space="preserve"> within the system</w:t>
      </w:r>
      <w:r w:rsidR="008364BB" w:rsidRPr="00D80BA0">
        <w:rPr>
          <w:rFonts w:asciiTheme="minorHAnsi" w:hAnsiTheme="minorHAnsi" w:cstheme="minorHAnsi"/>
          <w:sz w:val="22"/>
          <w:szCs w:val="22"/>
        </w:rPr>
        <w:t>, the next upgrade is due in October 2018</w:t>
      </w:r>
      <w:r w:rsidR="005E4D6D" w:rsidRPr="00D80BA0">
        <w:rPr>
          <w:rFonts w:asciiTheme="minorHAnsi" w:hAnsiTheme="minorHAnsi" w:cstheme="minorHAnsi"/>
          <w:sz w:val="22"/>
          <w:szCs w:val="22"/>
        </w:rPr>
        <w:t xml:space="preserve">. </w:t>
      </w:r>
    </w:p>
    <w:p w14:paraId="752BC04D" w14:textId="7AE5484D" w:rsidR="00FA39D4" w:rsidRPr="00D80BA0" w:rsidRDefault="00FA39D4" w:rsidP="00D80BA0">
      <w:pPr>
        <w:contextualSpacing/>
        <w:jc w:val="both"/>
        <w:rPr>
          <w:rFonts w:asciiTheme="minorHAnsi" w:hAnsiTheme="minorHAnsi" w:cstheme="minorHAnsi"/>
          <w:sz w:val="22"/>
          <w:szCs w:val="22"/>
        </w:rPr>
      </w:pPr>
    </w:p>
    <w:p w14:paraId="4089E1A8" w14:textId="13C5E497" w:rsidR="005E4D6D" w:rsidRPr="00D80BA0" w:rsidRDefault="00D01595" w:rsidP="00D80BA0">
      <w:pPr>
        <w:contextualSpacing/>
        <w:jc w:val="both"/>
        <w:rPr>
          <w:rFonts w:asciiTheme="minorHAnsi" w:hAnsiTheme="minorHAnsi" w:cstheme="minorHAnsi"/>
          <w:sz w:val="22"/>
          <w:szCs w:val="22"/>
          <w:u w:val="single"/>
        </w:rPr>
      </w:pPr>
      <w:r w:rsidRPr="00D80BA0">
        <w:rPr>
          <w:rFonts w:asciiTheme="minorHAnsi" w:hAnsiTheme="minorHAnsi" w:cstheme="minorHAnsi"/>
          <w:sz w:val="22"/>
          <w:szCs w:val="22"/>
          <w:u w:val="single"/>
        </w:rPr>
        <w:t>3</w:t>
      </w:r>
      <w:r w:rsidR="005E4D6D" w:rsidRPr="00D80BA0">
        <w:rPr>
          <w:rFonts w:asciiTheme="minorHAnsi" w:hAnsiTheme="minorHAnsi" w:cstheme="minorHAnsi"/>
          <w:sz w:val="22"/>
          <w:szCs w:val="22"/>
          <w:u w:val="single"/>
        </w:rPr>
        <w:t>.2</w:t>
      </w:r>
      <w:r w:rsidR="00FA39D4" w:rsidRPr="00D80BA0">
        <w:rPr>
          <w:rFonts w:asciiTheme="minorHAnsi" w:hAnsiTheme="minorHAnsi" w:cstheme="minorHAnsi"/>
          <w:sz w:val="22"/>
          <w:szCs w:val="22"/>
          <w:u w:val="single"/>
        </w:rPr>
        <w:t xml:space="preserve"> Ulysses s</w:t>
      </w:r>
      <w:r w:rsidR="005E4D6D" w:rsidRPr="00D80BA0">
        <w:rPr>
          <w:rFonts w:asciiTheme="minorHAnsi" w:hAnsiTheme="minorHAnsi" w:cstheme="minorHAnsi"/>
          <w:sz w:val="22"/>
          <w:szCs w:val="22"/>
          <w:u w:val="single"/>
        </w:rPr>
        <w:t>ystem developments</w:t>
      </w:r>
    </w:p>
    <w:p w14:paraId="04A2C0CD" w14:textId="77777777" w:rsidR="005E4D6D" w:rsidRPr="00D80BA0" w:rsidRDefault="005E4D6D"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The information analyst in the quality and risk team leads on system developments and</w:t>
      </w:r>
      <w:r w:rsidR="001D701A" w:rsidRPr="00D80BA0">
        <w:rPr>
          <w:rFonts w:asciiTheme="minorHAnsi" w:hAnsiTheme="minorHAnsi" w:cstheme="minorHAnsi"/>
          <w:sz w:val="22"/>
          <w:szCs w:val="22"/>
        </w:rPr>
        <w:t xml:space="preserve"> on extracting and analysing </w:t>
      </w:r>
      <w:r w:rsidRPr="00D80BA0">
        <w:rPr>
          <w:rFonts w:asciiTheme="minorHAnsi" w:hAnsiTheme="minorHAnsi" w:cstheme="minorHAnsi"/>
          <w:sz w:val="22"/>
          <w:szCs w:val="22"/>
        </w:rPr>
        <w:t xml:space="preserve">data from Ulysses. The member of staff is </w:t>
      </w:r>
      <w:r w:rsidR="00152063" w:rsidRPr="00D80BA0">
        <w:rPr>
          <w:rFonts w:asciiTheme="minorHAnsi" w:hAnsiTheme="minorHAnsi" w:cstheme="minorHAnsi"/>
          <w:sz w:val="22"/>
          <w:szCs w:val="22"/>
        </w:rPr>
        <w:t xml:space="preserve">currently </w:t>
      </w:r>
      <w:r w:rsidR="008F4F68" w:rsidRPr="00D80BA0">
        <w:rPr>
          <w:rFonts w:asciiTheme="minorHAnsi" w:hAnsiTheme="minorHAnsi" w:cstheme="minorHAnsi"/>
          <w:sz w:val="22"/>
          <w:szCs w:val="22"/>
        </w:rPr>
        <w:t>seconded to work three</w:t>
      </w:r>
      <w:r w:rsidRPr="00D80BA0">
        <w:rPr>
          <w:rFonts w:asciiTheme="minorHAnsi" w:hAnsiTheme="minorHAnsi" w:cstheme="minorHAnsi"/>
          <w:sz w:val="22"/>
          <w:szCs w:val="22"/>
        </w:rPr>
        <w:t xml:space="preserve"> days a week in the Business Intelligence team which enables a good transfer of knowledge and skills. </w:t>
      </w:r>
    </w:p>
    <w:p w14:paraId="72CB38FC" w14:textId="77777777" w:rsidR="005E4D6D" w:rsidRPr="00D80BA0" w:rsidRDefault="005E4D6D" w:rsidP="00D80BA0">
      <w:pPr>
        <w:contextualSpacing/>
        <w:jc w:val="both"/>
        <w:rPr>
          <w:rFonts w:asciiTheme="minorHAnsi" w:hAnsiTheme="minorHAnsi" w:cstheme="minorHAnsi"/>
          <w:sz w:val="22"/>
          <w:szCs w:val="22"/>
        </w:rPr>
      </w:pPr>
    </w:p>
    <w:p w14:paraId="79560471" w14:textId="77777777" w:rsidR="005E4D6D" w:rsidRPr="00D80BA0" w:rsidRDefault="005E4D6D"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 xml:space="preserve">The incident management system is continually being developed and a change document is kept to catalogue changes made. A group of senior staff meet </w:t>
      </w:r>
      <w:r w:rsidR="00152063" w:rsidRPr="00D80BA0">
        <w:rPr>
          <w:rFonts w:asciiTheme="minorHAnsi" w:hAnsiTheme="minorHAnsi" w:cstheme="minorHAnsi"/>
          <w:sz w:val="22"/>
          <w:szCs w:val="22"/>
        </w:rPr>
        <w:t>regularly</w:t>
      </w:r>
      <w:r w:rsidRPr="00D80BA0">
        <w:rPr>
          <w:rFonts w:asciiTheme="minorHAnsi" w:hAnsiTheme="minorHAnsi" w:cstheme="minorHAnsi"/>
          <w:sz w:val="22"/>
          <w:szCs w:val="22"/>
        </w:rPr>
        <w:t xml:space="preserve"> to discuss and approve requests from users (staff), improve data quality, develop </w:t>
      </w:r>
      <w:r w:rsidR="00152063" w:rsidRPr="00D80BA0">
        <w:rPr>
          <w:rFonts w:asciiTheme="minorHAnsi" w:hAnsiTheme="minorHAnsi" w:cstheme="minorHAnsi"/>
          <w:sz w:val="22"/>
          <w:szCs w:val="22"/>
        </w:rPr>
        <w:t>the design of the system</w:t>
      </w:r>
      <w:r w:rsidRPr="00D80BA0">
        <w:rPr>
          <w:rFonts w:asciiTheme="minorHAnsi" w:hAnsiTheme="minorHAnsi" w:cstheme="minorHAnsi"/>
          <w:sz w:val="22"/>
          <w:szCs w:val="22"/>
        </w:rPr>
        <w:t xml:space="preserve">, and discuss future development requirements. </w:t>
      </w:r>
    </w:p>
    <w:p w14:paraId="4C597CA0" w14:textId="0318F151" w:rsidR="00D01595" w:rsidRPr="00D80BA0" w:rsidRDefault="00FA39D4"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 xml:space="preserve"> </w:t>
      </w:r>
    </w:p>
    <w:p w14:paraId="098C0E16" w14:textId="03A6A65A" w:rsidR="00F854B6" w:rsidRPr="00D80BA0" w:rsidRDefault="00D01595" w:rsidP="00D80BA0">
      <w:pPr>
        <w:contextualSpacing/>
        <w:rPr>
          <w:rFonts w:asciiTheme="minorHAnsi" w:hAnsiTheme="minorHAnsi" w:cstheme="minorHAnsi"/>
          <w:b/>
          <w:sz w:val="22"/>
          <w:szCs w:val="22"/>
          <w:u w:val="single"/>
        </w:rPr>
      </w:pPr>
      <w:r w:rsidRPr="00D80BA0">
        <w:rPr>
          <w:rFonts w:asciiTheme="minorHAnsi" w:hAnsiTheme="minorHAnsi" w:cstheme="minorHAnsi"/>
          <w:b/>
          <w:sz w:val="22"/>
          <w:szCs w:val="22"/>
          <w:u w:val="single"/>
        </w:rPr>
        <w:t>4</w:t>
      </w:r>
      <w:r w:rsidR="00304B1B" w:rsidRPr="00D80BA0">
        <w:rPr>
          <w:rFonts w:asciiTheme="minorHAnsi" w:hAnsiTheme="minorHAnsi" w:cstheme="minorHAnsi"/>
          <w:b/>
          <w:sz w:val="22"/>
          <w:szCs w:val="22"/>
          <w:u w:val="single"/>
        </w:rPr>
        <w:t xml:space="preserve">.0 </w:t>
      </w:r>
      <w:r w:rsidR="00C472E5" w:rsidRPr="00D80BA0">
        <w:rPr>
          <w:rFonts w:asciiTheme="minorHAnsi" w:hAnsiTheme="minorHAnsi" w:cstheme="minorHAnsi"/>
          <w:b/>
          <w:sz w:val="22"/>
          <w:szCs w:val="22"/>
          <w:u w:val="single"/>
        </w:rPr>
        <w:t>Patient safety</w:t>
      </w:r>
      <w:r w:rsidR="00161B5B" w:rsidRPr="00D80BA0">
        <w:rPr>
          <w:rFonts w:asciiTheme="minorHAnsi" w:hAnsiTheme="minorHAnsi" w:cstheme="minorHAnsi"/>
          <w:b/>
          <w:sz w:val="22"/>
          <w:szCs w:val="22"/>
          <w:u w:val="single"/>
        </w:rPr>
        <w:t xml:space="preserve"> alerts</w:t>
      </w:r>
      <w:r w:rsidR="00AA24C1" w:rsidRPr="00D80BA0">
        <w:rPr>
          <w:rFonts w:asciiTheme="minorHAnsi" w:hAnsiTheme="minorHAnsi" w:cstheme="minorHAnsi"/>
          <w:b/>
          <w:sz w:val="22"/>
          <w:szCs w:val="22"/>
          <w:u w:val="single"/>
        </w:rPr>
        <w:t xml:space="preserve"> and Risk Notes</w:t>
      </w:r>
    </w:p>
    <w:p w14:paraId="5D051474" w14:textId="71A0E0B8" w:rsidR="007242F8" w:rsidRPr="00D80BA0" w:rsidRDefault="0062710C" w:rsidP="00D80BA0">
      <w:pPr>
        <w:contextualSpacing/>
        <w:rPr>
          <w:rFonts w:asciiTheme="minorHAnsi" w:hAnsiTheme="minorHAnsi" w:cstheme="minorHAnsi"/>
          <w:sz w:val="22"/>
          <w:szCs w:val="22"/>
        </w:rPr>
      </w:pPr>
      <w:r w:rsidRPr="00D80BA0">
        <w:rPr>
          <w:rFonts w:asciiTheme="minorHAnsi" w:hAnsiTheme="minorHAnsi" w:cstheme="minorHAnsi"/>
          <w:sz w:val="22"/>
          <w:szCs w:val="22"/>
        </w:rPr>
        <w:t>In Q1 30 CAS</w:t>
      </w:r>
      <w:r w:rsidR="007242F8" w:rsidRPr="00D80BA0">
        <w:rPr>
          <w:rFonts w:asciiTheme="minorHAnsi" w:hAnsiTheme="minorHAnsi" w:cstheme="minorHAnsi"/>
          <w:sz w:val="22"/>
          <w:szCs w:val="22"/>
        </w:rPr>
        <w:t xml:space="preserve"> alerts were issued (ex</w:t>
      </w:r>
      <w:r w:rsidR="00860FC7" w:rsidRPr="00D80BA0">
        <w:rPr>
          <w:rFonts w:asciiTheme="minorHAnsi" w:hAnsiTheme="minorHAnsi" w:cstheme="minorHAnsi"/>
          <w:sz w:val="22"/>
          <w:szCs w:val="22"/>
        </w:rPr>
        <w:t xml:space="preserve">cluding </w:t>
      </w:r>
      <w:r w:rsidR="00AB4DF6" w:rsidRPr="00D80BA0">
        <w:rPr>
          <w:rFonts w:asciiTheme="minorHAnsi" w:hAnsiTheme="minorHAnsi" w:cstheme="minorHAnsi"/>
          <w:sz w:val="22"/>
          <w:szCs w:val="22"/>
        </w:rPr>
        <w:t>high voltage alerts), o</w:t>
      </w:r>
      <w:r w:rsidRPr="00D80BA0">
        <w:rPr>
          <w:rFonts w:asciiTheme="minorHAnsi" w:hAnsiTheme="minorHAnsi" w:cstheme="minorHAnsi"/>
          <w:sz w:val="22"/>
          <w:szCs w:val="22"/>
        </w:rPr>
        <w:t>f these 13</w:t>
      </w:r>
      <w:r w:rsidR="007242F8" w:rsidRPr="00D80BA0">
        <w:rPr>
          <w:rFonts w:asciiTheme="minorHAnsi" w:hAnsiTheme="minorHAnsi" w:cstheme="minorHAnsi"/>
          <w:sz w:val="22"/>
          <w:szCs w:val="22"/>
        </w:rPr>
        <w:t xml:space="preserve"> were applicable to </w:t>
      </w:r>
      <w:r w:rsidR="00A134DD" w:rsidRPr="00D80BA0">
        <w:rPr>
          <w:rFonts w:asciiTheme="minorHAnsi" w:hAnsiTheme="minorHAnsi" w:cstheme="minorHAnsi"/>
          <w:sz w:val="22"/>
          <w:szCs w:val="22"/>
        </w:rPr>
        <w:t>the Trust and were cascaded and being actioned.</w:t>
      </w:r>
      <w:r w:rsidR="002337E4" w:rsidRPr="00D80BA0">
        <w:rPr>
          <w:rFonts w:asciiTheme="minorHAnsi" w:hAnsiTheme="minorHAnsi" w:cstheme="minorHAnsi"/>
          <w:sz w:val="22"/>
          <w:szCs w:val="22"/>
        </w:rPr>
        <w:t xml:space="preserve"> </w:t>
      </w:r>
    </w:p>
    <w:p w14:paraId="5500101D" w14:textId="2DAEDC8F" w:rsidR="00A134DD" w:rsidRPr="00D80BA0" w:rsidRDefault="00A134DD" w:rsidP="00D80BA0">
      <w:pPr>
        <w:contextualSpacing/>
        <w:rPr>
          <w:rFonts w:asciiTheme="minorHAnsi" w:hAnsiTheme="minorHAnsi" w:cstheme="minorHAnsi"/>
          <w:sz w:val="22"/>
          <w:szCs w:val="22"/>
        </w:rPr>
      </w:pPr>
    </w:p>
    <w:p w14:paraId="5F6C4C64" w14:textId="10E1A171" w:rsidR="00A134DD" w:rsidRPr="00A134DD" w:rsidRDefault="00A134DD" w:rsidP="00D80BA0">
      <w:pPr>
        <w:contextualSpacing/>
        <w:jc w:val="both"/>
        <w:rPr>
          <w:rFonts w:asciiTheme="minorHAnsi" w:hAnsiTheme="minorHAnsi" w:cstheme="minorHAnsi"/>
          <w:sz w:val="22"/>
          <w:szCs w:val="22"/>
        </w:rPr>
      </w:pPr>
      <w:r w:rsidRPr="00A134DD">
        <w:rPr>
          <w:rFonts w:asciiTheme="minorHAnsi" w:hAnsiTheme="minorHAnsi" w:cstheme="minorHAnsi"/>
          <w:sz w:val="22"/>
          <w:szCs w:val="22"/>
        </w:rPr>
        <w:lastRenderedPageBreak/>
        <w:t>A review has been completed of all national Medicines and Healthcare Products Regulatory Agency (MHRA) alerts back to 2003, to ensure all relevant alerts have been identified and appropriate actions have been taken and then sustained. Following a recent letter from NHS Improvement in June 2018 about ensuring actions national alerts are sustained (two alerts were named of which once was relevant to Trust services), the Trust is systematically going back through all relevant national alerts and looking at the evidence submitted to close and wheth</w:t>
      </w:r>
      <w:r w:rsidRPr="00D80BA0">
        <w:rPr>
          <w:rFonts w:asciiTheme="minorHAnsi" w:hAnsiTheme="minorHAnsi" w:cstheme="minorHAnsi"/>
          <w:sz w:val="22"/>
          <w:szCs w:val="22"/>
        </w:rPr>
        <w:t>er the action resolves the risk and has been sustained.</w:t>
      </w:r>
    </w:p>
    <w:p w14:paraId="4FB0FA88" w14:textId="2F4DAFD2" w:rsidR="00F219F5" w:rsidRPr="00D80BA0" w:rsidRDefault="00F219F5" w:rsidP="00D80BA0">
      <w:pPr>
        <w:contextualSpacing/>
        <w:rPr>
          <w:rFonts w:asciiTheme="minorHAnsi" w:hAnsiTheme="minorHAnsi" w:cstheme="minorHAnsi"/>
          <w:sz w:val="22"/>
          <w:szCs w:val="22"/>
        </w:rPr>
      </w:pPr>
    </w:p>
    <w:p w14:paraId="2B86F8E7" w14:textId="77777777" w:rsidR="00C502F0" w:rsidRPr="00C502F0" w:rsidRDefault="00C502F0" w:rsidP="00D80BA0">
      <w:pPr>
        <w:contextualSpacing/>
        <w:jc w:val="both"/>
        <w:rPr>
          <w:rFonts w:asciiTheme="minorHAnsi" w:hAnsiTheme="minorHAnsi" w:cstheme="minorHAnsi"/>
          <w:sz w:val="22"/>
          <w:szCs w:val="22"/>
        </w:rPr>
      </w:pPr>
      <w:r w:rsidRPr="00C502F0">
        <w:rPr>
          <w:rFonts w:asciiTheme="minorHAnsi" w:hAnsiTheme="minorHAnsi" w:cstheme="minorHAnsi"/>
          <w:sz w:val="22"/>
          <w:szCs w:val="22"/>
        </w:rPr>
        <w:t>Further work is required on the management and oversight of medical devices across the Trust. Processes around purchasing, standardising equipment and maintenance/ collaboration through contracts has improved, although assurance around training/ staff competence is not robust in all services. The management and responsibility for prescribing equipment both for current patient and then patients who are discharged needs further work and investment. The contract with Millbrook (managed by Oxfordshire County Council) for providing prescribed equipment is under review with the development of better monitoring and input from clinicians at OHFT. More clarity is needed to improve prescriber responsibility. The medical devices committee oversees the work and has recently changed the chair and membership.</w:t>
      </w:r>
    </w:p>
    <w:p w14:paraId="09E9D956" w14:textId="4DE343E4" w:rsidR="00C502F0" w:rsidRPr="00D80BA0" w:rsidRDefault="00C502F0" w:rsidP="00D80BA0">
      <w:pPr>
        <w:contextualSpacing/>
        <w:rPr>
          <w:rFonts w:asciiTheme="minorHAnsi" w:hAnsiTheme="minorHAnsi" w:cstheme="minorHAnsi"/>
          <w:sz w:val="22"/>
          <w:szCs w:val="22"/>
        </w:rPr>
      </w:pPr>
    </w:p>
    <w:p w14:paraId="678BBF1D" w14:textId="49236688" w:rsidR="00F219F5" w:rsidRPr="00D80BA0" w:rsidRDefault="00F219F5" w:rsidP="00D80BA0">
      <w:pPr>
        <w:contextualSpacing/>
        <w:rPr>
          <w:rFonts w:asciiTheme="minorHAnsi" w:hAnsiTheme="minorHAnsi" w:cstheme="minorHAnsi"/>
          <w:b/>
          <w:sz w:val="22"/>
          <w:szCs w:val="22"/>
          <w:u w:val="single"/>
        </w:rPr>
      </w:pPr>
      <w:r w:rsidRPr="00D80BA0">
        <w:rPr>
          <w:rFonts w:asciiTheme="minorHAnsi" w:hAnsiTheme="minorHAnsi" w:cstheme="minorHAnsi"/>
          <w:b/>
          <w:sz w:val="22"/>
          <w:szCs w:val="22"/>
        </w:rPr>
        <w:t xml:space="preserve">5.0 </w:t>
      </w:r>
      <w:r w:rsidRPr="00D80BA0">
        <w:rPr>
          <w:rFonts w:asciiTheme="minorHAnsi" w:hAnsiTheme="minorHAnsi" w:cstheme="minorHAnsi"/>
          <w:b/>
          <w:sz w:val="22"/>
          <w:szCs w:val="22"/>
          <w:u w:val="single"/>
        </w:rPr>
        <w:t>Learning from Deaths</w:t>
      </w:r>
    </w:p>
    <w:p w14:paraId="68D94271" w14:textId="77777777" w:rsidR="00A134DD" w:rsidRPr="00D80BA0" w:rsidRDefault="00A134DD" w:rsidP="00D80BA0">
      <w:pPr>
        <w:contextualSpacing/>
        <w:jc w:val="both"/>
        <w:rPr>
          <w:rFonts w:asciiTheme="minorHAnsi" w:hAnsiTheme="minorHAnsi" w:cstheme="minorHAnsi"/>
          <w:sz w:val="22"/>
          <w:szCs w:val="22"/>
          <w:u w:val="single"/>
          <w:lang w:val="en-US" w:eastAsia="en-US"/>
        </w:rPr>
      </w:pPr>
      <w:r w:rsidRPr="00D80BA0">
        <w:rPr>
          <w:rFonts w:asciiTheme="minorHAnsi" w:hAnsiTheme="minorHAnsi" w:cstheme="minorHAnsi"/>
          <w:sz w:val="22"/>
          <w:szCs w:val="22"/>
          <w:u w:val="single"/>
          <w:lang w:val="en-US" w:eastAsia="en-US"/>
        </w:rPr>
        <w:t>5.1 Overview</w:t>
      </w:r>
    </w:p>
    <w:p w14:paraId="270E3211" w14:textId="390F6827" w:rsidR="007564C8" w:rsidRPr="007564C8" w:rsidRDefault="007564C8" w:rsidP="00D80BA0">
      <w:pPr>
        <w:contextualSpacing/>
        <w:jc w:val="both"/>
        <w:rPr>
          <w:rFonts w:asciiTheme="minorHAnsi" w:eastAsiaTheme="minorEastAsia" w:hAnsiTheme="minorHAnsi" w:cstheme="minorHAnsi"/>
          <w:sz w:val="22"/>
          <w:szCs w:val="22"/>
          <w:lang w:val="en-US" w:eastAsia="en-US"/>
        </w:rPr>
      </w:pPr>
      <w:r w:rsidRPr="007564C8">
        <w:rPr>
          <w:rFonts w:asciiTheme="minorHAnsi" w:eastAsiaTheme="minorEastAsia" w:hAnsiTheme="minorHAnsi" w:cstheme="minorHAnsi"/>
          <w:sz w:val="22"/>
          <w:szCs w:val="22"/>
          <w:lang w:val="en-US" w:eastAsia="en-US"/>
        </w:rPr>
        <w:t>Al</w:t>
      </w:r>
      <w:r w:rsidRPr="00D80BA0">
        <w:rPr>
          <w:rFonts w:asciiTheme="minorHAnsi" w:eastAsiaTheme="minorEastAsia" w:hAnsiTheme="minorHAnsi" w:cstheme="minorHAnsi"/>
          <w:sz w:val="22"/>
          <w:szCs w:val="22"/>
          <w:lang w:val="en-US" w:eastAsia="en-US"/>
        </w:rPr>
        <w:t>l known deaths are screened by</w:t>
      </w:r>
      <w:r w:rsidRPr="007564C8">
        <w:rPr>
          <w:rFonts w:asciiTheme="minorHAnsi" w:eastAsiaTheme="minorEastAsia" w:hAnsiTheme="minorHAnsi" w:cstheme="minorHAnsi"/>
          <w:sz w:val="22"/>
          <w:szCs w:val="22"/>
          <w:lang w:val="en-US" w:eastAsia="en-US"/>
        </w:rPr>
        <w:t xml:space="preserve"> senior clinician</w:t>
      </w:r>
      <w:r w:rsidRPr="00D80BA0">
        <w:rPr>
          <w:rFonts w:asciiTheme="minorHAnsi" w:eastAsiaTheme="minorEastAsia" w:hAnsiTheme="minorHAnsi" w:cstheme="minorHAnsi"/>
          <w:sz w:val="22"/>
          <w:szCs w:val="22"/>
          <w:lang w:val="en-US" w:eastAsia="en-US"/>
        </w:rPr>
        <w:t>s</w:t>
      </w:r>
      <w:r w:rsidRPr="007564C8">
        <w:rPr>
          <w:rFonts w:asciiTheme="minorHAnsi" w:eastAsiaTheme="minorEastAsia" w:hAnsiTheme="minorHAnsi" w:cstheme="minorHAnsi"/>
          <w:sz w:val="22"/>
          <w:szCs w:val="22"/>
          <w:lang w:val="en-US" w:eastAsia="en-US"/>
        </w:rPr>
        <w:t xml:space="preserve">. There is set criteria on the deaths that are reported internally for further review, in line with national guidelines and described in the Trust’s policy. All unexpected deaths of an inpatient are reviewed, all deaths of a person with a learning disability or a child are reviewed by the Trust. The Trust participates in a multi-agency review for all child deaths and the deaths of a person with a learning disability. </w:t>
      </w:r>
    </w:p>
    <w:p w14:paraId="7D57790C" w14:textId="61515D84" w:rsidR="007564C8" w:rsidRPr="00D80BA0" w:rsidRDefault="007564C8" w:rsidP="00D80BA0">
      <w:pPr>
        <w:contextualSpacing/>
        <w:jc w:val="both"/>
        <w:rPr>
          <w:rFonts w:asciiTheme="minorHAnsi" w:hAnsiTheme="minorHAnsi" w:cstheme="minorHAnsi"/>
          <w:sz w:val="22"/>
          <w:szCs w:val="22"/>
          <w:lang w:val="en-US" w:eastAsia="en-US"/>
        </w:rPr>
      </w:pPr>
    </w:p>
    <w:p w14:paraId="0C020308" w14:textId="18E255D0" w:rsidR="00A134DD" w:rsidRPr="00D80BA0" w:rsidRDefault="00A134DD" w:rsidP="00D80BA0">
      <w:pPr>
        <w:contextualSpacing/>
        <w:jc w:val="both"/>
        <w:rPr>
          <w:rFonts w:asciiTheme="minorHAnsi" w:eastAsiaTheme="minorEastAsia" w:hAnsiTheme="minorHAnsi" w:cstheme="minorHAnsi"/>
          <w:sz w:val="22"/>
          <w:szCs w:val="22"/>
          <w:lang w:val="en-US" w:eastAsia="en-US"/>
        </w:rPr>
      </w:pPr>
      <w:r w:rsidRPr="00A134DD">
        <w:rPr>
          <w:rFonts w:asciiTheme="minorHAnsi" w:hAnsiTheme="minorHAnsi" w:cstheme="minorHAnsi"/>
          <w:sz w:val="22"/>
          <w:szCs w:val="22"/>
          <w:lang w:val="en-US" w:eastAsia="en-US"/>
        </w:rPr>
        <w:t>The directorate mortality review processes are well embedded to identify learning from unexpected/ inpatient deaths</w:t>
      </w:r>
      <w:r w:rsidR="007564C8" w:rsidRPr="00D80BA0">
        <w:rPr>
          <w:rFonts w:asciiTheme="minorHAnsi" w:hAnsiTheme="minorHAnsi" w:cstheme="minorHAnsi"/>
          <w:sz w:val="22"/>
          <w:szCs w:val="22"/>
          <w:lang w:val="en-US" w:eastAsia="en-US"/>
        </w:rPr>
        <w:t xml:space="preserve">. </w:t>
      </w:r>
      <w:r w:rsidRPr="00D80BA0">
        <w:rPr>
          <w:rFonts w:asciiTheme="minorHAnsi" w:eastAsiaTheme="minorEastAsia" w:hAnsiTheme="minorHAnsi" w:cstheme="minorHAnsi"/>
          <w:sz w:val="22"/>
          <w:szCs w:val="22"/>
          <w:lang w:val="en-US" w:eastAsia="en-US"/>
        </w:rPr>
        <w:t>If new complaints are received in relation to the care of a bereaved relative a mortality review is automatically triggered</w:t>
      </w:r>
      <w:r w:rsidRPr="00D80BA0">
        <w:rPr>
          <w:rFonts w:asciiTheme="minorHAnsi" w:hAnsiTheme="minorHAnsi" w:cstheme="minorHAnsi"/>
          <w:sz w:val="22"/>
          <w:szCs w:val="22"/>
          <w:lang w:val="en-US" w:eastAsia="en-US"/>
        </w:rPr>
        <w:t xml:space="preserve">. </w:t>
      </w:r>
      <w:r w:rsidRPr="00A134DD">
        <w:rPr>
          <w:rFonts w:asciiTheme="minorHAnsi" w:hAnsiTheme="minorHAnsi" w:cstheme="minorHAnsi"/>
          <w:sz w:val="22"/>
          <w:szCs w:val="22"/>
          <w:lang w:val="en-US" w:eastAsia="en-US"/>
        </w:rPr>
        <w:t>There have been two deaths of</w:t>
      </w:r>
      <w:r w:rsidR="007564C8" w:rsidRPr="00D80BA0">
        <w:rPr>
          <w:rFonts w:asciiTheme="minorHAnsi" w:hAnsiTheme="minorHAnsi" w:cstheme="minorHAnsi"/>
          <w:sz w:val="22"/>
          <w:szCs w:val="22"/>
          <w:lang w:val="en-US" w:eastAsia="en-US"/>
        </w:rPr>
        <w:t xml:space="preserve"> detained patients under the Mental Health Act</w:t>
      </w:r>
      <w:r w:rsidRPr="00A134DD">
        <w:rPr>
          <w:rFonts w:asciiTheme="minorHAnsi" w:hAnsiTheme="minorHAnsi" w:cstheme="minorHAnsi"/>
          <w:sz w:val="22"/>
          <w:szCs w:val="22"/>
          <w:lang w:val="en-US" w:eastAsia="en-US"/>
        </w:rPr>
        <w:t xml:space="preserve"> in Q1 2018/19; one was a forensic inpatient who died in April 2018 of a drug overdose and an SI investigation is underway and the second a forensic patient living in the community who died in May 2018, an IRR and a mortality review was completed. </w:t>
      </w:r>
      <w:r w:rsidRPr="00D80BA0">
        <w:rPr>
          <w:rFonts w:asciiTheme="minorHAnsi" w:eastAsiaTheme="minorEastAsia" w:hAnsiTheme="minorHAnsi" w:cstheme="minorHAnsi"/>
          <w:sz w:val="22"/>
          <w:szCs w:val="22"/>
          <w:lang w:val="en-US" w:eastAsia="en-US"/>
        </w:rPr>
        <w:t xml:space="preserve">In addition to those deaths ‘in scope’ as defined by the Trust’s policy and national guidance, we will also be reviewing a random sample of deaths in 2018 not reported on Ulysses with a focus on those identified as an expected death to maximize our learning. The Trust-wide Mortality Review Group oversees learning across the Trust, last meeting in April 2018 and the next is in Sept 2018. </w:t>
      </w:r>
    </w:p>
    <w:p w14:paraId="67171A21" w14:textId="125E5D7A" w:rsidR="00A134DD" w:rsidRPr="00D80BA0" w:rsidRDefault="00A134DD" w:rsidP="00D80BA0">
      <w:pPr>
        <w:contextualSpacing/>
        <w:jc w:val="both"/>
        <w:rPr>
          <w:rFonts w:asciiTheme="minorHAnsi" w:eastAsiaTheme="minorEastAsia" w:hAnsiTheme="minorHAnsi" w:cstheme="minorHAnsi"/>
          <w:sz w:val="22"/>
          <w:szCs w:val="22"/>
          <w:lang w:val="en-US" w:eastAsia="en-US"/>
        </w:rPr>
      </w:pPr>
    </w:p>
    <w:p w14:paraId="63D364C2" w14:textId="196A1889" w:rsidR="00A134DD" w:rsidRPr="00A134DD" w:rsidRDefault="00A134DD" w:rsidP="00D80BA0">
      <w:pPr>
        <w:contextualSpacing/>
        <w:jc w:val="both"/>
        <w:rPr>
          <w:rFonts w:asciiTheme="minorHAnsi" w:eastAsiaTheme="minorEastAsia" w:hAnsiTheme="minorHAnsi" w:cstheme="minorHAnsi"/>
          <w:sz w:val="22"/>
          <w:szCs w:val="22"/>
          <w:lang w:val="en-US" w:eastAsia="en-US"/>
        </w:rPr>
      </w:pPr>
      <w:r w:rsidRPr="00A134DD">
        <w:rPr>
          <w:rFonts w:asciiTheme="minorHAnsi" w:eastAsiaTheme="minorHAnsi" w:hAnsiTheme="minorHAnsi" w:cstheme="minorHAnsi"/>
          <w:sz w:val="22"/>
          <w:szCs w:val="22"/>
          <w:lang w:eastAsia="en-US"/>
        </w:rPr>
        <w:t xml:space="preserve">The Trust continues to work collaboratively with the new national Healthcare Safety Investigation Branch (HSIB) around a theme on communication at points of transition during care, to ask. The preliminary scoping exercise was completed in November 2017 and the HSIB considered there was a potential for national learning so a full investigation has started across the country. The draft report was received in May 2018 and the full report was published on the HSIB website in July 2018. Representatives of HSIB </w:t>
      </w:r>
      <w:r w:rsidRPr="00D80BA0">
        <w:rPr>
          <w:rFonts w:asciiTheme="minorHAnsi" w:eastAsiaTheme="minorHAnsi" w:hAnsiTheme="minorHAnsi" w:cstheme="minorHAnsi"/>
          <w:sz w:val="22"/>
          <w:szCs w:val="22"/>
          <w:lang w:eastAsia="en-US"/>
        </w:rPr>
        <w:t>attended</w:t>
      </w:r>
      <w:r w:rsidRPr="00A134DD">
        <w:rPr>
          <w:rFonts w:asciiTheme="minorHAnsi" w:eastAsiaTheme="minorHAnsi" w:hAnsiTheme="minorHAnsi" w:cstheme="minorHAnsi"/>
          <w:sz w:val="22"/>
          <w:szCs w:val="22"/>
          <w:lang w:eastAsia="en-US"/>
        </w:rPr>
        <w:t xml:space="preserve"> the Trust board seminar in September 2018 to present their findings and the national recommendations.</w:t>
      </w:r>
    </w:p>
    <w:p w14:paraId="3FCD42CA" w14:textId="77777777" w:rsidR="00A134DD" w:rsidRPr="00A134DD" w:rsidRDefault="00A134DD" w:rsidP="00D80BA0">
      <w:pPr>
        <w:contextualSpacing/>
        <w:jc w:val="both"/>
        <w:rPr>
          <w:rFonts w:asciiTheme="minorHAnsi" w:eastAsiaTheme="minorEastAsia" w:hAnsiTheme="minorHAnsi" w:cstheme="minorHAnsi"/>
          <w:b/>
          <w:sz w:val="22"/>
          <w:szCs w:val="22"/>
          <w:lang w:val="en-US" w:eastAsia="en-US"/>
        </w:rPr>
      </w:pPr>
    </w:p>
    <w:p w14:paraId="1D2FBC24" w14:textId="6C7C4C87" w:rsidR="00A134DD" w:rsidRPr="00D80BA0" w:rsidRDefault="00A134DD" w:rsidP="00D80BA0">
      <w:pPr>
        <w:contextualSpacing/>
        <w:rPr>
          <w:rFonts w:asciiTheme="minorHAnsi" w:eastAsiaTheme="minorEastAsia" w:hAnsiTheme="minorHAnsi" w:cstheme="minorHAnsi"/>
          <w:sz w:val="22"/>
          <w:szCs w:val="22"/>
          <w:lang w:val="en-US" w:eastAsia="en-US"/>
        </w:rPr>
      </w:pPr>
      <w:r w:rsidRPr="00D80BA0">
        <w:rPr>
          <w:rFonts w:asciiTheme="minorHAnsi" w:eastAsiaTheme="minorEastAsia" w:hAnsiTheme="minorHAnsi" w:cstheme="minorHAnsi"/>
          <w:sz w:val="22"/>
          <w:szCs w:val="22"/>
          <w:lang w:val="en-US" w:eastAsia="en-US"/>
        </w:rPr>
        <w:t xml:space="preserve">In addition to our own review of deaths, </w:t>
      </w:r>
      <w:r w:rsidRPr="00A134DD">
        <w:rPr>
          <w:rFonts w:asciiTheme="minorHAnsi" w:eastAsiaTheme="minorEastAsia" w:hAnsiTheme="minorHAnsi" w:cstheme="minorHAnsi"/>
          <w:sz w:val="22"/>
          <w:szCs w:val="22"/>
          <w:lang w:val="en-US" w:eastAsia="en-US"/>
        </w:rPr>
        <w:t>the local coroner will independently review all deaths where the cause of death is unknown, violent, unnatural, or sudden and unexplained</w:t>
      </w:r>
      <w:r w:rsidRPr="00D80BA0">
        <w:rPr>
          <w:rFonts w:asciiTheme="minorHAnsi" w:eastAsiaTheme="minorEastAsia" w:hAnsiTheme="minorHAnsi" w:cstheme="minorHAnsi"/>
          <w:sz w:val="22"/>
          <w:szCs w:val="22"/>
          <w:lang w:val="en-US" w:eastAsia="en-US"/>
        </w:rPr>
        <w:t>. A</w:t>
      </w:r>
      <w:r w:rsidRPr="00D80BA0">
        <w:rPr>
          <w:rFonts w:asciiTheme="minorHAnsi" w:hAnsiTheme="minorHAnsi" w:cstheme="minorHAnsi"/>
          <w:sz w:val="22"/>
          <w:szCs w:val="22"/>
        </w:rPr>
        <w:t xml:space="preserve"> coroner will issue a Regulation 28 to Prevent any Future Deaths (PFD) if they feel any actions or learning is not being acted on sufficiently. The trust received two Regulation 28 rules in 2017/18 and two so far in 2018/19. The cases in 2018/19 relate to the:</w:t>
      </w:r>
    </w:p>
    <w:p w14:paraId="7053F8D9" w14:textId="77777777" w:rsidR="00153743" w:rsidRPr="00A134DD" w:rsidRDefault="00153743" w:rsidP="00153743">
      <w:pPr>
        <w:numPr>
          <w:ilvl w:val="0"/>
          <w:numId w:val="35"/>
        </w:numPr>
        <w:tabs>
          <w:tab w:val="left" w:pos="1560"/>
        </w:tabs>
        <w:ind w:left="1560" w:hanging="426"/>
        <w:contextualSpacing/>
        <w:jc w:val="both"/>
        <w:rPr>
          <w:rFonts w:asciiTheme="minorHAnsi" w:hAnsiTheme="minorHAnsi" w:cstheme="minorHAnsi"/>
          <w:b/>
          <w:sz w:val="22"/>
          <w:szCs w:val="22"/>
        </w:rPr>
      </w:pPr>
      <w:r w:rsidRPr="00A134DD">
        <w:rPr>
          <w:rFonts w:asciiTheme="minorHAnsi" w:hAnsiTheme="minorHAnsi" w:cstheme="minorHAnsi"/>
          <w:sz w:val="22"/>
          <w:szCs w:val="22"/>
        </w:rPr>
        <w:t>Suicide of a male in 2015 receiving community treatment by an AMHT in Buckinghamshire. The Trust conducted an inte</w:t>
      </w:r>
      <w:r>
        <w:rPr>
          <w:rFonts w:asciiTheme="minorHAnsi" w:hAnsiTheme="minorHAnsi" w:cstheme="minorHAnsi"/>
          <w:sz w:val="22"/>
          <w:szCs w:val="22"/>
        </w:rPr>
        <w:t>rnal SI into the death which has</w:t>
      </w:r>
      <w:r w:rsidRPr="00A134DD">
        <w:rPr>
          <w:rFonts w:asciiTheme="minorHAnsi" w:hAnsiTheme="minorHAnsi" w:cstheme="minorHAnsi"/>
          <w:sz w:val="22"/>
          <w:szCs w:val="22"/>
        </w:rPr>
        <w:t xml:space="preserve"> been closed by the CCG and shared with the coroner. PFD received May 2018. Trust has responded to the coroner to address the additional areas identified at</w:t>
      </w:r>
      <w:r>
        <w:rPr>
          <w:rFonts w:asciiTheme="minorHAnsi" w:hAnsiTheme="minorHAnsi" w:cstheme="minorHAnsi"/>
          <w:sz w:val="22"/>
          <w:szCs w:val="22"/>
        </w:rPr>
        <w:t xml:space="preserve"> the</w:t>
      </w:r>
      <w:r w:rsidRPr="00A134DD">
        <w:rPr>
          <w:rFonts w:asciiTheme="minorHAnsi" w:hAnsiTheme="minorHAnsi" w:cstheme="minorHAnsi"/>
          <w:sz w:val="22"/>
          <w:szCs w:val="22"/>
        </w:rPr>
        <w:t xml:space="preserve"> inquest</w:t>
      </w:r>
      <w:r>
        <w:rPr>
          <w:rFonts w:asciiTheme="minorHAnsi" w:hAnsiTheme="minorHAnsi" w:cstheme="minorHAnsi"/>
          <w:sz w:val="22"/>
          <w:szCs w:val="22"/>
        </w:rPr>
        <w:t xml:space="preserve"> and is working with his family to commission an external investigation.</w:t>
      </w:r>
    </w:p>
    <w:p w14:paraId="607EA354" w14:textId="77777777" w:rsidR="00153743" w:rsidRPr="0022773F" w:rsidRDefault="00153743" w:rsidP="00153743">
      <w:pPr>
        <w:numPr>
          <w:ilvl w:val="0"/>
          <w:numId w:val="35"/>
        </w:numPr>
        <w:tabs>
          <w:tab w:val="left" w:pos="1560"/>
        </w:tabs>
        <w:ind w:left="1560" w:hanging="426"/>
        <w:contextualSpacing/>
        <w:jc w:val="both"/>
        <w:rPr>
          <w:rFonts w:asciiTheme="minorHAnsi" w:hAnsiTheme="minorHAnsi" w:cstheme="minorHAnsi"/>
          <w:b/>
          <w:sz w:val="22"/>
          <w:szCs w:val="22"/>
        </w:rPr>
      </w:pPr>
      <w:r w:rsidRPr="00D80BA0">
        <w:rPr>
          <w:rFonts w:asciiTheme="minorHAnsi" w:hAnsiTheme="minorHAnsi" w:cstheme="minorHAnsi"/>
          <w:sz w:val="22"/>
          <w:szCs w:val="22"/>
        </w:rPr>
        <w:t xml:space="preserve">Suicide of a female on an acute mental health ward in March 2017. External investigation completed and shared with </w:t>
      </w:r>
      <w:r>
        <w:rPr>
          <w:rFonts w:asciiTheme="minorHAnsi" w:hAnsiTheme="minorHAnsi" w:cstheme="minorHAnsi"/>
          <w:sz w:val="22"/>
          <w:szCs w:val="22"/>
        </w:rPr>
        <w:t xml:space="preserve">the </w:t>
      </w:r>
      <w:r w:rsidRPr="00D80BA0">
        <w:rPr>
          <w:rFonts w:asciiTheme="minorHAnsi" w:hAnsiTheme="minorHAnsi" w:cstheme="minorHAnsi"/>
          <w:sz w:val="22"/>
          <w:szCs w:val="22"/>
        </w:rPr>
        <w:t>coroner. PFD received July 2018 and response being drafted.</w:t>
      </w:r>
    </w:p>
    <w:p w14:paraId="489F6C94" w14:textId="77777777" w:rsidR="00A134DD" w:rsidRPr="00D80BA0" w:rsidRDefault="00A134DD" w:rsidP="00D80BA0">
      <w:pPr>
        <w:contextualSpacing/>
        <w:jc w:val="both"/>
        <w:rPr>
          <w:rFonts w:asciiTheme="minorHAnsi" w:eastAsiaTheme="minorEastAsia" w:hAnsiTheme="minorHAnsi" w:cstheme="minorHAnsi"/>
          <w:sz w:val="22"/>
          <w:szCs w:val="22"/>
          <w:lang w:val="en-US" w:eastAsia="en-US"/>
        </w:rPr>
      </w:pPr>
    </w:p>
    <w:p w14:paraId="5BC929E4" w14:textId="77777777" w:rsidR="00A134DD" w:rsidRPr="00D80BA0" w:rsidRDefault="00A134DD" w:rsidP="00D80BA0">
      <w:pPr>
        <w:contextualSpacing/>
        <w:jc w:val="both"/>
        <w:rPr>
          <w:rFonts w:asciiTheme="minorHAnsi" w:hAnsiTheme="minorHAnsi" w:cstheme="minorHAnsi"/>
          <w:sz w:val="22"/>
          <w:szCs w:val="22"/>
          <w:lang w:val="en-US" w:eastAsia="en-US"/>
        </w:rPr>
      </w:pPr>
      <w:r w:rsidRPr="00A134DD">
        <w:rPr>
          <w:rFonts w:asciiTheme="minorHAnsi" w:hAnsiTheme="minorHAnsi" w:cstheme="minorHAnsi"/>
          <w:sz w:val="22"/>
          <w:szCs w:val="22"/>
          <w:lang w:val="en-US" w:eastAsia="en-US"/>
        </w:rPr>
        <w:lastRenderedPageBreak/>
        <w:t>The National Quality Board has published its first edition of ‘Learning from deaths-Guidance for NHS trusts on working with bereaved families and carers (July 2018). A review of the new standards is being completed with mortality leads from the directorates to identify improvements for 2018/19.</w:t>
      </w:r>
    </w:p>
    <w:p w14:paraId="444F29EC" w14:textId="787AA0A4" w:rsidR="00A134DD" w:rsidRPr="00D80BA0" w:rsidRDefault="00A134DD" w:rsidP="00D80BA0">
      <w:pPr>
        <w:contextualSpacing/>
        <w:jc w:val="both"/>
        <w:rPr>
          <w:rFonts w:asciiTheme="minorHAnsi" w:eastAsiaTheme="minorEastAsia" w:hAnsiTheme="minorHAnsi" w:cstheme="minorHAnsi"/>
          <w:sz w:val="22"/>
          <w:szCs w:val="22"/>
          <w:lang w:val="en-US" w:eastAsia="en-US"/>
        </w:rPr>
      </w:pPr>
    </w:p>
    <w:p w14:paraId="1371B4FB" w14:textId="286A80CB" w:rsidR="00A134DD" w:rsidRPr="00D80BA0" w:rsidRDefault="00A134DD" w:rsidP="00D80BA0">
      <w:pPr>
        <w:contextualSpacing/>
        <w:jc w:val="both"/>
        <w:rPr>
          <w:rFonts w:asciiTheme="minorHAnsi" w:eastAsiaTheme="minorEastAsia" w:hAnsiTheme="minorHAnsi" w:cstheme="minorHAnsi"/>
          <w:sz w:val="22"/>
          <w:szCs w:val="22"/>
          <w:u w:val="single"/>
          <w:lang w:val="en-US" w:eastAsia="en-US"/>
        </w:rPr>
      </w:pPr>
      <w:r w:rsidRPr="00D80BA0">
        <w:rPr>
          <w:rFonts w:asciiTheme="minorHAnsi" w:eastAsiaTheme="minorEastAsia" w:hAnsiTheme="minorHAnsi" w:cstheme="minorHAnsi"/>
          <w:sz w:val="22"/>
          <w:szCs w:val="22"/>
          <w:u w:val="single"/>
          <w:lang w:val="en-US" w:eastAsia="en-US"/>
        </w:rPr>
        <w:t>5.2 Trends</w:t>
      </w:r>
    </w:p>
    <w:p w14:paraId="5C6D6B96" w14:textId="32CDAD91" w:rsidR="007564C8" w:rsidRPr="00D80BA0" w:rsidRDefault="00A134DD" w:rsidP="00D80BA0">
      <w:pPr>
        <w:contextualSpacing/>
        <w:jc w:val="both"/>
        <w:rPr>
          <w:rFonts w:asciiTheme="minorHAnsi" w:eastAsiaTheme="minorHAnsi" w:hAnsiTheme="minorHAnsi" w:cstheme="minorHAnsi"/>
          <w:sz w:val="22"/>
          <w:szCs w:val="22"/>
          <w:lang w:eastAsia="en-US"/>
        </w:rPr>
      </w:pPr>
      <w:r w:rsidRPr="00A134DD">
        <w:rPr>
          <w:rFonts w:asciiTheme="minorHAnsi" w:eastAsiaTheme="minorHAnsi" w:hAnsiTheme="minorHAnsi" w:cstheme="minorHAnsi"/>
          <w:sz w:val="22"/>
          <w:szCs w:val="22"/>
          <w:lang w:eastAsia="en-US"/>
        </w:rPr>
        <w:t xml:space="preserve">The pattern of deaths is analysed </w:t>
      </w:r>
      <w:r w:rsidR="007564C8" w:rsidRPr="00D80BA0">
        <w:rPr>
          <w:rFonts w:asciiTheme="minorHAnsi" w:eastAsiaTheme="minorHAnsi" w:hAnsiTheme="minorHAnsi" w:cstheme="minorHAnsi"/>
          <w:sz w:val="22"/>
          <w:szCs w:val="22"/>
          <w:lang w:eastAsia="en-US"/>
        </w:rPr>
        <w:t xml:space="preserve">and reported </w:t>
      </w:r>
      <w:r w:rsidRPr="00A134DD">
        <w:rPr>
          <w:rFonts w:asciiTheme="minorHAnsi" w:eastAsiaTheme="minorHAnsi" w:hAnsiTheme="minorHAnsi" w:cstheme="minorHAnsi"/>
          <w:sz w:val="22"/>
          <w:szCs w:val="22"/>
          <w:lang w:eastAsia="en-US"/>
        </w:rPr>
        <w:t xml:space="preserve">quarterly and </w:t>
      </w:r>
      <w:r w:rsidRPr="00D80BA0">
        <w:rPr>
          <w:rFonts w:asciiTheme="minorHAnsi" w:eastAsiaTheme="minorHAnsi" w:hAnsiTheme="minorHAnsi" w:cstheme="minorHAnsi"/>
          <w:sz w:val="22"/>
          <w:szCs w:val="22"/>
          <w:lang w:eastAsia="en-US"/>
        </w:rPr>
        <w:t xml:space="preserve">last </w:t>
      </w:r>
      <w:r w:rsidRPr="00A134DD">
        <w:rPr>
          <w:rFonts w:asciiTheme="minorHAnsi" w:eastAsiaTheme="minorHAnsi" w:hAnsiTheme="minorHAnsi" w:cstheme="minorHAnsi"/>
          <w:sz w:val="22"/>
          <w:szCs w:val="22"/>
          <w:lang w:eastAsia="en-US"/>
        </w:rPr>
        <w:t xml:space="preserve">presented to the Trust board seminar in September 2018. </w:t>
      </w:r>
      <w:r w:rsidR="007564C8" w:rsidRPr="00D80BA0">
        <w:rPr>
          <w:rFonts w:asciiTheme="minorHAnsi" w:eastAsiaTheme="minorHAnsi" w:hAnsiTheme="minorHAnsi" w:cstheme="minorHAnsi"/>
          <w:sz w:val="22"/>
          <w:szCs w:val="22"/>
          <w:lang w:eastAsia="en-US"/>
        </w:rPr>
        <w:t>The pattern of the number of deaths is similar over time and in line with the national ONS data. In line with the national data the Trust saw more patient deaths for people aged over 75 in January 2015 and January 2018 when more deaths are expected due to the winter period and an increase in flu activity.</w:t>
      </w:r>
    </w:p>
    <w:p w14:paraId="1788582A" w14:textId="7653C28D" w:rsidR="007564C8" w:rsidRPr="00D80BA0" w:rsidRDefault="007564C8" w:rsidP="00D80BA0">
      <w:pPr>
        <w:contextualSpacing/>
        <w:jc w:val="both"/>
        <w:rPr>
          <w:rFonts w:asciiTheme="minorHAnsi" w:eastAsiaTheme="minorHAnsi" w:hAnsiTheme="minorHAnsi" w:cstheme="minorHAnsi"/>
          <w:sz w:val="22"/>
          <w:szCs w:val="22"/>
          <w:lang w:eastAsia="en-US"/>
        </w:rPr>
      </w:pPr>
    </w:p>
    <w:p w14:paraId="5B61118E" w14:textId="77777777" w:rsidR="007564C8" w:rsidRPr="00D80BA0" w:rsidRDefault="007564C8" w:rsidP="00D80BA0">
      <w:pPr>
        <w:contextualSpacing/>
        <w:jc w:val="both"/>
        <w:rPr>
          <w:rFonts w:asciiTheme="minorHAnsi" w:eastAsia="Calibri" w:hAnsiTheme="minorHAnsi" w:cstheme="minorHAnsi"/>
          <w:sz w:val="22"/>
          <w:szCs w:val="22"/>
          <w:lang w:val="en-US" w:eastAsia="en-US"/>
        </w:rPr>
      </w:pPr>
      <w:r w:rsidRPr="007564C8">
        <w:rPr>
          <w:rFonts w:asciiTheme="minorHAnsi" w:eastAsiaTheme="minorEastAsia" w:hAnsiTheme="minorHAnsi" w:cstheme="minorHAnsi"/>
          <w:sz w:val="22"/>
          <w:szCs w:val="22"/>
          <w:lang w:val="en-US" w:eastAsia="en-US"/>
        </w:rPr>
        <w:t xml:space="preserve">The majority of deaths </w:t>
      </w:r>
      <w:r w:rsidRPr="00D80BA0">
        <w:rPr>
          <w:rFonts w:asciiTheme="minorHAnsi" w:eastAsiaTheme="minorEastAsia" w:hAnsiTheme="minorHAnsi" w:cstheme="minorHAnsi"/>
          <w:sz w:val="22"/>
          <w:szCs w:val="22"/>
          <w:lang w:val="en-US" w:eastAsia="en-US"/>
        </w:rPr>
        <w:t xml:space="preserve">relate to people aged over 75 </w:t>
      </w:r>
      <w:r w:rsidRPr="007564C8">
        <w:rPr>
          <w:rFonts w:asciiTheme="minorHAnsi" w:eastAsiaTheme="minorEastAsia" w:hAnsiTheme="minorHAnsi" w:cstheme="minorHAnsi"/>
          <w:sz w:val="22"/>
          <w:szCs w:val="22"/>
          <w:lang w:val="en-US" w:eastAsia="en-US"/>
        </w:rPr>
        <w:t xml:space="preserve">who had received treatment from one of our physical health services, such as the district nursing service. </w:t>
      </w:r>
      <w:r w:rsidRPr="00D80BA0">
        <w:rPr>
          <w:rFonts w:asciiTheme="minorHAnsi" w:eastAsia="Calibri" w:hAnsiTheme="minorHAnsi" w:cstheme="minorHAnsi"/>
          <w:sz w:val="22"/>
          <w:szCs w:val="22"/>
          <w:lang w:val="en-US" w:eastAsia="en-US"/>
        </w:rPr>
        <w:t>The key themes following the</w:t>
      </w:r>
      <w:r w:rsidR="00A134DD" w:rsidRPr="00A134DD">
        <w:rPr>
          <w:rFonts w:asciiTheme="minorHAnsi" w:eastAsia="Calibri" w:hAnsiTheme="minorHAnsi" w:cstheme="minorHAnsi"/>
          <w:sz w:val="22"/>
          <w:szCs w:val="22"/>
          <w:lang w:val="en-US" w:eastAsia="en-US"/>
        </w:rPr>
        <w:t xml:space="preserve"> </w:t>
      </w:r>
      <w:r w:rsidRPr="00D80BA0">
        <w:rPr>
          <w:rFonts w:asciiTheme="minorHAnsi" w:eastAsia="Calibri" w:hAnsiTheme="minorHAnsi" w:cstheme="minorHAnsi"/>
          <w:sz w:val="22"/>
          <w:szCs w:val="22"/>
          <w:lang w:val="en-US" w:eastAsia="en-US"/>
        </w:rPr>
        <w:t>reviews into deaths are:</w:t>
      </w:r>
    </w:p>
    <w:p w14:paraId="2BB5B19E" w14:textId="2BBF0CF6" w:rsidR="007564C8" w:rsidRPr="00D80BA0" w:rsidRDefault="007564C8" w:rsidP="00D80BA0">
      <w:pPr>
        <w:pStyle w:val="ListParagraph"/>
        <w:numPr>
          <w:ilvl w:val="0"/>
          <w:numId w:val="36"/>
        </w:numPr>
        <w:jc w:val="both"/>
        <w:rPr>
          <w:rFonts w:asciiTheme="minorHAnsi" w:eastAsiaTheme="minorEastAsia" w:hAnsiTheme="minorHAnsi" w:cstheme="minorHAnsi"/>
          <w:sz w:val="22"/>
          <w:szCs w:val="22"/>
          <w:lang w:val="en-US" w:eastAsia="en-US"/>
        </w:rPr>
      </w:pPr>
      <w:r w:rsidRPr="00D80BA0">
        <w:rPr>
          <w:rFonts w:asciiTheme="minorHAnsi" w:eastAsiaTheme="minorEastAsia" w:hAnsiTheme="minorHAnsi" w:cstheme="minorHAnsi"/>
          <w:sz w:val="22"/>
          <w:szCs w:val="22"/>
          <w:lang w:val="en-US" w:eastAsia="en-US"/>
        </w:rPr>
        <w:t>Physical healthcare for patients with a mental illness</w:t>
      </w:r>
    </w:p>
    <w:p w14:paraId="746BBFB4" w14:textId="77777777" w:rsidR="007564C8" w:rsidRPr="007564C8" w:rsidRDefault="007564C8" w:rsidP="00D80BA0">
      <w:pPr>
        <w:numPr>
          <w:ilvl w:val="0"/>
          <w:numId w:val="10"/>
        </w:numPr>
        <w:contextualSpacing/>
        <w:jc w:val="both"/>
        <w:rPr>
          <w:rFonts w:asciiTheme="minorHAnsi" w:eastAsiaTheme="minorEastAsia" w:hAnsiTheme="minorHAnsi" w:cstheme="minorHAnsi"/>
          <w:sz w:val="22"/>
          <w:szCs w:val="22"/>
          <w:lang w:val="en-US" w:eastAsia="en-US"/>
        </w:rPr>
      </w:pPr>
      <w:r w:rsidRPr="007564C8">
        <w:rPr>
          <w:rFonts w:asciiTheme="minorHAnsi" w:eastAsiaTheme="minorEastAsia" w:hAnsiTheme="minorHAnsi" w:cstheme="minorHAnsi"/>
          <w:sz w:val="22"/>
          <w:szCs w:val="22"/>
          <w:lang w:val="en-US" w:eastAsia="en-US"/>
        </w:rPr>
        <w:t>Family and carer involvement and communication</w:t>
      </w:r>
    </w:p>
    <w:p w14:paraId="64A65D44" w14:textId="77777777" w:rsidR="007564C8" w:rsidRPr="007564C8" w:rsidRDefault="007564C8" w:rsidP="00D80BA0">
      <w:pPr>
        <w:numPr>
          <w:ilvl w:val="0"/>
          <w:numId w:val="10"/>
        </w:numPr>
        <w:contextualSpacing/>
        <w:jc w:val="both"/>
        <w:rPr>
          <w:rFonts w:asciiTheme="minorHAnsi" w:eastAsiaTheme="minorEastAsia" w:hAnsiTheme="minorHAnsi" w:cstheme="minorHAnsi"/>
          <w:sz w:val="22"/>
          <w:szCs w:val="22"/>
          <w:lang w:val="en-US" w:eastAsia="en-US"/>
        </w:rPr>
      </w:pPr>
      <w:r w:rsidRPr="007564C8">
        <w:rPr>
          <w:rFonts w:asciiTheme="minorHAnsi" w:eastAsiaTheme="minorEastAsia" w:hAnsiTheme="minorHAnsi" w:cstheme="minorHAnsi"/>
          <w:sz w:val="22"/>
          <w:szCs w:val="22"/>
          <w:lang w:val="en-US" w:eastAsia="en-US"/>
        </w:rPr>
        <w:t>Communication at points of transition and changes in care between teams, services and organisations</w:t>
      </w:r>
    </w:p>
    <w:p w14:paraId="5684EC63" w14:textId="77777777" w:rsidR="00A134DD" w:rsidRPr="00D80BA0" w:rsidRDefault="00A134DD" w:rsidP="00D80BA0">
      <w:pPr>
        <w:contextualSpacing/>
        <w:jc w:val="both"/>
        <w:rPr>
          <w:rFonts w:asciiTheme="minorHAnsi" w:eastAsiaTheme="minorEastAsia" w:hAnsiTheme="minorHAnsi" w:cstheme="minorHAnsi"/>
          <w:sz w:val="22"/>
          <w:szCs w:val="22"/>
          <w:lang w:val="en-US" w:eastAsia="en-US"/>
        </w:rPr>
      </w:pPr>
    </w:p>
    <w:p w14:paraId="056F9C25" w14:textId="10A0BF4D" w:rsidR="008300ED" w:rsidRPr="00D80BA0" w:rsidRDefault="00F219F5" w:rsidP="00D80BA0">
      <w:pPr>
        <w:contextualSpacing/>
        <w:rPr>
          <w:rFonts w:asciiTheme="minorHAnsi" w:hAnsiTheme="minorHAnsi" w:cstheme="minorHAnsi"/>
          <w:b/>
          <w:sz w:val="22"/>
          <w:szCs w:val="22"/>
          <w:u w:val="single"/>
        </w:rPr>
      </w:pPr>
      <w:r w:rsidRPr="00D80BA0">
        <w:rPr>
          <w:rFonts w:asciiTheme="minorHAnsi" w:hAnsiTheme="minorHAnsi" w:cstheme="minorHAnsi"/>
          <w:b/>
          <w:sz w:val="22"/>
          <w:szCs w:val="22"/>
        </w:rPr>
        <w:t>6</w:t>
      </w:r>
      <w:r w:rsidR="00C23843" w:rsidRPr="00D80BA0">
        <w:rPr>
          <w:rFonts w:asciiTheme="minorHAnsi" w:hAnsiTheme="minorHAnsi" w:cstheme="minorHAnsi"/>
          <w:b/>
          <w:sz w:val="22"/>
          <w:szCs w:val="22"/>
        </w:rPr>
        <w:t xml:space="preserve">.0 </w:t>
      </w:r>
      <w:r w:rsidR="0033312E" w:rsidRPr="00D80BA0">
        <w:rPr>
          <w:rFonts w:asciiTheme="minorHAnsi" w:hAnsiTheme="minorHAnsi" w:cstheme="minorHAnsi"/>
          <w:b/>
          <w:sz w:val="22"/>
          <w:szCs w:val="22"/>
          <w:u w:val="single"/>
        </w:rPr>
        <w:t>Serious Incidents</w:t>
      </w:r>
    </w:p>
    <w:p w14:paraId="25C5F722" w14:textId="3456636D" w:rsidR="00C045A4" w:rsidRPr="00D80BA0" w:rsidRDefault="008020E0" w:rsidP="00D80BA0">
      <w:pPr>
        <w:contextualSpacing/>
        <w:jc w:val="both"/>
        <w:rPr>
          <w:rFonts w:asciiTheme="minorHAnsi" w:hAnsiTheme="minorHAnsi" w:cstheme="minorHAnsi"/>
          <w:sz w:val="22"/>
          <w:szCs w:val="22"/>
          <w:u w:val="single"/>
        </w:rPr>
      </w:pPr>
      <w:r w:rsidRPr="00D80BA0">
        <w:rPr>
          <w:rFonts w:asciiTheme="minorHAnsi" w:hAnsiTheme="minorHAnsi" w:cstheme="minorHAnsi"/>
          <w:sz w:val="22"/>
          <w:szCs w:val="22"/>
          <w:u w:val="single"/>
        </w:rPr>
        <w:t>6</w:t>
      </w:r>
      <w:r w:rsidR="00C045A4" w:rsidRPr="00D80BA0">
        <w:rPr>
          <w:rFonts w:asciiTheme="minorHAnsi" w:hAnsiTheme="minorHAnsi" w:cstheme="minorHAnsi"/>
          <w:sz w:val="22"/>
          <w:szCs w:val="22"/>
          <w:u w:val="single"/>
        </w:rPr>
        <w:t xml:space="preserve">.1 </w:t>
      </w:r>
      <w:r w:rsidR="0033312E" w:rsidRPr="00D80BA0">
        <w:rPr>
          <w:rFonts w:asciiTheme="minorHAnsi" w:hAnsiTheme="minorHAnsi" w:cstheme="minorHAnsi"/>
          <w:sz w:val="22"/>
          <w:szCs w:val="22"/>
          <w:u w:val="single"/>
        </w:rPr>
        <w:t>N</w:t>
      </w:r>
      <w:r w:rsidR="00C045A4" w:rsidRPr="00D80BA0">
        <w:rPr>
          <w:rFonts w:asciiTheme="minorHAnsi" w:hAnsiTheme="minorHAnsi" w:cstheme="minorHAnsi"/>
          <w:sz w:val="22"/>
          <w:szCs w:val="22"/>
          <w:u w:val="single"/>
        </w:rPr>
        <w:t xml:space="preserve">umber </w:t>
      </w:r>
      <w:r w:rsidR="0033312E" w:rsidRPr="00D80BA0">
        <w:rPr>
          <w:rFonts w:asciiTheme="minorHAnsi" w:hAnsiTheme="minorHAnsi" w:cstheme="minorHAnsi"/>
          <w:sz w:val="22"/>
          <w:szCs w:val="22"/>
          <w:u w:val="single"/>
        </w:rPr>
        <w:t>and themes from serious incidents (SI)</w:t>
      </w:r>
    </w:p>
    <w:p w14:paraId="36A695F7" w14:textId="3A3EB81D" w:rsidR="00C045A4" w:rsidRPr="00D80BA0" w:rsidRDefault="00EA2CA0"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In Q1</w:t>
      </w:r>
      <w:r w:rsidR="0033312E" w:rsidRPr="00D80BA0">
        <w:rPr>
          <w:rFonts w:asciiTheme="minorHAnsi" w:hAnsiTheme="minorHAnsi" w:cstheme="minorHAnsi"/>
          <w:sz w:val="22"/>
          <w:szCs w:val="22"/>
        </w:rPr>
        <w:t xml:space="preserve"> </w:t>
      </w:r>
      <w:r w:rsidRPr="00D80BA0">
        <w:rPr>
          <w:rFonts w:asciiTheme="minorHAnsi" w:hAnsiTheme="minorHAnsi" w:cstheme="minorHAnsi"/>
          <w:sz w:val="22"/>
          <w:szCs w:val="22"/>
        </w:rPr>
        <w:t>2018/19</w:t>
      </w:r>
      <w:r w:rsidR="008C2210" w:rsidRPr="00D80BA0">
        <w:rPr>
          <w:rFonts w:asciiTheme="minorHAnsi" w:hAnsiTheme="minorHAnsi" w:cstheme="minorHAnsi"/>
          <w:sz w:val="22"/>
          <w:szCs w:val="22"/>
        </w:rPr>
        <w:t>, 16</w:t>
      </w:r>
      <w:r w:rsidR="00C045A4" w:rsidRPr="00D80BA0">
        <w:rPr>
          <w:rFonts w:asciiTheme="minorHAnsi" w:hAnsiTheme="minorHAnsi" w:cstheme="minorHAnsi"/>
          <w:sz w:val="22"/>
          <w:szCs w:val="22"/>
        </w:rPr>
        <w:t xml:space="preserve"> SIs</w:t>
      </w:r>
      <w:r w:rsidR="00C045A4" w:rsidRPr="00D80BA0">
        <w:rPr>
          <w:rStyle w:val="FootnoteReference"/>
          <w:rFonts w:asciiTheme="minorHAnsi" w:hAnsiTheme="minorHAnsi" w:cstheme="minorHAnsi"/>
          <w:color w:val="auto"/>
          <w:sz w:val="22"/>
          <w:szCs w:val="22"/>
        </w:rPr>
        <w:footnoteReference w:id="2"/>
      </w:r>
      <w:r w:rsidR="00C90475" w:rsidRPr="00D80BA0">
        <w:rPr>
          <w:rFonts w:asciiTheme="minorHAnsi" w:hAnsiTheme="minorHAnsi" w:cstheme="minorHAnsi"/>
          <w:sz w:val="22"/>
          <w:szCs w:val="22"/>
        </w:rPr>
        <w:t xml:space="preserve"> </w:t>
      </w:r>
      <w:r w:rsidR="00EB1D0B" w:rsidRPr="00D80BA0">
        <w:rPr>
          <w:rFonts w:asciiTheme="minorHAnsi" w:hAnsiTheme="minorHAnsi" w:cstheme="minorHAnsi"/>
          <w:sz w:val="22"/>
          <w:szCs w:val="22"/>
        </w:rPr>
        <w:t>were</w:t>
      </w:r>
      <w:r w:rsidR="00C045A4" w:rsidRPr="00D80BA0">
        <w:rPr>
          <w:rFonts w:asciiTheme="minorHAnsi" w:hAnsiTheme="minorHAnsi" w:cstheme="minorHAnsi"/>
          <w:sz w:val="22"/>
          <w:szCs w:val="22"/>
        </w:rPr>
        <w:t xml:space="preserve"> identified and reported</w:t>
      </w:r>
      <w:r w:rsidR="008C2210" w:rsidRPr="00D80BA0">
        <w:rPr>
          <w:rFonts w:asciiTheme="minorHAnsi" w:hAnsiTheme="minorHAnsi" w:cstheme="minorHAnsi"/>
          <w:sz w:val="22"/>
          <w:szCs w:val="22"/>
        </w:rPr>
        <w:t>, of these 5 were s</w:t>
      </w:r>
      <w:r w:rsidR="0033312E" w:rsidRPr="00D80BA0">
        <w:rPr>
          <w:rFonts w:asciiTheme="minorHAnsi" w:hAnsiTheme="minorHAnsi" w:cstheme="minorHAnsi"/>
          <w:sz w:val="22"/>
          <w:szCs w:val="22"/>
        </w:rPr>
        <w:t xml:space="preserve">ubsequently downgraded. </w:t>
      </w:r>
      <w:r w:rsidR="008C2210" w:rsidRPr="00D80BA0">
        <w:rPr>
          <w:rFonts w:asciiTheme="minorHAnsi" w:hAnsiTheme="minorHAnsi" w:cstheme="minorHAnsi"/>
          <w:sz w:val="22"/>
          <w:szCs w:val="22"/>
        </w:rPr>
        <w:t>Of the SIs reported in Q1, 5</w:t>
      </w:r>
      <w:r w:rsidR="00326D83" w:rsidRPr="00D80BA0">
        <w:rPr>
          <w:rFonts w:asciiTheme="minorHAnsi" w:hAnsiTheme="minorHAnsi" w:cstheme="minorHAnsi"/>
          <w:sz w:val="22"/>
          <w:szCs w:val="22"/>
        </w:rPr>
        <w:t xml:space="preserve"> involve a death of which </w:t>
      </w:r>
      <w:r w:rsidR="008C2210" w:rsidRPr="00D80BA0">
        <w:rPr>
          <w:rFonts w:asciiTheme="minorHAnsi" w:hAnsiTheme="minorHAnsi" w:cstheme="minorHAnsi"/>
          <w:sz w:val="22"/>
          <w:szCs w:val="22"/>
        </w:rPr>
        <w:t>4</w:t>
      </w:r>
      <w:r w:rsidR="00C90475" w:rsidRPr="00D80BA0">
        <w:rPr>
          <w:rFonts w:asciiTheme="minorHAnsi" w:hAnsiTheme="minorHAnsi" w:cstheme="minorHAnsi"/>
          <w:sz w:val="22"/>
          <w:szCs w:val="22"/>
        </w:rPr>
        <w:t xml:space="preserve"> are suspected </w:t>
      </w:r>
      <w:r w:rsidR="00EB1D0B" w:rsidRPr="00D80BA0">
        <w:rPr>
          <w:rFonts w:asciiTheme="minorHAnsi" w:hAnsiTheme="minorHAnsi" w:cstheme="minorHAnsi"/>
          <w:sz w:val="22"/>
          <w:szCs w:val="22"/>
        </w:rPr>
        <w:t>suicides</w:t>
      </w:r>
      <w:r w:rsidR="008C2210" w:rsidRPr="00D80BA0">
        <w:rPr>
          <w:rFonts w:asciiTheme="minorHAnsi" w:hAnsiTheme="minorHAnsi" w:cstheme="minorHAnsi"/>
          <w:sz w:val="22"/>
          <w:szCs w:val="22"/>
        </w:rPr>
        <w:t xml:space="preserve">. </w:t>
      </w:r>
      <w:r w:rsidR="008020E0" w:rsidRPr="00D80BA0">
        <w:rPr>
          <w:rFonts w:asciiTheme="minorHAnsi" w:hAnsiTheme="minorHAnsi" w:cstheme="minorHAnsi"/>
          <w:sz w:val="22"/>
          <w:szCs w:val="22"/>
        </w:rPr>
        <w:t>The majority of SIs relate to self-harm and pressure damage.</w:t>
      </w:r>
    </w:p>
    <w:p w14:paraId="1A69A05E" w14:textId="77777777" w:rsidR="0033312E" w:rsidRPr="00D80BA0" w:rsidRDefault="0033312E" w:rsidP="00D80BA0">
      <w:pPr>
        <w:contextualSpacing/>
        <w:jc w:val="both"/>
        <w:rPr>
          <w:rFonts w:asciiTheme="minorHAnsi" w:hAnsiTheme="minorHAnsi" w:cstheme="minorHAnsi"/>
          <w:sz w:val="22"/>
          <w:szCs w:val="22"/>
        </w:rPr>
      </w:pPr>
    </w:p>
    <w:p w14:paraId="2FD3EA91" w14:textId="7EF6D64F" w:rsidR="00C04F42" w:rsidRPr="00D80BA0" w:rsidRDefault="008C2210"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In Q1</w:t>
      </w:r>
      <w:r w:rsidR="001A32F2" w:rsidRPr="00D80BA0">
        <w:rPr>
          <w:rFonts w:asciiTheme="minorHAnsi" w:hAnsiTheme="minorHAnsi" w:cstheme="minorHAnsi"/>
          <w:sz w:val="22"/>
          <w:szCs w:val="22"/>
        </w:rPr>
        <w:t xml:space="preserve"> </w:t>
      </w:r>
      <w:r w:rsidRPr="00D80BA0">
        <w:rPr>
          <w:rFonts w:asciiTheme="minorHAnsi" w:hAnsiTheme="minorHAnsi" w:cstheme="minorHAnsi"/>
          <w:sz w:val="22"/>
          <w:szCs w:val="22"/>
        </w:rPr>
        <w:t>15</w:t>
      </w:r>
      <w:r w:rsidR="00D204C8" w:rsidRPr="00D80BA0">
        <w:rPr>
          <w:rFonts w:asciiTheme="minorHAnsi" w:hAnsiTheme="minorHAnsi" w:cstheme="minorHAnsi"/>
          <w:sz w:val="22"/>
          <w:szCs w:val="22"/>
        </w:rPr>
        <w:t xml:space="preserve"> </w:t>
      </w:r>
      <w:r w:rsidR="00217E71" w:rsidRPr="00D80BA0">
        <w:rPr>
          <w:rFonts w:asciiTheme="minorHAnsi" w:hAnsiTheme="minorHAnsi" w:cstheme="minorHAnsi"/>
          <w:sz w:val="22"/>
          <w:szCs w:val="22"/>
        </w:rPr>
        <w:t>SI</w:t>
      </w:r>
      <w:r w:rsidR="00C04F42" w:rsidRPr="00D80BA0">
        <w:rPr>
          <w:rFonts w:asciiTheme="minorHAnsi" w:hAnsiTheme="minorHAnsi" w:cstheme="minorHAnsi"/>
          <w:sz w:val="22"/>
          <w:szCs w:val="22"/>
        </w:rPr>
        <w:t xml:space="preserve"> investigations were</w:t>
      </w:r>
      <w:r w:rsidR="00326D83" w:rsidRPr="00D80BA0">
        <w:rPr>
          <w:rFonts w:asciiTheme="minorHAnsi" w:hAnsiTheme="minorHAnsi" w:cstheme="minorHAnsi"/>
          <w:sz w:val="22"/>
          <w:szCs w:val="22"/>
        </w:rPr>
        <w:t xml:space="preserve"> completed, reviewed at panel and submitted to the commissioner based on inc</w:t>
      </w:r>
      <w:r w:rsidR="00C90475" w:rsidRPr="00D80BA0">
        <w:rPr>
          <w:rFonts w:asciiTheme="minorHAnsi" w:hAnsiTheme="minorHAnsi" w:cstheme="minorHAnsi"/>
          <w:sz w:val="22"/>
          <w:szCs w:val="22"/>
        </w:rPr>
        <w:t>idents</w:t>
      </w:r>
      <w:r w:rsidR="0033312E" w:rsidRPr="00D80BA0">
        <w:rPr>
          <w:rFonts w:asciiTheme="minorHAnsi" w:hAnsiTheme="minorHAnsi" w:cstheme="minorHAnsi"/>
          <w:sz w:val="22"/>
          <w:szCs w:val="22"/>
        </w:rPr>
        <w:t xml:space="preserve"> that</w:t>
      </w:r>
      <w:r w:rsidR="00C90475" w:rsidRPr="00D80BA0">
        <w:rPr>
          <w:rFonts w:asciiTheme="minorHAnsi" w:hAnsiTheme="minorHAnsi" w:cstheme="minorHAnsi"/>
          <w:sz w:val="22"/>
          <w:szCs w:val="22"/>
        </w:rPr>
        <w:t xml:space="preserve"> occurred in </w:t>
      </w:r>
      <w:r w:rsidR="00326D83" w:rsidRPr="00D80BA0">
        <w:rPr>
          <w:rFonts w:asciiTheme="minorHAnsi" w:hAnsiTheme="minorHAnsi" w:cstheme="minorHAnsi"/>
          <w:sz w:val="22"/>
          <w:szCs w:val="22"/>
        </w:rPr>
        <w:t>2017/18</w:t>
      </w:r>
      <w:r w:rsidRPr="00D80BA0">
        <w:rPr>
          <w:rFonts w:asciiTheme="minorHAnsi" w:hAnsiTheme="minorHAnsi" w:cstheme="minorHAnsi"/>
          <w:sz w:val="22"/>
          <w:szCs w:val="22"/>
        </w:rPr>
        <w:t>, of these 3</w:t>
      </w:r>
      <w:r w:rsidR="00C90475" w:rsidRPr="00D80BA0">
        <w:rPr>
          <w:rFonts w:asciiTheme="minorHAnsi" w:hAnsiTheme="minorHAnsi" w:cstheme="minorHAnsi"/>
          <w:sz w:val="22"/>
          <w:szCs w:val="22"/>
        </w:rPr>
        <w:t xml:space="preserve"> were downgraded over the course of the investigation</w:t>
      </w:r>
      <w:r w:rsidR="00326D83" w:rsidRPr="00D80BA0">
        <w:rPr>
          <w:rFonts w:asciiTheme="minorHAnsi" w:hAnsiTheme="minorHAnsi" w:cstheme="minorHAnsi"/>
          <w:sz w:val="22"/>
          <w:szCs w:val="22"/>
        </w:rPr>
        <w:t>.</w:t>
      </w:r>
      <w:r w:rsidR="00C502F0" w:rsidRPr="00D80BA0">
        <w:rPr>
          <w:rFonts w:asciiTheme="minorHAnsi" w:hAnsiTheme="minorHAnsi" w:cstheme="minorHAnsi"/>
          <w:sz w:val="22"/>
          <w:szCs w:val="22"/>
        </w:rPr>
        <w:t xml:space="preserve"> No investigations were submitted to the CCG late in Q1 and so far in 2018/19, 5 investigations have been submitted early.</w:t>
      </w:r>
    </w:p>
    <w:p w14:paraId="6FDA7B3D" w14:textId="674B1B82" w:rsidR="00E777D4" w:rsidRPr="00D80BA0" w:rsidRDefault="00E777D4" w:rsidP="00D80BA0">
      <w:pPr>
        <w:contextualSpacing/>
        <w:jc w:val="both"/>
        <w:rPr>
          <w:rFonts w:asciiTheme="minorHAnsi" w:hAnsiTheme="minorHAnsi" w:cstheme="minorHAnsi"/>
          <w:sz w:val="22"/>
          <w:szCs w:val="22"/>
          <w:u w:val="single"/>
        </w:rPr>
      </w:pPr>
    </w:p>
    <w:p w14:paraId="2DE3E640" w14:textId="178818B0" w:rsidR="00C502F0" w:rsidRPr="00C502F0" w:rsidRDefault="00C502F0" w:rsidP="00D80BA0">
      <w:pPr>
        <w:contextualSpacing/>
        <w:rPr>
          <w:rFonts w:asciiTheme="minorHAnsi" w:hAnsiTheme="minorHAnsi" w:cstheme="minorHAnsi"/>
          <w:sz w:val="22"/>
          <w:szCs w:val="22"/>
        </w:rPr>
      </w:pPr>
      <w:r w:rsidRPr="00C502F0">
        <w:rPr>
          <w:rFonts w:asciiTheme="minorHAnsi" w:hAnsiTheme="minorHAnsi" w:cstheme="minorHAnsi"/>
          <w:sz w:val="22"/>
          <w:szCs w:val="22"/>
        </w:rPr>
        <w:t xml:space="preserve">There has been a reduction in the number of confirmed serious incidents in </w:t>
      </w:r>
      <w:r w:rsidRPr="00D80BA0">
        <w:rPr>
          <w:rFonts w:asciiTheme="minorHAnsi" w:hAnsiTheme="minorHAnsi" w:cstheme="minorHAnsi"/>
          <w:sz w:val="22"/>
          <w:szCs w:val="22"/>
        </w:rPr>
        <w:t xml:space="preserve">the previous 3 years (figure 7). </w:t>
      </w:r>
      <w:r w:rsidRPr="00C502F0">
        <w:rPr>
          <w:rFonts w:asciiTheme="minorHAnsi" w:hAnsiTheme="minorHAnsi" w:cstheme="minorHAnsi"/>
          <w:sz w:val="22"/>
          <w:szCs w:val="22"/>
        </w:rPr>
        <w:t>The decline has largely been seen in the Older People Directorate in relati</w:t>
      </w:r>
      <w:r w:rsidRPr="00D80BA0">
        <w:rPr>
          <w:rFonts w:asciiTheme="minorHAnsi" w:hAnsiTheme="minorHAnsi" w:cstheme="minorHAnsi"/>
          <w:sz w:val="22"/>
          <w:szCs w:val="22"/>
        </w:rPr>
        <w:t xml:space="preserve">on to pressure ulcers however we have also seen a reduction in self-harm SIs. </w:t>
      </w:r>
      <w:r w:rsidRPr="00C502F0">
        <w:rPr>
          <w:rFonts w:asciiTheme="minorHAnsi" w:hAnsiTheme="minorHAnsi" w:cstheme="minorHAnsi"/>
          <w:sz w:val="22"/>
          <w:szCs w:val="22"/>
        </w:rPr>
        <w:t xml:space="preserve">The reduction in the incidence of pressure damage in Older Peoples Directorate comes as a result of a dedicated focus within community nursing teams to assess and advise their patients and carers on the signs of pressure damage and to put in place preventive measures. </w:t>
      </w:r>
    </w:p>
    <w:p w14:paraId="476B2DCE" w14:textId="2BF2092D" w:rsidR="00C502F0" w:rsidRPr="00D80BA0" w:rsidRDefault="00C502F0" w:rsidP="00D80BA0">
      <w:pPr>
        <w:contextualSpacing/>
        <w:jc w:val="both"/>
        <w:rPr>
          <w:rFonts w:asciiTheme="minorHAnsi" w:hAnsiTheme="minorHAnsi" w:cstheme="minorHAnsi"/>
          <w:sz w:val="22"/>
          <w:szCs w:val="22"/>
          <w:u w:val="single"/>
        </w:rPr>
      </w:pPr>
    </w:p>
    <w:p w14:paraId="1DB0351D" w14:textId="45AC19A0" w:rsidR="00C502F0" w:rsidRPr="00C502F0" w:rsidRDefault="00C502F0" w:rsidP="00D80BA0">
      <w:pPr>
        <w:contextualSpacing/>
        <w:rPr>
          <w:rFonts w:asciiTheme="minorHAnsi" w:eastAsiaTheme="minorHAnsi" w:hAnsiTheme="minorHAnsi" w:cstheme="minorHAnsi"/>
          <w:i/>
          <w:sz w:val="22"/>
          <w:szCs w:val="22"/>
          <w:lang w:eastAsia="en-US"/>
        </w:rPr>
      </w:pPr>
      <w:r w:rsidRPr="00C502F0">
        <w:rPr>
          <w:rFonts w:asciiTheme="minorHAnsi" w:eastAsiaTheme="minorHAnsi" w:hAnsiTheme="minorHAnsi" w:cstheme="minorHAnsi"/>
          <w:i/>
          <w:noProof/>
          <w:sz w:val="22"/>
          <w:szCs w:val="22"/>
        </w:rPr>
        <w:drawing>
          <wp:inline distT="0" distB="0" distL="0" distR="0" wp14:anchorId="0BF25F5F" wp14:editId="30CD5A0C">
            <wp:extent cx="5825490" cy="2714625"/>
            <wp:effectExtent l="0" t="0" r="381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37370" cy="2720161"/>
                    </a:xfrm>
                    <a:prstGeom prst="rect">
                      <a:avLst/>
                    </a:prstGeom>
                    <a:noFill/>
                  </pic:spPr>
                </pic:pic>
              </a:graphicData>
            </a:graphic>
          </wp:inline>
        </w:drawing>
      </w:r>
      <w:r w:rsidRPr="00C502F0">
        <w:rPr>
          <w:rFonts w:asciiTheme="minorHAnsi" w:eastAsiaTheme="minorHAnsi" w:hAnsiTheme="minorHAnsi" w:cstheme="minorHAnsi"/>
          <w:i/>
          <w:sz w:val="22"/>
          <w:szCs w:val="22"/>
          <w:lang w:eastAsia="en-US"/>
        </w:rPr>
        <w:t xml:space="preserve">Figure </w:t>
      </w:r>
      <w:r w:rsidRPr="00D80BA0">
        <w:rPr>
          <w:rFonts w:asciiTheme="minorHAnsi" w:eastAsiaTheme="minorHAnsi" w:hAnsiTheme="minorHAnsi" w:cstheme="minorHAnsi"/>
          <w:i/>
          <w:sz w:val="22"/>
          <w:szCs w:val="22"/>
          <w:lang w:eastAsia="en-US"/>
        </w:rPr>
        <w:t>7</w:t>
      </w:r>
      <w:r w:rsidRPr="00C502F0">
        <w:rPr>
          <w:rFonts w:asciiTheme="minorHAnsi" w:eastAsiaTheme="minorHAnsi" w:hAnsiTheme="minorHAnsi" w:cstheme="minorHAnsi"/>
          <w:i/>
          <w:sz w:val="22"/>
          <w:szCs w:val="22"/>
          <w:lang w:eastAsia="en-US"/>
        </w:rPr>
        <w:t xml:space="preserve">. Monthly numbers of confirmed serious incidents, based on date of incident, April 2015 – June 2018 </w:t>
      </w:r>
    </w:p>
    <w:p w14:paraId="365EFF7F" w14:textId="4638E83F" w:rsidR="00C502F0" w:rsidRPr="00D80BA0" w:rsidRDefault="00C502F0" w:rsidP="00D80BA0">
      <w:pPr>
        <w:contextualSpacing/>
        <w:jc w:val="both"/>
        <w:rPr>
          <w:rFonts w:asciiTheme="minorHAnsi" w:hAnsiTheme="minorHAnsi" w:cstheme="minorHAnsi"/>
          <w:sz w:val="22"/>
          <w:szCs w:val="22"/>
          <w:u w:val="single"/>
        </w:rPr>
      </w:pPr>
    </w:p>
    <w:p w14:paraId="2BB6C6B3" w14:textId="77777777" w:rsidR="004A5685" w:rsidRPr="00D80BA0" w:rsidRDefault="004A5685" w:rsidP="00D80BA0">
      <w:pPr>
        <w:contextualSpacing/>
        <w:rPr>
          <w:rFonts w:asciiTheme="minorHAnsi" w:hAnsiTheme="minorHAnsi" w:cstheme="minorHAnsi"/>
          <w:sz w:val="22"/>
          <w:szCs w:val="22"/>
        </w:rPr>
      </w:pPr>
      <w:r w:rsidRPr="00D80BA0">
        <w:rPr>
          <w:rFonts w:asciiTheme="minorHAnsi" w:hAnsiTheme="minorHAnsi" w:cstheme="minorHAnsi"/>
          <w:sz w:val="22"/>
          <w:szCs w:val="22"/>
        </w:rPr>
        <w:lastRenderedPageBreak/>
        <w:t>The overall themes and learning from the serious incidents reviewed are:</w:t>
      </w:r>
    </w:p>
    <w:p w14:paraId="1DF19E77" w14:textId="0E2B1DC5" w:rsidR="004A5685" w:rsidRPr="00D80BA0" w:rsidRDefault="004A5685" w:rsidP="00D80BA0">
      <w:pPr>
        <w:pStyle w:val="ListParagraph"/>
        <w:numPr>
          <w:ilvl w:val="0"/>
          <w:numId w:val="7"/>
        </w:numPr>
        <w:rPr>
          <w:rFonts w:asciiTheme="minorHAnsi" w:hAnsiTheme="minorHAnsi" w:cstheme="minorHAnsi"/>
          <w:sz w:val="22"/>
          <w:szCs w:val="22"/>
        </w:rPr>
      </w:pPr>
      <w:r w:rsidRPr="00D80BA0">
        <w:rPr>
          <w:rFonts w:asciiTheme="minorHAnsi" w:hAnsiTheme="minorHAnsi" w:cstheme="minorHAnsi"/>
          <w:sz w:val="22"/>
          <w:szCs w:val="22"/>
        </w:rPr>
        <w:t>Challenges continue with staffing levels, use of temporary staff and transfer of patien</w:t>
      </w:r>
      <w:r w:rsidR="004F0D7D" w:rsidRPr="00D80BA0">
        <w:rPr>
          <w:rFonts w:asciiTheme="minorHAnsi" w:hAnsiTheme="minorHAnsi" w:cstheme="minorHAnsi"/>
          <w:sz w:val="22"/>
          <w:szCs w:val="22"/>
        </w:rPr>
        <w:t xml:space="preserve">ts between care co-ordinators </w:t>
      </w:r>
      <w:r w:rsidRPr="00D80BA0">
        <w:rPr>
          <w:rFonts w:asciiTheme="minorHAnsi" w:hAnsiTheme="minorHAnsi" w:cstheme="minorHAnsi"/>
          <w:sz w:val="22"/>
          <w:szCs w:val="22"/>
        </w:rPr>
        <w:t>where staff turnover is high. This continues to have a negative impact on the quality and continuity of care for patients and the morale of permanent staff.</w:t>
      </w:r>
    </w:p>
    <w:p w14:paraId="5959021D" w14:textId="77777777" w:rsidR="004A5685" w:rsidRPr="00D80BA0" w:rsidRDefault="004A5685" w:rsidP="00D80BA0">
      <w:pPr>
        <w:pStyle w:val="ListParagraph"/>
        <w:numPr>
          <w:ilvl w:val="0"/>
          <w:numId w:val="7"/>
        </w:numPr>
        <w:rPr>
          <w:rFonts w:asciiTheme="minorHAnsi" w:hAnsiTheme="minorHAnsi" w:cstheme="minorHAnsi"/>
          <w:sz w:val="22"/>
          <w:szCs w:val="22"/>
        </w:rPr>
      </w:pPr>
      <w:r w:rsidRPr="00D80BA0">
        <w:rPr>
          <w:rFonts w:asciiTheme="minorHAnsi" w:hAnsiTheme="minorHAnsi" w:cstheme="minorHAnsi"/>
          <w:sz w:val="22"/>
          <w:szCs w:val="22"/>
        </w:rPr>
        <w:t xml:space="preserve">Variable completeness and standards of documentation for example- assessments, MEWS, care plans.  </w:t>
      </w:r>
    </w:p>
    <w:p w14:paraId="46B2E5EE" w14:textId="41D60635" w:rsidR="004A5685" w:rsidRPr="00D80BA0" w:rsidRDefault="004A5685" w:rsidP="00D80BA0">
      <w:pPr>
        <w:pStyle w:val="ListParagraph"/>
        <w:numPr>
          <w:ilvl w:val="0"/>
          <w:numId w:val="7"/>
        </w:numPr>
        <w:rPr>
          <w:rFonts w:asciiTheme="minorHAnsi" w:hAnsiTheme="minorHAnsi" w:cstheme="minorHAnsi"/>
          <w:sz w:val="22"/>
          <w:szCs w:val="22"/>
        </w:rPr>
      </w:pPr>
      <w:r w:rsidRPr="00D80BA0">
        <w:rPr>
          <w:rFonts w:asciiTheme="minorHAnsi" w:hAnsiTheme="minorHAnsi" w:cstheme="minorHAnsi"/>
          <w:sz w:val="22"/>
          <w:szCs w:val="22"/>
        </w:rPr>
        <w:t xml:space="preserve">Essential checks are not always completed fully and in line with trust polices for example </w:t>
      </w:r>
      <w:r w:rsidR="004F0D7D" w:rsidRPr="00D80BA0">
        <w:rPr>
          <w:rFonts w:asciiTheme="minorHAnsi" w:hAnsiTheme="minorHAnsi" w:cstheme="minorHAnsi"/>
          <w:sz w:val="22"/>
          <w:szCs w:val="22"/>
        </w:rPr>
        <w:t>inpatient environmental checks</w:t>
      </w:r>
      <w:r w:rsidRPr="00D80BA0">
        <w:rPr>
          <w:rFonts w:asciiTheme="minorHAnsi" w:hAnsiTheme="minorHAnsi" w:cstheme="minorHAnsi"/>
          <w:sz w:val="22"/>
          <w:szCs w:val="22"/>
        </w:rPr>
        <w:t>.</w:t>
      </w:r>
    </w:p>
    <w:p w14:paraId="582BBBAB" w14:textId="360BE94E" w:rsidR="004A5685" w:rsidRPr="00D80BA0" w:rsidRDefault="004A5685" w:rsidP="00D80BA0">
      <w:pPr>
        <w:pStyle w:val="ListParagraph"/>
        <w:numPr>
          <w:ilvl w:val="0"/>
          <w:numId w:val="7"/>
        </w:numPr>
        <w:rPr>
          <w:rFonts w:asciiTheme="minorHAnsi" w:hAnsiTheme="minorHAnsi" w:cstheme="minorHAnsi"/>
          <w:sz w:val="22"/>
          <w:szCs w:val="22"/>
        </w:rPr>
      </w:pPr>
      <w:r w:rsidRPr="00D80BA0">
        <w:rPr>
          <w:rFonts w:asciiTheme="minorHAnsi" w:hAnsiTheme="minorHAnsi" w:cstheme="minorHAnsi"/>
          <w:sz w:val="22"/>
          <w:szCs w:val="22"/>
        </w:rPr>
        <w:t xml:space="preserve">Physical health care needs should be more routinely reviewed and monitored </w:t>
      </w:r>
      <w:r w:rsidR="004F0D7D" w:rsidRPr="00D80BA0">
        <w:rPr>
          <w:rFonts w:asciiTheme="minorHAnsi" w:hAnsiTheme="minorHAnsi" w:cstheme="minorHAnsi"/>
          <w:sz w:val="22"/>
          <w:szCs w:val="22"/>
        </w:rPr>
        <w:t>on mental health care settings</w:t>
      </w:r>
      <w:r w:rsidRPr="00D80BA0">
        <w:rPr>
          <w:rFonts w:asciiTheme="minorHAnsi" w:hAnsiTheme="minorHAnsi" w:cstheme="minorHAnsi"/>
          <w:sz w:val="22"/>
          <w:szCs w:val="22"/>
        </w:rPr>
        <w:t xml:space="preserve"> </w:t>
      </w:r>
    </w:p>
    <w:p w14:paraId="20CB71A7" w14:textId="24629352" w:rsidR="004A5685" w:rsidRPr="00D80BA0" w:rsidRDefault="004A5685" w:rsidP="00D80BA0">
      <w:pPr>
        <w:pStyle w:val="ListParagraph"/>
        <w:numPr>
          <w:ilvl w:val="0"/>
          <w:numId w:val="7"/>
        </w:numPr>
        <w:rPr>
          <w:rFonts w:asciiTheme="minorHAnsi" w:hAnsiTheme="minorHAnsi" w:cstheme="minorHAnsi"/>
          <w:sz w:val="22"/>
          <w:szCs w:val="22"/>
        </w:rPr>
      </w:pPr>
      <w:r w:rsidRPr="00D80BA0">
        <w:rPr>
          <w:rFonts w:asciiTheme="minorHAnsi" w:hAnsiTheme="minorHAnsi" w:cstheme="minorHAnsi"/>
          <w:sz w:val="22"/>
          <w:szCs w:val="22"/>
        </w:rPr>
        <w:t>Permission to share appropriate information with family and carers is not sought frequently and is often not clearl</w:t>
      </w:r>
      <w:r w:rsidR="004F0D7D" w:rsidRPr="00D80BA0">
        <w:rPr>
          <w:rFonts w:asciiTheme="minorHAnsi" w:hAnsiTheme="minorHAnsi" w:cstheme="minorHAnsi"/>
          <w:sz w:val="22"/>
          <w:szCs w:val="22"/>
        </w:rPr>
        <w:t>y documented</w:t>
      </w:r>
      <w:r w:rsidRPr="00D80BA0">
        <w:rPr>
          <w:rFonts w:asciiTheme="minorHAnsi" w:hAnsiTheme="minorHAnsi" w:cstheme="minorHAnsi"/>
          <w:sz w:val="22"/>
          <w:szCs w:val="22"/>
        </w:rPr>
        <w:t xml:space="preserve"> </w:t>
      </w:r>
    </w:p>
    <w:p w14:paraId="22408BC1" w14:textId="77777777" w:rsidR="0022773F" w:rsidRDefault="0022773F" w:rsidP="00D80BA0">
      <w:pPr>
        <w:contextualSpacing/>
        <w:jc w:val="both"/>
        <w:rPr>
          <w:rFonts w:asciiTheme="minorHAnsi" w:hAnsiTheme="minorHAnsi" w:cstheme="minorHAnsi"/>
          <w:sz w:val="22"/>
          <w:szCs w:val="22"/>
        </w:rPr>
      </w:pPr>
    </w:p>
    <w:p w14:paraId="34D336AB" w14:textId="015E85D2" w:rsidR="00A134DD" w:rsidRPr="00A134DD" w:rsidRDefault="00A134DD" w:rsidP="00D80BA0">
      <w:pPr>
        <w:contextualSpacing/>
        <w:jc w:val="both"/>
        <w:rPr>
          <w:rFonts w:asciiTheme="minorHAnsi" w:hAnsiTheme="minorHAnsi" w:cstheme="minorHAnsi"/>
          <w:sz w:val="22"/>
          <w:szCs w:val="22"/>
        </w:rPr>
      </w:pPr>
      <w:r w:rsidRPr="00A134DD">
        <w:rPr>
          <w:rFonts w:asciiTheme="minorHAnsi" w:hAnsiTheme="minorHAnsi" w:cstheme="minorHAnsi"/>
          <w:sz w:val="22"/>
          <w:szCs w:val="22"/>
        </w:rPr>
        <w:t xml:space="preserve">The Trust has had three confirmed </w:t>
      </w:r>
      <w:r w:rsidRPr="00D80BA0">
        <w:rPr>
          <w:rFonts w:asciiTheme="minorHAnsi" w:hAnsiTheme="minorHAnsi" w:cstheme="minorHAnsi"/>
          <w:sz w:val="22"/>
          <w:szCs w:val="22"/>
        </w:rPr>
        <w:t>‘</w:t>
      </w:r>
      <w:r w:rsidRPr="00A134DD">
        <w:rPr>
          <w:rFonts w:asciiTheme="minorHAnsi" w:hAnsiTheme="minorHAnsi" w:cstheme="minorHAnsi"/>
          <w:sz w:val="22"/>
          <w:szCs w:val="22"/>
        </w:rPr>
        <w:t>never events</w:t>
      </w:r>
      <w:r w:rsidRPr="00D80BA0">
        <w:rPr>
          <w:rFonts w:asciiTheme="minorHAnsi" w:hAnsiTheme="minorHAnsi" w:cstheme="minorHAnsi"/>
          <w:sz w:val="22"/>
          <w:szCs w:val="22"/>
        </w:rPr>
        <w:t>’</w:t>
      </w:r>
      <w:r w:rsidRPr="00A134DD">
        <w:rPr>
          <w:rFonts w:asciiTheme="minorHAnsi" w:hAnsiTheme="minorHAnsi" w:cstheme="minorHAnsi"/>
          <w:sz w:val="22"/>
          <w:szCs w:val="22"/>
        </w:rPr>
        <w:t xml:space="preserve"> in the last 12 months</w:t>
      </w:r>
      <w:r w:rsidR="00C502F0" w:rsidRPr="00D80BA0">
        <w:rPr>
          <w:rFonts w:asciiTheme="minorHAnsi" w:hAnsiTheme="minorHAnsi" w:cstheme="minorHAnsi"/>
          <w:sz w:val="22"/>
          <w:szCs w:val="22"/>
        </w:rPr>
        <w:t>, detailed below</w:t>
      </w:r>
      <w:r w:rsidR="00D80BA0" w:rsidRPr="00D80BA0">
        <w:rPr>
          <w:rFonts w:asciiTheme="minorHAnsi" w:hAnsiTheme="minorHAnsi" w:cstheme="minorHAnsi"/>
          <w:sz w:val="22"/>
          <w:szCs w:val="22"/>
        </w:rPr>
        <w:t xml:space="preserve"> with the action being taken</w:t>
      </w:r>
      <w:r w:rsidRPr="00A134DD">
        <w:rPr>
          <w:rFonts w:asciiTheme="minorHAnsi" w:hAnsiTheme="minorHAnsi" w:cstheme="minorHAnsi"/>
          <w:sz w:val="22"/>
          <w:szCs w:val="22"/>
        </w:rPr>
        <w:t xml:space="preserve">; </w:t>
      </w:r>
    </w:p>
    <w:p w14:paraId="49E1C7F7" w14:textId="77777777" w:rsidR="00153743" w:rsidRPr="00D80BA0" w:rsidRDefault="00153743" w:rsidP="00153743">
      <w:pPr>
        <w:numPr>
          <w:ilvl w:val="0"/>
          <w:numId w:val="34"/>
        </w:numPr>
        <w:ind w:left="1560" w:hanging="426"/>
        <w:contextualSpacing/>
        <w:rPr>
          <w:rFonts w:asciiTheme="minorHAnsi" w:hAnsiTheme="minorHAnsi" w:cstheme="minorHAnsi"/>
          <w:sz w:val="22"/>
          <w:szCs w:val="22"/>
        </w:rPr>
      </w:pPr>
      <w:r>
        <w:rPr>
          <w:rFonts w:asciiTheme="minorHAnsi" w:eastAsia="Calibri" w:hAnsiTheme="minorHAnsi" w:cstheme="minorHAnsi"/>
          <w:bCs/>
          <w:sz w:val="22"/>
          <w:szCs w:val="22"/>
          <w:lang w:eastAsia="en-US"/>
        </w:rPr>
        <w:t xml:space="preserve">2017/18 - </w:t>
      </w:r>
      <w:r w:rsidRPr="00D80BA0">
        <w:rPr>
          <w:rFonts w:asciiTheme="minorHAnsi" w:eastAsia="Calibri" w:hAnsiTheme="minorHAnsi" w:cstheme="minorHAnsi"/>
          <w:bCs/>
          <w:sz w:val="22"/>
          <w:szCs w:val="22"/>
          <w:lang w:eastAsia="en-US"/>
        </w:rPr>
        <w:t>Circumstances surrounding the tragic death of a disabled child at their home in November 2017 who was receiving support from the Children’s Integrated Therapies Service</w:t>
      </w:r>
      <w:r w:rsidRPr="00D80BA0">
        <w:rPr>
          <w:rFonts w:asciiTheme="minorHAnsi" w:hAnsiTheme="minorHAnsi" w:cstheme="minorHAnsi"/>
          <w:sz w:val="22"/>
          <w:szCs w:val="22"/>
        </w:rPr>
        <w:t xml:space="preserve">. The combined bedrail, bedframe and mattress dimensions did not comply with Medicines and Healthcare Products Regulatory Agency (MHRA) Safe Use of Bed rails 2013 guidance. SI investigation, CDOP process and coroner’s inquest completed. Action plan shared at the Quality Committee in May 2018. Progress </w:t>
      </w:r>
      <w:r>
        <w:rPr>
          <w:rFonts w:asciiTheme="minorHAnsi" w:hAnsiTheme="minorHAnsi" w:cstheme="minorHAnsi"/>
          <w:sz w:val="22"/>
          <w:szCs w:val="22"/>
        </w:rPr>
        <w:t>against actions to be shared with the family and Coroner.</w:t>
      </w:r>
    </w:p>
    <w:p w14:paraId="75C13455" w14:textId="77777777" w:rsidR="00153743" w:rsidRPr="00D80BA0" w:rsidRDefault="00153743" w:rsidP="00153743">
      <w:pPr>
        <w:numPr>
          <w:ilvl w:val="0"/>
          <w:numId w:val="34"/>
        </w:numPr>
        <w:ind w:left="1560" w:hanging="426"/>
        <w:contextualSpacing/>
        <w:rPr>
          <w:rFonts w:asciiTheme="minorHAnsi" w:hAnsiTheme="minorHAnsi" w:cstheme="minorHAnsi"/>
          <w:sz w:val="22"/>
          <w:szCs w:val="22"/>
        </w:rPr>
      </w:pPr>
      <w:r>
        <w:rPr>
          <w:rFonts w:asciiTheme="minorHAnsi" w:hAnsiTheme="minorHAnsi" w:cstheme="minorHAnsi"/>
          <w:sz w:val="22"/>
          <w:szCs w:val="22"/>
        </w:rPr>
        <w:t xml:space="preserve">2018/19 - </w:t>
      </w:r>
      <w:r w:rsidRPr="00D80BA0">
        <w:rPr>
          <w:rFonts w:asciiTheme="minorHAnsi" w:hAnsiTheme="minorHAnsi" w:cstheme="minorHAnsi"/>
          <w:sz w:val="22"/>
          <w:szCs w:val="22"/>
        </w:rPr>
        <w:t>In August 2018 a member of the salaried dental service by accident extracted the wrong tooth of a child under a GA. The tooth was immediately re-implanted</w:t>
      </w:r>
      <w:r>
        <w:rPr>
          <w:rFonts w:asciiTheme="minorHAnsi" w:hAnsiTheme="minorHAnsi" w:cstheme="minorHAnsi"/>
          <w:sz w:val="22"/>
          <w:szCs w:val="22"/>
        </w:rPr>
        <w:t xml:space="preserve">. </w:t>
      </w:r>
      <w:r w:rsidRPr="00D80BA0">
        <w:rPr>
          <w:rFonts w:asciiTheme="minorHAnsi" w:hAnsiTheme="minorHAnsi" w:cstheme="minorHAnsi"/>
          <w:sz w:val="22"/>
          <w:szCs w:val="22"/>
        </w:rPr>
        <w:t>SI investigated started.</w:t>
      </w:r>
    </w:p>
    <w:p w14:paraId="10018669" w14:textId="77777777" w:rsidR="00153743" w:rsidRDefault="00153743" w:rsidP="00153743">
      <w:pPr>
        <w:numPr>
          <w:ilvl w:val="0"/>
          <w:numId w:val="34"/>
        </w:numPr>
        <w:ind w:left="1560" w:hanging="426"/>
        <w:contextualSpacing/>
        <w:rPr>
          <w:rFonts w:asciiTheme="minorHAnsi" w:hAnsiTheme="minorHAnsi" w:cstheme="minorHAnsi"/>
          <w:sz w:val="22"/>
          <w:szCs w:val="22"/>
        </w:rPr>
      </w:pPr>
      <w:r>
        <w:rPr>
          <w:rFonts w:asciiTheme="minorHAnsi" w:hAnsiTheme="minorHAnsi" w:cstheme="minorHAnsi"/>
          <w:sz w:val="22"/>
          <w:szCs w:val="22"/>
        </w:rPr>
        <w:t xml:space="preserve">2018/19 - </w:t>
      </w:r>
      <w:r w:rsidRPr="00D80BA0">
        <w:rPr>
          <w:rFonts w:asciiTheme="minorHAnsi" w:hAnsiTheme="minorHAnsi" w:cstheme="minorHAnsi"/>
          <w:sz w:val="22"/>
          <w:szCs w:val="22"/>
        </w:rPr>
        <w:t xml:space="preserve">In August 2018 </w:t>
      </w:r>
      <w:r>
        <w:rPr>
          <w:rFonts w:asciiTheme="minorHAnsi" w:hAnsiTheme="minorHAnsi" w:cstheme="minorHAnsi"/>
          <w:sz w:val="22"/>
          <w:szCs w:val="22"/>
        </w:rPr>
        <w:t>a</w:t>
      </w:r>
      <w:r w:rsidRPr="00D80BA0">
        <w:rPr>
          <w:rFonts w:asciiTheme="minorHAnsi" w:hAnsiTheme="minorHAnsi" w:cstheme="minorHAnsi"/>
          <w:sz w:val="22"/>
          <w:szCs w:val="22"/>
        </w:rPr>
        <w:t xml:space="preserve"> collapsible shower curtain rail </w:t>
      </w:r>
      <w:r>
        <w:rPr>
          <w:rFonts w:asciiTheme="minorHAnsi" w:hAnsiTheme="minorHAnsi" w:cstheme="minorHAnsi"/>
          <w:sz w:val="22"/>
          <w:szCs w:val="22"/>
        </w:rPr>
        <w:t>on a CAMHS ward did not collapse under weight</w:t>
      </w:r>
      <w:r w:rsidRPr="00D80BA0">
        <w:rPr>
          <w:rFonts w:asciiTheme="minorHAnsi" w:hAnsiTheme="minorHAnsi" w:cstheme="minorHAnsi"/>
          <w:sz w:val="22"/>
          <w:szCs w:val="22"/>
        </w:rPr>
        <w:t>. We are in liaison with the manufacturer who is supporting the trust to investigate the circumstances and alternative products available. We have issued an external alert to inform other mental health trusts</w:t>
      </w:r>
      <w:r>
        <w:rPr>
          <w:rFonts w:asciiTheme="minorHAnsi" w:hAnsiTheme="minorHAnsi" w:cstheme="minorHAnsi"/>
          <w:sz w:val="22"/>
          <w:szCs w:val="22"/>
        </w:rPr>
        <w:t xml:space="preserve"> of a likely risk</w:t>
      </w:r>
      <w:r w:rsidRPr="00D80BA0">
        <w:rPr>
          <w:rFonts w:asciiTheme="minorHAnsi" w:hAnsiTheme="minorHAnsi" w:cstheme="minorHAnsi"/>
          <w:sz w:val="22"/>
          <w:szCs w:val="22"/>
        </w:rPr>
        <w:t xml:space="preserve">. </w:t>
      </w:r>
      <w:r>
        <w:rPr>
          <w:rFonts w:asciiTheme="minorHAnsi" w:hAnsiTheme="minorHAnsi" w:cstheme="minorHAnsi"/>
          <w:sz w:val="22"/>
          <w:szCs w:val="22"/>
        </w:rPr>
        <w:t>SI investigation has</w:t>
      </w:r>
      <w:r w:rsidRPr="00D80BA0">
        <w:rPr>
          <w:rFonts w:asciiTheme="minorHAnsi" w:hAnsiTheme="minorHAnsi" w:cstheme="minorHAnsi"/>
          <w:sz w:val="22"/>
          <w:szCs w:val="22"/>
        </w:rPr>
        <w:t xml:space="preserve"> started.</w:t>
      </w:r>
    </w:p>
    <w:p w14:paraId="6D7CCFEC" w14:textId="2BBE2E9E" w:rsidR="00E85AE8" w:rsidRPr="00D80BA0" w:rsidRDefault="00E85AE8" w:rsidP="00D80BA0">
      <w:pPr>
        <w:contextualSpacing/>
        <w:jc w:val="both"/>
        <w:rPr>
          <w:rFonts w:asciiTheme="minorHAnsi" w:hAnsiTheme="minorHAnsi" w:cstheme="minorHAnsi"/>
          <w:sz w:val="22"/>
          <w:szCs w:val="22"/>
        </w:rPr>
      </w:pPr>
    </w:p>
    <w:p w14:paraId="4D942D8D" w14:textId="5665B6C3" w:rsidR="00C502F0" w:rsidRPr="00C502F0" w:rsidRDefault="00C502F0" w:rsidP="00D80BA0">
      <w:pPr>
        <w:contextualSpacing/>
        <w:rPr>
          <w:rFonts w:asciiTheme="minorHAnsi" w:hAnsiTheme="minorHAnsi" w:cstheme="minorHAnsi"/>
          <w:sz w:val="22"/>
          <w:szCs w:val="22"/>
          <w:lang w:eastAsia="en-US"/>
        </w:rPr>
      </w:pPr>
      <w:r w:rsidRPr="00C502F0">
        <w:rPr>
          <w:rFonts w:asciiTheme="minorHAnsi" w:hAnsiTheme="minorHAnsi" w:cstheme="minorHAnsi"/>
          <w:sz w:val="22"/>
          <w:szCs w:val="22"/>
        </w:rPr>
        <w:t xml:space="preserve">In July 2018 there was an outbreak of an invasive group A streptococcal infection with a cluster of </w:t>
      </w:r>
      <w:r w:rsidR="00153743">
        <w:rPr>
          <w:rFonts w:asciiTheme="minorHAnsi" w:hAnsiTheme="minorHAnsi" w:cstheme="minorHAnsi"/>
          <w:sz w:val="22"/>
          <w:szCs w:val="22"/>
        </w:rPr>
        <w:t>eight</w:t>
      </w:r>
      <w:r w:rsidRPr="00C502F0">
        <w:rPr>
          <w:rFonts w:asciiTheme="minorHAnsi" w:hAnsiTheme="minorHAnsi" w:cstheme="minorHAnsi"/>
          <w:sz w:val="22"/>
          <w:szCs w:val="22"/>
        </w:rPr>
        <w:t xml:space="preserve"> people affected in West Oxfordshire. The </w:t>
      </w:r>
      <w:r w:rsidRPr="00C502F0">
        <w:rPr>
          <w:rFonts w:asciiTheme="minorHAnsi" w:hAnsiTheme="minorHAnsi" w:cstheme="minorHAnsi"/>
          <w:sz w:val="22"/>
          <w:szCs w:val="22"/>
          <w:lang w:eastAsia="en-US"/>
        </w:rPr>
        <w:t xml:space="preserve">similarities across the people was that: all live alone, </w:t>
      </w:r>
      <w:r w:rsidR="00153743">
        <w:rPr>
          <w:rFonts w:asciiTheme="minorHAnsi" w:hAnsiTheme="minorHAnsi" w:cstheme="minorHAnsi"/>
          <w:sz w:val="22"/>
          <w:szCs w:val="22"/>
          <w:lang w:eastAsia="en-US"/>
        </w:rPr>
        <w:t>were over 70 years old</w:t>
      </w:r>
      <w:r w:rsidRPr="00C502F0">
        <w:rPr>
          <w:rFonts w:asciiTheme="minorHAnsi" w:hAnsiTheme="minorHAnsi" w:cstheme="minorHAnsi"/>
          <w:sz w:val="22"/>
          <w:szCs w:val="22"/>
          <w:lang w:eastAsia="en-US"/>
        </w:rPr>
        <w:t>, they use</w:t>
      </w:r>
      <w:r w:rsidR="00153743">
        <w:rPr>
          <w:rFonts w:asciiTheme="minorHAnsi" w:hAnsiTheme="minorHAnsi" w:cstheme="minorHAnsi"/>
          <w:sz w:val="22"/>
          <w:szCs w:val="22"/>
          <w:lang w:eastAsia="en-US"/>
        </w:rPr>
        <w:t>d</w:t>
      </w:r>
      <w:r w:rsidRPr="00C502F0">
        <w:rPr>
          <w:rFonts w:asciiTheme="minorHAnsi" w:hAnsiTheme="minorHAnsi" w:cstheme="minorHAnsi"/>
          <w:sz w:val="22"/>
          <w:szCs w:val="22"/>
          <w:lang w:eastAsia="en-US"/>
        </w:rPr>
        <w:t xml:space="preserve"> different care agencies on a regular basis, they were seen by the same district nursing team, they all have open wounds and they need dressings changed regularly. In total 18-19 OHFT staff were screened and all had negative results for carrying the infection. Two patients have subsequently died at the OUH</w:t>
      </w:r>
      <w:r w:rsidR="00153743">
        <w:rPr>
          <w:rFonts w:asciiTheme="minorHAnsi" w:hAnsiTheme="minorHAnsi" w:cstheme="minorHAnsi"/>
          <w:sz w:val="22"/>
          <w:szCs w:val="22"/>
          <w:lang w:eastAsia="en-US"/>
        </w:rPr>
        <w:t>FT. A review has been started.</w:t>
      </w:r>
    </w:p>
    <w:p w14:paraId="3C84E6F7" w14:textId="5CBB029A" w:rsidR="00C502F0" w:rsidRPr="00D80BA0" w:rsidRDefault="00C502F0" w:rsidP="00D80BA0">
      <w:pPr>
        <w:contextualSpacing/>
        <w:jc w:val="both"/>
        <w:rPr>
          <w:rFonts w:asciiTheme="minorHAnsi" w:hAnsiTheme="minorHAnsi" w:cstheme="minorHAnsi"/>
          <w:sz w:val="22"/>
          <w:szCs w:val="22"/>
        </w:rPr>
      </w:pPr>
    </w:p>
    <w:p w14:paraId="68419056" w14:textId="6228BEF7" w:rsidR="00F02A65" w:rsidRPr="00D80BA0" w:rsidRDefault="008020E0" w:rsidP="00D80BA0">
      <w:pPr>
        <w:contextualSpacing/>
        <w:jc w:val="both"/>
        <w:rPr>
          <w:rFonts w:asciiTheme="minorHAnsi" w:hAnsiTheme="minorHAnsi" w:cstheme="minorHAnsi"/>
          <w:sz w:val="22"/>
          <w:szCs w:val="22"/>
          <w:u w:val="single"/>
        </w:rPr>
      </w:pPr>
      <w:r w:rsidRPr="00D80BA0">
        <w:rPr>
          <w:rFonts w:asciiTheme="minorHAnsi" w:hAnsiTheme="minorHAnsi" w:cstheme="minorHAnsi"/>
          <w:sz w:val="22"/>
          <w:szCs w:val="22"/>
          <w:u w:val="single"/>
        </w:rPr>
        <w:t>6.2</w:t>
      </w:r>
      <w:r w:rsidR="00F02A65" w:rsidRPr="00D80BA0">
        <w:rPr>
          <w:rFonts w:asciiTheme="minorHAnsi" w:hAnsiTheme="minorHAnsi" w:cstheme="minorHAnsi"/>
          <w:sz w:val="22"/>
          <w:szCs w:val="22"/>
          <w:u w:val="single"/>
        </w:rPr>
        <w:t xml:space="preserve"> Developments to the SI process</w:t>
      </w:r>
    </w:p>
    <w:p w14:paraId="53DEB9A1" w14:textId="364D077A" w:rsidR="008020E0" w:rsidRPr="008020E0" w:rsidRDefault="008020E0" w:rsidP="00D80BA0">
      <w:pPr>
        <w:contextualSpacing/>
        <w:jc w:val="both"/>
        <w:rPr>
          <w:rFonts w:asciiTheme="minorHAnsi" w:eastAsia="Calibri" w:hAnsiTheme="minorHAnsi" w:cstheme="minorHAnsi"/>
          <w:sz w:val="22"/>
          <w:szCs w:val="22"/>
          <w:lang w:val="en-US" w:eastAsia="en-US"/>
        </w:rPr>
      </w:pPr>
      <w:r w:rsidRPr="00D80BA0">
        <w:rPr>
          <w:rFonts w:asciiTheme="minorHAnsi" w:hAnsiTheme="minorHAnsi" w:cstheme="minorHAnsi"/>
          <w:sz w:val="22"/>
          <w:szCs w:val="22"/>
        </w:rPr>
        <w:t>The SI team</w:t>
      </w:r>
      <w:r w:rsidRPr="008020E0">
        <w:rPr>
          <w:rFonts w:asciiTheme="minorHAnsi" w:hAnsiTheme="minorHAnsi" w:cstheme="minorHAnsi"/>
          <w:sz w:val="22"/>
          <w:szCs w:val="22"/>
        </w:rPr>
        <w:t xml:space="preserve"> continue</w:t>
      </w:r>
      <w:r w:rsidR="00C502F0" w:rsidRPr="00D80BA0">
        <w:rPr>
          <w:rFonts w:asciiTheme="minorHAnsi" w:hAnsiTheme="minorHAnsi" w:cstheme="minorHAnsi"/>
          <w:sz w:val="22"/>
          <w:szCs w:val="22"/>
        </w:rPr>
        <w:t>s</w:t>
      </w:r>
      <w:r w:rsidRPr="008020E0">
        <w:rPr>
          <w:rFonts w:asciiTheme="minorHAnsi" w:hAnsiTheme="minorHAnsi" w:cstheme="minorHAnsi"/>
          <w:sz w:val="22"/>
          <w:szCs w:val="22"/>
        </w:rPr>
        <w:t xml:space="preserve"> to focus on ways of sharing the learning from SI investigations and sharing local learning </w:t>
      </w:r>
      <w:r w:rsidRPr="00D80BA0">
        <w:rPr>
          <w:rFonts w:asciiTheme="minorHAnsi" w:hAnsiTheme="minorHAnsi" w:cstheme="minorHAnsi"/>
          <w:sz w:val="22"/>
          <w:szCs w:val="22"/>
        </w:rPr>
        <w:t>from</w:t>
      </w:r>
      <w:r w:rsidRPr="008020E0">
        <w:rPr>
          <w:rFonts w:asciiTheme="minorHAnsi" w:hAnsiTheme="minorHAnsi" w:cstheme="minorHAnsi"/>
          <w:sz w:val="22"/>
          <w:szCs w:val="22"/>
        </w:rPr>
        <w:t xml:space="preserve"> moderate incidents</w:t>
      </w:r>
      <w:r w:rsidRPr="00D80BA0">
        <w:rPr>
          <w:rFonts w:asciiTheme="minorHAnsi" w:hAnsiTheme="minorHAnsi" w:cstheme="minorHAnsi"/>
          <w:sz w:val="22"/>
          <w:szCs w:val="22"/>
        </w:rPr>
        <w:t xml:space="preserve"> to prevent an SI by </w:t>
      </w:r>
      <w:r w:rsidRPr="008020E0">
        <w:rPr>
          <w:rFonts w:asciiTheme="minorHAnsi" w:hAnsiTheme="minorHAnsi" w:cstheme="minorHAnsi"/>
          <w:sz w:val="22"/>
          <w:szCs w:val="22"/>
        </w:rPr>
        <w:t xml:space="preserve">attending team reviews, </w:t>
      </w:r>
      <w:r w:rsidRPr="00D80BA0">
        <w:rPr>
          <w:rFonts w:asciiTheme="minorHAnsi" w:hAnsiTheme="minorHAnsi" w:cstheme="minorHAnsi"/>
          <w:sz w:val="22"/>
          <w:szCs w:val="22"/>
        </w:rPr>
        <w:t>sharing information through the</w:t>
      </w:r>
      <w:r w:rsidRPr="008020E0">
        <w:rPr>
          <w:rFonts w:asciiTheme="minorHAnsi" w:hAnsiTheme="minorHAnsi" w:cstheme="minorHAnsi"/>
          <w:sz w:val="22"/>
          <w:szCs w:val="22"/>
        </w:rPr>
        <w:t xml:space="preserve"> Quality and Risk team bulletin bi-monthly and </w:t>
      </w:r>
      <w:r w:rsidRPr="00D80BA0">
        <w:rPr>
          <w:rFonts w:asciiTheme="minorHAnsi" w:hAnsiTheme="minorHAnsi" w:cstheme="minorHAnsi"/>
          <w:sz w:val="22"/>
          <w:szCs w:val="22"/>
        </w:rPr>
        <w:t>attending directorate quality meetings. The team has held f</w:t>
      </w:r>
      <w:r w:rsidRPr="008020E0">
        <w:rPr>
          <w:rFonts w:asciiTheme="minorHAnsi" w:hAnsiTheme="minorHAnsi" w:cstheme="minorHAnsi"/>
          <w:sz w:val="22"/>
          <w:szCs w:val="22"/>
        </w:rPr>
        <w:t xml:space="preserve">our listening events </w:t>
      </w:r>
      <w:r w:rsidRPr="00D80BA0">
        <w:rPr>
          <w:rFonts w:asciiTheme="minorHAnsi" w:hAnsiTheme="minorHAnsi" w:cstheme="minorHAnsi"/>
          <w:sz w:val="22"/>
          <w:szCs w:val="22"/>
        </w:rPr>
        <w:t xml:space="preserve">from July-Sept 2018 </w:t>
      </w:r>
      <w:r w:rsidR="00C502F0" w:rsidRPr="00D80BA0">
        <w:rPr>
          <w:rFonts w:asciiTheme="minorHAnsi" w:hAnsiTheme="minorHAnsi" w:cstheme="minorHAnsi"/>
          <w:sz w:val="22"/>
          <w:szCs w:val="22"/>
        </w:rPr>
        <w:t>to hear the</w:t>
      </w:r>
      <w:r w:rsidRPr="008020E0">
        <w:rPr>
          <w:rFonts w:asciiTheme="minorHAnsi" w:hAnsiTheme="minorHAnsi" w:cstheme="minorHAnsi"/>
          <w:sz w:val="22"/>
          <w:szCs w:val="22"/>
        </w:rPr>
        <w:t xml:space="preserve"> experiences </w:t>
      </w:r>
      <w:r w:rsidR="00C502F0" w:rsidRPr="00D80BA0">
        <w:rPr>
          <w:rFonts w:asciiTheme="minorHAnsi" w:hAnsiTheme="minorHAnsi" w:cstheme="minorHAnsi"/>
          <w:sz w:val="22"/>
          <w:szCs w:val="22"/>
        </w:rPr>
        <w:t xml:space="preserve">of staff </w:t>
      </w:r>
      <w:r w:rsidRPr="008020E0">
        <w:rPr>
          <w:rFonts w:asciiTheme="minorHAnsi" w:hAnsiTheme="minorHAnsi" w:cstheme="minorHAnsi"/>
          <w:sz w:val="22"/>
          <w:szCs w:val="22"/>
        </w:rPr>
        <w:t xml:space="preserve">being involved or on leading an SI investigation, the outcomes will be used to improve the approach and processes for SIs. </w:t>
      </w:r>
    </w:p>
    <w:p w14:paraId="512D0F64" w14:textId="6DC2543B" w:rsidR="008020E0" w:rsidRPr="00D80BA0" w:rsidRDefault="008020E0" w:rsidP="00D80BA0">
      <w:pPr>
        <w:contextualSpacing/>
        <w:jc w:val="both"/>
        <w:rPr>
          <w:rFonts w:asciiTheme="minorHAnsi" w:hAnsiTheme="minorHAnsi" w:cstheme="minorHAnsi"/>
          <w:sz w:val="22"/>
          <w:szCs w:val="22"/>
        </w:rPr>
      </w:pPr>
    </w:p>
    <w:p w14:paraId="543F0F2B" w14:textId="30AD4CA2" w:rsidR="008020E0" w:rsidRPr="00D80BA0" w:rsidRDefault="00C502F0"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Additional processes and training are in place to improve working with patients and families in SI investigation. The SI team has also conducted its own internal audit to review the involvement of families in the conduct of investigation and was able to demonstrate the positive involvement of families in developing the terms of reference and identifying learning from investigations. This internal audit is being repeated in September 2018.</w:t>
      </w:r>
    </w:p>
    <w:p w14:paraId="71EC42BB" w14:textId="7A8BCD7F" w:rsidR="004A5685" w:rsidRPr="00D80BA0" w:rsidRDefault="004A5685" w:rsidP="00D80BA0">
      <w:pPr>
        <w:contextualSpacing/>
        <w:jc w:val="both"/>
        <w:rPr>
          <w:rFonts w:asciiTheme="minorHAnsi" w:hAnsiTheme="minorHAnsi" w:cstheme="minorHAnsi"/>
          <w:sz w:val="22"/>
          <w:szCs w:val="22"/>
        </w:rPr>
      </w:pPr>
    </w:p>
    <w:p w14:paraId="0FC906A8" w14:textId="2451FA86" w:rsidR="004A5685" w:rsidRPr="00D80BA0" w:rsidRDefault="004A5685" w:rsidP="00D80BA0">
      <w:pPr>
        <w:contextualSpacing/>
        <w:jc w:val="both"/>
        <w:rPr>
          <w:rFonts w:asciiTheme="minorHAnsi" w:hAnsiTheme="minorHAnsi" w:cstheme="minorHAnsi"/>
          <w:sz w:val="22"/>
          <w:szCs w:val="22"/>
        </w:rPr>
      </w:pPr>
      <w:r w:rsidRPr="00D80BA0">
        <w:rPr>
          <w:rFonts w:asciiTheme="minorHAnsi" w:hAnsiTheme="minorHAnsi" w:cstheme="minorHAnsi"/>
          <w:sz w:val="22"/>
          <w:szCs w:val="22"/>
        </w:rPr>
        <w:t>The</w:t>
      </w:r>
      <w:r w:rsidR="00C502F0" w:rsidRPr="00D80BA0">
        <w:rPr>
          <w:rFonts w:asciiTheme="minorHAnsi" w:hAnsiTheme="minorHAnsi" w:cstheme="minorHAnsi"/>
          <w:sz w:val="22"/>
          <w:szCs w:val="22"/>
        </w:rPr>
        <w:t xml:space="preserve"> SI</w:t>
      </w:r>
      <w:r w:rsidRPr="00D80BA0">
        <w:rPr>
          <w:rFonts w:asciiTheme="minorHAnsi" w:hAnsiTheme="minorHAnsi" w:cstheme="minorHAnsi"/>
          <w:sz w:val="22"/>
          <w:szCs w:val="22"/>
        </w:rPr>
        <w:t xml:space="preserve"> team continue to work on improving </w:t>
      </w:r>
      <w:r w:rsidR="00A54CE1" w:rsidRPr="00D80BA0">
        <w:rPr>
          <w:rFonts w:asciiTheme="minorHAnsi" w:hAnsiTheme="minorHAnsi" w:cstheme="minorHAnsi"/>
          <w:sz w:val="22"/>
          <w:szCs w:val="22"/>
        </w:rPr>
        <w:t>how: -</w:t>
      </w:r>
    </w:p>
    <w:p w14:paraId="2E112549" w14:textId="509013F7" w:rsidR="004A5685" w:rsidRPr="00D80BA0" w:rsidRDefault="00C502F0" w:rsidP="00D80BA0">
      <w:pPr>
        <w:pStyle w:val="ListParagraph"/>
        <w:numPr>
          <w:ilvl w:val="0"/>
          <w:numId w:val="37"/>
        </w:numPr>
        <w:ind w:left="1560" w:hanging="426"/>
        <w:jc w:val="both"/>
        <w:rPr>
          <w:rFonts w:asciiTheme="minorHAnsi" w:hAnsiTheme="minorHAnsi" w:cstheme="minorHAnsi"/>
          <w:sz w:val="22"/>
          <w:szCs w:val="22"/>
        </w:rPr>
      </w:pPr>
      <w:r w:rsidRPr="00D80BA0">
        <w:rPr>
          <w:rFonts w:asciiTheme="minorHAnsi" w:hAnsiTheme="minorHAnsi" w:cstheme="minorHAnsi"/>
          <w:sz w:val="22"/>
          <w:szCs w:val="22"/>
        </w:rPr>
        <w:t>F</w:t>
      </w:r>
      <w:r w:rsidR="004A5685" w:rsidRPr="00D80BA0">
        <w:rPr>
          <w:rFonts w:asciiTheme="minorHAnsi" w:hAnsiTheme="minorHAnsi" w:cstheme="minorHAnsi"/>
          <w:sz w:val="22"/>
          <w:szCs w:val="22"/>
        </w:rPr>
        <w:t>amilies are engaged and involved in investigations.</w:t>
      </w:r>
    </w:p>
    <w:p w14:paraId="62D03B95" w14:textId="22AE6355" w:rsidR="004A5685" w:rsidRPr="00D80BA0" w:rsidRDefault="00C502F0" w:rsidP="00D80BA0">
      <w:pPr>
        <w:pStyle w:val="ListParagraph"/>
        <w:numPr>
          <w:ilvl w:val="0"/>
          <w:numId w:val="37"/>
        </w:numPr>
        <w:ind w:left="1560" w:hanging="426"/>
        <w:jc w:val="both"/>
        <w:rPr>
          <w:rFonts w:asciiTheme="minorHAnsi" w:hAnsiTheme="minorHAnsi" w:cstheme="minorHAnsi"/>
          <w:sz w:val="22"/>
          <w:szCs w:val="22"/>
        </w:rPr>
      </w:pPr>
      <w:r w:rsidRPr="00D80BA0">
        <w:rPr>
          <w:rFonts w:asciiTheme="minorHAnsi" w:hAnsiTheme="minorHAnsi" w:cstheme="minorHAnsi"/>
          <w:sz w:val="22"/>
          <w:szCs w:val="22"/>
        </w:rPr>
        <w:t>L</w:t>
      </w:r>
      <w:r w:rsidR="004A5685" w:rsidRPr="00D80BA0">
        <w:rPr>
          <w:rFonts w:asciiTheme="minorHAnsi" w:hAnsiTheme="minorHAnsi" w:cstheme="minorHAnsi"/>
          <w:sz w:val="22"/>
          <w:szCs w:val="22"/>
        </w:rPr>
        <w:t>earning is shared across the trust.</w:t>
      </w:r>
    </w:p>
    <w:p w14:paraId="698AA9B4" w14:textId="78B04AF4" w:rsidR="004A5685" w:rsidRPr="00D80BA0" w:rsidRDefault="00C502F0" w:rsidP="00D80BA0">
      <w:pPr>
        <w:pStyle w:val="ListParagraph"/>
        <w:numPr>
          <w:ilvl w:val="0"/>
          <w:numId w:val="37"/>
        </w:numPr>
        <w:ind w:left="1560" w:hanging="426"/>
        <w:jc w:val="both"/>
        <w:rPr>
          <w:rFonts w:asciiTheme="minorHAnsi" w:hAnsiTheme="minorHAnsi" w:cstheme="minorHAnsi"/>
          <w:sz w:val="22"/>
          <w:szCs w:val="22"/>
        </w:rPr>
      </w:pPr>
      <w:r w:rsidRPr="00D80BA0">
        <w:rPr>
          <w:rFonts w:asciiTheme="minorHAnsi" w:hAnsiTheme="minorHAnsi" w:cstheme="minorHAnsi"/>
          <w:sz w:val="22"/>
          <w:szCs w:val="22"/>
        </w:rPr>
        <w:t>A</w:t>
      </w:r>
      <w:r w:rsidR="00A54CE1" w:rsidRPr="00D80BA0">
        <w:rPr>
          <w:rFonts w:asciiTheme="minorHAnsi" w:hAnsiTheme="minorHAnsi" w:cstheme="minorHAnsi"/>
          <w:sz w:val="22"/>
          <w:szCs w:val="22"/>
        </w:rPr>
        <w:t>ctions</w:t>
      </w:r>
      <w:r w:rsidR="004A5685" w:rsidRPr="00D80BA0">
        <w:rPr>
          <w:rFonts w:asciiTheme="minorHAnsi" w:hAnsiTheme="minorHAnsi" w:cstheme="minorHAnsi"/>
          <w:sz w:val="22"/>
          <w:szCs w:val="22"/>
        </w:rPr>
        <w:t xml:space="preserve"> are sustained and their impact assessed in improving the safety and quality of patient </w:t>
      </w:r>
      <w:r w:rsidR="00A54CE1" w:rsidRPr="00D80BA0">
        <w:rPr>
          <w:rFonts w:asciiTheme="minorHAnsi" w:hAnsiTheme="minorHAnsi" w:cstheme="minorHAnsi"/>
          <w:sz w:val="22"/>
          <w:szCs w:val="22"/>
        </w:rPr>
        <w:t>care.</w:t>
      </w:r>
    </w:p>
    <w:p w14:paraId="39573502" w14:textId="45AC298D" w:rsidR="00A54CE1" w:rsidRPr="00D80BA0" w:rsidRDefault="00C502F0" w:rsidP="00D80BA0">
      <w:pPr>
        <w:pStyle w:val="ListParagraph"/>
        <w:numPr>
          <w:ilvl w:val="0"/>
          <w:numId w:val="37"/>
        </w:numPr>
        <w:ind w:left="1560" w:hanging="426"/>
        <w:jc w:val="both"/>
        <w:rPr>
          <w:rFonts w:asciiTheme="minorHAnsi" w:hAnsiTheme="minorHAnsi" w:cstheme="minorHAnsi"/>
          <w:sz w:val="22"/>
          <w:szCs w:val="22"/>
        </w:rPr>
      </w:pPr>
      <w:r w:rsidRPr="00D80BA0">
        <w:rPr>
          <w:rFonts w:asciiTheme="minorHAnsi" w:hAnsiTheme="minorHAnsi" w:cstheme="minorHAnsi"/>
          <w:sz w:val="22"/>
          <w:szCs w:val="22"/>
        </w:rPr>
        <w:t>The timeliness of sharing completed investigation reports with patients and families</w:t>
      </w:r>
    </w:p>
    <w:p w14:paraId="0B75933A" w14:textId="6DB23A74" w:rsidR="00EC2CEA" w:rsidRPr="00D80BA0" w:rsidRDefault="0033312E" w:rsidP="00D80BA0">
      <w:pPr>
        <w:contextualSpacing/>
        <w:rPr>
          <w:rFonts w:asciiTheme="minorHAnsi" w:eastAsia="Calibri" w:hAnsiTheme="minorHAnsi" w:cstheme="minorHAnsi"/>
          <w:b/>
          <w:sz w:val="22"/>
          <w:szCs w:val="22"/>
        </w:rPr>
      </w:pPr>
      <w:r w:rsidRPr="00D80BA0">
        <w:rPr>
          <w:rFonts w:asciiTheme="minorHAnsi" w:eastAsia="Calibri" w:hAnsiTheme="minorHAnsi" w:cstheme="minorHAnsi"/>
          <w:b/>
          <w:sz w:val="22"/>
          <w:szCs w:val="22"/>
        </w:rPr>
        <w:lastRenderedPageBreak/>
        <w:t xml:space="preserve"> </w:t>
      </w:r>
    </w:p>
    <w:p w14:paraId="389DCE05" w14:textId="77777777" w:rsidR="00EC2CEA" w:rsidRPr="00D80BA0" w:rsidRDefault="00EC2CEA" w:rsidP="00D80BA0">
      <w:pPr>
        <w:contextualSpacing/>
        <w:rPr>
          <w:rFonts w:asciiTheme="minorHAnsi" w:eastAsia="Calibri" w:hAnsiTheme="minorHAnsi" w:cstheme="minorHAnsi"/>
          <w:b/>
          <w:sz w:val="22"/>
          <w:szCs w:val="22"/>
        </w:rPr>
      </w:pPr>
    </w:p>
    <w:sectPr w:rsidR="00EC2CEA" w:rsidRPr="00D80BA0" w:rsidSect="00934D4B">
      <w:footerReference w:type="default" r:id="rId16"/>
      <w:type w:val="continuous"/>
      <w:pgSz w:w="11906" w:h="16838" w:code="9"/>
      <w:pgMar w:top="709" w:right="849" w:bottom="567"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7F3C1" w14:textId="77777777" w:rsidR="00381C0B" w:rsidRDefault="00381C0B" w:rsidP="001D3BCC">
      <w:r>
        <w:separator/>
      </w:r>
    </w:p>
  </w:endnote>
  <w:endnote w:type="continuationSeparator" w:id="0">
    <w:p w14:paraId="7E8957D8" w14:textId="77777777" w:rsidR="00381C0B" w:rsidRDefault="00381C0B" w:rsidP="001D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401634"/>
      <w:docPartObj>
        <w:docPartGallery w:val="Page Numbers (Bottom of Page)"/>
        <w:docPartUnique/>
      </w:docPartObj>
    </w:sdtPr>
    <w:sdtEndPr>
      <w:rPr>
        <w:rFonts w:asciiTheme="minorHAnsi" w:hAnsiTheme="minorHAnsi" w:cs="Segoe UI"/>
        <w:noProof/>
        <w:sz w:val="22"/>
        <w:szCs w:val="22"/>
      </w:rPr>
    </w:sdtEndPr>
    <w:sdtContent>
      <w:p w14:paraId="5F8EE2AE" w14:textId="43EC33A3" w:rsidR="00381C0B" w:rsidRPr="008E78D4" w:rsidRDefault="00381C0B">
        <w:pPr>
          <w:pStyle w:val="Footer"/>
          <w:jc w:val="center"/>
          <w:rPr>
            <w:rFonts w:asciiTheme="minorHAnsi" w:hAnsiTheme="minorHAnsi" w:cs="Segoe UI"/>
            <w:sz w:val="22"/>
            <w:szCs w:val="22"/>
          </w:rPr>
        </w:pPr>
        <w:r w:rsidRPr="008E78D4">
          <w:rPr>
            <w:rFonts w:asciiTheme="minorHAnsi" w:hAnsiTheme="minorHAnsi" w:cs="Segoe UI"/>
            <w:sz w:val="22"/>
            <w:szCs w:val="22"/>
          </w:rPr>
          <w:fldChar w:fldCharType="begin"/>
        </w:r>
        <w:r w:rsidRPr="008E78D4">
          <w:rPr>
            <w:rFonts w:asciiTheme="minorHAnsi" w:hAnsiTheme="minorHAnsi" w:cs="Segoe UI"/>
            <w:sz w:val="22"/>
            <w:szCs w:val="22"/>
          </w:rPr>
          <w:instrText xml:space="preserve"> PAGE   \* MERGEFORMAT </w:instrText>
        </w:r>
        <w:r w:rsidRPr="008E78D4">
          <w:rPr>
            <w:rFonts w:asciiTheme="minorHAnsi" w:hAnsiTheme="minorHAnsi" w:cs="Segoe UI"/>
            <w:sz w:val="22"/>
            <w:szCs w:val="22"/>
          </w:rPr>
          <w:fldChar w:fldCharType="separate"/>
        </w:r>
        <w:r w:rsidR="00C82485">
          <w:rPr>
            <w:rFonts w:asciiTheme="minorHAnsi" w:hAnsiTheme="minorHAnsi" w:cs="Segoe UI"/>
            <w:noProof/>
            <w:sz w:val="22"/>
            <w:szCs w:val="22"/>
          </w:rPr>
          <w:t>1</w:t>
        </w:r>
        <w:r w:rsidRPr="008E78D4">
          <w:rPr>
            <w:rFonts w:asciiTheme="minorHAnsi" w:hAnsiTheme="minorHAnsi" w:cs="Segoe UI"/>
            <w:noProof/>
            <w:sz w:val="22"/>
            <w:szCs w:val="22"/>
          </w:rPr>
          <w:fldChar w:fldCharType="end"/>
        </w:r>
      </w:p>
    </w:sdtContent>
  </w:sdt>
  <w:p w14:paraId="079B1225" w14:textId="77777777" w:rsidR="00381C0B" w:rsidRDefault="00381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38BDA" w14:textId="77777777" w:rsidR="00381C0B" w:rsidRDefault="00381C0B" w:rsidP="001D3BCC">
      <w:r>
        <w:separator/>
      </w:r>
    </w:p>
  </w:footnote>
  <w:footnote w:type="continuationSeparator" w:id="0">
    <w:p w14:paraId="51165E92" w14:textId="77777777" w:rsidR="00381C0B" w:rsidRDefault="00381C0B" w:rsidP="001D3BCC">
      <w:r>
        <w:continuationSeparator/>
      </w:r>
    </w:p>
  </w:footnote>
  <w:footnote w:id="1">
    <w:p w14:paraId="09055A12" w14:textId="77777777" w:rsidR="00381C0B" w:rsidRPr="004116CD" w:rsidRDefault="00381C0B" w:rsidP="005C2E8C">
      <w:pPr>
        <w:pStyle w:val="FootnoteText"/>
      </w:pPr>
      <w:r w:rsidRPr="001B69A4">
        <w:rPr>
          <w:rStyle w:val="FootnoteReference"/>
          <w:rFonts w:asciiTheme="minorHAnsi" w:hAnsiTheme="minorHAnsi"/>
          <w:color w:val="auto"/>
          <w:sz w:val="22"/>
          <w:szCs w:val="22"/>
        </w:rPr>
        <w:footnoteRef/>
      </w:r>
      <w:r w:rsidRPr="001B69A4">
        <w:rPr>
          <w:rFonts w:asciiTheme="minorHAnsi" w:hAnsiTheme="minorHAnsi"/>
          <w:sz w:val="22"/>
          <w:szCs w:val="22"/>
        </w:rPr>
        <w:t xml:space="preserve"> </w:t>
      </w:r>
      <w:r w:rsidRPr="001B69A4">
        <w:rPr>
          <w:rFonts w:asciiTheme="minorHAnsi" w:hAnsiTheme="minorHAnsi" w:cs="Segoe UI"/>
          <w:sz w:val="22"/>
          <w:szCs w:val="22"/>
        </w:rPr>
        <w:t>In July 2016 changes were made to the Ulysses system to enable reporting on whether pressure ulcers were ‘acquired’ in the service of Oxford Health or ‘inherited’ before the patient came into our care.</w:t>
      </w:r>
    </w:p>
  </w:footnote>
  <w:footnote w:id="2">
    <w:p w14:paraId="3403B645" w14:textId="77777777" w:rsidR="00381C0B" w:rsidRPr="00B94CC7" w:rsidRDefault="00381C0B" w:rsidP="00C045A4">
      <w:pPr>
        <w:pStyle w:val="FootnoteText"/>
        <w:rPr>
          <w:rFonts w:asciiTheme="minorHAnsi" w:hAnsiTheme="minorHAnsi"/>
          <w:sz w:val="22"/>
          <w:szCs w:val="22"/>
        </w:rPr>
      </w:pPr>
      <w:r w:rsidRPr="00B94CC7">
        <w:rPr>
          <w:rStyle w:val="FootnoteReference"/>
          <w:rFonts w:asciiTheme="minorHAnsi" w:hAnsiTheme="minorHAnsi"/>
          <w:color w:val="auto"/>
          <w:sz w:val="22"/>
          <w:szCs w:val="22"/>
        </w:rPr>
        <w:footnoteRef/>
      </w:r>
      <w:r w:rsidRPr="00B94CC7">
        <w:rPr>
          <w:rFonts w:asciiTheme="minorHAnsi" w:hAnsiTheme="minorHAnsi"/>
          <w:sz w:val="22"/>
          <w:szCs w:val="22"/>
        </w:rPr>
        <w:t xml:space="preserve"> Serious Incidents are nationally defined as incidents </w:t>
      </w:r>
      <w:r w:rsidRPr="00B94CC7">
        <w:rPr>
          <w:rFonts w:asciiTheme="minorHAnsi" w:hAnsiTheme="minorHAnsi" w:cs="Segoe UI"/>
          <w:sz w:val="22"/>
          <w:szCs w:val="22"/>
        </w:rPr>
        <w:t>where there were acts or omissions identified in care that resulted in death, lead to abuse or serious harm requiring further treatment</w:t>
      </w:r>
    </w:p>
    <w:p w14:paraId="0D743F40" w14:textId="77777777" w:rsidR="00381C0B" w:rsidRPr="00B94CC7" w:rsidRDefault="00381C0B" w:rsidP="00C045A4">
      <w:pPr>
        <w:pStyle w:val="FootnoteText"/>
        <w:rPr>
          <w:rFonts w:asciiTheme="minorHAnsi" w:hAnsiTheme="minorHAnsi"/>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D19D2"/>
    <w:multiLevelType w:val="hybridMultilevel"/>
    <w:tmpl w:val="2ABE0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4B4CF7"/>
    <w:multiLevelType w:val="hybridMultilevel"/>
    <w:tmpl w:val="970AEC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44EA3"/>
    <w:multiLevelType w:val="hybridMultilevel"/>
    <w:tmpl w:val="083E8B5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3582F"/>
    <w:multiLevelType w:val="hybridMultilevel"/>
    <w:tmpl w:val="9BC8D21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77597"/>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F4D1065"/>
    <w:multiLevelType w:val="hybridMultilevel"/>
    <w:tmpl w:val="C3D081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62012"/>
    <w:multiLevelType w:val="hybridMultilevel"/>
    <w:tmpl w:val="BECAF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C60E9"/>
    <w:multiLevelType w:val="hybridMultilevel"/>
    <w:tmpl w:val="84AA160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31D21"/>
    <w:multiLevelType w:val="hybridMultilevel"/>
    <w:tmpl w:val="1AD82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0CA03A2"/>
    <w:multiLevelType w:val="hybridMultilevel"/>
    <w:tmpl w:val="FD2E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069C3"/>
    <w:multiLevelType w:val="hybridMultilevel"/>
    <w:tmpl w:val="EEF841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7102196"/>
    <w:multiLevelType w:val="hybridMultilevel"/>
    <w:tmpl w:val="F13892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62162"/>
    <w:multiLevelType w:val="hybridMultilevel"/>
    <w:tmpl w:val="D332D0D6"/>
    <w:lvl w:ilvl="0" w:tplc="08090009">
      <w:start w:val="1"/>
      <w:numFmt w:val="bullet"/>
      <w:lvlText w:val=""/>
      <w:lvlJc w:val="left"/>
      <w:pPr>
        <w:ind w:left="765" w:hanging="720"/>
      </w:pPr>
      <w:rPr>
        <w:rFonts w:ascii="Wingdings" w:hAnsi="Wingding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15:restartNumberingAfterBreak="0">
    <w:nsid w:val="3C490588"/>
    <w:multiLevelType w:val="hybridMultilevel"/>
    <w:tmpl w:val="C5D292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9486F"/>
    <w:multiLevelType w:val="hybridMultilevel"/>
    <w:tmpl w:val="1320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C26A0"/>
    <w:multiLevelType w:val="hybridMultilevel"/>
    <w:tmpl w:val="E82470A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316DF3"/>
    <w:multiLevelType w:val="hybridMultilevel"/>
    <w:tmpl w:val="C538AD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683470"/>
    <w:multiLevelType w:val="hybridMultilevel"/>
    <w:tmpl w:val="EC40E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F2637C9"/>
    <w:multiLevelType w:val="hybridMultilevel"/>
    <w:tmpl w:val="B0542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F4A13A1"/>
    <w:multiLevelType w:val="hybridMultilevel"/>
    <w:tmpl w:val="55A04F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CE5ECE"/>
    <w:multiLevelType w:val="hybridMultilevel"/>
    <w:tmpl w:val="D1ECD94A"/>
    <w:lvl w:ilvl="0" w:tplc="76063DAA">
      <w:start w:val="1"/>
      <w:numFmt w:val="lowerLetter"/>
      <w:lvlText w:val="%1)"/>
      <w:lvlJc w:val="left"/>
      <w:pPr>
        <w:ind w:left="765" w:hanging="720"/>
      </w:pPr>
      <w:rPr>
        <w:rFonts w:asciiTheme="minorHAnsi" w:eastAsia="Times New Roman" w:hAnsiTheme="minorHAnsi" w:cs="Segoe UI"/>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1" w15:restartNumberingAfterBreak="0">
    <w:nsid w:val="51D11496"/>
    <w:multiLevelType w:val="hybridMultilevel"/>
    <w:tmpl w:val="D2A6E2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ED24D9"/>
    <w:multiLevelType w:val="hybridMultilevel"/>
    <w:tmpl w:val="7062C1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A24290"/>
    <w:multiLevelType w:val="hybridMultilevel"/>
    <w:tmpl w:val="F754F1E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D4B6A"/>
    <w:multiLevelType w:val="hybridMultilevel"/>
    <w:tmpl w:val="BADCFB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4F7CB8"/>
    <w:multiLevelType w:val="hybridMultilevel"/>
    <w:tmpl w:val="C1D482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63A08"/>
    <w:multiLevelType w:val="hybridMultilevel"/>
    <w:tmpl w:val="2D1AB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4253C1"/>
    <w:multiLevelType w:val="multilevel"/>
    <w:tmpl w:val="B420D1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2A9404C"/>
    <w:multiLevelType w:val="hybridMultilevel"/>
    <w:tmpl w:val="A900EAD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DF50C3"/>
    <w:multiLevelType w:val="hybridMultilevel"/>
    <w:tmpl w:val="B22C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67BBC"/>
    <w:multiLevelType w:val="hybridMultilevel"/>
    <w:tmpl w:val="6782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776A69"/>
    <w:multiLevelType w:val="hybridMultilevel"/>
    <w:tmpl w:val="5C00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C406AD"/>
    <w:multiLevelType w:val="hybridMultilevel"/>
    <w:tmpl w:val="713C9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FC94300"/>
    <w:multiLevelType w:val="hybridMultilevel"/>
    <w:tmpl w:val="42C27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89E1EA4"/>
    <w:multiLevelType w:val="hybridMultilevel"/>
    <w:tmpl w:val="E1D07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B3447D6"/>
    <w:multiLevelType w:val="hybridMultilevel"/>
    <w:tmpl w:val="15DAB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D4635F5"/>
    <w:multiLevelType w:val="hybridMultilevel"/>
    <w:tmpl w:val="F3CC8A68"/>
    <w:lvl w:ilvl="0" w:tplc="1506FE2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ED09A6"/>
    <w:multiLevelType w:val="hybridMultilevel"/>
    <w:tmpl w:val="8E04CA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27"/>
  </w:num>
  <w:num w:numId="5">
    <w:abstractNumId w:val="32"/>
  </w:num>
  <w:num w:numId="6">
    <w:abstractNumId w:val="21"/>
  </w:num>
  <w:num w:numId="7">
    <w:abstractNumId w:val="26"/>
  </w:num>
  <w:num w:numId="8">
    <w:abstractNumId w:val="31"/>
  </w:num>
  <w:num w:numId="9">
    <w:abstractNumId w:val="23"/>
  </w:num>
  <w:num w:numId="10">
    <w:abstractNumId w:val="7"/>
  </w:num>
  <w:num w:numId="11">
    <w:abstractNumId w:val="25"/>
  </w:num>
  <w:num w:numId="12">
    <w:abstractNumId w:val="15"/>
  </w:num>
  <w:num w:numId="13">
    <w:abstractNumId w:val="37"/>
  </w:num>
  <w:num w:numId="14">
    <w:abstractNumId w:val="10"/>
  </w:num>
  <w:num w:numId="15">
    <w:abstractNumId w:val="2"/>
  </w:num>
  <w:num w:numId="16">
    <w:abstractNumId w:val="17"/>
  </w:num>
  <w:num w:numId="17">
    <w:abstractNumId w:val="20"/>
  </w:num>
  <w:num w:numId="18">
    <w:abstractNumId w:val="16"/>
  </w:num>
  <w:num w:numId="19">
    <w:abstractNumId w:val="18"/>
  </w:num>
  <w:num w:numId="20">
    <w:abstractNumId w:val="36"/>
  </w:num>
  <w:num w:numId="21">
    <w:abstractNumId w:val="0"/>
  </w:num>
  <w:num w:numId="22">
    <w:abstractNumId w:val="22"/>
  </w:num>
  <w:num w:numId="23">
    <w:abstractNumId w:val="8"/>
  </w:num>
  <w:num w:numId="24">
    <w:abstractNumId w:val="28"/>
  </w:num>
  <w:num w:numId="25">
    <w:abstractNumId w:val="35"/>
  </w:num>
  <w:num w:numId="26">
    <w:abstractNumId w:val="33"/>
  </w:num>
  <w:num w:numId="27">
    <w:abstractNumId w:val="9"/>
  </w:num>
  <w:num w:numId="28">
    <w:abstractNumId w:val="34"/>
  </w:num>
  <w:num w:numId="29">
    <w:abstractNumId w:val="29"/>
  </w:num>
  <w:num w:numId="30">
    <w:abstractNumId w:val="38"/>
  </w:num>
  <w:num w:numId="31">
    <w:abstractNumId w:val="3"/>
  </w:num>
  <w:num w:numId="32">
    <w:abstractNumId w:val="6"/>
  </w:num>
  <w:num w:numId="33">
    <w:abstractNumId w:val="5"/>
  </w:num>
  <w:num w:numId="34">
    <w:abstractNumId w:val="11"/>
  </w:num>
  <w:num w:numId="35">
    <w:abstractNumId w:val="19"/>
  </w:num>
  <w:num w:numId="36">
    <w:abstractNumId w:val="24"/>
  </w:num>
  <w:num w:numId="37">
    <w:abstractNumId w:val="12"/>
  </w:num>
  <w:num w:numId="38">
    <w:abstractNumId w:val="14"/>
  </w:num>
  <w:num w:numId="39">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96"/>
    <w:rsid w:val="00000966"/>
    <w:rsid w:val="00002A7C"/>
    <w:rsid w:val="00002CC9"/>
    <w:rsid w:val="000069E6"/>
    <w:rsid w:val="00010429"/>
    <w:rsid w:val="000242F8"/>
    <w:rsid w:val="000265E2"/>
    <w:rsid w:val="00030D5C"/>
    <w:rsid w:val="000339C0"/>
    <w:rsid w:val="00036E26"/>
    <w:rsid w:val="00040771"/>
    <w:rsid w:val="000447D3"/>
    <w:rsid w:val="000453C4"/>
    <w:rsid w:val="000476BC"/>
    <w:rsid w:val="0005293F"/>
    <w:rsid w:val="000546D9"/>
    <w:rsid w:val="000620F3"/>
    <w:rsid w:val="00062514"/>
    <w:rsid w:val="00062A0C"/>
    <w:rsid w:val="000653C9"/>
    <w:rsid w:val="00071281"/>
    <w:rsid w:val="00072698"/>
    <w:rsid w:val="00081F01"/>
    <w:rsid w:val="000847CE"/>
    <w:rsid w:val="00087705"/>
    <w:rsid w:val="00090386"/>
    <w:rsid w:val="0009201F"/>
    <w:rsid w:val="00092300"/>
    <w:rsid w:val="00092F08"/>
    <w:rsid w:val="00093A3D"/>
    <w:rsid w:val="000954A9"/>
    <w:rsid w:val="00095D0E"/>
    <w:rsid w:val="00096A87"/>
    <w:rsid w:val="00096DAF"/>
    <w:rsid w:val="000B7882"/>
    <w:rsid w:val="000C339A"/>
    <w:rsid w:val="000C3CC4"/>
    <w:rsid w:val="000C453F"/>
    <w:rsid w:val="000C620E"/>
    <w:rsid w:val="000D2FF1"/>
    <w:rsid w:val="000D3C59"/>
    <w:rsid w:val="000D451F"/>
    <w:rsid w:val="000D7C79"/>
    <w:rsid w:val="000E3059"/>
    <w:rsid w:val="000E5592"/>
    <w:rsid w:val="000E5BA8"/>
    <w:rsid w:val="000E683E"/>
    <w:rsid w:val="000F0B45"/>
    <w:rsid w:val="000F1EF8"/>
    <w:rsid w:val="000F4A08"/>
    <w:rsid w:val="000F7A4F"/>
    <w:rsid w:val="000F7E27"/>
    <w:rsid w:val="000F7EBE"/>
    <w:rsid w:val="00101C3C"/>
    <w:rsid w:val="00102D5F"/>
    <w:rsid w:val="0010745C"/>
    <w:rsid w:val="001147C4"/>
    <w:rsid w:val="001219A3"/>
    <w:rsid w:val="00123674"/>
    <w:rsid w:val="00123758"/>
    <w:rsid w:val="00124793"/>
    <w:rsid w:val="001248FF"/>
    <w:rsid w:val="00127427"/>
    <w:rsid w:val="00127704"/>
    <w:rsid w:val="00132E12"/>
    <w:rsid w:val="0014268C"/>
    <w:rsid w:val="001440B4"/>
    <w:rsid w:val="00150F75"/>
    <w:rsid w:val="001511DF"/>
    <w:rsid w:val="00152063"/>
    <w:rsid w:val="00153743"/>
    <w:rsid w:val="00155834"/>
    <w:rsid w:val="0015619F"/>
    <w:rsid w:val="0015625B"/>
    <w:rsid w:val="00161B5B"/>
    <w:rsid w:val="00162C79"/>
    <w:rsid w:val="001651BF"/>
    <w:rsid w:val="00166A50"/>
    <w:rsid w:val="001708F3"/>
    <w:rsid w:val="00172E9F"/>
    <w:rsid w:val="001732D3"/>
    <w:rsid w:val="00175F41"/>
    <w:rsid w:val="00177631"/>
    <w:rsid w:val="00183482"/>
    <w:rsid w:val="001834BE"/>
    <w:rsid w:val="00186E1D"/>
    <w:rsid w:val="00186E78"/>
    <w:rsid w:val="00194E35"/>
    <w:rsid w:val="00195F10"/>
    <w:rsid w:val="00197F8F"/>
    <w:rsid w:val="001A1D7D"/>
    <w:rsid w:val="001A32F2"/>
    <w:rsid w:val="001A6438"/>
    <w:rsid w:val="001B077A"/>
    <w:rsid w:val="001B6964"/>
    <w:rsid w:val="001B69A4"/>
    <w:rsid w:val="001B7D9B"/>
    <w:rsid w:val="001C491E"/>
    <w:rsid w:val="001C7A71"/>
    <w:rsid w:val="001D3BCC"/>
    <w:rsid w:val="001D4207"/>
    <w:rsid w:val="001D5889"/>
    <w:rsid w:val="001D701A"/>
    <w:rsid w:val="001E1657"/>
    <w:rsid w:val="001E42B5"/>
    <w:rsid w:val="001F1047"/>
    <w:rsid w:val="00200A0C"/>
    <w:rsid w:val="00203D38"/>
    <w:rsid w:val="002066F2"/>
    <w:rsid w:val="00207B5F"/>
    <w:rsid w:val="00211155"/>
    <w:rsid w:val="002170E1"/>
    <w:rsid w:val="00217813"/>
    <w:rsid w:val="002178B9"/>
    <w:rsid w:val="00217E71"/>
    <w:rsid w:val="00224420"/>
    <w:rsid w:val="002245D4"/>
    <w:rsid w:val="002256DE"/>
    <w:rsid w:val="00225DE5"/>
    <w:rsid w:val="0022773F"/>
    <w:rsid w:val="00230D01"/>
    <w:rsid w:val="002337E4"/>
    <w:rsid w:val="00236730"/>
    <w:rsid w:val="00241039"/>
    <w:rsid w:val="00244586"/>
    <w:rsid w:val="00245C2C"/>
    <w:rsid w:val="00246B77"/>
    <w:rsid w:val="0024727A"/>
    <w:rsid w:val="00251AA7"/>
    <w:rsid w:val="00257372"/>
    <w:rsid w:val="00261161"/>
    <w:rsid w:val="0026516B"/>
    <w:rsid w:val="00265C72"/>
    <w:rsid w:val="002705F5"/>
    <w:rsid w:val="002769E1"/>
    <w:rsid w:val="00280BDF"/>
    <w:rsid w:val="00282DC5"/>
    <w:rsid w:val="00283BC9"/>
    <w:rsid w:val="002875A5"/>
    <w:rsid w:val="002905B3"/>
    <w:rsid w:val="00291909"/>
    <w:rsid w:val="002925AC"/>
    <w:rsid w:val="00292F47"/>
    <w:rsid w:val="00293816"/>
    <w:rsid w:val="00294865"/>
    <w:rsid w:val="00295B0F"/>
    <w:rsid w:val="0029632C"/>
    <w:rsid w:val="002973A7"/>
    <w:rsid w:val="002974FE"/>
    <w:rsid w:val="002A00AD"/>
    <w:rsid w:val="002A658F"/>
    <w:rsid w:val="002B0200"/>
    <w:rsid w:val="002B2F75"/>
    <w:rsid w:val="002B4ECD"/>
    <w:rsid w:val="002B5743"/>
    <w:rsid w:val="002C069D"/>
    <w:rsid w:val="002C39C9"/>
    <w:rsid w:val="002C4ABF"/>
    <w:rsid w:val="002C5338"/>
    <w:rsid w:val="002C7520"/>
    <w:rsid w:val="002D2DD5"/>
    <w:rsid w:val="002D56C8"/>
    <w:rsid w:val="002D6B95"/>
    <w:rsid w:val="002E1B7E"/>
    <w:rsid w:val="002E7CFC"/>
    <w:rsid w:val="002F49CE"/>
    <w:rsid w:val="002F5968"/>
    <w:rsid w:val="00301480"/>
    <w:rsid w:val="00301B1D"/>
    <w:rsid w:val="00302D1C"/>
    <w:rsid w:val="00304B1B"/>
    <w:rsid w:val="003053C2"/>
    <w:rsid w:val="00305795"/>
    <w:rsid w:val="003166BF"/>
    <w:rsid w:val="00316BD6"/>
    <w:rsid w:val="00322EED"/>
    <w:rsid w:val="003235CF"/>
    <w:rsid w:val="00326772"/>
    <w:rsid w:val="00326D83"/>
    <w:rsid w:val="003276ED"/>
    <w:rsid w:val="003308F8"/>
    <w:rsid w:val="0033312E"/>
    <w:rsid w:val="00334D1C"/>
    <w:rsid w:val="00334EED"/>
    <w:rsid w:val="00336861"/>
    <w:rsid w:val="00344552"/>
    <w:rsid w:val="00357A61"/>
    <w:rsid w:val="003641C0"/>
    <w:rsid w:val="00364C03"/>
    <w:rsid w:val="00365A40"/>
    <w:rsid w:val="0037648E"/>
    <w:rsid w:val="00381C0B"/>
    <w:rsid w:val="00383038"/>
    <w:rsid w:val="00384C71"/>
    <w:rsid w:val="00392B8D"/>
    <w:rsid w:val="00392D7E"/>
    <w:rsid w:val="00393B0A"/>
    <w:rsid w:val="003A58F6"/>
    <w:rsid w:val="003B1622"/>
    <w:rsid w:val="003B42D0"/>
    <w:rsid w:val="003B464F"/>
    <w:rsid w:val="003B4E68"/>
    <w:rsid w:val="003B73D3"/>
    <w:rsid w:val="003C0EE9"/>
    <w:rsid w:val="003C7D70"/>
    <w:rsid w:val="003D17D6"/>
    <w:rsid w:val="003D258D"/>
    <w:rsid w:val="003D3CCE"/>
    <w:rsid w:val="003E0834"/>
    <w:rsid w:val="003E15E4"/>
    <w:rsid w:val="003E319F"/>
    <w:rsid w:val="003F0CF7"/>
    <w:rsid w:val="003F15BB"/>
    <w:rsid w:val="003F3136"/>
    <w:rsid w:val="003F3179"/>
    <w:rsid w:val="004012F1"/>
    <w:rsid w:val="00401418"/>
    <w:rsid w:val="004053E8"/>
    <w:rsid w:val="00406B9B"/>
    <w:rsid w:val="00410D56"/>
    <w:rsid w:val="00414523"/>
    <w:rsid w:val="00415D9C"/>
    <w:rsid w:val="00416AF5"/>
    <w:rsid w:val="004177C3"/>
    <w:rsid w:val="00420B67"/>
    <w:rsid w:val="0042259A"/>
    <w:rsid w:val="004228F7"/>
    <w:rsid w:val="0042448B"/>
    <w:rsid w:val="00432259"/>
    <w:rsid w:val="00441B47"/>
    <w:rsid w:val="00443334"/>
    <w:rsid w:val="00444D58"/>
    <w:rsid w:val="0044564A"/>
    <w:rsid w:val="0045231C"/>
    <w:rsid w:val="00452AD0"/>
    <w:rsid w:val="004556B1"/>
    <w:rsid w:val="00464907"/>
    <w:rsid w:val="004668CA"/>
    <w:rsid w:val="00466927"/>
    <w:rsid w:val="00467331"/>
    <w:rsid w:val="0047069B"/>
    <w:rsid w:val="00476D7D"/>
    <w:rsid w:val="004801AE"/>
    <w:rsid w:val="00481C52"/>
    <w:rsid w:val="00484187"/>
    <w:rsid w:val="00484AE7"/>
    <w:rsid w:val="00484BC1"/>
    <w:rsid w:val="00485893"/>
    <w:rsid w:val="00487466"/>
    <w:rsid w:val="004874BC"/>
    <w:rsid w:val="004918AA"/>
    <w:rsid w:val="00492011"/>
    <w:rsid w:val="00492D7E"/>
    <w:rsid w:val="004945D2"/>
    <w:rsid w:val="00497A26"/>
    <w:rsid w:val="004A26EE"/>
    <w:rsid w:val="004A3D9C"/>
    <w:rsid w:val="004A5685"/>
    <w:rsid w:val="004C0487"/>
    <w:rsid w:val="004C757A"/>
    <w:rsid w:val="004D4CC4"/>
    <w:rsid w:val="004E112B"/>
    <w:rsid w:val="004E739D"/>
    <w:rsid w:val="004F0A46"/>
    <w:rsid w:val="004F0D7D"/>
    <w:rsid w:val="004F2A04"/>
    <w:rsid w:val="004F39B4"/>
    <w:rsid w:val="005010DC"/>
    <w:rsid w:val="00505142"/>
    <w:rsid w:val="00505EB9"/>
    <w:rsid w:val="0050648F"/>
    <w:rsid w:val="00513EE6"/>
    <w:rsid w:val="0053394B"/>
    <w:rsid w:val="00535F23"/>
    <w:rsid w:val="00541626"/>
    <w:rsid w:val="00542986"/>
    <w:rsid w:val="00543726"/>
    <w:rsid w:val="005443C1"/>
    <w:rsid w:val="0054524B"/>
    <w:rsid w:val="00546DC2"/>
    <w:rsid w:val="00551534"/>
    <w:rsid w:val="005517A3"/>
    <w:rsid w:val="00551A77"/>
    <w:rsid w:val="00553937"/>
    <w:rsid w:val="00553EDF"/>
    <w:rsid w:val="005549CA"/>
    <w:rsid w:val="00554E2A"/>
    <w:rsid w:val="00555474"/>
    <w:rsid w:val="00555D6B"/>
    <w:rsid w:val="00563226"/>
    <w:rsid w:val="00564183"/>
    <w:rsid w:val="005644E9"/>
    <w:rsid w:val="0056547F"/>
    <w:rsid w:val="0056665E"/>
    <w:rsid w:val="005669F6"/>
    <w:rsid w:val="00570759"/>
    <w:rsid w:val="00572A90"/>
    <w:rsid w:val="00572AD7"/>
    <w:rsid w:val="00572B84"/>
    <w:rsid w:val="00575354"/>
    <w:rsid w:val="0057581F"/>
    <w:rsid w:val="0057645B"/>
    <w:rsid w:val="0057736A"/>
    <w:rsid w:val="00581290"/>
    <w:rsid w:val="00581623"/>
    <w:rsid w:val="0058197C"/>
    <w:rsid w:val="00583ED3"/>
    <w:rsid w:val="005862FE"/>
    <w:rsid w:val="00586D9C"/>
    <w:rsid w:val="00591438"/>
    <w:rsid w:val="005A46D2"/>
    <w:rsid w:val="005A620B"/>
    <w:rsid w:val="005B1383"/>
    <w:rsid w:val="005B1C91"/>
    <w:rsid w:val="005B2945"/>
    <w:rsid w:val="005B2D44"/>
    <w:rsid w:val="005B326A"/>
    <w:rsid w:val="005B5C41"/>
    <w:rsid w:val="005C2E8C"/>
    <w:rsid w:val="005C4741"/>
    <w:rsid w:val="005C6A56"/>
    <w:rsid w:val="005C749C"/>
    <w:rsid w:val="005D1FB0"/>
    <w:rsid w:val="005D3694"/>
    <w:rsid w:val="005D52BA"/>
    <w:rsid w:val="005D663E"/>
    <w:rsid w:val="005E4974"/>
    <w:rsid w:val="005E4D6D"/>
    <w:rsid w:val="005F27FA"/>
    <w:rsid w:val="005F3008"/>
    <w:rsid w:val="005F40A2"/>
    <w:rsid w:val="005F4312"/>
    <w:rsid w:val="005F5876"/>
    <w:rsid w:val="005F79DA"/>
    <w:rsid w:val="00600D2F"/>
    <w:rsid w:val="006028FD"/>
    <w:rsid w:val="0060337E"/>
    <w:rsid w:val="00604015"/>
    <w:rsid w:val="00605696"/>
    <w:rsid w:val="006059A6"/>
    <w:rsid w:val="00606310"/>
    <w:rsid w:val="00607CF3"/>
    <w:rsid w:val="00610A21"/>
    <w:rsid w:val="0061132A"/>
    <w:rsid w:val="00614059"/>
    <w:rsid w:val="006171BA"/>
    <w:rsid w:val="00617797"/>
    <w:rsid w:val="00617A6C"/>
    <w:rsid w:val="00617E14"/>
    <w:rsid w:val="00617ED0"/>
    <w:rsid w:val="00620F44"/>
    <w:rsid w:val="00621A1E"/>
    <w:rsid w:val="00621EE4"/>
    <w:rsid w:val="00624523"/>
    <w:rsid w:val="0062710C"/>
    <w:rsid w:val="00647380"/>
    <w:rsid w:val="00650712"/>
    <w:rsid w:val="00651A5C"/>
    <w:rsid w:val="006521C5"/>
    <w:rsid w:val="006566B0"/>
    <w:rsid w:val="0065766B"/>
    <w:rsid w:val="0066170F"/>
    <w:rsid w:val="006639AE"/>
    <w:rsid w:val="00664759"/>
    <w:rsid w:val="00665BB7"/>
    <w:rsid w:val="0066746C"/>
    <w:rsid w:val="00670A3A"/>
    <w:rsid w:val="00670BEA"/>
    <w:rsid w:val="006711CF"/>
    <w:rsid w:val="00671A27"/>
    <w:rsid w:val="00675148"/>
    <w:rsid w:val="0068544F"/>
    <w:rsid w:val="00686681"/>
    <w:rsid w:val="006870D2"/>
    <w:rsid w:val="006879BA"/>
    <w:rsid w:val="00687B87"/>
    <w:rsid w:val="00691B2A"/>
    <w:rsid w:val="00691F63"/>
    <w:rsid w:val="00695AE7"/>
    <w:rsid w:val="00695F63"/>
    <w:rsid w:val="006972F5"/>
    <w:rsid w:val="006A037D"/>
    <w:rsid w:val="006A28B7"/>
    <w:rsid w:val="006A398D"/>
    <w:rsid w:val="006A5D18"/>
    <w:rsid w:val="006A5E6C"/>
    <w:rsid w:val="006C15EA"/>
    <w:rsid w:val="006C28C3"/>
    <w:rsid w:val="006C3B47"/>
    <w:rsid w:val="006C403C"/>
    <w:rsid w:val="006C4410"/>
    <w:rsid w:val="006D04D4"/>
    <w:rsid w:val="006D143E"/>
    <w:rsid w:val="006D626F"/>
    <w:rsid w:val="006E0DF4"/>
    <w:rsid w:val="006E18F5"/>
    <w:rsid w:val="006E3BDF"/>
    <w:rsid w:val="006E456F"/>
    <w:rsid w:val="006E7220"/>
    <w:rsid w:val="006F0B35"/>
    <w:rsid w:val="006F3B06"/>
    <w:rsid w:val="006F519F"/>
    <w:rsid w:val="006F5A5B"/>
    <w:rsid w:val="006F6533"/>
    <w:rsid w:val="00704E19"/>
    <w:rsid w:val="00705C99"/>
    <w:rsid w:val="00715DF6"/>
    <w:rsid w:val="0072056F"/>
    <w:rsid w:val="007242F8"/>
    <w:rsid w:val="00725D77"/>
    <w:rsid w:val="0072735E"/>
    <w:rsid w:val="0072781B"/>
    <w:rsid w:val="007279B7"/>
    <w:rsid w:val="007309E9"/>
    <w:rsid w:val="00732F3E"/>
    <w:rsid w:val="00735B21"/>
    <w:rsid w:val="00735E91"/>
    <w:rsid w:val="00751A2F"/>
    <w:rsid w:val="00751CFB"/>
    <w:rsid w:val="00755D42"/>
    <w:rsid w:val="0075626D"/>
    <w:rsid w:val="007564C8"/>
    <w:rsid w:val="007566CF"/>
    <w:rsid w:val="007569C6"/>
    <w:rsid w:val="007578FB"/>
    <w:rsid w:val="00762416"/>
    <w:rsid w:val="00762EB7"/>
    <w:rsid w:val="00764C24"/>
    <w:rsid w:val="0077194E"/>
    <w:rsid w:val="00772041"/>
    <w:rsid w:val="00775BEC"/>
    <w:rsid w:val="00777CE1"/>
    <w:rsid w:val="00783ACE"/>
    <w:rsid w:val="0078474E"/>
    <w:rsid w:val="00786F5D"/>
    <w:rsid w:val="00790E04"/>
    <w:rsid w:val="00791E80"/>
    <w:rsid w:val="0079462D"/>
    <w:rsid w:val="0079524F"/>
    <w:rsid w:val="0079767B"/>
    <w:rsid w:val="007A03A7"/>
    <w:rsid w:val="007A29C0"/>
    <w:rsid w:val="007A2D46"/>
    <w:rsid w:val="007A4FB4"/>
    <w:rsid w:val="007A53CC"/>
    <w:rsid w:val="007B0123"/>
    <w:rsid w:val="007B1194"/>
    <w:rsid w:val="007B2618"/>
    <w:rsid w:val="007B76BF"/>
    <w:rsid w:val="007B7A06"/>
    <w:rsid w:val="007C04C9"/>
    <w:rsid w:val="007C131D"/>
    <w:rsid w:val="007C2C09"/>
    <w:rsid w:val="007C4897"/>
    <w:rsid w:val="007C695B"/>
    <w:rsid w:val="007D3C12"/>
    <w:rsid w:val="007D47F3"/>
    <w:rsid w:val="007E62ED"/>
    <w:rsid w:val="007E74E0"/>
    <w:rsid w:val="007E7BA5"/>
    <w:rsid w:val="007F0769"/>
    <w:rsid w:val="007F29C8"/>
    <w:rsid w:val="007F59D4"/>
    <w:rsid w:val="007F6A7C"/>
    <w:rsid w:val="008020E0"/>
    <w:rsid w:val="008022F1"/>
    <w:rsid w:val="00804BA2"/>
    <w:rsid w:val="00804ED5"/>
    <w:rsid w:val="00806C8B"/>
    <w:rsid w:val="00807629"/>
    <w:rsid w:val="00810C22"/>
    <w:rsid w:val="008120FB"/>
    <w:rsid w:val="00814336"/>
    <w:rsid w:val="00816A37"/>
    <w:rsid w:val="00820C60"/>
    <w:rsid w:val="00820CBF"/>
    <w:rsid w:val="00820F16"/>
    <w:rsid w:val="0082187A"/>
    <w:rsid w:val="00821F3D"/>
    <w:rsid w:val="008300ED"/>
    <w:rsid w:val="00830E51"/>
    <w:rsid w:val="00832028"/>
    <w:rsid w:val="00835E15"/>
    <w:rsid w:val="008364BB"/>
    <w:rsid w:val="00837482"/>
    <w:rsid w:val="0083794E"/>
    <w:rsid w:val="00842690"/>
    <w:rsid w:val="008432C4"/>
    <w:rsid w:val="0085240F"/>
    <w:rsid w:val="008539EC"/>
    <w:rsid w:val="0085430E"/>
    <w:rsid w:val="00854A3C"/>
    <w:rsid w:val="0085721C"/>
    <w:rsid w:val="008575A7"/>
    <w:rsid w:val="00860FC7"/>
    <w:rsid w:val="008629FE"/>
    <w:rsid w:val="008679BB"/>
    <w:rsid w:val="00871175"/>
    <w:rsid w:val="00871323"/>
    <w:rsid w:val="0087557A"/>
    <w:rsid w:val="00881F55"/>
    <w:rsid w:val="00890F8F"/>
    <w:rsid w:val="00892FC2"/>
    <w:rsid w:val="0089323F"/>
    <w:rsid w:val="008A13A3"/>
    <w:rsid w:val="008A3E20"/>
    <w:rsid w:val="008B385D"/>
    <w:rsid w:val="008B3949"/>
    <w:rsid w:val="008B5465"/>
    <w:rsid w:val="008C03F6"/>
    <w:rsid w:val="008C2210"/>
    <w:rsid w:val="008C3010"/>
    <w:rsid w:val="008C4B72"/>
    <w:rsid w:val="008C5B63"/>
    <w:rsid w:val="008D0615"/>
    <w:rsid w:val="008D06D1"/>
    <w:rsid w:val="008D0BEB"/>
    <w:rsid w:val="008D517C"/>
    <w:rsid w:val="008D6A58"/>
    <w:rsid w:val="008D7270"/>
    <w:rsid w:val="008E09D1"/>
    <w:rsid w:val="008E2262"/>
    <w:rsid w:val="008E640E"/>
    <w:rsid w:val="008E78D4"/>
    <w:rsid w:val="008F15F2"/>
    <w:rsid w:val="008F4F68"/>
    <w:rsid w:val="008F57B0"/>
    <w:rsid w:val="008F6081"/>
    <w:rsid w:val="00900EA0"/>
    <w:rsid w:val="00904099"/>
    <w:rsid w:val="00906123"/>
    <w:rsid w:val="00911DFC"/>
    <w:rsid w:val="00912B07"/>
    <w:rsid w:val="009155A1"/>
    <w:rsid w:val="00921621"/>
    <w:rsid w:val="00922239"/>
    <w:rsid w:val="00922F8B"/>
    <w:rsid w:val="009251A0"/>
    <w:rsid w:val="00927239"/>
    <w:rsid w:val="00930733"/>
    <w:rsid w:val="00932B6F"/>
    <w:rsid w:val="00934D4B"/>
    <w:rsid w:val="0093511A"/>
    <w:rsid w:val="00940139"/>
    <w:rsid w:val="0094458A"/>
    <w:rsid w:val="009511C9"/>
    <w:rsid w:val="009535CF"/>
    <w:rsid w:val="009538F5"/>
    <w:rsid w:val="00954DB1"/>
    <w:rsid w:val="00957E2C"/>
    <w:rsid w:val="00960468"/>
    <w:rsid w:val="0096777C"/>
    <w:rsid w:val="00967C0A"/>
    <w:rsid w:val="00970400"/>
    <w:rsid w:val="009715BE"/>
    <w:rsid w:val="009720B6"/>
    <w:rsid w:val="009756B2"/>
    <w:rsid w:val="009777AC"/>
    <w:rsid w:val="0098030C"/>
    <w:rsid w:val="00981133"/>
    <w:rsid w:val="00981DC7"/>
    <w:rsid w:val="00984E40"/>
    <w:rsid w:val="009851FF"/>
    <w:rsid w:val="00985AF4"/>
    <w:rsid w:val="00985E52"/>
    <w:rsid w:val="00986519"/>
    <w:rsid w:val="00993BDE"/>
    <w:rsid w:val="009A04EC"/>
    <w:rsid w:val="009A1963"/>
    <w:rsid w:val="009A2A98"/>
    <w:rsid w:val="009A3280"/>
    <w:rsid w:val="009A69D9"/>
    <w:rsid w:val="009A7314"/>
    <w:rsid w:val="009B1FBC"/>
    <w:rsid w:val="009B3F86"/>
    <w:rsid w:val="009B402A"/>
    <w:rsid w:val="009C40F6"/>
    <w:rsid w:val="009C6DAC"/>
    <w:rsid w:val="009C793E"/>
    <w:rsid w:val="009D0D1B"/>
    <w:rsid w:val="009D2187"/>
    <w:rsid w:val="009D4364"/>
    <w:rsid w:val="009D4D8C"/>
    <w:rsid w:val="009E236C"/>
    <w:rsid w:val="009E5163"/>
    <w:rsid w:val="009E74FE"/>
    <w:rsid w:val="009F112E"/>
    <w:rsid w:val="009F1C21"/>
    <w:rsid w:val="009F247F"/>
    <w:rsid w:val="009F2A01"/>
    <w:rsid w:val="00A006B4"/>
    <w:rsid w:val="00A134DD"/>
    <w:rsid w:val="00A15E63"/>
    <w:rsid w:val="00A168CE"/>
    <w:rsid w:val="00A22F78"/>
    <w:rsid w:val="00A2383E"/>
    <w:rsid w:val="00A2615F"/>
    <w:rsid w:val="00A32622"/>
    <w:rsid w:val="00A342C0"/>
    <w:rsid w:val="00A34377"/>
    <w:rsid w:val="00A35B96"/>
    <w:rsid w:val="00A35F65"/>
    <w:rsid w:val="00A360A9"/>
    <w:rsid w:val="00A41F84"/>
    <w:rsid w:val="00A4377F"/>
    <w:rsid w:val="00A4468F"/>
    <w:rsid w:val="00A47E8C"/>
    <w:rsid w:val="00A54CE1"/>
    <w:rsid w:val="00A565C2"/>
    <w:rsid w:val="00A6080C"/>
    <w:rsid w:val="00A60DF4"/>
    <w:rsid w:val="00A62223"/>
    <w:rsid w:val="00A67896"/>
    <w:rsid w:val="00A71F9C"/>
    <w:rsid w:val="00A805F9"/>
    <w:rsid w:val="00A833D8"/>
    <w:rsid w:val="00A863A3"/>
    <w:rsid w:val="00A941F4"/>
    <w:rsid w:val="00A953CA"/>
    <w:rsid w:val="00A96330"/>
    <w:rsid w:val="00A96BC3"/>
    <w:rsid w:val="00AA088D"/>
    <w:rsid w:val="00AA0B12"/>
    <w:rsid w:val="00AA0BFB"/>
    <w:rsid w:val="00AA1728"/>
    <w:rsid w:val="00AA24C1"/>
    <w:rsid w:val="00AA551D"/>
    <w:rsid w:val="00AA786E"/>
    <w:rsid w:val="00AB0505"/>
    <w:rsid w:val="00AB20AF"/>
    <w:rsid w:val="00AB4DF6"/>
    <w:rsid w:val="00AD0A66"/>
    <w:rsid w:val="00AD3C8D"/>
    <w:rsid w:val="00AE2284"/>
    <w:rsid w:val="00AE6B8F"/>
    <w:rsid w:val="00AF2480"/>
    <w:rsid w:val="00AF5A60"/>
    <w:rsid w:val="00AF5F2D"/>
    <w:rsid w:val="00B00758"/>
    <w:rsid w:val="00B03DE4"/>
    <w:rsid w:val="00B12FF6"/>
    <w:rsid w:val="00B132A6"/>
    <w:rsid w:val="00B14F74"/>
    <w:rsid w:val="00B17290"/>
    <w:rsid w:val="00B24DC5"/>
    <w:rsid w:val="00B25ED1"/>
    <w:rsid w:val="00B41243"/>
    <w:rsid w:val="00B42BFF"/>
    <w:rsid w:val="00B432F1"/>
    <w:rsid w:val="00B43445"/>
    <w:rsid w:val="00B44379"/>
    <w:rsid w:val="00B44A9F"/>
    <w:rsid w:val="00B470A7"/>
    <w:rsid w:val="00B47AA6"/>
    <w:rsid w:val="00B47FCE"/>
    <w:rsid w:val="00B50339"/>
    <w:rsid w:val="00B50722"/>
    <w:rsid w:val="00B53DBA"/>
    <w:rsid w:val="00B53E8E"/>
    <w:rsid w:val="00B567A8"/>
    <w:rsid w:val="00B5794F"/>
    <w:rsid w:val="00B605EA"/>
    <w:rsid w:val="00B60746"/>
    <w:rsid w:val="00B60A26"/>
    <w:rsid w:val="00B62840"/>
    <w:rsid w:val="00B6503C"/>
    <w:rsid w:val="00B72818"/>
    <w:rsid w:val="00B77E55"/>
    <w:rsid w:val="00B81FBE"/>
    <w:rsid w:val="00B86E24"/>
    <w:rsid w:val="00B91CFD"/>
    <w:rsid w:val="00B94CC7"/>
    <w:rsid w:val="00BA0C71"/>
    <w:rsid w:val="00BA2D07"/>
    <w:rsid w:val="00BB087C"/>
    <w:rsid w:val="00BB0904"/>
    <w:rsid w:val="00BB298D"/>
    <w:rsid w:val="00BB7339"/>
    <w:rsid w:val="00BB782C"/>
    <w:rsid w:val="00BC35AD"/>
    <w:rsid w:val="00BC35EB"/>
    <w:rsid w:val="00BC60D2"/>
    <w:rsid w:val="00BC6CCF"/>
    <w:rsid w:val="00BD12D7"/>
    <w:rsid w:val="00BD1373"/>
    <w:rsid w:val="00BD44CC"/>
    <w:rsid w:val="00BD504A"/>
    <w:rsid w:val="00BD5401"/>
    <w:rsid w:val="00BD763F"/>
    <w:rsid w:val="00BE019E"/>
    <w:rsid w:val="00BF060E"/>
    <w:rsid w:val="00BF09F9"/>
    <w:rsid w:val="00BF0D91"/>
    <w:rsid w:val="00BF62B7"/>
    <w:rsid w:val="00C02DF9"/>
    <w:rsid w:val="00C045A4"/>
    <w:rsid w:val="00C04F42"/>
    <w:rsid w:val="00C05A2E"/>
    <w:rsid w:val="00C118EC"/>
    <w:rsid w:val="00C11C34"/>
    <w:rsid w:val="00C11C46"/>
    <w:rsid w:val="00C13306"/>
    <w:rsid w:val="00C153DA"/>
    <w:rsid w:val="00C2156E"/>
    <w:rsid w:val="00C226C7"/>
    <w:rsid w:val="00C22948"/>
    <w:rsid w:val="00C23843"/>
    <w:rsid w:val="00C3703F"/>
    <w:rsid w:val="00C472E5"/>
    <w:rsid w:val="00C476E2"/>
    <w:rsid w:val="00C502F0"/>
    <w:rsid w:val="00C53611"/>
    <w:rsid w:val="00C714E0"/>
    <w:rsid w:val="00C75509"/>
    <w:rsid w:val="00C759D9"/>
    <w:rsid w:val="00C814AB"/>
    <w:rsid w:val="00C82485"/>
    <w:rsid w:val="00C83F2A"/>
    <w:rsid w:val="00C85306"/>
    <w:rsid w:val="00C85958"/>
    <w:rsid w:val="00C878A1"/>
    <w:rsid w:val="00C902DA"/>
    <w:rsid w:val="00C903CA"/>
    <w:rsid w:val="00C903D3"/>
    <w:rsid w:val="00C90475"/>
    <w:rsid w:val="00C97374"/>
    <w:rsid w:val="00CA0FC5"/>
    <w:rsid w:val="00CA1BFB"/>
    <w:rsid w:val="00CA4DB9"/>
    <w:rsid w:val="00CA73D1"/>
    <w:rsid w:val="00CB2A75"/>
    <w:rsid w:val="00CB3401"/>
    <w:rsid w:val="00CC16E8"/>
    <w:rsid w:val="00CC576D"/>
    <w:rsid w:val="00CC6BC1"/>
    <w:rsid w:val="00CD0BAE"/>
    <w:rsid w:val="00CD2D04"/>
    <w:rsid w:val="00CD3123"/>
    <w:rsid w:val="00CD3E93"/>
    <w:rsid w:val="00CD4AA9"/>
    <w:rsid w:val="00CD5A3B"/>
    <w:rsid w:val="00CD7C2C"/>
    <w:rsid w:val="00CE2427"/>
    <w:rsid w:val="00CE278E"/>
    <w:rsid w:val="00CE4BE0"/>
    <w:rsid w:val="00CF2018"/>
    <w:rsid w:val="00D013EA"/>
    <w:rsid w:val="00D01595"/>
    <w:rsid w:val="00D017C2"/>
    <w:rsid w:val="00D05393"/>
    <w:rsid w:val="00D068EB"/>
    <w:rsid w:val="00D07428"/>
    <w:rsid w:val="00D074FB"/>
    <w:rsid w:val="00D11170"/>
    <w:rsid w:val="00D11C54"/>
    <w:rsid w:val="00D14BF1"/>
    <w:rsid w:val="00D14CF8"/>
    <w:rsid w:val="00D17BB8"/>
    <w:rsid w:val="00D204C8"/>
    <w:rsid w:val="00D21671"/>
    <w:rsid w:val="00D23341"/>
    <w:rsid w:val="00D237AE"/>
    <w:rsid w:val="00D23917"/>
    <w:rsid w:val="00D25923"/>
    <w:rsid w:val="00D27957"/>
    <w:rsid w:val="00D302C4"/>
    <w:rsid w:val="00D30B71"/>
    <w:rsid w:val="00D3644C"/>
    <w:rsid w:val="00D36AA2"/>
    <w:rsid w:val="00D4006C"/>
    <w:rsid w:val="00D40890"/>
    <w:rsid w:val="00D5167E"/>
    <w:rsid w:val="00D51823"/>
    <w:rsid w:val="00D5206E"/>
    <w:rsid w:val="00D54081"/>
    <w:rsid w:val="00D54D1B"/>
    <w:rsid w:val="00D559D6"/>
    <w:rsid w:val="00D56B9A"/>
    <w:rsid w:val="00D6360D"/>
    <w:rsid w:val="00D64EFC"/>
    <w:rsid w:val="00D743DC"/>
    <w:rsid w:val="00D75065"/>
    <w:rsid w:val="00D756C2"/>
    <w:rsid w:val="00D7579C"/>
    <w:rsid w:val="00D7754E"/>
    <w:rsid w:val="00D80BA0"/>
    <w:rsid w:val="00D8126C"/>
    <w:rsid w:val="00D81E34"/>
    <w:rsid w:val="00D8273F"/>
    <w:rsid w:val="00D83A5A"/>
    <w:rsid w:val="00D86B92"/>
    <w:rsid w:val="00D90328"/>
    <w:rsid w:val="00D97DFF"/>
    <w:rsid w:val="00DA182E"/>
    <w:rsid w:val="00DC2ABF"/>
    <w:rsid w:val="00DC2E29"/>
    <w:rsid w:val="00DC324D"/>
    <w:rsid w:val="00DC389A"/>
    <w:rsid w:val="00DC4437"/>
    <w:rsid w:val="00DC4E4B"/>
    <w:rsid w:val="00DC5959"/>
    <w:rsid w:val="00DD1357"/>
    <w:rsid w:val="00DE0A70"/>
    <w:rsid w:val="00DE0D47"/>
    <w:rsid w:val="00DE7F6D"/>
    <w:rsid w:val="00DF3530"/>
    <w:rsid w:val="00DF35C4"/>
    <w:rsid w:val="00DF7188"/>
    <w:rsid w:val="00E013F7"/>
    <w:rsid w:val="00E07CDC"/>
    <w:rsid w:val="00E11F5B"/>
    <w:rsid w:val="00E14853"/>
    <w:rsid w:val="00E1737B"/>
    <w:rsid w:val="00E17ECD"/>
    <w:rsid w:val="00E217B7"/>
    <w:rsid w:val="00E24E4E"/>
    <w:rsid w:val="00E334EF"/>
    <w:rsid w:val="00E35955"/>
    <w:rsid w:val="00E36581"/>
    <w:rsid w:val="00E3705C"/>
    <w:rsid w:val="00E40CFC"/>
    <w:rsid w:val="00E40D43"/>
    <w:rsid w:val="00E42108"/>
    <w:rsid w:val="00E43011"/>
    <w:rsid w:val="00E43DF3"/>
    <w:rsid w:val="00E44712"/>
    <w:rsid w:val="00E4568F"/>
    <w:rsid w:val="00E46E7E"/>
    <w:rsid w:val="00E51FC9"/>
    <w:rsid w:val="00E57410"/>
    <w:rsid w:val="00E57848"/>
    <w:rsid w:val="00E60925"/>
    <w:rsid w:val="00E63123"/>
    <w:rsid w:val="00E67CAF"/>
    <w:rsid w:val="00E67D63"/>
    <w:rsid w:val="00E67FC1"/>
    <w:rsid w:val="00E73B5D"/>
    <w:rsid w:val="00E741A1"/>
    <w:rsid w:val="00E76E76"/>
    <w:rsid w:val="00E777D4"/>
    <w:rsid w:val="00E82572"/>
    <w:rsid w:val="00E846DE"/>
    <w:rsid w:val="00E85AE8"/>
    <w:rsid w:val="00E86ED2"/>
    <w:rsid w:val="00E87F99"/>
    <w:rsid w:val="00E91B71"/>
    <w:rsid w:val="00E91D6B"/>
    <w:rsid w:val="00E934EC"/>
    <w:rsid w:val="00E94728"/>
    <w:rsid w:val="00E96566"/>
    <w:rsid w:val="00EA0EC3"/>
    <w:rsid w:val="00EA2CA0"/>
    <w:rsid w:val="00EA4859"/>
    <w:rsid w:val="00EA4D0C"/>
    <w:rsid w:val="00EA5052"/>
    <w:rsid w:val="00EB1D0B"/>
    <w:rsid w:val="00EB2F77"/>
    <w:rsid w:val="00EB5D2D"/>
    <w:rsid w:val="00EB7102"/>
    <w:rsid w:val="00EB713E"/>
    <w:rsid w:val="00EC294E"/>
    <w:rsid w:val="00EC2CEA"/>
    <w:rsid w:val="00EC44A9"/>
    <w:rsid w:val="00ED2BD9"/>
    <w:rsid w:val="00ED47C7"/>
    <w:rsid w:val="00EE2337"/>
    <w:rsid w:val="00EE72C2"/>
    <w:rsid w:val="00EF4C5A"/>
    <w:rsid w:val="00EF54FD"/>
    <w:rsid w:val="00EF56D3"/>
    <w:rsid w:val="00EF579A"/>
    <w:rsid w:val="00EF645F"/>
    <w:rsid w:val="00EF7924"/>
    <w:rsid w:val="00F006DE"/>
    <w:rsid w:val="00F00CB7"/>
    <w:rsid w:val="00F02A65"/>
    <w:rsid w:val="00F055B1"/>
    <w:rsid w:val="00F06175"/>
    <w:rsid w:val="00F122FD"/>
    <w:rsid w:val="00F12D72"/>
    <w:rsid w:val="00F13BD6"/>
    <w:rsid w:val="00F13D92"/>
    <w:rsid w:val="00F16F4A"/>
    <w:rsid w:val="00F17661"/>
    <w:rsid w:val="00F203A9"/>
    <w:rsid w:val="00F20CA8"/>
    <w:rsid w:val="00F219F5"/>
    <w:rsid w:val="00F21C68"/>
    <w:rsid w:val="00F23274"/>
    <w:rsid w:val="00F249AD"/>
    <w:rsid w:val="00F30CA6"/>
    <w:rsid w:val="00F31C78"/>
    <w:rsid w:val="00F3476C"/>
    <w:rsid w:val="00F40A9F"/>
    <w:rsid w:val="00F40C65"/>
    <w:rsid w:val="00F42C77"/>
    <w:rsid w:val="00F4629A"/>
    <w:rsid w:val="00F462D8"/>
    <w:rsid w:val="00F46C1A"/>
    <w:rsid w:val="00F52C1F"/>
    <w:rsid w:val="00F54FA6"/>
    <w:rsid w:val="00F55D0D"/>
    <w:rsid w:val="00F57009"/>
    <w:rsid w:val="00F6083C"/>
    <w:rsid w:val="00F61270"/>
    <w:rsid w:val="00F66000"/>
    <w:rsid w:val="00F66C51"/>
    <w:rsid w:val="00F67AB2"/>
    <w:rsid w:val="00F70FA7"/>
    <w:rsid w:val="00F71024"/>
    <w:rsid w:val="00F72837"/>
    <w:rsid w:val="00F76D83"/>
    <w:rsid w:val="00F815F4"/>
    <w:rsid w:val="00F829FB"/>
    <w:rsid w:val="00F82F27"/>
    <w:rsid w:val="00F83090"/>
    <w:rsid w:val="00F854B6"/>
    <w:rsid w:val="00F87626"/>
    <w:rsid w:val="00F91ECC"/>
    <w:rsid w:val="00F92269"/>
    <w:rsid w:val="00F923F1"/>
    <w:rsid w:val="00F94CA3"/>
    <w:rsid w:val="00F951F8"/>
    <w:rsid w:val="00F9796C"/>
    <w:rsid w:val="00F97C97"/>
    <w:rsid w:val="00FA3702"/>
    <w:rsid w:val="00FA39D4"/>
    <w:rsid w:val="00FA4341"/>
    <w:rsid w:val="00FA71AC"/>
    <w:rsid w:val="00FB0C26"/>
    <w:rsid w:val="00FB0EF6"/>
    <w:rsid w:val="00FB5DC7"/>
    <w:rsid w:val="00FB7D7E"/>
    <w:rsid w:val="00FC0C7B"/>
    <w:rsid w:val="00FC1880"/>
    <w:rsid w:val="00FC45E5"/>
    <w:rsid w:val="00FC5BDA"/>
    <w:rsid w:val="00FD23CE"/>
    <w:rsid w:val="00FD7838"/>
    <w:rsid w:val="00FE38C1"/>
    <w:rsid w:val="00FF0BA4"/>
    <w:rsid w:val="00FF5AA8"/>
    <w:rsid w:val="00FF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3C1E"/>
  <w15:docId w15:val="{79867831-58FD-445E-B9B8-592E20C1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69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0569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0569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0569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0569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0569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605696"/>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605696"/>
    <w:pPr>
      <w:numPr>
        <w:ilvl w:val="6"/>
        <w:numId w:val="1"/>
      </w:numPr>
      <w:spacing w:before="240" w:after="60"/>
      <w:outlineLvl w:val="6"/>
    </w:pPr>
  </w:style>
  <w:style w:type="paragraph" w:styleId="Heading8">
    <w:name w:val="heading 8"/>
    <w:basedOn w:val="Normal"/>
    <w:next w:val="Normal"/>
    <w:link w:val="Heading8Char"/>
    <w:qFormat/>
    <w:rsid w:val="00605696"/>
    <w:pPr>
      <w:numPr>
        <w:ilvl w:val="7"/>
        <w:numId w:val="1"/>
      </w:numPr>
      <w:spacing w:before="240" w:after="60"/>
      <w:outlineLvl w:val="7"/>
    </w:pPr>
    <w:rPr>
      <w:i/>
      <w:iCs/>
    </w:rPr>
  </w:style>
  <w:style w:type="paragraph" w:styleId="Heading9">
    <w:name w:val="heading 9"/>
    <w:basedOn w:val="Normal"/>
    <w:next w:val="Normal"/>
    <w:link w:val="Heading9Char"/>
    <w:qFormat/>
    <w:rsid w:val="0060569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696"/>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605696"/>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605696"/>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605696"/>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605696"/>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605696"/>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605696"/>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60569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605696"/>
    <w:rPr>
      <w:rFonts w:ascii="Arial" w:eastAsia="Times New Roman" w:hAnsi="Arial" w:cs="Arial"/>
      <w:lang w:eastAsia="en-GB"/>
    </w:rPr>
  </w:style>
  <w:style w:type="paragraph" w:styleId="BalloonText">
    <w:name w:val="Balloon Text"/>
    <w:basedOn w:val="Normal"/>
    <w:link w:val="BalloonTextChar"/>
    <w:uiPriority w:val="99"/>
    <w:semiHidden/>
    <w:unhideWhenUsed/>
    <w:rsid w:val="00605696"/>
    <w:rPr>
      <w:rFonts w:ascii="Tahoma" w:hAnsi="Tahoma" w:cs="Tahoma"/>
      <w:sz w:val="16"/>
      <w:szCs w:val="16"/>
    </w:rPr>
  </w:style>
  <w:style w:type="character" w:customStyle="1" w:styleId="BalloonTextChar">
    <w:name w:val="Balloon Text Char"/>
    <w:basedOn w:val="DefaultParagraphFont"/>
    <w:link w:val="BalloonText"/>
    <w:uiPriority w:val="99"/>
    <w:semiHidden/>
    <w:rsid w:val="00605696"/>
    <w:rPr>
      <w:rFonts w:ascii="Tahoma" w:eastAsia="Times New Roman" w:hAnsi="Tahoma" w:cs="Tahoma"/>
      <w:sz w:val="16"/>
      <w:szCs w:val="16"/>
      <w:lang w:eastAsia="en-GB"/>
    </w:rPr>
  </w:style>
  <w:style w:type="paragraph" w:styleId="Caption">
    <w:name w:val="caption"/>
    <w:basedOn w:val="Normal"/>
    <w:next w:val="Normal"/>
    <w:uiPriority w:val="35"/>
    <w:unhideWhenUsed/>
    <w:qFormat/>
    <w:rsid w:val="0066170F"/>
    <w:pPr>
      <w:spacing w:after="200"/>
    </w:pPr>
    <w:rPr>
      <w:b/>
      <w:bCs/>
      <w:color w:val="4F81BD" w:themeColor="accent1"/>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2F5968"/>
    <w:pPr>
      <w:ind w:left="720"/>
      <w:contextualSpacing/>
    </w:pPr>
  </w:style>
  <w:style w:type="paragraph" w:styleId="FootnoteText">
    <w:name w:val="footnote text"/>
    <w:basedOn w:val="Normal"/>
    <w:link w:val="FootnoteTextChar"/>
    <w:uiPriority w:val="99"/>
    <w:semiHidden/>
    <w:unhideWhenUsed/>
    <w:rsid w:val="001D3BCC"/>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1D3BCC"/>
    <w:rPr>
      <w:rFonts w:ascii="Arial" w:hAnsi="Arial" w:cs="Arial"/>
      <w:sz w:val="20"/>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1D3BCC"/>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1D3BCC"/>
    <w:rPr>
      <w:rFonts w:ascii="Arial" w:hAnsi="Arial" w:cs="Arial" w:hint="default"/>
      <w:b/>
      <w:bCs/>
      <w:color w:val="7AB800"/>
      <w:vertAlign w:val="superscript"/>
    </w:rPr>
  </w:style>
  <w:style w:type="character" w:customStyle="1" w:styleId="tgc">
    <w:name w:val="_tgc"/>
    <w:basedOn w:val="DefaultParagraphFont"/>
    <w:rsid w:val="001D3BCC"/>
  </w:style>
  <w:style w:type="paragraph" w:styleId="EndnoteText">
    <w:name w:val="endnote text"/>
    <w:basedOn w:val="Normal"/>
    <w:link w:val="EndnoteTextChar"/>
    <w:uiPriority w:val="99"/>
    <w:semiHidden/>
    <w:unhideWhenUsed/>
    <w:rsid w:val="00C23843"/>
    <w:rPr>
      <w:sz w:val="20"/>
      <w:szCs w:val="20"/>
    </w:rPr>
  </w:style>
  <w:style w:type="character" w:customStyle="1" w:styleId="EndnoteTextChar">
    <w:name w:val="Endnote Text Char"/>
    <w:basedOn w:val="DefaultParagraphFont"/>
    <w:link w:val="EndnoteText"/>
    <w:uiPriority w:val="99"/>
    <w:semiHidden/>
    <w:rsid w:val="00C23843"/>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C23843"/>
    <w:rPr>
      <w:vertAlign w:val="superscript"/>
    </w:rPr>
  </w:style>
  <w:style w:type="paragraph" w:styleId="NormalWeb">
    <w:name w:val="Normal (Web)"/>
    <w:basedOn w:val="Normal"/>
    <w:uiPriority w:val="99"/>
    <w:semiHidden/>
    <w:unhideWhenUsed/>
    <w:rsid w:val="005F3008"/>
    <w:pPr>
      <w:spacing w:before="100" w:beforeAutospacing="1" w:after="100" w:afterAutospacing="1"/>
    </w:pPr>
  </w:style>
  <w:style w:type="paragraph" w:styleId="Header">
    <w:name w:val="header"/>
    <w:basedOn w:val="Normal"/>
    <w:link w:val="HeaderChar"/>
    <w:uiPriority w:val="99"/>
    <w:unhideWhenUsed/>
    <w:rsid w:val="007E7BA5"/>
    <w:pPr>
      <w:tabs>
        <w:tab w:val="center" w:pos="4513"/>
        <w:tab w:val="right" w:pos="9026"/>
      </w:tabs>
    </w:pPr>
  </w:style>
  <w:style w:type="character" w:customStyle="1" w:styleId="HeaderChar">
    <w:name w:val="Header Char"/>
    <w:basedOn w:val="DefaultParagraphFont"/>
    <w:link w:val="Header"/>
    <w:uiPriority w:val="99"/>
    <w:rsid w:val="007E7BA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E7BA5"/>
    <w:pPr>
      <w:tabs>
        <w:tab w:val="center" w:pos="4513"/>
        <w:tab w:val="right" w:pos="9026"/>
      </w:tabs>
    </w:pPr>
  </w:style>
  <w:style w:type="character" w:customStyle="1" w:styleId="FooterChar">
    <w:name w:val="Footer Char"/>
    <w:basedOn w:val="DefaultParagraphFont"/>
    <w:link w:val="Footer"/>
    <w:uiPriority w:val="99"/>
    <w:rsid w:val="007E7BA5"/>
    <w:rPr>
      <w:rFonts w:ascii="Times New Roman" w:eastAsia="Times New Roman" w:hAnsi="Times New Roman" w:cs="Times New Roman"/>
      <w:sz w:val="24"/>
      <w:szCs w:val="24"/>
      <w:lang w:eastAsia="en-GB"/>
    </w:rPr>
  </w:style>
  <w:style w:type="paragraph" w:styleId="NoSpacing">
    <w:name w:val="No Spacing"/>
    <w:uiPriority w:val="1"/>
    <w:qFormat/>
    <w:rsid w:val="00B62840"/>
    <w:pPr>
      <w:spacing w:after="0" w:line="240" w:lineRule="auto"/>
    </w:pPr>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B132A6"/>
    <w:rPr>
      <w:sz w:val="16"/>
      <w:szCs w:val="16"/>
    </w:rPr>
  </w:style>
  <w:style w:type="paragraph" w:styleId="CommentText">
    <w:name w:val="annotation text"/>
    <w:basedOn w:val="Normal"/>
    <w:link w:val="CommentTextChar"/>
    <w:uiPriority w:val="99"/>
    <w:semiHidden/>
    <w:unhideWhenUsed/>
    <w:rsid w:val="00B132A6"/>
    <w:rPr>
      <w:sz w:val="20"/>
      <w:szCs w:val="20"/>
    </w:rPr>
  </w:style>
  <w:style w:type="character" w:customStyle="1" w:styleId="CommentTextChar">
    <w:name w:val="Comment Text Char"/>
    <w:basedOn w:val="DefaultParagraphFont"/>
    <w:link w:val="CommentText"/>
    <w:uiPriority w:val="99"/>
    <w:semiHidden/>
    <w:rsid w:val="00B132A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132A6"/>
    <w:rPr>
      <w:b/>
      <w:bCs/>
    </w:rPr>
  </w:style>
  <w:style w:type="character" w:customStyle="1" w:styleId="CommentSubjectChar">
    <w:name w:val="Comment Subject Char"/>
    <w:basedOn w:val="CommentTextChar"/>
    <w:link w:val="CommentSubject"/>
    <w:uiPriority w:val="99"/>
    <w:semiHidden/>
    <w:rsid w:val="00B132A6"/>
    <w:rPr>
      <w:rFonts w:ascii="Times New Roman" w:eastAsia="Times New Roman" w:hAnsi="Times New Roman" w:cs="Times New Roman"/>
      <w:b/>
      <w:bCs/>
      <w:sz w:val="20"/>
      <w:szCs w:val="20"/>
      <w:lang w:eastAsia="en-GB"/>
    </w:rPr>
  </w:style>
  <w:style w:type="table" w:styleId="TableGrid">
    <w:name w:val="Table Grid"/>
    <w:basedOn w:val="TableNormal"/>
    <w:uiPriority w:val="59"/>
    <w:rsid w:val="00565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E78D4"/>
    <w:pPr>
      <w:spacing w:after="120"/>
    </w:pPr>
  </w:style>
  <w:style w:type="character" w:customStyle="1" w:styleId="BodyTextChar">
    <w:name w:val="Body Text Char"/>
    <w:basedOn w:val="DefaultParagraphFont"/>
    <w:link w:val="BodyText"/>
    <w:uiPriority w:val="99"/>
    <w:semiHidden/>
    <w:rsid w:val="008E78D4"/>
    <w:rPr>
      <w:rFonts w:ascii="Times New Roman" w:eastAsia="Times New Roman" w:hAnsi="Times New Roman" w:cs="Times New Roman"/>
      <w:sz w:val="24"/>
      <w:szCs w:val="24"/>
      <w:lang w:eastAsia="en-GB"/>
    </w:rPr>
  </w:style>
  <w:style w:type="table" w:styleId="LightShading-Accent1">
    <w:name w:val="Light Shading Accent 1"/>
    <w:basedOn w:val="TableNormal"/>
    <w:uiPriority w:val="60"/>
    <w:rsid w:val="0087132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D0539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AA24C1"/>
    <w:pPr>
      <w:autoSpaceDE w:val="0"/>
      <w:autoSpaceDN w:val="0"/>
      <w:adjustRightInd w:val="0"/>
      <w:spacing w:after="0" w:line="240" w:lineRule="auto"/>
    </w:pPr>
    <w:rPr>
      <w:rFonts w:ascii="Segoe UI" w:hAnsi="Segoe UI" w:cs="Segoe UI"/>
      <w:color w:val="000000"/>
      <w:sz w:val="24"/>
      <w:szCs w:val="24"/>
    </w:rPr>
  </w:style>
  <w:style w:type="character" w:customStyle="1" w:styleId="y0nh2b">
    <w:name w:val="y0nh2b"/>
    <w:basedOn w:val="DefaultParagraphFont"/>
    <w:rsid w:val="00BD4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598">
      <w:bodyDiv w:val="1"/>
      <w:marLeft w:val="0"/>
      <w:marRight w:val="0"/>
      <w:marTop w:val="0"/>
      <w:marBottom w:val="0"/>
      <w:divBdr>
        <w:top w:val="none" w:sz="0" w:space="0" w:color="auto"/>
        <w:left w:val="none" w:sz="0" w:space="0" w:color="auto"/>
        <w:bottom w:val="none" w:sz="0" w:space="0" w:color="auto"/>
        <w:right w:val="none" w:sz="0" w:space="0" w:color="auto"/>
      </w:divBdr>
    </w:div>
    <w:div w:id="44137435">
      <w:bodyDiv w:val="1"/>
      <w:marLeft w:val="0"/>
      <w:marRight w:val="0"/>
      <w:marTop w:val="0"/>
      <w:marBottom w:val="0"/>
      <w:divBdr>
        <w:top w:val="none" w:sz="0" w:space="0" w:color="auto"/>
        <w:left w:val="none" w:sz="0" w:space="0" w:color="auto"/>
        <w:bottom w:val="none" w:sz="0" w:space="0" w:color="auto"/>
        <w:right w:val="none" w:sz="0" w:space="0" w:color="auto"/>
      </w:divBdr>
    </w:div>
    <w:div w:id="139425632">
      <w:bodyDiv w:val="1"/>
      <w:marLeft w:val="0"/>
      <w:marRight w:val="0"/>
      <w:marTop w:val="0"/>
      <w:marBottom w:val="0"/>
      <w:divBdr>
        <w:top w:val="none" w:sz="0" w:space="0" w:color="auto"/>
        <w:left w:val="none" w:sz="0" w:space="0" w:color="auto"/>
        <w:bottom w:val="none" w:sz="0" w:space="0" w:color="auto"/>
        <w:right w:val="none" w:sz="0" w:space="0" w:color="auto"/>
      </w:divBdr>
    </w:div>
    <w:div w:id="186138398">
      <w:bodyDiv w:val="1"/>
      <w:marLeft w:val="0"/>
      <w:marRight w:val="0"/>
      <w:marTop w:val="0"/>
      <w:marBottom w:val="0"/>
      <w:divBdr>
        <w:top w:val="none" w:sz="0" w:space="0" w:color="auto"/>
        <w:left w:val="none" w:sz="0" w:space="0" w:color="auto"/>
        <w:bottom w:val="none" w:sz="0" w:space="0" w:color="auto"/>
        <w:right w:val="none" w:sz="0" w:space="0" w:color="auto"/>
      </w:divBdr>
    </w:div>
    <w:div w:id="216283484">
      <w:bodyDiv w:val="1"/>
      <w:marLeft w:val="0"/>
      <w:marRight w:val="0"/>
      <w:marTop w:val="0"/>
      <w:marBottom w:val="0"/>
      <w:divBdr>
        <w:top w:val="none" w:sz="0" w:space="0" w:color="auto"/>
        <w:left w:val="none" w:sz="0" w:space="0" w:color="auto"/>
        <w:bottom w:val="none" w:sz="0" w:space="0" w:color="auto"/>
        <w:right w:val="none" w:sz="0" w:space="0" w:color="auto"/>
      </w:divBdr>
    </w:div>
    <w:div w:id="287978150">
      <w:bodyDiv w:val="1"/>
      <w:marLeft w:val="0"/>
      <w:marRight w:val="0"/>
      <w:marTop w:val="0"/>
      <w:marBottom w:val="0"/>
      <w:divBdr>
        <w:top w:val="none" w:sz="0" w:space="0" w:color="auto"/>
        <w:left w:val="none" w:sz="0" w:space="0" w:color="auto"/>
        <w:bottom w:val="none" w:sz="0" w:space="0" w:color="auto"/>
        <w:right w:val="none" w:sz="0" w:space="0" w:color="auto"/>
      </w:divBdr>
    </w:div>
    <w:div w:id="289943376">
      <w:bodyDiv w:val="1"/>
      <w:marLeft w:val="0"/>
      <w:marRight w:val="0"/>
      <w:marTop w:val="0"/>
      <w:marBottom w:val="0"/>
      <w:divBdr>
        <w:top w:val="none" w:sz="0" w:space="0" w:color="auto"/>
        <w:left w:val="none" w:sz="0" w:space="0" w:color="auto"/>
        <w:bottom w:val="none" w:sz="0" w:space="0" w:color="auto"/>
        <w:right w:val="none" w:sz="0" w:space="0" w:color="auto"/>
      </w:divBdr>
    </w:div>
    <w:div w:id="290207293">
      <w:bodyDiv w:val="1"/>
      <w:marLeft w:val="0"/>
      <w:marRight w:val="0"/>
      <w:marTop w:val="0"/>
      <w:marBottom w:val="0"/>
      <w:divBdr>
        <w:top w:val="none" w:sz="0" w:space="0" w:color="auto"/>
        <w:left w:val="none" w:sz="0" w:space="0" w:color="auto"/>
        <w:bottom w:val="none" w:sz="0" w:space="0" w:color="auto"/>
        <w:right w:val="none" w:sz="0" w:space="0" w:color="auto"/>
      </w:divBdr>
    </w:div>
    <w:div w:id="368260105">
      <w:bodyDiv w:val="1"/>
      <w:marLeft w:val="0"/>
      <w:marRight w:val="0"/>
      <w:marTop w:val="0"/>
      <w:marBottom w:val="0"/>
      <w:divBdr>
        <w:top w:val="none" w:sz="0" w:space="0" w:color="auto"/>
        <w:left w:val="none" w:sz="0" w:space="0" w:color="auto"/>
        <w:bottom w:val="none" w:sz="0" w:space="0" w:color="auto"/>
        <w:right w:val="none" w:sz="0" w:space="0" w:color="auto"/>
      </w:divBdr>
    </w:div>
    <w:div w:id="481655779">
      <w:bodyDiv w:val="1"/>
      <w:marLeft w:val="0"/>
      <w:marRight w:val="0"/>
      <w:marTop w:val="0"/>
      <w:marBottom w:val="0"/>
      <w:divBdr>
        <w:top w:val="none" w:sz="0" w:space="0" w:color="auto"/>
        <w:left w:val="none" w:sz="0" w:space="0" w:color="auto"/>
        <w:bottom w:val="none" w:sz="0" w:space="0" w:color="auto"/>
        <w:right w:val="none" w:sz="0" w:space="0" w:color="auto"/>
      </w:divBdr>
    </w:div>
    <w:div w:id="488987245">
      <w:bodyDiv w:val="1"/>
      <w:marLeft w:val="0"/>
      <w:marRight w:val="0"/>
      <w:marTop w:val="0"/>
      <w:marBottom w:val="0"/>
      <w:divBdr>
        <w:top w:val="none" w:sz="0" w:space="0" w:color="auto"/>
        <w:left w:val="none" w:sz="0" w:space="0" w:color="auto"/>
        <w:bottom w:val="none" w:sz="0" w:space="0" w:color="auto"/>
        <w:right w:val="none" w:sz="0" w:space="0" w:color="auto"/>
      </w:divBdr>
    </w:div>
    <w:div w:id="533275635">
      <w:bodyDiv w:val="1"/>
      <w:marLeft w:val="0"/>
      <w:marRight w:val="0"/>
      <w:marTop w:val="0"/>
      <w:marBottom w:val="0"/>
      <w:divBdr>
        <w:top w:val="none" w:sz="0" w:space="0" w:color="auto"/>
        <w:left w:val="none" w:sz="0" w:space="0" w:color="auto"/>
        <w:bottom w:val="none" w:sz="0" w:space="0" w:color="auto"/>
        <w:right w:val="none" w:sz="0" w:space="0" w:color="auto"/>
      </w:divBdr>
      <w:divsChild>
        <w:div w:id="804086928">
          <w:marLeft w:val="547"/>
          <w:marRight w:val="0"/>
          <w:marTop w:val="130"/>
          <w:marBottom w:val="0"/>
          <w:divBdr>
            <w:top w:val="none" w:sz="0" w:space="0" w:color="auto"/>
            <w:left w:val="none" w:sz="0" w:space="0" w:color="auto"/>
            <w:bottom w:val="none" w:sz="0" w:space="0" w:color="auto"/>
            <w:right w:val="none" w:sz="0" w:space="0" w:color="auto"/>
          </w:divBdr>
        </w:div>
      </w:divsChild>
    </w:div>
    <w:div w:id="589311959">
      <w:bodyDiv w:val="1"/>
      <w:marLeft w:val="0"/>
      <w:marRight w:val="0"/>
      <w:marTop w:val="0"/>
      <w:marBottom w:val="0"/>
      <w:divBdr>
        <w:top w:val="none" w:sz="0" w:space="0" w:color="auto"/>
        <w:left w:val="none" w:sz="0" w:space="0" w:color="auto"/>
        <w:bottom w:val="none" w:sz="0" w:space="0" w:color="auto"/>
        <w:right w:val="none" w:sz="0" w:space="0" w:color="auto"/>
      </w:divBdr>
    </w:div>
    <w:div w:id="652569337">
      <w:bodyDiv w:val="1"/>
      <w:marLeft w:val="0"/>
      <w:marRight w:val="0"/>
      <w:marTop w:val="0"/>
      <w:marBottom w:val="0"/>
      <w:divBdr>
        <w:top w:val="none" w:sz="0" w:space="0" w:color="auto"/>
        <w:left w:val="none" w:sz="0" w:space="0" w:color="auto"/>
        <w:bottom w:val="none" w:sz="0" w:space="0" w:color="auto"/>
        <w:right w:val="none" w:sz="0" w:space="0" w:color="auto"/>
      </w:divBdr>
    </w:div>
    <w:div w:id="670064015">
      <w:bodyDiv w:val="1"/>
      <w:marLeft w:val="0"/>
      <w:marRight w:val="0"/>
      <w:marTop w:val="0"/>
      <w:marBottom w:val="0"/>
      <w:divBdr>
        <w:top w:val="none" w:sz="0" w:space="0" w:color="auto"/>
        <w:left w:val="none" w:sz="0" w:space="0" w:color="auto"/>
        <w:bottom w:val="none" w:sz="0" w:space="0" w:color="auto"/>
        <w:right w:val="none" w:sz="0" w:space="0" w:color="auto"/>
      </w:divBdr>
    </w:div>
    <w:div w:id="746532097">
      <w:bodyDiv w:val="1"/>
      <w:marLeft w:val="0"/>
      <w:marRight w:val="0"/>
      <w:marTop w:val="0"/>
      <w:marBottom w:val="0"/>
      <w:divBdr>
        <w:top w:val="none" w:sz="0" w:space="0" w:color="auto"/>
        <w:left w:val="none" w:sz="0" w:space="0" w:color="auto"/>
        <w:bottom w:val="none" w:sz="0" w:space="0" w:color="auto"/>
        <w:right w:val="none" w:sz="0" w:space="0" w:color="auto"/>
      </w:divBdr>
    </w:div>
    <w:div w:id="765805802">
      <w:bodyDiv w:val="1"/>
      <w:marLeft w:val="0"/>
      <w:marRight w:val="0"/>
      <w:marTop w:val="0"/>
      <w:marBottom w:val="0"/>
      <w:divBdr>
        <w:top w:val="none" w:sz="0" w:space="0" w:color="auto"/>
        <w:left w:val="none" w:sz="0" w:space="0" w:color="auto"/>
        <w:bottom w:val="none" w:sz="0" w:space="0" w:color="auto"/>
        <w:right w:val="none" w:sz="0" w:space="0" w:color="auto"/>
      </w:divBdr>
    </w:div>
    <w:div w:id="911431035">
      <w:bodyDiv w:val="1"/>
      <w:marLeft w:val="0"/>
      <w:marRight w:val="0"/>
      <w:marTop w:val="0"/>
      <w:marBottom w:val="0"/>
      <w:divBdr>
        <w:top w:val="none" w:sz="0" w:space="0" w:color="auto"/>
        <w:left w:val="none" w:sz="0" w:space="0" w:color="auto"/>
        <w:bottom w:val="none" w:sz="0" w:space="0" w:color="auto"/>
        <w:right w:val="none" w:sz="0" w:space="0" w:color="auto"/>
      </w:divBdr>
    </w:div>
    <w:div w:id="913127423">
      <w:bodyDiv w:val="1"/>
      <w:marLeft w:val="0"/>
      <w:marRight w:val="0"/>
      <w:marTop w:val="0"/>
      <w:marBottom w:val="0"/>
      <w:divBdr>
        <w:top w:val="none" w:sz="0" w:space="0" w:color="auto"/>
        <w:left w:val="none" w:sz="0" w:space="0" w:color="auto"/>
        <w:bottom w:val="none" w:sz="0" w:space="0" w:color="auto"/>
        <w:right w:val="none" w:sz="0" w:space="0" w:color="auto"/>
      </w:divBdr>
    </w:div>
    <w:div w:id="956371595">
      <w:bodyDiv w:val="1"/>
      <w:marLeft w:val="0"/>
      <w:marRight w:val="0"/>
      <w:marTop w:val="0"/>
      <w:marBottom w:val="0"/>
      <w:divBdr>
        <w:top w:val="none" w:sz="0" w:space="0" w:color="auto"/>
        <w:left w:val="none" w:sz="0" w:space="0" w:color="auto"/>
        <w:bottom w:val="none" w:sz="0" w:space="0" w:color="auto"/>
        <w:right w:val="none" w:sz="0" w:space="0" w:color="auto"/>
      </w:divBdr>
    </w:div>
    <w:div w:id="991710881">
      <w:bodyDiv w:val="1"/>
      <w:marLeft w:val="0"/>
      <w:marRight w:val="0"/>
      <w:marTop w:val="0"/>
      <w:marBottom w:val="0"/>
      <w:divBdr>
        <w:top w:val="none" w:sz="0" w:space="0" w:color="auto"/>
        <w:left w:val="none" w:sz="0" w:space="0" w:color="auto"/>
        <w:bottom w:val="none" w:sz="0" w:space="0" w:color="auto"/>
        <w:right w:val="none" w:sz="0" w:space="0" w:color="auto"/>
      </w:divBdr>
    </w:div>
    <w:div w:id="1059595230">
      <w:bodyDiv w:val="1"/>
      <w:marLeft w:val="0"/>
      <w:marRight w:val="0"/>
      <w:marTop w:val="0"/>
      <w:marBottom w:val="0"/>
      <w:divBdr>
        <w:top w:val="none" w:sz="0" w:space="0" w:color="auto"/>
        <w:left w:val="none" w:sz="0" w:space="0" w:color="auto"/>
        <w:bottom w:val="none" w:sz="0" w:space="0" w:color="auto"/>
        <w:right w:val="none" w:sz="0" w:space="0" w:color="auto"/>
      </w:divBdr>
    </w:div>
    <w:div w:id="1081487612">
      <w:bodyDiv w:val="1"/>
      <w:marLeft w:val="0"/>
      <w:marRight w:val="0"/>
      <w:marTop w:val="0"/>
      <w:marBottom w:val="0"/>
      <w:divBdr>
        <w:top w:val="none" w:sz="0" w:space="0" w:color="auto"/>
        <w:left w:val="none" w:sz="0" w:space="0" w:color="auto"/>
        <w:bottom w:val="none" w:sz="0" w:space="0" w:color="auto"/>
        <w:right w:val="none" w:sz="0" w:space="0" w:color="auto"/>
      </w:divBdr>
    </w:div>
    <w:div w:id="1092706947">
      <w:bodyDiv w:val="1"/>
      <w:marLeft w:val="0"/>
      <w:marRight w:val="0"/>
      <w:marTop w:val="0"/>
      <w:marBottom w:val="0"/>
      <w:divBdr>
        <w:top w:val="none" w:sz="0" w:space="0" w:color="auto"/>
        <w:left w:val="none" w:sz="0" w:space="0" w:color="auto"/>
        <w:bottom w:val="none" w:sz="0" w:space="0" w:color="auto"/>
        <w:right w:val="none" w:sz="0" w:space="0" w:color="auto"/>
      </w:divBdr>
    </w:div>
    <w:div w:id="1134252462">
      <w:bodyDiv w:val="1"/>
      <w:marLeft w:val="0"/>
      <w:marRight w:val="0"/>
      <w:marTop w:val="0"/>
      <w:marBottom w:val="0"/>
      <w:divBdr>
        <w:top w:val="none" w:sz="0" w:space="0" w:color="auto"/>
        <w:left w:val="none" w:sz="0" w:space="0" w:color="auto"/>
        <w:bottom w:val="none" w:sz="0" w:space="0" w:color="auto"/>
        <w:right w:val="none" w:sz="0" w:space="0" w:color="auto"/>
      </w:divBdr>
    </w:div>
    <w:div w:id="1246838291">
      <w:bodyDiv w:val="1"/>
      <w:marLeft w:val="0"/>
      <w:marRight w:val="0"/>
      <w:marTop w:val="0"/>
      <w:marBottom w:val="0"/>
      <w:divBdr>
        <w:top w:val="none" w:sz="0" w:space="0" w:color="auto"/>
        <w:left w:val="none" w:sz="0" w:space="0" w:color="auto"/>
        <w:bottom w:val="none" w:sz="0" w:space="0" w:color="auto"/>
        <w:right w:val="none" w:sz="0" w:space="0" w:color="auto"/>
      </w:divBdr>
    </w:div>
    <w:div w:id="1349677207">
      <w:bodyDiv w:val="1"/>
      <w:marLeft w:val="0"/>
      <w:marRight w:val="0"/>
      <w:marTop w:val="0"/>
      <w:marBottom w:val="0"/>
      <w:divBdr>
        <w:top w:val="none" w:sz="0" w:space="0" w:color="auto"/>
        <w:left w:val="none" w:sz="0" w:space="0" w:color="auto"/>
        <w:bottom w:val="none" w:sz="0" w:space="0" w:color="auto"/>
        <w:right w:val="none" w:sz="0" w:space="0" w:color="auto"/>
      </w:divBdr>
    </w:div>
    <w:div w:id="1393501018">
      <w:bodyDiv w:val="1"/>
      <w:marLeft w:val="0"/>
      <w:marRight w:val="0"/>
      <w:marTop w:val="0"/>
      <w:marBottom w:val="0"/>
      <w:divBdr>
        <w:top w:val="none" w:sz="0" w:space="0" w:color="auto"/>
        <w:left w:val="none" w:sz="0" w:space="0" w:color="auto"/>
        <w:bottom w:val="none" w:sz="0" w:space="0" w:color="auto"/>
        <w:right w:val="none" w:sz="0" w:space="0" w:color="auto"/>
      </w:divBdr>
    </w:div>
    <w:div w:id="1435977440">
      <w:bodyDiv w:val="1"/>
      <w:marLeft w:val="0"/>
      <w:marRight w:val="0"/>
      <w:marTop w:val="0"/>
      <w:marBottom w:val="0"/>
      <w:divBdr>
        <w:top w:val="none" w:sz="0" w:space="0" w:color="auto"/>
        <w:left w:val="none" w:sz="0" w:space="0" w:color="auto"/>
        <w:bottom w:val="none" w:sz="0" w:space="0" w:color="auto"/>
        <w:right w:val="none" w:sz="0" w:space="0" w:color="auto"/>
      </w:divBdr>
    </w:div>
    <w:div w:id="1471481859">
      <w:bodyDiv w:val="1"/>
      <w:marLeft w:val="0"/>
      <w:marRight w:val="0"/>
      <w:marTop w:val="0"/>
      <w:marBottom w:val="0"/>
      <w:divBdr>
        <w:top w:val="none" w:sz="0" w:space="0" w:color="auto"/>
        <w:left w:val="none" w:sz="0" w:space="0" w:color="auto"/>
        <w:bottom w:val="none" w:sz="0" w:space="0" w:color="auto"/>
        <w:right w:val="none" w:sz="0" w:space="0" w:color="auto"/>
      </w:divBdr>
    </w:div>
    <w:div w:id="1486238026">
      <w:bodyDiv w:val="1"/>
      <w:marLeft w:val="0"/>
      <w:marRight w:val="0"/>
      <w:marTop w:val="0"/>
      <w:marBottom w:val="0"/>
      <w:divBdr>
        <w:top w:val="none" w:sz="0" w:space="0" w:color="auto"/>
        <w:left w:val="none" w:sz="0" w:space="0" w:color="auto"/>
        <w:bottom w:val="none" w:sz="0" w:space="0" w:color="auto"/>
        <w:right w:val="none" w:sz="0" w:space="0" w:color="auto"/>
      </w:divBdr>
    </w:div>
    <w:div w:id="1488328259">
      <w:bodyDiv w:val="1"/>
      <w:marLeft w:val="0"/>
      <w:marRight w:val="0"/>
      <w:marTop w:val="0"/>
      <w:marBottom w:val="0"/>
      <w:divBdr>
        <w:top w:val="none" w:sz="0" w:space="0" w:color="auto"/>
        <w:left w:val="none" w:sz="0" w:space="0" w:color="auto"/>
        <w:bottom w:val="none" w:sz="0" w:space="0" w:color="auto"/>
        <w:right w:val="none" w:sz="0" w:space="0" w:color="auto"/>
      </w:divBdr>
    </w:div>
    <w:div w:id="1515265248">
      <w:bodyDiv w:val="1"/>
      <w:marLeft w:val="0"/>
      <w:marRight w:val="0"/>
      <w:marTop w:val="0"/>
      <w:marBottom w:val="0"/>
      <w:divBdr>
        <w:top w:val="none" w:sz="0" w:space="0" w:color="auto"/>
        <w:left w:val="none" w:sz="0" w:space="0" w:color="auto"/>
        <w:bottom w:val="none" w:sz="0" w:space="0" w:color="auto"/>
        <w:right w:val="none" w:sz="0" w:space="0" w:color="auto"/>
      </w:divBdr>
    </w:div>
    <w:div w:id="1560938807">
      <w:bodyDiv w:val="1"/>
      <w:marLeft w:val="0"/>
      <w:marRight w:val="0"/>
      <w:marTop w:val="0"/>
      <w:marBottom w:val="0"/>
      <w:divBdr>
        <w:top w:val="none" w:sz="0" w:space="0" w:color="auto"/>
        <w:left w:val="none" w:sz="0" w:space="0" w:color="auto"/>
        <w:bottom w:val="none" w:sz="0" w:space="0" w:color="auto"/>
        <w:right w:val="none" w:sz="0" w:space="0" w:color="auto"/>
      </w:divBdr>
    </w:div>
    <w:div w:id="1571188914">
      <w:bodyDiv w:val="1"/>
      <w:marLeft w:val="0"/>
      <w:marRight w:val="0"/>
      <w:marTop w:val="0"/>
      <w:marBottom w:val="0"/>
      <w:divBdr>
        <w:top w:val="none" w:sz="0" w:space="0" w:color="auto"/>
        <w:left w:val="none" w:sz="0" w:space="0" w:color="auto"/>
        <w:bottom w:val="none" w:sz="0" w:space="0" w:color="auto"/>
        <w:right w:val="none" w:sz="0" w:space="0" w:color="auto"/>
      </w:divBdr>
    </w:div>
    <w:div w:id="1640306826">
      <w:bodyDiv w:val="1"/>
      <w:marLeft w:val="0"/>
      <w:marRight w:val="0"/>
      <w:marTop w:val="0"/>
      <w:marBottom w:val="0"/>
      <w:divBdr>
        <w:top w:val="none" w:sz="0" w:space="0" w:color="auto"/>
        <w:left w:val="none" w:sz="0" w:space="0" w:color="auto"/>
        <w:bottom w:val="none" w:sz="0" w:space="0" w:color="auto"/>
        <w:right w:val="none" w:sz="0" w:space="0" w:color="auto"/>
      </w:divBdr>
    </w:div>
    <w:div w:id="1664622822">
      <w:bodyDiv w:val="1"/>
      <w:marLeft w:val="0"/>
      <w:marRight w:val="0"/>
      <w:marTop w:val="0"/>
      <w:marBottom w:val="0"/>
      <w:divBdr>
        <w:top w:val="none" w:sz="0" w:space="0" w:color="auto"/>
        <w:left w:val="none" w:sz="0" w:space="0" w:color="auto"/>
        <w:bottom w:val="none" w:sz="0" w:space="0" w:color="auto"/>
        <w:right w:val="none" w:sz="0" w:space="0" w:color="auto"/>
      </w:divBdr>
    </w:div>
    <w:div w:id="1732583652">
      <w:bodyDiv w:val="1"/>
      <w:marLeft w:val="0"/>
      <w:marRight w:val="0"/>
      <w:marTop w:val="0"/>
      <w:marBottom w:val="0"/>
      <w:divBdr>
        <w:top w:val="none" w:sz="0" w:space="0" w:color="auto"/>
        <w:left w:val="none" w:sz="0" w:space="0" w:color="auto"/>
        <w:bottom w:val="none" w:sz="0" w:space="0" w:color="auto"/>
        <w:right w:val="none" w:sz="0" w:space="0" w:color="auto"/>
      </w:divBdr>
    </w:div>
    <w:div w:id="1760105337">
      <w:bodyDiv w:val="1"/>
      <w:marLeft w:val="0"/>
      <w:marRight w:val="0"/>
      <w:marTop w:val="0"/>
      <w:marBottom w:val="0"/>
      <w:divBdr>
        <w:top w:val="none" w:sz="0" w:space="0" w:color="auto"/>
        <w:left w:val="none" w:sz="0" w:space="0" w:color="auto"/>
        <w:bottom w:val="none" w:sz="0" w:space="0" w:color="auto"/>
        <w:right w:val="none" w:sz="0" w:space="0" w:color="auto"/>
      </w:divBdr>
    </w:div>
    <w:div w:id="1764495212">
      <w:bodyDiv w:val="1"/>
      <w:marLeft w:val="0"/>
      <w:marRight w:val="0"/>
      <w:marTop w:val="0"/>
      <w:marBottom w:val="0"/>
      <w:divBdr>
        <w:top w:val="none" w:sz="0" w:space="0" w:color="auto"/>
        <w:left w:val="none" w:sz="0" w:space="0" w:color="auto"/>
        <w:bottom w:val="none" w:sz="0" w:space="0" w:color="auto"/>
        <w:right w:val="none" w:sz="0" w:space="0" w:color="auto"/>
      </w:divBdr>
    </w:div>
    <w:div w:id="1765950925">
      <w:bodyDiv w:val="1"/>
      <w:marLeft w:val="0"/>
      <w:marRight w:val="0"/>
      <w:marTop w:val="0"/>
      <w:marBottom w:val="0"/>
      <w:divBdr>
        <w:top w:val="none" w:sz="0" w:space="0" w:color="auto"/>
        <w:left w:val="none" w:sz="0" w:space="0" w:color="auto"/>
        <w:bottom w:val="none" w:sz="0" w:space="0" w:color="auto"/>
        <w:right w:val="none" w:sz="0" w:space="0" w:color="auto"/>
      </w:divBdr>
    </w:div>
    <w:div w:id="1788085479">
      <w:bodyDiv w:val="1"/>
      <w:marLeft w:val="0"/>
      <w:marRight w:val="0"/>
      <w:marTop w:val="0"/>
      <w:marBottom w:val="0"/>
      <w:divBdr>
        <w:top w:val="none" w:sz="0" w:space="0" w:color="auto"/>
        <w:left w:val="none" w:sz="0" w:space="0" w:color="auto"/>
        <w:bottom w:val="none" w:sz="0" w:space="0" w:color="auto"/>
        <w:right w:val="none" w:sz="0" w:space="0" w:color="auto"/>
      </w:divBdr>
    </w:div>
    <w:div w:id="2006473687">
      <w:bodyDiv w:val="1"/>
      <w:marLeft w:val="0"/>
      <w:marRight w:val="0"/>
      <w:marTop w:val="0"/>
      <w:marBottom w:val="0"/>
      <w:divBdr>
        <w:top w:val="none" w:sz="0" w:space="0" w:color="auto"/>
        <w:left w:val="none" w:sz="0" w:space="0" w:color="auto"/>
        <w:bottom w:val="none" w:sz="0" w:space="0" w:color="auto"/>
        <w:right w:val="none" w:sz="0" w:space="0" w:color="auto"/>
      </w:divBdr>
    </w:div>
    <w:div w:id="2043246086">
      <w:bodyDiv w:val="1"/>
      <w:marLeft w:val="0"/>
      <w:marRight w:val="0"/>
      <w:marTop w:val="0"/>
      <w:marBottom w:val="0"/>
      <w:divBdr>
        <w:top w:val="none" w:sz="0" w:space="0" w:color="auto"/>
        <w:left w:val="none" w:sz="0" w:space="0" w:color="auto"/>
        <w:bottom w:val="none" w:sz="0" w:space="0" w:color="auto"/>
        <w:right w:val="none" w:sz="0" w:space="0" w:color="auto"/>
      </w:divBdr>
    </w:div>
    <w:div w:id="2060010118">
      <w:bodyDiv w:val="1"/>
      <w:marLeft w:val="0"/>
      <w:marRight w:val="0"/>
      <w:marTop w:val="0"/>
      <w:marBottom w:val="0"/>
      <w:divBdr>
        <w:top w:val="none" w:sz="0" w:space="0" w:color="auto"/>
        <w:left w:val="none" w:sz="0" w:space="0" w:color="auto"/>
        <w:bottom w:val="none" w:sz="0" w:space="0" w:color="auto"/>
        <w:right w:val="none" w:sz="0" w:space="0" w:color="auto"/>
      </w:divBdr>
    </w:div>
    <w:div w:id="20889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590DF-65C1-4DFF-8183-AA07F156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6177</Words>
  <Characters>35210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41305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Forder Charlotte (RNU) Oxford Health</dc:creator>
  <cp:keywords/>
  <dc:description/>
  <cp:lastModifiedBy>Smith Hannah (RNU) Oxford Health</cp:lastModifiedBy>
  <cp:revision>3</cp:revision>
  <cp:lastPrinted>2017-07-18T13:35:00Z</cp:lastPrinted>
  <dcterms:created xsi:type="dcterms:W3CDTF">2018-10-04T16:04:00Z</dcterms:created>
  <dcterms:modified xsi:type="dcterms:W3CDTF">2018-10-04T18:58:00Z</dcterms:modified>
</cp:coreProperties>
</file>