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5C2C6E" w:rsidRDefault="007B6D77" w:rsidP="0086436B">
      <w:pPr>
        <w:ind w:right="-900"/>
        <w:jc w:val="right"/>
        <w:rPr>
          <w:rFonts w:ascii="Segoe UI" w:hAnsi="Segoe UI" w:cs="Segoe UI"/>
          <w:lang w:val="en-GB"/>
        </w:rPr>
      </w:pPr>
      <w:r w:rsidRPr="005C2C6E">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5C2C6E" w:rsidRDefault="005D3499" w:rsidP="007B02FB">
      <w:pPr>
        <w:pStyle w:val="Heading1"/>
        <w:rPr>
          <w:rFonts w:ascii="Segoe UI" w:hAnsi="Segoe UI" w:cs="Segoe UI"/>
          <w:sz w:val="28"/>
          <w:u w:val="none"/>
        </w:rPr>
      </w:pPr>
    </w:p>
    <w:p w:rsidR="005E2583" w:rsidRPr="005C2C6E" w:rsidRDefault="00E60D96">
      <w:pPr>
        <w:pStyle w:val="Heading1"/>
        <w:jc w:val="center"/>
        <w:rPr>
          <w:rFonts w:ascii="Segoe UI" w:hAnsi="Segoe UI" w:cs="Segoe UI"/>
          <w:sz w:val="28"/>
          <w:u w:val="none"/>
        </w:rPr>
      </w:pPr>
      <w:r w:rsidRPr="005C2C6E">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503D2E" w:rsidRDefault="00766230">
                            <w:pPr>
                              <w:jc w:val="center"/>
                              <w:rPr>
                                <w:rFonts w:ascii="Segoe UI" w:hAnsi="Segoe UI" w:cs="Segoe UI"/>
                              </w:rPr>
                            </w:pPr>
                            <w:r w:rsidRPr="00503D2E">
                              <w:rPr>
                                <w:rFonts w:ascii="Segoe UI" w:hAnsi="Segoe UI" w:cs="Segoe UI"/>
                                <w:b/>
                              </w:rPr>
                              <w:t>C</w:t>
                            </w:r>
                            <w:r w:rsidR="00342219" w:rsidRPr="00503D2E">
                              <w:rPr>
                                <w:rFonts w:ascii="Segoe UI" w:hAnsi="Segoe UI" w:cs="Segoe UI"/>
                                <w:b/>
                              </w:rPr>
                              <w:t>G</w:t>
                            </w:r>
                            <w:r w:rsidR="006C265F">
                              <w:rPr>
                                <w:rFonts w:ascii="Segoe UI" w:hAnsi="Segoe UI" w:cs="Segoe UI"/>
                                <w:b/>
                              </w:rPr>
                              <w:t xml:space="preserve"> 26</w:t>
                            </w:r>
                            <w:r w:rsidR="00503D2E" w:rsidRPr="00503D2E">
                              <w:rPr>
                                <w:rFonts w:ascii="Segoe UI" w:hAnsi="Segoe UI" w:cs="Segoe UI"/>
                                <w:b/>
                              </w:rPr>
                              <w:t>/18</w:t>
                            </w:r>
                            <w:r w:rsidRPr="00503D2E">
                              <w:rPr>
                                <w:rFonts w:ascii="Segoe UI" w:hAnsi="Segoe UI" w:cs="Segoe UI"/>
                                <w:b/>
                              </w:rPr>
                              <w:t xml:space="preserve"> </w:t>
                            </w:r>
                          </w:p>
                          <w:p w:rsidR="00FA3993" w:rsidRPr="00FA3993" w:rsidRDefault="00766230">
                            <w:pPr>
                              <w:jc w:val="center"/>
                              <w:rPr>
                                <w:rFonts w:ascii="Segoe UI" w:hAnsi="Segoe UI" w:cs="Segoe UI"/>
                                <w:sz w:val="22"/>
                                <w:szCs w:val="22"/>
                              </w:rPr>
                            </w:pPr>
                            <w:r w:rsidRPr="00503D2E">
                              <w:rPr>
                                <w:rFonts w:ascii="Segoe UI" w:hAnsi="Segoe UI" w:cs="Segoe UI"/>
                                <w:sz w:val="22"/>
                                <w:szCs w:val="22"/>
                              </w:rPr>
                              <w:t>(Agenda item</w:t>
                            </w:r>
                            <w:r w:rsidR="0022259D" w:rsidRPr="00503D2E">
                              <w:rPr>
                                <w:rFonts w:ascii="Segoe UI" w:hAnsi="Segoe UI" w:cs="Segoe UI"/>
                                <w:sz w:val="22"/>
                                <w:szCs w:val="22"/>
                              </w:rPr>
                              <w:t>:</w:t>
                            </w:r>
                            <w:r w:rsidR="00503D2E" w:rsidRPr="00503D2E">
                              <w:rPr>
                                <w:rFonts w:ascii="Segoe UI" w:hAnsi="Segoe UI" w:cs="Segoe UI"/>
                                <w:sz w:val="22"/>
                                <w:szCs w:val="22"/>
                              </w:rPr>
                              <w:t xml:space="preserve"> 12</w:t>
                            </w:r>
                            <w:r w:rsidR="00FA3993" w:rsidRPr="00503D2E">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503D2E" w:rsidRDefault="00766230">
                      <w:pPr>
                        <w:jc w:val="center"/>
                        <w:rPr>
                          <w:rFonts w:ascii="Segoe UI" w:hAnsi="Segoe UI" w:cs="Segoe UI"/>
                        </w:rPr>
                      </w:pPr>
                      <w:r w:rsidRPr="00503D2E">
                        <w:rPr>
                          <w:rFonts w:ascii="Segoe UI" w:hAnsi="Segoe UI" w:cs="Segoe UI"/>
                          <w:b/>
                        </w:rPr>
                        <w:t>C</w:t>
                      </w:r>
                      <w:r w:rsidR="00342219" w:rsidRPr="00503D2E">
                        <w:rPr>
                          <w:rFonts w:ascii="Segoe UI" w:hAnsi="Segoe UI" w:cs="Segoe UI"/>
                          <w:b/>
                        </w:rPr>
                        <w:t>G</w:t>
                      </w:r>
                      <w:r w:rsidR="006C265F">
                        <w:rPr>
                          <w:rFonts w:ascii="Segoe UI" w:hAnsi="Segoe UI" w:cs="Segoe UI"/>
                          <w:b/>
                        </w:rPr>
                        <w:t xml:space="preserve"> 26</w:t>
                      </w:r>
                      <w:r w:rsidR="00503D2E" w:rsidRPr="00503D2E">
                        <w:rPr>
                          <w:rFonts w:ascii="Segoe UI" w:hAnsi="Segoe UI" w:cs="Segoe UI"/>
                          <w:b/>
                        </w:rPr>
                        <w:t>/18</w:t>
                      </w:r>
                      <w:r w:rsidRPr="00503D2E">
                        <w:rPr>
                          <w:rFonts w:ascii="Segoe UI" w:hAnsi="Segoe UI" w:cs="Segoe UI"/>
                          <w:b/>
                        </w:rPr>
                        <w:t xml:space="preserve"> </w:t>
                      </w:r>
                    </w:p>
                    <w:p w:rsidR="00FA3993" w:rsidRPr="00FA3993" w:rsidRDefault="00766230">
                      <w:pPr>
                        <w:jc w:val="center"/>
                        <w:rPr>
                          <w:rFonts w:ascii="Segoe UI" w:hAnsi="Segoe UI" w:cs="Segoe UI"/>
                          <w:sz w:val="22"/>
                          <w:szCs w:val="22"/>
                        </w:rPr>
                      </w:pPr>
                      <w:r w:rsidRPr="00503D2E">
                        <w:rPr>
                          <w:rFonts w:ascii="Segoe UI" w:hAnsi="Segoe UI" w:cs="Segoe UI"/>
                          <w:sz w:val="22"/>
                          <w:szCs w:val="22"/>
                        </w:rPr>
                        <w:t>(Agenda item</w:t>
                      </w:r>
                      <w:r w:rsidR="0022259D" w:rsidRPr="00503D2E">
                        <w:rPr>
                          <w:rFonts w:ascii="Segoe UI" w:hAnsi="Segoe UI" w:cs="Segoe UI"/>
                          <w:sz w:val="22"/>
                          <w:szCs w:val="22"/>
                        </w:rPr>
                        <w:t>:</w:t>
                      </w:r>
                      <w:r w:rsidR="00503D2E" w:rsidRPr="00503D2E">
                        <w:rPr>
                          <w:rFonts w:ascii="Segoe UI" w:hAnsi="Segoe UI" w:cs="Segoe UI"/>
                          <w:sz w:val="22"/>
                          <w:szCs w:val="22"/>
                        </w:rPr>
                        <w:t xml:space="preserve"> 12</w:t>
                      </w:r>
                      <w:r w:rsidR="00FA3993" w:rsidRPr="00503D2E">
                        <w:rPr>
                          <w:rFonts w:ascii="Segoe UI" w:hAnsi="Segoe UI" w:cs="Segoe UI"/>
                          <w:sz w:val="22"/>
                          <w:szCs w:val="22"/>
                        </w:rPr>
                        <w:t>)</w:t>
                      </w:r>
                    </w:p>
                  </w:txbxContent>
                </v:textbox>
              </v:rect>
            </w:pict>
          </mc:Fallback>
        </mc:AlternateContent>
      </w:r>
      <w:r w:rsidR="005D3499" w:rsidRPr="005C2C6E">
        <w:rPr>
          <w:rFonts w:ascii="Segoe UI" w:hAnsi="Segoe UI" w:cs="Segoe UI"/>
          <w:sz w:val="28"/>
          <w:u w:val="none"/>
        </w:rPr>
        <w:t xml:space="preserve">Report to the Meeting </w:t>
      </w:r>
      <w:r w:rsidR="00B50D5E" w:rsidRPr="005C2C6E">
        <w:rPr>
          <w:rFonts w:ascii="Segoe UI" w:hAnsi="Segoe UI" w:cs="Segoe UI"/>
          <w:sz w:val="28"/>
          <w:u w:val="none"/>
        </w:rPr>
        <w:t xml:space="preserve">of the </w:t>
      </w:r>
    </w:p>
    <w:p w:rsidR="002821F8" w:rsidRPr="005C2C6E" w:rsidRDefault="00B50D5E">
      <w:pPr>
        <w:pStyle w:val="Heading1"/>
        <w:jc w:val="center"/>
        <w:rPr>
          <w:rFonts w:ascii="Segoe UI" w:hAnsi="Segoe UI" w:cs="Segoe UI"/>
          <w:sz w:val="28"/>
          <w:u w:val="none"/>
        </w:rPr>
      </w:pPr>
      <w:r w:rsidRPr="005C2C6E">
        <w:rPr>
          <w:rFonts w:ascii="Segoe UI" w:hAnsi="Segoe UI" w:cs="Segoe UI"/>
          <w:sz w:val="28"/>
          <w:u w:val="none"/>
        </w:rPr>
        <w:t xml:space="preserve">Oxford Health NHS </w:t>
      </w:r>
      <w:r w:rsidR="002821F8" w:rsidRPr="005C2C6E">
        <w:rPr>
          <w:rFonts w:ascii="Segoe UI" w:hAnsi="Segoe UI" w:cs="Segoe UI"/>
          <w:sz w:val="28"/>
          <w:u w:val="none"/>
        </w:rPr>
        <w:t xml:space="preserve">Foundation Trust </w:t>
      </w:r>
    </w:p>
    <w:p w:rsidR="00FA3993" w:rsidRPr="005C2C6E" w:rsidRDefault="00FA3993">
      <w:pPr>
        <w:pStyle w:val="Heading1"/>
        <w:jc w:val="center"/>
        <w:rPr>
          <w:rFonts w:ascii="Segoe UI" w:hAnsi="Segoe UI" w:cs="Segoe UI"/>
          <w:sz w:val="28"/>
          <w:u w:val="none"/>
        </w:rPr>
      </w:pPr>
    </w:p>
    <w:p w:rsidR="005D3499" w:rsidRPr="005C2C6E" w:rsidRDefault="00342219">
      <w:pPr>
        <w:pStyle w:val="Heading1"/>
        <w:jc w:val="center"/>
        <w:rPr>
          <w:rFonts w:ascii="Segoe UI" w:hAnsi="Segoe UI" w:cs="Segoe UI"/>
          <w:sz w:val="28"/>
          <w:u w:val="none"/>
        </w:rPr>
      </w:pPr>
      <w:r w:rsidRPr="005C2C6E">
        <w:rPr>
          <w:rFonts w:ascii="Segoe UI" w:hAnsi="Segoe UI" w:cs="Segoe UI"/>
          <w:sz w:val="28"/>
          <w:u w:val="none"/>
        </w:rPr>
        <w:t>Council of Governors</w:t>
      </w:r>
    </w:p>
    <w:p w:rsidR="005D3499" w:rsidRPr="005C2C6E" w:rsidRDefault="005D3499" w:rsidP="00A85311">
      <w:pPr>
        <w:rPr>
          <w:rFonts w:ascii="Segoe UI" w:hAnsi="Segoe UI" w:cs="Segoe UI"/>
          <w:b/>
        </w:rPr>
      </w:pPr>
    </w:p>
    <w:p w:rsidR="005D3499" w:rsidRPr="005C2C6E" w:rsidRDefault="00D44BD6">
      <w:pPr>
        <w:jc w:val="center"/>
        <w:rPr>
          <w:rFonts w:ascii="Segoe UI" w:hAnsi="Segoe UI" w:cs="Segoe UI"/>
          <w:b/>
        </w:rPr>
      </w:pPr>
      <w:r>
        <w:rPr>
          <w:rFonts w:ascii="Segoe UI" w:hAnsi="Segoe UI" w:cs="Segoe UI"/>
          <w:b/>
        </w:rPr>
        <w:t>September 5</w:t>
      </w:r>
      <w:r w:rsidRPr="00D44BD6">
        <w:rPr>
          <w:rFonts w:ascii="Segoe UI" w:hAnsi="Segoe UI" w:cs="Segoe UI"/>
          <w:b/>
          <w:vertAlign w:val="superscript"/>
        </w:rPr>
        <w:t>th</w:t>
      </w:r>
      <w:r>
        <w:rPr>
          <w:rFonts w:ascii="Segoe UI" w:hAnsi="Segoe UI" w:cs="Segoe UI"/>
          <w:b/>
        </w:rPr>
        <w:t xml:space="preserve"> </w:t>
      </w:r>
      <w:r w:rsidR="0002155B" w:rsidRPr="005C2C6E">
        <w:rPr>
          <w:rFonts w:ascii="Segoe UI" w:hAnsi="Segoe UI" w:cs="Segoe UI"/>
          <w:b/>
        </w:rPr>
        <w:t>2018</w:t>
      </w:r>
    </w:p>
    <w:p w:rsidR="005D3499" w:rsidRPr="005C2C6E" w:rsidRDefault="005D3499">
      <w:pPr>
        <w:jc w:val="center"/>
        <w:rPr>
          <w:rFonts w:ascii="Segoe UI" w:hAnsi="Segoe UI" w:cs="Segoe UI"/>
          <w:b/>
        </w:rPr>
      </w:pPr>
    </w:p>
    <w:p w:rsidR="00C40728" w:rsidRPr="005C2C6E" w:rsidRDefault="00F715FD" w:rsidP="00FD2279">
      <w:pPr>
        <w:jc w:val="center"/>
        <w:rPr>
          <w:rFonts w:ascii="Segoe UI" w:hAnsi="Segoe UI" w:cs="Segoe UI"/>
          <w:b/>
        </w:rPr>
      </w:pPr>
      <w:r w:rsidRPr="005C2C6E">
        <w:rPr>
          <w:rFonts w:ascii="Segoe UI" w:hAnsi="Segoe UI" w:cs="Segoe UI"/>
          <w:b/>
        </w:rPr>
        <w:t>Performance Report</w:t>
      </w:r>
      <w:r w:rsidR="00C40728" w:rsidRPr="005C2C6E">
        <w:rPr>
          <w:rFonts w:ascii="Segoe UI" w:hAnsi="Segoe UI" w:cs="Segoe UI"/>
          <w:b/>
        </w:rPr>
        <w:t xml:space="preserve"> </w:t>
      </w:r>
      <w:r w:rsidR="00243EF5">
        <w:rPr>
          <w:rFonts w:ascii="Segoe UI" w:hAnsi="Segoe UI" w:cs="Segoe UI"/>
          <w:b/>
        </w:rPr>
        <w:t>Q</w:t>
      </w:r>
      <w:r w:rsidR="00D44BD6">
        <w:rPr>
          <w:rFonts w:ascii="Segoe UI" w:hAnsi="Segoe UI" w:cs="Segoe UI"/>
          <w:b/>
        </w:rPr>
        <w:t>1</w:t>
      </w:r>
    </w:p>
    <w:p w:rsidR="00F715FD" w:rsidRPr="005C2C6E" w:rsidRDefault="00C40728" w:rsidP="00FD2279">
      <w:pPr>
        <w:jc w:val="center"/>
        <w:rPr>
          <w:rFonts w:ascii="Segoe UI" w:hAnsi="Segoe UI" w:cs="Segoe UI"/>
          <w:b/>
        </w:rPr>
      </w:pPr>
      <w:r w:rsidRPr="005C2C6E">
        <w:rPr>
          <w:rFonts w:ascii="Segoe UI" w:hAnsi="Segoe UI" w:cs="Segoe UI"/>
          <w:b/>
        </w:rPr>
        <w:t>(</w:t>
      </w:r>
      <w:r w:rsidR="00D44BD6">
        <w:rPr>
          <w:rFonts w:ascii="Segoe UI" w:hAnsi="Segoe UI" w:cs="Segoe UI"/>
          <w:b/>
        </w:rPr>
        <w:t>April</w:t>
      </w:r>
      <w:r w:rsidR="00243EF5">
        <w:rPr>
          <w:rFonts w:ascii="Segoe UI" w:hAnsi="Segoe UI" w:cs="Segoe UI"/>
          <w:b/>
        </w:rPr>
        <w:t xml:space="preserve"> 2018</w:t>
      </w:r>
      <w:r w:rsidR="00C6357C" w:rsidRPr="005C2C6E">
        <w:rPr>
          <w:rFonts w:ascii="Segoe UI" w:hAnsi="Segoe UI" w:cs="Segoe UI"/>
          <w:b/>
        </w:rPr>
        <w:t xml:space="preserve"> </w:t>
      </w:r>
      <w:r w:rsidR="00C855F5" w:rsidRPr="005C2C6E">
        <w:rPr>
          <w:rFonts w:ascii="Segoe UI" w:hAnsi="Segoe UI" w:cs="Segoe UI"/>
          <w:b/>
        </w:rPr>
        <w:t>–</w:t>
      </w:r>
      <w:r w:rsidR="00C6357C" w:rsidRPr="005C2C6E">
        <w:rPr>
          <w:rFonts w:ascii="Segoe UI" w:hAnsi="Segoe UI" w:cs="Segoe UI"/>
          <w:b/>
        </w:rPr>
        <w:t xml:space="preserve"> </w:t>
      </w:r>
      <w:r w:rsidR="00D44BD6">
        <w:rPr>
          <w:rFonts w:ascii="Segoe UI" w:hAnsi="Segoe UI" w:cs="Segoe UI"/>
          <w:b/>
        </w:rPr>
        <w:t xml:space="preserve">June </w:t>
      </w:r>
      <w:r w:rsidR="00243EF5">
        <w:rPr>
          <w:rFonts w:ascii="Segoe UI" w:hAnsi="Segoe UI" w:cs="Segoe UI"/>
          <w:b/>
        </w:rPr>
        <w:t>2018</w:t>
      </w:r>
      <w:r w:rsidR="009B1280" w:rsidRPr="005C2C6E">
        <w:rPr>
          <w:rFonts w:ascii="Segoe UI" w:hAnsi="Segoe UI" w:cs="Segoe UI"/>
          <w:b/>
        </w:rPr>
        <w:t>)</w:t>
      </w:r>
      <w:r w:rsidR="00F715FD" w:rsidRPr="005C2C6E">
        <w:rPr>
          <w:rFonts w:ascii="Segoe UI" w:hAnsi="Segoe UI" w:cs="Segoe UI"/>
          <w:b/>
        </w:rPr>
        <w:t xml:space="preserve">  </w:t>
      </w:r>
    </w:p>
    <w:p w:rsidR="005D3499" w:rsidRPr="005C2C6E" w:rsidRDefault="005D3499">
      <w:pPr>
        <w:rPr>
          <w:rFonts w:ascii="Segoe UI" w:hAnsi="Segoe UI" w:cs="Segoe UI"/>
          <w:b/>
        </w:rPr>
      </w:pPr>
      <w:bookmarkStart w:id="0" w:name="_GoBack"/>
      <w:bookmarkEnd w:id="0"/>
    </w:p>
    <w:p w:rsidR="00241A66" w:rsidRPr="005C2C6E" w:rsidRDefault="00F715FD" w:rsidP="00241A66">
      <w:pPr>
        <w:jc w:val="center"/>
        <w:rPr>
          <w:rFonts w:ascii="Segoe UI" w:hAnsi="Segoe UI" w:cs="Segoe UI"/>
        </w:rPr>
      </w:pPr>
      <w:r w:rsidRPr="005C2C6E">
        <w:rPr>
          <w:rFonts w:ascii="Segoe UI" w:hAnsi="Segoe UI" w:cs="Segoe UI"/>
          <w:b/>
          <w:u w:val="single"/>
        </w:rPr>
        <w:t xml:space="preserve">For: </w:t>
      </w:r>
      <w:r w:rsidR="00292613" w:rsidRPr="005C2C6E">
        <w:rPr>
          <w:rFonts w:ascii="Segoe UI" w:hAnsi="Segoe UI" w:cs="Segoe UI"/>
          <w:b/>
          <w:u w:val="single"/>
        </w:rPr>
        <w:t>Information</w:t>
      </w:r>
    </w:p>
    <w:p w:rsidR="00292613" w:rsidRPr="005C2C6E" w:rsidRDefault="00292613">
      <w:pPr>
        <w:rPr>
          <w:rFonts w:ascii="Segoe UI" w:hAnsi="Segoe UI" w:cs="Segoe UI"/>
          <w:b/>
        </w:rPr>
      </w:pPr>
    </w:p>
    <w:p w:rsidR="007A2CF0" w:rsidRPr="005C2C6E" w:rsidRDefault="007A2CF0" w:rsidP="007A2CF0">
      <w:pPr>
        <w:jc w:val="both"/>
        <w:rPr>
          <w:rFonts w:ascii="Segoe UI" w:hAnsi="Segoe UI" w:cs="Segoe UI"/>
          <w:b/>
        </w:rPr>
      </w:pPr>
      <w:r w:rsidRPr="005C2C6E">
        <w:rPr>
          <w:rFonts w:ascii="Segoe UI" w:hAnsi="Segoe UI" w:cs="Segoe UI"/>
          <w:b/>
        </w:rPr>
        <w:t>Executive Summary</w:t>
      </w:r>
    </w:p>
    <w:p w:rsidR="007A2CF0" w:rsidRPr="005C2C6E" w:rsidRDefault="007A2CF0" w:rsidP="007A2CF0">
      <w:pPr>
        <w:jc w:val="both"/>
        <w:rPr>
          <w:rFonts w:ascii="Segoe UI" w:hAnsi="Segoe UI" w:cs="Segoe UI"/>
          <w:i/>
        </w:rPr>
      </w:pPr>
    </w:p>
    <w:p w:rsidR="00533F41" w:rsidRPr="005C2C6E" w:rsidRDefault="00C40728" w:rsidP="007A2CF0">
      <w:pPr>
        <w:jc w:val="both"/>
        <w:rPr>
          <w:rFonts w:ascii="Arial" w:hAnsi="Arial" w:cs="Arial"/>
        </w:rPr>
      </w:pPr>
      <w:r w:rsidRPr="005C2C6E">
        <w:rPr>
          <w:rFonts w:ascii="Arial" w:hAnsi="Arial" w:cs="Arial"/>
        </w:rPr>
        <w:t>This</w:t>
      </w:r>
      <w:r w:rsidR="009B1280" w:rsidRPr="005C2C6E">
        <w:rPr>
          <w:rFonts w:ascii="Arial" w:hAnsi="Arial" w:cs="Arial"/>
        </w:rPr>
        <w:t xml:space="preserve"> report provides </w:t>
      </w:r>
      <w:r w:rsidR="00276E7F" w:rsidRPr="005C2C6E">
        <w:rPr>
          <w:rFonts w:ascii="Arial" w:hAnsi="Arial" w:cs="Arial"/>
        </w:rPr>
        <w:t>a consolidated</w:t>
      </w:r>
      <w:r w:rsidR="009B1280" w:rsidRPr="005C2C6E">
        <w:rPr>
          <w:rFonts w:ascii="Arial" w:hAnsi="Arial" w:cs="Arial"/>
        </w:rPr>
        <w:t xml:space="preserve"> view of the Trusts performance against both national and </w:t>
      </w:r>
      <w:r w:rsidRPr="005C2C6E">
        <w:rPr>
          <w:rFonts w:ascii="Arial" w:hAnsi="Arial" w:cs="Arial"/>
        </w:rPr>
        <w:t>local (contracted) indicators</w:t>
      </w:r>
      <w:r w:rsidR="00276E7F" w:rsidRPr="005C2C6E">
        <w:rPr>
          <w:rFonts w:ascii="Arial" w:hAnsi="Arial" w:cs="Arial"/>
        </w:rPr>
        <w:t xml:space="preserve"> for </w:t>
      </w:r>
      <w:r w:rsidR="00D44BD6">
        <w:rPr>
          <w:rFonts w:ascii="Arial" w:hAnsi="Arial" w:cs="Arial"/>
          <w:b/>
        </w:rPr>
        <w:t>April</w:t>
      </w:r>
      <w:r w:rsidR="00777400" w:rsidRPr="00777400">
        <w:rPr>
          <w:rFonts w:ascii="Arial" w:hAnsi="Arial" w:cs="Arial"/>
          <w:b/>
        </w:rPr>
        <w:t xml:space="preserve"> – </w:t>
      </w:r>
      <w:r w:rsidR="00D44BD6">
        <w:rPr>
          <w:rFonts w:ascii="Arial" w:hAnsi="Arial" w:cs="Arial"/>
          <w:b/>
        </w:rPr>
        <w:t>June 2018 (Q1</w:t>
      </w:r>
      <w:r w:rsidR="00777400" w:rsidRPr="00777400">
        <w:rPr>
          <w:rFonts w:ascii="Arial" w:hAnsi="Arial" w:cs="Arial"/>
          <w:b/>
        </w:rPr>
        <w:t>)</w:t>
      </w:r>
      <w:r w:rsidRPr="005C2C6E">
        <w:rPr>
          <w:rFonts w:ascii="Arial" w:hAnsi="Arial" w:cs="Arial"/>
        </w:rPr>
        <w:t>.  A</w:t>
      </w:r>
      <w:r w:rsidR="009B1280" w:rsidRPr="005C2C6E">
        <w:rPr>
          <w:rFonts w:ascii="Arial" w:hAnsi="Arial" w:cs="Arial"/>
        </w:rPr>
        <w:t xml:space="preserve"> standard scorecard approach</w:t>
      </w:r>
      <w:r w:rsidRPr="005C2C6E">
        <w:rPr>
          <w:rFonts w:ascii="Arial" w:hAnsi="Arial" w:cs="Arial"/>
        </w:rPr>
        <w:t xml:space="preserve"> </w:t>
      </w:r>
      <w:r w:rsidR="005D20D4" w:rsidRPr="005C2C6E">
        <w:rPr>
          <w:rFonts w:ascii="Arial" w:hAnsi="Arial" w:cs="Arial"/>
        </w:rPr>
        <w:t>is used</w:t>
      </w:r>
      <w:r w:rsidRPr="005C2C6E">
        <w:rPr>
          <w:rFonts w:ascii="Arial" w:hAnsi="Arial" w:cs="Arial"/>
        </w:rPr>
        <w:t xml:space="preserve"> for all reporting within the Trust</w:t>
      </w:r>
      <w:r w:rsidR="009B1280" w:rsidRPr="005C2C6E">
        <w:rPr>
          <w:rFonts w:ascii="Arial" w:hAnsi="Arial" w:cs="Arial"/>
        </w:rPr>
        <w:t xml:space="preserve"> and </w:t>
      </w:r>
      <w:r w:rsidRPr="005C2C6E">
        <w:rPr>
          <w:rFonts w:ascii="Arial" w:hAnsi="Arial" w:cs="Arial"/>
        </w:rPr>
        <w:t xml:space="preserve">compliance against </w:t>
      </w:r>
      <w:r w:rsidR="007C5E98" w:rsidRPr="005C2C6E">
        <w:rPr>
          <w:rFonts w:ascii="Arial" w:hAnsi="Arial" w:cs="Arial"/>
        </w:rPr>
        <w:t>targets are</w:t>
      </w:r>
      <w:r w:rsidR="009B1280" w:rsidRPr="005C2C6E">
        <w:rPr>
          <w:rFonts w:ascii="Arial" w:hAnsi="Arial" w:cs="Arial"/>
        </w:rPr>
        <w:t xml:space="preserve"> measured using a RAG rating system.  This scoring system enables the performance team and operational services to identify areas for improvement and is supplemented by a narrative to explain any variation</w:t>
      </w:r>
      <w:r w:rsidR="007E3B7E" w:rsidRPr="005C2C6E">
        <w:rPr>
          <w:rFonts w:ascii="Arial" w:hAnsi="Arial" w:cs="Arial"/>
        </w:rPr>
        <w:t xml:space="preserve"> to targets</w:t>
      </w:r>
      <w:r w:rsidR="009B1280" w:rsidRPr="005C2C6E">
        <w:rPr>
          <w:rFonts w:ascii="Arial" w:hAnsi="Arial" w:cs="Arial"/>
        </w:rPr>
        <w:t xml:space="preserve"> and action plans. </w:t>
      </w:r>
      <w:r w:rsidRPr="005C2C6E">
        <w:rPr>
          <w:rFonts w:ascii="Arial" w:hAnsi="Arial" w:cs="Arial"/>
        </w:rPr>
        <w:t xml:space="preserve">  Performance reporting is</w:t>
      </w:r>
      <w:r w:rsidR="00276E7F" w:rsidRPr="005C2C6E">
        <w:rPr>
          <w:rFonts w:ascii="Arial" w:hAnsi="Arial" w:cs="Arial"/>
        </w:rPr>
        <w:t xml:space="preserve"> presented monthly and</w:t>
      </w:r>
      <w:r w:rsidRPr="005C2C6E">
        <w:rPr>
          <w:rFonts w:ascii="Arial" w:hAnsi="Arial" w:cs="Arial"/>
        </w:rPr>
        <w:t xml:space="preserve"> </w:t>
      </w:r>
      <w:proofErr w:type="spellStart"/>
      <w:r w:rsidRPr="005C2C6E">
        <w:rPr>
          <w:rFonts w:ascii="Arial" w:hAnsi="Arial" w:cs="Arial"/>
        </w:rPr>
        <w:t>scrutinised</w:t>
      </w:r>
      <w:proofErr w:type="spellEnd"/>
      <w:r w:rsidRPr="005C2C6E">
        <w:rPr>
          <w:rFonts w:ascii="Arial" w:hAnsi="Arial" w:cs="Arial"/>
        </w:rPr>
        <w:t xml:space="preserve"> by various leadership and oversight committees up to and including the Trust Board</w:t>
      </w:r>
      <w:r w:rsidR="00276E7F" w:rsidRPr="005C2C6E">
        <w:rPr>
          <w:rFonts w:ascii="Arial" w:hAnsi="Arial" w:cs="Arial"/>
        </w:rPr>
        <w:t xml:space="preserve"> and C</w:t>
      </w:r>
      <w:r w:rsidRPr="005C2C6E">
        <w:rPr>
          <w:rFonts w:ascii="Arial" w:hAnsi="Arial" w:cs="Arial"/>
        </w:rPr>
        <w:t>ommissioners.</w:t>
      </w:r>
      <w:r w:rsidR="008620A8" w:rsidRPr="005C2C6E">
        <w:rPr>
          <w:rFonts w:ascii="Arial" w:hAnsi="Arial" w:cs="Arial"/>
        </w:rPr>
        <w:t xml:space="preserve">  See </w:t>
      </w:r>
      <w:r w:rsidR="008620A8" w:rsidRPr="005C2C6E">
        <w:rPr>
          <w:rFonts w:ascii="Arial" w:hAnsi="Arial" w:cs="Arial"/>
          <w:b/>
        </w:rPr>
        <w:t>Appendix 1</w:t>
      </w:r>
      <w:r w:rsidR="008620A8" w:rsidRPr="005C2C6E">
        <w:rPr>
          <w:rFonts w:ascii="Arial" w:hAnsi="Arial" w:cs="Arial"/>
        </w:rPr>
        <w:t xml:space="preserve"> for a diagram showing the Performance Governance Process.</w:t>
      </w:r>
    </w:p>
    <w:p w:rsidR="00533F41" w:rsidRPr="005C2C6E" w:rsidRDefault="00533F41" w:rsidP="007A2CF0">
      <w:pPr>
        <w:jc w:val="both"/>
        <w:rPr>
          <w:rFonts w:ascii="Arial" w:hAnsi="Arial" w:cs="Arial"/>
        </w:rPr>
      </w:pPr>
    </w:p>
    <w:p w:rsidR="00E94A21" w:rsidRPr="005C2C6E" w:rsidRDefault="00B508F4" w:rsidP="00E94A21">
      <w:pPr>
        <w:jc w:val="both"/>
        <w:rPr>
          <w:rFonts w:ascii="Arial" w:hAnsi="Arial" w:cs="Arial"/>
        </w:rPr>
      </w:pPr>
      <w:r>
        <w:rPr>
          <w:rFonts w:ascii="Arial" w:hAnsi="Arial" w:cs="Arial"/>
        </w:rPr>
        <w:t xml:space="preserve">The Trust has </w:t>
      </w:r>
      <w:r w:rsidR="00F81D9A">
        <w:rPr>
          <w:rFonts w:ascii="Arial" w:hAnsi="Arial" w:cs="Arial"/>
        </w:rPr>
        <w:t>a</w:t>
      </w:r>
      <w:r w:rsidR="009005E7">
        <w:rPr>
          <w:rFonts w:ascii="Arial" w:hAnsi="Arial" w:cs="Arial"/>
        </w:rPr>
        <w:t>chieved an average of</w:t>
      </w:r>
      <w:r w:rsidR="0092780F">
        <w:rPr>
          <w:rFonts w:ascii="Arial" w:hAnsi="Arial" w:cs="Arial"/>
        </w:rPr>
        <w:t xml:space="preserve"> 81% compliance against</w:t>
      </w:r>
      <w:r w:rsidR="00F81D9A">
        <w:rPr>
          <w:rFonts w:ascii="Arial" w:hAnsi="Arial" w:cs="Arial"/>
        </w:rPr>
        <w:t xml:space="preserve"> targeted indicators in April – June 2018 (Q1).  </w:t>
      </w:r>
      <w:r>
        <w:rPr>
          <w:rFonts w:ascii="Arial" w:hAnsi="Arial" w:cs="Arial"/>
        </w:rPr>
        <w:t xml:space="preserve">A view on performance by Directorate is included as Fig </w:t>
      </w:r>
      <w:r w:rsidR="005B1614">
        <w:rPr>
          <w:rFonts w:ascii="Arial" w:hAnsi="Arial" w:cs="Arial"/>
        </w:rPr>
        <w:t>1</w:t>
      </w:r>
      <w:r>
        <w:rPr>
          <w:rFonts w:ascii="Arial" w:hAnsi="Arial" w:cs="Arial"/>
        </w:rPr>
        <w:t xml:space="preserve">.  </w:t>
      </w:r>
      <w:r w:rsidR="00E94A21" w:rsidRPr="005C2C6E">
        <w:rPr>
          <w:rFonts w:ascii="Arial" w:hAnsi="Arial" w:cs="Arial"/>
        </w:rPr>
        <w:t>This</w:t>
      </w:r>
      <w:r>
        <w:rPr>
          <w:rFonts w:ascii="Arial" w:hAnsi="Arial" w:cs="Arial"/>
        </w:rPr>
        <w:t xml:space="preserve"> evidence</w:t>
      </w:r>
      <w:r w:rsidR="00E94A21" w:rsidRPr="005C2C6E">
        <w:rPr>
          <w:rFonts w:ascii="Arial" w:hAnsi="Arial" w:cs="Arial"/>
        </w:rPr>
        <w:t xml:space="preserve"> demonstrates that the Trust is consistently delivering a </w:t>
      </w:r>
      <w:r w:rsidR="009005E7">
        <w:rPr>
          <w:rFonts w:ascii="Arial" w:hAnsi="Arial" w:cs="Arial"/>
        </w:rPr>
        <w:t xml:space="preserve">good </w:t>
      </w:r>
      <w:r w:rsidR="00E94A21" w:rsidRPr="005C2C6E">
        <w:rPr>
          <w:rFonts w:ascii="Arial" w:hAnsi="Arial" w:cs="Arial"/>
        </w:rPr>
        <w:t>performance</w:t>
      </w:r>
      <w:r w:rsidR="004B24B2" w:rsidRPr="005C2C6E">
        <w:rPr>
          <w:rFonts w:ascii="Arial" w:hAnsi="Arial" w:cs="Arial"/>
        </w:rPr>
        <w:t xml:space="preserve"> against contractual targets set by Clinical Commissioning Groups (CCG’s)</w:t>
      </w:r>
      <w:r w:rsidR="00E94A21" w:rsidRPr="005C2C6E">
        <w:rPr>
          <w:rFonts w:ascii="Arial" w:hAnsi="Arial" w:cs="Arial"/>
        </w:rPr>
        <w:t xml:space="preserve">. </w:t>
      </w:r>
    </w:p>
    <w:p w:rsidR="00E94A21" w:rsidRPr="005C2C6E" w:rsidRDefault="00E94A21" w:rsidP="007A2CF0">
      <w:pPr>
        <w:jc w:val="both"/>
        <w:rPr>
          <w:rFonts w:ascii="Arial" w:hAnsi="Arial" w:cs="Arial"/>
        </w:rPr>
      </w:pPr>
    </w:p>
    <w:p w:rsidR="009B1280" w:rsidRPr="005C2C6E" w:rsidRDefault="00533F41" w:rsidP="007A2CF0">
      <w:pPr>
        <w:jc w:val="both"/>
        <w:rPr>
          <w:rFonts w:ascii="Arial" w:hAnsi="Arial" w:cs="Arial"/>
        </w:rPr>
      </w:pPr>
      <w:r w:rsidRPr="005C2C6E">
        <w:rPr>
          <w:rFonts w:ascii="Arial" w:hAnsi="Arial" w:cs="Arial"/>
        </w:rPr>
        <w:t xml:space="preserve">In addition to </w:t>
      </w:r>
      <w:r w:rsidR="00B508F4">
        <w:rPr>
          <w:rFonts w:ascii="Arial" w:hAnsi="Arial" w:cs="Arial"/>
        </w:rPr>
        <w:t>the Trust’s</w:t>
      </w:r>
      <w:r w:rsidRPr="005C2C6E">
        <w:rPr>
          <w:rFonts w:ascii="Arial" w:hAnsi="Arial" w:cs="Arial"/>
        </w:rPr>
        <w:t xml:space="preserve"> local</w:t>
      </w:r>
      <w:r w:rsidR="00B508F4">
        <w:rPr>
          <w:rFonts w:ascii="Arial" w:hAnsi="Arial" w:cs="Arial"/>
        </w:rPr>
        <w:t>ly contracted commitment</w:t>
      </w:r>
      <w:r w:rsidRPr="005C2C6E">
        <w:rPr>
          <w:rFonts w:ascii="Arial" w:hAnsi="Arial" w:cs="Arial"/>
        </w:rPr>
        <w:t xml:space="preserve">, </w:t>
      </w:r>
      <w:r w:rsidR="00B508F4">
        <w:rPr>
          <w:rFonts w:ascii="Arial" w:hAnsi="Arial" w:cs="Arial"/>
        </w:rPr>
        <w:t xml:space="preserve">there is also a national requirement </w:t>
      </w:r>
      <w:r w:rsidR="00C40728" w:rsidRPr="005C2C6E">
        <w:rPr>
          <w:rFonts w:ascii="Arial" w:hAnsi="Arial" w:cs="Arial"/>
        </w:rPr>
        <w:t xml:space="preserve">to report </w:t>
      </w:r>
      <w:r w:rsidR="00B508F4">
        <w:rPr>
          <w:rFonts w:ascii="Arial" w:hAnsi="Arial" w:cs="Arial"/>
        </w:rPr>
        <w:t>against targets defined within the</w:t>
      </w:r>
      <w:r w:rsidRPr="005C2C6E">
        <w:rPr>
          <w:rFonts w:ascii="Arial" w:hAnsi="Arial" w:cs="Arial"/>
        </w:rPr>
        <w:t xml:space="preserve"> NHS Single Oversight Framework</w:t>
      </w:r>
      <w:r w:rsidR="00C40728" w:rsidRPr="005C2C6E">
        <w:rPr>
          <w:rFonts w:ascii="Arial" w:hAnsi="Arial" w:cs="Arial"/>
        </w:rPr>
        <w:t>.  These</w:t>
      </w:r>
      <w:r w:rsidRPr="005C2C6E">
        <w:rPr>
          <w:rFonts w:ascii="Arial" w:hAnsi="Arial" w:cs="Arial"/>
        </w:rPr>
        <w:t xml:space="preserve"> indicators hav</w:t>
      </w:r>
      <w:r w:rsidR="00C40728" w:rsidRPr="005C2C6E">
        <w:rPr>
          <w:rFonts w:ascii="Arial" w:hAnsi="Arial" w:cs="Arial"/>
        </w:rPr>
        <w:t xml:space="preserve">e been included within </w:t>
      </w:r>
      <w:r w:rsidR="00B508F4">
        <w:rPr>
          <w:rFonts w:ascii="Arial" w:hAnsi="Arial" w:cs="Arial"/>
        </w:rPr>
        <w:t>the reports provided</w:t>
      </w:r>
      <w:r w:rsidR="00C40728" w:rsidRPr="005C2C6E">
        <w:rPr>
          <w:rFonts w:ascii="Arial" w:hAnsi="Arial" w:cs="Arial"/>
        </w:rPr>
        <w:t xml:space="preserve"> </w:t>
      </w:r>
      <w:r w:rsidR="00EE17F7" w:rsidRPr="005C2C6E">
        <w:rPr>
          <w:rFonts w:ascii="Arial" w:hAnsi="Arial" w:cs="Arial"/>
        </w:rPr>
        <w:t>so that there is a</w:t>
      </w:r>
      <w:r w:rsidRPr="005C2C6E">
        <w:rPr>
          <w:rFonts w:ascii="Arial" w:hAnsi="Arial" w:cs="Arial"/>
        </w:rPr>
        <w:t xml:space="preserve"> consistent format both within and external to the Trust. </w:t>
      </w:r>
      <w:r w:rsidR="009B1280" w:rsidRPr="005C2C6E">
        <w:rPr>
          <w:rFonts w:ascii="Arial" w:hAnsi="Arial" w:cs="Arial"/>
        </w:rPr>
        <w:t xml:space="preserve"> </w:t>
      </w:r>
      <w:r w:rsidRPr="005C2C6E">
        <w:rPr>
          <w:rFonts w:ascii="Arial" w:hAnsi="Arial" w:cs="Arial"/>
        </w:rPr>
        <w:t>Furt</w:t>
      </w:r>
      <w:r w:rsidR="00C40728" w:rsidRPr="005C2C6E">
        <w:rPr>
          <w:rFonts w:ascii="Arial" w:hAnsi="Arial" w:cs="Arial"/>
        </w:rPr>
        <w:t xml:space="preserve">her work to develop </w:t>
      </w:r>
      <w:r w:rsidR="00B508F4">
        <w:rPr>
          <w:rFonts w:ascii="Arial" w:hAnsi="Arial" w:cs="Arial"/>
        </w:rPr>
        <w:t>the</w:t>
      </w:r>
      <w:r w:rsidR="00656584" w:rsidRPr="005C2C6E">
        <w:rPr>
          <w:rFonts w:ascii="Arial" w:hAnsi="Arial" w:cs="Arial"/>
        </w:rPr>
        <w:t xml:space="preserve"> reporting in this area</w:t>
      </w:r>
      <w:r w:rsidR="00C40728" w:rsidRPr="005C2C6E">
        <w:rPr>
          <w:rFonts w:ascii="Arial" w:hAnsi="Arial" w:cs="Arial"/>
        </w:rPr>
        <w:t xml:space="preserve"> continues</w:t>
      </w:r>
      <w:r w:rsidRPr="005C2C6E">
        <w:rPr>
          <w:rFonts w:ascii="Arial" w:hAnsi="Arial" w:cs="Arial"/>
        </w:rPr>
        <w:t>.</w:t>
      </w:r>
    </w:p>
    <w:p w:rsidR="009B1280" w:rsidRPr="005C2C6E" w:rsidRDefault="009B1280" w:rsidP="007A2CF0">
      <w:pPr>
        <w:jc w:val="both"/>
        <w:rPr>
          <w:rFonts w:ascii="Arial" w:hAnsi="Arial" w:cs="Arial"/>
        </w:rPr>
      </w:pPr>
    </w:p>
    <w:p w:rsidR="005B1614" w:rsidRDefault="005B1614">
      <w:pPr>
        <w:rPr>
          <w:rFonts w:ascii="Arial" w:hAnsi="Arial" w:cs="Arial"/>
        </w:rPr>
      </w:pPr>
      <w:r>
        <w:rPr>
          <w:rFonts w:ascii="Arial" w:hAnsi="Arial" w:cs="Arial"/>
        </w:rPr>
        <w:br w:type="page"/>
      </w:r>
    </w:p>
    <w:p w:rsidR="0093333D" w:rsidRPr="005B1614" w:rsidRDefault="0093333D" w:rsidP="0093333D">
      <w:pPr>
        <w:jc w:val="both"/>
        <w:rPr>
          <w:rFonts w:ascii="Arial" w:hAnsi="Arial" w:cs="Arial"/>
          <w:b/>
        </w:rPr>
      </w:pPr>
      <w:r w:rsidRPr="005B1614">
        <w:rPr>
          <w:rFonts w:ascii="Arial" w:hAnsi="Arial" w:cs="Arial"/>
          <w:b/>
        </w:rPr>
        <w:lastRenderedPageBreak/>
        <w:t>Fig 1.</w:t>
      </w:r>
      <w:r w:rsidR="00C40728" w:rsidRPr="005B1614">
        <w:rPr>
          <w:rFonts w:ascii="Arial" w:hAnsi="Arial" w:cs="Arial"/>
          <w:b/>
        </w:rPr>
        <w:t xml:space="preserve"> Compliance against overall contracted targets</w:t>
      </w:r>
      <w:r w:rsidR="003B4537" w:rsidRPr="005B1614">
        <w:rPr>
          <w:rFonts w:ascii="Arial" w:hAnsi="Arial" w:cs="Arial"/>
          <w:b/>
        </w:rPr>
        <w:t>:</w:t>
      </w:r>
    </w:p>
    <w:p w:rsidR="008C6B13" w:rsidRPr="005B1614" w:rsidRDefault="008C6B13" w:rsidP="008C6B13">
      <w:pPr>
        <w:shd w:val="clear" w:color="auto" w:fill="FFFFFF" w:themeFill="background1"/>
        <w:jc w:val="both"/>
        <w:rPr>
          <w:rFonts w:ascii="Segoe UI" w:hAnsi="Segoe UI" w:cs="Segoe UI"/>
          <w:sz w:val="22"/>
        </w:rPr>
      </w:pPr>
    </w:p>
    <w:p w:rsidR="0092780F" w:rsidRDefault="0092780F" w:rsidP="008C6B13">
      <w:pPr>
        <w:shd w:val="clear" w:color="auto" w:fill="FFFFFF" w:themeFill="background1"/>
        <w:jc w:val="both"/>
        <w:rPr>
          <w:rFonts w:ascii="Arial" w:hAnsi="Arial" w:cs="Arial"/>
        </w:rPr>
      </w:pPr>
      <w:r>
        <w:rPr>
          <w:rFonts w:ascii="Arial" w:hAnsi="Arial" w:cs="Arial"/>
        </w:rPr>
        <w:t>Following the restructure of operational Directorates, this reports shows the new aggregated position so it is not possible to provide a comparison or trend at this time.  However, this position will change for the Council of Governors report at the end of Q2.</w:t>
      </w:r>
    </w:p>
    <w:p w:rsidR="0092780F" w:rsidRDefault="0092780F" w:rsidP="008C6B13">
      <w:pPr>
        <w:shd w:val="clear" w:color="auto" w:fill="FFFFFF" w:themeFill="background1"/>
        <w:jc w:val="both"/>
        <w:rPr>
          <w:rFonts w:ascii="Arial" w:hAnsi="Arial" w:cs="Arial"/>
        </w:rPr>
      </w:pPr>
    </w:p>
    <w:p w:rsidR="00C40728" w:rsidRPr="005B1614" w:rsidRDefault="00C6357C" w:rsidP="005B1614">
      <w:pPr>
        <w:rPr>
          <w:rFonts w:ascii="Arial" w:hAnsi="Arial" w:cs="Arial"/>
        </w:rPr>
      </w:pPr>
      <w:r w:rsidRPr="005B1614">
        <w:rPr>
          <w:rFonts w:ascii="Arial" w:hAnsi="Arial" w:cs="Arial"/>
        </w:rPr>
        <w:t>At an individual Directorate level:</w:t>
      </w:r>
      <w:r w:rsidR="005B1614">
        <w:rPr>
          <w:rFonts w:ascii="Arial" w:hAnsi="Arial" w:cs="Arial"/>
        </w:rPr>
        <w:br/>
      </w:r>
    </w:p>
    <w:p w:rsidR="00C6357C" w:rsidRPr="005B1614" w:rsidRDefault="00F81D9A" w:rsidP="00F81D9A">
      <w:pPr>
        <w:pStyle w:val="ListParagraph"/>
        <w:numPr>
          <w:ilvl w:val="0"/>
          <w:numId w:val="8"/>
        </w:numPr>
        <w:rPr>
          <w:rFonts w:ascii="Arial" w:hAnsi="Arial" w:cs="Arial"/>
          <w:b/>
        </w:rPr>
      </w:pPr>
      <w:r w:rsidRPr="005B1614">
        <w:rPr>
          <w:rFonts w:ascii="Arial" w:hAnsi="Arial" w:cs="Arial"/>
          <w:b/>
        </w:rPr>
        <w:t xml:space="preserve">Oxfordshire, Swindon, Wiltshire &amp; BANES – All Ages Mental Health </w:t>
      </w:r>
      <w:r w:rsidRPr="005B1614">
        <w:rPr>
          <w:rFonts w:ascii="Arial" w:hAnsi="Arial" w:cs="Arial"/>
        </w:rPr>
        <w:t>performance has averaged 7</w:t>
      </w:r>
      <w:r w:rsidR="00962A8E" w:rsidRPr="005B1614">
        <w:rPr>
          <w:rFonts w:ascii="Arial" w:hAnsi="Arial" w:cs="Arial"/>
        </w:rPr>
        <w:t>5% during Q</w:t>
      </w:r>
      <w:r w:rsidRPr="005B1614">
        <w:rPr>
          <w:rFonts w:ascii="Arial" w:hAnsi="Arial" w:cs="Arial"/>
        </w:rPr>
        <w:t>1</w:t>
      </w:r>
      <w:r w:rsidR="00F90501" w:rsidRPr="005B1614">
        <w:rPr>
          <w:rFonts w:ascii="Arial" w:hAnsi="Arial" w:cs="Arial"/>
        </w:rPr>
        <w:t xml:space="preserve"> </w:t>
      </w:r>
      <w:r w:rsidR="00674B5D" w:rsidRPr="005B1614">
        <w:rPr>
          <w:rFonts w:ascii="Arial" w:hAnsi="Arial" w:cs="Arial"/>
        </w:rPr>
        <w:t>(</w:t>
      </w:r>
      <w:r w:rsidRPr="005B1614">
        <w:rPr>
          <w:rFonts w:ascii="Arial" w:hAnsi="Arial" w:cs="Arial"/>
        </w:rPr>
        <w:t>April</w:t>
      </w:r>
      <w:r w:rsidR="00962A8E" w:rsidRPr="005B1614">
        <w:rPr>
          <w:rFonts w:ascii="Arial" w:hAnsi="Arial" w:cs="Arial"/>
        </w:rPr>
        <w:t xml:space="preserve"> </w:t>
      </w:r>
      <w:r w:rsidR="00674B5D" w:rsidRPr="005B1614">
        <w:rPr>
          <w:rFonts w:ascii="Arial" w:hAnsi="Arial" w:cs="Arial"/>
        </w:rPr>
        <w:t xml:space="preserve">– </w:t>
      </w:r>
      <w:r w:rsidRPr="005B1614">
        <w:rPr>
          <w:rFonts w:ascii="Arial" w:hAnsi="Arial" w:cs="Arial"/>
        </w:rPr>
        <w:t>June</w:t>
      </w:r>
      <w:r w:rsidR="00962A8E" w:rsidRPr="005B1614">
        <w:rPr>
          <w:rFonts w:ascii="Arial" w:hAnsi="Arial" w:cs="Arial"/>
        </w:rPr>
        <w:t xml:space="preserve"> 2018</w:t>
      </w:r>
      <w:r w:rsidR="00674B5D" w:rsidRPr="005B1614">
        <w:rPr>
          <w:rFonts w:ascii="Arial" w:hAnsi="Arial" w:cs="Arial"/>
        </w:rPr>
        <w:t>)</w:t>
      </w:r>
      <w:r w:rsidRPr="005B1614">
        <w:rPr>
          <w:rFonts w:ascii="Arial" w:hAnsi="Arial" w:cs="Arial"/>
        </w:rPr>
        <w:br/>
      </w:r>
    </w:p>
    <w:p w:rsidR="00F81D9A" w:rsidRPr="005B1614" w:rsidRDefault="00F81D9A" w:rsidP="00F81D9A">
      <w:pPr>
        <w:pStyle w:val="ListParagraph"/>
        <w:numPr>
          <w:ilvl w:val="0"/>
          <w:numId w:val="8"/>
        </w:numPr>
        <w:rPr>
          <w:rFonts w:ascii="Arial" w:hAnsi="Arial" w:cs="Arial"/>
          <w:b/>
        </w:rPr>
      </w:pPr>
      <w:r w:rsidRPr="005B1614">
        <w:rPr>
          <w:rFonts w:ascii="Arial" w:hAnsi="Arial" w:cs="Arial"/>
          <w:b/>
        </w:rPr>
        <w:t xml:space="preserve">Buckinghamshire – All Ages Mental Health </w:t>
      </w:r>
      <w:r w:rsidRPr="005B1614">
        <w:rPr>
          <w:rFonts w:ascii="Arial" w:hAnsi="Arial" w:cs="Arial"/>
        </w:rPr>
        <w:t>performance has averaged 88% during Q1 (April – June 2018)</w:t>
      </w:r>
      <w:r w:rsidRPr="005B1614">
        <w:rPr>
          <w:rFonts w:ascii="Arial" w:hAnsi="Arial" w:cs="Arial"/>
        </w:rPr>
        <w:br/>
      </w:r>
    </w:p>
    <w:p w:rsidR="00F81D9A" w:rsidRPr="005B1614" w:rsidRDefault="00F81D9A" w:rsidP="00F81D9A">
      <w:pPr>
        <w:pStyle w:val="ListParagraph"/>
        <w:numPr>
          <w:ilvl w:val="0"/>
          <w:numId w:val="8"/>
        </w:numPr>
        <w:rPr>
          <w:rFonts w:ascii="Arial" w:hAnsi="Arial" w:cs="Arial"/>
          <w:b/>
        </w:rPr>
      </w:pPr>
      <w:r w:rsidRPr="005B1614">
        <w:rPr>
          <w:rFonts w:ascii="Arial" w:hAnsi="Arial" w:cs="Arial"/>
          <w:b/>
        </w:rPr>
        <w:t xml:space="preserve">Oxfordshire Community Services Directorate </w:t>
      </w:r>
      <w:r w:rsidRPr="005B1614">
        <w:rPr>
          <w:rFonts w:ascii="Arial" w:hAnsi="Arial" w:cs="Arial"/>
        </w:rPr>
        <w:t>performance has averaged 76% during Q1 (April – June 2018)</w:t>
      </w:r>
      <w:r w:rsidRPr="005B1614">
        <w:rPr>
          <w:rFonts w:ascii="Arial" w:hAnsi="Arial" w:cs="Arial"/>
        </w:rPr>
        <w:br/>
      </w:r>
    </w:p>
    <w:p w:rsidR="00F81D9A" w:rsidRPr="005B1614" w:rsidRDefault="00F81D9A" w:rsidP="00F81D9A">
      <w:pPr>
        <w:pStyle w:val="ListParagraph"/>
        <w:numPr>
          <w:ilvl w:val="0"/>
          <w:numId w:val="8"/>
        </w:numPr>
        <w:spacing w:before="300"/>
        <w:contextualSpacing/>
        <w:rPr>
          <w:rFonts w:ascii="Segoe UI" w:hAnsi="Segoe UI" w:cs="Segoe UI"/>
          <w:sz w:val="22"/>
        </w:rPr>
      </w:pPr>
      <w:r w:rsidRPr="005B1614">
        <w:rPr>
          <w:rFonts w:ascii="Arial" w:hAnsi="Arial" w:cs="Arial"/>
          <w:b/>
        </w:rPr>
        <w:t xml:space="preserve">Specialist Services Directorate </w:t>
      </w:r>
      <w:r w:rsidR="005D0E04" w:rsidRPr="005B1614">
        <w:rPr>
          <w:rFonts w:ascii="Arial" w:hAnsi="Arial" w:cs="Arial"/>
        </w:rPr>
        <w:t xml:space="preserve">performance has averaged </w:t>
      </w:r>
      <w:r w:rsidRPr="005B1614">
        <w:rPr>
          <w:rFonts w:ascii="Arial" w:hAnsi="Arial" w:cs="Arial"/>
        </w:rPr>
        <w:t>88</w:t>
      </w:r>
      <w:r w:rsidR="005D0E04" w:rsidRPr="005B1614">
        <w:rPr>
          <w:rFonts w:ascii="Arial" w:hAnsi="Arial" w:cs="Arial"/>
        </w:rPr>
        <w:t xml:space="preserve">% </w:t>
      </w:r>
      <w:r w:rsidRPr="005B1614">
        <w:rPr>
          <w:rFonts w:ascii="Arial" w:hAnsi="Arial" w:cs="Arial"/>
        </w:rPr>
        <w:t>during Q1 (April – June 2018)</w:t>
      </w:r>
    </w:p>
    <w:p w:rsidR="00C57358" w:rsidRPr="00F81D9A" w:rsidRDefault="00F81D9A" w:rsidP="00F81D9A">
      <w:pPr>
        <w:pStyle w:val="ListParagraph"/>
        <w:spacing w:before="300"/>
        <w:contextualSpacing/>
        <w:rPr>
          <w:rFonts w:ascii="Segoe UI" w:hAnsi="Segoe UI" w:cs="Segoe UI"/>
          <w:sz w:val="22"/>
        </w:rPr>
      </w:pPr>
      <w:r>
        <w:rPr>
          <w:rFonts w:ascii="Arial" w:hAnsi="Arial" w:cs="Arial"/>
        </w:rPr>
        <w:br/>
      </w:r>
      <w:r w:rsidR="005B1614">
        <w:rPr>
          <w:rFonts w:ascii="Segoe UI" w:hAnsi="Segoe UI" w:cs="Segoe UI"/>
          <w:noProof/>
          <w:sz w:val="22"/>
          <w:lang w:val="en-GB" w:eastAsia="en-GB"/>
        </w:rPr>
        <w:drawing>
          <wp:inline distT="0" distB="0" distL="0" distR="0" wp14:anchorId="49703D67">
            <wp:extent cx="5572125" cy="23177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870" cy="2321803"/>
                    </a:xfrm>
                    <a:prstGeom prst="rect">
                      <a:avLst/>
                    </a:prstGeom>
                    <a:noFill/>
                  </pic:spPr>
                </pic:pic>
              </a:graphicData>
            </a:graphic>
          </wp:inline>
        </w:drawing>
      </w:r>
    </w:p>
    <w:p w:rsidR="009B1280" w:rsidRPr="005C2C6E" w:rsidRDefault="0093333D" w:rsidP="007A2CF0">
      <w:pPr>
        <w:jc w:val="both"/>
        <w:rPr>
          <w:rFonts w:ascii="Arial" w:hAnsi="Arial" w:cs="Arial"/>
        </w:rPr>
      </w:pPr>
      <w:r w:rsidRPr="005C2C6E">
        <w:rPr>
          <w:rFonts w:ascii="Arial" w:hAnsi="Arial" w:cs="Arial"/>
        </w:rPr>
        <w:t xml:space="preserve">   </w:t>
      </w:r>
    </w:p>
    <w:p w:rsidR="005B1614" w:rsidRDefault="005B1614">
      <w:pPr>
        <w:rPr>
          <w:rFonts w:ascii="Arial" w:hAnsi="Arial" w:cs="Arial"/>
        </w:rPr>
      </w:pPr>
      <w:r>
        <w:rPr>
          <w:rFonts w:ascii="Arial" w:hAnsi="Arial" w:cs="Arial"/>
        </w:rPr>
        <w:br w:type="page"/>
      </w:r>
    </w:p>
    <w:p w:rsidR="00B6064B" w:rsidRDefault="00B6064B" w:rsidP="0093333D">
      <w:pPr>
        <w:jc w:val="both"/>
        <w:rPr>
          <w:rFonts w:ascii="Arial" w:hAnsi="Arial" w:cs="Arial"/>
          <w:b/>
        </w:rPr>
      </w:pPr>
      <w:r>
        <w:rPr>
          <w:rFonts w:ascii="Arial" w:hAnsi="Arial" w:cs="Arial"/>
          <w:b/>
        </w:rPr>
        <w:lastRenderedPageBreak/>
        <w:t>National Position</w:t>
      </w:r>
    </w:p>
    <w:p w:rsidR="00B6064B" w:rsidRDefault="00B6064B" w:rsidP="0093333D">
      <w:pPr>
        <w:jc w:val="both"/>
        <w:rPr>
          <w:rFonts w:ascii="Arial" w:hAnsi="Arial" w:cs="Arial"/>
          <w:b/>
        </w:rPr>
      </w:pPr>
    </w:p>
    <w:p w:rsidR="00B6064B" w:rsidRPr="00FE2385" w:rsidRDefault="00B6064B" w:rsidP="00B6064B">
      <w:pPr>
        <w:jc w:val="both"/>
        <w:rPr>
          <w:rFonts w:ascii="Arial" w:hAnsi="Arial" w:cs="Arial"/>
        </w:rPr>
      </w:pPr>
      <w:r w:rsidRPr="00FE2385">
        <w:rPr>
          <w:rFonts w:ascii="Arial" w:hAnsi="Arial" w:cs="Arial"/>
        </w:rPr>
        <w:t>Following a review of the performance data, the following indicators</w:t>
      </w:r>
      <w:r>
        <w:rPr>
          <w:rFonts w:ascii="Arial" w:hAnsi="Arial" w:cs="Arial"/>
        </w:rPr>
        <w:t xml:space="preserve"> </w:t>
      </w:r>
      <w:r w:rsidR="003E4B85">
        <w:rPr>
          <w:rFonts w:ascii="Arial" w:hAnsi="Arial" w:cs="Arial"/>
        </w:rPr>
        <w:t>have been reported</w:t>
      </w:r>
      <w:r>
        <w:rPr>
          <w:rFonts w:ascii="Arial" w:hAnsi="Arial" w:cs="Arial"/>
        </w:rPr>
        <w:t xml:space="preserve"> to the </w:t>
      </w:r>
      <w:r w:rsidR="003E4B85">
        <w:rPr>
          <w:rFonts w:ascii="Arial" w:hAnsi="Arial" w:cs="Arial"/>
        </w:rPr>
        <w:t xml:space="preserve">Operations Management Team and the Trust </w:t>
      </w:r>
      <w:r>
        <w:rPr>
          <w:rFonts w:ascii="Arial" w:hAnsi="Arial" w:cs="Arial"/>
        </w:rPr>
        <w:t xml:space="preserve">Board as </w:t>
      </w:r>
      <w:r w:rsidRPr="00FE2385">
        <w:rPr>
          <w:rFonts w:ascii="Arial" w:hAnsi="Arial" w:cs="Arial"/>
        </w:rPr>
        <w:t>unde</w:t>
      </w:r>
      <w:r>
        <w:rPr>
          <w:rFonts w:ascii="Arial" w:hAnsi="Arial" w:cs="Arial"/>
        </w:rPr>
        <w:t xml:space="preserve">rperforming </w:t>
      </w:r>
      <w:r w:rsidR="003E4B85">
        <w:rPr>
          <w:rFonts w:ascii="Arial" w:hAnsi="Arial" w:cs="Arial"/>
        </w:rPr>
        <w:t>against national targets</w:t>
      </w:r>
      <w:r>
        <w:rPr>
          <w:rFonts w:ascii="Arial" w:hAnsi="Arial" w:cs="Arial"/>
        </w:rPr>
        <w:t xml:space="preserve">.  </w:t>
      </w:r>
    </w:p>
    <w:p w:rsidR="00B6064B" w:rsidRPr="00C26D06" w:rsidRDefault="00B6064B" w:rsidP="00B6064B">
      <w:pPr>
        <w:jc w:val="both"/>
        <w:rPr>
          <w:rFonts w:ascii="Arial" w:hAnsi="Arial" w:cs="Arial"/>
        </w:rPr>
      </w:pPr>
    </w:p>
    <w:p w:rsidR="00B6064B" w:rsidRPr="00DB59AD" w:rsidRDefault="00B6064B" w:rsidP="00B6064B">
      <w:pPr>
        <w:pStyle w:val="ListParagraph"/>
        <w:numPr>
          <w:ilvl w:val="0"/>
          <w:numId w:val="9"/>
        </w:numPr>
        <w:jc w:val="both"/>
        <w:rPr>
          <w:rFonts w:ascii="Arial" w:hAnsi="Arial" w:cs="Arial"/>
          <w:b/>
        </w:rPr>
      </w:pPr>
      <w:r w:rsidRPr="00C26D06">
        <w:rPr>
          <w:rFonts w:ascii="Arial" w:hAnsi="Arial" w:cs="Arial"/>
          <w:b/>
        </w:rPr>
        <w:t xml:space="preserve">Workforce – </w:t>
      </w:r>
      <w:r w:rsidRPr="00C26D06">
        <w:rPr>
          <w:rFonts w:ascii="Arial" w:hAnsi="Arial" w:cs="Arial"/>
        </w:rPr>
        <w:t>The difficulties in recruiting and retaining suitably qualified staff continues to have a direct impact on the Trust’s ability to deliver services.  Work to address these issues conti</w:t>
      </w:r>
      <w:r>
        <w:rPr>
          <w:rFonts w:ascii="Arial" w:hAnsi="Arial" w:cs="Arial"/>
        </w:rPr>
        <w:t>nues to be led by HR under the Workforce Strategy</w:t>
      </w:r>
    </w:p>
    <w:p w:rsidR="00B6064B" w:rsidRPr="00DB59AD" w:rsidRDefault="00B6064B" w:rsidP="00B6064B">
      <w:pPr>
        <w:pStyle w:val="ListParagraph"/>
        <w:jc w:val="both"/>
        <w:rPr>
          <w:rFonts w:ascii="Arial" w:hAnsi="Arial" w:cs="Arial"/>
          <w:b/>
        </w:rPr>
      </w:pPr>
      <w:r w:rsidRPr="00C26D06">
        <w:rPr>
          <w:rFonts w:ascii="Arial" w:hAnsi="Arial" w:cs="Arial"/>
        </w:rPr>
        <w:t xml:space="preserve">  </w:t>
      </w:r>
    </w:p>
    <w:p w:rsidR="00B6064B" w:rsidRPr="00C26D06" w:rsidRDefault="00B6064B" w:rsidP="00B6064B">
      <w:pPr>
        <w:pStyle w:val="ListParagraph"/>
        <w:numPr>
          <w:ilvl w:val="0"/>
          <w:numId w:val="9"/>
        </w:numPr>
        <w:jc w:val="both"/>
        <w:rPr>
          <w:rFonts w:ascii="Arial" w:hAnsi="Arial" w:cs="Arial"/>
          <w:b/>
        </w:rPr>
      </w:pPr>
      <w:r>
        <w:rPr>
          <w:rFonts w:ascii="Arial" w:hAnsi="Arial" w:cs="Arial"/>
          <w:b/>
        </w:rPr>
        <w:t xml:space="preserve">Out of Area Placements (OAP’s) – </w:t>
      </w:r>
      <w:r>
        <w:rPr>
          <w:rFonts w:ascii="Arial" w:hAnsi="Arial" w:cs="Arial"/>
        </w:rPr>
        <w:t>Due to the pressures in Oxfordshire and Buckinghamshire, OAP’s are well above the targets set by NHSE.  This increase has been due to operational pressures in both systems and a lack of alternative of community alternatives</w:t>
      </w:r>
    </w:p>
    <w:p w:rsidR="00B6064B" w:rsidRDefault="00B6064B" w:rsidP="0093333D">
      <w:pPr>
        <w:jc w:val="both"/>
        <w:rPr>
          <w:rFonts w:ascii="Arial" w:hAnsi="Arial" w:cs="Arial"/>
        </w:rPr>
      </w:pPr>
    </w:p>
    <w:p w:rsidR="00B6064B" w:rsidRPr="00801A75" w:rsidRDefault="00B6064B" w:rsidP="00B6064B">
      <w:pPr>
        <w:rPr>
          <w:rFonts w:ascii="Arial" w:hAnsi="Arial" w:cs="Arial"/>
          <w:b/>
        </w:rPr>
      </w:pPr>
      <w:r>
        <w:rPr>
          <w:rFonts w:ascii="Arial" w:hAnsi="Arial" w:cs="Arial"/>
          <w:b/>
        </w:rPr>
        <w:t xml:space="preserve">Oxfordshire, </w:t>
      </w:r>
      <w:proofErr w:type="spellStart"/>
      <w:r>
        <w:rPr>
          <w:rFonts w:ascii="Arial" w:hAnsi="Arial" w:cs="Arial"/>
          <w:b/>
        </w:rPr>
        <w:t>Swindon</w:t>
      </w:r>
      <w:proofErr w:type="spellEnd"/>
      <w:r>
        <w:rPr>
          <w:rFonts w:ascii="Arial" w:hAnsi="Arial" w:cs="Arial"/>
          <w:b/>
        </w:rPr>
        <w:t>, Wiltshire &amp; BANES – All Ages Mental Health</w:t>
      </w:r>
    </w:p>
    <w:p w:rsidR="00B6064B" w:rsidRDefault="00B6064B" w:rsidP="0093333D">
      <w:pPr>
        <w:jc w:val="both"/>
        <w:rPr>
          <w:rFonts w:ascii="Arial" w:hAnsi="Arial" w:cs="Arial"/>
        </w:rPr>
      </w:pPr>
    </w:p>
    <w:p w:rsidR="005D20D4" w:rsidRDefault="005D20D4" w:rsidP="005D20D4">
      <w:pPr>
        <w:jc w:val="both"/>
        <w:rPr>
          <w:rFonts w:ascii="Arial" w:hAnsi="Arial" w:cs="Arial"/>
        </w:rPr>
      </w:pPr>
      <w:r w:rsidRPr="005C2C6E">
        <w:rPr>
          <w:rFonts w:ascii="Arial" w:hAnsi="Arial" w:cs="Arial"/>
        </w:rPr>
        <w:t xml:space="preserve">In looking at the performance trends and identifying areas where further action is required, the following issues have been </w:t>
      </w:r>
      <w:r w:rsidR="0052560D">
        <w:rPr>
          <w:rFonts w:ascii="Arial" w:hAnsi="Arial" w:cs="Arial"/>
        </w:rPr>
        <w:t>reported to the Operations Management Team and the Board of Directors:</w:t>
      </w:r>
    </w:p>
    <w:p w:rsidR="00B6064B" w:rsidRDefault="00B6064B" w:rsidP="00B6064B">
      <w:pPr>
        <w:jc w:val="both"/>
        <w:rPr>
          <w:rFonts w:ascii="Arial" w:hAnsi="Arial" w:cs="Arial"/>
        </w:rPr>
      </w:pPr>
    </w:p>
    <w:p w:rsidR="00B6064B" w:rsidRPr="00410EC5" w:rsidRDefault="00B6064B" w:rsidP="00410EC5">
      <w:pPr>
        <w:pStyle w:val="ListParagraph"/>
        <w:numPr>
          <w:ilvl w:val="0"/>
          <w:numId w:val="9"/>
        </w:numPr>
        <w:jc w:val="both"/>
        <w:rPr>
          <w:rFonts w:ascii="Arial" w:hAnsi="Arial" w:cs="Arial"/>
        </w:rPr>
      </w:pPr>
      <w:r w:rsidRPr="000A47D9">
        <w:rPr>
          <w:rFonts w:ascii="Arial" w:hAnsi="Arial" w:cs="Arial"/>
          <w:b/>
        </w:rPr>
        <w:t>Oxfordshire CAMHS</w:t>
      </w:r>
      <w:r>
        <w:rPr>
          <w:rFonts w:ascii="Arial" w:hAnsi="Arial" w:cs="Arial"/>
        </w:rPr>
        <w:t xml:space="preserve"> – </w:t>
      </w:r>
      <w:r w:rsidR="00C53697">
        <w:rPr>
          <w:rFonts w:ascii="Arial" w:hAnsi="Arial" w:cs="Arial"/>
        </w:rPr>
        <w:t xml:space="preserve">Following the transition to the new model of care and the restructuring of the teams, the work to review and validate data has now been completed and signed off by operational services.  Although the Trust is not currently achieving the performance targets as defined by the Oxfordshire CCG, plans are </w:t>
      </w:r>
      <w:r w:rsidR="00410EC5">
        <w:rPr>
          <w:rFonts w:ascii="Arial" w:hAnsi="Arial" w:cs="Arial"/>
        </w:rPr>
        <w:t>being developed in collaboration with the CCG to address the current issues on a short term basis.</w:t>
      </w:r>
      <w:r w:rsidR="00C53697">
        <w:rPr>
          <w:rFonts w:ascii="Arial" w:hAnsi="Arial" w:cs="Arial"/>
        </w:rPr>
        <w:t xml:space="preserve"> </w:t>
      </w:r>
      <w:r w:rsidRPr="00410EC5">
        <w:rPr>
          <w:rFonts w:ascii="Arial" w:hAnsi="Arial" w:cs="Arial"/>
        </w:rPr>
        <w:t xml:space="preserve">Discussions are </w:t>
      </w:r>
      <w:r w:rsidR="00410EC5">
        <w:rPr>
          <w:rFonts w:ascii="Arial" w:hAnsi="Arial" w:cs="Arial"/>
        </w:rPr>
        <w:t xml:space="preserve">also </w:t>
      </w:r>
      <w:r w:rsidRPr="00410EC5">
        <w:rPr>
          <w:rFonts w:ascii="Arial" w:hAnsi="Arial" w:cs="Arial"/>
        </w:rPr>
        <w:t>underway</w:t>
      </w:r>
      <w:r w:rsidR="00410EC5">
        <w:rPr>
          <w:rFonts w:ascii="Arial" w:hAnsi="Arial" w:cs="Arial"/>
        </w:rPr>
        <w:t xml:space="preserve"> at an Exec to Exec level</w:t>
      </w:r>
      <w:r w:rsidRPr="00410EC5">
        <w:rPr>
          <w:rFonts w:ascii="Arial" w:hAnsi="Arial" w:cs="Arial"/>
        </w:rPr>
        <w:t xml:space="preserve"> with commissioners regarding </w:t>
      </w:r>
      <w:r w:rsidR="00410EC5">
        <w:rPr>
          <w:rFonts w:ascii="Arial" w:hAnsi="Arial" w:cs="Arial"/>
        </w:rPr>
        <w:t xml:space="preserve">medium to </w:t>
      </w:r>
      <w:r w:rsidRPr="00410EC5">
        <w:rPr>
          <w:rFonts w:ascii="Arial" w:hAnsi="Arial" w:cs="Arial"/>
        </w:rPr>
        <w:t xml:space="preserve">longer term resolution options.      </w:t>
      </w:r>
    </w:p>
    <w:p w:rsidR="00B6064B" w:rsidRDefault="00B6064B" w:rsidP="00B6064B">
      <w:pPr>
        <w:pStyle w:val="ListParagraph"/>
        <w:jc w:val="both"/>
        <w:rPr>
          <w:rFonts w:ascii="Arial" w:hAnsi="Arial" w:cs="Arial"/>
        </w:rPr>
      </w:pPr>
    </w:p>
    <w:p w:rsidR="00B6064B" w:rsidRDefault="00B6064B" w:rsidP="00B6064B">
      <w:pPr>
        <w:pStyle w:val="ListParagraph"/>
        <w:numPr>
          <w:ilvl w:val="0"/>
          <w:numId w:val="9"/>
        </w:numPr>
        <w:jc w:val="both"/>
        <w:rPr>
          <w:rFonts w:ascii="Arial" w:hAnsi="Arial" w:cs="Arial"/>
        </w:rPr>
      </w:pPr>
      <w:r w:rsidRPr="00243BA6">
        <w:rPr>
          <w:rFonts w:ascii="Arial" w:hAnsi="Arial" w:cs="Arial"/>
          <w:b/>
        </w:rPr>
        <w:t>Improving Access to Psychological Therapies (IAPT)</w:t>
      </w:r>
      <w:r w:rsidRPr="00243BA6">
        <w:rPr>
          <w:rFonts w:ascii="Arial" w:hAnsi="Arial" w:cs="Arial"/>
        </w:rPr>
        <w:t xml:space="preserve"> </w:t>
      </w:r>
      <w:r w:rsidRPr="00243BA6">
        <w:rPr>
          <w:rFonts w:ascii="Arial" w:hAnsi="Arial" w:cs="Arial"/>
          <w:b/>
        </w:rPr>
        <w:t>CBT &amp; Counselling</w:t>
      </w:r>
      <w:r w:rsidRPr="00243BA6">
        <w:rPr>
          <w:rFonts w:ascii="Arial" w:hAnsi="Arial" w:cs="Arial"/>
        </w:rPr>
        <w:t xml:space="preserve"> – Ongoing accommodation issues </w:t>
      </w:r>
      <w:r w:rsidR="00410EC5">
        <w:rPr>
          <w:rFonts w:ascii="Arial" w:hAnsi="Arial" w:cs="Arial"/>
        </w:rPr>
        <w:t>have continued to prevent</w:t>
      </w:r>
      <w:r w:rsidRPr="00243BA6">
        <w:rPr>
          <w:rFonts w:ascii="Arial" w:hAnsi="Arial" w:cs="Arial"/>
        </w:rPr>
        <w:t xml:space="preserve"> IAPT services from achieving access targets.</w:t>
      </w:r>
      <w:r>
        <w:rPr>
          <w:rFonts w:ascii="Arial" w:hAnsi="Arial" w:cs="Arial"/>
        </w:rPr>
        <w:t xml:space="preserve">  Historically, the services have been delivered from GP surgeries, however, with space now being at a premium across the system, further investment will be required so that alternative accommodation can be found.</w:t>
      </w:r>
      <w:r w:rsidRPr="00243BA6">
        <w:rPr>
          <w:rFonts w:ascii="Arial" w:hAnsi="Arial" w:cs="Arial"/>
        </w:rPr>
        <w:t xml:space="preserve"> T</w:t>
      </w:r>
      <w:r>
        <w:rPr>
          <w:rFonts w:ascii="Arial" w:hAnsi="Arial" w:cs="Arial"/>
        </w:rPr>
        <w:t>his issue has been escalated to Commissioners and potential solutions are being reviewed.</w:t>
      </w:r>
    </w:p>
    <w:p w:rsidR="00B6064B" w:rsidRPr="00B6064B" w:rsidRDefault="00B6064B" w:rsidP="00B6064B">
      <w:pPr>
        <w:pStyle w:val="ListParagraph"/>
        <w:rPr>
          <w:rFonts w:ascii="Arial" w:hAnsi="Arial" w:cs="Arial"/>
        </w:rPr>
      </w:pPr>
    </w:p>
    <w:p w:rsidR="00B6064B" w:rsidRPr="00426CE1" w:rsidRDefault="00B6064B" w:rsidP="00B6064B">
      <w:pPr>
        <w:pStyle w:val="ListParagraph"/>
        <w:numPr>
          <w:ilvl w:val="0"/>
          <w:numId w:val="9"/>
        </w:numPr>
        <w:jc w:val="both"/>
        <w:rPr>
          <w:rFonts w:ascii="Arial" w:hAnsi="Arial" w:cs="Arial"/>
          <w:b/>
        </w:rPr>
      </w:pPr>
      <w:r w:rsidRPr="001E2D28">
        <w:rPr>
          <w:rFonts w:ascii="Arial" w:hAnsi="Arial" w:cs="Arial"/>
          <w:b/>
        </w:rPr>
        <w:t xml:space="preserve">Percentage of non-urgent </w:t>
      </w:r>
      <w:r>
        <w:rPr>
          <w:rFonts w:ascii="Arial" w:hAnsi="Arial" w:cs="Arial"/>
          <w:b/>
        </w:rPr>
        <w:t xml:space="preserve">referrals </w:t>
      </w:r>
      <w:r w:rsidRPr="001E2D28">
        <w:rPr>
          <w:rFonts w:ascii="Arial" w:hAnsi="Arial" w:cs="Arial"/>
          <w:b/>
        </w:rPr>
        <w:t>that are assessed within 28 calendar days</w:t>
      </w:r>
      <w:r>
        <w:rPr>
          <w:rFonts w:ascii="Arial" w:hAnsi="Arial" w:cs="Arial"/>
          <w:b/>
        </w:rPr>
        <w:t xml:space="preserve"> (Adult Community Mental Health) – </w:t>
      </w:r>
      <w:r>
        <w:rPr>
          <w:rFonts w:ascii="Arial" w:hAnsi="Arial" w:cs="Arial"/>
        </w:rPr>
        <w:t xml:space="preserve">Due to a significant increase in referrals and pressure within operational teams, the target for this indicator has been increased to 8 weeks (from 4 weeks).  Against the revised target, the Trust </w:t>
      </w:r>
      <w:r w:rsidR="00410EC5">
        <w:rPr>
          <w:rFonts w:ascii="Arial" w:hAnsi="Arial" w:cs="Arial"/>
        </w:rPr>
        <w:t>has achieved</w:t>
      </w:r>
      <w:r>
        <w:rPr>
          <w:rFonts w:ascii="Arial" w:hAnsi="Arial" w:cs="Arial"/>
        </w:rPr>
        <w:t xml:space="preserve"> 92% compliance</w:t>
      </w:r>
      <w:r w:rsidR="00410EC5">
        <w:rPr>
          <w:rFonts w:ascii="Arial" w:hAnsi="Arial" w:cs="Arial"/>
        </w:rPr>
        <w:t xml:space="preserve"> during Q1</w:t>
      </w:r>
      <w:r>
        <w:rPr>
          <w:rFonts w:ascii="Arial" w:hAnsi="Arial" w:cs="Arial"/>
        </w:rPr>
        <w:t>.</w:t>
      </w:r>
    </w:p>
    <w:p w:rsidR="00B6064B" w:rsidRPr="00243BA6" w:rsidRDefault="00B6064B" w:rsidP="00B6064B">
      <w:pPr>
        <w:pStyle w:val="ListParagraph"/>
        <w:jc w:val="both"/>
        <w:rPr>
          <w:rFonts w:ascii="Arial" w:hAnsi="Arial" w:cs="Arial"/>
        </w:rPr>
      </w:pPr>
    </w:p>
    <w:p w:rsidR="00EC12AC" w:rsidRPr="001E2D28" w:rsidRDefault="00EC12AC" w:rsidP="00EC12AC">
      <w:pPr>
        <w:pStyle w:val="ListParagraph"/>
        <w:numPr>
          <w:ilvl w:val="0"/>
          <w:numId w:val="9"/>
        </w:numPr>
        <w:jc w:val="both"/>
        <w:rPr>
          <w:rFonts w:ascii="Arial" w:hAnsi="Arial" w:cs="Arial"/>
          <w:b/>
        </w:rPr>
      </w:pPr>
      <w:r>
        <w:rPr>
          <w:rFonts w:ascii="Arial" w:hAnsi="Arial" w:cs="Arial"/>
          <w:b/>
        </w:rPr>
        <w:t>CAMHS – Swindon, Wiltshire, Bath and North</w:t>
      </w:r>
      <w:r w:rsidR="005B1614">
        <w:rPr>
          <w:rFonts w:ascii="Arial" w:hAnsi="Arial" w:cs="Arial"/>
          <w:b/>
        </w:rPr>
        <w:t xml:space="preserve"> </w:t>
      </w:r>
      <w:r>
        <w:rPr>
          <w:rFonts w:ascii="Arial" w:hAnsi="Arial" w:cs="Arial"/>
          <w:b/>
        </w:rPr>
        <w:t xml:space="preserve">East Somerset.  </w:t>
      </w:r>
      <w:r>
        <w:rPr>
          <w:rFonts w:ascii="Arial" w:hAnsi="Arial" w:cs="Arial"/>
        </w:rPr>
        <w:t xml:space="preserve">Following the inclusion of the performance data in the monthly Board report, there are a number of indicators that are underperforming and require further investigation.  A review </w:t>
      </w:r>
      <w:r w:rsidR="00410EC5">
        <w:rPr>
          <w:rFonts w:ascii="Arial" w:hAnsi="Arial" w:cs="Arial"/>
        </w:rPr>
        <w:t xml:space="preserve">is now underway and a report will be </w:t>
      </w:r>
      <w:r w:rsidR="00410EC5">
        <w:rPr>
          <w:rFonts w:ascii="Arial" w:hAnsi="Arial" w:cs="Arial"/>
        </w:rPr>
        <w:lastRenderedPageBreak/>
        <w:t xml:space="preserve">provided to the Operations Management and Trust Executive </w:t>
      </w:r>
      <w:r>
        <w:rPr>
          <w:rFonts w:ascii="Arial" w:hAnsi="Arial" w:cs="Arial"/>
        </w:rPr>
        <w:t>in September 2018.</w:t>
      </w:r>
    </w:p>
    <w:p w:rsidR="005D20D4" w:rsidRPr="005C2C6E" w:rsidRDefault="005D20D4" w:rsidP="00497C5A">
      <w:pPr>
        <w:pStyle w:val="ListParagraph"/>
        <w:jc w:val="both"/>
        <w:rPr>
          <w:rFonts w:ascii="Arial" w:hAnsi="Arial" w:cs="Arial"/>
        </w:rPr>
      </w:pPr>
    </w:p>
    <w:p w:rsidR="00EC12AC" w:rsidRPr="00092DC0" w:rsidRDefault="00EC12AC" w:rsidP="00EC12AC">
      <w:pPr>
        <w:rPr>
          <w:rFonts w:ascii="Arial" w:hAnsi="Arial" w:cs="Arial"/>
          <w:b/>
        </w:rPr>
      </w:pPr>
      <w:r w:rsidRPr="00092DC0">
        <w:rPr>
          <w:rFonts w:ascii="Arial" w:hAnsi="Arial" w:cs="Arial"/>
          <w:b/>
        </w:rPr>
        <w:t>Buckinghamshire – All Ages Mental Health</w:t>
      </w:r>
    </w:p>
    <w:p w:rsidR="009869CE" w:rsidRPr="005C2C6E" w:rsidRDefault="009869CE" w:rsidP="009869CE">
      <w:pPr>
        <w:jc w:val="both"/>
        <w:rPr>
          <w:rFonts w:ascii="Arial" w:hAnsi="Arial" w:cs="Arial"/>
        </w:rPr>
      </w:pPr>
    </w:p>
    <w:p w:rsidR="005D20D4" w:rsidRPr="005C2C6E" w:rsidRDefault="005D20D4" w:rsidP="005D20D4">
      <w:pPr>
        <w:jc w:val="both"/>
        <w:rPr>
          <w:rFonts w:ascii="Arial" w:hAnsi="Arial" w:cs="Arial"/>
        </w:rPr>
      </w:pPr>
      <w:r w:rsidRPr="005C2C6E">
        <w:rPr>
          <w:rFonts w:ascii="Arial" w:hAnsi="Arial" w:cs="Arial"/>
        </w:rPr>
        <w:t>In looking at the performance trends and identifying areas where further action is required, the following issues have been highlighted and escalated to the Operations Management Team</w:t>
      </w:r>
      <w:r w:rsidR="006B1F5F">
        <w:rPr>
          <w:rFonts w:ascii="Arial" w:hAnsi="Arial" w:cs="Arial"/>
        </w:rPr>
        <w:t xml:space="preserve"> and Trust Board</w:t>
      </w:r>
      <w:r w:rsidRPr="005C2C6E">
        <w:rPr>
          <w:rFonts w:ascii="Arial" w:hAnsi="Arial" w:cs="Arial"/>
        </w:rPr>
        <w:t>:</w:t>
      </w:r>
    </w:p>
    <w:p w:rsidR="00F77DD1" w:rsidRPr="005C2C6E" w:rsidRDefault="00F77DD1" w:rsidP="005D20D4">
      <w:pPr>
        <w:jc w:val="both"/>
        <w:rPr>
          <w:rFonts w:ascii="Arial" w:hAnsi="Arial" w:cs="Arial"/>
        </w:rPr>
      </w:pPr>
    </w:p>
    <w:p w:rsidR="00EC12AC" w:rsidRDefault="00EC12AC" w:rsidP="00EC12AC">
      <w:pPr>
        <w:pStyle w:val="ListParagraph"/>
        <w:numPr>
          <w:ilvl w:val="0"/>
          <w:numId w:val="9"/>
        </w:numPr>
        <w:jc w:val="both"/>
        <w:rPr>
          <w:rFonts w:ascii="Arial" w:hAnsi="Arial" w:cs="Arial"/>
        </w:rPr>
      </w:pPr>
      <w:r w:rsidRPr="00092DC0">
        <w:rPr>
          <w:rFonts w:ascii="Arial" w:hAnsi="Arial" w:cs="Arial"/>
          <w:b/>
        </w:rPr>
        <w:t>Care Reviews</w:t>
      </w:r>
      <w:r>
        <w:rPr>
          <w:rFonts w:ascii="Arial" w:hAnsi="Arial" w:cs="Arial"/>
          <w:b/>
        </w:rPr>
        <w:t xml:space="preserve"> (Adult Community Mental Health)</w:t>
      </w:r>
      <w:r w:rsidRPr="00092DC0">
        <w:rPr>
          <w:rFonts w:ascii="Arial" w:hAnsi="Arial" w:cs="Arial"/>
        </w:rPr>
        <w:t xml:space="preserve"> - Analysis of the performance data has shown that timescales for care reviews across the county </w:t>
      </w:r>
      <w:r w:rsidR="006B1F5F">
        <w:rPr>
          <w:rFonts w:ascii="Arial" w:hAnsi="Arial" w:cs="Arial"/>
        </w:rPr>
        <w:t>have continued to be below contracted target during Q1</w:t>
      </w:r>
      <w:r w:rsidRPr="00092DC0">
        <w:rPr>
          <w:rFonts w:ascii="Arial" w:hAnsi="Arial" w:cs="Arial"/>
        </w:rPr>
        <w:t xml:space="preserve">.  Service leads continue to work with operational services to improve this position and performance is being closely monitored.  </w:t>
      </w:r>
    </w:p>
    <w:p w:rsidR="00EC12AC" w:rsidRDefault="00EC12AC" w:rsidP="00EC12AC">
      <w:pPr>
        <w:pStyle w:val="ListParagraph"/>
        <w:jc w:val="both"/>
        <w:rPr>
          <w:rFonts w:ascii="Arial" w:hAnsi="Arial" w:cs="Arial"/>
        </w:rPr>
      </w:pPr>
    </w:p>
    <w:p w:rsidR="00EC12AC" w:rsidRPr="00092DC0" w:rsidRDefault="00EC12AC" w:rsidP="00EC12AC">
      <w:pPr>
        <w:pStyle w:val="ListParagraph"/>
        <w:numPr>
          <w:ilvl w:val="0"/>
          <w:numId w:val="9"/>
        </w:numPr>
        <w:jc w:val="both"/>
        <w:rPr>
          <w:rFonts w:ascii="Arial" w:hAnsi="Arial" w:cs="Arial"/>
        </w:rPr>
      </w:pPr>
      <w:r>
        <w:rPr>
          <w:rFonts w:ascii="Arial" w:hAnsi="Arial" w:cs="Arial"/>
          <w:b/>
        </w:rPr>
        <w:t xml:space="preserve">DNA rates (Bucks CAMHs) </w:t>
      </w:r>
      <w:r>
        <w:rPr>
          <w:rFonts w:ascii="Arial" w:hAnsi="Arial" w:cs="Arial"/>
        </w:rPr>
        <w:t xml:space="preserve">– </w:t>
      </w:r>
      <w:r w:rsidRPr="00092DC0">
        <w:rPr>
          <w:rFonts w:ascii="Arial" w:hAnsi="Arial" w:cs="Arial"/>
        </w:rPr>
        <w:t>The service has noticed an increase in the DNA rate during the exam period and approaching the school summer holidays</w:t>
      </w:r>
    </w:p>
    <w:p w:rsidR="00EC12AC" w:rsidRPr="005C2C6E" w:rsidRDefault="00EC12AC" w:rsidP="005D20D4">
      <w:pPr>
        <w:jc w:val="both"/>
        <w:rPr>
          <w:rFonts w:ascii="Arial" w:hAnsi="Arial" w:cs="Arial"/>
        </w:rPr>
      </w:pPr>
    </w:p>
    <w:p w:rsidR="00EC12AC" w:rsidRPr="00EA71F9" w:rsidRDefault="00EC12AC" w:rsidP="00EC12AC">
      <w:pPr>
        <w:jc w:val="both"/>
        <w:rPr>
          <w:rFonts w:ascii="Arial" w:hAnsi="Arial" w:cs="Arial"/>
          <w:b/>
        </w:rPr>
      </w:pPr>
      <w:r w:rsidRPr="00EA71F9">
        <w:rPr>
          <w:rFonts w:ascii="Arial" w:hAnsi="Arial" w:cs="Arial"/>
          <w:b/>
        </w:rPr>
        <w:t>Oxfordshire Community Services Directorate</w:t>
      </w:r>
    </w:p>
    <w:p w:rsidR="001D6C0B" w:rsidRDefault="001D6C0B" w:rsidP="001D6C0B">
      <w:pPr>
        <w:pStyle w:val="ListParagraph"/>
        <w:jc w:val="both"/>
        <w:rPr>
          <w:rFonts w:ascii="Arial" w:hAnsi="Arial" w:cs="Arial"/>
        </w:rPr>
      </w:pPr>
    </w:p>
    <w:p w:rsidR="00EC12AC" w:rsidRPr="005C2C6E" w:rsidRDefault="00EC12AC" w:rsidP="00EC12AC">
      <w:pPr>
        <w:jc w:val="both"/>
        <w:rPr>
          <w:rFonts w:ascii="Arial" w:hAnsi="Arial" w:cs="Arial"/>
        </w:rPr>
      </w:pPr>
      <w:r w:rsidRPr="005C2C6E">
        <w:rPr>
          <w:rFonts w:ascii="Arial" w:hAnsi="Arial" w:cs="Arial"/>
        </w:rPr>
        <w:t>In looking at the performance trends and identifying areas where further action is required, the following issues have been highlighted and escalated to the Operations Management Team</w:t>
      </w:r>
      <w:r w:rsidR="00A10B9D">
        <w:rPr>
          <w:rFonts w:ascii="Arial" w:hAnsi="Arial" w:cs="Arial"/>
        </w:rPr>
        <w:t xml:space="preserve"> and Trust Board</w:t>
      </w:r>
      <w:r w:rsidRPr="005C2C6E">
        <w:rPr>
          <w:rFonts w:ascii="Arial" w:hAnsi="Arial" w:cs="Arial"/>
        </w:rPr>
        <w:t>:</w:t>
      </w:r>
    </w:p>
    <w:p w:rsidR="002432A2" w:rsidRDefault="002432A2" w:rsidP="00C57358">
      <w:pPr>
        <w:pStyle w:val="ListParagraph"/>
        <w:rPr>
          <w:rFonts w:ascii="Arial" w:hAnsi="Arial" w:cs="Arial"/>
        </w:rPr>
      </w:pPr>
    </w:p>
    <w:p w:rsidR="00EC12AC" w:rsidRPr="00C04554" w:rsidRDefault="00EC12AC" w:rsidP="00EC12AC">
      <w:pPr>
        <w:pStyle w:val="ListParagraph"/>
        <w:numPr>
          <w:ilvl w:val="0"/>
          <w:numId w:val="9"/>
        </w:numPr>
        <w:jc w:val="both"/>
        <w:rPr>
          <w:rFonts w:ascii="Arial" w:hAnsi="Arial" w:cs="Arial"/>
          <w:b/>
        </w:rPr>
      </w:pPr>
      <w:r w:rsidRPr="00C04554">
        <w:rPr>
          <w:rFonts w:ascii="Arial" w:hAnsi="Arial" w:cs="Arial"/>
          <w:b/>
        </w:rPr>
        <w:t>The Out of Hours (OOH) Services</w:t>
      </w:r>
      <w:r w:rsidRPr="00C04554">
        <w:rPr>
          <w:rFonts w:ascii="Arial" w:hAnsi="Arial" w:cs="Arial"/>
        </w:rPr>
        <w:t xml:space="preserve">.  Services remain under pressure but only 1 of the 9 indicators were below the exception reporting threshold </w:t>
      </w:r>
      <w:r w:rsidR="00A10B9D">
        <w:rPr>
          <w:rFonts w:ascii="Arial" w:hAnsi="Arial" w:cs="Arial"/>
        </w:rPr>
        <w:t>at the end of Q1</w:t>
      </w:r>
      <w:r w:rsidRPr="00C04554">
        <w:rPr>
          <w:rFonts w:ascii="Arial" w:hAnsi="Arial" w:cs="Arial"/>
        </w:rPr>
        <w:t xml:space="preserve"> (unfilled clinical shifts).  The service continues to ensure that every patient is safe whilst under OOH care and work to improve performance continues.  </w:t>
      </w:r>
      <w:r w:rsidR="00A10B9D">
        <w:rPr>
          <w:rFonts w:ascii="Arial" w:hAnsi="Arial" w:cs="Arial"/>
        </w:rPr>
        <w:t>The OOH service has developed a smaller number of more appropriate indicators which will be reported on at the end of Q2</w:t>
      </w:r>
      <w:r>
        <w:rPr>
          <w:rFonts w:ascii="Arial" w:hAnsi="Arial" w:cs="Arial"/>
        </w:rPr>
        <w:t>.</w:t>
      </w:r>
    </w:p>
    <w:p w:rsidR="00EC12AC" w:rsidRPr="003D2972" w:rsidRDefault="00EC12AC" w:rsidP="00EC12AC">
      <w:pPr>
        <w:pStyle w:val="ListParagraph"/>
        <w:jc w:val="both"/>
        <w:rPr>
          <w:rFonts w:ascii="Arial" w:hAnsi="Arial" w:cs="Arial"/>
          <w:b/>
          <w:highlight w:val="yellow"/>
        </w:rPr>
      </w:pPr>
    </w:p>
    <w:p w:rsidR="00EC12AC" w:rsidRPr="00C04554" w:rsidRDefault="00EC12AC" w:rsidP="00EC12AC">
      <w:pPr>
        <w:pStyle w:val="ListParagraph"/>
        <w:numPr>
          <w:ilvl w:val="0"/>
          <w:numId w:val="9"/>
        </w:numPr>
        <w:jc w:val="both"/>
        <w:rPr>
          <w:rFonts w:ascii="Arial" w:hAnsi="Arial" w:cs="Arial"/>
        </w:rPr>
      </w:pPr>
      <w:r w:rsidRPr="00C04554">
        <w:rPr>
          <w:rFonts w:ascii="Arial" w:hAnsi="Arial" w:cs="Arial"/>
          <w:b/>
        </w:rPr>
        <w:t xml:space="preserve">Physical Disabilities Physiotherapy Service (PDPS). </w:t>
      </w:r>
      <w:r>
        <w:rPr>
          <w:rFonts w:ascii="Arial" w:hAnsi="Arial" w:cs="Arial"/>
          <w:b/>
        </w:rPr>
        <w:t xml:space="preserve"> </w:t>
      </w:r>
      <w:r w:rsidRPr="00C04554">
        <w:rPr>
          <w:rFonts w:ascii="Arial" w:hAnsi="Arial" w:cs="Arial"/>
        </w:rPr>
        <w:t xml:space="preserve">A business case has been submitted to the CCG and is awaiting </w:t>
      </w:r>
      <w:r>
        <w:rPr>
          <w:rFonts w:ascii="Arial" w:hAnsi="Arial" w:cs="Arial"/>
        </w:rPr>
        <w:t xml:space="preserve">approval, however, the CCG are in the process of reviewing the full pathway.  Whilst this is underway the CCG has agreed </w:t>
      </w:r>
      <w:r w:rsidR="00A10B9D">
        <w:rPr>
          <w:rFonts w:ascii="Arial" w:hAnsi="Arial" w:cs="Arial"/>
        </w:rPr>
        <w:t>to suspend performance targets</w:t>
      </w:r>
      <w:r>
        <w:rPr>
          <w:rFonts w:ascii="Arial" w:hAnsi="Arial" w:cs="Arial"/>
        </w:rPr>
        <w:t>.</w:t>
      </w:r>
    </w:p>
    <w:p w:rsidR="00EC12AC" w:rsidRPr="003D2972" w:rsidRDefault="00EC12AC" w:rsidP="00EC12AC">
      <w:pPr>
        <w:pStyle w:val="ListParagraph"/>
        <w:rPr>
          <w:rFonts w:ascii="Arial" w:hAnsi="Arial" w:cs="Arial"/>
          <w:b/>
          <w:highlight w:val="yellow"/>
        </w:rPr>
      </w:pPr>
    </w:p>
    <w:p w:rsidR="00EC12AC" w:rsidRPr="00C04554" w:rsidRDefault="00EC12AC" w:rsidP="00EC12AC">
      <w:pPr>
        <w:pStyle w:val="ListParagraph"/>
        <w:numPr>
          <w:ilvl w:val="0"/>
          <w:numId w:val="9"/>
        </w:numPr>
        <w:jc w:val="both"/>
        <w:rPr>
          <w:rFonts w:ascii="Arial" w:hAnsi="Arial" w:cs="Arial"/>
          <w:b/>
        </w:rPr>
      </w:pPr>
      <w:r w:rsidRPr="00C04554">
        <w:rPr>
          <w:rFonts w:ascii="Arial" w:hAnsi="Arial" w:cs="Arial"/>
          <w:b/>
        </w:rPr>
        <w:t xml:space="preserve">Stroke Therapies – </w:t>
      </w:r>
      <w:r w:rsidRPr="00C04554">
        <w:rPr>
          <w:rFonts w:ascii="Arial" w:hAnsi="Arial" w:cs="Arial"/>
        </w:rPr>
        <w:t>Workforce pressures continue to affect the Trust’s ability to achieve the targets</w:t>
      </w:r>
      <w:r w:rsidR="00A10B9D">
        <w:rPr>
          <w:rFonts w:ascii="Arial" w:hAnsi="Arial" w:cs="Arial"/>
        </w:rPr>
        <w:t xml:space="preserve"> throughout Q1</w:t>
      </w:r>
      <w:r w:rsidRPr="00C04554">
        <w:rPr>
          <w:rFonts w:ascii="Arial" w:hAnsi="Arial" w:cs="Arial"/>
        </w:rPr>
        <w:t xml:space="preserve"> particularly in relation to speech and language therapy.  Actions have already been taken to maximise the available appointments and this position will continue to be monitored closely.</w:t>
      </w:r>
    </w:p>
    <w:p w:rsidR="00EC12AC" w:rsidRPr="00C04554" w:rsidRDefault="00EC12AC" w:rsidP="00EC12AC">
      <w:pPr>
        <w:pStyle w:val="ListParagraph"/>
        <w:rPr>
          <w:rFonts w:ascii="Arial" w:hAnsi="Arial" w:cs="Arial"/>
          <w:b/>
        </w:rPr>
      </w:pPr>
    </w:p>
    <w:p w:rsidR="00EC12AC" w:rsidRPr="00C04554" w:rsidRDefault="00EC12AC" w:rsidP="00EC12AC">
      <w:pPr>
        <w:pStyle w:val="ListParagraph"/>
        <w:numPr>
          <w:ilvl w:val="0"/>
          <w:numId w:val="9"/>
        </w:numPr>
        <w:jc w:val="both"/>
        <w:rPr>
          <w:rFonts w:ascii="Arial" w:hAnsi="Arial" w:cs="Arial"/>
          <w:b/>
        </w:rPr>
      </w:pPr>
      <w:r w:rsidRPr="00C04554">
        <w:rPr>
          <w:rFonts w:ascii="Arial" w:hAnsi="Arial" w:cs="Arial"/>
          <w:b/>
        </w:rPr>
        <w:t xml:space="preserve">Continuing Care – </w:t>
      </w:r>
      <w:r w:rsidRPr="00C04554">
        <w:rPr>
          <w:rFonts w:ascii="Arial" w:hAnsi="Arial" w:cs="Arial"/>
        </w:rPr>
        <w:t xml:space="preserve">a 30% increase in referrals in May impacted on existing resources to be able to undertake work in a timely manner.  The review element of the work was impacted due to prioritising new referrals who may be in the discharge pathway from an acute setting or at home without care. The 3-month reviews were given priority above the yearly as no longer </w:t>
      </w:r>
      <w:r w:rsidRPr="00C04554">
        <w:rPr>
          <w:rFonts w:ascii="Arial" w:hAnsi="Arial" w:cs="Arial"/>
        </w:rPr>
        <w:lastRenderedPageBreak/>
        <w:t>eligible for CHC is more likely at this point which would have a positive impact on the work flow and financial risk going forward.</w:t>
      </w:r>
      <w:r w:rsidRPr="00C04554">
        <w:rPr>
          <w:rFonts w:ascii="Arial" w:hAnsi="Arial" w:cs="Arial"/>
          <w:b/>
        </w:rPr>
        <w:t xml:space="preserve">  </w:t>
      </w:r>
    </w:p>
    <w:p w:rsidR="00EC12AC" w:rsidRDefault="00EC12AC" w:rsidP="00C57358">
      <w:pPr>
        <w:pStyle w:val="ListParagraph"/>
        <w:rPr>
          <w:rFonts w:ascii="Arial" w:hAnsi="Arial" w:cs="Arial"/>
        </w:rPr>
      </w:pPr>
    </w:p>
    <w:p w:rsidR="00EC12AC" w:rsidRPr="00C04554" w:rsidRDefault="00EC12AC" w:rsidP="00EC12AC">
      <w:pPr>
        <w:jc w:val="both"/>
        <w:rPr>
          <w:rFonts w:ascii="Arial" w:hAnsi="Arial" w:cs="Arial"/>
          <w:b/>
        </w:rPr>
      </w:pPr>
      <w:r w:rsidRPr="00C04554">
        <w:rPr>
          <w:rFonts w:ascii="Arial" w:hAnsi="Arial" w:cs="Arial"/>
          <w:b/>
        </w:rPr>
        <w:t>Specialist Services Directorate</w:t>
      </w:r>
    </w:p>
    <w:p w:rsidR="00EC12AC" w:rsidRDefault="00EC12AC" w:rsidP="00EC12AC">
      <w:pPr>
        <w:jc w:val="both"/>
        <w:rPr>
          <w:rFonts w:ascii="Arial" w:hAnsi="Arial" w:cs="Arial"/>
        </w:rPr>
      </w:pPr>
    </w:p>
    <w:p w:rsidR="00EC12AC" w:rsidRPr="00EA71F9" w:rsidRDefault="00EC12AC" w:rsidP="00EC12AC">
      <w:pPr>
        <w:jc w:val="both"/>
        <w:rPr>
          <w:rFonts w:ascii="Arial" w:hAnsi="Arial" w:cs="Arial"/>
        </w:rPr>
      </w:pPr>
      <w:r w:rsidRPr="00C04554">
        <w:rPr>
          <w:rFonts w:ascii="Arial" w:hAnsi="Arial" w:cs="Arial"/>
        </w:rPr>
        <w:t xml:space="preserve">In looking at the performance trends and identifying areas where further action is required, </w:t>
      </w:r>
      <w:r w:rsidRPr="00EA71F9">
        <w:rPr>
          <w:rFonts w:ascii="Arial" w:hAnsi="Arial" w:cs="Arial"/>
        </w:rPr>
        <w:t>the following issues have been highlighted to the Operations Management Team</w:t>
      </w:r>
      <w:r w:rsidR="00A10B9D">
        <w:rPr>
          <w:rFonts w:ascii="Arial" w:hAnsi="Arial" w:cs="Arial"/>
        </w:rPr>
        <w:t xml:space="preserve"> and Trust Board</w:t>
      </w:r>
      <w:r w:rsidRPr="00EA71F9">
        <w:rPr>
          <w:rFonts w:ascii="Arial" w:hAnsi="Arial" w:cs="Arial"/>
        </w:rPr>
        <w:t>:</w:t>
      </w:r>
    </w:p>
    <w:p w:rsidR="00EC12AC" w:rsidRDefault="00EC12AC" w:rsidP="00C57358">
      <w:pPr>
        <w:pStyle w:val="ListParagraph"/>
        <w:rPr>
          <w:rFonts w:ascii="Arial" w:hAnsi="Arial" w:cs="Arial"/>
        </w:rPr>
      </w:pPr>
    </w:p>
    <w:p w:rsidR="00EC12AC" w:rsidRPr="00EA71F9" w:rsidRDefault="00EC12AC" w:rsidP="00EC12AC">
      <w:pPr>
        <w:pStyle w:val="ListParagraph"/>
        <w:numPr>
          <w:ilvl w:val="0"/>
          <w:numId w:val="9"/>
        </w:numPr>
        <w:jc w:val="both"/>
        <w:rPr>
          <w:rFonts w:ascii="Arial" w:hAnsi="Arial" w:cs="Arial"/>
        </w:rPr>
      </w:pPr>
      <w:r w:rsidRPr="00EA71F9">
        <w:rPr>
          <w:rFonts w:ascii="Arial" w:hAnsi="Arial" w:cs="Arial"/>
          <w:b/>
        </w:rPr>
        <w:t xml:space="preserve">Learning Disabilities – </w:t>
      </w:r>
      <w:r w:rsidRPr="00EA71F9">
        <w:rPr>
          <w:rFonts w:ascii="Arial" w:hAnsi="Arial" w:cs="Arial"/>
        </w:rPr>
        <w:t>work continues t</w:t>
      </w:r>
      <w:r>
        <w:rPr>
          <w:rFonts w:ascii="Arial" w:hAnsi="Arial" w:cs="Arial"/>
        </w:rPr>
        <w:t xml:space="preserve">o move from manual reporting for this service.  </w:t>
      </w:r>
      <w:r w:rsidRPr="00EA71F9">
        <w:rPr>
          <w:rFonts w:ascii="Arial" w:hAnsi="Arial" w:cs="Arial"/>
        </w:rPr>
        <w:t>The CCG continue to receive weekly updates from the service re: data accuracy/collation.</w:t>
      </w:r>
      <w:r>
        <w:rPr>
          <w:rFonts w:ascii="Arial" w:hAnsi="Arial" w:cs="Arial"/>
        </w:rPr>
        <w:t xml:space="preserve">  The position in terms of data and performance has improved and work continues with services to develop further.</w:t>
      </w:r>
    </w:p>
    <w:p w:rsidR="00EC12AC" w:rsidRPr="00EA71F9" w:rsidRDefault="00EC12AC" w:rsidP="00EC12AC">
      <w:pPr>
        <w:pStyle w:val="ListParagraph"/>
        <w:jc w:val="both"/>
        <w:rPr>
          <w:rFonts w:ascii="Arial" w:hAnsi="Arial" w:cs="Arial"/>
        </w:rPr>
      </w:pPr>
    </w:p>
    <w:p w:rsidR="00EC12AC" w:rsidRPr="00EA71F9" w:rsidRDefault="00EC12AC" w:rsidP="00EC12AC">
      <w:pPr>
        <w:pStyle w:val="ListParagraph"/>
        <w:numPr>
          <w:ilvl w:val="0"/>
          <w:numId w:val="9"/>
        </w:numPr>
        <w:jc w:val="both"/>
        <w:rPr>
          <w:rFonts w:ascii="Arial" w:hAnsi="Arial" w:cs="Arial"/>
        </w:rPr>
      </w:pPr>
      <w:r w:rsidRPr="00EA71F9">
        <w:rPr>
          <w:rFonts w:ascii="Arial" w:hAnsi="Arial" w:cs="Arial"/>
          <w:b/>
        </w:rPr>
        <w:t xml:space="preserve">Dental activity – </w:t>
      </w:r>
      <w:r w:rsidRPr="00EA71F9">
        <w:rPr>
          <w:rFonts w:ascii="Arial" w:hAnsi="Arial" w:cs="Arial"/>
        </w:rPr>
        <w:t>activity will vary month on month, and will not show a true level of activity until the final episode of care is complete. Monthly breaches are reported for board purposes only and are not a cause for concern to NHSE commissioners, as targets will be met by year end.</w:t>
      </w:r>
    </w:p>
    <w:p w:rsidR="00EC12AC" w:rsidRPr="007003DD" w:rsidRDefault="00EC12AC" w:rsidP="00C57358">
      <w:pPr>
        <w:pStyle w:val="ListParagraph"/>
        <w:rPr>
          <w:rFonts w:ascii="Arial" w:hAnsi="Arial" w:cs="Arial"/>
        </w:rPr>
      </w:pPr>
    </w:p>
    <w:p w:rsidR="00FA3993" w:rsidRPr="001C1254" w:rsidRDefault="00FA3993" w:rsidP="007A2CF0">
      <w:pPr>
        <w:jc w:val="both"/>
        <w:rPr>
          <w:rFonts w:ascii="Arial" w:hAnsi="Arial" w:cs="Arial"/>
          <w:b/>
        </w:rPr>
      </w:pPr>
      <w:r w:rsidRPr="001C1254">
        <w:rPr>
          <w:rFonts w:ascii="Arial" w:hAnsi="Arial" w:cs="Arial"/>
          <w:b/>
        </w:rPr>
        <w:t>Governance Route/Approval Process</w:t>
      </w:r>
    </w:p>
    <w:p w:rsidR="005D3499" w:rsidRPr="001C1254" w:rsidRDefault="00F715FD" w:rsidP="00F715FD">
      <w:pPr>
        <w:jc w:val="both"/>
        <w:rPr>
          <w:rFonts w:ascii="Arial" w:hAnsi="Arial" w:cs="Arial"/>
        </w:rPr>
      </w:pPr>
      <w:r w:rsidRPr="001C1254">
        <w:rPr>
          <w:rFonts w:ascii="Arial" w:hAnsi="Arial" w:cs="Arial"/>
        </w:rPr>
        <w:t xml:space="preserve">This is a </w:t>
      </w:r>
      <w:r w:rsidR="007A2CF0" w:rsidRPr="001C1254">
        <w:rPr>
          <w:rFonts w:ascii="Arial" w:hAnsi="Arial" w:cs="Arial"/>
        </w:rPr>
        <w:t xml:space="preserve">quarterly update </w:t>
      </w:r>
      <w:r w:rsidRPr="001C1254">
        <w:rPr>
          <w:rFonts w:ascii="Arial" w:hAnsi="Arial" w:cs="Arial"/>
        </w:rPr>
        <w:t>report</w:t>
      </w:r>
      <w:r w:rsidR="007A2CF0" w:rsidRPr="001C1254">
        <w:rPr>
          <w:rFonts w:ascii="Arial" w:hAnsi="Arial" w:cs="Arial"/>
        </w:rPr>
        <w:t xml:space="preserve">.  </w:t>
      </w:r>
    </w:p>
    <w:p w:rsidR="00F715FD" w:rsidRPr="001C1254" w:rsidRDefault="00F715FD" w:rsidP="00F715FD">
      <w:pPr>
        <w:jc w:val="both"/>
        <w:rPr>
          <w:rFonts w:ascii="Arial" w:hAnsi="Arial" w:cs="Arial"/>
        </w:rPr>
      </w:pPr>
    </w:p>
    <w:p w:rsidR="0073522A" w:rsidRPr="001C1254" w:rsidRDefault="0073522A" w:rsidP="0073522A">
      <w:pPr>
        <w:jc w:val="both"/>
        <w:rPr>
          <w:rFonts w:ascii="Arial" w:hAnsi="Arial" w:cs="Arial"/>
          <w:b/>
        </w:rPr>
      </w:pPr>
      <w:r w:rsidRPr="001C1254">
        <w:rPr>
          <w:rFonts w:ascii="Arial" w:hAnsi="Arial" w:cs="Arial"/>
          <w:b/>
        </w:rPr>
        <w:t>Recommendation</w:t>
      </w:r>
    </w:p>
    <w:p w:rsidR="000A5A07" w:rsidRPr="001C1254" w:rsidRDefault="000A5A07" w:rsidP="0073522A">
      <w:pPr>
        <w:jc w:val="both"/>
        <w:rPr>
          <w:rFonts w:ascii="Arial" w:hAnsi="Arial" w:cs="Arial"/>
        </w:rPr>
      </w:pPr>
      <w:r w:rsidRPr="001C1254">
        <w:rPr>
          <w:rFonts w:ascii="Arial" w:hAnsi="Arial" w:cs="Arial"/>
        </w:rPr>
        <w:t xml:space="preserve">The </w:t>
      </w:r>
      <w:r w:rsidR="00342219" w:rsidRPr="001C1254">
        <w:rPr>
          <w:rFonts w:ascii="Arial" w:hAnsi="Arial" w:cs="Arial"/>
        </w:rPr>
        <w:t>Council of Governors is invited</w:t>
      </w:r>
      <w:r w:rsidR="00F715FD" w:rsidRPr="001C1254">
        <w:rPr>
          <w:rFonts w:ascii="Arial" w:hAnsi="Arial" w:cs="Arial"/>
        </w:rPr>
        <w:t xml:space="preserve"> to </w:t>
      </w:r>
      <w:r w:rsidRPr="001C1254">
        <w:rPr>
          <w:rFonts w:ascii="Arial" w:hAnsi="Arial" w:cs="Arial"/>
        </w:rPr>
        <w:t xml:space="preserve">note the report.  </w:t>
      </w:r>
    </w:p>
    <w:p w:rsidR="002432A2" w:rsidRPr="001C1254" w:rsidRDefault="002432A2" w:rsidP="00F715FD">
      <w:pPr>
        <w:ind w:left="1440" w:hanging="1440"/>
        <w:jc w:val="both"/>
        <w:rPr>
          <w:rFonts w:ascii="Arial" w:hAnsi="Arial" w:cs="Arial"/>
        </w:rPr>
      </w:pPr>
    </w:p>
    <w:p w:rsidR="002432A2" w:rsidRDefault="002432A2" w:rsidP="00F715FD">
      <w:pPr>
        <w:ind w:left="1440" w:hanging="1440"/>
        <w:jc w:val="both"/>
        <w:rPr>
          <w:rFonts w:ascii="Segoe UI" w:hAnsi="Segoe UI" w:cs="Segoe UI"/>
          <w:b/>
        </w:rPr>
      </w:pPr>
    </w:p>
    <w:p w:rsidR="00F715FD" w:rsidRPr="001C1254" w:rsidRDefault="002619EF" w:rsidP="00F715FD">
      <w:pPr>
        <w:ind w:left="1440" w:hanging="1440"/>
        <w:jc w:val="both"/>
        <w:rPr>
          <w:rFonts w:ascii="Arial" w:hAnsi="Arial" w:cs="Arial"/>
        </w:rPr>
      </w:pPr>
      <w:r w:rsidRPr="001C1254">
        <w:rPr>
          <w:rFonts w:ascii="Arial" w:hAnsi="Arial" w:cs="Arial"/>
          <w:b/>
        </w:rPr>
        <w:t>Author and T</w:t>
      </w:r>
      <w:r w:rsidR="0073522A" w:rsidRPr="001C1254">
        <w:rPr>
          <w:rFonts w:ascii="Arial" w:hAnsi="Arial" w:cs="Arial"/>
          <w:b/>
        </w:rPr>
        <w:t>itle:</w:t>
      </w:r>
      <w:r w:rsidR="007B02FB" w:rsidRPr="001C1254">
        <w:rPr>
          <w:rFonts w:ascii="Arial" w:hAnsi="Arial" w:cs="Arial"/>
          <w:b/>
        </w:rPr>
        <w:t xml:space="preserve"> </w:t>
      </w:r>
      <w:r w:rsidR="006B6902" w:rsidRPr="001C1254">
        <w:rPr>
          <w:rFonts w:ascii="Arial" w:hAnsi="Arial" w:cs="Arial"/>
        </w:rPr>
        <w:t>Claire Page</w:t>
      </w:r>
      <w:r w:rsidR="0022259D" w:rsidRPr="001C1254">
        <w:rPr>
          <w:rFonts w:ascii="Arial" w:hAnsi="Arial" w:cs="Arial"/>
        </w:rPr>
        <w:t xml:space="preserve">, </w:t>
      </w:r>
      <w:r w:rsidR="006B6902" w:rsidRPr="001C1254">
        <w:rPr>
          <w:rFonts w:ascii="Arial" w:hAnsi="Arial" w:cs="Arial"/>
        </w:rPr>
        <w:t>Head of Performance and Information</w:t>
      </w:r>
      <w:r w:rsidR="0022259D" w:rsidRPr="001C1254">
        <w:rPr>
          <w:rFonts w:ascii="Arial" w:hAnsi="Arial" w:cs="Arial"/>
        </w:rPr>
        <w:t xml:space="preserve"> </w:t>
      </w:r>
    </w:p>
    <w:p w:rsidR="00F715FD" w:rsidRPr="001C1254" w:rsidRDefault="0073522A" w:rsidP="00FA3993">
      <w:pPr>
        <w:jc w:val="both"/>
        <w:rPr>
          <w:rFonts w:ascii="Arial" w:hAnsi="Arial" w:cs="Arial"/>
        </w:rPr>
      </w:pPr>
      <w:r w:rsidRPr="001C1254">
        <w:rPr>
          <w:rFonts w:ascii="Arial" w:hAnsi="Arial" w:cs="Arial"/>
          <w:b/>
        </w:rPr>
        <w:t>Lead Executive Director:</w:t>
      </w:r>
      <w:r w:rsidR="00F715FD" w:rsidRPr="001C1254">
        <w:rPr>
          <w:rFonts w:ascii="Arial" w:hAnsi="Arial" w:cs="Arial"/>
          <w:b/>
        </w:rPr>
        <w:t xml:space="preserve"> </w:t>
      </w:r>
      <w:r w:rsidR="00C57358" w:rsidRPr="001C1254">
        <w:rPr>
          <w:rFonts w:ascii="Arial" w:hAnsi="Arial" w:cs="Arial"/>
        </w:rPr>
        <w:t>Martyn Ward, Director of Strategy &amp; Performance </w:t>
      </w:r>
    </w:p>
    <w:p w:rsidR="004B24B2" w:rsidRPr="00C57358" w:rsidRDefault="004B24B2" w:rsidP="00FA3993">
      <w:pPr>
        <w:jc w:val="both"/>
        <w:rPr>
          <w:rFonts w:ascii="Arial" w:hAnsi="Arial" w:cs="Arial"/>
        </w:rPr>
      </w:pPr>
    </w:p>
    <w:p w:rsidR="004B24B2" w:rsidRPr="005C2C6E" w:rsidRDefault="004B24B2">
      <w:pPr>
        <w:rPr>
          <w:rFonts w:ascii="Segoe UI" w:hAnsi="Segoe UI" w:cs="Segoe UI"/>
        </w:rPr>
        <w:sectPr w:rsidR="004B24B2" w:rsidRPr="005C2C6E" w:rsidSect="00D227FC">
          <w:headerReference w:type="first" r:id="rId10"/>
          <w:pgSz w:w="12240" w:h="15840" w:code="1"/>
          <w:pgMar w:top="1440" w:right="1797" w:bottom="851" w:left="1797" w:header="709" w:footer="709" w:gutter="0"/>
          <w:cols w:space="708"/>
          <w:titlePg/>
          <w:docGrid w:linePitch="360"/>
        </w:sectPr>
      </w:pPr>
    </w:p>
    <w:p w:rsidR="00F2180B" w:rsidRPr="005C2C6E" w:rsidRDefault="00F2180B">
      <w:pPr>
        <w:rPr>
          <w:rFonts w:ascii="Segoe UI" w:hAnsi="Segoe UI" w:cs="Segoe UI"/>
          <w:b/>
        </w:rPr>
      </w:pPr>
      <w:r w:rsidRPr="005C2C6E">
        <w:rPr>
          <w:rFonts w:ascii="Segoe UI" w:hAnsi="Segoe UI" w:cs="Segoe UI"/>
          <w:b/>
        </w:rPr>
        <w:lastRenderedPageBreak/>
        <w:t>Appendix 1 – Performance Reporting Structure</w:t>
      </w:r>
    </w:p>
    <w:p w:rsidR="00F2180B" w:rsidRPr="005C2C6E" w:rsidRDefault="00F2180B">
      <w:pPr>
        <w:rPr>
          <w:rFonts w:ascii="Segoe UI" w:hAnsi="Segoe UI" w:cs="Segoe UI"/>
          <w:b/>
        </w:rPr>
      </w:pPr>
    </w:p>
    <w:p w:rsidR="00FA3993" w:rsidRPr="0072070D" w:rsidRDefault="00F2180B" w:rsidP="00F2180B">
      <w:pPr>
        <w:jc w:val="center"/>
        <w:rPr>
          <w:rFonts w:ascii="Segoe UI" w:hAnsi="Segoe UI" w:cs="Segoe UI"/>
        </w:rPr>
      </w:pPr>
      <w:r w:rsidRPr="005C2C6E">
        <w:rPr>
          <w:rFonts w:ascii="Segoe UI" w:hAnsi="Segoe UI" w:cs="Segoe UI"/>
          <w:b/>
          <w:noProof/>
          <w:lang w:val="en-GB" w:eastAsia="en-GB"/>
        </w:rPr>
        <w:drawing>
          <wp:inline distT="0" distB="0" distL="0" distR="0" wp14:anchorId="04F7897F" wp14:editId="27627154">
            <wp:extent cx="7210425" cy="4992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Reporting Structure COG.jpg"/>
                    <pic:cNvPicPr/>
                  </pic:nvPicPr>
                  <pic:blipFill>
                    <a:blip r:embed="rId11">
                      <a:extLst>
                        <a:ext uri="{28A0092B-C50C-407E-A947-70E740481C1C}">
                          <a14:useLocalDpi xmlns:a14="http://schemas.microsoft.com/office/drawing/2010/main" val="0"/>
                        </a:ext>
                      </a:extLst>
                    </a:blip>
                    <a:stretch>
                      <a:fillRect/>
                    </a:stretch>
                  </pic:blipFill>
                  <pic:spPr>
                    <a:xfrm>
                      <a:off x="0" y="0"/>
                      <a:ext cx="7218620" cy="4998173"/>
                    </a:xfrm>
                    <a:prstGeom prst="rect">
                      <a:avLst/>
                    </a:prstGeom>
                  </pic:spPr>
                </pic:pic>
              </a:graphicData>
            </a:graphic>
          </wp:inline>
        </w:drawing>
      </w:r>
    </w:p>
    <w:sectPr w:rsidR="00FA3993" w:rsidRPr="0072070D" w:rsidSect="004B24B2">
      <w:pgSz w:w="15840" w:h="12240" w:orient="landscape" w:code="1"/>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28" w:rsidRDefault="00E61928" w:rsidP="005B3E3C">
      <w:r>
        <w:separator/>
      </w:r>
    </w:p>
  </w:endnote>
  <w:endnote w:type="continuationSeparator" w:id="0">
    <w:p w:rsidR="00E61928" w:rsidRDefault="00E6192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28" w:rsidRDefault="00E61928" w:rsidP="005B3E3C">
      <w:r>
        <w:separator/>
      </w:r>
    </w:p>
  </w:footnote>
  <w:footnote w:type="continuationSeparator" w:id="0">
    <w:p w:rsidR="00E61928" w:rsidRDefault="00E61928"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F0F" w:rsidRPr="00342219" w:rsidRDefault="00262F0F" w:rsidP="00262F0F">
    <w:pPr>
      <w:pStyle w:val="Header"/>
      <w:jc w:val="center"/>
      <w:rPr>
        <w:rFonts w:ascii="Segoe UI" w:hAnsi="Segoe UI" w:cs="Segoe UI"/>
        <w:b/>
        <w:i/>
        <w:sz w:val="20"/>
        <w:szCs w:val="20"/>
      </w:rPr>
    </w:pPr>
    <w:r w:rsidRPr="00342219">
      <w:rPr>
        <w:rFonts w:ascii="Segoe UI" w:hAnsi="Segoe UI" w:cs="Segoe UI"/>
        <w:b/>
        <w:i/>
        <w:sz w:val="20"/>
        <w:szCs w:val="2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366A2F6A"/>
    <w:multiLevelType w:val="hybridMultilevel"/>
    <w:tmpl w:val="B004042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586A312C"/>
    <w:multiLevelType w:val="hybridMultilevel"/>
    <w:tmpl w:val="FD24E916"/>
    <w:lvl w:ilvl="0" w:tplc="DF3471E6">
      <w:numFmt w:val="bullet"/>
      <w:lvlText w:val=""/>
      <w:lvlJc w:val="left"/>
      <w:pPr>
        <w:ind w:left="720" w:hanging="360"/>
      </w:pPr>
      <w:rPr>
        <w:rFonts w:ascii="Wingdings" w:eastAsia="Times New Roman" w:hAnsi="Wingdings"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1"/>
  </w:num>
  <w:num w:numId="5">
    <w:abstractNumId w:val="7"/>
  </w:num>
  <w:num w:numId="6">
    <w:abstractNumId w:val="2"/>
  </w:num>
  <w:num w:numId="7">
    <w:abstractNumId w:val="0"/>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4B2B"/>
    <w:rsid w:val="0002155B"/>
    <w:rsid w:val="00025757"/>
    <w:rsid w:val="00030247"/>
    <w:rsid w:val="0004428A"/>
    <w:rsid w:val="00071842"/>
    <w:rsid w:val="00084EB3"/>
    <w:rsid w:val="000A3A29"/>
    <w:rsid w:val="000A5A07"/>
    <w:rsid w:val="000E317C"/>
    <w:rsid w:val="00130B75"/>
    <w:rsid w:val="00140CB9"/>
    <w:rsid w:val="00175125"/>
    <w:rsid w:val="001A1359"/>
    <w:rsid w:val="001C1254"/>
    <w:rsid w:val="001D32C5"/>
    <w:rsid w:val="001D6C0B"/>
    <w:rsid w:val="001F1FA5"/>
    <w:rsid w:val="001F76ED"/>
    <w:rsid w:val="00216A21"/>
    <w:rsid w:val="0022259D"/>
    <w:rsid w:val="002250DE"/>
    <w:rsid w:val="00227FCE"/>
    <w:rsid w:val="00241A66"/>
    <w:rsid w:val="002432A2"/>
    <w:rsid w:val="00243EF5"/>
    <w:rsid w:val="00260E05"/>
    <w:rsid w:val="002619EF"/>
    <w:rsid w:val="00262F0F"/>
    <w:rsid w:val="0027199E"/>
    <w:rsid w:val="00272A14"/>
    <w:rsid w:val="00276E7F"/>
    <w:rsid w:val="002821F8"/>
    <w:rsid w:val="00284094"/>
    <w:rsid w:val="00291052"/>
    <w:rsid w:val="00292613"/>
    <w:rsid w:val="002A73E8"/>
    <w:rsid w:val="002C2F97"/>
    <w:rsid w:val="002E6FC6"/>
    <w:rsid w:val="00306AF0"/>
    <w:rsid w:val="00335AAA"/>
    <w:rsid w:val="00342219"/>
    <w:rsid w:val="003437AA"/>
    <w:rsid w:val="00366067"/>
    <w:rsid w:val="003927AC"/>
    <w:rsid w:val="003971F6"/>
    <w:rsid w:val="003B4537"/>
    <w:rsid w:val="003E4B85"/>
    <w:rsid w:val="003F2AF4"/>
    <w:rsid w:val="003F7366"/>
    <w:rsid w:val="00410EC5"/>
    <w:rsid w:val="004326BB"/>
    <w:rsid w:val="004432A3"/>
    <w:rsid w:val="00456DDE"/>
    <w:rsid w:val="00473055"/>
    <w:rsid w:val="004742D0"/>
    <w:rsid w:val="004900E9"/>
    <w:rsid w:val="00497C5A"/>
    <w:rsid w:val="004A5E53"/>
    <w:rsid w:val="004B087A"/>
    <w:rsid w:val="004B24B2"/>
    <w:rsid w:val="004E0AAE"/>
    <w:rsid w:val="004F4BBA"/>
    <w:rsid w:val="00503D2E"/>
    <w:rsid w:val="005233AA"/>
    <w:rsid w:val="0052560D"/>
    <w:rsid w:val="00533F41"/>
    <w:rsid w:val="0054519F"/>
    <w:rsid w:val="00551B0F"/>
    <w:rsid w:val="005659FB"/>
    <w:rsid w:val="00582831"/>
    <w:rsid w:val="00582F51"/>
    <w:rsid w:val="005B1614"/>
    <w:rsid w:val="005B3E3C"/>
    <w:rsid w:val="005C2C6E"/>
    <w:rsid w:val="005C3FC1"/>
    <w:rsid w:val="005D0E04"/>
    <w:rsid w:val="005D20D4"/>
    <w:rsid w:val="005D3499"/>
    <w:rsid w:val="005E2583"/>
    <w:rsid w:val="0061684E"/>
    <w:rsid w:val="00655B10"/>
    <w:rsid w:val="00656584"/>
    <w:rsid w:val="00674B5D"/>
    <w:rsid w:val="006B1F5F"/>
    <w:rsid w:val="006B6902"/>
    <w:rsid w:val="006C265F"/>
    <w:rsid w:val="006E38F4"/>
    <w:rsid w:val="006E3C3E"/>
    <w:rsid w:val="006F2F62"/>
    <w:rsid w:val="00722A2B"/>
    <w:rsid w:val="0073522A"/>
    <w:rsid w:val="0076314E"/>
    <w:rsid w:val="00766230"/>
    <w:rsid w:val="00766BA2"/>
    <w:rsid w:val="007769CD"/>
    <w:rsid w:val="00777400"/>
    <w:rsid w:val="00777514"/>
    <w:rsid w:val="0078032B"/>
    <w:rsid w:val="00781566"/>
    <w:rsid w:val="007976E7"/>
    <w:rsid w:val="007A2CF0"/>
    <w:rsid w:val="007A318A"/>
    <w:rsid w:val="007B02FB"/>
    <w:rsid w:val="007B6D77"/>
    <w:rsid w:val="007C5E98"/>
    <w:rsid w:val="007E3B7E"/>
    <w:rsid w:val="007E5EEF"/>
    <w:rsid w:val="00802701"/>
    <w:rsid w:val="008038A2"/>
    <w:rsid w:val="00811FE8"/>
    <w:rsid w:val="0084720C"/>
    <w:rsid w:val="008620A8"/>
    <w:rsid w:val="0086436B"/>
    <w:rsid w:val="00894B97"/>
    <w:rsid w:val="00895A10"/>
    <w:rsid w:val="008B448F"/>
    <w:rsid w:val="008B5883"/>
    <w:rsid w:val="008C6B13"/>
    <w:rsid w:val="008E27C9"/>
    <w:rsid w:val="009005E7"/>
    <w:rsid w:val="009155CE"/>
    <w:rsid w:val="0092104D"/>
    <w:rsid w:val="0092780F"/>
    <w:rsid w:val="0093333D"/>
    <w:rsid w:val="00946E6E"/>
    <w:rsid w:val="00962A8E"/>
    <w:rsid w:val="009869CE"/>
    <w:rsid w:val="009869DE"/>
    <w:rsid w:val="00996676"/>
    <w:rsid w:val="009B1280"/>
    <w:rsid w:val="009C1F87"/>
    <w:rsid w:val="009C77E5"/>
    <w:rsid w:val="00A10B9D"/>
    <w:rsid w:val="00A674FB"/>
    <w:rsid w:val="00A85311"/>
    <w:rsid w:val="00A863D2"/>
    <w:rsid w:val="00A86977"/>
    <w:rsid w:val="00AA0C3F"/>
    <w:rsid w:val="00AC3814"/>
    <w:rsid w:val="00AF0562"/>
    <w:rsid w:val="00AF22A8"/>
    <w:rsid w:val="00AF5363"/>
    <w:rsid w:val="00B10FB2"/>
    <w:rsid w:val="00B26E1A"/>
    <w:rsid w:val="00B26F2C"/>
    <w:rsid w:val="00B508F4"/>
    <w:rsid w:val="00B50D5E"/>
    <w:rsid w:val="00B54E2B"/>
    <w:rsid w:val="00B6064B"/>
    <w:rsid w:val="00BA3B3E"/>
    <w:rsid w:val="00BC152C"/>
    <w:rsid w:val="00BC37A3"/>
    <w:rsid w:val="00BD0322"/>
    <w:rsid w:val="00BE066C"/>
    <w:rsid w:val="00BF3538"/>
    <w:rsid w:val="00BF5367"/>
    <w:rsid w:val="00C07817"/>
    <w:rsid w:val="00C11AA2"/>
    <w:rsid w:val="00C40728"/>
    <w:rsid w:val="00C53697"/>
    <w:rsid w:val="00C56F57"/>
    <w:rsid w:val="00C57358"/>
    <w:rsid w:val="00C6357C"/>
    <w:rsid w:val="00C67635"/>
    <w:rsid w:val="00C71005"/>
    <w:rsid w:val="00C855F5"/>
    <w:rsid w:val="00CB3A79"/>
    <w:rsid w:val="00D07064"/>
    <w:rsid w:val="00D101CB"/>
    <w:rsid w:val="00D20ACD"/>
    <w:rsid w:val="00D227FC"/>
    <w:rsid w:val="00D279FC"/>
    <w:rsid w:val="00D3125F"/>
    <w:rsid w:val="00D44BD6"/>
    <w:rsid w:val="00D55ADD"/>
    <w:rsid w:val="00D8544F"/>
    <w:rsid w:val="00D870AD"/>
    <w:rsid w:val="00DA0FA6"/>
    <w:rsid w:val="00DB161E"/>
    <w:rsid w:val="00DC46A7"/>
    <w:rsid w:val="00DD21B1"/>
    <w:rsid w:val="00DD33DF"/>
    <w:rsid w:val="00DE1293"/>
    <w:rsid w:val="00DF10CC"/>
    <w:rsid w:val="00E402C3"/>
    <w:rsid w:val="00E43938"/>
    <w:rsid w:val="00E60D96"/>
    <w:rsid w:val="00E61928"/>
    <w:rsid w:val="00E827C5"/>
    <w:rsid w:val="00E94A21"/>
    <w:rsid w:val="00EB6220"/>
    <w:rsid w:val="00EC12AC"/>
    <w:rsid w:val="00EE17F7"/>
    <w:rsid w:val="00EF35EC"/>
    <w:rsid w:val="00F10A21"/>
    <w:rsid w:val="00F2180B"/>
    <w:rsid w:val="00F24EB2"/>
    <w:rsid w:val="00F259ED"/>
    <w:rsid w:val="00F50A07"/>
    <w:rsid w:val="00F57119"/>
    <w:rsid w:val="00F715FD"/>
    <w:rsid w:val="00F77C13"/>
    <w:rsid w:val="00F77DD1"/>
    <w:rsid w:val="00F81D9A"/>
    <w:rsid w:val="00F90501"/>
    <w:rsid w:val="00F945DB"/>
    <w:rsid w:val="00FA3993"/>
    <w:rsid w:val="00FA5118"/>
    <w:rsid w:val="00FC35E4"/>
    <w:rsid w:val="00FC71D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7B8E87"/>
  <w15:docId w15:val="{A1A984DE-B752-40E2-A81D-F267A1DA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3C50-8590-4263-AF58-4A418DC3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1340</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13</cp:revision>
  <cp:lastPrinted>2014-03-17T14:55:00Z</cp:lastPrinted>
  <dcterms:created xsi:type="dcterms:W3CDTF">2018-08-22T09:14:00Z</dcterms:created>
  <dcterms:modified xsi:type="dcterms:W3CDTF">2018-08-31T11:05:00Z</dcterms:modified>
</cp:coreProperties>
</file>