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Default="007B6D7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C62464">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22860</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25508D">
                            <w:pPr>
                              <w:jc w:val="center"/>
                              <w:rPr>
                                <w:rFonts w:ascii="Arial" w:hAnsi="Arial" w:cs="Arial"/>
                              </w:rPr>
                            </w:pPr>
                            <w:r>
                              <w:rPr>
                                <w:rFonts w:ascii="Arial" w:hAnsi="Arial" w:cs="Arial"/>
                                <w:b/>
                              </w:rPr>
                              <w:t>BOD</w:t>
                            </w:r>
                            <w:r w:rsidR="008F2C59">
                              <w:rPr>
                                <w:rFonts w:ascii="Arial" w:hAnsi="Arial" w:cs="Arial"/>
                                <w:b/>
                              </w:rPr>
                              <w:t xml:space="preserve"> 137/2018</w:t>
                            </w:r>
                            <w:r>
                              <w:rPr>
                                <w:rFonts w:ascii="Arial" w:hAnsi="Arial" w:cs="Arial"/>
                                <w:b/>
                              </w:rPr>
                              <w:t xml:space="preserve"> </w:t>
                            </w:r>
                          </w:p>
                          <w:p w:rsidR="0025508D" w:rsidRPr="0025508D" w:rsidRDefault="008F2C59">
                            <w:pPr>
                              <w:jc w:val="center"/>
                              <w:rPr>
                                <w:rFonts w:ascii="Arial" w:hAnsi="Arial" w:cs="Arial"/>
                                <w:sz w:val="22"/>
                                <w:szCs w:val="22"/>
                              </w:rPr>
                            </w:pPr>
                            <w:r>
                              <w:rPr>
                                <w:rFonts w:ascii="Arial" w:hAnsi="Arial" w:cs="Arial"/>
                                <w:sz w:val="22"/>
                                <w:szCs w:val="22"/>
                              </w:rPr>
                              <w:t>(Agenda item: 6</w:t>
                            </w:r>
                            <w:bookmarkStart w:id="0" w:name="_GoBack"/>
                            <w:bookmarkEnd w:id="0"/>
                            <w:r w:rsidR="0025508D">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1.8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">
                <v:textbox inset="0,0,0,0">
                  <w:txbxContent>
                    <w:p w:rsidR="00781566" w:rsidRDefault="0025508D">
                      <w:pPr>
                        <w:jc w:val="center"/>
                        <w:rPr>
                          <w:rFonts w:ascii="Arial" w:hAnsi="Arial" w:cs="Arial"/>
                        </w:rPr>
                      </w:pPr>
                      <w:r>
                        <w:rPr>
                          <w:rFonts w:ascii="Arial" w:hAnsi="Arial" w:cs="Arial"/>
                          <w:b/>
                        </w:rPr>
                        <w:t>BOD</w:t>
                      </w:r>
                      <w:r w:rsidR="008F2C59">
                        <w:rPr>
                          <w:rFonts w:ascii="Arial" w:hAnsi="Arial" w:cs="Arial"/>
                          <w:b/>
                        </w:rPr>
                        <w:t xml:space="preserve"> 137/2018</w:t>
                      </w:r>
                      <w:r>
                        <w:rPr>
                          <w:rFonts w:ascii="Arial" w:hAnsi="Arial" w:cs="Arial"/>
                          <w:b/>
                        </w:rPr>
                        <w:t xml:space="preserve"> </w:t>
                      </w:r>
                    </w:p>
                    <w:p w:rsidR="0025508D" w:rsidRPr="0025508D" w:rsidRDefault="008F2C59">
                      <w:pPr>
                        <w:jc w:val="center"/>
                        <w:rPr>
                          <w:rFonts w:ascii="Arial" w:hAnsi="Arial" w:cs="Arial"/>
                          <w:sz w:val="22"/>
                          <w:szCs w:val="22"/>
                        </w:rPr>
                      </w:pPr>
                      <w:r>
                        <w:rPr>
                          <w:rFonts w:ascii="Arial" w:hAnsi="Arial" w:cs="Arial"/>
                          <w:sz w:val="22"/>
                          <w:szCs w:val="22"/>
                        </w:rPr>
                        <w:t>(Agenda item: 6</w:t>
                      </w:r>
                      <w:bookmarkStart w:id="1" w:name="_GoBack"/>
                      <w:bookmarkEnd w:id="1"/>
                      <w:r w:rsidR="0025508D">
                        <w:rPr>
                          <w:rFonts w:ascii="Arial" w:hAnsi="Arial" w:cs="Arial"/>
                          <w:sz w:val="22"/>
                          <w:szCs w:val="22"/>
                        </w:rPr>
                        <w:t>)</w:t>
                      </w: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rsidP="00FA5118">
      <w:pPr>
        <w:pStyle w:val="Heading1"/>
        <w:jc w:val="center"/>
        <w:rPr>
          <w:sz w:val="24"/>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073BA1">
      <w:pPr>
        <w:jc w:val="center"/>
        <w:rPr>
          <w:rFonts w:ascii="Arial" w:hAnsi="Arial" w:cs="Arial"/>
          <w:b/>
        </w:rPr>
      </w:pPr>
      <w:r>
        <w:rPr>
          <w:rFonts w:ascii="Arial" w:hAnsi="Arial" w:cs="Arial"/>
          <w:b/>
        </w:rPr>
        <w:t>30</w:t>
      </w:r>
      <w:r w:rsidRPr="00073BA1">
        <w:rPr>
          <w:rFonts w:ascii="Arial" w:hAnsi="Arial" w:cs="Arial"/>
          <w:b/>
          <w:vertAlign w:val="superscript"/>
        </w:rPr>
        <w:t>th</w:t>
      </w:r>
      <w:r>
        <w:rPr>
          <w:rFonts w:ascii="Arial" w:hAnsi="Arial" w:cs="Arial"/>
          <w:b/>
        </w:rPr>
        <w:t xml:space="preserve"> November </w:t>
      </w:r>
      <w:r w:rsidR="00026260">
        <w:rPr>
          <w:rFonts w:ascii="Arial" w:hAnsi="Arial" w:cs="Arial"/>
          <w:b/>
        </w:rPr>
        <w:t>2018</w:t>
      </w:r>
    </w:p>
    <w:p w:rsidR="005D3499" w:rsidRDefault="005D3499">
      <w:pPr>
        <w:jc w:val="center"/>
        <w:rPr>
          <w:rFonts w:ascii="Arial" w:hAnsi="Arial" w:cs="Arial"/>
          <w:b/>
        </w:rPr>
      </w:pPr>
    </w:p>
    <w:p w:rsidR="005D3499" w:rsidRDefault="00922966" w:rsidP="00FD2279">
      <w:pPr>
        <w:jc w:val="center"/>
        <w:rPr>
          <w:rFonts w:ascii="Arial" w:hAnsi="Arial" w:cs="Arial"/>
          <w:b/>
        </w:rPr>
      </w:pPr>
      <w:r>
        <w:rPr>
          <w:rFonts w:ascii="Arial" w:hAnsi="Arial" w:cs="Arial"/>
          <w:b/>
        </w:rPr>
        <w:t>Monthly Performance Report</w:t>
      </w:r>
      <w:r w:rsidR="000B77F9">
        <w:rPr>
          <w:rFonts w:ascii="Arial" w:hAnsi="Arial" w:cs="Arial"/>
          <w:b/>
        </w:rPr>
        <w:t xml:space="preserve"> – </w:t>
      </w:r>
      <w:r w:rsidR="00073BA1">
        <w:rPr>
          <w:rFonts w:ascii="Arial" w:hAnsi="Arial" w:cs="Arial"/>
          <w:b/>
        </w:rPr>
        <w:t>M7 October</w:t>
      </w:r>
      <w:r w:rsidR="003A413B">
        <w:rPr>
          <w:rFonts w:ascii="Arial" w:hAnsi="Arial" w:cs="Arial"/>
          <w:b/>
        </w:rPr>
        <w:t xml:space="preserve"> 2018</w:t>
      </w: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w:t>
      </w:r>
      <w:r w:rsidR="00C36082">
        <w:rPr>
          <w:rFonts w:ascii="Arial" w:hAnsi="Arial" w:cs="Arial"/>
          <w:b/>
          <w:u w:val="single"/>
        </w:rPr>
        <w:t xml:space="preserve">Information </w:t>
      </w:r>
    </w:p>
    <w:p w:rsidR="00292613" w:rsidRDefault="00292613">
      <w:pPr>
        <w:rPr>
          <w:rFonts w:ascii="Arial" w:hAnsi="Arial" w:cs="Arial"/>
          <w:b/>
        </w:rPr>
      </w:pPr>
    </w:p>
    <w:p w:rsidR="007A2CF0" w:rsidRDefault="007A2CF0" w:rsidP="007A2CF0">
      <w:pPr>
        <w:jc w:val="both"/>
        <w:rPr>
          <w:rFonts w:ascii="Arial" w:hAnsi="Arial" w:cs="Arial"/>
          <w:b/>
        </w:rPr>
      </w:pPr>
      <w:r>
        <w:rPr>
          <w:rFonts w:ascii="Arial" w:hAnsi="Arial" w:cs="Arial"/>
          <w:b/>
        </w:rPr>
        <w:t>Executive Summary</w:t>
      </w:r>
    </w:p>
    <w:p w:rsidR="007A2CF0" w:rsidRDefault="007A2CF0" w:rsidP="007A2CF0">
      <w:pPr>
        <w:jc w:val="both"/>
        <w:rPr>
          <w:rFonts w:ascii="Arial" w:hAnsi="Arial" w:cs="Arial"/>
          <w:b/>
        </w:rPr>
      </w:pPr>
    </w:p>
    <w:p w:rsidR="006B6FE8" w:rsidRDefault="006B6FE8" w:rsidP="006B6FE8">
      <w:pPr>
        <w:jc w:val="both"/>
        <w:rPr>
          <w:rFonts w:ascii="Arial" w:hAnsi="Arial" w:cs="Arial"/>
        </w:rPr>
      </w:pPr>
      <w:r>
        <w:rPr>
          <w:rFonts w:ascii="Arial" w:hAnsi="Arial" w:cs="Arial"/>
        </w:rPr>
        <w:t>The monthly performance report provides an overall view of the Trust’s performance against both national and locally contracted targets.  Although the Trust is</w:t>
      </w:r>
      <w:r w:rsidR="00073BA1">
        <w:rPr>
          <w:rFonts w:ascii="Arial" w:hAnsi="Arial" w:cs="Arial"/>
        </w:rPr>
        <w:t xml:space="preserve"> required to report against 2137</w:t>
      </w:r>
      <w:r>
        <w:rPr>
          <w:rFonts w:ascii="Arial" w:hAnsi="Arial" w:cs="Arial"/>
        </w:rPr>
        <w:t xml:space="preserve"> commissioner </w:t>
      </w:r>
      <w:r w:rsidR="00A17386">
        <w:rPr>
          <w:rFonts w:ascii="Arial" w:hAnsi="Arial" w:cs="Arial"/>
        </w:rPr>
        <w:t>defined</w:t>
      </w:r>
      <w:r>
        <w:rPr>
          <w:rFonts w:ascii="Arial" w:hAnsi="Arial" w:cs="Arial"/>
        </w:rPr>
        <w:t xml:space="preserve"> indi</w:t>
      </w:r>
      <w:r w:rsidR="00073BA1">
        <w:rPr>
          <w:rFonts w:ascii="Arial" w:hAnsi="Arial" w:cs="Arial"/>
        </w:rPr>
        <w:t>cators at month 7</w:t>
      </w:r>
      <w:r>
        <w:rPr>
          <w:rFonts w:ascii="Arial" w:hAnsi="Arial" w:cs="Arial"/>
        </w:rPr>
        <w:t xml:space="preserve">, only </w:t>
      </w:r>
      <w:r w:rsidR="00073BA1">
        <w:rPr>
          <w:rFonts w:ascii="Arial" w:hAnsi="Arial" w:cs="Arial"/>
        </w:rPr>
        <w:t>305</w:t>
      </w:r>
      <w:r>
        <w:rPr>
          <w:rFonts w:ascii="Arial" w:hAnsi="Arial" w:cs="Arial"/>
        </w:rPr>
        <w:t xml:space="preserve"> actually had specific targets.  </w:t>
      </w:r>
    </w:p>
    <w:p w:rsidR="006B6FE8" w:rsidRDefault="006B6FE8" w:rsidP="006B6FE8">
      <w:pPr>
        <w:jc w:val="both"/>
        <w:rPr>
          <w:rFonts w:ascii="Arial" w:hAnsi="Arial" w:cs="Arial"/>
        </w:rPr>
      </w:pPr>
    </w:p>
    <w:p w:rsidR="006B6FE8" w:rsidRDefault="006B6FE8" w:rsidP="006B6FE8">
      <w:pPr>
        <w:jc w:val="both"/>
        <w:rPr>
          <w:rFonts w:ascii="Arial" w:hAnsi="Arial" w:cs="Arial"/>
        </w:rPr>
      </w:pPr>
      <w:r>
        <w:rPr>
          <w:rFonts w:ascii="Arial" w:hAnsi="Arial" w:cs="Arial"/>
        </w:rPr>
        <w:t xml:space="preserve">Of those </w:t>
      </w:r>
      <w:r w:rsidR="00073BA1" w:rsidRPr="00073BA1">
        <w:rPr>
          <w:rFonts w:ascii="Arial" w:hAnsi="Arial" w:cs="Arial"/>
          <w:b/>
        </w:rPr>
        <w:t>305</w:t>
      </w:r>
      <w:r>
        <w:rPr>
          <w:rFonts w:ascii="Arial" w:hAnsi="Arial" w:cs="Arial"/>
        </w:rPr>
        <w:t xml:space="preserve"> targeted indicators (KPI – Key Performance Indicators), the Trust achieved </w:t>
      </w:r>
      <w:r w:rsidR="00073BA1">
        <w:rPr>
          <w:rFonts w:ascii="Arial" w:hAnsi="Arial" w:cs="Arial"/>
          <w:b/>
        </w:rPr>
        <w:t>222</w:t>
      </w:r>
      <w:r>
        <w:rPr>
          <w:rFonts w:ascii="Arial" w:hAnsi="Arial" w:cs="Arial"/>
        </w:rPr>
        <w:t xml:space="preserve">.  An overall performance of </w:t>
      </w:r>
      <w:r w:rsidR="00073BA1">
        <w:rPr>
          <w:rFonts w:ascii="Arial" w:hAnsi="Arial" w:cs="Arial"/>
          <w:b/>
        </w:rPr>
        <w:t>73</w:t>
      </w:r>
      <w:r w:rsidRPr="006F5021">
        <w:rPr>
          <w:rFonts w:ascii="Arial" w:hAnsi="Arial" w:cs="Arial"/>
          <w:b/>
        </w:rPr>
        <w:t>%</w:t>
      </w:r>
      <w:r w:rsidR="00073BA1">
        <w:rPr>
          <w:rFonts w:ascii="Arial" w:hAnsi="Arial" w:cs="Arial"/>
        </w:rPr>
        <w:t xml:space="preserve"> which is slight decrease from the </w:t>
      </w:r>
      <w:r w:rsidR="00073BA1" w:rsidRPr="00073BA1">
        <w:rPr>
          <w:rFonts w:ascii="Arial" w:hAnsi="Arial" w:cs="Arial"/>
          <w:b/>
        </w:rPr>
        <w:t>74%</w:t>
      </w:r>
      <w:r w:rsidR="00073BA1">
        <w:rPr>
          <w:rFonts w:ascii="Arial" w:hAnsi="Arial" w:cs="Arial"/>
        </w:rPr>
        <w:t xml:space="preserve"> reported in October</w:t>
      </w:r>
      <w:r>
        <w:rPr>
          <w:rFonts w:ascii="Arial" w:hAnsi="Arial" w:cs="Arial"/>
        </w:rPr>
        <w:t xml:space="preserve">.  There are a number of reasons for this position including a shortage of available workforce, a </w:t>
      </w:r>
      <w:r w:rsidR="00A17386">
        <w:rPr>
          <w:rFonts w:ascii="Arial" w:hAnsi="Arial" w:cs="Arial"/>
        </w:rPr>
        <w:t>change</w:t>
      </w:r>
      <w:r>
        <w:rPr>
          <w:rFonts w:ascii="Arial" w:hAnsi="Arial" w:cs="Arial"/>
        </w:rPr>
        <w:t xml:space="preserve"> in the number of targeted indicators (which changes the baseline) and </w:t>
      </w:r>
      <w:r w:rsidR="00D64FF5">
        <w:rPr>
          <w:rFonts w:ascii="Arial" w:hAnsi="Arial" w:cs="Arial"/>
        </w:rPr>
        <w:t>factors such as som</w:t>
      </w:r>
      <w:r w:rsidR="00A17386">
        <w:rPr>
          <w:rFonts w:ascii="Arial" w:hAnsi="Arial" w:cs="Arial"/>
        </w:rPr>
        <w:t>e indicators only being reported</w:t>
      </w:r>
      <w:r w:rsidR="00D64FF5">
        <w:rPr>
          <w:rFonts w:ascii="Arial" w:hAnsi="Arial" w:cs="Arial"/>
        </w:rPr>
        <w:t xml:space="preserve"> on</w:t>
      </w:r>
      <w:r w:rsidR="002B55A4">
        <w:rPr>
          <w:rFonts w:ascii="Arial" w:hAnsi="Arial" w:cs="Arial"/>
        </w:rPr>
        <w:t xml:space="preserve"> a</w:t>
      </w:r>
      <w:r w:rsidR="00D64FF5">
        <w:rPr>
          <w:rFonts w:ascii="Arial" w:hAnsi="Arial" w:cs="Arial"/>
        </w:rPr>
        <w:t xml:space="preserve"> bi-monthly or quarterly basis.</w:t>
      </w:r>
    </w:p>
    <w:p w:rsidR="000912B8" w:rsidRDefault="000912B8" w:rsidP="006B6FE8">
      <w:pPr>
        <w:jc w:val="both"/>
        <w:rPr>
          <w:rFonts w:ascii="Arial" w:hAnsi="Arial" w:cs="Arial"/>
        </w:rPr>
      </w:pPr>
    </w:p>
    <w:p w:rsidR="000912B8" w:rsidRDefault="002B4A49" w:rsidP="000912B8">
      <w:pPr>
        <w:jc w:val="center"/>
        <w:rPr>
          <w:rFonts w:ascii="Arial" w:hAnsi="Arial" w:cs="Arial"/>
        </w:rPr>
      </w:pPr>
      <w:r w:rsidRPr="00AC6CB3">
        <w:rPr>
          <w:rFonts w:ascii="Segoe UI" w:hAnsi="Segoe UI" w:cs="Segoe UI"/>
          <w:noProof/>
          <w:sz w:val="22"/>
          <w:lang w:val="en-GB" w:eastAsia="en-GB"/>
        </w:rPr>
        <w:drawing>
          <wp:inline distT="0" distB="0" distL="0" distR="0" wp14:anchorId="52C90356" wp14:editId="0491E671">
            <wp:extent cx="5486400" cy="251283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512833"/>
                    </a:xfrm>
                    <a:prstGeom prst="rect">
                      <a:avLst/>
                    </a:prstGeom>
                    <a:noFill/>
                  </pic:spPr>
                </pic:pic>
              </a:graphicData>
            </a:graphic>
          </wp:inline>
        </w:drawing>
      </w:r>
    </w:p>
    <w:p w:rsidR="000912B8" w:rsidRDefault="000912B8" w:rsidP="006B6FE8">
      <w:pPr>
        <w:jc w:val="both"/>
        <w:rPr>
          <w:rFonts w:ascii="Arial" w:hAnsi="Arial" w:cs="Arial"/>
        </w:rPr>
      </w:pPr>
    </w:p>
    <w:p w:rsidR="006B6FE8" w:rsidRDefault="006B6FE8" w:rsidP="007A2CF0">
      <w:pPr>
        <w:jc w:val="both"/>
        <w:rPr>
          <w:rFonts w:ascii="Arial" w:hAnsi="Arial" w:cs="Arial"/>
        </w:rPr>
      </w:pPr>
    </w:p>
    <w:p w:rsidR="00C92A42" w:rsidRDefault="00C92A42" w:rsidP="007A2CF0">
      <w:pPr>
        <w:jc w:val="both"/>
        <w:rPr>
          <w:rFonts w:ascii="Arial" w:hAnsi="Arial" w:cs="Arial"/>
        </w:rPr>
      </w:pPr>
      <w:r>
        <w:rPr>
          <w:rFonts w:ascii="Arial" w:hAnsi="Arial" w:cs="Arial"/>
        </w:rPr>
        <w:t xml:space="preserve">The </w:t>
      </w:r>
      <w:r w:rsidR="00A17386">
        <w:rPr>
          <w:rFonts w:ascii="Arial" w:hAnsi="Arial" w:cs="Arial"/>
        </w:rPr>
        <w:t>work</w:t>
      </w:r>
      <w:r>
        <w:rPr>
          <w:rFonts w:ascii="Arial" w:hAnsi="Arial" w:cs="Arial"/>
        </w:rPr>
        <w:t xml:space="preserve"> to reduce the overhead associated with the manag</w:t>
      </w:r>
      <w:r w:rsidR="00A17386">
        <w:rPr>
          <w:rFonts w:ascii="Arial" w:hAnsi="Arial" w:cs="Arial"/>
        </w:rPr>
        <w:t>ement of performance indicators continues with support from commissioners.  A change in reporting approach for Oxfordshire Community Services has been agreed during the winter period to improve efficiency and reduce the burden on operational services.  Further detail will be reported on these changes over the next few months.</w:t>
      </w:r>
      <w:r w:rsidR="00E2778C">
        <w:rPr>
          <w:rFonts w:ascii="Arial" w:hAnsi="Arial" w:cs="Arial"/>
        </w:rPr>
        <w:t xml:space="preserve">  </w:t>
      </w:r>
    </w:p>
    <w:p w:rsidR="000912B8" w:rsidRDefault="000912B8" w:rsidP="007A2CF0">
      <w:pPr>
        <w:jc w:val="both"/>
        <w:rPr>
          <w:rFonts w:ascii="Arial" w:hAnsi="Arial" w:cs="Arial"/>
        </w:rPr>
      </w:pPr>
    </w:p>
    <w:p w:rsidR="00563E0F" w:rsidRDefault="00045966" w:rsidP="007A2CF0">
      <w:pPr>
        <w:jc w:val="both"/>
        <w:rPr>
          <w:rFonts w:ascii="Arial" w:hAnsi="Arial" w:cs="Arial"/>
          <w:b/>
        </w:rPr>
      </w:pPr>
      <w:r>
        <w:rPr>
          <w:rFonts w:ascii="Arial" w:hAnsi="Arial" w:cs="Arial"/>
          <w:b/>
        </w:rPr>
        <w:t>Performance Trends:</w:t>
      </w:r>
    </w:p>
    <w:p w:rsidR="0005194A" w:rsidRDefault="0005194A" w:rsidP="007A2CF0">
      <w:pPr>
        <w:jc w:val="both"/>
        <w:rPr>
          <w:rFonts w:ascii="Arial" w:hAnsi="Arial" w:cs="Arial"/>
          <w:b/>
        </w:rPr>
      </w:pPr>
    </w:p>
    <w:p w:rsidR="00036D9C" w:rsidRPr="0037138A" w:rsidRDefault="0037138A" w:rsidP="007A2CF0">
      <w:pPr>
        <w:jc w:val="both"/>
        <w:rPr>
          <w:rFonts w:ascii="Arial" w:hAnsi="Arial" w:cs="Arial"/>
          <w:b/>
        </w:rPr>
      </w:pPr>
      <w:r w:rsidRPr="0037138A">
        <w:rPr>
          <w:rFonts w:ascii="Arial" w:hAnsi="Arial" w:cs="Arial"/>
          <w:b/>
        </w:rPr>
        <w:t>National Position:</w:t>
      </w:r>
    </w:p>
    <w:p w:rsidR="0037138A" w:rsidRDefault="0037138A" w:rsidP="007A2CF0">
      <w:pPr>
        <w:jc w:val="both"/>
        <w:rPr>
          <w:rFonts w:ascii="Arial" w:hAnsi="Arial" w:cs="Arial"/>
        </w:rPr>
      </w:pPr>
    </w:p>
    <w:p w:rsidR="0037138A" w:rsidRDefault="0037138A" w:rsidP="007A2CF0">
      <w:pPr>
        <w:jc w:val="both"/>
        <w:rPr>
          <w:rFonts w:ascii="Arial" w:hAnsi="Arial" w:cs="Arial"/>
        </w:rPr>
      </w:pPr>
      <w:r>
        <w:rPr>
          <w:rFonts w:ascii="Arial" w:hAnsi="Arial" w:cs="Arial"/>
        </w:rPr>
        <w:t xml:space="preserve">Following improvements within NHS Digital and the data submitted by the Trust, the information held nationally is more up to date in a number of areas.  </w:t>
      </w:r>
    </w:p>
    <w:p w:rsidR="0037138A" w:rsidRDefault="0037138A" w:rsidP="007A2CF0">
      <w:pPr>
        <w:jc w:val="both"/>
        <w:rPr>
          <w:rFonts w:ascii="Arial" w:hAnsi="Arial" w:cs="Arial"/>
        </w:rPr>
      </w:pPr>
    </w:p>
    <w:p w:rsidR="0037138A" w:rsidRDefault="0037138A" w:rsidP="007A2CF0">
      <w:pPr>
        <w:jc w:val="both"/>
        <w:rPr>
          <w:rFonts w:ascii="Arial" w:hAnsi="Arial" w:cs="Arial"/>
        </w:rPr>
      </w:pPr>
      <w:r>
        <w:rPr>
          <w:rFonts w:ascii="Arial" w:hAnsi="Arial" w:cs="Arial"/>
        </w:rPr>
        <w:t>After reviewing the data, the following indicators continue to be highlighted as underperforming at a national level.</w:t>
      </w:r>
    </w:p>
    <w:p w:rsidR="0037138A" w:rsidRDefault="0037138A" w:rsidP="007A2CF0">
      <w:pPr>
        <w:jc w:val="both"/>
        <w:rPr>
          <w:rFonts w:ascii="Arial" w:hAnsi="Arial" w:cs="Arial"/>
        </w:rPr>
      </w:pPr>
    </w:p>
    <w:p w:rsidR="0037138A" w:rsidRDefault="0037138A" w:rsidP="0037138A">
      <w:pPr>
        <w:pStyle w:val="ListParagraph"/>
        <w:numPr>
          <w:ilvl w:val="0"/>
          <w:numId w:val="16"/>
        </w:numPr>
        <w:jc w:val="both"/>
        <w:rPr>
          <w:rFonts w:ascii="Arial" w:hAnsi="Arial" w:cs="Arial"/>
        </w:rPr>
      </w:pPr>
      <w:r w:rsidRPr="00DD4A27">
        <w:rPr>
          <w:rFonts w:ascii="Arial" w:hAnsi="Arial" w:cs="Arial"/>
          <w:b/>
        </w:rPr>
        <w:t>Workforce</w:t>
      </w:r>
      <w:r>
        <w:rPr>
          <w:rFonts w:ascii="Arial" w:hAnsi="Arial" w:cs="Arial"/>
        </w:rPr>
        <w:t xml:space="preserve"> – The difficulties in recruiting and retaining suitably qualified staff continue to have a direct impact on the Trust’s ability to deliver services.  </w:t>
      </w:r>
      <w:r w:rsidRPr="007C1EB0">
        <w:rPr>
          <w:rFonts w:ascii="Arial" w:hAnsi="Arial" w:cs="Arial"/>
          <w:b/>
        </w:rPr>
        <w:t xml:space="preserve">However, </w:t>
      </w:r>
      <w:r w:rsidR="007C1EB0" w:rsidRPr="007C1EB0">
        <w:rPr>
          <w:rFonts w:ascii="Arial" w:hAnsi="Arial" w:cs="Arial"/>
          <w:b/>
        </w:rPr>
        <w:t xml:space="preserve">figures recently published in </w:t>
      </w:r>
      <w:r w:rsidR="0023186C">
        <w:rPr>
          <w:rFonts w:ascii="Arial" w:hAnsi="Arial" w:cs="Arial"/>
          <w:b/>
        </w:rPr>
        <w:t>October</w:t>
      </w:r>
      <w:r w:rsidR="007C1EB0" w:rsidRPr="007C1EB0">
        <w:rPr>
          <w:rFonts w:ascii="Arial" w:hAnsi="Arial" w:cs="Arial"/>
          <w:b/>
        </w:rPr>
        <w:t xml:space="preserve"> continue to show improvement with the Trust at the best reported position this year.  13.</w:t>
      </w:r>
      <w:r w:rsidR="0023186C">
        <w:rPr>
          <w:rFonts w:ascii="Arial" w:hAnsi="Arial" w:cs="Arial"/>
          <w:b/>
        </w:rPr>
        <w:t>68</w:t>
      </w:r>
      <w:r w:rsidR="007C1EB0" w:rsidRPr="007C1EB0">
        <w:rPr>
          <w:rFonts w:ascii="Arial" w:hAnsi="Arial" w:cs="Arial"/>
          <w:b/>
        </w:rPr>
        <w:t>% against a 12% target</w:t>
      </w:r>
      <w:r w:rsidR="007C1EB0">
        <w:rPr>
          <w:rFonts w:ascii="Arial" w:hAnsi="Arial" w:cs="Arial"/>
        </w:rPr>
        <w:t>.</w:t>
      </w:r>
    </w:p>
    <w:p w:rsidR="0037138A" w:rsidRDefault="0037138A" w:rsidP="0037138A">
      <w:pPr>
        <w:pStyle w:val="ListParagraph"/>
        <w:jc w:val="both"/>
        <w:rPr>
          <w:rFonts w:ascii="Arial" w:hAnsi="Arial" w:cs="Arial"/>
        </w:rPr>
      </w:pPr>
    </w:p>
    <w:p w:rsidR="00E51AB8" w:rsidRPr="00DB4DC4" w:rsidRDefault="00DB4DC4" w:rsidP="00DB4DC4">
      <w:pPr>
        <w:jc w:val="both"/>
        <w:rPr>
          <w:rFonts w:ascii="Arial" w:hAnsi="Arial" w:cs="Arial"/>
        </w:rPr>
      </w:pPr>
      <w:r>
        <w:rPr>
          <w:rFonts w:ascii="Arial" w:hAnsi="Arial" w:cs="Arial"/>
        </w:rPr>
        <w:t>The additional indicators currently being reported as exceptions are currently being worked on as part of a broader piece to update the national data sets with NHS Digital</w:t>
      </w:r>
      <w:r w:rsidR="0023186C">
        <w:rPr>
          <w:rFonts w:ascii="Arial" w:hAnsi="Arial" w:cs="Arial"/>
        </w:rPr>
        <w:t xml:space="preserve"> and an improvement has been seen in October 2018</w:t>
      </w:r>
      <w:r>
        <w:rPr>
          <w:rFonts w:ascii="Arial" w:hAnsi="Arial" w:cs="Arial"/>
        </w:rPr>
        <w:t xml:space="preserve">. </w:t>
      </w:r>
    </w:p>
    <w:p w:rsidR="00DB4DC4" w:rsidRDefault="00DB4DC4" w:rsidP="00DB4DC4">
      <w:pPr>
        <w:jc w:val="both"/>
        <w:rPr>
          <w:rFonts w:ascii="Arial" w:hAnsi="Arial" w:cs="Arial"/>
          <w:b/>
        </w:rPr>
      </w:pPr>
    </w:p>
    <w:p w:rsidR="0001134C" w:rsidRPr="00F8330B" w:rsidRDefault="0001134C" w:rsidP="001E3511">
      <w:pPr>
        <w:rPr>
          <w:rFonts w:ascii="Arial" w:hAnsi="Arial" w:cs="Arial"/>
          <w:b/>
        </w:rPr>
      </w:pPr>
      <w:r w:rsidRPr="00F8330B">
        <w:rPr>
          <w:rFonts w:ascii="Arial" w:hAnsi="Arial" w:cs="Arial"/>
          <w:b/>
        </w:rPr>
        <w:t>S75 Agreements with Oxfordshire County Council and Buckinghamshire County Councils</w:t>
      </w:r>
    </w:p>
    <w:p w:rsidR="0001134C" w:rsidRPr="00F8330B" w:rsidRDefault="0001134C" w:rsidP="001E3511">
      <w:pPr>
        <w:rPr>
          <w:rFonts w:ascii="Arial" w:hAnsi="Arial" w:cs="Arial"/>
          <w:b/>
        </w:rPr>
      </w:pPr>
    </w:p>
    <w:p w:rsidR="0001134C" w:rsidRDefault="00841EB0" w:rsidP="001E3511">
      <w:pPr>
        <w:rPr>
          <w:rFonts w:ascii="Arial" w:hAnsi="Arial" w:cs="Arial"/>
        </w:rPr>
      </w:pPr>
      <w:r>
        <w:rPr>
          <w:rFonts w:ascii="Arial" w:hAnsi="Arial" w:cs="Arial"/>
        </w:rPr>
        <w:t xml:space="preserve">The Trust achieved </w:t>
      </w:r>
      <w:r w:rsidR="0023186C">
        <w:rPr>
          <w:rFonts w:ascii="Arial" w:hAnsi="Arial" w:cs="Arial"/>
          <w:b/>
        </w:rPr>
        <w:t>100</w:t>
      </w:r>
      <w:r w:rsidR="00146C68" w:rsidRPr="006F5021">
        <w:rPr>
          <w:rFonts w:ascii="Arial" w:hAnsi="Arial" w:cs="Arial"/>
          <w:b/>
        </w:rPr>
        <w:t xml:space="preserve">% </w:t>
      </w:r>
      <w:r w:rsidR="00146C68" w:rsidRPr="00F8330B">
        <w:rPr>
          <w:rFonts w:ascii="Arial" w:hAnsi="Arial" w:cs="Arial"/>
        </w:rPr>
        <w:t xml:space="preserve">compliance against the indicators </w:t>
      </w:r>
      <w:r>
        <w:rPr>
          <w:rFonts w:ascii="Arial" w:hAnsi="Arial" w:cs="Arial"/>
        </w:rPr>
        <w:t>for the Oxfordshire S75 agreement</w:t>
      </w:r>
      <w:r w:rsidR="001F2541">
        <w:rPr>
          <w:rFonts w:ascii="Arial" w:hAnsi="Arial" w:cs="Arial"/>
        </w:rPr>
        <w:t xml:space="preserve"> in </w:t>
      </w:r>
      <w:r w:rsidR="0023186C">
        <w:rPr>
          <w:rFonts w:ascii="Arial" w:hAnsi="Arial" w:cs="Arial"/>
        </w:rPr>
        <w:t>September</w:t>
      </w:r>
      <w:r w:rsidR="001F2541">
        <w:rPr>
          <w:rFonts w:ascii="Arial" w:hAnsi="Arial" w:cs="Arial"/>
        </w:rPr>
        <w:t xml:space="preserve"> 2018</w:t>
      </w:r>
      <w:r w:rsidR="00146C68" w:rsidRPr="00F8330B">
        <w:rPr>
          <w:rFonts w:ascii="Arial" w:hAnsi="Arial" w:cs="Arial"/>
        </w:rPr>
        <w:t xml:space="preserve">.  </w:t>
      </w:r>
      <w:r w:rsidR="006F5021">
        <w:rPr>
          <w:rFonts w:ascii="Arial" w:hAnsi="Arial" w:cs="Arial"/>
        </w:rPr>
        <w:t>Reports are one month in arrears.</w:t>
      </w:r>
    </w:p>
    <w:p w:rsidR="00110E24" w:rsidRDefault="00110E24" w:rsidP="001E3511">
      <w:pPr>
        <w:rPr>
          <w:rFonts w:ascii="Arial" w:hAnsi="Arial" w:cs="Arial"/>
        </w:rPr>
      </w:pPr>
    </w:p>
    <w:p w:rsidR="00110E24" w:rsidRDefault="00110E24" w:rsidP="001E3511">
      <w:pPr>
        <w:rPr>
          <w:rFonts w:ascii="Arial" w:hAnsi="Arial" w:cs="Arial"/>
        </w:rPr>
      </w:pPr>
      <w:r>
        <w:rPr>
          <w:rFonts w:ascii="Arial" w:hAnsi="Arial" w:cs="Arial"/>
        </w:rPr>
        <w:t>The Trust was not required to report performance for Buckinghamshire County Council in M</w:t>
      </w:r>
      <w:r w:rsidR="0023186C">
        <w:rPr>
          <w:rFonts w:ascii="Arial" w:hAnsi="Arial" w:cs="Arial"/>
        </w:rPr>
        <w:t>7</w:t>
      </w:r>
      <w:r>
        <w:rPr>
          <w:rFonts w:ascii="Arial" w:hAnsi="Arial" w:cs="Arial"/>
        </w:rPr>
        <w:t xml:space="preserve"> as </w:t>
      </w:r>
      <w:r w:rsidR="000851E2">
        <w:rPr>
          <w:rFonts w:ascii="Arial" w:hAnsi="Arial" w:cs="Arial"/>
        </w:rPr>
        <w:t>performance is</w:t>
      </w:r>
      <w:r>
        <w:rPr>
          <w:rFonts w:ascii="Arial" w:hAnsi="Arial" w:cs="Arial"/>
        </w:rPr>
        <w:t xml:space="preserve"> </w:t>
      </w:r>
      <w:r w:rsidR="00CE7902">
        <w:rPr>
          <w:rFonts w:ascii="Arial" w:hAnsi="Arial" w:cs="Arial"/>
        </w:rPr>
        <w:t>reported on a quarterly basis</w:t>
      </w:r>
      <w:r>
        <w:rPr>
          <w:rFonts w:ascii="Arial" w:hAnsi="Arial" w:cs="Arial"/>
        </w:rPr>
        <w:t>.</w:t>
      </w:r>
    </w:p>
    <w:p w:rsidR="00841EB0" w:rsidRDefault="00841EB0" w:rsidP="001E3511">
      <w:pPr>
        <w:rPr>
          <w:rFonts w:ascii="Arial" w:hAnsi="Arial" w:cs="Arial"/>
        </w:rPr>
      </w:pPr>
    </w:p>
    <w:p w:rsidR="001E3511" w:rsidRPr="00801A75" w:rsidRDefault="000161D5" w:rsidP="001E3511">
      <w:pPr>
        <w:rPr>
          <w:rFonts w:ascii="Arial" w:hAnsi="Arial" w:cs="Arial"/>
          <w:b/>
        </w:rPr>
      </w:pPr>
      <w:r>
        <w:rPr>
          <w:rFonts w:ascii="Arial" w:hAnsi="Arial" w:cs="Arial"/>
          <w:b/>
        </w:rPr>
        <w:t xml:space="preserve">Oxfordshire, </w:t>
      </w:r>
      <w:proofErr w:type="spellStart"/>
      <w:r>
        <w:rPr>
          <w:rFonts w:ascii="Arial" w:hAnsi="Arial" w:cs="Arial"/>
          <w:b/>
        </w:rPr>
        <w:t>Swindon</w:t>
      </w:r>
      <w:proofErr w:type="spellEnd"/>
      <w:r>
        <w:rPr>
          <w:rFonts w:ascii="Arial" w:hAnsi="Arial" w:cs="Arial"/>
          <w:b/>
        </w:rPr>
        <w:t>, Wiltshire &amp; BANES – All Ages Mental Health</w:t>
      </w:r>
    </w:p>
    <w:p w:rsidR="001E3511" w:rsidRPr="003066A9" w:rsidRDefault="001E3511" w:rsidP="001E3511">
      <w:pPr>
        <w:jc w:val="both"/>
        <w:rPr>
          <w:rFonts w:ascii="Arial" w:hAnsi="Arial" w:cs="Arial"/>
        </w:rPr>
      </w:pPr>
    </w:p>
    <w:p w:rsidR="001E3511" w:rsidRDefault="001E3511" w:rsidP="001E3511">
      <w:pPr>
        <w:jc w:val="both"/>
        <w:rPr>
          <w:rFonts w:ascii="Arial" w:hAnsi="Arial" w:cs="Arial"/>
        </w:rPr>
      </w:pPr>
      <w:r>
        <w:rPr>
          <w:rFonts w:ascii="Arial" w:hAnsi="Arial" w:cs="Arial"/>
        </w:rPr>
        <w:t xml:space="preserve">The </w:t>
      </w:r>
      <w:r w:rsidR="000161D5">
        <w:rPr>
          <w:rFonts w:ascii="Arial" w:hAnsi="Arial" w:cs="Arial"/>
        </w:rPr>
        <w:t>Directorate</w:t>
      </w:r>
      <w:r w:rsidR="00F8330B">
        <w:rPr>
          <w:rFonts w:ascii="Arial" w:hAnsi="Arial" w:cs="Arial"/>
        </w:rPr>
        <w:t xml:space="preserve"> </w:t>
      </w:r>
      <w:r w:rsidR="00423058">
        <w:rPr>
          <w:rFonts w:ascii="Arial" w:hAnsi="Arial" w:cs="Arial"/>
        </w:rPr>
        <w:t xml:space="preserve">achieved </w:t>
      </w:r>
      <w:r w:rsidR="0023186C">
        <w:rPr>
          <w:rFonts w:ascii="Arial" w:hAnsi="Arial" w:cs="Arial"/>
          <w:b/>
        </w:rPr>
        <w:t>76</w:t>
      </w:r>
      <w:r w:rsidR="00423058" w:rsidRPr="00423058">
        <w:rPr>
          <w:rFonts w:ascii="Arial" w:hAnsi="Arial" w:cs="Arial"/>
          <w:b/>
        </w:rPr>
        <w:t xml:space="preserve"> of the 1</w:t>
      </w:r>
      <w:r w:rsidR="0023186C">
        <w:rPr>
          <w:rFonts w:ascii="Arial" w:hAnsi="Arial" w:cs="Arial"/>
          <w:b/>
        </w:rPr>
        <w:t>17 (65</w:t>
      </w:r>
      <w:r w:rsidR="00423058" w:rsidRPr="00423058">
        <w:rPr>
          <w:rFonts w:ascii="Arial" w:hAnsi="Arial" w:cs="Arial"/>
          <w:b/>
        </w:rPr>
        <w:t>%)</w:t>
      </w:r>
      <w:r w:rsidR="00813E4F">
        <w:rPr>
          <w:rFonts w:ascii="Arial" w:hAnsi="Arial" w:cs="Arial"/>
        </w:rPr>
        <w:t xml:space="preserve"> targeted indicators for </w:t>
      </w:r>
      <w:r w:rsidR="0023186C">
        <w:rPr>
          <w:rFonts w:ascii="Arial" w:hAnsi="Arial" w:cs="Arial"/>
        </w:rPr>
        <w:t>October</w:t>
      </w:r>
      <w:r w:rsidR="00813E4F">
        <w:rPr>
          <w:rFonts w:ascii="Arial" w:hAnsi="Arial" w:cs="Arial"/>
        </w:rPr>
        <w:t xml:space="preserve"> which is </w:t>
      </w:r>
      <w:r w:rsidR="0023186C">
        <w:rPr>
          <w:rFonts w:ascii="Arial" w:hAnsi="Arial" w:cs="Arial"/>
        </w:rPr>
        <w:t>an improvement from the 62</w:t>
      </w:r>
      <w:r w:rsidR="00813E4F">
        <w:rPr>
          <w:rFonts w:ascii="Arial" w:hAnsi="Arial" w:cs="Arial"/>
        </w:rPr>
        <w:t xml:space="preserve">% reported </w:t>
      </w:r>
      <w:r w:rsidR="0023186C">
        <w:rPr>
          <w:rFonts w:ascii="Arial" w:hAnsi="Arial" w:cs="Arial"/>
        </w:rPr>
        <w:t>for September</w:t>
      </w:r>
      <w:r w:rsidR="00C75116">
        <w:rPr>
          <w:rFonts w:ascii="Arial" w:hAnsi="Arial" w:cs="Arial"/>
        </w:rPr>
        <w:t xml:space="preserve">.  </w:t>
      </w:r>
    </w:p>
    <w:p w:rsidR="00E17B34" w:rsidRDefault="00E17B34" w:rsidP="001E3511">
      <w:pPr>
        <w:jc w:val="both"/>
        <w:rPr>
          <w:rFonts w:ascii="Arial" w:hAnsi="Arial" w:cs="Arial"/>
        </w:rPr>
      </w:pPr>
    </w:p>
    <w:p w:rsidR="00E17B34" w:rsidRDefault="004722A8" w:rsidP="004722A8">
      <w:pPr>
        <w:jc w:val="both"/>
        <w:rPr>
          <w:rFonts w:ascii="Arial" w:hAnsi="Arial" w:cs="Arial"/>
        </w:rPr>
      </w:pPr>
      <w:r>
        <w:rPr>
          <w:rFonts w:ascii="Arial" w:hAnsi="Arial" w:cs="Arial"/>
        </w:rPr>
        <w:t>Out of Area Placements (OAP</w:t>
      </w:r>
      <w:r w:rsidR="00E17B34">
        <w:rPr>
          <w:rFonts w:ascii="Arial" w:hAnsi="Arial" w:cs="Arial"/>
        </w:rPr>
        <w:t xml:space="preserve">s) </w:t>
      </w:r>
      <w:r w:rsidR="0061710E">
        <w:rPr>
          <w:rFonts w:ascii="Arial" w:hAnsi="Arial" w:cs="Arial"/>
        </w:rPr>
        <w:t xml:space="preserve">in Oxfordshire </w:t>
      </w:r>
      <w:r w:rsidR="00E17B34">
        <w:rPr>
          <w:rFonts w:ascii="Arial" w:hAnsi="Arial" w:cs="Arial"/>
        </w:rPr>
        <w:t xml:space="preserve">continue to expose the Trust to significant financial risk and actions are being taken to address this issue as a priority.  </w:t>
      </w:r>
    </w:p>
    <w:p w:rsidR="004722A8" w:rsidRDefault="004722A8" w:rsidP="004722A8">
      <w:pPr>
        <w:jc w:val="both"/>
        <w:rPr>
          <w:rFonts w:ascii="Arial" w:hAnsi="Arial" w:cs="Arial"/>
        </w:rPr>
      </w:pPr>
    </w:p>
    <w:p w:rsidR="001D3A0E" w:rsidRDefault="004722A8" w:rsidP="001D3A0E">
      <w:pPr>
        <w:jc w:val="both"/>
        <w:rPr>
          <w:rFonts w:ascii="Arial" w:hAnsi="Arial" w:cs="Arial"/>
        </w:rPr>
      </w:pPr>
      <w:r>
        <w:rPr>
          <w:rFonts w:ascii="Arial" w:hAnsi="Arial" w:cs="Arial"/>
        </w:rPr>
        <w:lastRenderedPageBreak/>
        <w:t>In October, there were 19 OAPs in Oxfordshire.</w:t>
      </w:r>
      <w:r w:rsidR="001D3A0E">
        <w:rPr>
          <w:rFonts w:ascii="Arial" w:hAnsi="Arial" w:cs="Arial"/>
        </w:rPr>
        <w:t xml:space="preserve">  </w:t>
      </w:r>
      <w:r w:rsidR="001D3A0E" w:rsidRPr="00392CE4">
        <w:rPr>
          <w:rFonts w:ascii="Arial" w:hAnsi="Arial" w:cs="Arial"/>
        </w:rPr>
        <w:t xml:space="preserve">This is an increase from September when there were </w:t>
      </w:r>
      <w:r w:rsidR="00392CE4" w:rsidRPr="00392CE4">
        <w:rPr>
          <w:rFonts w:ascii="Arial" w:hAnsi="Arial" w:cs="Arial"/>
        </w:rPr>
        <w:t>5</w:t>
      </w:r>
      <w:r w:rsidR="001D3A0E" w:rsidRPr="00392CE4">
        <w:rPr>
          <w:rFonts w:ascii="Arial" w:hAnsi="Arial" w:cs="Arial"/>
        </w:rPr>
        <w:t>.</w:t>
      </w:r>
    </w:p>
    <w:p w:rsidR="004722A8" w:rsidRDefault="004722A8" w:rsidP="004722A8">
      <w:pPr>
        <w:jc w:val="both"/>
        <w:rPr>
          <w:rFonts w:ascii="Arial" w:hAnsi="Arial" w:cs="Arial"/>
        </w:rPr>
      </w:pPr>
    </w:p>
    <w:p w:rsidR="008C1666" w:rsidRDefault="00EE6F42" w:rsidP="008C1666">
      <w:pPr>
        <w:jc w:val="both"/>
        <w:rPr>
          <w:rFonts w:ascii="Arial" w:hAnsi="Arial" w:cs="Arial"/>
        </w:rPr>
      </w:pPr>
      <w:r>
        <w:rPr>
          <w:rFonts w:ascii="Arial" w:hAnsi="Arial" w:cs="Arial"/>
        </w:rPr>
        <w:t>Particular areas that are highlighted to the Board are:</w:t>
      </w:r>
    </w:p>
    <w:p w:rsidR="00743B0C" w:rsidRDefault="00743B0C" w:rsidP="008C1666">
      <w:pPr>
        <w:jc w:val="both"/>
        <w:rPr>
          <w:rFonts w:ascii="Arial" w:hAnsi="Arial" w:cs="Arial"/>
        </w:rPr>
      </w:pPr>
    </w:p>
    <w:p w:rsidR="00743B0C" w:rsidRPr="00743B0C" w:rsidRDefault="00743B0C" w:rsidP="00743B0C">
      <w:pPr>
        <w:pStyle w:val="ListParagraph"/>
        <w:numPr>
          <w:ilvl w:val="0"/>
          <w:numId w:val="16"/>
        </w:numPr>
        <w:jc w:val="both"/>
        <w:rPr>
          <w:rFonts w:ascii="Arial" w:hAnsi="Arial" w:cs="Arial"/>
          <w:b/>
        </w:rPr>
      </w:pPr>
      <w:r w:rsidRPr="00743B0C">
        <w:rPr>
          <w:rFonts w:ascii="Arial" w:hAnsi="Arial" w:cs="Arial"/>
          <w:b/>
        </w:rPr>
        <w:t>Cluster Reviews</w:t>
      </w:r>
      <w:r>
        <w:rPr>
          <w:rFonts w:ascii="Arial" w:hAnsi="Arial" w:cs="Arial"/>
        </w:rPr>
        <w:t xml:space="preserve"> – Following a clinical discussion, cluster reviews are still of value, however, there is still a question about the value of a timescale.  The Trust’s Information Management and Technology Team (IM&amp;T) are currently developing a solution that will enable clinical staff to be notified when patients are due a review which will help the Trust to improve its performance against this target.</w:t>
      </w:r>
    </w:p>
    <w:p w:rsidR="00743B0C" w:rsidRDefault="00743B0C" w:rsidP="00743B0C">
      <w:pPr>
        <w:pStyle w:val="ListParagraph"/>
        <w:jc w:val="both"/>
        <w:rPr>
          <w:rFonts w:ascii="Arial" w:hAnsi="Arial" w:cs="Arial"/>
        </w:rPr>
      </w:pPr>
    </w:p>
    <w:p w:rsidR="00743B0C" w:rsidRPr="00743B0C" w:rsidRDefault="00743B0C" w:rsidP="00743B0C">
      <w:pPr>
        <w:pStyle w:val="ListParagraph"/>
        <w:numPr>
          <w:ilvl w:val="0"/>
          <w:numId w:val="16"/>
        </w:numPr>
        <w:jc w:val="both"/>
        <w:rPr>
          <w:rFonts w:ascii="Arial" w:hAnsi="Arial" w:cs="Arial"/>
        </w:rPr>
      </w:pPr>
      <w:r w:rsidRPr="00743B0C">
        <w:rPr>
          <w:rFonts w:ascii="Arial" w:hAnsi="Arial" w:cs="Arial"/>
          <w:b/>
        </w:rPr>
        <w:t>Non-urgent waiting times for Adult Mental Health</w:t>
      </w:r>
      <w:r>
        <w:rPr>
          <w:rFonts w:ascii="Arial" w:hAnsi="Arial" w:cs="Arial"/>
        </w:rPr>
        <w:t xml:space="preserve"> – The revised target continues to be 8 weeks (a change from 4 weeks) which the Trust is now consistently achieving.  Until further investment is received, it will not be possible to achieve the 4 week waiting time target.</w:t>
      </w:r>
    </w:p>
    <w:p w:rsidR="007F7DCC" w:rsidRPr="00743B0C" w:rsidRDefault="007F7DCC" w:rsidP="00743B0C">
      <w:pPr>
        <w:jc w:val="both"/>
        <w:rPr>
          <w:rFonts w:ascii="Arial" w:hAnsi="Arial" w:cs="Arial"/>
        </w:rPr>
      </w:pPr>
    </w:p>
    <w:p w:rsidR="0030096D" w:rsidRPr="0030096D" w:rsidRDefault="0030096D" w:rsidP="00EE6F42">
      <w:pPr>
        <w:pStyle w:val="ListParagraph"/>
        <w:numPr>
          <w:ilvl w:val="0"/>
          <w:numId w:val="16"/>
        </w:numPr>
        <w:jc w:val="both"/>
        <w:rPr>
          <w:rFonts w:ascii="Arial" w:hAnsi="Arial" w:cs="Arial"/>
          <w:b/>
        </w:rPr>
      </w:pPr>
      <w:r w:rsidRPr="0030096D">
        <w:rPr>
          <w:rFonts w:ascii="Arial" w:hAnsi="Arial" w:cs="Arial"/>
          <w:b/>
        </w:rPr>
        <w:t xml:space="preserve">Letter Production </w:t>
      </w:r>
      <w:r>
        <w:rPr>
          <w:rFonts w:ascii="Arial" w:hAnsi="Arial" w:cs="Arial"/>
          <w:b/>
        </w:rPr>
        <w:t>–</w:t>
      </w:r>
      <w:r w:rsidRPr="0030096D">
        <w:rPr>
          <w:rFonts w:ascii="Arial" w:hAnsi="Arial" w:cs="Arial"/>
          <w:b/>
        </w:rPr>
        <w:t xml:space="preserve"> </w:t>
      </w:r>
      <w:r w:rsidR="00743B0C">
        <w:rPr>
          <w:rFonts w:ascii="Arial" w:hAnsi="Arial" w:cs="Arial"/>
        </w:rPr>
        <w:t>Continues to be an issue due to a lack of admin capacity.  Work is underway to introduce technology solutions to improve this position and reduce risk.</w:t>
      </w:r>
    </w:p>
    <w:p w:rsidR="00F95C29" w:rsidRDefault="00F95C29" w:rsidP="00F95C29">
      <w:pPr>
        <w:pStyle w:val="ListParagraph"/>
        <w:jc w:val="both"/>
        <w:rPr>
          <w:rFonts w:ascii="Arial" w:hAnsi="Arial" w:cs="Arial"/>
        </w:rPr>
      </w:pPr>
    </w:p>
    <w:p w:rsidR="00F95C29" w:rsidRDefault="009C7F8D" w:rsidP="00EE6F42">
      <w:pPr>
        <w:pStyle w:val="ListParagraph"/>
        <w:numPr>
          <w:ilvl w:val="0"/>
          <w:numId w:val="16"/>
        </w:numPr>
        <w:jc w:val="both"/>
        <w:rPr>
          <w:rFonts w:ascii="Arial" w:hAnsi="Arial" w:cs="Arial"/>
        </w:rPr>
      </w:pPr>
      <w:r>
        <w:rPr>
          <w:rFonts w:ascii="Arial" w:hAnsi="Arial" w:cs="Arial"/>
          <w:b/>
        </w:rPr>
        <w:t xml:space="preserve">Oxfordshire </w:t>
      </w:r>
      <w:r w:rsidR="00F95C29" w:rsidRPr="00F95C29">
        <w:rPr>
          <w:rFonts w:ascii="Arial" w:hAnsi="Arial" w:cs="Arial"/>
          <w:b/>
        </w:rPr>
        <w:t>CAMHS – Routine 12 Week Wait</w:t>
      </w:r>
      <w:r w:rsidR="00F95C29">
        <w:rPr>
          <w:rFonts w:ascii="Arial" w:hAnsi="Arial" w:cs="Arial"/>
        </w:rPr>
        <w:t xml:space="preserve"> </w:t>
      </w:r>
      <w:r w:rsidR="00C42F0B">
        <w:rPr>
          <w:rFonts w:ascii="Arial" w:hAnsi="Arial" w:cs="Arial"/>
        </w:rPr>
        <w:t>– Due to a high demand for services and a shortage of workfor</w:t>
      </w:r>
      <w:r w:rsidR="00743B0C">
        <w:rPr>
          <w:rFonts w:ascii="Arial" w:hAnsi="Arial" w:cs="Arial"/>
        </w:rPr>
        <w:t xml:space="preserve">ce, the Trust remains </w:t>
      </w:r>
      <w:r w:rsidR="00884567">
        <w:rPr>
          <w:rFonts w:ascii="Arial" w:hAnsi="Arial" w:cs="Arial"/>
        </w:rPr>
        <w:t>unable to meet the</w:t>
      </w:r>
      <w:r w:rsidR="00C42F0B">
        <w:rPr>
          <w:rFonts w:ascii="Arial" w:hAnsi="Arial" w:cs="Arial"/>
        </w:rPr>
        <w:t xml:space="preserve"> waiting time targets for those routine referrals not assessed as urgent/emergency.  Demand exceeds available capacity and </w:t>
      </w:r>
      <w:r w:rsidR="00D179A0">
        <w:rPr>
          <w:rFonts w:ascii="Arial" w:hAnsi="Arial" w:cs="Arial"/>
        </w:rPr>
        <w:t xml:space="preserve">work </w:t>
      </w:r>
      <w:r w:rsidR="00743B0C">
        <w:rPr>
          <w:rFonts w:ascii="Arial" w:hAnsi="Arial" w:cs="Arial"/>
        </w:rPr>
        <w:t>continues</w:t>
      </w:r>
      <w:r w:rsidR="00D179A0">
        <w:rPr>
          <w:rFonts w:ascii="Arial" w:hAnsi="Arial" w:cs="Arial"/>
        </w:rPr>
        <w:t xml:space="preserve"> with commissioners and internally with</w:t>
      </w:r>
      <w:r w:rsidR="00743B0C">
        <w:rPr>
          <w:rFonts w:ascii="Arial" w:hAnsi="Arial" w:cs="Arial"/>
        </w:rPr>
        <w:t>in</w:t>
      </w:r>
      <w:r w:rsidR="00D179A0">
        <w:rPr>
          <w:rFonts w:ascii="Arial" w:hAnsi="Arial" w:cs="Arial"/>
        </w:rPr>
        <w:t xml:space="preserve"> the Trust to tackle this issue.</w:t>
      </w:r>
      <w:r w:rsidR="00375478">
        <w:rPr>
          <w:rFonts w:ascii="Arial" w:hAnsi="Arial" w:cs="Arial"/>
        </w:rPr>
        <w:t xml:space="preserve">  At the present time, it is not possible to say exactly when the backlog that has developed will be cleared but forecasts </w:t>
      </w:r>
      <w:r w:rsidR="00743B0C">
        <w:rPr>
          <w:rFonts w:ascii="Arial" w:hAnsi="Arial" w:cs="Arial"/>
        </w:rPr>
        <w:t xml:space="preserve">still </w:t>
      </w:r>
      <w:r w:rsidR="00375478">
        <w:rPr>
          <w:rFonts w:ascii="Arial" w:hAnsi="Arial" w:cs="Arial"/>
        </w:rPr>
        <w:t xml:space="preserve">suggest early 2019. </w:t>
      </w:r>
    </w:p>
    <w:p w:rsidR="00375478" w:rsidRPr="00375478" w:rsidRDefault="00375478" w:rsidP="00375478">
      <w:pPr>
        <w:pStyle w:val="ListParagraph"/>
        <w:rPr>
          <w:rFonts w:ascii="Arial" w:hAnsi="Arial" w:cs="Arial"/>
        </w:rPr>
      </w:pPr>
    </w:p>
    <w:p w:rsidR="00375478" w:rsidRPr="00EE6F42" w:rsidRDefault="009C7F8D" w:rsidP="00EE6F42">
      <w:pPr>
        <w:pStyle w:val="ListParagraph"/>
        <w:numPr>
          <w:ilvl w:val="0"/>
          <w:numId w:val="16"/>
        </w:numPr>
        <w:jc w:val="both"/>
        <w:rPr>
          <w:rFonts w:ascii="Arial" w:hAnsi="Arial" w:cs="Arial"/>
        </w:rPr>
      </w:pPr>
      <w:proofErr w:type="spellStart"/>
      <w:r w:rsidRPr="009C7F8D">
        <w:rPr>
          <w:rFonts w:ascii="Arial" w:hAnsi="Arial" w:cs="Arial"/>
          <w:b/>
        </w:rPr>
        <w:t>Swindon</w:t>
      </w:r>
      <w:proofErr w:type="spellEnd"/>
      <w:r w:rsidRPr="009C7F8D">
        <w:rPr>
          <w:rFonts w:ascii="Arial" w:hAnsi="Arial" w:cs="Arial"/>
          <w:b/>
        </w:rPr>
        <w:t>, Wiltshire, Bath &amp; North East Somerset (SWB) CAMHS</w:t>
      </w:r>
      <w:r>
        <w:rPr>
          <w:rFonts w:ascii="Arial" w:hAnsi="Arial" w:cs="Arial"/>
        </w:rPr>
        <w:t xml:space="preserve"> – The Trust is not achieving a number of waiting time targets for CAMHS in SWB.  </w:t>
      </w:r>
      <w:r w:rsidR="00C57EF0">
        <w:rPr>
          <w:rFonts w:ascii="Arial" w:hAnsi="Arial" w:cs="Arial"/>
        </w:rPr>
        <w:t xml:space="preserve">This </w:t>
      </w:r>
      <w:r w:rsidR="004F792C">
        <w:rPr>
          <w:rFonts w:ascii="Arial" w:hAnsi="Arial" w:cs="Arial"/>
        </w:rPr>
        <w:t>has been</w:t>
      </w:r>
      <w:r w:rsidR="00C57EF0">
        <w:rPr>
          <w:rFonts w:ascii="Arial" w:hAnsi="Arial" w:cs="Arial"/>
        </w:rPr>
        <w:t xml:space="preserve"> due to a large number of vacancies in Salisbury and Melksham.  The majority of these vacancies have now been filled but due to a backlog, it will take some time for the services to achieve the required targets.</w:t>
      </w:r>
      <w:r w:rsidR="00743B0C">
        <w:rPr>
          <w:rFonts w:ascii="Arial" w:hAnsi="Arial" w:cs="Arial"/>
          <w:i/>
        </w:rPr>
        <w:t xml:space="preserve"> </w:t>
      </w:r>
      <w:r>
        <w:rPr>
          <w:rFonts w:ascii="Arial" w:hAnsi="Arial" w:cs="Arial"/>
        </w:rPr>
        <w:t xml:space="preserve">Performance </w:t>
      </w:r>
      <w:r w:rsidR="00884567">
        <w:rPr>
          <w:rFonts w:ascii="Arial" w:hAnsi="Arial" w:cs="Arial"/>
        </w:rPr>
        <w:t>is being</w:t>
      </w:r>
      <w:r>
        <w:rPr>
          <w:rFonts w:ascii="Arial" w:hAnsi="Arial" w:cs="Arial"/>
        </w:rPr>
        <w:t xml:space="preserve"> monitored closely by</w:t>
      </w:r>
      <w:r w:rsidR="00884567">
        <w:rPr>
          <w:rFonts w:ascii="Arial" w:hAnsi="Arial" w:cs="Arial"/>
        </w:rPr>
        <w:t xml:space="preserve"> the</w:t>
      </w:r>
      <w:r>
        <w:rPr>
          <w:rFonts w:ascii="Arial" w:hAnsi="Arial" w:cs="Arial"/>
        </w:rPr>
        <w:t xml:space="preserve"> Directorate </w:t>
      </w:r>
      <w:r w:rsidR="00884567">
        <w:rPr>
          <w:rFonts w:ascii="Arial" w:hAnsi="Arial" w:cs="Arial"/>
        </w:rPr>
        <w:t xml:space="preserve">Senior </w:t>
      </w:r>
      <w:r>
        <w:rPr>
          <w:rFonts w:ascii="Arial" w:hAnsi="Arial" w:cs="Arial"/>
        </w:rPr>
        <w:t>Management</w:t>
      </w:r>
      <w:r w:rsidR="00884567">
        <w:rPr>
          <w:rFonts w:ascii="Arial" w:hAnsi="Arial" w:cs="Arial"/>
        </w:rPr>
        <w:t xml:space="preserve"> Team</w:t>
      </w:r>
      <w:r>
        <w:rPr>
          <w:rFonts w:ascii="Arial" w:hAnsi="Arial" w:cs="Arial"/>
        </w:rPr>
        <w:t xml:space="preserve"> and the Operations Management Team. </w:t>
      </w:r>
    </w:p>
    <w:p w:rsidR="00961343" w:rsidRDefault="00961343" w:rsidP="001E3511">
      <w:pPr>
        <w:jc w:val="both"/>
        <w:rPr>
          <w:rFonts w:ascii="Arial" w:hAnsi="Arial" w:cs="Arial"/>
        </w:rPr>
      </w:pPr>
    </w:p>
    <w:p w:rsidR="00F94979" w:rsidRDefault="00F678C9" w:rsidP="00F94979">
      <w:pPr>
        <w:rPr>
          <w:rFonts w:ascii="Arial" w:hAnsi="Arial" w:cs="Arial"/>
          <w:b/>
        </w:rPr>
      </w:pPr>
      <w:r>
        <w:rPr>
          <w:rFonts w:ascii="Arial" w:hAnsi="Arial" w:cs="Arial"/>
          <w:b/>
        </w:rPr>
        <w:t>Buckinghamshire</w:t>
      </w:r>
      <w:r w:rsidR="00F94979">
        <w:rPr>
          <w:rFonts w:ascii="Arial" w:hAnsi="Arial" w:cs="Arial"/>
          <w:b/>
        </w:rPr>
        <w:t xml:space="preserve"> – All Ages Mental Health</w:t>
      </w:r>
    </w:p>
    <w:p w:rsidR="008C512E" w:rsidRDefault="008C512E" w:rsidP="00F94979">
      <w:pPr>
        <w:rPr>
          <w:rFonts w:ascii="Arial" w:hAnsi="Arial" w:cs="Arial"/>
          <w:b/>
        </w:rPr>
      </w:pPr>
    </w:p>
    <w:p w:rsidR="0061710E" w:rsidRDefault="00275CBC" w:rsidP="00260A9C">
      <w:pPr>
        <w:jc w:val="both"/>
        <w:rPr>
          <w:rFonts w:ascii="Arial" w:hAnsi="Arial" w:cs="Arial"/>
        </w:rPr>
      </w:pPr>
      <w:r>
        <w:rPr>
          <w:rFonts w:ascii="Arial" w:hAnsi="Arial" w:cs="Arial"/>
        </w:rPr>
        <w:t xml:space="preserve">The Directorate achieved </w:t>
      </w:r>
      <w:r w:rsidR="00743B0C">
        <w:rPr>
          <w:rFonts w:ascii="Arial" w:hAnsi="Arial" w:cs="Arial"/>
          <w:b/>
        </w:rPr>
        <w:t>30</w:t>
      </w:r>
      <w:r w:rsidR="008C512E" w:rsidRPr="00275CBC">
        <w:rPr>
          <w:rFonts w:ascii="Arial" w:hAnsi="Arial" w:cs="Arial"/>
          <w:b/>
        </w:rPr>
        <w:t xml:space="preserve"> of the 47 (</w:t>
      </w:r>
      <w:r w:rsidR="00300134">
        <w:rPr>
          <w:rFonts w:ascii="Arial" w:hAnsi="Arial" w:cs="Arial"/>
          <w:b/>
        </w:rPr>
        <w:t>6</w:t>
      </w:r>
      <w:r w:rsidR="00743B0C">
        <w:rPr>
          <w:rFonts w:ascii="Arial" w:hAnsi="Arial" w:cs="Arial"/>
          <w:b/>
        </w:rPr>
        <w:t>4</w:t>
      </w:r>
      <w:r w:rsidR="008C512E" w:rsidRPr="00275CBC">
        <w:rPr>
          <w:rFonts w:ascii="Arial" w:hAnsi="Arial" w:cs="Arial"/>
          <w:b/>
        </w:rPr>
        <w:t>%)</w:t>
      </w:r>
      <w:r w:rsidR="008C512E">
        <w:rPr>
          <w:rFonts w:ascii="Arial" w:hAnsi="Arial" w:cs="Arial"/>
        </w:rPr>
        <w:t xml:space="preserve"> targeted indicators </w:t>
      </w:r>
      <w:r w:rsidR="00260A9C">
        <w:rPr>
          <w:rFonts w:ascii="Arial" w:hAnsi="Arial" w:cs="Arial"/>
        </w:rPr>
        <w:t xml:space="preserve">in </w:t>
      </w:r>
      <w:r w:rsidR="00743B0C">
        <w:rPr>
          <w:rFonts w:ascii="Arial" w:hAnsi="Arial" w:cs="Arial"/>
        </w:rPr>
        <w:t xml:space="preserve">October </w:t>
      </w:r>
      <w:r>
        <w:rPr>
          <w:rFonts w:ascii="Arial" w:hAnsi="Arial" w:cs="Arial"/>
        </w:rPr>
        <w:t xml:space="preserve">which is a decrease in performance from the </w:t>
      </w:r>
      <w:r w:rsidR="00743B0C">
        <w:rPr>
          <w:rFonts w:ascii="Arial" w:hAnsi="Arial" w:cs="Arial"/>
        </w:rPr>
        <w:t>67</w:t>
      </w:r>
      <w:r>
        <w:rPr>
          <w:rFonts w:ascii="Arial" w:hAnsi="Arial" w:cs="Arial"/>
        </w:rPr>
        <w:t xml:space="preserve">% reported in </w:t>
      </w:r>
      <w:r w:rsidR="00743B0C">
        <w:rPr>
          <w:rFonts w:ascii="Arial" w:hAnsi="Arial" w:cs="Arial"/>
        </w:rPr>
        <w:t>September</w:t>
      </w:r>
      <w:r>
        <w:rPr>
          <w:rFonts w:ascii="Arial" w:hAnsi="Arial" w:cs="Arial"/>
        </w:rPr>
        <w:t xml:space="preserve">.  </w:t>
      </w:r>
    </w:p>
    <w:p w:rsidR="0061710E" w:rsidRDefault="0061710E" w:rsidP="00260A9C">
      <w:pPr>
        <w:jc w:val="both"/>
        <w:rPr>
          <w:rFonts w:ascii="Arial" w:hAnsi="Arial" w:cs="Arial"/>
        </w:rPr>
      </w:pPr>
    </w:p>
    <w:p w:rsidR="0061710E" w:rsidRDefault="0061710E" w:rsidP="00743B0C">
      <w:pPr>
        <w:jc w:val="both"/>
        <w:rPr>
          <w:rFonts w:ascii="Arial" w:hAnsi="Arial" w:cs="Arial"/>
        </w:rPr>
      </w:pPr>
      <w:r>
        <w:rPr>
          <w:rFonts w:ascii="Arial" w:hAnsi="Arial" w:cs="Arial"/>
        </w:rPr>
        <w:t xml:space="preserve">Out of Area </w:t>
      </w:r>
      <w:r w:rsidR="00743B0C">
        <w:rPr>
          <w:rFonts w:ascii="Arial" w:hAnsi="Arial" w:cs="Arial"/>
        </w:rPr>
        <w:t>Placements (OAP</w:t>
      </w:r>
      <w:r>
        <w:rPr>
          <w:rFonts w:ascii="Arial" w:hAnsi="Arial" w:cs="Arial"/>
        </w:rPr>
        <w:t xml:space="preserve">s) in Buckinghamshire continue to expose the Trust to significant financial risk and actions are being taken to address this issue as a priority.  </w:t>
      </w:r>
    </w:p>
    <w:p w:rsidR="00743B0C" w:rsidRDefault="00743B0C" w:rsidP="00743B0C">
      <w:pPr>
        <w:jc w:val="both"/>
        <w:rPr>
          <w:rFonts w:ascii="Arial" w:hAnsi="Arial" w:cs="Arial"/>
        </w:rPr>
      </w:pPr>
    </w:p>
    <w:p w:rsidR="00743B0C" w:rsidRDefault="00743B0C" w:rsidP="00743B0C">
      <w:pPr>
        <w:jc w:val="both"/>
        <w:rPr>
          <w:rFonts w:ascii="Arial" w:hAnsi="Arial" w:cs="Arial"/>
        </w:rPr>
      </w:pPr>
      <w:r>
        <w:rPr>
          <w:rFonts w:ascii="Arial" w:hAnsi="Arial" w:cs="Arial"/>
        </w:rPr>
        <w:lastRenderedPageBreak/>
        <w:t>In October, there were 9 OAPs in Buckinghamshire.</w:t>
      </w:r>
      <w:r w:rsidR="001D3A0E">
        <w:rPr>
          <w:rFonts w:ascii="Arial" w:hAnsi="Arial" w:cs="Arial"/>
        </w:rPr>
        <w:t xml:space="preserve">  </w:t>
      </w:r>
      <w:r w:rsidR="00392CE4" w:rsidRPr="00392CE4">
        <w:rPr>
          <w:rFonts w:ascii="Arial" w:hAnsi="Arial" w:cs="Arial"/>
        </w:rPr>
        <w:t>This is an increase</w:t>
      </w:r>
      <w:r w:rsidR="001D3A0E" w:rsidRPr="00392CE4">
        <w:rPr>
          <w:rFonts w:ascii="Arial" w:hAnsi="Arial" w:cs="Arial"/>
        </w:rPr>
        <w:t xml:space="preserve"> from September when there were </w:t>
      </w:r>
      <w:r w:rsidR="00392CE4" w:rsidRPr="00392CE4">
        <w:rPr>
          <w:rFonts w:ascii="Arial" w:hAnsi="Arial" w:cs="Arial"/>
        </w:rPr>
        <w:t>5</w:t>
      </w:r>
      <w:r w:rsidR="001D3A0E" w:rsidRPr="00392CE4">
        <w:rPr>
          <w:rFonts w:ascii="Arial" w:hAnsi="Arial" w:cs="Arial"/>
        </w:rPr>
        <w:t>.</w:t>
      </w:r>
    </w:p>
    <w:p w:rsidR="00743B0C" w:rsidRDefault="00743B0C" w:rsidP="00743B0C">
      <w:pPr>
        <w:jc w:val="both"/>
        <w:rPr>
          <w:rFonts w:ascii="Arial" w:hAnsi="Arial" w:cs="Arial"/>
        </w:rPr>
      </w:pPr>
    </w:p>
    <w:p w:rsidR="00260A9C" w:rsidRDefault="00260A9C" w:rsidP="00260A9C">
      <w:pPr>
        <w:jc w:val="both"/>
        <w:rPr>
          <w:rFonts w:ascii="Arial" w:hAnsi="Arial" w:cs="Arial"/>
        </w:rPr>
      </w:pPr>
      <w:r>
        <w:rPr>
          <w:rFonts w:ascii="Arial" w:hAnsi="Arial" w:cs="Arial"/>
        </w:rPr>
        <w:t>Particular areas highlighted to the Board are:</w:t>
      </w:r>
    </w:p>
    <w:p w:rsidR="000161D5" w:rsidRDefault="000161D5" w:rsidP="001E3511">
      <w:pPr>
        <w:jc w:val="both"/>
        <w:rPr>
          <w:rFonts w:ascii="Arial" w:hAnsi="Arial" w:cs="Arial"/>
        </w:rPr>
      </w:pPr>
    </w:p>
    <w:p w:rsidR="001B58E1" w:rsidRDefault="001B58E1" w:rsidP="00F678C9">
      <w:pPr>
        <w:pStyle w:val="ListParagraph"/>
        <w:numPr>
          <w:ilvl w:val="0"/>
          <w:numId w:val="10"/>
        </w:numPr>
        <w:jc w:val="both"/>
        <w:rPr>
          <w:rFonts w:ascii="Arial" w:hAnsi="Arial" w:cs="Arial"/>
        </w:rPr>
      </w:pPr>
      <w:r w:rsidRPr="001B58E1">
        <w:rPr>
          <w:rFonts w:ascii="Arial" w:hAnsi="Arial" w:cs="Arial"/>
          <w:b/>
        </w:rPr>
        <w:t>Urgent Referrals</w:t>
      </w:r>
      <w:r>
        <w:rPr>
          <w:rFonts w:ascii="Arial" w:hAnsi="Arial" w:cs="Arial"/>
          <w:b/>
        </w:rPr>
        <w:t xml:space="preserve"> (7 day)</w:t>
      </w:r>
      <w:r>
        <w:rPr>
          <w:rFonts w:ascii="Arial" w:hAnsi="Arial" w:cs="Arial"/>
        </w:rPr>
        <w:t xml:space="preserve"> – The Trust has consistently breached the target set for urgent referrals since April 2018.  This has been for a variety of reasons including a lack of workforce, patient choice and patient availability.  Reasons for breach are being reported on a regular basis and services are working to improve this position.</w:t>
      </w:r>
    </w:p>
    <w:p w:rsidR="001B58E1" w:rsidRPr="001B58E1" w:rsidRDefault="001B58E1" w:rsidP="001B58E1">
      <w:pPr>
        <w:pStyle w:val="ListParagraph"/>
        <w:jc w:val="both"/>
        <w:rPr>
          <w:rFonts w:ascii="Arial" w:hAnsi="Arial" w:cs="Arial"/>
        </w:rPr>
      </w:pPr>
    </w:p>
    <w:p w:rsidR="00F678C9" w:rsidRDefault="00F678C9" w:rsidP="00F678C9">
      <w:pPr>
        <w:pStyle w:val="ListParagraph"/>
        <w:numPr>
          <w:ilvl w:val="0"/>
          <w:numId w:val="10"/>
        </w:numPr>
        <w:jc w:val="both"/>
        <w:rPr>
          <w:rFonts w:ascii="Arial" w:hAnsi="Arial" w:cs="Arial"/>
        </w:rPr>
      </w:pPr>
      <w:r w:rsidRPr="00E54343">
        <w:rPr>
          <w:rFonts w:ascii="Arial" w:hAnsi="Arial" w:cs="Arial"/>
          <w:b/>
        </w:rPr>
        <w:t>Care Reviews</w:t>
      </w:r>
      <w:r w:rsidR="00BB4536">
        <w:rPr>
          <w:rFonts w:ascii="Arial" w:hAnsi="Arial" w:cs="Arial"/>
          <w:b/>
        </w:rPr>
        <w:t xml:space="preserve"> (Adults and Older People)</w:t>
      </w:r>
      <w:r w:rsidRPr="00E54343">
        <w:rPr>
          <w:rFonts w:ascii="Arial" w:hAnsi="Arial" w:cs="Arial"/>
        </w:rPr>
        <w:t xml:space="preserve"> </w:t>
      </w:r>
      <w:r w:rsidR="002D4771">
        <w:rPr>
          <w:rFonts w:ascii="Arial" w:hAnsi="Arial" w:cs="Arial"/>
        </w:rPr>
        <w:t>– As with the solution for the cluster reviews, the Trust’s Information Management and Technology Team (IM&amp;T) are currently developing a solution that will enable clinical staff to be notified when patients are due a care review which will help the Trust to improve its performance against this target.</w:t>
      </w:r>
    </w:p>
    <w:p w:rsidR="005F270E" w:rsidRDefault="005F270E" w:rsidP="005F270E">
      <w:pPr>
        <w:pStyle w:val="ListParagraph"/>
        <w:jc w:val="both"/>
        <w:rPr>
          <w:rFonts w:ascii="Arial" w:hAnsi="Arial" w:cs="Arial"/>
        </w:rPr>
      </w:pPr>
    </w:p>
    <w:p w:rsidR="005F270E" w:rsidRDefault="005F270E" w:rsidP="00F678C9">
      <w:pPr>
        <w:pStyle w:val="ListParagraph"/>
        <w:numPr>
          <w:ilvl w:val="0"/>
          <w:numId w:val="10"/>
        </w:numPr>
        <w:jc w:val="both"/>
        <w:rPr>
          <w:rFonts w:ascii="Arial" w:hAnsi="Arial" w:cs="Arial"/>
        </w:rPr>
      </w:pPr>
      <w:r w:rsidRPr="005F270E">
        <w:rPr>
          <w:rFonts w:ascii="Arial" w:hAnsi="Arial" w:cs="Arial"/>
          <w:b/>
        </w:rPr>
        <w:t>Memory Services</w:t>
      </w:r>
      <w:r>
        <w:rPr>
          <w:rFonts w:ascii="Arial" w:hAnsi="Arial" w:cs="Arial"/>
        </w:rPr>
        <w:t xml:space="preserve"> </w:t>
      </w:r>
      <w:r w:rsidR="0098250E">
        <w:rPr>
          <w:rFonts w:ascii="Arial" w:hAnsi="Arial" w:cs="Arial"/>
        </w:rPr>
        <w:t>–</w:t>
      </w:r>
      <w:r>
        <w:rPr>
          <w:rFonts w:ascii="Arial" w:hAnsi="Arial" w:cs="Arial"/>
        </w:rPr>
        <w:t xml:space="preserve"> </w:t>
      </w:r>
      <w:r w:rsidR="00470592">
        <w:rPr>
          <w:rFonts w:ascii="Arial" w:hAnsi="Arial" w:cs="Arial"/>
        </w:rPr>
        <w:t>Following the recruitment of two new staff, performance in the Buckinghamshire Memory Service has significantly improved in September</w:t>
      </w:r>
      <w:r w:rsidR="0096293E">
        <w:rPr>
          <w:rFonts w:ascii="Arial" w:hAnsi="Arial" w:cs="Arial"/>
        </w:rPr>
        <w:t>.</w:t>
      </w:r>
      <w:r w:rsidR="00470592">
        <w:rPr>
          <w:rFonts w:ascii="Arial" w:hAnsi="Arial" w:cs="Arial"/>
        </w:rPr>
        <w:t xml:space="preserve">  A backlog has developed whilst the service was operating with vacancies but this is expected to clear over time.  It is forecast that the target will be achieved in early 2019.</w:t>
      </w:r>
    </w:p>
    <w:p w:rsidR="0098250E" w:rsidRPr="0098250E" w:rsidRDefault="0098250E" w:rsidP="0098250E">
      <w:pPr>
        <w:pStyle w:val="ListParagraph"/>
        <w:rPr>
          <w:rFonts w:ascii="Arial" w:hAnsi="Arial" w:cs="Arial"/>
        </w:rPr>
      </w:pPr>
    </w:p>
    <w:p w:rsidR="0098250E" w:rsidRDefault="0098250E" w:rsidP="00F678C9">
      <w:pPr>
        <w:pStyle w:val="ListParagraph"/>
        <w:numPr>
          <w:ilvl w:val="0"/>
          <w:numId w:val="10"/>
        </w:numPr>
        <w:jc w:val="both"/>
        <w:rPr>
          <w:rFonts w:ascii="Arial" w:hAnsi="Arial" w:cs="Arial"/>
        </w:rPr>
      </w:pPr>
      <w:r w:rsidRPr="0098250E">
        <w:rPr>
          <w:rFonts w:ascii="Arial" w:hAnsi="Arial" w:cs="Arial"/>
          <w:b/>
        </w:rPr>
        <w:t>Did not attend (DNA)</w:t>
      </w:r>
      <w:r>
        <w:rPr>
          <w:rFonts w:ascii="Arial" w:hAnsi="Arial" w:cs="Arial"/>
        </w:rPr>
        <w:t xml:space="preserve"> – </w:t>
      </w:r>
      <w:r w:rsidR="009E512A">
        <w:rPr>
          <w:rFonts w:ascii="Arial" w:hAnsi="Arial" w:cs="Arial"/>
        </w:rPr>
        <w:t>There has been a slight improvement in DNA rates in Buckinghamshire with a number of indicators moving from exception (red) to the amber category</w:t>
      </w:r>
      <w:r>
        <w:rPr>
          <w:rFonts w:ascii="Arial" w:hAnsi="Arial" w:cs="Arial"/>
        </w:rPr>
        <w:t>.</w:t>
      </w:r>
      <w:r w:rsidR="009E512A">
        <w:rPr>
          <w:rFonts w:ascii="Arial" w:hAnsi="Arial" w:cs="Arial"/>
        </w:rPr>
        <w:t xml:space="preserve">  Performance will continue to be monitored closely by Directorate Service Managers.</w:t>
      </w:r>
    </w:p>
    <w:p w:rsidR="00FF028F" w:rsidRDefault="00FF028F" w:rsidP="00FF028F">
      <w:pPr>
        <w:pStyle w:val="ListParagraph"/>
        <w:jc w:val="both"/>
        <w:rPr>
          <w:rFonts w:ascii="Arial" w:hAnsi="Arial" w:cs="Arial"/>
        </w:rPr>
      </w:pPr>
    </w:p>
    <w:p w:rsidR="00666A25" w:rsidRDefault="00666A25" w:rsidP="001E3511">
      <w:pPr>
        <w:jc w:val="both"/>
        <w:rPr>
          <w:rFonts w:ascii="Arial" w:hAnsi="Arial" w:cs="Arial"/>
          <w:b/>
        </w:rPr>
      </w:pPr>
    </w:p>
    <w:p w:rsidR="000161D5" w:rsidRDefault="000161D5" w:rsidP="001E3511">
      <w:pPr>
        <w:jc w:val="both"/>
        <w:rPr>
          <w:rFonts w:ascii="Arial" w:hAnsi="Arial" w:cs="Arial"/>
          <w:b/>
        </w:rPr>
      </w:pPr>
      <w:r w:rsidRPr="000161D5">
        <w:rPr>
          <w:rFonts w:ascii="Arial" w:hAnsi="Arial" w:cs="Arial"/>
          <w:b/>
        </w:rPr>
        <w:t>Oxfordshire Community Services Directorate</w:t>
      </w:r>
    </w:p>
    <w:p w:rsidR="00401AC7" w:rsidRDefault="00401AC7" w:rsidP="001E3511">
      <w:pPr>
        <w:jc w:val="both"/>
        <w:rPr>
          <w:rFonts w:ascii="Arial" w:hAnsi="Arial" w:cs="Arial"/>
          <w:b/>
        </w:rPr>
      </w:pPr>
    </w:p>
    <w:p w:rsidR="000E7015" w:rsidRDefault="00401AC7" w:rsidP="00401AC7">
      <w:pPr>
        <w:jc w:val="both"/>
        <w:rPr>
          <w:rFonts w:ascii="Arial" w:hAnsi="Arial" w:cs="Arial"/>
        </w:rPr>
      </w:pPr>
      <w:r>
        <w:rPr>
          <w:rFonts w:ascii="Arial" w:hAnsi="Arial" w:cs="Arial"/>
        </w:rPr>
        <w:t xml:space="preserve">The Directorate achieved </w:t>
      </w:r>
      <w:r w:rsidR="00264684">
        <w:rPr>
          <w:rFonts w:ascii="Arial" w:hAnsi="Arial" w:cs="Arial"/>
          <w:b/>
        </w:rPr>
        <w:t>52</w:t>
      </w:r>
      <w:r w:rsidRPr="007077C5">
        <w:rPr>
          <w:rFonts w:ascii="Arial" w:hAnsi="Arial" w:cs="Arial"/>
          <w:b/>
        </w:rPr>
        <w:t xml:space="preserve"> of the </w:t>
      </w:r>
      <w:r w:rsidR="00264684">
        <w:rPr>
          <w:rFonts w:ascii="Arial" w:hAnsi="Arial" w:cs="Arial"/>
          <w:b/>
        </w:rPr>
        <w:t>71</w:t>
      </w:r>
      <w:r w:rsidR="000E7015" w:rsidRPr="007077C5">
        <w:rPr>
          <w:rFonts w:ascii="Arial" w:hAnsi="Arial" w:cs="Arial"/>
          <w:b/>
        </w:rPr>
        <w:t xml:space="preserve"> (</w:t>
      </w:r>
      <w:r w:rsidR="00264684">
        <w:rPr>
          <w:rFonts w:ascii="Arial" w:hAnsi="Arial" w:cs="Arial"/>
          <w:b/>
        </w:rPr>
        <w:t>73</w:t>
      </w:r>
      <w:r w:rsidRPr="007077C5">
        <w:rPr>
          <w:rFonts w:ascii="Arial" w:hAnsi="Arial" w:cs="Arial"/>
          <w:b/>
        </w:rPr>
        <w:t>%)</w:t>
      </w:r>
      <w:r>
        <w:rPr>
          <w:rFonts w:ascii="Arial" w:hAnsi="Arial" w:cs="Arial"/>
        </w:rPr>
        <w:t xml:space="preserve"> targeted indicators in </w:t>
      </w:r>
      <w:r w:rsidR="00264684">
        <w:rPr>
          <w:rFonts w:ascii="Arial" w:hAnsi="Arial" w:cs="Arial"/>
        </w:rPr>
        <w:t>October</w:t>
      </w:r>
      <w:r>
        <w:rPr>
          <w:rFonts w:ascii="Arial" w:hAnsi="Arial" w:cs="Arial"/>
        </w:rPr>
        <w:t>.</w:t>
      </w:r>
      <w:r w:rsidR="00264684">
        <w:rPr>
          <w:rFonts w:ascii="Arial" w:hAnsi="Arial" w:cs="Arial"/>
        </w:rPr>
        <w:t xml:space="preserve">  This is an improvement </w:t>
      </w:r>
      <w:r w:rsidR="007077C5">
        <w:rPr>
          <w:rFonts w:ascii="Arial" w:hAnsi="Arial" w:cs="Arial"/>
        </w:rPr>
        <w:t xml:space="preserve">in the performance reported in </w:t>
      </w:r>
      <w:r w:rsidR="00264684">
        <w:rPr>
          <w:rFonts w:ascii="Arial" w:hAnsi="Arial" w:cs="Arial"/>
        </w:rPr>
        <w:t>September</w:t>
      </w:r>
      <w:r w:rsidR="007077C5">
        <w:rPr>
          <w:rFonts w:ascii="Arial" w:hAnsi="Arial" w:cs="Arial"/>
        </w:rPr>
        <w:t>.</w:t>
      </w:r>
    </w:p>
    <w:p w:rsidR="00264684" w:rsidRDefault="00264684" w:rsidP="00401AC7">
      <w:pPr>
        <w:jc w:val="both"/>
        <w:rPr>
          <w:rFonts w:ascii="Arial" w:hAnsi="Arial" w:cs="Arial"/>
        </w:rPr>
      </w:pPr>
    </w:p>
    <w:p w:rsidR="00264684" w:rsidRPr="00264684" w:rsidRDefault="00264684" w:rsidP="00401AC7">
      <w:pPr>
        <w:jc w:val="both"/>
        <w:rPr>
          <w:rFonts w:ascii="Arial" w:hAnsi="Arial" w:cs="Arial"/>
          <w:i/>
        </w:rPr>
      </w:pPr>
      <w:r w:rsidRPr="00264684">
        <w:rPr>
          <w:rFonts w:ascii="Arial" w:hAnsi="Arial" w:cs="Arial"/>
          <w:i/>
        </w:rPr>
        <w:t>It should also be noted that with support from Oxfordshire CCG, the number of targeted indicators has been significantly reduced.  It has been agreed that over the winter period, to reduce the reporting overheads, only indicators that have clinical value will be reported on.  The reduction represents approximately 40% which has been welcomed.</w:t>
      </w:r>
    </w:p>
    <w:p w:rsidR="000E7015" w:rsidRDefault="000E7015" w:rsidP="00401AC7">
      <w:pPr>
        <w:jc w:val="both"/>
        <w:rPr>
          <w:rFonts w:ascii="Arial" w:hAnsi="Arial" w:cs="Arial"/>
        </w:rPr>
      </w:pPr>
    </w:p>
    <w:p w:rsidR="00BD6B8C" w:rsidRDefault="00BD6B8C" w:rsidP="00401AC7">
      <w:pPr>
        <w:jc w:val="both"/>
        <w:rPr>
          <w:rFonts w:ascii="Arial" w:hAnsi="Arial" w:cs="Arial"/>
        </w:rPr>
      </w:pPr>
      <w:r>
        <w:rPr>
          <w:rFonts w:ascii="Arial" w:hAnsi="Arial" w:cs="Arial"/>
        </w:rPr>
        <w:t>Looking at the overall position, there has been a noticeable shift in breach pattern with Oxfordshire Continuing Healthcare now being the primary source of underperformance in the Directorate.  This is principally due to the increasing demand seen consistently since the start of the year.</w:t>
      </w:r>
    </w:p>
    <w:p w:rsidR="00BD6B8C" w:rsidRDefault="00BD6B8C" w:rsidP="00401AC7">
      <w:pPr>
        <w:jc w:val="both"/>
        <w:rPr>
          <w:rFonts w:ascii="Arial" w:hAnsi="Arial" w:cs="Arial"/>
        </w:rPr>
      </w:pPr>
    </w:p>
    <w:p w:rsidR="00401AC7" w:rsidRDefault="00401AC7" w:rsidP="00401AC7">
      <w:pPr>
        <w:jc w:val="both"/>
        <w:rPr>
          <w:rFonts w:ascii="Arial" w:hAnsi="Arial" w:cs="Arial"/>
        </w:rPr>
      </w:pPr>
      <w:r>
        <w:rPr>
          <w:rFonts w:ascii="Arial" w:hAnsi="Arial" w:cs="Arial"/>
        </w:rPr>
        <w:t>Particular areas that are highlighted to the Board are:</w:t>
      </w:r>
    </w:p>
    <w:p w:rsidR="00401AC7" w:rsidRPr="000161D5" w:rsidRDefault="00401AC7" w:rsidP="001E3511">
      <w:pPr>
        <w:jc w:val="both"/>
        <w:rPr>
          <w:rFonts w:ascii="Arial" w:hAnsi="Arial" w:cs="Arial"/>
          <w:b/>
        </w:rPr>
      </w:pPr>
    </w:p>
    <w:p w:rsidR="00641879" w:rsidRPr="00641879" w:rsidRDefault="00641879" w:rsidP="00377268">
      <w:pPr>
        <w:pStyle w:val="ListParagraph"/>
        <w:numPr>
          <w:ilvl w:val="0"/>
          <w:numId w:val="10"/>
        </w:numPr>
        <w:jc w:val="both"/>
        <w:rPr>
          <w:rFonts w:ascii="Arial" w:hAnsi="Arial" w:cs="Arial"/>
          <w:b/>
        </w:rPr>
      </w:pPr>
      <w:r w:rsidRPr="00641879">
        <w:rPr>
          <w:rFonts w:ascii="Arial" w:hAnsi="Arial" w:cs="Arial"/>
          <w:b/>
        </w:rPr>
        <w:t xml:space="preserve">Falls Service – </w:t>
      </w:r>
      <w:r>
        <w:rPr>
          <w:rFonts w:ascii="Arial" w:hAnsi="Arial" w:cs="Arial"/>
        </w:rPr>
        <w:t>Although this is considered a preventative service and therefore no patients are at direct risk, there is still a significant demand vs capacity issue.  Where risks are identified, a referral process is in place which signposts clients back to their GP or an appropriate service.  Further investment will be required to achieve the targets set by commissioners for this service.</w:t>
      </w:r>
    </w:p>
    <w:p w:rsidR="00641879" w:rsidRPr="00641879" w:rsidRDefault="00641879" w:rsidP="00641879">
      <w:pPr>
        <w:pStyle w:val="ListParagraph"/>
        <w:jc w:val="both"/>
        <w:rPr>
          <w:rFonts w:ascii="Arial" w:hAnsi="Arial" w:cs="Arial"/>
        </w:rPr>
      </w:pPr>
    </w:p>
    <w:p w:rsidR="00ED3BCF" w:rsidRPr="00ED3BCF" w:rsidRDefault="00ED3BCF" w:rsidP="00377268">
      <w:pPr>
        <w:pStyle w:val="ListParagraph"/>
        <w:numPr>
          <w:ilvl w:val="0"/>
          <w:numId w:val="10"/>
        </w:numPr>
        <w:jc w:val="both"/>
        <w:rPr>
          <w:rFonts w:ascii="Arial" w:hAnsi="Arial" w:cs="Arial"/>
        </w:rPr>
      </w:pPr>
      <w:r w:rsidRPr="00ED3BCF">
        <w:rPr>
          <w:rFonts w:ascii="Arial" w:hAnsi="Arial" w:cs="Arial"/>
          <w:b/>
        </w:rPr>
        <w:t>Continuing Health Care (CHC)</w:t>
      </w:r>
      <w:r>
        <w:rPr>
          <w:rFonts w:ascii="Arial" w:hAnsi="Arial" w:cs="Arial"/>
        </w:rPr>
        <w:t xml:space="preserve"> – Referrals into the Oxfordshire CHC continue to increase and there is insufficient capacity in the service to meet demand.  </w:t>
      </w:r>
      <w:r w:rsidR="00C0636A">
        <w:rPr>
          <w:rFonts w:ascii="Arial" w:hAnsi="Arial" w:cs="Arial"/>
        </w:rPr>
        <w:t xml:space="preserve">Due to the significant pressures that have built up on the service, the Performance Team will arrange a review with the service and commissioners </w:t>
      </w:r>
      <w:r w:rsidR="00D26F50">
        <w:rPr>
          <w:rFonts w:ascii="Arial" w:hAnsi="Arial" w:cs="Arial"/>
        </w:rPr>
        <w:t>and agree an</w:t>
      </w:r>
      <w:r w:rsidR="00C0636A">
        <w:rPr>
          <w:rFonts w:ascii="Arial" w:hAnsi="Arial" w:cs="Arial"/>
        </w:rPr>
        <w:t xml:space="preserve"> appropriate action plan.</w:t>
      </w:r>
    </w:p>
    <w:p w:rsidR="00641879" w:rsidRPr="00ED3BCF" w:rsidRDefault="00641879" w:rsidP="00ED3BCF">
      <w:pPr>
        <w:pStyle w:val="ListParagraph"/>
        <w:rPr>
          <w:rFonts w:ascii="Arial" w:hAnsi="Arial" w:cs="Arial"/>
          <w:b/>
        </w:rPr>
      </w:pPr>
    </w:p>
    <w:p w:rsidR="00F678C9" w:rsidRDefault="00F678C9" w:rsidP="00F678C9">
      <w:pPr>
        <w:jc w:val="both"/>
        <w:rPr>
          <w:rFonts w:ascii="Arial" w:hAnsi="Arial" w:cs="Arial"/>
          <w:b/>
        </w:rPr>
      </w:pPr>
      <w:r>
        <w:rPr>
          <w:rFonts w:ascii="Arial" w:hAnsi="Arial" w:cs="Arial"/>
          <w:b/>
        </w:rPr>
        <w:t>Specialist</w:t>
      </w:r>
      <w:r w:rsidRPr="000161D5">
        <w:rPr>
          <w:rFonts w:ascii="Arial" w:hAnsi="Arial" w:cs="Arial"/>
          <w:b/>
        </w:rPr>
        <w:t xml:space="preserve"> Services Directorate</w:t>
      </w:r>
    </w:p>
    <w:p w:rsidR="00F678C9" w:rsidRDefault="00F678C9" w:rsidP="00F678C9">
      <w:pPr>
        <w:jc w:val="both"/>
        <w:rPr>
          <w:rFonts w:ascii="Arial" w:hAnsi="Arial" w:cs="Arial"/>
          <w:b/>
        </w:rPr>
      </w:pPr>
    </w:p>
    <w:p w:rsidR="00472286" w:rsidRDefault="00C24259" w:rsidP="00C24259">
      <w:pPr>
        <w:jc w:val="both"/>
        <w:rPr>
          <w:rFonts w:ascii="Arial" w:hAnsi="Arial" w:cs="Arial"/>
        </w:rPr>
      </w:pPr>
      <w:r>
        <w:rPr>
          <w:rFonts w:ascii="Arial" w:hAnsi="Arial" w:cs="Arial"/>
        </w:rPr>
        <w:t xml:space="preserve">The Directorate achieved </w:t>
      </w:r>
      <w:r w:rsidR="00D26F50">
        <w:rPr>
          <w:rFonts w:ascii="Arial" w:hAnsi="Arial" w:cs="Arial"/>
        </w:rPr>
        <w:t>64</w:t>
      </w:r>
      <w:r>
        <w:rPr>
          <w:rFonts w:ascii="Arial" w:hAnsi="Arial" w:cs="Arial"/>
        </w:rPr>
        <w:t xml:space="preserve"> of the </w:t>
      </w:r>
      <w:r w:rsidR="00D26F50">
        <w:rPr>
          <w:rFonts w:ascii="Arial" w:hAnsi="Arial" w:cs="Arial"/>
        </w:rPr>
        <w:t>70</w:t>
      </w:r>
      <w:r w:rsidR="00821356">
        <w:rPr>
          <w:rFonts w:ascii="Arial" w:hAnsi="Arial" w:cs="Arial"/>
        </w:rPr>
        <w:t xml:space="preserve"> (91</w:t>
      </w:r>
      <w:r>
        <w:rPr>
          <w:rFonts w:ascii="Arial" w:hAnsi="Arial" w:cs="Arial"/>
        </w:rPr>
        <w:t xml:space="preserve">%) targeted indicators in </w:t>
      </w:r>
      <w:r w:rsidR="00D26F50">
        <w:rPr>
          <w:rFonts w:ascii="Arial" w:hAnsi="Arial" w:cs="Arial"/>
        </w:rPr>
        <w:t>October</w:t>
      </w:r>
      <w:r>
        <w:rPr>
          <w:rFonts w:ascii="Arial" w:hAnsi="Arial" w:cs="Arial"/>
        </w:rPr>
        <w:t xml:space="preserve">.  There </w:t>
      </w:r>
      <w:r w:rsidR="00821356">
        <w:rPr>
          <w:rFonts w:ascii="Arial" w:hAnsi="Arial" w:cs="Arial"/>
        </w:rPr>
        <w:t>was only one breach</w:t>
      </w:r>
      <w:r>
        <w:rPr>
          <w:rFonts w:ascii="Arial" w:hAnsi="Arial" w:cs="Arial"/>
        </w:rPr>
        <w:t xml:space="preserve"> of target greater than 10% so a very good performance </w:t>
      </w:r>
      <w:r w:rsidR="00821356">
        <w:rPr>
          <w:rFonts w:ascii="Arial" w:hAnsi="Arial" w:cs="Arial"/>
        </w:rPr>
        <w:t>overall</w:t>
      </w:r>
      <w:r>
        <w:rPr>
          <w:rFonts w:ascii="Arial" w:hAnsi="Arial" w:cs="Arial"/>
        </w:rPr>
        <w:t>.</w:t>
      </w:r>
    </w:p>
    <w:p w:rsidR="00300134" w:rsidRDefault="00300134" w:rsidP="00C24259">
      <w:pPr>
        <w:jc w:val="both"/>
        <w:rPr>
          <w:rFonts w:ascii="Arial" w:hAnsi="Arial" w:cs="Arial"/>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5D3499" w:rsidRDefault="00F95454">
      <w:pPr>
        <w:jc w:val="both"/>
        <w:rPr>
          <w:rFonts w:ascii="Arial" w:hAnsi="Arial" w:cs="Arial"/>
        </w:rPr>
      </w:pPr>
      <w:r>
        <w:rPr>
          <w:rFonts w:ascii="Arial" w:hAnsi="Arial" w:cs="Arial"/>
        </w:rPr>
        <w:t>The Board of Directors is</w:t>
      </w:r>
      <w:r w:rsidR="00C62464">
        <w:rPr>
          <w:rFonts w:ascii="Arial" w:hAnsi="Arial" w:cs="Arial"/>
        </w:rPr>
        <w:t xml:space="preserve"> asked to review </w:t>
      </w:r>
      <w:r w:rsidR="00982842">
        <w:rPr>
          <w:rFonts w:ascii="Arial" w:hAnsi="Arial" w:cs="Arial"/>
        </w:rPr>
        <w:t xml:space="preserve">and note </w:t>
      </w:r>
      <w:r w:rsidR="00C62464">
        <w:rPr>
          <w:rFonts w:ascii="Arial" w:hAnsi="Arial" w:cs="Arial"/>
        </w:rPr>
        <w:t xml:space="preserve">the </w:t>
      </w:r>
      <w:r w:rsidR="00982842">
        <w:rPr>
          <w:rFonts w:ascii="Arial" w:hAnsi="Arial" w:cs="Arial"/>
        </w:rPr>
        <w:t>monthly Board performance report.</w:t>
      </w:r>
    </w:p>
    <w:p w:rsidR="00982842" w:rsidRDefault="00982842">
      <w:pPr>
        <w:jc w:val="both"/>
        <w:rPr>
          <w:rFonts w:ascii="Arial" w:hAnsi="Arial" w:cs="Arial"/>
          <w:b/>
        </w:rPr>
      </w:pPr>
    </w:p>
    <w:p w:rsidR="000E317C"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C36082">
        <w:rPr>
          <w:rFonts w:ascii="Arial" w:hAnsi="Arial" w:cs="Arial"/>
        </w:rPr>
        <w:t xml:space="preserve">Martyn Ward – </w:t>
      </w:r>
      <w:r w:rsidR="00BF72AE">
        <w:rPr>
          <w:rFonts w:ascii="Arial" w:hAnsi="Arial" w:cs="Arial"/>
        </w:rPr>
        <w:t xml:space="preserve">Director of </w:t>
      </w:r>
      <w:r w:rsidR="00C77CF2">
        <w:rPr>
          <w:rFonts w:ascii="Arial" w:hAnsi="Arial" w:cs="Arial"/>
        </w:rPr>
        <w:t xml:space="preserve">Strategy &amp; </w:t>
      </w:r>
      <w:r w:rsidR="00C24259">
        <w:rPr>
          <w:rFonts w:ascii="Arial" w:hAnsi="Arial" w:cs="Arial"/>
        </w:rPr>
        <w:t>Chief Information Officer</w:t>
      </w:r>
    </w:p>
    <w:p w:rsidR="00AF0562" w:rsidRPr="0073522A" w:rsidRDefault="00AF0562" w:rsidP="00BE48C0">
      <w:pPr>
        <w:jc w:val="both"/>
        <w:rPr>
          <w:rFonts w:ascii="Arial" w:hAnsi="Arial" w:cs="Arial"/>
          <w:sz w:val="20"/>
          <w:szCs w:val="20"/>
        </w:rPr>
      </w:pPr>
    </w:p>
    <w:sectPr w:rsidR="00AF0562" w:rsidRPr="0073522A" w:rsidSect="00FE113A">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398" w:rsidRDefault="000A2398" w:rsidP="005B3E3C">
      <w:r>
        <w:separator/>
      </w:r>
    </w:p>
  </w:endnote>
  <w:endnote w:type="continuationSeparator" w:id="0">
    <w:p w:rsidR="000A2398" w:rsidRDefault="000A2398"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398" w:rsidRDefault="000A2398" w:rsidP="005B3E3C">
      <w:r>
        <w:separator/>
      </w:r>
    </w:p>
  </w:footnote>
  <w:footnote w:type="continuationSeparator" w:id="0">
    <w:p w:rsidR="000A2398" w:rsidRDefault="000A2398"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566" w:rsidRPr="005B3E3C" w:rsidRDefault="006E3C3E" w:rsidP="005B3E3C">
    <w:pPr>
      <w:pStyle w:val="Header"/>
      <w:jc w:val="center"/>
      <w:rPr>
        <w:rFonts w:ascii="Arial" w:hAnsi="Arial" w:cs="Arial"/>
      </w:rPr>
    </w:pPr>
    <w:r w:rsidRPr="006E3C3E">
      <w:rPr>
        <w:rFonts w:ascii="Arial" w:hAnsi="Arial" w:cs="Arial"/>
        <w:b/>
        <w:i/>
      </w:rPr>
      <w:t>P</w:t>
    </w:r>
    <w:r w:rsidR="003066A9">
      <w:rPr>
        <w:rFonts w:ascii="Arial" w:hAnsi="Arial" w:cs="Arial"/>
        <w:b/>
        <w:i/>
      </w:rPr>
      <w:t>ublic</w:t>
    </w:r>
    <w:r w:rsidRPr="006E3C3E">
      <w:rPr>
        <w:rFonts w:ascii="Arial" w:hAnsi="Arial" w:cs="Arial"/>
        <w:b/>
        <w:i/>
      </w:rPr>
      <w:t xml:space="preserve"> </w:t>
    </w:r>
    <w:r w:rsidR="003066A9">
      <w:rPr>
        <w:rFonts w:ascii="Arial" w:hAnsi="Arial" w:cs="Arial"/>
        <w:b/>
        <w:i/>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2B68"/>
    <w:multiLevelType w:val="hybridMultilevel"/>
    <w:tmpl w:val="CBF2B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C02857"/>
    <w:multiLevelType w:val="hybridMultilevel"/>
    <w:tmpl w:val="F9FCD1C4"/>
    <w:lvl w:ilvl="0" w:tplc="B7ACCD3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D2D9B"/>
    <w:multiLevelType w:val="hybridMultilevel"/>
    <w:tmpl w:val="0E8699A8"/>
    <w:lvl w:ilvl="0" w:tplc="51C6718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C32DF"/>
    <w:multiLevelType w:val="hybridMultilevel"/>
    <w:tmpl w:val="50C62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6678F"/>
    <w:multiLevelType w:val="hybridMultilevel"/>
    <w:tmpl w:val="6CE06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97202E"/>
    <w:multiLevelType w:val="hybridMultilevel"/>
    <w:tmpl w:val="E41A5620"/>
    <w:lvl w:ilvl="0" w:tplc="0276CA7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81543"/>
    <w:multiLevelType w:val="hybridMultilevel"/>
    <w:tmpl w:val="F7CABEC6"/>
    <w:lvl w:ilvl="0" w:tplc="6602F1CE">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60E94"/>
    <w:multiLevelType w:val="hybridMultilevel"/>
    <w:tmpl w:val="49802B04"/>
    <w:lvl w:ilvl="0" w:tplc="DD769A34">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E4AF2"/>
    <w:multiLevelType w:val="hybridMultilevel"/>
    <w:tmpl w:val="99725AB2"/>
    <w:lvl w:ilvl="0" w:tplc="96024E4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30D6005"/>
    <w:multiLevelType w:val="hybridMultilevel"/>
    <w:tmpl w:val="0BA062CE"/>
    <w:lvl w:ilvl="0" w:tplc="0BD2EE8C">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CB4741"/>
    <w:multiLevelType w:val="hybridMultilevel"/>
    <w:tmpl w:val="E506B98E"/>
    <w:lvl w:ilvl="0" w:tplc="CA06E2B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9AA5E0E"/>
    <w:multiLevelType w:val="hybridMultilevel"/>
    <w:tmpl w:val="15CC9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2D20DC"/>
    <w:multiLevelType w:val="hybridMultilevel"/>
    <w:tmpl w:val="F4502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41E7606"/>
    <w:multiLevelType w:val="hybridMultilevel"/>
    <w:tmpl w:val="8B4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12"/>
  </w:num>
  <w:num w:numId="4">
    <w:abstractNumId w:val="6"/>
  </w:num>
  <w:num w:numId="5">
    <w:abstractNumId w:val="11"/>
  </w:num>
  <w:num w:numId="6">
    <w:abstractNumId w:val="1"/>
  </w:num>
  <w:num w:numId="7">
    <w:abstractNumId w:val="8"/>
  </w:num>
  <w:num w:numId="8">
    <w:abstractNumId w:val="5"/>
  </w:num>
  <w:num w:numId="9">
    <w:abstractNumId w:val="2"/>
  </w:num>
  <w:num w:numId="10">
    <w:abstractNumId w:val="7"/>
  </w:num>
  <w:num w:numId="11">
    <w:abstractNumId w:val="13"/>
  </w:num>
  <w:num w:numId="12">
    <w:abstractNumId w:val="3"/>
  </w:num>
  <w:num w:numId="13">
    <w:abstractNumId w:val="4"/>
  </w:num>
  <w:num w:numId="14">
    <w:abstractNumId w:val="15"/>
  </w:num>
  <w:num w:numId="15">
    <w:abstractNumId w:val="0"/>
  </w:num>
  <w:num w:numId="16">
    <w:abstractNumId w:val="10"/>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7830"/>
    <w:rsid w:val="0001134C"/>
    <w:rsid w:val="000161D5"/>
    <w:rsid w:val="00016B35"/>
    <w:rsid w:val="00023074"/>
    <w:rsid w:val="00024D76"/>
    <w:rsid w:val="00026260"/>
    <w:rsid w:val="000302E0"/>
    <w:rsid w:val="00031871"/>
    <w:rsid w:val="0003209B"/>
    <w:rsid w:val="000344E6"/>
    <w:rsid w:val="00036D9C"/>
    <w:rsid w:val="00041960"/>
    <w:rsid w:val="0004549F"/>
    <w:rsid w:val="00045966"/>
    <w:rsid w:val="00050037"/>
    <w:rsid w:val="0005194A"/>
    <w:rsid w:val="00053FB7"/>
    <w:rsid w:val="00057F0B"/>
    <w:rsid w:val="0006115B"/>
    <w:rsid w:val="00071531"/>
    <w:rsid w:val="00073BA1"/>
    <w:rsid w:val="00080E72"/>
    <w:rsid w:val="000851E2"/>
    <w:rsid w:val="000912B8"/>
    <w:rsid w:val="000A0020"/>
    <w:rsid w:val="000A2398"/>
    <w:rsid w:val="000A47D9"/>
    <w:rsid w:val="000B77F9"/>
    <w:rsid w:val="000C0988"/>
    <w:rsid w:val="000D24FB"/>
    <w:rsid w:val="000E317C"/>
    <w:rsid w:val="000E49A0"/>
    <w:rsid w:val="000E7015"/>
    <w:rsid w:val="000F2610"/>
    <w:rsid w:val="000F47AD"/>
    <w:rsid w:val="000F4C46"/>
    <w:rsid w:val="000F77BF"/>
    <w:rsid w:val="00103519"/>
    <w:rsid w:val="00107AAC"/>
    <w:rsid w:val="00110E24"/>
    <w:rsid w:val="001123A3"/>
    <w:rsid w:val="001141A1"/>
    <w:rsid w:val="00130D9D"/>
    <w:rsid w:val="00130E60"/>
    <w:rsid w:val="00136461"/>
    <w:rsid w:val="0014509D"/>
    <w:rsid w:val="0014622C"/>
    <w:rsid w:val="00146C68"/>
    <w:rsid w:val="001513D5"/>
    <w:rsid w:val="00152B4C"/>
    <w:rsid w:val="001604E3"/>
    <w:rsid w:val="00172D01"/>
    <w:rsid w:val="00180EDB"/>
    <w:rsid w:val="001944AC"/>
    <w:rsid w:val="001963F3"/>
    <w:rsid w:val="0019785F"/>
    <w:rsid w:val="001A2F3F"/>
    <w:rsid w:val="001A7443"/>
    <w:rsid w:val="001B00B4"/>
    <w:rsid w:val="001B3AEB"/>
    <w:rsid w:val="001B58E1"/>
    <w:rsid w:val="001B6EEE"/>
    <w:rsid w:val="001C295C"/>
    <w:rsid w:val="001D03E1"/>
    <w:rsid w:val="001D3A0E"/>
    <w:rsid w:val="001D48E6"/>
    <w:rsid w:val="001D65AB"/>
    <w:rsid w:val="001E1C83"/>
    <w:rsid w:val="001E1E6B"/>
    <w:rsid w:val="001E3511"/>
    <w:rsid w:val="001E6DBC"/>
    <w:rsid w:val="001E7831"/>
    <w:rsid w:val="001F23B3"/>
    <w:rsid w:val="001F2541"/>
    <w:rsid w:val="001F76ED"/>
    <w:rsid w:val="00200556"/>
    <w:rsid w:val="00213006"/>
    <w:rsid w:val="0022050F"/>
    <w:rsid w:val="00225D03"/>
    <w:rsid w:val="00227FCE"/>
    <w:rsid w:val="002306E2"/>
    <w:rsid w:val="0023186C"/>
    <w:rsid w:val="00232D98"/>
    <w:rsid w:val="00233516"/>
    <w:rsid w:val="00252E51"/>
    <w:rsid w:val="0025508D"/>
    <w:rsid w:val="00256F43"/>
    <w:rsid w:val="00260A9C"/>
    <w:rsid w:val="002619EF"/>
    <w:rsid w:val="00264684"/>
    <w:rsid w:val="002710D7"/>
    <w:rsid w:val="00275CBC"/>
    <w:rsid w:val="002821F8"/>
    <w:rsid w:val="002875D9"/>
    <w:rsid w:val="00290581"/>
    <w:rsid w:val="00291E9E"/>
    <w:rsid w:val="00292613"/>
    <w:rsid w:val="002A0F36"/>
    <w:rsid w:val="002A73E8"/>
    <w:rsid w:val="002B1020"/>
    <w:rsid w:val="002B4A49"/>
    <w:rsid w:val="002B55A4"/>
    <w:rsid w:val="002B6E44"/>
    <w:rsid w:val="002C2F97"/>
    <w:rsid w:val="002C3D1A"/>
    <w:rsid w:val="002C5F95"/>
    <w:rsid w:val="002C7C79"/>
    <w:rsid w:val="002D3AAD"/>
    <w:rsid w:val="002D4771"/>
    <w:rsid w:val="002E3C80"/>
    <w:rsid w:val="002E4CF9"/>
    <w:rsid w:val="002E6FC6"/>
    <w:rsid w:val="002F0C3A"/>
    <w:rsid w:val="002F1E5B"/>
    <w:rsid w:val="002F73C3"/>
    <w:rsid w:val="00300134"/>
    <w:rsid w:val="0030031A"/>
    <w:rsid w:val="0030096D"/>
    <w:rsid w:val="003066A9"/>
    <w:rsid w:val="003208EA"/>
    <w:rsid w:val="00325CB3"/>
    <w:rsid w:val="00330275"/>
    <w:rsid w:val="00330886"/>
    <w:rsid w:val="003518BC"/>
    <w:rsid w:val="00352ACA"/>
    <w:rsid w:val="003623C4"/>
    <w:rsid w:val="003633C8"/>
    <w:rsid w:val="003640F0"/>
    <w:rsid w:val="0037138A"/>
    <w:rsid w:val="0037277F"/>
    <w:rsid w:val="00375478"/>
    <w:rsid w:val="0037692B"/>
    <w:rsid w:val="00381949"/>
    <w:rsid w:val="00382967"/>
    <w:rsid w:val="00384B87"/>
    <w:rsid w:val="00384BF2"/>
    <w:rsid w:val="00384DB2"/>
    <w:rsid w:val="00385BF1"/>
    <w:rsid w:val="00386B91"/>
    <w:rsid w:val="003903AC"/>
    <w:rsid w:val="00392CE4"/>
    <w:rsid w:val="003965D7"/>
    <w:rsid w:val="003971F6"/>
    <w:rsid w:val="003A1BA3"/>
    <w:rsid w:val="003A413B"/>
    <w:rsid w:val="003C2222"/>
    <w:rsid w:val="003D0B91"/>
    <w:rsid w:val="003D7F7F"/>
    <w:rsid w:val="003E47E9"/>
    <w:rsid w:val="003E4910"/>
    <w:rsid w:val="003F226B"/>
    <w:rsid w:val="003F3BD5"/>
    <w:rsid w:val="003F7366"/>
    <w:rsid w:val="004015FF"/>
    <w:rsid w:val="0040186B"/>
    <w:rsid w:val="00401AC7"/>
    <w:rsid w:val="004021C5"/>
    <w:rsid w:val="00410244"/>
    <w:rsid w:val="004104C7"/>
    <w:rsid w:val="00413D9F"/>
    <w:rsid w:val="00414A70"/>
    <w:rsid w:val="00415ACB"/>
    <w:rsid w:val="00421734"/>
    <w:rsid w:val="00423058"/>
    <w:rsid w:val="004326BB"/>
    <w:rsid w:val="00436775"/>
    <w:rsid w:val="00445343"/>
    <w:rsid w:val="00447BE4"/>
    <w:rsid w:val="0045048F"/>
    <w:rsid w:val="00451DB0"/>
    <w:rsid w:val="00470592"/>
    <w:rsid w:val="00472286"/>
    <w:rsid w:val="004722A8"/>
    <w:rsid w:val="004829AE"/>
    <w:rsid w:val="0048584C"/>
    <w:rsid w:val="00492483"/>
    <w:rsid w:val="004A1287"/>
    <w:rsid w:val="004A4DFB"/>
    <w:rsid w:val="004A7F6B"/>
    <w:rsid w:val="004B1544"/>
    <w:rsid w:val="004B6756"/>
    <w:rsid w:val="004C5125"/>
    <w:rsid w:val="004C5897"/>
    <w:rsid w:val="004D0BB5"/>
    <w:rsid w:val="004D1192"/>
    <w:rsid w:val="004D3C66"/>
    <w:rsid w:val="004E1C4A"/>
    <w:rsid w:val="004E2219"/>
    <w:rsid w:val="004E4D94"/>
    <w:rsid w:val="004E740C"/>
    <w:rsid w:val="004F4BBA"/>
    <w:rsid w:val="004F5DE5"/>
    <w:rsid w:val="004F61D8"/>
    <w:rsid w:val="004F792C"/>
    <w:rsid w:val="005005A3"/>
    <w:rsid w:val="005027DB"/>
    <w:rsid w:val="005051F3"/>
    <w:rsid w:val="00513994"/>
    <w:rsid w:val="00520D02"/>
    <w:rsid w:val="005233AA"/>
    <w:rsid w:val="00527C15"/>
    <w:rsid w:val="00530D1F"/>
    <w:rsid w:val="00531625"/>
    <w:rsid w:val="0054040B"/>
    <w:rsid w:val="0054546A"/>
    <w:rsid w:val="00551B0F"/>
    <w:rsid w:val="00557CC7"/>
    <w:rsid w:val="005607CD"/>
    <w:rsid w:val="00563E0F"/>
    <w:rsid w:val="005659FB"/>
    <w:rsid w:val="00574A97"/>
    <w:rsid w:val="0057512E"/>
    <w:rsid w:val="00584D27"/>
    <w:rsid w:val="005A4A64"/>
    <w:rsid w:val="005A5ADF"/>
    <w:rsid w:val="005B01FE"/>
    <w:rsid w:val="005B3E3C"/>
    <w:rsid w:val="005B7F81"/>
    <w:rsid w:val="005C1D1C"/>
    <w:rsid w:val="005C3FC1"/>
    <w:rsid w:val="005D3499"/>
    <w:rsid w:val="005E2583"/>
    <w:rsid w:val="005E617C"/>
    <w:rsid w:val="005F270E"/>
    <w:rsid w:val="005F36B6"/>
    <w:rsid w:val="00606B48"/>
    <w:rsid w:val="0061684E"/>
    <w:rsid w:val="0061710E"/>
    <w:rsid w:val="0062376E"/>
    <w:rsid w:val="00624CC9"/>
    <w:rsid w:val="00626EFA"/>
    <w:rsid w:val="006403C3"/>
    <w:rsid w:val="00641879"/>
    <w:rsid w:val="00650771"/>
    <w:rsid w:val="00654880"/>
    <w:rsid w:val="00657D10"/>
    <w:rsid w:val="00662DC5"/>
    <w:rsid w:val="00665F45"/>
    <w:rsid w:val="00666651"/>
    <w:rsid w:val="00666A25"/>
    <w:rsid w:val="00666E6B"/>
    <w:rsid w:val="0067461E"/>
    <w:rsid w:val="00697940"/>
    <w:rsid w:val="00697AA7"/>
    <w:rsid w:val="006B33BC"/>
    <w:rsid w:val="006B6FE8"/>
    <w:rsid w:val="006C1F9B"/>
    <w:rsid w:val="006C22C2"/>
    <w:rsid w:val="006C2A9A"/>
    <w:rsid w:val="006C62F1"/>
    <w:rsid w:val="006D09AA"/>
    <w:rsid w:val="006E3C3E"/>
    <w:rsid w:val="006F0D59"/>
    <w:rsid w:val="006F5021"/>
    <w:rsid w:val="00700391"/>
    <w:rsid w:val="007003DD"/>
    <w:rsid w:val="007077C5"/>
    <w:rsid w:val="00722032"/>
    <w:rsid w:val="00724AD0"/>
    <w:rsid w:val="00725AD2"/>
    <w:rsid w:val="007273B3"/>
    <w:rsid w:val="00732301"/>
    <w:rsid w:val="00733C5D"/>
    <w:rsid w:val="0073522A"/>
    <w:rsid w:val="007359C0"/>
    <w:rsid w:val="007364D9"/>
    <w:rsid w:val="00742E7D"/>
    <w:rsid w:val="00743B0C"/>
    <w:rsid w:val="0074404D"/>
    <w:rsid w:val="007441B8"/>
    <w:rsid w:val="007601EB"/>
    <w:rsid w:val="00764D01"/>
    <w:rsid w:val="0077522B"/>
    <w:rsid w:val="007769CD"/>
    <w:rsid w:val="0078032B"/>
    <w:rsid w:val="007813A6"/>
    <w:rsid w:val="00781566"/>
    <w:rsid w:val="007847D9"/>
    <w:rsid w:val="0078491E"/>
    <w:rsid w:val="007960BE"/>
    <w:rsid w:val="007972A2"/>
    <w:rsid w:val="007976E7"/>
    <w:rsid w:val="007A1640"/>
    <w:rsid w:val="007A2CF0"/>
    <w:rsid w:val="007A515B"/>
    <w:rsid w:val="007B1760"/>
    <w:rsid w:val="007B4C1E"/>
    <w:rsid w:val="007B6D77"/>
    <w:rsid w:val="007C1EB0"/>
    <w:rsid w:val="007C3339"/>
    <w:rsid w:val="007C3C27"/>
    <w:rsid w:val="007C5E02"/>
    <w:rsid w:val="007C6925"/>
    <w:rsid w:val="007D7901"/>
    <w:rsid w:val="007F7DCC"/>
    <w:rsid w:val="00801A75"/>
    <w:rsid w:val="00802701"/>
    <w:rsid w:val="008038A2"/>
    <w:rsid w:val="00811FE8"/>
    <w:rsid w:val="00813E4F"/>
    <w:rsid w:val="00817DF5"/>
    <w:rsid w:val="00821356"/>
    <w:rsid w:val="00821F0D"/>
    <w:rsid w:val="008275B5"/>
    <w:rsid w:val="00830CA6"/>
    <w:rsid w:val="00841715"/>
    <w:rsid w:val="00841EB0"/>
    <w:rsid w:val="00845979"/>
    <w:rsid w:val="008477E1"/>
    <w:rsid w:val="00847BC4"/>
    <w:rsid w:val="0085366E"/>
    <w:rsid w:val="008635F0"/>
    <w:rsid w:val="0086436B"/>
    <w:rsid w:val="00864ED6"/>
    <w:rsid w:val="0087047B"/>
    <w:rsid w:val="0087190C"/>
    <w:rsid w:val="00872ACD"/>
    <w:rsid w:val="0088128C"/>
    <w:rsid w:val="00884567"/>
    <w:rsid w:val="0089208D"/>
    <w:rsid w:val="00893C1C"/>
    <w:rsid w:val="00894B97"/>
    <w:rsid w:val="00895A62"/>
    <w:rsid w:val="008967B9"/>
    <w:rsid w:val="008A6A48"/>
    <w:rsid w:val="008C1666"/>
    <w:rsid w:val="008C512E"/>
    <w:rsid w:val="008D5C80"/>
    <w:rsid w:val="008E0BA4"/>
    <w:rsid w:val="008E1F96"/>
    <w:rsid w:val="008F2C59"/>
    <w:rsid w:val="008F77AE"/>
    <w:rsid w:val="00922966"/>
    <w:rsid w:val="009305CD"/>
    <w:rsid w:val="009320C6"/>
    <w:rsid w:val="00945E1F"/>
    <w:rsid w:val="0094603B"/>
    <w:rsid w:val="00946E6E"/>
    <w:rsid w:val="009478B1"/>
    <w:rsid w:val="00954068"/>
    <w:rsid w:val="00954B73"/>
    <w:rsid w:val="009551BC"/>
    <w:rsid w:val="00956A0A"/>
    <w:rsid w:val="00961343"/>
    <w:rsid w:val="0096293E"/>
    <w:rsid w:val="00963FBC"/>
    <w:rsid w:val="00966D7B"/>
    <w:rsid w:val="00975819"/>
    <w:rsid w:val="0098250E"/>
    <w:rsid w:val="00982842"/>
    <w:rsid w:val="0098298E"/>
    <w:rsid w:val="00983EAF"/>
    <w:rsid w:val="009857D9"/>
    <w:rsid w:val="009869DE"/>
    <w:rsid w:val="00994695"/>
    <w:rsid w:val="009A2D0F"/>
    <w:rsid w:val="009A4401"/>
    <w:rsid w:val="009B143F"/>
    <w:rsid w:val="009C1F52"/>
    <w:rsid w:val="009C223E"/>
    <w:rsid w:val="009C484B"/>
    <w:rsid w:val="009C7F8D"/>
    <w:rsid w:val="009D1058"/>
    <w:rsid w:val="009D265C"/>
    <w:rsid w:val="009D5FD0"/>
    <w:rsid w:val="009D6F76"/>
    <w:rsid w:val="009E512A"/>
    <w:rsid w:val="009E5925"/>
    <w:rsid w:val="009F50E5"/>
    <w:rsid w:val="00A00EDD"/>
    <w:rsid w:val="00A0284F"/>
    <w:rsid w:val="00A17386"/>
    <w:rsid w:val="00A241A3"/>
    <w:rsid w:val="00A27187"/>
    <w:rsid w:val="00A3401E"/>
    <w:rsid w:val="00A51265"/>
    <w:rsid w:val="00A62A25"/>
    <w:rsid w:val="00A674FB"/>
    <w:rsid w:val="00A752CB"/>
    <w:rsid w:val="00A766A0"/>
    <w:rsid w:val="00A82952"/>
    <w:rsid w:val="00A85311"/>
    <w:rsid w:val="00A92981"/>
    <w:rsid w:val="00A940CF"/>
    <w:rsid w:val="00A97A92"/>
    <w:rsid w:val="00AA0C3F"/>
    <w:rsid w:val="00AA306E"/>
    <w:rsid w:val="00AA61FB"/>
    <w:rsid w:val="00AA759A"/>
    <w:rsid w:val="00AC07C2"/>
    <w:rsid w:val="00AC3814"/>
    <w:rsid w:val="00AC640D"/>
    <w:rsid w:val="00AD04D3"/>
    <w:rsid w:val="00AD0CF6"/>
    <w:rsid w:val="00AD169B"/>
    <w:rsid w:val="00AD6DB3"/>
    <w:rsid w:val="00AD7098"/>
    <w:rsid w:val="00AF0562"/>
    <w:rsid w:val="00B04788"/>
    <w:rsid w:val="00B06C21"/>
    <w:rsid w:val="00B07778"/>
    <w:rsid w:val="00B10453"/>
    <w:rsid w:val="00B10E37"/>
    <w:rsid w:val="00B165F0"/>
    <w:rsid w:val="00B20CD2"/>
    <w:rsid w:val="00B21287"/>
    <w:rsid w:val="00B26E1A"/>
    <w:rsid w:val="00B26F2C"/>
    <w:rsid w:val="00B27AE5"/>
    <w:rsid w:val="00B32D55"/>
    <w:rsid w:val="00B407B7"/>
    <w:rsid w:val="00B40C2D"/>
    <w:rsid w:val="00B50D5E"/>
    <w:rsid w:val="00B57EC7"/>
    <w:rsid w:val="00B606FB"/>
    <w:rsid w:val="00B607AE"/>
    <w:rsid w:val="00B612E7"/>
    <w:rsid w:val="00B72B51"/>
    <w:rsid w:val="00B91293"/>
    <w:rsid w:val="00B92B14"/>
    <w:rsid w:val="00B93287"/>
    <w:rsid w:val="00BA2E08"/>
    <w:rsid w:val="00BA3B3E"/>
    <w:rsid w:val="00BA761E"/>
    <w:rsid w:val="00BB4536"/>
    <w:rsid w:val="00BC59F9"/>
    <w:rsid w:val="00BD4559"/>
    <w:rsid w:val="00BD5C2B"/>
    <w:rsid w:val="00BD6B8C"/>
    <w:rsid w:val="00BE48C0"/>
    <w:rsid w:val="00BF482A"/>
    <w:rsid w:val="00BF5367"/>
    <w:rsid w:val="00BF6D0E"/>
    <w:rsid w:val="00BF72AE"/>
    <w:rsid w:val="00C053BB"/>
    <w:rsid w:val="00C0636A"/>
    <w:rsid w:val="00C07817"/>
    <w:rsid w:val="00C11726"/>
    <w:rsid w:val="00C11AA2"/>
    <w:rsid w:val="00C205E5"/>
    <w:rsid w:val="00C23C68"/>
    <w:rsid w:val="00C24259"/>
    <w:rsid w:val="00C26D06"/>
    <w:rsid w:val="00C27C64"/>
    <w:rsid w:val="00C36082"/>
    <w:rsid w:val="00C41F8A"/>
    <w:rsid w:val="00C42F0B"/>
    <w:rsid w:val="00C56B87"/>
    <w:rsid w:val="00C57EF0"/>
    <w:rsid w:val="00C60F3E"/>
    <w:rsid w:val="00C6166D"/>
    <w:rsid w:val="00C62464"/>
    <w:rsid w:val="00C65D84"/>
    <w:rsid w:val="00C72519"/>
    <w:rsid w:val="00C73FED"/>
    <w:rsid w:val="00C75116"/>
    <w:rsid w:val="00C76E03"/>
    <w:rsid w:val="00C77CF2"/>
    <w:rsid w:val="00C907A3"/>
    <w:rsid w:val="00C92A42"/>
    <w:rsid w:val="00CA6F2A"/>
    <w:rsid w:val="00CB4E16"/>
    <w:rsid w:val="00CB6FA1"/>
    <w:rsid w:val="00CC62C4"/>
    <w:rsid w:val="00CC7855"/>
    <w:rsid w:val="00CD72A7"/>
    <w:rsid w:val="00CE0678"/>
    <w:rsid w:val="00CE10CD"/>
    <w:rsid w:val="00CE6E6A"/>
    <w:rsid w:val="00CE7902"/>
    <w:rsid w:val="00CF2916"/>
    <w:rsid w:val="00CF3AC2"/>
    <w:rsid w:val="00CF5DCD"/>
    <w:rsid w:val="00D07064"/>
    <w:rsid w:val="00D17123"/>
    <w:rsid w:val="00D179A0"/>
    <w:rsid w:val="00D250C8"/>
    <w:rsid w:val="00D26F50"/>
    <w:rsid w:val="00D279FC"/>
    <w:rsid w:val="00D34F5E"/>
    <w:rsid w:val="00D35A98"/>
    <w:rsid w:val="00D43903"/>
    <w:rsid w:val="00D45AD7"/>
    <w:rsid w:val="00D55ADD"/>
    <w:rsid w:val="00D64FF5"/>
    <w:rsid w:val="00D651A1"/>
    <w:rsid w:val="00D65795"/>
    <w:rsid w:val="00D737A3"/>
    <w:rsid w:val="00D765AE"/>
    <w:rsid w:val="00D805E8"/>
    <w:rsid w:val="00D8544F"/>
    <w:rsid w:val="00D92772"/>
    <w:rsid w:val="00D97428"/>
    <w:rsid w:val="00DA0FA6"/>
    <w:rsid w:val="00DB4DC4"/>
    <w:rsid w:val="00DC111B"/>
    <w:rsid w:val="00DC29F5"/>
    <w:rsid w:val="00DC5669"/>
    <w:rsid w:val="00DD04A9"/>
    <w:rsid w:val="00DD33DF"/>
    <w:rsid w:val="00DD4A27"/>
    <w:rsid w:val="00DE0FC5"/>
    <w:rsid w:val="00DE1293"/>
    <w:rsid w:val="00DE67A8"/>
    <w:rsid w:val="00DF4A53"/>
    <w:rsid w:val="00DF6116"/>
    <w:rsid w:val="00DF6E0E"/>
    <w:rsid w:val="00E12DF5"/>
    <w:rsid w:val="00E17B34"/>
    <w:rsid w:val="00E2349F"/>
    <w:rsid w:val="00E2445F"/>
    <w:rsid w:val="00E2778C"/>
    <w:rsid w:val="00E33061"/>
    <w:rsid w:val="00E334B0"/>
    <w:rsid w:val="00E41E87"/>
    <w:rsid w:val="00E42165"/>
    <w:rsid w:val="00E45B62"/>
    <w:rsid w:val="00E51AB8"/>
    <w:rsid w:val="00E54343"/>
    <w:rsid w:val="00E637F7"/>
    <w:rsid w:val="00E64282"/>
    <w:rsid w:val="00E64C48"/>
    <w:rsid w:val="00E71F1F"/>
    <w:rsid w:val="00E722CA"/>
    <w:rsid w:val="00E73227"/>
    <w:rsid w:val="00E827C5"/>
    <w:rsid w:val="00E82DFF"/>
    <w:rsid w:val="00E83000"/>
    <w:rsid w:val="00E841B0"/>
    <w:rsid w:val="00E93F2C"/>
    <w:rsid w:val="00E97CCE"/>
    <w:rsid w:val="00EC09B2"/>
    <w:rsid w:val="00ED3BCF"/>
    <w:rsid w:val="00ED4ABC"/>
    <w:rsid w:val="00ED6B7C"/>
    <w:rsid w:val="00EE1C5E"/>
    <w:rsid w:val="00EE6F42"/>
    <w:rsid w:val="00EF4E03"/>
    <w:rsid w:val="00EF6A4B"/>
    <w:rsid w:val="00F14F75"/>
    <w:rsid w:val="00F150BB"/>
    <w:rsid w:val="00F24980"/>
    <w:rsid w:val="00F24EB2"/>
    <w:rsid w:val="00F33065"/>
    <w:rsid w:val="00F3433E"/>
    <w:rsid w:val="00F36757"/>
    <w:rsid w:val="00F37E0C"/>
    <w:rsid w:val="00F46AA5"/>
    <w:rsid w:val="00F50A07"/>
    <w:rsid w:val="00F57119"/>
    <w:rsid w:val="00F6367D"/>
    <w:rsid w:val="00F65ABF"/>
    <w:rsid w:val="00F65DCD"/>
    <w:rsid w:val="00F678C9"/>
    <w:rsid w:val="00F77C13"/>
    <w:rsid w:val="00F8330B"/>
    <w:rsid w:val="00F83DC2"/>
    <w:rsid w:val="00F86FA3"/>
    <w:rsid w:val="00F94979"/>
    <w:rsid w:val="00F95454"/>
    <w:rsid w:val="00F95C29"/>
    <w:rsid w:val="00F95C54"/>
    <w:rsid w:val="00FA3668"/>
    <w:rsid w:val="00FA5118"/>
    <w:rsid w:val="00FA5818"/>
    <w:rsid w:val="00FA6A22"/>
    <w:rsid w:val="00FB07D8"/>
    <w:rsid w:val="00FB2022"/>
    <w:rsid w:val="00FB3980"/>
    <w:rsid w:val="00FB7008"/>
    <w:rsid w:val="00FC1FA6"/>
    <w:rsid w:val="00FC43CD"/>
    <w:rsid w:val="00FC4EF6"/>
    <w:rsid w:val="00FC6DA7"/>
    <w:rsid w:val="00FC75D3"/>
    <w:rsid w:val="00FD2279"/>
    <w:rsid w:val="00FD6142"/>
    <w:rsid w:val="00FE0C76"/>
    <w:rsid w:val="00FE113A"/>
    <w:rsid w:val="00FE2385"/>
    <w:rsid w:val="00FF028F"/>
    <w:rsid w:val="00FF0D4A"/>
    <w:rsid w:val="00FF4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0333BA"/>
  <w15:docId w15:val="{A9B5ACBE-D485-4EED-82A6-7192B712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table" w:styleId="TableGrid">
    <w:name w:val="Table Grid"/>
    <w:basedOn w:val="TableNormal"/>
    <w:rsid w:val="0094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7047B"/>
    <w:rPr>
      <w:sz w:val="16"/>
      <w:szCs w:val="16"/>
    </w:rPr>
  </w:style>
  <w:style w:type="paragraph" w:styleId="CommentText">
    <w:name w:val="annotation text"/>
    <w:basedOn w:val="Normal"/>
    <w:link w:val="CommentTextChar"/>
    <w:rsid w:val="0087047B"/>
    <w:rPr>
      <w:sz w:val="20"/>
      <w:szCs w:val="20"/>
    </w:rPr>
  </w:style>
  <w:style w:type="character" w:customStyle="1" w:styleId="CommentTextChar">
    <w:name w:val="Comment Text Char"/>
    <w:basedOn w:val="DefaultParagraphFont"/>
    <w:link w:val="CommentText"/>
    <w:rsid w:val="0087047B"/>
    <w:rPr>
      <w:lang w:val="en-US" w:eastAsia="en-US"/>
    </w:rPr>
  </w:style>
  <w:style w:type="paragraph" w:styleId="CommentSubject">
    <w:name w:val="annotation subject"/>
    <w:basedOn w:val="CommentText"/>
    <w:next w:val="CommentText"/>
    <w:link w:val="CommentSubjectChar"/>
    <w:rsid w:val="0087047B"/>
    <w:rPr>
      <w:b/>
      <w:bCs/>
    </w:rPr>
  </w:style>
  <w:style w:type="character" w:customStyle="1" w:styleId="CommentSubjectChar">
    <w:name w:val="Comment Subject Char"/>
    <w:basedOn w:val="CommentTextChar"/>
    <w:link w:val="CommentSubject"/>
    <w:rsid w:val="0087047B"/>
    <w:rPr>
      <w:b/>
      <w:bCs/>
      <w:lang w:val="en-US" w:eastAsia="en-US"/>
    </w:rPr>
  </w:style>
  <w:style w:type="paragraph" w:styleId="PlainText">
    <w:name w:val="Plain Text"/>
    <w:basedOn w:val="Normal"/>
    <w:link w:val="PlainTextChar"/>
    <w:uiPriority w:val="99"/>
    <w:unhideWhenUsed/>
    <w:rsid w:val="00B607AE"/>
    <w:rPr>
      <w:rFonts w:ascii="Calibri" w:eastAsiaTheme="minorHAnsi" w:hAnsi="Calibri"/>
      <w:sz w:val="22"/>
      <w:szCs w:val="22"/>
      <w:lang w:val="en-GB"/>
    </w:rPr>
  </w:style>
  <w:style w:type="character" w:customStyle="1" w:styleId="PlainTextChar">
    <w:name w:val="Plain Text Char"/>
    <w:basedOn w:val="DefaultParagraphFont"/>
    <w:link w:val="PlainText"/>
    <w:uiPriority w:val="99"/>
    <w:rsid w:val="00B607AE"/>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92921">
      <w:bodyDiv w:val="1"/>
      <w:marLeft w:val="0"/>
      <w:marRight w:val="0"/>
      <w:marTop w:val="0"/>
      <w:marBottom w:val="0"/>
      <w:divBdr>
        <w:top w:val="none" w:sz="0" w:space="0" w:color="auto"/>
        <w:left w:val="none" w:sz="0" w:space="0" w:color="auto"/>
        <w:bottom w:val="none" w:sz="0" w:space="0" w:color="auto"/>
        <w:right w:val="none" w:sz="0" w:space="0" w:color="auto"/>
      </w:divBdr>
    </w:div>
    <w:div w:id="20271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67AC9-B4ED-4C48-BB4A-598DFDF3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1361</Words>
  <Characters>7359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Hardy Imogen (RNU) Oxford Health</cp:lastModifiedBy>
  <cp:revision>2</cp:revision>
  <cp:lastPrinted>2014-03-17T14:55:00Z</cp:lastPrinted>
  <dcterms:created xsi:type="dcterms:W3CDTF">2018-11-23T12:39:00Z</dcterms:created>
  <dcterms:modified xsi:type="dcterms:W3CDTF">2018-11-23T12:39:00Z</dcterms:modified>
</cp:coreProperties>
</file>