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AB" w:rsidRDefault="00D43EEF" w:rsidP="00CE00DD">
      <w:pPr>
        <w:jc w:val="center"/>
        <w:rPr>
          <w:b/>
        </w:rPr>
      </w:pPr>
      <w:bookmarkStart w:id="0" w:name="_GoBack"/>
      <w:bookmarkEnd w:id="0"/>
      <w:r>
        <w:rPr>
          <w:b/>
        </w:rPr>
        <w:t>Freedom to Speak Up</w:t>
      </w:r>
      <w:r w:rsidR="00CE00DD" w:rsidRPr="00CE00DD">
        <w:rPr>
          <w:b/>
        </w:rPr>
        <w:t xml:space="preserve"> Annual Report to Board</w:t>
      </w:r>
    </w:p>
    <w:p w:rsidR="00CE00DD" w:rsidRDefault="00CE00DD" w:rsidP="00CE00DD">
      <w:pPr>
        <w:jc w:val="center"/>
        <w:rPr>
          <w:b/>
        </w:rPr>
      </w:pPr>
    </w:p>
    <w:p w:rsidR="00D43EEF" w:rsidRDefault="00D43EEF" w:rsidP="00D43EEF">
      <w:pPr>
        <w:rPr>
          <w:b/>
        </w:rPr>
      </w:pPr>
    </w:p>
    <w:p w:rsidR="000A5517" w:rsidRPr="00D43EEF" w:rsidRDefault="000A5517" w:rsidP="00D43EEF">
      <w:pPr>
        <w:rPr>
          <w:b/>
        </w:rPr>
      </w:pPr>
    </w:p>
    <w:p w:rsidR="00D43EEF" w:rsidRDefault="00D43EEF" w:rsidP="00D43EEF">
      <w:r>
        <w:t>This is an annual report to the Trust Board on Freed</w:t>
      </w:r>
      <w:r w:rsidR="001A19E5">
        <w:t>om to Speak Up in the Trust for</w:t>
      </w:r>
      <w:r>
        <w:t xml:space="preserve"> the 12 mont</w:t>
      </w:r>
      <w:r w:rsidR="00225689">
        <w:t>hs up until the end of November 2018</w:t>
      </w:r>
      <w:r>
        <w:t>. The Freedom to Speak Up Guardian is a relatively new role across the NHS and was a recommendation of the Freedom to Speak Up Review by Sir Robert Francis that was published in 2015. This Trust was an early adopter of this initiative and the Freedom to Speak Up Guardian came into post in April 2016.</w:t>
      </w:r>
      <w:r w:rsidR="00225689">
        <w:t xml:space="preserve"> The</w:t>
      </w:r>
      <w:r w:rsidR="005260B3">
        <w:t xml:space="preserve"> original</w:t>
      </w:r>
      <w:r w:rsidR="00225689">
        <w:t xml:space="preserve"> post holder left the post in February 2018 and the present post holder was appointed in June 2018.</w:t>
      </w:r>
      <w:r>
        <w:t xml:space="preserve"> </w:t>
      </w:r>
      <w:r w:rsidR="00225689">
        <w:t>In the interim the Head of Spiritual and Pastoral care deputised as Freedom to Speak Up Guardian.</w:t>
      </w:r>
      <w:r w:rsidR="005260B3">
        <w:t xml:space="preserve"> </w:t>
      </w:r>
      <w:r w:rsidR="00225689">
        <w:t xml:space="preserve"> </w:t>
      </w:r>
      <w:r>
        <w:t xml:space="preserve">The role of the Freedom to Speak </w:t>
      </w:r>
      <w:r w:rsidR="000D0900">
        <w:t>Up</w:t>
      </w:r>
      <w:r>
        <w:t xml:space="preserve"> Guardian is to </w:t>
      </w:r>
      <w:r w:rsidR="000D0900">
        <w:t>provide independent</w:t>
      </w:r>
      <w:r>
        <w:t xml:space="preserve"> and confidential support to staff that want to raise concerns and promote a culture in which feel staff safe to raise those concerns. </w:t>
      </w:r>
      <w:r w:rsidR="000A5517">
        <w:t>The post is funded for fifteen hours per week.</w:t>
      </w:r>
      <w:r w:rsidR="00225689">
        <w:t xml:space="preserve"> </w:t>
      </w:r>
      <w:r w:rsidR="00A83F90">
        <w:t xml:space="preserve">Between November 2017 and November 2018 43 members of staff raised concerns. The number of concerns raised has varied </w:t>
      </w:r>
      <w:r w:rsidR="004C6FC7">
        <w:t xml:space="preserve">over the 4 </w:t>
      </w:r>
      <w:proofErr w:type="gramStart"/>
      <w:r w:rsidR="004C6FC7">
        <w:t>quarters .</w:t>
      </w:r>
      <w:r w:rsidR="005260B3">
        <w:t>The</w:t>
      </w:r>
      <w:proofErr w:type="gramEnd"/>
      <w:r w:rsidR="005260B3">
        <w:t xml:space="preserve"> necessary reduction in profile during the gap between Guardians may have affected numbers of </w:t>
      </w:r>
      <w:r w:rsidR="00C562AA">
        <w:t>concerns</w:t>
      </w:r>
      <w:r w:rsidR="005260B3">
        <w:t xml:space="preserve"> raised but it is not possible to be sure .</w:t>
      </w:r>
      <w:r w:rsidR="005B2B76">
        <w:t xml:space="preserve"> Most concerns were </w:t>
      </w:r>
      <w:r>
        <w:t>resolved locally</w:t>
      </w:r>
      <w:r w:rsidR="00225689">
        <w:t>: a small number continue to be in process</w:t>
      </w:r>
      <w:r>
        <w:t>. In addition, other activities have been undertaken to raise awareness of Freedom to Speak Up and to encourage cultural change in the Trust. The Guardian has also contributed to the national and regional developments in this area.</w:t>
      </w:r>
      <w:r w:rsidR="001A19E5">
        <w:t xml:space="preserve"> The first two quarters feedback by staff that contacted the Guardian was positive. </w:t>
      </w:r>
    </w:p>
    <w:p w:rsidR="00D43EEF" w:rsidRPr="000D0900" w:rsidRDefault="000D0900" w:rsidP="00D43EEF">
      <w:pPr>
        <w:rPr>
          <w:b/>
        </w:rPr>
      </w:pPr>
      <w:r>
        <w:rPr>
          <w:b/>
        </w:rPr>
        <w:t>Background to Freedom to Speak Up</w:t>
      </w:r>
    </w:p>
    <w:p w:rsidR="00D67277" w:rsidRDefault="00D43EEF" w:rsidP="00911DF0">
      <w:r>
        <w:t>Sir Robert Francis</w:t>
      </w:r>
      <w:r w:rsidR="005B2B76">
        <w:t>,</w:t>
      </w:r>
      <w:r>
        <w:t xml:space="preserve"> in his Report of the Mid-Staffordshire NHS Foundation Trust Public Inquiry (2013)</w:t>
      </w:r>
      <w:r w:rsidR="005B2B76">
        <w:t>,</w:t>
      </w:r>
      <w:r>
        <w:t xml:space="preserve"> described the experiences of nurses and doctors who raised whistleblowing concerns about the poor care </w:t>
      </w:r>
      <w:r w:rsidR="005B2B76">
        <w:t xml:space="preserve">of some patients </w:t>
      </w:r>
      <w:r w:rsidR="00751BF5">
        <w:t>at Stafford H</w:t>
      </w:r>
      <w:r>
        <w:t xml:space="preserve">ospital. </w:t>
      </w:r>
      <w:r w:rsidR="005B2B76">
        <w:t xml:space="preserve"> As a result</w:t>
      </w:r>
      <w:r>
        <w:t xml:space="preserve">, he was asked to conduct a further review into whistleblowing in the NHS. </w:t>
      </w:r>
      <w:r w:rsidRPr="002F41B7">
        <w:rPr>
          <w:i/>
        </w:rPr>
        <w:t>‘Freedom to Speak Up – an independent review into creating an open and honest reporting culture in the NHS’</w:t>
      </w:r>
      <w:r>
        <w:t xml:space="preserve"> was published in 2015. </w:t>
      </w:r>
      <w:r w:rsidR="00911DF0">
        <w:t xml:space="preserve">The report identified a </w:t>
      </w:r>
      <w:r w:rsidR="005B2B76">
        <w:t xml:space="preserve">need for </w:t>
      </w:r>
      <w:r w:rsidR="00911DF0">
        <w:t xml:space="preserve">culture change, improved handling of cases, measures to support good practice, particular measures for vulnerable groups, and extending the legal protection. </w:t>
      </w:r>
      <w:r w:rsidR="00751BF5">
        <w:t xml:space="preserve">Sir Robert Francis identified 20 principles that addressed </w:t>
      </w:r>
      <w:r w:rsidR="00911DF0">
        <w:t>these themes</w:t>
      </w:r>
      <w:r w:rsidR="00751BF5">
        <w:t xml:space="preserve">. </w:t>
      </w:r>
      <w:r w:rsidR="00911DF0">
        <w:t xml:space="preserve"> </w:t>
      </w:r>
      <w:proofErr w:type="gramStart"/>
      <w:r w:rsidR="00911DF0">
        <w:t xml:space="preserve">In particular, </w:t>
      </w:r>
      <w:r w:rsidR="00E1443D">
        <w:t>he</w:t>
      </w:r>
      <w:proofErr w:type="gramEnd"/>
      <w:r w:rsidR="00E1443D">
        <w:t xml:space="preserve"> </w:t>
      </w:r>
      <w:r w:rsidR="00751BF5">
        <w:t>recommended</w:t>
      </w:r>
      <w:r w:rsidR="00D67277">
        <w:t xml:space="preserve"> that all trusts should have a Freedom to Speak Up Guardian to ‘act in a genuinely independent capacity’</w:t>
      </w:r>
      <w:r w:rsidR="00751BF5">
        <w:t xml:space="preserve"> and support staff to raise concerns</w:t>
      </w:r>
      <w:r w:rsidR="00D67277">
        <w:t>.</w:t>
      </w:r>
    </w:p>
    <w:p w:rsidR="00D43EEF" w:rsidRDefault="00D43EEF" w:rsidP="00D43EEF">
      <w:r>
        <w:t xml:space="preserve">In 2016-17 </w:t>
      </w:r>
      <w:r w:rsidR="00E1443D">
        <w:t>it</w:t>
      </w:r>
      <w:r>
        <w:t xml:space="preserve"> became a contractual requirement for all NHS provid</w:t>
      </w:r>
      <w:r w:rsidR="005B2B76">
        <w:t>er trusts</w:t>
      </w:r>
      <w:r w:rsidR="00E1443D">
        <w:t xml:space="preserve"> to have a Freedom to Speak Up Guardian</w:t>
      </w:r>
      <w:r w:rsidR="005B2B76">
        <w:t xml:space="preserve">. </w:t>
      </w:r>
      <w:r>
        <w:t xml:space="preserve"> </w:t>
      </w:r>
      <w:r w:rsidR="005B2B76">
        <w:t>By</w:t>
      </w:r>
      <w:r>
        <w:t xml:space="preserve"> the end o</w:t>
      </w:r>
      <w:r w:rsidR="00751BF5">
        <w:t>f the financial year</w:t>
      </w:r>
      <w:r w:rsidR="005B2B76">
        <w:t>,</w:t>
      </w:r>
      <w:r w:rsidR="00751BF5">
        <w:t xml:space="preserve"> </w:t>
      </w:r>
      <w:r w:rsidR="00E1443D">
        <w:t xml:space="preserve">all </w:t>
      </w:r>
      <w:r>
        <w:t xml:space="preserve">trusts in England had made appointments although not all </w:t>
      </w:r>
      <w:r w:rsidR="005B2B76">
        <w:t xml:space="preserve">Guardians </w:t>
      </w:r>
      <w:r>
        <w:t xml:space="preserve">were in post. </w:t>
      </w:r>
      <w:r w:rsidR="00911DF0">
        <w:t>Trust</w:t>
      </w:r>
      <w:r w:rsidR="005B2B76">
        <w:t>s</w:t>
      </w:r>
      <w:r w:rsidR="00E1443D">
        <w:t xml:space="preserve"> were also expected to</w:t>
      </w:r>
      <w:r w:rsidR="00751BF5">
        <w:t xml:space="preserve"> </w:t>
      </w:r>
      <w:r w:rsidR="00911DF0">
        <w:t xml:space="preserve">adopt a </w:t>
      </w:r>
      <w:r w:rsidR="005B2B76">
        <w:t>model NHS</w:t>
      </w:r>
      <w:r w:rsidR="00911DF0">
        <w:t xml:space="preserve"> whistleblowing/raising concerns policy.</w:t>
      </w:r>
    </w:p>
    <w:p w:rsidR="00D43EEF" w:rsidRPr="00D67277" w:rsidRDefault="00D43EEF" w:rsidP="00D43EEF">
      <w:pPr>
        <w:rPr>
          <w:b/>
        </w:rPr>
      </w:pPr>
      <w:r w:rsidRPr="00D67277">
        <w:rPr>
          <w:b/>
        </w:rPr>
        <w:t>The Role of the Freedom to Speak Up Guardian</w:t>
      </w:r>
    </w:p>
    <w:p w:rsidR="00D43EEF" w:rsidRDefault="00D43EEF" w:rsidP="00D43EEF">
      <w:r>
        <w:t xml:space="preserve">The Freedom to Speak Up Guardian is not part of the management structure of the Trust and is able to act independently in response to the concerns being raised with him. The Guardian reports </w:t>
      </w:r>
      <w:r>
        <w:lastRenderedPageBreak/>
        <w:t xml:space="preserve">directly to </w:t>
      </w:r>
      <w:r w:rsidR="00E1443D">
        <w:t>the</w:t>
      </w:r>
      <w:r>
        <w:t xml:space="preserve"> Chief Executive, and this gives him access to the executive directors of the Trust. There are two key elements to the role:</w:t>
      </w:r>
    </w:p>
    <w:p w:rsidR="003D2CA2" w:rsidRDefault="003D2CA2" w:rsidP="003D2CA2">
      <w:pPr>
        <w:pStyle w:val="ListParagraph"/>
        <w:numPr>
          <w:ilvl w:val="0"/>
          <w:numId w:val="3"/>
        </w:numPr>
      </w:pPr>
      <w:r w:rsidRPr="003D2CA2">
        <w:t>To give independent, safe and confidential advice and support to members of staff who wish to raise concerns that have an impact on patient safety and experience. This is not just for permanent staff members but is also available for temporary or agency staff, trainees or students, volunteers and trust governors. Support from the Guardian is not available to carers and patients as they can raise concerns through the complaints and PALS service.</w:t>
      </w:r>
    </w:p>
    <w:p w:rsidR="003D2CA2" w:rsidRDefault="003D2CA2" w:rsidP="003D2CA2">
      <w:pPr>
        <w:pStyle w:val="ListParagraph"/>
        <w:numPr>
          <w:ilvl w:val="0"/>
          <w:numId w:val="3"/>
        </w:numPr>
      </w:pPr>
      <w:r w:rsidRPr="003D2CA2">
        <w:t>To promote a culture where members of staff feel safe to raise concerns and do not fear adverse repercussions as consequence</w:t>
      </w:r>
    </w:p>
    <w:p w:rsidR="00922F43" w:rsidRDefault="00922F43" w:rsidP="00D43EEF">
      <w:pPr>
        <w:rPr>
          <w:b/>
        </w:rPr>
      </w:pPr>
      <w:r w:rsidRPr="00922F43">
        <w:rPr>
          <w:b/>
        </w:rPr>
        <w:t>Freedom to Speak Up activities in the Trust</w:t>
      </w:r>
    </w:p>
    <w:p w:rsidR="00CE00DD" w:rsidRPr="00922F43" w:rsidRDefault="00CE00DD" w:rsidP="00922F43">
      <w:pPr>
        <w:rPr>
          <w:i/>
          <w:u w:val="single"/>
        </w:rPr>
      </w:pPr>
      <w:r w:rsidRPr="00922F43">
        <w:rPr>
          <w:i/>
          <w:u w:val="single"/>
        </w:rPr>
        <w:t>Raising concerns</w:t>
      </w:r>
    </w:p>
    <w:p w:rsidR="00225689" w:rsidRPr="00894CE8" w:rsidRDefault="00225689" w:rsidP="00225689">
      <w:pPr>
        <w:spacing w:line="240" w:lineRule="auto"/>
        <w:rPr>
          <w:rFonts w:ascii="Arial" w:hAnsi="Arial" w:cs="Arial"/>
          <w:b/>
          <w:sz w:val="16"/>
          <w:szCs w:val="16"/>
          <w:u w:val="single"/>
        </w:rPr>
      </w:pPr>
      <w:r w:rsidRPr="00894CE8">
        <w:rPr>
          <w:rFonts w:ascii="Arial" w:hAnsi="Arial" w:cs="Arial"/>
          <w:b/>
          <w:sz w:val="16"/>
          <w:szCs w:val="16"/>
          <w:u w:val="single"/>
        </w:rPr>
        <w:t xml:space="preserve">Supporting staff raising concerns </w:t>
      </w:r>
    </w:p>
    <w:tbl>
      <w:tblPr>
        <w:tblStyle w:val="TableGrid"/>
        <w:tblW w:w="10682" w:type="dxa"/>
        <w:tblLook w:val="04A0" w:firstRow="1" w:lastRow="0" w:firstColumn="1" w:lastColumn="0" w:noHBand="0" w:noVBand="1"/>
      </w:tblPr>
      <w:tblGrid>
        <w:gridCol w:w="1196"/>
        <w:gridCol w:w="1038"/>
        <w:gridCol w:w="1134"/>
        <w:gridCol w:w="867"/>
        <w:gridCol w:w="1293"/>
        <w:gridCol w:w="1007"/>
        <w:gridCol w:w="1099"/>
        <w:gridCol w:w="1612"/>
        <w:gridCol w:w="1436"/>
      </w:tblGrid>
      <w:tr w:rsidR="00894CE8" w:rsidRPr="00894CE8" w:rsidTr="00C56D70">
        <w:trPr>
          <w:gridAfter w:val="1"/>
          <w:wAfter w:w="1436" w:type="dxa"/>
        </w:trPr>
        <w:tc>
          <w:tcPr>
            <w:tcW w:w="1196" w:type="dxa"/>
            <w:vMerge w:val="restart"/>
          </w:tcPr>
          <w:p w:rsidR="00894CE8" w:rsidRPr="00894CE8" w:rsidRDefault="00894CE8" w:rsidP="00894CE8">
            <w:pPr>
              <w:rPr>
                <w:b/>
                <w:i/>
                <w:sz w:val="16"/>
                <w:szCs w:val="16"/>
              </w:rPr>
            </w:pPr>
            <w:r w:rsidRPr="00894CE8">
              <w:rPr>
                <w:b/>
                <w:i/>
                <w:sz w:val="16"/>
                <w:szCs w:val="16"/>
              </w:rPr>
              <w:t>Month</w:t>
            </w:r>
          </w:p>
        </w:tc>
        <w:tc>
          <w:tcPr>
            <w:tcW w:w="1038" w:type="dxa"/>
            <w:vMerge w:val="restart"/>
          </w:tcPr>
          <w:p w:rsidR="00894CE8" w:rsidRPr="00894CE8" w:rsidRDefault="00894CE8" w:rsidP="00894CE8">
            <w:pPr>
              <w:rPr>
                <w:b/>
                <w:i/>
                <w:sz w:val="16"/>
                <w:szCs w:val="16"/>
              </w:rPr>
            </w:pPr>
            <w:r w:rsidRPr="00894CE8">
              <w:rPr>
                <w:b/>
                <w:i/>
                <w:sz w:val="16"/>
                <w:szCs w:val="16"/>
              </w:rPr>
              <w:t>Number of staff contacts</w:t>
            </w:r>
          </w:p>
        </w:tc>
        <w:tc>
          <w:tcPr>
            <w:tcW w:w="1134" w:type="dxa"/>
          </w:tcPr>
          <w:p w:rsidR="00894CE8" w:rsidRPr="00894CE8" w:rsidRDefault="00894CE8" w:rsidP="00894CE8">
            <w:pPr>
              <w:rPr>
                <w:b/>
                <w:i/>
                <w:sz w:val="16"/>
                <w:szCs w:val="16"/>
              </w:rPr>
            </w:pPr>
            <w:r w:rsidRPr="00894CE8">
              <w:rPr>
                <w:b/>
                <w:i/>
                <w:sz w:val="16"/>
                <w:szCs w:val="16"/>
              </w:rPr>
              <w:t>TYPE</w:t>
            </w:r>
          </w:p>
        </w:tc>
        <w:tc>
          <w:tcPr>
            <w:tcW w:w="867" w:type="dxa"/>
          </w:tcPr>
          <w:p w:rsidR="00894CE8" w:rsidRPr="00894CE8" w:rsidRDefault="00894CE8" w:rsidP="00894CE8">
            <w:pPr>
              <w:rPr>
                <w:b/>
                <w:i/>
                <w:sz w:val="16"/>
                <w:szCs w:val="16"/>
              </w:rPr>
            </w:pPr>
            <w:r w:rsidRPr="00894CE8">
              <w:rPr>
                <w:b/>
                <w:i/>
                <w:sz w:val="16"/>
                <w:szCs w:val="16"/>
              </w:rPr>
              <w:t>OF</w:t>
            </w:r>
          </w:p>
        </w:tc>
        <w:tc>
          <w:tcPr>
            <w:tcW w:w="1293" w:type="dxa"/>
          </w:tcPr>
          <w:p w:rsidR="00894CE8" w:rsidRPr="00894CE8" w:rsidRDefault="00894CE8" w:rsidP="00894CE8">
            <w:pPr>
              <w:rPr>
                <w:b/>
                <w:i/>
                <w:sz w:val="16"/>
                <w:szCs w:val="16"/>
              </w:rPr>
            </w:pPr>
            <w:r w:rsidRPr="00894CE8">
              <w:rPr>
                <w:b/>
                <w:i/>
                <w:sz w:val="16"/>
                <w:szCs w:val="16"/>
              </w:rPr>
              <w:t>ACTION</w:t>
            </w:r>
          </w:p>
        </w:tc>
        <w:tc>
          <w:tcPr>
            <w:tcW w:w="1007" w:type="dxa"/>
          </w:tcPr>
          <w:p w:rsidR="00894CE8" w:rsidRPr="00894CE8" w:rsidRDefault="00894CE8" w:rsidP="00894CE8">
            <w:pPr>
              <w:rPr>
                <w:b/>
                <w:i/>
                <w:sz w:val="16"/>
                <w:szCs w:val="16"/>
              </w:rPr>
            </w:pPr>
            <w:r w:rsidRPr="00894CE8">
              <w:rPr>
                <w:b/>
                <w:i/>
                <w:sz w:val="16"/>
                <w:szCs w:val="16"/>
              </w:rPr>
              <w:t xml:space="preserve"> </w:t>
            </w:r>
          </w:p>
        </w:tc>
        <w:tc>
          <w:tcPr>
            <w:tcW w:w="1099" w:type="dxa"/>
          </w:tcPr>
          <w:p w:rsidR="00894CE8" w:rsidRPr="00894CE8" w:rsidRDefault="00894CE8" w:rsidP="00894CE8">
            <w:pPr>
              <w:rPr>
                <w:b/>
                <w:i/>
                <w:sz w:val="16"/>
                <w:szCs w:val="16"/>
              </w:rPr>
            </w:pPr>
            <w:r w:rsidRPr="00894CE8">
              <w:rPr>
                <w:b/>
                <w:i/>
                <w:sz w:val="16"/>
                <w:szCs w:val="16"/>
              </w:rPr>
              <w:t>Number still open</w:t>
            </w:r>
          </w:p>
        </w:tc>
        <w:tc>
          <w:tcPr>
            <w:tcW w:w="1612" w:type="dxa"/>
          </w:tcPr>
          <w:p w:rsidR="00894CE8" w:rsidRPr="00894CE8" w:rsidRDefault="00894CE8" w:rsidP="00894CE8">
            <w:pPr>
              <w:rPr>
                <w:b/>
                <w:i/>
                <w:sz w:val="16"/>
                <w:szCs w:val="16"/>
              </w:rPr>
            </w:pPr>
            <w:r w:rsidRPr="00894CE8">
              <w:rPr>
                <w:b/>
                <w:i/>
                <w:sz w:val="16"/>
                <w:szCs w:val="16"/>
              </w:rPr>
              <w:t>Comments</w:t>
            </w:r>
          </w:p>
        </w:tc>
      </w:tr>
      <w:tr w:rsidR="00894CE8" w:rsidRPr="00894CE8" w:rsidTr="00C56D70">
        <w:trPr>
          <w:gridAfter w:val="1"/>
          <w:wAfter w:w="1436" w:type="dxa"/>
        </w:trPr>
        <w:tc>
          <w:tcPr>
            <w:tcW w:w="1196" w:type="dxa"/>
            <w:vMerge/>
          </w:tcPr>
          <w:p w:rsidR="00894CE8" w:rsidRPr="00894CE8" w:rsidRDefault="00894CE8" w:rsidP="00894CE8">
            <w:pPr>
              <w:rPr>
                <w:sz w:val="16"/>
                <w:szCs w:val="16"/>
              </w:rPr>
            </w:pPr>
          </w:p>
        </w:tc>
        <w:tc>
          <w:tcPr>
            <w:tcW w:w="1038" w:type="dxa"/>
            <w:vMerge/>
          </w:tcPr>
          <w:p w:rsidR="00894CE8" w:rsidRPr="00894CE8" w:rsidRDefault="00894CE8" w:rsidP="00894CE8">
            <w:pPr>
              <w:rPr>
                <w:sz w:val="16"/>
                <w:szCs w:val="16"/>
              </w:rPr>
            </w:pPr>
          </w:p>
        </w:tc>
        <w:tc>
          <w:tcPr>
            <w:tcW w:w="1134" w:type="dxa"/>
          </w:tcPr>
          <w:p w:rsidR="00894CE8" w:rsidRPr="00894CE8" w:rsidRDefault="00894CE8" w:rsidP="00894CE8">
            <w:pPr>
              <w:rPr>
                <w:b/>
                <w:i/>
                <w:sz w:val="16"/>
                <w:szCs w:val="16"/>
              </w:rPr>
            </w:pPr>
            <w:r w:rsidRPr="00894CE8">
              <w:rPr>
                <w:b/>
                <w:i/>
                <w:sz w:val="16"/>
                <w:szCs w:val="16"/>
              </w:rPr>
              <w:t xml:space="preserve">Clarifying concern </w:t>
            </w:r>
          </w:p>
        </w:tc>
        <w:tc>
          <w:tcPr>
            <w:tcW w:w="867" w:type="dxa"/>
          </w:tcPr>
          <w:p w:rsidR="00894CE8" w:rsidRPr="00894CE8" w:rsidRDefault="00894CE8" w:rsidP="00894CE8">
            <w:pPr>
              <w:rPr>
                <w:b/>
                <w:i/>
                <w:sz w:val="16"/>
                <w:szCs w:val="16"/>
              </w:rPr>
            </w:pPr>
            <w:r w:rsidRPr="00894CE8">
              <w:rPr>
                <w:b/>
                <w:i/>
                <w:sz w:val="16"/>
                <w:szCs w:val="16"/>
              </w:rPr>
              <w:t>No action</w:t>
            </w:r>
          </w:p>
        </w:tc>
        <w:tc>
          <w:tcPr>
            <w:tcW w:w="1293" w:type="dxa"/>
          </w:tcPr>
          <w:p w:rsidR="00894CE8" w:rsidRPr="00894CE8" w:rsidRDefault="00894CE8" w:rsidP="00894CE8">
            <w:pPr>
              <w:rPr>
                <w:b/>
                <w:i/>
                <w:sz w:val="16"/>
                <w:szCs w:val="16"/>
              </w:rPr>
            </w:pPr>
            <w:r w:rsidRPr="00894CE8">
              <w:rPr>
                <w:b/>
                <w:i/>
                <w:sz w:val="16"/>
                <w:szCs w:val="16"/>
              </w:rPr>
              <w:t>Discussion and advice only</w:t>
            </w:r>
          </w:p>
        </w:tc>
        <w:tc>
          <w:tcPr>
            <w:tcW w:w="1007" w:type="dxa"/>
          </w:tcPr>
          <w:p w:rsidR="00894CE8" w:rsidRPr="00894CE8" w:rsidRDefault="00894CE8" w:rsidP="00894CE8">
            <w:pPr>
              <w:rPr>
                <w:b/>
                <w:i/>
                <w:sz w:val="16"/>
                <w:szCs w:val="16"/>
              </w:rPr>
            </w:pPr>
            <w:r w:rsidRPr="00894CE8">
              <w:rPr>
                <w:b/>
                <w:i/>
                <w:sz w:val="16"/>
                <w:szCs w:val="16"/>
              </w:rPr>
              <w:t>Further action required</w:t>
            </w:r>
          </w:p>
        </w:tc>
        <w:tc>
          <w:tcPr>
            <w:tcW w:w="1099" w:type="dxa"/>
          </w:tcPr>
          <w:p w:rsidR="00894CE8" w:rsidRPr="00894CE8" w:rsidRDefault="00894CE8" w:rsidP="00894CE8">
            <w:pPr>
              <w:rPr>
                <w:sz w:val="16"/>
                <w:szCs w:val="16"/>
              </w:rPr>
            </w:pPr>
          </w:p>
        </w:tc>
        <w:tc>
          <w:tcPr>
            <w:tcW w:w="1612" w:type="dxa"/>
          </w:tcPr>
          <w:p w:rsidR="00894CE8" w:rsidRPr="00894CE8" w:rsidRDefault="00894CE8" w:rsidP="00894CE8">
            <w:pPr>
              <w:rPr>
                <w:sz w:val="16"/>
                <w:szCs w:val="16"/>
              </w:rPr>
            </w:pPr>
          </w:p>
        </w:tc>
      </w:tr>
      <w:tr w:rsidR="00894CE8" w:rsidRPr="00894CE8" w:rsidTr="00C56D70">
        <w:tc>
          <w:tcPr>
            <w:tcW w:w="1196" w:type="dxa"/>
          </w:tcPr>
          <w:p w:rsidR="00894CE8" w:rsidRPr="00894CE8" w:rsidRDefault="00894CE8" w:rsidP="00894CE8">
            <w:pPr>
              <w:rPr>
                <w:sz w:val="16"/>
                <w:szCs w:val="16"/>
              </w:rPr>
            </w:pPr>
            <w:r w:rsidRPr="00894CE8">
              <w:rPr>
                <w:sz w:val="16"/>
                <w:szCs w:val="16"/>
              </w:rPr>
              <w:t>November</w:t>
            </w:r>
          </w:p>
          <w:p w:rsidR="00894CE8" w:rsidRPr="00894CE8" w:rsidRDefault="00894CE8" w:rsidP="00894CE8">
            <w:pPr>
              <w:rPr>
                <w:sz w:val="16"/>
                <w:szCs w:val="16"/>
              </w:rPr>
            </w:pPr>
            <w:r w:rsidRPr="00894CE8">
              <w:rPr>
                <w:sz w:val="16"/>
                <w:szCs w:val="16"/>
              </w:rPr>
              <w:t>2017</w:t>
            </w:r>
          </w:p>
        </w:tc>
        <w:tc>
          <w:tcPr>
            <w:tcW w:w="1038" w:type="dxa"/>
          </w:tcPr>
          <w:p w:rsidR="00894CE8" w:rsidRPr="00894CE8" w:rsidRDefault="00894CE8" w:rsidP="00894CE8">
            <w:pPr>
              <w:rPr>
                <w:sz w:val="16"/>
                <w:szCs w:val="16"/>
              </w:rPr>
            </w:pPr>
            <w:r w:rsidRPr="00894CE8">
              <w:rPr>
                <w:sz w:val="16"/>
                <w:szCs w:val="16"/>
              </w:rPr>
              <w:t>11</w:t>
            </w:r>
          </w:p>
        </w:tc>
        <w:tc>
          <w:tcPr>
            <w:tcW w:w="1134" w:type="dxa"/>
          </w:tcPr>
          <w:p w:rsidR="00894CE8" w:rsidRPr="00894CE8" w:rsidRDefault="00894CE8" w:rsidP="00894CE8">
            <w:pPr>
              <w:rPr>
                <w:sz w:val="16"/>
                <w:szCs w:val="16"/>
              </w:rPr>
            </w:pPr>
            <w:r w:rsidRPr="00894CE8">
              <w:rPr>
                <w:sz w:val="16"/>
                <w:szCs w:val="16"/>
              </w:rPr>
              <w:t>0</w:t>
            </w:r>
          </w:p>
        </w:tc>
        <w:tc>
          <w:tcPr>
            <w:tcW w:w="867" w:type="dxa"/>
          </w:tcPr>
          <w:p w:rsidR="00894CE8" w:rsidRPr="00894CE8" w:rsidRDefault="00894CE8" w:rsidP="00894CE8">
            <w:pPr>
              <w:rPr>
                <w:sz w:val="16"/>
                <w:szCs w:val="16"/>
              </w:rPr>
            </w:pPr>
            <w:r w:rsidRPr="00894CE8">
              <w:rPr>
                <w:sz w:val="16"/>
                <w:szCs w:val="16"/>
              </w:rPr>
              <w:t>3</w:t>
            </w:r>
          </w:p>
        </w:tc>
        <w:tc>
          <w:tcPr>
            <w:tcW w:w="1293" w:type="dxa"/>
          </w:tcPr>
          <w:p w:rsidR="00894CE8" w:rsidRPr="00894CE8" w:rsidRDefault="00894CE8" w:rsidP="00894CE8">
            <w:pPr>
              <w:rPr>
                <w:sz w:val="16"/>
                <w:szCs w:val="16"/>
              </w:rPr>
            </w:pPr>
            <w:r w:rsidRPr="00894CE8">
              <w:rPr>
                <w:sz w:val="16"/>
                <w:szCs w:val="16"/>
              </w:rPr>
              <w:t>5</w:t>
            </w:r>
          </w:p>
        </w:tc>
        <w:tc>
          <w:tcPr>
            <w:tcW w:w="1007" w:type="dxa"/>
          </w:tcPr>
          <w:p w:rsidR="00894CE8" w:rsidRPr="00894CE8" w:rsidRDefault="00894CE8" w:rsidP="00894CE8">
            <w:pPr>
              <w:rPr>
                <w:sz w:val="16"/>
                <w:szCs w:val="16"/>
              </w:rPr>
            </w:pPr>
            <w:r w:rsidRPr="00894CE8">
              <w:rPr>
                <w:sz w:val="16"/>
                <w:szCs w:val="16"/>
              </w:rPr>
              <w:t>3</w:t>
            </w:r>
          </w:p>
        </w:tc>
        <w:tc>
          <w:tcPr>
            <w:tcW w:w="1099" w:type="dxa"/>
          </w:tcPr>
          <w:p w:rsidR="00894CE8" w:rsidRPr="00894CE8" w:rsidRDefault="00894CE8" w:rsidP="00894CE8">
            <w:pPr>
              <w:rPr>
                <w:sz w:val="16"/>
                <w:szCs w:val="16"/>
              </w:rPr>
            </w:pPr>
            <w:r w:rsidRPr="00894CE8">
              <w:rPr>
                <w:sz w:val="16"/>
                <w:szCs w:val="16"/>
              </w:rPr>
              <w:t>5</w:t>
            </w:r>
          </w:p>
        </w:tc>
        <w:tc>
          <w:tcPr>
            <w:tcW w:w="3048" w:type="dxa"/>
            <w:gridSpan w:val="2"/>
          </w:tcPr>
          <w:p w:rsidR="00894CE8" w:rsidRPr="00894CE8" w:rsidRDefault="00894CE8" w:rsidP="00894CE8">
            <w:pPr>
              <w:rPr>
                <w:sz w:val="16"/>
                <w:szCs w:val="16"/>
              </w:rPr>
            </w:pPr>
            <w:proofErr w:type="gramStart"/>
            <w:r w:rsidRPr="00894CE8">
              <w:rPr>
                <w:sz w:val="16"/>
                <w:szCs w:val="16"/>
              </w:rPr>
              <w:t>A number of</w:t>
            </w:r>
            <w:proofErr w:type="gramEnd"/>
            <w:r w:rsidRPr="00894CE8">
              <w:rPr>
                <w:sz w:val="16"/>
                <w:szCs w:val="16"/>
              </w:rPr>
              <w:t xml:space="preserve"> bullying and </w:t>
            </w:r>
          </w:p>
          <w:p w:rsidR="00894CE8" w:rsidRPr="00894CE8" w:rsidRDefault="00894CE8" w:rsidP="00894CE8">
            <w:pPr>
              <w:rPr>
                <w:sz w:val="16"/>
                <w:szCs w:val="16"/>
              </w:rPr>
            </w:pPr>
            <w:r w:rsidRPr="00894CE8">
              <w:rPr>
                <w:sz w:val="16"/>
                <w:szCs w:val="16"/>
              </w:rPr>
              <w:t xml:space="preserve">harassment concerns </w:t>
            </w:r>
          </w:p>
          <w:p w:rsidR="00894CE8" w:rsidRPr="00894CE8" w:rsidRDefault="00894CE8" w:rsidP="00894CE8">
            <w:pPr>
              <w:rPr>
                <w:sz w:val="16"/>
                <w:szCs w:val="16"/>
              </w:rPr>
            </w:pPr>
          </w:p>
        </w:tc>
      </w:tr>
      <w:tr w:rsidR="00894CE8" w:rsidRPr="00894CE8" w:rsidTr="00C56D70">
        <w:tc>
          <w:tcPr>
            <w:tcW w:w="1196" w:type="dxa"/>
          </w:tcPr>
          <w:p w:rsidR="00894CE8" w:rsidRPr="00894CE8" w:rsidRDefault="00894CE8" w:rsidP="00894CE8">
            <w:pPr>
              <w:rPr>
                <w:i/>
                <w:sz w:val="16"/>
                <w:szCs w:val="16"/>
              </w:rPr>
            </w:pPr>
            <w:r w:rsidRPr="00894CE8">
              <w:rPr>
                <w:i/>
                <w:sz w:val="16"/>
                <w:szCs w:val="16"/>
              </w:rPr>
              <w:t>December</w:t>
            </w:r>
          </w:p>
        </w:tc>
        <w:tc>
          <w:tcPr>
            <w:tcW w:w="1038" w:type="dxa"/>
          </w:tcPr>
          <w:p w:rsidR="00894CE8" w:rsidRPr="00894CE8" w:rsidRDefault="00894CE8" w:rsidP="00894CE8">
            <w:pPr>
              <w:rPr>
                <w:sz w:val="16"/>
                <w:szCs w:val="16"/>
              </w:rPr>
            </w:pPr>
            <w:r w:rsidRPr="00894CE8">
              <w:rPr>
                <w:sz w:val="16"/>
                <w:szCs w:val="16"/>
              </w:rPr>
              <w:t>5</w:t>
            </w:r>
          </w:p>
        </w:tc>
        <w:tc>
          <w:tcPr>
            <w:tcW w:w="1134" w:type="dxa"/>
          </w:tcPr>
          <w:p w:rsidR="00894CE8" w:rsidRPr="00894CE8" w:rsidRDefault="00894CE8" w:rsidP="00894CE8">
            <w:pPr>
              <w:rPr>
                <w:sz w:val="16"/>
                <w:szCs w:val="16"/>
              </w:rPr>
            </w:pPr>
            <w:r w:rsidRPr="00894CE8">
              <w:rPr>
                <w:sz w:val="16"/>
                <w:szCs w:val="16"/>
              </w:rPr>
              <w:t>0</w:t>
            </w:r>
          </w:p>
        </w:tc>
        <w:tc>
          <w:tcPr>
            <w:tcW w:w="867" w:type="dxa"/>
          </w:tcPr>
          <w:p w:rsidR="00894CE8" w:rsidRPr="00894CE8" w:rsidRDefault="00894CE8" w:rsidP="00894CE8">
            <w:pPr>
              <w:rPr>
                <w:sz w:val="16"/>
                <w:szCs w:val="16"/>
              </w:rPr>
            </w:pPr>
            <w:r w:rsidRPr="00894CE8">
              <w:rPr>
                <w:sz w:val="16"/>
                <w:szCs w:val="16"/>
              </w:rPr>
              <w:t>0</w:t>
            </w:r>
          </w:p>
        </w:tc>
        <w:tc>
          <w:tcPr>
            <w:tcW w:w="1293" w:type="dxa"/>
          </w:tcPr>
          <w:p w:rsidR="00894CE8" w:rsidRPr="00894CE8" w:rsidRDefault="00894CE8" w:rsidP="00894CE8">
            <w:pPr>
              <w:rPr>
                <w:sz w:val="16"/>
                <w:szCs w:val="16"/>
              </w:rPr>
            </w:pPr>
            <w:r w:rsidRPr="00894CE8">
              <w:rPr>
                <w:sz w:val="16"/>
                <w:szCs w:val="16"/>
              </w:rPr>
              <w:t>5</w:t>
            </w:r>
          </w:p>
        </w:tc>
        <w:tc>
          <w:tcPr>
            <w:tcW w:w="1007" w:type="dxa"/>
          </w:tcPr>
          <w:p w:rsidR="00894CE8" w:rsidRPr="00894CE8" w:rsidRDefault="00894CE8" w:rsidP="00894CE8">
            <w:pPr>
              <w:rPr>
                <w:sz w:val="16"/>
                <w:szCs w:val="16"/>
              </w:rPr>
            </w:pPr>
            <w:r w:rsidRPr="00894CE8">
              <w:rPr>
                <w:sz w:val="16"/>
                <w:szCs w:val="16"/>
              </w:rPr>
              <w:t>0</w:t>
            </w:r>
          </w:p>
        </w:tc>
        <w:tc>
          <w:tcPr>
            <w:tcW w:w="1099" w:type="dxa"/>
          </w:tcPr>
          <w:p w:rsidR="00894CE8" w:rsidRPr="00894CE8" w:rsidRDefault="00894CE8" w:rsidP="00894CE8">
            <w:pPr>
              <w:rPr>
                <w:sz w:val="16"/>
                <w:szCs w:val="16"/>
              </w:rPr>
            </w:pPr>
            <w:r w:rsidRPr="00894CE8">
              <w:rPr>
                <w:sz w:val="16"/>
                <w:szCs w:val="16"/>
              </w:rPr>
              <w:t>0</w:t>
            </w:r>
          </w:p>
        </w:tc>
        <w:tc>
          <w:tcPr>
            <w:tcW w:w="3048" w:type="dxa"/>
            <w:gridSpan w:val="2"/>
          </w:tcPr>
          <w:p w:rsidR="00894CE8" w:rsidRPr="00894CE8" w:rsidRDefault="00894CE8" w:rsidP="00894CE8">
            <w:pPr>
              <w:rPr>
                <w:sz w:val="16"/>
                <w:szCs w:val="16"/>
              </w:rPr>
            </w:pPr>
            <w:r w:rsidRPr="00894CE8">
              <w:rPr>
                <w:sz w:val="16"/>
                <w:szCs w:val="16"/>
              </w:rPr>
              <w:t>Abingdon Hospital drop in but no one attended</w:t>
            </w:r>
          </w:p>
        </w:tc>
      </w:tr>
      <w:tr w:rsidR="00894CE8" w:rsidRPr="00894CE8" w:rsidTr="00C56D70">
        <w:tc>
          <w:tcPr>
            <w:tcW w:w="1196" w:type="dxa"/>
          </w:tcPr>
          <w:p w:rsidR="00894CE8" w:rsidRPr="00894CE8" w:rsidRDefault="00894CE8" w:rsidP="00894CE8">
            <w:pPr>
              <w:rPr>
                <w:i/>
                <w:sz w:val="16"/>
                <w:szCs w:val="16"/>
              </w:rPr>
            </w:pPr>
            <w:r w:rsidRPr="00894CE8">
              <w:rPr>
                <w:i/>
                <w:sz w:val="16"/>
                <w:szCs w:val="16"/>
              </w:rPr>
              <w:t>January</w:t>
            </w:r>
          </w:p>
        </w:tc>
        <w:tc>
          <w:tcPr>
            <w:tcW w:w="1038" w:type="dxa"/>
          </w:tcPr>
          <w:p w:rsidR="00894CE8" w:rsidRPr="00894CE8" w:rsidRDefault="00894CE8" w:rsidP="00894CE8">
            <w:pPr>
              <w:rPr>
                <w:sz w:val="16"/>
                <w:szCs w:val="16"/>
              </w:rPr>
            </w:pPr>
            <w:r w:rsidRPr="00894CE8">
              <w:rPr>
                <w:sz w:val="16"/>
                <w:szCs w:val="16"/>
              </w:rPr>
              <w:t>5</w:t>
            </w:r>
          </w:p>
        </w:tc>
        <w:tc>
          <w:tcPr>
            <w:tcW w:w="1134" w:type="dxa"/>
          </w:tcPr>
          <w:p w:rsidR="00894CE8" w:rsidRPr="00894CE8" w:rsidRDefault="00894CE8" w:rsidP="00894CE8">
            <w:pPr>
              <w:rPr>
                <w:sz w:val="16"/>
                <w:szCs w:val="16"/>
              </w:rPr>
            </w:pPr>
            <w:r w:rsidRPr="00894CE8">
              <w:rPr>
                <w:sz w:val="16"/>
                <w:szCs w:val="16"/>
              </w:rPr>
              <w:t>2</w:t>
            </w:r>
          </w:p>
        </w:tc>
        <w:tc>
          <w:tcPr>
            <w:tcW w:w="867" w:type="dxa"/>
          </w:tcPr>
          <w:p w:rsidR="00894CE8" w:rsidRPr="00894CE8" w:rsidRDefault="00894CE8" w:rsidP="00894CE8">
            <w:pPr>
              <w:rPr>
                <w:sz w:val="16"/>
                <w:szCs w:val="16"/>
              </w:rPr>
            </w:pPr>
            <w:r w:rsidRPr="00894CE8">
              <w:rPr>
                <w:sz w:val="16"/>
                <w:szCs w:val="16"/>
              </w:rPr>
              <w:t>0</w:t>
            </w:r>
          </w:p>
        </w:tc>
        <w:tc>
          <w:tcPr>
            <w:tcW w:w="1293" w:type="dxa"/>
          </w:tcPr>
          <w:p w:rsidR="00894CE8" w:rsidRPr="00894CE8" w:rsidRDefault="00894CE8" w:rsidP="00894CE8">
            <w:pPr>
              <w:rPr>
                <w:sz w:val="16"/>
                <w:szCs w:val="16"/>
              </w:rPr>
            </w:pPr>
            <w:r w:rsidRPr="00894CE8">
              <w:rPr>
                <w:sz w:val="16"/>
                <w:szCs w:val="16"/>
              </w:rPr>
              <w:t>1</w:t>
            </w:r>
          </w:p>
        </w:tc>
        <w:tc>
          <w:tcPr>
            <w:tcW w:w="1007" w:type="dxa"/>
          </w:tcPr>
          <w:p w:rsidR="00894CE8" w:rsidRPr="00894CE8" w:rsidRDefault="00894CE8" w:rsidP="00894CE8">
            <w:pPr>
              <w:rPr>
                <w:sz w:val="16"/>
                <w:szCs w:val="16"/>
              </w:rPr>
            </w:pPr>
            <w:r w:rsidRPr="00894CE8">
              <w:rPr>
                <w:sz w:val="16"/>
                <w:szCs w:val="16"/>
              </w:rPr>
              <w:t>2</w:t>
            </w:r>
          </w:p>
        </w:tc>
        <w:tc>
          <w:tcPr>
            <w:tcW w:w="1099" w:type="dxa"/>
          </w:tcPr>
          <w:p w:rsidR="00894CE8" w:rsidRPr="00894CE8" w:rsidRDefault="00894CE8" w:rsidP="00894CE8">
            <w:pPr>
              <w:rPr>
                <w:sz w:val="16"/>
                <w:szCs w:val="16"/>
              </w:rPr>
            </w:pPr>
            <w:r w:rsidRPr="00894CE8">
              <w:rPr>
                <w:sz w:val="16"/>
                <w:szCs w:val="16"/>
              </w:rPr>
              <w:t>4</w:t>
            </w:r>
          </w:p>
        </w:tc>
        <w:tc>
          <w:tcPr>
            <w:tcW w:w="3048" w:type="dxa"/>
            <w:gridSpan w:val="2"/>
          </w:tcPr>
          <w:p w:rsidR="00894CE8" w:rsidRPr="00894CE8" w:rsidRDefault="00894CE8" w:rsidP="00894CE8">
            <w:pPr>
              <w:rPr>
                <w:sz w:val="16"/>
                <w:szCs w:val="16"/>
              </w:rPr>
            </w:pPr>
          </w:p>
        </w:tc>
      </w:tr>
      <w:tr w:rsidR="00894CE8" w:rsidRPr="00894CE8" w:rsidTr="00C56D70">
        <w:tc>
          <w:tcPr>
            <w:tcW w:w="1196" w:type="dxa"/>
          </w:tcPr>
          <w:p w:rsidR="00894CE8" w:rsidRPr="00894CE8" w:rsidRDefault="00894CE8" w:rsidP="00894CE8">
            <w:pPr>
              <w:rPr>
                <w:sz w:val="16"/>
                <w:szCs w:val="16"/>
              </w:rPr>
            </w:pPr>
            <w:r w:rsidRPr="00894CE8">
              <w:rPr>
                <w:sz w:val="16"/>
                <w:szCs w:val="16"/>
              </w:rPr>
              <w:t>Feb-June 2017</w:t>
            </w:r>
          </w:p>
        </w:tc>
        <w:tc>
          <w:tcPr>
            <w:tcW w:w="1038" w:type="dxa"/>
          </w:tcPr>
          <w:p w:rsidR="00894CE8" w:rsidRPr="00894CE8" w:rsidRDefault="00894CE8" w:rsidP="00894CE8">
            <w:pPr>
              <w:rPr>
                <w:sz w:val="16"/>
                <w:szCs w:val="16"/>
              </w:rPr>
            </w:pPr>
            <w:r w:rsidRPr="00894CE8">
              <w:rPr>
                <w:sz w:val="16"/>
                <w:szCs w:val="16"/>
              </w:rPr>
              <w:t>3</w:t>
            </w:r>
          </w:p>
        </w:tc>
        <w:tc>
          <w:tcPr>
            <w:tcW w:w="1134" w:type="dxa"/>
          </w:tcPr>
          <w:p w:rsidR="00894CE8" w:rsidRPr="00894CE8" w:rsidRDefault="00894CE8" w:rsidP="00894CE8">
            <w:pPr>
              <w:rPr>
                <w:sz w:val="16"/>
                <w:szCs w:val="16"/>
              </w:rPr>
            </w:pPr>
            <w:r w:rsidRPr="00894CE8">
              <w:rPr>
                <w:sz w:val="16"/>
                <w:szCs w:val="16"/>
              </w:rPr>
              <w:t>2</w:t>
            </w:r>
          </w:p>
        </w:tc>
        <w:tc>
          <w:tcPr>
            <w:tcW w:w="867" w:type="dxa"/>
          </w:tcPr>
          <w:p w:rsidR="00894CE8" w:rsidRPr="00894CE8" w:rsidRDefault="00894CE8" w:rsidP="00894CE8">
            <w:pPr>
              <w:rPr>
                <w:sz w:val="16"/>
                <w:szCs w:val="16"/>
              </w:rPr>
            </w:pPr>
            <w:r w:rsidRPr="00894CE8">
              <w:rPr>
                <w:sz w:val="16"/>
                <w:szCs w:val="16"/>
              </w:rPr>
              <w:t>2</w:t>
            </w:r>
          </w:p>
        </w:tc>
        <w:tc>
          <w:tcPr>
            <w:tcW w:w="1293" w:type="dxa"/>
          </w:tcPr>
          <w:p w:rsidR="00894CE8" w:rsidRPr="00894CE8" w:rsidRDefault="00894CE8" w:rsidP="00894CE8">
            <w:pPr>
              <w:rPr>
                <w:sz w:val="16"/>
                <w:szCs w:val="16"/>
              </w:rPr>
            </w:pPr>
            <w:r w:rsidRPr="00894CE8">
              <w:rPr>
                <w:sz w:val="16"/>
                <w:szCs w:val="16"/>
              </w:rPr>
              <w:t>1</w:t>
            </w:r>
          </w:p>
        </w:tc>
        <w:tc>
          <w:tcPr>
            <w:tcW w:w="1007" w:type="dxa"/>
          </w:tcPr>
          <w:p w:rsidR="00894CE8" w:rsidRPr="00894CE8" w:rsidRDefault="00894CE8" w:rsidP="00894CE8">
            <w:pPr>
              <w:rPr>
                <w:sz w:val="16"/>
                <w:szCs w:val="16"/>
              </w:rPr>
            </w:pPr>
            <w:r w:rsidRPr="00894CE8">
              <w:rPr>
                <w:sz w:val="16"/>
                <w:szCs w:val="16"/>
              </w:rPr>
              <w:t>2</w:t>
            </w:r>
          </w:p>
        </w:tc>
        <w:tc>
          <w:tcPr>
            <w:tcW w:w="1099" w:type="dxa"/>
          </w:tcPr>
          <w:p w:rsidR="00894CE8" w:rsidRPr="00894CE8" w:rsidRDefault="00894CE8" w:rsidP="00894CE8">
            <w:pPr>
              <w:rPr>
                <w:sz w:val="16"/>
                <w:szCs w:val="16"/>
              </w:rPr>
            </w:pPr>
          </w:p>
        </w:tc>
        <w:tc>
          <w:tcPr>
            <w:tcW w:w="3048" w:type="dxa"/>
            <w:gridSpan w:val="2"/>
          </w:tcPr>
          <w:p w:rsidR="00894CE8" w:rsidRPr="00894CE8" w:rsidRDefault="00894CE8" w:rsidP="00894CE8">
            <w:pPr>
              <w:rPr>
                <w:sz w:val="16"/>
                <w:szCs w:val="16"/>
              </w:rPr>
            </w:pPr>
          </w:p>
        </w:tc>
      </w:tr>
      <w:tr w:rsidR="00894CE8" w:rsidRPr="00894CE8" w:rsidTr="00C56D70">
        <w:tc>
          <w:tcPr>
            <w:tcW w:w="1196" w:type="dxa"/>
          </w:tcPr>
          <w:p w:rsidR="00894CE8" w:rsidRPr="00894CE8" w:rsidRDefault="00894CE8" w:rsidP="00894CE8">
            <w:pPr>
              <w:rPr>
                <w:sz w:val="16"/>
                <w:szCs w:val="16"/>
              </w:rPr>
            </w:pPr>
          </w:p>
        </w:tc>
        <w:tc>
          <w:tcPr>
            <w:tcW w:w="1038" w:type="dxa"/>
          </w:tcPr>
          <w:p w:rsidR="00894CE8" w:rsidRPr="00894CE8" w:rsidRDefault="00894CE8" w:rsidP="00894CE8">
            <w:pPr>
              <w:rPr>
                <w:sz w:val="16"/>
                <w:szCs w:val="16"/>
              </w:rPr>
            </w:pPr>
          </w:p>
        </w:tc>
        <w:tc>
          <w:tcPr>
            <w:tcW w:w="1134" w:type="dxa"/>
          </w:tcPr>
          <w:p w:rsidR="00894CE8" w:rsidRPr="00894CE8" w:rsidRDefault="00894CE8" w:rsidP="00894CE8">
            <w:pPr>
              <w:rPr>
                <w:sz w:val="16"/>
                <w:szCs w:val="16"/>
              </w:rPr>
            </w:pPr>
          </w:p>
        </w:tc>
        <w:tc>
          <w:tcPr>
            <w:tcW w:w="867" w:type="dxa"/>
          </w:tcPr>
          <w:p w:rsidR="00894CE8" w:rsidRPr="00894CE8" w:rsidRDefault="00894CE8" w:rsidP="00894CE8">
            <w:pPr>
              <w:rPr>
                <w:sz w:val="16"/>
                <w:szCs w:val="16"/>
              </w:rPr>
            </w:pPr>
          </w:p>
        </w:tc>
        <w:tc>
          <w:tcPr>
            <w:tcW w:w="1293" w:type="dxa"/>
          </w:tcPr>
          <w:p w:rsidR="00894CE8" w:rsidRPr="00894CE8" w:rsidRDefault="00894CE8" w:rsidP="00894CE8">
            <w:pPr>
              <w:rPr>
                <w:sz w:val="16"/>
                <w:szCs w:val="16"/>
              </w:rPr>
            </w:pPr>
          </w:p>
        </w:tc>
        <w:tc>
          <w:tcPr>
            <w:tcW w:w="1007" w:type="dxa"/>
          </w:tcPr>
          <w:p w:rsidR="00894CE8" w:rsidRPr="00894CE8" w:rsidRDefault="00894CE8" w:rsidP="00894CE8">
            <w:pPr>
              <w:rPr>
                <w:sz w:val="16"/>
                <w:szCs w:val="16"/>
              </w:rPr>
            </w:pPr>
          </w:p>
        </w:tc>
        <w:tc>
          <w:tcPr>
            <w:tcW w:w="1099" w:type="dxa"/>
          </w:tcPr>
          <w:p w:rsidR="00894CE8" w:rsidRPr="00894CE8" w:rsidRDefault="00894CE8" w:rsidP="00894CE8">
            <w:pPr>
              <w:rPr>
                <w:sz w:val="16"/>
                <w:szCs w:val="16"/>
              </w:rPr>
            </w:pPr>
          </w:p>
        </w:tc>
        <w:tc>
          <w:tcPr>
            <w:tcW w:w="3048" w:type="dxa"/>
            <w:gridSpan w:val="2"/>
          </w:tcPr>
          <w:p w:rsidR="00894CE8" w:rsidRPr="00894CE8" w:rsidRDefault="00894CE8" w:rsidP="00894CE8">
            <w:pPr>
              <w:rPr>
                <w:sz w:val="16"/>
                <w:szCs w:val="16"/>
              </w:rPr>
            </w:pPr>
          </w:p>
        </w:tc>
      </w:tr>
      <w:tr w:rsidR="00894CE8" w:rsidRPr="00894CE8" w:rsidTr="00C56D70">
        <w:trPr>
          <w:gridAfter w:val="1"/>
          <w:wAfter w:w="1436" w:type="dxa"/>
        </w:trPr>
        <w:tc>
          <w:tcPr>
            <w:tcW w:w="1196" w:type="dxa"/>
          </w:tcPr>
          <w:p w:rsidR="00894CE8" w:rsidRPr="00894CE8" w:rsidRDefault="00894CE8" w:rsidP="00894CE8">
            <w:pPr>
              <w:rPr>
                <w:rFonts w:ascii="Arial" w:hAnsi="Arial" w:cs="Arial"/>
                <w:b/>
                <w:i/>
                <w:sz w:val="16"/>
                <w:szCs w:val="16"/>
              </w:rPr>
            </w:pPr>
            <w:r w:rsidRPr="00894CE8">
              <w:rPr>
                <w:rFonts w:ascii="Arial" w:hAnsi="Arial" w:cs="Arial"/>
                <w:b/>
                <w:i/>
                <w:sz w:val="16"/>
                <w:szCs w:val="16"/>
              </w:rPr>
              <w:t>2018-19</w:t>
            </w:r>
          </w:p>
        </w:tc>
        <w:tc>
          <w:tcPr>
            <w:tcW w:w="1038" w:type="dxa"/>
          </w:tcPr>
          <w:p w:rsidR="00894CE8" w:rsidRPr="00894CE8" w:rsidRDefault="00894CE8" w:rsidP="00894CE8">
            <w:pPr>
              <w:rPr>
                <w:rFonts w:ascii="Arial" w:hAnsi="Arial" w:cs="Arial"/>
                <w:sz w:val="16"/>
                <w:szCs w:val="16"/>
              </w:rPr>
            </w:pPr>
          </w:p>
        </w:tc>
        <w:tc>
          <w:tcPr>
            <w:tcW w:w="1134" w:type="dxa"/>
          </w:tcPr>
          <w:p w:rsidR="00894CE8" w:rsidRPr="00894CE8" w:rsidRDefault="00894CE8" w:rsidP="00894CE8">
            <w:pPr>
              <w:rPr>
                <w:rFonts w:ascii="Arial" w:hAnsi="Arial" w:cs="Arial"/>
                <w:sz w:val="16"/>
                <w:szCs w:val="16"/>
              </w:rPr>
            </w:pP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p>
        </w:tc>
        <w:tc>
          <w:tcPr>
            <w:tcW w:w="1007" w:type="dxa"/>
          </w:tcPr>
          <w:p w:rsidR="00894CE8" w:rsidRPr="00894CE8" w:rsidRDefault="00894CE8" w:rsidP="00894CE8">
            <w:pPr>
              <w:rPr>
                <w:rFonts w:ascii="Arial" w:hAnsi="Arial" w:cs="Arial"/>
                <w:sz w:val="16"/>
                <w:szCs w:val="16"/>
              </w:rPr>
            </w:pPr>
          </w:p>
        </w:tc>
        <w:tc>
          <w:tcPr>
            <w:tcW w:w="1099" w:type="dxa"/>
          </w:tcPr>
          <w:p w:rsidR="00894CE8" w:rsidRPr="00894CE8" w:rsidRDefault="00894CE8" w:rsidP="00894CE8">
            <w:pPr>
              <w:rPr>
                <w:rFonts w:ascii="Arial" w:hAnsi="Arial" w:cs="Arial"/>
                <w:sz w:val="16"/>
                <w:szCs w:val="16"/>
              </w:rPr>
            </w:pPr>
          </w:p>
        </w:tc>
        <w:tc>
          <w:tcPr>
            <w:tcW w:w="1612" w:type="dxa"/>
          </w:tcPr>
          <w:p w:rsidR="00894CE8" w:rsidRPr="00894CE8" w:rsidRDefault="00894CE8" w:rsidP="00894CE8">
            <w:pPr>
              <w:rPr>
                <w:rFonts w:ascii="Arial" w:hAnsi="Arial" w:cs="Arial"/>
                <w:sz w:val="16"/>
                <w:szCs w:val="16"/>
              </w:rPr>
            </w:pP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April</w:t>
            </w:r>
          </w:p>
        </w:tc>
        <w:tc>
          <w:tcPr>
            <w:tcW w:w="1038" w:type="dxa"/>
          </w:tcPr>
          <w:p w:rsidR="00894CE8" w:rsidRPr="00894CE8" w:rsidRDefault="00894CE8" w:rsidP="00894CE8">
            <w:pPr>
              <w:rPr>
                <w:rFonts w:ascii="Arial" w:hAnsi="Arial" w:cs="Arial"/>
                <w:sz w:val="16"/>
                <w:szCs w:val="16"/>
              </w:rPr>
            </w:pP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p>
        </w:tc>
        <w:tc>
          <w:tcPr>
            <w:tcW w:w="1007" w:type="dxa"/>
          </w:tcPr>
          <w:p w:rsidR="00894CE8" w:rsidRPr="00894CE8" w:rsidRDefault="00894CE8" w:rsidP="00894CE8">
            <w:pPr>
              <w:rPr>
                <w:rFonts w:ascii="Arial" w:hAnsi="Arial" w:cs="Arial"/>
                <w:sz w:val="16"/>
                <w:szCs w:val="16"/>
              </w:rPr>
            </w:pP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1612" w:type="dxa"/>
          </w:tcPr>
          <w:p w:rsidR="00894CE8" w:rsidRPr="00894CE8" w:rsidRDefault="00894CE8" w:rsidP="00894CE8">
            <w:pPr>
              <w:rPr>
                <w:rFonts w:ascii="Arial" w:hAnsi="Arial" w:cs="Arial"/>
                <w:sz w:val="16"/>
                <w:szCs w:val="16"/>
              </w:rPr>
            </w:pPr>
          </w:p>
        </w:tc>
      </w:tr>
      <w:tr w:rsidR="00894CE8" w:rsidRPr="00894CE8" w:rsidTr="00C56D70">
        <w:trPr>
          <w:gridAfter w:val="1"/>
          <w:wAfter w:w="1436" w:type="dxa"/>
          <w:trHeight w:val="191"/>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May</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1612" w:type="dxa"/>
          </w:tcPr>
          <w:p w:rsidR="00894CE8" w:rsidRPr="00894CE8" w:rsidRDefault="00894CE8" w:rsidP="00894CE8">
            <w:pPr>
              <w:rPr>
                <w:rFonts w:ascii="Arial" w:hAnsi="Arial" w:cs="Arial"/>
                <w:sz w:val="16"/>
                <w:szCs w:val="16"/>
              </w:rPr>
            </w:pP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June</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867"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1293"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612" w:type="dxa"/>
          </w:tcPr>
          <w:p w:rsidR="00894CE8" w:rsidRPr="00894CE8" w:rsidRDefault="00894CE8" w:rsidP="00894CE8">
            <w:pPr>
              <w:rPr>
                <w:rFonts w:ascii="Arial" w:hAnsi="Arial" w:cs="Arial"/>
                <w:sz w:val="16"/>
                <w:szCs w:val="16"/>
              </w:rPr>
            </w:pPr>
            <w:r w:rsidRPr="00894CE8">
              <w:rPr>
                <w:rFonts w:ascii="Arial" w:hAnsi="Arial" w:cs="Arial"/>
                <w:sz w:val="16"/>
                <w:szCs w:val="16"/>
              </w:rPr>
              <w:t>1 staff contacted from previous case</w:t>
            </w: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July</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4</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867"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293" w:type="dxa"/>
          </w:tcPr>
          <w:p w:rsidR="00894CE8" w:rsidRPr="00894CE8" w:rsidRDefault="00894CE8" w:rsidP="00894CE8">
            <w:pPr>
              <w:rPr>
                <w:rFonts w:ascii="Arial" w:hAnsi="Arial" w:cs="Arial"/>
                <w:sz w:val="16"/>
                <w:szCs w:val="16"/>
              </w:rPr>
            </w:pPr>
            <w:r w:rsidRPr="00894CE8">
              <w:rPr>
                <w:rFonts w:ascii="Arial" w:hAnsi="Arial" w:cs="Arial"/>
                <w:sz w:val="16"/>
                <w:szCs w:val="16"/>
              </w:rPr>
              <w:t>3</w:t>
            </w: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3</w:t>
            </w:r>
          </w:p>
        </w:tc>
        <w:tc>
          <w:tcPr>
            <w:tcW w:w="1612" w:type="dxa"/>
          </w:tcPr>
          <w:p w:rsidR="00894CE8" w:rsidRPr="00894CE8" w:rsidRDefault="00894CE8" w:rsidP="00894CE8">
            <w:pPr>
              <w:rPr>
                <w:rFonts w:ascii="Arial" w:hAnsi="Arial" w:cs="Arial"/>
                <w:sz w:val="16"/>
                <w:szCs w:val="16"/>
              </w:rPr>
            </w:pPr>
            <w:r w:rsidRPr="00894CE8">
              <w:rPr>
                <w:rFonts w:ascii="Arial" w:hAnsi="Arial" w:cs="Arial"/>
                <w:sz w:val="16"/>
                <w:szCs w:val="16"/>
              </w:rPr>
              <w:t>1 case of volunteer worker</w:t>
            </w: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p>
        </w:tc>
        <w:tc>
          <w:tcPr>
            <w:tcW w:w="1038" w:type="dxa"/>
          </w:tcPr>
          <w:p w:rsidR="00894CE8" w:rsidRPr="00894CE8" w:rsidRDefault="00894CE8" w:rsidP="00894CE8">
            <w:pPr>
              <w:rPr>
                <w:rFonts w:ascii="Arial" w:hAnsi="Arial" w:cs="Arial"/>
                <w:sz w:val="16"/>
                <w:szCs w:val="16"/>
              </w:rPr>
            </w:pPr>
          </w:p>
        </w:tc>
        <w:tc>
          <w:tcPr>
            <w:tcW w:w="1134" w:type="dxa"/>
          </w:tcPr>
          <w:p w:rsidR="00894CE8" w:rsidRPr="00894CE8" w:rsidRDefault="00894CE8" w:rsidP="00894CE8">
            <w:pPr>
              <w:rPr>
                <w:rFonts w:ascii="Arial" w:hAnsi="Arial" w:cs="Arial"/>
                <w:sz w:val="16"/>
                <w:szCs w:val="16"/>
              </w:rPr>
            </w:pP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p>
        </w:tc>
        <w:tc>
          <w:tcPr>
            <w:tcW w:w="1007" w:type="dxa"/>
          </w:tcPr>
          <w:p w:rsidR="00894CE8" w:rsidRPr="00894CE8" w:rsidRDefault="00894CE8" w:rsidP="00894CE8">
            <w:pPr>
              <w:rPr>
                <w:rFonts w:ascii="Arial" w:hAnsi="Arial" w:cs="Arial"/>
                <w:sz w:val="16"/>
                <w:szCs w:val="16"/>
              </w:rPr>
            </w:pPr>
          </w:p>
        </w:tc>
        <w:tc>
          <w:tcPr>
            <w:tcW w:w="1099" w:type="dxa"/>
          </w:tcPr>
          <w:p w:rsidR="00894CE8" w:rsidRPr="00894CE8" w:rsidRDefault="00894CE8" w:rsidP="00894CE8">
            <w:pPr>
              <w:rPr>
                <w:rFonts w:ascii="Arial" w:hAnsi="Arial" w:cs="Arial"/>
                <w:sz w:val="16"/>
                <w:szCs w:val="16"/>
              </w:rPr>
            </w:pPr>
          </w:p>
        </w:tc>
        <w:tc>
          <w:tcPr>
            <w:tcW w:w="1612" w:type="dxa"/>
          </w:tcPr>
          <w:p w:rsidR="00894CE8" w:rsidRPr="00894CE8" w:rsidRDefault="00894CE8" w:rsidP="00894CE8">
            <w:pPr>
              <w:rPr>
                <w:rFonts w:ascii="Arial" w:hAnsi="Arial" w:cs="Arial"/>
                <w:sz w:val="16"/>
                <w:szCs w:val="16"/>
              </w:rPr>
            </w:pP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August</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3</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867"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293"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612" w:type="dxa"/>
          </w:tcPr>
          <w:p w:rsidR="00894CE8" w:rsidRPr="00894CE8" w:rsidRDefault="00894CE8" w:rsidP="00894CE8">
            <w:pPr>
              <w:rPr>
                <w:rFonts w:ascii="Arial" w:hAnsi="Arial" w:cs="Arial"/>
                <w:sz w:val="16"/>
                <w:szCs w:val="16"/>
              </w:rPr>
            </w:pPr>
            <w:r w:rsidRPr="00894CE8">
              <w:rPr>
                <w:rFonts w:ascii="Arial" w:hAnsi="Arial" w:cs="Arial"/>
                <w:sz w:val="16"/>
                <w:szCs w:val="16"/>
              </w:rPr>
              <w:t>1 case of volunteer worker</w:t>
            </w: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September</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612" w:type="dxa"/>
          </w:tcPr>
          <w:p w:rsidR="00894CE8" w:rsidRPr="00894CE8" w:rsidRDefault="00894CE8" w:rsidP="00894CE8">
            <w:pPr>
              <w:rPr>
                <w:rFonts w:ascii="Arial" w:hAnsi="Arial" w:cs="Arial"/>
                <w:sz w:val="16"/>
                <w:szCs w:val="16"/>
              </w:rPr>
            </w:pPr>
            <w:r w:rsidRPr="00894CE8">
              <w:rPr>
                <w:rFonts w:ascii="Arial" w:hAnsi="Arial" w:cs="Arial"/>
                <w:sz w:val="16"/>
                <w:szCs w:val="16"/>
              </w:rPr>
              <w:t>Need to escalate within Trust</w:t>
            </w:r>
          </w:p>
        </w:tc>
      </w:tr>
      <w:tr w:rsidR="00894CE8" w:rsidRPr="00894CE8" w:rsidTr="00C56D70">
        <w:trPr>
          <w:gridAfter w:val="1"/>
          <w:wAfter w:w="1436" w:type="dxa"/>
          <w:trHeight w:val="88"/>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October</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134" w:type="dxa"/>
          </w:tcPr>
          <w:p w:rsidR="00894CE8" w:rsidRPr="00894CE8" w:rsidRDefault="00894CE8" w:rsidP="00894CE8">
            <w:pPr>
              <w:rPr>
                <w:rFonts w:ascii="Arial" w:hAnsi="Arial" w:cs="Arial"/>
                <w:sz w:val="16"/>
                <w:szCs w:val="16"/>
              </w:rPr>
            </w:pP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0</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612" w:type="dxa"/>
          </w:tcPr>
          <w:p w:rsidR="00894CE8" w:rsidRPr="00894CE8" w:rsidRDefault="00C56D70" w:rsidP="00894CE8">
            <w:pPr>
              <w:jc w:val="right"/>
              <w:rPr>
                <w:rFonts w:ascii="Arial" w:hAnsi="Arial" w:cs="Arial"/>
                <w:sz w:val="16"/>
                <w:szCs w:val="16"/>
              </w:rPr>
            </w:pPr>
            <w:r>
              <w:rPr>
                <w:rFonts w:ascii="Arial" w:hAnsi="Arial" w:cs="Arial"/>
                <w:sz w:val="16"/>
                <w:szCs w:val="16"/>
              </w:rPr>
              <w:t xml:space="preserve">Speak Up </w:t>
            </w:r>
            <w:proofErr w:type="gramStart"/>
            <w:r>
              <w:rPr>
                <w:rFonts w:ascii="Arial" w:hAnsi="Arial" w:cs="Arial"/>
                <w:sz w:val="16"/>
                <w:szCs w:val="16"/>
              </w:rPr>
              <w:t>month</w:t>
            </w:r>
            <w:proofErr w:type="gramEnd"/>
            <w:r>
              <w:rPr>
                <w:rFonts w:ascii="Arial" w:hAnsi="Arial" w:cs="Arial"/>
                <w:sz w:val="16"/>
                <w:szCs w:val="16"/>
              </w:rPr>
              <w:t xml:space="preserve"> Drop ins and surgeries across trust</w:t>
            </w: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November</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4</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1</w:t>
            </w:r>
          </w:p>
        </w:tc>
        <w:tc>
          <w:tcPr>
            <w:tcW w:w="867" w:type="dxa"/>
          </w:tcPr>
          <w:p w:rsidR="00894CE8" w:rsidRPr="00894CE8" w:rsidRDefault="00894CE8" w:rsidP="00894CE8">
            <w:pPr>
              <w:rPr>
                <w:rFonts w:ascii="Arial" w:hAnsi="Arial" w:cs="Arial"/>
                <w:sz w:val="16"/>
                <w:szCs w:val="16"/>
              </w:rPr>
            </w:pPr>
          </w:p>
        </w:tc>
        <w:tc>
          <w:tcPr>
            <w:tcW w:w="1293"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2</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3</w:t>
            </w:r>
          </w:p>
        </w:tc>
        <w:tc>
          <w:tcPr>
            <w:tcW w:w="1612" w:type="dxa"/>
          </w:tcPr>
          <w:p w:rsidR="00894CE8" w:rsidRPr="00894CE8" w:rsidRDefault="00894CE8" w:rsidP="00894CE8">
            <w:pPr>
              <w:jc w:val="right"/>
              <w:rPr>
                <w:rFonts w:ascii="Arial" w:hAnsi="Arial" w:cs="Arial"/>
                <w:sz w:val="16"/>
                <w:szCs w:val="16"/>
              </w:rPr>
            </w:pPr>
            <w:r w:rsidRPr="00894CE8">
              <w:rPr>
                <w:rFonts w:ascii="Arial" w:hAnsi="Arial" w:cs="Arial"/>
                <w:sz w:val="16"/>
                <w:szCs w:val="16"/>
              </w:rPr>
              <w:t>Sept case escalated and resolved</w:t>
            </w:r>
          </w:p>
        </w:tc>
      </w:tr>
      <w:tr w:rsidR="00894CE8" w:rsidRPr="00894CE8" w:rsidTr="00C56D70">
        <w:trPr>
          <w:gridAfter w:val="1"/>
          <w:wAfter w:w="1436" w:type="dxa"/>
        </w:trPr>
        <w:tc>
          <w:tcPr>
            <w:tcW w:w="1196" w:type="dxa"/>
          </w:tcPr>
          <w:p w:rsidR="00894CE8" w:rsidRPr="00894CE8" w:rsidRDefault="00894CE8" w:rsidP="00894CE8">
            <w:pPr>
              <w:rPr>
                <w:rFonts w:ascii="Arial" w:hAnsi="Arial" w:cs="Arial"/>
                <w:i/>
                <w:sz w:val="16"/>
                <w:szCs w:val="16"/>
              </w:rPr>
            </w:pPr>
            <w:r w:rsidRPr="00894CE8">
              <w:rPr>
                <w:rFonts w:ascii="Arial" w:hAnsi="Arial" w:cs="Arial"/>
                <w:i/>
                <w:sz w:val="16"/>
                <w:szCs w:val="16"/>
              </w:rPr>
              <w:t>Total</w:t>
            </w:r>
          </w:p>
        </w:tc>
        <w:tc>
          <w:tcPr>
            <w:tcW w:w="1038" w:type="dxa"/>
          </w:tcPr>
          <w:p w:rsidR="00894CE8" w:rsidRPr="00894CE8" w:rsidRDefault="00894CE8" w:rsidP="00894CE8">
            <w:pPr>
              <w:rPr>
                <w:rFonts w:ascii="Arial" w:hAnsi="Arial" w:cs="Arial"/>
                <w:sz w:val="16"/>
                <w:szCs w:val="16"/>
              </w:rPr>
            </w:pPr>
            <w:r w:rsidRPr="00894CE8">
              <w:rPr>
                <w:rFonts w:ascii="Arial" w:hAnsi="Arial" w:cs="Arial"/>
                <w:sz w:val="16"/>
                <w:szCs w:val="16"/>
              </w:rPr>
              <w:t>43</w:t>
            </w:r>
          </w:p>
        </w:tc>
        <w:tc>
          <w:tcPr>
            <w:tcW w:w="1134" w:type="dxa"/>
          </w:tcPr>
          <w:p w:rsidR="00894CE8" w:rsidRPr="00894CE8" w:rsidRDefault="00894CE8" w:rsidP="00894CE8">
            <w:pPr>
              <w:rPr>
                <w:rFonts w:ascii="Arial" w:hAnsi="Arial" w:cs="Arial"/>
                <w:sz w:val="16"/>
                <w:szCs w:val="16"/>
              </w:rPr>
            </w:pPr>
            <w:r w:rsidRPr="00894CE8">
              <w:rPr>
                <w:rFonts w:ascii="Arial" w:hAnsi="Arial" w:cs="Arial"/>
                <w:sz w:val="16"/>
                <w:szCs w:val="16"/>
              </w:rPr>
              <w:t>9</w:t>
            </w:r>
          </w:p>
        </w:tc>
        <w:tc>
          <w:tcPr>
            <w:tcW w:w="867" w:type="dxa"/>
          </w:tcPr>
          <w:p w:rsidR="00894CE8" w:rsidRPr="00894CE8" w:rsidRDefault="00894CE8" w:rsidP="00894CE8">
            <w:pPr>
              <w:rPr>
                <w:rFonts w:ascii="Arial" w:hAnsi="Arial" w:cs="Arial"/>
                <w:sz w:val="16"/>
                <w:szCs w:val="16"/>
              </w:rPr>
            </w:pPr>
            <w:r w:rsidRPr="00894CE8">
              <w:rPr>
                <w:rFonts w:ascii="Arial" w:hAnsi="Arial" w:cs="Arial"/>
                <w:sz w:val="16"/>
                <w:szCs w:val="16"/>
              </w:rPr>
              <w:t>8</w:t>
            </w:r>
          </w:p>
        </w:tc>
        <w:tc>
          <w:tcPr>
            <w:tcW w:w="1293" w:type="dxa"/>
          </w:tcPr>
          <w:p w:rsidR="00894CE8" w:rsidRPr="00894CE8" w:rsidRDefault="00894CE8" w:rsidP="00894CE8">
            <w:pPr>
              <w:rPr>
                <w:rFonts w:ascii="Arial" w:hAnsi="Arial" w:cs="Arial"/>
                <w:sz w:val="16"/>
                <w:szCs w:val="16"/>
              </w:rPr>
            </w:pPr>
            <w:r w:rsidRPr="00894CE8">
              <w:rPr>
                <w:rFonts w:ascii="Arial" w:hAnsi="Arial" w:cs="Arial"/>
                <w:sz w:val="16"/>
                <w:szCs w:val="16"/>
              </w:rPr>
              <w:t>19</w:t>
            </w:r>
          </w:p>
        </w:tc>
        <w:tc>
          <w:tcPr>
            <w:tcW w:w="1007" w:type="dxa"/>
          </w:tcPr>
          <w:p w:rsidR="00894CE8" w:rsidRPr="00894CE8" w:rsidRDefault="00894CE8" w:rsidP="00894CE8">
            <w:pPr>
              <w:rPr>
                <w:rFonts w:ascii="Arial" w:hAnsi="Arial" w:cs="Arial"/>
                <w:sz w:val="16"/>
                <w:szCs w:val="16"/>
              </w:rPr>
            </w:pPr>
            <w:r w:rsidRPr="00894CE8">
              <w:rPr>
                <w:rFonts w:ascii="Arial" w:hAnsi="Arial" w:cs="Arial"/>
                <w:sz w:val="16"/>
                <w:szCs w:val="16"/>
              </w:rPr>
              <w:t>17</w:t>
            </w:r>
          </w:p>
        </w:tc>
        <w:tc>
          <w:tcPr>
            <w:tcW w:w="1099" w:type="dxa"/>
          </w:tcPr>
          <w:p w:rsidR="00894CE8" w:rsidRPr="00894CE8" w:rsidRDefault="00894CE8" w:rsidP="00894CE8">
            <w:pPr>
              <w:rPr>
                <w:rFonts w:ascii="Arial" w:hAnsi="Arial" w:cs="Arial"/>
                <w:sz w:val="16"/>
                <w:szCs w:val="16"/>
              </w:rPr>
            </w:pPr>
            <w:r w:rsidRPr="00894CE8">
              <w:rPr>
                <w:rFonts w:ascii="Arial" w:hAnsi="Arial" w:cs="Arial"/>
                <w:sz w:val="16"/>
                <w:szCs w:val="16"/>
              </w:rPr>
              <w:t>5</w:t>
            </w:r>
          </w:p>
        </w:tc>
        <w:tc>
          <w:tcPr>
            <w:tcW w:w="1612" w:type="dxa"/>
          </w:tcPr>
          <w:p w:rsidR="00894CE8" w:rsidRPr="00894CE8" w:rsidRDefault="00894CE8" w:rsidP="00894CE8">
            <w:pPr>
              <w:jc w:val="right"/>
              <w:rPr>
                <w:rFonts w:ascii="Arial" w:hAnsi="Arial" w:cs="Arial"/>
                <w:sz w:val="16"/>
                <w:szCs w:val="16"/>
              </w:rPr>
            </w:pPr>
          </w:p>
        </w:tc>
      </w:tr>
    </w:tbl>
    <w:p w:rsidR="004B4965" w:rsidRPr="00894CE8" w:rsidRDefault="004B4965" w:rsidP="00922F43">
      <w:pPr>
        <w:rPr>
          <w:sz w:val="16"/>
          <w:szCs w:val="16"/>
        </w:rPr>
      </w:pPr>
    </w:p>
    <w:p w:rsidR="00572F76" w:rsidRDefault="00432D09" w:rsidP="00922F43">
      <w:r>
        <w:t xml:space="preserve">A cross-section of the Trust’s staff </w:t>
      </w:r>
      <w:proofErr w:type="gramStart"/>
      <w:r>
        <w:t>have</w:t>
      </w:r>
      <w:proofErr w:type="gramEnd"/>
      <w:r>
        <w:t xml:space="preserve"> contacted the Guardian. These have </w:t>
      </w:r>
      <w:r w:rsidR="00AB4C9D">
        <w:t xml:space="preserve">included </w:t>
      </w:r>
      <w:r w:rsidR="00E1443D">
        <w:t xml:space="preserve"> </w:t>
      </w:r>
      <w:r w:rsidR="00AB4C9D">
        <w:t>non -registered staff ( such as health care assistants)</w:t>
      </w:r>
      <w:r w:rsidR="00E1443D">
        <w:t>non-clinical staff (</w:t>
      </w:r>
      <w:r>
        <w:t>such as admi</w:t>
      </w:r>
      <w:r w:rsidR="00225689">
        <w:t>nistrators and drivers</w:t>
      </w:r>
      <w:r w:rsidR="00E1443D">
        <w:t>)</w:t>
      </w:r>
      <w:r>
        <w:t>. Registered staff have included nurses</w:t>
      </w:r>
      <w:r w:rsidR="005B2B76">
        <w:t xml:space="preserve"> (including community psychiatric nurses and district nurses)</w:t>
      </w:r>
      <w:r w:rsidR="00225689">
        <w:t xml:space="preserve">, Social workers, </w:t>
      </w:r>
      <w:r w:rsidR="00AB4C9D">
        <w:t>Physiotherapists</w:t>
      </w:r>
      <w:r>
        <w:t xml:space="preserve">. </w:t>
      </w:r>
      <w:r w:rsidR="00572F76">
        <w:t>Often</w:t>
      </w:r>
      <w:r w:rsidR="005B2B76">
        <w:t xml:space="preserve"> staff have been</w:t>
      </w:r>
      <w:r>
        <w:t xml:space="preserve"> in leadership and management roles</w:t>
      </w:r>
      <w:r w:rsidR="00E1443D">
        <w:t xml:space="preserve"> and these have </w:t>
      </w:r>
      <w:proofErr w:type="gramStart"/>
      <w:r w:rsidR="00E1443D">
        <w:t xml:space="preserve">included </w:t>
      </w:r>
      <w:r>
        <w:t>,</w:t>
      </w:r>
      <w:proofErr w:type="gramEnd"/>
      <w:r>
        <w:t xml:space="preserve"> operati</w:t>
      </w:r>
      <w:r w:rsidR="00572F76">
        <w:t>onal managers, heads of service</w:t>
      </w:r>
      <w:r w:rsidR="00AB4C9D">
        <w:t>, Educational environment leads</w:t>
      </w:r>
      <w:r w:rsidR="00572F76">
        <w:t xml:space="preserve">, ward and team managers and service managers. </w:t>
      </w:r>
    </w:p>
    <w:p w:rsidR="00432D09" w:rsidRDefault="00432D09" w:rsidP="00922F43"/>
    <w:p w:rsidR="00C56D70" w:rsidRDefault="00AC4397" w:rsidP="00922F43">
      <w:r>
        <w:lastRenderedPageBreak/>
        <w:t>The Guardian is still waiting to clarify the concerns of 4 staff who recen</w:t>
      </w:r>
      <w:r w:rsidR="00AB4C9D">
        <w:t>tly contacted her</w:t>
      </w:r>
      <w:r w:rsidR="00AE271B">
        <w:t xml:space="preserve">. </w:t>
      </w:r>
      <w:proofErr w:type="gramStart"/>
      <w:r w:rsidR="00AB4C9D">
        <w:t>One  case</w:t>
      </w:r>
      <w:proofErr w:type="gramEnd"/>
      <w:r w:rsidR="00AB4C9D">
        <w:t xml:space="preserve"> is ongoing from the previous Guardian.</w:t>
      </w:r>
      <w:r w:rsidR="004C6FC7">
        <w:t xml:space="preserve"> </w:t>
      </w:r>
      <w:r w:rsidR="00AE271B">
        <w:t>Where there wa</w:t>
      </w:r>
      <w:r>
        <w:t>s n</w:t>
      </w:r>
      <w:r w:rsidR="00433C3F">
        <w:t xml:space="preserve">o further action that was </w:t>
      </w:r>
      <w:r>
        <w:t xml:space="preserve">because the person </w:t>
      </w:r>
      <w:r w:rsidR="00433C3F">
        <w:t>who contacted did</w:t>
      </w:r>
      <w:r>
        <w:t xml:space="preserve"> not want any </w:t>
      </w:r>
      <w:r w:rsidR="00AE271B">
        <w:t xml:space="preserve">further </w:t>
      </w:r>
      <w:r w:rsidR="00433C3F">
        <w:t xml:space="preserve">contact at this time, could </w:t>
      </w:r>
      <w:r>
        <w:t>not be contacted or</w:t>
      </w:r>
      <w:r w:rsidR="00AB4C9D">
        <w:t xml:space="preserve"> had</w:t>
      </w:r>
      <w:r w:rsidR="00433C3F">
        <w:t xml:space="preserve"> inappropriately contacted</w:t>
      </w:r>
      <w:r>
        <w:t xml:space="preserve"> t</w:t>
      </w:r>
      <w:r w:rsidR="00AB4C9D">
        <w:t xml:space="preserve">he </w:t>
      </w:r>
      <w:proofErr w:type="gramStart"/>
      <w:r w:rsidR="00AB4C9D">
        <w:t xml:space="preserve">Guardian </w:t>
      </w:r>
      <w:r w:rsidR="0005387D">
        <w:t>.</w:t>
      </w:r>
      <w:proofErr w:type="gramEnd"/>
      <w:r w:rsidR="00774A0B">
        <w:t xml:space="preserve"> The majority of staff contacted the </w:t>
      </w:r>
      <w:r w:rsidR="00E1443D">
        <w:t>Guardian by e-mail or telephone but</w:t>
      </w:r>
      <w:r w:rsidR="00774A0B">
        <w:t xml:space="preserve"> a number were direct contacts as a result of awareness </w:t>
      </w:r>
      <w:r w:rsidR="00433C3F">
        <w:t>raising activities</w:t>
      </w:r>
      <w:r w:rsidR="00C56D70">
        <w:t xml:space="preserve">, drop </w:t>
      </w:r>
      <w:proofErr w:type="gramStart"/>
      <w:r w:rsidR="00C56D70">
        <w:t>ins</w:t>
      </w:r>
      <w:r w:rsidR="00433C3F">
        <w:t xml:space="preserve"> </w:t>
      </w:r>
      <w:r w:rsidR="00C56D70">
        <w:t>.</w:t>
      </w:r>
      <w:proofErr w:type="gramEnd"/>
    </w:p>
    <w:p w:rsidR="00BD0908" w:rsidRDefault="00433C3F" w:rsidP="00922F43">
      <w:r>
        <w:t>All staff we</w:t>
      </w:r>
      <w:r w:rsidR="00E1443D">
        <w:t>re offered a face-to-</w:t>
      </w:r>
      <w:r w:rsidR="00774A0B">
        <w:t>face meeting to discuss and clarify their concerns and agree what st</w:t>
      </w:r>
      <w:r>
        <w:t>eps should be taken. When this wa</w:t>
      </w:r>
      <w:r w:rsidR="00774A0B">
        <w:t>s not possible</w:t>
      </w:r>
      <w:r>
        <w:t>, telephone or e-mail wa</w:t>
      </w:r>
      <w:r w:rsidR="00774A0B">
        <w:t>s used. I</w:t>
      </w:r>
      <w:r>
        <w:t xml:space="preserve">n </w:t>
      </w:r>
      <w:r w:rsidR="00E1443D">
        <w:t>some</w:t>
      </w:r>
      <w:r>
        <w:t xml:space="preserve"> cases, the Guardian </w:t>
      </w:r>
      <w:r w:rsidR="00774A0B">
        <w:t>agree</w:t>
      </w:r>
      <w:r>
        <w:t>d</w:t>
      </w:r>
      <w:r w:rsidR="00774A0B">
        <w:t xml:space="preserve"> the next steps that the staff member concerned could take and ha</w:t>
      </w:r>
      <w:r>
        <w:t>d</w:t>
      </w:r>
      <w:r w:rsidR="00774A0B">
        <w:t xml:space="preserve"> no further direct involvem</w:t>
      </w:r>
      <w:r>
        <w:t>ent. In others, the Guardian took the</w:t>
      </w:r>
      <w:r w:rsidR="00774A0B">
        <w:t xml:space="preserve"> steps on be</w:t>
      </w:r>
      <w:r>
        <w:t>half of the staff member: this wa</w:t>
      </w:r>
      <w:r w:rsidR="00774A0B">
        <w:t>s particularl</w:t>
      </w:r>
      <w:r>
        <w:t>y so where the staff member did</w:t>
      </w:r>
      <w:r w:rsidR="00774A0B">
        <w:t xml:space="preserve"> not want to be identified. </w:t>
      </w:r>
    </w:p>
    <w:p w:rsidR="004B4965" w:rsidRDefault="004B4965" w:rsidP="00922F43">
      <w:r>
        <w:t>Services where there have been concerns raised about include:</w:t>
      </w:r>
    </w:p>
    <w:p w:rsidR="00AB4C9D" w:rsidRDefault="004B4965" w:rsidP="004B4965">
      <w:pPr>
        <w:pStyle w:val="ListParagraph"/>
        <w:numPr>
          <w:ilvl w:val="0"/>
          <w:numId w:val="2"/>
        </w:numPr>
      </w:pPr>
      <w:r w:rsidRPr="00AB4C9D">
        <w:rPr>
          <w:i/>
        </w:rPr>
        <w:t xml:space="preserve">Children and Young Peoples: </w:t>
      </w:r>
      <w:r w:rsidR="00AB4C9D">
        <w:t>Eating Disorder Services</w:t>
      </w:r>
    </w:p>
    <w:p w:rsidR="004B4965" w:rsidRDefault="004B4965" w:rsidP="004B4965">
      <w:pPr>
        <w:pStyle w:val="ListParagraph"/>
        <w:numPr>
          <w:ilvl w:val="0"/>
          <w:numId w:val="2"/>
        </w:numPr>
      </w:pPr>
      <w:r w:rsidRPr="00AB4C9D">
        <w:rPr>
          <w:i/>
        </w:rPr>
        <w:t xml:space="preserve">Adult Services: </w:t>
      </w:r>
      <w:r w:rsidRPr="004B4965">
        <w:t xml:space="preserve">Adult Mental Health Teams, </w:t>
      </w:r>
      <w:r w:rsidR="003D2CA2" w:rsidRPr="004B4965">
        <w:t>Learning Disabilities</w:t>
      </w:r>
      <w:r w:rsidR="003D2CA2">
        <w:t>,</w:t>
      </w:r>
      <w:r w:rsidR="003D2CA2" w:rsidRPr="004B4965">
        <w:t xml:space="preserve"> </w:t>
      </w:r>
      <w:r w:rsidRPr="004B4965">
        <w:t>Directorate</w:t>
      </w:r>
      <w:r w:rsidR="003D2CA2">
        <w:t xml:space="preserve"> Management Team</w:t>
      </w:r>
      <w:r w:rsidRPr="004B4965">
        <w:t>.</w:t>
      </w:r>
    </w:p>
    <w:p w:rsidR="004B4965" w:rsidRDefault="004B4965" w:rsidP="004B4965">
      <w:pPr>
        <w:pStyle w:val="ListParagraph"/>
        <w:numPr>
          <w:ilvl w:val="0"/>
          <w:numId w:val="2"/>
        </w:numPr>
      </w:pPr>
      <w:r>
        <w:rPr>
          <w:i/>
        </w:rPr>
        <w:t xml:space="preserve">Older People’s Services: </w:t>
      </w:r>
      <w:r>
        <w:t xml:space="preserve">Urgent Care, </w:t>
      </w:r>
      <w:r w:rsidR="00070004">
        <w:t>Community Mental Health Teams, Directorate Management Team.</w:t>
      </w:r>
    </w:p>
    <w:p w:rsidR="00433C3F" w:rsidRDefault="00070004" w:rsidP="004B4965">
      <w:pPr>
        <w:pStyle w:val="ListParagraph"/>
        <w:numPr>
          <w:ilvl w:val="0"/>
          <w:numId w:val="2"/>
        </w:numPr>
      </w:pPr>
      <w:r>
        <w:rPr>
          <w:i/>
        </w:rPr>
        <w:t>Corporate Services:</w:t>
      </w:r>
      <w:r>
        <w:t xml:space="preserve"> There have been </w:t>
      </w:r>
      <w:proofErr w:type="gramStart"/>
      <w:r>
        <w:t>a number of</w:t>
      </w:r>
      <w:proofErr w:type="gramEnd"/>
      <w:r>
        <w:t xml:space="preserve"> concerns raised </w:t>
      </w:r>
      <w:r w:rsidR="003D2CA2">
        <w:t>about the corporate services such as</w:t>
      </w:r>
      <w:r>
        <w:t xml:space="preserve"> </w:t>
      </w:r>
      <w:r w:rsidR="00E1443D">
        <w:t xml:space="preserve">about </w:t>
      </w:r>
      <w:r>
        <w:t>service re-organisation, bullying and harassment and some working practices.</w:t>
      </w:r>
      <w:r w:rsidR="003D2CA2">
        <w:t xml:space="preserve"> </w:t>
      </w:r>
    </w:p>
    <w:p w:rsidR="00070004" w:rsidRDefault="00433C3F" w:rsidP="00433C3F">
      <w:r>
        <w:t xml:space="preserve">It was not always possible to identify the services that staff came from </w:t>
      </w:r>
      <w:r w:rsidR="00E1443D">
        <w:t xml:space="preserve">in reports </w:t>
      </w:r>
      <w:r>
        <w:t>as that could have resulted in the individual being identified.</w:t>
      </w:r>
    </w:p>
    <w:p w:rsidR="00ED1B08" w:rsidRDefault="00ED1B08" w:rsidP="00433C3F">
      <w:r>
        <w:t xml:space="preserve">During this time the Directorates have been reorganised and the Directorate titles have changed. The report contains the </w:t>
      </w:r>
      <w:r w:rsidR="004C6FC7">
        <w:t>older directorate titles.</w:t>
      </w:r>
    </w:p>
    <w:p w:rsidR="00ED1B08" w:rsidRPr="00ED1B08" w:rsidRDefault="00ED1B08" w:rsidP="00433C3F">
      <w:pPr>
        <w:rPr>
          <w:rFonts w:ascii="Calibri" w:hAnsi="Calibri"/>
        </w:rPr>
      </w:pPr>
      <w:r w:rsidRPr="00ED1B08">
        <w:rPr>
          <w:rFonts w:ascii="Calibri" w:hAnsi="Calibri"/>
        </w:rPr>
        <w:t>Actions Taken</w:t>
      </w:r>
      <w:r>
        <w:rPr>
          <w:rFonts w:ascii="Calibri" w:hAnsi="Calibri"/>
        </w:rPr>
        <w:t xml:space="preserve"> by Guardian</w:t>
      </w:r>
      <w:r w:rsidR="004C6FC7">
        <w:rPr>
          <w:rFonts w:ascii="Calibri" w:hAnsi="Calibri"/>
        </w:rPr>
        <w:t xml:space="preserve"> in relation to concerns raised.</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Advice given about how to respond to bullying and harassment</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Bullying and harassment initiative in process</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Confirmation of actions being taken in AMHTs concern</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Recommendations to attend Occupational Health for stress</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Recommendations to request Union advice and support</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Recommendation to ensure exit interview is carried out and information shared</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Advice sought from National Guardians office re case</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Disciplinary panel outcomes reviewed</w:t>
      </w:r>
    </w:p>
    <w:p w:rsidR="00ED1B08" w:rsidRPr="00ED1B08" w:rsidRDefault="00ED1B08" w:rsidP="00ED1B08">
      <w:pPr>
        <w:pStyle w:val="ListParagraph"/>
        <w:numPr>
          <w:ilvl w:val="0"/>
          <w:numId w:val="7"/>
        </w:numPr>
        <w:spacing w:line="240" w:lineRule="auto"/>
        <w:rPr>
          <w:rFonts w:ascii="Calibri" w:hAnsi="Calibri" w:cs="Arial"/>
        </w:rPr>
      </w:pPr>
      <w:r w:rsidRPr="00ED1B08">
        <w:rPr>
          <w:rFonts w:ascii="Calibri" w:hAnsi="Calibri" w:cs="Arial"/>
        </w:rPr>
        <w:t>Escalation to service heads to complete requested actions</w:t>
      </w:r>
    </w:p>
    <w:p w:rsidR="00ED1B08" w:rsidRPr="004B4965" w:rsidRDefault="00ED1B08" w:rsidP="00433C3F"/>
    <w:p w:rsidR="00774A0B" w:rsidRDefault="00774A0B" w:rsidP="00922F43">
      <w:proofErr w:type="gramStart"/>
      <w:r w:rsidRPr="00774A0B">
        <w:t>The majority of</w:t>
      </w:r>
      <w:proofErr w:type="gramEnd"/>
      <w:r w:rsidRPr="00774A0B">
        <w:t xml:space="preserve"> issues raised with </w:t>
      </w:r>
      <w:r>
        <w:t>the G</w:t>
      </w:r>
      <w:r w:rsidR="00433C3F">
        <w:t>uardian we</w:t>
      </w:r>
      <w:r w:rsidRPr="00774A0B">
        <w:t>re not formally investigated and therefore the categorisation of the</w:t>
      </w:r>
      <w:r w:rsidR="00433C3F">
        <w:t xml:space="preserve"> issues of concern was</w:t>
      </w:r>
      <w:r>
        <w:t xml:space="preserve"> </w:t>
      </w:r>
      <w:r w:rsidRPr="00774A0B">
        <w:t xml:space="preserve">based on the account </w:t>
      </w:r>
      <w:r w:rsidR="00433C3F">
        <w:t>given by the staff member and w</w:t>
      </w:r>
      <w:r>
        <w:t>as</w:t>
      </w:r>
      <w:r w:rsidR="00433C3F">
        <w:t xml:space="preserve"> not</w:t>
      </w:r>
      <w:r>
        <w:t xml:space="preserve"> </w:t>
      </w:r>
      <w:r w:rsidRPr="00774A0B">
        <w:t>formally substantiated.</w:t>
      </w:r>
      <w:r>
        <w:t xml:space="preserve"> The National Guardians Office </w:t>
      </w:r>
      <w:r w:rsidR="00433C3F">
        <w:t xml:space="preserve">(NGO) </w:t>
      </w:r>
      <w:r>
        <w:t xml:space="preserve">has suggested a number of categories for the types of issues (such as patient safety/quality, behaviour /relationship, senior leadership) but they have not been defined and have limited value at this stage. </w:t>
      </w:r>
      <w:r w:rsidR="00433C3F">
        <w:t xml:space="preserve">At the request of the NGO, the Trust’s Guardian has drafted </w:t>
      </w:r>
      <w:r>
        <w:t xml:space="preserve">some definitions </w:t>
      </w:r>
      <w:r w:rsidR="00433C3F">
        <w:t xml:space="preserve">for the categories and suggested </w:t>
      </w:r>
      <w:r w:rsidR="00433C3F">
        <w:lastRenderedPageBreak/>
        <w:t>revisions to</w:t>
      </w:r>
      <w:r>
        <w:t xml:space="preserve"> the categories</w:t>
      </w:r>
      <w:r w:rsidR="00433C3F">
        <w:t xml:space="preserve"> suggested</w:t>
      </w:r>
      <w:r>
        <w:t>. The</w:t>
      </w:r>
      <w:r w:rsidR="00433C3F">
        <w:t xml:space="preserve"> types </w:t>
      </w:r>
      <w:r w:rsidR="00E1443D">
        <w:t>of issues</w:t>
      </w:r>
      <w:r>
        <w:t xml:space="preserve"> raised in the Trust </w:t>
      </w:r>
      <w:r w:rsidR="00433C3F">
        <w:t xml:space="preserve">with the Guardian </w:t>
      </w:r>
      <w:r>
        <w:t>can be described as:</w:t>
      </w:r>
    </w:p>
    <w:p w:rsidR="009E2DA0" w:rsidRPr="009E2DA0" w:rsidRDefault="00774A0B" w:rsidP="00BD0908">
      <w:pPr>
        <w:pStyle w:val="ListParagraph"/>
        <w:numPr>
          <w:ilvl w:val="0"/>
          <w:numId w:val="1"/>
        </w:numPr>
      </w:pPr>
      <w:r w:rsidRPr="00AB4C9D">
        <w:rPr>
          <w:i/>
        </w:rPr>
        <w:t>Patient safety:</w:t>
      </w:r>
      <w:r>
        <w:t xml:space="preserve"> </w:t>
      </w:r>
      <w:r w:rsidR="00BD0908">
        <w:t>There have been no issues of abuse similar to those seen at Stafford Hospital raised with the Guardian. There have been</w:t>
      </w:r>
      <w:r w:rsidR="00AB4C9D">
        <w:t xml:space="preserve"> patient safety issues however relate</w:t>
      </w:r>
      <w:r w:rsidR="009E2DA0">
        <w:t xml:space="preserve">d to the level of demand and the </w:t>
      </w:r>
      <w:r w:rsidR="00AB4C9D">
        <w:t xml:space="preserve">expectation of </w:t>
      </w:r>
      <w:r w:rsidR="009E2DA0">
        <w:t>quick throughput of cases and speedy discharge.</w:t>
      </w:r>
    </w:p>
    <w:p w:rsidR="00BD0908" w:rsidRDefault="00BD0908" w:rsidP="00BD0908">
      <w:pPr>
        <w:pStyle w:val="ListParagraph"/>
        <w:numPr>
          <w:ilvl w:val="0"/>
          <w:numId w:val="1"/>
        </w:numPr>
      </w:pPr>
      <w:r w:rsidRPr="00AB4C9D">
        <w:rPr>
          <w:i/>
        </w:rPr>
        <w:t>Demand and patient complexity:</w:t>
      </w:r>
      <w:r>
        <w:t xml:space="preserve"> Teams describe</w:t>
      </w:r>
      <w:r w:rsidR="00433C3F">
        <w:t>d</w:t>
      </w:r>
      <w:r>
        <w:t xml:space="preserve"> increasing numbers of referrals of more complex patients and having to care for </w:t>
      </w:r>
      <w:r w:rsidR="00433C3F">
        <w:t>them without an</w:t>
      </w:r>
      <w:r w:rsidR="007502B0">
        <w:t xml:space="preserve"> increase in resources: they</w:t>
      </w:r>
      <w:r>
        <w:t xml:space="preserve"> often </w:t>
      </w:r>
      <w:r w:rsidR="007502B0">
        <w:t>had</w:t>
      </w:r>
      <w:r>
        <w:t xml:space="preserve"> significant numbers of vacancies</w:t>
      </w:r>
      <w:r w:rsidR="007502B0">
        <w:t xml:space="preserve"> some covered by agency or bank staff</w:t>
      </w:r>
      <w:r>
        <w:t xml:space="preserve">. </w:t>
      </w:r>
      <w:r w:rsidR="007502B0">
        <w:t xml:space="preserve">Often staff worked extra hours to try to meet this demand and would go home worrying about patients that they felt were at risk. This caused them stress and had an impact on their family lives.  </w:t>
      </w:r>
      <w:r>
        <w:t xml:space="preserve">They </w:t>
      </w:r>
      <w:r w:rsidR="00433C3F">
        <w:t xml:space="preserve">were concerned that they could not provide </w:t>
      </w:r>
      <w:r>
        <w:t xml:space="preserve">care at the standard that </w:t>
      </w:r>
      <w:r w:rsidR="007502B0">
        <w:t>they would like to and some felt that they we</w:t>
      </w:r>
      <w:r>
        <w:t>re compromising their professional standards.</w:t>
      </w:r>
      <w:r w:rsidR="007502B0">
        <w:t xml:space="preserve"> These concerns have been reported to the Clinical Advis</w:t>
      </w:r>
      <w:r w:rsidR="00E1443D">
        <w:t>ory Board and Directorate</w:t>
      </w:r>
      <w:r w:rsidR="007502B0">
        <w:t xml:space="preserve"> Management Teams</w:t>
      </w:r>
    </w:p>
    <w:p w:rsidR="00BD0908" w:rsidRDefault="00BD0908" w:rsidP="00BD0908">
      <w:pPr>
        <w:pStyle w:val="ListParagraph"/>
        <w:numPr>
          <w:ilvl w:val="0"/>
          <w:numId w:val="1"/>
        </w:numPr>
      </w:pPr>
      <w:r>
        <w:rPr>
          <w:i/>
        </w:rPr>
        <w:t>Bullying and harassment:</w:t>
      </w:r>
      <w:r>
        <w:t xml:space="preserve"> </w:t>
      </w:r>
      <w:r w:rsidR="007502B0">
        <w:t xml:space="preserve">Whilst bullying may not be endemic in the Trust, it has been reported to the Guardian by staff from across the organisation from senior management and leadership to frontline staff.  Staff </w:t>
      </w:r>
      <w:r>
        <w:t>described distressi</w:t>
      </w:r>
      <w:r w:rsidR="007502B0">
        <w:t>ng situations where they had</w:t>
      </w:r>
      <w:r>
        <w:t xml:space="preserve"> be</w:t>
      </w:r>
      <w:r w:rsidR="007502B0">
        <w:t xml:space="preserve">en victimised by their managers. </w:t>
      </w:r>
      <w:r>
        <w:t xml:space="preserve"> </w:t>
      </w:r>
      <w:r w:rsidR="007502B0">
        <w:t>These</w:t>
      </w:r>
      <w:r>
        <w:t xml:space="preserve"> included being shouted at, ignored, not given training opportunities, having reasonable requests refused, being treated differently than </w:t>
      </w:r>
      <w:proofErr w:type="gramStart"/>
      <w:r>
        <w:t>colleagues  and</w:t>
      </w:r>
      <w:proofErr w:type="gramEnd"/>
      <w:r>
        <w:t xml:space="preserve"> being spoken to </w:t>
      </w:r>
      <w:r w:rsidR="007502B0">
        <w:t xml:space="preserve">or about in </w:t>
      </w:r>
      <w:r>
        <w:t>derogatory way</w:t>
      </w:r>
      <w:r w:rsidR="007502B0">
        <w:t>s</w:t>
      </w:r>
      <w:r>
        <w:t>.</w:t>
      </w:r>
      <w:r w:rsidR="009E2DA0">
        <w:t xml:space="preserve"> </w:t>
      </w:r>
      <w:r w:rsidR="00E1443D">
        <w:t>Bullying</w:t>
      </w:r>
      <w:r w:rsidR="007502B0">
        <w:t xml:space="preserve"> took place be in 1:1 situations and</w:t>
      </w:r>
      <w:r w:rsidR="00A958D2">
        <w:t xml:space="preserve"> in more open settings. In a number of cases</w:t>
      </w:r>
      <w:r w:rsidR="007502B0">
        <w:t>, several staff from a team</w:t>
      </w:r>
      <w:r w:rsidR="00A958D2">
        <w:t xml:space="preserve"> contacted the Guardian and in tw</w:t>
      </w:r>
      <w:r w:rsidR="007502B0">
        <w:t>o situations investigations were initiated. Often staff felt</w:t>
      </w:r>
      <w:r w:rsidR="00A958D2">
        <w:t xml:space="preserve"> v</w:t>
      </w:r>
      <w:r w:rsidR="003D5C7E">
        <w:t xml:space="preserve">ery anxious about formalising </w:t>
      </w:r>
      <w:r w:rsidR="00A958D2">
        <w:t>bul</w:t>
      </w:r>
      <w:r w:rsidR="007502B0">
        <w:t>lying allegations as they we</w:t>
      </w:r>
      <w:r w:rsidR="00A958D2">
        <w:t>re</w:t>
      </w:r>
      <w:r w:rsidR="007502B0">
        <w:t xml:space="preserve"> worried that the situation would</w:t>
      </w:r>
      <w:r w:rsidR="00A958D2">
        <w:t xml:space="preserve"> be made worse for them. </w:t>
      </w:r>
      <w:r w:rsidR="007502B0">
        <w:t>Generally staff described being bullied others more senior than t</w:t>
      </w:r>
      <w:r w:rsidR="009E2DA0">
        <w:t>hem. However, one manager</w:t>
      </w:r>
      <w:r w:rsidR="003D5C7E">
        <w:t xml:space="preserve"> described being bullied by their tea</w:t>
      </w:r>
      <w:r w:rsidR="009E2DA0">
        <w:t>m and this being led by an individual member of their team</w:t>
      </w:r>
      <w:r w:rsidR="003D5C7E">
        <w:t>.</w:t>
      </w:r>
      <w:r w:rsidR="007502B0">
        <w:t xml:space="preserve"> </w:t>
      </w:r>
      <w:r w:rsidR="004206C7">
        <w:t>These managers were generally poorly supported in addressing these issues by their line managers.</w:t>
      </w:r>
    </w:p>
    <w:p w:rsidR="009E2DA0" w:rsidRPr="009E2DA0" w:rsidRDefault="003D5C7E" w:rsidP="00BD0908">
      <w:pPr>
        <w:pStyle w:val="ListParagraph"/>
        <w:numPr>
          <w:ilvl w:val="0"/>
          <w:numId w:val="1"/>
        </w:numPr>
        <w:rPr>
          <w:i/>
        </w:rPr>
      </w:pPr>
      <w:r w:rsidRPr="009E2DA0">
        <w:rPr>
          <w:i/>
        </w:rPr>
        <w:t xml:space="preserve">Service re-organisation: </w:t>
      </w:r>
      <w:r w:rsidRPr="003D5C7E">
        <w:t xml:space="preserve">The </w:t>
      </w:r>
      <w:r w:rsidR="004206C7">
        <w:t xml:space="preserve">Guardian was </w:t>
      </w:r>
      <w:r w:rsidRPr="003D5C7E">
        <w:t>contacted by a number of staff experiencing</w:t>
      </w:r>
      <w:r>
        <w:t xml:space="preserve"> a service re-design</w:t>
      </w:r>
      <w:r w:rsidR="004206C7">
        <w:t xml:space="preserve"> or re-organisation. This was</w:t>
      </w:r>
      <w:r>
        <w:t xml:space="preserve"> stressful for staff, particularly </w:t>
      </w:r>
      <w:r w:rsidR="004206C7">
        <w:t>when it went</w:t>
      </w:r>
      <w:r>
        <w:t xml:space="preserve"> on for a long </w:t>
      </w:r>
      <w:r w:rsidR="009E2DA0">
        <w:t>time or when they felt that their contribution to the Trust had been ignored and that the consultation was in name only.</w:t>
      </w:r>
    </w:p>
    <w:p w:rsidR="003D5C7E" w:rsidRPr="009E2DA0" w:rsidRDefault="00EE2E30" w:rsidP="00BD0908">
      <w:pPr>
        <w:pStyle w:val="ListParagraph"/>
        <w:numPr>
          <w:ilvl w:val="0"/>
          <w:numId w:val="1"/>
        </w:numPr>
      </w:pPr>
      <w:r w:rsidRPr="009E2DA0">
        <w:rPr>
          <w:i/>
        </w:rPr>
        <w:t>Management style and communication</w:t>
      </w:r>
      <w:r w:rsidR="003D5C7E" w:rsidRPr="009E2DA0">
        <w:rPr>
          <w:i/>
        </w:rPr>
        <w:t xml:space="preserve">: </w:t>
      </w:r>
      <w:r w:rsidR="004206C7">
        <w:t xml:space="preserve">Staff </w:t>
      </w:r>
      <w:r>
        <w:t xml:space="preserve">described some managers as insensitive or lacking in management and leadership knowledge and skills.  Others </w:t>
      </w:r>
      <w:r w:rsidR="004206C7">
        <w:t>felt</w:t>
      </w:r>
      <w:r>
        <w:t xml:space="preserve"> that there wa</w:t>
      </w:r>
      <w:r w:rsidR="003D5C7E">
        <w:t>s a lack of communication when staff</w:t>
      </w:r>
      <w:r w:rsidR="004206C7">
        <w:t>ing or service changes we</w:t>
      </w:r>
      <w:r w:rsidR="003D5C7E">
        <w:t>re being made.</w:t>
      </w:r>
      <w:r w:rsidR="009E2DA0">
        <w:t xml:space="preserve"> Communication formed the basis of concerns raised regarding email style and tone.</w:t>
      </w:r>
      <w:r w:rsidR="009E2DA0">
        <w:rPr>
          <w:i/>
        </w:rPr>
        <w:t xml:space="preserve"> </w:t>
      </w:r>
      <w:r w:rsidR="009E2DA0" w:rsidRPr="009E2DA0">
        <w:t>Unclear requests from managers for staff members to change their ‘tone’ left staff confused about how to communicate clearly.</w:t>
      </w:r>
    </w:p>
    <w:p w:rsidR="003D5C7E" w:rsidRPr="003D5C7E" w:rsidRDefault="003D5C7E" w:rsidP="003D5C7E">
      <w:pPr>
        <w:pStyle w:val="ListParagraph"/>
        <w:numPr>
          <w:ilvl w:val="0"/>
          <w:numId w:val="1"/>
        </w:numPr>
        <w:rPr>
          <w:i/>
        </w:rPr>
      </w:pPr>
      <w:r w:rsidRPr="003D5C7E">
        <w:rPr>
          <w:i/>
        </w:rPr>
        <w:t>Signposting individuals:</w:t>
      </w:r>
      <w:r w:rsidR="004206C7">
        <w:t xml:space="preserve">  Where a concern did</w:t>
      </w:r>
      <w:r>
        <w:t xml:space="preserve"> no</w:t>
      </w:r>
      <w:r w:rsidR="004206C7">
        <w:t xml:space="preserve">t impact on patient safety </w:t>
      </w:r>
      <w:r w:rsidR="00E1443D">
        <w:t xml:space="preserve">or experience </w:t>
      </w:r>
      <w:r w:rsidR="004206C7">
        <w:t>the Guardian would offer advice if possible and</w:t>
      </w:r>
      <w:r>
        <w:t xml:space="preserve"> try to signpost staff to </w:t>
      </w:r>
      <w:r w:rsidR="004206C7">
        <w:t>a more appropriate source</w:t>
      </w:r>
      <w:r>
        <w:t xml:space="preserve"> of support.</w:t>
      </w:r>
    </w:p>
    <w:p w:rsidR="00974960" w:rsidRDefault="00974960" w:rsidP="00974960">
      <w:pPr>
        <w:tabs>
          <w:tab w:val="left" w:pos="1575"/>
        </w:tabs>
      </w:pPr>
      <w:r>
        <w:t>The d</w:t>
      </w:r>
      <w:r w:rsidR="00E13EFD">
        <w:t xml:space="preserve">iscussions with the Guardian </w:t>
      </w:r>
      <w:r>
        <w:t>would often lead to</w:t>
      </w:r>
      <w:r w:rsidR="00E13EFD">
        <w:t xml:space="preserve"> the individual developing strategies to address their concerns with their managers or making changes to their own practice. Their concerns about being identified or possible repercussions meant t</w:t>
      </w:r>
      <w:r w:rsidR="00EE2E30">
        <w:t>hat for some</w:t>
      </w:r>
      <w:r>
        <w:t xml:space="preserve"> the Guardian was only</w:t>
      </w:r>
      <w:r w:rsidR="00E13EFD">
        <w:t xml:space="preserve"> able to feedback or address t</w:t>
      </w:r>
      <w:r w:rsidR="00EE2E30">
        <w:t>heir concerns in a general way (f</w:t>
      </w:r>
      <w:r w:rsidR="00E13EFD">
        <w:t>or example, discussing managem</w:t>
      </w:r>
      <w:r w:rsidR="00EE2E30">
        <w:t xml:space="preserve">ent style with </w:t>
      </w:r>
      <w:r w:rsidR="00EE2E30">
        <w:lastRenderedPageBreak/>
        <w:t>the Directorate M</w:t>
      </w:r>
      <w:r w:rsidR="00E13EFD">
        <w:t>anagement Teams</w:t>
      </w:r>
      <w:r w:rsidR="00EE2E30">
        <w:t>)</w:t>
      </w:r>
      <w:r w:rsidR="00E13EFD">
        <w:t xml:space="preserve">.  Changes </w:t>
      </w:r>
      <w:r>
        <w:t>that were made following involvement with the Guardian included:</w:t>
      </w:r>
    </w:p>
    <w:p w:rsidR="00974960" w:rsidRDefault="00974960" w:rsidP="00974960">
      <w:pPr>
        <w:pStyle w:val="ListParagraph"/>
        <w:numPr>
          <w:ilvl w:val="0"/>
          <w:numId w:val="5"/>
        </w:numPr>
        <w:tabs>
          <w:tab w:val="left" w:pos="1575"/>
        </w:tabs>
      </w:pPr>
      <w:r>
        <w:t>Improved communication and clarity of decision making in a service re-design</w:t>
      </w:r>
    </w:p>
    <w:p w:rsidR="00974960" w:rsidRDefault="00974960" w:rsidP="00974960">
      <w:pPr>
        <w:pStyle w:val="ListParagraph"/>
        <w:numPr>
          <w:ilvl w:val="0"/>
          <w:numId w:val="5"/>
        </w:numPr>
        <w:tabs>
          <w:tab w:val="left" w:pos="1575"/>
        </w:tabs>
      </w:pPr>
      <w:r>
        <w:t>The importance of confidentiality where staff are carers being emphasised in Information Governance training</w:t>
      </w:r>
    </w:p>
    <w:p w:rsidR="009E2DA0" w:rsidRDefault="009E2DA0" w:rsidP="00974960">
      <w:pPr>
        <w:pStyle w:val="ListParagraph"/>
        <w:numPr>
          <w:ilvl w:val="0"/>
          <w:numId w:val="5"/>
        </w:numPr>
        <w:tabs>
          <w:tab w:val="left" w:pos="1575"/>
        </w:tabs>
      </w:pPr>
      <w:r>
        <w:t>Clarification of requests made to staff</w:t>
      </w:r>
    </w:p>
    <w:p w:rsidR="009E2DA0" w:rsidRDefault="009E2DA0" w:rsidP="00974960">
      <w:pPr>
        <w:pStyle w:val="ListParagraph"/>
        <w:numPr>
          <w:ilvl w:val="0"/>
          <w:numId w:val="5"/>
        </w:numPr>
        <w:tabs>
          <w:tab w:val="left" w:pos="1575"/>
        </w:tabs>
      </w:pPr>
      <w:r>
        <w:t>Mediation with resolution between staff members</w:t>
      </w:r>
    </w:p>
    <w:p w:rsidR="009E2DA0" w:rsidRDefault="00ED1B08" w:rsidP="00974960">
      <w:pPr>
        <w:pStyle w:val="ListParagraph"/>
        <w:numPr>
          <w:ilvl w:val="0"/>
          <w:numId w:val="5"/>
        </w:numPr>
        <w:tabs>
          <w:tab w:val="left" w:pos="1575"/>
        </w:tabs>
      </w:pPr>
      <w:r>
        <w:t>Empowerment of staff to challenge unfair criticism and evidence their case</w:t>
      </w:r>
    </w:p>
    <w:p w:rsidR="00ED1B08" w:rsidRDefault="00BC03F4" w:rsidP="00974960">
      <w:pPr>
        <w:pStyle w:val="ListParagraph"/>
        <w:numPr>
          <w:ilvl w:val="0"/>
          <w:numId w:val="5"/>
        </w:numPr>
        <w:tabs>
          <w:tab w:val="left" w:pos="1575"/>
        </w:tabs>
      </w:pPr>
      <w:r>
        <w:t xml:space="preserve">Review </w:t>
      </w:r>
      <w:r w:rsidR="00ED1B08">
        <w:t>of culture in ward teams</w:t>
      </w:r>
    </w:p>
    <w:p w:rsidR="00CE00DD" w:rsidRPr="005F3E55" w:rsidRDefault="00CE00DD" w:rsidP="005F3E55">
      <w:pPr>
        <w:rPr>
          <w:i/>
          <w:u w:val="single"/>
        </w:rPr>
      </w:pPr>
      <w:r w:rsidRPr="005F3E55">
        <w:rPr>
          <w:i/>
          <w:u w:val="single"/>
        </w:rPr>
        <w:t>Changing the culture</w:t>
      </w:r>
    </w:p>
    <w:p w:rsidR="000A5517" w:rsidRDefault="00EE2E30" w:rsidP="000A5517">
      <w:pPr>
        <w:spacing w:line="240" w:lineRule="auto"/>
        <w:rPr>
          <w:rFonts w:ascii="Arial" w:hAnsi="Arial" w:cs="Arial"/>
          <w:sz w:val="20"/>
          <w:szCs w:val="20"/>
        </w:rPr>
      </w:pPr>
      <w:r>
        <w:rPr>
          <w:i/>
        </w:rPr>
        <w:t xml:space="preserve">Raising awareness: </w:t>
      </w:r>
      <w:r w:rsidRPr="00EE2E30">
        <w:t xml:space="preserve">Freedom to Speak Up is an important part of the patient safety </w:t>
      </w:r>
      <w:r>
        <w:t>agenda and staff need to know that they can safely</w:t>
      </w:r>
      <w:r w:rsidR="00782A1B">
        <w:t xml:space="preserve"> raise concerns and how to</w:t>
      </w:r>
      <w:r>
        <w:t xml:space="preserve"> do so. </w:t>
      </w:r>
      <w:r w:rsidR="004C6FC7">
        <w:t xml:space="preserve">All new </w:t>
      </w:r>
      <w:r w:rsidR="00443E3F">
        <w:t xml:space="preserve">staff are given information </w:t>
      </w:r>
      <w:r w:rsidR="00782A1B">
        <w:t xml:space="preserve">about freedom to Speak Up </w:t>
      </w:r>
      <w:r w:rsidR="00443E3F">
        <w:t xml:space="preserve">as part of corporate induction. </w:t>
      </w:r>
      <w:r w:rsidR="000A5517">
        <w:t xml:space="preserve"> The Care Certificate students receive training on the culture of the Trust and on attitudes and process regarding Raising Concerns.</w:t>
      </w:r>
      <w:r w:rsidR="004C6FC7">
        <w:t xml:space="preserve"> </w:t>
      </w:r>
      <w:r w:rsidR="00443E3F">
        <w:t>There is a</w:t>
      </w:r>
      <w:r>
        <w:t xml:space="preserve"> page on the intranet </w:t>
      </w:r>
      <w:r w:rsidR="00443E3F">
        <w:t xml:space="preserve">that </w:t>
      </w:r>
      <w:r>
        <w:t xml:space="preserve">gives information about the role of the Guardian, how to raise concerns and </w:t>
      </w:r>
      <w:r w:rsidR="00443E3F">
        <w:t>sources of support for staff. There have been announcements in the weekly communications bulletin and articles on the intranet and in the Insight magazine. The Guardian has visited teams and wards and attended meetings to deliver short presentations to promote Freedom to Speak Up</w:t>
      </w:r>
      <w:r w:rsidR="00BC03F4" w:rsidRPr="00BC03F4">
        <w:t xml:space="preserve"> </w:t>
      </w:r>
      <w:r w:rsidR="00BC03F4">
        <w:t xml:space="preserve">to the Children’s Integrated Therapy training day and to </w:t>
      </w:r>
      <w:r w:rsidR="00BC03F4">
        <w:rPr>
          <w:rFonts w:ascii="Arial" w:hAnsi="Arial" w:cs="Arial"/>
          <w:sz w:val="20"/>
          <w:szCs w:val="20"/>
        </w:rPr>
        <w:t xml:space="preserve">Mental Health Practitioners from Community Therapy </w:t>
      </w:r>
      <w:proofErr w:type="gramStart"/>
      <w:r w:rsidR="00BC03F4">
        <w:rPr>
          <w:rFonts w:ascii="Arial" w:hAnsi="Arial" w:cs="Arial"/>
          <w:sz w:val="20"/>
          <w:szCs w:val="20"/>
        </w:rPr>
        <w:t>services</w:t>
      </w:r>
      <w:r w:rsidR="00BC03F4">
        <w:t xml:space="preserve"> </w:t>
      </w:r>
      <w:r w:rsidR="00443E3F">
        <w:t>.</w:t>
      </w:r>
      <w:proofErr w:type="gramEnd"/>
      <w:r w:rsidR="00443E3F">
        <w:t xml:space="preserve"> </w:t>
      </w:r>
      <w:r w:rsidR="00BC03F4">
        <w:t>Sh</w:t>
      </w:r>
      <w:r w:rsidR="00443E3F">
        <w:t xml:space="preserve">e has also presented to student nurses and paramedics as part of their introduction to the Trust before starting placements. </w:t>
      </w:r>
      <w:r w:rsidR="000A5517">
        <w:t xml:space="preserve">The guardian attended </w:t>
      </w:r>
      <w:r w:rsidR="000A5517">
        <w:rPr>
          <w:rFonts w:ascii="Arial" w:hAnsi="Arial" w:cs="Arial"/>
          <w:sz w:val="20"/>
          <w:szCs w:val="20"/>
        </w:rPr>
        <w:t xml:space="preserve">Healthfest </w:t>
      </w:r>
      <w:r w:rsidR="000A5517" w:rsidRPr="006326CF">
        <w:rPr>
          <w:rFonts w:ascii="Arial" w:hAnsi="Arial" w:cs="Arial"/>
          <w:sz w:val="20"/>
          <w:szCs w:val="20"/>
        </w:rPr>
        <w:t>day September 7</w:t>
      </w:r>
      <w:r w:rsidR="000A5517">
        <w:rPr>
          <w:rFonts w:ascii="Arial" w:hAnsi="Arial" w:cs="Arial"/>
          <w:sz w:val="20"/>
          <w:szCs w:val="20"/>
          <w:vertAlign w:val="superscript"/>
        </w:rPr>
        <w:t xml:space="preserve">th </w:t>
      </w:r>
      <w:r w:rsidR="000A5517">
        <w:rPr>
          <w:rFonts w:ascii="Arial" w:hAnsi="Arial" w:cs="Arial"/>
          <w:sz w:val="20"/>
          <w:szCs w:val="20"/>
        </w:rPr>
        <w:t>and Linking Leaders Conference.</w:t>
      </w:r>
    </w:p>
    <w:p w:rsidR="00BC03F4" w:rsidRDefault="00BC03F4" w:rsidP="00BC03F4">
      <w:pPr>
        <w:spacing w:line="240" w:lineRule="auto"/>
      </w:pPr>
    </w:p>
    <w:p w:rsidR="00BC03F4" w:rsidRDefault="00BC03F4" w:rsidP="00BC03F4">
      <w:pPr>
        <w:spacing w:line="240" w:lineRule="auto"/>
      </w:pPr>
      <w:r>
        <w:t>Sh</w:t>
      </w:r>
      <w:r w:rsidR="0076186A">
        <w:t xml:space="preserve">e also is part of the equality network in the Trust and attends the </w:t>
      </w:r>
      <w:r w:rsidR="00EA6D9C">
        <w:t xml:space="preserve">Trust’s </w:t>
      </w:r>
      <w:r w:rsidR="0076186A">
        <w:t xml:space="preserve">equality </w:t>
      </w:r>
      <w:r w:rsidR="00EA6D9C">
        <w:t>groups</w:t>
      </w:r>
      <w:r w:rsidR="0076186A">
        <w:t xml:space="preserve">.  </w:t>
      </w:r>
    </w:p>
    <w:p w:rsidR="00BC03F4" w:rsidRPr="00BC03F4" w:rsidRDefault="00BC03F4" w:rsidP="00BC03F4">
      <w:pPr>
        <w:spacing w:line="240" w:lineRule="auto"/>
        <w:rPr>
          <w:rFonts w:ascii="Calibri" w:hAnsi="Calibri" w:cs="Arial"/>
        </w:rPr>
      </w:pPr>
      <w:r w:rsidRPr="00BC03F4">
        <w:rPr>
          <w:rFonts w:ascii="Calibri" w:hAnsi="Calibri"/>
        </w:rPr>
        <w:t xml:space="preserve">As part of </w:t>
      </w:r>
      <w:r w:rsidRPr="00BC03F4">
        <w:rPr>
          <w:rFonts w:ascii="Calibri" w:hAnsi="Calibri" w:cs="Arial"/>
          <w:b/>
        </w:rPr>
        <w:t>SPEAK UP MONTH</w:t>
      </w:r>
      <w:r w:rsidRPr="00BC03F4">
        <w:rPr>
          <w:rFonts w:ascii="Calibri" w:hAnsi="Calibri" w:cs="Arial"/>
        </w:rPr>
        <w:t xml:space="preserve"> – national campaign initiated by the National Guardians office throughout October 2018 the Guardian provided </w:t>
      </w:r>
      <w:proofErr w:type="spellStart"/>
      <w:r w:rsidRPr="00BC03F4">
        <w:rPr>
          <w:rFonts w:ascii="Calibri" w:hAnsi="Calibri" w:cs="Arial"/>
        </w:rPr>
        <w:t>surgerys</w:t>
      </w:r>
      <w:proofErr w:type="spellEnd"/>
      <w:r w:rsidRPr="00BC03F4">
        <w:rPr>
          <w:rFonts w:ascii="Calibri" w:hAnsi="Calibri" w:cs="Arial"/>
        </w:rPr>
        <w:t xml:space="preserve"> and drop in sessions which were held in Abingdon Community Hospital, Marlborough, Whiteleaf Buckinghamshire and Children’s services in Oxford. Activities and outcomes included</w:t>
      </w:r>
    </w:p>
    <w:p w:rsidR="00BC03F4" w:rsidRPr="00BC03F4" w:rsidRDefault="00BC03F4" w:rsidP="00BC03F4">
      <w:pPr>
        <w:pStyle w:val="ListParagraph"/>
        <w:numPr>
          <w:ilvl w:val="0"/>
          <w:numId w:val="8"/>
        </w:numPr>
        <w:spacing w:line="240" w:lineRule="auto"/>
        <w:rPr>
          <w:rFonts w:ascii="Calibri" w:hAnsi="Calibri" w:cs="Arial"/>
        </w:rPr>
      </w:pPr>
      <w:r w:rsidRPr="00BC03F4">
        <w:rPr>
          <w:rFonts w:ascii="Calibri" w:hAnsi="Calibri" w:cs="Arial"/>
        </w:rPr>
        <w:t>15 members of staff chose to come to hear about FTSUG</w:t>
      </w:r>
    </w:p>
    <w:p w:rsidR="00BC03F4" w:rsidRPr="00BC03F4" w:rsidRDefault="00BC03F4" w:rsidP="00BC03F4">
      <w:pPr>
        <w:pStyle w:val="ListParagraph"/>
        <w:numPr>
          <w:ilvl w:val="0"/>
          <w:numId w:val="8"/>
        </w:numPr>
        <w:spacing w:line="240" w:lineRule="auto"/>
        <w:rPr>
          <w:rFonts w:ascii="Calibri" w:hAnsi="Calibri" w:cs="Arial"/>
        </w:rPr>
      </w:pPr>
      <w:r w:rsidRPr="00BC03F4">
        <w:rPr>
          <w:rFonts w:ascii="Calibri" w:hAnsi="Calibri" w:cs="Arial"/>
        </w:rPr>
        <w:t xml:space="preserve"> Informal conversations have allowed sharing of the Speak UP message to 25 other staff members</w:t>
      </w:r>
    </w:p>
    <w:p w:rsidR="00BC03F4" w:rsidRPr="00BC03F4" w:rsidRDefault="00BC03F4" w:rsidP="00BC03F4">
      <w:pPr>
        <w:pStyle w:val="ListParagraph"/>
        <w:numPr>
          <w:ilvl w:val="0"/>
          <w:numId w:val="8"/>
        </w:numPr>
        <w:spacing w:line="240" w:lineRule="auto"/>
        <w:rPr>
          <w:rFonts w:ascii="Calibri" w:hAnsi="Calibri" w:cs="Arial"/>
        </w:rPr>
      </w:pPr>
      <w:r w:rsidRPr="00BC03F4">
        <w:rPr>
          <w:rFonts w:ascii="Calibri" w:hAnsi="Calibri" w:cs="Arial"/>
        </w:rPr>
        <w:t xml:space="preserve">Presentation to </w:t>
      </w:r>
    </w:p>
    <w:p w:rsidR="00BC03F4" w:rsidRPr="00BC03F4" w:rsidRDefault="00BC03F4" w:rsidP="00BC03F4">
      <w:pPr>
        <w:pStyle w:val="ListParagraph"/>
        <w:numPr>
          <w:ilvl w:val="0"/>
          <w:numId w:val="8"/>
        </w:numPr>
        <w:spacing w:line="240" w:lineRule="auto"/>
        <w:rPr>
          <w:rFonts w:ascii="Calibri" w:hAnsi="Calibri" w:cs="Arial"/>
        </w:rPr>
      </w:pPr>
      <w:r w:rsidRPr="00BC03F4">
        <w:rPr>
          <w:rFonts w:ascii="Calibri" w:hAnsi="Calibri" w:cs="Arial"/>
        </w:rPr>
        <w:t>Communications highlighted the campaign and the FTSUG role via the Intra net Slider</w:t>
      </w:r>
    </w:p>
    <w:p w:rsidR="008C5619" w:rsidRDefault="008C5619" w:rsidP="00EE2E30"/>
    <w:p w:rsidR="008C5619" w:rsidRPr="00443E3F" w:rsidRDefault="008C5619" w:rsidP="00443E3F">
      <w:r>
        <w:rPr>
          <w:i/>
        </w:rPr>
        <w:t>Staff development</w:t>
      </w:r>
      <w:r w:rsidR="00443E3F">
        <w:rPr>
          <w:i/>
        </w:rPr>
        <w:t xml:space="preserve">: </w:t>
      </w:r>
      <w:r w:rsidR="00443E3F" w:rsidRPr="00443E3F">
        <w:t>Unregistered care staff can often find it harder to raise concerns but spend most time in direct contact with our patients. This has been recognised and the Guardian delvers a joint session on the importance of values, what happens when they are not reflected in the care that is given and</w:t>
      </w:r>
      <w:r w:rsidR="000A5517">
        <w:t xml:space="preserve"> how to raise concerns. Over a 2</w:t>
      </w:r>
      <w:r w:rsidR="00443E3F" w:rsidRPr="00443E3F">
        <w:t xml:space="preserve">00 </w:t>
      </w:r>
      <w:r w:rsidR="00782A1B">
        <w:t>health care assistants and support staff</w:t>
      </w:r>
      <w:r w:rsidR="00443E3F" w:rsidRPr="00443E3F">
        <w:t xml:space="preserve"> have now received this session.</w:t>
      </w:r>
      <w:r w:rsidR="00443E3F">
        <w:t xml:space="preserve"> </w:t>
      </w:r>
    </w:p>
    <w:p w:rsidR="008C5619" w:rsidRDefault="008C5619" w:rsidP="0076186A">
      <w:pPr>
        <w:rPr>
          <w:i/>
        </w:rPr>
      </w:pPr>
      <w:r>
        <w:rPr>
          <w:i/>
        </w:rPr>
        <w:lastRenderedPageBreak/>
        <w:t>Influencing cultural change</w:t>
      </w:r>
      <w:r w:rsidR="0076186A">
        <w:rPr>
          <w:i/>
        </w:rPr>
        <w:t xml:space="preserve">: </w:t>
      </w:r>
      <w:r w:rsidR="0076186A">
        <w:t xml:space="preserve">The </w:t>
      </w:r>
      <w:r w:rsidR="004C6FC7">
        <w:t>previous Guardian</w:t>
      </w:r>
      <w:r w:rsidR="0076186A">
        <w:t xml:space="preserve"> met with management and professional leadership groups (such as Directorate Management Teams and the Clinical Advisory Board) </w:t>
      </w:r>
      <w:r w:rsidR="00C73CC5">
        <w:t xml:space="preserve">and the </w:t>
      </w:r>
      <w:r w:rsidR="000A5517">
        <w:t xml:space="preserve">Quality and Safety </w:t>
      </w:r>
      <w:proofErr w:type="gramStart"/>
      <w:r w:rsidR="000A5517">
        <w:t>Committee  and</w:t>
      </w:r>
      <w:proofErr w:type="gramEnd"/>
      <w:r w:rsidR="000A5517">
        <w:t xml:space="preserve"> these meetings will continue with the present Guardian as </w:t>
      </w:r>
      <w:proofErr w:type="spellStart"/>
      <w:r w:rsidR="000A5517">
        <w:t>appropriate.</w:t>
      </w:r>
      <w:r w:rsidR="0076186A">
        <w:t>Following</w:t>
      </w:r>
      <w:proofErr w:type="spellEnd"/>
      <w:r w:rsidR="0076186A">
        <w:t xml:space="preserve"> discussion at the Well-Led Quality Sub-Committee, a campaign to raise awareness about bullying and harassment and how to combat </w:t>
      </w:r>
      <w:r w:rsidR="00BC03F4">
        <w:t xml:space="preserve">was conducted </w:t>
      </w:r>
      <w:r w:rsidR="0076186A">
        <w:t xml:space="preserve"> during anti-bullying week in November</w:t>
      </w:r>
      <w:r w:rsidR="000A5517">
        <w:t xml:space="preserve"> 2017</w:t>
      </w:r>
      <w:r w:rsidR="0076186A">
        <w:t xml:space="preserve">. </w:t>
      </w:r>
    </w:p>
    <w:p w:rsidR="00CE00DD" w:rsidRPr="00EA6D9C" w:rsidRDefault="00EA6D9C" w:rsidP="00EA6D9C">
      <w:pPr>
        <w:rPr>
          <w:i/>
          <w:u w:val="single"/>
        </w:rPr>
      </w:pPr>
      <w:r>
        <w:rPr>
          <w:i/>
          <w:u w:val="single"/>
        </w:rPr>
        <w:t>National and Regional D</w:t>
      </w:r>
      <w:r w:rsidR="00CE00DD" w:rsidRPr="00EA6D9C">
        <w:rPr>
          <w:i/>
          <w:u w:val="single"/>
        </w:rPr>
        <w:t>evelopments</w:t>
      </w:r>
    </w:p>
    <w:p w:rsidR="00410BFE" w:rsidRDefault="00EA6D9C" w:rsidP="00EA6D9C">
      <w:r>
        <w:t xml:space="preserve">The National Guardian, Dr Henrietta Hughes, came into post in October 2016 and has been developing </w:t>
      </w:r>
      <w:r w:rsidR="00782A1B">
        <w:t>her role and the work of the N</w:t>
      </w:r>
      <w:r>
        <w:t>ational Guardian’s Office. Training has been provided for new Guardians and guidance has been issued on recording information, case reviews and Freedom to Speak Up and CQC assessments of Trusts.</w:t>
      </w:r>
      <w:r w:rsidR="00E30D5E">
        <w:t xml:space="preserve"> There have been 3</w:t>
      </w:r>
      <w:r w:rsidR="00410BFE">
        <w:t xml:space="preserve"> national confe</w:t>
      </w:r>
      <w:r w:rsidR="00E30D5E">
        <w:t xml:space="preserve">rences – in October </w:t>
      </w:r>
      <w:proofErr w:type="gramStart"/>
      <w:r w:rsidR="00E30D5E">
        <w:t>2016 ,</w:t>
      </w:r>
      <w:proofErr w:type="gramEnd"/>
      <w:r w:rsidR="00410BFE">
        <w:t xml:space="preserve"> March 2017 </w:t>
      </w:r>
      <w:r w:rsidR="00E30D5E">
        <w:t xml:space="preserve"> and October 2018</w:t>
      </w:r>
      <w:r w:rsidR="00410BFE">
        <w:t xml:space="preserve">  </w:t>
      </w:r>
      <w:r w:rsidR="00E30D5E">
        <w:t>.</w:t>
      </w:r>
      <w:r w:rsidR="00410BFE">
        <w:t>From April 2017, the NGO started collecting data quarterly on the work of the Guardians which it publishes. This includes a satisfaction question that Guardians are requested to ask all staff that contact them.</w:t>
      </w:r>
    </w:p>
    <w:p w:rsidR="00410BFE" w:rsidRDefault="00410BFE" w:rsidP="00410BFE">
      <w:r>
        <w:t xml:space="preserve">There is a regional network of Freedom to Speak Up Guardians which meets quarterly in the Thames Valley and Wessex area.  </w:t>
      </w:r>
    </w:p>
    <w:p w:rsidR="004C6FC7" w:rsidRDefault="004C6FC7" w:rsidP="00E30D5E">
      <w:pPr>
        <w:ind w:left="720" w:hanging="720"/>
      </w:pPr>
      <w:r>
        <w:t xml:space="preserve"> A Self- assessment tool and Guidance for Trust Boards has been dev</w:t>
      </w:r>
      <w:r w:rsidR="00E30D5E">
        <w:t>eloped by the Guardians office</w:t>
      </w:r>
      <w:r w:rsidR="00CC5B8F">
        <w:t xml:space="preserve"> </w:t>
      </w:r>
      <w:r w:rsidR="00E30D5E">
        <w:t>in 2018.</w:t>
      </w:r>
      <w:r>
        <w:t xml:space="preserve">The Board reviewed and began to apply the self- assessment during the Board seminar in October. Further work will be done on the </w:t>
      </w:r>
      <w:proofErr w:type="spellStart"/>
      <w:r>
        <w:t>self assessment</w:t>
      </w:r>
      <w:proofErr w:type="spellEnd"/>
      <w:r>
        <w:t xml:space="preserve"> by a smaller group including the Director and non-executive director with responsibility for Speaking Up</w:t>
      </w:r>
      <w:r w:rsidR="00CC5B8F">
        <w:t xml:space="preserve">. </w:t>
      </w:r>
      <w:r>
        <w:t>This group will also review the need for a separate Speaking Up strategy.</w:t>
      </w:r>
    </w:p>
    <w:p w:rsidR="00CE00DD" w:rsidRPr="00410BFE" w:rsidRDefault="00CE00DD" w:rsidP="00CE00DD">
      <w:pPr>
        <w:rPr>
          <w:b/>
        </w:rPr>
      </w:pPr>
      <w:r w:rsidRPr="00410BFE">
        <w:rPr>
          <w:b/>
        </w:rPr>
        <w:t>Effectiveness</w:t>
      </w:r>
      <w:r w:rsidR="00410BFE" w:rsidRPr="00410BFE">
        <w:rPr>
          <w:b/>
        </w:rPr>
        <w:t xml:space="preserve"> of Freedom to Speak Up</w:t>
      </w:r>
    </w:p>
    <w:p w:rsidR="00CE00DD" w:rsidRDefault="00410BFE" w:rsidP="00410BFE">
      <w:r>
        <w:t>The Guardian is managed by the Chief Executive and has regular discussions with the Director of Finance</w:t>
      </w:r>
      <w:r w:rsidR="00C73CC5">
        <w:t xml:space="preserve"> about the raising concerns arrangements in the Trust and current whistleblowing concerns and possible investigations.</w:t>
      </w:r>
      <w:r w:rsidR="00C73CC5">
        <w:rPr>
          <w:i/>
        </w:rPr>
        <w:t xml:space="preserve"> </w:t>
      </w:r>
      <w:r w:rsidR="004C6FC7">
        <w:t>Sh</w:t>
      </w:r>
      <w:r w:rsidR="00C73CC5" w:rsidRPr="00C73CC5">
        <w:t xml:space="preserve">e provides an annual </w:t>
      </w:r>
      <w:r w:rsidR="004C6FC7">
        <w:t>report to the Trust Board and will provide</w:t>
      </w:r>
      <w:r w:rsidR="00C73CC5" w:rsidRPr="00C73CC5">
        <w:t xml:space="preserve"> interim report to Well-Led Quality Sub-Committee</w:t>
      </w:r>
      <w:r w:rsidR="00C73CC5">
        <w:t xml:space="preserve">. The same reports are presented to the staff side at the SPNCC. </w:t>
      </w:r>
    </w:p>
    <w:p w:rsidR="00C73CC5" w:rsidRPr="00C73CC5" w:rsidRDefault="00C73CC5" w:rsidP="00C73CC5">
      <w:r w:rsidRPr="00C73CC5">
        <w:t>The national NHS staff survey asks two questions about staff raising concern in their trust. The 2016 staff survey showed small increases from the 2015 survey - from 75% to 76% - in staff feeling secure to raise concerns about unsafe clinical practice (question 13a) and from 62% to 63% in staff feeling confident that the Trust would address those concerns (question 13b). In comparison with other mental health and community trusts, staff confidence and security in reporting unsafe clinical practice was 3.77 compared with 3.71</w:t>
      </w:r>
      <w:r w:rsidR="00782A1B">
        <w:t xml:space="preserve"> </w:t>
      </w:r>
      <w:r w:rsidR="00782A1B" w:rsidRPr="00C73CC5">
        <w:t>(out of a possible score of 5)</w:t>
      </w:r>
      <w:r w:rsidRPr="00C73CC5">
        <w:t xml:space="preserve">. </w:t>
      </w:r>
    </w:p>
    <w:p w:rsidR="00C73CC5" w:rsidRPr="00C73CC5" w:rsidRDefault="00C73CC5" w:rsidP="00C73CC5">
      <w:r w:rsidRPr="00C73CC5">
        <w:t>The number of formal whistleblowing investigations started during the past</w:t>
      </w:r>
      <w:r>
        <w:t xml:space="preserve"> </w:t>
      </w:r>
      <w:r w:rsidR="00E30D5E">
        <w:t>12 months</w:t>
      </w:r>
      <w:r w:rsidRPr="00C73CC5">
        <w:t xml:space="preserve"> were </w:t>
      </w:r>
      <w:proofErr w:type="gramStart"/>
      <w:r w:rsidRPr="00C73CC5">
        <w:t>similar to</w:t>
      </w:r>
      <w:proofErr w:type="gramEnd"/>
      <w:r w:rsidRPr="00C73CC5">
        <w:t xml:space="preserve"> previous years.   However, the Care Quality Commission has not notified the Trust of any concerns being</w:t>
      </w:r>
      <w:r>
        <w:t xml:space="preserve"> raised with them by staff. T</w:t>
      </w:r>
      <w:r w:rsidR="004C6FC7">
        <w:t>his</w:t>
      </w:r>
      <w:r w:rsidR="00BF6E00">
        <w:t xml:space="preserve"> continues to </w:t>
      </w:r>
      <w:proofErr w:type="gramStart"/>
      <w:r w:rsidR="00BF6E00">
        <w:t xml:space="preserve">be </w:t>
      </w:r>
      <w:r w:rsidR="004C6FC7">
        <w:t xml:space="preserve"> </w:t>
      </w:r>
      <w:r w:rsidRPr="00C73CC5">
        <w:t>a</w:t>
      </w:r>
      <w:proofErr w:type="gramEnd"/>
      <w:r w:rsidRPr="00C73CC5">
        <w:t xml:space="preserve"> significant change </w:t>
      </w:r>
      <w:r w:rsidR="00BF6E00">
        <w:t xml:space="preserve">from </w:t>
      </w:r>
      <w:r w:rsidRPr="00C73CC5">
        <w:t>years</w:t>
      </w:r>
      <w:r w:rsidR="00BF6E00">
        <w:t xml:space="preserve"> prior to 2017-18</w:t>
      </w:r>
      <w:r w:rsidRPr="00C73CC5">
        <w:t xml:space="preserve"> and may indicate staff feeling more confident in raising concerns internally.</w:t>
      </w:r>
    </w:p>
    <w:p w:rsidR="00C73CC5" w:rsidRPr="00D6579A" w:rsidRDefault="00D6579A" w:rsidP="00E76497">
      <w:r w:rsidRPr="00D6579A">
        <w:t xml:space="preserve">From April 2017 </w:t>
      </w:r>
      <w:r w:rsidR="00C73CC5" w:rsidRPr="00D6579A">
        <w:t xml:space="preserve">anonymised feedback </w:t>
      </w:r>
      <w:r w:rsidRPr="00D6579A">
        <w:t>has been requested</w:t>
      </w:r>
      <w:r w:rsidR="00C73CC5" w:rsidRPr="00D6579A">
        <w:t xml:space="preserve"> from staff that have contacted the Guardian by asking them to complete a </w:t>
      </w:r>
      <w:r w:rsidRPr="00D6579A">
        <w:t xml:space="preserve">short </w:t>
      </w:r>
      <w:r w:rsidR="00C73CC5" w:rsidRPr="00D6579A">
        <w:t xml:space="preserve">survey on Survey Monkey. </w:t>
      </w:r>
      <w:r w:rsidR="00BD63B1">
        <w:t xml:space="preserve">Generally feedback was </w:t>
      </w:r>
      <w:r w:rsidR="00BD63B1">
        <w:lastRenderedPageBreak/>
        <w:t>positive and comments included:</w:t>
      </w:r>
      <w:r w:rsidR="00BF6E00">
        <w:t xml:space="preserve"> ‘I was so relieved to talk to someone ‘</w:t>
      </w:r>
      <w:r w:rsidR="00BD63B1">
        <w:t>and ‘I was made to</w:t>
      </w:r>
      <w:r w:rsidR="00BD63B1" w:rsidRPr="00BD63B1">
        <w:t xml:space="preserve"> feel</w:t>
      </w:r>
      <w:r w:rsidR="00BD63B1">
        <w:t xml:space="preserve"> </w:t>
      </w:r>
      <w:r w:rsidR="00BD63B1" w:rsidRPr="00BD63B1">
        <w:t>comfortable to speak and was truly listened to and understood</w:t>
      </w:r>
      <w:r w:rsidR="00BD63B1">
        <w:t>’</w:t>
      </w:r>
      <w:r w:rsidR="00E30D5E">
        <w:t xml:space="preserve"> </w:t>
      </w:r>
      <w:proofErr w:type="gramStart"/>
      <w:r w:rsidR="00E30D5E">
        <w:t>‘</w:t>
      </w:r>
      <w:r w:rsidR="00BF6E00">
        <w:t xml:space="preserve"> it</w:t>
      </w:r>
      <w:proofErr w:type="gramEnd"/>
      <w:r w:rsidR="00BF6E00">
        <w:t xml:space="preserve"> really helped me to see my priorities’</w:t>
      </w:r>
      <w:r w:rsidR="00BD63B1">
        <w:t xml:space="preserve">. </w:t>
      </w:r>
      <w:r w:rsidR="00E76497">
        <w:t>The survey includes questions about equality which will enable a picture of the type of staff contacting the Guardian to build up.</w:t>
      </w:r>
    </w:p>
    <w:p w:rsidR="00C73CC5" w:rsidRPr="00C73CC5" w:rsidRDefault="00C73CC5" w:rsidP="00C73CC5">
      <w:r w:rsidRPr="00C73CC5">
        <w:t>As the quarterly collections of data by the NGO</w:t>
      </w:r>
      <w:r>
        <w:t xml:space="preserve"> develop, they may enable some benchmarking with similar Trust to be undertaken. </w:t>
      </w:r>
    </w:p>
    <w:p w:rsidR="00CE00DD" w:rsidRDefault="00E76497" w:rsidP="00CE00DD">
      <w:pPr>
        <w:rPr>
          <w:b/>
          <w:u w:val="single"/>
        </w:rPr>
      </w:pPr>
      <w:r w:rsidRPr="00E76497">
        <w:rPr>
          <w:b/>
          <w:u w:val="single"/>
        </w:rPr>
        <w:t>The O</w:t>
      </w:r>
      <w:r>
        <w:rPr>
          <w:b/>
          <w:u w:val="single"/>
        </w:rPr>
        <w:t>bjectives</w:t>
      </w:r>
      <w:r w:rsidR="00CE00DD" w:rsidRPr="00E76497">
        <w:rPr>
          <w:b/>
          <w:u w:val="single"/>
        </w:rPr>
        <w:t xml:space="preserve"> for </w:t>
      </w:r>
      <w:r w:rsidRPr="00E76497">
        <w:rPr>
          <w:b/>
          <w:u w:val="single"/>
        </w:rPr>
        <w:t xml:space="preserve">Freedom to Speak Up Guardian </w:t>
      </w:r>
      <w:r w:rsidR="00BF6E00">
        <w:rPr>
          <w:b/>
          <w:u w:val="single"/>
        </w:rPr>
        <w:t>2018-19</w:t>
      </w:r>
    </w:p>
    <w:p w:rsidR="00E30D5E" w:rsidRDefault="004E05A3" w:rsidP="004E05A3">
      <w:r>
        <w:t>The following objectives</w:t>
      </w:r>
      <w:r w:rsidR="00BF6E00">
        <w:t xml:space="preserve"> which</w:t>
      </w:r>
      <w:r>
        <w:t xml:space="preserve"> were agreed w</w:t>
      </w:r>
      <w:r w:rsidR="00BF6E00">
        <w:t>ith Chief Executive for 2016-</w:t>
      </w:r>
      <w:proofErr w:type="gramStart"/>
      <w:r w:rsidR="00BF6E00">
        <w:t xml:space="preserve">17 </w:t>
      </w:r>
      <w:r w:rsidR="00E30D5E">
        <w:t xml:space="preserve"> continue</w:t>
      </w:r>
      <w:proofErr w:type="gramEnd"/>
      <w:r w:rsidR="00E30D5E">
        <w:t xml:space="preserve"> to be relevant with the exception of developing systems of </w:t>
      </w:r>
      <w:proofErr w:type="spellStart"/>
      <w:r w:rsidR="00E30D5E">
        <w:t>monitorin</w:t>
      </w:r>
      <w:proofErr w:type="spellEnd"/>
      <w:r w:rsidR="00E30D5E">
        <w:t xml:space="preserve"> which has been achieved.</w:t>
      </w:r>
    </w:p>
    <w:p w:rsidR="004E05A3" w:rsidRDefault="00E30D5E" w:rsidP="004E05A3">
      <w:r>
        <w:t>One additional objective is to support the Board in self -assessment regarding culture change and speaking up.</w:t>
      </w:r>
    </w:p>
    <w:p w:rsidR="00BF6E00" w:rsidRDefault="00BF6E00" w:rsidP="004E05A3">
      <w:pPr>
        <w:pStyle w:val="ListParagraph"/>
        <w:numPr>
          <w:ilvl w:val="0"/>
          <w:numId w:val="6"/>
        </w:numPr>
      </w:pPr>
      <w:r>
        <w:t>To develop an effective system of responding to and monitoring the outcomes of concerns</w:t>
      </w:r>
      <w:r w:rsidR="00E30D5E">
        <w:t>- ACHIEVED</w:t>
      </w:r>
    </w:p>
    <w:p w:rsidR="00E30D5E" w:rsidRDefault="00E30D5E" w:rsidP="00E30D5E">
      <w:r>
        <w:t>Continued Objectives</w:t>
      </w:r>
    </w:p>
    <w:p w:rsidR="00E76497" w:rsidRDefault="00E76497" w:rsidP="004E05A3">
      <w:pPr>
        <w:pStyle w:val="ListParagraph"/>
        <w:numPr>
          <w:ilvl w:val="0"/>
          <w:numId w:val="6"/>
        </w:numPr>
      </w:pPr>
      <w:r>
        <w:t xml:space="preserve">To raise awareness of the role of the Freedom to Speak Up Guardian with Trust staff. </w:t>
      </w:r>
    </w:p>
    <w:p w:rsidR="00E76497" w:rsidRDefault="00E76497" w:rsidP="004E05A3">
      <w:pPr>
        <w:pStyle w:val="ListParagraph"/>
        <w:numPr>
          <w:ilvl w:val="0"/>
          <w:numId w:val="6"/>
        </w:numPr>
      </w:pPr>
      <w:r>
        <w:t xml:space="preserve">To improve the confidence of managers in responding to concerns raised with them </w:t>
      </w:r>
      <w:r w:rsidR="004E05A3">
        <w:t xml:space="preserve">by their staff </w:t>
      </w:r>
      <w:r>
        <w:t xml:space="preserve">through the Freedom to Speak Up Guardian contributing to the development and implementation of the Trust’s leadership programme. </w:t>
      </w:r>
    </w:p>
    <w:p w:rsidR="00E76497" w:rsidRDefault="00E76497" w:rsidP="004E05A3">
      <w:pPr>
        <w:pStyle w:val="ListParagraph"/>
        <w:numPr>
          <w:ilvl w:val="0"/>
          <w:numId w:val="6"/>
        </w:numPr>
      </w:pPr>
      <w:r>
        <w:t>To participate in the development of the role of the Freedom to Speak Up Guardian and the Office of the National Guardian</w:t>
      </w:r>
    </w:p>
    <w:p w:rsidR="00E76497" w:rsidRDefault="00E76497" w:rsidP="004E05A3">
      <w:pPr>
        <w:pStyle w:val="ListParagraph"/>
        <w:numPr>
          <w:ilvl w:val="0"/>
          <w:numId w:val="6"/>
        </w:numPr>
      </w:pPr>
      <w:r>
        <w:t xml:space="preserve">Evaluation </w:t>
      </w:r>
      <w:r w:rsidR="004E05A3">
        <w:t>of the effectiveness of the Freedom to Speak Up G</w:t>
      </w:r>
      <w:r>
        <w:t>uardian role in the Trust</w:t>
      </w:r>
    </w:p>
    <w:p w:rsidR="00E30D5E" w:rsidRDefault="00E30D5E" w:rsidP="00E30D5E">
      <w:r>
        <w:t>Additional Objective-</w:t>
      </w:r>
    </w:p>
    <w:p w:rsidR="00E30D5E" w:rsidRDefault="00E30D5E" w:rsidP="00E30D5E">
      <w:r>
        <w:t xml:space="preserve">Support the Trust Board in self -assessment </w:t>
      </w:r>
    </w:p>
    <w:p w:rsidR="004E05A3" w:rsidRDefault="004E05A3" w:rsidP="00E76497">
      <w:r>
        <w:t>As can be seen from the annual report of the Guardian, these objectives are being worked on or have been met.</w:t>
      </w:r>
    </w:p>
    <w:p w:rsidR="004E05A3" w:rsidRPr="004E05A3" w:rsidRDefault="004E05A3" w:rsidP="004E05A3">
      <w:pPr>
        <w:rPr>
          <w:b/>
        </w:rPr>
      </w:pPr>
      <w:r w:rsidRPr="004E05A3">
        <w:rPr>
          <w:b/>
        </w:rPr>
        <w:t xml:space="preserve">Recommendation </w:t>
      </w:r>
    </w:p>
    <w:p w:rsidR="00E76497" w:rsidRDefault="004E05A3" w:rsidP="004E05A3">
      <w:r>
        <w:t>The Trust Board is asked to note the contents of the annual report by the Freedom to Speak Up Guardian.</w:t>
      </w:r>
    </w:p>
    <w:p w:rsidR="00BB25B5" w:rsidRDefault="00E30D5E" w:rsidP="00CE00DD">
      <w:r>
        <w:rPr>
          <w:b/>
        </w:rPr>
        <w:t>Caroline Griffiths November 2018</w:t>
      </w:r>
    </w:p>
    <w:p w:rsidR="00CE00DD" w:rsidRPr="00CE00DD" w:rsidRDefault="00CE00DD">
      <w:pPr>
        <w:jc w:val="center"/>
        <w:rPr>
          <w:b/>
        </w:rPr>
      </w:pPr>
    </w:p>
    <w:sectPr w:rsidR="00CE00DD" w:rsidRPr="00CE0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1B76"/>
    <w:multiLevelType w:val="hybridMultilevel"/>
    <w:tmpl w:val="0E3C7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815591"/>
    <w:multiLevelType w:val="hybridMultilevel"/>
    <w:tmpl w:val="A174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61DEE"/>
    <w:multiLevelType w:val="hybridMultilevel"/>
    <w:tmpl w:val="D4C4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80677"/>
    <w:multiLevelType w:val="hybridMultilevel"/>
    <w:tmpl w:val="C2EEA07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B32F8"/>
    <w:multiLevelType w:val="hybridMultilevel"/>
    <w:tmpl w:val="1764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D4C0E"/>
    <w:multiLevelType w:val="hybridMultilevel"/>
    <w:tmpl w:val="16923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F532AD"/>
    <w:multiLevelType w:val="hybridMultilevel"/>
    <w:tmpl w:val="52E6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8E2AA9"/>
    <w:multiLevelType w:val="hybridMultilevel"/>
    <w:tmpl w:val="BD56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A061AE6"/>
    <w:multiLevelType w:val="hybridMultilevel"/>
    <w:tmpl w:val="642E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9"/>
    <w:rsid w:val="0005387D"/>
    <w:rsid w:val="00070004"/>
    <w:rsid w:val="000A5517"/>
    <w:rsid w:val="000B6263"/>
    <w:rsid w:val="000D0900"/>
    <w:rsid w:val="00114C0F"/>
    <w:rsid w:val="001A19E5"/>
    <w:rsid w:val="00225689"/>
    <w:rsid w:val="002F41B7"/>
    <w:rsid w:val="003468AB"/>
    <w:rsid w:val="003D2CA2"/>
    <w:rsid w:val="003D5C7E"/>
    <w:rsid w:val="00410BFE"/>
    <w:rsid w:val="004206C7"/>
    <w:rsid w:val="00432D09"/>
    <w:rsid w:val="00433C3F"/>
    <w:rsid w:val="00443E3F"/>
    <w:rsid w:val="004B4965"/>
    <w:rsid w:val="004C6FC7"/>
    <w:rsid w:val="004E05A3"/>
    <w:rsid w:val="005260B3"/>
    <w:rsid w:val="00572F76"/>
    <w:rsid w:val="005B2B76"/>
    <w:rsid w:val="005F3E55"/>
    <w:rsid w:val="007006F9"/>
    <w:rsid w:val="0070265B"/>
    <w:rsid w:val="007502B0"/>
    <w:rsid w:val="00751BF5"/>
    <w:rsid w:val="0076186A"/>
    <w:rsid w:val="00774A0B"/>
    <w:rsid w:val="00782A1B"/>
    <w:rsid w:val="00795D39"/>
    <w:rsid w:val="00894CE8"/>
    <w:rsid w:val="008B5D6E"/>
    <w:rsid w:val="008C5619"/>
    <w:rsid w:val="00911DF0"/>
    <w:rsid w:val="00922F43"/>
    <w:rsid w:val="00974960"/>
    <w:rsid w:val="009E2DA0"/>
    <w:rsid w:val="00A267F2"/>
    <w:rsid w:val="00A83F90"/>
    <w:rsid w:val="00A958D2"/>
    <w:rsid w:val="00AA6856"/>
    <w:rsid w:val="00AB4C9D"/>
    <w:rsid w:val="00AC4397"/>
    <w:rsid w:val="00AE271B"/>
    <w:rsid w:val="00BB25B5"/>
    <w:rsid w:val="00BC03F4"/>
    <w:rsid w:val="00BD0908"/>
    <w:rsid w:val="00BD63B1"/>
    <w:rsid w:val="00BF0F91"/>
    <w:rsid w:val="00BF6E00"/>
    <w:rsid w:val="00C04143"/>
    <w:rsid w:val="00C562AA"/>
    <w:rsid w:val="00C56D70"/>
    <w:rsid w:val="00C73CC5"/>
    <w:rsid w:val="00CC5B8F"/>
    <w:rsid w:val="00CE00DD"/>
    <w:rsid w:val="00D43EEF"/>
    <w:rsid w:val="00D4780A"/>
    <w:rsid w:val="00D6579A"/>
    <w:rsid w:val="00D67277"/>
    <w:rsid w:val="00E13EFD"/>
    <w:rsid w:val="00E1443D"/>
    <w:rsid w:val="00E30D5E"/>
    <w:rsid w:val="00E76497"/>
    <w:rsid w:val="00EA6D9C"/>
    <w:rsid w:val="00ED1B08"/>
    <w:rsid w:val="00EE2E30"/>
    <w:rsid w:val="00EF3FED"/>
    <w:rsid w:val="00F1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DB96B-A22B-4DF0-A08C-ED810F1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908"/>
    <w:pPr>
      <w:ind w:left="720"/>
      <w:contextualSpacing/>
    </w:pPr>
  </w:style>
  <w:style w:type="character" w:styleId="Hyperlink">
    <w:name w:val="Hyperlink"/>
    <w:basedOn w:val="DefaultParagraphFont"/>
    <w:uiPriority w:val="99"/>
    <w:unhideWhenUsed/>
    <w:rsid w:val="00BC0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16535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Mike (RNU) Oxford Health</dc:creator>
  <cp:lastModifiedBy>Hardy Imogen (RNU) Oxford Health</cp:lastModifiedBy>
  <cp:revision>2</cp:revision>
  <dcterms:created xsi:type="dcterms:W3CDTF">2018-11-23T14:32:00Z</dcterms:created>
  <dcterms:modified xsi:type="dcterms:W3CDTF">2018-11-23T14:32:00Z</dcterms:modified>
</cp:coreProperties>
</file>