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 w:rsidR="006C6A52">
                              <w:rPr>
                                <w:rFonts w:ascii="Segoe UI" w:hAnsi="Segoe UI" w:cs="Segoe UI"/>
                                <w:b/>
                              </w:rPr>
                              <w:t xml:space="preserve"> 34</w:t>
                            </w:r>
                            <w:bookmarkStart w:id="0" w:name="_GoBack"/>
                            <w:bookmarkEnd w:id="0"/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8E32B1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FA3993" w:rsidRPr="00FA3993" w:rsidRDefault="00C26FDC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12</w:t>
                            </w:r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 w:rsidR="006C6A52">
                        <w:rPr>
                          <w:rFonts w:ascii="Segoe UI" w:hAnsi="Segoe UI" w:cs="Segoe UI"/>
                          <w:b/>
                        </w:rPr>
                        <w:t xml:space="preserve"> 34</w:t>
                      </w:r>
                      <w:bookmarkStart w:id="1" w:name="_GoBack"/>
                      <w:bookmarkEnd w:id="1"/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8E32B1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FA3993" w:rsidRPr="00FA3993" w:rsidRDefault="00C26FDC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12</w:t>
                      </w:r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C26FD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November</w:t>
      </w:r>
      <w:r w:rsidR="008E32B1">
        <w:rPr>
          <w:rFonts w:ascii="Segoe UI" w:hAnsi="Segoe UI" w:cs="Segoe UI"/>
          <w:b/>
        </w:rPr>
        <w:t xml:space="preserve"> 2018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C26FDC" w:rsidRPr="00FA3993" w:rsidRDefault="00C26FDC" w:rsidP="00C26FD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Human Resources Report</w:t>
      </w:r>
    </w:p>
    <w:p w:rsidR="00C26FDC" w:rsidRPr="00FA3993" w:rsidRDefault="00C26FDC" w:rsidP="00C26FDC">
      <w:pPr>
        <w:rPr>
          <w:rFonts w:ascii="Segoe UI" w:hAnsi="Segoe UI" w:cs="Segoe UI"/>
          <w:b/>
        </w:rPr>
      </w:pPr>
    </w:p>
    <w:p w:rsidR="00C26FDC" w:rsidRDefault="00C26FDC" w:rsidP="00C26FDC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:rsidR="00C26FDC" w:rsidRDefault="00C26FDC" w:rsidP="00C26FDC">
      <w:pPr>
        <w:rPr>
          <w:rFonts w:ascii="Segoe UI" w:hAnsi="Segoe UI" w:cs="Segoe UI"/>
          <w:b/>
        </w:rPr>
      </w:pPr>
    </w:p>
    <w:p w:rsidR="00C26FDC" w:rsidRPr="009E0559" w:rsidRDefault="00C26FDC" w:rsidP="00C26FDC">
      <w:pPr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 xml:space="preserve">This report shows the position on the workforce performance indicators as at the end of </w:t>
      </w:r>
      <w:r>
        <w:rPr>
          <w:rFonts w:ascii="Segoe UI" w:hAnsi="Segoe UI" w:cs="Segoe UI"/>
        </w:rPr>
        <w:t xml:space="preserve">September </w:t>
      </w:r>
      <w:r w:rsidRPr="009E0559">
        <w:rPr>
          <w:rFonts w:ascii="Segoe UI" w:hAnsi="Segoe UI" w:cs="Segoe UI"/>
        </w:rPr>
        <w:t>2018.</w:t>
      </w:r>
    </w:p>
    <w:p w:rsidR="00C26FDC" w:rsidRPr="009E0559" w:rsidRDefault="00C26FDC" w:rsidP="00C26FDC">
      <w:pPr>
        <w:ind w:left="-851"/>
        <w:jc w:val="both"/>
        <w:rPr>
          <w:rFonts w:ascii="Segoe UI" w:hAnsi="Segoe UI" w:cs="Segoe UI"/>
        </w:rPr>
      </w:pPr>
    </w:p>
    <w:p w:rsidR="00C26FDC" w:rsidRPr="009E0559" w:rsidRDefault="00C26FDC" w:rsidP="00C26FDC">
      <w:pPr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>The report includes brief details of actions already in place to address some of the challenges as well as plans being developed.</w:t>
      </w:r>
    </w:p>
    <w:p w:rsidR="00C26FDC" w:rsidRPr="009E0559" w:rsidRDefault="00C26FDC" w:rsidP="00C26FDC">
      <w:pPr>
        <w:rPr>
          <w:rFonts w:ascii="Segoe UI" w:hAnsi="Segoe UI" w:cs="Segoe UI"/>
          <w:lang w:val="en-GB"/>
        </w:rPr>
      </w:pPr>
    </w:p>
    <w:p w:rsidR="00C26FDC" w:rsidRPr="009E0559" w:rsidRDefault="00C26FDC" w:rsidP="00C26FDC">
      <w:pPr>
        <w:rPr>
          <w:rFonts w:ascii="Segoe UI" w:eastAsiaTheme="majorEastAsia" w:hAnsi="Segoe UI" w:cs="Segoe UI"/>
          <w:b/>
          <w:color w:val="000000" w:themeColor="text1"/>
          <w:kern w:val="24"/>
        </w:rPr>
      </w:pPr>
      <w:r w:rsidRPr="009E0559">
        <w:rPr>
          <w:rFonts w:ascii="Segoe UI" w:eastAsiaTheme="majorEastAsia" w:hAnsi="Segoe UI" w:cs="Segoe UI"/>
          <w:b/>
          <w:color w:val="000000" w:themeColor="text1"/>
          <w:kern w:val="24"/>
        </w:rPr>
        <w:t>HCA Agency Reduction</w:t>
      </w: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In 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May </w:t>
      </w: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2018 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the Trust stopped using Agency HCA workers </w:t>
      </w: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in 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inpatient units.  Where a HCA Flexible Worker cannot be sourced Registered Nurses are used.    </w:t>
      </w: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The graphs below show that the initiative has not resulted in an increase in the number of unfilled shifts.  </w:t>
      </w: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Agency use has continued to fall whilst bank use has risen.  </w:t>
      </w: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Agency </w:t>
      </w: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>g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rade swops account for approximately 5% of overall temporary staffing use, approximately 10 shifts a day across 38 inpatient units.  The number of grade swops have slowly decreased over the past 2 months.  </w:t>
      </w: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</w:p>
    <w:p w:rsidR="00C26FDC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>Work continues to grow the HCA Flexible Worker bank with 20 new starters commencing in November.  A further 36 workers are on a waiting list to complete their Care Certificate training before they can start but no places are available until January</w:t>
      </w: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 2019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.  </w:t>
      </w:r>
    </w:p>
    <w:p w:rsidR="00C26FDC" w:rsidRPr="00703FEE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lastRenderedPageBreak/>
        <w:t>From January 201</w:t>
      </w:r>
      <w:r>
        <w:rPr>
          <w:rFonts w:ascii="Segoe UI" w:eastAsiaTheme="majorEastAsia" w:hAnsi="Segoe UI" w:cs="Segoe UI"/>
          <w:color w:val="000000" w:themeColor="text1"/>
          <w:kern w:val="24"/>
          <w:lang w:val="en-GB"/>
        </w:rPr>
        <w:t>9</w:t>
      </w:r>
      <w:r w:rsidRPr="00703FEE">
        <w:rPr>
          <w:rFonts w:ascii="Segoe UI" w:eastAsiaTheme="majorEastAsia" w:hAnsi="Segoe UI" w:cs="Segoe UI"/>
          <w:color w:val="000000" w:themeColor="text1"/>
          <w:kern w:val="24"/>
          <w:lang w:val="en-GB"/>
        </w:rPr>
        <w:t xml:space="preserve"> the Staffing Solutions team will interview all Flexible Workers rather than operational Managers.</w:t>
      </w:r>
    </w:p>
    <w:p w:rsidR="00C26FDC" w:rsidRPr="009E0559" w:rsidRDefault="00C26FDC" w:rsidP="00C26FDC">
      <w:pPr>
        <w:rPr>
          <w:rFonts w:ascii="Segoe UI" w:eastAsiaTheme="majorEastAsia" w:hAnsi="Segoe UI" w:cs="Segoe UI"/>
          <w:color w:val="000000" w:themeColor="text1"/>
          <w:kern w:val="24"/>
          <w:lang w:val="en-GB"/>
        </w:rPr>
      </w:pPr>
    </w:p>
    <w:p w:rsidR="00C26FDC" w:rsidRDefault="00C26FDC" w:rsidP="00C26FDC">
      <w:pPr>
        <w:jc w:val="both"/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>Recrui</w:t>
      </w:r>
      <w:r w:rsidRPr="00B327BE">
        <w:rPr>
          <w:rFonts w:ascii="Segoe UI" w:hAnsi="Segoe UI" w:cs="Segoe UI"/>
          <w:b/>
        </w:rPr>
        <w:t>tment</w:t>
      </w:r>
    </w:p>
    <w:p w:rsidR="00C26FDC" w:rsidRPr="00B46633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B46633">
        <w:rPr>
          <w:rFonts w:ascii="Segoe UI" w:hAnsi="Segoe UI" w:cs="Segoe UI"/>
          <w:sz w:val="24"/>
          <w:szCs w:val="24"/>
        </w:rPr>
        <w:t>The newly qualified nurses commenced employment with the Trust in August and September.</w:t>
      </w:r>
    </w:p>
    <w:p w:rsidR="00C26FDC" w:rsidRPr="00B46633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</w:p>
    <w:p w:rsidR="00C26FDC" w:rsidRPr="00B46633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B46633">
        <w:rPr>
          <w:rFonts w:ascii="Segoe UI" w:hAnsi="Segoe UI" w:cs="Segoe UI"/>
          <w:sz w:val="24"/>
          <w:szCs w:val="24"/>
        </w:rPr>
        <w:t>The “Itchy Feet” campaign run jointly with OUH was considered by Clinical Nursing to be a success. For OBU students due to qualify in mid-2019 the recruitment process starts again in November.</w:t>
      </w:r>
    </w:p>
    <w:p w:rsidR="00C26FDC" w:rsidRPr="00B46633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</w:p>
    <w:p w:rsidR="00C26FDC" w:rsidRPr="00B46633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B46633">
        <w:rPr>
          <w:rFonts w:ascii="Segoe UI" w:hAnsi="Segoe UI" w:cs="Segoe UI"/>
          <w:sz w:val="24"/>
          <w:szCs w:val="24"/>
        </w:rPr>
        <w:t>Externally recruited Nurse Associate Trainees commenced in September. The timescales to complete the pre-employment checks was challenging but they have all attended their induction programme.</w:t>
      </w:r>
    </w:p>
    <w:p w:rsidR="00C26FDC" w:rsidRDefault="00C26FDC" w:rsidP="00C26FDC">
      <w:pPr>
        <w:jc w:val="both"/>
        <w:rPr>
          <w:rFonts w:ascii="Segoe UI" w:hAnsi="Segoe UI" w:cs="Segoe UI"/>
          <w:b/>
        </w:rPr>
      </w:pPr>
    </w:p>
    <w:p w:rsidR="00C26FDC" w:rsidRPr="000D2077" w:rsidRDefault="00C26FDC" w:rsidP="00C26FDC">
      <w:pPr>
        <w:jc w:val="both"/>
        <w:rPr>
          <w:rFonts w:ascii="Segoe UI" w:hAnsi="Segoe UI" w:cs="Segoe UI"/>
          <w:b/>
        </w:rPr>
      </w:pPr>
      <w:r w:rsidRPr="000D2077">
        <w:rPr>
          <w:rFonts w:ascii="Segoe UI" w:hAnsi="Segoe UI" w:cs="Segoe UI"/>
          <w:b/>
        </w:rPr>
        <w:t>Health &amp; Wellbeing</w:t>
      </w: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Staff s</w:t>
      </w:r>
      <w:r>
        <w:rPr>
          <w:rFonts w:ascii="Segoe UI" w:hAnsi="Segoe UI" w:cs="Segoe UI"/>
        </w:rPr>
        <w:t>tress survey results have been </w:t>
      </w:r>
      <w:r w:rsidRPr="00F57141">
        <w:rPr>
          <w:rFonts w:ascii="Segoe UI" w:hAnsi="Segoe UI" w:cs="Segoe UI"/>
        </w:rPr>
        <w:t xml:space="preserve">communicated via the Trust intranet site together with the 3 identified workstreams which continue to make progress and have identified some quick wins and </w:t>
      </w:r>
      <w:proofErr w:type="gramStart"/>
      <w:r w:rsidRPr="00F57141">
        <w:rPr>
          <w:rFonts w:ascii="Segoe UI" w:hAnsi="Segoe UI" w:cs="Segoe UI"/>
        </w:rPr>
        <w:t>longer term</w:t>
      </w:r>
      <w:proofErr w:type="gramEnd"/>
      <w:r w:rsidRPr="00F57141">
        <w:rPr>
          <w:rFonts w:ascii="Segoe UI" w:hAnsi="Segoe UI" w:cs="Segoe UI"/>
        </w:rPr>
        <w:t xml:space="preserve"> pieces of work. 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  <w:sz w:val="22"/>
          <w:szCs w:val="22"/>
          <w:lang w:val="en-GB"/>
        </w:rPr>
      </w:pPr>
      <w:r w:rsidRPr="00F57141">
        <w:rPr>
          <w:rFonts w:ascii="Segoe UI" w:hAnsi="Segoe UI" w:cs="Segoe UI"/>
        </w:rPr>
        <w:t xml:space="preserve">At the end of the communication brief employees have been requested to respond to one question – </w:t>
      </w:r>
      <w:bookmarkStart w:id="2" w:name="end"/>
      <w:r w:rsidRPr="00F57141">
        <w:rPr>
          <w:rFonts w:ascii="Segoe UI" w:hAnsi="Segoe UI" w:cs="Segoe UI"/>
        </w:rPr>
        <w:t>“</w:t>
      </w:r>
      <w:hyperlink r:id="rId9" w:history="1">
        <w:r w:rsidRPr="00F57141">
          <w:rPr>
            <w:rStyle w:val="Hyperlink"/>
            <w:rFonts w:ascii="Segoe UI" w:hAnsi="Segoe UI" w:cs="Segoe UI"/>
            <w:color w:val="333333"/>
            <w:u w:val="none"/>
          </w:rPr>
          <w:t>If your team had one less thing to worry about, what would that be?”</w:t>
        </w:r>
        <w:r w:rsidRPr="00F57141">
          <w:rPr>
            <w:rStyle w:val="Hyperlink"/>
            <w:rFonts w:ascii="Segoe UI" w:hAnsi="Segoe UI" w:cs="Segoe UI"/>
            <w:color w:val="0066CC"/>
          </w:rPr>
          <w:t>​</w:t>
        </w:r>
      </w:hyperlink>
      <w:bookmarkEnd w:id="2"/>
      <w:r w:rsidRPr="00F57141">
        <w:rPr>
          <w:rFonts w:ascii="Segoe UI" w:hAnsi="Segoe UI" w:cs="Segoe UI"/>
        </w:rPr>
        <w:t xml:space="preserve"> A stress wellbeing inbox has been set up for responses. To date 12 responses have been received, all indicating vacancies to be filled and workload. In </w:t>
      </w:r>
      <w:r>
        <w:rPr>
          <w:rFonts w:ascii="Segoe UI" w:hAnsi="Segoe UI" w:cs="Segoe UI"/>
        </w:rPr>
        <w:t xml:space="preserve">view </w:t>
      </w:r>
      <w:r w:rsidRPr="00F57141">
        <w:rPr>
          <w:rFonts w:ascii="Segoe UI" w:hAnsi="Segoe UI" w:cs="Segoe UI"/>
        </w:rPr>
        <w:t>of the low response, other vehicles of communication are being explored including hard copies.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Throughout this work there is a common theme that any communication via the Trust intranet is not being accessed. A working group is being set up to help support leaflet development to enable a wider audience to be reached.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A few teams have been identified to pilot the new Team Stress Risk Assessment and this work will commence as soon as possible in meeting the needs of the teams involved.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Work is being undertaken with Psychological Services, Occupational Health and others to explore additional support for staff involved in work related traumatic incidents who may require this.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lastRenderedPageBreak/>
        <w:t xml:space="preserve">A small group </w:t>
      </w:r>
      <w:r>
        <w:rPr>
          <w:rFonts w:ascii="Segoe UI" w:hAnsi="Segoe UI" w:cs="Segoe UI"/>
        </w:rPr>
        <w:t>is</w:t>
      </w:r>
      <w:r w:rsidRPr="00F57141">
        <w:rPr>
          <w:rFonts w:ascii="Segoe UI" w:hAnsi="Segoe UI" w:cs="Segoe UI"/>
        </w:rPr>
        <w:t xml:space="preserve"> exploring a possible pilot for Schwartz Rounds with Psychological Services. 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EAP remains a potential tool to support staff. Occupational Health remains concerned about the shortage of counsellors.</w:t>
      </w:r>
    </w:p>
    <w:p w:rsidR="00C26FDC" w:rsidRPr="00F57141" w:rsidRDefault="00C26FDC" w:rsidP="00C26FDC">
      <w:pPr>
        <w:rPr>
          <w:rFonts w:ascii="Segoe UI" w:hAnsi="Segoe UI" w:cs="Segoe UI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Physical Health campaigns will raise awareness this year of:</w:t>
      </w:r>
    </w:p>
    <w:p w:rsidR="00C26FDC" w:rsidRPr="00F57141" w:rsidRDefault="00C26FDC" w:rsidP="00C26FDC">
      <w:pPr>
        <w:numPr>
          <w:ilvl w:val="0"/>
          <w:numId w:val="7"/>
        </w:num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Menopause in the workplace</w:t>
      </w:r>
    </w:p>
    <w:p w:rsidR="00C26FDC" w:rsidRPr="00F57141" w:rsidRDefault="00C26FDC" w:rsidP="00C26FDC">
      <w:pPr>
        <w:numPr>
          <w:ilvl w:val="0"/>
          <w:numId w:val="7"/>
        </w:num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Signs &amp; symptoms of testicular &amp; prostate cancer</w:t>
      </w:r>
    </w:p>
    <w:p w:rsidR="00C26FDC" w:rsidRPr="00F57141" w:rsidRDefault="00C26FDC" w:rsidP="00C26FDC">
      <w:pPr>
        <w:numPr>
          <w:ilvl w:val="0"/>
          <w:numId w:val="7"/>
        </w:num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Signs &amp; symptoms of bowel cancer</w:t>
      </w:r>
    </w:p>
    <w:p w:rsidR="00C26FDC" w:rsidRPr="00F57141" w:rsidRDefault="00C26FDC" w:rsidP="00C26FDC">
      <w:pPr>
        <w:rPr>
          <w:rFonts w:ascii="Segoe UI" w:eastAsiaTheme="minorHAnsi" w:hAnsi="Segoe UI" w:cs="Segoe UI"/>
          <w:lang w:val="en-GB"/>
        </w:rPr>
      </w:pPr>
    </w:p>
    <w:p w:rsidR="00C26FDC" w:rsidRPr="00F57141" w:rsidRDefault="00C26FDC" w:rsidP="00C26FDC">
      <w:pPr>
        <w:rPr>
          <w:rFonts w:ascii="Segoe UI" w:hAnsi="Segoe UI" w:cs="Segoe UI"/>
        </w:rPr>
      </w:pPr>
      <w:r w:rsidRPr="00F57141">
        <w:rPr>
          <w:rFonts w:ascii="Segoe UI" w:hAnsi="Segoe UI" w:cs="Segoe UI"/>
        </w:rPr>
        <w:t>Wellbeing Champions will be supporting and promoting this year’s Flu campaign</w:t>
      </w:r>
    </w:p>
    <w:p w:rsidR="00C26FDC" w:rsidRDefault="00C26FDC" w:rsidP="00C26FDC">
      <w:pPr>
        <w:jc w:val="both"/>
        <w:rPr>
          <w:rFonts w:ascii="Segoe UI" w:hAnsi="Segoe UI" w:cs="Segoe UI"/>
          <w:b/>
        </w:rPr>
      </w:pPr>
    </w:p>
    <w:p w:rsidR="00C26FDC" w:rsidRPr="009E0559" w:rsidRDefault="00C26FDC" w:rsidP="00C26FDC">
      <w:pPr>
        <w:jc w:val="both"/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>Management of Concerns (Whistle Blowing)</w:t>
      </w:r>
    </w:p>
    <w:p w:rsidR="00C26FDC" w:rsidRPr="009E0559" w:rsidRDefault="00C26FDC" w:rsidP="00C26FDC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Pr="009E0559">
        <w:rPr>
          <w:rFonts w:ascii="Segoe UI" w:hAnsi="Segoe UI" w:cs="Segoe UI"/>
        </w:rPr>
        <w:t xml:space="preserve"> current cases, </w:t>
      </w:r>
      <w:r>
        <w:rPr>
          <w:rFonts w:ascii="Segoe UI" w:hAnsi="Segoe UI" w:cs="Segoe UI"/>
        </w:rPr>
        <w:t>1</w:t>
      </w:r>
      <w:r w:rsidRPr="009E0559">
        <w:rPr>
          <w:rFonts w:ascii="Segoe UI" w:hAnsi="Segoe UI" w:cs="Segoe UI"/>
        </w:rPr>
        <w:t xml:space="preserve"> in </w:t>
      </w:r>
      <w:r>
        <w:rPr>
          <w:rFonts w:ascii="Segoe UI" w:hAnsi="Segoe UI" w:cs="Segoe UI"/>
        </w:rPr>
        <w:t xml:space="preserve">Mental Health </w:t>
      </w:r>
      <w:r w:rsidRPr="009E0559">
        <w:rPr>
          <w:rFonts w:ascii="Segoe UI" w:hAnsi="Segoe UI" w:cs="Segoe UI"/>
        </w:rPr>
        <w:t>Directorate</w:t>
      </w:r>
      <w:r>
        <w:rPr>
          <w:rFonts w:ascii="Segoe UI" w:hAnsi="Segoe UI" w:cs="Segoe UI"/>
        </w:rPr>
        <w:t xml:space="preserve">, 1 </w:t>
      </w:r>
      <w:proofErr w:type="spellStart"/>
      <w:r>
        <w:rPr>
          <w:rFonts w:ascii="Segoe UI" w:hAnsi="Segoe UI" w:cs="Segoe UI"/>
        </w:rPr>
        <w:t>Specialised</w:t>
      </w:r>
      <w:proofErr w:type="spellEnd"/>
      <w:r>
        <w:rPr>
          <w:rFonts w:ascii="Segoe UI" w:hAnsi="Segoe UI" w:cs="Segoe UI"/>
        </w:rPr>
        <w:t xml:space="preserve"> Services</w:t>
      </w:r>
      <w:r w:rsidRPr="009E0559">
        <w:rPr>
          <w:rFonts w:ascii="Segoe UI" w:hAnsi="Segoe UI" w:cs="Segoe UI"/>
        </w:rPr>
        <w:t xml:space="preserve"> and one relating to a flexible worker. All are currently </w:t>
      </w:r>
      <w:r>
        <w:rPr>
          <w:rFonts w:ascii="Segoe UI" w:hAnsi="Segoe UI" w:cs="Segoe UI"/>
        </w:rPr>
        <w:t xml:space="preserve">under </w:t>
      </w:r>
      <w:r w:rsidRPr="009E0559">
        <w:rPr>
          <w:rFonts w:ascii="Segoe UI" w:hAnsi="Segoe UI" w:cs="Segoe UI"/>
        </w:rPr>
        <w:t>investigation.</w:t>
      </w:r>
    </w:p>
    <w:p w:rsidR="00C26FDC" w:rsidRPr="009E0559" w:rsidRDefault="00C26FDC" w:rsidP="00C26FDC">
      <w:pPr>
        <w:rPr>
          <w:rFonts w:ascii="Segoe UI" w:hAnsi="Segoe UI" w:cs="Segoe UI"/>
        </w:rPr>
      </w:pPr>
    </w:p>
    <w:p w:rsidR="00C26FDC" w:rsidRDefault="00C26FDC" w:rsidP="00C26FDC">
      <w:pPr>
        <w:rPr>
          <w:rFonts w:ascii="Segoe UI" w:hAnsi="Segoe UI" w:cs="Segoe UI"/>
          <w:b/>
        </w:rPr>
      </w:pPr>
      <w:r w:rsidRPr="00CC5620">
        <w:rPr>
          <w:rFonts w:ascii="Segoe UI" w:hAnsi="Segoe UI" w:cs="Segoe UI"/>
          <w:b/>
        </w:rPr>
        <w:t xml:space="preserve">EDI </w:t>
      </w:r>
    </w:p>
    <w:p w:rsidR="00C26FDC" w:rsidRDefault="00C26FDC" w:rsidP="00C26FD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Linking Leaders events in September focused on Disability Equality. Over 200 staff members attended events that were held in Oxford, </w:t>
      </w:r>
      <w:proofErr w:type="spellStart"/>
      <w:r>
        <w:rPr>
          <w:rFonts w:ascii="Segoe UI" w:hAnsi="Segoe UI" w:cs="Segoe UI"/>
        </w:rPr>
        <w:t>Aylesbury</w:t>
      </w:r>
      <w:proofErr w:type="spellEnd"/>
      <w:r>
        <w:rPr>
          <w:rFonts w:ascii="Segoe UI" w:hAnsi="Segoe UI" w:cs="Segoe UI"/>
        </w:rPr>
        <w:t xml:space="preserve"> and </w:t>
      </w:r>
      <w:proofErr w:type="spellStart"/>
      <w:r>
        <w:rPr>
          <w:rFonts w:ascii="Segoe UI" w:hAnsi="Segoe UI" w:cs="Segoe UI"/>
        </w:rPr>
        <w:t>Swindon</w:t>
      </w:r>
      <w:proofErr w:type="spellEnd"/>
      <w:r>
        <w:rPr>
          <w:rFonts w:ascii="Segoe UI" w:hAnsi="Segoe UI" w:cs="Segoe UI"/>
        </w:rPr>
        <w:t>.</w:t>
      </w:r>
    </w:p>
    <w:p w:rsidR="00C26FDC" w:rsidRDefault="00C26FDC" w:rsidP="00C26FDC">
      <w:pPr>
        <w:rPr>
          <w:rFonts w:ascii="Segoe UI" w:hAnsi="Segoe UI" w:cs="Segoe UI"/>
        </w:rPr>
      </w:pPr>
    </w:p>
    <w:p w:rsidR="00C26FDC" w:rsidRPr="00CC5620" w:rsidRDefault="00C26FDC" w:rsidP="00C26FDC">
      <w:pPr>
        <w:rPr>
          <w:rFonts w:ascii="Segoe UI" w:hAnsi="Segoe UI" w:cs="Segoe UI"/>
        </w:rPr>
      </w:pPr>
      <w:r>
        <w:rPr>
          <w:rFonts w:ascii="Segoe UI" w:hAnsi="Segoe UI" w:cs="Segoe UI"/>
        </w:rPr>
        <w:t>The Race Equality Staff Network has marked Black History Month with celebrations during October at Whiteleaf Centre and Littlemore.</w:t>
      </w:r>
    </w:p>
    <w:p w:rsidR="00C26FDC" w:rsidRPr="009E0559" w:rsidRDefault="00C26FDC" w:rsidP="00C26FDC">
      <w:pPr>
        <w:rPr>
          <w:rFonts w:ascii="Segoe UI" w:hAnsi="Segoe UI" w:cs="Segoe UI"/>
        </w:rPr>
      </w:pPr>
    </w:p>
    <w:p w:rsidR="00C26FDC" w:rsidRPr="009E0559" w:rsidRDefault="00C26FDC" w:rsidP="00C26FDC">
      <w:pPr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 xml:space="preserve">Retention </w:t>
      </w:r>
    </w:p>
    <w:p w:rsidR="00C26FDC" w:rsidRDefault="00C26FDC" w:rsidP="00C26FDC">
      <w:pPr>
        <w:rPr>
          <w:rFonts w:ascii="Segoe UI" w:hAnsi="Segoe UI" w:cs="Segoe UI"/>
        </w:rPr>
      </w:pPr>
      <w:r>
        <w:rPr>
          <w:rFonts w:ascii="Segoe UI" w:hAnsi="Segoe UI" w:cs="Segoe UI"/>
        </w:rPr>
        <w:t>Work on retention continues and as shown in the data slides, t</w:t>
      </w:r>
      <w:r w:rsidRPr="00424508">
        <w:rPr>
          <w:rFonts w:ascii="Segoe UI" w:hAnsi="Segoe UI" w:cs="Segoe UI"/>
        </w:rPr>
        <w:t xml:space="preserve">urnover has continued </w:t>
      </w:r>
      <w:r>
        <w:rPr>
          <w:rFonts w:ascii="Segoe UI" w:hAnsi="Segoe UI" w:cs="Segoe UI"/>
        </w:rPr>
        <w:t xml:space="preserve">its steady </w:t>
      </w:r>
      <w:r w:rsidRPr="00424508">
        <w:rPr>
          <w:rFonts w:ascii="Segoe UI" w:hAnsi="Segoe UI" w:cs="Segoe UI"/>
        </w:rPr>
        <w:t>reduction over the last 5 months to stand at 13.8% in September. The reduction was experienced across all the Directorates.</w:t>
      </w:r>
    </w:p>
    <w:p w:rsidR="00C26FDC" w:rsidRPr="00424508" w:rsidRDefault="00C26FDC" w:rsidP="00C26FDC">
      <w:pPr>
        <w:rPr>
          <w:rFonts w:ascii="Segoe UI" w:hAnsi="Segoe UI" w:cs="Segoe UI"/>
        </w:rPr>
      </w:pPr>
    </w:p>
    <w:p w:rsidR="00C26FDC" w:rsidRDefault="00C26FDC" w:rsidP="00C26FD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NHS Staff Survey</w:t>
      </w:r>
    </w:p>
    <w:p w:rsidR="00C26FDC" w:rsidRDefault="00C26FDC" w:rsidP="00C26FDC">
      <w:r>
        <w:rPr>
          <w:rFonts w:ascii="Segoe UI" w:hAnsi="Segoe UI" w:cs="Segoe UI"/>
        </w:rPr>
        <w:t>The survey</w:t>
      </w:r>
      <w:r w:rsidRPr="00FA5C39">
        <w:rPr>
          <w:rFonts w:ascii="Segoe UI" w:hAnsi="Segoe UI" w:cs="Segoe UI"/>
        </w:rPr>
        <w:t xml:space="preserve"> launched in October and all eligible employees have been invited to participate. This year the survey is mixed mode: </w:t>
      </w:r>
      <w:proofErr w:type="gramStart"/>
      <w:r w:rsidRPr="00FA5C39">
        <w:rPr>
          <w:rFonts w:ascii="Segoe UI" w:hAnsi="Segoe UI" w:cs="Segoe UI"/>
        </w:rPr>
        <w:t>the majority of</w:t>
      </w:r>
      <w:proofErr w:type="gramEnd"/>
      <w:r w:rsidRPr="00FA5C39">
        <w:rPr>
          <w:rFonts w:ascii="Segoe UI" w:hAnsi="Segoe UI" w:cs="Segoe UI"/>
        </w:rPr>
        <w:t xml:space="preserve"> staff will receive an email inviting them to complete the survey</w:t>
      </w:r>
      <w:r>
        <w:rPr>
          <w:rFonts w:ascii="Segoe UI" w:hAnsi="Segoe UI" w:cs="Segoe UI"/>
        </w:rPr>
        <w:t xml:space="preserve">, </w:t>
      </w:r>
      <w:r w:rsidRPr="00FA5C39">
        <w:rPr>
          <w:rFonts w:ascii="Segoe UI" w:hAnsi="Segoe UI" w:cs="Segoe UI"/>
        </w:rPr>
        <w:t>some staff will receive a paper version. It is hoped that this will increase the response rate for staff who have reduced access to the IT network.</w:t>
      </w:r>
      <w:r>
        <w:t xml:space="preserve"> </w:t>
      </w:r>
    </w:p>
    <w:p w:rsidR="00C26FDC" w:rsidRDefault="00C26FDC" w:rsidP="00C26FDC">
      <w:pPr>
        <w:rPr>
          <w:sz w:val="22"/>
          <w:szCs w:val="22"/>
          <w:lang w:val="en-GB"/>
        </w:rPr>
      </w:pPr>
    </w:p>
    <w:p w:rsidR="00C26FDC" w:rsidRPr="00424508" w:rsidRDefault="00C26FDC" w:rsidP="00C26FDC">
      <w:pPr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>Pay Review – NHS Terms and Conditions Refresh</w:t>
      </w:r>
    </w:p>
    <w:p w:rsidR="00C26FDC" w:rsidRPr="00424508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424508">
        <w:rPr>
          <w:rFonts w:ascii="Segoe UI" w:hAnsi="Segoe UI" w:cs="Segoe UI"/>
          <w:sz w:val="24"/>
          <w:szCs w:val="24"/>
        </w:rPr>
        <w:t xml:space="preserve">Work </w:t>
      </w:r>
      <w:proofErr w:type="gramStart"/>
      <w:r w:rsidRPr="00424508">
        <w:rPr>
          <w:rFonts w:ascii="Segoe UI" w:hAnsi="Segoe UI" w:cs="Segoe UI"/>
          <w:sz w:val="24"/>
          <w:szCs w:val="24"/>
        </w:rPr>
        <w:t>continues on</w:t>
      </w:r>
      <w:proofErr w:type="gramEnd"/>
      <w:r w:rsidRPr="00424508">
        <w:rPr>
          <w:rFonts w:ascii="Segoe UI" w:hAnsi="Segoe UI" w:cs="Segoe UI"/>
          <w:sz w:val="24"/>
          <w:szCs w:val="24"/>
        </w:rPr>
        <w:t xml:space="preserve"> a new appraisal process and Pay Progression Policy as a result of the new NHS pay system. </w:t>
      </w:r>
    </w:p>
    <w:p w:rsidR="00C26FDC" w:rsidRPr="00424508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424508">
        <w:rPr>
          <w:rFonts w:ascii="Segoe UI" w:hAnsi="Segoe UI" w:cs="Segoe UI"/>
          <w:sz w:val="24"/>
          <w:szCs w:val="24"/>
        </w:rPr>
        <w:t xml:space="preserve"> </w:t>
      </w:r>
    </w:p>
    <w:p w:rsidR="00C26FDC" w:rsidRPr="00424508" w:rsidRDefault="00C26FDC" w:rsidP="00C26FDC">
      <w:pPr>
        <w:pStyle w:val="PlainText"/>
        <w:rPr>
          <w:rFonts w:ascii="Segoe UI" w:hAnsi="Segoe UI" w:cs="Segoe UI"/>
          <w:sz w:val="24"/>
          <w:szCs w:val="24"/>
        </w:rPr>
      </w:pPr>
      <w:r w:rsidRPr="00424508">
        <w:rPr>
          <w:rFonts w:ascii="Segoe UI" w:hAnsi="Segoe UI" w:cs="Segoe UI"/>
          <w:sz w:val="24"/>
          <w:szCs w:val="24"/>
        </w:rPr>
        <w:lastRenderedPageBreak/>
        <w:t>A piece of work is underway to proactively communicate Trust’s current reward offering.</w:t>
      </w:r>
    </w:p>
    <w:p w:rsidR="00C26FDC" w:rsidRPr="00D30EDD" w:rsidRDefault="00C26FDC" w:rsidP="00C26FDC">
      <w:pPr>
        <w:rPr>
          <w:rFonts w:ascii="Segoe UI" w:hAnsi="Segoe UI" w:cs="Segoe UI"/>
        </w:rPr>
      </w:pPr>
    </w:p>
    <w:p w:rsidR="00C26FDC" w:rsidRDefault="00C26FDC" w:rsidP="00C26FDC">
      <w:pPr>
        <w:jc w:val="both"/>
        <w:rPr>
          <w:rFonts w:ascii="Segoe UI" w:hAnsi="Segoe UI" w:cs="Segoe UI"/>
          <w:b/>
        </w:rPr>
      </w:pPr>
      <w:bookmarkStart w:id="3" w:name="_Hlk527620228"/>
      <w:r>
        <w:rPr>
          <w:rFonts w:ascii="Segoe UI" w:hAnsi="Segoe UI" w:cs="Segoe UI"/>
          <w:b/>
        </w:rPr>
        <w:t>Staff from the European Union</w:t>
      </w:r>
    </w:p>
    <w:p w:rsidR="00C26FDC" w:rsidRPr="00424508" w:rsidRDefault="00C26FDC" w:rsidP="00C26FDC">
      <w:pPr>
        <w:jc w:val="both"/>
        <w:rPr>
          <w:rFonts w:ascii="Segoe UI" w:hAnsi="Segoe UI" w:cs="Segoe UI"/>
          <w:b/>
        </w:rPr>
      </w:pPr>
      <w:r w:rsidRPr="00424508">
        <w:rPr>
          <w:rFonts w:ascii="Segoe UI" w:hAnsi="Segoe UI" w:cs="Segoe UI"/>
        </w:rPr>
        <w:t xml:space="preserve">We are awaiting further guidance from NHS Employers about recently announced Home Office plans </w:t>
      </w:r>
      <w:r w:rsidRPr="00424508">
        <w:rPr>
          <w:rFonts w:ascii="Segoe UI" w:hAnsi="Segoe UI" w:cs="Segoe UI"/>
          <w:lang w:val="en"/>
        </w:rPr>
        <w:t>to allow, EU citizens working in the health or social care sector to access the EU Settlement Scheme early to apply for settled status or pre-settled status. This would allow people working in health or social care to access the scheme from 29</w:t>
      </w:r>
      <w:r w:rsidRPr="00424508">
        <w:rPr>
          <w:rFonts w:ascii="Segoe UI" w:hAnsi="Segoe UI" w:cs="Segoe UI"/>
          <w:vertAlign w:val="superscript"/>
          <w:lang w:val="en"/>
        </w:rPr>
        <w:t>th</w:t>
      </w:r>
      <w:r w:rsidRPr="00424508">
        <w:rPr>
          <w:rFonts w:ascii="Segoe UI" w:hAnsi="Segoe UI" w:cs="Segoe UI"/>
          <w:lang w:val="en"/>
        </w:rPr>
        <w:t xml:space="preserve"> November 2018, before it is fully operational from March 2019.</w:t>
      </w:r>
    </w:p>
    <w:p w:rsidR="00C26FDC" w:rsidRPr="00424508" w:rsidRDefault="00C26FDC" w:rsidP="00C26FDC">
      <w:pPr>
        <w:pStyle w:val="NormalWeb"/>
        <w:rPr>
          <w:rFonts w:ascii="Segoe UI" w:hAnsi="Segoe UI" w:cs="Segoe UI"/>
          <w:lang w:val="en"/>
        </w:rPr>
      </w:pPr>
      <w:r w:rsidRPr="00424508">
        <w:rPr>
          <w:rFonts w:ascii="Segoe UI" w:hAnsi="Segoe UI" w:cs="Segoe UI"/>
          <w:lang w:val="en"/>
        </w:rPr>
        <w:t>Once further details are available a Trust-wide communication can be developed.</w:t>
      </w:r>
    </w:p>
    <w:bookmarkEnd w:id="3"/>
    <w:p w:rsidR="00C26FDC" w:rsidRPr="009E0559" w:rsidRDefault="00C26FDC" w:rsidP="00C26FDC">
      <w:pPr>
        <w:jc w:val="both"/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>Recommendation</w:t>
      </w:r>
    </w:p>
    <w:p w:rsidR="00C26FDC" w:rsidRPr="009E0559" w:rsidRDefault="00C26FDC" w:rsidP="00C26FDC">
      <w:pPr>
        <w:ind w:left="-851" w:firstLine="851"/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>To note the report for information.</w:t>
      </w:r>
    </w:p>
    <w:p w:rsidR="00C26FDC" w:rsidRPr="009E0559" w:rsidRDefault="00C26FDC" w:rsidP="00C26FDC">
      <w:pPr>
        <w:ind w:left="-851" w:firstLine="851"/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 xml:space="preserve"> </w:t>
      </w:r>
    </w:p>
    <w:p w:rsidR="00C26FDC" w:rsidRPr="009E0559" w:rsidRDefault="00C26FDC" w:rsidP="00C26FDC">
      <w:pPr>
        <w:ind w:left="1440" w:hanging="1440"/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  <w:b/>
        </w:rPr>
        <w:t>Author and Title:</w:t>
      </w:r>
      <w:r w:rsidRPr="009E0559">
        <w:rPr>
          <w:rFonts w:ascii="Segoe UI" w:hAnsi="Segoe UI" w:cs="Segoe UI"/>
        </w:rPr>
        <w:t xml:space="preserve"> </w:t>
      </w:r>
      <w:r w:rsidRPr="009E0559">
        <w:rPr>
          <w:rFonts w:ascii="Segoe UI" w:hAnsi="Segoe UI" w:cs="Segoe UI"/>
        </w:rPr>
        <w:tab/>
      </w:r>
    </w:p>
    <w:p w:rsidR="00C26FDC" w:rsidRPr="009E0559" w:rsidRDefault="00C26FDC" w:rsidP="00C26FDC">
      <w:pPr>
        <w:ind w:left="1440" w:hanging="1440"/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>Simon Denton (Head of HR Operations)</w:t>
      </w:r>
    </w:p>
    <w:p w:rsidR="00C26FDC" w:rsidRPr="009E0559" w:rsidRDefault="00C26FDC" w:rsidP="00C26FDC">
      <w:pPr>
        <w:ind w:left="1440" w:hanging="1440"/>
        <w:jc w:val="both"/>
        <w:rPr>
          <w:rFonts w:ascii="Segoe UI" w:hAnsi="Segoe UI" w:cs="Segoe UI"/>
        </w:rPr>
      </w:pPr>
    </w:p>
    <w:p w:rsidR="00C26FDC" w:rsidRPr="009E0559" w:rsidRDefault="00C26FDC" w:rsidP="00C26FDC">
      <w:pPr>
        <w:jc w:val="both"/>
        <w:rPr>
          <w:rFonts w:ascii="Segoe UI" w:hAnsi="Segoe UI" w:cs="Segoe UI"/>
          <w:b/>
        </w:rPr>
      </w:pPr>
      <w:r w:rsidRPr="009E0559">
        <w:rPr>
          <w:rFonts w:ascii="Segoe UI" w:hAnsi="Segoe UI" w:cs="Segoe UI"/>
          <w:b/>
        </w:rPr>
        <w:t>Lead Executive Director:</w:t>
      </w:r>
      <w:r w:rsidRPr="009E0559">
        <w:rPr>
          <w:rFonts w:ascii="Segoe UI" w:hAnsi="Segoe UI" w:cs="Segoe UI"/>
          <w:b/>
        </w:rPr>
        <w:tab/>
      </w:r>
    </w:p>
    <w:p w:rsidR="00C26FDC" w:rsidRPr="009E0559" w:rsidRDefault="00C26FDC" w:rsidP="00C26FDC">
      <w:pPr>
        <w:jc w:val="both"/>
        <w:rPr>
          <w:rFonts w:ascii="Segoe UI" w:hAnsi="Segoe UI" w:cs="Segoe UI"/>
        </w:rPr>
      </w:pPr>
      <w:r w:rsidRPr="009E0559">
        <w:rPr>
          <w:rFonts w:ascii="Segoe UI" w:hAnsi="Segoe UI" w:cs="Segoe UI"/>
        </w:rPr>
        <w:t>Tim Boylin</w:t>
      </w:r>
    </w:p>
    <w:p w:rsidR="003927AC" w:rsidRPr="00F945DB" w:rsidRDefault="003927AC" w:rsidP="003927AC">
      <w:pPr>
        <w:jc w:val="both"/>
        <w:rPr>
          <w:rFonts w:ascii="Segoe UI" w:hAnsi="Segoe UI" w:cs="Segoe UI"/>
        </w:rPr>
      </w:pPr>
    </w:p>
    <w:sectPr w:rsidR="003927AC" w:rsidRPr="00F945DB" w:rsidSect="00262F0F"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0F" w:rsidRPr="00342219" w:rsidRDefault="00262F0F" w:rsidP="00262F0F">
    <w:pPr>
      <w:pStyle w:val="Header"/>
      <w:jc w:val="center"/>
      <w:rPr>
        <w:rFonts w:ascii="Segoe UI" w:hAnsi="Segoe UI" w:cs="Segoe UI"/>
        <w:b/>
        <w:i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  <w:r w:rsidRPr="00342219">
      <w:rPr>
        <w:rFonts w:ascii="Segoe UI" w:hAnsi="Segoe UI" w:cs="Segoe UI"/>
        <w:sz w:val="20"/>
        <w:szCs w:val="20"/>
      </w:rPr>
      <w:t>[</w:t>
    </w:r>
    <w:r w:rsidRPr="00342219">
      <w:rPr>
        <w:rFonts w:ascii="Segoe UI" w:hAnsi="Segoe UI" w:cs="Segoe UI"/>
        <w:i/>
        <w:sz w:val="20"/>
        <w:szCs w:val="20"/>
      </w:rPr>
      <w:t xml:space="preserve">please remove any patient identifiable information </w:t>
    </w:r>
    <w:r w:rsidR="00342219" w:rsidRPr="00342219">
      <w:rPr>
        <w:rFonts w:ascii="Segoe UI" w:hAnsi="Segoe UI" w:cs="Segoe UI"/>
        <w:i/>
        <w:sz w:val="20"/>
        <w:szCs w:val="20"/>
      </w:rPr>
      <w:t>from papers for the public</w:t>
    </w:r>
    <w:r w:rsidRPr="00342219">
      <w:rPr>
        <w:rFonts w:ascii="Segoe UI" w:hAnsi="Segoe UI" w:cs="Segoe UI"/>
        <w:i/>
        <w:sz w:val="20"/>
        <w:szCs w:val="20"/>
      </w:rPr>
      <w:t xml:space="preserve"> meeting</w:t>
    </w:r>
    <w:r w:rsidRPr="00342219">
      <w:rPr>
        <w:rFonts w:ascii="Segoe UI" w:hAnsi="Segoe UI" w:cs="Segoe UI"/>
        <w:sz w:val="20"/>
        <w:szCs w:val="20"/>
      </w:rPr>
      <w:t>]</w:t>
    </w:r>
    <w:r w:rsidRPr="00342219">
      <w:rPr>
        <w:rFonts w:ascii="Segoe UI" w:hAnsi="Segoe UI" w:cs="Segoe UI"/>
        <w:b/>
        <w:i/>
        <w:sz w:val="20"/>
        <w:szCs w:val="20"/>
      </w:rPr>
      <w:t xml:space="preserve"> </w:t>
    </w:r>
  </w:p>
  <w:p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912593C"/>
    <w:multiLevelType w:val="hybridMultilevel"/>
    <w:tmpl w:val="1610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30247"/>
    <w:rsid w:val="00071842"/>
    <w:rsid w:val="000A3A29"/>
    <w:rsid w:val="000A5A07"/>
    <w:rsid w:val="000E317C"/>
    <w:rsid w:val="001F76ED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42219"/>
    <w:rsid w:val="003927AC"/>
    <w:rsid w:val="003971F6"/>
    <w:rsid w:val="003F2AF4"/>
    <w:rsid w:val="003F7366"/>
    <w:rsid w:val="004326BB"/>
    <w:rsid w:val="00456DDE"/>
    <w:rsid w:val="004742D0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C6A52"/>
    <w:rsid w:val="006E38F4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94B97"/>
    <w:rsid w:val="008E32B1"/>
    <w:rsid w:val="00946E6E"/>
    <w:rsid w:val="009869DE"/>
    <w:rsid w:val="00A674FB"/>
    <w:rsid w:val="00A85311"/>
    <w:rsid w:val="00A86977"/>
    <w:rsid w:val="00AA0C3F"/>
    <w:rsid w:val="00AC3814"/>
    <w:rsid w:val="00AF0562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26FDC"/>
    <w:rsid w:val="00C67635"/>
    <w:rsid w:val="00C71005"/>
    <w:rsid w:val="00D07064"/>
    <w:rsid w:val="00D101CB"/>
    <w:rsid w:val="00D279FC"/>
    <w:rsid w:val="00D55ADD"/>
    <w:rsid w:val="00D8544F"/>
    <w:rsid w:val="00D870AD"/>
    <w:rsid w:val="00DA0FA6"/>
    <w:rsid w:val="00DB161E"/>
    <w:rsid w:val="00DC46A7"/>
    <w:rsid w:val="00DD33DF"/>
    <w:rsid w:val="00DE1293"/>
    <w:rsid w:val="00DF10CC"/>
    <w:rsid w:val="00E60D96"/>
    <w:rsid w:val="00E827C5"/>
    <w:rsid w:val="00F24EB2"/>
    <w:rsid w:val="00F50A07"/>
    <w:rsid w:val="00F57119"/>
    <w:rsid w:val="00F77C13"/>
    <w:rsid w:val="00F945DB"/>
    <w:rsid w:val="00FA399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F4D0F16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6FDC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FDC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26FDC"/>
    <w:pPr>
      <w:spacing w:before="100" w:beforeAutospacing="1" w:after="225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hftintranet.oxfordhealth.nhs.uk/TR/Pages/Stressed---we-know-and-we%e2%80%99re-starting-to-do-something-about-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BEA-A57B-41B0-9E0B-0F36B66A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Hardy Imogen (RNU) Oxford Health</cp:lastModifiedBy>
  <cp:revision>3</cp:revision>
  <cp:lastPrinted>2014-03-17T14:55:00Z</cp:lastPrinted>
  <dcterms:created xsi:type="dcterms:W3CDTF">2018-11-08T14:34:00Z</dcterms:created>
  <dcterms:modified xsi:type="dcterms:W3CDTF">2018-11-16T16:02:00Z</dcterms:modified>
</cp:coreProperties>
</file>