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D5C4" w14:textId="20BA3F68" w:rsidR="00F229DF" w:rsidRPr="00FD1C90" w:rsidRDefault="00F229DF" w:rsidP="00F229DF">
      <w:pPr>
        <w:jc w:val="center"/>
        <w:rPr>
          <w:rFonts w:ascii="Segoe UI" w:hAnsi="Segoe UI" w:cs="Segoe UI"/>
          <w:b/>
          <w:i/>
          <w:color w:val="FF0000"/>
          <w:sz w:val="28"/>
          <w:szCs w:val="28"/>
        </w:rPr>
      </w:pPr>
      <w:r w:rsidRPr="00FD1C90">
        <w:rPr>
          <w:rFonts w:ascii="Segoe UI" w:hAnsi="Segoe UI" w:cs="Segoe UI"/>
          <w:b/>
          <w:sz w:val="28"/>
          <w:szCs w:val="28"/>
        </w:rPr>
        <w:t xml:space="preserve">Summary of Actions from </w:t>
      </w:r>
      <w:r w:rsidR="00EF167E" w:rsidRPr="00FD1C90">
        <w:rPr>
          <w:rFonts w:ascii="Segoe UI" w:hAnsi="Segoe UI" w:cs="Segoe UI"/>
          <w:b/>
          <w:sz w:val="28"/>
          <w:szCs w:val="28"/>
        </w:rPr>
        <w:t>the</w:t>
      </w:r>
      <w:r w:rsidR="00212DE5" w:rsidRPr="00FD1C90">
        <w:rPr>
          <w:rFonts w:ascii="Segoe UI" w:hAnsi="Segoe UI" w:cs="Segoe UI"/>
          <w:b/>
          <w:sz w:val="28"/>
          <w:szCs w:val="28"/>
        </w:rPr>
        <w:t xml:space="preserve"> </w:t>
      </w:r>
      <w:r w:rsidR="006E3567">
        <w:rPr>
          <w:rFonts w:ascii="Segoe UI" w:hAnsi="Segoe UI" w:cs="Segoe UI"/>
          <w:b/>
          <w:sz w:val="28"/>
          <w:szCs w:val="28"/>
        </w:rPr>
        <w:t>Board meeting on 3</w:t>
      </w:r>
      <w:r w:rsidR="00156878">
        <w:rPr>
          <w:rFonts w:ascii="Segoe UI" w:hAnsi="Segoe UI" w:cs="Segoe UI"/>
          <w:b/>
          <w:sz w:val="28"/>
          <w:szCs w:val="28"/>
        </w:rPr>
        <w:t>0</w:t>
      </w:r>
      <w:r w:rsidR="006E3567">
        <w:rPr>
          <w:rFonts w:ascii="Segoe UI" w:hAnsi="Segoe UI" w:cs="Segoe UI"/>
          <w:b/>
          <w:sz w:val="28"/>
          <w:szCs w:val="28"/>
        </w:rPr>
        <w:t xml:space="preserve"> </w:t>
      </w:r>
      <w:r w:rsidR="00156878">
        <w:rPr>
          <w:rFonts w:ascii="Segoe UI" w:hAnsi="Segoe UI" w:cs="Segoe UI"/>
          <w:b/>
          <w:sz w:val="28"/>
          <w:szCs w:val="28"/>
        </w:rPr>
        <w:t>Novem</w:t>
      </w:r>
      <w:r w:rsidR="009177A9">
        <w:rPr>
          <w:rFonts w:ascii="Segoe UI" w:hAnsi="Segoe UI" w:cs="Segoe UI"/>
          <w:b/>
          <w:sz w:val="28"/>
          <w:szCs w:val="28"/>
        </w:rPr>
        <w:t>ber 2018</w:t>
      </w:r>
    </w:p>
    <w:tbl>
      <w:tblPr>
        <w:tblpPr w:leftFromText="180" w:rightFromText="180" w:vertAnchor="page" w:horzAnchor="margin" w:tblpXSpec="center" w:tblpY="2442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3041"/>
      </w:tblGrid>
      <w:tr w:rsidR="00F229DF" w:rsidRPr="00FD1C90" w14:paraId="439D2882" w14:textId="77777777" w:rsidTr="008A35EB">
        <w:trPr>
          <w:trHeight w:val="439"/>
        </w:trPr>
        <w:tc>
          <w:tcPr>
            <w:tcW w:w="2197" w:type="dxa"/>
            <w:vAlign w:val="center"/>
          </w:tcPr>
          <w:p w14:paraId="2519ACC7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Relevant Item</w:t>
            </w:r>
          </w:p>
        </w:tc>
        <w:tc>
          <w:tcPr>
            <w:tcW w:w="8351" w:type="dxa"/>
            <w:vAlign w:val="center"/>
          </w:tcPr>
          <w:p w14:paraId="65060956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Action</w:t>
            </w:r>
          </w:p>
        </w:tc>
        <w:tc>
          <w:tcPr>
            <w:tcW w:w="3041" w:type="dxa"/>
            <w:vAlign w:val="center"/>
          </w:tcPr>
          <w:p w14:paraId="33A1072D" w14:textId="77777777" w:rsidR="00F229DF" w:rsidRPr="00FD1C90" w:rsidRDefault="00F229DF" w:rsidP="008A35EB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D1C90">
              <w:rPr>
                <w:rFonts w:ascii="Segoe UI" w:hAnsi="Segoe UI" w:cs="Segoe UI"/>
                <w:b/>
                <w:sz w:val="28"/>
                <w:szCs w:val="28"/>
              </w:rPr>
              <w:t>Responsibility:</w:t>
            </w:r>
          </w:p>
        </w:tc>
      </w:tr>
      <w:tr w:rsidR="00AF4283" w:rsidRPr="00FD1C90" w14:paraId="1609A4D2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7F27D0EC" w14:textId="77777777" w:rsidR="00AF4283" w:rsidRPr="00FD1C90" w:rsidRDefault="00AF4283" w:rsidP="00AF4283">
            <w:pPr>
              <w:jc w:val="center"/>
              <w:rPr>
                <w:rFonts w:ascii="Segoe UI" w:hAnsi="Segoe UI" w:cs="Segoe UI"/>
              </w:rPr>
            </w:pPr>
          </w:p>
          <w:p w14:paraId="3586FBCD" w14:textId="65E95720" w:rsidR="00AF4283" w:rsidRPr="00FD1C90" w:rsidRDefault="00BF5910" w:rsidP="002B133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5C0F33">
              <w:rPr>
                <w:rFonts w:ascii="Segoe UI" w:hAnsi="Segoe UI" w:cs="Segoe UI"/>
              </w:rPr>
              <w:t>178</w:t>
            </w:r>
            <w:r>
              <w:rPr>
                <w:rFonts w:ascii="Segoe UI" w:hAnsi="Segoe UI" w:cs="Segoe UI"/>
              </w:rPr>
              <w:t xml:space="preserve">/18 </w:t>
            </w:r>
            <w:r w:rsidR="005C0F33">
              <w:rPr>
                <w:rFonts w:ascii="Segoe UI" w:hAnsi="Segoe UI" w:cs="Segoe UI"/>
              </w:rPr>
              <w:t>(b)</w:t>
            </w:r>
          </w:p>
        </w:tc>
        <w:tc>
          <w:tcPr>
            <w:tcW w:w="8351" w:type="dxa"/>
          </w:tcPr>
          <w:p w14:paraId="1676A9F0" w14:textId="77777777" w:rsidR="00CC2B37" w:rsidRDefault="00BF5910" w:rsidP="002B1331">
            <w:pPr>
              <w:jc w:val="both"/>
              <w:rPr>
                <w:rFonts w:ascii="Segoe UI" w:hAnsi="Segoe UI" w:cs="Segoe UI"/>
                <w:b/>
              </w:rPr>
            </w:pPr>
            <w:r w:rsidRPr="00BF5910">
              <w:rPr>
                <w:rFonts w:ascii="Segoe UI" w:hAnsi="Segoe UI" w:cs="Segoe UI"/>
                <w:b/>
              </w:rPr>
              <w:t>Indemnity/insurance cover for sponsorship of research studies, specifically of Clinical Trials of Investigational Medicinal Products (CTIMPs) adopted by the Oxford Health Biomedical Research Centre (BRC)</w:t>
            </w:r>
          </w:p>
          <w:p w14:paraId="61621415" w14:textId="77777777" w:rsidR="00BF5910" w:rsidRDefault="00BF5910" w:rsidP="002B1331">
            <w:pPr>
              <w:jc w:val="both"/>
              <w:rPr>
                <w:rFonts w:ascii="Segoe UI" w:hAnsi="Segoe UI" w:cs="Segoe UI"/>
              </w:rPr>
            </w:pPr>
          </w:p>
          <w:p w14:paraId="0AA956CE" w14:textId="6EC24C28" w:rsidR="009E24BD" w:rsidRDefault="00BF5910" w:rsidP="00AD0BD2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To provide </w:t>
            </w:r>
            <w:r w:rsidRPr="00BF5910">
              <w:rPr>
                <w:rFonts w:ascii="Segoe UI" w:hAnsi="Segoe UI" w:cs="Segoe UI"/>
              </w:rPr>
              <w:t xml:space="preserve">confirmation that </w:t>
            </w:r>
            <w:proofErr w:type="gramStart"/>
            <w:r w:rsidRPr="00BF5910">
              <w:rPr>
                <w:rFonts w:ascii="Segoe UI" w:hAnsi="Segoe UI" w:cs="Segoe UI"/>
              </w:rPr>
              <w:t>sufficient</w:t>
            </w:r>
            <w:proofErr w:type="gramEnd"/>
            <w:r w:rsidRPr="00BF5910">
              <w:rPr>
                <w:rFonts w:ascii="Segoe UI" w:hAnsi="Segoe UI" w:cs="Segoe UI"/>
              </w:rPr>
              <w:t xml:space="preserve"> cover was in place.  </w:t>
            </w:r>
            <w:r>
              <w:rPr>
                <w:rFonts w:ascii="Segoe UI" w:hAnsi="Segoe UI" w:cs="Segoe UI"/>
              </w:rPr>
              <w:t>W</w:t>
            </w:r>
            <w:r w:rsidRPr="00BF5910">
              <w:rPr>
                <w:rFonts w:ascii="Segoe UI" w:hAnsi="Segoe UI" w:cs="Segoe UI"/>
              </w:rPr>
              <w:t>hilst NHS Resolution had confirmed coverage in relation to clinical negligence, there was a potential gap in relation to design and management of clinical trials which may therefore need to be separately covered by Research &amp; Development</w:t>
            </w:r>
            <w:r>
              <w:rPr>
                <w:rFonts w:ascii="Segoe UI" w:hAnsi="Segoe UI" w:cs="Segoe UI"/>
              </w:rPr>
              <w:t xml:space="preserve">.  </w:t>
            </w:r>
          </w:p>
          <w:p w14:paraId="1D73C2E7" w14:textId="77777777" w:rsidR="006B5EAA" w:rsidRDefault="006B5EAA" w:rsidP="00AD0BD2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14:paraId="7D08D5E1" w14:textId="77777777" w:rsidR="0094776F" w:rsidRPr="00FD1C90" w:rsidRDefault="0094776F" w:rsidP="00AD0BD2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</w:t>
            </w:r>
            <w:r>
              <w:rPr>
                <w:rFonts w:ascii="Segoe UI" w:hAnsi="Segoe UI" w:cs="Segoe UI"/>
                <w:i/>
                <w:color w:val="FF0000"/>
              </w:rPr>
              <w:t>:</w:t>
            </w:r>
            <w:r>
              <w:rPr>
                <w:rFonts w:ascii="Segoe UI" w:hAnsi="Segoe UI" w:cs="Segoe UI"/>
                <w:b/>
                <w:i/>
                <w:color w:val="FF0000"/>
              </w:rPr>
              <w:t xml:space="preserve"> </w:t>
            </w:r>
            <w:r w:rsidR="00BF5910">
              <w:rPr>
                <w:rFonts w:ascii="Segoe UI" w:hAnsi="Segoe UI" w:cs="Segoe UI"/>
                <w:b/>
                <w:i/>
                <w:color w:val="FF0000"/>
              </w:rPr>
              <w:t>tbc in meeting or hold for future reporting</w:t>
            </w:r>
            <w:r w:rsidR="00BF5910">
              <w:rPr>
                <w:rFonts w:ascii="Segoe UI" w:hAnsi="Segoe UI" w:cs="Segoe UI"/>
                <w:i/>
                <w:color w:val="FF0000"/>
              </w:rPr>
              <w:t xml:space="preserve">.  </w:t>
            </w:r>
            <w:r w:rsidR="00603BA8">
              <w:rPr>
                <w:rFonts w:ascii="Segoe UI" w:hAnsi="Segoe UI" w:cs="Segoe UI"/>
                <w:b/>
                <w:i/>
                <w:color w:val="FF0000"/>
              </w:rPr>
              <w:t xml:space="preserve"> </w:t>
            </w:r>
          </w:p>
          <w:p w14:paraId="57022142" w14:textId="77777777" w:rsidR="006A1368" w:rsidRPr="00FD1C90" w:rsidRDefault="006A1368" w:rsidP="00AD0BD2">
            <w:pPr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14:paraId="07C2B905" w14:textId="77777777" w:rsidR="00AF4283" w:rsidRPr="00FD1C90" w:rsidRDefault="00AF4283" w:rsidP="00AF4283">
            <w:pPr>
              <w:jc w:val="center"/>
              <w:rPr>
                <w:rFonts w:ascii="Segoe UI" w:hAnsi="Segoe UI" w:cs="Segoe UI"/>
              </w:rPr>
            </w:pPr>
          </w:p>
          <w:p w14:paraId="5440B8B3" w14:textId="77777777" w:rsidR="00D81ADD" w:rsidRPr="00FD1C90" w:rsidRDefault="00D81ADD" w:rsidP="00AF4283">
            <w:pPr>
              <w:jc w:val="center"/>
              <w:rPr>
                <w:rFonts w:ascii="Segoe UI" w:hAnsi="Segoe UI" w:cs="Segoe UI"/>
              </w:rPr>
            </w:pPr>
          </w:p>
          <w:p w14:paraId="51FA9A98" w14:textId="77777777" w:rsidR="00AF4283" w:rsidRPr="00FD1C90" w:rsidRDefault="00BF5910" w:rsidP="00AF428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MHA</w:t>
            </w:r>
          </w:p>
        </w:tc>
      </w:tr>
      <w:tr w:rsidR="006E3567" w:rsidRPr="00FD1C90" w14:paraId="6E62244B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0B04B979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364412F3" w14:textId="430930B3" w:rsidR="006E3567" w:rsidRPr="00FD1C90" w:rsidRDefault="00037A33" w:rsidP="0015687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BD762B">
              <w:rPr>
                <w:rFonts w:ascii="Segoe UI" w:hAnsi="Segoe UI" w:cs="Segoe UI"/>
              </w:rPr>
              <w:t>180</w:t>
            </w:r>
            <w:r w:rsidR="007E13EC">
              <w:rPr>
                <w:rFonts w:ascii="Segoe UI" w:hAnsi="Segoe UI" w:cs="Segoe UI"/>
              </w:rPr>
              <w:t>/18</w:t>
            </w:r>
            <w:r w:rsidR="00F478F8">
              <w:rPr>
                <w:rFonts w:ascii="Segoe UI" w:hAnsi="Segoe UI" w:cs="Segoe UI"/>
              </w:rPr>
              <w:t>(g)</w:t>
            </w:r>
          </w:p>
        </w:tc>
        <w:tc>
          <w:tcPr>
            <w:tcW w:w="8351" w:type="dxa"/>
          </w:tcPr>
          <w:p w14:paraId="6C97C965" w14:textId="4C5EC688" w:rsidR="006E3567" w:rsidRPr="00F478F8" w:rsidRDefault="00F478F8" w:rsidP="006E3567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Separating out the CQC domain of ‘Responsive’</w:t>
            </w:r>
          </w:p>
          <w:p w14:paraId="16160EB8" w14:textId="77777777" w:rsidR="006E3567" w:rsidRDefault="006E3567" w:rsidP="006E3567">
            <w:pPr>
              <w:jc w:val="both"/>
              <w:rPr>
                <w:rFonts w:ascii="Segoe UI" w:hAnsi="Segoe UI" w:cs="Segoe UI"/>
              </w:rPr>
            </w:pPr>
          </w:p>
          <w:p w14:paraId="673F7964" w14:textId="7CCA2904" w:rsidR="006E3567" w:rsidRDefault="00F478F8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Quality Committee to consider further </w:t>
            </w:r>
            <w:r w:rsidR="0030142B">
              <w:rPr>
                <w:rFonts w:ascii="Segoe UI" w:hAnsi="Segoe UI" w:cs="Segoe UI"/>
              </w:rPr>
              <w:t>separating out the CQC domain of ‘Responsive’ from ‘Caring’</w:t>
            </w:r>
            <w:r w:rsidR="000E4B1A">
              <w:rPr>
                <w:rFonts w:ascii="Segoe UI" w:hAnsi="Segoe UI" w:cs="Segoe UI"/>
              </w:rPr>
              <w:t xml:space="preserve"> in the Trust’s governance structures </w:t>
            </w:r>
            <w:proofErr w:type="gramStart"/>
            <w:r w:rsidR="000E4B1A">
              <w:rPr>
                <w:rFonts w:ascii="Segoe UI" w:hAnsi="Segoe UI" w:cs="Segoe UI"/>
              </w:rPr>
              <w:t>in order to</w:t>
            </w:r>
            <w:proofErr w:type="gramEnd"/>
            <w:r w:rsidR="000E4B1A">
              <w:rPr>
                <w:rFonts w:ascii="Segoe UI" w:hAnsi="Segoe UI" w:cs="Segoe UI"/>
              </w:rPr>
              <w:t xml:space="preserve"> give greater focus to waiting times and the balance of demand and capacity.  </w:t>
            </w:r>
          </w:p>
          <w:p w14:paraId="0920D549" w14:textId="77777777" w:rsidR="006E3567" w:rsidRDefault="006E3567" w:rsidP="006E3567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14:paraId="4BA310D5" w14:textId="47D9F99A" w:rsidR="006E3567" w:rsidRPr="0064156E" w:rsidRDefault="000E4B1A" w:rsidP="006E3567">
            <w:pPr>
              <w:jc w:val="both"/>
              <w:rPr>
                <w:rFonts w:ascii="Segoe UI" w:hAnsi="Segoe UI" w:cs="Segoe UI"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 xml:space="preserve">Status: </w:t>
            </w:r>
            <w:r w:rsidR="0064156E">
              <w:rPr>
                <w:rFonts w:ascii="Segoe UI" w:hAnsi="Segoe UI" w:cs="Segoe UI"/>
                <w:b/>
                <w:i/>
                <w:color w:val="FF0000"/>
              </w:rPr>
              <w:t xml:space="preserve">for consideration/discussion </w:t>
            </w:r>
            <w:r w:rsidR="0064156E">
              <w:rPr>
                <w:rFonts w:ascii="Segoe UI" w:hAnsi="Segoe UI" w:cs="Segoe UI"/>
                <w:i/>
                <w:color w:val="FF0000"/>
              </w:rPr>
              <w:t xml:space="preserve">– next Quality Committee meeting on 13 February 2019 </w:t>
            </w:r>
            <w:proofErr w:type="spellStart"/>
            <w:r w:rsidR="0064156E">
              <w:rPr>
                <w:rFonts w:ascii="Segoe UI" w:hAnsi="Segoe UI" w:cs="Segoe UI"/>
                <w:i/>
                <w:color w:val="FF0000"/>
              </w:rPr>
              <w:t>i</w:t>
            </w:r>
            <w:proofErr w:type="spellEnd"/>
          </w:p>
          <w:p w14:paraId="49C9A7E0" w14:textId="77777777" w:rsidR="006E3567" w:rsidRPr="00FD1C90" w:rsidRDefault="006E3567" w:rsidP="006E3567">
            <w:pPr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14:paraId="583A16D0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478A0C9E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1612E830" w14:textId="0A71A56D" w:rsidR="006E3567" w:rsidRPr="00FD1C90" w:rsidRDefault="000E4B1A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DH/</w:t>
            </w:r>
            <w:proofErr w:type="spellStart"/>
            <w:r>
              <w:rPr>
                <w:rFonts w:ascii="Segoe UI" w:hAnsi="Segoe UI" w:cs="Segoe UI"/>
              </w:rPr>
              <w:t>JAsb</w:t>
            </w:r>
            <w:proofErr w:type="spellEnd"/>
          </w:p>
        </w:tc>
      </w:tr>
      <w:tr w:rsidR="006E3567" w:rsidRPr="00FD1C90" w14:paraId="7D399428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46174D8D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07070141" w14:textId="6AFDC52F" w:rsidR="00F85B00" w:rsidRPr="00FD1C90" w:rsidRDefault="00145560" w:rsidP="00F85B0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5F2BA0">
              <w:rPr>
                <w:rFonts w:ascii="Segoe UI" w:hAnsi="Segoe UI" w:cs="Segoe UI"/>
              </w:rPr>
              <w:t>18</w:t>
            </w:r>
            <w:r w:rsidR="00F85B00">
              <w:rPr>
                <w:rFonts w:ascii="Segoe UI" w:hAnsi="Segoe UI" w:cs="Segoe UI"/>
              </w:rPr>
              <w:t>1</w:t>
            </w:r>
            <w:r>
              <w:rPr>
                <w:rFonts w:ascii="Segoe UI" w:hAnsi="Segoe UI" w:cs="Segoe UI"/>
              </w:rPr>
              <w:t xml:space="preserve">/18 </w:t>
            </w:r>
            <w:r w:rsidR="00F85B00">
              <w:rPr>
                <w:rFonts w:ascii="Segoe UI" w:hAnsi="Segoe UI" w:cs="Segoe UI"/>
              </w:rPr>
              <w:t>(</w:t>
            </w:r>
            <w:proofErr w:type="spellStart"/>
            <w:r w:rsidR="00F85B00">
              <w:rPr>
                <w:rFonts w:ascii="Segoe UI" w:hAnsi="Segoe UI" w:cs="Segoe UI"/>
              </w:rPr>
              <w:t>i</w:t>
            </w:r>
            <w:proofErr w:type="spellEnd"/>
            <w:r w:rsidR="00F85B00">
              <w:rPr>
                <w:rFonts w:ascii="Segoe UI" w:hAnsi="Segoe UI" w:cs="Segoe UI"/>
              </w:rPr>
              <w:t>)</w:t>
            </w:r>
          </w:p>
        </w:tc>
        <w:tc>
          <w:tcPr>
            <w:tcW w:w="8351" w:type="dxa"/>
          </w:tcPr>
          <w:p w14:paraId="32C7C4B9" w14:textId="13F35FEB" w:rsidR="006E3567" w:rsidRPr="00F85B00" w:rsidRDefault="00F85B00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WRES (Workforce Race Equality Standards) data</w:t>
            </w:r>
          </w:p>
          <w:p w14:paraId="34D2CA32" w14:textId="77777777" w:rsidR="006E3567" w:rsidRDefault="006E3567" w:rsidP="006E3567">
            <w:pPr>
              <w:jc w:val="both"/>
              <w:rPr>
                <w:rFonts w:ascii="Segoe UI" w:hAnsi="Segoe UI" w:cs="Segoe UI"/>
              </w:rPr>
            </w:pPr>
          </w:p>
          <w:p w14:paraId="15A3A39A" w14:textId="37EDE8DE" w:rsidR="006E3567" w:rsidRDefault="00F85B00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Future reporting to </w:t>
            </w:r>
            <w:r w:rsidR="003B4BEA">
              <w:rPr>
                <w:rFonts w:ascii="Segoe UI" w:hAnsi="Segoe UI" w:cs="Segoe UI"/>
              </w:rPr>
              <w:t xml:space="preserve">clarify the presentation of WRES data (and use numbers rather than percentages) as the way in which it had been presented </w:t>
            </w:r>
            <w:r w:rsidR="00C75474" w:rsidRPr="00C75474">
              <w:rPr>
                <w:rFonts w:ascii="Segoe UI" w:hAnsi="Segoe UI" w:cs="Segoe UI"/>
              </w:rPr>
              <w:t xml:space="preserve">implied that if staff were BME (Black or Minority Ethnic) they would be more than </w:t>
            </w:r>
            <w:r w:rsidR="00C75474" w:rsidRPr="00C75474">
              <w:rPr>
                <w:rFonts w:ascii="Segoe UI" w:hAnsi="Segoe UI" w:cs="Segoe UI"/>
              </w:rPr>
              <w:lastRenderedPageBreak/>
              <w:t xml:space="preserve">50% likely to enter a disciplinary process, as opposed to the data just representing how many were involved in such a process.  </w:t>
            </w:r>
          </w:p>
          <w:p w14:paraId="41C810B4" w14:textId="77777777" w:rsidR="006E3567" w:rsidRDefault="006E3567" w:rsidP="006E3567">
            <w:pPr>
              <w:jc w:val="both"/>
              <w:rPr>
                <w:rFonts w:ascii="Segoe UI" w:hAnsi="Segoe UI" w:cs="Segoe UI"/>
                <w:b/>
                <w:i/>
                <w:color w:val="FF0000"/>
              </w:rPr>
            </w:pPr>
          </w:p>
          <w:p w14:paraId="3335A75A" w14:textId="7D666AC7" w:rsidR="006E3567" w:rsidRPr="00C75474" w:rsidRDefault="00C75474" w:rsidP="006E3567">
            <w:pPr>
              <w:jc w:val="both"/>
              <w:rPr>
                <w:rFonts w:ascii="Segoe UI" w:hAnsi="Segoe UI" w:cs="Segoe UI"/>
                <w:i/>
                <w:color w:val="FF0000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Status: on the agenda</w:t>
            </w:r>
          </w:p>
        </w:tc>
        <w:tc>
          <w:tcPr>
            <w:tcW w:w="3041" w:type="dxa"/>
            <w:shd w:val="clear" w:color="auto" w:fill="auto"/>
          </w:tcPr>
          <w:p w14:paraId="2C61F8FE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459A052F" w14:textId="77777777" w:rsidR="006E3567" w:rsidRPr="00FD1C90" w:rsidRDefault="006E3567" w:rsidP="006E3567">
            <w:pPr>
              <w:jc w:val="center"/>
              <w:rPr>
                <w:rFonts w:ascii="Segoe UI" w:hAnsi="Segoe UI" w:cs="Segoe UI"/>
              </w:rPr>
            </w:pPr>
          </w:p>
          <w:p w14:paraId="40C5BEE8" w14:textId="418C217F" w:rsidR="006E3567" w:rsidRPr="00FD1C90" w:rsidRDefault="00C75474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TB</w:t>
            </w:r>
          </w:p>
        </w:tc>
      </w:tr>
      <w:tr w:rsidR="005F2BA0" w:rsidRPr="00FD1C90" w14:paraId="3DF82D8C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44C1BBCC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3701C7E8" w14:textId="7FB2EE07" w:rsidR="00F0540C" w:rsidRPr="00FD1C90" w:rsidRDefault="00F0540C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BOD </w:t>
            </w:r>
            <w:r w:rsidR="00167C4D">
              <w:rPr>
                <w:rFonts w:ascii="Segoe UI" w:hAnsi="Segoe UI" w:cs="Segoe UI"/>
              </w:rPr>
              <w:t>183</w:t>
            </w:r>
            <w:r>
              <w:rPr>
                <w:rFonts w:ascii="Segoe UI" w:hAnsi="Segoe UI" w:cs="Segoe UI"/>
              </w:rPr>
              <w:t>/18</w:t>
            </w:r>
            <w:r w:rsidR="00167C4D">
              <w:rPr>
                <w:rFonts w:ascii="Segoe UI" w:hAnsi="Segoe UI" w:cs="Segoe UI"/>
              </w:rPr>
              <w:t xml:space="preserve"> </w:t>
            </w:r>
            <w:r w:rsidR="00F332CB">
              <w:rPr>
                <w:rFonts w:ascii="Segoe UI" w:hAnsi="Segoe UI" w:cs="Segoe UI"/>
              </w:rPr>
              <w:t>(d)</w:t>
            </w:r>
          </w:p>
        </w:tc>
        <w:tc>
          <w:tcPr>
            <w:tcW w:w="8351" w:type="dxa"/>
          </w:tcPr>
          <w:p w14:paraId="46021CB0" w14:textId="77777777" w:rsidR="005F2BA0" w:rsidRDefault="005D5CED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Use of social media including YouTube to possibly direct the public to access alternative/Minor Injury services which could help to take pressure away from A&amp;E</w:t>
            </w:r>
          </w:p>
          <w:p w14:paraId="35317518" w14:textId="77777777" w:rsidR="005D5CED" w:rsidRDefault="005D5CED" w:rsidP="006E3567">
            <w:pPr>
              <w:jc w:val="both"/>
              <w:rPr>
                <w:rFonts w:ascii="Segoe UI" w:hAnsi="Segoe UI" w:cs="Segoe UI"/>
              </w:rPr>
            </w:pPr>
          </w:p>
          <w:p w14:paraId="40A7C2B9" w14:textId="77777777" w:rsidR="005D5CED" w:rsidRDefault="005D5CED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To liaise with Comms</w:t>
            </w:r>
            <w:r w:rsidR="00C16EAE">
              <w:rPr>
                <w:rFonts w:ascii="Segoe UI" w:hAnsi="Segoe UI" w:cs="Segoe UI"/>
              </w:rPr>
              <w:t xml:space="preserve"> on whether this could be an option.  </w:t>
            </w:r>
          </w:p>
          <w:p w14:paraId="581F9318" w14:textId="77777777" w:rsidR="00C16EAE" w:rsidRDefault="00C16EAE" w:rsidP="006E3567">
            <w:pPr>
              <w:jc w:val="both"/>
              <w:rPr>
                <w:rFonts w:ascii="Segoe UI" w:hAnsi="Segoe UI" w:cs="Segoe UI"/>
              </w:rPr>
            </w:pPr>
          </w:p>
          <w:p w14:paraId="5A5EF27C" w14:textId="5A875BCD" w:rsidR="00C16EAE" w:rsidRPr="005D5CED" w:rsidRDefault="00C16EAE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Status:</w:t>
            </w:r>
            <w:r>
              <w:rPr>
                <w:rFonts w:ascii="Segoe UI" w:hAnsi="Segoe UI" w:cs="Segoe UI"/>
                <w:b/>
                <w:i/>
                <w:color w:val="FF0000"/>
              </w:rPr>
              <w:t xml:space="preserve"> tbc in meeting</w:t>
            </w:r>
          </w:p>
        </w:tc>
        <w:tc>
          <w:tcPr>
            <w:tcW w:w="3041" w:type="dxa"/>
            <w:shd w:val="clear" w:color="auto" w:fill="auto"/>
          </w:tcPr>
          <w:p w14:paraId="5D07DDF4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07896BC6" w14:textId="0DEAC9F2" w:rsidR="00C16EAE" w:rsidRPr="00FD1C90" w:rsidRDefault="00C16EAE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KR</w:t>
            </w:r>
          </w:p>
        </w:tc>
      </w:tr>
      <w:tr w:rsidR="005F2BA0" w:rsidRPr="00FD1C90" w14:paraId="7114B870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75718A3B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06BDCFA9" w14:textId="1CE46A2B" w:rsidR="0065113F" w:rsidRPr="00FD1C90" w:rsidRDefault="0065113F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BOD 185/18 (d)</w:t>
            </w:r>
          </w:p>
        </w:tc>
        <w:tc>
          <w:tcPr>
            <w:tcW w:w="8351" w:type="dxa"/>
          </w:tcPr>
          <w:p w14:paraId="3B831680" w14:textId="77777777" w:rsidR="005F2BA0" w:rsidRDefault="0065113F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Finance Report</w:t>
            </w:r>
          </w:p>
          <w:p w14:paraId="200BE0D1" w14:textId="77777777" w:rsidR="0065113F" w:rsidRDefault="0065113F" w:rsidP="006E3567">
            <w:pPr>
              <w:jc w:val="both"/>
              <w:rPr>
                <w:rFonts w:ascii="Segoe UI" w:hAnsi="Segoe UI" w:cs="Segoe UI"/>
              </w:rPr>
            </w:pPr>
          </w:p>
          <w:p w14:paraId="3602004C" w14:textId="77777777" w:rsidR="0065113F" w:rsidRDefault="0065113F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To include reporting against the reforecast position. </w:t>
            </w:r>
          </w:p>
          <w:p w14:paraId="6BFCA86C" w14:textId="77777777" w:rsidR="0065113F" w:rsidRDefault="0065113F" w:rsidP="006E3567">
            <w:pPr>
              <w:jc w:val="both"/>
              <w:rPr>
                <w:rFonts w:ascii="Segoe UI" w:hAnsi="Segoe UI" w:cs="Segoe UI"/>
              </w:rPr>
            </w:pPr>
          </w:p>
          <w:p w14:paraId="3AD42D35" w14:textId="0E428E0A" w:rsidR="0065113F" w:rsidRPr="0065113F" w:rsidRDefault="0065113F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Status: on the agenda</w:t>
            </w:r>
          </w:p>
        </w:tc>
        <w:tc>
          <w:tcPr>
            <w:tcW w:w="3041" w:type="dxa"/>
            <w:shd w:val="clear" w:color="auto" w:fill="auto"/>
          </w:tcPr>
          <w:p w14:paraId="52618327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78D72789" w14:textId="3A86C6CC" w:rsidR="0065113F" w:rsidRPr="00FD1C90" w:rsidRDefault="0065113F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MME</w:t>
            </w:r>
          </w:p>
        </w:tc>
      </w:tr>
      <w:tr w:rsidR="005F2BA0" w:rsidRPr="00FD1C90" w14:paraId="113C4521" w14:textId="77777777" w:rsidTr="008A35EB">
        <w:trPr>
          <w:trHeight w:val="1340"/>
        </w:trPr>
        <w:tc>
          <w:tcPr>
            <w:tcW w:w="2197" w:type="dxa"/>
            <w:shd w:val="clear" w:color="auto" w:fill="auto"/>
          </w:tcPr>
          <w:p w14:paraId="57C8F9C8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4C006ECF" w14:textId="0A3E5EC2" w:rsidR="00AD4F1E" w:rsidRPr="00FD1C90" w:rsidRDefault="00AD4F1E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BOD 188/18 (c)</w:t>
            </w:r>
          </w:p>
        </w:tc>
        <w:tc>
          <w:tcPr>
            <w:tcW w:w="8351" w:type="dxa"/>
          </w:tcPr>
          <w:p w14:paraId="316736DF" w14:textId="77777777" w:rsidR="005F2BA0" w:rsidRDefault="00FF4611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R</w:t>
            </w:r>
            <w:r w:rsidRPr="00FF4611">
              <w:rPr>
                <w:rFonts w:ascii="Segoe UI" w:hAnsi="Segoe UI" w:cs="Segoe UI"/>
                <w:b/>
              </w:rPr>
              <w:t>eport on health care access standards for people with Learning Disabilities</w:t>
            </w:r>
          </w:p>
          <w:p w14:paraId="20185593" w14:textId="77777777" w:rsidR="00FF4611" w:rsidRDefault="00FF4611" w:rsidP="006E3567">
            <w:pPr>
              <w:jc w:val="both"/>
              <w:rPr>
                <w:rFonts w:ascii="Segoe UI" w:hAnsi="Segoe UI" w:cs="Segoe UI"/>
              </w:rPr>
            </w:pPr>
          </w:p>
          <w:p w14:paraId="7420475B" w14:textId="77777777" w:rsidR="00FF4611" w:rsidRDefault="00FF4611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 the January Board. </w:t>
            </w:r>
          </w:p>
          <w:p w14:paraId="62B5F24A" w14:textId="77777777" w:rsidR="00FF4611" w:rsidRDefault="00FF4611" w:rsidP="006E3567">
            <w:pPr>
              <w:jc w:val="both"/>
              <w:rPr>
                <w:rFonts w:ascii="Segoe UI" w:hAnsi="Segoe UI" w:cs="Segoe UI"/>
              </w:rPr>
            </w:pPr>
          </w:p>
          <w:p w14:paraId="47A7E5E6" w14:textId="42A11182" w:rsidR="00FF4611" w:rsidRPr="00FF4611" w:rsidRDefault="00FF4611" w:rsidP="006E356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i/>
                <w:color w:val="FF0000"/>
              </w:rPr>
              <w:t>Status: on the agenda</w:t>
            </w:r>
          </w:p>
        </w:tc>
        <w:tc>
          <w:tcPr>
            <w:tcW w:w="3041" w:type="dxa"/>
            <w:shd w:val="clear" w:color="auto" w:fill="auto"/>
          </w:tcPr>
          <w:p w14:paraId="2C6F6C57" w14:textId="77777777" w:rsidR="005F2BA0" w:rsidRDefault="005F2BA0" w:rsidP="006E3567">
            <w:pPr>
              <w:jc w:val="center"/>
              <w:rPr>
                <w:rFonts w:ascii="Segoe UI" w:hAnsi="Segoe UI" w:cs="Segoe UI"/>
              </w:rPr>
            </w:pPr>
          </w:p>
          <w:p w14:paraId="0F2B7536" w14:textId="0224EFFC" w:rsidR="00FF4611" w:rsidRPr="00FD1C90" w:rsidRDefault="00FF4611" w:rsidP="006E356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</w:t>
            </w:r>
            <w:bookmarkStart w:id="0" w:name="_GoBack"/>
            <w:bookmarkEnd w:id="0"/>
          </w:p>
        </w:tc>
      </w:tr>
    </w:tbl>
    <w:p w14:paraId="24F5C67B" w14:textId="77777777" w:rsidR="009177A9" w:rsidRPr="00FD1C90" w:rsidRDefault="009177A9">
      <w:pPr>
        <w:rPr>
          <w:rFonts w:ascii="Segoe UI" w:hAnsi="Segoe UI" w:cs="Segoe UI"/>
        </w:rPr>
      </w:pPr>
    </w:p>
    <w:sectPr w:rsidR="009177A9" w:rsidRPr="00FD1C90" w:rsidSect="008A35EB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35E4" w14:textId="77777777" w:rsidR="00C86758" w:rsidRPr="005C126B" w:rsidRDefault="00C86758" w:rsidP="00212DE5">
      <w:pPr>
        <w:pStyle w:val="ListParagraph"/>
      </w:pPr>
      <w:r>
        <w:separator/>
      </w:r>
    </w:p>
  </w:endnote>
  <w:endnote w:type="continuationSeparator" w:id="0">
    <w:p w14:paraId="33E284EB" w14:textId="77777777" w:rsidR="00C86758" w:rsidRPr="005C126B" w:rsidRDefault="00C86758" w:rsidP="00212DE5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3195" w14:textId="77777777" w:rsidR="00C86758" w:rsidRPr="005C126B" w:rsidRDefault="00C86758" w:rsidP="00212DE5">
      <w:pPr>
        <w:pStyle w:val="ListParagraph"/>
      </w:pPr>
      <w:r>
        <w:separator/>
      </w:r>
    </w:p>
  </w:footnote>
  <w:footnote w:type="continuationSeparator" w:id="0">
    <w:p w14:paraId="733EFD4C" w14:textId="77777777" w:rsidR="00C86758" w:rsidRPr="005C126B" w:rsidRDefault="00C86758" w:rsidP="00212DE5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918"/>
    <w:multiLevelType w:val="hybridMultilevel"/>
    <w:tmpl w:val="CCF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B77"/>
    <w:multiLevelType w:val="hybridMultilevel"/>
    <w:tmpl w:val="694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F39"/>
    <w:multiLevelType w:val="hybridMultilevel"/>
    <w:tmpl w:val="E4FE6670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F2C"/>
    <w:multiLevelType w:val="hybridMultilevel"/>
    <w:tmpl w:val="250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A8"/>
    <w:multiLevelType w:val="hybridMultilevel"/>
    <w:tmpl w:val="035A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3E52"/>
    <w:multiLevelType w:val="hybridMultilevel"/>
    <w:tmpl w:val="102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7158"/>
    <w:multiLevelType w:val="hybridMultilevel"/>
    <w:tmpl w:val="0E8A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35C8"/>
    <w:multiLevelType w:val="hybridMultilevel"/>
    <w:tmpl w:val="09B6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8CC"/>
    <w:multiLevelType w:val="hybridMultilevel"/>
    <w:tmpl w:val="40F6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F01"/>
    <w:multiLevelType w:val="hybridMultilevel"/>
    <w:tmpl w:val="BA4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44D"/>
    <w:multiLevelType w:val="hybridMultilevel"/>
    <w:tmpl w:val="55921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111D"/>
    <w:multiLevelType w:val="hybridMultilevel"/>
    <w:tmpl w:val="91F6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06FA"/>
    <w:multiLevelType w:val="hybridMultilevel"/>
    <w:tmpl w:val="CEC8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00B2D"/>
    <w:multiLevelType w:val="hybridMultilevel"/>
    <w:tmpl w:val="968277E2"/>
    <w:lvl w:ilvl="0" w:tplc="BEC29FD0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60C81ECA"/>
    <w:multiLevelType w:val="hybridMultilevel"/>
    <w:tmpl w:val="C6E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6B11"/>
    <w:multiLevelType w:val="hybridMultilevel"/>
    <w:tmpl w:val="89A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B40DD"/>
    <w:multiLevelType w:val="hybridMultilevel"/>
    <w:tmpl w:val="331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5982"/>
    <w:multiLevelType w:val="hybridMultilevel"/>
    <w:tmpl w:val="41D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030A"/>
    <w:multiLevelType w:val="hybridMultilevel"/>
    <w:tmpl w:val="A61A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71F0"/>
    <w:multiLevelType w:val="hybridMultilevel"/>
    <w:tmpl w:val="B464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283A"/>
    <w:multiLevelType w:val="hybridMultilevel"/>
    <w:tmpl w:val="019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3CF0"/>
    <w:multiLevelType w:val="hybridMultilevel"/>
    <w:tmpl w:val="23A2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6"/>
  </w:num>
  <w:num w:numId="5">
    <w:abstractNumId w:val="0"/>
  </w:num>
  <w:num w:numId="6">
    <w:abstractNumId w:val="21"/>
  </w:num>
  <w:num w:numId="7">
    <w:abstractNumId w:val="19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2"/>
  </w:num>
  <w:num w:numId="20">
    <w:abstractNumId w:val="18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29DF"/>
    <w:rsid w:val="00012241"/>
    <w:rsid w:val="00034448"/>
    <w:rsid w:val="00037A33"/>
    <w:rsid w:val="0004041C"/>
    <w:rsid w:val="00053E58"/>
    <w:rsid w:val="000B5AE9"/>
    <w:rsid w:val="000D15F2"/>
    <w:rsid w:val="000D2D56"/>
    <w:rsid w:val="000D3DA2"/>
    <w:rsid w:val="000E440A"/>
    <w:rsid w:val="000E4B1A"/>
    <w:rsid w:val="000F35CC"/>
    <w:rsid w:val="00122B21"/>
    <w:rsid w:val="00145560"/>
    <w:rsid w:val="0014716D"/>
    <w:rsid w:val="001505ED"/>
    <w:rsid w:val="00156878"/>
    <w:rsid w:val="00167C4D"/>
    <w:rsid w:val="00167E5D"/>
    <w:rsid w:val="001733DE"/>
    <w:rsid w:val="0018657A"/>
    <w:rsid w:val="001868E0"/>
    <w:rsid w:val="001947CA"/>
    <w:rsid w:val="001A3468"/>
    <w:rsid w:val="001D162D"/>
    <w:rsid w:val="00212DE5"/>
    <w:rsid w:val="0022281A"/>
    <w:rsid w:val="002257D5"/>
    <w:rsid w:val="002321E1"/>
    <w:rsid w:val="00247189"/>
    <w:rsid w:val="002635A4"/>
    <w:rsid w:val="00276C30"/>
    <w:rsid w:val="00277193"/>
    <w:rsid w:val="002840D0"/>
    <w:rsid w:val="002876D8"/>
    <w:rsid w:val="00290C73"/>
    <w:rsid w:val="002A0E0C"/>
    <w:rsid w:val="002A4D20"/>
    <w:rsid w:val="002A7620"/>
    <w:rsid w:val="002B1331"/>
    <w:rsid w:val="002B72CB"/>
    <w:rsid w:val="002D1C97"/>
    <w:rsid w:val="002E2AFC"/>
    <w:rsid w:val="002E720F"/>
    <w:rsid w:val="0030142B"/>
    <w:rsid w:val="0030505D"/>
    <w:rsid w:val="00305C2B"/>
    <w:rsid w:val="0031325A"/>
    <w:rsid w:val="003134EA"/>
    <w:rsid w:val="00320B5C"/>
    <w:rsid w:val="0032147B"/>
    <w:rsid w:val="0032299A"/>
    <w:rsid w:val="0035418D"/>
    <w:rsid w:val="00387814"/>
    <w:rsid w:val="00392EBA"/>
    <w:rsid w:val="003B4BEA"/>
    <w:rsid w:val="003C456C"/>
    <w:rsid w:val="003E0ECF"/>
    <w:rsid w:val="003F4DD2"/>
    <w:rsid w:val="0040074F"/>
    <w:rsid w:val="00417CB8"/>
    <w:rsid w:val="00420AEA"/>
    <w:rsid w:val="00445872"/>
    <w:rsid w:val="00455888"/>
    <w:rsid w:val="004753CF"/>
    <w:rsid w:val="00477319"/>
    <w:rsid w:val="00483542"/>
    <w:rsid w:val="00492813"/>
    <w:rsid w:val="00493960"/>
    <w:rsid w:val="00493AF4"/>
    <w:rsid w:val="004C121D"/>
    <w:rsid w:val="004D7001"/>
    <w:rsid w:val="004E6D2D"/>
    <w:rsid w:val="0052097D"/>
    <w:rsid w:val="00546B0D"/>
    <w:rsid w:val="00554A9F"/>
    <w:rsid w:val="00555F65"/>
    <w:rsid w:val="00571D50"/>
    <w:rsid w:val="00594ACE"/>
    <w:rsid w:val="005963C5"/>
    <w:rsid w:val="005B7096"/>
    <w:rsid w:val="005C0F33"/>
    <w:rsid w:val="005C25BA"/>
    <w:rsid w:val="005C2DA1"/>
    <w:rsid w:val="005D46B7"/>
    <w:rsid w:val="005D5CED"/>
    <w:rsid w:val="005E16D7"/>
    <w:rsid w:val="005F2BA0"/>
    <w:rsid w:val="00603BA8"/>
    <w:rsid w:val="00610B66"/>
    <w:rsid w:val="00617EB0"/>
    <w:rsid w:val="00623D0D"/>
    <w:rsid w:val="00636BDE"/>
    <w:rsid w:val="0064156E"/>
    <w:rsid w:val="00644155"/>
    <w:rsid w:val="0065113F"/>
    <w:rsid w:val="00674D44"/>
    <w:rsid w:val="00687342"/>
    <w:rsid w:val="006A0611"/>
    <w:rsid w:val="006A0C26"/>
    <w:rsid w:val="006A1368"/>
    <w:rsid w:val="006B3A17"/>
    <w:rsid w:val="006B5EAA"/>
    <w:rsid w:val="006C087C"/>
    <w:rsid w:val="006D2B06"/>
    <w:rsid w:val="006E2A7D"/>
    <w:rsid w:val="006E3567"/>
    <w:rsid w:val="006F1ADE"/>
    <w:rsid w:val="006F26F7"/>
    <w:rsid w:val="00725440"/>
    <w:rsid w:val="00747587"/>
    <w:rsid w:val="00754D27"/>
    <w:rsid w:val="007604DF"/>
    <w:rsid w:val="00773C3F"/>
    <w:rsid w:val="007A461C"/>
    <w:rsid w:val="007B5565"/>
    <w:rsid w:val="007D3A00"/>
    <w:rsid w:val="007E13EC"/>
    <w:rsid w:val="007E1DCE"/>
    <w:rsid w:val="007E5D05"/>
    <w:rsid w:val="008115FB"/>
    <w:rsid w:val="008119B8"/>
    <w:rsid w:val="008224A2"/>
    <w:rsid w:val="00827485"/>
    <w:rsid w:val="008371FC"/>
    <w:rsid w:val="008412DD"/>
    <w:rsid w:val="00845135"/>
    <w:rsid w:val="00872E7B"/>
    <w:rsid w:val="008838EB"/>
    <w:rsid w:val="00885C0B"/>
    <w:rsid w:val="00895C31"/>
    <w:rsid w:val="008A35EB"/>
    <w:rsid w:val="008B24C9"/>
    <w:rsid w:val="008B3D43"/>
    <w:rsid w:val="00906839"/>
    <w:rsid w:val="00906B8F"/>
    <w:rsid w:val="0091424C"/>
    <w:rsid w:val="009177A9"/>
    <w:rsid w:val="009265F5"/>
    <w:rsid w:val="00937E60"/>
    <w:rsid w:val="009443E3"/>
    <w:rsid w:val="0094776F"/>
    <w:rsid w:val="00960907"/>
    <w:rsid w:val="00970088"/>
    <w:rsid w:val="0097068C"/>
    <w:rsid w:val="00971F24"/>
    <w:rsid w:val="0097374E"/>
    <w:rsid w:val="00982588"/>
    <w:rsid w:val="00983DE6"/>
    <w:rsid w:val="009912FA"/>
    <w:rsid w:val="00991836"/>
    <w:rsid w:val="009B4EFD"/>
    <w:rsid w:val="009C03A7"/>
    <w:rsid w:val="009C0C76"/>
    <w:rsid w:val="009C1F3D"/>
    <w:rsid w:val="009D32FF"/>
    <w:rsid w:val="009D3ED3"/>
    <w:rsid w:val="009D413A"/>
    <w:rsid w:val="009E24BD"/>
    <w:rsid w:val="009E7995"/>
    <w:rsid w:val="009E7AC6"/>
    <w:rsid w:val="009F1EC8"/>
    <w:rsid w:val="009F5EE4"/>
    <w:rsid w:val="00A06526"/>
    <w:rsid w:val="00A21748"/>
    <w:rsid w:val="00A55DD9"/>
    <w:rsid w:val="00A81CA5"/>
    <w:rsid w:val="00A8712C"/>
    <w:rsid w:val="00A968D8"/>
    <w:rsid w:val="00AA5575"/>
    <w:rsid w:val="00AB166C"/>
    <w:rsid w:val="00AB5699"/>
    <w:rsid w:val="00AD0BD2"/>
    <w:rsid w:val="00AD4F1E"/>
    <w:rsid w:val="00AE16D3"/>
    <w:rsid w:val="00AE1BFD"/>
    <w:rsid w:val="00AF27F3"/>
    <w:rsid w:val="00AF4283"/>
    <w:rsid w:val="00AF45AC"/>
    <w:rsid w:val="00B173B8"/>
    <w:rsid w:val="00B37888"/>
    <w:rsid w:val="00B4062B"/>
    <w:rsid w:val="00B60BA0"/>
    <w:rsid w:val="00B767B4"/>
    <w:rsid w:val="00B76949"/>
    <w:rsid w:val="00B81880"/>
    <w:rsid w:val="00B82192"/>
    <w:rsid w:val="00BA0891"/>
    <w:rsid w:val="00BA0F69"/>
    <w:rsid w:val="00BD762B"/>
    <w:rsid w:val="00BE4C01"/>
    <w:rsid w:val="00BF0C11"/>
    <w:rsid w:val="00BF1824"/>
    <w:rsid w:val="00BF1C21"/>
    <w:rsid w:val="00BF5910"/>
    <w:rsid w:val="00C03B6F"/>
    <w:rsid w:val="00C0713F"/>
    <w:rsid w:val="00C16EAE"/>
    <w:rsid w:val="00C45195"/>
    <w:rsid w:val="00C465CC"/>
    <w:rsid w:val="00C47D0F"/>
    <w:rsid w:val="00C50628"/>
    <w:rsid w:val="00C53068"/>
    <w:rsid w:val="00C73597"/>
    <w:rsid w:val="00C7449E"/>
    <w:rsid w:val="00C75474"/>
    <w:rsid w:val="00C821F2"/>
    <w:rsid w:val="00C86758"/>
    <w:rsid w:val="00CB2588"/>
    <w:rsid w:val="00CC2B37"/>
    <w:rsid w:val="00CE2914"/>
    <w:rsid w:val="00CF10B2"/>
    <w:rsid w:val="00D06C4B"/>
    <w:rsid w:val="00D16F27"/>
    <w:rsid w:val="00D206C7"/>
    <w:rsid w:val="00D3082C"/>
    <w:rsid w:val="00D421FB"/>
    <w:rsid w:val="00D81ADD"/>
    <w:rsid w:val="00DC39A5"/>
    <w:rsid w:val="00DD0A54"/>
    <w:rsid w:val="00DD6482"/>
    <w:rsid w:val="00DF40DC"/>
    <w:rsid w:val="00DF47B0"/>
    <w:rsid w:val="00E10D4C"/>
    <w:rsid w:val="00E20F77"/>
    <w:rsid w:val="00E25F8F"/>
    <w:rsid w:val="00E4517A"/>
    <w:rsid w:val="00E52535"/>
    <w:rsid w:val="00E54A93"/>
    <w:rsid w:val="00E67C48"/>
    <w:rsid w:val="00E87310"/>
    <w:rsid w:val="00E917EE"/>
    <w:rsid w:val="00EB608F"/>
    <w:rsid w:val="00EF167E"/>
    <w:rsid w:val="00EF3A78"/>
    <w:rsid w:val="00F0540C"/>
    <w:rsid w:val="00F06E83"/>
    <w:rsid w:val="00F11562"/>
    <w:rsid w:val="00F229DF"/>
    <w:rsid w:val="00F332CB"/>
    <w:rsid w:val="00F33E1E"/>
    <w:rsid w:val="00F478F8"/>
    <w:rsid w:val="00F5384A"/>
    <w:rsid w:val="00F55F6C"/>
    <w:rsid w:val="00F60192"/>
    <w:rsid w:val="00F730CA"/>
    <w:rsid w:val="00F85B00"/>
    <w:rsid w:val="00FA2C9A"/>
    <w:rsid w:val="00FA4AF3"/>
    <w:rsid w:val="00FA4C7E"/>
    <w:rsid w:val="00FA53D3"/>
    <w:rsid w:val="00FD1C90"/>
    <w:rsid w:val="00FF4611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67B3"/>
  <w15:chartTrackingRefBased/>
  <w15:docId w15:val="{C4A87DDF-1116-4E16-AB6E-E5E89E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D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B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hannah.smith</dc:creator>
  <cp:keywords/>
  <dc:description/>
  <cp:lastModifiedBy>Smith Hannah (RNU) Oxford Health</cp:lastModifiedBy>
  <cp:revision>23</cp:revision>
  <dcterms:created xsi:type="dcterms:W3CDTF">2019-01-29T13:46:00Z</dcterms:created>
  <dcterms:modified xsi:type="dcterms:W3CDTF">2019-01-29T15:44:00Z</dcterms:modified>
</cp:coreProperties>
</file>