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752149BC" wp14:editId="1916AEB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1639F21C" wp14:editId="4809DC29">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357647" w:rsidRDefault="00357647">
                            <w:pPr>
                              <w:pStyle w:val="BodyText"/>
                              <w:rPr>
                                <w:b w:val="0"/>
                              </w:rPr>
                            </w:pPr>
                            <w:r>
                              <w:t xml:space="preserve">BOD </w:t>
                            </w:r>
                            <w:r w:rsidR="00627320">
                              <w:t>02</w:t>
                            </w:r>
                            <w:r>
                              <w:t>(ii)/2018</w:t>
                            </w:r>
                          </w:p>
                          <w:p w:rsidR="00357647" w:rsidRDefault="00357647">
                            <w:pPr>
                              <w:pStyle w:val="BodyText"/>
                              <w:rPr>
                                <w:b w:val="0"/>
                                <w:sz w:val="22"/>
                                <w:szCs w:val="22"/>
                              </w:rPr>
                            </w:pPr>
                            <w:r>
                              <w:rPr>
                                <w:b w:val="0"/>
                                <w:sz w:val="22"/>
                                <w:szCs w:val="22"/>
                              </w:rPr>
                              <w:t xml:space="preserve">(Agenda item: </w:t>
                            </w:r>
                            <w:r w:rsidR="00627320">
                              <w:rPr>
                                <w:b w:val="0"/>
                                <w:sz w:val="22"/>
                                <w:szCs w:val="22"/>
                              </w:rPr>
                              <w:t>4</w:t>
                            </w:r>
                            <w:r w:rsidRPr="008D39D2">
                              <w:rPr>
                                <w:b w:val="0"/>
                                <w:sz w:val="22"/>
                                <w:szCs w:val="22"/>
                              </w:rPr>
                              <w:t>)</w:t>
                            </w:r>
                          </w:p>
                          <w:p w:rsidR="00357647" w:rsidRDefault="00357647">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1639F21C"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357647" w:rsidRDefault="00357647">
                      <w:pPr>
                        <w:pStyle w:val="BodyText"/>
                        <w:rPr>
                          <w:b w:val="0"/>
                        </w:rPr>
                      </w:pPr>
                      <w:r>
                        <w:t xml:space="preserve">BOD </w:t>
                      </w:r>
                      <w:r w:rsidR="00627320">
                        <w:t>02</w:t>
                      </w:r>
                      <w:r>
                        <w:t>(ii)/2018</w:t>
                      </w:r>
                    </w:p>
                    <w:p w:rsidR="00357647" w:rsidRDefault="00357647">
                      <w:pPr>
                        <w:pStyle w:val="BodyText"/>
                        <w:rPr>
                          <w:b w:val="0"/>
                          <w:sz w:val="22"/>
                          <w:szCs w:val="22"/>
                        </w:rPr>
                      </w:pPr>
                      <w:r>
                        <w:rPr>
                          <w:b w:val="0"/>
                          <w:sz w:val="22"/>
                          <w:szCs w:val="22"/>
                        </w:rPr>
                        <w:t xml:space="preserve">(Agenda item: </w:t>
                      </w:r>
                      <w:r w:rsidR="00627320">
                        <w:rPr>
                          <w:b w:val="0"/>
                          <w:sz w:val="22"/>
                          <w:szCs w:val="22"/>
                        </w:rPr>
                        <w:t>4</w:t>
                      </w:r>
                      <w:r w:rsidRPr="008D39D2">
                        <w:rPr>
                          <w:b w:val="0"/>
                          <w:sz w:val="22"/>
                          <w:szCs w:val="22"/>
                        </w:rPr>
                        <w:t>)</w:t>
                      </w:r>
                    </w:p>
                    <w:p w:rsidR="00357647" w:rsidRDefault="00357647">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9D0E21">
      <w:pPr>
        <w:jc w:val="center"/>
        <w:rPr>
          <w:rFonts w:ascii="Segoe UI" w:hAnsi="Segoe UI" w:cs="Segoe UI"/>
          <w:b/>
        </w:rPr>
      </w:pPr>
      <w:r>
        <w:rPr>
          <w:rFonts w:ascii="Segoe UI" w:hAnsi="Segoe UI" w:cs="Segoe UI"/>
          <w:b/>
        </w:rPr>
        <w:t>31 January</w:t>
      </w:r>
      <w:bookmarkStart w:id="0" w:name="_GoBack"/>
      <w:bookmarkEnd w:id="0"/>
      <w:r w:rsidR="00040E07">
        <w:rPr>
          <w:rFonts w:ascii="Segoe UI" w:hAnsi="Segoe UI" w:cs="Segoe UI"/>
          <w:b/>
        </w:rPr>
        <w:t xml:space="preserve"> 2019</w:t>
      </w:r>
    </w:p>
    <w:p w:rsidR="00A86711" w:rsidRDefault="008F38F4">
      <w:pPr>
        <w:jc w:val="center"/>
        <w:rPr>
          <w:rFonts w:ascii="Segoe UI" w:hAnsi="Segoe UI" w:cs="Segoe UI"/>
          <w:b/>
        </w:rPr>
      </w:pPr>
      <w:r>
        <w:rPr>
          <w:rFonts w:ascii="Segoe UI" w:hAnsi="Segoe UI" w:cs="Segoe UI"/>
          <w:b/>
        </w:rPr>
        <w:t xml:space="preserve">Appendix: </w:t>
      </w:r>
      <w:r w:rsidR="00E273B4" w:rsidRPr="0053778D">
        <w:rPr>
          <w:rFonts w:ascii="Segoe UI" w:hAnsi="Segoe UI" w:cs="Segoe UI"/>
          <w:b/>
        </w:rPr>
        <w:t>Chief Executive’s Report</w:t>
      </w:r>
    </w:p>
    <w:p w:rsidR="0053433F" w:rsidRPr="0053778D" w:rsidRDefault="008F38F4">
      <w:pPr>
        <w:jc w:val="center"/>
        <w:rPr>
          <w:rFonts w:ascii="Segoe UI" w:hAnsi="Segoe UI" w:cs="Segoe UI"/>
          <w:b/>
        </w:rPr>
      </w:pPr>
      <w:r>
        <w:rPr>
          <w:rFonts w:ascii="Segoe UI" w:hAnsi="Segoe UI" w:cs="Segoe UI"/>
          <w:b/>
        </w:rPr>
        <w:t xml:space="preserve">- </w:t>
      </w:r>
      <w:r w:rsidR="00A86711">
        <w:rPr>
          <w:rFonts w:ascii="Segoe UI" w:hAnsi="Segoe UI" w:cs="Segoe UI"/>
          <w:b/>
        </w:rPr>
        <w:t>EU Exit Operational Readiness</w:t>
      </w:r>
    </w:p>
    <w:p w:rsidR="00225051" w:rsidRPr="003F7022" w:rsidRDefault="007E3BA0" w:rsidP="00264B14">
      <w:pPr>
        <w:spacing w:before="100" w:beforeAutospacing="1"/>
        <w:jc w:val="both"/>
        <w:rPr>
          <w:rFonts w:ascii="Segoe UI" w:hAnsi="Segoe UI" w:cs="Segoe UI"/>
        </w:rPr>
      </w:pPr>
      <w:bookmarkStart w:id="1" w:name="_Hlk525224575"/>
      <w:r w:rsidRPr="00B317BF">
        <w:rPr>
          <w:rFonts w:ascii="Segoe UI" w:hAnsi="Segoe UI" w:cs="Segoe UI"/>
          <w:b/>
          <w:bCs/>
          <w:u w:val="single"/>
        </w:rPr>
        <w:t>For Discussion</w:t>
      </w:r>
    </w:p>
    <w:p w:rsidR="001E411F" w:rsidRPr="006564F0" w:rsidRDefault="007C6054" w:rsidP="00264B14">
      <w:pPr>
        <w:spacing w:before="100" w:beforeAutospacing="1" w:after="120"/>
        <w:jc w:val="both"/>
        <w:rPr>
          <w:rFonts w:ascii="Segoe UI" w:eastAsia="Calibri" w:hAnsi="Segoe UI" w:cs="Segoe UI"/>
          <w:b/>
          <w:sz w:val="23"/>
          <w:szCs w:val="23"/>
          <w:lang w:val="en-US"/>
        </w:rPr>
      </w:pPr>
      <w:bookmarkStart w:id="2" w:name="_Hlk525034278"/>
      <w:r>
        <w:rPr>
          <w:rFonts w:ascii="Segoe UI" w:eastAsia="Calibri" w:hAnsi="Segoe UI" w:cs="Segoe UI"/>
          <w:b/>
          <w:sz w:val="23"/>
          <w:szCs w:val="23"/>
        </w:rPr>
        <w:t>Background</w:t>
      </w:r>
      <w:r w:rsidR="003C0DED">
        <w:rPr>
          <w:rFonts w:ascii="Segoe UI" w:eastAsia="Calibri" w:hAnsi="Segoe UI" w:cs="Segoe UI"/>
          <w:b/>
          <w:sz w:val="23"/>
          <w:szCs w:val="23"/>
        </w:rPr>
        <w:t xml:space="preserve">  </w:t>
      </w:r>
    </w:p>
    <w:bookmarkEnd w:id="2"/>
    <w:p w:rsidR="006C3E50" w:rsidRPr="006C3E50" w:rsidRDefault="006C3E50" w:rsidP="006C3E50">
      <w:pPr>
        <w:spacing w:before="100" w:beforeAutospacing="1" w:after="120"/>
        <w:jc w:val="both"/>
        <w:rPr>
          <w:rFonts w:ascii="Segoe UI" w:eastAsia="Calibri" w:hAnsi="Segoe UI" w:cs="Segoe UI"/>
          <w:bCs/>
          <w:sz w:val="23"/>
          <w:szCs w:val="23"/>
        </w:rPr>
      </w:pPr>
      <w:r>
        <w:rPr>
          <w:rFonts w:ascii="Segoe UI" w:eastAsia="Calibri" w:hAnsi="Segoe UI" w:cs="Segoe UI"/>
          <w:bCs/>
          <w:sz w:val="23"/>
          <w:szCs w:val="23"/>
        </w:rPr>
        <w:t>T</w:t>
      </w:r>
      <w:r w:rsidRPr="006C3E50">
        <w:rPr>
          <w:rFonts w:ascii="Segoe UI" w:eastAsia="Calibri" w:hAnsi="Segoe UI" w:cs="Segoe UI"/>
          <w:bCs/>
          <w:sz w:val="23"/>
          <w:szCs w:val="23"/>
        </w:rPr>
        <w:t xml:space="preserve">his report is an update on the Trust’s work </w:t>
      </w:r>
      <w:proofErr w:type="gramStart"/>
      <w:r w:rsidRPr="006C3E50">
        <w:rPr>
          <w:rFonts w:ascii="Segoe UI" w:eastAsia="Calibri" w:hAnsi="Segoe UI" w:cs="Segoe UI"/>
          <w:bCs/>
          <w:sz w:val="23"/>
          <w:szCs w:val="23"/>
        </w:rPr>
        <w:t>with regard to</w:t>
      </w:r>
      <w:proofErr w:type="gramEnd"/>
      <w:r w:rsidRPr="006C3E50">
        <w:rPr>
          <w:rFonts w:ascii="Segoe UI" w:eastAsia="Calibri" w:hAnsi="Segoe UI" w:cs="Segoe UI"/>
          <w:bCs/>
          <w:sz w:val="23"/>
          <w:szCs w:val="23"/>
        </w:rPr>
        <w:t xml:space="preserve"> its operational readiness for a no-deal EU Exit which we will continue to assess as the situation develops but much of the planning centres around the required national response.</w:t>
      </w:r>
    </w:p>
    <w:p w:rsidR="008F38F4" w:rsidRPr="008F38F4" w:rsidRDefault="00726DFD" w:rsidP="008F38F4">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lang w:val="en"/>
        </w:rPr>
        <w:t>The</w:t>
      </w:r>
      <w:r w:rsidR="008F38F4" w:rsidRPr="008F38F4">
        <w:rPr>
          <w:rFonts w:ascii="Segoe UI" w:eastAsia="Calibri" w:hAnsi="Segoe UI" w:cs="Segoe UI"/>
          <w:bCs/>
          <w:sz w:val="23"/>
          <w:szCs w:val="23"/>
          <w:lang w:val="en"/>
        </w:rPr>
        <w:t xml:space="preserve"> Government </w:t>
      </w:r>
      <w:r w:rsidR="005750B8">
        <w:rPr>
          <w:rFonts w:ascii="Segoe UI" w:eastAsia="Calibri" w:hAnsi="Segoe UI" w:cs="Segoe UI"/>
          <w:bCs/>
          <w:sz w:val="23"/>
          <w:szCs w:val="23"/>
          <w:lang w:val="en"/>
        </w:rPr>
        <w:t xml:space="preserve">has </w:t>
      </w:r>
      <w:r w:rsidR="008F38F4" w:rsidRPr="008F38F4">
        <w:rPr>
          <w:rFonts w:ascii="Segoe UI" w:eastAsia="Calibri" w:hAnsi="Segoe UI" w:cs="Segoe UI"/>
          <w:bCs/>
          <w:sz w:val="23"/>
          <w:szCs w:val="23"/>
          <w:lang w:val="en"/>
        </w:rPr>
        <w:t xml:space="preserve">published </w:t>
      </w:r>
      <w:r w:rsidR="005750B8">
        <w:rPr>
          <w:rFonts w:ascii="Segoe UI" w:eastAsia="Calibri" w:hAnsi="Segoe UI" w:cs="Segoe UI"/>
          <w:bCs/>
          <w:sz w:val="23"/>
          <w:szCs w:val="23"/>
          <w:lang w:val="en"/>
        </w:rPr>
        <w:t xml:space="preserve">a number of </w:t>
      </w:r>
      <w:r w:rsidR="008F38F4" w:rsidRPr="008F38F4">
        <w:rPr>
          <w:rFonts w:ascii="Segoe UI" w:eastAsia="Calibri" w:hAnsi="Segoe UI" w:cs="Segoe UI"/>
          <w:bCs/>
          <w:sz w:val="23"/>
          <w:szCs w:val="23"/>
          <w:lang w:val="en"/>
        </w:rPr>
        <w:t>guidance</w:t>
      </w:r>
      <w:r w:rsidR="005750B8">
        <w:rPr>
          <w:rFonts w:ascii="Segoe UI" w:eastAsia="Calibri" w:hAnsi="Segoe UI" w:cs="Segoe UI"/>
          <w:bCs/>
          <w:sz w:val="23"/>
          <w:szCs w:val="23"/>
          <w:lang w:val="en"/>
        </w:rPr>
        <w:t xml:space="preserve"> documents</w:t>
      </w:r>
      <w:r w:rsidR="008F38F4" w:rsidRPr="008F38F4">
        <w:rPr>
          <w:rFonts w:ascii="Segoe UI" w:eastAsia="Calibri" w:hAnsi="Segoe UI" w:cs="Segoe UI"/>
          <w:bCs/>
          <w:sz w:val="23"/>
          <w:szCs w:val="23"/>
          <w:lang w:val="en"/>
        </w:rPr>
        <w:t xml:space="preserve"> for the NHS on what providers and commissioners of health and care services in England need to know and should do now to prepare for the possibility that the UK leaves the EU without a ratified deal – a ‘"no deal" exit. </w:t>
      </w:r>
    </w:p>
    <w:p w:rsidR="008F38F4" w:rsidRPr="008F38F4" w:rsidRDefault="008F38F4" w:rsidP="008F38F4">
      <w:p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The actions outlined</w:t>
      </w:r>
      <w:r w:rsidR="00336804">
        <w:rPr>
          <w:rFonts w:ascii="Segoe UI" w:eastAsia="Calibri" w:hAnsi="Segoe UI" w:cs="Segoe UI"/>
          <w:bCs/>
          <w:sz w:val="23"/>
          <w:szCs w:val="23"/>
          <w:lang w:val="en"/>
        </w:rPr>
        <w:t xml:space="preserve"> </w:t>
      </w:r>
      <w:r w:rsidR="005750B8">
        <w:rPr>
          <w:rFonts w:ascii="Segoe UI" w:eastAsia="Calibri" w:hAnsi="Segoe UI" w:cs="Segoe UI"/>
          <w:bCs/>
          <w:sz w:val="23"/>
          <w:szCs w:val="23"/>
          <w:lang w:val="en"/>
        </w:rPr>
        <w:t>cover</w:t>
      </w:r>
      <w:r w:rsidR="00336804">
        <w:rPr>
          <w:rFonts w:ascii="Segoe UI" w:eastAsia="Calibri" w:hAnsi="Segoe UI" w:cs="Segoe UI"/>
          <w:bCs/>
          <w:sz w:val="23"/>
          <w:szCs w:val="23"/>
          <w:lang w:val="en"/>
        </w:rPr>
        <w:t xml:space="preserve"> </w:t>
      </w:r>
      <w:r w:rsidRPr="008F38F4">
        <w:rPr>
          <w:rFonts w:ascii="Segoe UI" w:eastAsia="Calibri" w:hAnsi="Segoe UI" w:cs="Segoe UI"/>
          <w:bCs/>
          <w:sz w:val="23"/>
          <w:szCs w:val="23"/>
          <w:lang w:val="en"/>
        </w:rPr>
        <w:t xml:space="preserve">seven key areas of activity likely to be impacted by </w:t>
      </w:r>
      <w:r w:rsidR="007C6054">
        <w:rPr>
          <w:rFonts w:ascii="Segoe UI" w:eastAsia="Calibri" w:hAnsi="Segoe UI" w:cs="Segoe UI"/>
          <w:bCs/>
          <w:sz w:val="23"/>
          <w:szCs w:val="23"/>
          <w:lang w:val="en"/>
        </w:rPr>
        <w:t xml:space="preserve">such a </w:t>
      </w:r>
      <w:r w:rsidRPr="008F38F4">
        <w:rPr>
          <w:rFonts w:ascii="Segoe UI" w:eastAsia="Calibri" w:hAnsi="Segoe UI" w:cs="Segoe UI"/>
          <w:bCs/>
          <w:sz w:val="23"/>
          <w:szCs w:val="23"/>
          <w:lang w:val="en"/>
        </w:rPr>
        <w:t xml:space="preserve">no-deal </w:t>
      </w:r>
      <w:r w:rsidR="007C6054">
        <w:rPr>
          <w:rFonts w:ascii="Segoe UI" w:eastAsia="Calibri" w:hAnsi="Segoe UI" w:cs="Segoe UI"/>
          <w:bCs/>
          <w:sz w:val="23"/>
          <w:szCs w:val="23"/>
          <w:lang w:val="en"/>
        </w:rPr>
        <w:t>scenario</w:t>
      </w:r>
      <w:r w:rsidRPr="008F38F4">
        <w:rPr>
          <w:rFonts w:ascii="Segoe UI" w:eastAsia="Calibri" w:hAnsi="Segoe UI" w:cs="Segoe UI"/>
          <w:bCs/>
          <w:sz w:val="23"/>
          <w:szCs w:val="23"/>
          <w:lang w:val="en"/>
        </w:rPr>
        <w:t xml:space="preserve">, </w:t>
      </w:r>
      <w:r w:rsidR="005750B8">
        <w:rPr>
          <w:rFonts w:ascii="Segoe UI" w:eastAsia="Calibri" w:hAnsi="Segoe UI" w:cs="Segoe UI"/>
          <w:bCs/>
          <w:sz w:val="23"/>
          <w:szCs w:val="23"/>
          <w:lang w:val="en"/>
        </w:rPr>
        <w:t xml:space="preserve">and </w:t>
      </w:r>
      <w:r w:rsidR="007C6054">
        <w:rPr>
          <w:rFonts w:ascii="Segoe UI" w:eastAsia="Calibri" w:hAnsi="Segoe UI" w:cs="Segoe UI"/>
          <w:bCs/>
          <w:sz w:val="23"/>
          <w:szCs w:val="23"/>
          <w:lang w:val="en"/>
        </w:rPr>
        <w:t xml:space="preserve">we are </w:t>
      </w:r>
      <w:r w:rsidR="005750B8">
        <w:rPr>
          <w:rFonts w:ascii="Segoe UI" w:eastAsia="Calibri" w:hAnsi="Segoe UI" w:cs="Segoe UI"/>
          <w:bCs/>
          <w:sz w:val="23"/>
          <w:szCs w:val="23"/>
          <w:lang w:val="en"/>
        </w:rPr>
        <w:t>advise</w:t>
      </w:r>
      <w:r w:rsidR="007C6054">
        <w:rPr>
          <w:rFonts w:ascii="Segoe UI" w:eastAsia="Calibri" w:hAnsi="Segoe UI" w:cs="Segoe UI"/>
          <w:bCs/>
          <w:sz w:val="23"/>
          <w:szCs w:val="23"/>
          <w:lang w:val="en"/>
        </w:rPr>
        <w:t>d</w:t>
      </w:r>
      <w:r w:rsidRPr="008F38F4">
        <w:rPr>
          <w:rFonts w:ascii="Segoe UI" w:eastAsia="Calibri" w:hAnsi="Segoe UI" w:cs="Segoe UI"/>
          <w:bCs/>
          <w:sz w:val="23"/>
          <w:szCs w:val="23"/>
          <w:lang w:val="en"/>
        </w:rPr>
        <w:t xml:space="preserve"> </w:t>
      </w:r>
      <w:r w:rsidR="007C6054">
        <w:rPr>
          <w:rFonts w:ascii="Segoe UI" w:eastAsia="Calibri" w:hAnsi="Segoe UI" w:cs="Segoe UI"/>
          <w:bCs/>
          <w:sz w:val="23"/>
          <w:szCs w:val="23"/>
          <w:lang w:val="en"/>
        </w:rPr>
        <w:t>to pr</w:t>
      </w:r>
      <w:r w:rsidRPr="008F38F4">
        <w:rPr>
          <w:rFonts w:ascii="Segoe UI" w:eastAsia="Calibri" w:hAnsi="Segoe UI" w:cs="Segoe UI"/>
          <w:bCs/>
          <w:sz w:val="23"/>
          <w:szCs w:val="23"/>
          <w:lang w:val="en"/>
        </w:rPr>
        <w:t>epare for a no-deal as part of existing</w:t>
      </w:r>
      <w:r w:rsidR="00336804">
        <w:rPr>
          <w:rFonts w:ascii="Segoe UI" w:eastAsia="Calibri" w:hAnsi="Segoe UI" w:cs="Segoe UI"/>
          <w:bCs/>
          <w:sz w:val="23"/>
          <w:szCs w:val="23"/>
          <w:lang w:val="en"/>
        </w:rPr>
        <w:t xml:space="preserve"> local business continuity planning</w:t>
      </w:r>
      <w:r w:rsidR="007C6054">
        <w:rPr>
          <w:rFonts w:ascii="Segoe UI" w:eastAsia="Calibri" w:hAnsi="Segoe UI" w:cs="Segoe UI"/>
          <w:bCs/>
          <w:sz w:val="23"/>
          <w:szCs w:val="23"/>
          <w:lang w:val="en"/>
        </w:rPr>
        <w:t>.</w:t>
      </w:r>
      <w:r w:rsidRPr="008F38F4">
        <w:rPr>
          <w:rFonts w:ascii="Segoe UI" w:eastAsia="Calibri" w:hAnsi="Segoe UI" w:cs="Segoe UI"/>
          <w:bCs/>
          <w:sz w:val="23"/>
          <w:szCs w:val="23"/>
          <w:lang w:val="en"/>
        </w:rPr>
        <w:t xml:space="preserve"> </w:t>
      </w:r>
    </w:p>
    <w:p w:rsidR="008F38F4" w:rsidRPr="00336804" w:rsidRDefault="00336804" w:rsidP="008F38F4">
      <w:pPr>
        <w:spacing w:before="100" w:beforeAutospacing="1" w:after="120"/>
        <w:jc w:val="both"/>
        <w:rPr>
          <w:rFonts w:ascii="Segoe UI" w:eastAsia="Calibri" w:hAnsi="Segoe UI" w:cs="Segoe UI"/>
          <w:b/>
          <w:bCs/>
          <w:sz w:val="23"/>
          <w:szCs w:val="23"/>
          <w:lang w:val="en"/>
        </w:rPr>
      </w:pPr>
      <w:r>
        <w:rPr>
          <w:rFonts w:ascii="Segoe UI" w:eastAsia="Calibri" w:hAnsi="Segoe UI" w:cs="Segoe UI"/>
          <w:b/>
          <w:bCs/>
          <w:sz w:val="23"/>
          <w:szCs w:val="23"/>
          <w:lang w:val="en"/>
        </w:rPr>
        <w:t>S</w:t>
      </w:r>
      <w:r w:rsidR="008F38F4" w:rsidRPr="00336804">
        <w:rPr>
          <w:rFonts w:ascii="Segoe UI" w:eastAsia="Calibri" w:hAnsi="Segoe UI" w:cs="Segoe UI"/>
          <w:b/>
          <w:bCs/>
          <w:sz w:val="23"/>
          <w:szCs w:val="23"/>
          <w:lang w:val="en"/>
        </w:rPr>
        <w:t>ummary</w:t>
      </w:r>
    </w:p>
    <w:p w:rsidR="008F38F4" w:rsidRPr="008F38F4" w:rsidRDefault="008F38F4" w:rsidP="008F38F4">
      <w:p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The Department for Health and Social Care (DHSC) </w:t>
      </w:r>
      <w:r w:rsidR="005750B8">
        <w:rPr>
          <w:rFonts w:ascii="Segoe UI" w:eastAsia="Calibri" w:hAnsi="Segoe UI" w:cs="Segoe UI"/>
          <w:bCs/>
          <w:sz w:val="23"/>
          <w:szCs w:val="23"/>
          <w:lang w:val="en"/>
        </w:rPr>
        <w:t>have established</w:t>
      </w:r>
      <w:r w:rsidRPr="008F38F4">
        <w:rPr>
          <w:rFonts w:ascii="Segoe UI" w:eastAsia="Calibri" w:hAnsi="Segoe UI" w:cs="Segoe UI"/>
          <w:bCs/>
          <w:sz w:val="23"/>
          <w:szCs w:val="23"/>
          <w:lang w:val="en"/>
        </w:rPr>
        <w:t xml:space="preserve"> a national Operational Response Centre supported by an Operational Support Structure for EU Exit, coordinated by NHS England and NHS Improvement. The national centre will deal with any disruption to the population’s health and care, and the delivery of health and care services in England, that may be caused or affected by EU Exit. The Centre will co-ordinate EU Exit-related information flows and reporting across the health and care </w:t>
      </w:r>
      <w:r w:rsidRPr="008F38F4">
        <w:rPr>
          <w:rFonts w:ascii="Segoe UI" w:eastAsia="Calibri" w:hAnsi="Segoe UI" w:cs="Segoe UI"/>
          <w:bCs/>
          <w:sz w:val="23"/>
          <w:szCs w:val="23"/>
          <w:lang w:val="en"/>
        </w:rPr>
        <w:lastRenderedPageBreak/>
        <w:t>system</w:t>
      </w:r>
      <w:r w:rsidR="00F53554">
        <w:rPr>
          <w:rFonts w:ascii="Segoe UI" w:eastAsia="Calibri" w:hAnsi="Segoe UI" w:cs="Segoe UI"/>
          <w:bCs/>
          <w:sz w:val="23"/>
          <w:szCs w:val="23"/>
          <w:lang w:val="en"/>
        </w:rPr>
        <w:t xml:space="preserve"> and </w:t>
      </w:r>
      <w:r w:rsidRPr="008F38F4">
        <w:rPr>
          <w:rFonts w:ascii="Segoe UI" w:eastAsia="Calibri" w:hAnsi="Segoe UI" w:cs="Segoe UI"/>
          <w:bCs/>
          <w:sz w:val="23"/>
          <w:szCs w:val="23"/>
          <w:lang w:val="en"/>
        </w:rPr>
        <w:t>will also work with the devolved nations to respond to UK-wide incidents. </w:t>
      </w:r>
      <w:r w:rsidRPr="008F38F4">
        <w:rPr>
          <w:rFonts w:ascii="Segoe UI" w:eastAsia="Calibri" w:hAnsi="Segoe UI" w:cs="Segoe UI"/>
          <w:bCs/>
          <w:sz w:val="23"/>
          <w:szCs w:val="23"/>
          <w:lang w:val="en"/>
        </w:rPr>
        <w:br/>
      </w:r>
      <w:r w:rsidRPr="008F38F4">
        <w:rPr>
          <w:rFonts w:ascii="Segoe UI" w:eastAsia="Calibri" w:hAnsi="Segoe UI" w:cs="Segoe UI"/>
          <w:bCs/>
          <w:sz w:val="23"/>
          <w:szCs w:val="23"/>
          <w:lang w:val="en"/>
        </w:rPr>
        <w:br/>
      </w:r>
      <w:r w:rsidR="005750B8">
        <w:rPr>
          <w:rFonts w:ascii="Segoe UI" w:eastAsia="Calibri" w:hAnsi="Segoe UI" w:cs="Segoe UI"/>
          <w:bCs/>
          <w:sz w:val="23"/>
          <w:szCs w:val="23"/>
          <w:lang w:val="en"/>
        </w:rPr>
        <w:t>The</w:t>
      </w:r>
      <w:r w:rsidR="00336804">
        <w:rPr>
          <w:rFonts w:ascii="Segoe UI" w:eastAsia="Calibri" w:hAnsi="Segoe UI" w:cs="Segoe UI"/>
          <w:bCs/>
          <w:sz w:val="23"/>
          <w:szCs w:val="23"/>
          <w:lang w:val="en"/>
        </w:rPr>
        <w:t xml:space="preserve"> g</w:t>
      </w:r>
      <w:r w:rsidRPr="008F38F4">
        <w:rPr>
          <w:rFonts w:ascii="Segoe UI" w:eastAsia="Calibri" w:hAnsi="Segoe UI" w:cs="Segoe UI"/>
          <w:bCs/>
          <w:sz w:val="23"/>
          <w:szCs w:val="23"/>
          <w:lang w:val="en"/>
        </w:rPr>
        <w:t>uidance</w:t>
      </w:r>
      <w:r w:rsidR="00336804">
        <w:rPr>
          <w:rFonts w:ascii="Segoe UI" w:eastAsia="Calibri" w:hAnsi="Segoe UI" w:cs="Segoe UI"/>
          <w:bCs/>
          <w:sz w:val="23"/>
          <w:szCs w:val="23"/>
          <w:lang w:val="en"/>
        </w:rPr>
        <w:t xml:space="preserve"> which</w:t>
      </w:r>
      <w:r w:rsidRPr="008F38F4">
        <w:rPr>
          <w:rFonts w:ascii="Segoe UI" w:eastAsia="Calibri" w:hAnsi="Segoe UI" w:cs="Segoe UI"/>
          <w:bCs/>
          <w:sz w:val="23"/>
          <w:szCs w:val="23"/>
          <w:lang w:val="en"/>
        </w:rPr>
        <w:t xml:space="preserve"> factors in the revised bo</w:t>
      </w:r>
      <w:r w:rsidR="005750B8">
        <w:rPr>
          <w:rFonts w:ascii="Segoe UI" w:eastAsia="Calibri" w:hAnsi="Segoe UI" w:cs="Segoe UI"/>
          <w:bCs/>
          <w:sz w:val="23"/>
          <w:szCs w:val="23"/>
          <w:lang w:val="en"/>
        </w:rPr>
        <w:t xml:space="preserve">rder planning assumptions, </w:t>
      </w:r>
      <w:r w:rsidRPr="008F38F4">
        <w:rPr>
          <w:rFonts w:ascii="Segoe UI" w:eastAsia="Calibri" w:hAnsi="Segoe UI" w:cs="Segoe UI"/>
          <w:bCs/>
          <w:sz w:val="23"/>
          <w:szCs w:val="23"/>
          <w:lang w:val="en"/>
        </w:rPr>
        <w:t>show</w:t>
      </w:r>
      <w:r w:rsidR="00336804">
        <w:rPr>
          <w:rFonts w:ascii="Segoe UI" w:eastAsia="Calibri" w:hAnsi="Segoe UI" w:cs="Segoe UI"/>
          <w:bCs/>
          <w:sz w:val="23"/>
          <w:szCs w:val="23"/>
          <w:lang w:val="en"/>
        </w:rPr>
        <w:t>s</w:t>
      </w:r>
      <w:r w:rsidRPr="008F38F4">
        <w:rPr>
          <w:rFonts w:ascii="Segoe UI" w:eastAsia="Calibri" w:hAnsi="Segoe UI" w:cs="Segoe UI"/>
          <w:bCs/>
          <w:sz w:val="23"/>
          <w:szCs w:val="23"/>
          <w:lang w:val="en"/>
        </w:rPr>
        <w:t xml:space="preserve"> that there will be significantly reduced access across the short straits, for up to six months. This reflects the EU’s confirmation that in the event of ‘no deal’, it will impose full third country controls on people and goods entering the EU from the UK.</w:t>
      </w:r>
      <w:r w:rsidRPr="008F38F4">
        <w:rPr>
          <w:rFonts w:ascii="Segoe UI" w:eastAsia="Calibri" w:hAnsi="Segoe UI" w:cs="Segoe UI"/>
          <w:bCs/>
          <w:sz w:val="23"/>
          <w:szCs w:val="23"/>
          <w:lang w:val="en"/>
        </w:rPr>
        <w:br/>
      </w:r>
      <w:r w:rsidRPr="008F38F4">
        <w:rPr>
          <w:rFonts w:ascii="Segoe UI" w:eastAsia="Calibri" w:hAnsi="Segoe UI" w:cs="Segoe UI"/>
          <w:bCs/>
          <w:sz w:val="23"/>
          <w:szCs w:val="23"/>
          <w:lang w:val="en"/>
        </w:rPr>
        <w:br/>
        <w:t xml:space="preserve">Despite the revised assumptions, the guidance </w:t>
      </w:r>
      <w:proofErr w:type="spellStart"/>
      <w:r w:rsidRPr="008F38F4">
        <w:rPr>
          <w:rFonts w:ascii="Segoe UI" w:eastAsia="Calibri" w:hAnsi="Segoe UI" w:cs="Segoe UI"/>
          <w:bCs/>
          <w:sz w:val="23"/>
          <w:szCs w:val="23"/>
          <w:lang w:val="en"/>
        </w:rPr>
        <w:t>emphasises</w:t>
      </w:r>
      <w:proofErr w:type="spellEnd"/>
      <w:r w:rsidRPr="008F38F4">
        <w:rPr>
          <w:rFonts w:ascii="Segoe UI" w:eastAsia="Calibri" w:hAnsi="Segoe UI" w:cs="Segoe UI"/>
          <w:bCs/>
          <w:sz w:val="23"/>
          <w:szCs w:val="23"/>
          <w:lang w:val="en"/>
        </w:rPr>
        <w:t xml:space="preserve"> that UK health providers – including hospitals, care homes, GPs and community pharmacies – should not stockpile additional medicines beyond their business as usual stock levels. There is also no need for clinicians to write longer NHS prescriptions and the public should be disc</w:t>
      </w:r>
      <w:r w:rsidR="00F53554">
        <w:rPr>
          <w:rFonts w:ascii="Segoe UI" w:eastAsia="Calibri" w:hAnsi="Segoe UI" w:cs="Segoe UI"/>
          <w:bCs/>
          <w:sz w:val="23"/>
          <w:szCs w:val="23"/>
          <w:lang w:val="en"/>
        </w:rPr>
        <w:t>ouraged from stockpiling.</w:t>
      </w:r>
      <w:r w:rsidR="00382FE7">
        <w:rPr>
          <w:rFonts w:ascii="Segoe UI" w:eastAsia="Calibri" w:hAnsi="Segoe UI" w:cs="Segoe UI"/>
          <w:bCs/>
          <w:sz w:val="23"/>
          <w:szCs w:val="23"/>
          <w:lang w:val="en"/>
        </w:rPr>
        <w:t xml:space="preserve"> </w:t>
      </w:r>
      <w:r w:rsidRPr="008F38F4">
        <w:rPr>
          <w:rFonts w:ascii="Segoe UI" w:eastAsia="Calibri" w:hAnsi="Segoe UI" w:cs="Segoe UI"/>
          <w:bCs/>
          <w:sz w:val="23"/>
          <w:szCs w:val="23"/>
          <w:lang w:val="en"/>
        </w:rPr>
        <w:t>Each Clinical Commissioning Group has been asked to agree a EU Exit medicines, prescribing and supply plan by 31 January 2019. </w:t>
      </w:r>
      <w:r w:rsidRPr="008F38F4">
        <w:rPr>
          <w:rFonts w:ascii="Segoe UI" w:eastAsia="Calibri" w:hAnsi="Segoe UI" w:cs="Segoe UI"/>
          <w:bCs/>
          <w:sz w:val="23"/>
          <w:szCs w:val="23"/>
          <w:lang w:val="en"/>
        </w:rPr>
        <w:br/>
      </w:r>
      <w:r w:rsidRPr="008F38F4">
        <w:rPr>
          <w:rFonts w:ascii="Segoe UI" w:eastAsia="Calibri" w:hAnsi="Segoe UI" w:cs="Segoe UI"/>
          <w:bCs/>
          <w:sz w:val="23"/>
          <w:szCs w:val="23"/>
          <w:lang w:val="en"/>
        </w:rPr>
        <w:br/>
        <w:t xml:space="preserve">On </w:t>
      </w:r>
      <w:r w:rsidRPr="005750B8">
        <w:rPr>
          <w:rFonts w:ascii="Segoe UI" w:eastAsia="Calibri" w:hAnsi="Segoe UI" w:cs="Segoe UI"/>
          <w:bCs/>
          <w:sz w:val="23"/>
          <w:szCs w:val="23"/>
          <w:lang w:val="en"/>
        </w:rPr>
        <w:t>18</w:t>
      </w:r>
      <w:r w:rsidRPr="005750B8">
        <w:rPr>
          <w:rFonts w:ascii="Segoe UI" w:eastAsia="Calibri" w:hAnsi="Segoe UI" w:cs="Segoe UI"/>
          <w:bCs/>
          <w:sz w:val="23"/>
          <w:szCs w:val="23"/>
          <w:vertAlign w:val="superscript"/>
          <w:lang w:val="en"/>
        </w:rPr>
        <w:t>th</w:t>
      </w:r>
      <w:r w:rsidRPr="005750B8">
        <w:rPr>
          <w:rFonts w:ascii="Segoe UI" w:eastAsia="Calibri" w:hAnsi="Segoe UI" w:cs="Segoe UI"/>
          <w:bCs/>
          <w:sz w:val="23"/>
          <w:szCs w:val="23"/>
          <w:lang w:val="en"/>
        </w:rPr>
        <w:t xml:space="preserve"> January 2019</w:t>
      </w:r>
      <w:r w:rsidRPr="008F38F4">
        <w:rPr>
          <w:rFonts w:ascii="Segoe UI" w:eastAsia="Calibri" w:hAnsi="Segoe UI" w:cs="Segoe UI"/>
          <w:bCs/>
          <w:sz w:val="23"/>
          <w:szCs w:val="23"/>
          <w:lang w:val="en"/>
        </w:rPr>
        <w:t xml:space="preserve">, following a rapid consultation, an amendment was published to </w:t>
      </w:r>
      <w:r w:rsidR="00F9088D">
        <w:rPr>
          <w:rFonts w:ascii="Segoe UI" w:eastAsia="Calibri" w:hAnsi="Segoe UI" w:cs="Segoe UI"/>
          <w:bCs/>
          <w:sz w:val="23"/>
          <w:szCs w:val="23"/>
          <w:lang w:val="en"/>
        </w:rPr>
        <w:t>T</w:t>
      </w:r>
      <w:r w:rsidRPr="008F38F4">
        <w:rPr>
          <w:rFonts w:ascii="Segoe UI" w:eastAsia="Calibri" w:hAnsi="Segoe UI" w:cs="Segoe UI"/>
          <w:bCs/>
          <w:sz w:val="23"/>
          <w:szCs w:val="23"/>
          <w:lang w:val="en"/>
        </w:rPr>
        <w:t>he Human Medicines (Amendment) Regulations 2019</w:t>
      </w:r>
      <w:r w:rsidR="00F9088D">
        <w:rPr>
          <w:rFonts w:ascii="Segoe UI" w:eastAsia="Calibri" w:hAnsi="Segoe UI" w:cs="Segoe UI"/>
          <w:bCs/>
          <w:sz w:val="23"/>
          <w:szCs w:val="23"/>
          <w:lang w:val="en"/>
        </w:rPr>
        <w:t xml:space="preserve"> to include</w:t>
      </w:r>
      <w:r w:rsidRPr="008F38F4">
        <w:rPr>
          <w:rFonts w:ascii="Segoe UI" w:eastAsia="Calibri" w:hAnsi="Segoe UI" w:cs="Segoe UI"/>
          <w:bCs/>
          <w:sz w:val="23"/>
          <w:szCs w:val="23"/>
          <w:lang w:val="en"/>
        </w:rPr>
        <w:t xml:space="preserve"> a Serious Shortage Protocol for potential shortages of medicines that could occur in scenarios such as a no-deal Brexit. The Protocol makes provisions for pharmacists to supply a different strength, quantity or pharmaceutical form of certain medicines </w:t>
      </w:r>
      <w:proofErr w:type="gramStart"/>
      <w:r w:rsidRPr="008F38F4">
        <w:rPr>
          <w:rFonts w:ascii="Segoe UI" w:eastAsia="Calibri" w:hAnsi="Segoe UI" w:cs="Segoe UI"/>
          <w:bCs/>
          <w:sz w:val="23"/>
          <w:szCs w:val="23"/>
          <w:lang w:val="en"/>
        </w:rPr>
        <w:t>in particular situations</w:t>
      </w:r>
      <w:proofErr w:type="gramEnd"/>
      <w:r w:rsidRPr="008F38F4">
        <w:rPr>
          <w:rFonts w:ascii="Segoe UI" w:eastAsia="Calibri" w:hAnsi="Segoe UI" w:cs="Segoe UI"/>
          <w:bCs/>
          <w:sz w:val="23"/>
          <w:szCs w:val="23"/>
          <w:lang w:val="en"/>
        </w:rPr>
        <w:t xml:space="preserve">. </w:t>
      </w:r>
    </w:p>
    <w:p w:rsidR="008F38F4" w:rsidRPr="008F38F4" w:rsidRDefault="008F38F4" w:rsidP="008F38F4">
      <w:p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EU nationals working in the health and care system have been able to register for EU settled status under the pilot scheme that was open between 3-21 December. People who did not register under the pilot scheme do not need to worry, as the scheme will open by March 2019 and remain open until at least the end of 2020, so there will be plenty of time for EU staff to register</w:t>
      </w:r>
      <w:r w:rsidRPr="008F38F4">
        <w:rPr>
          <w:rFonts w:ascii="Segoe UI" w:eastAsia="Calibri" w:hAnsi="Segoe UI" w:cs="Segoe UI"/>
          <w:bCs/>
          <w:sz w:val="23"/>
          <w:szCs w:val="23"/>
          <w:lang w:val="en"/>
        </w:rPr>
        <w:br/>
      </w:r>
      <w:r w:rsidRPr="008F38F4">
        <w:rPr>
          <w:rFonts w:ascii="Segoe UI" w:eastAsia="Calibri" w:hAnsi="Segoe UI" w:cs="Segoe UI"/>
          <w:bCs/>
          <w:sz w:val="23"/>
          <w:szCs w:val="23"/>
          <w:lang w:val="en"/>
        </w:rPr>
        <w:br/>
        <w:t>In a "no deal" scenario, UK nationals resident in the EU, EEA and Switzerland may experience limitations to their access to healthcare services. The Government is therefore seeking to protect current reciprocal healthcare rights through bilateral agreements with other member states. </w:t>
      </w:r>
      <w:r w:rsidRPr="008F38F4">
        <w:rPr>
          <w:rFonts w:ascii="Segoe UI" w:eastAsia="Calibri" w:hAnsi="Segoe UI" w:cs="Segoe UI"/>
          <w:bCs/>
          <w:sz w:val="23"/>
          <w:szCs w:val="23"/>
          <w:lang w:val="en"/>
        </w:rPr>
        <w:br/>
      </w:r>
      <w:r w:rsidRPr="008F38F4">
        <w:rPr>
          <w:rFonts w:ascii="Segoe UI" w:eastAsia="Calibri" w:hAnsi="Segoe UI" w:cs="Segoe UI"/>
          <w:bCs/>
          <w:sz w:val="23"/>
          <w:szCs w:val="23"/>
          <w:lang w:val="en"/>
        </w:rPr>
        <w:br/>
        <w:t>In a "no deal" scenario, UK clinicians would be required to leave European Reference Networks (ERNs) on 29 March 2019. However, the UK will seek to strengthen and build new bilateral and multilateral relationships – including with the EU – to ensure clinical expertise is maintained in the UK. </w:t>
      </w:r>
    </w:p>
    <w:p w:rsidR="007F0021" w:rsidRDefault="007F0021" w:rsidP="008F38F4">
      <w:pPr>
        <w:spacing w:before="100" w:beforeAutospacing="1" w:after="120"/>
        <w:jc w:val="both"/>
        <w:rPr>
          <w:rFonts w:ascii="Segoe UI" w:eastAsia="Calibri" w:hAnsi="Segoe UI" w:cs="Segoe UI"/>
          <w:b/>
          <w:bCs/>
          <w:sz w:val="23"/>
          <w:szCs w:val="23"/>
          <w:lang w:val="en"/>
        </w:rPr>
      </w:pPr>
      <w:r>
        <w:rPr>
          <w:rFonts w:ascii="Segoe UI" w:eastAsia="Calibri" w:hAnsi="Segoe UI" w:cs="Segoe UI"/>
          <w:b/>
          <w:bCs/>
          <w:sz w:val="23"/>
          <w:szCs w:val="23"/>
          <w:lang w:val="en"/>
        </w:rPr>
        <w:t>Overview</w:t>
      </w:r>
    </w:p>
    <w:p w:rsidR="007F0021" w:rsidRPr="007F0021" w:rsidRDefault="007F0021" w:rsidP="008F38F4">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lang w:val="en"/>
        </w:rPr>
        <w:lastRenderedPageBreak/>
        <w:t>The EU</w:t>
      </w:r>
      <w:r w:rsidR="00AB2657">
        <w:rPr>
          <w:rFonts w:ascii="Segoe UI" w:eastAsia="Calibri" w:hAnsi="Segoe UI" w:cs="Segoe UI"/>
          <w:bCs/>
          <w:sz w:val="23"/>
          <w:szCs w:val="23"/>
          <w:lang w:val="en"/>
        </w:rPr>
        <w:t xml:space="preserve"> Exit Operational Readiness Guidance </w:t>
      </w:r>
      <w:proofErr w:type="spellStart"/>
      <w:r w:rsidR="00AB2657">
        <w:rPr>
          <w:rFonts w:ascii="Segoe UI" w:eastAsia="Calibri" w:hAnsi="Segoe UI" w:cs="Segoe UI"/>
          <w:bCs/>
          <w:sz w:val="23"/>
          <w:szCs w:val="23"/>
          <w:lang w:val="en"/>
        </w:rPr>
        <w:t>summarises</w:t>
      </w:r>
      <w:proofErr w:type="spellEnd"/>
      <w:r w:rsidR="00AB2657">
        <w:rPr>
          <w:rFonts w:ascii="Segoe UI" w:eastAsia="Calibri" w:hAnsi="Segoe UI" w:cs="Segoe UI"/>
          <w:bCs/>
          <w:sz w:val="23"/>
          <w:szCs w:val="23"/>
          <w:lang w:val="en"/>
        </w:rPr>
        <w:t xml:space="preserve"> the Government’s contingency plans and covers actions that all health and adult social care organisations should take in preparation for EU Exit.   We are required to undertake local EU Exit readiness planning, local risk assessments and plan for wider pote</w:t>
      </w:r>
      <w:r w:rsidR="00FB6F2D">
        <w:rPr>
          <w:rFonts w:ascii="Segoe UI" w:eastAsia="Calibri" w:hAnsi="Segoe UI" w:cs="Segoe UI"/>
          <w:bCs/>
          <w:sz w:val="23"/>
          <w:szCs w:val="23"/>
          <w:lang w:val="en"/>
        </w:rPr>
        <w:t>n</w:t>
      </w:r>
      <w:r w:rsidR="00AB2657">
        <w:rPr>
          <w:rFonts w:ascii="Segoe UI" w:eastAsia="Calibri" w:hAnsi="Segoe UI" w:cs="Segoe UI"/>
          <w:bCs/>
          <w:sz w:val="23"/>
          <w:szCs w:val="23"/>
          <w:lang w:val="en"/>
        </w:rPr>
        <w:t xml:space="preserve">tial impacts. </w:t>
      </w:r>
      <w:r w:rsidR="00FB6F2D">
        <w:rPr>
          <w:rFonts w:ascii="Segoe UI" w:eastAsia="Calibri" w:hAnsi="Segoe UI" w:cs="Segoe UI"/>
          <w:bCs/>
          <w:sz w:val="23"/>
          <w:szCs w:val="23"/>
          <w:lang w:val="en"/>
        </w:rPr>
        <w:t>The actions cover the following seven areas</w:t>
      </w:r>
      <w:r w:rsidR="00F53554">
        <w:rPr>
          <w:rFonts w:ascii="Segoe UI" w:eastAsia="Calibri" w:hAnsi="Segoe UI" w:cs="Segoe UI"/>
          <w:bCs/>
          <w:sz w:val="23"/>
          <w:szCs w:val="23"/>
          <w:lang w:val="en"/>
        </w:rPr>
        <w:t xml:space="preserve"> and the Trust’s risk assessment developed as pa</w:t>
      </w:r>
      <w:r w:rsidR="00357647">
        <w:rPr>
          <w:rFonts w:ascii="Segoe UI" w:eastAsia="Calibri" w:hAnsi="Segoe UI" w:cs="Segoe UI"/>
          <w:bCs/>
          <w:sz w:val="23"/>
          <w:szCs w:val="23"/>
          <w:lang w:val="en"/>
        </w:rPr>
        <w:t>rt of system discussion across</w:t>
      </w:r>
      <w:r w:rsidR="00F53554">
        <w:rPr>
          <w:rFonts w:ascii="Segoe UI" w:eastAsia="Calibri" w:hAnsi="Segoe UI" w:cs="Segoe UI"/>
          <w:bCs/>
          <w:sz w:val="23"/>
          <w:szCs w:val="23"/>
          <w:lang w:val="en"/>
        </w:rPr>
        <w:t xml:space="preserve"> Tha</w:t>
      </w:r>
      <w:r w:rsidR="00357647">
        <w:rPr>
          <w:rFonts w:ascii="Segoe UI" w:eastAsia="Calibri" w:hAnsi="Segoe UI" w:cs="Segoe UI"/>
          <w:bCs/>
          <w:sz w:val="23"/>
          <w:szCs w:val="23"/>
          <w:lang w:val="en"/>
        </w:rPr>
        <w:t xml:space="preserve">mes Valley is </w:t>
      </w:r>
      <w:r w:rsidR="00F53554">
        <w:rPr>
          <w:rFonts w:ascii="Segoe UI" w:eastAsia="Calibri" w:hAnsi="Segoe UI" w:cs="Segoe UI"/>
          <w:bCs/>
          <w:sz w:val="23"/>
          <w:szCs w:val="23"/>
          <w:lang w:val="en"/>
        </w:rPr>
        <w:t>appended to this report</w:t>
      </w:r>
      <w:r w:rsidR="00FB6F2D">
        <w:rPr>
          <w:rFonts w:ascii="Segoe UI" w:eastAsia="Calibri" w:hAnsi="Segoe UI" w:cs="Segoe UI"/>
          <w:bCs/>
          <w:sz w:val="23"/>
          <w:szCs w:val="23"/>
          <w:lang w:val="en"/>
        </w:rPr>
        <w:t>:</w:t>
      </w:r>
      <w:r w:rsidR="00AB2657">
        <w:rPr>
          <w:rFonts w:ascii="Segoe UI" w:eastAsia="Calibri" w:hAnsi="Segoe UI" w:cs="Segoe UI"/>
          <w:bCs/>
          <w:sz w:val="23"/>
          <w:szCs w:val="23"/>
          <w:lang w:val="en"/>
        </w:rPr>
        <w:t xml:space="preserve"> </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Supply of medicines and vaccines</w:t>
      </w:r>
    </w:p>
    <w:p w:rsidR="008F38F4" w:rsidRPr="008F38F4" w:rsidRDefault="008F38F4" w:rsidP="00A3154E">
      <w:pPr>
        <w:numPr>
          <w:ilvl w:val="0"/>
          <w:numId w:val="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In a no-deal scenario, the default position will be for member states to impose full third country controls on people and goods entering the EU from the UK, meaning that we could see delays to the movement of goods between the UK and EU. </w:t>
      </w:r>
      <w:proofErr w:type="gramStart"/>
      <w:r w:rsidRPr="008F38F4">
        <w:rPr>
          <w:rFonts w:ascii="Segoe UI" w:eastAsia="Calibri" w:hAnsi="Segoe UI" w:cs="Segoe UI"/>
          <w:bCs/>
          <w:sz w:val="23"/>
          <w:szCs w:val="23"/>
          <w:lang w:val="en"/>
        </w:rPr>
        <w:t>In light of</w:t>
      </w:r>
      <w:proofErr w:type="gramEnd"/>
      <w:r w:rsidRPr="008F38F4">
        <w:rPr>
          <w:rFonts w:ascii="Segoe UI" w:eastAsia="Calibri" w:hAnsi="Segoe UI" w:cs="Segoe UI"/>
          <w:bCs/>
          <w:sz w:val="23"/>
          <w:szCs w:val="23"/>
          <w:lang w:val="en"/>
        </w:rPr>
        <w:t xml:space="preserve"> this, it is anticipated that the flow of goods between the UK and EU could be reduced for a period of up to six months.</w:t>
      </w:r>
    </w:p>
    <w:p w:rsidR="008F38F4" w:rsidRPr="008F38F4" w:rsidRDefault="008F38F4" w:rsidP="00A3154E">
      <w:pPr>
        <w:numPr>
          <w:ilvl w:val="0"/>
          <w:numId w:val="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The six-week stockpiling activities remain a critical part of the DHSC's UK-wide contingency plan for medicines and vaccines. Now that the assumption has been revised, the DHSC will continue to work with pharmaceutical companies to develop this plan. In addition to stockpiling, the Government is working to ensure there is sufficient roll-on, roll-off freight capacity to enable medicines and medical products to continue to move freely into the UK. The Government has also agreed that medicines and medical products will be </w:t>
      </w:r>
      <w:proofErr w:type="spellStart"/>
      <w:r w:rsidRPr="008F38F4">
        <w:rPr>
          <w:rFonts w:ascii="Segoe UI" w:eastAsia="Calibri" w:hAnsi="Segoe UI" w:cs="Segoe UI"/>
          <w:bCs/>
          <w:sz w:val="23"/>
          <w:szCs w:val="23"/>
          <w:lang w:val="en"/>
        </w:rPr>
        <w:t>prioritised</w:t>
      </w:r>
      <w:proofErr w:type="spellEnd"/>
      <w:r w:rsidRPr="008F38F4">
        <w:rPr>
          <w:rFonts w:ascii="Segoe UI" w:eastAsia="Calibri" w:hAnsi="Segoe UI" w:cs="Segoe UI"/>
          <w:bCs/>
          <w:sz w:val="23"/>
          <w:szCs w:val="23"/>
          <w:lang w:val="en"/>
        </w:rPr>
        <w:t xml:space="preserve"> on these alternative routes to ensure that the flow of all these products will continue unimpeded after 29 March 2019. This includes all medicines, </w:t>
      </w:r>
      <w:r w:rsidR="00E4673A" w:rsidRPr="008F38F4">
        <w:rPr>
          <w:rFonts w:ascii="Segoe UI" w:eastAsia="Calibri" w:hAnsi="Segoe UI" w:cs="Segoe UI"/>
          <w:bCs/>
          <w:sz w:val="23"/>
          <w:szCs w:val="23"/>
          <w:lang w:val="en"/>
        </w:rPr>
        <w:t>together with</w:t>
      </w:r>
      <w:r w:rsidRPr="008F38F4">
        <w:rPr>
          <w:rFonts w:ascii="Segoe UI" w:eastAsia="Calibri" w:hAnsi="Segoe UI" w:cs="Segoe UI"/>
          <w:bCs/>
          <w:sz w:val="23"/>
          <w:szCs w:val="23"/>
          <w:lang w:val="en"/>
        </w:rPr>
        <w:t xml:space="preserve"> general sales list medicines.</w:t>
      </w:r>
    </w:p>
    <w:p w:rsidR="008F38F4" w:rsidRPr="008F38F4" w:rsidRDefault="008F38F4" w:rsidP="00A3154E">
      <w:pPr>
        <w:numPr>
          <w:ilvl w:val="0"/>
          <w:numId w:val="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Officials in Public Health England are leading a separate programme to ensure the continuity of supply for centrally-procured vaccines and other products that are distributed to the NHS for the UK National </w:t>
      </w:r>
      <w:proofErr w:type="spellStart"/>
      <w:r w:rsidRPr="008F38F4">
        <w:rPr>
          <w:rFonts w:ascii="Segoe UI" w:eastAsia="Calibri" w:hAnsi="Segoe UI" w:cs="Segoe UI"/>
          <w:bCs/>
          <w:sz w:val="23"/>
          <w:szCs w:val="23"/>
          <w:lang w:val="en"/>
        </w:rPr>
        <w:t>Immunisation</w:t>
      </w:r>
      <w:proofErr w:type="spellEnd"/>
      <w:r w:rsidRPr="008F38F4">
        <w:rPr>
          <w:rFonts w:ascii="Segoe UI" w:eastAsia="Calibri" w:hAnsi="Segoe UI" w:cs="Segoe UI"/>
          <w:bCs/>
          <w:sz w:val="23"/>
          <w:szCs w:val="23"/>
          <w:lang w:val="en"/>
        </w:rPr>
        <w:t xml:space="preserve"> Programme or used for urgent public health use.</w:t>
      </w:r>
    </w:p>
    <w:p w:rsidR="008F38F4" w:rsidRPr="008F38F4" w:rsidRDefault="008F38F4" w:rsidP="00A3154E">
      <w:pPr>
        <w:numPr>
          <w:ilvl w:val="0"/>
          <w:numId w:val="2"/>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UK health providers, including hospitals, care homes, GPs and community pharmacies, </w:t>
      </w:r>
      <w:r w:rsidR="00E4673A">
        <w:rPr>
          <w:rFonts w:ascii="Segoe UI" w:eastAsia="Calibri" w:hAnsi="Segoe UI" w:cs="Segoe UI"/>
          <w:bCs/>
          <w:sz w:val="23"/>
          <w:szCs w:val="23"/>
          <w:lang w:val="en"/>
        </w:rPr>
        <w:t xml:space="preserve">have been instructed </w:t>
      </w:r>
      <w:r w:rsidRPr="008F38F4">
        <w:rPr>
          <w:rFonts w:ascii="Segoe UI" w:eastAsia="Calibri" w:hAnsi="Segoe UI" w:cs="Segoe UI"/>
          <w:bCs/>
          <w:sz w:val="23"/>
          <w:szCs w:val="23"/>
          <w:lang w:val="en"/>
        </w:rPr>
        <w:t>not</w:t>
      </w:r>
      <w:r w:rsidR="00E4673A">
        <w:rPr>
          <w:rFonts w:ascii="Segoe UI" w:eastAsia="Calibri" w:hAnsi="Segoe UI" w:cs="Segoe UI"/>
          <w:bCs/>
          <w:sz w:val="23"/>
          <w:szCs w:val="23"/>
          <w:lang w:val="en"/>
        </w:rPr>
        <w:t xml:space="preserve"> to</w:t>
      </w:r>
      <w:r w:rsidRPr="008F38F4">
        <w:rPr>
          <w:rFonts w:ascii="Segoe UI" w:eastAsia="Calibri" w:hAnsi="Segoe UI" w:cs="Segoe UI"/>
          <w:bCs/>
          <w:sz w:val="23"/>
          <w:szCs w:val="23"/>
          <w:lang w:val="en"/>
        </w:rPr>
        <w:t xml:space="preserve"> stockpile additional medicines beyond their business as usual stock levels. </w:t>
      </w:r>
      <w:r w:rsidR="00E4673A">
        <w:rPr>
          <w:rFonts w:ascii="Segoe UI" w:eastAsia="Calibri" w:hAnsi="Segoe UI" w:cs="Segoe UI"/>
          <w:bCs/>
          <w:sz w:val="23"/>
          <w:szCs w:val="23"/>
          <w:lang w:val="en"/>
        </w:rPr>
        <w:t>We’ve been advised there is</w:t>
      </w:r>
      <w:r w:rsidRPr="008F38F4">
        <w:rPr>
          <w:rFonts w:ascii="Segoe UI" w:eastAsia="Calibri" w:hAnsi="Segoe UI" w:cs="Segoe UI"/>
          <w:bCs/>
          <w:sz w:val="23"/>
          <w:szCs w:val="23"/>
          <w:lang w:val="en"/>
        </w:rPr>
        <w:t xml:space="preserve"> no need for clinicians to write longer NHS prescriptions.</w:t>
      </w:r>
    </w:p>
    <w:p w:rsidR="008F38F4" w:rsidRPr="00E4673A" w:rsidRDefault="008F38F4" w:rsidP="00357647">
      <w:pPr>
        <w:numPr>
          <w:ilvl w:val="0"/>
          <w:numId w:val="2"/>
        </w:numPr>
        <w:spacing w:before="100" w:beforeAutospacing="1" w:after="120"/>
        <w:jc w:val="both"/>
        <w:rPr>
          <w:rFonts w:ascii="Segoe UI" w:eastAsia="Calibri" w:hAnsi="Segoe UI" w:cs="Segoe UI"/>
          <w:bCs/>
          <w:sz w:val="23"/>
          <w:szCs w:val="23"/>
          <w:lang w:val="en"/>
        </w:rPr>
      </w:pPr>
      <w:r w:rsidRPr="00E4673A">
        <w:rPr>
          <w:rFonts w:ascii="Segoe UI" w:eastAsia="Calibri" w:hAnsi="Segoe UI" w:cs="Segoe UI"/>
          <w:bCs/>
          <w:sz w:val="23"/>
          <w:szCs w:val="23"/>
          <w:lang w:val="en"/>
        </w:rPr>
        <w:t>Chief and Responsible Pharmacists are responsible for ensuring their organisation does not stockpile medicines unnecessarily. Any incidences involving the over-ordering of medicines will be investigated and followed up with the relevant Chief or Responsible Pharmacist directly.</w:t>
      </w:r>
      <w:r w:rsidR="00E4673A" w:rsidRPr="00E4673A">
        <w:rPr>
          <w:rFonts w:ascii="Segoe UI" w:eastAsia="Calibri" w:hAnsi="Segoe UI" w:cs="Segoe UI"/>
          <w:bCs/>
          <w:sz w:val="23"/>
          <w:szCs w:val="23"/>
          <w:lang w:val="en"/>
        </w:rPr>
        <w:t xml:space="preserve">  </w:t>
      </w:r>
      <w:r w:rsidR="00E4673A" w:rsidRPr="006C3E50">
        <w:rPr>
          <w:rFonts w:ascii="Segoe UI" w:eastAsia="Calibri" w:hAnsi="Segoe UI" w:cs="Segoe UI"/>
          <w:b/>
          <w:bCs/>
          <w:sz w:val="23"/>
          <w:szCs w:val="23"/>
          <w:lang w:val="en"/>
        </w:rPr>
        <w:t xml:space="preserve">Michael Marvin is clear about the guidance and has supported the risk assessment attached </w:t>
      </w:r>
      <w:r w:rsidR="00E4673A" w:rsidRPr="006C3E50">
        <w:rPr>
          <w:rFonts w:ascii="Segoe UI" w:eastAsia="Calibri" w:hAnsi="Segoe UI" w:cs="Segoe UI"/>
          <w:b/>
          <w:bCs/>
          <w:sz w:val="23"/>
          <w:szCs w:val="23"/>
          <w:lang w:val="en"/>
        </w:rPr>
        <w:lastRenderedPageBreak/>
        <w:t xml:space="preserve">and is part of hospital and </w:t>
      </w:r>
      <w:r w:rsidRPr="006C3E50">
        <w:rPr>
          <w:rFonts w:ascii="Segoe UI" w:eastAsia="Calibri" w:hAnsi="Segoe UI" w:cs="Segoe UI"/>
          <w:b/>
          <w:bCs/>
          <w:sz w:val="23"/>
          <w:szCs w:val="23"/>
          <w:lang w:val="en"/>
        </w:rPr>
        <w:t xml:space="preserve">CCG Chief Pharmacists </w:t>
      </w:r>
      <w:r w:rsidR="00E4673A" w:rsidRPr="006C3E50">
        <w:rPr>
          <w:rFonts w:ascii="Segoe UI" w:eastAsia="Calibri" w:hAnsi="Segoe UI" w:cs="Segoe UI"/>
          <w:b/>
          <w:bCs/>
          <w:sz w:val="23"/>
          <w:szCs w:val="23"/>
          <w:lang w:val="en"/>
        </w:rPr>
        <w:t>meetings</w:t>
      </w:r>
      <w:r w:rsidRPr="006C3E50">
        <w:rPr>
          <w:rFonts w:ascii="Segoe UI" w:eastAsia="Calibri" w:hAnsi="Segoe UI" w:cs="Segoe UI"/>
          <w:b/>
          <w:bCs/>
          <w:sz w:val="23"/>
          <w:szCs w:val="23"/>
          <w:lang w:val="en"/>
        </w:rPr>
        <w:t xml:space="preserve"> at a local level to discuss and agree further local contingency and collaboration arrangements.</w:t>
      </w:r>
      <w:r w:rsidRPr="00E4673A">
        <w:rPr>
          <w:rFonts w:ascii="Segoe UI" w:eastAsia="Calibri" w:hAnsi="Segoe UI" w:cs="Segoe UI"/>
          <w:bCs/>
          <w:sz w:val="23"/>
          <w:szCs w:val="23"/>
          <w:lang w:val="en"/>
        </w:rPr>
        <w:t xml:space="preserve"> Each CCG </w:t>
      </w:r>
      <w:r w:rsidR="00E4673A">
        <w:rPr>
          <w:rFonts w:ascii="Segoe UI" w:eastAsia="Calibri" w:hAnsi="Segoe UI" w:cs="Segoe UI"/>
          <w:bCs/>
          <w:sz w:val="23"/>
          <w:szCs w:val="23"/>
          <w:lang w:val="en"/>
        </w:rPr>
        <w:t>is required to</w:t>
      </w:r>
      <w:r w:rsidRPr="00E4673A">
        <w:rPr>
          <w:rFonts w:ascii="Segoe UI" w:eastAsia="Calibri" w:hAnsi="Segoe UI" w:cs="Segoe UI"/>
          <w:bCs/>
          <w:sz w:val="23"/>
          <w:szCs w:val="23"/>
          <w:lang w:val="en"/>
        </w:rPr>
        <w:t xml:space="preserve"> agree a “EU Exit medicines, prescribing and supply plan” by 31 January 2019. Regional pharmacists and regional emerge</w:t>
      </w:r>
      <w:r w:rsidR="000852F6">
        <w:rPr>
          <w:rFonts w:ascii="Segoe UI" w:eastAsia="Calibri" w:hAnsi="Segoe UI" w:cs="Segoe UI"/>
          <w:bCs/>
          <w:sz w:val="23"/>
          <w:szCs w:val="23"/>
          <w:lang w:val="en"/>
        </w:rPr>
        <w:t xml:space="preserve">ncy planning staff will </w:t>
      </w:r>
      <w:r w:rsidRPr="00E4673A">
        <w:rPr>
          <w:rFonts w:ascii="Segoe UI" w:eastAsia="Calibri" w:hAnsi="Segoe UI" w:cs="Segoe UI"/>
          <w:bCs/>
          <w:sz w:val="23"/>
          <w:szCs w:val="23"/>
          <w:lang w:val="en"/>
        </w:rPr>
        <w:t xml:space="preserve">agree such plans. </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Supply of medical devices and clinical consumables</w:t>
      </w:r>
    </w:p>
    <w:p w:rsidR="008F38F4" w:rsidRPr="008F38F4" w:rsidRDefault="008F38F4" w:rsidP="00A3154E">
      <w:pPr>
        <w:numPr>
          <w:ilvl w:val="0"/>
          <w:numId w:val="3"/>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The DHSC is developing national plans to ensure the continued movement of medical devices and clinical consumables supplied from the EU. Work is being undertaken at local and national levels to identify suppliers who source products from EU countries and to review their supply chains to determine what measures they need to take to ensure that healthcare providers have access to the products they need.</w:t>
      </w:r>
    </w:p>
    <w:p w:rsidR="008F38F4" w:rsidRPr="008F38F4" w:rsidRDefault="008F38F4" w:rsidP="00A3154E">
      <w:pPr>
        <w:numPr>
          <w:ilvl w:val="0"/>
          <w:numId w:val="4"/>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Despite the planning assumption being revised, there is currently no need to stockpile additional medical devices and clinical consumables beyond business as usual stock levels.</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Supply of non-clinical consumables, goods and services</w:t>
      </w:r>
    </w:p>
    <w:p w:rsidR="008F38F4" w:rsidRPr="00AD7325" w:rsidRDefault="008F38F4" w:rsidP="008F38F4">
      <w:pPr>
        <w:numPr>
          <w:ilvl w:val="0"/>
          <w:numId w:val="5"/>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NHS Trusts’ procurement leads have been asked to undertake internal reviews of purchased goods and services to understand any risks to operations if there is disruption in supply. This excludes goods and services that are being reviewed centrally, such as food, on which the Department has written to procurement leads previously.</w:t>
      </w:r>
      <w:r w:rsidR="001564AB">
        <w:rPr>
          <w:rFonts w:ascii="Segoe UI" w:eastAsia="Calibri" w:hAnsi="Segoe UI" w:cs="Segoe UI"/>
          <w:bCs/>
          <w:sz w:val="23"/>
          <w:szCs w:val="23"/>
          <w:lang w:val="en"/>
        </w:rPr>
        <w:t xml:space="preserve">  Our risk assessment has however included food given our reliance for our patients on cook chill.  We have been assured by our providers own resilience plans.</w:t>
      </w:r>
    </w:p>
    <w:p w:rsidR="008F38F4" w:rsidRPr="00331308" w:rsidRDefault="008F38F4" w:rsidP="00357647">
      <w:pPr>
        <w:numPr>
          <w:ilvl w:val="0"/>
          <w:numId w:val="6"/>
        </w:numPr>
        <w:spacing w:before="100" w:beforeAutospacing="1" w:after="120"/>
        <w:jc w:val="both"/>
        <w:rPr>
          <w:rFonts w:ascii="Segoe UI" w:eastAsia="Calibri" w:hAnsi="Segoe UI" w:cs="Segoe UI"/>
          <w:bCs/>
          <w:sz w:val="23"/>
          <w:szCs w:val="23"/>
          <w:lang w:val="en"/>
        </w:rPr>
      </w:pPr>
      <w:r w:rsidRPr="00331308">
        <w:rPr>
          <w:rFonts w:ascii="Segoe UI" w:eastAsia="Calibri" w:hAnsi="Segoe UI" w:cs="Segoe UI"/>
          <w:bCs/>
          <w:sz w:val="23"/>
          <w:szCs w:val="23"/>
          <w:lang w:val="en"/>
        </w:rPr>
        <w:t xml:space="preserve">Trusts </w:t>
      </w:r>
      <w:r w:rsidR="001564AB">
        <w:rPr>
          <w:rFonts w:ascii="Segoe UI" w:eastAsia="Calibri" w:hAnsi="Segoe UI" w:cs="Segoe UI"/>
          <w:bCs/>
          <w:sz w:val="23"/>
          <w:szCs w:val="23"/>
          <w:lang w:val="en"/>
        </w:rPr>
        <w:t xml:space="preserve">are advised to </w:t>
      </w:r>
      <w:r w:rsidRPr="00331308">
        <w:rPr>
          <w:rFonts w:ascii="Segoe UI" w:eastAsia="Calibri" w:hAnsi="Segoe UI" w:cs="Segoe UI"/>
          <w:bCs/>
          <w:sz w:val="23"/>
          <w:szCs w:val="23"/>
          <w:lang w:val="en"/>
        </w:rPr>
        <w:t>continue commercial preparation for EU Exit as part of usual resilience planning.</w:t>
      </w:r>
      <w:r w:rsidR="00331308" w:rsidRPr="00331308">
        <w:rPr>
          <w:rFonts w:ascii="Segoe UI" w:eastAsia="Calibri" w:hAnsi="Segoe UI" w:cs="Segoe UI"/>
          <w:bCs/>
          <w:sz w:val="23"/>
          <w:szCs w:val="23"/>
          <w:lang w:val="en"/>
        </w:rPr>
        <w:t xml:space="preserve">  </w:t>
      </w:r>
      <w:r w:rsidR="00331308" w:rsidRPr="006C3E50">
        <w:rPr>
          <w:rFonts w:ascii="Segoe UI" w:eastAsia="Calibri" w:hAnsi="Segoe UI" w:cs="Segoe UI"/>
          <w:b/>
          <w:bCs/>
          <w:sz w:val="23"/>
          <w:szCs w:val="23"/>
          <w:lang w:val="en"/>
        </w:rPr>
        <w:t>Our</w:t>
      </w:r>
      <w:r w:rsidRPr="006C3E50">
        <w:rPr>
          <w:rFonts w:ascii="Segoe UI" w:eastAsia="Calibri" w:hAnsi="Segoe UI" w:cs="Segoe UI"/>
          <w:b/>
          <w:bCs/>
          <w:sz w:val="23"/>
          <w:szCs w:val="23"/>
          <w:lang w:val="en"/>
        </w:rPr>
        <w:t xml:space="preserve"> self-assessment on non-clinical consumables, goods and services</w:t>
      </w:r>
      <w:r w:rsidR="00331308" w:rsidRPr="006C3E50">
        <w:rPr>
          <w:rFonts w:ascii="Segoe UI" w:eastAsia="Calibri" w:hAnsi="Segoe UI" w:cs="Segoe UI"/>
          <w:b/>
          <w:bCs/>
          <w:sz w:val="23"/>
          <w:szCs w:val="23"/>
          <w:lang w:val="en"/>
        </w:rPr>
        <w:t xml:space="preserve"> is appended to this report</w:t>
      </w:r>
      <w:r w:rsidR="00331308">
        <w:rPr>
          <w:rFonts w:ascii="Segoe UI" w:eastAsia="Calibri" w:hAnsi="Segoe UI" w:cs="Segoe UI"/>
          <w:bCs/>
          <w:sz w:val="23"/>
          <w:szCs w:val="23"/>
          <w:lang w:val="en"/>
        </w:rPr>
        <w:t xml:space="preserve"> and f</w:t>
      </w:r>
      <w:r w:rsidRPr="00331308">
        <w:rPr>
          <w:rFonts w:ascii="Segoe UI" w:eastAsia="Calibri" w:hAnsi="Segoe UI" w:cs="Segoe UI"/>
          <w:bCs/>
          <w:sz w:val="23"/>
          <w:szCs w:val="23"/>
          <w:lang w:val="en"/>
        </w:rPr>
        <w:t xml:space="preserve">urther guidance to be issued by the Department </w:t>
      </w:r>
      <w:r w:rsidR="001564AB">
        <w:rPr>
          <w:rFonts w:ascii="Segoe UI" w:eastAsia="Calibri" w:hAnsi="Segoe UI" w:cs="Segoe UI"/>
          <w:bCs/>
          <w:sz w:val="23"/>
          <w:szCs w:val="23"/>
          <w:lang w:val="en"/>
        </w:rPr>
        <w:t>early</w:t>
      </w:r>
      <w:r w:rsidRPr="00331308">
        <w:rPr>
          <w:rFonts w:ascii="Segoe UI" w:eastAsia="Calibri" w:hAnsi="Segoe UI" w:cs="Segoe UI"/>
          <w:bCs/>
          <w:sz w:val="23"/>
          <w:szCs w:val="23"/>
          <w:lang w:val="en"/>
        </w:rPr>
        <w:t xml:space="preserve"> 2019. This will be based on an analysis of trusts’ self-assessments.</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Workforce</w:t>
      </w:r>
    </w:p>
    <w:p w:rsidR="008F38F4" w:rsidRPr="008F38F4" w:rsidRDefault="008F38F4" w:rsidP="00A3154E">
      <w:pPr>
        <w:numPr>
          <w:ilvl w:val="0"/>
          <w:numId w:val="7"/>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EU nationals working in the health and care system have been able to register for EU settled status under the pilot scheme that was open between 3-21 December. People who did not register under the pilot scheme do not need to worry, as the </w:t>
      </w:r>
      <w:r w:rsidRPr="008F38F4">
        <w:rPr>
          <w:rFonts w:ascii="Segoe UI" w:eastAsia="Calibri" w:hAnsi="Segoe UI" w:cs="Segoe UI"/>
          <w:bCs/>
          <w:sz w:val="23"/>
          <w:szCs w:val="23"/>
          <w:lang w:val="en"/>
        </w:rPr>
        <w:lastRenderedPageBreak/>
        <w:t>scheme will open by March 2019 and remain open until at least the end of 2020, so there will be plenty of time for EU staff to register.</w:t>
      </w:r>
    </w:p>
    <w:p w:rsidR="008F38F4" w:rsidRPr="008F38F4" w:rsidRDefault="001564AB" w:rsidP="00A3154E">
      <w:pPr>
        <w:numPr>
          <w:ilvl w:val="0"/>
          <w:numId w:val="8"/>
        </w:numPr>
        <w:spacing w:before="100" w:beforeAutospacing="1" w:after="120"/>
        <w:jc w:val="both"/>
        <w:rPr>
          <w:rFonts w:ascii="Segoe UI" w:eastAsia="Calibri" w:hAnsi="Segoe UI" w:cs="Segoe UI"/>
          <w:bCs/>
          <w:sz w:val="23"/>
          <w:szCs w:val="23"/>
          <w:lang w:val="en"/>
        </w:rPr>
      </w:pPr>
      <w:r w:rsidRPr="006C3E50">
        <w:rPr>
          <w:rFonts w:ascii="Segoe UI" w:eastAsia="Calibri" w:hAnsi="Segoe UI" w:cs="Segoe UI"/>
          <w:b/>
          <w:bCs/>
          <w:sz w:val="23"/>
          <w:szCs w:val="23"/>
          <w:lang w:val="en"/>
        </w:rPr>
        <w:t>We have</w:t>
      </w:r>
      <w:r w:rsidR="008F38F4" w:rsidRPr="006C3E50">
        <w:rPr>
          <w:rFonts w:ascii="Segoe UI" w:eastAsia="Calibri" w:hAnsi="Segoe UI" w:cs="Segoe UI"/>
          <w:b/>
          <w:bCs/>
          <w:sz w:val="23"/>
          <w:szCs w:val="23"/>
          <w:lang w:val="en"/>
        </w:rPr>
        <w:t xml:space="preserve"> </w:t>
      </w:r>
      <w:proofErr w:type="spellStart"/>
      <w:r w:rsidR="008F38F4" w:rsidRPr="006C3E50">
        <w:rPr>
          <w:rFonts w:ascii="Segoe UI" w:eastAsia="Calibri" w:hAnsi="Segoe UI" w:cs="Segoe UI"/>
          <w:b/>
          <w:bCs/>
          <w:sz w:val="23"/>
          <w:szCs w:val="23"/>
          <w:lang w:val="en"/>
        </w:rPr>
        <w:t>publicise</w:t>
      </w:r>
      <w:r w:rsidRPr="006C3E50">
        <w:rPr>
          <w:rFonts w:ascii="Segoe UI" w:eastAsia="Calibri" w:hAnsi="Segoe UI" w:cs="Segoe UI"/>
          <w:b/>
          <w:bCs/>
          <w:sz w:val="23"/>
          <w:szCs w:val="23"/>
          <w:lang w:val="en"/>
        </w:rPr>
        <w:t>d</w:t>
      </w:r>
      <w:proofErr w:type="spellEnd"/>
      <w:r w:rsidR="008F38F4" w:rsidRPr="006C3E50">
        <w:rPr>
          <w:rFonts w:ascii="Segoe UI" w:eastAsia="Calibri" w:hAnsi="Segoe UI" w:cs="Segoe UI"/>
          <w:b/>
          <w:bCs/>
          <w:sz w:val="23"/>
          <w:szCs w:val="23"/>
          <w:lang w:val="en"/>
        </w:rPr>
        <w:t xml:space="preserve"> the EU Settlement Sc</w:t>
      </w:r>
      <w:r w:rsidRPr="006C3E50">
        <w:rPr>
          <w:rFonts w:ascii="Segoe UI" w:eastAsia="Calibri" w:hAnsi="Segoe UI" w:cs="Segoe UI"/>
          <w:b/>
          <w:bCs/>
          <w:sz w:val="23"/>
          <w:szCs w:val="23"/>
          <w:lang w:val="en"/>
        </w:rPr>
        <w:t>heme to our</w:t>
      </w:r>
      <w:r w:rsidR="008F38F4" w:rsidRPr="006C3E50">
        <w:rPr>
          <w:rFonts w:ascii="Segoe UI" w:eastAsia="Calibri" w:hAnsi="Segoe UI" w:cs="Segoe UI"/>
          <w:b/>
          <w:bCs/>
          <w:sz w:val="23"/>
          <w:szCs w:val="23"/>
          <w:lang w:val="en"/>
        </w:rPr>
        <w:t xml:space="preserve"> health and </w:t>
      </w:r>
      <w:r w:rsidRPr="006C3E50">
        <w:rPr>
          <w:rFonts w:ascii="Segoe UI" w:eastAsia="Calibri" w:hAnsi="Segoe UI" w:cs="Segoe UI"/>
          <w:b/>
          <w:bCs/>
          <w:sz w:val="23"/>
          <w:szCs w:val="23"/>
          <w:lang w:val="en"/>
        </w:rPr>
        <w:t>care staff who are EU nationals</w:t>
      </w:r>
      <w:r>
        <w:rPr>
          <w:rFonts w:ascii="Segoe UI" w:eastAsia="Calibri" w:hAnsi="Segoe UI" w:cs="Segoe UI"/>
          <w:bCs/>
          <w:sz w:val="23"/>
          <w:szCs w:val="23"/>
          <w:lang w:val="en"/>
        </w:rPr>
        <w:t xml:space="preserve"> and agreed to pay the fee, which was in advance of the recent decision of government to not charge fees.</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Reciprocal healthcare</w:t>
      </w:r>
    </w:p>
    <w:p w:rsidR="008F38F4" w:rsidRPr="008F38F4" w:rsidRDefault="008F38F4" w:rsidP="00A3154E">
      <w:pPr>
        <w:numPr>
          <w:ilvl w:val="0"/>
          <w:numId w:val="9"/>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In a "no deal" scenario, UK nationals resident in the EU, EEA and Switzerland may experience limitations to their access to healthcare services. The Government is therefore seeking to protect current reciprocal healthcare rights through bilateral agreements with other member states. </w:t>
      </w:r>
    </w:p>
    <w:p w:rsidR="008F38F4" w:rsidRPr="008F38F4" w:rsidRDefault="008F38F4" w:rsidP="00A3154E">
      <w:pPr>
        <w:numPr>
          <w:ilvl w:val="0"/>
          <w:numId w:val="9"/>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The Government is seeking to put in place transitional bilateral agreements with EU, EEA member states and Switzerland to continue reciprocal healthcare arrangements, broadly, on the same terms as today. However, this will depend on decisions made by other EU and EEA member states. </w:t>
      </w:r>
    </w:p>
    <w:p w:rsidR="008F38F4" w:rsidRPr="008F38F4" w:rsidRDefault="008F38F4" w:rsidP="00A3154E">
      <w:pPr>
        <w:numPr>
          <w:ilvl w:val="0"/>
          <w:numId w:val="10"/>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The current arrangements for reciprocal healthcare and for overseas visitors and migrant cost recovery will continue to operate until 29 March 2019. NHS organisations should maintain a strong focus on correctly charging those who should be charged directly for NHS care.</w:t>
      </w:r>
    </w:p>
    <w:p w:rsidR="008F38F4" w:rsidRPr="008F38F4" w:rsidRDefault="008F38F4" w:rsidP="00A3154E">
      <w:pPr>
        <w:numPr>
          <w:ilvl w:val="0"/>
          <w:numId w:val="10"/>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The Government will issue advice </w:t>
      </w:r>
      <w:r w:rsidR="006C3E50">
        <w:rPr>
          <w:rFonts w:ascii="Segoe UI" w:eastAsia="Calibri" w:hAnsi="Segoe UI" w:cs="Segoe UI"/>
          <w:bCs/>
          <w:sz w:val="23"/>
          <w:szCs w:val="23"/>
          <w:lang w:val="en"/>
        </w:rPr>
        <w:t xml:space="preserve">to </w:t>
      </w:r>
      <w:r w:rsidRPr="008F38F4">
        <w:rPr>
          <w:rFonts w:ascii="Segoe UI" w:eastAsia="Calibri" w:hAnsi="Segoe UI" w:cs="Segoe UI"/>
          <w:bCs/>
          <w:sz w:val="23"/>
          <w:szCs w:val="23"/>
          <w:lang w:val="en"/>
        </w:rPr>
        <w:t>explain how the UK is working to maintain reciprocal healthcare arrangements, but this will depend on decisions by member states. </w:t>
      </w:r>
    </w:p>
    <w:p w:rsidR="008F38F4" w:rsidRPr="00FB6F2D" w:rsidRDefault="008F38F4"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Research and clinical networks </w:t>
      </w:r>
    </w:p>
    <w:p w:rsidR="008F38F4" w:rsidRPr="008F38F4" w:rsidRDefault="008F38F4" w:rsidP="00A3154E">
      <w:pPr>
        <w:numPr>
          <w:ilvl w:val="0"/>
          <w:numId w:val="1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
          <w:bCs/>
          <w:sz w:val="23"/>
          <w:szCs w:val="23"/>
          <w:lang w:val="en"/>
        </w:rPr>
        <w:t>Funding</w:t>
      </w:r>
      <w:r w:rsidRPr="008F38F4">
        <w:rPr>
          <w:rFonts w:ascii="Segoe UI" w:eastAsia="Calibri" w:hAnsi="Segoe UI" w:cs="Segoe UI"/>
          <w:bCs/>
          <w:sz w:val="23"/>
          <w:szCs w:val="23"/>
          <w:lang w:val="en"/>
        </w:rPr>
        <w:t xml:space="preserve">: The Government has guaranteed funding committed to UK organisations for certain EU funded projects in the event of a "no deal" scenario. This includes the payment of awards where UK organisations successfully bid directly to the EU while we remain in the EU, and the payment of awards where UK organisations </w:t>
      </w:r>
      <w:proofErr w:type="gramStart"/>
      <w:r w:rsidRPr="008F38F4">
        <w:rPr>
          <w:rFonts w:ascii="Segoe UI" w:eastAsia="Calibri" w:hAnsi="Segoe UI" w:cs="Segoe UI"/>
          <w:bCs/>
          <w:sz w:val="23"/>
          <w:szCs w:val="23"/>
          <w:lang w:val="en"/>
        </w:rPr>
        <w:t>are able to</w:t>
      </w:r>
      <w:proofErr w:type="gramEnd"/>
      <w:r w:rsidRPr="008F38F4">
        <w:rPr>
          <w:rFonts w:ascii="Segoe UI" w:eastAsia="Calibri" w:hAnsi="Segoe UI" w:cs="Segoe UI"/>
          <w:bCs/>
          <w:sz w:val="23"/>
          <w:szCs w:val="23"/>
          <w:lang w:val="en"/>
        </w:rPr>
        <w:t xml:space="preserve"> successfully bid to participate as a third country after Exit, until the end of 2020.</w:t>
      </w:r>
    </w:p>
    <w:p w:rsidR="008F38F4" w:rsidRPr="008F38F4" w:rsidRDefault="008F38F4" w:rsidP="00A3154E">
      <w:pPr>
        <w:numPr>
          <w:ilvl w:val="0"/>
          <w:numId w:val="1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
          <w:bCs/>
          <w:sz w:val="23"/>
          <w:szCs w:val="23"/>
          <w:lang w:val="en"/>
        </w:rPr>
        <w:t>Clinical trials</w:t>
      </w:r>
      <w:r w:rsidRPr="008F38F4">
        <w:rPr>
          <w:rFonts w:ascii="Segoe UI" w:eastAsia="Calibri" w:hAnsi="Segoe UI" w:cs="Segoe UI"/>
          <w:bCs/>
          <w:sz w:val="23"/>
          <w:szCs w:val="23"/>
          <w:lang w:val="en"/>
        </w:rPr>
        <w:t xml:space="preserve">: Organisations running investigator-initiated trials, other industry collaborative trials or non-commercially funded trials of investigational medicinal products (IMPs), or clinical trials or investigations using medical devices in the UK, should liaise with trial and study sponsors to understand their arrangements </w:t>
      </w:r>
      <w:r w:rsidRPr="008F38F4">
        <w:rPr>
          <w:rFonts w:ascii="Segoe UI" w:eastAsia="Calibri" w:hAnsi="Segoe UI" w:cs="Segoe UI"/>
          <w:bCs/>
          <w:sz w:val="23"/>
          <w:szCs w:val="23"/>
          <w:lang w:val="en"/>
        </w:rPr>
        <w:lastRenderedPageBreak/>
        <w:t xml:space="preserve">for ensuring continuity of supply of IMPs and medical devices which come from or via the EU or EEA. </w:t>
      </w:r>
    </w:p>
    <w:p w:rsidR="008F38F4" w:rsidRPr="008F38F4" w:rsidRDefault="008F38F4" w:rsidP="00A3154E">
      <w:pPr>
        <w:numPr>
          <w:ilvl w:val="0"/>
          <w:numId w:val="11"/>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
          <w:bCs/>
          <w:sz w:val="23"/>
          <w:szCs w:val="23"/>
          <w:lang w:val="en"/>
        </w:rPr>
        <w:t>European Reference Networks</w:t>
      </w:r>
      <w:r w:rsidRPr="008F38F4">
        <w:rPr>
          <w:rFonts w:ascii="Segoe UI" w:eastAsia="Calibri" w:hAnsi="Segoe UI" w:cs="Segoe UI"/>
          <w:bCs/>
          <w:sz w:val="23"/>
          <w:szCs w:val="23"/>
          <w:lang w:val="en"/>
        </w:rPr>
        <w:t>: In a "no deal" scenario, UK clinicians would be required to leave European Reference Networks (ERNs) on 29 March 2019. However, the UK will seek to strengthen and build new bilateral and multilateral relationships – including with the EU – to ensure clinical expertise is maintained in the UK.</w:t>
      </w:r>
    </w:p>
    <w:p w:rsidR="00EE3573" w:rsidRDefault="00EE3573" w:rsidP="00FB6F2D">
      <w:pPr>
        <w:pStyle w:val="ListParagraph"/>
        <w:numPr>
          <w:ilvl w:val="0"/>
          <w:numId w:val="16"/>
        </w:numPr>
        <w:spacing w:before="100" w:beforeAutospacing="1" w:after="120"/>
        <w:jc w:val="both"/>
        <w:rPr>
          <w:rFonts w:ascii="Segoe UI" w:eastAsia="Calibri" w:hAnsi="Segoe UI" w:cs="Segoe UI"/>
          <w:b/>
          <w:bCs/>
          <w:sz w:val="23"/>
          <w:szCs w:val="23"/>
          <w:lang w:val="en"/>
        </w:rPr>
      </w:pPr>
      <w:r>
        <w:rPr>
          <w:rFonts w:ascii="Segoe UI" w:eastAsia="Calibri" w:hAnsi="Segoe UI" w:cs="Segoe UI"/>
          <w:b/>
          <w:bCs/>
          <w:sz w:val="23"/>
          <w:szCs w:val="23"/>
          <w:lang w:val="en"/>
        </w:rPr>
        <w:t>Data sharing, processing and access</w:t>
      </w:r>
    </w:p>
    <w:p w:rsidR="00EE3573" w:rsidRPr="00CC6AF7" w:rsidRDefault="00E470F7" w:rsidP="006F2B6F">
      <w:pPr>
        <w:pStyle w:val="ListParagraph"/>
        <w:numPr>
          <w:ilvl w:val="0"/>
          <w:numId w:val="17"/>
        </w:numPr>
        <w:spacing w:before="100" w:beforeAutospacing="1" w:after="120"/>
        <w:ind w:left="723"/>
        <w:jc w:val="both"/>
        <w:rPr>
          <w:rFonts w:ascii="Segoe UI" w:eastAsia="Calibri" w:hAnsi="Segoe UI" w:cs="Segoe UI"/>
          <w:bCs/>
          <w:sz w:val="23"/>
          <w:szCs w:val="23"/>
          <w:lang w:val="en"/>
        </w:rPr>
      </w:pPr>
      <w:r w:rsidRPr="00CC6AF7">
        <w:rPr>
          <w:rFonts w:ascii="Segoe UI" w:eastAsia="Calibri" w:hAnsi="Segoe UI" w:cs="Segoe UI"/>
          <w:bCs/>
          <w:sz w:val="23"/>
          <w:szCs w:val="23"/>
          <w:lang w:val="en"/>
        </w:rPr>
        <w:t xml:space="preserve">It is imperative that </w:t>
      </w:r>
      <w:r w:rsidR="00CC6AF7" w:rsidRPr="00CC6AF7">
        <w:rPr>
          <w:rFonts w:ascii="Segoe UI" w:eastAsia="Calibri" w:hAnsi="Segoe UI" w:cs="Segoe UI"/>
          <w:bCs/>
          <w:sz w:val="23"/>
          <w:szCs w:val="23"/>
          <w:lang w:val="en"/>
        </w:rPr>
        <w:t>personal data continues to flow between the UK, EU and EEA member states, following our departure from the EU.  The European Commission is unlikely to have made a data protection adequacy decision regarding the UK before EU Exit.  An adequacy decision is where the European Commission is satisfied that a transfer of personal data from the EU/EEA to a country outside the EU/EEA would be adequately protected.</w:t>
      </w:r>
    </w:p>
    <w:p w:rsidR="00CC6AF7" w:rsidRPr="00CC6AF7" w:rsidRDefault="00CC6AF7" w:rsidP="006F2B6F">
      <w:pPr>
        <w:pStyle w:val="ListParagraph"/>
        <w:numPr>
          <w:ilvl w:val="0"/>
          <w:numId w:val="17"/>
        </w:numPr>
        <w:spacing w:before="100" w:beforeAutospacing="1" w:after="120"/>
        <w:ind w:left="723"/>
        <w:jc w:val="both"/>
        <w:rPr>
          <w:rFonts w:ascii="Segoe UI" w:eastAsia="Calibri" w:hAnsi="Segoe UI" w:cs="Segoe UI"/>
          <w:bCs/>
          <w:sz w:val="23"/>
          <w:szCs w:val="23"/>
          <w:lang w:val="en"/>
        </w:rPr>
      </w:pPr>
      <w:r w:rsidRPr="00CC6AF7">
        <w:rPr>
          <w:rFonts w:ascii="Segoe UI" w:eastAsia="Calibri" w:hAnsi="Segoe UI" w:cs="Segoe UI"/>
          <w:bCs/>
          <w:sz w:val="23"/>
          <w:szCs w:val="23"/>
          <w:lang w:val="en"/>
        </w:rPr>
        <w:t>Transfers of personal data from the UK to the EU/EEA should not be affected in a ‘no-deal’ scenario.  This is because it would continue to be lawful under domestic legislation for health and adult social care organisations to transfer personal data to the EU/EEA and adequate third countries in the same way we do currently.</w:t>
      </w:r>
    </w:p>
    <w:p w:rsidR="00CC6AF7" w:rsidRPr="00CC6AF7" w:rsidRDefault="00CC6AF7" w:rsidP="006F2B6F">
      <w:pPr>
        <w:pStyle w:val="ListParagraph"/>
        <w:numPr>
          <w:ilvl w:val="0"/>
          <w:numId w:val="17"/>
        </w:numPr>
        <w:spacing w:before="100" w:beforeAutospacing="1" w:after="120"/>
        <w:ind w:left="723"/>
        <w:jc w:val="both"/>
        <w:rPr>
          <w:rFonts w:ascii="Segoe UI" w:eastAsia="Calibri" w:hAnsi="Segoe UI" w:cs="Segoe UI"/>
          <w:bCs/>
          <w:sz w:val="23"/>
          <w:szCs w:val="23"/>
          <w:lang w:val="en"/>
        </w:rPr>
      </w:pPr>
      <w:r w:rsidRPr="00CC6AF7">
        <w:rPr>
          <w:rFonts w:ascii="Segoe UI" w:eastAsia="Calibri" w:hAnsi="Segoe UI" w:cs="Segoe UI"/>
          <w:bCs/>
          <w:sz w:val="23"/>
          <w:szCs w:val="23"/>
          <w:lang w:val="en"/>
        </w:rPr>
        <w:t>At the point of exit, EU/EEA organisations will consider the UK a third country.  This will mean the transfer of personal data from the EU/EEA to the UK will be restricted unless appropriate safeguards are put in place.</w:t>
      </w:r>
    </w:p>
    <w:p w:rsidR="00CC6AF7" w:rsidRPr="00CC6AF7" w:rsidRDefault="00CC6AF7" w:rsidP="006F2B6F">
      <w:pPr>
        <w:pStyle w:val="ListParagraph"/>
        <w:numPr>
          <w:ilvl w:val="0"/>
          <w:numId w:val="17"/>
        </w:numPr>
        <w:spacing w:before="100" w:beforeAutospacing="1" w:after="120"/>
        <w:ind w:left="723"/>
        <w:jc w:val="both"/>
        <w:rPr>
          <w:rFonts w:ascii="Segoe UI" w:eastAsia="Calibri" w:hAnsi="Segoe UI" w:cs="Segoe UI"/>
          <w:bCs/>
          <w:sz w:val="23"/>
          <w:szCs w:val="23"/>
          <w:lang w:val="en"/>
        </w:rPr>
      </w:pPr>
      <w:proofErr w:type="gramStart"/>
      <w:r w:rsidRPr="00CC6AF7">
        <w:rPr>
          <w:rFonts w:ascii="Segoe UI" w:eastAsia="Calibri" w:hAnsi="Segoe UI" w:cs="Segoe UI"/>
          <w:bCs/>
          <w:sz w:val="23"/>
          <w:szCs w:val="23"/>
          <w:lang w:val="en"/>
        </w:rPr>
        <w:t>In order to</w:t>
      </w:r>
      <w:proofErr w:type="gramEnd"/>
      <w:r w:rsidRPr="00CC6AF7">
        <w:rPr>
          <w:rFonts w:ascii="Segoe UI" w:eastAsia="Calibri" w:hAnsi="Segoe UI" w:cs="Segoe UI"/>
          <w:bCs/>
          <w:sz w:val="23"/>
          <w:szCs w:val="23"/>
          <w:lang w:val="en"/>
        </w:rPr>
        <w:t xml:space="preserve"> ensure that personal data can continue to be transferred from organisations in the EU/EEA to the UK in the event there is no adequacy decision alternative mechanisms for transfer may need to be put in pace. This is the case even if organisations are currently compliant with the GDPR.</w:t>
      </w:r>
      <w:r w:rsidR="006C3E50">
        <w:rPr>
          <w:rFonts w:ascii="Segoe UI" w:eastAsia="Calibri" w:hAnsi="Segoe UI" w:cs="Segoe UI"/>
          <w:bCs/>
          <w:sz w:val="23"/>
          <w:szCs w:val="23"/>
          <w:lang w:val="en"/>
        </w:rPr>
        <w:t xml:space="preserve">  </w:t>
      </w:r>
      <w:r w:rsidR="006C3E50" w:rsidRPr="000B7E3B">
        <w:rPr>
          <w:rFonts w:ascii="Segoe UI" w:eastAsia="Calibri" w:hAnsi="Segoe UI" w:cs="Segoe UI"/>
          <w:b/>
          <w:bCs/>
          <w:sz w:val="23"/>
          <w:szCs w:val="23"/>
          <w:lang w:val="en"/>
        </w:rPr>
        <w:t>The IT Department is contributing to the assessment of risk</w:t>
      </w:r>
      <w:r w:rsidR="000B7E3B" w:rsidRPr="000B7E3B">
        <w:rPr>
          <w:rFonts w:ascii="Segoe UI" w:eastAsia="Calibri" w:hAnsi="Segoe UI" w:cs="Segoe UI"/>
          <w:b/>
          <w:bCs/>
          <w:sz w:val="23"/>
          <w:szCs w:val="23"/>
          <w:lang w:val="en"/>
        </w:rPr>
        <w:t xml:space="preserve"> in this area and any associated mitigations necessary.</w:t>
      </w:r>
    </w:p>
    <w:p w:rsidR="008F38F4" w:rsidRPr="00FB6F2D" w:rsidRDefault="008F38F4" w:rsidP="00CD5ACE">
      <w:pPr>
        <w:spacing w:before="100" w:beforeAutospacing="1" w:after="120"/>
        <w:jc w:val="both"/>
        <w:rPr>
          <w:rFonts w:ascii="Segoe UI" w:eastAsia="Calibri" w:hAnsi="Segoe UI" w:cs="Segoe UI"/>
          <w:b/>
          <w:bCs/>
          <w:sz w:val="23"/>
          <w:szCs w:val="23"/>
          <w:lang w:val="en"/>
        </w:rPr>
      </w:pPr>
      <w:r w:rsidRPr="00FB6F2D">
        <w:rPr>
          <w:rFonts w:ascii="Segoe UI" w:eastAsia="Calibri" w:hAnsi="Segoe UI" w:cs="Segoe UI"/>
          <w:b/>
          <w:bCs/>
          <w:sz w:val="23"/>
          <w:szCs w:val="23"/>
          <w:lang w:val="en"/>
        </w:rPr>
        <w:t>Business continuity planning</w:t>
      </w:r>
    </w:p>
    <w:p w:rsidR="008F38F4" w:rsidRPr="008F38F4" w:rsidRDefault="00CD5ACE" w:rsidP="00CD5ACE">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lang w:val="en"/>
        </w:rPr>
        <w:t>As required, we have u</w:t>
      </w:r>
      <w:r w:rsidR="008F38F4" w:rsidRPr="008F38F4">
        <w:rPr>
          <w:rFonts w:ascii="Segoe UI" w:eastAsia="Calibri" w:hAnsi="Segoe UI" w:cs="Segoe UI"/>
          <w:bCs/>
          <w:sz w:val="23"/>
          <w:szCs w:val="23"/>
          <w:lang w:val="en"/>
        </w:rPr>
        <w:t>ndertake</w:t>
      </w:r>
      <w:r>
        <w:rPr>
          <w:rFonts w:ascii="Segoe UI" w:eastAsia="Calibri" w:hAnsi="Segoe UI" w:cs="Segoe UI"/>
          <w:bCs/>
          <w:sz w:val="23"/>
          <w:szCs w:val="23"/>
          <w:lang w:val="en"/>
        </w:rPr>
        <w:t>n</w:t>
      </w:r>
      <w:r w:rsidR="008F38F4" w:rsidRPr="008F38F4">
        <w:rPr>
          <w:rFonts w:ascii="Segoe UI" w:eastAsia="Calibri" w:hAnsi="Segoe UI" w:cs="Segoe UI"/>
          <w:bCs/>
          <w:sz w:val="23"/>
          <w:szCs w:val="23"/>
          <w:lang w:val="en"/>
        </w:rPr>
        <w:t xml:space="preserve"> an assessment of risks associated with EU Exit by the </w:t>
      </w:r>
      <w:r>
        <w:rPr>
          <w:rFonts w:ascii="Segoe UI" w:eastAsia="Calibri" w:hAnsi="Segoe UI" w:cs="Segoe UI"/>
          <w:bCs/>
          <w:sz w:val="23"/>
          <w:szCs w:val="23"/>
          <w:lang w:val="en"/>
        </w:rPr>
        <w:t xml:space="preserve">requested </w:t>
      </w:r>
      <w:r w:rsidR="008F38F4" w:rsidRPr="008F38F4">
        <w:rPr>
          <w:rFonts w:ascii="Segoe UI" w:eastAsia="Calibri" w:hAnsi="Segoe UI" w:cs="Segoe UI"/>
          <w:bCs/>
          <w:sz w:val="23"/>
          <w:szCs w:val="23"/>
          <w:lang w:val="en"/>
        </w:rPr>
        <w:t xml:space="preserve">end of January 2019, </w:t>
      </w:r>
      <w:r>
        <w:rPr>
          <w:rFonts w:ascii="Segoe UI" w:eastAsia="Calibri" w:hAnsi="Segoe UI" w:cs="Segoe UI"/>
          <w:bCs/>
          <w:sz w:val="23"/>
          <w:szCs w:val="23"/>
          <w:lang w:val="en"/>
        </w:rPr>
        <w:t xml:space="preserve">as appended, and </w:t>
      </w:r>
      <w:r w:rsidR="008F38F4" w:rsidRPr="008F38F4">
        <w:rPr>
          <w:rFonts w:ascii="Segoe UI" w:eastAsia="Calibri" w:hAnsi="Segoe UI" w:cs="Segoe UI"/>
          <w:bCs/>
          <w:sz w:val="23"/>
          <w:szCs w:val="23"/>
          <w:lang w:val="en"/>
        </w:rPr>
        <w:t xml:space="preserve">covering, but not be limited to: </w:t>
      </w:r>
    </w:p>
    <w:p w:rsidR="008F38F4" w:rsidRPr="008F38F4" w:rsidRDefault="008F38F4" w:rsidP="00A3154E">
      <w:pPr>
        <w:numPr>
          <w:ilvl w:val="1"/>
          <w:numId w:val="14"/>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 xml:space="preserve">The seven key areas </w:t>
      </w:r>
      <w:r w:rsidR="00CD5ACE">
        <w:rPr>
          <w:rFonts w:ascii="Segoe UI" w:eastAsia="Calibri" w:hAnsi="Segoe UI" w:cs="Segoe UI"/>
          <w:bCs/>
          <w:sz w:val="23"/>
          <w:szCs w:val="23"/>
          <w:lang w:val="en"/>
        </w:rPr>
        <w:t>covered in this report</w:t>
      </w:r>
    </w:p>
    <w:p w:rsidR="008F38F4" w:rsidRPr="008F38F4" w:rsidRDefault="008F38F4" w:rsidP="00A3154E">
      <w:pPr>
        <w:numPr>
          <w:ilvl w:val="1"/>
          <w:numId w:val="14"/>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t>Potential increases in demand associated with wider impacts of a "no deal" exit</w:t>
      </w:r>
    </w:p>
    <w:p w:rsidR="008F38F4" w:rsidRPr="008F38F4" w:rsidRDefault="008F38F4" w:rsidP="00A3154E">
      <w:pPr>
        <w:numPr>
          <w:ilvl w:val="1"/>
          <w:numId w:val="14"/>
        </w:numPr>
        <w:spacing w:before="100" w:beforeAutospacing="1" w:after="120"/>
        <w:jc w:val="both"/>
        <w:rPr>
          <w:rFonts w:ascii="Segoe UI" w:eastAsia="Calibri" w:hAnsi="Segoe UI" w:cs="Segoe UI"/>
          <w:bCs/>
          <w:sz w:val="23"/>
          <w:szCs w:val="23"/>
          <w:lang w:val="en"/>
        </w:rPr>
      </w:pPr>
      <w:r w:rsidRPr="008F38F4">
        <w:rPr>
          <w:rFonts w:ascii="Segoe UI" w:eastAsia="Calibri" w:hAnsi="Segoe UI" w:cs="Segoe UI"/>
          <w:bCs/>
          <w:sz w:val="23"/>
          <w:szCs w:val="23"/>
          <w:lang w:val="en"/>
        </w:rPr>
        <w:lastRenderedPageBreak/>
        <w:t>Locally specific risks resulting from EU Exit</w:t>
      </w:r>
    </w:p>
    <w:p w:rsidR="008F38F4" w:rsidRDefault="00945E32" w:rsidP="00CD5ACE">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lang w:val="en"/>
        </w:rPr>
        <w:t>We are continuing</w:t>
      </w:r>
      <w:r w:rsidR="008F38F4" w:rsidRPr="008F38F4">
        <w:rPr>
          <w:rFonts w:ascii="Segoe UI" w:eastAsia="Calibri" w:hAnsi="Segoe UI" w:cs="Segoe UI"/>
          <w:bCs/>
          <w:sz w:val="23"/>
          <w:szCs w:val="23"/>
          <w:lang w:val="en"/>
        </w:rPr>
        <w:t xml:space="preserve"> business co</w:t>
      </w:r>
      <w:r w:rsidR="00AD7325">
        <w:rPr>
          <w:rFonts w:ascii="Segoe UI" w:eastAsia="Calibri" w:hAnsi="Segoe UI" w:cs="Segoe UI"/>
          <w:bCs/>
          <w:sz w:val="23"/>
          <w:szCs w:val="23"/>
          <w:lang w:val="en"/>
        </w:rPr>
        <w:t xml:space="preserve">ntinuity planning in line with </w:t>
      </w:r>
      <w:r w:rsidR="008F38F4" w:rsidRPr="008F38F4">
        <w:rPr>
          <w:rFonts w:ascii="Segoe UI" w:eastAsia="Calibri" w:hAnsi="Segoe UI" w:cs="Segoe UI"/>
          <w:bCs/>
          <w:sz w:val="23"/>
          <w:szCs w:val="23"/>
          <w:lang w:val="en"/>
        </w:rPr>
        <w:t xml:space="preserve">our legal requirements under the Health and Social Care Act 2012, </w:t>
      </w:r>
      <w:proofErr w:type="gramStart"/>
      <w:r w:rsidR="008F38F4" w:rsidRPr="008F38F4">
        <w:rPr>
          <w:rFonts w:ascii="Segoe UI" w:eastAsia="Calibri" w:hAnsi="Segoe UI" w:cs="Segoe UI"/>
          <w:bCs/>
          <w:sz w:val="23"/>
          <w:szCs w:val="23"/>
          <w:lang w:val="en"/>
        </w:rPr>
        <w:t>taking into account</w:t>
      </w:r>
      <w:proofErr w:type="gramEnd"/>
      <w:r w:rsidR="008F38F4" w:rsidRPr="008F38F4">
        <w:rPr>
          <w:rFonts w:ascii="Segoe UI" w:eastAsia="Calibri" w:hAnsi="Segoe UI" w:cs="Segoe UI"/>
          <w:bCs/>
          <w:sz w:val="23"/>
          <w:szCs w:val="23"/>
          <w:lang w:val="en"/>
        </w:rPr>
        <w:t xml:space="preserve"> working with wider system partners to </w:t>
      </w:r>
      <w:r w:rsidR="008F38F4" w:rsidRPr="00945E32">
        <w:rPr>
          <w:rFonts w:ascii="Segoe UI" w:eastAsia="Calibri" w:hAnsi="Segoe UI" w:cs="Segoe UI"/>
          <w:bCs/>
          <w:sz w:val="23"/>
          <w:szCs w:val="23"/>
          <w:lang w:val="en"/>
        </w:rPr>
        <w:t xml:space="preserve">ensure plans across the health and care system are robust. </w:t>
      </w:r>
    </w:p>
    <w:p w:rsidR="000B7E3B" w:rsidRDefault="000B7E3B" w:rsidP="00CD5ACE">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lang w:val="en"/>
        </w:rPr>
        <w:t xml:space="preserve">Having assessed the seven areas highlighted nationally, we are confident that our routine business continuity plans, annual reviews of same, and our ongoing testing already robustly cover the areas of risk, each being relevant for existing resilience and response planning purposes that are part of a trusted and embedded process across directorates and functions. </w:t>
      </w:r>
    </w:p>
    <w:p w:rsidR="00C5028F" w:rsidRPr="00C5028F" w:rsidRDefault="00C5028F" w:rsidP="00C5028F">
      <w:pPr>
        <w:spacing w:before="100" w:beforeAutospacing="1" w:after="120"/>
        <w:jc w:val="both"/>
        <w:rPr>
          <w:rFonts w:ascii="Segoe UI" w:eastAsia="Calibri" w:hAnsi="Segoe UI" w:cs="Segoe UI"/>
          <w:bCs/>
          <w:sz w:val="23"/>
          <w:szCs w:val="23"/>
        </w:rPr>
      </w:pPr>
      <w:r w:rsidRPr="00C5028F">
        <w:rPr>
          <w:rFonts w:ascii="Segoe UI" w:eastAsia="Calibri" w:hAnsi="Segoe UI" w:cs="Segoe UI"/>
          <w:b/>
          <w:bCs/>
          <w:sz w:val="23"/>
          <w:szCs w:val="23"/>
        </w:rPr>
        <w:t xml:space="preserve">Further information </w:t>
      </w:r>
    </w:p>
    <w:p w:rsidR="00C5028F" w:rsidRDefault="00C5028F" w:rsidP="00C5028F">
      <w:pPr>
        <w:spacing w:before="100" w:beforeAutospacing="1" w:after="120"/>
        <w:jc w:val="both"/>
        <w:rPr>
          <w:rFonts w:ascii="Segoe UI" w:eastAsia="Calibri" w:hAnsi="Segoe UI" w:cs="Segoe UI"/>
          <w:bCs/>
          <w:sz w:val="23"/>
          <w:szCs w:val="23"/>
          <w:lang w:val="en"/>
        </w:rPr>
      </w:pPr>
      <w:r>
        <w:rPr>
          <w:rFonts w:ascii="Segoe UI" w:eastAsia="Calibri" w:hAnsi="Segoe UI" w:cs="Segoe UI"/>
          <w:bCs/>
          <w:sz w:val="23"/>
          <w:szCs w:val="23"/>
        </w:rPr>
        <w:t>The Secretary of State</w:t>
      </w:r>
      <w:r w:rsidRPr="00C5028F">
        <w:rPr>
          <w:rFonts w:ascii="Segoe UI" w:eastAsia="Calibri" w:hAnsi="Segoe UI" w:cs="Segoe UI"/>
          <w:bCs/>
          <w:sz w:val="23"/>
          <w:szCs w:val="23"/>
        </w:rPr>
        <w:t xml:space="preserve"> will continue to issue guidance prior to 29 March 2019 to support the health and care system prepare for EU </w:t>
      </w:r>
      <w:r>
        <w:rPr>
          <w:rFonts w:ascii="Segoe UI" w:eastAsia="Calibri" w:hAnsi="Segoe UI" w:cs="Segoe UI"/>
          <w:bCs/>
          <w:sz w:val="23"/>
          <w:szCs w:val="23"/>
        </w:rPr>
        <w:t>and</w:t>
      </w:r>
      <w:r w:rsidRPr="00C5028F">
        <w:rPr>
          <w:rFonts w:ascii="Segoe UI" w:eastAsia="Calibri" w:hAnsi="Segoe UI" w:cs="Segoe UI"/>
          <w:bCs/>
          <w:sz w:val="23"/>
          <w:szCs w:val="23"/>
        </w:rPr>
        <w:t xml:space="preserve"> so that </w:t>
      </w:r>
      <w:r w:rsidR="00945E32">
        <w:rPr>
          <w:rFonts w:ascii="Segoe UI" w:eastAsia="Calibri" w:hAnsi="Segoe UI" w:cs="Segoe UI"/>
          <w:bCs/>
          <w:sz w:val="23"/>
          <w:szCs w:val="23"/>
        </w:rPr>
        <w:t>we</w:t>
      </w:r>
      <w:r w:rsidRPr="00C5028F">
        <w:rPr>
          <w:rFonts w:ascii="Segoe UI" w:eastAsia="Calibri" w:hAnsi="Segoe UI" w:cs="Segoe UI"/>
          <w:bCs/>
          <w:sz w:val="23"/>
          <w:szCs w:val="23"/>
        </w:rPr>
        <w:t xml:space="preserve"> can be aware of ongoing preparation and actions to undertake. </w:t>
      </w:r>
    </w:p>
    <w:p w:rsidR="00A3154E" w:rsidRPr="00A86711" w:rsidRDefault="001660C7" w:rsidP="00AA1E77">
      <w:pPr>
        <w:spacing w:before="100" w:beforeAutospacing="1" w:after="120"/>
        <w:jc w:val="both"/>
        <w:rPr>
          <w:rFonts w:ascii="Segoe UI" w:eastAsia="Calibri" w:hAnsi="Segoe UI" w:cs="Segoe UI"/>
          <w:b/>
          <w:bCs/>
          <w:sz w:val="23"/>
          <w:szCs w:val="23"/>
        </w:rPr>
      </w:pPr>
      <w:r w:rsidRPr="00AA1E77">
        <w:rPr>
          <w:rFonts w:ascii="Segoe UI" w:eastAsia="Calibri" w:hAnsi="Segoe UI" w:cs="Segoe UI"/>
          <w:b/>
          <w:bCs/>
          <w:sz w:val="23"/>
          <w:szCs w:val="23"/>
        </w:rPr>
        <w:t>Lead Executive Director:</w:t>
      </w:r>
      <w:r w:rsidR="008F38F4">
        <w:rPr>
          <w:rFonts w:ascii="Segoe UI" w:eastAsia="Calibri" w:hAnsi="Segoe UI" w:cs="Segoe UI"/>
          <w:b/>
          <w:bCs/>
          <w:sz w:val="23"/>
          <w:szCs w:val="23"/>
        </w:rPr>
        <w:t> </w:t>
      </w:r>
      <w:r w:rsidR="00945E32" w:rsidRPr="00A86711">
        <w:rPr>
          <w:rFonts w:ascii="Segoe UI" w:eastAsia="Calibri" w:hAnsi="Segoe UI" w:cs="Segoe UI"/>
          <w:b/>
          <w:bCs/>
          <w:sz w:val="23"/>
          <w:szCs w:val="23"/>
        </w:rPr>
        <w:t>Kerry Rogers, Director of Corporate Affairs &amp; Company Secretary</w:t>
      </w:r>
    </w:p>
    <w:p w:rsidR="00945E32" w:rsidRDefault="00495B38" w:rsidP="00AA1E77">
      <w:pPr>
        <w:spacing w:before="100" w:beforeAutospacing="1" w:after="120"/>
        <w:jc w:val="both"/>
        <w:rPr>
          <w:rFonts w:ascii="Segoe UI" w:eastAsia="Calibri" w:hAnsi="Segoe UI" w:cs="Segoe UI"/>
          <w:b/>
          <w:bCs/>
          <w:sz w:val="23"/>
          <w:szCs w:val="23"/>
        </w:rPr>
      </w:pPr>
      <w:r>
        <w:rPr>
          <w:rFonts w:ascii="Segoe UI" w:eastAsia="Calibri" w:hAnsi="Segoe UI" w:cs="Segoe UI"/>
          <w:b/>
          <w:bCs/>
          <w:sz w:val="23"/>
          <w:szCs w:val="23"/>
        </w:rPr>
        <w:t>Supported by Katie Cleaver: Emergency Plann</w:t>
      </w:r>
      <w:r w:rsidR="000B7E3B">
        <w:rPr>
          <w:rFonts w:ascii="Segoe UI" w:eastAsia="Calibri" w:hAnsi="Segoe UI" w:cs="Segoe UI"/>
          <w:b/>
          <w:bCs/>
          <w:sz w:val="23"/>
          <w:szCs w:val="23"/>
        </w:rPr>
        <w:t>ing Lead (</w:t>
      </w:r>
      <w:r>
        <w:rPr>
          <w:rFonts w:ascii="Segoe UI" w:eastAsia="Calibri" w:hAnsi="Segoe UI" w:cs="Segoe UI"/>
          <w:b/>
          <w:bCs/>
          <w:sz w:val="23"/>
          <w:szCs w:val="23"/>
        </w:rPr>
        <w:t>Risk Assessment</w:t>
      </w:r>
      <w:r w:rsidR="000B7E3B">
        <w:rPr>
          <w:rFonts w:ascii="Segoe UI" w:eastAsia="Calibri" w:hAnsi="Segoe UI" w:cs="Segoe UI"/>
          <w:b/>
          <w:bCs/>
          <w:sz w:val="23"/>
          <w:szCs w:val="23"/>
        </w:rPr>
        <w:t>)</w:t>
      </w:r>
    </w:p>
    <w:p w:rsidR="00A3154E" w:rsidRPr="00A3154E" w:rsidRDefault="008F38F4" w:rsidP="00A86711">
      <w:pPr>
        <w:spacing w:after="120"/>
        <w:jc w:val="both"/>
        <w:rPr>
          <w:rFonts w:ascii="Segoe UI" w:eastAsia="Calibri" w:hAnsi="Segoe UI" w:cs="Segoe UI"/>
          <w:b/>
          <w:bCs/>
          <w:sz w:val="23"/>
          <w:szCs w:val="23"/>
          <w:lang w:val="en"/>
        </w:rPr>
      </w:pPr>
      <w:r>
        <w:rPr>
          <w:rFonts w:ascii="Segoe UI" w:eastAsia="Calibri" w:hAnsi="Segoe UI" w:cs="Segoe UI"/>
          <w:b/>
          <w:bCs/>
          <w:sz w:val="23"/>
          <w:szCs w:val="23"/>
        </w:rPr>
        <w:t xml:space="preserve">   </w:t>
      </w: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6F2B6F" w:rsidRDefault="006F2B6F" w:rsidP="00A86711">
      <w:pPr>
        <w:spacing w:before="100" w:beforeAutospacing="1" w:after="120"/>
        <w:jc w:val="center"/>
        <w:rPr>
          <w:rFonts w:ascii="Segoe UI" w:eastAsia="Calibri" w:hAnsi="Segoe UI" w:cs="Segoe UI"/>
          <w:b/>
          <w:bCs/>
          <w:sz w:val="23"/>
          <w:szCs w:val="23"/>
        </w:rPr>
      </w:pPr>
    </w:p>
    <w:p w:rsidR="00A3154E" w:rsidRDefault="00A86711" w:rsidP="00A86711">
      <w:pPr>
        <w:spacing w:before="100" w:beforeAutospacing="1" w:after="120"/>
        <w:jc w:val="center"/>
        <w:rPr>
          <w:rFonts w:ascii="Segoe UI" w:eastAsia="Calibri" w:hAnsi="Segoe UI" w:cs="Segoe UI"/>
          <w:b/>
          <w:bCs/>
          <w:sz w:val="23"/>
          <w:szCs w:val="23"/>
        </w:rPr>
      </w:pPr>
      <w:r>
        <w:rPr>
          <w:rFonts w:ascii="Segoe UI" w:eastAsia="Calibri" w:hAnsi="Segoe UI" w:cs="Segoe UI"/>
          <w:b/>
          <w:bCs/>
          <w:sz w:val="23"/>
          <w:szCs w:val="23"/>
        </w:rPr>
        <w:lastRenderedPageBreak/>
        <w:t>APPENDIX A</w:t>
      </w:r>
    </w:p>
    <w:p w:rsidR="00A3154E" w:rsidRDefault="00A3154E" w:rsidP="000B7E3B">
      <w:pPr>
        <w:spacing w:before="100" w:beforeAutospacing="1" w:after="120"/>
        <w:jc w:val="center"/>
        <w:rPr>
          <w:rFonts w:ascii="Segoe UI" w:eastAsia="Calibri" w:hAnsi="Segoe UI" w:cs="Segoe UI"/>
          <w:b/>
          <w:bCs/>
          <w:sz w:val="23"/>
          <w:szCs w:val="23"/>
        </w:rPr>
      </w:pPr>
      <w:r>
        <w:rPr>
          <w:rFonts w:ascii="Segoe UI" w:eastAsia="Calibri" w:hAnsi="Segoe UI" w:cs="Segoe UI"/>
          <w:b/>
          <w:bCs/>
          <w:sz w:val="23"/>
          <w:szCs w:val="23"/>
        </w:rPr>
        <w:t xml:space="preserve">Oxford Health EU Exit </w:t>
      </w:r>
      <w:r w:rsidR="006F2B6F">
        <w:rPr>
          <w:rFonts w:ascii="Segoe UI" w:eastAsia="Calibri" w:hAnsi="Segoe UI" w:cs="Segoe UI"/>
          <w:b/>
          <w:bCs/>
          <w:sz w:val="23"/>
          <w:szCs w:val="23"/>
        </w:rPr>
        <w:t>Self-Assessment</w:t>
      </w:r>
      <w:r>
        <w:rPr>
          <w:rFonts w:ascii="Segoe UI" w:eastAsia="Calibri" w:hAnsi="Segoe UI" w:cs="Segoe UI"/>
          <w:b/>
          <w:bCs/>
          <w:sz w:val="23"/>
          <w:szCs w:val="23"/>
        </w:rPr>
        <w:t xml:space="preserve"> – 30th </w:t>
      </w:r>
      <w:proofErr w:type="gramStart"/>
      <w:r>
        <w:rPr>
          <w:rFonts w:ascii="Segoe UI" w:eastAsia="Calibri" w:hAnsi="Segoe UI" w:cs="Segoe UI"/>
          <w:b/>
          <w:bCs/>
          <w:sz w:val="23"/>
          <w:szCs w:val="23"/>
        </w:rPr>
        <w:t>November,</w:t>
      </w:r>
      <w:proofErr w:type="gramEnd"/>
      <w:r>
        <w:rPr>
          <w:rFonts w:ascii="Segoe UI" w:eastAsia="Calibri" w:hAnsi="Segoe UI" w:cs="Segoe UI"/>
          <w:b/>
          <w:bCs/>
          <w:sz w:val="23"/>
          <w:szCs w:val="23"/>
        </w:rPr>
        <w:t xml:space="preserve"> 2018 submission</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Background</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Reference the letter of 12</w:t>
      </w:r>
      <w:r w:rsidRPr="00A3154E">
        <w:rPr>
          <w:rFonts w:ascii="Segoe UI" w:eastAsia="Calibri" w:hAnsi="Segoe UI" w:cs="Segoe UI"/>
          <w:bCs/>
          <w:sz w:val="23"/>
          <w:szCs w:val="23"/>
          <w:vertAlign w:val="superscript"/>
        </w:rPr>
        <w:t>th</w:t>
      </w:r>
      <w:r w:rsidRPr="00A3154E">
        <w:rPr>
          <w:rFonts w:ascii="Segoe UI" w:eastAsia="Calibri" w:hAnsi="Segoe UI" w:cs="Segoe UI"/>
          <w:bCs/>
          <w:sz w:val="23"/>
          <w:szCs w:val="23"/>
        </w:rPr>
        <w:t xml:space="preserve"> October 2018 from Steve Oldfield, Chief Commercial Officer, concerning the EU Exit and NHS Trust Contract self-assessment review</w:t>
      </w:r>
      <w:r w:rsidR="00C5028F">
        <w:rPr>
          <w:rFonts w:ascii="Segoe UI" w:eastAsia="Calibri" w:hAnsi="Segoe UI" w:cs="Segoe UI"/>
          <w:bCs/>
          <w:sz w:val="23"/>
          <w:szCs w:val="23"/>
        </w:rPr>
        <w:t xml:space="preserve"> concerning the</w:t>
      </w:r>
      <w:r w:rsidR="001168E0" w:rsidRPr="001168E0">
        <w:rPr>
          <w:rFonts w:ascii="Segoe UI" w:eastAsia="Calibri" w:hAnsi="Segoe UI" w:cs="Segoe UI"/>
          <w:bCs/>
          <w:sz w:val="23"/>
          <w:szCs w:val="23"/>
        </w:rPr>
        <w:t xml:space="preserve"> steps Trusts need to take to assess their remaining supply chains for a ‘no deal’ scenario. This included a self-assessment tool for Trusts to use to assess their supply chains that are not covered by the Department, such as ‘hotel services’, ‘office solutions’ and services carried out abroad</w:t>
      </w:r>
      <w:r w:rsidR="00A86711">
        <w:rPr>
          <w:rFonts w:ascii="Segoe UI" w:eastAsia="Calibri" w:hAnsi="Segoe UI" w:cs="Segoe UI"/>
          <w:bCs/>
          <w:sz w:val="23"/>
          <w:szCs w:val="23"/>
        </w:rPr>
        <w:t>.</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 xml:space="preserve">The Trust’s Procurement team </w:t>
      </w:r>
      <w:r w:rsidR="00A86711">
        <w:rPr>
          <w:rFonts w:ascii="Segoe UI" w:eastAsia="Calibri" w:hAnsi="Segoe UI" w:cs="Segoe UI"/>
          <w:bCs/>
          <w:sz w:val="23"/>
          <w:szCs w:val="23"/>
        </w:rPr>
        <w:t>have reviewed</w:t>
      </w:r>
      <w:r w:rsidRPr="00A3154E">
        <w:rPr>
          <w:rFonts w:ascii="Segoe UI" w:eastAsia="Calibri" w:hAnsi="Segoe UI" w:cs="Segoe UI"/>
          <w:bCs/>
          <w:sz w:val="23"/>
          <w:szCs w:val="23"/>
        </w:rPr>
        <w:t xml:space="preserve"> the information provided to us by the Department of Health &amp; Social Care (DHSC) in the context of a ‘no-deal’ EU Exit and the outcome of our initial review is summarised below.</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Initial Findings and Mitigation</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Our initial review indicates that we do not believe there will be a significant adverse impact to this Trust in terms of supply contracts in the event of a no-deal EU exit. As a mental health and community services Trust, we hold minimal stock levels unlike acute hospital Trusts.</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The Trust procures a large proportion of its supplies (approximately 50% in value) through the NHS Supply Chain and most of the balance of supplies from well-known high-profile suppliers to the NHS.</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We understand that the NHS Supply Chain has been working with all its suppliers for some time on planning for a no-deal EU exit and is in the process of building up a six-week buffer stock in the UK, prior to 29</w:t>
      </w:r>
      <w:r w:rsidRPr="00A3154E">
        <w:rPr>
          <w:rFonts w:ascii="Segoe UI" w:eastAsia="Calibri" w:hAnsi="Segoe UI" w:cs="Segoe UI"/>
          <w:bCs/>
          <w:sz w:val="23"/>
          <w:szCs w:val="23"/>
          <w:vertAlign w:val="superscript"/>
        </w:rPr>
        <w:t>th</w:t>
      </w:r>
      <w:r w:rsidRPr="00A3154E">
        <w:rPr>
          <w:rFonts w:ascii="Segoe UI" w:eastAsia="Calibri" w:hAnsi="Segoe UI" w:cs="Segoe UI"/>
          <w:bCs/>
          <w:sz w:val="23"/>
          <w:szCs w:val="23"/>
        </w:rPr>
        <w:t xml:space="preserve"> March, to mitigate the possibility of customs hold-ups at the border.</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 xml:space="preserve">Similarly, we understand that the DHSC has a team working with all the other major suppliers to the NHS, including pharmaceuticals, and has agreements with them to hold a six-week buffer stock. The DHSC has specifically asked NHS Trusts not to stock-pile as that would skew the demand figures and make the planning process even more difficult. </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 xml:space="preserve">We have considered other purchases that the Trust makes through non-NHS Supply Chain suppliers and they are mostly UK based. However, we do make some purchases </w:t>
      </w:r>
      <w:r w:rsidRPr="00A3154E">
        <w:rPr>
          <w:rFonts w:ascii="Segoe UI" w:eastAsia="Calibri" w:hAnsi="Segoe UI" w:cs="Segoe UI"/>
          <w:bCs/>
          <w:sz w:val="23"/>
          <w:szCs w:val="23"/>
        </w:rPr>
        <w:lastRenderedPageBreak/>
        <w:t>through a small number of non-UK based suppliers, ma</w:t>
      </w:r>
      <w:r w:rsidR="00A86711">
        <w:rPr>
          <w:rFonts w:ascii="Segoe UI" w:eastAsia="Calibri" w:hAnsi="Segoe UI" w:cs="Segoe UI"/>
          <w:bCs/>
          <w:sz w:val="23"/>
          <w:szCs w:val="23"/>
        </w:rPr>
        <w:t>i</w:t>
      </w:r>
      <w:r w:rsidRPr="00A3154E">
        <w:rPr>
          <w:rFonts w:ascii="Segoe UI" w:eastAsia="Calibri" w:hAnsi="Segoe UI" w:cs="Segoe UI"/>
          <w:bCs/>
          <w:sz w:val="23"/>
          <w:szCs w:val="23"/>
        </w:rPr>
        <w:t>nly in relation to pharmaceutical products.</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 xml:space="preserve">We </w:t>
      </w:r>
      <w:r w:rsidR="00A86711">
        <w:rPr>
          <w:rFonts w:ascii="Segoe UI" w:eastAsia="Calibri" w:hAnsi="Segoe UI" w:cs="Segoe UI"/>
          <w:bCs/>
          <w:sz w:val="23"/>
          <w:szCs w:val="23"/>
        </w:rPr>
        <w:t>have checked</w:t>
      </w:r>
      <w:r w:rsidRPr="00A3154E">
        <w:rPr>
          <w:rFonts w:ascii="Segoe UI" w:eastAsia="Calibri" w:hAnsi="Segoe UI" w:cs="Segoe UI"/>
          <w:bCs/>
          <w:sz w:val="23"/>
          <w:szCs w:val="23"/>
        </w:rPr>
        <w:t xml:space="preserve"> if these suppliers are one of the suppliers that the DHSC has identified and are already engaged with (as listed on Annex A of the letter dated 12</w:t>
      </w:r>
      <w:r w:rsidRPr="00A3154E">
        <w:rPr>
          <w:rFonts w:ascii="Segoe UI" w:eastAsia="Calibri" w:hAnsi="Segoe UI" w:cs="Segoe UI"/>
          <w:bCs/>
          <w:sz w:val="23"/>
          <w:szCs w:val="23"/>
          <w:vertAlign w:val="superscript"/>
        </w:rPr>
        <w:t>th</w:t>
      </w:r>
      <w:r w:rsidRPr="00A3154E">
        <w:rPr>
          <w:rFonts w:ascii="Segoe UI" w:eastAsia="Calibri" w:hAnsi="Segoe UI" w:cs="Segoe UI"/>
          <w:bCs/>
          <w:sz w:val="23"/>
          <w:szCs w:val="23"/>
        </w:rPr>
        <w:t xml:space="preserve"> October) in which case no further action will be required.</w:t>
      </w:r>
    </w:p>
    <w:p w:rsidR="00A3154E" w:rsidRPr="00A3154E" w:rsidRDefault="00A86711" w:rsidP="00A3154E">
      <w:pPr>
        <w:spacing w:before="100" w:beforeAutospacing="1" w:after="120"/>
        <w:jc w:val="both"/>
        <w:rPr>
          <w:rFonts w:ascii="Segoe UI" w:eastAsia="Calibri" w:hAnsi="Segoe UI" w:cs="Segoe UI"/>
          <w:bCs/>
          <w:sz w:val="23"/>
          <w:szCs w:val="23"/>
        </w:rPr>
      </w:pPr>
      <w:r>
        <w:rPr>
          <w:rFonts w:ascii="Segoe UI" w:eastAsia="Calibri" w:hAnsi="Segoe UI" w:cs="Segoe UI"/>
          <w:bCs/>
          <w:sz w:val="23"/>
          <w:szCs w:val="23"/>
        </w:rPr>
        <w:t>Where we identified</w:t>
      </w:r>
      <w:r w:rsidR="00A3154E" w:rsidRPr="00A3154E">
        <w:rPr>
          <w:rFonts w:ascii="Segoe UI" w:eastAsia="Calibri" w:hAnsi="Segoe UI" w:cs="Segoe UI"/>
          <w:bCs/>
          <w:sz w:val="23"/>
          <w:szCs w:val="23"/>
        </w:rPr>
        <w:t xml:space="preserve"> any suppliers that are not on the DHSC list, we </w:t>
      </w:r>
      <w:r>
        <w:rPr>
          <w:rFonts w:ascii="Segoe UI" w:eastAsia="Calibri" w:hAnsi="Segoe UI" w:cs="Segoe UI"/>
          <w:bCs/>
          <w:sz w:val="23"/>
          <w:szCs w:val="23"/>
        </w:rPr>
        <w:t>have made</w:t>
      </w:r>
      <w:r w:rsidR="00A3154E" w:rsidRPr="00A3154E">
        <w:rPr>
          <w:rFonts w:ascii="Segoe UI" w:eastAsia="Calibri" w:hAnsi="Segoe UI" w:cs="Segoe UI"/>
          <w:bCs/>
          <w:sz w:val="23"/>
          <w:szCs w:val="23"/>
        </w:rPr>
        <w:t xml:space="preserve"> contact directly with the supplier to ascertain their sources of supply in terms of country of origin and anything they source direct from the EU or outside side of UK.</w:t>
      </w:r>
    </w:p>
    <w:p w:rsidR="00A3154E" w:rsidRPr="00A3154E" w:rsidRDefault="00A3154E" w:rsidP="00A3154E">
      <w:pPr>
        <w:spacing w:before="100" w:beforeAutospacing="1" w:after="120"/>
        <w:jc w:val="both"/>
        <w:rPr>
          <w:rFonts w:ascii="Segoe UI" w:eastAsia="Calibri" w:hAnsi="Segoe UI" w:cs="Segoe UI"/>
          <w:bCs/>
          <w:sz w:val="23"/>
          <w:szCs w:val="23"/>
        </w:rPr>
      </w:pPr>
      <w:r w:rsidRPr="00A3154E">
        <w:rPr>
          <w:rFonts w:ascii="Segoe UI" w:eastAsia="Calibri" w:hAnsi="Segoe UI" w:cs="Segoe UI"/>
          <w:bCs/>
          <w:sz w:val="23"/>
          <w:szCs w:val="23"/>
        </w:rPr>
        <w:t>If such a supply chain is identified, we will obtain assurances from the supplier that their supply will not be disrupted. We will also ascertain if the NHS Supply Chain is able to supply the items in question and additionally if any other alternative non-EU dependant supplier can be identified.</w:t>
      </w:r>
    </w:p>
    <w:p w:rsidR="002A002F" w:rsidRPr="00AA1E77" w:rsidRDefault="008F38F4" w:rsidP="00AA1E77">
      <w:pPr>
        <w:spacing w:before="100" w:beforeAutospacing="1" w:after="120"/>
        <w:jc w:val="both"/>
        <w:rPr>
          <w:rFonts w:ascii="Segoe UI" w:eastAsia="Calibri" w:hAnsi="Segoe UI" w:cs="Segoe UI"/>
          <w:sz w:val="23"/>
          <w:szCs w:val="23"/>
        </w:rPr>
      </w:pPr>
      <w:r>
        <w:rPr>
          <w:rFonts w:ascii="Segoe UI" w:eastAsia="Calibri" w:hAnsi="Segoe UI" w:cs="Segoe UI"/>
          <w:b/>
          <w:bCs/>
          <w:sz w:val="23"/>
          <w:szCs w:val="23"/>
        </w:rPr>
        <w:t>  </w:t>
      </w:r>
      <w:r w:rsidR="001660C7" w:rsidRPr="00AA1E77">
        <w:rPr>
          <w:rFonts w:ascii="Segoe UI" w:eastAsia="Calibri" w:hAnsi="Segoe UI" w:cs="Segoe UI"/>
          <w:b/>
          <w:bCs/>
          <w:sz w:val="23"/>
          <w:szCs w:val="23"/>
        </w:rPr>
        <w:t xml:space="preserve">      </w:t>
      </w:r>
      <w:bookmarkEnd w:id="1"/>
    </w:p>
    <w:sectPr w:rsidR="002A002F" w:rsidRPr="00AA1E77" w:rsidSect="004F640D">
      <w:headerReference w:type="default" r:id="rId10"/>
      <w:footerReference w:type="default" r:id="rId11"/>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773" w:rsidRDefault="00BA4773">
      <w:pPr>
        <w:spacing w:after="0" w:line="240" w:lineRule="auto"/>
      </w:pPr>
      <w:r>
        <w:separator/>
      </w:r>
    </w:p>
  </w:endnote>
  <w:endnote w:type="continuationSeparator" w:id="0">
    <w:p w:rsidR="00BA4773" w:rsidRDefault="00BA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rsidR="00357647" w:rsidRDefault="00357647">
        <w:pPr>
          <w:pStyle w:val="Footer"/>
          <w:jc w:val="center"/>
        </w:pPr>
        <w:r>
          <w:fldChar w:fldCharType="begin"/>
        </w:r>
        <w:r>
          <w:instrText xml:space="preserve"> PAGE   \* MERGEFORMAT </w:instrText>
        </w:r>
        <w:r>
          <w:fldChar w:fldCharType="separate"/>
        </w:r>
        <w:r>
          <w:rPr>
            <w:noProof/>
          </w:rPr>
          <w:t>8</w:t>
        </w:r>
        <w:r>
          <w:fldChar w:fldCharType="end"/>
        </w:r>
      </w:p>
    </w:sdtContent>
  </w:sdt>
  <w:p w:rsidR="00357647" w:rsidRDefault="00357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773" w:rsidRDefault="00BA4773">
      <w:pPr>
        <w:spacing w:after="0" w:line="240" w:lineRule="auto"/>
      </w:pPr>
      <w:r>
        <w:separator/>
      </w:r>
    </w:p>
  </w:footnote>
  <w:footnote w:type="continuationSeparator" w:id="0">
    <w:p w:rsidR="00BA4773" w:rsidRDefault="00BA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647" w:rsidRPr="0053778D" w:rsidRDefault="00357647"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357647" w:rsidRDefault="0035764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6FE"/>
    <w:multiLevelType w:val="multilevel"/>
    <w:tmpl w:val="9A289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00A9"/>
    <w:multiLevelType w:val="multilevel"/>
    <w:tmpl w:val="F95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06E"/>
    <w:multiLevelType w:val="multilevel"/>
    <w:tmpl w:val="198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95E67"/>
    <w:multiLevelType w:val="hybridMultilevel"/>
    <w:tmpl w:val="A022A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D47C52"/>
    <w:multiLevelType w:val="multilevel"/>
    <w:tmpl w:val="2EB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07627"/>
    <w:multiLevelType w:val="multilevel"/>
    <w:tmpl w:val="1C9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B4AB0"/>
    <w:multiLevelType w:val="multilevel"/>
    <w:tmpl w:val="1A50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E3149"/>
    <w:multiLevelType w:val="multilevel"/>
    <w:tmpl w:val="D15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97F02"/>
    <w:multiLevelType w:val="multilevel"/>
    <w:tmpl w:val="62E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E66F6"/>
    <w:multiLevelType w:val="hybridMultilevel"/>
    <w:tmpl w:val="19D8B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708C1"/>
    <w:multiLevelType w:val="multilevel"/>
    <w:tmpl w:val="22A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24625"/>
    <w:multiLevelType w:val="multilevel"/>
    <w:tmpl w:val="724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40D9F"/>
    <w:multiLevelType w:val="multilevel"/>
    <w:tmpl w:val="6AC2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15303"/>
    <w:multiLevelType w:val="multilevel"/>
    <w:tmpl w:val="C8D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8657C"/>
    <w:multiLevelType w:val="multilevel"/>
    <w:tmpl w:val="3C4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F2B7D"/>
    <w:multiLevelType w:val="multilevel"/>
    <w:tmpl w:val="1BC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3C6CA9"/>
    <w:multiLevelType w:val="multilevel"/>
    <w:tmpl w:val="D0C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4"/>
  </w:num>
  <w:num w:numId="4">
    <w:abstractNumId w:val="14"/>
  </w:num>
  <w:num w:numId="5">
    <w:abstractNumId w:val="6"/>
  </w:num>
  <w:num w:numId="6">
    <w:abstractNumId w:val="13"/>
  </w:num>
  <w:num w:numId="7">
    <w:abstractNumId w:val="11"/>
  </w:num>
  <w:num w:numId="8">
    <w:abstractNumId w:val="7"/>
  </w:num>
  <w:num w:numId="9">
    <w:abstractNumId w:val="10"/>
  </w:num>
  <w:num w:numId="10">
    <w:abstractNumId w:val="8"/>
  </w:num>
  <w:num w:numId="11">
    <w:abstractNumId w:val="5"/>
  </w:num>
  <w:num w:numId="12">
    <w:abstractNumId w:val="16"/>
  </w:num>
  <w:num w:numId="13">
    <w:abstractNumId w:val="1"/>
  </w:num>
  <w:num w:numId="14">
    <w:abstractNumId w:val="0"/>
  </w:num>
  <w:num w:numId="15">
    <w:abstractNumId w:val="15"/>
  </w:num>
  <w:num w:numId="16">
    <w:abstractNumId w:val="9"/>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D91"/>
    <w:rsid w:val="00002695"/>
    <w:rsid w:val="000041EA"/>
    <w:rsid w:val="0000509B"/>
    <w:rsid w:val="00005AB6"/>
    <w:rsid w:val="000063E5"/>
    <w:rsid w:val="00006E41"/>
    <w:rsid w:val="00007E73"/>
    <w:rsid w:val="00007F05"/>
    <w:rsid w:val="000108DA"/>
    <w:rsid w:val="000127F5"/>
    <w:rsid w:val="00013A9A"/>
    <w:rsid w:val="000142E7"/>
    <w:rsid w:val="000155BE"/>
    <w:rsid w:val="00015B58"/>
    <w:rsid w:val="00016BB8"/>
    <w:rsid w:val="00016E31"/>
    <w:rsid w:val="000205C6"/>
    <w:rsid w:val="00020E35"/>
    <w:rsid w:val="0002105C"/>
    <w:rsid w:val="0002213D"/>
    <w:rsid w:val="00022A5E"/>
    <w:rsid w:val="00023C15"/>
    <w:rsid w:val="00026002"/>
    <w:rsid w:val="00027720"/>
    <w:rsid w:val="000279B8"/>
    <w:rsid w:val="00034536"/>
    <w:rsid w:val="00037819"/>
    <w:rsid w:val="00040E07"/>
    <w:rsid w:val="00040FFA"/>
    <w:rsid w:val="000414D8"/>
    <w:rsid w:val="000428A8"/>
    <w:rsid w:val="00046B09"/>
    <w:rsid w:val="000504EC"/>
    <w:rsid w:val="00050952"/>
    <w:rsid w:val="00051BA9"/>
    <w:rsid w:val="00051C38"/>
    <w:rsid w:val="00051D7F"/>
    <w:rsid w:val="0005246F"/>
    <w:rsid w:val="0005393C"/>
    <w:rsid w:val="000542AF"/>
    <w:rsid w:val="0005435E"/>
    <w:rsid w:val="0005451F"/>
    <w:rsid w:val="00054B3B"/>
    <w:rsid w:val="00054D14"/>
    <w:rsid w:val="000555AF"/>
    <w:rsid w:val="00055952"/>
    <w:rsid w:val="00057676"/>
    <w:rsid w:val="00057B3D"/>
    <w:rsid w:val="00064715"/>
    <w:rsid w:val="00064C09"/>
    <w:rsid w:val="00067A06"/>
    <w:rsid w:val="00070AF0"/>
    <w:rsid w:val="00071643"/>
    <w:rsid w:val="000735ED"/>
    <w:rsid w:val="00073657"/>
    <w:rsid w:val="00073BDB"/>
    <w:rsid w:val="00074369"/>
    <w:rsid w:val="000758F7"/>
    <w:rsid w:val="00075FB8"/>
    <w:rsid w:val="0007631A"/>
    <w:rsid w:val="00076B78"/>
    <w:rsid w:val="00077A95"/>
    <w:rsid w:val="00077CAF"/>
    <w:rsid w:val="00080EE5"/>
    <w:rsid w:val="00082C87"/>
    <w:rsid w:val="00083A85"/>
    <w:rsid w:val="00083E97"/>
    <w:rsid w:val="000852D1"/>
    <w:rsid w:val="000852F6"/>
    <w:rsid w:val="00085881"/>
    <w:rsid w:val="00086F01"/>
    <w:rsid w:val="0009109B"/>
    <w:rsid w:val="00091A18"/>
    <w:rsid w:val="0009279A"/>
    <w:rsid w:val="000929CF"/>
    <w:rsid w:val="000929E8"/>
    <w:rsid w:val="00092D8F"/>
    <w:rsid w:val="00092F9F"/>
    <w:rsid w:val="00092FC7"/>
    <w:rsid w:val="00093EDE"/>
    <w:rsid w:val="000947AA"/>
    <w:rsid w:val="00094FD7"/>
    <w:rsid w:val="00095079"/>
    <w:rsid w:val="00095E14"/>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7F6"/>
    <w:rsid w:val="000A6EA7"/>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B7E3B"/>
    <w:rsid w:val="000C1AB9"/>
    <w:rsid w:val="000C228A"/>
    <w:rsid w:val="000C3906"/>
    <w:rsid w:val="000C6636"/>
    <w:rsid w:val="000C7812"/>
    <w:rsid w:val="000D1BAE"/>
    <w:rsid w:val="000D1E63"/>
    <w:rsid w:val="000D22B5"/>
    <w:rsid w:val="000D2471"/>
    <w:rsid w:val="000D2726"/>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A8D"/>
    <w:rsid w:val="000F4BD7"/>
    <w:rsid w:val="000F4D21"/>
    <w:rsid w:val="000F759E"/>
    <w:rsid w:val="000F7F9E"/>
    <w:rsid w:val="00100009"/>
    <w:rsid w:val="00100FCD"/>
    <w:rsid w:val="001014BE"/>
    <w:rsid w:val="00101685"/>
    <w:rsid w:val="001017EA"/>
    <w:rsid w:val="00101D59"/>
    <w:rsid w:val="00101D83"/>
    <w:rsid w:val="0010290D"/>
    <w:rsid w:val="00104411"/>
    <w:rsid w:val="00106531"/>
    <w:rsid w:val="00106563"/>
    <w:rsid w:val="001101CB"/>
    <w:rsid w:val="0011061E"/>
    <w:rsid w:val="0011412D"/>
    <w:rsid w:val="001163D7"/>
    <w:rsid w:val="001168E0"/>
    <w:rsid w:val="00117ECE"/>
    <w:rsid w:val="00117F97"/>
    <w:rsid w:val="001209CA"/>
    <w:rsid w:val="001216E1"/>
    <w:rsid w:val="0012172F"/>
    <w:rsid w:val="00123445"/>
    <w:rsid w:val="001242D6"/>
    <w:rsid w:val="0012481A"/>
    <w:rsid w:val="00125763"/>
    <w:rsid w:val="0012650A"/>
    <w:rsid w:val="0012659C"/>
    <w:rsid w:val="00126A99"/>
    <w:rsid w:val="00126EC1"/>
    <w:rsid w:val="00127F91"/>
    <w:rsid w:val="001316E9"/>
    <w:rsid w:val="00133F94"/>
    <w:rsid w:val="001340AF"/>
    <w:rsid w:val="00134861"/>
    <w:rsid w:val="00135471"/>
    <w:rsid w:val="00135D30"/>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564AB"/>
    <w:rsid w:val="001571EA"/>
    <w:rsid w:val="001602AE"/>
    <w:rsid w:val="001603DC"/>
    <w:rsid w:val="00160FC3"/>
    <w:rsid w:val="00161F02"/>
    <w:rsid w:val="00162672"/>
    <w:rsid w:val="001626FE"/>
    <w:rsid w:val="0016271F"/>
    <w:rsid w:val="00163FA8"/>
    <w:rsid w:val="0016572F"/>
    <w:rsid w:val="001659C9"/>
    <w:rsid w:val="00165D2F"/>
    <w:rsid w:val="001660C7"/>
    <w:rsid w:val="00166DA6"/>
    <w:rsid w:val="00166E61"/>
    <w:rsid w:val="0017217D"/>
    <w:rsid w:val="00175262"/>
    <w:rsid w:val="00176D68"/>
    <w:rsid w:val="001901CE"/>
    <w:rsid w:val="0019159A"/>
    <w:rsid w:val="00191C8E"/>
    <w:rsid w:val="00192262"/>
    <w:rsid w:val="001940B6"/>
    <w:rsid w:val="00195C8B"/>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71D"/>
    <w:rsid w:val="001C25E7"/>
    <w:rsid w:val="001C50FD"/>
    <w:rsid w:val="001C5C34"/>
    <w:rsid w:val="001C7AC9"/>
    <w:rsid w:val="001D044A"/>
    <w:rsid w:val="001D08DA"/>
    <w:rsid w:val="001D4496"/>
    <w:rsid w:val="001D4F92"/>
    <w:rsid w:val="001D55B4"/>
    <w:rsid w:val="001D5A26"/>
    <w:rsid w:val="001D5DCE"/>
    <w:rsid w:val="001E09C8"/>
    <w:rsid w:val="001E39E6"/>
    <w:rsid w:val="001E411F"/>
    <w:rsid w:val="001E4CD8"/>
    <w:rsid w:val="001E6901"/>
    <w:rsid w:val="001E6914"/>
    <w:rsid w:val="001E6F35"/>
    <w:rsid w:val="001E715D"/>
    <w:rsid w:val="001E7E4F"/>
    <w:rsid w:val="001E7EFA"/>
    <w:rsid w:val="001F0685"/>
    <w:rsid w:val="001F2D3E"/>
    <w:rsid w:val="001F2D5E"/>
    <w:rsid w:val="001F551C"/>
    <w:rsid w:val="001F76ED"/>
    <w:rsid w:val="001F7AB2"/>
    <w:rsid w:val="0020217B"/>
    <w:rsid w:val="00202B67"/>
    <w:rsid w:val="00202CBC"/>
    <w:rsid w:val="0020317F"/>
    <w:rsid w:val="002032F3"/>
    <w:rsid w:val="00203AF0"/>
    <w:rsid w:val="00204AC6"/>
    <w:rsid w:val="0020669F"/>
    <w:rsid w:val="0021020E"/>
    <w:rsid w:val="00210236"/>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58B0"/>
    <w:rsid w:val="0023675D"/>
    <w:rsid w:val="00236DC2"/>
    <w:rsid w:val="00240CE2"/>
    <w:rsid w:val="00241025"/>
    <w:rsid w:val="00243FA6"/>
    <w:rsid w:val="0024590E"/>
    <w:rsid w:val="00246329"/>
    <w:rsid w:val="0024791A"/>
    <w:rsid w:val="00247BDA"/>
    <w:rsid w:val="00251E9E"/>
    <w:rsid w:val="002535E3"/>
    <w:rsid w:val="002537E3"/>
    <w:rsid w:val="00253A72"/>
    <w:rsid w:val="00254298"/>
    <w:rsid w:val="0025461D"/>
    <w:rsid w:val="00255C85"/>
    <w:rsid w:val="00256E0C"/>
    <w:rsid w:val="002575F3"/>
    <w:rsid w:val="00260D47"/>
    <w:rsid w:val="002619EF"/>
    <w:rsid w:val="00261EC7"/>
    <w:rsid w:val="00261FBB"/>
    <w:rsid w:val="00262376"/>
    <w:rsid w:val="002627F3"/>
    <w:rsid w:val="00262C9E"/>
    <w:rsid w:val="0026386C"/>
    <w:rsid w:val="00264B14"/>
    <w:rsid w:val="00267592"/>
    <w:rsid w:val="0027070A"/>
    <w:rsid w:val="00271046"/>
    <w:rsid w:val="00273F30"/>
    <w:rsid w:val="00274305"/>
    <w:rsid w:val="0027486C"/>
    <w:rsid w:val="00275044"/>
    <w:rsid w:val="00277544"/>
    <w:rsid w:val="0027781C"/>
    <w:rsid w:val="00277921"/>
    <w:rsid w:val="002806E4"/>
    <w:rsid w:val="00280732"/>
    <w:rsid w:val="00280805"/>
    <w:rsid w:val="0028195B"/>
    <w:rsid w:val="00281C43"/>
    <w:rsid w:val="00282028"/>
    <w:rsid w:val="002823DD"/>
    <w:rsid w:val="00282DE6"/>
    <w:rsid w:val="002830D4"/>
    <w:rsid w:val="00283259"/>
    <w:rsid w:val="00283B31"/>
    <w:rsid w:val="002848CB"/>
    <w:rsid w:val="0028695A"/>
    <w:rsid w:val="00290622"/>
    <w:rsid w:val="002922C5"/>
    <w:rsid w:val="0029276D"/>
    <w:rsid w:val="002937DE"/>
    <w:rsid w:val="00293F11"/>
    <w:rsid w:val="00294190"/>
    <w:rsid w:val="002949A2"/>
    <w:rsid w:val="00294EC5"/>
    <w:rsid w:val="00295397"/>
    <w:rsid w:val="002970A5"/>
    <w:rsid w:val="00297605"/>
    <w:rsid w:val="002A002F"/>
    <w:rsid w:val="002A0AA4"/>
    <w:rsid w:val="002A2AD7"/>
    <w:rsid w:val="002A2DB5"/>
    <w:rsid w:val="002A32E7"/>
    <w:rsid w:val="002A33B5"/>
    <w:rsid w:val="002A4521"/>
    <w:rsid w:val="002A4B2D"/>
    <w:rsid w:val="002A56E1"/>
    <w:rsid w:val="002A5CEA"/>
    <w:rsid w:val="002A6C7A"/>
    <w:rsid w:val="002A73E8"/>
    <w:rsid w:val="002B06F5"/>
    <w:rsid w:val="002B3A86"/>
    <w:rsid w:val="002B3B9C"/>
    <w:rsid w:val="002B472B"/>
    <w:rsid w:val="002B5414"/>
    <w:rsid w:val="002B7892"/>
    <w:rsid w:val="002B7C9E"/>
    <w:rsid w:val="002C0DB0"/>
    <w:rsid w:val="002C26EF"/>
    <w:rsid w:val="002C2878"/>
    <w:rsid w:val="002C2D18"/>
    <w:rsid w:val="002C3654"/>
    <w:rsid w:val="002C5288"/>
    <w:rsid w:val="002C5552"/>
    <w:rsid w:val="002C6D77"/>
    <w:rsid w:val="002D1A09"/>
    <w:rsid w:val="002D2797"/>
    <w:rsid w:val="002D2D26"/>
    <w:rsid w:val="002D3B8A"/>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D48"/>
    <w:rsid w:val="002F1F0E"/>
    <w:rsid w:val="002F2A12"/>
    <w:rsid w:val="002F3870"/>
    <w:rsid w:val="002F3F06"/>
    <w:rsid w:val="002F4EEE"/>
    <w:rsid w:val="002F4F28"/>
    <w:rsid w:val="002F50F5"/>
    <w:rsid w:val="002F6056"/>
    <w:rsid w:val="002F7E69"/>
    <w:rsid w:val="002F7FCF"/>
    <w:rsid w:val="003026BF"/>
    <w:rsid w:val="00303215"/>
    <w:rsid w:val="00304211"/>
    <w:rsid w:val="00312AD7"/>
    <w:rsid w:val="00313B60"/>
    <w:rsid w:val="00315D7F"/>
    <w:rsid w:val="003166B0"/>
    <w:rsid w:val="00316D44"/>
    <w:rsid w:val="00317996"/>
    <w:rsid w:val="00320ABD"/>
    <w:rsid w:val="00320BC7"/>
    <w:rsid w:val="0032241A"/>
    <w:rsid w:val="0032337F"/>
    <w:rsid w:val="003239F9"/>
    <w:rsid w:val="0032575F"/>
    <w:rsid w:val="00325BAA"/>
    <w:rsid w:val="00326ACF"/>
    <w:rsid w:val="00327108"/>
    <w:rsid w:val="003277D9"/>
    <w:rsid w:val="00327F10"/>
    <w:rsid w:val="00331308"/>
    <w:rsid w:val="00333543"/>
    <w:rsid w:val="00335289"/>
    <w:rsid w:val="00335352"/>
    <w:rsid w:val="00336064"/>
    <w:rsid w:val="00336804"/>
    <w:rsid w:val="003369F8"/>
    <w:rsid w:val="00336DD5"/>
    <w:rsid w:val="00336E47"/>
    <w:rsid w:val="003400EE"/>
    <w:rsid w:val="00340AE9"/>
    <w:rsid w:val="003417D5"/>
    <w:rsid w:val="00341964"/>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56840"/>
    <w:rsid w:val="00357647"/>
    <w:rsid w:val="00363128"/>
    <w:rsid w:val="00365742"/>
    <w:rsid w:val="00370A7B"/>
    <w:rsid w:val="0037463A"/>
    <w:rsid w:val="00374B9A"/>
    <w:rsid w:val="00374DE5"/>
    <w:rsid w:val="00377809"/>
    <w:rsid w:val="00377DAB"/>
    <w:rsid w:val="00382FE7"/>
    <w:rsid w:val="003835F2"/>
    <w:rsid w:val="003837FA"/>
    <w:rsid w:val="00383CCD"/>
    <w:rsid w:val="00384494"/>
    <w:rsid w:val="003902AA"/>
    <w:rsid w:val="00390C37"/>
    <w:rsid w:val="00392B78"/>
    <w:rsid w:val="00394F65"/>
    <w:rsid w:val="00394FF5"/>
    <w:rsid w:val="003971F6"/>
    <w:rsid w:val="003A02CD"/>
    <w:rsid w:val="003A0C29"/>
    <w:rsid w:val="003A1B75"/>
    <w:rsid w:val="003A2014"/>
    <w:rsid w:val="003A3947"/>
    <w:rsid w:val="003A5B71"/>
    <w:rsid w:val="003A68D4"/>
    <w:rsid w:val="003B3366"/>
    <w:rsid w:val="003B3D63"/>
    <w:rsid w:val="003B3EC8"/>
    <w:rsid w:val="003B53B7"/>
    <w:rsid w:val="003B5EDD"/>
    <w:rsid w:val="003B6576"/>
    <w:rsid w:val="003B6704"/>
    <w:rsid w:val="003B6FAD"/>
    <w:rsid w:val="003C0372"/>
    <w:rsid w:val="003C0DED"/>
    <w:rsid w:val="003C294D"/>
    <w:rsid w:val="003C4CDE"/>
    <w:rsid w:val="003C57EA"/>
    <w:rsid w:val="003C5BEE"/>
    <w:rsid w:val="003C71F1"/>
    <w:rsid w:val="003C77CE"/>
    <w:rsid w:val="003D1204"/>
    <w:rsid w:val="003D16CD"/>
    <w:rsid w:val="003D1A54"/>
    <w:rsid w:val="003D284C"/>
    <w:rsid w:val="003D2DA1"/>
    <w:rsid w:val="003D35D6"/>
    <w:rsid w:val="003D4214"/>
    <w:rsid w:val="003D51E4"/>
    <w:rsid w:val="003D6152"/>
    <w:rsid w:val="003D7103"/>
    <w:rsid w:val="003E0833"/>
    <w:rsid w:val="003E293D"/>
    <w:rsid w:val="003E4602"/>
    <w:rsid w:val="003E54D2"/>
    <w:rsid w:val="003E6B90"/>
    <w:rsid w:val="003F0267"/>
    <w:rsid w:val="003F0941"/>
    <w:rsid w:val="003F0D59"/>
    <w:rsid w:val="003F1AE7"/>
    <w:rsid w:val="003F38A8"/>
    <w:rsid w:val="003F4FDA"/>
    <w:rsid w:val="003F5643"/>
    <w:rsid w:val="003F5A0E"/>
    <w:rsid w:val="003F620C"/>
    <w:rsid w:val="003F7022"/>
    <w:rsid w:val="003F776E"/>
    <w:rsid w:val="004013AD"/>
    <w:rsid w:val="00406145"/>
    <w:rsid w:val="00406F60"/>
    <w:rsid w:val="00407B7E"/>
    <w:rsid w:val="00407C3D"/>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1882"/>
    <w:rsid w:val="00432E0B"/>
    <w:rsid w:val="00433C49"/>
    <w:rsid w:val="00434086"/>
    <w:rsid w:val="004350B8"/>
    <w:rsid w:val="004354D2"/>
    <w:rsid w:val="00437C79"/>
    <w:rsid w:val="00440DC2"/>
    <w:rsid w:val="00441E43"/>
    <w:rsid w:val="00442349"/>
    <w:rsid w:val="00445F1A"/>
    <w:rsid w:val="00446E9B"/>
    <w:rsid w:val="00450BAA"/>
    <w:rsid w:val="0045148C"/>
    <w:rsid w:val="00451731"/>
    <w:rsid w:val="00452635"/>
    <w:rsid w:val="00453A53"/>
    <w:rsid w:val="0045408D"/>
    <w:rsid w:val="00455F3A"/>
    <w:rsid w:val="004564DB"/>
    <w:rsid w:val="00457970"/>
    <w:rsid w:val="0046102C"/>
    <w:rsid w:val="00461292"/>
    <w:rsid w:val="00462D30"/>
    <w:rsid w:val="0046322D"/>
    <w:rsid w:val="0046379B"/>
    <w:rsid w:val="004637DC"/>
    <w:rsid w:val="0046636A"/>
    <w:rsid w:val="0047169A"/>
    <w:rsid w:val="00471AC6"/>
    <w:rsid w:val="00474506"/>
    <w:rsid w:val="004745AC"/>
    <w:rsid w:val="0047481A"/>
    <w:rsid w:val="00474ED8"/>
    <w:rsid w:val="004757F0"/>
    <w:rsid w:val="0047594B"/>
    <w:rsid w:val="00476863"/>
    <w:rsid w:val="00476D92"/>
    <w:rsid w:val="00480C38"/>
    <w:rsid w:val="00480F46"/>
    <w:rsid w:val="004828DD"/>
    <w:rsid w:val="00485538"/>
    <w:rsid w:val="00486571"/>
    <w:rsid w:val="00486A56"/>
    <w:rsid w:val="00490241"/>
    <w:rsid w:val="0049112E"/>
    <w:rsid w:val="0049175D"/>
    <w:rsid w:val="00492125"/>
    <w:rsid w:val="00492763"/>
    <w:rsid w:val="004927B4"/>
    <w:rsid w:val="004949FA"/>
    <w:rsid w:val="004951B0"/>
    <w:rsid w:val="00495A74"/>
    <w:rsid w:val="00495B38"/>
    <w:rsid w:val="00495D40"/>
    <w:rsid w:val="00496CB3"/>
    <w:rsid w:val="004977D1"/>
    <w:rsid w:val="00497A71"/>
    <w:rsid w:val="004A2146"/>
    <w:rsid w:val="004A252C"/>
    <w:rsid w:val="004A2E7B"/>
    <w:rsid w:val="004A4B5D"/>
    <w:rsid w:val="004A6C48"/>
    <w:rsid w:val="004A71D8"/>
    <w:rsid w:val="004B0DEB"/>
    <w:rsid w:val="004B11B0"/>
    <w:rsid w:val="004B2D7E"/>
    <w:rsid w:val="004B30BC"/>
    <w:rsid w:val="004B3EAD"/>
    <w:rsid w:val="004B4D83"/>
    <w:rsid w:val="004B51FD"/>
    <w:rsid w:val="004B6FBB"/>
    <w:rsid w:val="004B73D3"/>
    <w:rsid w:val="004B73F8"/>
    <w:rsid w:val="004C0454"/>
    <w:rsid w:val="004C133A"/>
    <w:rsid w:val="004C26FF"/>
    <w:rsid w:val="004C2C8B"/>
    <w:rsid w:val="004C30E9"/>
    <w:rsid w:val="004C5069"/>
    <w:rsid w:val="004C65D7"/>
    <w:rsid w:val="004C6F8A"/>
    <w:rsid w:val="004C7524"/>
    <w:rsid w:val="004C789D"/>
    <w:rsid w:val="004D2456"/>
    <w:rsid w:val="004D251E"/>
    <w:rsid w:val="004D2750"/>
    <w:rsid w:val="004D3442"/>
    <w:rsid w:val="004D347A"/>
    <w:rsid w:val="004D6C50"/>
    <w:rsid w:val="004E027E"/>
    <w:rsid w:val="004E05E8"/>
    <w:rsid w:val="004E12C9"/>
    <w:rsid w:val="004E1454"/>
    <w:rsid w:val="004E14AB"/>
    <w:rsid w:val="004E3F8A"/>
    <w:rsid w:val="004E4238"/>
    <w:rsid w:val="004E52DA"/>
    <w:rsid w:val="004E538F"/>
    <w:rsid w:val="004E5E4F"/>
    <w:rsid w:val="004E61F9"/>
    <w:rsid w:val="004E6BD3"/>
    <w:rsid w:val="004E74D0"/>
    <w:rsid w:val="004F0541"/>
    <w:rsid w:val="004F1064"/>
    <w:rsid w:val="004F2CAD"/>
    <w:rsid w:val="004F3039"/>
    <w:rsid w:val="004F3936"/>
    <w:rsid w:val="004F4128"/>
    <w:rsid w:val="004F4611"/>
    <w:rsid w:val="004F4B4E"/>
    <w:rsid w:val="004F4BBA"/>
    <w:rsid w:val="004F4C73"/>
    <w:rsid w:val="004F4E50"/>
    <w:rsid w:val="004F640D"/>
    <w:rsid w:val="004F765D"/>
    <w:rsid w:val="005010EF"/>
    <w:rsid w:val="00501A83"/>
    <w:rsid w:val="00501AA1"/>
    <w:rsid w:val="00502862"/>
    <w:rsid w:val="00503C2D"/>
    <w:rsid w:val="005041AA"/>
    <w:rsid w:val="0050450F"/>
    <w:rsid w:val="00504C54"/>
    <w:rsid w:val="00507878"/>
    <w:rsid w:val="00510710"/>
    <w:rsid w:val="00510F4B"/>
    <w:rsid w:val="0051153D"/>
    <w:rsid w:val="00512B72"/>
    <w:rsid w:val="0051376D"/>
    <w:rsid w:val="00513847"/>
    <w:rsid w:val="005147C6"/>
    <w:rsid w:val="0051594B"/>
    <w:rsid w:val="005159E4"/>
    <w:rsid w:val="00515A10"/>
    <w:rsid w:val="00516231"/>
    <w:rsid w:val="00516904"/>
    <w:rsid w:val="005173A8"/>
    <w:rsid w:val="00517E27"/>
    <w:rsid w:val="00517F57"/>
    <w:rsid w:val="005202B1"/>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795"/>
    <w:rsid w:val="00547355"/>
    <w:rsid w:val="00550CCB"/>
    <w:rsid w:val="005512CD"/>
    <w:rsid w:val="00551B0F"/>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8EC"/>
    <w:rsid w:val="00572F7C"/>
    <w:rsid w:val="00573DA9"/>
    <w:rsid w:val="005740B9"/>
    <w:rsid w:val="005750B8"/>
    <w:rsid w:val="005756E9"/>
    <w:rsid w:val="00577554"/>
    <w:rsid w:val="00577F2D"/>
    <w:rsid w:val="00581191"/>
    <w:rsid w:val="005830DD"/>
    <w:rsid w:val="00584BD8"/>
    <w:rsid w:val="00584F11"/>
    <w:rsid w:val="00585F49"/>
    <w:rsid w:val="005865D8"/>
    <w:rsid w:val="005871B4"/>
    <w:rsid w:val="00592474"/>
    <w:rsid w:val="005926C9"/>
    <w:rsid w:val="00593160"/>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428"/>
    <w:rsid w:val="005B1A18"/>
    <w:rsid w:val="005B383F"/>
    <w:rsid w:val="005B66EE"/>
    <w:rsid w:val="005B7A5C"/>
    <w:rsid w:val="005C02E9"/>
    <w:rsid w:val="005C064B"/>
    <w:rsid w:val="005C0EDF"/>
    <w:rsid w:val="005C23E9"/>
    <w:rsid w:val="005C2F65"/>
    <w:rsid w:val="005C3FC1"/>
    <w:rsid w:val="005C48EF"/>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34B"/>
    <w:rsid w:val="006055FC"/>
    <w:rsid w:val="006075A4"/>
    <w:rsid w:val="006126AD"/>
    <w:rsid w:val="006129B9"/>
    <w:rsid w:val="00614179"/>
    <w:rsid w:val="006159DA"/>
    <w:rsid w:val="00615A6F"/>
    <w:rsid w:val="0061609C"/>
    <w:rsid w:val="006161A5"/>
    <w:rsid w:val="0061746E"/>
    <w:rsid w:val="0061761E"/>
    <w:rsid w:val="0061773F"/>
    <w:rsid w:val="00620BD9"/>
    <w:rsid w:val="0062270D"/>
    <w:rsid w:val="00625DC8"/>
    <w:rsid w:val="00626CF8"/>
    <w:rsid w:val="00627320"/>
    <w:rsid w:val="0062772F"/>
    <w:rsid w:val="00631309"/>
    <w:rsid w:val="006319D2"/>
    <w:rsid w:val="00632C53"/>
    <w:rsid w:val="00632DC0"/>
    <w:rsid w:val="00635125"/>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564F0"/>
    <w:rsid w:val="00660C1F"/>
    <w:rsid w:val="00662454"/>
    <w:rsid w:val="00662460"/>
    <w:rsid w:val="0066362E"/>
    <w:rsid w:val="0066373E"/>
    <w:rsid w:val="0066531D"/>
    <w:rsid w:val="00666349"/>
    <w:rsid w:val="00671AC4"/>
    <w:rsid w:val="0067389A"/>
    <w:rsid w:val="0067695B"/>
    <w:rsid w:val="00680C0E"/>
    <w:rsid w:val="006820B6"/>
    <w:rsid w:val="00682110"/>
    <w:rsid w:val="006824EF"/>
    <w:rsid w:val="00683E5C"/>
    <w:rsid w:val="0068433D"/>
    <w:rsid w:val="00684BAA"/>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4FD"/>
    <w:rsid w:val="006B2C57"/>
    <w:rsid w:val="006B5FA4"/>
    <w:rsid w:val="006B6B4F"/>
    <w:rsid w:val="006C3E50"/>
    <w:rsid w:val="006C57EE"/>
    <w:rsid w:val="006C72F2"/>
    <w:rsid w:val="006D0351"/>
    <w:rsid w:val="006D26F2"/>
    <w:rsid w:val="006D5B3B"/>
    <w:rsid w:val="006D60C2"/>
    <w:rsid w:val="006E0BEA"/>
    <w:rsid w:val="006E46F1"/>
    <w:rsid w:val="006E7848"/>
    <w:rsid w:val="006F10E1"/>
    <w:rsid w:val="006F20C7"/>
    <w:rsid w:val="006F2B6F"/>
    <w:rsid w:val="006F54D0"/>
    <w:rsid w:val="006F6393"/>
    <w:rsid w:val="006F675A"/>
    <w:rsid w:val="006F7A41"/>
    <w:rsid w:val="007003D9"/>
    <w:rsid w:val="00700793"/>
    <w:rsid w:val="00700DE9"/>
    <w:rsid w:val="00701421"/>
    <w:rsid w:val="007023B2"/>
    <w:rsid w:val="0070395A"/>
    <w:rsid w:val="0070712B"/>
    <w:rsid w:val="00710BD9"/>
    <w:rsid w:val="00711F44"/>
    <w:rsid w:val="00712A58"/>
    <w:rsid w:val="00712B22"/>
    <w:rsid w:val="0071374F"/>
    <w:rsid w:val="00713923"/>
    <w:rsid w:val="007148DF"/>
    <w:rsid w:val="00714A06"/>
    <w:rsid w:val="00714BEA"/>
    <w:rsid w:val="00714C94"/>
    <w:rsid w:val="00715C38"/>
    <w:rsid w:val="00716278"/>
    <w:rsid w:val="00717470"/>
    <w:rsid w:val="00720780"/>
    <w:rsid w:val="00720C13"/>
    <w:rsid w:val="00720D2A"/>
    <w:rsid w:val="007210AE"/>
    <w:rsid w:val="00721321"/>
    <w:rsid w:val="007215C2"/>
    <w:rsid w:val="0072613B"/>
    <w:rsid w:val="00726DFD"/>
    <w:rsid w:val="00730BA8"/>
    <w:rsid w:val="0073522A"/>
    <w:rsid w:val="007353F9"/>
    <w:rsid w:val="00735D39"/>
    <w:rsid w:val="0074007F"/>
    <w:rsid w:val="007405B0"/>
    <w:rsid w:val="00740F61"/>
    <w:rsid w:val="00741E4B"/>
    <w:rsid w:val="00743143"/>
    <w:rsid w:val="007441D9"/>
    <w:rsid w:val="00745A50"/>
    <w:rsid w:val="00747431"/>
    <w:rsid w:val="007475B8"/>
    <w:rsid w:val="0075066D"/>
    <w:rsid w:val="007509C4"/>
    <w:rsid w:val="007525B3"/>
    <w:rsid w:val="007577DD"/>
    <w:rsid w:val="0075795F"/>
    <w:rsid w:val="0076021A"/>
    <w:rsid w:val="0076323A"/>
    <w:rsid w:val="0076340F"/>
    <w:rsid w:val="0076411B"/>
    <w:rsid w:val="00764996"/>
    <w:rsid w:val="00766352"/>
    <w:rsid w:val="00766A38"/>
    <w:rsid w:val="00767B07"/>
    <w:rsid w:val="007701AE"/>
    <w:rsid w:val="007734A0"/>
    <w:rsid w:val="00774843"/>
    <w:rsid w:val="0077561B"/>
    <w:rsid w:val="007756EB"/>
    <w:rsid w:val="0077747B"/>
    <w:rsid w:val="00777E39"/>
    <w:rsid w:val="00780971"/>
    <w:rsid w:val="00782D36"/>
    <w:rsid w:val="0078397D"/>
    <w:rsid w:val="00783DA1"/>
    <w:rsid w:val="00783DAF"/>
    <w:rsid w:val="00784489"/>
    <w:rsid w:val="00784F17"/>
    <w:rsid w:val="00787A19"/>
    <w:rsid w:val="00790686"/>
    <w:rsid w:val="00791FBF"/>
    <w:rsid w:val="00792E8B"/>
    <w:rsid w:val="00793567"/>
    <w:rsid w:val="00795229"/>
    <w:rsid w:val="0079575D"/>
    <w:rsid w:val="00796090"/>
    <w:rsid w:val="00796C50"/>
    <w:rsid w:val="007A1C9C"/>
    <w:rsid w:val="007A1F4A"/>
    <w:rsid w:val="007A233C"/>
    <w:rsid w:val="007A5D48"/>
    <w:rsid w:val="007A7527"/>
    <w:rsid w:val="007A7FDB"/>
    <w:rsid w:val="007B2B18"/>
    <w:rsid w:val="007B5AF4"/>
    <w:rsid w:val="007B5CC2"/>
    <w:rsid w:val="007C0135"/>
    <w:rsid w:val="007C0E3E"/>
    <w:rsid w:val="007C0EB8"/>
    <w:rsid w:val="007C1577"/>
    <w:rsid w:val="007C191E"/>
    <w:rsid w:val="007C1F2B"/>
    <w:rsid w:val="007C3122"/>
    <w:rsid w:val="007C4870"/>
    <w:rsid w:val="007C51E2"/>
    <w:rsid w:val="007C6054"/>
    <w:rsid w:val="007C687E"/>
    <w:rsid w:val="007C7693"/>
    <w:rsid w:val="007D09EF"/>
    <w:rsid w:val="007D1283"/>
    <w:rsid w:val="007D1708"/>
    <w:rsid w:val="007D2A62"/>
    <w:rsid w:val="007D2C02"/>
    <w:rsid w:val="007D33CA"/>
    <w:rsid w:val="007D3912"/>
    <w:rsid w:val="007D3D5F"/>
    <w:rsid w:val="007D3E5C"/>
    <w:rsid w:val="007D40CB"/>
    <w:rsid w:val="007D419B"/>
    <w:rsid w:val="007D616C"/>
    <w:rsid w:val="007D67FE"/>
    <w:rsid w:val="007D6DB6"/>
    <w:rsid w:val="007D7112"/>
    <w:rsid w:val="007E058E"/>
    <w:rsid w:val="007E08E5"/>
    <w:rsid w:val="007E09E8"/>
    <w:rsid w:val="007E17F5"/>
    <w:rsid w:val="007E18B9"/>
    <w:rsid w:val="007E2F35"/>
    <w:rsid w:val="007E3BA0"/>
    <w:rsid w:val="007E5D1E"/>
    <w:rsid w:val="007E677F"/>
    <w:rsid w:val="007E6C41"/>
    <w:rsid w:val="007E6FFC"/>
    <w:rsid w:val="007E7F2B"/>
    <w:rsid w:val="007F0021"/>
    <w:rsid w:val="007F1245"/>
    <w:rsid w:val="007F19E2"/>
    <w:rsid w:val="007F2652"/>
    <w:rsid w:val="007F37BD"/>
    <w:rsid w:val="007F382E"/>
    <w:rsid w:val="007F4AF6"/>
    <w:rsid w:val="007F5BA3"/>
    <w:rsid w:val="007F5F6B"/>
    <w:rsid w:val="007F624D"/>
    <w:rsid w:val="007F6721"/>
    <w:rsid w:val="0080073C"/>
    <w:rsid w:val="008013AD"/>
    <w:rsid w:val="0080178E"/>
    <w:rsid w:val="00801F26"/>
    <w:rsid w:val="008021DF"/>
    <w:rsid w:val="00802351"/>
    <w:rsid w:val="00802C77"/>
    <w:rsid w:val="00803107"/>
    <w:rsid w:val="008038F7"/>
    <w:rsid w:val="008047EF"/>
    <w:rsid w:val="00804ABD"/>
    <w:rsid w:val="00805020"/>
    <w:rsid w:val="00806212"/>
    <w:rsid w:val="0080658E"/>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65E"/>
    <w:rsid w:val="008369DB"/>
    <w:rsid w:val="00836A79"/>
    <w:rsid w:val="00840856"/>
    <w:rsid w:val="00840D5F"/>
    <w:rsid w:val="00840FE0"/>
    <w:rsid w:val="0084218D"/>
    <w:rsid w:val="008431CE"/>
    <w:rsid w:val="00843A2E"/>
    <w:rsid w:val="00843C47"/>
    <w:rsid w:val="00843CAF"/>
    <w:rsid w:val="00844C77"/>
    <w:rsid w:val="00846C74"/>
    <w:rsid w:val="008471D3"/>
    <w:rsid w:val="008535E4"/>
    <w:rsid w:val="008554E6"/>
    <w:rsid w:val="008555B6"/>
    <w:rsid w:val="00855AF4"/>
    <w:rsid w:val="008561CD"/>
    <w:rsid w:val="008568E3"/>
    <w:rsid w:val="0085691C"/>
    <w:rsid w:val="00860219"/>
    <w:rsid w:val="00860DD3"/>
    <w:rsid w:val="00861643"/>
    <w:rsid w:val="008633B9"/>
    <w:rsid w:val="0086436B"/>
    <w:rsid w:val="00865097"/>
    <w:rsid w:val="008654F4"/>
    <w:rsid w:val="008658DC"/>
    <w:rsid w:val="0086696F"/>
    <w:rsid w:val="00867BBC"/>
    <w:rsid w:val="008703C4"/>
    <w:rsid w:val="00874BDC"/>
    <w:rsid w:val="00874D7A"/>
    <w:rsid w:val="008755C8"/>
    <w:rsid w:val="008773DC"/>
    <w:rsid w:val="00877B50"/>
    <w:rsid w:val="0088099B"/>
    <w:rsid w:val="00881182"/>
    <w:rsid w:val="00882BF3"/>
    <w:rsid w:val="00883436"/>
    <w:rsid w:val="0088488E"/>
    <w:rsid w:val="0088583F"/>
    <w:rsid w:val="0088594C"/>
    <w:rsid w:val="008860BB"/>
    <w:rsid w:val="0088693C"/>
    <w:rsid w:val="00887210"/>
    <w:rsid w:val="00890952"/>
    <w:rsid w:val="008929CE"/>
    <w:rsid w:val="00892BEF"/>
    <w:rsid w:val="0089392F"/>
    <w:rsid w:val="008963D9"/>
    <w:rsid w:val="00896ABE"/>
    <w:rsid w:val="00896E5B"/>
    <w:rsid w:val="00897AA7"/>
    <w:rsid w:val="008A0845"/>
    <w:rsid w:val="008A0B13"/>
    <w:rsid w:val="008A27AB"/>
    <w:rsid w:val="008A2F1C"/>
    <w:rsid w:val="008A3913"/>
    <w:rsid w:val="008A59CD"/>
    <w:rsid w:val="008A6836"/>
    <w:rsid w:val="008B1952"/>
    <w:rsid w:val="008B1CFF"/>
    <w:rsid w:val="008B2574"/>
    <w:rsid w:val="008B367C"/>
    <w:rsid w:val="008C27E5"/>
    <w:rsid w:val="008C29C8"/>
    <w:rsid w:val="008C312D"/>
    <w:rsid w:val="008C461C"/>
    <w:rsid w:val="008C549D"/>
    <w:rsid w:val="008D0194"/>
    <w:rsid w:val="008D1098"/>
    <w:rsid w:val="008D14E5"/>
    <w:rsid w:val="008D1FCB"/>
    <w:rsid w:val="008D363B"/>
    <w:rsid w:val="008D39D2"/>
    <w:rsid w:val="008D3E3E"/>
    <w:rsid w:val="008D4EA9"/>
    <w:rsid w:val="008D5499"/>
    <w:rsid w:val="008D5FDB"/>
    <w:rsid w:val="008D623D"/>
    <w:rsid w:val="008D67A5"/>
    <w:rsid w:val="008D686D"/>
    <w:rsid w:val="008E05C3"/>
    <w:rsid w:val="008E0818"/>
    <w:rsid w:val="008E08FF"/>
    <w:rsid w:val="008E1527"/>
    <w:rsid w:val="008E217E"/>
    <w:rsid w:val="008E2C78"/>
    <w:rsid w:val="008E327F"/>
    <w:rsid w:val="008E73A9"/>
    <w:rsid w:val="008F04BB"/>
    <w:rsid w:val="008F1FBE"/>
    <w:rsid w:val="008F2404"/>
    <w:rsid w:val="008F38F4"/>
    <w:rsid w:val="008F4936"/>
    <w:rsid w:val="008F5B6C"/>
    <w:rsid w:val="008F6241"/>
    <w:rsid w:val="008F64B6"/>
    <w:rsid w:val="008F7523"/>
    <w:rsid w:val="00900C6E"/>
    <w:rsid w:val="0090203C"/>
    <w:rsid w:val="00902407"/>
    <w:rsid w:val="0090253F"/>
    <w:rsid w:val="00902C54"/>
    <w:rsid w:val="00902E3F"/>
    <w:rsid w:val="00905585"/>
    <w:rsid w:val="00911106"/>
    <w:rsid w:val="0091260F"/>
    <w:rsid w:val="009128C2"/>
    <w:rsid w:val="009128DB"/>
    <w:rsid w:val="00912A3E"/>
    <w:rsid w:val="00912BA3"/>
    <w:rsid w:val="00915689"/>
    <w:rsid w:val="009165B0"/>
    <w:rsid w:val="009175F6"/>
    <w:rsid w:val="00917616"/>
    <w:rsid w:val="009204AE"/>
    <w:rsid w:val="00921D0A"/>
    <w:rsid w:val="00922422"/>
    <w:rsid w:val="00924225"/>
    <w:rsid w:val="00925436"/>
    <w:rsid w:val="009260FE"/>
    <w:rsid w:val="009263EC"/>
    <w:rsid w:val="009325D9"/>
    <w:rsid w:val="0093492F"/>
    <w:rsid w:val="00934C53"/>
    <w:rsid w:val="00935E71"/>
    <w:rsid w:val="009361F0"/>
    <w:rsid w:val="009364AB"/>
    <w:rsid w:val="009375F1"/>
    <w:rsid w:val="00937D48"/>
    <w:rsid w:val="0094035B"/>
    <w:rsid w:val="00941723"/>
    <w:rsid w:val="009417EA"/>
    <w:rsid w:val="009417F7"/>
    <w:rsid w:val="00942E12"/>
    <w:rsid w:val="00944E2B"/>
    <w:rsid w:val="00945E32"/>
    <w:rsid w:val="00946D3E"/>
    <w:rsid w:val="009472AC"/>
    <w:rsid w:val="009511E4"/>
    <w:rsid w:val="0095125D"/>
    <w:rsid w:val="0095131B"/>
    <w:rsid w:val="0095153A"/>
    <w:rsid w:val="009526AD"/>
    <w:rsid w:val="00953C71"/>
    <w:rsid w:val="009547FB"/>
    <w:rsid w:val="009548DB"/>
    <w:rsid w:val="00954FA4"/>
    <w:rsid w:val="00955050"/>
    <w:rsid w:val="00957B80"/>
    <w:rsid w:val="0096218D"/>
    <w:rsid w:val="0096246C"/>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4FA9"/>
    <w:rsid w:val="009955B3"/>
    <w:rsid w:val="00997B44"/>
    <w:rsid w:val="009A068A"/>
    <w:rsid w:val="009A0F8C"/>
    <w:rsid w:val="009A14A3"/>
    <w:rsid w:val="009A180F"/>
    <w:rsid w:val="009A209F"/>
    <w:rsid w:val="009A231C"/>
    <w:rsid w:val="009A2682"/>
    <w:rsid w:val="009A327C"/>
    <w:rsid w:val="009A3575"/>
    <w:rsid w:val="009A3887"/>
    <w:rsid w:val="009A784F"/>
    <w:rsid w:val="009B0453"/>
    <w:rsid w:val="009B2A57"/>
    <w:rsid w:val="009B4B3F"/>
    <w:rsid w:val="009B52D4"/>
    <w:rsid w:val="009B56BB"/>
    <w:rsid w:val="009B7774"/>
    <w:rsid w:val="009C1051"/>
    <w:rsid w:val="009C2C53"/>
    <w:rsid w:val="009C3940"/>
    <w:rsid w:val="009C3C3C"/>
    <w:rsid w:val="009C46E8"/>
    <w:rsid w:val="009C5FAF"/>
    <w:rsid w:val="009D0798"/>
    <w:rsid w:val="009D0E21"/>
    <w:rsid w:val="009D3E4D"/>
    <w:rsid w:val="009D4F4D"/>
    <w:rsid w:val="009D5736"/>
    <w:rsid w:val="009D78AF"/>
    <w:rsid w:val="009E21A5"/>
    <w:rsid w:val="009E22CD"/>
    <w:rsid w:val="009E3311"/>
    <w:rsid w:val="009E356F"/>
    <w:rsid w:val="009E4028"/>
    <w:rsid w:val="009E42AA"/>
    <w:rsid w:val="009E5B7C"/>
    <w:rsid w:val="009E632C"/>
    <w:rsid w:val="009E636A"/>
    <w:rsid w:val="009E7BB8"/>
    <w:rsid w:val="009F121C"/>
    <w:rsid w:val="009F18E1"/>
    <w:rsid w:val="009F1BEB"/>
    <w:rsid w:val="009F213B"/>
    <w:rsid w:val="009F2247"/>
    <w:rsid w:val="009F2655"/>
    <w:rsid w:val="009F4EC1"/>
    <w:rsid w:val="009F61A8"/>
    <w:rsid w:val="009F7E59"/>
    <w:rsid w:val="009F7E8E"/>
    <w:rsid w:val="00A00ADE"/>
    <w:rsid w:val="00A01F9C"/>
    <w:rsid w:val="00A02FED"/>
    <w:rsid w:val="00A03D3E"/>
    <w:rsid w:val="00A03D65"/>
    <w:rsid w:val="00A04E97"/>
    <w:rsid w:val="00A0546E"/>
    <w:rsid w:val="00A05902"/>
    <w:rsid w:val="00A06EA7"/>
    <w:rsid w:val="00A07774"/>
    <w:rsid w:val="00A10D6D"/>
    <w:rsid w:val="00A11ADB"/>
    <w:rsid w:val="00A12892"/>
    <w:rsid w:val="00A13D6A"/>
    <w:rsid w:val="00A15252"/>
    <w:rsid w:val="00A15670"/>
    <w:rsid w:val="00A16064"/>
    <w:rsid w:val="00A176BE"/>
    <w:rsid w:val="00A20C81"/>
    <w:rsid w:val="00A210F3"/>
    <w:rsid w:val="00A22232"/>
    <w:rsid w:val="00A22ABC"/>
    <w:rsid w:val="00A22E86"/>
    <w:rsid w:val="00A23800"/>
    <w:rsid w:val="00A244F1"/>
    <w:rsid w:val="00A2647E"/>
    <w:rsid w:val="00A3011F"/>
    <w:rsid w:val="00A3154E"/>
    <w:rsid w:val="00A32276"/>
    <w:rsid w:val="00A324F8"/>
    <w:rsid w:val="00A32E14"/>
    <w:rsid w:val="00A33815"/>
    <w:rsid w:val="00A33818"/>
    <w:rsid w:val="00A34706"/>
    <w:rsid w:val="00A348E6"/>
    <w:rsid w:val="00A3618B"/>
    <w:rsid w:val="00A36FF1"/>
    <w:rsid w:val="00A4021F"/>
    <w:rsid w:val="00A40A46"/>
    <w:rsid w:val="00A40E8B"/>
    <w:rsid w:val="00A42657"/>
    <w:rsid w:val="00A43096"/>
    <w:rsid w:val="00A43451"/>
    <w:rsid w:val="00A4385B"/>
    <w:rsid w:val="00A43D5C"/>
    <w:rsid w:val="00A45573"/>
    <w:rsid w:val="00A475C8"/>
    <w:rsid w:val="00A476B0"/>
    <w:rsid w:val="00A50FFC"/>
    <w:rsid w:val="00A5237B"/>
    <w:rsid w:val="00A53E1C"/>
    <w:rsid w:val="00A55309"/>
    <w:rsid w:val="00A556AF"/>
    <w:rsid w:val="00A56994"/>
    <w:rsid w:val="00A57B13"/>
    <w:rsid w:val="00A611CB"/>
    <w:rsid w:val="00A61267"/>
    <w:rsid w:val="00A623DF"/>
    <w:rsid w:val="00A62FA7"/>
    <w:rsid w:val="00A65B5E"/>
    <w:rsid w:val="00A65E5A"/>
    <w:rsid w:val="00A66C43"/>
    <w:rsid w:val="00A6725A"/>
    <w:rsid w:val="00A6779F"/>
    <w:rsid w:val="00A67B57"/>
    <w:rsid w:val="00A70EE1"/>
    <w:rsid w:val="00A71B04"/>
    <w:rsid w:val="00A735CF"/>
    <w:rsid w:val="00A745CD"/>
    <w:rsid w:val="00A7485A"/>
    <w:rsid w:val="00A75230"/>
    <w:rsid w:val="00A754E7"/>
    <w:rsid w:val="00A75FC6"/>
    <w:rsid w:val="00A80C7E"/>
    <w:rsid w:val="00A81151"/>
    <w:rsid w:val="00A8247E"/>
    <w:rsid w:val="00A82F86"/>
    <w:rsid w:val="00A853A3"/>
    <w:rsid w:val="00A858E9"/>
    <w:rsid w:val="00A85D3A"/>
    <w:rsid w:val="00A86711"/>
    <w:rsid w:val="00A87177"/>
    <w:rsid w:val="00A871F1"/>
    <w:rsid w:val="00A87FCE"/>
    <w:rsid w:val="00A90A41"/>
    <w:rsid w:val="00A91477"/>
    <w:rsid w:val="00A91A10"/>
    <w:rsid w:val="00A92179"/>
    <w:rsid w:val="00A93B9D"/>
    <w:rsid w:val="00A9411C"/>
    <w:rsid w:val="00A94626"/>
    <w:rsid w:val="00A95938"/>
    <w:rsid w:val="00A96E23"/>
    <w:rsid w:val="00AA0841"/>
    <w:rsid w:val="00AA0F77"/>
    <w:rsid w:val="00AA1839"/>
    <w:rsid w:val="00AA1E77"/>
    <w:rsid w:val="00AA3A45"/>
    <w:rsid w:val="00AA3CB3"/>
    <w:rsid w:val="00AA43E2"/>
    <w:rsid w:val="00AA52F0"/>
    <w:rsid w:val="00AA7500"/>
    <w:rsid w:val="00AB0214"/>
    <w:rsid w:val="00AB0647"/>
    <w:rsid w:val="00AB16F2"/>
    <w:rsid w:val="00AB2657"/>
    <w:rsid w:val="00AB3104"/>
    <w:rsid w:val="00AB42A7"/>
    <w:rsid w:val="00AB599D"/>
    <w:rsid w:val="00AB604A"/>
    <w:rsid w:val="00AC090D"/>
    <w:rsid w:val="00AC23EE"/>
    <w:rsid w:val="00AC2842"/>
    <w:rsid w:val="00AC2CE3"/>
    <w:rsid w:val="00AC2F63"/>
    <w:rsid w:val="00AC3814"/>
    <w:rsid w:val="00AC594D"/>
    <w:rsid w:val="00AC5D11"/>
    <w:rsid w:val="00AC5D1A"/>
    <w:rsid w:val="00AC6694"/>
    <w:rsid w:val="00AC69E0"/>
    <w:rsid w:val="00AC716C"/>
    <w:rsid w:val="00AC7AFB"/>
    <w:rsid w:val="00AC7BF4"/>
    <w:rsid w:val="00AD0DC2"/>
    <w:rsid w:val="00AD2D29"/>
    <w:rsid w:val="00AD2E8F"/>
    <w:rsid w:val="00AD3117"/>
    <w:rsid w:val="00AD36B8"/>
    <w:rsid w:val="00AD5146"/>
    <w:rsid w:val="00AD57A5"/>
    <w:rsid w:val="00AD673F"/>
    <w:rsid w:val="00AD675B"/>
    <w:rsid w:val="00AD6938"/>
    <w:rsid w:val="00AD7325"/>
    <w:rsid w:val="00AD7A51"/>
    <w:rsid w:val="00AD7DA5"/>
    <w:rsid w:val="00AE05B0"/>
    <w:rsid w:val="00AE2EB6"/>
    <w:rsid w:val="00AE5F21"/>
    <w:rsid w:val="00AE6E1A"/>
    <w:rsid w:val="00AF0562"/>
    <w:rsid w:val="00AF0CE4"/>
    <w:rsid w:val="00AF0DAA"/>
    <w:rsid w:val="00AF0DAB"/>
    <w:rsid w:val="00AF1075"/>
    <w:rsid w:val="00AF1964"/>
    <w:rsid w:val="00AF2622"/>
    <w:rsid w:val="00AF34E5"/>
    <w:rsid w:val="00AF38A2"/>
    <w:rsid w:val="00AF4920"/>
    <w:rsid w:val="00AF4AEE"/>
    <w:rsid w:val="00AF4DE8"/>
    <w:rsid w:val="00AF5BC6"/>
    <w:rsid w:val="00AF6650"/>
    <w:rsid w:val="00AF6AB9"/>
    <w:rsid w:val="00AF7B56"/>
    <w:rsid w:val="00B009A1"/>
    <w:rsid w:val="00B00FC7"/>
    <w:rsid w:val="00B00FED"/>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3677"/>
    <w:rsid w:val="00B238F5"/>
    <w:rsid w:val="00B239E4"/>
    <w:rsid w:val="00B23C29"/>
    <w:rsid w:val="00B25456"/>
    <w:rsid w:val="00B26E1A"/>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1CA4"/>
    <w:rsid w:val="00B43FCE"/>
    <w:rsid w:val="00B44177"/>
    <w:rsid w:val="00B44302"/>
    <w:rsid w:val="00B47002"/>
    <w:rsid w:val="00B472DD"/>
    <w:rsid w:val="00B50588"/>
    <w:rsid w:val="00B50D5E"/>
    <w:rsid w:val="00B51927"/>
    <w:rsid w:val="00B51B6E"/>
    <w:rsid w:val="00B51F1A"/>
    <w:rsid w:val="00B51F74"/>
    <w:rsid w:val="00B520FC"/>
    <w:rsid w:val="00B52297"/>
    <w:rsid w:val="00B52963"/>
    <w:rsid w:val="00B532D8"/>
    <w:rsid w:val="00B53FA2"/>
    <w:rsid w:val="00B56358"/>
    <w:rsid w:val="00B56D2B"/>
    <w:rsid w:val="00B61726"/>
    <w:rsid w:val="00B617A7"/>
    <w:rsid w:val="00B62800"/>
    <w:rsid w:val="00B67568"/>
    <w:rsid w:val="00B708DC"/>
    <w:rsid w:val="00B709FE"/>
    <w:rsid w:val="00B71686"/>
    <w:rsid w:val="00B72D11"/>
    <w:rsid w:val="00B737FA"/>
    <w:rsid w:val="00B73A7F"/>
    <w:rsid w:val="00B7542E"/>
    <w:rsid w:val="00B75A51"/>
    <w:rsid w:val="00B75F0F"/>
    <w:rsid w:val="00B76CBE"/>
    <w:rsid w:val="00B77A87"/>
    <w:rsid w:val="00B77FDC"/>
    <w:rsid w:val="00B80286"/>
    <w:rsid w:val="00B81D3F"/>
    <w:rsid w:val="00B82B1C"/>
    <w:rsid w:val="00B82D9D"/>
    <w:rsid w:val="00B833A0"/>
    <w:rsid w:val="00B85C3F"/>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773"/>
    <w:rsid w:val="00BA4F1E"/>
    <w:rsid w:val="00BA53E5"/>
    <w:rsid w:val="00BB05A1"/>
    <w:rsid w:val="00BB21C3"/>
    <w:rsid w:val="00BB23B4"/>
    <w:rsid w:val="00BB24A4"/>
    <w:rsid w:val="00BB31A8"/>
    <w:rsid w:val="00BB3575"/>
    <w:rsid w:val="00BB3D17"/>
    <w:rsid w:val="00BB40F9"/>
    <w:rsid w:val="00BB4937"/>
    <w:rsid w:val="00BB4C65"/>
    <w:rsid w:val="00BB4E60"/>
    <w:rsid w:val="00BB6A7D"/>
    <w:rsid w:val="00BB6CF0"/>
    <w:rsid w:val="00BB73F9"/>
    <w:rsid w:val="00BB746E"/>
    <w:rsid w:val="00BC158A"/>
    <w:rsid w:val="00BC2AC7"/>
    <w:rsid w:val="00BC2B2D"/>
    <w:rsid w:val="00BC388E"/>
    <w:rsid w:val="00BC3A6F"/>
    <w:rsid w:val="00BC488D"/>
    <w:rsid w:val="00BC49B3"/>
    <w:rsid w:val="00BC5F94"/>
    <w:rsid w:val="00BD53A0"/>
    <w:rsid w:val="00BD5489"/>
    <w:rsid w:val="00BD6160"/>
    <w:rsid w:val="00BD62FD"/>
    <w:rsid w:val="00BD7576"/>
    <w:rsid w:val="00BD7AB7"/>
    <w:rsid w:val="00BE0074"/>
    <w:rsid w:val="00BE0C60"/>
    <w:rsid w:val="00BE196A"/>
    <w:rsid w:val="00BE30F1"/>
    <w:rsid w:val="00BE5629"/>
    <w:rsid w:val="00BE5DA9"/>
    <w:rsid w:val="00BE750D"/>
    <w:rsid w:val="00BF0905"/>
    <w:rsid w:val="00BF2661"/>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8E8"/>
    <w:rsid w:val="00C12F90"/>
    <w:rsid w:val="00C16C33"/>
    <w:rsid w:val="00C17ED5"/>
    <w:rsid w:val="00C20230"/>
    <w:rsid w:val="00C21E84"/>
    <w:rsid w:val="00C22309"/>
    <w:rsid w:val="00C2242A"/>
    <w:rsid w:val="00C23786"/>
    <w:rsid w:val="00C23820"/>
    <w:rsid w:val="00C26B36"/>
    <w:rsid w:val="00C3097A"/>
    <w:rsid w:val="00C311FF"/>
    <w:rsid w:val="00C33916"/>
    <w:rsid w:val="00C33EC6"/>
    <w:rsid w:val="00C36069"/>
    <w:rsid w:val="00C377EF"/>
    <w:rsid w:val="00C37DF7"/>
    <w:rsid w:val="00C415DA"/>
    <w:rsid w:val="00C44993"/>
    <w:rsid w:val="00C44F81"/>
    <w:rsid w:val="00C45981"/>
    <w:rsid w:val="00C45AB6"/>
    <w:rsid w:val="00C47194"/>
    <w:rsid w:val="00C5028F"/>
    <w:rsid w:val="00C5185B"/>
    <w:rsid w:val="00C521C1"/>
    <w:rsid w:val="00C531E1"/>
    <w:rsid w:val="00C533B4"/>
    <w:rsid w:val="00C53C05"/>
    <w:rsid w:val="00C53C22"/>
    <w:rsid w:val="00C53F7F"/>
    <w:rsid w:val="00C56D74"/>
    <w:rsid w:val="00C57163"/>
    <w:rsid w:val="00C57E7A"/>
    <w:rsid w:val="00C60B35"/>
    <w:rsid w:val="00C641BB"/>
    <w:rsid w:val="00C65048"/>
    <w:rsid w:val="00C6768F"/>
    <w:rsid w:val="00C679AD"/>
    <w:rsid w:val="00C708C7"/>
    <w:rsid w:val="00C70A80"/>
    <w:rsid w:val="00C70E6D"/>
    <w:rsid w:val="00C7151C"/>
    <w:rsid w:val="00C72F4F"/>
    <w:rsid w:val="00C72F64"/>
    <w:rsid w:val="00C74A3D"/>
    <w:rsid w:val="00C765A9"/>
    <w:rsid w:val="00C77B3D"/>
    <w:rsid w:val="00C80F32"/>
    <w:rsid w:val="00C81FD4"/>
    <w:rsid w:val="00C82A83"/>
    <w:rsid w:val="00C8461B"/>
    <w:rsid w:val="00C84DFC"/>
    <w:rsid w:val="00C84F0B"/>
    <w:rsid w:val="00C85B03"/>
    <w:rsid w:val="00C8735B"/>
    <w:rsid w:val="00C97A96"/>
    <w:rsid w:val="00CA1156"/>
    <w:rsid w:val="00CA170D"/>
    <w:rsid w:val="00CA2123"/>
    <w:rsid w:val="00CA45A8"/>
    <w:rsid w:val="00CA4EF2"/>
    <w:rsid w:val="00CA55F3"/>
    <w:rsid w:val="00CA6317"/>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5C5A"/>
    <w:rsid w:val="00CC6AF7"/>
    <w:rsid w:val="00CC7666"/>
    <w:rsid w:val="00CD1A7C"/>
    <w:rsid w:val="00CD1BA5"/>
    <w:rsid w:val="00CD1CAC"/>
    <w:rsid w:val="00CD1D65"/>
    <w:rsid w:val="00CD2CD0"/>
    <w:rsid w:val="00CD3F98"/>
    <w:rsid w:val="00CD41C7"/>
    <w:rsid w:val="00CD41E5"/>
    <w:rsid w:val="00CD4399"/>
    <w:rsid w:val="00CD49DD"/>
    <w:rsid w:val="00CD53A2"/>
    <w:rsid w:val="00CD5ACE"/>
    <w:rsid w:val="00CD6343"/>
    <w:rsid w:val="00CD6B58"/>
    <w:rsid w:val="00CD6EE3"/>
    <w:rsid w:val="00CD71AD"/>
    <w:rsid w:val="00CE1048"/>
    <w:rsid w:val="00CE11EE"/>
    <w:rsid w:val="00CE2FA5"/>
    <w:rsid w:val="00CE37BD"/>
    <w:rsid w:val="00CE3835"/>
    <w:rsid w:val="00CE4C70"/>
    <w:rsid w:val="00CE7C71"/>
    <w:rsid w:val="00CE7F68"/>
    <w:rsid w:val="00CF170B"/>
    <w:rsid w:val="00CF27D0"/>
    <w:rsid w:val="00CF3484"/>
    <w:rsid w:val="00CF381A"/>
    <w:rsid w:val="00CF502B"/>
    <w:rsid w:val="00CF5477"/>
    <w:rsid w:val="00CF6795"/>
    <w:rsid w:val="00D00CD8"/>
    <w:rsid w:val="00D01FC5"/>
    <w:rsid w:val="00D027EE"/>
    <w:rsid w:val="00D02E23"/>
    <w:rsid w:val="00D02FFB"/>
    <w:rsid w:val="00D030FA"/>
    <w:rsid w:val="00D040F3"/>
    <w:rsid w:val="00D04CF1"/>
    <w:rsid w:val="00D05678"/>
    <w:rsid w:val="00D05724"/>
    <w:rsid w:val="00D07A9B"/>
    <w:rsid w:val="00D12564"/>
    <w:rsid w:val="00D12B72"/>
    <w:rsid w:val="00D13E07"/>
    <w:rsid w:val="00D145E0"/>
    <w:rsid w:val="00D14A85"/>
    <w:rsid w:val="00D167A9"/>
    <w:rsid w:val="00D1726D"/>
    <w:rsid w:val="00D1769A"/>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2C4E"/>
    <w:rsid w:val="00D647CB"/>
    <w:rsid w:val="00D67CB4"/>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5F40"/>
    <w:rsid w:val="00D86434"/>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A38"/>
    <w:rsid w:val="00DA4541"/>
    <w:rsid w:val="00DA46AF"/>
    <w:rsid w:val="00DA6505"/>
    <w:rsid w:val="00DA6FA2"/>
    <w:rsid w:val="00DA78E1"/>
    <w:rsid w:val="00DB05D7"/>
    <w:rsid w:val="00DB0B1A"/>
    <w:rsid w:val="00DB0D65"/>
    <w:rsid w:val="00DB133F"/>
    <w:rsid w:val="00DB1E09"/>
    <w:rsid w:val="00DB310C"/>
    <w:rsid w:val="00DB3A46"/>
    <w:rsid w:val="00DB3B49"/>
    <w:rsid w:val="00DB445F"/>
    <w:rsid w:val="00DB45B1"/>
    <w:rsid w:val="00DB4601"/>
    <w:rsid w:val="00DB5D55"/>
    <w:rsid w:val="00DB69FD"/>
    <w:rsid w:val="00DB6F16"/>
    <w:rsid w:val="00DB7FEE"/>
    <w:rsid w:val="00DC001F"/>
    <w:rsid w:val="00DC031F"/>
    <w:rsid w:val="00DC0DEA"/>
    <w:rsid w:val="00DC12EE"/>
    <w:rsid w:val="00DC1F28"/>
    <w:rsid w:val="00DC3374"/>
    <w:rsid w:val="00DC38A1"/>
    <w:rsid w:val="00DC45E4"/>
    <w:rsid w:val="00DC5097"/>
    <w:rsid w:val="00DC6516"/>
    <w:rsid w:val="00DC6D9C"/>
    <w:rsid w:val="00DD0A3B"/>
    <w:rsid w:val="00DD4450"/>
    <w:rsid w:val="00DD55A1"/>
    <w:rsid w:val="00DD57D5"/>
    <w:rsid w:val="00DD7949"/>
    <w:rsid w:val="00DE0461"/>
    <w:rsid w:val="00DE1293"/>
    <w:rsid w:val="00DE16D5"/>
    <w:rsid w:val="00DE170D"/>
    <w:rsid w:val="00DE3F21"/>
    <w:rsid w:val="00DE41BF"/>
    <w:rsid w:val="00DE4562"/>
    <w:rsid w:val="00DE54BE"/>
    <w:rsid w:val="00DE6B41"/>
    <w:rsid w:val="00DE6BD0"/>
    <w:rsid w:val="00DE7342"/>
    <w:rsid w:val="00DE7FD4"/>
    <w:rsid w:val="00DF1A08"/>
    <w:rsid w:val="00DF2EE9"/>
    <w:rsid w:val="00DF37DC"/>
    <w:rsid w:val="00DF4048"/>
    <w:rsid w:val="00DF4DA0"/>
    <w:rsid w:val="00DF566E"/>
    <w:rsid w:val="00DF5824"/>
    <w:rsid w:val="00DF6E00"/>
    <w:rsid w:val="00E005C9"/>
    <w:rsid w:val="00E01212"/>
    <w:rsid w:val="00E0145E"/>
    <w:rsid w:val="00E01D37"/>
    <w:rsid w:val="00E01ED0"/>
    <w:rsid w:val="00E02201"/>
    <w:rsid w:val="00E023B6"/>
    <w:rsid w:val="00E04091"/>
    <w:rsid w:val="00E04E25"/>
    <w:rsid w:val="00E05D8E"/>
    <w:rsid w:val="00E0645D"/>
    <w:rsid w:val="00E07B90"/>
    <w:rsid w:val="00E12082"/>
    <w:rsid w:val="00E122CC"/>
    <w:rsid w:val="00E12D6E"/>
    <w:rsid w:val="00E141C7"/>
    <w:rsid w:val="00E15763"/>
    <w:rsid w:val="00E1584A"/>
    <w:rsid w:val="00E16451"/>
    <w:rsid w:val="00E16CF1"/>
    <w:rsid w:val="00E17507"/>
    <w:rsid w:val="00E1760A"/>
    <w:rsid w:val="00E224A9"/>
    <w:rsid w:val="00E2350C"/>
    <w:rsid w:val="00E23B23"/>
    <w:rsid w:val="00E23DA4"/>
    <w:rsid w:val="00E23E70"/>
    <w:rsid w:val="00E2454C"/>
    <w:rsid w:val="00E25D31"/>
    <w:rsid w:val="00E26653"/>
    <w:rsid w:val="00E26EB6"/>
    <w:rsid w:val="00E273B4"/>
    <w:rsid w:val="00E3034B"/>
    <w:rsid w:val="00E33D40"/>
    <w:rsid w:val="00E35B28"/>
    <w:rsid w:val="00E379AE"/>
    <w:rsid w:val="00E37B9F"/>
    <w:rsid w:val="00E418E3"/>
    <w:rsid w:val="00E42690"/>
    <w:rsid w:val="00E42729"/>
    <w:rsid w:val="00E42B60"/>
    <w:rsid w:val="00E42B73"/>
    <w:rsid w:val="00E44CC3"/>
    <w:rsid w:val="00E45F5A"/>
    <w:rsid w:val="00E4652C"/>
    <w:rsid w:val="00E4673A"/>
    <w:rsid w:val="00E470F7"/>
    <w:rsid w:val="00E47885"/>
    <w:rsid w:val="00E50796"/>
    <w:rsid w:val="00E513EB"/>
    <w:rsid w:val="00E51DBD"/>
    <w:rsid w:val="00E51FB5"/>
    <w:rsid w:val="00E5209F"/>
    <w:rsid w:val="00E527BD"/>
    <w:rsid w:val="00E53DB7"/>
    <w:rsid w:val="00E54455"/>
    <w:rsid w:val="00E55AB7"/>
    <w:rsid w:val="00E56B00"/>
    <w:rsid w:val="00E57D33"/>
    <w:rsid w:val="00E60D9F"/>
    <w:rsid w:val="00E60EB5"/>
    <w:rsid w:val="00E61F0D"/>
    <w:rsid w:val="00E62470"/>
    <w:rsid w:val="00E62C51"/>
    <w:rsid w:val="00E62E9A"/>
    <w:rsid w:val="00E63491"/>
    <w:rsid w:val="00E63A00"/>
    <w:rsid w:val="00E640A1"/>
    <w:rsid w:val="00E64BF0"/>
    <w:rsid w:val="00E64CF6"/>
    <w:rsid w:val="00E65017"/>
    <w:rsid w:val="00E65F97"/>
    <w:rsid w:val="00E67E04"/>
    <w:rsid w:val="00E71204"/>
    <w:rsid w:val="00E725BF"/>
    <w:rsid w:val="00E73D86"/>
    <w:rsid w:val="00E75A80"/>
    <w:rsid w:val="00E76E3C"/>
    <w:rsid w:val="00E76E66"/>
    <w:rsid w:val="00E778E2"/>
    <w:rsid w:val="00E77BF0"/>
    <w:rsid w:val="00E82771"/>
    <w:rsid w:val="00E83C02"/>
    <w:rsid w:val="00E84A84"/>
    <w:rsid w:val="00E8776F"/>
    <w:rsid w:val="00E90E47"/>
    <w:rsid w:val="00E9131E"/>
    <w:rsid w:val="00E93451"/>
    <w:rsid w:val="00E94C82"/>
    <w:rsid w:val="00E9634C"/>
    <w:rsid w:val="00E9641E"/>
    <w:rsid w:val="00EA0828"/>
    <w:rsid w:val="00EA09C4"/>
    <w:rsid w:val="00EA0C9E"/>
    <w:rsid w:val="00EA1B3B"/>
    <w:rsid w:val="00EA2EF7"/>
    <w:rsid w:val="00EA33E8"/>
    <w:rsid w:val="00EA42A5"/>
    <w:rsid w:val="00EA5536"/>
    <w:rsid w:val="00EA5BE5"/>
    <w:rsid w:val="00EB0299"/>
    <w:rsid w:val="00EB0868"/>
    <w:rsid w:val="00EB08DE"/>
    <w:rsid w:val="00EB0E22"/>
    <w:rsid w:val="00EB20D2"/>
    <w:rsid w:val="00EB2E8D"/>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3573"/>
    <w:rsid w:val="00EE69B4"/>
    <w:rsid w:val="00EE69BB"/>
    <w:rsid w:val="00EE6C80"/>
    <w:rsid w:val="00EE7676"/>
    <w:rsid w:val="00EF01C8"/>
    <w:rsid w:val="00EF2717"/>
    <w:rsid w:val="00EF3196"/>
    <w:rsid w:val="00EF3636"/>
    <w:rsid w:val="00EF3DE7"/>
    <w:rsid w:val="00EF418C"/>
    <w:rsid w:val="00EF49D1"/>
    <w:rsid w:val="00EF5664"/>
    <w:rsid w:val="00EF5AE0"/>
    <w:rsid w:val="00F005DF"/>
    <w:rsid w:val="00F01242"/>
    <w:rsid w:val="00F02150"/>
    <w:rsid w:val="00F0378C"/>
    <w:rsid w:val="00F038B9"/>
    <w:rsid w:val="00F03A4F"/>
    <w:rsid w:val="00F040F8"/>
    <w:rsid w:val="00F052B5"/>
    <w:rsid w:val="00F05561"/>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4347"/>
    <w:rsid w:val="00F25CC8"/>
    <w:rsid w:val="00F25F38"/>
    <w:rsid w:val="00F27707"/>
    <w:rsid w:val="00F3008D"/>
    <w:rsid w:val="00F30F66"/>
    <w:rsid w:val="00F31AC1"/>
    <w:rsid w:val="00F345E0"/>
    <w:rsid w:val="00F3551A"/>
    <w:rsid w:val="00F40B57"/>
    <w:rsid w:val="00F4181E"/>
    <w:rsid w:val="00F44B5E"/>
    <w:rsid w:val="00F44DF6"/>
    <w:rsid w:val="00F45018"/>
    <w:rsid w:val="00F45217"/>
    <w:rsid w:val="00F45579"/>
    <w:rsid w:val="00F4577D"/>
    <w:rsid w:val="00F45D66"/>
    <w:rsid w:val="00F47412"/>
    <w:rsid w:val="00F47742"/>
    <w:rsid w:val="00F51759"/>
    <w:rsid w:val="00F51E25"/>
    <w:rsid w:val="00F5266B"/>
    <w:rsid w:val="00F527C2"/>
    <w:rsid w:val="00F53554"/>
    <w:rsid w:val="00F53A62"/>
    <w:rsid w:val="00F54950"/>
    <w:rsid w:val="00F552D0"/>
    <w:rsid w:val="00F55F6C"/>
    <w:rsid w:val="00F56133"/>
    <w:rsid w:val="00F56C07"/>
    <w:rsid w:val="00F57912"/>
    <w:rsid w:val="00F57D09"/>
    <w:rsid w:val="00F60011"/>
    <w:rsid w:val="00F60BB0"/>
    <w:rsid w:val="00F619B4"/>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3B40"/>
    <w:rsid w:val="00F8538B"/>
    <w:rsid w:val="00F85547"/>
    <w:rsid w:val="00F85F18"/>
    <w:rsid w:val="00F86DFB"/>
    <w:rsid w:val="00F9088D"/>
    <w:rsid w:val="00F90DFF"/>
    <w:rsid w:val="00F913B0"/>
    <w:rsid w:val="00F92470"/>
    <w:rsid w:val="00F92A29"/>
    <w:rsid w:val="00F948AC"/>
    <w:rsid w:val="00F95FCF"/>
    <w:rsid w:val="00F9623B"/>
    <w:rsid w:val="00F970E4"/>
    <w:rsid w:val="00F9744A"/>
    <w:rsid w:val="00F978F3"/>
    <w:rsid w:val="00FA1634"/>
    <w:rsid w:val="00FA2E7D"/>
    <w:rsid w:val="00FA43CF"/>
    <w:rsid w:val="00FA4647"/>
    <w:rsid w:val="00FA544F"/>
    <w:rsid w:val="00FA5989"/>
    <w:rsid w:val="00FA5D36"/>
    <w:rsid w:val="00FB1A40"/>
    <w:rsid w:val="00FB25DC"/>
    <w:rsid w:val="00FB291B"/>
    <w:rsid w:val="00FB3332"/>
    <w:rsid w:val="00FB3CA1"/>
    <w:rsid w:val="00FB4B59"/>
    <w:rsid w:val="00FB653B"/>
    <w:rsid w:val="00FB68D4"/>
    <w:rsid w:val="00FB6F2D"/>
    <w:rsid w:val="00FB761A"/>
    <w:rsid w:val="00FB7BE0"/>
    <w:rsid w:val="00FC0620"/>
    <w:rsid w:val="00FC0788"/>
    <w:rsid w:val="00FC16A2"/>
    <w:rsid w:val="00FC1C11"/>
    <w:rsid w:val="00FC1D53"/>
    <w:rsid w:val="00FC1E7D"/>
    <w:rsid w:val="00FC1F1F"/>
    <w:rsid w:val="00FC424D"/>
    <w:rsid w:val="00FC5650"/>
    <w:rsid w:val="00FC5F7E"/>
    <w:rsid w:val="00FC693D"/>
    <w:rsid w:val="00FC69EF"/>
    <w:rsid w:val="00FC7371"/>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32EE71"/>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F38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styleId="UnresolvedMention">
    <w:name w:val="Unresolved Mention"/>
    <w:basedOn w:val="DefaultParagraphFont"/>
    <w:uiPriority w:val="99"/>
    <w:semiHidden/>
    <w:unhideWhenUsed/>
    <w:rsid w:val="009A180F"/>
    <w:rPr>
      <w:color w:val="808080"/>
      <w:shd w:val="clear" w:color="auto" w:fill="E6E6E6"/>
    </w:rPr>
  </w:style>
  <w:style w:type="character" w:customStyle="1" w:styleId="Heading4Char">
    <w:name w:val="Heading 4 Char"/>
    <w:basedOn w:val="DefaultParagraphFont"/>
    <w:link w:val="Heading4"/>
    <w:semiHidden/>
    <w:rsid w:val="008F38F4"/>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187450849">
      <w:bodyDiv w:val="1"/>
      <w:marLeft w:val="0"/>
      <w:marRight w:val="0"/>
      <w:marTop w:val="0"/>
      <w:marBottom w:val="0"/>
      <w:divBdr>
        <w:top w:val="none" w:sz="0" w:space="0" w:color="auto"/>
        <w:left w:val="none" w:sz="0" w:space="0" w:color="auto"/>
        <w:bottom w:val="none" w:sz="0" w:space="0" w:color="auto"/>
        <w:right w:val="none" w:sz="0" w:space="0" w:color="auto"/>
      </w:divBdr>
      <w:divsChild>
        <w:div w:id="518814190">
          <w:marLeft w:val="0"/>
          <w:marRight w:val="0"/>
          <w:marTop w:val="0"/>
          <w:marBottom w:val="0"/>
          <w:divBdr>
            <w:top w:val="none" w:sz="0" w:space="0" w:color="auto"/>
            <w:left w:val="none" w:sz="0" w:space="0" w:color="auto"/>
            <w:bottom w:val="none" w:sz="0" w:space="0" w:color="auto"/>
            <w:right w:val="none" w:sz="0" w:space="0" w:color="auto"/>
          </w:divBdr>
          <w:divsChild>
            <w:div w:id="1109813586">
              <w:marLeft w:val="0"/>
              <w:marRight w:val="0"/>
              <w:marTop w:val="0"/>
              <w:marBottom w:val="0"/>
              <w:divBdr>
                <w:top w:val="none" w:sz="0" w:space="0" w:color="auto"/>
                <w:left w:val="none" w:sz="0" w:space="0" w:color="auto"/>
                <w:bottom w:val="none" w:sz="0" w:space="0" w:color="auto"/>
                <w:right w:val="none" w:sz="0" w:space="0" w:color="auto"/>
              </w:divBdr>
              <w:divsChild>
                <w:div w:id="770666732">
                  <w:marLeft w:val="0"/>
                  <w:marRight w:val="0"/>
                  <w:marTop w:val="0"/>
                  <w:marBottom w:val="0"/>
                  <w:divBdr>
                    <w:top w:val="none" w:sz="0" w:space="0" w:color="auto"/>
                    <w:left w:val="none" w:sz="0" w:space="0" w:color="auto"/>
                    <w:bottom w:val="none" w:sz="0" w:space="0" w:color="auto"/>
                    <w:right w:val="none" w:sz="0" w:space="0" w:color="auto"/>
                  </w:divBdr>
                  <w:divsChild>
                    <w:div w:id="501942737">
                      <w:marLeft w:val="0"/>
                      <w:marRight w:val="0"/>
                      <w:marTop w:val="0"/>
                      <w:marBottom w:val="0"/>
                      <w:divBdr>
                        <w:top w:val="none" w:sz="0" w:space="0" w:color="auto"/>
                        <w:left w:val="none" w:sz="0" w:space="0" w:color="auto"/>
                        <w:bottom w:val="none" w:sz="0" w:space="0" w:color="auto"/>
                        <w:right w:val="single" w:sz="18" w:space="0" w:color="F9F9F9"/>
                      </w:divBdr>
                      <w:divsChild>
                        <w:div w:id="557596931">
                          <w:marLeft w:val="0"/>
                          <w:marRight w:val="3"/>
                          <w:marTop w:val="0"/>
                          <w:marBottom w:val="600"/>
                          <w:divBdr>
                            <w:top w:val="none" w:sz="0" w:space="0" w:color="auto"/>
                            <w:left w:val="none" w:sz="0" w:space="0" w:color="auto"/>
                            <w:bottom w:val="none" w:sz="0" w:space="0" w:color="auto"/>
                            <w:right w:val="none" w:sz="0" w:space="0" w:color="auto"/>
                          </w:divBdr>
                          <w:divsChild>
                            <w:div w:id="281154792">
                              <w:marLeft w:val="0"/>
                              <w:marRight w:val="0"/>
                              <w:marTop w:val="0"/>
                              <w:marBottom w:val="0"/>
                              <w:divBdr>
                                <w:top w:val="none" w:sz="0" w:space="0" w:color="auto"/>
                                <w:left w:val="none" w:sz="0" w:space="0" w:color="auto"/>
                                <w:bottom w:val="none" w:sz="0" w:space="0" w:color="auto"/>
                                <w:right w:val="none" w:sz="0" w:space="0" w:color="auto"/>
                              </w:divBdr>
                              <w:divsChild>
                                <w:div w:id="260526600">
                                  <w:marLeft w:val="0"/>
                                  <w:marRight w:val="0"/>
                                  <w:marTop w:val="0"/>
                                  <w:marBottom w:val="0"/>
                                  <w:divBdr>
                                    <w:top w:val="none" w:sz="0" w:space="0" w:color="auto"/>
                                    <w:left w:val="none" w:sz="0" w:space="0" w:color="auto"/>
                                    <w:bottom w:val="none" w:sz="0" w:space="0" w:color="auto"/>
                                    <w:right w:val="none" w:sz="0" w:space="0" w:color="auto"/>
                                  </w:divBdr>
                                  <w:divsChild>
                                    <w:div w:id="2381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062371">
      <w:bodyDiv w:val="1"/>
      <w:marLeft w:val="0"/>
      <w:marRight w:val="0"/>
      <w:marTop w:val="0"/>
      <w:marBottom w:val="0"/>
      <w:divBdr>
        <w:top w:val="none" w:sz="0" w:space="0" w:color="auto"/>
        <w:left w:val="none" w:sz="0" w:space="0" w:color="auto"/>
        <w:bottom w:val="none" w:sz="0" w:space="0" w:color="auto"/>
        <w:right w:val="none" w:sz="0" w:space="0" w:color="auto"/>
      </w:divBdr>
      <w:divsChild>
        <w:div w:id="1319109994">
          <w:marLeft w:val="0"/>
          <w:marRight w:val="0"/>
          <w:marTop w:val="0"/>
          <w:marBottom w:val="0"/>
          <w:divBdr>
            <w:top w:val="none" w:sz="0" w:space="0" w:color="auto"/>
            <w:left w:val="none" w:sz="0" w:space="0" w:color="auto"/>
            <w:bottom w:val="none" w:sz="0" w:space="0" w:color="auto"/>
            <w:right w:val="none" w:sz="0" w:space="0" w:color="auto"/>
          </w:divBdr>
          <w:divsChild>
            <w:div w:id="1782068256">
              <w:marLeft w:val="0"/>
              <w:marRight w:val="0"/>
              <w:marTop w:val="0"/>
              <w:marBottom w:val="0"/>
              <w:divBdr>
                <w:top w:val="none" w:sz="0" w:space="0" w:color="auto"/>
                <w:left w:val="none" w:sz="0" w:space="0" w:color="auto"/>
                <w:bottom w:val="none" w:sz="0" w:space="0" w:color="auto"/>
                <w:right w:val="none" w:sz="0" w:space="0" w:color="auto"/>
              </w:divBdr>
              <w:divsChild>
                <w:div w:id="1457018208">
                  <w:marLeft w:val="0"/>
                  <w:marRight w:val="0"/>
                  <w:marTop w:val="0"/>
                  <w:marBottom w:val="0"/>
                  <w:divBdr>
                    <w:top w:val="none" w:sz="0" w:space="0" w:color="auto"/>
                    <w:left w:val="none" w:sz="0" w:space="0" w:color="auto"/>
                    <w:bottom w:val="none" w:sz="0" w:space="0" w:color="auto"/>
                    <w:right w:val="none" w:sz="0" w:space="0" w:color="auto"/>
                  </w:divBdr>
                  <w:divsChild>
                    <w:div w:id="1777753307">
                      <w:marLeft w:val="0"/>
                      <w:marRight w:val="0"/>
                      <w:marTop w:val="0"/>
                      <w:marBottom w:val="0"/>
                      <w:divBdr>
                        <w:top w:val="none" w:sz="0" w:space="0" w:color="auto"/>
                        <w:left w:val="none" w:sz="0" w:space="0" w:color="auto"/>
                        <w:bottom w:val="none" w:sz="0" w:space="0" w:color="auto"/>
                        <w:right w:val="single" w:sz="18" w:space="0" w:color="F9F9F9"/>
                      </w:divBdr>
                      <w:divsChild>
                        <w:div w:id="765885988">
                          <w:marLeft w:val="0"/>
                          <w:marRight w:val="3"/>
                          <w:marTop w:val="0"/>
                          <w:marBottom w:val="600"/>
                          <w:divBdr>
                            <w:top w:val="none" w:sz="0" w:space="0" w:color="auto"/>
                            <w:left w:val="none" w:sz="0" w:space="0" w:color="auto"/>
                            <w:bottom w:val="none" w:sz="0" w:space="0" w:color="auto"/>
                            <w:right w:val="none" w:sz="0" w:space="0" w:color="auto"/>
                          </w:divBdr>
                          <w:divsChild>
                            <w:div w:id="814103344">
                              <w:marLeft w:val="0"/>
                              <w:marRight w:val="0"/>
                              <w:marTop w:val="0"/>
                              <w:marBottom w:val="0"/>
                              <w:divBdr>
                                <w:top w:val="none" w:sz="0" w:space="0" w:color="auto"/>
                                <w:left w:val="none" w:sz="0" w:space="0" w:color="auto"/>
                                <w:bottom w:val="none" w:sz="0" w:space="0" w:color="auto"/>
                                <w:right w:val="none" w:sz="0" w:space="0" w:color="auto"/>
                              </w:divBdr>
                              <w:divsChild>
                                <w:div w:id="1054430165">
                                  <w:marLeft w:val="0"/>
                                  <w:marRight w:val="0"/>
                                  <w:marTop w:val="0"/>
                                  <w:marBottom w:val="0"/>
                                  <w:divBdr>
                                    <w:top w:val="none" w:sz="0" w:space="0" w:color="auto"/>
                                    <w:left w:val="none" w:sz="0" w:space="0" w:color="auto"/>
                                    <w:bottom w:val="none" w:sz="0" w:space="0" w:color="auto"/>
                                    <w:right w:val="none" w:sz="0" w:space="0" w:color="auto"/>
                                  </w:divBdr>
                                  <w:divsChild>
                                    <w:div w:id="269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0920859">
      <w:bodyDiv w:val="1"/>
      <w:marLeft w:val="0"/>
      <w:marRight w:val="0"/>
      <w:marTop w:val="0"/>
      <w:marBottom w:val="0"/>
      <w:divBdr>
        <w:top w:val="none" w:sz="0" w:space="0" w:color="auto"/>
        <w:left w:val="none" w:sz="0" w:space="0" w:color="auto"/>
        <w:bottom w:val="none" w:sz="0" w:space="0" w:color="auto"/>
        <w:right w:val="none" w:sz="0" w:space="0" w:color="auto"/>
      </w:divBdr>
      <w:divsChild>
        <w:div w:id="311252975">
          <w:marLeft w:val="547"/>
          <w:marRight w:val="0"/>
          <w:marTop w:val="86"/>
          <w:marBottom w:val="0"/>
          <w:divBdr>
            <w:top w:val="none" w:sz="0" w:space="0" w:color="auto"/>
            <w:left w:val="none" w:sz="0" w:space="0" w:color="auto"/>
            <w:bottom w:val="none" w:sz="0" w:space="0" w:color="auto"/>
            <w:right w:val="none" w:sz="0" w:space="0" w:color="auto"/>
          </w:divBdr>
        </w:div>
        <w:div w:id="2032492892">
          <w:marLeft w:val="547"/>
          <w:marRight w:val="0"/>
          <w:marTop w:val="86"/>
          <w:marBottom w:val="0"/>
          <w:divBdr>
            <w:top w:val="none" w:sz="0" w:space="0" w:color="auto"/>
            <w:left w:val="none" w:sz="0" w:space="0" w:color="auto"/>
            <w:bottom w:val="none" w:sz="0" w:space="0" w:color="auto"/>
            <w:right w:val="none" w:sz="0" w:space="0" w:color="auto"/>
          </w:divBdr>
        </w:div>
        <w:div w:id="1706902035">
          <w:marLeft w:val="547"/>
          <w:marRight w:val="0"/>
          <w:marTop w:val="86"/>
          <w:marBottom w:val="0"/>
          <w:divBdr>
            <w:top w:val="none" w:sz="0" w:space="0" w:color="auto"/>
            <w:left w:val="none" w:sz="0" w:space="0" w:color="auto"/>
            <w:bottom w:val="none" w:sz="0" w:space="0" w:color="auto"/>
            <w:right w:val="none" w:sz="0" w:space="0" w:color="auto"/>
          </w:divBdr>
        </w:div>
        <w:div w:id="1700279878">
          <w:marLeft w:val="547"/>
          <w:marRight w:val="0"/>
          <w:marTop w:val="86"/>
          <w:marBottom w:val="0"/>
          <w:divBdr>
            <w:top w:val="none" w:sz="0" w:space="0" w:color="auto"/>
            <w:left w:val="none" w:sz="0" w:space="0" w:color="auto"/>
            <w:bottom w:val="none" w:sz="0" w:space="0" w:color="auto"/>
            <w:right w:val="none" w:sz="0" w:space="0" w:color="auto"/>
          </w:divBdr>
        </w:div>
        <w:div w:id="1430617097">
          <w:marLeft w:val="547"/>
          <w:marRight w:val="0"/>
          <w:marTop w:val="86"/>
          <w:marBottom w:val="0"/>
          <w:divBdr>
            <w:top w:val="none" w:sz="0" w:space="0" w:color="auto"/>
            <w:left w:val="none" w:sz="0" w:space="0" w:color="auto"/>
            <w:bottom w:val="none" w:sz="0" w:space="0" w:color="auto"/>
            <w:right w:val="none" w:sz="0" w:space="0" w:color="auto"/>
          </w:divBdr>
        </w:div>
        <w:div w:id="397636113">
          <w:marLeft w:val="547"/>
          <w:marRight w:val="0"/>
          <w:marTop w:val="86"/>
          <w:marBottom w:val="0"/>
          <w:divBdr>
            <w:top w:val="none" w:sz="0" w:space="0" w:color="auto"/>
            <w:left w:val="none" w:sz="0" w:space="0" w:color="auto"/>
            <w:bottom w:val="none" w:sz="0" w:space="0" w:color="auto"/>
            <w:right w:val="none" w:sz="0" w:space="0" w:color="auto"/>
          </w:divBdr>
        </w:div>
        <w:div w:id="1455710639">
          <w:marLeft w:val="547"/>
          <w:marRight w:val="0"/>
          <w:marTop w:val="86"/>
          <w:marBottom w:val="0"/>
          <w:divBdr>
            <w:top w:val="none" w:sz="0" w:space="0" w:color="auto"/>
            <w:left w:val="none" w:sz="0" w:space="0" w:color="auto"/>
            <w:bottom w:val="none" w:sz="0" w:space="0" w:color="auto"/>
            <w:right w:val="none" w:sz="0" w:space="0" w:color="auto"/>
          </w:divBdr>
        </w:div>
        <w:div w:id="1347291175">
          <w:marLeft w:val="547"/>
          <w:marRight w:val="0"/>
          <w:marTop w:val="86"/>
          <w:marBottom w:val="0"/>
          <w:divBdr>
            <w:top w:val="none" w:sz="0" w:space="0" w:color="auto"/>
            <w:left w:val="none" w:sz="0" w:space="0" w:color="auto"/>
            <w:bottom w:val="none" w:sz="0" w:space="0" w:color="auto"/>
            <w:right w:val="none" w:sz="0" w:space="0" w:color="auto"/>
          </w:divBdr>
        </w:div>
      </w:divsChild>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2902923">
      <w:bodyDiv w:val="1"/>
      <w:marLeft w:val="0"/>
      <w:marRight w:val="0"/>
      <w:marTop w:val="0"/>
      <w:marBottom w:val="0"/>
      <w:divBdr>
        <w:top w:val="none" w:sz="0" w:space="0" w:color="auto"/>
        <w:left w:val="none" w:sz="0" w:space="0" w:color="auto"/>
        <w:bottom w:val="none" w:sz="0" w:space="0" w:color="auto"/>
        <w:right w:val="none" w:sz="0" w:space="0" w:color="auto"/>
      </w:divBdr>
      <w:divsChild>
        <w:div w:id="707993318">
          <w:marLeft w:val="0"/>
          <w:marRight w:val="0"/>
          <w:marTop w:val="0"/>
          <w:marBottom w:val="0"/>
          <w:divBdr>
            <w:top w:val="none" w:sz="0" w:space="0" w:color="auto"/>
            <w:left w:val="none" w:sz="0" w:space="0" w:color="auto"/>
            <w:bottom w:val="none" w:sz="0" w:space="0" w:color="auto"/>
            <w:right w:val="none" w:sz="0" w:space="0" w:color="auto"/>
          </w:divBdr>
          <w:divsChild>
            <w:div w:id="1988974452">
              <w:marLeft w:val="0"/>
              <w:marRight w:val="0"/>
              <w:marTop w:val="0"/>
              <w:marBottom w:val="0"/>
              <w:divBdr>
                <w:top w:val="none" w:sz="0" w:space="0" w:color="auto"/>
                <w:left w:val="none" w:sz="0" w:space="0" w:color="auto"/>
                <w:bottom w:val="none" w:sz="0" w:space="0" w:color="auto"/>
                <w:right w:val="none" w:sz="0" w:space="0" w:color="auto"/>
              </w:divBdr>
              <w:divsChild>
                <w:div w:id="1498225542">
                  <w:marLeft w:val="0"/>
                  <w:marRight w:val="0"/>
                  <w:marTop w:val="0"/>
                  <w:marBottom w:val="0"/>
                  <w:divBdr>
                    <w:top w:val="none" w:sz="0" w:space="0" w:color="auto"/>
                    <w:left w:val="none" w:sz="0" w:space="0" w:color="auto"/>
                    <w:bottom w:val="none" w:sz="0" w:space="0" w:color="auto"/>
                    <w:right w:val="none" w:sz="0" w:space="0" w:color="auto"/>
                  </w:divBdr>
                  <w:divsChild>
                    <w:div w:id="1080641783">
                      <w:marLeft w:val="0"/>
                      <w:marRight w:val="0"/>
                      <w:marTop w:val="0"/>
                      <w:marBottom w:val="0"/>
                      <w:divBdr>
                        <w:top w:val="none" w:sz="0" w:space="0" w:color="auto"/>
                        <w:left w:val="none" w:sz="0" w:space="0" w:color="auto"/>
                        <w:bottom w:val="none" w:sz="0" w:space="0" w:color="auto"/>
                        <w:right w:val="single" w:sz="18" w:space="0" w:color="F9F9F9"/>
                      </w:divBdr>
                      <w:divsChild>
                        <w:div w:id="859666452">
                          <w:marLeft w:val="0"/>
                          <w:marRight w:val="3"/>
                          <w:marTop w:val="0"/>
                          <w:marBottom w:val="600"/>
                          <w:divBdr>
                            <w:top w:val="none" w:sz="0" w:space="0" w:color="auto"/>
                            <w:left w:val="none" w:sz="0" w:space="0" w:color="auto"/>
                            <w:bottom w:val="none" w:sz="0" w:space="0" w:color="auto"/>
                            <w:right w:val="none" w:sz="0" w:space="0" w:color="auto"/>
                          </w:divBdr>
                          <w:divsChild>
                            <w:div w:id="1620141144">
                              <w:marLeft w:val="0"/>
                              <w:marRight w:val="0"/>
                              <w:marTop w:val="0"/>
                              <w:marBottom w:val="0"/>
                              <w:divBdr>
                                <w:top w:val="none" w:sz="0" w:space="0" w:color="auto"/>
                                <w:left w:val="none" w:sz="0" w:space="0" w:color="auto"/>
                                <w:bottom w:val="none" w:sz="0" w:space="0" w:color="auto"/>
                                <w:right w:val="none" w:sz="0" w:space="0" w:color="auto"/>
                              </w:divBdr>
                              <w:divsChild>
                                <w:div w:id="1314602154">
                                  <w:marLeft w:val="0"/>
                                  <w:marRight w:val="0"/>
                                  <w:marTop w:val="0"/>
                                  <w:marBottom w:val="0"/>
                                  <w:divBdr>
                                    <w:top w:val="none" w:sz="0" w:space="0" w:color="auto"/>
                                    <w:left w:val="none" w:sz="0" w:space="0" w:color="auto"/>
                                    <w:bottom w:val="none" w:sz="0" w:space="0" w:color="auto"/>
                                    <w:right w:val="none" w:sz="0" w:space="0" w:color="auto"/>
                                  </w:divBdr>
                                  <w:divsChild>
                                    <w:div w:id="3959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4AFA9-017D-43B1-819C-02711268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9</Pages>
  <Words>2682</Words>
  <Characters>14013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Smith Hannah (RNU) Oxford Health</cp:lastModifiedBy>
  <cp:revision>4</cp:revision>
  <cp:lastPrinted>2018-11-27T16:08:00Z</cp:lastPrinted>
  <dcterms:created xsi:type="dcterms:W3CDTF">2019-01-21T21:19:00Z</dcterms:created>
  <dcterms:modified xsi:type="dcterms:W3CDTF">2019-01-24T23:59:00Z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