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43F9E" w14:textId="77777777" w:rsidR="005D3499" w:rsidRDefault="007B6D77" w:rsidP="0086436B">
      <w:pPr>
        <w:ind w:right="-900"/>
        <w:jc w:val="right"/>
        <w:rPr>
          <w:lang w:val="en-GB"/>
        </w:rPr>
      </w:pPr>
      <w:bookmarkStart w:id="0" w:name="_GoBack"/>
      <w:bookmarkEnd w:id="0"/>
      <w:r>
        <w:rPr>
          <w:noProof/>
          <w:lang w:val="en-GB" w:eastAsia="en-GB"/>
        </w:rPr>
        <w:drawing>
          <wp:inline distT="0" distB="0" distL="0" distR="0" wp14:anchorId="43298C27" wp14:editId="2BF28B76">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14:paraId="43095B07" w14:textId="77777777" w:rsidR="005D3499" w:rsidRDefault="005D3499"/>
    <w:p w14:paraId="58F5F215" w14:textId="77777777" w:rsidR="005D3499" w:rsidRDefault="00C62464">
      <w:pPr>
        <w:jc w:val="center"/>
        <w:rPr>
          <w:rFonts w:ascii="Frutiger" w:hAnsi="Frutiger"/>
        </w:rPr>
      </w:pPr>
      <w:r>
        <w:rPr>
          <w:noProof/>
          <w:sz w:val="20"/>
          <w:lang w:val="en-GB" w:eastAsia="en-GB"/>
        </w:rPr>
        <mc:AlternateContent>
          <mc:Choice Requires="wps">
            <w:drawing>
              <wp:anchor distT="0" distB="0" distL="114300" distR="114300" simplePos="0" relativeHeight="251657728" behindDoc="0" locked="0" layoutInCell="1" allowOverlap="1" wp14:anchorId="12DCF8CC" wp14:editId="42417629">
                <wp:simplePos x="0" y="0"/>
                <wp:positionH relativeFrom="column">
                  <wp:posOffset>4114800</wp:posOffset>
                </wp:positionH>
                <wp:positionV relativeFrom="paragraph">
                  <wp:posOffset>51435</wp:posOffset>
                </wp:positionV>
                <wp:extent cx="1371600" cy="571500"/>
                <wp:effectExtent l="9525" t="13335" r="9525" b="571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14:paraId="66564953" w14:textId="77777777" w:rsidR="00781566" w:rsidRDefault="0025508D">
                            <w:pPr>
                              <w:jc w:val="center"/>
                              <w:rPr>
                                <w:rFonts w:ascii="Arial" w:hAnsi="Arial" w:cs="Arial"/>
                              </w:rPr>
                            </w:pPr>
                            <w:r>
                              <w:rPr>
                                <w:rFonts w:ascii="Arial" w:hAnsi="Arial" w:cs="Arial"/>
                                <w:b/>
                              </w:rPr>
                              <w:t xml:space="preserve">BOD </w:t>
                            </w:r>
                            <w:r w:rsidR="00A017D6">
                              <w:rPr>
                                <w:rFonts w:ascii="Arial" w:hAnsi="Arial" w:cs="Arial"/>
                                <w:b/>
                              </w:rPr>
                              <w:t xml:space="preserve"> 03/2019</w:t>
                            </w:r>
                          </w:p>
                          <w:p w14:paraId="1747EBFE" w14:textId="77777777" w:rsidR="0025508D" w:rsidRPr="0025508D" w:rsidRDefault="00FC1FA6">
                            <w:pPr>
                              <w:jc w:val="center"/>
                              <w:rPr>
                                <w:rFonts w:ascii="Arial" w:hAnsi="Arial" w:cs="Arial"/>
                                <w:sz w:val="22"/>
                                <w:szCs w:val="22"/>
                              </w:rPr>
                            </w:pPr>
                            <w:r>
                              <w:rPr>
                                <w:rFonts w:ascii="Arial" w:hAnsi="Arial" w:cs="Arial"/>
                                <w:sz w:val="22"/>
                                <w:szCs w:val="22"/>
                              </w:rPr>
                              <w:t xml:space="preserve">(Agenda item: </w:t>
                            </w:r>
                            <w:r w:rsidR="00A017D6">
                              <w:rPr>
                                <w:rFonts w:ascii="Arial" w:hAnsi="Arial" w:cs="Arial"/>
                                <w:sz w:val="22"/>
                                <w:szCs w:val="22"/>
                              </w:rPr>
                              <w:t>5</w:t>
                            </w:r>
                            <w:r w:rsidR="0025508D">
                              <w:rPr>
                                <w:rFonts w:ascii="Arial" w:hAnsi="Arial" w:cs="Arial"/>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w14:anchorId="152C2FE7" id="Rectangle 10" o:spid="_x0000_s1026" style="position:absolute;left:0;text-align:left;margin-left:324pt;margin-top:4.0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B3NNtrGwIAADgEAAAOAAAAAAAAAAAAAAAAAC4CAABkcnMvZTJvRG9jLnhtbFBLAQIt&#10;ABQABgAIAAAAIQAEtrzh3wAAAAgBAAAPAAAAAAAAAAAAAAAAAHUEAABkcnMvZG93bnJldi54bWxQ&#10;SwUGAAAAAAQABADzAAAAgQUAAAAA&#10;">
                <v:textbox inset="0,0,0,0">
                  <w:txbxContent>
                    <w:p w:rsidR="00781566" w:rsidRDefault="0025508D">
                      <w:pPr>
                        <w:jc w:val="center"/>
                        <w:rPr>
                          <w:rFonts w:ascii="Arial" w:hAnsi="Arial" w:cs="Arial"/>
                        </w:rPr>
                      </w:pPr>
                      <w:r>
                        <w:rPr>
                          <w:rFonts w:ascii="Arial" w:hAnsi="Arial" w:cs="Arial"/>
                          <w:b/>
                        </w:rPr>
                        <w:t xml:space="preserve">BOD </w:t>
                      </w:r>
                      <w:r w:rsidR="00A017D6">
                        <w:rPr>
                          <w:rFonts w:ascii="Arial" w:hAnsi="Arial" w:cs="Arial"/>
                          <w:b/>
                        </w:rPr>
                        <w:t xml:space="preserve"> 03/2019</w:t>
                      </w:r>
                    </w:p>
                    <w:p w:rsidR="0025508D" w:rsidRPr="0025508D" w:rsidRDefault="00FC1FA6">
                      <w:pPr>
                        <w:jc w:val="center"/>
                        <w:rPr>
                          <w:rFonts w:ascii="Arial" w:hAnsi="Arial" w:cs="Arial"/>
                          <w:sz w:val="22"/>
                          <w:szCs w:val="22"/>
                        </w:rPr>
                      </w:pPr>
                      <w:r>
                        <w:rPr>
                          <w:rFonts w:ascii="Arial" w:hAnsi="Arial" w:cs="Arial"/>
                          <w:sz w:val="22"/>
                          <w:szCs w:val="22"/>
                        </w:rPr>
                        <w:t xml:space="preserve">(Agenda item: </w:t>
                      </w:r>
                      <w:r w:rsidR="00A017D6">
                        <w:rPr>
                          <w:rFonts w:ascii="Arial" w:hAnsi="Arial" w:cs="Arial"/>
                          <w:sz w:val="22"/>
                          <w:szCs w:val="22"/>
                        </w:rPr>
                        <w:t>5</w:t>
                      </w:r>
                      <w:r w:rsidR="0025508D">
                        <w:rPr>
                          <w:rFonts w:ascii="Arial" w:hAnsi="Arial" w:cs="Arial"/>
                          <w:sz w:val="22"/>
                          <w:szCs w:val="22"/>
                        </w:rPr>
                        <w:t>)</w:t>
                      </w:r>
                    </w:p>
                  </w:txbxContent>
                </v:textbox>
              </v:rect>
            </w:pict>
          </mc:Fallback>
        </mc:AlternateContent>
      </w:r>
    </w:p>
    <w:p w14:paraId="6E5507F6" w14:textId="77777777" w:rsidR="005D3499" w:rsidRDefault="005D3499">
      <w:pPr>
        <w:pStyle w:val="Heading1"/>
        <w:rPr>
          <w:sz w:val="24"/>
        </w:rPr>
      </w:pPr>
    </w:p>
    <w:p w14:paraId="4F1F5DA1" w14:textId="77777777" w:rsidR="005D3499" w:rsidRDefault="005D3499">
      <w:pPr>
        <w:pStyle w:val="Heading1"/>
        <w:rPr>
          <w:sz w:val="24"/>
        </w:rPr>
      </w:pPr>
    </w:p>
    <w:p w14:paraId="0157CDAC" w14:textId="77777777" w:rsidR="005D3499" w:rsidRDefault="005D3499" w:rsidP="00FA5118">
      <w:pPr>
        <w:pStyle w:val="Heading1"/>
        <w:jc w:val="center"/>
        <w:rPr>
          <w:sz w:val="24"/>
        </w:rPr>
      </w:pPr>
    </w:p>
    <w:p w14:paraId="2079ED58" w14:textId="77777777" w:rsidR="005D3499" w:rsidRDefault="005D3499">
      <w:pPr>
        <w:pStyle w:val="Heading1"/>
        <w:jc w:val="center"/>
        <w:rPr>
          <w:sz w:val="28"/>
          <w:u w:val="none"/>
        </w:rPr>
      </w:pPr>
    </w:p>
    <w:p w14:paraId="009302BE" w14:textId="77777777" w:rsidR="005E2583" w:rsidRDefault="005D3499">
      <w:pPr>
        <w:pStyle w:val="Heading1"/>
        <w:jc w:val="center"/>
        <w:rPr>
          <w:sz w:val="28"/>
          <w:u w:val="none"/>
        </w:rPr>
      </w:pPr>
      <w:r>
        <w:rPr>
          <w:sz w:val="28"/>
          <w:u w:val="none"/>
        </w:rPr>
        <w:t xml:space="preserve">Report to the Meeting </w:t>
      </w:r>
      <w:r w:rsidR="00B50D5E">
        <w:rPr>
          <w:sz w:val="28"/>
          <w:u w:val="none"/>
        </w:rPr>
        <w:t xml:space="preserve">of the </w:t>
      </w:r>
    </w:p>
    <w:p w14:paraId="22DCF3BA" w14:textId="77777777"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14:paraId="117EE75A" w14:textId="77777777" w:rsidR="005D3499" w:rsidRDefault="005D3499">
      <w:pPr>
        <w:pStyle w:val="Heading1"/>
        <w:jc w:val="center"/>
        <w:rPr>
          <w:sz w:val="28"/>
          <w:u w:val="none"/>
        </w:rPr>
      </w:pPr>
      <w:r>
        <w:rPr>
          <w:sz w:val="28"/>
          <w:u w:val="none"/>
        </w:rPr>
        <w:t>Board</w:t>
      </w:r>
      <w:r w:rsidR="002821F8">
        <w:rPr>
          <w:sz w:val="28"/>
          <w:u w:val="none"/>
        </w:rPr>
        <w:t xml:space="preserve"> of Directors</w:t>
      </w:r>
    </w:p>
    <w:p w14:paraId="4C7E1494" w14:textId="77777777" w:rsidR="005D3499" w:rsidRDefault="005D3499" w:rsidP="00A85311">
      <w:pPr>
        <w:rPr>
          <w:rFonts w:ascii="Arial" w:hAnsi="Arial" w:cs="Arial"/>
          <w:b/>
        </w:rPr>
      </w:pPr>
    </w:p>
    <w:p w14:paraId="1BE8440A" w14:textId="77777777" w:rsidR="005D3499" w:rsidRDefault="00D67B4A">
      <w:pPr>
        <w:jc w:val="center"/>
        <w:rPr>
          <w:rFonts w:ascii="Arial" w:hAnsi="Arial" w:cs="Arial"/>
          <w:b/>
        </w:rPr>
      </w:pPr>
      <w:r>
        <w:rPr>
          <w:rFonts w:ascii="Arial" w:hAnsi="Arial" w:cs="Arial"/>
          <w:b/>
        </w:rPr>
        <w:t>31 January 2019</w:t>
      </w:r>
    </w:p>
    <w:p w14:paraId="3886F80B" w14:textId="77777777" w:rsidR="005D3499" w:rsidRDefault="005D3499">
      <w:pPr>
        <w:jc w:val="center"/>
        <w:rPr>
          <w:rFonts w:ascii="Arial" w:hAnsi="Arial" w:cs="Arial"/>
          <w:b/>
        </w:rPr>
      </w:pPr>
    </w:p>
    <w:p w14:paraId="2CE6919E" w14:textId="77777777" w:rsidR="005D3499" w:rsidRDefault="00922966" w:rsidP="00FD2279">
      <w:pPr>
        <w:jc w:val="center"/>
        <w:rPr>
          <w:rFonts w:ascii="Arial" w:hAnsi="Arial" w:cs="Arial"/>
          <w:b/>
        </w:rPr>
      </w:pPr>
      <w:r>
        <w:rPr>
          <w:rFonts w:ascii="Arial" w:hAnsi="Arial" w:cs="Arial"/>
          <w:b/>
        </w:rPr>
        <w:t>Monthly Performance Report</w:t>
      </w:r>
      <w:r w:rsidR="000B77F9">
        <w:rPr>
          <w:rFonts w:ascii="Arial" w:hAnsi="Arial" w:cs="Arial"/>
          <w:b/>
        </w:rPr>
        <w:t xml:space="preserve"> – </w:t>
      </w:r>
      <w:r w:rsidR="00D67B4A">
        <w:rPr>
          <w:rFonts w:ascii="Arial" w:hAnsi="Arial" w:cs="Arial"/>
          <w:b/>
        </w:rPr>
        <w:t>M9 December</w:t>
      </w:r>
      <w:r w:rsidR="003A413B">
        <w:rPr>
          <w:rFonts w:ascii="Arial" w:hAnsi="Arial" w:cs="Arial"/>
          <w:b/>
        </w:rPr>
        <w:t xml:space="preserve"> 2018</w:t>
      </w:r>
    </w:p>
    <w:p w14:paraId="246D2926" w14:textId="77777777" w:rsidR="005D3499" w:rsidRDefault="005D3499">
      <w:pPr>
        <w:rPr>
          <w:rFonts w:ascii="Arial" w:hAnsi="Arial" w:cs="Arial"/>
          <w:b/>
        </w:rPr>
      </w:pPr>
    </w:p>
    <w:p w14:paraId="0AD06CFA" w14:textId="77777777" w:rsidR="00292613" w:rsidRPr="00292613" w:rsidRDefault="00292613" w:rsidP="00292613">
      <w:pPr>
        <w:rPr>
          <w:rFonts w:ascii="Arial" w:hAnsi="Arial" w:cs="Arial"/>
          <w:b/>
          <w:u w:val="single"/>
        </w:rPr>
      </w:pPr>
      <w:r w:rsidRPr="00292613">
        <w:rPr>
          <w:rFonts w:ascii="Arial" w:hAnsi="Arial" w:cs="Arial"/>
          <w:b/>
          <w:u w:val="single"/>
        </w:rPr>
        <w:t>For</w:t>
      </w:r>
      <w:r>
        <w:rPr>
          <w:rFonts w:ascii="Arial" w:hAnsi="Arial" w:cs="Arial"/>
          <w:b/>
          <w:u w:val="single"/>
        </w:rPr>
        <w:t>:</w:t>
      </w:r>
      <w:r w:rsidRPr="00292613">
        <w:rPr>
          <w:rFonts w:ascii="Arial" w:hAnsi="Arial" w:cs="Arial"/>
          <w:b/>
          <w:u w:val="single"/>
        </w:rPr>
        <w:t xml:space="preserve"> </w:t>
      </w:r>
      <w:r w:rsidR="00C36082">
        <w:rPr>
          <w:rFonts w:ascii="Arial" w:hAnsi="Arial" w:cs="Arial"/>
          <w:b/>
          <w:u w:val="single"/>
        </w:rPr>
        <w:t xml:space="preserve">Information </w:t>
      </w:r>
    </w:p>
    <w:p w14:paraId="78F161F2" w14:textId="77777777" w:rsidR="00292613" w:rsidRDefault="00292613">
      <w:pPr>
        <w:rPr>
          <w:rFonts w:ascii="Arial" w:hAnsi="Arial" w:cs="Arial"/>
          <w:b/>
        </w:rPr>
      </w:pPr>
    </w:p>
    <w:p w14:paraId="5F478AC8" w14:textId="77777777" w:rsidR="007A2CF0" w:rsidRDefault="007A2CF0" w:rsidP="007A2CF0">
      <w:pPr>
        <w:jc w:val="both"/>
        <w:rPr>
          <w:rFonts w:ascii="Arial" w:hAnsi="Arial" w:cs="Arial"/>
          <w:b/>
        </w:rPr>
      </w:pPr>
      <w:r>
        <w:rPr>
          <w:rFonts w:ascii="Arial" w:hAnsi="Arial" w:cs="Arial"/>
          <w:b/>
        </w:rPr>
        <w:t>Executive Summary</w:t>
      </w:r>
    </w:p>
    <w:p w14:paraId="56A3FCE3" w14:textId="77777777" w:rsidR="007A2CF0" w:rsidRDefault="007A2CF0" w:rsidP="007A2CF0">
      <w:pPr>
        <w:jc w:val="both"/>
        <w:rPr>
          <w:rFonts w:ascii="Arial" w:hAnsi="Arial" w:cs="Arial"/>
          <w:b/>
        </w:rPr>
      </w:pPr>
    </w:p>
    <w:p w14:paraId="6C296F52" w14:textId="77777777" w:rsidR="00E6088B" w:rsidRDefault="00E6088B" w:rsidP="006B6FE8">
      <w:pPr>
        <w:jc w:val="both"/>
        <w:rPr>
          <w:rFonts w:ascii="Arial" w:hAnsi="Arial" w:cs="Arial"/>
        </w:rPr>
      </w:pPr>
      <w:r>
        <w:rPr>
          <w:rFonts w:ascii="Arial" w:hAnsi="Arial" w:cs="Arial"/>
        </w:rPr>
        <w:t xml:space="preserve">This report </w:t>
      </w:r>
      <w:proofErr w:type="spellStart"/>
      <w:r>
        <w:rPr>
          <w:rFonts w:ascii="Arial" w:hAnsi="Arial" w:cs="Arial"/>
        </w:rPr>
        <w:t>summarises</w:t>
      </w:r>
      <w:proofErr w:type="spellEnd"/>
      <w:r>
        <w:rPr>
          <w:rFonts w:ascii="Arial" w:hAnsi="Arial" w:cs="Arial"/>
        </w:rPr>
        <w:t xml:space="preserve"> and provides assurance against the Trust’s national and locally contracted </w:t>
      </w:r>
      <w:r w:rsidR="00C57113">
        <w:rPr>
          <w:rFonts w:ascii="Arial" w:hAnsi="Arial" w:cs="Arial"/>
        </w:rPr>
        <w:t>key performance indicators (KPI</w:t>
      </w:r>
      <w:r>
        <w:rPr>
          <w:rFonts w:ascii="Arial" w:hAnsi="Arial" w:cs="Arial"/>
        </w:rPr>
        <w:t>s) for Month 9 (December).  Overall, the Trust achieved 286 of the 384 targeted indicators (74%).  This is broadly consistent with the performance achieved in Months 7 and 8 but a decline since the start of the financial year and reflects the ongoing pressures (particularly a lack of a workforce).</w:t>
      </w:r>
    </w:p>
    <w:p w14:paraId="0CA09B59" w14:textId="77777777" w:rsidR="00C83803" w:rsidRDefault="00C83803" w:rsidP="006B6FE8">
      <w:pPr>
        <w:jc w:val="both"/>
        <w:rPr>
          <w:rFonts w:ascii="Arial" w:hAnsi="Arial" w:cs="Arial"/>
        </w:rPr>
      </w:pPr>
    </w:p>
    <w:p w14:paraId="087450DE" w14:textId="77777777" w:rsidR="00C83803" w:rsidRDefault="00C57113" w:rsidP="00C83803">
      <w:pPr>
        <w:jc w:val="both"/>
        <w:rPr>
          <w:rFonts w:ascii="Arial" w:hAnsi="Arial" w:cs="Arial"/>
          <w:b/>
        </w:rPr>
      </w:pPr>
      <w:r>
        <w:rPr>
          <w:rFonts w:ascii="Arial" w:hAnsi="Arial" w:cs="Arial"/>
          <w:b/>
        </w:rPr>
        <w:t>Performance Trend</w:t>
      </w:r>
      <w:r w:rsidR="00C83803">
        <w:rPr>
          <w:rFonts w:ascii="Arial" w:hAnsi="Arial" w:cs="Arial"/>
          <w:b/>
        </w:rPr>
        <w:t>:</w:t>
      </w:r>
    </w:p>
    <w:p w14:paraId="714F1C94" w14:textId="77777777" w:rsidR="00C83803" w:rsidRDefault="00C83803" w:rsidP="006B6FE8">
      <w:pPr>
        <w:jc w:val="both"/>
        <w:rPr>
          <w:rFonts w:ascii="Arial" w:hAnsi="Arial" w:cs="Arial"/>
        </w:rPr>
      </w:pPr>
    </w:p>
    <w:p w14:paraId="030841FF" w14:textId="77777777" w:rsidR="005E09C4" w:rsidRDefault="005E09C4" w:rsidP="006B6FE8">
      <w:pPr>
        <w:jc w:val="both"/>
        <w:rPr>
          <w:rFonts w:ascii="Arial" w:hAnsi="Arial" w:cs="Arial"/>
        </w:rPr>
      </w:pPr>
    </w:p>
    <w:p w14:paraId="6ED87A39" w14:textId="77777777" w:rsidR="00FD74D2" w:rsidRDefault="00FD74D2" w:rsidP="00294343">
      <w:pPr>
        <w:jc w:val="center"/>
        <w:rPr>
          <w:noProof/>
          <w:lang w:val="en-GB" w:eastAsia="en-GB"/>
        </w:rPr>
      </w:pPr>
      <w:r>
        <w:rPr>
          <w:noProof/>
          <w:lang w:val="en-GB" w:eastAsia="en-GB"/>
        </w:rPr>
        <w:drawing>
          <wp:inline distT="0" distB="0" distL="0" distR="0" wp14:anchorId="645EEABE" wp14:editId="286071C9">
            <wp:extent cx="4352925" cy="2543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52925" cy="2543175"/>
                    </a:xfrm>
                    <a:prstGeom prst="rect">
                      <a:avLst/>
                    </a:prstGeom>
                  </pic:spPr>
                </pic:pic>
              </a:graphicData>
            </a:graphic>
          </wp:inline>
        </w:drawing>
      </w:r>
    </w:p>
    <w:p w14:paraId="01D5CB75" w14:textId="77777777" w:rsidR="00FD74D2" w:rsidRDefault="00FD74D2" w:rsidP="00294343">
      <w:pPr>
        <w:jc w:val="center"/>
        <w:rPr>
          <w:noProof/>
          <w:lang w:val="en-GB" w:eastAsia="en-GB"/>
        </w:rPr>
      </w:pPr>
    </w:p>
    <w:p w14:paraId="01EAFD88" w14:textId="77777777" w:rsidR="00FD74D2" w:rsidRDefault="00FD74D2" w:rsidP="00294343">
      <w:pPr>
        <w:jc w:val="center"/>
        <w:rPr>
          <w:noProof/>
          <w:lang w:val="en-GB" w:eastAsia="en-GB"/>
        </w:rPr>
      </w:pPr>
    </w:p>
    <w:p w14:paraId="2F0CFC76" w14:textId="77777777" w:rsidR="005E09C4" w:rsidRDefault="00294343" w:rsidP="00294343">
      <w:pPr>
        <w:jc w:val="center"/>
        <w:rPr>
          <w:rFonts w:ascii="Arial" w:hAnsi="Arial" w:cs="Arial"/>
        </w:rPr>
      </w:pPr>
      <w:r>
        <w:rPr>
          <w:noProof/>
          <w:lang w:val="en-GB" w:eastAsia="en-GB"/>
        </w:rPr>
        <w:lastRenderedPageBreak/>
        <w:drawing>
          <wp:inline distT="0" distB="0" distL="0" distR="0" wp14:anchorId="16FA020A" wp14:editId="102D0131">
            <wp:extent cx="4248150" cy="24069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54619" cy="2410652"/>
                    </a:xfrm>
                    <a:prstGeom prst="rect">
                      <a:avLst/>
                    </a:prstGeom>
                  </pic:spPr>
                </pic:pic>
              </a:graphicData>
            </a:graphic>
          </wp:inline>
        </w:drawing>
      </w:r>
    </w:p>
    <w:p w14:paraId="203E123B" w14:textId="77777777" w:rsidR="00E6088B" w:rsidRDefault="00E6088B" w:rsidP="006B6FE8">
      <w:pPr>
        <w:jc w:val="both"/>
        <w:rPr>
          <w:rFonts w:ascii="Arial" w:hAnsi="Arial" w:cs="Arial"/>
        </w:rPr>
      </w:pPr>
    </w:p>
    <w:p w14:paraId="084E2BB1" w14:textId="77777777" w:rsidR="00C57113" w:rsidRDefault="00C57113" w:rsidP="006B6FE8">
      <w:pPr>
        <w:jc w:val="both"/>
        <w:rPr>
          <w:rFonts w:ascii="Arial" w:hAnsi="Arial" w:cs="Arial"/>
        </w:rPr>
      </w:pPr>
      <w:r>
        <w:rPr>
          <w:rFonts w:ascii="Arial" w:hAnsi="Arial" w:cs="Arial"/>
        </w:rPr>
        <w:t>The number of indicators varies throughout the year as is illustrated in the graph above.  This is due to some indicators only being reportable on a quarterly basis.</w:t>
      </w:r>
    </w:p>
    <w:p w14:paraId="39EED901" w14:textId="77777777" w:rsidR="002E4CF9" w:rsidRDefault="002E4CF9" w:rsidP="007A2CF0">
      <w:pPr>
        <w:jc w:val="both"/>
        <w:rPr>
          <w:rFonts w:ascii="Arial" w:hAnsi="Arial" w:cs="Arial"/>
        </w:rPr>
      </w:pPr>
    </w:p>
    <w:p w14:paraId="1B07BB94" w14:textId="77777777" w:rsidR="00036D9C" w:rsidRDefault="0037138A" w:rsidP="00C57113">
      <w:pPr>
        <w:ind w:left="-993" w:firstLine="993"/>
        <w:jc w:val="both"/>
        <w:rPr>
          <w:rFonts w:ascii="Arial" w:hAnsi="Arial" w:cs="Arial"/>
          <w:b/>
        </w:rPr>
      </w:pPr>
      <w:r w:rsidRPr="0037138A">
        <w:rPr>
          <w:rFonts w:ascii="Arial" w:hAnsi="Arial" w:cs="Arial"/>
          <w:b/>
        </w:rPr>
        <w:t>National Position:</w:t>
      </w:r>
    </w:p>
    <w:p w14:paraId="12B3E9CC" w14:textId="77777777" w:rsidR="00C24BAC" w:rsidRDefault="00C24BAC" w:rsidP="007A2CF0">
      <w:pPr>
        <w:jc w:val="both"/>
        <w:rPr>
          <w:rFonts w:ascii="Arial" w:hAnsi="Arial" w:cs="Arial"/>
          <w:b/>
        </w:rPr>
      </w:pPr>
    </w:p>
    <w:p w14:paraId="1B1CE019" w14:textId="77777777" w:rsidR="00C24BAC" w:rsidRDefault="00C24BAC" w:rsidP="007A2CF0">
      <w:pPr>
        <w:jc w:val="both"/>
        <w:rPr>
          <w:rFonts w:ascii="Arial" w:hAnsi="Arial" w:cs="Arial"/>
        </w:rPr>
      </w:pPr>
      <w:r>
        <w:rPr>
          <w:rFonts w:ascii="Arial" w:hAnsi="Arial" w:cs="Arial"/>
        </w:rPr>
        <w:t>The table below shows how the Trust is performing against a selection of the national operational performance indicators and the national averages.  In many cases the Trust is performing better tha</w:t>
      </w:r>
      <w:r w:rsidR="00C57113">
        <w:rPr>
          <w:rFonts w:ascii="Arial" w:hAnsi="Arial" w:cs="Arial"/>
        </w:rPr>
        <w:t>n the national average with MIU</w:t>
      </w:r>
      <w:r>
        <w:rPr>
          <w:rFonts w:ascii="Arial" w:hAnsi="Arial" w:cs="Arial"/>
        </w:rPr>
        <w:t xml:space="preserve">s and IAPT in particular </w:t>
      </w:r>
      <w:r w:rsidR="00391668">
        <w:rPr>
          <w:rFonts w:ascii="Arial" w:hAnsi="Arial" w:cs="Arial"/>
        </w:rPr>
        <w:t>standing out.  Out of Area Placements (OAPs) continue to be a major issue for the Trust and is due to a lack of community alternatives.</w:t>
      </w:r>
    </w:p>
    <w:p w14:paraId="3DCDE045" w14:textId="77777777" w:rsidR="00693F68" w:rsidRDefault="00693F68" w:rsidP="007A2CF0">
      <w:pPr>
        <w:jc w:val="both"/>
        <w:rPr>
          <w:rFonts w:ascii="Arial" w:hAnsi="Arial" w:cs="Arial"/>
        </w:rPr>
      </w:pPr>
    </w:p>
    <w:p w14:paraId="1E2191F5" w14:textId="77777777" w:rsidR="00693F68" w:rsidRDefault="00693F68" w:rsidP="00693F68">
      <w:pPr>
        <w:ind w:left="-709"/>
        <w:jc w:val="both"/>
        <w:rPr>
          <w:rFonts w:ascii="Arial" w:hAnsi="Arial" w:cs="Arial"/>
        </w:rPr>
      </w:pPr>
      <w:r w:rsidRPr="00693F68">
        <w:rPr>
          <w:noProof/>
          <w:lang w:val="en-GB" w:eastAsia="en-GB"/>
        </w:rPr>
        <w:drawing>
          <wp:inline distT="0" distB="0" distL="0" distR="0" wp14:anchorId="29937A30" wp14:editId="19C33E8F">
            <wp:extent cx="6403370" cy="3876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16361" cy="3884540"/>
                    </a:xfrm>
                    <a:prstGeom prst="rect">
                      <a:avLst/>
                    </a:prstGeom>
                    <a:noFill/>
                    <a:ln>
                      <a:noFill/>
                    </a:ln>
                  </pic:spPr>
                </pic:pic>
              </a:graphicData>
            </a:graphic>
          </wp:inline>
        </w:drawing>
      </w:r>
    </w:p>
    <w:p w14:paraId="08E92425" w14:textId="77777777" w:rsidR="00693F68" w:rsidRPr="00C24BAC" w:rsidRDefault="00693F68" w:rsidP="007A2CF0">
      <w:pPr>
        <w:jc w:val="both"/>
        <w:rPr>
          <w:rFonts w:ascii="Arial" w:hAnsi="Arial" w:cs="Arial"/>
        </w:rPr>
      </w:pPr>
    </w:p>
    <w:p w14:paraId="731C657F" w14:textId="77777777" w:rsidR="00EF4243" w:rsidRDefault="00EF4243" w:rsidP="00C57113">
      <w:pPr>
        <w:ind w:left="-993" w:firstLine="993"/>
        <w:jc w:val="both"/>
        <w:rPr>
          <w:rFonts w:ascii="Arial" w:hAnsi="Arial" w:cs="Arial"/>
          <w:b/>
        </w:rPr>
      </w:pPr>
      <w:r>
        <w:rPr>
          <w:rFonts w:ascii="Arial" w:hAnsi="Arial" w:cs="Arial"/>
          <w:b/>
        </w:rPr>
        <w:t>Local</w:t>
      </w:r>
      <w:r w:rsidRPr="0037138A">
        <w:rPr>
          <w:rFonts w:ascii="Arial" w:hAnsi="Arial" w:cs="Arial"/>
          <w:b/>
        </w:rPr>
        <w:t xml:space="preserve"> Position:</w:t>
      </w:r>
      <w:r>
        <w:rPr>
          <w:rFonts w:ascii="Arial" w:hAnsi="Arial" w:cs="Arial"/>
          <w:b/>
        </w:rPr>
        <w:t xml:space="preserve"> </w:t>
      </w:r>
    </w:p>
    <w:p w14:paraId="236EB2F9" w14:textId="77777777" w:rsidR="00C57113" w:rsidRDefault="00C57113" w:rsidP="00C57113">
      <w:pPr>
        <w:ind w:left="-993" w:firstLine="993"/>
        <w:jc w:val="both"/>
        <w:rPr>
          <w:rFonts w:ascii="Arial" w:hAnsi="Arial" w:cs="Arial"/>
          <w:b/>
        </w:rPr>
      </w:pPr>
    </w:p>
    <w:p w14:paraId="68D4BB6B" w14:textId="77777777" w:rsidR="00C57113" w:rsidRDefault="00C57113" w:rsidP="00C57113">
      <w:pPr>
        <w:ind w:left="-993" w:firstLine="993"/>
        <w:jc w:val="both"/>
        <w:rPr>
          <w:rFonts w:ascii="Arial" w:hAnsi="Arial" w:cs="Arial"/>
          <w:b/>
        </w:rPr>
      </w:pPr>
      <w:r>
        <w:rPr>
          <w:rFonts w:ascii="Arial" w:hAnsi="Arial" w:cs="Arial"/>
          <w:b/>
        </w:rPr>
        <w:t>Patient Access and Patient Flow</w:t>
      </w:r>
    </w:p>
    <w:p w14:paraId="4426E438" w14:textId="77777777" w:rsidR="00EF4243" w:rsidRDefault="00EF4243" w:rsidP="00C83803">
      <w:pPr>
        <w:ind w:left="-993"/>
        <w:jc w:val="both"/>
        <w:rPr>
          <w:rFonts w:ascii="Arial" w:hAnsi="Arial" w:cs="Arial"/>
          <w:b/>
        </w:rPr>
      </w:pPr>
    </w:p>
    <w:p w14:paraId="230E04D9" w14:textId="77777777" w:rsidR="00C57113" w:rsidRDefault="00C57113" w:rsidP="00C57113">
      <w:pPr>
        <w:jc w:val="both"/>
        <w:rPr>
          <w:rFonts w:ascii="Arial" w:hAnsi="Arial" w:cs="Arial"/>
        </w:rPr>
      </w:pPr>
      <w:r w:rsidRPr="008C780D">
        <w:rPr>
          <w:rFonts w:ascii="Arial" w:hAnsi="Arial" w:cs="Arial"/>
        </w:rPr>
        <w:t xml:space="preserve">The table </w:t>
      </w:r>
      <w:r>
        <w:rPr>
          <w:rFonts w:ascii="Arial" w:hAnsi="Arial" w:cs="Arial"/>
        </w:rPr>
        <w:t xml:space="preserve">overleaf </w:t>
      </w:r>
      <w:r w:rsidRPr="008C780D">
        <w:rPr>
          <w:rFonts w:ascii="Arial" w:hAnsi="Arial" w:cs="Arial"/>
        </w:rPr>
        <w:t xml:space="preserve">shows </w:t>
      </w:r>
      <w:r>
        <w:rPr>
          <w:rFonts w:ascii="Arial" w:hAnsi="Arial" w:cs="Arial"/>
        </w:rPr>
        <w:t>performance in relation to the Trust’s core mental health community services concerning demand, patient access and patient flow.  Key headlines;</w:t>
      </w:r>
    </w:p>
    <w:p w14:paraId="6BDCBDC4" w14:textId="77777777" w:rsidR="00C57113" w:rsidRDefault="00C57113" w:rsidP="00C57113">
      <w:pPr>
        <w:jc w:val="both"/>
        <w:rPr>
          <w:rFonts w:ascii="Arial" w:hAnsi="Arial" w:cs="Arial"/>
        </w:rPr>
      </w:pPr>
    </w:p>
    <w:p w14:paraId="0E68E63E" w14:textId="77777777" w:rsidR="00C57113" w:rsidRPr="008C780D" w:rsidRDefault="00C57113" w:rsidP="00C57113">
      <w:pPr>
        <w:pStyle w:val="ListParagraph"/>
        <w:numPr>
          <w:ilvl w:val="0"/>
          <w:numId w:val="23"/>
        </w:numPr>
        <w:ind w:left="426"/>
        <w:jc w:val="both"/>
        <w:rPr>
          <w:rFonts w:ascii="Arial" w:hAnsi="Arial" w:cs="Arial"/>
          <w:b/>
        </w:rPr>
      </w:pPr>
      <w:r w:rsidRPr="008C780D">
        <w:rPr>
          <w:rFonts w:ascii="Arial" w:hAnsi="Arial" w:cs="Arial"/>
          <w:b/>
        </w:rPr>
        <w:t>Demand</w:t>
      </w:r>
    </w:p>
    <w:p w14:paraId="69558A80" w14:textId="77777777" w:rsidR="00C57113" w:rsidRDefault="00C57113" w:rsidP="00C57113">
      <w:pPr>
        <w:pStyle w:val="ListParagraph"/>
        <w:ind w:left="426"/>
        <w:jc w:val="both"/>
        <w:rPr>
          <w:rFonts w:ascii="Arial" w:hAnsi="Arial" w:cs="Arial"/>
        </w:rPr>
      </w:pPr>
      <w:r>
        <w:rPr>
          <w:rFonts w:ascii="Arial" w:hAnsi="Arial" w:cs="Arial"/>
        </w:rPr>
        <w:t xml:space="preserve">The number of </w:t>
      </w:r>
      <w:r w:rsidRPr="008C780D">
        <w:rPr>
          <w:rFonts w:ascii="Arial" w:hAnsi="Arial" w:cs="Arial"/>
          <w:b/>
        </w:rPr>
        <w:t>Adult Mental Health</w:t>
      </w:r>
      <w:r>
        <w:rPr>
          <w:rFonts w:ascii="Arial" w:hAnsi="Arial" w:cs="Arial"/>
        </w:rPr>
        <w:t xml:space="preserve"> referrals received in </w:t>
      </w:r>
      <w:r w:rsidRPr="00C57113">
        <w:rPr>
          <w:rFonts w:ascii="Arial" w:hAnsi="Arial" w:cs="Arial"/>
          <w:b/>
        </w:rPr>
        <w:t>Oxfordshire</w:t>
      </w:r>
      <w:r>
        <w:rPr>
          <w:rFonts w:ascii="Arial" w:hAnsi="Arial" w:cs="Arial"/>
        </w:rPr>
        <w:t xml:space="preserve"> is significantly higher than Buckinghamshire (24% YTD), despite comparable population sizes </w:t>
      </w:r>
    </w:p>
    <w:p w14:paraId="11AF3043" w14:textId="77777777" w:rsidR="00C57113" w:rsidRDefault="00C57113" w:rsidP="00C57113">
      <w:pPr>
        <w:pStyle w:val="ListParagraph"/>
        <w:ind w:left="426"/>
        <w:jc w:val="both"/>
        <w:rPr>
          <w:rFonts w:ascii="Arial" w:hAnsi="Arial" w:cs="Arial"/>
        </w:rPr>
      </w:pPr>
    </w:p>
    <w:p w14:paraId="08DB3310" w14:textId="77777777" w:rsidR="00C57113" w:rsidRDefault="00C57113" w:rsidP="00C57113">
      <w:pPr>
        <w:pStyle w:val="ListParagraph"/>
        <w:ind w:left="426"/>
        <w:jc w:val="both"/>
        <w:rPr>
          <w:rFonts w:ascii="Arial" w:hAnsi="Arial" w:cs="Arial"/>
        </w:rPr>
      </w:pPr>
      <w:r>
        <w:rPr>
          <w:rFonts w:ascii="Arial" w:hAnsi="Arial" w:cs="Arial"/>
        </w:rPr>
        <w:t xml:space="preserve">The number of referrals received by the </w:t>
      </w:r>
      <w:r w:rsidRPr="009227B8">
        <w:rPr>
          <w:rFonts w:ascii="Arial" w:hAnsi="Arial" w:cs="Arial"/>
          <w:b/>
        </w:rPr>
        <w:t>Oxfordshire CAMH service</w:t>
      </w:r>
      <w:r>
        <w:rPr>
          <w:rFonts w:ascii="Arial" w:hAnsi="Arial" w:cs="Arial"/>
        </w:rPr>
        <w:t xml:space="preserve"> continues on an upwards trend with referrals having increased significantly since the start of the year.  This is having a direct impact on patient access to the service and increasing waits.</w:t>
      </w:r>
    </w:p>
    <w:p w14:paraId="5C42B38B" w14:textId="77777777" w:rsidR="00C57113" w:rsidRDefault="00C57113" w:rsidP="00C57113">
      <w:pPr>
        <w:pStyle w:val="ListParagraph"/>
        <w:ind w:left="426"/>
        <w:jc w:val="both"/>
        <w:rPr>
          <w:rFonts w:ascii="Arial" w:hAnsi="Arial" w:cs="Arial"/>
        </w:rPr>
      </w:pPr>
    </w:p>
    <w:p w14:paraId="05EEC752" w14:textId="77777777" w:rsidR="00C57113" w:rsidRPr="009227B8" w:rsidRDefault="00C57113" w:rsidP="00C57113">
      <w:pPr>
        <w:pStyle w:val="ListParagraph"/>
        <w:numPr>
          <w:ilvl w:val="0"/>
          <w:numId w:val="23"/>
        </w:numPr>
        <w:ind w:left="426"/>
        <w:jc w:val="both"/>
        <w:rPr>
          <w:rFonts w:ascii="Arial" w:hAnsi="Arial" w:cs="Arial"/>
          <w:b/>
        </w:rPr>
      </w:pPr>
      <w:r w:rsidRPr="009227B8">
        <w:rPr>
          <w:rFonts w:ascii="Arial" w:hAnsi="Arial" w:cs="Arial"/>
          <w:b/>
        </w:rPr>
        <w:t>Access/Waits</w:t>
      </w:r>
    </w:p>
    <w:p w14:paraId="346156E0" w14:textId="77777777" w:rsidR="00C57113" w:rsidRDefault="00C57113" w:rsidP="00C57113">
      <w:pPr>
        <w:pStyle w:val="ListParagraph"/>
        <w:ind w:left="426"/>
        <w:jc w:val="both"/>
        <w:rPr>
          <w:rFonts w:ascii="Arial" w:hAnsi="Arial" w:cs="Arial"/>
        </w:rPr>
      </w:pPr>
      <w:r>
        <w:rPr>
          <w:rFonts w:ascii="Arial" w:hAnsi="Arial" w:cs="Arial"/>
        </w:rPr>
        <w:t xml:space="preserve">Access to the Oxfordshire CAMHS service is challenging, with patients waiting in excess of the targeted 12 weeks for routine referrals.  This is a direct result of the increase in demand on the service.  Emergency and urgent referrals are being </w:t>
      </w:r>
      <w:proofErr w:type="spellStart"/>
      <w:r>
        <w:rPr>
          <w:rFonts w:ascii="Arial" w:hAnsi="Arial" w:cs="Arial"/>
        </w:rPr>
        <w:t>prioritised</w:t>
      </w:r>
      <w:proofErr w:type="spellEnd"/>
      <w:r>
        <w:rPr>
          <w:rFonts w:ascii="Arial" w:hAnsi="Arial" w:cs="Arial"/>
        </w:rPr>
        <w:t xml:space="preserve"> within available resources and performance is good.</w:t>
      </w:r>
    </w:p>
    <w:p w14:paraId="154EB129" w14:textId="77777777" w:rsidR="00C57113" w:rsidRDefault="00C57113" w:rsidP="00C57113">
      <w:pPr>
        <w:pStyle w:val="ListParagraph"/>
        <w:ind w:left="426"/>
        <w:jc w:val="both"/>
        <w:rPr>
          <w:rFonts w:ascii="Arial" w:hAnsi="Arial" w:cs="Arial"/>
        </w:rPr>
      </w:pPr>
    </w:p>
    <w:p w14:paraId="06EF26F3" w14:textId="77777777" w:rsidR="00C57113" w:rsidRDefault="00C57113" w:rsidP="00C57113">
      <w:pPr>
        <w:pStyle w:val="ListParagraph"/>
        <w:ind w:left="426"/>
        <w:jc w:val="both"/>
        <w:rPr>
          <w:rFonts w:ascii="Arial" w:hAnsi="Arial" w:cs="Arial"/>
        </w:rPr>
      </w:pPr>
    </w:p>
    <w:p w14:paraId="1FB5DC78" w14:textId="77777777" w:rsidR="00C57113" w:rsidRDefault="00C57113" w:rsidP="00C57113">
      <w:pPr>
        <w:pStyle w:val="ListParagraph"/>
        <w:numPr>
          <w:ilvl w:val="0"/>
          <w:numId w:val="23"/>
        </w:numPr>
        <w:ind w:left="426"/>
        <w:jc w:val="both"/>
        <w:rPr>
          <w:rFonts w:ascii="Arial" w:hAnsi="Arial" w:cs="Arial"/>
          <w:b/>
        </w:rPr>
      </w:pPr>
      <w:r w:rsidRPr="009227B8">
        <w:rPr>
          <w:rFonts w:ascii="Arial" w:hAnsi="Arial" w:cs="Arial"/>
          <w:b/>
        </w:rPr>
        <w:t>Delayed Transfers of Care</w:t>
      </w:r>
      <w:r>
        <w:rPr>
          <w:rFonts w:ascii="Arial" w:hAnsi="Arial" w:cs="Arial"/>
          <w:b/>
        </w:rPr>
        <w:t xml:space="preserve"> (DTOC)</w:t>
      </w:r>
    </w:p>
    <w:p w14:paraId="1ED7B72C" w14:textId="77777777" w:rsidR="00C57113" w:rsidRDefault="00C57113" w:rsidP="00C57113">
      <w:pPr>
        <w:pStyle w:val="ListParagraph"/>
        <w:ind w:left="426"/>
        <w:jc w:val="both"/>
        <w:rPr>
          <w:rFonts w:ascii="Arial" w:hAnsi="Arial" w:cs="Arial"/>
        </w:rPr>
      </w:pPr>
      <w:r w:rsidRPr="009227B8">
        <w:rPr>
          <w:rFonts w:ascii="Arial" w:hAnsi="Arial" w:cs="Arial"/>
        </w:rPr>
        <w:t xml:space="preserve">A significant number of bed days have been lost this year </w:t>
      </w:r>
      <w:r>
        <w:rPr>
          <w:rFonts w:ascii="Arial" w:hAnsi="Arial" w:cs="Arial"/>
        </w:rPr>
        <w:t xml:space="preserve">to date due </w:t>
      </w:r>
      <w:r w:rsidRPr="009227B8">
        <w:rPr>
          <w:rFonts w:ascii="Arial" w:hAnsi="Arial" w:cs="Arial"/>
        </w:rPr>
        <w:t>to DTOC</w:t>
      </w:r>
      <w:r>
        <w:rPr>
          <w:rFonts w:ascii="Arial" w:hAnsi="Arial" w:cs="Arial"/>
        </w:rPr>
        <w:t xml:space="preserve">; 1,819 days in mental health and 11,169 days in community.  This equates to 6.6 beds in mental health and 41 beds in community.  This data will be </w:t>
      </w:r>
      <w:proofErr w:type="spellStart"/>
      <w:r>
        <w:rPr>
          <w:rFonts w:ascii="Arial" w:hAnsi="Arial" w:cs="Arial"/>
        </w:rPr>
        <w:t>contextualised</w:t>
      </w:r>
      <w:proofErr w:type="spellEnd"/>
      <w:r>
        <w:rPr>
          <w:rFonts w:ascii="Arial" w:hAnsi="Arial" w:cs="Arial"/>
        </w:rPr>
        <w:t xml:space="preserve"> going forward; represented as a % of bed days lost.</w:t>
      </w:r>
    </w:p>
    <w:p w14:paraId="549AC2B6" w14:textId="77777777" w:rsidR="00C57113" w:rsidRDefault="00C57113" w:rsidP="00C83803">
      <w:pPr>
        <w:ind w:left="-993"/>
        <w:jc w:val="both"/>
        <w:rPr>
          <w:rFonts w:ascii="Arial" w:hAnsi="Arial" w:cs="Arial"/>
          <w:b/>
        </w:rPr>
      </w:pPr>
    </w:p>
    <w:p w14:paraId="502CB501" w14:textId="77777777" w:rsidR="00C57113" w:rsidRDefault="00693F68" w:rsidP="00C83803">
      <w:pPr>
        <w:ind w:left="-993"/>
        <w:jc w:val="both"/>
        <w:rPr>
          <w:rFonts w:ascii="Arial" w:hAnsi="Arial" w:cs="Arial"/>
          <w:b/>
        </w:rPr>
      </w:pPr>
      <w:r w:rsidRPr="00693F68">
        <w:rPr>
          <w:noProof/>
          <w:lang w:val="en-GB" w:eastAsia="en-GB"/>
        </w:rPr>
        <w:lastRenderedPageBreak/>
        <w:drawing>
          <wp:inline distT="0" distB="0" distL="0" distR="0" wp14:anchorId="7243B37C" wp14:editId="2A499D73">
            <wp:extent cx="6626412" cy="457200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33534" cy="4576914"/>
                    </a:xfrm>
                    <a:prstGeom prst="rect">
                      <a:avLst/>
                    </a:prstGeom>
                    <a:noFill/>
                    <a:ln>
                      <a:noFill/>
                    </a:ln>
                  </pic:spPr>
                </pic:pic>
              </a:graphicData>
            </a:graphic>
          </wp:inline>
        </w:drawing>
      </w:r>
    </w:p>
    <w:p w14:paraId="5E28CEFD" w14:textId="77777777" w:rsidR="008C780D" w:rsidRDefault="008C780D" w:rsidP="007A2CF0">
      <w:pPr>
        <w:jc w:val="both"/>
        <w:rPr>
          <w:rFonts w:ascii="Arial" w:hAnsi="Arial" w:cs="Arial"/>
        </w:rPr>
      </w:pPr>
    </w:p>
    <w:p w14:paraId="5E99A1C4" w14:textId="77777777" w:rsidR="00C57113" w:rsidRDefault="00C57113" w:rsidP="009227B8">
      <w:pPr>
        <w:pStyle w:val="ListParagraph"/>
        <w:ind w:left="426"/>
        <w:jc w:val="both"/>
        <w:rPr>
          <w:rFonts w:ascii="Arial" w:hAnsi="Arial" w:cs="Arial"/>
        </w:rPr>
      </w:pPr>
    </w:p>
    <w:p w14:paraId="46DFBE95" w14:textId="77777777" w:rsidR="0001134C" w:rsidRPr="00F8330B" w:rsidRDefault="0001134C" w:rsidP="001E3511">
      <w:pPr>
        <w:rPr>
          <w:rFonts w:ascii="Arial" w:hAnsi="Arial" w:cs="Arial"/>
          <w:b/>
        </w:rPr>
      </w:pPr>
      <w:r w:rsidRPr="00F8330B">
        <w:rPr>
          <w:rFonts w:ascii="Arial" w:hAnsi="Arial" w:cs="Arial"/>
          <w:b/>
        </w:rPr>
        <w:t>S75 Agreements with Oxfordshire County Council and Buckinghamshire County Councils</w:t>
      </w:r>
    </w:p>
    <w:p w14:paraId="109F46EE" w14:textId="77777777" w:rsidR="0001134C" w:rsidRPr="00F8330B" w:rsidRDefault="0001134C" w:rsidP="001E3511">
      <w:pPr>
        <w:rPr>
          <w:rFonts w:ascii="Arial" w:hAnsi="Arial" w:cs="Arial"/>
          <w:b/>
        </w:rPr>
      </w:pPr>
    </w:p>
    <w:p w14:paraId="4970C20C" w14:textId="77777777" w:rsidR="0001134C" w:rsidRDefault="00841EB0" w:rsidP="001E3511">
      <w:pPr>
        <w:rPr>
          <w:rFonts w:ascii="Arial" w:hAnsi="Arial" w:cs="Arial"/>
        </w:rPr>
      </w:pPr>
      <w:r>
        <w:rPr>
          <w:rFonts w:ascii="Arial" w:hAnsi="Arial" w:cs="Arial"/>
        </w:rPr>
        <w:t xml:space="preserve">The Trust achieved </w:t>
      </w:r>
      <w:r w:rsidR="00722108">
        <w:rPr>
          <w:rFonts w:ascii="Arial" w:hAnsi="Arial" w:cs="Arial"/>
          <w:b/>
        </w:rPr>
        <w:t>100</w:t>
      </w:r>
      <w:r w:rsidR="00146C68" w:rsidRPr="006F5021">
        <w:rPr>
          <w:rFonts w:ascii="Arial" w:hAnsi="Arial" w:cs="Arial"/>
          <w:b/>
        </w:rPr>
        <w:t xml:space="preserve">% </w:t>
      </w:r>
      <w:r w:rsidR="00146C68" w:rsidRPr="00F8330B">
        <w:rPr>
          <w:rFonts w:ascii="Arial" w:hAnsi="Arial" w:cs="Arial"/>
        </w:rPr>
        <w:t xml:space="preserve">compliance against the indicators </w:t>
      </w:r>
      <w:r>
        <w:rPr>
          <w:rFonts w:ascii="Arial" w:hAnsi="Arial" w:cs="Arial"/>
        </w:rPr>
        <w:t>for the Oxfordshire S75 agreement</w:t>
      </w:r>
      <w:r w:rsidR="001F2541">
        <w:rPr>
          <w:rFonts w:ascii="Arial" w:hAnsi="Arial" w:cs="Arial"/>
        </w:rPr>
        <w:t xml:space="preserve"> in </w:t>
      </w:r>
      <w:r w:rsidR="00722108">
        <w:rPr>
          <w:rFonts w:ascii="Arial" w:hAnsi="Arial" w:cs="Arial"/>
        </w:rPr>
        <w:t>December</w:t>
      </w:r>
      <w:r w:rsidR="001F2541">
        <w:rPr>
          <w:rFonts w:ascii="Arial" w:hAnsi="Arial" w:cs="Arial"/>
        </w:rPr>
        <w:t xml:space="preserve"> 2018</w:t>
      </w:r>
      <w:r w:rsidR="00146C68" w:rsidRPr="00F8330B">
        <w:rPr>
          <w:rFonts w:ascii="Arial" w:hAnsi="Arial" w:cs="Arial"/>
        </w:rPr>
        <w:t xml:space="preserve">.  </w:t>
      </w:r>
      <w:r w:rsidR="006F5021">
        <w:rPr>
          <w:rFonts w:ascii="Arial" w:hAnsi="Arial" w:cs="Arial"/>
        </w:rPr>
        <w:t>Reports are one month in arrears.</w:t>
      </w:r>
    </w:p>
    <w:p w14:paraId="05D118EF" w14:textId="77777777" w:rsidR="00110E24" w:rsidRDefault="00110E24" w:rsidP="001E3511">
      <w:pPr>
        <w:rPr>
          <w:rFonts w:ascii="Arial" w:hAnsi="Arial" w:cs="Arial"/>
        </w:rPr>
      </w:pPr>
    </w:p>
    <w:p w14:paraId="41B642BE" w14:textId="77777777" w:rsidR="00110E24" w:rsidRDefault="00110E24" w:rsidP="001E3511">
      <w:pPr>
        <w:rPr>
          <w:rFonts w:ascii="Arial" w:hAnsi="Arial" w:cs="Arial"/>
        </w:rPr>
      </w:pPr>
      <w:r>
        <w:rPr>
          <w:rFonts w:ascii="Arial" w:hAnsi="Arial" w:cs="Arial"/>
        </w:rPr>
        <w:t>The Trust was not required to report performance for Buckinghamshire County Council in M</w:t>
      </w:r>
      <w:r w:rsidR="00722108">
        <w:rPr>
          <w:rFonts w:ascii="Arial" w:hAnsi="Arial" w:cs="Arial"/>
        </w:rPr>
        <w:t>9</w:t>
      </w:r>
      <w:r>
        <w:rPr>
          <w:rFonts w:ascii="Arial" w:hAnsi="Arial" w:cs="Arial"/>
        </w:rPr>
        <w:t xml:space="preserve"> as they are bi-monthly reports.</w:t>
      </w:r>
    </w:p>
    <w:p w14:paraId="082B5C87" w14:textId="77777777" w:rsidR="00841EB0" w:rsidRDefault="00841EB0" w:rsidP="001E3511">
      <w:pPr>
        <w:rPr>
          <w:rFonts w:ascii="Arial" w:hAnsi="Arial" w:cs="Arial"/>
        </w:rPr>
      </w:pPr>
    </w:p>
    <w:p w14:paraId="028950EF" w14:textId="77777777" w:rsidR="00EA34EB" w:rsidRDefault="00EA34EB" w:rsidP="001E3511">
      <w:pPr>
        <w:rPr>
          <w:rFonts w:ascii="Arial" w:hAnsi="Arial" w:cs="Arial"/>
          <w:b/>
        </w:rPr>
      </w:pPr>
      <w:r>
        <w:rPr>
          <w:rFonts w:ascii="Arial" w:hAnsi="Arial" w:cs="Arial"/>
          <w:b/>
        </w:rPr>
        <w:t>Performance by Directorate in December:</w:t>
      </w:r>
    </w:p>
    <w:p w14:paraId="68F2828A" w14:textId="77777777" w:rsidR="00EA34EB" w:rsidRDefault="00EA34EB" w:rsidP="001E3511">
      <w:pPr>
        <w:rPr>
          <w:rFonts w:ascii="Arial" w:hAnsi="Arial" w:cs="Arial"/>
          <w:b/>
        </w:rPr>
      </w:pPr>
    </w:p>
    <w:p w14:paraId="3A86DE4C" w14:textId="77777777" w:rsidR="00302535" w:rsidRDefault="000161D5" w:rsidP="001E3511">
      <w:pPr>
        <w:rPr>
          <w:rFonts w:ascii="Arial" w:hAnsi="Arial" w:cs="Arial"/>
        </w:rPr>
      </w:pPr>
      <w:r>
        <w:rPr>
          <w:rFonts w:ascii="Arial" w:hAnsi="Arial" w:cs="Arial"/>
          <w:b/>
        </w:rPr>
        <w:t xml:space="preserve">Oxfordshire, </w:t>
      </w:r>
      <w:proofErr w:type="spellStart"/>
      <w:r>
        <w:rPr>
          <w:rFonts w:ascii="Arial" w:hAnsi="Arial" w:cs="Arial"/>
          <w:b/>
        </w:rPr>
        <w:t>Sw</w:t>
      </w:r>
      <w:r w:rsidR="00302535">
        <w:rPr>
          <w:rFonts w:ascii="Arial" w:hAnsi="Arial" w:cs="Arial"/>
          <w:b/>
        </w:rPr>
        <w:t>indon</w:t>
      </w:r>
      <w:proofErr w:type="spellEnd"/>
      <w:r w:rsidR="00302535">
        <w:rPr>
          <w:rFonts w:ascii="Arial" w:hAnsi="Arial" w:cs="Arial"/>
          <w:b/>
        </w:rPr>
        <w:t xml:space="preserve">, Wiltshire &amp; </w:t>
      </w:r>
      <w:proofErr w:type="spellStart"/>
      <w:r w:rsidR="00302535">
        <w:rPr>
          <w:rFonts w:ascii="Arial" w:hAnsi="Arial" w:cs="Arial"/>
          <w:b/>
        </w:rPr>
        <w:t>Ba</w:t>
      </w:r>
      <w:r>
        <w:rPr>
          <w:rFonts w:ascii="Arial" w:hAnsi="Arial" w:cs="Arial"/>
          <w:b/>
        </w:rPr>
        <w:t>NES</w:t>
      </w:r>
      <w:proofErr w:type="spellEnd"/>
      <w:r>
        <w:rPr>
          <w:rFonts w:ascii="Arial" w:hAnsi="Arial" w:cs="Arial"/>
          <w:b/>
        </w:rPr>
        <w:t xml:space="preserve"> – All Ages Mental Health</w:t>
      </w:r>
      <w:r w:rsidR="00EA34EB">
        <w:rPr>
          <w:rFonts w:ascii="Arial" w:hAnsi="Arial" w:cs="Arial"/>
          <w:b/>
        </w:rPr>
        <w:t xml:space="preserve"> </w:t>
      </w:r>
      <w:r w:rsidR="00EA34EB">
        <w:rPr>
          <w:rFonts w:ascii="Arial" w:hAnsi="Arial" w:cs="Arial"/>
        </w:rPr>
        <w:t xml:space="preserve">achieved </w:t>
      </w:r>
      <w:r w:rsidR="00DB3604">
        <w:rPr>
          <w:rFonts w:ascii="Arial" w:hAnsi="Arial" w:cs="Arial"/>
        </w:rPr>
        <w:t>82</w:t>
      </w:r>
      <w:r w:rsidR="00EA34EB">
        <w:rPr>
          <w:rFonts w:ascii="Arial" w:hAnsi="Arial" w:cs="Arial"/>
        </w:rPr>
        <w:t xml:space="preserve"> of the</w:t>
      </w:r>
      <w:r w:rsidR="00DB3604">
        <w:rPr>
          <w:rFonts w:ascii="Arial" w:hAnsi="Arial" w:cs="Arial"/>
        </w:rPr>
        <w:t xml:space="preserve"> 114</w:t>
      </w:r>
      <w:r w:rsidR="00EA34EB">
        <w:rPr>
          <w:rFonts w:ascii="Arial" w:hAnsi="Arial" w:cs="Arial"/>
        </w:rPr>
        <w:t xml:space="preserve"> targeted indicators</w:t>
      </w:r>
      <w:r w:rsidR="00DB3604">
        <w:rPr>
          <w:rFonts w:ascii="Arial" w:hAnsi="Arial" w:cs="Arial"/>
        </w:rPr>
        <w:t xml:space="preserve"> (72%)</w:t>
      </w:r>
      <w:r w:rsidR="00EA34EB">
        <w:rPr>
          <w:rFonts w:ascii="Arial" w:hAnsi="Arial" w:cs="Arial"/>
        </w:rPr>
        <w:t>.</w:t>
      </w:r>
    </w:p>
    <w:p w14:paraId="630AE53F" w14:textId="77777777" w:rsidR="00302535" w:rsidRDefault="00302535" w:rsidP="001E3511">
      <w:pPr>
        <w:rPr>
          <w:rFonts w:ascii="Arial" w:hAnsi="Arial" w:cs="Arial"/>
        </w:rPr>
      </w:pPr>
    </w:p>
    <w:p w14:paraId="34098159" w14:textId="77777777" w:rsidR="00302535" w:rsidRPr="00132863" w:rsidRDefault="00302535" w:rsidP="001E3511">
      <w:pPr>
        <w:rPr>
          <w:rFonts w:ascii="Arial" w:hAnsi="Arial" w:cs="Arial"/>
          <w:b/>
        </w:rPr>
      </w:pPr>
      <w:r w:rsidRPr="00132863">
        <w:rPr>
          <w:rFonts w:ascii="Arial" w:hAnsi="Arial" w:cs="Arial"/>
          <w:b/>
        </w:rPr>
        <w:t>Highlights for the Board:</w:t>
      </w:r>
    </w:p>
    <w:p w14:paraId="6BB3F68A" w14:textId="77777777" w:rsidR="00302535" w:rsidRDefault="00302535" w:rsidP="001E3511">
      <w:pPr>
        <w:rPr>
          <w:rFonts w:ascii="Arial" w:hAnsi="Arial" w:cs="Arial"/>
        </w:rPr>
      </w:pPr>
    </w:p>
    <w:p w14:paraId="720609B6" w14:textId="77777777" w:rsidR="005F6A8B" w:rsidRPr="005F6A8B" w:rsidRDefault="005F6A8B" w:rsidP="00302535">
      <w:pPr>
        <w:pStyle w:val="ListParagraph"/>
        <w:numPr>
          <w:ilvl w:val="0"/>
          <w:numId w:val="18"/>
        </w:numPr>
        <w:rPr>
          <w:rFonts w:ascii="Arial" w:hAnsi="Arial" w:cs="Arial"/>
          <w:b/>
        </w:rPr>
      </w:pPr>
      <w:r w:rsidRPr="005F6A8B">
        <w:rPr>
          <w:rFonts w:ascii="Arial" w:hAnsi="Arial" w:cs="Arial"/>
          <w:b/>
        </w:rPr>
        <w:t>Urgent &amp; Emergency Referrals</w:t>
      </w:r>
      <w:r>
        <w:rPr>
          <w:rFonts w:ascii="Arial" w:hAnsi="Arial" w:cs="Arial"/>
          <w:b/>
        </w:rPr>
        <w:t xml:space="preserve"> (All areas &amp; ages)</w:t>
      </w:r>
      <w:r w:rsidRPr="005F6A8B">
        <w:rPr>
          <w:rFonts w:ascii="Arial" w:hAnsi="Arial" w:cs="Arial"/>
          <w:b/>
        </w:rPr>
        <w:t xml:space="preserve"> – Waiting Times</w:t>
      </w:r>
      <w:r>
        <w:rPr>
          <w:rFonts w:ascii="Arial" w:hAnsi="Arial" w:cs="Arial"/>
          <w:b/>
        </w:rPr>
        <w:t xml:space="preserve">.  </w:t>
      </w:r>
      <w:r>
        <w:rPr>
          <w:rFonts w:ascii="Arial" w:hAnsi="Arial" w:cs="Arial"/>
        </w:rPr>
        <w:t xml:space="preserve">The Trust continues to </w:t>
      </w:r>
      <w:proofErr w:type="spellStart"/>
      <w:r>
        <w:rPr>
          <w:rFonts w:ascii="Arial" w:hAnsi="Arial" w:cs="Arial"/>
        </w:rPr>
        <w:t>prioritise</w:t>
      </w:r>
      <w:proofErr w:type="spellEnd"/>
      <w:r>
        <w:rPr>
          <w:rFonts w:ascii="Arial" w:hAnsi="Arial" w:cs="Arial"/>
        </w:rPr>
        <w:t xml:space="preserve"> and achieve the waiting time targets for urgent (7 days) and emergency (4 hour) </w:t>
      </w:r>
      <w:r w:rsidR="00A1521F">
        <w:rPr>
          <w:rFonts w:ascii="Arial" w:hAnsi="Arial" w:cs="Arial"/>
        </w:rPr>
        <w:t xml:space="preserve">mental health </w:t>
      </w:r>
      <w:r>
        <w:rPr>
          <w:rFonts w:ascii="Arial" w:hAnsi="Arial" w:cs="Arial"/>
        </w:rPr>
        <w:t>referrals.</w:t>
      </w:r>
    </w:p>
    <w:p w14:paraId="6CAF7570" w14:textId="77777777" w:rsidR="005F6A8B" w:rsidRPr="005F6A8B" w:rsidRDefault="005F6A8B" w:rsidP="005F6A8B">
      <w:pPr>
        <w:pStyle w:val="ListParagraph"/>
        <w:rPr>
          <w:rFonts w:ascii="Arial" w:hAnsi="Arial" w:cs="Arial"/>
        </w:rPr>
      </w:pPr>
    </w:p>
    <w:p w14:paraId="2239404D" w14:textId="77777777" w:rsidR="009A0683" w:rsidRDefault="00330845" w:rsidP="00302535">
      <w:pPr>
        <w:pStyle w:val="ListParagraph"/>
        <w:numPr>
          <w:ilvl w:val="0"/>
          <w:numId w:val="18"/>
        </w:numPr>
        <w:rPr>
          <w:rFonts w:ascii="Arial" w:hAnsi="Arial" w:cs="Arial"/>
        </w:rPr>
      </w:pPr>
      <w:r w:rsidRPr="00330845">
        <w:rPr>
          <w:rFonts w:ascii="Arial" w:hAnsi="Arial" w:cs="Arial"/>
          <w:b/>
        </w:rPr>
        <w:lastRenderedPageBreak/>
        <w:t>Waiting Times (SWB)</w:t>
      </w:r>
      <w:r>
        <w:rPr>
          <w:rFonts w:ascii="Arial" w:hAnsi="Arial" w:cs="Arial"/>
        </w:rPr>
        <w:t xml:space="preserve"> - </w:t>
      </w:r>
      <w:r w:rsidR="00302535">
        <w:rPr>
          <w:rFonts w:ascii="Arial" w:hAnsi="Arial" w:cs="Arial"/>
        </w:rPr>
        <w:t>There has been an improvement in</w:t>
      </w:r>
      <w:r w:rsidR="009A0683">
        <w:rPr>
          <w:rFonts w:ascii="Arial" w:hAnsi="Arial" w:cs="Arial"/>
        </w:rPr>
        <w:t xml:space="preserve"> 4 week (first appointment) and 8 week (referral to treatment)</w:t>
      </w:r>
      <w:r w:rsidR="00302535">
        <w:rPr>
          <w:rFonts w:ascii="Arial" w:hAnsi="Arial" w:cs="Arial"/>
        </w:rPr>
        <w:t xml:space="preserve"> waiting times in </w:t>
      </w:r>
      <w:proofErr w:type="spellStart"/>
      <w:r w:rsidR="00302535">
        <w:rPr>
          <w:rFonts w:ascii="Arial" w:hAnsi="Arial" w:cs="Arial"/>
        </w:rPr>
        <w:t>Swindon</w:t>
      </w:r>
      <w:proofErr w:type="spellEnd"/>
      <w:r w:rsidR="00302535">
        <w:rPr>
          <w:rFonts w:ascii="Arial" w:hAnsi="Arial" w:cs="Arial"/>
        </w:rPr>
        <w:t xml:space="preserve">, Wiltshire and </w:t>
      </w:r>
      <w:proofErr w:type="spellStart"/>
      <w:r w:rsidR="00302535">
        <w:rPr>
          <w:rFonts w:ascii="Arial" w:hAnsi="Arial" w:cs="Arial"/>
        </w:rPr>
        <w:t>BaNES</w:t>
      </w:r>
      <w:proofErr w:type="spellEnd"/>
      <w:r w:rsidR="00302535">
        <w:rPr>
          <w:rFonts w:ascii="Arial" w:hAnsi="Arial" w:cs="Arial"/>
        </w:rPr>
        <w:t>.</w:t>
      </w:r>
      <w:r w:rsidR="009A0683">
        <w:rPr>
          <w:rFonts w:ascii="Arial" w:hAnsi="Arial" w:cs="Arial"/>
        </w:rPr>
        <w:t xml:space="preserve">  Although not yet at target, good progress has been made following the recruitment of additional workforce.</w:t>
      </w:r>
    </w:p>
    <w:p w14:paraId="09649222" w14:textId="77777777" w:rsidR="00330845" w:rsidRDefault="00330845" w:rsidP="00330845">
      <w:pPr>
        <w:pStyle w:val="ListParagraph"/>
        <w:rPr>
          <w:rFonts w:ascii="Arial" w:hAnsi="Arial" w:cs="Arial"/>
        </w:rPr>
      </w:pPr>
    </w:p>
    <w:p w14:paraId="7246D2C1" w14:textId="77777777" w:rsidR="009E31B0" w:rsidRDefault="00330845" w:rsidP="00302535">
      <w:pPr>
        <w:pStyle w:val="ListParagraph"/>
        <w:numPr>
          <w:ilvl w:val="0"/>
          <w:numId w:val="18"/>
        </w:numPr>
        <w:rPr>
          <w:rFonts w:ascii="Arial" w:hAnsi="Arial" w:cs="Arial"/>
        </w:rPr>
      </w:pPr>
      <w:r w:rsidRPr="00330845">
        <w:rPr>
          <w:rFonts w:ascii="Arial" w:hAnsi="Arial" w:cs="Arial"/>
          <w:b/>
        </w:rPr>
        <w:t>Adult Mental Health (OXON)</w:t>
      </w:r>
      <w:r>
        <w:rPr>
          <w:rFonts w:ascii="Arial" w:hAnsi="Arial" w:cs="Arial"/>
        </w:rPr>
        <w:t xml:space="preserve"> – A significant underfunding of mental health in Oxfordshire has resulted in considerable pressure building up for mental health services.  In </w:t>
      </w:r>
      <w:proofErr w:type="spellStart"/>
      <w:r>
        <w:rPr>
          <w:rFonts w:ascii="Arial" w:hAnsi="Arial" w:cs="Arial"/>
        </w:rPr>
        <w:t>mid 2018</w:t>
      </w:r>
      <w:proofErr w:type="spellEnd"/>
      <w:r>
        <w:rPr>
          <w:rFonts w:ascii="Arial" w:hAnsi="Arial" w:cs="Arial"/>
        </w:rPr>
        <w:t>, commissioners were notified that the routine target would have to change from 4 – 8 weeks due to insufficient resources, however, even achieving 8 weeks is not consistently possible.  The Trust will not be able to achieve the performance targets for routine referrals in Oxfordshire until further funding and workforce is available.</w:t>
      </w:r>
      <w:r w:rsidR="009E31B0">
        <w:rPr>
          <w:rFonts w:ascii="Arial" w:hAnsi="Arial" w:cs="Arial"/>
        </w:rPr>
        <w:t xml:space="preserve">  This position is being discussed as part of the annual contracting process with </w:t>
      </w:r>
      <w:proofErr w:type="spellStart"/>
      <w:r w:rsidR="009E31B0">
        <w:rPr>
          <w:rFonts w:ascii="Arial" w:hAnsi="Arial" w:cs="Arial"/>
        </w:rPr>
        <w:t>Commissoners</w:t>
      </w:r>
      <w:proofErr w:type="spellEnd"/>
      <w:r w:rsidR="009E31B0">
        <w:rPr>
          <w:rFonts w:ascii="Arial" w:hAnsi="Arial" w:cs="Arial"/>
        </w:rPr>
        <w:t>.</w:t>
      </w:r>
    </w:p>
    <w:p w14:paraId="22101CFE" w14:textId="77777777" w:rsidR="009E31B0" w:rsidRPr="009E31B0" w:rsidRDefault="009E31B0" w:rsidP="009E31B0">
      <w:pPr>
        <w:pStyle w:val="ListParagraph"/>
        <w:rPr>
          <w:rFonts w:ascii="Arial" w:hAnsi="Arial" w:cs="Arial"/>
        </w:rPr>
      </w:pPr>
    </w:p>
    <w:p w14:paraId="5F34FEE2" w14:textId="77777777" w:rsidR="001E3511" w:rsidRPr="00302535" w:rsidRDefault="009E31B0" w:rsidP="00302535">
      <w:pPr>
        <w:pStyle w:val="ListParagraph"/>
        <w:numPr>
          <w:ilvl w:val="0"/>
          <w:numId w:val="18"/>
        </w:numPr>
        <w:rPr>
          <w:rFonts w:ascii="Arial" w:hAnsi="Arial" w:cs="Arial"/>
        </w:rPr>
      </w:pPr>
      <w:r w:rsidRPr="009E31B0">
        <w:rPr>
          <w:rFonts w:ascii="Arial" w:hAnsi="Arial" w:cs="Arial"/>
          <w:b/>
        </w:rPr>
        <w:t>Children &amp; Young People Mental Health (OXON)</w:t>
      </w:r>
      <w:r>
        <w:rPr>
          <w:rFonts w:ascii="Arial" w:hAnsi="Arial" w:cs="Arial"/>
        </w:rPr>
        <w:t xml:space="preserve"> – Although Oxfordshire has been awarded additional funding through the national trailblazer scheme, further investment is still required in order to achieve the national access and treatment targets.  As with the position reported for Adults, the Trust will not be able to achieve all of the required targets unless further investment is received.  This position is being discussed as part of the annual contracting process with </w:t>
      </w:r>
      <w:proofErr w:type="spellStart"/>
      <w:r>
        <w:rPr>
          <w:rFonts w:ascii="Arial" w:hAnsi="Arial" w:cs="Arial"/>
        </w:rPr>
        <w:t>Commissoners</w:t>
      </w:r>
      <w:proofErr w:type="spellEnd"/>
      <w:r>
        <w:rPr>
          <w:rFonts w:ascii="Arial" w:hAnsi="Arial" w:cs="Arial"/>
        </w:rPr>
        <w:t>.</w:t>
      </w:r>
      <w:r w:rsidR="00302535">
        <w:rPr>
          <w:rFonts w:ascii="Arial" w:hAnsi="Arial" w:cs="Arial"/>
        </w:rPr>
        <w:t xml:space="preserve">  </w:t>
      </w:r>
      <w:r w:rsidR="00EA34EB" w:rsidRPr="00302535">
        <w:rPr>
          <w:rFonts w:ascii="Arial" w:hAnsi="Arial" w:cs="Arial"/>
        </w:rPr>
        <w:t xml:space="preserve">  </w:t>
      </w:r>
    </w:p>
    <w:p w14:paraId="0F23104D" w14:textId="77777777" w:rsidR="00EA34EB" w:rsidRDefault="00EA34EB" w:rsidP="001E3511">
      <w:pPr>
        <w:rPr>
          <w:rFonts w:ascii="Arial" w:hAnsi="Arial" w:cs="Arial"/>
        </w:rPr>
      </w:pPr>
    </w:p>
    <w:p w14:paraId="4F35188A" w14:textId="77777777" w:rsidR="00EA34EB" w:rsidRDefault="00EA34EB" w:rsidP="001E3511">
      <w:pPr>
        <w:rPr>
          <w:rFonts w:ascii="Arial" w:hAnsi="Arial" w:cs="Arial"/>
        </w:rPr>
      </w:pPr>
      <w:r>
        <w:rPr>
          <w:rFonts w:ascii="Arial" w:hAnsi="Arial" w:cs="Arial"/>
          <w:b/>
        </w:rPr>
        <w:t xml:space="preserve">Buckinghamshire – All Ages Mental Health </w:t>
      </w:r>
      <w:r>
        <w:rPr>
          <w:rFonts w:ascii="Arial" w:hAnsi="Arial" w:cs="Arial"/>
        </w:rPr>
        <w:t xml:space="preserve">achieved </w:t>
      </w:r>
      <w:r w:rsidR="00DB3604">
        <w:rPr>
          <w:rFonts w:ascii="Arial" w:hAnsi="Arial" w:cs="Arial"/>
        </w:rPr>
        <w:t>38 of the 52</w:t>
      </w:r>
      <w:r>
        <w:rPr>
          <w:rFonts w:ascii="Arial" w:hAnsi="Arial" w:cs="Arial"/>
        </w:rPr>
        <w:t xml:space="preserve"> targeted indicators</w:t>
      </w:r>
      <w:r w:rsidR="00DB3604">
        <w:rPr>
          <w:rFonts w:ascii="Arial" w:hAnsi="Arial" w:cs="Arial"/>
        </w:rPr>
        <w:t xml:space="preserve"> (73%)</w:t>
      </w:r>
      <w:r>
        <w:rPr>
          <w:rFonts w:ascii="Arial" w:hAnsi="Arial" w:cs="Arial"/>
        </w:rPr>
        <w:t xml:space="preserve">.  </w:t>
      </w:r>
    </w:p>
    <w:p w14:paraId="42FB334F" w14:textId="77777777" w:rsidR="00132863" w:rsidRDefault="00132863" w:rsidP="001E3511">
      <w:pPr>
        <w:rPr>
          <w:rFonts w:ascii="Arial" w:hAnsi="Arial" w:cs="Arial"/>
          <w:b/>
        </w:rPr>
      </w:pPr>
    </w:p>
    <w:p w14:paraId="39EC3AFC" w14:textId="77777777" w:rsidR="00132863" w:rsidRPr="00132863" w:rsidRDefault="00132863" w:rsidP="00132863">
      <w:pPr>
        <w:rPr>
          <w:rFonts w:ascii="Arial" w:hAnsi="Arial" w:cs="Arial"/>
          <w:b/>
        </w:rPr>
      </w:pPr>
      <w:r w:rsidRPr="00132863">
        <w:rPr>
          <w:rFonts w:ascii="Arial" w:hAnsi="Arial" w:cs="Arial"/>
          <w:b/>
        </w:rPr>
        <w:t>Highlights for the Board:</w:t>
      </w:r>
    </w:p>
    <w:p w14:paraId="369FB4DB" w14:textId="77777777" w:rsidR="00132863" w:rsidRPr="00801A75" w:rsidRDefault="00132863" w:rsidP="001E3511">
      <w:pPr>
        <w:rPr>
          <w:rFonts w:ascii="Arial" w:hAnsi="Arial" w:cs="Arial"/>
          <w:b/>
        </w:rPr>
      </w:pPr>
    </w:p>
    <w:p w14:paraId="27EA1133" w14:textId="77777777" w:rsidR="00BB3BD5" w:rsidRDefault="00BB3BD5" w:rsidP="00BB3BD5">
      <w:pPr>
        <w:pStyle w:val="ListParagraph"/>
        <w:numPr>
          <w:ilvl w:val="0"/>
          <w:numId w:val="19"/>
        </w:numPr>
        <w:jc w:val="both"/>
        <w:rPr>
          <w:rFonts w:ascii="Arial" w:hAnsi="Arial" w:cs="Arial"/>
        </w:rPr>
      </w:pPr>
      <w:r w:rsidRPr="005F270E">
        <w:rPr>
          <w:rFonts w:ascii="Arial" w:hAnsi="Arial" w:cs="Arial"/>
          <w:b/>
        </w:rPr>
        <w:t>Memory Services</w:t>
      </w:r>
      <w:r>
        <w:rPr>
          <w:rFonts w:ascii="Arial" w:hAnsi="Arial" w:cs="Arial"/>
        </w:rPr>
        <w:t xml:space="preserve"> – </w:t>
      </w:r>
      <w:r w:rsidR="001B4B9D">
        <w:rPr>
          <w:rFonts w:ascii="Arial" w:hAnsi="Arial" w:cs="Arial"/>
        </w:rPr>
        <w:t>Performance has improved since the low reported in September 2018 and although not yet at target, progress is being consistently made</w:t>
      </w:r>
      <w:r>
        <w:rPr>
          <w:rFonts w:ascii="Arial" w:hAnsi="Arial" w:cs="Arial"/>
        </w:rPr>
        <w:t>.</w:t>
      </w:r>
      <w:r w:rsidR="001B4B9D">
        <w:rPr>
          <w:rFonts w:ascii="Arial" w:hAnsi="Arial" w:cs="Arial"/>
        </w:rPr>
        <w:t xml:space="preserve">  Further improvements are expected to reported in February 2019.</w:t>
      </w:r>
    </w:p>
    <w:p w14:paraId="59A28A9F" w14:textId="77777777" w:rsidR="00BB3BD5" w:rsidRDefault="00BB3BD5" w:rsidP="00BB3BD5">
      <w:pPr>
        <w:pStyle w:val="ListParagraph"/>
        <w:jc w:val="both"/>
        <w:rPr>
          <w:rFonts w:ascii="Arial" w:hAnsi="Arial" w:cs="Arial"/>
        </w:rPr>
      </w:pPr>
    </w:p>
    <w:p w14:paraId="4BACDF56" w14:textId="77777777" w:rsidR="001E3511" w:rsidRPr="00BB3BD5" w:rsidRDefault="00913610" w:rsidP="00BB3BD5">
      <w:pPr>
        <w:pStyle w:val="ListParagraph"/>
        <w:numPr>
          <w:ilvl w:val="0"/>
          <w:numId w:val="19"/>
        </w:numPr>
        <w:jc w:val="both"/>
        <w:rPr>
          <w:rFonts w:ascii="Arial" w:hAnsi="Arial" w:cs="Arial"/>
        </w:rPr>
      </w:pPr>
      <w:r w:rsidRPr="00913610">
        <w:rPr>
          <w:rFonts w:ascii="Arial" w:hAnsi="Arial" w:cs="Arial"/>
          <w:b/>
        </w:rPr>
        <w:t>4 week waiting times for CAMHS</w:t>
      </w:r>
      <w:r>
        <w:rPr>
          <w:rFonts w:ascii="Arial" w:hAnsi="Arial" w:cs="Arial"/>
          <w:b/>
        </w:rPr>
        <w:t xml:space="preserve"> Getting Help</w:t>
      </w:r>
      <w:r>
        <w:rPr>
          <w:rFonts w:ascii="Arial" w:hAnsi="Arial" w:cs="Arial"/>
        </w:rPr>
        <w:t xml:space="preserve"> – There has been a continual decrease in performance reported since October 2018, however the issue is now believed to be a reporting error following the change in </w:t>
      </w:r>
      <w:proofErr w:type="spellStart"/>
      <w:r>
        <w:rPr>
          <w:rFonts w:ascii="Arial" w:hAnsi="Arial" w:cs="Arial"/>
        </w:rPr>
        <w:t>organisational</w:t>
      </w:r>
      <w:proofErr w:type="spellEnd"/>
      <w:r>
        <w:rPr>
          <w:rFonts w:ascii="Arial" w:hAnsi="Arial" w:cs="Arial"/>
        </w:rPr>
        <w:t xml:space="preserve"> structures.  Reporting rules are now being reviewed and reports will be corrected as necessary.   </w:t>
      </w:r>
    </w:p>
    <w:p w14:paraId="4200BD75" w14:textId="77777777" w:rsidR="00BB3BD5" w:rsidRDefault="00BB3BD5" w:rsidP="001E3511">
      <w:pPr>
        <w:jc w:val="both"/>
        <w:rPr>
          <w:rFonts w:ascii="Arial" w:hAnsi="Arial" w:cs="Arial"/>
        </w:rPr>
      </w:pPr>
    </w:p>
    <w:p w14:paraId="31711BD4" w14:textId="77777777" w:rsidR="00BB3BD5" w:rsidRPr="003066A9" w:rsidRDefault="00BB3BD5" w:rsidP="001E3511">
      <w:pPr>
        <w:jc w:val="both"/>
        <w:rPr>
          <w:rFonts w:ascii="Arial" w:hAnsi="Arial" w:cs="Arial"/>
        </w:rPr>
      </w:pPr>
    </w:p>
    <w:p w14:paraId="5B456430" w14:textId="77777777" w:rsidR="00EA34EB" w:rsidRDefault="00EA34EB" w:rsidP="00EA34EB">
      <w:pPr>
        <w:jc w:val="both"/>
        <w:rPr>
          <w:rFonts w:ascii="Arial" w:hAnsi="Arial" w:cs="Arial"/>
        </w:rPr>
      </w:pPr>
      <w:r w:rsidRPr="000161D5">
        <w:rPr>
          <w:rFonts w:ascii="Arial" w:hAnsi="Arial" w:cs="Arial"/>
          <w:b/>
        </w:rPr>
        <w:t>Oxfordshire Community Services Directorate</w:t>
      </w:r>
      <w:r>
        <w:rPr>
          <w:rFonts w:ascii="Arial" w:hAnsi="Arial" w:cs="Arial"/>
          <w:b/>
        </w:rPr>
        <w:t xml:space="preserve"> </w:t>
      </w:r>
      <w:r>
        <w:rPr>
          <w:rFonts w:ascii="Arial" w:hAnsi="Arial" w:cs="Arial"/>
        </w:rPr>
        <w:t xml:space="preserve">achieved </w:t>
      </w:r>
      <w:r w:rsidR="00DB3604">
        <w:rPr>
          <w:rFonts w:ascii="Arial" w:hAnsi="Arial" w:cs="Arial"/>
        </w:rPr>
        <w:t>74</w:t>
      </w:r>
      <w:r>
        <w:rPr>
          <w:rFonts w:ascii="Arial" w:hAnsi="Arial" w:cs="Arial"/>
        </w:rPr>
        <w:t xml:space="preserve"> of the </w:t>
      </w:r>
      <w:r w:rsidR="00DB3604">
        <w:rPr>
          <w:rFonts w:ascii="Arial" w:hAnsi="Arial" w:cs="Arial"/>
        </w:rPr>
        <w:t>103</w:t>
      </w:r>
      <w:r>
        <w:rPr>
          <w:rFonts w:ascii="Arial" w:hAnsi="Arial" w:cs="Arial"/>
        </w:rPr>
        <w:t xml:space="preserve"> targeted indicators</w:t>
      </w:r>
      <w:r w:rsidR="007F19A4">
        <w:rPr>
          <w:rFonts w:ascii="Arial" w:hAnsi="Arial" w:cs="Arial"/>
        </w:rPr>
        <w:t xml:space="preserve"> (72%)</w:t>
      </w:r>
      <w:r>
        <w:rPr>
          <w:rFonts w:ascii="Arial" w:hAnsi="Arial" w:cs="Arial"/>
        </w:rPr>
        <w:t xml:space="preserve">. </w:t>
      </w:r>
    </w:p>
    <w:p w14:paraId="10216CEB" w14:textId="77777777" w:rsidR="00132863" w:rsidRDefault="00132863" w:rsidP="00EA34EB">
      <w:pPr>
        <w:jc w:val="both"/>
        <w:rPr>
          <w:rFonts w:ascii="Arial" w:hAnsi="Arial" w:cs="Arial"/>
        </w:rPr>
      </w:pPr>
    </w:p>
    <w:p w14:paraId="6D5C20ED" w14:textId="77777777" w:rsidR="00132863" w:rsidRPr="00132863" w:rsidRDefault="00132863" w:rsidP="00132863">
      <w:pPr>
        <w:rPr>
          <w:rFonts w:ascii="Arial" w:hAnsi="Arial" w:cs="Arial"/>
          <w:b/>
        </w:rPr>
      </w:pPr>
      <w:r w:rsidRPr="00132863">
        <w:rPr>
          <w:rFonts w:ascii="Arial" w:hAnsi="Arial" w:cs="Arial"/>
          <w:b/>
        </w:rPr>
        <w:t>Highlights for the Board:</w:t>
      </w:r>
    </w:p>
    <w:p w14:paraId="02680EBA" w14:textId="77777777" w:rsidR="00132863" w:rsidRDefault="00132863" w:rsidP="00EA34EB">
      <w:pPr>
        <w:jc w:val="both"/>
        <w:rPr>
          <w:rFonts w:ascii="Arial" w:hAnsi="Arial" w:cs="Arial"/>
        </w:rPr>
      </w:pPr>
    </w:p>
    <w:p w14:paraId="6D0994F6" w14:textId="77777777" w:rsidR="00EA34EB" w:rsidRPr="00E0208E" w:rsidRDefault="007F19A4" w:rsidP="00E0208E">
      <w:pPr>
        <w:pStyle w:val="ListParagraph"/>
        <w:numPr>
          <w:ilvl w:val="0"/>
          <w:numId w:val="20"/>
        </w:numPr>
        <w:jc w:val="both"/>
        <w:rPr>
          <w:rFonts w:ascii="Arial" w:hAnsi="Arial" w:cs="Arial"/>
        </w:rPr>
      </w:pPr>
      <w:r w:rsidRPr="00C37643">
        <w:rPr>
          <w:rFonts w:ascii="Arial" w:hAnsi="Arial" w:cs="Arial"/>
          <w:b/>
        </w:rPr>
        <w:t xml:space="preserve">Oxfordshire and Buckinghamshire </w:t>
      </w:r>
      <w:r w:rsidR="00C37643" w:rsidRPr="00C37643">
        <w:rPr>
          <w:rFonts w:ascii="Arial" w:hAnsi="Arial" w:cs="Arial"/>
          <w:b/>
        </w:rPr>
        <w:t>Continuing Health Care (CHC</w:t>
      </w:r>
      <w:r w:rsidR="00C37643">
        <w:rPr>
          <w:rFonts w:ascii="Arial" w:hAnsi="Arial" w:cs="Arial"/>
        </w:rPr>
        <w:t xml:space="preserve">) – Detailed discussions are now underway with commissioners in Oxfordshire and Buckinghamshire to resolve a number of long standing issues in both </w:t>
      </w:r>
      <w:r w:rsidR="00C37643">
        <w:rPr>
          <w:rFonts w:ascii="Arial" w:hAnsi="Arial" w:cs="Arial"/>
        </w:rPr>
        <w:lastRenderedPageBreak/>
        <w:t xml:space="preserve">counties.  </w:t>
      </w:r>
      <w:r w:rsidR="00095F98">
        <w:rPr>
          <w:rFonts w:ascii="Arial" w:hAnsi="Arial" w:cs="Arial"/>
        </w:rPr>
        <w:t xml:space="preserve">A new specification for CHC services has been drafted by commissioners and a PIN (procurement information notice) has been published to the market place notifying potential competitors that an opportunity exists but there is an intention to award to Oxford Health unless other potential suppliers step forward.  </w:t>
      </w:r>
    </w:p>
    <w:p w14:paraId="23A4A5B2" w14:textId="77777777" w:rsidR="00E0208E" w:rsidRDefault="00E0208E" w:rsidP="00EA34EB">
      <w:pPr>
        <w:jc w:val="both"/>
        <w:rPr>
          <w:rFonts w:ascii="Arial" w:hAnsi="Arial" w:cs="Arial"/>
        </w:rPr>
      </w:pPr>
    </w:p>
    <w:p w14:paraId="7E755FAC" w14:textId="77777777" w:rsidR="00E0208E" w:rsidRDefault="00E0208E" w:rsidP="00EA34EB">
      <w:pPr>
        <w:jc w:val="both"/>
        <w:rPr>
          <w:rFonts w:ascii="Arial" w:hAnsi="Arial" w:cs="Arial"/>
        </w:rPr>
      </w:pPr>
    </w:p>
    <w:p w14:paraId="77E44AA8" w14:textId="77777777" w:rsidR="00EA34EB" w:rsidRDefault="00EA34EB" w:rsidP="00EA34EB">
      <w:pPr>
        <w:jc w:val="both"/>
        <w:rPr>
          <w:rFonts w:ascii="Arial" w:hAnsi="Arial" w:cs="Arial"/>
        </w:rPr>
      </w:pPr>
      <w:r>
        <w:rPr>
          <w:rFonts w:ascii="Arial" w:hAnsi="Arial" w:cs="Arial"/>
          <w:b/>
        </w:rPr>
        <w:t>Specialist</w:t>
      </w:r>
      <w:r w:rsidR="00C37643">
        <w:rPr>
          <w:rFonts w:ascii="Arial" w:hAnsi="Arial" w:cs="Arial"/>
          <w:b/>
        </w:rPr>
        <w:t xml:space="preserve"> Services</w:t>
      </w:r>
      <w:r w:rsidRPr="000161D5">
        <w:rPr>
          <w:rFonts w:ascii="Arial" w:hAnsi="Arial" w:cs="Arial"/>
          <w:b/>
        </w:rPr>
        <w:t xml:space="preserve"> </w:t>
      </w:r>
      <w:r>
        <w:rPr>
          <w:rFonts w:ascii="Arial" w:hAnsi="Arial" w:cs="Arial"/>
        </w:rPr>
        <w:t xml:space="preserve">achieved </w:t>
      </w:r>
      <w:r w:rsidR="00DB3604">
        <w:rPr>
          <w:rFonts w:ascii="Arial" w:hAnsi="Arial" w:cs="Arial"/>
        </w:rPr>
        <w:t>72</w:t>
      </w:r>
      <w:r>
        <w:rPr>
          <w:rFonts w:ascii="Arial" w:hAnsi="Arial" w:cs="Arial"/>
        </w:rPr>
        <w:t xml:space="preserve"> of the </w:t>
      </w:r>
      <w:r w:rsidR="00DB3604">
        <w:rPr>
          <w:rFonts w:ascii="Arial" w:hAnsi="Arial" w:cs="Arial"/>
        </w:rPr>
        <w:t>88</w:t>
      </w:r>
      <w:r>
        <w:rPr>
          <w:rFonts w:ascii="Arial" w:hAnsi="Arial" w:cs="Arial"/>
        </w:rPr>
        <w:t xml:space="preserve"> targeted indicators</w:t>
      </w:r>
      <w:r w:rsidR="00DB3604">
        <w:rPr>
          <w:rFonts w:ascii="Arial" w:hAnsi="Arial" w:cs="Arial"/>
        </w:rPr>
        <w:t xml:space="preserve"> (82%)</w:t>
      </w:r>
      <w:r>
        <w:rPr>
          <w:rFonts w:ascii="Arial" w:hAnsi="Arial" w:cs="Arial"/>
        </w:rPr>
        <w:t>.</w:t>
      </w:r>
    </w:p>
    <w:p w14:paraId="0C1114EE" w14:textId="77777777" w:rsidR="00132863" w:rsidRDefault="00132863" w:rsidP="00EA34EB">
      <w:pPr>
        <w:jc w:val="both"/>
        <w:rPr>
          <w:rFonts w:ascii="Arial" w:hAnsi="Arial" w:cs="Arial"/>
          <w:b/>
        </w:rPr>
      </w:pPr>
    </w:p>
    <w:p w14:paraId="065CB8B8" w14:textId="77777777" w:rsidR="00132863" w:rsidRPr="00132863" w:rsidRDefault="00132863" w:rsidP="00132863">
      <w:pPr>
        <w:rPr>
          <w:rFonts w:ascii="Arial" w:hAnsi="Arial" w:cs="Arial"/>
          <w:b/>
        </w:rPr>
      </w:pPr>
      <w:r w:rsidRPr="00132863">
        <w:rPr>
          <w:rFonts w:ascii="Arial" w:hAnsi="Arial" w:cs="Arial"/>
          <w:b/>
        </w:rPr>
        <w:t>Highlights for the Board:</w:t>
      </w:r>
    </w:p>
    <w:p w14:paraId="2E271E8C" w14:textId="77777777" w:rsidR="00405D2D" w:rsidRDefault="00405D2D" w:rsidP="001E3511">
      <w:pPr>
        <w:jc w:val="both"/>
        <w:rPr>
          <w:rFonts w:ascii="Arial" w:hAnsi="Arial" w:cs="Arial"/>
        </w:rPr>
      </w:pPr>
    </w:p>
    <w:p w14:paraId="2DCBA113" w14:textId="77777777" w:rsidR="00142BB1" w:rsidRPr="00142BB1" w:rsidRDefault="00142BB1" w:rsidP="00142BB1">
      <w:pPr>
        <w:pStyle w:val="ListParagraph"/>
        <w:numPr>
          <w:ilvl w:val="0"/>
          <w:numId w:val="22"/>
        </w:numPr>
        <w:jc w:val="both"/>
        <w:rPr>
          <w:rFonts w:ascii="Arial" w:hAnsi="Arial" w:cs="Arial"/>
        </w:rPr>
      </w:pPr>
      <w:r w:rsidRPr="00142BB1">
        <w:rPr>
          <w:rFonts w:ascii="Arial" w:hAnsi="Arial" w:cs="Arial"/>
          <w:b/>
        </w:rPr>
        <w:t xml:space="preserve">Routine Dental Checkups for Low Secure </w:t>
      </w:r>
      <w:r>
        <w:rPr>
          <w:rFonts w:ascii="Arial" w:hAnsi="Arial" w:cs="Arial"/>
          <w:b/>
        </w:rPr>
        <w:t xml:space="preserve">(LSU) </w:t>
      </w:r>
      <w:r w:rsidRPr="00142BB1">
        <w:rPr>
          <w:rFonts w:ascii="Arial" w:hAnsi="Arial" w:cs="Arial"/>
          <w:b/>
        </w:rPr>
        <w:t>and Medium Secure Units</w:t>
      </w:r>
      <w:r>
        <w:rPr>
          <w:rFonts w:ascii="Arial" w:hAnsi="Arial" w:cs="Arial"/>
          <w:b/>
        </w:rPr>
        <w:t xml:space="preserve"> (MSU)</w:t>
      </w:r>
      <w:r>
        <w:rPr>
          <w:rFonts w:ascii="Arial" w:hAnsi="Arial" w:cs="Arial"/>
        </w:rPr>
        <w:t xml:space="preserve">.  </w:t>
      </w:r>
      <w:r w:rsidR="004862BC">
        <w:rPr>
          <w:rFonts w:ascii="Arial" w:hAnsi="Arial" w:cs="Arial"/>
        </w:rPr>
        <w:t xml:space="preserve">The Trust has consistently breached the 70% target for routine dental checkups for patients in the low secure and medium secure units.  Patients are receiving urgent and emergency dental care when required and are offered routine dental checkups (some patients refuse) but further focused work is required.  </w:t>
      </w:r>
    </w:p>
    <w:p w14:paraId="77EF22ED" w14:textId="77777777" w:rsidR="00180EDB" w:rsidRDefault="00180EDB" w:rsidP="0073522A">
      <w:pPr>
        <w:jc w:val="both"/>
        <w:rPr>
          <w:rFonts w:ascii="Arial" w:hAnsi="Arial" w:cs="Arial"/>
          <w:b/>
        </w:rPr>
      </w:pPr>
    </w:p>
    <w:p w14:paraId="2C1BD3D0" w14:textId="77777777" w:rsidR="00142BB1" w:rsidRDefault="00142BB1" w:rsidP="0073522A">
      <w:pPr>
        <w:jc w:val="both"/>
        <w:rPr>
          <w:rFonts w:ascii="Arial" w:hAnsi="Arial" w:cs="Arial"/>
          <w:b/>
        </w:rPr>
      </w:pPr>
    </w:p>
    <w:p w14:paraId="429993D3" w14:textId="77777777" w:rsidR="0073522A" w:rsidRDefault="0073522A" w:rsidP="0073522A">
      <w:pPr>
        <w:jc w:val="both"/>
        <w:rPr>
          <w:rFonts w:ascii="Arial" w:hAnsi="Arial" w:cs="Arial"/>
          <w:b/>
        </w:rPr>
      </w:pPr>
      <w:r>
        <w:rPr>
          <w:rFonts w:ascii="Arial" w:hAnsi="Arial" w:cs="Arial"/>
          <w:b/>
        </w:rPr>
        <w:t>Recommendation</w:t>
      </w:r>
    </w:p>
    <w:p w14:paraId="18C8E783" w14:textId="77777777" w:rsidR="0073522A" w:rsidRDefault="0073522A" w:rsidP="0073522A">
      <w:pPr>
        <w:jc w:val="both"/>
        <w:rPr>
          <w:rFonts w:ascii="Arial" w:hAnsi="Arial" w:cs="Arial"/>
        </w:rPr>
      </w:pPr>
    </w:p>
    <w:p w14:paraId="6E66489B" w14:textId="77777777" w:rsidR="005D3499" w:rsidRDefault="00F95454">
      <w:pPr>
        <w:jc w:val="both"/>
        <w:rPr>
          <w:rFonts w:ascii="Arial" w:hAnsi="Arial" w:cs="Arial"/>
        </w:rPr>
      </w:pPr>
      <w:r>
        <w:rPr>
          <w:rFonts w:ascii="Arial" w:hAnsi="Arial" w:cs="Arial"/>
        </w:rPr>
        <w:t>The Board of Directors is</w:t>
      </w:r>
      <w:r w:rsidR="00C62464">
        <w:rPr>
          <w:rFonts w:ascii="Arial" w:hAnsi="Arial" w:cs="Arial"/>
        </w:rPr>
        <w:t xml:space="preserve"> asked to review </w:t>
      </w:r>
      <w:r w:rsidR="00982842">
        <w:rPr>
          <w:rFonts w:ascii="Arial" w:hAnsi="Arial" w:cs="Arial"/>
        </w:rPr>
        <w:t xml:space="preserve">and note </w:t>
      </w:r>
      <w:r w:rsidR="00C62464">
        <w:rPr>
          <w:rFonts w:ascii="Arial" w:hAnsi="Arial" w:cs="Arial"/>
        </w:rPr>
        <w:t xml:space="preserve">the </w:t>
      </w:r>
      <w:r w:rsidR="00982842">
        <w:rPr>
          <w:rFonts w:ascii="Arial" w:hAnsi="Arial" w:cs="Arial"/>
        </w:rPr>
        <w:t>monthly Board performance report.</w:t>
      </w:r>
    </w:p>
    <w:p w14:paraId="64FC4F1A" w14:textId="77777777" w:rsidR="00982842" w:rsidRDefault="00982842">
      <w:pPr>
        <w:jc w:val="both"/>
        <w:rPr>
          <w:rFonts w:ascii="Arial" w:hAnsi="Arial" w:cs="Arial"/>
          <w:b/>
        </w:rPr>
      </w:pPr>
    </w:p>
    <w:p w14:paraId="3E738EC2" w14:textId="77777777" w:rsidR="003F7366" w:rsidRDefault="002619EF" w:rsidP="0073522A">
      <w:pPr>
        <w:ind w:left="1440" w:hanging="1440"/>
        <w:jc w:val="both"/>
        <w:rPr>
          <w:rFonts w:ascii="Arial" w:hAnsi="Arial" w:cs="Arial"/>
        </w:rPr>
      </w:pPr>
      <w:r>
        <w:rPr>
          <w:rFonts w:ascii="Arial" w:hAnsi="Arial" w:cs="Arial"/>
          <w:b/>
        </w:rPr>
        <w:t>Author and T</w:t>
      </w:r>
      <w:r w:rsidR="0073522A">
        <w:rPr>
          <w:rFonts w:ascii="Arial" w:hAnsi="Arial" w:cs="Arial"/>
          <w:b/>
        </w:rPr>
        <w:t>itle:</w:t>
      </w:r>
      <w:r w:rsidR="0073522A">
        <w:rPr>
          <w:rFonts w:ascii="Arial" w:hAnsi="Arial" w:cs="Arial"/>
        </w:rPr>
        <w:t xml:space="preserve"> </w:t>
      </w:r>
      <w:r w:rsidR="0073522A">
        <w:rPr>
          <w:rFonts w:ascii="Arial" w:hAnsi="Arial" w:cs="Arial"/>
        </w:rPr>
        <w:tab/>
      </w:r>
      <w:r w:rsidR="00C36082">
        <w:rPr>
          <w:rFonts w:ascii="Arial" w:hAnsi="Arial" w:cs="Arial"/>
        </w:rPr>
        <w:t xml:space="preserve">Martyn Ward – </w:t>
      </w:r>
      <w:r w:rsidR="00BF72AE">
        <w:rPr>
          <w:rFonts w:ascii="Arial" w:hAnsi="Arial" w:cs="Arial"/>
        </w:rPr>
        <w:t xml:space="preserve">Director of </w:t>
      </w:r>
      <w:r w:rsidR="00C77CF2">
        <w:rPr>
          <w:rFonts w:ascii="Arial" w:hAnsi="Arial" w:cs="Arial"/>
        </w:rPr>
        <w:t xml:space="preserve">Strategy &amp; </w:t>
      </w:r>
      <w:r w:rsidR="00C24259">
        <w:rPr>
          <w:rFonts w:ascii="Arial" w:hAnsi="Arial" w:cs="Arial"/>
        </w:rPr>
        <w:t>Chief Information Officer</w:t>
      </w:r>
    </w:p>
    <w:p w14:paraId="72387B0B" w14:textId="77777777" w:rsidR="000E317C" w:rsidRDefault="000E317C" w:rsidP="0073522A">
      <w:pPr>
        <w:ind w:left="1440" w:hanging="1440"/>
        <w:jc w:val="both"/>
        <w:rPr>
          <w:rFonts w:ascii="Arial" w:hAnsi="Arial" w:cs="Arial"/>
        </w:rPr>
      </w:pPr>
    </w:p>
    <w:p w14:paraId="7BD55BA4" w14:textId="77777777" w:rsidR="00AF0562" w:rsidRPr="0073522A" w:rsidRDefault="00AF0562" w:rsidP="00BE48C0">
      <w:pPr>
        <w:jc w:val="both"/>
        <w:rPr>
          <w:rFonts w:ascii="Arial" w:hAnsi="Arial" w:cs="Arial"/>
          <w:sz w:val="20"/>
          <w:szCs w:val="20"/>
        </w:rPr>
      </w:pPr>
    </w:p>
    <w:sectPr w:rsidR="00AF0562" w:rsidRPr="0073522A" w:rsidSect="009227B8">
      <w:headerReference w:type="default" r:id="rId16"/>
      <w:pgSz w:w="12240" w:h="15840"/>
      <w:pgMar w:top="1440"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98FE0" w14:textId="77777777" w:rsidR="006114E4" w:rsidRDefault="006114E4" w:rsidP="005B3E3C">
      <w:r>
        <w:separator/>
      </w:r>
    </w:p>
  </w:endnote>
  <w:endnote w:type="continuationSeparator" w:id="0">
    <w:p w14:paraId="054A125E" w14:textId="77777777" w:rsidR="006114E4" w:rsidRDefault="006114E4"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utiger">
    <w:altName w:val="Segoe UI"/>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4F93F" w14:textId="77777777" w:rsidR="006114E4" w:rsidRDefault="006114E4" w:rsidP="005B3E3C">
      <w:r>
        <w:separator/>
      </w:r>
    </w:p>
  </w:footnote>
  <w:footnote w:type="continuationSeparator" w:id="0">
    <w:p w14:paraId="59A4650E" w14:textId="77777777" w:rsidR="006114E4" w:rsidRDefault="006114E4"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67DA9" w14:textId="77777777" w:rsidR="00781566" w:rsidRPr="005B3E3C" w:rsidRDefault="006E3C3E" w:rsidP="005B3E3C">
    <w:pPr>
      <w:pStyle w:val="Header"/>
      <w:jc w:val="center"/>
      <w:rPr>
        <w:rFonts w:ascii="Arial" w:hAnsi="Arial" w:cs="Arial"/>
      </w:rPr>
    </w:pPr>
    <w:r w:rsidRPr="006E3C3E">
      <w:rPr>
        <w:rFonts w:ascii="Arial" w:hAnsi="Arial" w:cs="Arial"/>
        <w:b/>
        <w:i/>
      </w:rPr>
      <w:t>P</w:t>
    </w:r>
    <w:r w:rsidR="003066A9">
      <w:rPr>
        <w:rFonts w:ascii="Arial" w:hAnsi="Arial" w:cs="Arial"/>
        <w:b/>
        <w:i/>
      </w:rPr>
      <w:t>ublic</w:t>
    </w:r>
    <w:r w:rsidRPr="006E3C3E">
      <w:rPr>
        <w:rFonts w:ascii="Arial" w:hAnsi="Arial" w:cs="Arial"/>
        <w:b/>
        <w:i/>
      </w:rPr>
      <w:t xml:space="preserve"> </w:t>
    </w:r>
    <w:r w:rsidR="003066A9">
      <w:rPr>
        <w:rFonts w:ascii="Arial" w:hAnsi="Arial" w:cs="Arial"/>
        <w:b/>
        <w:i/>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72B68"/>
    <w:multiLevelType w:val="hybridMultilevel"/>
    <w:tmpl w:val="CBF2B3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C02857"/>
    <w:multiLevelType w:val="hybridMultilevel"/>
    <w:tmpl w:val="F9FCD1C4"/>
    <w:lvl w:ilvl="0" w:tplc="B7ACCD3C">
      <w:numFmt w:val="bullet"/>
      <w:lvlText w:val=""/>
      <w:lvlJc w:val="left"/>
      <w:pPr>
        <w:ind w:left="720"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FD2D9B"/>
    <w:multiLevelType w:val="hybridMultilevel"/>
    <w:tmpl w:val="0E8699A8"/>
    <w:lvl w:ilvl="0" w:tplc="51C6718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EE3839"/>
    <w:multiLevelType w:val="hybridMultilevel"/>
    <w:tmpl w:val="733657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0C32DF"/>
    <w:multiLevelType w:val="hybridMultilevel"/>
    <w:tmpl w:val="50C62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76678F"/>
    <w:multiLevelType w:val="hybridMultilevel"/>
    <w:tmpl w:val="6CE06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CC6656"/>
    <w:multiLevelType w:val="hybridMultilevel"/>
    <w:tmpl w:val="155A5E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97202E"/>
    <w:multiLevelType w:val="hybridMultilevel"/>
    <w:tmpl w:val="E41A5620"/>
    <w:lvl w:ilvl="0" w:tplc="0276CA78">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D81543"/>
    <w:multiLevelType w:val="hybridMultilevel"/>
    <w:tmpl w:val="F7CABEC6"/>
    <w:lvl w:ilvl="0" w:tplc="6602F1CE">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F60E94"/>
    <w:multiLevelType w:val="hybridMultilevel"/>
    <w:tmpl w:val="49802B04"/>
    <w:lvl w:ilvl="0" w:tplc="DD769A34">
      <w:numFmt w:val="bullet"/>
      <w:lvlText w:val=""/>
      <w:lvlJc w:val="left"/>
      <w:pPr>
        <w:ind w:left="720"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1E4AF2"/>
    <w:multiLevelType w:val="hybridMultilevel"/>
    <w:tmpl w:val="99725AB2"/>
    <w:lvl w:ilvl="0" w:tplc="96024E4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201369"/>
    <w:multiLevelType w:val="hybridMultilevel"/>
    <w:tmpl w:val="79F058E2"/>
    <w:lvl w:ilvl="0" w:tplc="08090001">
      <w:start w:val="1"/>
      <w:numFmt w:val="bullet"/>
      <w:lvlText w:val=""/>
      <w:lvlJc w:val="left"/>
      <w:pPr>
        <w:ind w:left="854" w:hanging="360"/>
      </w:pPr>
      <w:rPr>
        <w:rFonts w:ascii="Symbol" w:hAnsi="Symbol" w:hint="default"/>
      </w:rPr>
    </w:lvl>
    <w:lvl w:ilvl="1" w:tplc="08090003" w:tentative="1">
      <w:start w:val="1"/>
      <w:numFmt w:val="bullet"/>
      <w:lvlText w:val="o"/>
      <w:lvlJc w:val="left"/>
      <w:pPr>
        <w:ind w:left="1574" w:hanging="360"/>
      </w:pPr>
      <w:rPr>
        <w:rFonts w:ascii="Courier New" w:hAnsi="Courier New" w:cs="Courier New" w:hint="default"/>
      </w:rPr>
    </w:lvl>
    <w:lvl w:ilvl="2" w:tplc="08090005" w:tentative="1">
      <w:start w:val="1"/>
      <w:numFmt w:val="bullet"/>
      <w:lvlText w:val=""/>
      <w:lvlJc w:val="left"/>
      <w:pPr>
        <w:ind w:left="2294" w:hanging="360"/>
      </w:pPr>
      <w:rPr>
        <w:rFonts w:ascii="Wingdings" w:hAnsi="Wingdings" w:hint="default"/>
      </w:rPr>
    </w:lvl>
    <w:lvl w:ilvl="3" w:tplc="08090001" w:tentative="1">
      <w:start w:val="1"/>
      <w:numFmt w:val="bullet"/>
      <w:lvlText w:val=""/>
      <w:lvlJc w:val="left"/>
      <w:pPr>
        <w:ind w:left="3014" w:hanging="360"/>
      </w:pPr>
      <w:rPr>
        <w:rFonts w:ascii="Symbol" w:hAnsi="Symbol" w:hint="default"/>
      </w:rPr>
    </w:lvl>
    <w:lvl w:ilvl="4" w:tplc="08090003" w:tentative="1">
      <w:start w:val="1"/>
      <w:numFmt w:val="bullet"/>
      <w:lvlText w:val="o"/>
      <w:lvlJc w:val="left"/>
      <w:pPr>
        <w:ind w:left="3734" w:hanging="360"/>
      </w:pPr>
      <w:rPr>
        <w:rFonts w:ascii="Courier New" w:hAnsi="Courier New" w:cs="Courier New" w:hint="default"/>
      </w:rPr>
    </w:lvl>
    <w:lvl w:ilvl="5" w:tplc="08090005" w:tentative="1">
      <w:start w:val="1"/>
      <w:numFmt w:val="bullet"/>
      <w:lvlText w:val=""/>
      <w:lvlJc w:val="left"/>
      <w:pPr>
        <w:ind w:left="4454" w:hanging="360"/>
      </w:pPr>
      <w:rPr>
        <w:rFonts w:ascii="Wingdings" w:hAnsi="Wingdings" w:hint="default"/>
      </w:rPr>
    </w:lvl>
    <w:lvl w:ilvl="6" w:tplc="08090001" w:tentative="1">
      <w:start w:val="1"/>
      <w:numFmt w:val="bullet"/>
      <w:lvlText w:val=""/>
      <w:lvlJc w:val="left"/>
      <w:pPr>
        <w:ind w:left="5174" w:hanging="360"/>
      </w:pPr>
      <w:rPr>
        <w:rFonts w:ascii="Symbol" w:hAnsi="Symbol" w:hint="default"/>
      </w:rPr>
    </w:lvl>
    <w:lvl w:ilvl="7" w:tplc="08090003" w:tentative="1">
      <w:start w:val="1"/>
      <w:numFmt w:val="bullet"/>
      <w:lvlText w:val="o"/>
      <w:lvlJc w:val="left"/>
      <w:pPr>
        <w:ind w:left="5894" w:hanging="360"/>
      </w:pPr>
      <w:rPr>
        <w:rFonts w:ascii="Courier New" w:hAnsi="Courier New" w:cs="Courier New" w:hint="default"/>
      </w:rPr>
    </w:lvl>
    <w:lvl w:ilvl="8" w:tplc="08090005" w:tentative="1">
      <w:start w:val="1"/>
      <w:numFmt w:val="bullet"/>
      <w:lvlText w:val=""/>
      <w:lvlJc w:val="left"/>
      <w:pPr>
        <w:ind w:left="6614" w:hanging="360"/>
      </w:pPr>
      <w:rPr>
        <w:rFonts w:ascii="Wingdings" w:hAnsi="Wingdings" w:hint="default"/>
      </w:rPr>
    </w:lvl>
  </w:abstractNum>
  <w:abstractNum w:abstractNumId="12" w15:restartNumberingAfterBreak="0">
    <w:nsid w:val="44081F66"/>
    <w:multiLevelType w:val="hybridMultilevel"/>
    <w:tmpl w:val="FCF4E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30D6005"/>
    <w:multiLevelType w:val="hybridMultilevel"/>
    <w:tmpl w:val="0BA062CE"/>
    <w:lvl w:ilvl="0" w:tplc="0BD2EE8C">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CB4741"/>
    <w:multiLevelType w:val="hybridMultilevel"/>
    <w:tmpl w:val="E506B98E"/>
    <w:lvl w:ilvl="0" w:tplc="CA06E2BC">
      <w:numFmt w:val="bullet"/>
      <w:lvlText w:val=""/>
      <w:lvlJc w:val="left"/>
      <w:pPr>
        <w:ind w:left="720"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E1F25AD"/>
    <w:multiLevelType w:val="hybridMultilevel"/>
    <w:tmpl w:val="22E285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AA5E0E"/>
    <w:multiLevelType w:val="hybridMultilevel"/>
    <w:tmpl w:val="15CC9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12D20DC"/>
    <w:multiLevelType w:val="hybridMultilevel"/>
    <w:tmpl w:val="F45026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41E7606"/>
    <w:multiLevelType w:val="hybridMultilevel"/>
    <w:tmpl w:val="8B442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954DD5"/>
    <w:multiLevelType w:val="hybridMultilevel"/>
    <w:tmpl w:val="1B7225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3"/>
  </w:num>
  <w:num w:numId="3">
    <w:abstractNumId w:val="16"/>
  </w:num>
  <w:num w:numId="4">
    <w:abstractNumId w:val="8"/>
  </w:num>
  <w:num w:numId="5">
    <w:abstractNumId w:val="15"/>
  </w:num>
  <w:num w:numId="6">
    <w:abstractNumId w:val="1"/>
  </w:num>
  <w:num w:numId="7">
    <w:abstractNumId w:val="10"/>
  </w:num>
  <w:num w:numId="8">
    <w:abstractNumId w:val="7"/>
  </w:num>
  <w:num w:numId="9">
    <w:abstractNumId w:val="2"/>
  </w:num>
  <w:num w:numId="10">
    <w:abstractNumId w:val="9"/>
  </w:num>
  <w:num w:numId="11">
    <w:abstractNumId w:val="18"/>
  </w:num>
  <w:num w:numId="12">
    <w:abstractNumId w:val="4"/>
  </w:num>
  <w:num w:numId="13">
    <w:abstractNumId w:val="5"/>
  </w:num>
  <w:num w:numId="14">
    <w:abstractNumId w:val="20"/>
  </w:num>
  <w:num w:numId="15">
    <w:abstractNumId w:val="0"/>
  </w:num>
  <w:num w:numId="16">
    <w:abstractNumId w:val="14"/>
  </w:num>
  <w:num w:numId="17">
    <w:abstractNumId w:val="21"/>
  </w:num>
  <w:num w:numId="18">
    <w:abstractNumId w:val="22"/>
  </w:num>
  <w:num w:numId="19">
    <w:abstractNumId w:val="17"/>
  </w:num>
  <w:num w:numId="20">
    <w:abstractNumId w:val="12"/>
  </w:num>
  <w:num w:numId="21">
    <w:abstractNumId w:val="6"/>
  </w:num>
  <w:num w:numId="22">
    <w:abstractNumId w:val="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E8"/>
    <w:rsid w:val="00007830"/>
    <w:rsid w:val="0001134C"/>
    <w:rsid w:val="000161D5"/>
    <w:rsid w:val="00016B35"/>
    <w:rsid w:val="00023074"/>
    <w:rsid w:val="00024D76"/>
    <w:rsid w:val="00026260"/>
    <w:rsid w:val="000302E0"/>
    <w:rsid w:val="00031871"/>
    <w:rsid w:val="0003209B"/>
    <w:rsid w:val="000344E6"/>
    <w:rsid w:val="00036D9C"/>
    <w:rsid w:val="00041960"/>
    <w:rsid w:val="00045966"/>
    <w:rsid w:val="00050037"/>
    <w:rsid w:val="0005194A"/>
    <w:rsid w:val="00053FB7"/>
    <w:rsid w:val="00057F0B"/>
    <w:rsid w:val="0006115B"/>
    <w:rsid w:val="00071531"/>
    <w:rsid w:val="00080E72"/>
    <w:rsid w:val="00095F98"/>
    <w:rsid w:val="000A0020"/>
    <w:rsid w:val="000A47D9"/>
    <w:rsid w:val="000B77F9"/>
    <w:rsid w:val="000C0988"/>
    <w:rsid w:val="000D24FB"/>
    <w:rsid w:val="000E317C"/>
    <w:rsid w:val="000E49A0"/>
    <w:rsid w:val="000F2610"/>
    <w:rsid w:val="000F47AD"/>
    <w:rsid w:val="000F4C46"/>
    <w:rsid w:val="000F77BF"/>
    <w:rsid w:val="00103519"/>
    <w:rsid w:val="0010685F"/>
    <w:rsid w:val="00107AAC"/>
    <w:rsid w:val="00110E24"/>
    <w:rsid w:val="001123A3"/>
    <w:rsid w:val="001141A1"/>
    <w:rsid w:val="00130D9D"/>
    <w:rsid w:val="00130E60"/>
    <w:rsid w:val="00132863"/>
    <w:rsid w:val="00136461"/>
    <w:rsid w:val="00142BB1"/>
    <w:rsid w:val="0014509D"/>
    <w:rsid w:val="0014622C"/>
    <w:rsid w:val="00146C68"/>
    <w:rsid w:val="001513D5"/>
    <w:rsid w:val="00152B4C"/>
    <w:rsid w:val="001604E3"/>
    <w:rsid w:val="00172D01"/>
    <w:rsid w:val="00180EDB"/>
    <w:rsid w:val="001944AC"/>
    <w:rsid w:val="001963F3"/>
    <w:rsid w:val="0019785F"/>
    <w:rsid w:val="001A2F3F"/>
    <w:rsid w:val="001A7443"/>
    <w:rsid w:val="001B3AEB"/>
    <w:rsid w:val="001B4B9D"/>
    <w:rsid w:val="001B6EEE"/>
    <w:rsid w:val="001C295C"/>
    <w:rsid w:val="001D03E1"/>
    <w:rsid w:val="001D48E6"/>
    <w:rsid w:val="001D65AB"/>
    <w:rsid w:val="001E1C83"/>
    <w:rsid w:val="001E1E6B"/>
    <w:rsid w:val="001E3511"/>
    <w:rsid w:val="001E6DBC"/>
    <w:rsid w:val="001E7831"/>
    <w:rsid w:val="001F23B3"/>
    <w:rsid w:val="001F2541"/>
    <w:rsid w:val="001F76ED"/>
    <w:rsid w:val="00200556"/>
    <w:rsid w:val="00213006"/>
    <w:rsid w:val="0022050F"/>
    <w:rsid w:val="00227BA7"/>
    <w:rsid w:val="00227FCE"/>
    <w:rsid w:val="002306E2"/>
    <w:rsid w:val="00232D98"/>
    <w:rsid w:val="00233516"/>
    <w:rsid w:val="00252E51"/>
    <w:rsid w:val="0025508D"/>
    <w:rsid w:val="00256F43"/>
    <w:rsid w:val="00260A9C"/>
    <w:rsid w:val="002619EF"/>
    <w:rsid w:val="002710D7"/>
    <w:rsid w:val="002821F8"/>
    <w:rsid w:val="002875D9"/>
    <w:rsid w:val="00290581"/>
    <w:rsid w:val="00291E9E"/>
    <w:rsid w:val="00292613"/>
    <w:rsid w:val="00294343"/>
    <w:rsid w:val="002A0F36"/>
    <w:rsid w:val="002A73E8"/>
    <w:rsid w:val="002B1020"/>
    <w:rsid w:val="002B55A4"/>
    <w:rsid w:val="002B6E44"/>
    <w:rsid w:val="002C2F97"/>
    <w:rsid w:val="002C3D1A"/>
    <w:rsid w:val="002C5F95"/>
    <w:rsid w:val="002C7C79"/>
    <w:rsid w:val="002D3AAD"/>
    <w:rsid w:val="002E3C80"/>
    <w:rsid w:val="002E4CF9"/>
    <w:rsid w:val="002E6FC6"/>
    <w:rsid w:val="002F0C3A"/>
    <w:rsid w:val="002F1E5B"/>
    <w:rsid w:val="002F73C3"/>
    <w:rsid w:val="0030031A"/>
    <w:rsid w:val="00302535"/>
    <w:rsid w:val="003066A9"/>
    <w:rsid w:val="003208EA"/>
    <w:rsid w:val="00325CB3"/>
    <w:rsid w:val="00330275"/>
    <w:rsid w:val="00330845"/>
    <w:rsid w:val="00330886"/>
    <w:rsid w:val="003518BC"/>
    <w:rsid w:val="00352ACA"/>
    <w:rsid w:val="003623C4"/>
    <w:rsid w:val="003633C8"/>
    <w:rsid w:val="003640F0"/>
    <w:rsid w:val="0037138A"/>
    <w:rsid w:val="00375478"/>
    <w:rsid w:val="0037692B"/>
    <w:rsid w:val="00381949"/>
    <w:rsid w:val="00382967"/>
    <w:rsid w:val="00384B87"/>
    <w:rsid w:val="00384BF2"/>
    <w:rsid w:val="00384DB2"/>
    <w:rsid w:val="00385BF1"/>
    <w:rsid w:val="00386B91"/>
    <w:rsid w:val="00391668"/>
    <w:rsid w:val="003965D7"/>
    <w:rsid w:val="003971F6"/>
    <w:rsid w:val="003A1BA3"/>
    <w:rsid w:val="003A413B"/>
    <w:rsid w:val="003C2222"/>
    <w:rsid w:val="003D0B91"/>
    <w:rsid w:val="003D7F7F"/>
    <w:rsid w:val="003E47E9"/>
    <w:rsid w:val="003E4910"/>
    <w:rsid w:val="003F226B"/>
    <w:rsid w:val="003F3BD5"/>
    <w:rsid w:val="003F7366"/>
    <w:rsid w:val="004015FF"/>
    <w:rsid w:val="0040186B"/>
    <w:rsid w:val="00401AC7"/>
    <w:rsid w:val="004021C5"/>
    <w:rsid w:val="00405D2D"/>
    <w:rsid w:val="00410244"/>
    <w:rsid w:val="004104C7"/>
    <w:rsid w:val="00413D9F"/>
    <w:rsid w:val="00414A70"/>
    <w:rsid w:val="00415ACB"/>
    <w:rsid w:val="00421734"/>
    <w:rsid w:val="00423058"/>
    <w:rsid w:val="004326BB"/>
    <w:rsid w:val="00436775"/>
    <w:rsid w:val="00445343"/>
    <w:rsid w:val="00447BE4"/>
    <w:rsid w:val="0045048F"/>
    <w:rsid w:val="00451DB0"/>
    <w:rsid w:val="00472286"/>
    <w:rsid w:val="004829AE"/>
    <w:rsid w:val="0048584C"/>
    <w:rsid w:val="004862BC"/>
    <w:rsid w:val="00492483"/>
    <w:rsid w:val="004A1287"/>
    <w:rsid w:val="004A4DFB"/>
    <w:rsid w:val="004A7F6B"/>
    <w:rsid w:val="004B1544"/>
    <w:rsid w:val="004B6756"/>
    <w:rsid w:val="004C5125"/>
    <w:rsid w:val="004C5897"/>
    <w:rsid w:val="004D0BB5"/>
    <w:rsid w:val="004D1192"/>
    <w:rsid w:val="004D3C66"/>
    <w:rsid w:val="004E1C4A"/>
    <w:rsid w:val="004E2219"/>
    <w:rsid w:val="004E4D94"/>
    <w:rsid w:val="004E740C"/>
    <w:rsid w:val="004F4BBA"/>
    <w:rsid w:val="004F5DE5"/>
    <w:rsid w:val="004F61D8"/>
    <w:rsid w:val="005027DB"/>
    <w:rsid w:val="005051F3"/>
    <w:rsid w:val="00513994"/>
    <w:rsid w:val="00520D02"/>
    <w:rsid w:val="005233AA"/>
    <w:rsid w:val="00527C15"/>
    <w:rsid w:val="00530D1F"/>
    <w:rsid w:val="00531625"/>
    <w:rsid w:val="0054040B"/>
    <w:rsid w:val="0054546A"/>
    <w:rsid w:val="00551B0F"/>
    <w:rsid w:val="00557CC7"/>
    <w:rsid w:val="00563E0F"/>
    <w:rsid w:val="005659FB"/>
    <w:rsid w:val="00574A97"/>
    <w:rsid w:val="0057512E"/>
    <w:rsid w:val="00584D27"/>
    <w:rsid w:val="005A4A64"/>
    <w:rsid w:val="005A5ADF"/>
    <w:rsid w:val="005B01FE"/>
    <w:rsid w:val="005B3E3C"/>
    <w:rsid w:val="005B7F81"/>
    <w:rsid w:val="005C1D1C"/>
    <w:rsid w:val="005C3FC1"/>
    <w:rsid w:val="005D3499"/>
    <w:rsid w:val="005E09C4"/>
    <w:rsid w:val="005E2583"/>
    <w:rsid w:val="005E617C"/>
    <w:rsid w:val="005F270E"/>
    <w:rsid w:val="005F36B6"/>
    <w:rsid w:val="005F6A8B"/>
    <w:rsid w:val="00606B48"/>
    <w:rsid w:val="006114E4"/>
    <w:rsid w:val="0061684E"/>
    <w:rsid w:val="0062376E"/>
    <w:rsid w:val="00624CC9"/>
    <w:rsid w:val="00626EFA"/>
    <w:rsid w:val="006403C3"/>
    <w:rsid w:val="00650771"/>
    <w:rsid w:val="00654880"/>
    <w:rsid w:val="00657D10"/>
    <w:rsid w:val="00662DC5"/>
    <w:rsid w:val="00665F45"/>
    <w:rsid w:val="00666651"/>
    <w:rsid w:val="00666E6B"/>
    <w:rsid w:val="0067461E"/>
    <w:rsid w:val="00693F68"/>
    <w:rsid w:val="00697940"/>
    <w:rsid w:val="00697AA7"/>
    <w:rsid w:val="006B33BC"/>
    <w:rsid w:val="006B6FE8"/>
    <w:rsid w:val="006C1F9B"/>
    <w:rsid w:val="006C22C2"/>
    <w:rsid w:val="006C2A9A"/>
    <w:rsid w:val="006C62F1"/>
    <w:rsid w:val="006D09AA"/>
    <w:rsid w:val="006E3C3E"/>
    <w:rsid w:val="006F0D59"/>
    <w:rsid w:val="006F5021"/>
    <w:rsid w:val="00700391"/>
    <w:rsid w:val="007003DD"/>
    <w:rsid w:val="00722032"/>
    <w:rsid w:val="00722108"/>
    <w:rsid w:val="00724AD0"/>
    <w:rsid w:val="00725AD2"/>
    <w:rsid w:val="007273B3"/>
    <w:rsid w:val="00732301"/>
    <w:rsid w:val="00733C5D"/>
    <w:rsid w:val="0073522A"/>
    <w:rsid w:val="007359C0"/>
    <w:rsid w:val="007364D9"/>
    <w:rsid w:val="00742E7D"/>
    <w:rsid w:val="007439EC"/>
    <w:rsid w:val="0074404D"/>
    <w:rsid w:val="007441B8"/>
    <w:rsid w:val="007601EB"/>
    <w:rsid w:val="00764D01"/>
    <w:rsid w:val="0077522B"/>
    <w:rsid w:val="007769CD"/>
    <w:rsid w:val="0078032B"/>
    <w:rsid w:val="007813A6"/>
    <w:rsid w:val="00781566"/>
    <w:rsid w:val="007847D9"/>
    <w:rsid w:val="0078491E"/>
    <w:rsid w:val="007960BE"/>
    <w:rsid w:val="007972A2"/>
    <w:rsid w:val="007976E7"/>
    <w:rsid w:val="007A1640"/>
    <w:rsid w:val="007A2CF0"/>
    <w:rsid w:val="007A515B"/>
    <w:rsid w:val="007B1760"/>
    <w:rsid w:val="007B4C1E"/>
    <w:rsid w:val="007B6D77"/>
    <w:rsid w:val="007C3339"/>
    <w:rsid w:val="007C3C27"/>
    <w:rsid w:val="007C5E02"/>
    <w:rsid w:val="007C6925"/>
    <w:rsid w:val="007D7901"/>
    <w:rsid w:val="007F19A4"/>
    <w:rsid w:val="00801A75"/>
    <w:rsid w:val="00802701"/>
    <w:rsid w:val="008038A2"/>
    <w:rsid w:val="00811148"/>
    <w:rsid w:val="00811FE8"/>
    <w:rsid w:val="00817DF5"/>
    <w:rsid w:val="00821F0D"/>
    <w:rsid w:val="008275B5"/>
    <w:rsid w:val="00830CA6"/>
    <w:rsid w:val="00841715"/>
    <w:rsid w:val="00841EB0"/>
    <w:rsid w:val="00845979"/>
    <w:rsid w:val="008477E1"/>
    <w:rsid w:val="00847BC4"/>
    <w:rsid w:val="0085366E"/>
    <w:rsid w:val="0085688C"/>
    <w:rsid w:val="008635F0"/>
    <w:rsid w:val="0086436B"/>
    <w:rsid w:val="00864ED6"/>
    <w:rsid w:val="0087047B"/>
    <w:rsid w:val="0087190C"/>
    <w:rsid w:val="00872ACD"/>
    <w:rsid w:val="0088128C"/>
    <w:rsid w:val="0089208D"/>
    <w:rsid w:val="00893C1C"/>
    <w:rsid w:val="00894B97"/>
    <w:rsid w:val="00895A62"/>
    <w:rsid w:val="008967B9"/>
    <w:rsid w:val="008A6A48"/>
    <w:rsid w:val="008C1666"/>
    <w:rsid w:val="008C512E"/>
    <w:rsid w:val="008C780D"/>
    <w:rsid w:val="008D5C80"/>
    <w:rsid w:val="008E0BA4"/>
    <w:rsid w:val="008E1F96"/>
    <w:rsid w:val="008F77AE"/>
    <w:rsid w:val="00913610"/>
    <w:rsid w:val="009227B8"/>
    <w:rsid w:val="00922966"/>
    <w:rsid w:val="009305CD"/>
    <w:rsid w:val="009320C6"/>
    <w:rsid w:val="00945E1F"/>
    <w:rsid w:val="0094603B"/>
    <w:rsid w:val="00946E6E"/>
    <w:rsid w:val="009478B1"/>
    <w:rsid w:val="00954068"/>
    <w:rsid w:val="00954B73"/>
    <w:rsid w:val="009551BC"/>
    <w:rsid w:val="00956A0A"/>
    <w:rsid w:val="00961343"/>
    <w:rsid w:val="0096293E"/>
    <w:rsid w:val="00963FBC"/>
    <w:rsid w:val="00966D7B"/>
    <w:rsid w:val="00975819"/>
    <w:rsid w:val="0098250E"/>
    <w:rsid w:val="00982842"/>
    <w:rsid w:val="0098298E"/>
    <w:rsid w:val="00983EAF"/>
    <w:rsid w:val="009857D9"/>
    <w:rsid w:val="009869DE"/>
    <w:rsid w:val="00994695"/>
    <w:rsid w:val="009A0683"/>
    <w:rsid w:val="009A2D0F"/>
    <w:rsid w:val="009A4401"/>
    <w:rsid w:val="009B143F"/>
    <w:rsid w:val="009C1F52"/>
    <w:rsid w:val="009C223E"/>
    <w:rsid w:val="009C484B"/>
    <w:rsid w:val="009C7F8D"/>
    <w:rsid w:val="009D1058"/>
    <w:rsid w:val="009D265C"/>
    <w:rsid w:val="009D5FD0"/>
    <w:rsid w:val="009D6F76"/>
    <w:rsid w:val="009E31B0"/>
    <w:rsid w:val="009F50E5"/>
    <w:rsid w:val="00A00EDD"/>
    <w:rsid w:val="00A017D6"/>
    <w:rsid w:val="00A0284F"/>
    <w:rsid w:val="00A1521F"/>
    <w:rsid w:val="00A241A3"/>
    <w:rsid w:val="00A27187"/>
    <w:rsid w:val="00A3401E"/>
    <w:rsid w:val="00A51265"/>
    <w:rsid w:val="00A674FB"/>
    <w:rsid w:val="00A752CB"/>
    <w:rsid w:val="00A766A0"/>
    <w:rsid w:val="00A82952"/>
    <w:rsid w:val="00A85311"/>
    <w:rsid w:val="00A92981"/>
    <w:rsid w:val="00A940CF"/>
    <w:rsid w:val="00A97A92"/>
    <w:rsid w:val="00AA0C3F"/>
    <w:rsid w:val="00AA306E"/>
    <w:rsid w:val="00AA61FB"/>
    <w:rsid w:val="00AA759A"/>
    <w:rsid w:val="00AC07C2"/>
    <w:rsid w:val="00AC3814"/>
    <w:rsid w:val="00AC640D"/>
    <w:rsid w:val="00AD04D3"/>
    <w:rsid w:val="00AD0CF6"/>
    <w:rsid w:val="00AD169B"/>
    <w:rsid w:val="00AD6DB3"/>
    <w:rsid w:val="00AD7098"/>
    <w:rsid w:val="00AF0562"/>
    <w:rsid w:val="00B04788"/>
    <w:rsid w:val="00B06C21"/>
    <w:rsid w:val="00B07778"/>
    <w:rsid w:val="00B10453"/>
    <w:rsid w:val="00B10E37"/>
    <w:rsid w:val="00B165F0"/>
    <w:rsid w:val="00B20CD2"/>
    <w:rsid w:val="00B21287"/>
    <w:rsid w:val="00B26E1A"/>
    <w:rsid w:val="00B26F2C"/>
    <w:rsid w:val="00B27AE5"/>
    <w:rsid w:val="00B32D55"/>
    <w:rsid w:val="00B407B7"/>
    <w:rsid w:val="00B40C2D"/>
    <w:rsid w:val="00B50D5E"/>
    <w:rsid w:val="00B57EC7"/>
    <w:rsid w:val="00B606FB"/>
    <w:rsid w:val="00B607AE"/>
    <w:rsid w:val="00B612E7"/>
    <w:rsid w:val="00B72B51"/>
    <w:rsid w:val="00B92B14"/>
    <w:rsid w:val="00B93287"/>
    <w:rsid w:val="00BA2E08"/>
    <w:rsid w:val="00BA3B3E"/>
    <w:rsid w:val="00BA761E"/>
    <w:rsid w:val="00BB3BD5"/>
    <w:rsid w:val="00BD4559"/>
    <w:rsid w:val="00BD5C2B"/>
    <w:rsid w:val="00BD6B8C"/>
    <w:rsid w:val="00BE48C0"/>
    <w:rsid w:val="00BF482A"/>
    <w:rsid w:val="00BF5367"/>
    <w:rsid w:val="00BF6D0E"/>
    <w:rsid w:val="00BF72AE"/>
    <w:rsid w:val="00C053BB"/>
    <w:rsid w:val="00C07817"/>
    <w:rsid w:val="00C11726"/>
    <w:rsid w:val="00C11AA2"/>
    <w:rsid w:val="00C205E5"/>
    <w:rsid w:val="00C24259"/>
    <w:rsid w:val="00C24BAC"/>
    <w:rsid w:val="00C26D06"/>
    <w:rsid w:val="00C27C64"/>
    <w:rsid w:val="00C36082"/>
    <w:rsid w:val="00C37643"/>
    <w:rsid w:val="00C41F8A"/>
    <w:rsid w:val="00C42F0B"/>
    <w:rsid w:val="00C56B87"/>
    <w:rsid w:val="00C57113"/>
    <w:rsid w:val="00C60F3E"/>
    <w:rsid w:val="00C6166D"/>
    <w:rsid w:val="00C62464"/>
    <w:rsid w:val="00C65D84"/>
    <w:rsid w:val="00C72519"/>
    <w:rsid w:val="00C75116"/>
    <w:rsid w:val="00C76E03"/>
    <w:rsid w:val="00C77CF2"/>
    <w:rsid w:val="00C83803"/>
    <w:rsid w:val="00C907A3"/>
    <w:rsid w:val="00C92A42"/>
    <w:rsid w:val="00CA6F2A"/>
    <w:rsid w:val="00CB4E16"/>
    <w:rsid w:val="00CB6FA1"/>
    <w:rsid w:val="00CC62C4"/>
    <w:rsid w:val="00CC7855"/>
    <w:rsid w:val="00CD72A7"/>
    <w:rsid w:val="00CE0678"/>
    <w:rsid w:val="00CE10CD"/>
    <w:rsid w:val="00CE6E6A"/>
    <w:rsid w:val="00CF2916"/>
    <w:rsid w:val="00CF3AC2"/>
    <w:rsid w:val="00CF5DCD"/>
    <w:rsid w:val="00D07064"/>
    <w:rsid w:val="00D17123"/>
    <w:rsid w:val="00D179A0"/>
    <w:rsid w:val="00D250C8"/>
    <w:rsid w:val="00D279FC"/>
    <w:rsid w:val="00D34F5E"/>
    <w:rsid w:val="00D35A98"/>
    <w:rsid w:val="00D43903"/>
    <w:rsid w:val="00D45AD7"/>
    <w:rsid w:val="00D55ADD"/>
    <w:rsid w:val="00D64FF5"/>
    <w:rsid w:val="00D651A1"/>
    <w:rsid w:val="00D65795"/>
    <w:rsid w:val="00D67B4A"/>
    <w:rsid w:val="00D737A3"/>
    <w:rsid w:val="00D765AE"/>
    <w:rsid w:val="00D805E8"/>
    <w:rsid w:val="00D8544F"/>
    <w:rsid w:val="00D95F7A"/>
    <w:rsid w:val="00D97428"/>
    <w:rsid w:val="00DA0FA6"/>
    <w:rsid w:val="00DB3604"/>
    <w:rsid w:val="00DB4DC4"/>
    <w:rsid w:val="00DC111B"/>
    <w:rsid w:val="00DC29F5"/>
    <w:rsid w:val="00DC5669"/>
    <w:rsid w:val="00DD04A9"/>
    <w:rsid w:val="00DD33DF"/>
    <w:rsid w:val="00DD4A27"/>
    <w:rsid w:val="00DE0FC5"/>
    <w:rsid w:val="00DE1293"/>
    <w:rsid w:val="00DE67A8"/>
    <w:rsid w:val="00DF4A53"/>
    <w:rsid w:val="00DF6116"/>
    <w:rsid w:val="00DF6E0E"/>
    <w:rsid w:val="00E0208E"/>
    <w:rsid w:val="00E12DF5"/>
    <w:rsid w:val="00E2349F"/>
    <w:rsid w:val="00E2445F"/>
    <w:rsid w:val="00E2778C"/>
    <w:rsid w:val="00E33061"/>
    <w:rsid w:val="00E334B0"/>
    <w:rsid w:val="00E41E87"/>
    <w:rsid w:val="00E42165"/>
    <w:rsid w:val="00E45B62"/>
    <w:rsid w:val="00E51AB8"/>
    <w:rsid w:val="00E54343"/>
    <w:rsid w:val="00E6088B"/>
    <w:rsid w:val="00E64282"/>
    <w:rsid w:val="00E64C48"/>
    <w:rsid w:val="00E71F1F"/>
    <w:rsid w:val="00E722CA"/>
    <w:rsid w:val="00E73227"/>
    <w:rsid w:val="00E827C5"/>
    <w:rsid w:val="00E82DFF"/>
    <w:rsid w:val="00E83000"/>
    <w:rsid w:val="00E841B0"/>
    <w:rsid w:val="00E93F2C"/>
    <w:rsid w:val="00E97CCE"/>
    <w:rsid w:val="00EA34EB"/>
    <w:rsid w:val="00EC09B2"/>
    <w:rsid w:val="00ED3BCF"/>
    <w:rsid w:val="00ED4ABC"/>
    <w:rsid w:val="00ED6B7C"/>
    <w:rsid w:val="00EE1C5E"/>
    <w:rsid w:val="00EE6F42"/>
    <w:rsid w:val="00EF4243"/>
    <w:rsid w:val="00EF4E03"/>
    <w:rsid w:val="00EF6A4B"/>
    <w:rsid w:val="00F14F75"/>
    <w:rsid w:val="00F150BB"/>
    <w:rsid w:val="00F24980"/>
    <w:rsid w:val="00F24EB2"/>
    <w:rsid w:val="00F32021"/>
    <w:rsid w:val="00F33065"/>
    <w:rsid w:val="00F3433E"/>
    <w:rsid w:val="00F36757"/>
    <w:rsid w:val="00F37E0C"/>
    <w:rsid w:val="00F46AA5"/>
    <w:rsid w:val="00F50A07"/>
    <w:rsid w:val="00F57119"/>
    <w:rsid w:val="00F6367D"/>
    <w:rsid w:val="00F65ABF"/>
    <w:rsid w:val="00F65DCD"/>
    <w:rsid w:val="00F678C9"/>
    <w:rsid w:val="00F77C13"/>
    <w:rsid w:val="00F8330B"/>
    <w:rsid w:val="00F83DC2"/>
    <w:rsid w:val="00F86FA3"/>
    <w:rsid w:val="00F94979"/>
    <w:rsid w:val="00F95454"/>
    <w:rsid w:val="00F95C29"/>
    <w:rsid w:val="00F95C54"/>
    <w:rsid w:val="00FA3668"/>
    <w:rsid w:val="00FA5118"/>
    <w:rsid w:val="00FA5818"/>
    <w:rsid w:val="00FB07D8"/>
    <w:rsid w:val="00FB2022"/>
    <w:rsid w:val="00FB3980"/>
    <w:rsid w:val="00FB7008"/>
    <w:rsid w:val="00FC1FA6"/>
    <w:rsid w:val="00FC43CD"/>
    <w:rsid w:val="00FC4EF6"/>
    <w:rsid w:val="00FC6DA7"/>
    <w:rsid w:val="00FC75D3"/>
    <w:rsid w:val="00FD2279"/>
    <w:rsid w:val="00FD6142"/>
    <w:rsid w:val="00FD74D2"/>
    <w:rsid w:val="00FE0C76"/>
    <w:rsid w:val="00FE113A"/>
    <w:rsid w:val="00FE2385"/>
    <w:rsid w:val="00FF028F"/>
    <w:rsid w:val="00FF0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A2211DE"/>
  <w15:docId w15:val="{A9B5ACBE-D485-4EED-82A6-7192B712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table" w:styleId="TableGrid">
    <w:name w:val="Table Grid"/>
    <w:basedOn w:val="TableNormal"/>
    <w:rsid w:val="00945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7047B"/>
    <w:rPr>
      <w:sz w:val="16"/>
      <w:szCs w:val="16"/>
    </w:rPr>
  </w:style>
  <w:style w:type="paragraph" w:styleId="CommentText">
    <w:name w:val="annotation text"/>
    <w:basedOn w:val="Normal"/>
    <w:link w:val="CommentTextChar"/>
    <w:rsid w:val="0087047B"/>
    <w:rPr>
      <w:sz w:val="20"/>
      <w:szCs w:val="20"/>
    </w:rPr>
  </w:style>
  <w:style w:type="character" w:customStyle="1" w:styleId="CommentTextChar">
    <w:name w:val="Comment Text Char"/>
    <w:basedOn w:val="DefaultParagraphFont"/>
    <w:link w:val="CommentText"/>
    <w:rsid w:val="0087047B"/>
    <w:rPr>
      <w:lang w:val="en-US" w:eastAsia="en-US"/>
    </w:rPr>
  </w:style>
  <w:style w:type="paragraph" w:styleId="CommentSubject">
    <w:name w:val="annotation subject"/>
    <w:basedOn w:val="CommentText"/>
    <w:next w:val="CommentText"/>
    <w:link w:val="CommentSubjectChar"/>
    <w:rsid w:val="0087047B"/>
    <w:rPr>
      <w:b/>
      <w:bCs/>
    </w:rPr>
  </w:style>
  <w:style w:type="character" w:customStyle="1" w:styleId="CommentSubjectChar">
    <w:name w:val="Comment Subject Char"/>
    <w:basedOn w:val="CommentTextChar"/>
    <w:link w:val="CommentSubject"/>
    <w:rsid w:val="0087047B"/>
    <w:rPr>
      <w:b/>
      <w:bCs/>
      <w:lang w:val="en-US" w:eastAsia="en-US"/>
    </w:rPr>
  </w:style>
  <w:style w:type="paragraph" w:styleId="PlainText">
    <w:name w:val="Plain Text"/>
    <w:basedOn w:val="Normal"/>
    <w:link w:val="PlainTextChar"/>
    <w:uiPriority w:val="99"/>
    <w:unhideWhenUsed/>
    <w:rsid w:val="00B607AE"/>
    <w:rPr>
      <w:rFonts w:ascii="Calibri" w:eastAsiaTheme="minorHAnsi" w:hAnsi="Calibri"/>
      <w:sz w:val="22"/>
      <w:szCs w:val="22"/>
      <w:lang w:val="en-GB"/>
    </w:rPr>
  </w:style>
  <w:style w:type="character" w:customStyle="1" w:styleId="PlainTextChar">
    <w:name w:val="Plain Text Char"/>
    <w:basedOn w:val="DefaultParagraphFont"/>
    <w:link w:val="PlainText"/>
    <w:uiPriority w:val="99"/>
    <w:rsid w:val="00B607AE"/>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937261">
      <w:bodyDiv w:val="1"/>
      <w:marLeft w:val="0"/>
      <w:marRight w:val="0"/>
      <w:marTop w:val="0"/>
      <w:marBottom w:val="0"/>
      <w:divBdr>
        <w:top w:val="none" w:sz="0" w:space="0" w:color="auto"/>
        <w:left w:val="none" w:sz="0" w:space="0" w:color="auto"/>
        <w:bottom w:val="none" w:sz="0" w:space="0" w:color="auto"/>
        <w:right w:val="none" w:sz="0" w:space="0" w:color="auto"/>
      </w:divBdr>
    </w:div>
    <w:div w:id="126002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11D20DB0B3A34382BFFE51616FA9E5" ma:contentTypeVersion="11" ma:contentTypeDescription="Create a new document." ma:contentTypeScope="" ma:versionID="9931e9f253027a22cc8e7d6b1f6850d8">
  <xsd:schema xmlns:xsd="http://www.w3.org/2001/XMLSchema" xmlns:xs="http://www.w3.org/2001/XMLSchema" xmlns:p="http://schemas.microsoft.com/office/2006/metadata/properties" xmlns:ns3="4251f0ae-74e5-42fc-8a32-28635a7ae57c" xmlns:ns4="291da78b-e4db-473a-82e8-1b8d459a8e38" targetNamespace="http://schemas.microsoft.com/office/2006/metadata/properties" ma:root="true" ma:fieldsID="2bc7f08da84a893204f76d944e1de3c3" ns3:_="" ns4:_="">
    <xsd:import namespace="4251f0ae-74e5-42fc-8a32-28635a7ae57c"/>
    <xsd:import namespace="291da78b-e4db-473a-82e8-1b8d459a8e3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1f0ae-74e5-42fc-8a32-28635a7ae5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1da78b-e4db-473a-82e8-1b8d459a8e3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1C387-0468-49DA-9704-986A1C550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1f0ae-74e5-42fc-8a32-28635a7ae57c"/>
    <ds:schemaRef ds:uri="291da78b-e4db-473a-82e8-1b8d459a8e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E8D391-6F8A-4F10-A708-8CD71F681CD5}">
  <ds:schemaRefs>
    <ds:schemaRef ds:uri="http://schemas.microsoft.com/sharepoint/v3/contenttype/forms"/>
  </ds:schemaRefs>
</ds:datastoreItem>
</file>

<file path=customXml/itemProps3.xml><?xml version="1.0" encoding="utf-8"?>
<ds:datastoreItem xmlns:ds="http://schemas.openxmlformats.org/officeDocument/2006/customXml" ds:itemID="{DA918AF2-9D00-4F45-A909-955C5592F69D}">
  <ds:schemaRefs>
    <ds:schemaRef ds:uri="http://purl.org/dc/terms/"/>
    <ds:schemaRef ds:uri="4251f0ae-74e5-42fc-8a32-28635a7ae57c"/>
    <ds:schemaRef ds:uri="http://www.w3.org/XML/1998/namespace"/>
    <ds:schemaRef ds:uri="http://schemas.microsoft.com/office/2006/metadata/properties"/>
    <ds:schemaRef ds:uri="291da78b-e4db-473a-82e8-1b8d459a8e38"/>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purl.org/dc/dcmitype/"/>
  </ds:schemaRefs>
</ds:datastoreItem>
</file>

<file path=customXml/itemProps4.xml><?xml version="1.0" encoding="utf-8"?>
<ds:datastoreItem xmlns:ds="http://schemas.openxmlformats.org/officeDocument/2006/customXml" ds:itemID="{D32FAB56-FB4F-41A0-B3F2-3530513DA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1008</Words>
  <Characters>5640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StackJ</dc:creator>
  <cp:lastModifiedBy>Valkeinen Katariina (RNU) Oxford Health</cp:lastModifiedBy>
  <cp:revision>2</cp:revision>
  <cp:lastPrinted>2014-03-17T14:55:00Z</cp:lastPrinted>
  <dcterms:created xsi:type="dcterms:W3CDTF">2019-09-23T08:46:00Z</dcterms:created>
  <dcterms:modified xsi:type="dcterms:W3CDTF">2019-09-23T08:46:00Z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0x0101004111D20DB0B3A34382BFFE51616FA9E5</vt:lpwstr>
  </property>
</Properties>
</file>