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4199A" w:rsidRDefault="00866990">
                            <w:pPr>
                              <w:jc w:val="center"/>
                              <w:rPr>
                                <w:rFonts w:ascii="Segoe UI" w:hAnsi="Segoe UI" w:cs="Segoe UI"/>
                              </w:rPr>
                            </w:pPr>
                            <w:r>
                              <w:rPr>
                                <w:rFonts w:ascii="Segoe UI" w:hAnsi="Segoe UI" w:cs="Segoe UI"/>
                                <w:b/>
                              </w:rPr>
                              <w:t xml:space="preserve">BOD </w:t>
                            </w:r>
                            <w:r w:rsidR="00E27187">
                              <w:rPr>
                                <w:rFonts w:ascii="Segoe UI" w:hAnsi="Segoe UI" w:cs="Segoe UI"/>
                                <w:b/>
                              </w:rPr>
                              <w:t>04</w:t>
                            </w:r>
                            <w:r w:rsidR="0014199A">
                              <w:rPr>
                                <w:rFonts w:ascii="Segoe UI" w:hAnsi="Segoe UI" w:cs="Segoe UI"/>
                                <w:b/>
                              </w:rPr>
                              <w:t>/201</w:t>
                            </w:r>
                            <w:r w:rsidR="00E27187">
                              <w:rPr>
                                <w:rFonts w:ascii="Segoe UI" w:hAnsi="Segoe UI" w:cs="Segoe UI"/>
                                <w:b/>
                              </w:rPr>
                              <w:t>9</w:t>
                            </w:r>
                          </w:p>
                          <w:p w:rsidR="0014199A" w:rsidRPr="00FA3993" w:rsidRDefault="00866990">
                            <w:pPr>
                              <w:jc w:val="center"/>
                              <w:rPr>
                                <w:rFonts w:ascii="Segoe UI" w:hAnsi="Segoe UI" w:cs="Segoe UI"/>
                                <w:sz w:val="22"/>
                                <w:szCs w:val="22"/>
                              </w:rPr>
                            </w:pPr>
                            <w:r>
                              <w:rPr>
                                <w:rFonts w:ascii="Segoe UI" w:hAnsi="Segoe UI" w:cs="Segoe UI"/>
                                <w:sz w:val="22"/>
                                <w:szCs w:val="22"/>
                              </w:rPr>
                              <w:t xml:space="preserve">(Agenda item: </w:t>
                            </w:r>
                            <w:r w:rsidR="00E27187">
                              <w:rPr>
                                <w:rFonts w:ascii="Segoe UI" w:hAnsi="Segoe UI" w:cs="Segoe UI"/>
                                <w:sz w:val="22"/>
                                <w:szCs w:val="22"/>
                              </w:rPr>
                              <w:t>6</w:t>
                            </w:r>
                            <w:r w:rsidR="0014199A">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14199A" w:rsidRDefault="00866990">
                      <w:pPr>
                        <w:jc w:val="center"/>
                        <w:rPr>
                          <w:rFonts w:ascii="Segoe UI" w:hAnsi="Segoe UI" w:cs="Segoe UI"/>
                        </w:rPr>
                      </w:pPr>
                      <w:r>
                        <w:rPr>
                          <w:rFonts w:ascii="Segoe UI" w:hAnsi="Segoe UI" w:cs="Segoe UI"/>
                          <w:b/>
                        </w:rPr>
                        <w:t xml:space="preserve">BOD </w:t>
                      </w:r>
                      <w:r w:rsidR="00E27187">
                        <w:rPr>
                          <w:rFonts w:ascii="Segoe UI" w:hAnsi="Segoe UI" w:cs="Segoe UI"/>
                          <w:b/>
                        </w:rPr>
                        <w:t>04</w:t>
                      </w:r>
                      <w:r w:rsidR="0014199A">
                        <w:rPr>
                          <w:rFonts w:ascii="Segoe UI" w:hAnsi="Segoe UI" w:cs="Segoe UI"/>
                          <w:b/>
                        </w:rPr>
                        <w:t>/201</w:t>
                      </w:r>
                      <w:r w:rsidR="00E27187">
                        <w:rPr>
                          <w:rFonts w:ascii="Segoe UI" w:hAnsi="Segoe UI" w:cs="Segoe UI"/>
                          <w:b/>
                        </w:rPr>
                        <w:t>9</w:t>
                      </w:r>
                    </w:p>
                    <w:p w:rsidR="0014199A" w:rsidRPr="00FA3993" w:rsidRDefault="00866990">
                      <w:pPr>
                        <w:jc w:val="center"/>
                        <w:rPr>
                          <w:rFonts w:ascii="Segoe UI" w:hAnsi="Segoe UI" w:cs="Segoe UI"/>
                          <w:sz w:val="22"/>
                          <w:szCs w:val="22"/>
                        </w:rPr>
                      </w:pPr>
                      <w:r>
                        <w:rPr>
                          <w:rFonts w:ascii="Segoe UI" w:hAnsi="Segoe UI" w:cs="Segoe UI"/>
                          <w:sz w:val="22"/>
                          <w:szCs w:val="22"/>
                        </w:rPr>
                        <w:t xml:space="preserve">(Agenda item: </w:t>
                      </w:r>
                      <w:r w:rsidR="00E27187">
                        <w:rPr>
                          <w:rFonts w:ascii="Segoe UI" w:hAnsi="Segoe UI" w:cs="Segoe UI"/>
                          <w:sz w:val="22"/>
                          <w:szCs w:val="22"/>
                        </w:rPr>
                        <w:t>6</w:t>
                      </w:r>
                      <w:r w:rsidR="0014199A">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D6680A" w:rsidRDefault="00E27187">
      <w:pPr>
        <w:jc w:val="center"/>
        <w:rPr>
          <w:rFonts w:ascii="Segoe UI" w:hAnsi="Segoe UI" w:cs="Segoe UI"/>
          <w:b/>
        </w:rPr>
      </w:pPr>
      <w:r>
        <w:rPr>
          <w:rFonts w:ascii="Segoe UI" w:hAnsi="Segoe UI" w:cs="Segoe UI"/>
          <w:b/>
        </w:rPr>
        <w:t xml:space="preserve">31 </w:t>
      </w:r>
      <w:r w:rsidR="008D1010">
        <w:rPr>
          <w:rFonts w:ascii="Segoe UI" w:hAnsi="Segoe UI" w:cs="Segoe UI"/>
          <w:b/>
        </w:rPr>
        <w:t>January 2019</w:t>
      </w:r>
      <w:bookmarkStart w:id="0" w:name="_GoBack"/>
      <w:bookmarkEnd w:id="0"/>
    </w:p>
    <w:p w:rsidR="005D3499" w:rsidRPr="00D6680A" w:rsidRDefault="005D3499">
      <w:pPr>
        <w:jc w:val="center"/>
        <w:rPr>
          <w:rFonts w:ascii="Segoe UI" w:hAnsi="Segoe UI" w:cs="Segoe UI"/>
          <w:b/>
        </w:rPr>
      </w:pPr>
    </w:p>
    <w:p w:rsidR="005D3499" w:rsidRPr="00D6680A" w:rsidRDefault="00C93210" w:rsidP="00FD2279">
      <w:pPr>
        <w:jc w:val="center"/>
        <w:rPr>
          <w:rFonts w:ascii="Segoe UI" w:hAnsi="Segoe UI" w:cs="Segoe UI"/>
          <w:b/>
        </w:rPr>
      </w:pPr>
      <w:r w:rsidRPr="00D6680A">
        <w:rPr>
          <w:rFonts w:ascii="Segoe UI" w:hAnsi="Segoe UI" w:cs="Segoe UI"/>
          <w:b/>
        </w:rPr>
        <w:t>Human Resources Report</w:t>
      </w:r>
    </w:p>
    <w:p w:rsidR="005D3499" w:rsidRPr="00D6680A" w:rsidRDefault="005D3499">
      <w:pPr>
        <w:rPr>
          <w:rFonts w:ascii="Segoe UI" w:hAnsi="Segoe UI" w:cs="Segoe UI"/>
          <w:b/>
        </w:rPr>
      </w:pPr>
    </w:p>
    <w:p w:rsidR="00241A66" w:rsidRPr="00D6680A" w:rsidRDefault="00292613" w:rsidP="00241A66">
      <w:pPr>
        <w:jc w:val="center"/>
        <w:rPr>
          <w:rFonts w:ascii="Segoe UI" w:hAnsi="Segoe UI" w:cs="Segoe UI"/>
        </w:rPr>
      </w:pPr>
      <w:r w:rsidRPr="00D6680A">
        <w:rPr>
          <w:rFonts w:ascii="Segoe UI" w:hAnsi="Segoe UI" w:cs="Segoe UI"/>
          <w:b/>
          <w:u w:val="single"/>
        </w:rPr>
        <w:t>For: Information</w:t>
      </w:r>
    </w:p>
    <w:p w:rsidR="00292613" w:rsidRPr="00D6680A" w:rsidRDefault="00292613">
      <w:pPr>
        <w:rPr>
          <w:rFonts w:ascii="Segoe UI" w:hAnsi="Segoe UI" w:cs="Segoe UI"/>
          <w:b/>
        </w:rPr>
      </w:pPr>
    </w:p>
    <w:p w:rsidR="00C93210" w:rsidRPr="00D6680A" w:rsidRDefault="00C93210" w:rsidP="00C93210">
      <w:pPr>
        <w:jc w:val="both"/>
        <w:rPr>
          <w:rFonts w:ascii="Segoe UI" w:hAnsi="Segoe UI" w:cs="Segoe UI"/>
        </w:rPr>
      </w:pPr>
      <w:r w:rsidRPr="00D6680A">
        <w:rPr>
          <w:rFonts w:ascii="Segoe UI" w:hAnsi="Segoe UI" w:cs="Segoe UI"/>
        </w:rPr>
        <w:t xml:space="preserve">This report shows the position on the workforce performance indicators as at the end of </w:t>
      </w:r>
      <w:r w:rsidR="008D1010">
        <w:rPr>
          <w:rFonts w:ascii="Segoe UI" w:hAnsi="Segoe UI" w:cs="Segoe UI"/>
        </w:rPr>
        <w:t xml:space="preserve">December </w:t>
      </w:r>
      <w:r w:rsidR="001D39E4" w:rsidRPr="00D6680A">
        <w:rPr>
          <w:rFonts w:ascii="Segoe UI" w:hAnsi="Segoe UI" w:cs="Segoe UI"/>
        </w:rPr>
        <w:t>2018.</w:t>
      </w:r>
    </w:p>
    <w:p w:rsidR="00C93210" w:rsidRPr="00D6680A" w:rsidRDefault="00C93210" w:rsidP="00C93210">
      <w:pPr>
        <w:ind w:left="-851"/>
        <w:jc w:val="both"/>
        <w:rPr>
          <w:rFonts w:ascii="Segoe UI" w:hAnsi="Segoe UI" w:cs="Segoe UI"/>
        </w:rPr>
      </w:pPr>
    </w:p>
    <w:p w:rsidR="00C93210" w:rsidRDefault="00C93210" w:rsidP="00C93210">
      <w:pPr>
        <w:jc w:val="both"/>
        <w:rPr>
          <w:rFonts w:ascii="Segoe UI" w:hAnsi="Segoe UI" w:cs="Segoe UI"/>
        </w:rPr>
      </w:pPr>
      <w:r w:rsidRPr="00D6680A">
        <w:rPr>
          <w:rFonts w:ascii="Segoe UI" w:hAnsi="Segoe UI" w:cs="Segoe UI"/>
        </w:rPr>
        <w:t>The report includes brief details of actions already in place to address some of the challenges as well as plans being developed.</w:t>
      </w:r>
    </w:p>
    <w:p w:rsidR="002E6022" w:rsidRDefault="002E6022" w:rsidP="00C93210">
      <w:pPr>
        <w:jc w:val="both"/>
        <w:rPr>
          <w:rFonts w:ascii="Segoe UI" w:hAnsi="Segoe UI" w:cs="Segoe UI"/>
        </w:rPr>
      </w:pPr>
    </w:p>
    <w:p w:rsidR="002E6022" w:rsidRPr="009E0559" w:rsidRDefault="002E6022" w:rsidP="00C93210">
      <w:pPr>
        <w:jc w:val="both"/>
        <w:rPr>
          <w:rFonts w:ascii="Segoe UI" w:hAnsi="Segoe UI" w:cs="Segoe UI"/>
        </w:rPr>
      </w:pPr>
      <w:r>
        <w:rPr>
          <w:rFonts w:ascii="Segoe UI" w:hAnsi="Segoe UI" w:cs="Segoe UI"/>
        </w:rPr>
        <w:t>The accompanying slide pack shows the HR KPIs reported under the new operational directorate structure.</w:t>
      </w:r>
    </w:p>
    <w:p w:rsidR="004F3BE2" w:rsidRPr="009E0559" w:rsidRDefault="004F3BE2" w:rsidP="00C93210">
      <w:pPr>
        <w:rPr>
          <w:rFonts w:ascii="Segoe UI" w:hAnsi="Segoe UI" w:cs="Segoe UI"/>
          <w:lang w:val="en-GB"/>
        </w:rPr>
      </w:pPr>
    </w:p>
    <w:p w:rsidR="005064B3" w:rsidRPr="005064B3" w:rsidRDefault="005064B3" w:rsidP="005064B3">
      <w:pPr>
        <w:rPr>
          <w:rFonts w:ascii="Segoe UI" w:hAnsi="Segoe UI" w:cs="Segoe UI"/>
          <w:b/>
        </w:rPr>
      </w:pPr>
      <w:r w:rsidRPr="005064B3">
        <w:rPr>
          <w:rFonts w:ascii="Segoe UI" w:hAnsi="Segoe UI" w:cs="Segoe UI"/>
          <w:b/>
        </w:rPr>
        <w:t>CQC</w:t>
      </w:r>
    </w:p>
    <w:p w:rsidR="00A65AF3" w:rsidRPr="00A65AF3" w:rsidRDefault="005064B3" w:rsidP="005064B3">
      <w:pPr>
        <w:rPr>
          <w:rFonts w:ascii="Segoe UI" w:hAnsi="Segoe UI" w:cs="Segoe UI"/>
        </w:rPr>
      </w:pPr>
      <w:r w:rsidRPr="00FD614C">
        <w:rPr>
          <w:rFonts w:ascii="Segoe UI" w:hAnsi="Segoe UI" w:cs="Segoe UI"/>
        </w:rPr>
        <w:t xml:space="preserve">Oxford Health along with other providers in the system took part in the CQC’s system-wide audit in Oxfordshire and the CQC noted that good progress is now being made in terms of collaboration and joint working on the people agenda, </w:t>
      </w:r>
      <w:r w:rsidRPr="00A65AF3">
        <w:rPr>
          <w:rFonts w:ascii="Segoe UI" w:hAnsi="Segoe UI" w:cs="Segoe UI"/>
        </w:rPr>
        <w:t>primarily around recruitment, retention and engagement.</w:t>
      </w:r>
      <w:r w:rsidR="00A65AF3" w:rsidRPr="00A65AF3">
        <w:rPr>
          <w:rFonts w:ascii="Segoe UI" w:hAnsi="Segoe UI" w:cs="Segoe UI"/>
        </w:rPr>
        <w:t xml:space="preserve"> </w:t>
      </w:r>
    </w:p>
    <w:p w:rsidR="00A65AF3" w:rsidRPr="00A65AF3" w:rsidRDefault="00A65AF3" w:rsidP="005064B3">
      <w:pPr>
        <w:rPr>
          <w:rFonts w:ascii="Segoe UI" w:hAnsi="Segoe UI" w:cs="Segoe UI"/>
        </w:rPr>
      </w:pPr>
    </w:p>
    <w:p w:rsidR="005064B3" w:rsidRPr="00A65AF3" w:rsidRDefault="00A65AF3" w:rsidP="005064B3">
      <w:pPr>
        <w:rPr>
          <w:rFonts w:ascii="Segoe UI" w:hAnsi="Segoe UI" w:cs="Segoe UI"/>
        </w:rPr>
      </w:pPr>
      <w:r w:rsidRPr="00A65AF3">
        <w:rPr>
          <w:rFonts w:ascii="Segoe UI" w:hAnsi="Segoe UI" w:cs="Segoe UI"/>
        </w:rPr>
        <w:t xml:space="preserve">One area of suggested additional focus is on Values Based Recruitment which we will </w:t>
      </w:r>
      <w:r>
        <w:rPr>
          <w:rFonts w:ascii="Segoe UI" w:hAnsi="Segoe UI" w:cs="Segoe UI"/>
        </w:rPr>
        <w:t xml:space="preserve">explore </w:t>
      </w:r>
      <w:r w:rsidRPr="00A65AF3">
        <w:rPr>
          <w:rFonts w:ascii="Segoe UI" w:hAnsi="Segoe UI" w:cs="Segoe UI"/>
        </w:rPr>
        <w:t>further.</w:t>
      </w:r>
    </w:p>
    <w:p w:rsidR="005064B3" w:rsidRDefault="005064B3" w:rsidP="00C93210">
      <w:pPr>
        <w:rPr>
          <w:rFonts w:ascii="Segoe UI" w:eastAsiaTheme="majorEastAsia" w:hAnsi="Segoe UI" w:cs="Segoe UI"/>
          <w:b/>
          <w:color w:val="000000" w:themeColor="text1"/>
          <w:kern w:val="24"/>
        </w:rPr>
      </w:pPr>
    </w:p>
    <w:p w:rsidR="00F50721" w:rsidRPr="009E0559" w:rsidRDefault="00F50721" w:rsidP="00C93210">
      <w:pPr>
        <w:rPr>
          <w:rFonts w:ascii="Segoe UI" w:eastAsiaTheme="majorEastAsia" w:hAnsi="Segoe UI" w:cs="Segoe UI"/>
          <w:b/>
          <w:color w:val="000000" w:themeColor="text1"/>
          <w:kern w:val="24"/>
        </w:rPr>
      </w:pPr>
      <w:r w:rsidRPr="009E0559">
        <w:rPr>
          <w:rFonts w:ascii="Segoe UI" w:eastAsiaTheme="majorEastAsia" w:hAnsi="Segoe UI" w:cs="Segoe UI"/>
          <w:b/>
          <w:color w:val="000000" w:themeColor="text1"/>
          <w:kern w:val="24"/>
        </w:rPr>
        <w:t>HCA Agency Reduction</w:t>
      </w:r>
    </w:p>
    <w:p w:rsidR="00B06EBE" w:rsidRDefault="00B06EBE" w:rsidP="00B06EBE">
      <w:pPr>
        <w:jc w:val="both"/>
        <w:rPr>
          <w:rFonts w:ascii="Segoe UI" w:eastAsiaTheme="minorEastAsia" w:hAnsi="Segoe UI" w:cs="Segoe UI"/>
          <w:lang w:val="en-GB"/>
        </w:rPr>
      </w:pPr>
      <w:bookmarkStart w:id="1" w:name="_Hlk530040147"/>
      <w:r w:rsidRPr="00B06EBE">
        <w:rPr>
          <w:rFonts w:ascii="Segoe UI" w:eastAsiaTheme="minorEastAsia" w:hAnsi="Segoe UI" w:cs="Segoe UI"/>
          <w:lang w:val="en-GB"/>
        </w:rPr>
        <w:t xml:space="preserve">On 14 May the Trust stopped using Agency HCA workers across inpatient units.  Where </w:t>
      </w:r>
      <w:proofErr w:type="gramStart"/>
      <w:r w:rsidRPr="00B06EBE">
        <w:rPr>
          <w:rFonts w:ascii="Segoe UI" w:eastAsiaTheme="minorEastAsia" w:hAnsi="Segoe UI" w:cs="Segoe UI"/>
          <w:lang w:val="en-GB"/>
        </w:rPr>
        <w:t>a</w:t>
      </w:r>
      <w:proofErr w:type="gramEnd"/>
      <w:r w:rsidRPr="00B06EBE">
        <w:rPr>
          <w:rFonts w:ascii="Segoe UI" w:eastAsiaTheme="minorEastAsia" w:hAnsi="Segoe UI" w:cs="Segoe UI"/>
          <w:lang w:val="en-GB"/>
        </w:rPr>
        <w:t xml:space="preserve"> HCA Flexible Worker cannot be sourced Registered Nurses are used.    The number of temporary staffing shifts worked across inpatient units increased by 564 </w:t>
      </w:r>
      <w:r w:rsidRPr="00B06EBE">
        <w:rPr>
          <w:rFonts w:ascii="Segoe UI" w:eastAsiaTheme="minorEastAsia" w:hAnsi="Segoe UI" w:cs="Segoe UI"/>
          <w:lang w:val="en-GB"/>
        </w:rPr>
        <w:lastRenderedPageBreak/>
        <w:t xml:space="preserve">between November and December.  366 of these additional duties were filled by bank and 198 by agency. </w:t>
      </w:r>
    </w:p>
    <w:p w:rsidR="00B06EBE" w:rsidRPr="00B06EBE" w:rsidRDefault="00B06EBE" w:rsidP="00B06EBE">
      <w:pPr>
        <w:jc w:val="both"/>
        <w:rPr>
          <w:rFonts w:ascii="Segoe UI" w:eastAsiaTheme="minorEastAsia" w:hAnsi="Segoe UI" w:cs="Segoe UI"/>
          <w:lang w:val="en-GB"/>
        </w:rPr>
      </w:pPr>
    </w:p>
    <w:p w:rsidR="00B06EBE" w:rsidRPr="00B06EBE" w:rsidRDefault="00B06EBE" w:rsidP="00B06EBE">
      <w:pPr>
        <w:jc w:val="both"/>
        <w:rPr>
          <w:rFonts w:ascii="Segoe UI" w:eastAsiaTheme="minorEastAsia" w:hAnsi="Segoe UI" w:cs="Segoe UI"/>
          <w:lang w:val="en-GB"/>
        </w:rPr>
      </w:pPr>
      <w:r w:rsidRPr="00B06EBE">
        <w:rPr>
          <w:rFonts w:ascii="Segoe UI" w:eastAsiaTheme="minorEastAsia" w:hAnsi="Segoe UI" w:cs="Segoe UI"/>
          <w:lang w:val="en-GB"/>
        </w:rPr>
        <w:t xml:space="preserve">NHSI Agency rule overrides rose by 8 to 841, however the use of Thornbury rose from 318 to 457 shifts, similar levels to those seen in October and August.  Grade Swops increased by 100 to 592.   The number of unfilled shifts remained at 6%, 416 shifts.  </w:t>
      </w:r>
    </w:p>
    <w:p w:rsidR="00B06EBE" w:rsidRDefault="00B06EBE" w:rsidP="00B06EBE">
      <w:pPr>
        <w:jc w:val="both"/>
        <w:rPr>
          <w:rFonts w:ascii="Segoe UI" w:eastAsiaTheme="minorEastAsia" w:hAnsi="Segoe UI" w:cs="Segoe UI"/>
          <w:lang w:val="en-GB"/>
        </w:rPr>
      </w:pPr>
    </w:p>
    <w:p w:rsidR="00B06EBE" w:rsidRPr="00B06EBE" w:rsidRDefault="00B06EBE" w:rsidP="00B06EBE">
      <w:pPr>
        <w:jc w:val="both"/>
        <w:rPr>
          <w:rFonts w:ascii="Segoe UI" w:eastAsiaTheme="minorEastAsia" w:hAnsi="Segoe UI" w:cs="Segoe UI"/>
          <w:lang w:val="en-GB"/>
        </w:rPr>
      </w:pPr>
      <w:r w:rsidRPr="00B06EBE">
        <w:rPr>
          <w:rFonts w:ascii="Segoe UI" w:eastAsiaTheme="minorEastAsia" w:hAnsi="Segoe UI" w:cs="Segoe UI"/>
          <w:lang w:val="en-GB"/>
        </w:rPr>
        <w:t xml:space="preserve">Amber, Sapphire and Sandford, had high levels of Thornbury and grade swops in addition to the previous areas of concern Ashurst, Kestrel, Kingfisher, </w:t>
      </w:r>
      <w:proofErr w:type="spellStart"/>
      <w:r w:rsidRPr="00B06EBE">
        <w:rPr>
          <w:rFonts w:ascii="Segoe UI" w:eastAsiaTheme="minorEastAsia" w:hAnsi="Segoe UI" w:cs="Segoe UI"/>
          <w:lang w:val="en-GB"/>
        </w:rPr>
        <w:t>Evenlode</w:t>
      </w:r>
      <w:proofErr w:type="spellEnd"/>
      <w:r w:rsidRPr="00B06EBE">
        <w:rPr>
          <w:rFonts w:ascii="Segoe UI" w:eastAsiaTheme="minorEastAsia" w:hAnsi="Segoe UI" w:cs="Segoe UI"/>
          <w:lang w:val="en-GB"/>
        </w:rPr>
        <w:t>, Ruby and Highfield.</w:t>
      </w:r>
    </w:p>
    <w:p w:rsidR="00B06EBE" w:rsidRDefault="00B06EBE" w:rsidP="00B06EBE">
      <w:pPr>
        <w:jc w:val="both"/>
        <w:rPr>
          <w:rFonts w:ascii="Segoe UI" w:eastAsiaTheme="minorEastAsia" w:hAnsi="Segoe UI" w:cs="Segoe UI"/>
          <w:lang w:val="en-GB"/>
        </w:rPr>
      </w:pPr>
    </w:p>
    <w:p w:rsidR="00B06EBE" w:rsidRPr="00B06EBE" w:rsidRDefault="00B06EBE" w:rsidP="00B06EBE">
      <w:pPr>
        <w:jc w:val="both"/>
        <w:rPr>
          <w:rFonts w:ascii="Segoe UI" w:eastAsiaTheme="minorEastAsia" w:hAnsi="Segoe UI" w:cs="Segoe UI"/>
          <w:lang w:val="en-GB"/>
        </w:rPr>
      </w:pPr>
      <w:r w:rsidRPr="00B06EBE">
        <w:rPr>
          <w:rFonts w:ascii="Segoe UI" w:eastAsiaTheme="minorEastAsia" w:hAnsi="Segoe UI" w:cs="Segoe UI"/>
          <w:lang w:val="en-GB"/>
        </w:rPr>
        <w:t>Availability of training remains a significant barrier to growing the bank.  Recruitment of new bank HCA workers has been halted until this issue is resolved.</w:t>
      </w:r>
    </w:p>
    <w:p w:rsidR="002E6022" w:rsidRDefault="002E6022" w:rsidP="00C93210">
      <w:pPr>
        <w:jc w:val="both"/>
        <w:rPr>
          <w:rFonts w:ascii="Segoe UI" w:hAnsi="Segoe UI" w:cs="Segoe UI"/>
          <w:b/>
        </w:rPr>
      </w:pPr>
    </w:p>
    <w:p w:rsidR="00DB4A9D" w:rsidRDefault="00AC6644" w:rsidP="00C93210">
      <w:pPr>
        <w:jc w:val="both"/>
        <w:rPr>
          <w:rFonts w:ascii="Segoe UI" w:hAnsi="Segoe UI" w:cs="Segoe UI"/>
          <w:b/>
        </w:rPr>
      </w:pPr>
      <w:r>
        <w:rPr>
          <w:rFonts w:ascii="Segoe UI" w:hAnsi="Segoe UI" w:cs="Segoe UI"/>
          <w:b/>
        </w:rPr>
        <w:t>Nurse Associates</w:t>
      </w:r>
    </w:p>
    <w:p w:rsidR="00AC6644" w:rsidRDefault="00AC6644" w:rsidP="00C93210">
      <w:pPr>
        <w:jc w:val="both"/>
        <w:rPr>
          <w:rFonts w:ascii="Segoe UI" w:hAnsi="Segoe UI" w:cs="Segoe UI"/>
        </w:rPr>
      </w:pPr>
      <w:r>
        <w:rPr>
          <w:rFonts w:ascii="Segoe UI" w:hAnsi="Segoe UI" w:cs="Segoe UI"/>
        </w:rPr>
        <w:t xml:space="preserve">The job description has been written and banded (Band 4). Work is being undertaken to be </w:t>
      </w:r>
      <w:r w:rsidR="007E4970">
        <w:rPr>
          <w:rFonts w:ascii="Segoe UI" w:hAnsi="Segoe UI" w:cs="Segoe UI"/>
        </w:rPr>
        <w:t>able</w:t>
      </w:r>
      <w:r>
        <w:rPr>
          <w:rFonts w:ascii="Segoe UI" w:hAnsi="Segoe UI" w:cs="Segoe UI"/>
        </w:rPr>
        <w:t xml:space="preserve"> to make formal offers to the first cohort of Nurse Associate Trainees</w:t>
      </w:r>
      <w:r w:rsidR="002D1A66">
        <w:rPr>
          <w:rFonts w:ascii="Segoe UI" w:hAnsi="Segoe UI" w:cs="Segoe UI"/>
        </w:rPr>
        <w:t xml:space="preserve"> who will be obtaining their PIN approx. 2 months after completing their training</w:t>
      </w:r>
      <w:r>
        <w:rPr>
          <w:rFonts w:ascii="Segoe UI" w:hAnsi="Segoe UI" w:cs="Segoe UI"/>
        </w:rPr>
        <w:t>.</w:t>
      </w:r>
    </w:p>
    <w:p w:rsidR="00AC6644" w:rsidRPr="00AC6644" w:rsidRDefault="00AC6644" w:rsidP="00C93210">
      <w:pPr>
        <w:jc w:val="both"/>
        <w:rPr>
          <w:rFonts w:ascii="Segoe UI" w:hAnsi="Segoe UI" w:cs="Segoe UI"/>
        </w:rPr>
      </w:pPr>
    </w:p>
    <w:bookmarkEnd w:id="1"/>
    <w:p w:rsidR="007B43CD" w:rsidRPr="00FD614C" w:rsidRDefault="007B43CD" w:rsidP="00C93210">
      <w:pPr>
        <w:jc w:val="both"/>
        <w:rPr>
          <w:rFonts w:ascii="Segoe UI" w:hAnsi="Segoe UI" w:cs="Segoe UI"/>
          <w:b/>
        </w:rPr>
      </w:pPr>
      <w:r w:rsidRPr="00FD614C">
        <w:rPr>
          <w:rFonts w:ascii="Segoe UI" w:hAnsi="Segoe UI" w:cs="Segoe UI"/>
          <w:b/>
        </w:rPr>
        <w:t>Health &amp; Wellbeing</w:t>
      </w:r>
    </w:p>
    <w:p w:rsidR="008D1010" w:rsidRDefault="008D1010" w:rsidP="008D1010">
      <w:pPr>
        <w:rPr>
          <w:rFonts w:ascii="Segoe UI Historic" w:hAnsi="Segoe UI Historic" w:cs="Segoe UI Historic"/>
          <w:sz w:val="22"/>
          <w:szCs w:val="22"/>
          <w:lang w:val="en-GB"/>
        </w:rPr>
      </w:pPr>
      <w:r>
        <w:rPr>
          <w:rFonts w:ascii="Segoe UI" w:hAnsi="Segoe UI" w:cs="Segoe UI"/>
        </w:rPr>
        <w:t xml:space="preserve">The Stress Steering group and the 3 identified workstreams in relation to </w:t>
      </w:r>
      <w:r>
        <w:rPr>
          <w:rFonts w:ascii="Segoe UI Historic" w:hAnsi="Segoe UI Historic" w:cs="Segoe UI Historic"/>
        </w:rPr>
        <w:t>the HSE Management Standards for stress continue to make progress and are now looking to identify key pieces of work/projects that will have positive impact</w:t>
      </w:r>
    </w:p>
    <w:p w:rsidR="008D1010" w:rsidRDefault="008D1010" w:rsidP="008D1010">
      <w:pPr>
        <w:rPr>
          <w:rFonts w:ascii="Segoe UI Historic" w:hAnsi="Segoe UI Historic" w:cs="Segoe UI Historic"/>
        </w:rPr>
      </w:pPr>
    </w:p>
    <w:p w:rsidR="008D1010" w:rsidRDefault="008D1010" w:rsidP="008D1010">
      <w:pPr>
        <w:rPr>
          <w:rFonts w:ascii="Segoe UI Historic" w:hAnsi="Segoe UI Historic" w:cs="Segoe UI Historic"/>
        </w:rPr>
      </w:pPr>
      <w:r>
        <w:rPr>
          <w:rFonts w:ascii="Segoe UI Historic" w:hAnsi="Segoe UI Historic" w:cs="Segoe UI Historic"/>
        </w:rPr>
        <w:t>Schwartz Rounds paper has been completed and forwarded to the Trust Charity for consideration to enable a pilot to be carried out</w:t>
      </w:r>
    </w:p>
    <w:p w:rsidR="008D1010" w:rsidRDefault="008D1010" w:rsidP="008D1010">
      <w:pPr>
        <w:rPr>
          <w:rFonts w:ascii="Segoe UI Historic" w:hAnsi="Segoe UI Historic" w:cs="Segoe UI Historic"/>
        </w:rPr>
      </w:pPr>
    </w:p>
    <w:p w:rsidR="008D1010" w:rsidRDefault="008D1010" w:rsidP="008D1010">
      <w:pPr>
        <w:rPr>
          <w:rFonts w:ascii="Segoe UI Historic" w:hAnsi="Segoe UI Historic" w:cs="Segoe UI Historic"/>
          <w:color w:val="000000"/>
        </w:rPr>
      </w:pPr>
      <w:r>
        <w:rPr>
          <w:rFonts w:ascii="Segoe UI Historic" w:hAnsi="Segoe UI Historic" w:cs="Segoe UI Historic"/>
          <w:color w:val="000000"/>
        </w:rPr>
        <w:t xml:space="preserve">An Employee Assistance Programme (EAP) has been agreed and is currently going through the procurement process. </w:t>
      </w:r>
    </w:p>
    <w:p w:rsidR="008D1010" w:rsidRDefault="008D1010" w:rsidP="008D1010">
      <w:pPr>
        <w:rPr>
          <w:rFonts w:ascii="Segoe UI Historic" w:hAnsi="Segoe UI Historic" w:cs="Segoe UI Historic"/>
          <w:color w:val="000000"/>
        </w:rPr>
      </w:pPr>
    </w:p>
    <w:p w:rsidR="008D1010" w:rsidRDefault="008D1010" w:rsidP="008D1010">
      <w:pPr>
        <w:rPr>
          <w:rFonts w:ascii="Segoe UI Historic" w:hAnsi="Segoe UI Historic" w:cs="Segoe UI Historic"/>
          <w:color w:val="000000"/>
        </w:rPr>
      </w:pPr>
      <w:r>
        <w:rPr>
          <w:rFonts w:ascii="Segoe UI Historic" w:hAnsi="Segoe UI Historic" w:cs="Segoe UI Historic"/>
          <w:color w:val="000000"/>
        </w:rPr>
        <w:t>MSK business case to improve access for employees as both a treatment and proactive approach is currently being reviewed and progressed.</w:t>
      </w:r>
    </w:p>
    <w:p w:rsidR="008D1010" w:rsidRDefault="008D1010" w:rsidP="008D1010">
      <w:pPr>
        <w:rPr>
          <w:rFonts w:ascii="Segoe UI Historic" w:hAnsi="Segoe UI Historic" w:cs="Segoe UI Historic"/>
          <w:color w:val="000000"/>
        </w:rPr>
      </w:pPr>
    </w:p>
    <w:p w:rsidR="008D1010" w:rsidRDefault="008D1010" w:rsidP="008D1010">
      <w:pPr>
        <w:rPr>
          <w:rFonts w:ascii="Segoe UI" w:hAnsi="Segoe UI" w:cs="Segoe UI"/>
        </w:rPr>
      </w:pPr>
      <w:r>
        <w:rPr>
          <w:rFonts w:ascii="Segoe UI Historic" w:hAnsi="Segoe UI Historic" w:cs="Segoe UI Historic"/>
          <w:color w:val="000000"/>
        </w:rPr>
        <w:t>Wellbeing Champions continue to support this years’ flu campaign.</w:t>
      </w:r>
      <w:r>
        <w:rPr>
          <w:rFonts w:ascii="Segoe UI" w:hAnsi="Segoe UI" w:cs="Segoe UI"/>
        </w:rPr>
        <w:t xml:space="preserve"> </w:t>
      </w:r>
    </w:p>
    <w:p w:rsidR="008D1010" w:rsidRDefault="008D1010" w:rsidP="008D1010">
      <w:pPr>
        <w:rPr>
          <w:rFonts w:ascii="Segoe UI" w:hAnsi="Segoe UI" w:cs="Segoe UI"/>
        </w:rPr>
      </w:pPr>
    </w:p>
    <w:p w:rsidR="008D1010" w:rsidRDefault="008D1010" w:rsidP="008D1010">
      <w:pPr>
        <w:rPr>
          <w:rFonts w:ascii="Segoe UI" w:hAnsi="Segoe UI" w:cs="Segoe UI"/>
        </w:rPr>
      </w:pPr>
      <w:r>
        <w:rPr>
          <w:rFonts w:ascii="Segoe UI" w:hAnsi="Segoe UI" w:cs="Segoe UI"/>
        </w:rPr>
        <w:t>Physical Health campaigns are being promoted with laminated posters being made available throughout the trust:</w:t>
      </w:r>
    </w:p>
    <w:p w:rsidR="008D1010" w:rsidRDefault="008D1010" w:rsidP="008D1010">
      <w:pPr>
        <w:numPr>
          <w:ilvl w:val="0"/>
          <w:numId w:val="26"/>
        </w:numPr>
        <w:rPr>
          <w:rFonts w:ascii="Segoe UI" w:hAnsi="Segoe UI" w:cs="Segoe UI"/>
        </w:rPr>
      </w:pPr>
      <w:r>
        <w:rPr>
          <w:rFonts w:ascii="Segoe UI" w:hAnsi="Segoe UI" w:cs="Segoe UI"/>
        </w:rPr>
        <w:t>Menopause in the workplace</w:t>
      </w:r>
    </w:p>
    <w:p w:rsidR="008D1010" w:rsidRDefault="008D1010" w:rsidP="008D1010">
      <w:pPr>
        <w:numPr>
          <w:ilvl w:val="0"/>
          <w:numId w:val="26"/>
        </w:numPr>
        <w:rPr>
          <w:rFonts w:ascii="Segoe UI" w:hAnsi="Segoe UI" w:cs="Segoe UI"/>
        </w:rPr>
      </w:pPr>
      <w:r>
        <w:rPr>
          <w:rFonts w:ascii="Segoe UI" w:hAnsi="Segoe UI" w:cs="Segoe UI"/>
        </w:rPr>
        <w:lastRenderedPageBreak/>
        <w:t>Signs &amp; symptoms of testicular &amp; prostate cancer</w:t>
      </w:r>
    </w:p>
    <w:p w:rsidR="008D1010" w:rsidRDefault="008D1010" w:rsidP="008D1010">
      <w:pPr>
        <w:numPr>
          <w:ilvl w:val="0"/>
          <w:numId w:val="26"/>
        </w:numPr>
        <w:rPr>
          <w:rFonts w:ascii="Segoe UI" w:hAnsi="Segoe UI" w:cs="Segoe UI"/>
        </w:rPr>
      </w:pPr>
      <w:r>
        <w:rPr>
          <w:rFonts w:ascii="Segoe UI" w:hAnsi="Segoe UI" w:cs="Segoe UI"/>
        </w:rPr>
        <w:t>Signs &amp; symptoms of bowel cancer</w:t>
      </w:r>
    </w:p>
    <w:p w:rsidR="008D1010" w:rsidRDefault="008D1010" w:rsidP="008D1010">
      <w:pPr>
        <w:rPr>
          <w:rFonts w:ascii="Segoe UI" w:eastAsiaTheme="minorHAnsi" w:hAnsi="Segoe UI" w:cs="Segoe UI"/>
        </w:rPr>
      </w:pPr>
    </w:p>
    <w:p w:rsidR="0052358B" w:rsidRDefault="0052358B" w:rsidP="00C93210">
      <w:pPr>
        <w:jc w:val="both"/>
        <w:rPr>
          <w:rFonts w:ascii="Segoe UI" w:hAnsi="Segoe UI" w:cs="Segoe UI"/>
          <w:b/>
        </w:rPr>
      </w:pPr>
    </w:p>
    <w:p w:rsidR="001F303A" w:rsidRPr="00FD614C" w:rsidRDefault="00C93210" w:rsidP="00C93210">
      <w:pPr>
        <w:jc w:val="both"/>
        <w:rPr>
          <w:rFonts w:ascii="Segoe UI" w:hAnsi="Segoe UI" w:cs="Segoe UI"/>
          <w:b/>
        </w:rPr>
      </w:pPr>
      <w:r w:rsidRPr="00FD614C">
        <w:rPr>
          <w:rFonts w:ascii="Segoe UI" w:hAnsi="Segoe UI" w:cs="Segoe UI"/>
          <w:b/>
        </w:rPr>
        <w:t>Management of Concerns (Whistle Blowing)</w:t>
      </w:r>
    </w:p>
    <w:p w:rsidR="007E47DF" w:rsidRPr="009E0559" w:rsidRDefault="008D1010" w:rsidP="00AB3ABC">
      <w:pPr>
        <w:rPr>
          <w:rFonts w:ascii="Segoe UI" w:hAnsi="Segoe UI" w:cs="Segoe UI"/>
        </w:rPr>
      </w:pPr>
      <w:r>
        <w:rPr>
          <w:rFonts w:ascii="Segoe UI" w:hAnsi="Segoe UI" w:cs="Segoe UI"/>
        </w:rPr>
        <w:t>2</w:t>
      </w:r>
      <w:r w:rsidR="0047158A" w:rsidRPr="00FD614C">
        <w:rPr>
          <w:rFonts w:ascii="Segoe UI" w:hAnsi="Segoe UI" w:cs="Segoe UI"/>
        </w:rPr>
        <w:t xml:space="preserve"> </w:t>
      </w:r>
      <w:r w:rsidR="00E30001" w:rsidRPr="00FD614C">
        <w:rPr>
          <w:rFonts w:ascii="Segoe UI" w:hAnsi="Segoe UI" w:cs="Segoe UI"/>
        </w:rPr>
        <w:t>current case</w:t>
      </w:r>
      <w:r w:rsidR="00F82C5A" w:rsidRPr="00FD614C">
        <w:rPr>
          <w:rFonts w:ascii="Segoe UI" w:hAnsi="Segoe UI" w:cs="Segoe UI"/>
        </w:rPr>
        <w:t xml:space="preserve">s, </w:t>
      </w:r>
      <w:r w:rsidR="00F57141" w:rsidRPr="00FD614C">
        <w:rPr>
          <w:rFonts w:ascii="Segoe UI" w:hAnsi="Segoe UI" w:cs="Segoe UI"/>
        </w:rPr>
        <w:t>1</w:t>
      </w:r>
      <w:r w:rsidR="00211978" w:rsidRPr="00FD614C">
        <w:rPr>
          <w:rFonts w:ascii="Segoe UI" w:hAnsi="Segoe UI" w:cs="Segoe UI"/>
        </w:rPr>
        <w:t xml:space="preserve"> in </w:t>
      </w:r>
      <w:r>
        <w:rPr>
          <w:rFonts w:ascii="Segoe UI" w:hAnsi="Segoe UI" w:cs="Segoe UI"/>
        </w:rPr>
        <w:t xml:space="preserve">Oxfordshire &amp; South West </w:t>
      </w:r>
      <w:r w:rsidR="00211978" w:rsidRPr="00FD614C">
        <w:rPr>
          <w:rFonts w:ascii="Segoe UI" w:hAnsi="Segoe UI" w:cs="Segoe UI"/>
        </w:rPr>
        <w:t>Directorate</w:t>
      </w:r>
      <w:r w:rsidR="00F57141" w:rsidRPr="00FD614C">
        <w:rPr>
          <w:rFonts w:ascii="Segoe UI" w:hAnsi="Segoe UI" w:cs="Segoe UI"/>
        </w:rPr>
        <w:t xml:space="preserve">, 1 </w:t>
      </w:r>
      <w:r>
        <w:rPr>
          <w:rFonts w:ascii="Segoe UI" w:hAnsi="Segoe UI" w:cs="Segoe UI"/>
        </w:rPr>
        <w:t xml:space="preserve">in </w:t>
      </w:r>
      <w:r w:rsidR="00F57141" w:rsidRPr="00FD614C">
        <w:rPr>
          <w:rFonts w:ascii="Segoe UI" w:hAnsi="Segoe UI" w:cs="Segoe UI"/>
        </w:rPr>
        <w:t>Specialised Services</w:t>
      </w:r>
      <w:r>
        <w:rPr>
          <w:rFonts w:ascii="Segoe UI" w:hAnsi="Segoe UI" w:cs="Segoe UI"/>
        </w:rPr>
        <w:t xml:space="preserve">. Both reports have been completed and we await </w:t>
      </w:r>
      <w:r w:rsidR="007E4970">
        <w:rPr>
          <w:rFonts w:ascii="Segoe UI" w:hAnsi="Segoe UI" w:cs="Segoe UI"/>
        </w:rPr>
        <w:t xml:space="preserve">update </w:t>
      </w:r>
      <w:r>
        <w:rPr>
          <w:rFonts w:ascii="Segoe UI" w:hAnsi="Segoe UI" w:cs="Segoe UI"/>
        </w:rPr>
        <w:t xml:space="preserve">from </w:t>
      </w:r>
      <w:proofErr w:type="gramStart"/>
      <w:r>
        <w:rPr>
          <w:rFonts w:ascii="Segoe UI" w:hAnsi="Segoe UI" w:cs="Segoe UI"/>
        </w:rPr>
        <w:t>Executive.</w:t>
      </w:r>
      <w:r w:rsidR="005E6BC3" w:rsidRPr="00FD614C">
        <w:rPr>
          <w:rFonts w:ascii="Segoe UI" w:hAnsi="Segoe UI" w:cs="Segoe UI"/>
        </w:rPr>
        <w:t>.</w:t>
      </w:r>
      <w:proofErr w:type="gramEnd"/>
    </w:p>
    <w:p w:rsidR="00ED3C1F" w:rsidRPr="009E0559" w:rsidRDefault="00ED3C1F" w:rsidP="00AB3ABC">
      <w:pPr>
        <w:rPr>
          <w:rFonts w:ascii="Segoe UI" w:hAnsi="Segoe UI" w:cs="Segoe UI"/>
        </w:rPr>
      </w:pPr>
    </w:p>
    <w:p w:rsidR="00ED3C1F" w:rsidRPr="009E0559" w:rsidRDefault="003C2BD2" w:rsidP="00AB3ABC">
      <w:pPr>
        <w:rPr>
          <w:rFonts w:ascii="Segoe UI" w:hAnsi="Segoe UI" w:cs="Segoe UI"/>
          <w:b/>
        </w:rPr>
      </w:pPr>
      <w:r w:rsidRPr="009E0559">
        <w:rPr>
          <w:rFonts w:ascii="Segoe UI" w:hAnsi="Segoe UI" w:cs="Segoe UI"/>
          <w:b/>
        </w:rPr>
        <w:t xml:space="preserve">Retention </w:t>
      </w:r>
    </w:p>
    <w:p w:rsidR="00F57141" w:rsidRDefault="00424508" w:rsidP="00AB3ABC">
      <w:pPr>
        <w:rPr>
          <w:rFonts w:ascii="Segoe UI" w:hAnsi="Segoe UI" w:cs="Segoe UI"/>
        </w:rPr>
      </w:pPr>
      <w:r>
        <w:rPr>
          <w:rFonts w:ascii="Segoe UI" w:hAnsi="Segoe UI" w:cs="Segoe UI"/>
        </w:rPr>
        <w:t>Work on retention continues and t</w:t>
      </w:r>
      <w:r w:rsidRPr="00424508">
        <w:rPr>
          <w:rFonts w:ascii="Segoe UI" w:hAnsi="Segoe UI" w:cs="Segoe UI"/>
        </w:rPr>
        <w:t xml:space="preserve">urnover has continued </w:t>
      </w:r>
      <w:r>
        <w:rPr>
          <w:rFonts w:ascii="Segoe UI" w:hAnsi="Segoe UI" w:cs="Segoe UI"/>
        </w:rPr>
        <w:t xml:space="preserve">its steady </w:t>
      </w:r>
      <w:r w:rsidRPr="00424508">
        <w:rPr>
          <w:rFonts w:ascii="Segoe UI" w:hAnsi="Segoe UI" w:cs="Segoe UI"/>
        </w:rPr>
        <w:t>reduction to stand at 13.</w:t>
      </w:r>
      <w:r w:rsidR="00AC6644">
        <w:rPr>
          <w:rFonts w:ascii="Segoe UI" w:hAnsi="Segoe UI" w:cs="Segoe UI"/>
        </w:rPr>
        <w:t>6</w:t>
      </w:r>
      <w:r w:rsidRPr="00424508">
        <w:rPr>
          <w:rFonts w:ascii="Segoe UI" w:hAnsi="Segoe UI" w:cs="Segoe UI"/>
        </w:rPr>
        <w:t xml:space="preserve">% in </w:t>
      </w:r>
      <w:r w:rsidR="00AC6644">
        <w:rPr>
          <w:rFonts w:ascii="Segoe UI" w:hAnsi="Segoe UI" w:cs="Segoe UI"/>
        </w:rPr>
        <w:t>December</w:t>
      </w:r>
      <w:r w:rsidRPr="00424508">
        <w:rPr>
          <w:rFonts w:ascii="Segoe UI" w:hAnsi="Segoe UI" w:cs="Segoe UI"/>
        </w:rPr>
        <w:t xml:space="preserve">. </w:t>
      </w:r>
    </w:p>
    <w:p w:rsidR="00424508" w:rsidRPr="00424508" w:rsidRDefault="00424508" w:rsidP="00AB3ABC">
      <w:pPr>
        <w:rPr>
          <w:rFonts w:ascii="Segoe UI" w:hAnsi="Segoe UI" w:cs="Segoe UI"/>
        </w:rPr>
      </w:pPr>
    </w:p>
    <w:p w:rsidR="00B46633" w:rsidRPr="005064B3" w:rsidRDefault="00B46633" w:rsidP="00AB3ABC">
      <w:pPr>
        <w:rPr>
          <w:rFonts w:ascii="Segoe UI" w:hAnsi="Segoe UI" w:cs="Segoe UI"/>
          <w:b/>
        </w:rPr>
      </w:pPr>
      <w:r w:rsidRPr="005064B3">
        <w:rPr>
          <w:rFonts w:ascii="Segoe UI" w:hAnsi="Segoe UI" w:cs="Segoe UI"/>
          <w:b/>
        </w:rPr>
        <w:t>NHS Staff Survey</w:t>
      </w:r>
    </w:p>
    <w:p w:rsidR="001302CE" w:rsidRPr="001302CE" w:rsidRDefault="001302CE" w:rsidP="001302CE">
      <w:pPr>
        <w:rPr>
          <w:rFonts w:ascii="Segoe UI" w:hAnsi="Segoe UI" w:cs="Segoe UI"/>
          <w:sz w:val="22"/>
          <w:szCs w:val="22"/>
          <w:lang w:val="en-GB"/>
        </w:rPr>
      </w:pPr>
      <w:r w:rsidRPr="001302CE">
        <w:rPr>
          <w:rFonts w:ascii="Segoe UI" w:hAnsi="Segoe UI" w:cs="Segoe UI"/>
        </w:rPr>
        <w:t>52% of our staff completed the 2018 National NHS survey. Results are now being looked at internally and will be available publi</w:t>
      </w:r>
      <w:r>
        <w:rPr>
          <w:rFonts w:ascii="Segoe UI" w:hAnsi="Segoe UI" w:cs="Segoe UI"/>
        </w:rPr>
        <w:t>c</w:t>
      </w:r>
      <w:r w:rsidRPr="001302CE">
        <w:rPr>
          <w:rFonts w:ascii="Segoe UI" w:hAnsi="Segoe UI" w:cs="Segoe UI"/>
        </w:rPr>
        <w:t>ly on 26 February 2019.</w:t>
      </w:r>
    </w:p>
    <w:p w:rsidR="00FA5C39" w:rsidRDefault="00FA5C39" w:rsidP="00FA5C39"/>
    <w:p w:rsidR="001302CE" w:rsidRDefault="00424508" w:rsidP="001302CE">
      <w:pPr>
        <w:jc w:val="both"/>
        <w:rPr>
          <w:rFonts w:ascii="Segoe UI" w:hAnsi="Segoe UI" w:cs="Segoe UI"/>
          <w:b/>
        </w:rPr>
      </w:pPr>
      <w:bookmarkStart w:id="2" w:name="_Hlk527620228"/>
      <w:r>
        <w:rPr>
          <w:rFonts w:ascii="Segoe UI" w:hAnsi="Segoe UI" w:cs="Segoe UI"/>
          <w:b/>
        </w:rPr>
        <w:t>Staff from the European Union</w:t>
      </w:r>
      <w:bookmarkEnd w:id="2"/>
    </w:p>
    <w:p w:rsidR="001302CE" w:rsidRPr="007E4970" w:rsidRDefault="001302CE" w:rsidP="001302CE">
      <w:pPr>
        <w:rPr>
          <w:rFonts w:ascii="Segoe UI" w:hAnsi="Segoe UI" w:cs="Segoe UI"/>
        </w:rPr>
      </w:pPr>
      <w:r w:rsidRPr="007E4970">
        <w:rPr>
          <w:rFonts w:ascii="Segoe UI" w:hAnsi="Segoe UI" w:cs="Segoe UI"/>
        </w:rPr>
        <w:t>During the Home Office trial period, 21 Trust staff have made claims for settled status and claimed the fee from the Trust. The Home Office pilot has now closed but the main scheme is due to open on 30</w:t>
      </w:r>
      <w:r w:rsidRPr="007E4970">
        <w:rPr>
          <w:rFonts w:ascii="Segoe UI" w:hAnsi="Segoe UI" w:cs="Segoe UI"/>
          <w:vertAlign w:val="superscript"/>
        </w:rPr>
        <w:t>th</w:t>
      </w:r>
      <w:r w:rsidRPr="007E4970">
        <w:rPr>
          <w:rFonts w:ascii="Segoe UI" w:hAnsi="Segoe UI" w:cs="Segoe UI"/>
        </w:rPr>
        <w:t xml:space="preserve"> March 2019 up until June 2021. </w:t>
      </w:r>
    </w:p>
    <w:p w:rsidR="001302CE" w:rsidRPr="007E4970" w:rsidRDefault="001302CE" w:rsidP="001302CE">
      <w:pPr>
        <w:rPr>
          <w:rFonts w:ascii="Segoe UI" w:hAnsi="Segoe UI" w:cs="Segoe UI"/>
        </w:rPr>
      </w:pPr>
    </w:p>
    <w:p w:rsidR="001302CE" w:rsidRPr="007E4970" w:rsidRDefault="001302CE" w:rsidP="001302CE">
      <w:pPr>
        <w:rPr>
          <w:rFonts w:ascii="Segoe UI" w:hAnsi="Segoe UI" w:cs="Segoe UI"/>
        </w:rPr>
      </w:pPr>
      <w:r w:rsidRPr="007E4970">
        <w:rPr>
          <w:rFonts w:ascii="Segoe UI" w:hAnsi="Segoe UI" w:cs="Segoe UI"/>
        </w:rPr>
        <w:t>The key themes that have emerged from the pilot were:</w:t>
      </w:r>
    </w:p>
    <w:p w:rsidR="001302CE" w:rsidRPr="007E4970" w:rsidRDefault="001302CE" w:rsidP="007E4970">
      <w:pPr>
        <w:pStyle w:val="ListParagraph"/>
        <w:numPr>
          <w:ilvl w:val="0"/>
          <w:numId w:val="30"/>
        </w:numPr>
        <w:rPr>
          <w:rFonts w:ascii="Segoe UI" w:eastAsiaTheme="minorHAnsi" w:hAnsi="Segoe UI" w:cs="Segoe UI"/>
        </w:rPr>
      </w:pPr>
      <w:r w:rsidRPr="007E4970">
        <w:rPr>
          <w:rFonts w:ascii="Segoe UI" w:hAnsi="Segoe UI" w:cs="Segoe UI"/>
        </w:rPr>
        <w:t xml:space="preserve">Whether </w:t>
      </w:r>
      <w:r w:rsidR="007E4970">
        <w:rPr>
          <w:rFonts w:ascii="Segoe UI" w:hAnsi="Segoe UI" w:cs="Segoe UI"/>
        </w:rPr>
        <w:t xml:space="preserve">it is possible to </w:t>
      </w:r>
      <w:r w:rsidRPr="007E4970">
        <w:rPr>
          <w:rFonts w:ascii="Segoe UI" w:hAnsi="Segoe UI" w:cs="Segoe UI"/>
        </w:rPr>
        <w:t>support those without access to Android technology to make their applications (the default position from the government is a paper-based process);</w:t>
      </w:r>
    </w:p>
    <w:p w:rsidR="001302CE" w:rsidRPr="007E4970" w:rsidRDefault="007E4970" w:rsidP="007E4970">
      <w:pPr>
        <w:pStyle w:val="ListParagraph"/>
        <w:numPr>
          <w:ilvl w:val="0"/>
          <w:numId w:val="30"/>
        </w:numPr>
        <w:rPr>
          <w:rFonts w:ascii="Segoe UI" w:hAnsi="Segoe UI" w:cs="Segoe UI"/>
        </w:rPr>
      </w:pPr>
      <w:r>
        <w:rPr>
          <w:rFonts w:ascii="Segoe UI" w:hAnsi="Segoe UI" w:cs="Segoe UI"/>
        </w:rPr>
        <w:t>Clarifying communications about reclaiming the fee from the Trust;</w:t>
      </w:r>
    </w:p>
    <w:p w:rsidR="001302CE" w:rsidRPr="007E4970" w:rsidRDefault="001302CE" w:rsidP="007E4970">
      <w:pPr>
        <w:pStyle w:val="ListParagraph"/>
        <w:numPr>
          <w:ilvl w:val="0"/>
          <w:numId w:val="30"/>
        </w:numPr>
        <w:rPr>
          <w:rFonts w:ascii="Segoe UI" w:hAnsi="Segoe UI" w:cs="Segoe UI"/>
        </w:rPr>
      </w:pPr>
      <w:r w:rsidRPr="007E4970">
        <w:rPr>
          <w:rFonts w:ascii="Segoe UI" w:hAnsi="Segoe UI" w:cs="Segoe UI"/>
        </w:rPr>
        <w:t xml:space="preserve">How </w:t>
      </w:r>
      <w:r w:rsidR="007E4970">
        <w:rPr>
          <w:rFonts w:ascii="Segoe UI" w:hAnsi="Segoe UI" w:cs="Segoe UI"/>
        </w:rPr>
        <w:t xml:space="preserve">people </w:t>
      </w:r>
      <w:r w:rsidRPr="007E4970">
        <w:rPr>
          <w:rFonts w:ascii="Segoe UI" w:hAnsi="Segoe UI" w:cs="Segoe UI"/>
        </w:rPr>
        <w:t>evidence that they have received their settled status</w:t>
      </w:r>
      <w:r w:rsidR="007E4970">
        <w:rPr>
          <w:rFonts w:ascii="Segoe UI" w:hAnsi="Segoe UI" w:cs="Segoe UI"/>
        </w:rPr>
        <w:t xml:space="preserve">. This </w:t>
      </w:r>
      <w:r w:rsidRPr="007E4970">
        <w:rPr>
          <w:rFonts w:ascii="Segoe UI" w:hAnsi="Segoe UI" w:cs="Segoe UI"/>
        </w:rPr>
        <w:t>has not yet been enabled by the government</w:t>
      </w:r>
      <w:r w:rsidR="007E4970">
        <w:rPr>
          <w:rFonts w:ascii="Segoe UI" w:hAnsi="Segoe UI" w:cs="Segoe UI"/>
        </w:rPr>
        <w:t>.</w:t>
      </w:r>
    </w:p>
    <w:p w:rsidR="00FD614C" w:rsidRPr="00FD614C" w:rsidRDefault="00FD614C" w:rsidP="00FD614C">
      <w:pPr>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Recommendation</w:t>
      </w:r>
    </w:p>
    <w:p w:rsidR="00C93210" w:rsidRPr="009E0559" w:rsidRDefault="00C93210" w:rsidP="00C93210">
      <w:pPr>
        <w:ind w:left="-851" w:firstLine="851"/>
        <w:jc w:val="both"/>
        <w:rPr>
          <w:rFonts w:ascii="Segoe UI" w:hAnsi="Segoe UI" w:cs="Segoe UI"/>
        </w:rPr>
      </w:pPr>
      <w:r w:rsidRPr="009E0559">
        <w:rPr>
          <w:rFonts w:ascii="Segoe UI" w:hAnsi="Segoe UI" w:cs="Segoe UI"/>
        </w:rPr>
        <w:t>To note the report for information.</w:t>
      </w:r>
    </w:p>
    <w:p w:rsidR="00C93210" w:rsidRPr="009E0559" w:rsidRDefault="00CD3DE3" w:rsidP="00C93210">
      <w:pPr>
        <w:ind w:left="-851" w:firstLine="851"/>
        <w:jc w:val="both"/>
        <w:rPr>
          <w:rFonts w:ascii="Segoe UI" w:hAnsi="Segoe UI" w:cs="Segoe UI"/>
        </w:rPr>
      </w:pPr>
      <w:r w:rsidRPr="009E0559">
        <w:rPr>
          <w:rFonts w:ascii="Segoe UI" w:hAnsi="Segoe UI" w:cs="Segoe UI"/>
        </w:rPr>
        <w:t xml:space="preserve"> </w:t>
      </w:r>
    </w:p>
    <w:p w:rsidR="00C93210" w:rsidRPr="009E0559" w:rsidRDefault="00C93210" w:rsidP="00C93210">
      <w:pPr>
        <w:ind w:left="1440" w:hanging="1440"/>
        <w:jc w:val="both"/>
        <w:rPr>
          <w:rFonts w:ascii="Segoe UI" w:hAnsi="Segoe UI" w:cs="Segoe UI"/>
        </w:rPr>
      </w:pPr>
      <w:r w:rsidRPr="009E0559">
        <w:rPr>
          <w:rFonts w:ascii="Segoe UI" w:hAnsi="Segoe UI" w:cs="Segoe UI"/>
          <w:b/>
        </w:rPr>
        <w:t>Author and Title:</w:t>
      </w:r>
      <w:r w:rsidRPr="009E0559">
        <w:rPr>
          <w:rFonts w:ascii="Segoe UI" w:hAnsi="Segoe UI" w:cs="Segoe UI"/>
        </w:rPr>
        <w:t xml:space="preserve"> </w:t>
      </w:r>
      <w:r w:rsidRPr="009E0559">
        <w:rPr>
          <w:rFonts w:ascii="Segoe UI" w:hAnsi="Segoe UI" w:cs="Segoe UI"/>
        </w:rPr>
        <w:tab/>
      </w:r>
    </w:p>
    <w:p w:rsidR="00C93210" w:rsidRPr="009E0559" w:rsidRDefault="00C93210" w:rsidP="00C93210">
      <w:pPr>
        <w:ind w:left="1440" w:hanging="1440"/>
        <w:jc w:val="both"/>
        <w:rPr>
          <w:rFonts w:ascii="Segoe UI" w:hAnsi="Segoe UI" w:cs="Segoe UI"/>
        </w:rPr>
      </w:pPr>
      <w:r w:rsidRPr="009E0559">
        <w:rPr>
          <w:rFonts w:ascii="Segoe UI" w:hAnsi="Segoe UI" w:cs="Segoe UI"/>
        </w:rPr>
        <w:t>Simon Denton (Head of HR Operations)</w:t>
      </w:r>
    </w:p>
    <w:p w:rsidR="00C93210" w:rsidRPr="009E0559" w:rsidRDefault="00C93210" w:rsidP="00C93210">
      <w:pPr>
        <w:ind w:left="1440" w:hanging="1440"/>
        <w:jc w:val="both"/>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Lead Executive Director:</w:t>
      </w:r>
      <w:r w:rsidRPr="009E0559">
        <w:rPr>
          <w:rFonts w:ascii="Segoe UI" w:hAnsi="Segoe UI" w:cs="Segoe UI"/>
          <w:b/>
        </w:rPr>
        <w:tab/>
      </w:r>
    </w:p>
    <w:p w:rsidR="003927AC" w:rsidRPr="009E0559" w:rsidRDefault="00C93210" w:rsidP="00AE4E0F">
      <w:pPr>
        <w:jc w:val="both"/>
        <w:rPr>
          <w:rFonts w:ascii="Segoe UI" w:hAnsi="Segoe UI" w:cs="Segoe UI"/>
        </w:rPr>
      </w:pPr>
      <w:r w:rsidRPr="009E0559">
        <w:rPr>
          <w:rFonts w:ascii="Segoe UI" w:hAnsi="Segoe UI" w:cs="Segoe UI"/>
        </w:rPr>
        <w:t>Tim Boylin</w:t>
      </w:r>
    </w:p>
    <w:sectPr w:rsidR="003927AC" w:rsidRPr="009E0559"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DA6E73">
          <w:rPr>
            <w:noProof/>
          </w:rPr>
          <w:t>4</w:t>
        </w:r>
        <w:r>
          <w:rPr>
            <w:noProof/>
          </w:rPr>
          <w:fldChar w:fldCharType="end"/>
        </w:r>
      </w:p>
    </w:sdtContent>
  </w:sdt>
  <w:p w:rsidR="0014199A" w:rsidRDefault="0014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9A" w:rsidRPr="00866990" w:rsidRDefault="0014199A" w:rsidP="00866990">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95B73"/>
    <w:multiLevelType w:val="hybridMultilevel"/>
    <w:tmpl w:val="1E449478"/>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B69A8"/>
    <w:multiLevelType w:val="hybridMultilevel"/>
    <w:tmpl w:val="D40EB7FE"/>
    <w:lvl w:ilvl="0" w:tplc="1EF85D9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E4511"/>
    <w:multiLevelType w:val="hybridMultilevel"/>
    <w:tmpl w:val="7766E0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7246D"/>
    <w:multiLevelType w:val="hybridMultilevel"/>
    <w:tmpl w:val="BA141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18"/>
  </w:num>
  <w:num w:numId="4">
    <w:abstractNumId w:val="5"/>
  </w:num>
  <w:num w:numId="5">
    <w:abstractNumId w:val="20"/>
  </w:num>
  <w:num w:numId="6">
    <w:abstractNumId w:val="8"/>
  </w:num>
  <w:num w:numId="7">
    <w:abstractNumId w:val="3"/>
  </w:num>
  <w:num w:numId="8">
    <w:abstractNumId w:val="17"/>
  </w:num>
  <w:num w:numId="9">
    <w:abstractNumId w:val="15"/>
  </w:num>
  <w:num w:numId="10">
    <w:abstractNumId w:val="19"/>
  </w:num>
  <w:num w:numId="11">
    <w:abstractNumId w:val="4"/>
  </w:num>
  <w:num w:numId="12">
    <w:abstractNumId w:val="2"/>
  </w:num>
  <w:num w:numId="13">
    <w:abstractNumId w:val="22"/>
  </w:num>
  <w:num w:numId="14">
    <w:abstractNumId w:val="16"/>
  </w:num>
  <w:num w:numId="15">
    <w:abstractNumId w:val="0"/>
  </w:num>
  <w:num w:numId="16">
    <w:abstractNumId w:val="1"/>
  </w:num>
  <w:num w:numId="17">
    <w:abstractNumId w:val="13"/>
  </w:num>
  <w:num w:numId="18">
    <w:abstractNumId w:val="9"/>
  </w:num>
  <w:num w:numId="19">
    <w:abstractNumId w:val="11"/>
  </w:num>
  <w:num w:numId="20">
    <w:abstractNumId w:val="6"/>
  </w:num>
  <w:num w:numId="21">
    <w:abstractNumId w:val="24"/>
  </w:num>
  <w:num w:numId="22">
    <w:abstractNumId w:val="21"/>
  </w:num>
  <w:num w:numId="23">
    <w:abstractNumId w:val="21"/>
  </w:num>
  <w:num w:numId="24">
    <w:abstractNumId w:val="12"/>
  </w:num>
  <w:num w:numId="25">
    <w:abstractNumId w:val="21"/>
  </w:num>
  <w:num w:numId="26">
    <w:abstractNumId w:val="21"/>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22242"/>
    <w:rsid w:val="00030247"/>
    <w:rsid w:val="0007071D"/>
    <w:rsid w:val="00071842"/>
    <w:rsid w:val="000A3A29"/>
    <w:rsid w:val="000A5A07"/>
    <w:rsid w:val="000B420F"/>
    <w:rsid w:val="000D2077"/>
    <w:rsid w:val="000E317C"/>
    <w:rsid w:val="000E4FE4"/>
    <w:rsid w:val="001058A7"/>
    <w:rsid w:val="001302CE"/>
    <w:rsid w:val="00132602"/>
    <w:rsid w:val="0014199A"/>
    <w:rsid w:val="00145747"/>
    <w:rsid w:val="0018367D"/>
    <w:rsid w:val="001A126D"/>
    <w:rsid w:val="001A3571"/>
    <w:rsid w:val="001B5873"/>
    <w:rsid w:val="001D0455"/>
    <w:rsid w:val="001D39E4"/>
    <w:rsid w:val="001F303A"/>
    <w:rsid w:val="001F76ED"/>
    <w:rsid w:val="00205245"/>
    <w:rsid w:val="00211978"/>
    <w:rsid w:val="00221DFC"/>
    <w:rsid w:val="002250DE"/>
    <w:rsid w:val="00227FCE"/>
    <w:rsid w:val="00233A8F"/>
    <w:rsid w:val="00241A66"/>
    <w:rsid w:val="002619EF"/>
    <w:rsid w:val="00262F0F"/>
    <w:rsid w:val="00267DE0"/>
    <w:rsid w:val="0028206A"/>
    <w:rsid w:val="002821F8"/>
    <w:rsid w:val="0028603C"/>
    <w:rsid w:val="00292613"/>
    <w:rsid w:val="002A73E8"/>
    <w:rsid w:val="002C2F97"/>
    <w:rsid w:val="002D1A66"/>
    <w:rsid w:val="002E6022"/>
    <w:rsid w:val="002E6FC6"/>
    <w:rsid w:val="00306AF0"/>
    <w:rsid w:val="00321B03"/>
    <w:rsid w:val="00325AB4"/>
    <w:rsid w:val="00355F58"/>
    <w:rsid w:val="003828D4"/>
    <w:rsid w:val="003927AC"/>
    <w:rsid w:val="003971F6"/>
    <w:rsid w:val="003C2BD2"/>
    <w:rsid w:val="003F2AF4"/>
    <w:rsid w:val="003F7366"/>
    <w:rsid w:val="00406DBA"/>
    <w:rsid w:val="00417A21"/>
    <w:rsid w:val="00424508"/>
    <w:rsid w:val="004305B2"/>
    <w:rsid w:val="004326BB"/>
    <w:rsid w:val="004547E1"/>
    <w:rsid w:val="00456DDE"/>
    <w:rsid w:val="0047158A"/>
    <w:rsid w:val="004742D0"/>
    <w:rsid w:val="004F3BE2"/>
    <w:rsid w:val="004F3DAD"/>
    <w:rsid w:val="004F4BBA"/>
    <w:rsid w:val="00503660"/>
    <w:rsid w:val="005064B3"/>
    <w:rsid w:val="0051104E"/>
    <w:rsid w:val="005233AA"/>
    <w:rsid w:val="0052358B"/>
    <w:rsid w:val="005302A3"/>
    <w:rsid w:val="00534040"/>
    <w:rsid w:val="00541187"/>
    <w:rsid w:val="00551AD9"/>
    <w:rsid w:val="00551B0F"/>
    <w:rsid w:val="005659FB"/>
    <w:rsid w:val="005B3E3C"/>
    <w:rsid w:val="005C098E"/>
    <w:rsid w:val="005C3FC1"/>
    <w:rsid w:val="005D3499"/>
    <w:rsid w:val="005E2583"/>
    <w:rsid w:val="005E58A6"/>
    <w:rsid w:val="005E6BC3"/>
    <w:rsid w:val="005F2CB6"/>
    <w:rsid w:val="0061684E"/>
    <w:rsid w:val="00632413"/>
    <w:rsid w:val="00661308"/>
    <w:rsid w:val="00677185"/>
    <w:rsid w:val="00677292"/>
    <w:rsid w:val="00697D48"/>
    <w:rsid w:val="006B14EF"/>
    <w:rsid w:val="006E188A"/>
    <w:rsid w:val="006E3C3E"/>
    <w:rsid w:val="006F2F62"/>
    <w:rsid w:val="00703FEE"/>
    <w:rsid w:val="0073522A"/>
    <w:rsid w:val="0077417C"/>
    <w:rsid w:val="007769CD"/>
    <w:rsid w:val="0078032B"/>
    <w:rsid w:val="00781566"/>
    <w:rsid w:val="007930CA"/>
    <w:rsid w:val="007930EA"/>
    <w:rsid w:val="007976E7"/>
    <w:rsid w:val="007A2CF0"/>
    <w:rsid w:val="007A59BB"/>
    <w:rsid w:val="007B02FB"/>
    <w:rsid w:val="007B43CD"/>
    <w:rsid w:val="007B62C7"/>
    <w:rsid w:val="007B6D77"/>
    <w:rsid w:val="007E3D51"/>
    <w:rsid w:val="007E47DF"/>
    <w:rsid w:val="007E4970"/>
    <w:rsid w:val="00802701"/>
    <w:rsid w:val="008038A2"/>
    <w:rsid w:val="008114CC"/>
    <w:rsid w:val="00811FE8"/>
    <w:rsid w:val="0084720C"/>
    <w:rsid w:val="0086436B"/>
    <w:rsid w:val="00866990"/>
    <w:rsid w:val="00894B97"/>
    <w:rsid w:val="008B723F"/>
    <w:rsid w:val="008D1010"/>
    <w:rsid w:val="008D26A8"/>
    <w:rsid w:val="008D50F7"/>
    <w:rsid w:val="00910617"/>
    <w:rsid w:val="00946E6E"/>
    <w:rsid w:val="009860CC"/>
    <w:rsid w:val="009869DE"/>
    <w:rsid w:val="009E0559"/>
    <w:rsid w:val="00A2080F"/>
    <w:rsid w:val="00A65AF3"/>
    <w:rsid w:val="00A674FB"/>
    <w:rsid w:val="00A76C2F"/>
    <w:rsid w:val="00A85311"/>
    <w:rsid w:val="00A86977"/>
    <w:rsid w:val="00AA0C3F"/>
    <w:rsid w:val="00AB3ABC"/>
    <w:rsid w:val="00AC3814"/>
    <w:rsid w:val="00AC6644"/>
    <w:rsid w:val="00AC6B7A"/>
    <w:rsid w:val="00AC6E26"/>
    <w:rsid w:val="00AE4E0F"/>
    <w:rsid w:val="00AF0562"/>
    <w:rsid w:val="00AF2B41"/>
    <w:rsid w:val="00B06EBE"/>
    <w:rsid w:val="00B10FB2"/>
    <w:rsid w:val="00B26E1A"/>
    <w:rsid w:val="00B26F2C"/>
    <w:rsid w:val="00B327BE"/>
    <w:rsid w:val="00B32A0D"/>
    <w:rsid w:val="00B46633"/>
    <w:rsid w:val="00B500BF"/>
    <w:rsid w:val="00B50D5E"/>
    <w:rsid w:val="00B91B9B"/>
    <w:rsid w:val="00BA3B3E"/>
    <w:rsid w:val="00BC152C"/>
    <w:rsid w:val="00BF1919"/>
    <w:rsid w:val="00BF3538"/>
    <w:rsid w:val="00BF5367"/>
    <w:rsid w:val="00C07817"/>
    <w:rsid w:val="00C11AA2"/>
    <w:rsid w:val="00C364D4"/>
    <w:rsid w:val="00C67635"/>
    <w:rsid w:val="00C71005"/>
    <w:rsid w:val="00C93210"/>
    <w:rsid w:val="00C9409B"/>
    <w:rsid w:val="00CC5620"/>
    <w:rsid w:val="00CC6A15"/>
    <w:rsid w:val="00CD3DE3"/>
    <w:rsid w:val="00D07064"/>
    <w:rsid w:val="00D101CB"/>
    <w:rsid w:val="00D1773F"/>
    <w:rsid w:val="00D279FC"/>
    <w:rsid w:val="00D30EDD"/>
    <w:rsid w:val="00D352A3"/>
    <w:rsid w:val="00D557DE"/>
    <w:rsid w:val="00D55ADD"/>
    <w:rsid w:val="00D574A6"/>
    <w:rsid w:val="00D6680A"/>
    <w:rsid w:val="00D8544F"/>
    <w:rsid w:val="00D870AD"/>
    <w:rsid w:val="00D97F5E"/>
    <w:rsid w:val="00DA0FA6"/>
    <w:rsid w:val="00DA6E73"/>
    <w:rsid w:val="00DB0979"/>
    <w:rsid w:val="00DB14E9"/>
    <w:rsid w:val="00DB161E"/>
    <w:rsid w:val="00DB4A9D"/>
    <w:rsid w:val="00DD33DF"/>
    <w:rsid w:val="00DE1293"/>
    <w:rsid w:val="00DF10CC"/>
    <w:rsid w:val="00E03C88"/>
    <w:rsid w:val="00E27187"/>
    <w:rsid w:val="00E30001"/>
    <w:rsid w:val="00E44E6E"/>
    <w:rsid w:val="00E6416E"/>
    <w:rsid w:val="00E827C5"/>
    <w:rsid w:val="00EA26A3"/>
    <w:rsid w:val="00EB12C0"/>
    <w:rsid w:val="00EC6923"/>
    <w:rsid w:val="00ED3C1F"/>
    <w:rsid w:val="00EE0206"/>
    <w:rsid w:val="00EF5BE0"/>
    <w:rsid w:val="00F24050"/>
    <w:rsid w:val="00F24EB2"/>
    <w:rsid w:val="00F34FE3"/>
    <w:rsid w:val="00F4379D"/>
    <w:rsid w:val="00F50721"/>
    <w:rsid w:val="00F50A07"/>
    <w:rsid w:val="00F57119"/>
    <w:rsid w:val="00F57141"/>
    <w:rsid w:val="00F77C13"/>
    <w:rsid w:val="00F81A14"/>
    <w:rsid w:val="00F82C5A"/>
    <w:rsid w:val="00F84F44"/>
    <w:rsid w:val="00F945DB"/>
    <w:rsid w:val="00FA3993"/>
    <w:rsid w:val="00FA5118"/>
    <w:rsid w:val="00FA5C39"/>
    <w:rsid w:val="00FB35C1"/>
    <w:rsid w:val="00FD1511"/>
    <w:rsid w:val="00FD2279"/>
    <w:rsid w:val="00FD614C"/>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A698AC9"/>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PlainText">
    <w:name w:val="Plain Text"/>
    <w:basedOn w:val="Normal"/>
    <w:link w:val="PlainTextChar"/>
    <w:uiPriority w:val="99"/>
    <w:semiHidden/>
    <w:unhideWhenUsed/>
    <w:rsid w:val="00B4663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B46633"/>
    <w:rPr>
      <w:rFonts w:ascii="Calibri" w:eastAsiaTheme="minorHAnsi" w:hAnsi="Calibri" w:cstheme="minorBidi"/>
      <w:sz w:val="22"/>
      <w:szCs w:val="21"/>
      <w:lang w:eastAsia="en-US"/>
    </w:rPr>
  </w:style>
  <w:style w:type="paragraph" w:styleId="NormalWeb">
    <w:name w:val="Normal (Web)"/>
    <w:basedOn w:val="Normal"/>
    <w:uiPriority w:val="99"/>
    <w:unhideWhenUsed/>
    <w:rsid w:val="00424508"/>
    <w:pPr>
      <w:spacing w:before="100" w:beforeAutospacing="1" w:after="225"/>
    </w:pPr>
    <w:rPr>
      <w:lang w:val="en-GB" w:eastAsia="en-GB"/>
    </w:rPr>
  </w:style>
  <w:style w:type="paragraph" w:customStyle="1" w:styleId="Default">
    <w:name w:val="Default"/>
    <w:rsid w:val="00417A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585917772">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896277573">
      <w:bodyDiv w:val="1"/>
      <w:marLeft w:val="0"/>
      <w:marRight w:val="0"/>
      <w:marTop w:val="0"/>
      <w:marBottom w:val="0"/>
      <w:divBdr>
        <w:top w:val="none" w:sz="0" w:space="0" w:color="auto"/>
        <w:left w:val="none" w:sz="0" w:space="0" w:color="auto"/>
        <w:bottom w:val="none" w:sz="0" w:space="0" w:color="auto"/>
        <w:right w:val="none" w:sz="0" w:space="0" w:color="auto"/>
      </w:divBdr>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991442591">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084645295">
      <w:bodyDiv w:val="1"/>
      <w:marLeft w:val="0"/>
      <w:marRight w:val="0"/>
      <w:marTop w:val="0"/>
      <w:marBottom w:val="0"/>
      <w:divBdr>
        <w:top w:val="none" w:sz="0" w:space="0" w:color="auto"/>
        <w:left w:val="none" w:sz="0" w:space="0" w:color="auto"/>
        <w:bottom w:val="none" w:sz="0" w:space="0" w:color="auto"/>
        <w:right w:val="none" w:sz="0" w:space="0" w:color="auto"/>
      </w:divBdr>
      <w:divsChild>
        <w:div w:id="5177542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sChild>
                <w:div w:id="1038578851">
                  <w:marLeft w:val="0"/>
                  <w:marRight w:val="0"/>
                  <w:marTop w:val="0"/>
                  <w:marBottom w:val="0"/>
                  <w:divBdr>
                    <w:top w:val="none" w:sz="0" w:space="0" w:color="auto"/>
                    <w:left w:val="none" w:sz="0" w:space="0" w:color="auto"/>
                    <w:bottom w:val="none" w:sz="0" w:space="0" w:color="auto"/>
                    <w:right w:val="none" w:sz="0" w:space="0" w:color="auto"/>
                  </w:divBdr>
                  <w:divsChild>
                    <w:div w:id="1621110105">
                      <w:marLeft w:val="0"/>
                      <w:marRight w:val="0"/>
                      <w:marTop w:val="0"/>
                      <w:marBottom w:val="0"/>
                      <w:divBdr>
                        <w:top w:val="none" w:sz="0" w:space="0" w:color="auto"/>
                        <w:left w:val="none" w:sz="0" w:space="0" w:color="auto"/>
                        <w:bottom w:val="none" w:sz="0" w:space="0" w:color="auto"/>
                        <w:right w:val="single" w:sz="18" w:space="0" w:color="F9F9F9"/>
                      </w:divBdr>
                      <w:divsChild>
                        <w:div w:id="370418346">
                          <w:marLeft w:val="0"/>
                          <w:marRight w:val="3"/>
                          <w:marTop w:val="0"/>
                          <w:marBottom w:val="600"/>
                          <w:divBdr>
                            <w:top w:val="none" w:sz="0" w:space="0" w:color="auto"/>
                            <w:left w:val="none" w:sz="0" w:space="0" w:color="auto"/>
                            <w:bottom w:val="none" w:sz="0" w:space="0" w:color="auto"/>
                            <w:right w:val="none" w:sz="0" w:space="0" w:color="auto"/>
                          </w:divBdr>
                          <w:divsChild>
                            <w:div w:id="1680739946">
                              <w:marLeft w:val="0"/>
                              <w:marRight w:val="0"/>
                              <w:marTop w:val="0"/>
                              <w:marBottom w:val="0"/>
                              <w:divBdr>
                                <w:top w:val="none" w:sz="0" w:space="0" w:color="auto"/>
                                <w:left w:val="none" w:sz="0" w:space="0" w:color="auto"/>
                                <w:bottom w:val="none" w:sz="0" w:space="0" w:color="auto"/>
                                <w:right w:val="none" w:sz="0" w:space="0" w:color="auto"/>
                              </w:divBdr>
                              <w:divsChild>
                                <w:div w:id="284427006">
                                  <w:marLeft w:val="0"/>
                                  <w:marRight w:val="0"/>
                                  <w:marTop w:val="0"/>
                                  <w:marBottom w:val="0"/>
                                  <w:divBdr>
                                    <w:top w:val="none" w:sz="0" w:space="0" w:color="auto"/>
                                    <w:left w:val="none" w:sz="0" w:space="0" w:color="auto"/>
                                    <w:bottom w:val="none" w:sz="0" w:space="0" w:color="auto"/>
                                    <w:right w:val="none" w:sz="0" w:space="0" w:color="auto"/>
                                  </w:divBdr>
                                  <w:divsChild>
                                    <w:div w:id="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21928">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284770211">
      <w:bodyDiv w:val="1"/>
      <w:marLeft w:val="0"/>
      <w:marRight w:val="0"/>
      <w:marTop w:val="0"/>
      <w:marBottom w:val="0"/>
      <w:divBdr>
        <w:top w:val="none" w:sz="0" w:space="0" w:color="auto"/>
        <w:left w:val="none" w:sz="0" w:space="0" w:color="auto"/>
        <w:bottom w:val="none" w:sz="0" w:space="0" w:color="auto"/>
        <w:right w:val="none" w:sz="0" w:space="0" w:color="auto"/>
      </w:divBdr>
    </w:div>
    <w:div w:id="1303804500">
      <w:bodyDiv w:val="1"/>
      <w:marLeft w:val="0"/>
      <w:marRight w:val="0"/>
      <w:marTop w:val="0"/>
      <w:marBottom w:val="0"/>
      <w:divBdr>
        <w:top w:val="none" w:sz="0" w:space="0" w:color="auto"/>
        <w:left w:val="none" w:sz="0" w:space="0" w:color="auto"/>
        <w:bottom w:val="none" w:sz="0" w:space="0" w:color="auto"/>
        <w:right w:val="none" w:sz="0" w:space="0" w:color="auto"/>
      </w:divBdr>
    </w:div>
    <w:div w:id="1400401610">
      <w:bodyDiv w:val="1"/>
      <w:marLeft w:val="0"/>
      <w:marRight w:val="0"/>
      <w:marTop w:val="0"/>
      <w:marBottom w:val="0"/>
      <w:divBdr>
        <w:top w:val="none" w:sz="0" w:space="0" w:color="auto"/>
        <w:left w:val="none" w:sz="0" w:space="0" w:color="auto"/>
        <w:bottom w:val="none" w:sz="0" w:space="0" w:color="auto"/>
        <w:right w:val="none" w:sz="0" w:space="0" w:color="auto"/>
      </w:divBdr>
    </w:div>
    <w:div w:id="1518037157">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572886976">
      <w:bodyDiv w:val="1"/>
      <w:marLeft w:val="0"/>
      <w:marRight w:val="0"/>
      <w:marTop w:val="0"/>
      <w:marBottom w:val="0"/>
      <w:divBdr>
        <w:top w:val="none" w:sz="0" w:space="0" w:color="auto"/>
        <w:left w:val="none" w:sz="0" w:space="0" w:color="auto"/>
        <w:bottom w:val="none" w:sz="0" w:space="0" w:color="auto"/>
        <w:right w:val="none" w:sz="0" w:space="0" w:color="auto"/>
      </w:divBdr>
    </w:div>
    <w:div w:id="1665089510">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704091788">
      <w:bodyDiv w:val="1"/>
      <w:marLeft w:val="0"/>
      <w:marRight w:val="0"/>
      <w:marTop w:val="0"/>
      <w:marBottom w:val="0"/>
      <w:divBdr>
        <w:top w:val="none" w:sz="0" w:space="0" w:color="auto"/>
        <w:left w:val="none" w:sz="0" w:space="0" w:color="auto"/>
        <w:bottom w:val="none" w:sz="0" w:space="0" w:color="auto"/>
        <w:right w:val="none" w:sz="0" w:space="0" w:color="auto"/>
      </w:divBdr>
    </w:div>
    <w:div w:id="1743723364">
      <w:bodyDiv w:val="1"/>
      <w:marLeft w:val="0"/>
      <w:marRight w:val="0"/>
      <w:marTop w:val="0"/>
      <w:marBottom w:val="0"/>
      <w:divBdr>
        <w:top w:val="none" w:sz="0" w:space="0" w:color="auto"/>
        <w:left w:val="none" w:sz="0" w:space="0" w:color="auto"/>
        <w:bottom w:val="none" w:sz="0" w:space="0" w:color="auto"/>
        <w:right w:val="none" w:sz="0" w:space="0" w:color="auto"/>
      </w:divBdr>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1877935233">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1E8C-EFD4-46FA-A8DC-E2B787F3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2019-01-16T15:50:00Z</cp:lastPrinted>
  <dcterms:created xsi:type="dcterms:W3CDTF">2019-01-23T14:13:00Z</dcterms:created>
  <dcterms:modified xsi:type="dcterms:W3CDTF">2019-01-24T23:25:00Z</dcterms:modified>
</cp:coreProperties>
</file>