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4D0692" w:rsidRDefault="001058A7" w:rsidP="005433AD">
      <w:pPr>
        <w:ind w:right="-1"/>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251BEF">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4693920</wp:posOffset>
                </wp:positionH>
                <wp:positionV relativeFrom="paragraph">
                  <wp:posOffset>205105</wp:posOffset>
                </wp:positionV>
                <wp:extent cx="1371600" cy="571500"/>
                <wp:effectExtent l="5080" t="7620" r="13970"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00743B">
                              <w:rPr>
                                <w:rFonts w:ascii="Segoe UI" w:hAnsi="Segoe UI" w:cs="Segoe UI"/>
                                <w:b/>
                              </w:rPr>
                              <w:t>05</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00743B">
                              <w:rPr>
                                <w:rFonts w:ascii="Segoe UI" w:hAnsi="Segoe UI" w:cs="Segoe UI"/>
                                <w:sz w:val="22"/>
                                <w:szCs w:val="22"/>
                              </w:rPr>
                              <w:t>7</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69.6pt;margin-top:16.1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LOK6TuAAAAAKAQAADwAAAGRycy9kb3ducmV2LnhtbEyPTU+DQBCG7yb+&#10;h82YeLOLINoiS2NMetHYKG2Mxy07BZSdJeyWUn+940mP886T9yNfTrYTIw6+daTgehaBQKqcaalW&#10;sN2sruYgfNBkdOcIFZzQw7I4P8t1ZtyR3nAsQy3YhHymFTQh9JmUvmrQaj9zPRL/9m6wOvA51NIM&#10;+sjmtpNxFN1Kq1vihEb3+Nhg9VUeLOfe9J/b9dN69XL6fh/96/NHme6dUpcX08M9iIBT+IPhtz5X&#10;h4I77dyBjBedgrtkETOqIIkTEAws0pSFHZMxK7LI5f8JxQ8AAAD//wMAUEsBAi0AFAAGAAgAAAAh&#10;ALaDOJL+AAAA4QEAABMAAAAAAAAAAAAAAAAAAAAAAFtDb250ZW50X1R5cGVzXS54bWxQSwECLQAU&#10;AAYACAAAACEAOP0h/9YAAACUAQAACwAAAAAAAAAAAAAAAAAvAQAAX3JlbHMvLnJlbHNQSwECLQAU&#10;AAYACAAAACEA3FKhnBsCAAA4BAAADgAAAAAAAAAAAAAAAAAuAgAAZHJzL2Uyb0RvYy54bWxQSwEC&#10;LQAUAAYACAAAACEALOK6TuAAAAAKAQAADwAAAAAAAAAAAAAAAAB1BAAAZHJzL2Rvd25yZXYueG1s&#10;UEsFBgAAAAAEAAQA8wAAAIIFAAAAAA==&#10;">
                <v:textbox inset="0,0,0,0">
                  <w:txbxContent>
                    <w:p w:rsidR="00781566" w:rsidRDefault="00FA3993">
                      <w:pPr>
                        <w:jc w:val="center"/>
                        <w:rPr>
                          <w:rFonts w:ascii="Segoe UI" w:hAnsi="Segoe UI" w:cs="Segoe UI"/>
                        </w:rPr>
                      </w:pPr>
                      <w:r>
                        <w:rPr>
                          <w:rFonts w:ascii="Segoe UI" w:hAnsi="Segoe UI" w:cs="Segoe UI"/>
                          <w:b/>
                        </w:rPr>
                        <w:t xml:space="preserve">BOD </w:t>
                      </w:r>
                      <w:r w:rsidR="0000743B">
                        <w:rPr>
                          <w:rFonts w:ascii="Segoe UI" w:hAnsi="Segoe UI" w:cs="Segoe UI"/>
                          <w:b/>
                        </w:rPr>
                        <w:t>05</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00743B">
                        <w:rPr>
                          <w:rFonts w:ascii="Segoe UI" w:hAnsi="Segoe UI" w:cs="Segoe UI"/>
                          <w:sz w:val="22"/>
                          <w:szCs w:val="22"/>
                        </w:rPr>
                        <w:t>7</w:t>
                      </w:r>
                      <w:r>
                        <w:rPr>
                          <w:rFonts w:ascii="Segoe UI" w:hAnsi="Segoe UI" w:cs="Segoe UI"/>
                          <w:sz w:val="22"/>
                          <w:szCs w:val="22"/>
                        </w:rPr>
                        <w:t>)</w:t>
                      </w:r>
                    </w:p>
                  </w:txbxContent>
                </v:textbox>
              </v:rect>
            </w:pict>
          </mc:Fallback>
        </mc:AlternateContent>
      </w: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BF6C68">
      <w:pPr>
        <w:jc w:val="center"/>
        <w:rPr>
          <w:rFonts w:ascii="Segoe UI" w:hAnsi="Segoe UI" w:cs="Segoe UI"/>
          <w:b/>
        </w:rPr>
      </w:pPr>
      <w:r>
        <w:rPr>
          <w:rFonts w:ascii="Segoe UI" w:hAnsi="Segoe UI" w:cs="Segoe UI"/>
          <w:b/>
        </w:rPr>
        <w:t>31</w:t>
      </w:r>
      <w:r w:rsidRPr="00BF6C68">
        <w:rPr>
          <w:rFonts w:ascii="Segoe UI" w:hAnsi="Segoe UI" w:cs="Segoe UI"/>
          <w:b/>
          <w:vertAlign w:val="superscript"/>
        </w:rPr>
        <w:t>st</w:t>
      </w:r>
      <w:r>
        <w:rPr>
          <w:rFonts w:ascii="Segoe UI" w:hAnsi="Segoe UI" w:cs="Segoe UI"/>
          <w:b/>
        </w:rPr>
        <w:t xml:space="preserve"> January</w:t>
      </w:r>
      <w:r w:rsidR="00A016A0">
        <w:rPr>
          <w:rFonts w:ascii="Segoe UI" w:hAnsi="Segoe UI" w:cs="Segoe UI"/>
          <w:b/>
        </w:rPr>
        <w:t xml:space="preserve"> 2019</w:t>
      </w:r>
    </w:p>
    <w:p w:rsidR="005D3499" w:rsidRPr="00FA3993" w:rsidRDefault="005D3499">
      <w:pPr>
        <w:jc w:val="center"/>
        <w:rPr>
          <w:rFonts w:ascii="Segoe UI" w:hAnsi="Segoe UI" w:cs="Segoe UI"/>
          <w:b/>
        </w:rPr>
      </w:pPr>
    </w:p>
    <w:p w:rsidR="005D3499" w:rsidRPr="00FA3993" w:rsidRDefault="00BF6C68" w:rsidP="00FD2279">
      <w:pPr>
        <w:jc w:val="center"/>
        <w:rPr>
          <w:rFonts w:ascii="Segoe UI" w:hAnsi="Segoe UI" w:cs="Segoe UI"/>
          <w:b/>
        </w:rPr>
      </w:pPr>
      <w:r>
        <w:rPr>
          <w:rFonts w:ascii="Segoe UI" w:hAnsi="Segoe UI" w:cs="Segoe UI"/>
          <w:b/>
        </w:rPr>
        <w:t>Oxfordshire CQC system review</w:t>
      </w:r>
    </w:p>
    <w:p w:rsidR="005D3499" w:rsidRPr="00FA3993" w:rsidRDefault="005D3499">
      <w:pPr>
        <w:rPr>
          <w:rFonts w:ascii="Segoe UI" w:hAnsi="Segoe UI" w:cs="Segoe UI"/>
          <w:b/>
        </w:rPr>
      </w:pPr>
    </w:p>
    <w:p w:rsidR="00241A66" w:rsidRDefault="00BF6C68"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p>
    <w:p w:rsidR="00BF6C68" w:rsidRPr="00294687" w:rsidRDefault="007A2CF0" w:rsidP="00BF6C68">
      <w:pPr>
        <w:jc w:val="both"/>
        <w:rPr>
          <w:rFonts w:asciiTheme="minorHAnsi" w:hAnsiTheme="minorHAnsi" w:cstheme="minorHAnsi"/>
          <w:sz w:val="22"/>
          <w:szCs w:val="22"/>
        </w:rPr>
      </w:pPr>
      <w:r w:rsidRPr="00294687">
        <w:rPr>
          <w:rFonts w:asciiTheme="minorHAnsi" w:hAnsiTheme="minorHAnsi" w:cstheme="minorHAnsi"/>
          <w:b/>
          <w:sz w:val="22"/>
          <w:szCs w:val="22"/>
        </w:rPr>
        <w:t>Executive Summary</w:t>
      </w:r>
      <w:r w:rsidR="00101A8F" w:rsidRPr="00294687">
        <w:rPr>
          <w:rFonts w:asciiTheme="minorHAnsi" w:hAnsiTheme="minorHAnsi" w:cstheme="minorHAnsi"/>
          <w:b/>
          <w:sz w:val="22"/>
          <w:szCs w:val="22"/>
        </w:rPr>
        <w:t xml:space="preserve"> </w:t>
      </w:r>
      <w:bookmarkStart w:id="0" w:name="_GoBack"/>
      <w:bookmarkEnd w:id="0"/>
    </w:p>
    <w:p w:rsidR="00B1093F" w:rsidRPr="00294687" w:rsidRDefault="00B1093F" w:rsidP="00BF6C68">
      <w:pPr>
        <w:jc w:val="both"/>
        <w:rPr>
          <w:rFonts w:asciiTheme="minorHAnsi" w:eastAsia="Calibri" w:hAnsiTheme="minorHAnsi" w:cstheme="minorHAnsi"/>
          <w:sz w:val="22"/>
          <w:szCs w:val="22"/>
        </w:rPr>
      </w:pPr>
      <w:r w:rsidRPr="00294687">
        <w:rPr>
          <w:rFonts w:asciiTheme="minorHAnsi" w:hAnsiTheme="minorHAnsi" w:cstheme="minorHAnsi"/>
          <w:sz w:val="22"/>
          <w:szCs w:val="22"/>
        </w:rPr>
        <w:t xml:space="preserve">The paper is being presented for information to share the outcome from the </w:t>
      </w:r>
      <w:r w:rsidRPr="00294687">
        <w:rPr>
          <w:rFonts w:asciiTheme="minorHAnsi" w:eastAsia="Calibri" w:hAnsiTheme="minorHAnsi" w:cstheme="minorHAnsi"/>
          <w:sz w:val="22"/>
          <w:szCs w:val="22"/>
        </w:rPr>
        <w:t>follow up review by the CQC of the Oxfordshire health and social care system in November 2018. The CQC inspectors are meeting with the Health and Wellbeing Board members on 29</w:t>
      </w:r>
      <w:r w:rsidRPr="00294687">
        <w:rPr>
          <w:rFonts w:asciiTheme="minorHAnsi" w:eastAsia="Calibri" w:hAnsiTheme="minorHAnsi" w:cstheme="minorHAnsi"/>
          <w:sz w:val="22"/>
          <w:szCs w:val="22"/>
          <w:vertAlign w:val="superscript"/>
        </w:rPr>
        <w:t>th</w:t>
      </w:r>
      <w:r w:rsidRPr="00294687">
        <w:rPr>
          <w:rFonts w:asciiTheme="minorHAnsi" w:eastAsia="Calibri" w:hAnsiTheme="minorHAnsi" w:cstheme="minorHAnsi"/>
          <w:sz w:val="22"/>
          <w:szCs w:val="22"/>
        </w:rPr>
        <w:t xml:space="preserve"> January 2019 to discuss the </w:t>
      </w:r>
      <w:r w:rsidR="00347771">
        <w:rPr>
          <w:rFonts w:asciiTheme="minorHAnsi" w:eastAsia="Calibri" w:hAnsiTheme="minorHAnsi" w:cstheme="minorHAnsi"/>
          <w:sz w:val="22"/>
          <w:szCs w:val="22"/>
        </w:rPr>
        <w:t>outcome.</w:t>
      </w:r>
    </w:p>
    <w:p w:rsidR="00B1093F" w:rsidRPr="00294687" w:rsidRDefault="00B1093F" w:rsidP="00BF6C68">
      <w:pPr>
        <w:jc w:val="both"/>
        <w:rPr>
          <w:rFonts w:asciiTheme="minorHAnsi" w:eastAsia="Calibri" w:hAnsiTheme="minorHAnsi" w:cstheme="minorHAnsi"/>
          <w:sz w:val="22"/>
          <w:szCs w:val="22"/>
        </w:rPr>
      </w:pPr>
    </w:p>
    <w:p w:rsidR="00B1093F" w:rsidRPr="00294687" w:rsidRDefault="00B1093F" w:rsidP="00BF6C68">
      <w:pPr>
        <w:jc w:val="both"/>
        <w:rPr>
          <w:rFonts w:asciiTheme="minorHAnsi" w:hAnsiTheme="minorHAnsi" w:cstheme="minorHAnsi"/>
          <w:sz w:val="22"/>
          <w:szCs w:val="22"/>
        </w:rPr>
      </w:pPr>
      <w:r w:rsidRPr="00294687">
        <w:rPr>
          <w:rFonts w:asciiTheme="minorHAnsi" w:eastAsia="Calibri" w:hAnsiTheme="minorHAnsi" w:cstheme="minorHAnsi"/>
          <w:sz w:val="22"/>
          <w:szCs w:val="22"/>
        </w:rPr>
        <w:t>The system action plan agreed in March 2018 will need to be refreshed following the most recent review by the CQC and there will need to be continued commitment from all partners</w:t>
      </w:r>
      <w:r w:rsidR="00251BEF">
        <w:rPr>
          <w:rFonts w:asciiTheme="minorHAnsi" w:eastAsia="Calibri" w:hAnsiTheme="minorHAnsi" w:cstheme="minorHAnsi"/>
          <w:sz w:val="22"/>
          <w:szCs w:val="22"/>
        </w:rPr>
        <w:t xml:space="preserve"> to deliver the plan</w:t>
      </w:r>
      <w:r w:rsidRPr="00294687">
        <w:rPr>
          <w:rFonts w:asciiTheme="minorHAnsi" w:eastAsia="Calibri" w:hAnsiTheme="minorHAnsi" w:cstheme="minorHAnsi"/>
          <w:sz w:val="22"/>
          <w:szCs w:val="22"/>
        </w:rPr>
        <w:t xml:space="preserve">. </w:t>
      </w:r>
    </w:p>
    <w:p w:rsidR="007A2CF0" w:rsidRPr="00294687" w:rsidRDefault="007A2CF0" w:rsidP="007A2CF0">
      <w:pPr>
        <w:jc w:val="both"/>
        <w:rPr>
          <w:rFonts w:asciiTheme="minorHAnsi" w:hAnsiTheme="minorHAnsi" w:cstheme="minorHAnsi"/>
          <w:i/>
          <w:sz w:val="22"/>
          <w:szCs w:val="22"/>
        </w:rPr>
      </w:pPr>
    </w:p>
    <w:p w:rsidR="00FA3993" w:rsidRPr="00294687" w:rsidRDefault="00FA3993" w:rsidP="007A2CF0">
      <w:pPr>
        <w:jc w:val="both"/>
        <w:rPr>
          <w:rFonts w:asciiTheme="minorHAnsi" w:hAnsiTheme="minorHAnsi" w:cstheme="minorHAnsi"/>
          <w:b/>
          <w:sz w:val="22"/>
          <w:szCs w:val="22"/>
        </w:rPr>
      </w:pPr>
      <w:r w:rsidRPr="00294687">
        <w:rPr>
          <w:rFonts w:asciiTheme="minorHAnsi" w:hAnsiTheme="minorHAnsi" w:cstheme="minorHAnsi"/>
          <w:b/>
          <w:sz w:val="22"/>
          <w:szCs w:val="22"/>
        </w:rPr>
        <w:t>Governance Route/</w:t>
      </w:r>
      <w:r w:rsidR="00745B27" w:rsidRPr="00294687">
        <w:rPr>
          <w:rFonts w:asciiTheme="minorHAnsi" w:hAnsiTheme="minorHAnsi" w:cstheme="minorHAnsi"/>
          <w:b/>
          <w:sz w:val="22"/>
          <w:szCs w:val="22"/>
        </w:rPr>
        <w:t>Escalation</w:t>
      </w:r>
      <w:r w:rsidRPr="00294687">
        <w:rPr>
          <w:rFonts w:asciiTheme="minorHAnsi" w:hAnsiTheme="minorHAnsi" w:cstheme="minorHAnsi"/>
          <w:b/>
          <w:sz w:val="22"/>
          <w:szCs w:val="22"/>
        </w:rPr>
        <w:t xml:space="preserve"> Process</w:t>
      </w:r>
    </w:p>
    <w:p w:rsidR="00B1093F" w:rsidRPr="00294687" w:rsidRDefault="00B1093F" w:rsidP="007A2CF0">
      <w:pPr>
        <w:jc w:val="both"/>
        <w:rPr>
          <w:rFonts w:asciiTheme="minorHAnsi" w:hAnsiTheme="minorHAnsi" w:cstheme="minorHAnsi"/>
          <w:sz w:val="22"/>
          <w:szCs w:val="22"/>
        </w:rPr>
      </w:pPr>
      <w:r w:rsidRPr="00294687">
        <w:rPr>
          <w:rFonts w:asciiTheme="minorHAnsi" w:hAnsiTheme="minorHAnsi" w:cstheme="minorHAnsi"/>
          <w:sz w:val="22"/>
          <w:szCs w:val="22"/>
        </w:rPr>
        <w:t>The outcome of the follow up review has been shared within the Community Services Directorate and Executive Team. Regular communications were made to all staff before, during and after the follow up review.</w:t>
      </w:r>
    </w:p>
    <w:p w:rsidR="00551AD9" w:rsidRPr="00294687" w:rsidRDefault="00551AD9" w:rsidP="0073522A">
      <w:pPr>
        <w:jc w:val="both"/>
        <w:rPr>
          <w:rFonts w:asciiTheme="minorHAnsi" w:hAnsiTheme="minorHAnsi" w:cstheme="minorHAnsi"/>
          <w:b/>
          <w:sz w:val="22"/>
          <w:szCs w:val="22"/>
        </w:rPr>
      </w:pPr>
    </w:p>
    <w:p w:rsidR="0073522A" w:rsidRPr="00294687" w:rsidRDefault="0073522A" w:rsidP="0073522A">
      <w:pPr>
        <w:jc w:val="both"/>
        <w:rPr>
          <w:rFonts w:asciiTheme="minorHAnsi" w:hAnsiTheme="minorHAnsi" w:cstheme="minorHAnsi"/>
          <w:b/>
          <w:sz w:val="22"/>
          <w:szCs w:val="22"/>
        </w:rPr>
      </w:pPr>
      <w:r w:rsidRPr="00294687">
        <w:rPr>
          <w:rFonts w:asciiTheme="minorHAnsi" w:hAnsiTheme="minorHAnsi" w:cstheme="minorHAnsi"/>
          <w:b/>
          <w:sz w:val="22"/>
          <w:szCs w:val="22"/>
        </w:rPr>
        <w:t>Recommendation</w:t>
      </w:r>
    </w:p>
    <w:p w:rsidR="005D3499" w:rsidRPr="00294687" w:rsidRDefault="00B1093F">
      <w:pPr>
        <w:jc w:val="both"/>
        <w:rPr>
          <w:rFonts w:asciiTheme="minorHAnsi" w:hAnsiTheme="minorHAnsi" w:cstheme="minorHAnsi"/>
          <w:sz w:val="22"/>
          <w:szCs w:val="22"/>
        </w:rPr>
      </w:pPr>
      <w:r w:rsidRPr="00294687">
        <w:rPr>
          <w:rFonts w:asciiTheme="minorHAnsi" w:hAnsiTheme="minorHAnsi" w:cstheme="minorHAnsi"/>
          <w:sz w:val="22"/>
          <w:szCs w:val="22"/>
        </w:rPr>
        <w:t>The Board is asked to note the paper.</w:t>
      </w:r>
      <w:r w:rsidR="000A5A07" w:rsidRPr="00294687">
        <w:rPr>
          <w:rFonts w:asciiTheme="minorHAnsi" w:hAnsiTheme="minorHAnsi" w:cstheme="minorHAnsi"/>
          <w:sz w:val="22"/>
          <w:szCs w:val="22"/>
        </w:rPr>
        <w:t xml:space="preserve"> </w:t>
      </w:r>
    </w:p>
    <w:p w:rsidR="00B1093F" w:rsidRPr="00294687" w:rsidRDefault="00B1093F">
      <w:pPr>
        <w:jc w:val="both"/>
        <w:rPr>
          <w:rFonts w:asciiTheme="minorHAnsi" w:hAnsiTheme="minorHAnsi" w:cstheme="minorHAnsi"/>
          <w:sz w:val="22"/>
          <w:szCs w:val="22"/>
        </w:rPr>
      </w:pPr>
    </w:p>
    <w:p w:rsidR="003F7366" w:rsidRPr="00294687" w:rsidRDefault="002619EF" w:rsidP="0073522A">
      <w:pPr>
        <w:ind w:left="1440" w:hanging="1440"/>
        <w:jc w:val="both"/>
        <w:rPr>
          <w:rFonts w:asciiTheme="minorHAnsi" w:hAnsiTheme="minorHAnsi" w:cstheme="minorHAnsi"/>
          <w:sz w:val="22"/>
          <w:szCs w:val="22"/>
        </w:rPr>
      </w:pPr>
      <w:r w:rsidRPr="00294687">
        <w:rPr>
          <w:rFonts w:asciiTheme="minorHAnsi" w:hAnsiTheme="minorHAnsi" w:cstheme="minorHAnsi"/>
          <w:b/>
          <w:sz w:val="22"/>
          <w:szCs w:val="22"/>
        </w:rPr>
        <w:t>Author and T</w:t>
      </w:r>
      <w:r w:rsidR="0073522A" w:rsidRPr="00294687">
        <w:rPr>
          <w:rFonts w:asciiTheme="minorHAnsi" w:hAnsiTheme="minorHAnsi" w:cstheme="minorHAnsi"/>
          <w:b/>
          <w:sz w:val="22"/>
          <w:szCs w:val="22"/>
        </w:rPr>
        <w:t>itle:</w:t>
      </w:r>
      <w:r w:rsidR="00B1093F" w:rsidRPr="00294687">
        <w:rPr>
          <w:rFonts w:asciiTheme="minorHAnsi" w:hAnsiTheme="minorHAnsi" w:cstheme="minorHAnsi"/>
          <w:b/>
          <w:sz w:val="22"/>
          <w:szCs w:val="22"/>
        </w:rPr>
        <w:t xml:space="preserve"> </w:t>
      </w:r>
      <w:r w:rsidR="00B1093F" w:rsidRPr="00294687">
        <w:rPr>
          <w:rFonts w:asciiTheme="minorHAnsi" w:hAnsiTheme="minorHAnsi" w:cstheme="minorHAnsi"/>
          <w:b/>
          <w:sz w:val="22"/>
          <w:szCs w:val="22"/>
        </w:rPr>
        <w:tab/>
      </w:r>
      <w:r w:rsidR="00B1093F" w:rsidRPr="00294687">
        <w:rPr>
          <w:rFonts w:asciiTheme="minorHAnsi" w:hAnsiTheme="minorHAnsi" w:cstheme="minorHAnsi"/>
          <w:b/>
          <w:sz w:val="22"/>
          <w:szCs w:val="22"/>
        </w:rPr>
        <w:tab/>
      </w:r>
      <w:r w:rsidR="00B1093F" w:rsidRPr="00294687">
        <w:rPr>
          <w:rFonts w:asciiTheme="minorHAnsi" w:hAnsiTheme="minorHAnsi" w:cstheme="minorHAnsi"/>
          <w:sz w:val="22"/>
          <w:szCs w:val="22"/>
        </w:rPr>
        <w:t>Jane Kershaw, Head of Quality Governance</w:t>
      </w:r>
    </w:p>
    <w:p w:rsidR="00FA3993" w:rsidRPr="00294687" w:rsidRDefault="0073522A" w:rsidP="00FA3993">
      <w:pPr>
        <w:jc w:val="both"/>
        <w:rPr>
          <w:rFonts w:asciiTheme="minorHAnsi" w:hAnsiTheme="minorHAnsi" w:cstheme="minorHAnsi"/>
          <w:b/>
          <w:sz w:val="22"/>
          <w:szCs w:val="22"/>
        </w:rPr>
      </w:pPr>
      <w:r w:rsidRPr="00294687">
        <w:rPr>
          <w:rFonts w:asciiTheme="minorHAnsi" w:hAnsiTheme="minorHAnsi" w:cstheme="minorHAnsi"/>
          <w:b/>
          <w:sz w:val="22"/>
          <w:szCs w:val="22"/>
        </w:rPr>
        <w:t>Lead Executive Director:</w:t>
      </w:r>
      <w:r w:rsidR="00B1093F" w:rsidRPr="00294687">
        <w:rPr>
          <w:rFonts w:asciiTheme="minorHAnsi" w:hAnsiTheme="minorHAnsi" w:cstheme="minorHAnsi"/>
          <w:b/>
          <w:sz w:val="22"/>
          <w:szCs w:val="22"/>
        </w:rPr>
        <w:t xml:space="preserve"> </w:t>
      </w:r>
      <w:r w:rsidR="00B1093F" w:rsidRPr="00294687">
        <w:rPr>
          <w:rFonts w:asciiTheme="minorHAnsi" w:hAnsiTheme="minorHAnsi" w:cstheme="minorHAnsi"/>
          <w:b/>
          <w:sz w:val="22"/>
          <w:szCs w:val="22"/>
        </w:rPr>
        <w:tab/>
      </w:r>
      <w:r w:rsidR="00B1093F" w:rsidRPr="00294687">
        <w:rPr>
          <w:rFonts w:asciiTheme="minorHAnsi" w:hAnsiTheme="minorHAnsi" w:cstheme="minorHAnsi"/>
          <w:sz w:val="22"/>
          <w:szCs w:val="22"/>
        </w:rPr>
        <w:t>Kate Riddle, Acting Director of Nursing</w:t>
      </w:r>
    </w:p>
    <w:p w:rsidR="00FA3993" w:rsidRDefault="00FA3993" w:rsidP="00FA3993">
      <w:pPr>
        <w:jc w:val="both"/>
        <w:rPr>
          <w:rFonts w:asciiTheme="minorHAnsi" w:hAnsiTheme="minorHAnsi" w:cstheme="minorHAnsi"/>
          <w:sz w:val="22"/>
          <w:szCs w:val="22"/>
        </w:rPr>
      </w:pPr>
    </w:p>
    <w:p w:rsidR="00294687" w:rsidRDefault="00294687" w:rsidP="00FA3993">
      <w:pPr>
        <w:jc w:val="both"/>
        <w:rPr>
          <w:rFonts w:asciiTheme="minorHAnsi" w:hAnsiTheme="minorHAnsi" w:cstheme="minorHAnsi"/>
          <w:sz w:val="22"/>
          <w:szCs w:val="22"/>
        </w:rPr>
      </w:pPr>
    </w:p>
    <w:p w:rsidR="00294687" w:rsidRDefault="00294687" w:rsidP="00FA3993">
      <w:pPr>
        <w:jc w:val="both"/>
        <w:rPr>
          <w:rFonts w:asciiTheme="minorHAnsi" w:hAnsiTheme="minorHAnsi" w:cstheme="minorHAnsi"/>
          <w:sz w:val="22"/>
          <w:szCs w:val="22"/>
        </w:rPr>
      </w:pPr>
    </w:p>
    <w:p w:rsidR="00251BEF" w:rsidRDefault="00251BEF" w:rsidP="00FA3993">
      <w:pPr>
        <w:jc w:val="both"/>
        <w:rPr>
          <w:rFonts w:asciiTheme="minorHAnsi" w:hAnsiTheme="minorHAnsi" w:cstheme="minorHAnsi"/>
          <w:sz w:val="22"/>
          <w:szCs w:val="22"/>
        </w:rPr>
      </w:pPr>
    </w:p>
    <w:p w:rsidR="00251BEF" w:rsidRDefault="00251BEF" w:rsidP="00FA3993">
      <w:pPr>
        <w:jc w:val="both"/>
        <w:rPr>
          <w:rFonts w:asciiTheme="minorHAnsi" w:hAnsiTheme="minorHAnsi" w:cstheme="minorHAnsi"/>
          <w:sz w:val="22"/>
          <w:szCs w:val="22"/>
        </w:rPr>
      </w:pPr>
    </w:p>
    <w:p w:rsidR="00251BEF" w:rsidRPr="00294687" w:rsidRDefault="00251BEF" w:rsidP="00FA3993">
      <w:pPr>
        <w:jc w:val="both"/>
        <w:rPr>
          <w:rFonts w:asciiTheme="minorHAnsi" w:hAnsiTheme="minorHAnsi" w:cstheme="minorHAnsi"/>
          <w:sz w:val="22"/>
          <w:szCs w:val="22"/>
        </w:rPr>
      </w:pPr>
    </w:p>
    <w:p w:rsidR="002250DE" w:rsidRPr="00294687" w:rsidRDefault="00FA3993" w:rsidP="00D628E5">
      <w:pPr>
        <w:numPr>
          <w:ilvl w:val="0"/>
          <w:numId w:val="4"/>
        </w:numPr>
        <w:jc w:val="both"/>
        <w:rPr>
          <w:rFonts w:asciiTheme="minorHAnsi" w:hAnsiTheme="minorHAnsi" w:cstheme="minorHAnsi"/>
          <w:i/>
          <w:sz w:val="22"/>
          <w:szCs w:val="22"/>
        </w:rPr>
      </w:pPr>
      <w:r w:rsidRPr="00294687">
        <w:rPr>
          <w:rFonts w:asciiTheme="minorHAnsi" w:hAnsiTheme="minorHAnsi" w:cstheme="minorHAnsi"/>
          <w:i/>
          <w:sz w:val="22"/>
          <w:szCs w:val="22"/>
        </w:rPr>
        <w:t>A risk assessment has been undertaken around the legal issues that this report presents and there are no issues that need to be referred to the Trust Solicitors</w:t>
      </w:r>
    </w:p>
    <w:p w:rsidR="00FA3993" w:rsidRPr="00294687" w:rsidRDefault="00FA3993" w:rsidP="005433AD">
      <w:pPr>
        <w:numPr>
          <w:ilvl w:val="0"/>
          <w:numId w:val="4"/>
        </w:numPr>
        <w:jc w:val="both"/>
        <w:rPr>
          <w:rFonts w:asciiTheme="minorHAnsi" w:hAnsiTheme="minorHAnsi" w:cstheme="minorHAnsi"/>
          <w:i/>
          <w:sz w:val="22"/>
          <w:szCs w:val="22"/>
        </w:rPr>
      </w:pPr>
      <w:r w:rsidRPr="00294687">
        <w:rPr>
          <w:rFonts w:asciiTheme="minorHAnsi" w:hAnsiTheme="minorHAnsi" w:cstheme="minorHAnsi"/>
          <w:i/>
          <w:sz w:val="22"/>
          <w:szCs w:val="22"/>
        </w:rPr>
        <w:t>Strategic Objectives – this report relates to or provides assurance and evidence against the following Strategic Objective(s) of the Trust</w:t>
      </w:r>
      <w:r w:rsidR="005433AD" w:rsidRPr="00294687">
        <w:rPr>
          <w:rFonts w:asciiTheme="minorHAnsi" w:hAnsiTheme="minorHAnsi" w:cstheme="minorHAnsi"/>
          <w:i/>
          <w:sz w:val="22"/>
          <w:szCs w:val="22"/>
        </w:rPr>
        <w:t>:</w:t>
      </w:r>
    </w:p>
    <w:p w:rsidR="00FB35C1" w:rsidRPr="00294687" w:rsidRDefault="002250DE" w:rsidP="005433AD">
      <w:pPr>
        <w:ind w:left="1440"/>
        <w:jc w:val="both"/>
        <w:rPr>
          <w:rFonts w:asciiTheme="minorHAnsi" w:hAnsiTheme="minorHAnsi" w:cstheme="minorHAnsi"/>
          <w:i/>
          <w:sz w:val="22"/>
          <w:szCs w:val="22"/>
        </w:rPr>
      </w:pPr>
      <w:r w:rsidRPr="00294687">
        <w:rPr>
          <w:rFonts w:asciiTheme="minorHAnsi" w:hAnsiTheme="minorHAnsi" w:cstheme="minorHAnsi"/>
          <w:i/>
          <w:sz w:val="22"/>
          <w:szCs w:val="22"/>
        </w:rPr>
        <w:t xml:space="preserve">1) </w:t>
      </w:r>
      <w:r w:rsidR="00FA3993" w:rsidRPr="00294687">
        <w:rPr>
          <w:rFonts w:asciiTheme="minorHAnsi" w:hAnsiTheme="minorHAnsi" w:cstheme="minorHAnsi"/>
          <w:i/>
          <w:sz w:val="22"/>
          <w:szCs w:val="22"/>
        </w:rPr>
        <w:t>Driving Quality Improvement</w:t>
      </w:r>
      <w:r w:rsidR="005433AD" w:rsidRPr="00294687">
        <w:rPr>
          <w:rFonts w:asciiTheme="minorHAnsi" w:hAnsiTheme="minorHAnsi" w:cstheme="minorHAnsi"/>
          <w:i/>
          <w:sz w:val="22"/>
          <w:szCs w:val="22"/>
        </w:rPr>
        <w:t xml:space="preserve"> </w:t>
      </w:r>
      <w:r w:rsidR="00FA3993" w:rsidRPr="00294687">
        <w:rPr>
          <w:rFonts w:asciiTheme="minorHAnsi" w:hAnsiTheme="minorHAnsi" w:cstheme="minorHAnsi"/>
          <w:i/>
          <w:sz w:val="22"/>
          <w:szCs w:val="22"/>
        </w:rPr>
        <w:t xml:space="preserve">(Goals: patients will be safe from harm; patients will achieve the clinical outcomes they want; and patients and </w:t>
      </w:r>
      <w:proofErr w:type="spellStart"/>
      <w:r w:rsidR="00FA3993" w:rsidRPr="00294687">
        <w:rPr>
          <w:rFonts w:asciiTheme="minorHAnsi" w:hAnsiTheme="minorHAnsi" w:cstheme="minorHAnsi"/>
          <w:i/>
          <w:sz w:val="22"/>
          <w:szCs w:val="22"/>
        </w:rPr>
        <w:t>carers</w:t>
      </w:r>
      <w:proofErr w:type="spellEnd"/>
      <w:r w:rsidR="00FA3993" w:rsidRPr="00294687">
        <w:rPr>
          <w:rFonts w:asciiTheme="minorHAnsi" w:hAnsiTheme="minorHAnsi" w:cstheme="minorHAnsi"/>
          <w:i/>
          <w:sz w:val="22"/>
          <w:szCs w:val="22"/>
        </w:rPr>
        <w:t xml:space="preserve"> will have an excellent experience)</w:t>
      </w:r>
    </w:p>
    <w:p w:rsidR="00FB35C1" w:rsidRPr="00294687" w:rsidRDefault="00FB35C1">
      <w:pPr>
        <w:rPr>
          <w:rFonts w:asciiTheme="minorHAnsi" w:hAnsiTheme="minorHAnsi" w:cstheme="minorHAnsi"/>
          <w:b/>
          <w:i/>
          <w:sz w:val="22"/>
          <w:szCs w:val="22"/>
        </w:rPr>
      </w:pPr>
    </w:p>
    <w:p w:rsidR="00294687" w:rsidRDefault="00294687" w:rsidP="00B1093F">
      <w:pPr>
        <w:jc w:val="both"/>
        <w:rPr>
          <w:rFonts w:asciiTheme="minorHAnsi" w:hAnsiTheme="minorHAnsi" w:cstheme="minorHAnsi"/>
          <w:b/>
          <w:sz w:val="22"/>
          <w:szCs w:val="22"/>
        </w:rPr>
      </w:pPr>
    </w:p>
    <w:p w:rsidR="00294687" w:rsidRDefault="00294687" w:rsidP="00B1093F">
      <w:pPr>
        <w:jc w:val="both"/>
        <w:rPr>
          <w:rFonts w:asciiTheme="minorHAnsi" w:hAnsiTheme="minorHAnsi" w:cstheme="minorHAnsi"/>
          <w:b/>
          <w:sz w:val="22"/>
          <w:szCs w:val="22"/>
        </w:rPr>
      </w:pPr>
    </w:p>
    <w:p w:rsidR="00294687" w:rsidRDefault="00294687" w:rsidP="00B1093F">
      <w:pPr>
        <w:jc w:val="both"/>
        <w:rPr>
          <w:rFonts w:asciiTheme="minorHAnsi" w:hAnsiTheme="minorHAnsi" w:cstheme="minorHAnsi"/>
          <w:b/>
          <w:sz w:val="22"/>
          <w:szCs w:val="22"/>
        </w:rPr>
      </w:pPr>
    </w:p>
    <w:p w:rsidR="00251BEF" w:rsidRDefault="00251BEF" w:rsidP="00B1093F">
      <w:pPr>
        <w:jc w:val="both"/>
        <w:rPr>
          <w:rFonts w:asciiTheme="minorHAnsi" w:hAnsiTheme="minorHAnsi" w:cstheme="minorHAnsi"/>
          <w:b/>
          <w:sz w:val="22"/>
          <w:szCs w:val="22"/>
        </w:rPr>
      </w:pPr>
    </w:p>
    <w:p w:rsidR="00294687" w:rsidRDefault="00294687" w:rsidP="00B1093F">
      <w:pPr>
        <w:jc w:val="both"/>
        <w:rPr>
          <w:rFonts w:asciiTheme="minorHAnsi" w:hAnsiTheme="minorHAnsi" w:cstheme="minorHAnsi"/>
          <w:b/>
          <w:sz w:val="22"/>
          <w:szCs w:val="22"/>
        </w:rPr>
      </w:pPr>
    </w:p>
    <w:p w:rsidR="005433AD" w:rsidRPr="00294687" w:rsidRDefault="005433AD" w:rsidP="00B1093F">
      <w:pPr>
        <w:jc w:val="both"/>
        <w:rPr>
          <w:rFonts w:asciiTheme="minorHAnsi" w:hAnsiTheme="minorHAnsi" w:cstheme="minorHAnsi"/>
          <w:b/>
          <w:sz w:val="22"/>
          <w:szCs w:val="22"/>
        </w:rPr>
      </w:pPr>
      <w:r w:rsidRPr="00294687">
        <w:rPr>
          <w:rFonts w:asciiTheme="minorHAnsi" w:hAnsiTheme="minorHAnsi" w:cstheme="minorHAnsi"/>
          <w:b/>
          <w:sz w:val="22"/>
          <w:szCs w:val="22"/>
        </w:rPr>
        <w:t>Introduction</w:t>
      </w:r>
    </w:p>
    <w:p w:rsidR="00B1093F" w:rsidRDefault="00B1093F" w:rsidP="00B1093F">
      <w:pPr>
        <w:jc w:val="both"/>
        <w:rPr>
          <w:rFonts w:asciiTheme="minorHAnsi" w:eastAsia="Calibri" w:hAnsiTheme="minorHAnsi" w:cstheme="minorHAnsi"/>
          <w:sz w:val="22"/>
          <w:szCs w:val="22"/>
        </w:rPr>
      </w:pPr>
      <w:r w:rsidRPr="00294687">
        <w:rPr>
          <w:rFonts w:asciiTheme="minorHAnsi" w:hAnsiTheme="minorHAnsi" w:cstheme="minorHAnsi"/>
          <w:sz w:val="22"/>
          <w:szCs w:val="22"/>
        </w:rPr>
        <w:t xml:space="preserve">The </w:t>
      </w:r>
      <w:r w:rsidRPr="00294687">
        <w:rPr>
          <w:rFonts w:asciiTheme="minorHAnsi" w:eastAsia="Calibri" w:hAnsiTheme="minorHAnsi" w:cstheme="minorHAnsi"/>
          <w:sz w:val="22"/>
          <w:szCs w:val="22"/>
        </w:rPr>
        <w:t>CQC carried out a</w:t>
      </w:r>
      <w:r w:rsidR="00347771">
        <w:rPr>
          <w:rFonts w:asciiTheme="minorHAnsi" w:eastAsia="Calibri" w:hAnsiTheme="minorHAnsi" w:cstheme="minorHAnsi"/>
          <w:sz w:val="22"/>
          <w:szCs w:val="22"/>
        </w:rPr>
        <w:t xml:space="preserve"> two-day</w:t>
      </w:r>
      <w:r w:rsidRPr="00294687">
        <w:rPr>
          <w:rFonts w:asciiTheme="minorHAnsi" w:eastAsia="Calibri" w:hAnsiTheme="minorHAnsi" w:cstheme="minorHAnsi"/>
          <w:sz w:val="22"/>
          <w:szCs w:val="22"/>
        </w:rPr>
        <w:t xml:space="preserve"> follow up review of the Oxfordshire health and social care system in November 2018. The purpose of this follow up review was to </w:t>
      </w:r>
      <w:r w:rsidR="005433AD" w:rsidRPr="00294687">
        <w:rPr>
          <w:rFonts w:asciiTheme="minorHAnsi" w:eastAsia="Calibri" w:hAnsiTheme="minorHAnsi" w:cstheme="minorHAnsi"/>
          <w:sz w:val="22"/>
          <w:szCs w:val="22"/>
        </w:rPr>
        <w:t xml:space="preserve">look at progress against the action plan developed in response to the </w:t>
      </w:r>
      <w:r w:rsidRPr="00294687">
        <w:rPr>
          <w:rFonts w:asciiTheme="minorHAnsi" w:eastAsia="Calibri" w:hAnsiTheme="minorHAnsi" w:cstheme="minorHAnsi"/>
          <w:sz w:val="22"/>
          <w:szCs w:val="22"/>
        </w:rPr>
        <w:t xml:space="preserve">initial review in November 2017. As with the initial review, the focus was on how </w:t>
      </w:r>
      <w:r w:rsidR="00294687" w:rsidRPr="00294687">
        <w:rPr>
          <w:rFonts w:asciiTheme="minorHAnsi" w:eastAsia="Calibri" w:hAnsiTheme="minorHAnsi" w:cstheme="minorHAnsi"/>
          <w:sz w:val="22"/>
          <w:szCs w:val="22"/>
        </w:rPr>
        <w:t xml:space="preserve">coordinated and integrated </w:t>
      </w:r>
      <w:r w:rsidRPr="00294687">
        <w:rPr>
          <w:rFonts w:asciiTheme="minorHAnsi" w:eastAsia="Calibri" w:hAnsiTheme="minorHAnsi" w:cstheme="minorHAnsi"/>
          <w:sz w:val="22"/>
          <w:szCs w:val="22"/>
        </w:rPr>
        <w:t>health and social care</w:t>
      </w:r>
      <w:r w:rsidR="00294687" w:rsidRPr="00294687">
        <w:rPr>
          <w:rFonts w:asciiTheme="minorHAnsi" w:eastAsia="Calibri" w:hAnsiTheme="minorHAnsi" w:cstheme="minorHAnsi"/>
          <w:sz w:val="22"/>
          <w:szCs w:val="22"/>
        </w:rPr>
        <w:t xml:space="preserve"> is for </w:t>
      </w:r>
      <w:r w:rsidRPr="00294687">
        <w:rPr>
          <w:rFonts w:asciiTheme="minorHAnsi" w:eastAsia="Calibri" w:hAnsiTheme="minorHAnsi" w:cstheme="minorHAnsi"/>
          <w:sz w:val="22"/>
          <w:szCs w:val="22"/>
        </w:rPr>
        <w:t xml:space="preserve">people </w:t>
      </w:r>
      <w:r w:rsidR="00294687" w:rsidRPr="00294687">
        <w:rPr>
          <w:rFonts w:asciiTheme="minorHAnsi" w:eastAsia="Calibri" w:hAnsiTheme="minorHAnsi" w:cstheme="minorHAnsi"/>
          <w:sz w:val="22"/>
          <w:szCs w:val="22"/>
        </w:rPr>
        <w:t xml:space="preserve">aged </w:t>
      </w:r>
      <w:r w:rsidRPr="00294687">
        <w:rPr>
          <w:rFonts w:asciiTheme="minorHAnsi" w:eastAsia="Calibri" w:hAnsiTheme="minorHAnsi" w:cstheme="minorHAnsi"/>
          <w:sz w:val="22"/>
          <w:szCs w:val="22"/>
        </w:rPr>
        <w:t>65 years old</w:t>
      </w:r>
      <w:r w:rsidR="00294687" w:rsidRPr="00294687">
        <w:rPr>
          <w:rFonts w:asciiTheme="minorHAnsi" w:eastAsia="Calibri" w:hAnsiTheme="minorHAnsi" w:cstheme="minorHAnsi"/>
          <w:sz w:val="22"/>
          <w:szCs w:val="22"/>
        </w:rPr>
        <w:t xml:space="preserve"> and over</w:t>
      </w:r>
      <w:r w:rsidRPr="00294687">
        <w:rPr>
          <w:rFonts w:asciiTheme="minorHAnsi" w:eastAsia="Calibri" w:hAnsiTheme="minorHAnsi" w:cstheme="minorHAnsi"/>
          <w:sz w:val="22"/>
          <w:szCs w:val="22"/>
        </w:rPr>
        <w:t xml:space="preserve">. </w:t>
      </w:r>
      <w:r w:rsidR="005433AD" w:rsidRPr="00294687">
        <w:rPr>
          <w:rFonts w:asciiTheme="minorHAnsi" w:eastAsia="Calibri" w:hAnsiTheme="minorHAnsi" w:cstheme="minorHAnsi"/>
          <w:sz w:val="22"/>
          <w:szCs w:val="22"/>
        </w:rPr>
        <w:t xml:space="preserve">Oxfordshire was </w:t>
      </w:r>
      <w:r w:rsidRPr="00294687">
        <w:rPr>
          <w:rFonts w:asciiTheme="minorHAnsi" w:eastAsia="Calibri" w:hAnsiTheme="minorHAnsi" w:cstheme="minorHAnsi"/>
          <w:sz w:val="22"/>
          <w:szCs w:val="22"/>
        </w:rPr>
        <w:t>the first of three Local Authority areas receiving a follow up visit by the CQC</w:t>
      </w:r>
      <w:r w:rsidR="00347771">
        <w:rPr>
          <w:rFonts w:asciiTheme="minorHAnsi" w:eastAsia="Calibri" w:hAnsiTheme="minorHAnsi" w:cstheme="minorHAnsi"/>
          <w:sz w:val="22"/>
          <w:szCs w:val="22"/>
        </w:rPr>
        <w:t xml:space="preserve"> (the other areas are York and Stoke-on-Trent)</w:t>
      </w:r>
      <w:r w:rsidRPr="00294687">
        <w:rPr>
          <w:rFonts w:asciiTheme="minorHAnsi" w:eastAsia="Calibri" w:hAnsiTheme="minorHAnsi" w:cstheme="minorHAnsi"/>
          <w:sz w:val="22"/>
          <w:szCs w:val="22"/>
        </w:rPr>
        <w:t>.</w:t>
      </w:r>
      <w:r w:rsidR="00347771">
        <w:rPr>
          <w:rFonts w:asciiTheme="minorHAnsi" w:eastAsia="Calibri" w:hAnsiTheme="minorHAnsi" w:cstheme="minorHAnsi"/>
          <w:sz w:val="22"/>
          <w:szCs w:val="22"/>
        </w:rPr>
        <w:t xml:space="preserve"> </w:t>
      </w:r>
    </w:p>
    <w:p w:rsidR="005433AD" w:rsidRPr="00294687" w:rsidRDefault="005433AD" w:rsidP="00B1093F">
      <w:pPr>
        <w:jc w:val="both"/>
        <w:rPr>
          <w:rFonts w:asciiTheme="minorHAnsi" w:eastAsia="Calibri" w:hAnsiTheme="minorHAnsi" w:cstheme="minorHAnsi"/>
          <w:sz w:val="22"/>
          <w:szCs w:val="22"/>
        </w:rPr>
      </w:pPr>
    </w:p>
    <w:p w:rsidR="005433AD" w:rsidRPr="00294687" w:rsidRDefault="005433AD" w:rsidP="005433AD">
      <w:pPr>
        <w:jc w:val="both"/>
        <w:rPr>
          <w:rFonts w:asciiTheme="minorHAnsi" w:eastAsia="Calibri" w:hAnsiTheme="minorHAnsi" w:cstheme="minorHAnsi"/>
          <w:sz w:val="22"/>
          <w:szCs w:val="22"/>
        </w:rPr>
      </w:pPr>
      <w:r w:rsidRPr="00294687">
        <w:rPr>
          <w:rFonts w:asciiTheme="minorHAnsi" w:eastAsia="Calibri" w:hAnsiTheme="minorHAnsi" w:cstheme="minorHAnsi"/>
          <w:sz w:val="22"/>
          <w:szCs w:val="22"/>
        </w:rPr>
        <w:t xml:space="preserve">A draft report from the follow up review visit was </w:t>
      </w:r>
      <w:proofErr w:type="gramStart"/>
      <w:r w:rsidRPr="00294687">
        <w:rPr>
          <w:rFonts w:asciiTheme="minorHAnsi" w:eastAsia="Calibri" w:hAnsiTheme="minorHAnsi" w:cstheme="minorHAnsi"/>
          <w:sz w:val="22"/>
          <w:szCs w:val="22"/>
        </w:rPr>
        <w:t>received</w:t>
      </w:r>
      <w:proofErr w:type="gramEnd"/>
      <w:r w:rsidRPr="00294687">
        <w:rPr>
          <w:rFonts w:asciiTheme="minorHAnsi" w:eastAsia="Calibri" w:hAnsiTheme="minorHAnsi" w:cstheme="minorHAnsi"/>
          <w:sz w:val="22"/>
          <w:szCs w:val="22"/>
        </w:rPr>
        <w:t xml:space="preserve"> and a factual accuracy process completed in December 2018. The final report was published </w:t>
      </w:r>
      <w:r w:rsidR="00294687" w:rsidRPr="00294687">
        <w:rPr>
          <w:rFonts w:asciiTheme="minorHAnsi" w:eastAsia="Calibri" w:hAnsiTheme="minorHAnsi" w:cstheme="minorHAnsi"/>
          <w:sz w:val="22"/>
          <w:szCs w:val="22"/>
        </w:rPr>
        <w:t>on 9</w:t>
      </w:r>
      <w:r w:rsidR="00294687" w:rsidRPr="00294687">
        <w:rPr>
          <w:rFonts w:asciiTheme="minorHAnsi" w:eastAsia="Calibri" w:hAnsiTheme="minorHAnsi" w:cstheme="minorHAnsi"/>
          <w:sz w:val="22"/>
          <w:szCs w:val="22"/>
          <w:vertAlign w:val="superscript"/>
        </w:rPr>
        <w:t>th</w:t>
      </w:r>
      <w:r w:rsidR="00294687" w:rsidRPr="00294687">
        <w:rPr>
          <w:rFonts w:asciiTheme="minorHAnsi" w:eastAsia="Calibri" w:hAnsiTheme="minorHAnsi" w:cstheme="minorHAnsi"/>
          <w:sz w:val="22"/>
          <w:szCs w:val="22"/>
        </w:rPr>
        <w:t xml:space="preserve"> </w:t>
      </w:r>
      <w:r w:rsidRPr="00294687">
        <w:rPr>
          <w:rFonts w:asciiTheme="minorHAnsi" w:eastAsia="Calibri" w:hAnsiTheme="minorHAnsi" w:cstheme="minorHAnsi"/>
          <w:sz w:val="22"/>
          <w:szCs w:val="22"/>
        </w:rPr>
        <w:t>January 2019 and a special meeting of the Health and Wellbeing Board members with the CQC inspectors has been arranged for 29</w:t>
      </w:r>
      <w:r w:rsidRPr="00294687">
        <w:rPr>
          <w:rFonts w:asciiTheme="minorHAnsi" w:eastAsia="Calibri" w:hAnsiTheme="minorHAnsi" w:cstheme="minorHAnsi"/>
          <w:sz w:val="22"/>
          <w:szCs w:val="22"/>
          <w:vertAlign w:val="superscript"/>
        </w:rPr>
        <w:t>th</w:t>
      </w:r>
      <w:r w:rsidRPr="00294687">
        <w:rPr>
          <w:rFonts w:asciiTheme="minorHAnsi" w:eastAsia="Calibri" w:hAnsiTheme="minorHAnsi" w:cstheme="minorHAnsi"/>
          <w:sz w:val="22"/>
          <w:szCs w:val="22"/>
        </w:rPr>
        <w:t xml:space="preserve"> January 2019.</w:t>
      </w:r>
      <w:r w:rsidR="00251BEF" w:rsidRPr="00251BEF">
        <w:rPr>
          <w:rFonts w:asciiTheme="minorHAnsi" w:eastAsia="Calibri" w:hAnsiTheme="minorHAnsi" w:cstheme="minorHAnsi"/>
          <w:sz w:val="22"/>
          <w:szCs w:val="22"/>
        </w:rPr>
        <w:t xml:space="preserve"> </w:t>
      </w:r>
      <w:r w:rsidR="00251BEF">
        <w:rPr>
          <w:rFonts w:asciiTheme="minorHAnsi" w:eastAsia="Calibri" w:hAnsiTheme="minorHAnsi" w:cstheme="minorHAnsi"/>
          <w:sz w:val="22"/>
          <w:szCs w:val="22"/>
        </w:rPr>
        <w:t xml:space="preserve">Further information about the review and the final report can be found at </w:t>
      </w:r>
      <w:hyperlink r:id="rId9" w:history="1">
        <w:r w:rsidR="00251BEF" w:rsidRPr="00904C1F">
          <w:rPr>
            <w:rStyle w:val="Hyperlink"/>
            <w:rFonts w:asciiTheme="minorHAnsi" w:eastAsia="Calibri" w:hAnsiTheme="minorHAnsi" w:cstheme="minorHAnsi"/>
            <w:sz w:val="22"/>
            <w:szCs w:val="22"/>
          </w:rPr>
          <w:t>https://www.cqc.org.uk/local-systems-review</w:t>
        </w:r>
      </w:hyperlink>
    </w:p>
    <w:p w:rsidR="005433AD" w:rsidRPr="00294687" w:rsidRDefault="005433AD" w:rsidP="00B1093F">
      <w:pPr>
        <w:jc w:val="both"/>
        <w:rPr>
          <w:rFonts w:asciiTheme="minorHAnsi" w:eastAsia="Calibri" w:hAnsiTheme="minorHAnsi" w:cstheme="minorHAnsi"/>
          <w:sz w:val="22"/>
          <w:szCs w:val="22"/>
        </w:rPr>
      </w:pPr>
    </w:p>
    <w:p w:rsidR="005433AD" w:rsidRPr="00294687" w:rsidRDefault="00294687" w:rsidP="00B1093F">
      <w:pPr>
        <w:jc w:val="both"/>
        <w:rPr>
          <w:rFonts w:asciiTheme="minorHAnsi" w:eastAsia="Calibri" w:hAnsiTheme="minorHAnsi" w:cstheme="minorHAnsi"/>
          <w:b/>
          <w:sz w:val="22"/>
          <w:szCs w:val="22"/>
        </w:rPr>
      </w:pPr>
      <w:r>
        <w:rPr>
          <w:rFonts w:asciiTheme="minorHAnsi" w:eastAsia="Calibri" w:hAnsiTheme="minorHAnsi" w:cstheme="minorHAnsi"/>
          <w:b/>
          <w:sz w:val="22"/>
          <w:szCs w:val="22"/>
        </w:rPr>
        <w:t>Outcome from review</w:t>
      </w:r>
    </w:p>
    <w:p w:rsidR="005433AD" w:rsidRPr="00294687" w:rsidRDefault="005433AD" w:rsidP="005433AD">
      <w:pPr>
        <w:spacing w:line="240" w:lineRule="atLeast"/>
        <w:rPr>
          <w:rFonts w:asciiTheme="minorHAnsi" w:hAnsiTheme="minorHAnsi" w:cstheme="minorHAnsi"/>
          <w:sz w:val="22"/>
          <w:szCs w:val="22"/>
          <w:lang w:eastAsia="en-GB"/>
        </w:rPr>
      </w:pPr>
      <w:r w:rsidRPr="00294687">
        <w:rPr>
          <w:rFonts w:asciiTheme="minorHAnsi" w:hAnsiTheme="minorHAnsi" w:cstheme="minorHAnsi"/>
          <w:sz w:val="22"/>
          <w:szCs w:val="22"/>
          <w:lang w:eastAsia="en-GB"/>
        </w:rPr>
        <w:t>The CQC</w:t>
      </w:r>
      <w:r w:rsidR="00294687" w:rsidRPr="00294687">
        <w:rPr>
          <w:rFonts w:asciiTheme="minorHAnsi" w:hAnsiTheme="minorHAnsi" w:cstheme="minorHAnsi"/>
          <w:sz w:val="22"/>
          <w:szCs w:val="22"/>
          <w:lang w:eastAsia="en-GB"/>
        </w:rPr>
        <w:t xml:space="preserve"> </w:t>
      </w:r>
      <w:proofErr w:type="spellStart"/>
      <w:r w:rsidR="00294687" w:rsidRPr="00294687">
        <w:rPr>
          <w:rFonts w:asciiTheme="minorHAnsi" w:hAnsiTheme="minorHAnsi" w:cstheme="minorHAnsi"/>
          <w:sz w:val="22"/>
          <w:szCs w:val="22"/>
          <w:lang w:eastAsia="en-GB"/>
        </w:rPr>
        <w:t>recognsied</w:t>
      </w:r>
      <w:proofErr w:type="spellEnd"/>
      <w:r w:rsidR="00294687" w:rsidRPr="00294687">
        <w:rPr>
          <w:rFonts w:asciiTheme="minorHAnsi" w:hAnsiTheme="minorHAnsi" w:cstheme="minorHAnsi"/>
          <w:sz w:val="22"/>
          <w:szCs w:val="22"/>
          <w:lang w:eastAsia="en-GB"/>
        </w:rPr>
        <w:t xml:space="preserve"> the significant </w:t>
      </w:r>
      <w:r w:rsidR="00294687">
        <w:rPr>
          <w:rFonts w:asciiTheme="minorHAnsi" w:hAnsiTheme="minorHAnsi" w:cstheme="minorHAnsi"/>
          <w:sz w:val="22"/>
          <w:szCs w:val="22"/>
          <w:lang w:eastAsia="en-GB"/>
        </w:rPr>
        <w:t xml:space="preserve">progress and </w:t>
      </w:r>
      <w:r w:rsidR="00294687" w:rsidRPr="00294687">
        <w:rPr>
          <w:rFonts w:asciiTheme="minorHAnsi" w:hAnsiTheme="minorHAnsi" w:cstheme="minorHAnsi"/>
          <w:sz w:val="22"/>
          <w:szCs w:val="22"/>
          <w:lang w:eastAsia="en-GB"/>
        </w:rPr>
        <w:t>improvements achieved</w:t>
      </w:r>
      <w:r w:rsidRPr="00294687">
        <w:rPr>
          <w:rFonts w:asciiTheme="minorHAnsi" w:hAnsiTheme="minorHAnsi" w:cstheme="minorHAnsi"/>
          <w:sz w:val="22"/>
          <w:szCs w:val="22"/>
          <w:lang w:eastAsia="en-GB"/>
        </w:rPr>
        <w:t xml:space="preserve"> </w:t>
      </w:r>
      <w:r w:rsidR="00294687" w:rsidRPr="00294687">
        <w:rPr>
          <w:rFonts w:asciiTheme="minorHAnsi" w:hAnsiTheme="minorHAnsi" w:cstheme="minorHAnsi"/>
          <w:sz w:val="22"/>
          <w:szCs w:val="22"/>
          <w:lang w:eastAsia="en-GB"/>
        </w:rPr>
        <w:t>so far</w:t>
      </w:r>
      <w:r w:rsidRPr="00294687">
        <w:rPr>
          <w:rFonts w:asciiTheme="minorHAnsi" w:hAnsiTheme="minorHAnsi" w:cstheme="minorHAnsi"/>
          <w:sz w:val="22"/>
          <w:szCs w:val="22"/>
          <w:lang w:eastAsia="en-GB"/>
        </w:rPr>
        <w:t xml:space="preserve"> </w:t>
      </w:r>
      <w:r w:rsidR="00347771">
        <w:rPr>
          <w:rFonts w:asciiTheme="minorHAnsi" w:hAnsiTheme="minorHAnsi" w:cstheme="minorHAnsi"/>
          <w:sz w:val="22"/>
          <w:szCs w:val="22"/>
          <w:lang w:eastAsia="en-GB"/>
        </w:rPr>
        <w:t>against the</w:t>
      </w:r>
      <w:r w:rsidR="00294687" w:rsidRPr="00294687">
        <w:rPr>
          <w:rFonts w:asciiTheme="minorHAnsi" w:hAnsiTheme="minorHAnsi" w:cstheme="minorHAnsi"/>
          <w:sz w:val="22"/>
          <w:szCs w:val="22"/>
          <w:lang w:eastAsia="en-GB"/>
        </w:rPr>
        <w:t xml:space="preserve"> 18-month action plan, </w:t>
      </w:r>
      <w:r w:rsidRPr="00294687">
        <w:rPr>
          <w:rFonts w:asciiTheme="minorHAnsi" w:hAnsiTheme="minorHAnsi" w:cstheme="minorHAnsi"/>
          <w:sz w:val="22"/>
          <w:szCs w:val="22"/>
          <w:lang w:eastAsia="en-GB"/>
        </w:rPr>
        <w:t xml:space="preserve">agreed by </w:t>
      </w:r>
      <w:r w:rsidR="00294687" w:rsidRPr="00294687">
        <w:rPr>
          <w:rFonts w:asciiTheme="minorHAnsi" w:hAnsiTheme="minorHAnsi" w:cstheme="minorHAnsi"/>
          <w:sz w:val="22"/>
          <w:szCs w:val="22"/>
          <w:lang w:eastAsia="en-GB"/>
        </w:rPr>
        <w:t xml:space="preserve">the </w:t>
      </w:r>
      <w:r w:rsidRPr="00294687">
        <w:rPr>
          <w:rFonts w:asciiTheme="minorHAnsi" w:hAnsiTheme="minorHAnsi" w:cstheme="minorHAnsi"/>
          <w:sz w:val="22"/>
          <w:szCs w:val="22"/>
          <w:lang w:eastAsia="en-GB"/>
        </w:rPr>
        <w:t xml:space="preserve">Oxfordshire health and social care organisations in March 2018. </w:t>
      </w:r>
      <w:proofErr w:type="gramStart"/>
      <w:r w:rsidR="00251BEF">
        <w:rPr>
          <w:rFonts w:asciiTheme="minorHAnsi" w:hAnsiTheme="minorHAnsi" w:cstheme="minorHAnsi"/>
          <w:sz w:val="22"/>
          <w:szCs w:val="22"/>
          <w:lang w:eastAsia="en-GB"/>
        </w:rPr>
        <w:t>However</w:t>
      </w:r>
      <w:proofErr w:type="gramEnd"/>
      <w:r w:rsidR="00251BEF">
        <w:rPr>
          <w:rFonts w:asciiTheme="minorHAnsi" w:hAnsiTheme="minorHAnsi" w:cstheme="minorHAnsi"/>
          <w:sz w:val="22"/>
          <w:szCs w:val="22"/>
          <w:lang w:eastAsia="en-GB"/>
        </w:rPr>
        <w:t xml:space="preserve"> system leaders were challenged to improve the pace of transformation.</w:t>
      </w:r>
    </w:p>
    <w:p w:rsidR="005433AD" w:rsidRPr="00294687" w:rsidRDefault="005433AD" w:rsidP="005433AD">
      <w:pPr>
        <w:spacing w:line="240" w:lineRule="atLeast"/>
        <w:rPr>
          <w:rFonts w:asciiTheme="minorHAnsi" w:hAnsiTheme="minorHAnsi" w:cstheme="minorHAnsi"/>
          <w:sz w:val="22"/>
          <w:szCs w:val="22"/>
          <w:lang w:eastAsia="en-GB"/>
        </w:rPr>
      </w:pPr>
    </w:p>
    <w:p w:rsidR="005433AD" w:rsidRDefault="005433AD" w:rsidP="005433AD">
      <w:pPr>
        <w:spacing w:line="240" w:lineRule="atLeast"/>
        <w:rPr>
          <w:rFonts w:asciiTheme="minorHAnsi" w:hAnsiTheme="minorHAnsi" w:cstheme="minorHAnsi"/>
          <w:sz w:val="22"/>
          <w:szCs w:val="22"/>
          <w:lang w:eastAsia="en-GB"/>
        </w:rPr>
      </w:pPr>
      <w:r w:rsidRPr="00294687">
        <w:rPr>
          <w:rFonts w:asciiTheme="minorHAnsi" w:hAnsiTheme="minorHAnsi" w:cstheme="minorHAnsi"/>
          <w:sz w:val="22"/>
          <w:szCs w:val="22"/>
          <w:lang w:eastAsia="en-GB"/>
        </w:rPr>
        <w:t xml:space="preserve">Following the first review, a key priority for system leaders has been to work more closely together to plan and deliver </w:t>
      </w:r>
      <w:r w:rsidR="00251BEF">
        <w:rPr>
          <w:rFonts w:asciiTheme="minorHAnsi" w:hAnsiTheme="minorHAnsi" w:cstheme="minorHAnsi"/>
          <w:sz w:val="22"/>
          <w:szCs w:val="22"/>
          <w:lang w:eastAsia="en-GB"/>
        </w:rPr>
        <w:t>health and social care services.</w:t>
      </w:r>
      <w:r w:rsidRPr="00294687">
        <w:rPr>
          <w:rFonts w:asciiTheme="minorHAnsi" w:hAnsiTheme="minorHAnsi" w:cstheme="minorHAnsi"/>
          <w:sz w:val="22"/>
          <w:szCs w:val="22"/>
          <w:lang w:eastAsia="en-GB"/>
        </w:rPr>
        <w:t xml:space="preserve"> Senior managers</w:t>
      </w:r>
      <w:r w:rsidR="00251BEF">
        <w:rPr>
          <w:rFonts w:asciiTheme="minorHAnsi" w:hAnsiTheme="minorHAnsi" w:cstheme="minorHAnsi"/>
          <w:sz w:val="22"/>
          <w:szCs w:val="22"/>
          <w:lang w:eastAsia="en-GB"/>
        </w:rPr>
        <w:t xml:space="preserve"> have used their learning from the w</w:t>
      </w:r>
      <w:r w:rsidRPr="00294687">
        <w:rPr>
          <w:rFonts w:asciiTheme="minorHAnsi" w:hAnsiTheme="minorHAnsi" w:cstheme="minorHAnsi"/>
          <w:sz w:val="22"/>
          <w:szCs w:val="22"/>
          <w:lang w:eastAsia="en-GB"/>
        </w:rPr>
        <w:t>inter</w:t>
      </w:r>
      <w:r w:rsidR="00251BEF">
        <w:rPr>
          <w:rFonts w:asciiTheme="minorHAnsi" w:hAnsiTheme="minorHAnsi" w:cstheme="minorHAnsi"/>
          <w:sz w:val="22"/>
          <w:szCs w:val="22"/>
          <w:lang w:eastAsia="en-GB"/>
        </w:rPr>
        <w:t xml:space="preserve"> pressure period</w:t>
      </w:r>
      <w:r w:rsidRPr="00294687">
        <w:rPr>
          <w:rFonts w:asciiTheme="minorHAnsi" w:hAnsiTheme="minorHAnsi" w:cstheme="minorHAnsi"/>
          <w:sz w:val="22"/>
          <w:szCs w:val="22"/>
          <w:lang w:eastAsia="en-GB"/>
        </w:rPr>
        <w:t xml:space="preserve"> in 2017/18, creating a system approach that has significantly improved joined-up</w:t>
      </w:r>
      <w:r w:rsidR="00251BEF">
        <w:rPr>
          <w:rFonts w:asciiTheme="minorHAnsi" w:hAnsiTheme="minorHAnsi" w:cstheme="minorHAnsi"/>
          <w:sz w:val="22"/>
          <w:szCs w:val="22"/>
          <w:lang w:eastAsia="en-GB"/>
        </w:rPr>
        <w:t xml:space="preserve"> working across NHS and Local A</w:t>
      </w:r>
      <w:r w:rsidRPr="00294687">
        <w:rPr>
          <w:rFonts w:asciiTheme="minorHAnsi" w:hAnsiTheme="minorHAnsi" w:cstheme="minorHAnsi"/>
          <w:sz w:val="22"/>
          <w:szCs w:val="22"/>
          <w:lang w:eastAsia="en-GB"/>
        </w:rPr>
        <w:t xml:space="preserve">uthority partners. Health and </w:t>
      </w:r>
      <w:r w:rsidR="00251BEF">
        <w:rPr>
          <w:rFonts w:asciiTheme="minorHAnsi" w:hAnsiTheme="minorHAnsi" w:cstheme="minorHAnsi"/>
          <w:sz w:val="22"/>
          <w:szCs w:val="22"/>
          <w:lang w:eastAsia="en-GB"/>
        </w:rPr>
        <w:t xml:space="preserve">social </w:t>
      </w:r>
      <w:r w:rsidRPr="00294687">
        <w:rPr>
          <w:rFonts w:asciiTheme="minorHAnsi" w:hAnsiTheme="minorHAnsi" w:cstheme="minorHAnsi"/>
          <w:sz w:val="22"/>
          <w:szCs w:val="22"/>
          <w:lang w:eastAsia="en-GB"/>
        </w:rPr>
        <w:t>care organisations have also been working together to improve patient flow through the system to reduce ‘delayed transfers of care’, so that patients who are physically well enough to leave hospital do so at the appropriate time.</w:t>
      </w:r>
    </w:p>
    <w:p w:rsidR="005433AD" w:rsidRPr="00294687" w:rsidRDefault="005433AD" w:rsidP="005433AD">
      <w:pPr>
        <w:spacing w:line="240" w:lineRule="atLeast"/>
        <w:rPr>
          <w:rFonts w:asciiTheme="minorHAnsi" w:hAnsiTheme="minorHAnsi" w:cstheme="minorHAnsi"/>
          <w:sz w:val="22"/>
          <w:szCs w:val="22"/>
          <w:lang w:eastAsia="en-GB"/>
        </w:rPr>
      </w:pPr>
    </w:p>
    <w:p w:rsidR="005433AD" w:rsidRPr="00294687" w:rsidRDefault="005433AD" w:rsidP="005433AD">
      <w:pPr>
        <w:spacing w:line="240" w:lineRule="atLeast"/>
        <w:rPr>
          <w:rFonts w:asciiTheme="minorHAnsi" w:hAnsiTheme="minorHAnsi" w:cstheme="minorHAnsi"/>
          <w:sz w:val="22"/>
          <w:szCs w:val="22"/>
          <w:lang w:eastAsia="en-GB"/>
        </w:rPr>
      </w:pPr>
      <w:r w:rsidRPr="00294687">
        <w:rPr>
          <w:rFonts w:asciiTheme="minorHAnsi" w:hAnsiTheme="minorHAnsi" w:cstheme="minorHAnsi"/>
          <w:sz w:val="22"/>
          <w:szCs w:val="22"/>
          <w:lang w:eastAsia="en-GB"/>
        </w:rPr>
        <w:t>The CQC report stated: “We saw some practical examples where the improved cross-system relationships had improved outcomes for people. For example, work had been undertaken to successfully reduce the numbers of people who remained in hospital unnecessarily.”</w:t>
      </w:r>
    </w:p>
    <w:p w:rsidR="005433AD" w:rsidRPr="00294687" w:rsidRDefault="005433AD" w:rsidP="005433AD">
      <w:pPr>
        <w:spacing w:line="240" w:lineRule="atLeast"/>
        <w:rPr>
          <w:rFonts w:asciiTheme="minorHAnsi" w:hAnsiTheme="minorHAnsi" w:cstheme="minorHAnsi"/>
          <w:sz w:val="22"/>
          <w:szCs w:val="22"/>
          <w:lang w:eastAsia="en-GB"/>
        </w:rPr>
      </w:pPr>
    </w:p>
    <w:p w:rsidR="00BF6C68" w:rsidRPr="00294687" w:rsidRDefault="00251BEF" w:rsidP="00294687">
      <w:pPr>
        <w:spacing w:line="240" w:lineRule="atLeast"/>
        <w:rPr>
          <w:rFonts w:asciiTheme="minorHAnsi" w:hAnsiTheme="minorHAnsi" w:cstheme="minorHAnsi"/>
          <w:sz w:val="22"/>
          <w:szCs w:val="22"/>
          <w:lang w:eastAsia="en-GB"/>
        </w:rPr>
      </w:pPr>
      <w:r>
        <w:rPr>
          <w:rFonts w:asciiTheme="minorHAnsi" w:hAnsiTheme="minorHAnsi" w:cstheme="minorHAnsi"/>
          <w:sz w:val="22"/>
          <w:szCs w:val="22"/>
          <w:lang w:eastAsia="en-GB"/>
        </w:rPr>
        <w:t>The membership of the Health and Wellbeing Board,</w:t>
      </w:r>
      <w:r w:rsidR="005433AD" w:rsidRPr="00294687">
        <w:rPr>
          <w:rFonts w:asciiTheme="minorHAnsi" w:hAnsiTheme="minorHAnsi" w:cstheme="minorHAnsi"/>
          <w:sz w:val="22"/>
          <w:szCs w:val="22"/>
          <w:lang w:eastAsia="en-GB"/>
        </w:rPr>
        <w:t xml:space="preserve"> responsible for </w:t>
      </w:r>
      <w:r>
        <w:rPr>
          <w:rFonts w:asciiTheme="minorHAnsi" w:hAnsiTheme="minorHAnsi" w:cstheme="minorHAnsi"/>
          <w:sz w:val="22"/>
          <w:szCs w:val="22"/>
          <w:lang w:eastAsia="en-GB"/>
        </w:rPr>
        <w:t xml:space="preserve">the </w:t>
      </w:r>
      <w:r w:rsidR="005433AD" w:rsidRPr="00294687">
        <w:rPr>
          <w:rFonts w:asciiTheme="minorHAnsi" w:hAnsiTheme="minorHAnsi" w:cstheme="minorHAnsi"/>
          <w:sz w:val="22"/>
          <w:szCs w:val="22"/>
          <w:lang w:eastAsia="en-GB"/>
        </w:rPr>
        <w:t>overall health and c</w:t>
      </w:r>
      <w:r>
        <w:rPr>
          <w:rFonts w:asciiTheme="minorHAnsi" w:hAnsiTheme="minorHAnsi" w:cstheme="minorHAnsi"/>
          <w:sz w:val="22"/>
          <w:szCs w:val="22"/>
          <w:lang w:eastAsia="en-GB"/>
        </w:rPr>
        <w:t>are strategy in Oxfordshire, has also been expanded to include District Councils and Chief E</w:t>
      </w:r>
      <w:r w:rsidR="005433AD" w:rsidRPr="00294687">
        <w:rPr>
          <w:rFonts w:asciiTheme="minorHAnsi" w:hAnsiTheme="minorHAnsi" w:cstheme="minorHAnsi"/>
          <w:sz w:val="22"/>
          <w:szCs w:val="22"/>
          <w:lang w:eastAsia="en-GB"/>
        </w:rPr>
        <w:t xml:space="preserve">xecutives from the NHS Foundation Trusts and the Clinical Commissioning Group. </w:t>
      </w:r>
      <w:r w:rsidR="00BF6C68" w:rsidRPr="00294687">
        <w:rPr>
          <w:rFonts w:asciiTheme="minorHAnsi" w:hAnsiTheme="minorHAnsi" w:cstheme="minorHAnsi"/>
          <w:sz w:val="22"/>
          <w:szCs w:val="22"/>
          <w:lang w:eastAsia="en-GB"/>
        </w:rPr>
        <w:t xml:space="preserve">The follow-up review noted a sense of shared purpose </w:t>
      </w:r>
      <w:r>
        <w:rPr>
          <w:rFonts w:asciiTheme="minorHAnsi" w:hAnsiTheme="minorHAnsi" w:cstheme="minorHAnsi"/>
          <w:sz w:val="22"/>
          <w:szCs w:val="22"/>
          <w:lang w:eastAsia="en-GB"/>
        </w:rPr>
        <w:t>between senior leaders</w:t>
      </w:r>
      <w:r w:rsidR="00BF6C68" w:rsidRPr="00294687">
        <w:rPr>
          <w:rFonts w:asciiTheme="minorHAnsi" w:hAnsiTheme="minorHAnsi" w:cstheme="minorHAnsi"/>
          <w:sz w:val="22"/>
          <w:szCs w:val="22"/>
          <w:lang w:eastAsia="en-GB"/>
        </w:rPr>
        <w:t xml:space="preserve">, and a willingness to take a system-based approach to resolving challenges and </w:t>
      </w:r>
      <w:proofErr w:type="gramStart"/>
      <w:r w:rsidR="00BF6C68" w:rsidRPr="00294687">
        <w:rPr>
          <w:rFonts w:asciiTheme="minorHAnsi" w:hAnsiTheme="minorHAnsi" w:cstheme="minorHAnsi"/>
          <w:sz w:val="22"/>
          <w:szCs w:val="22"/>
          <w:lang w:eastAsia="en-GB"/>
        </w:rPr>
        <w:t>planning for the future</w:t>
      </w:r>
      <w:proofErr w:type="gramEnd"/>
      <w:r w:rsidR="00BF6C68" w:rsidRPr="00294687">
        <w:rPr>
          <w:rFonts w:asciiTheme="minorHAnsi" w:hAnsiTheme="minorHAnsi" w:cstheme="minorHAnsi"/>
          <w:sz w:val="22"/>
          <w:szCs w:val="22"/>
          <w:lang w:eastAsia="en-GB"/>
        </w:rPr>
        <w:t xml:space="preserve">. It also noted good involvement with older people in the </w:t>
      </w:r>
      <w:r w:rsidR="00347771">
        <w:rPr>
          <w:rFonts w:asciiTheme="minorHAnsi" w:hAnsiTheme="minorHAnsi" w:cstheme="minorHAnsi"/>
          <w:sz w:val="22"/>
          <w:szCs w:val="22"/>
          <w:lang w:eastAsia="en-GB"/>
        </w:rPr>
        <w:t xml:space="preserve">review of the </w:t>
      </w:r>
      <w:r w:rsidR="00BF6C68" w:rsidRPr="00294687">
        <w:rPr>
          <w:rFonts w:asciiTheme="minorHAnsi" w:hAnsiTheme="minorHAnsi" w:cstheme="minorHAnsi"/>
          <w:sz w:val="22"/>
          <w:szCs w:val="22"/>
          <w:lang w:eastAsia="en-GB"/>
        </w:rPr>
        <w:t xml:space="preserve">Older People’s Strategy. </w:t>
      </w:r>
    </w:p>
    <w:p w:rsidR="00BF6C68" w:rsidRPr="00294687" w:rsidRDefault="00BF6C68" w:rsidP="00BF6C68">
      <w:pPr>
        <w:shd w:val="clear" w:color="auto" w:fill="FFFFFF"/>
        <w:spacing w:line="240" w:lineRule="atLeast"/>
        <w:rPr>
          <w:rFonts w:asciiTheme="minorHAnsi" w:hAnsiTheme="minorHAnsi" w:cstheme="minorHAnsi"/>
          <w:sz w:val="22"/>
          <w:szCs w:val="22"/>
          <w:lang w:eastAsia="en-GB"/>
        </w:rPr>
      </w:pPr>
      <w:r w:rsidRPr="00294687">
        <w:rPr>
          <w:rFonts w:asciiTheme="minorHAnsi" w:hAnsiTheme="minorHAnsi" w:cstheme="minorHAnsi"/>
          <w:sz w:val="22"/>
          <w:szCs w:val="22"/>
          <w:lang w:eastAsia="en-GB"/>
        </w:rPr>
        <w:t> </w:t>
      </w:r>
    </w:p>
    <w:p w:rsidR="00347771" w:rsidRDefault="00294687" w:rsidP="00BF6C68">
      <w:pPr>
        <w:shd w:val="clear" w:color="auto" w:fill="FFFFFF"/>
        <w:spacing w:line="240" w:lineRule="atLeast"/>
        <w:rPr>
          <w:rFonts w:asciiTheme="minorHAnsi" w:hAnsiTheme="minorHAnsi" w:cstheme="minorHAnsi"/>
          <w:b/>
          <w:sz w:val="22"/>
          <w:szCs w:val="22"/>
          <w:lang w:eastAsia="en-GB"/>
        </w:rPr>
      </w:pPr>
      <w:r w:rsidRPr="00294687">
        <w:rPr>
          <w:rFonts w:asciiTheme="minorHAnsi" w:hAnsiTheme="minorHAnsi" w:cstheme="minorHAnsi"/>
          <w:b/>
          <w:sz w:val="22"/>
          <w:szCs w:val="22"/>
          <w:lang w:eastAsia="en-GB"/>
        </w:rPr>
        <w:t>Next steps</w:t>
      </w:r>
    </w:p>
    <w:p w:rsidR="00251BEF" w:rsidRDefault="00251BEF" w:rsidP="00347771">
      <w:pPr>
        <w:shd w:val="clear" w:color="auto" w:fill="FFFFFF"/>
        <w:spacing w:line="240" w:lineRule="atLeast"/>
        <w:rPr>
          <w:rFonts w:asciiTheme="minorHAnsi" w:hAnsiTheme="minorHAnsi" w:cstheme="minorHAnsi"/>
          <w:sz w:val="22"/>
          <w:szCs w:val="22"/>
          <w:lang w:eastAsia="en-GB"/>
        </w:rPr>
      </w:pPr>
      <w:r>
        <w:rPr>
          <w:rFonts w:asciiTheme="minorHAnsi" w:hAnsiTheme="minorHAnsi" w:cstheme="minorHAnsi"/>
          <w:sz w:val="22"/>
          <w:szCs w:val="22"/>
          <w:lang w:eastAsia="en-GB"/>
        </w:rPr>
        <w:t>Continue to</w:t>
      </w:r>
      <w:r w:rsidR="00347771">
        <w:rPr>
          <w:rFonts w:asciiTheme="minorHAnsi" w:hAnsiTheme="minorHAnsi" w:cstheme="minorHAnsi"/>
          <w:sz w:val="22"/>
          <w:szCs w:val="22"/>
          <w:lang w:eastAsia="en-GB"/>
        </w:rPr>
        <w:t xml:space="preserve"> deliver the </w:t>
      </w:r>
      <w:r>
        <w:rPr>
          <w:rFonts w:asciiTheme="minorHAnsi" w:hAnsiTheme="minorHAnsi" w:cstheme="minorHAnsi"/>
          <w:sz w:val="22"/>
          <w:szCs w:val="22"/>
          <w:lang w:eastAsia="en-GB"/>
        </w:rPr>
        <w:t xml:space="preserve">agreed </w:t>
      </w:r>
      <w:r w:rsidR="00347771">
        <w:rPr>
          <w:rFonts w:asciiTheme="minorHAnsi" w:hAnsiTheme="minorHAnsi" w:cstheme="minorHAnsi"/>
          <w:sz w:val="22"/>
          <w:szCs w:val="22"/>
          <w:lang w:eastAsia="en-GB"/>
        </w:rPr>
        <w:t>action plan</w:t>
      </w:r>
      <w:r>
        <w:rPr>
          <w:rFonts w:asciiTheme="minorHAnsi" w:hAnsiTheme="minorHAnsi" w:cstheme="minorHAnsi"/>
          <w:sz w:val="22"/>
          <w:szCs w:val="22"/>
          <w:lang w:eastAsia="en-GB"/>
        </w:rPr>
        <w:t xml:space="preserve"> over the next nine months,</w:t>
      </w:r>
      <w:r w:rsidR="00347771">
        <w:rPr>
          <w:rFonts w:asciiTheme="minorHAnsi" w:hAnsiTheme="minorHAnsi" w:cstheme="minorHAnsi"/>
          <w:sz w:val="22"/>
          <w:szCs w:val="22"/>
          <w:lang w:eastAsia="en-GB"/>
        </w:rPr>
        <w:t xml:space="preserve"> </w:t>
      </w:r>
      <w:r w:rsidR="00294687" w:rsidRPr="00294687">
        <w:rPr>
          <w:rFonts w:asciiTheme="minorHAnsi" w:hAnsiTheme="minorHAnsi" w:cstheme="minorHAnsi"/>
          <w:sz w:val="22"/>
          <w:szCs w:val="22"/>
          <w:lang w:eastAsia="en-GB"/>
        </w:rPr>
        <w:t>including a</w:t>
      </w:r>
      <w:r w:rsidR="00BF6C68" w:rsidRPr="00294687">
        <w:rPr>
          <w:rFonts w:asciiTheme="minorHAnsi" w:hAnsiTheme="minorHAnsi" w:cstheme="minorHAnsi"/>
          <w:sz w:val="22"/>
          <w:szCs w:val="22"/>
          <w:lang w:eastAsia="en-GB"/>
        </w:rPr>
        <w:t xml:space="preserve"> review of services commissioned to support pathways of care for older people, and better use of voluntary and community groups sector to support patients so they can go home from hospital.</w:t>
      </w:r>
      <w:r w:rsidR="00294687" w:rsidRPr="00294687">
        <w:rPr>
          <w:rFonts w:asciiTheme="minorHAnsi" w:hAnsiTheme="minorHAnsi" w:cstheme="minorHAnsi"/>
          <w:sz w:val="22"/>
          <w:szCs w:val="22"/>
          <w:lang w:eastAsia="en-GB"/>
        </w:rPr>
        <w:t xml:space="preserve"> Support and advice for people who pay for their own care – known as ‘self-funders’ –needs to be developed further</w:t>
      </w:r>
      <w:r>
        <w:rPr>
          <w:rFonts w:asciiTheme="minorHAnsi" w:hAnsiTheme="minorHAnsi" w:cstheme="minorHAnsi"/>
          <w:sz w:val="22"/>
          <w:szCs w:val="22"/>
          <w:lang w:eastAsia="en-GB"/>
        </w:rPr>
        <w:t xml:space="preserve"> with the voluntary sector</w:t>
      </w:r>
      <w:r w:rsidR="00294687" w:rsidRPr="00294687">
        <w:rPr>
          <w:rFonts w:asciiTheme="minorHAnsi" w:hAnsiTheme="minorHAnsi" w:cstheme="minorHAnsi"/>
          <w:sz w:val="22"/>
          <w:szCs w:val="22"/>
          <w:lang w:eastAsia="en-GB"/>
        </w:rPr>
        <w:t xml:space="preserve">. </w:t>
      </w:r>
    </w:p>
    <w:p w:rsidR="00251BEF" w:rsidRDefault="00251BEF" w:rsidP="00347771">
      <w:pPr>
        <w:shd w:val="clear" w:color="auto" w:fill="FFFFFF"/>
        <w:spacing w:line="240" w:lineRule="atLeast"/>
        <w:rPr>
          <w:rFonts w:asciiTheme="minorHAnsi" w:hAnsiTheme="minorHAnsi" w:cstheme="minorHAnsi"/>
          <w:sz w:val="22"/>
          <w:szCs w:val="22"/>
          <w:lang w:eastAsia="en-GB"/>
        </w:rPr>
      </w:pPr>
    </w:p>
    <w:p w:rsidR="00BF6C68" w:rsidRPr="00347771" w:rsidRDefault="00294687" w:rsidP="00347771">
      <w:pPr>
        <w:shd w:val="clear" w:color="auto" w:fill="FFFFFF"/>
        <w:spacing w:line="240" w:lineRule="atLeast"/>
        <w:rPr>
          <w:rFonts w:asciiTheme="minorHAnsi" w:hAnsiTheme="minorHAnsi" w:cstheme="minorHAnsi"/>
          <w:sz w:val="22"/>
          <w:szCs w:val="22"/>
          <w:lang w:eastAsia="en-GB"/>
        </w:rPr>
      </w:pPr>
      <w:r w:rsidRPr="00294687">
        <w:rPr>
          <w:rFonts w:asciiTheme="minorHAnsi" w:hAnsiTheme="minorHAnsi" w:cstheme="minorHAnsi"/>
          <w:sz w:val="22"/>
          <w:szCs w:val="22"/>
          <w:lang w:eastAsia="en-GB"/>
        </w:rPr>
        <w:t xml:space="preserve">The action plan </w:t>
      </w:r>
      <w:r w:rsidR="00251BEF">
        <w:rPr>
          <w:rFonts w:asciiTheme="minorHAnsi" w:hAnsiTheme="minorHAnsi" w:cstheme="minorHAnsi"/>
          <w:sz w:val="22"/>
          <w:szCs w:val="22"/>
          <w:lang w:eastAsia="en-GB"/>
        </w:rPr>
        <w:t xml:space="preserve">will also be </w:t>
      </w:r>
      <w:r w:rsidRPr="00294687">
        <w:rPr>
          <w:rFonts w:asciiTheme="minorHAnsi" w:hAnsiTheme="minorHAnsi" w:cstheme="minorHAnsi"/>
          <w:sz w:val="22"/>
          <w:szCs w:val="22"/>
          <w:lang w:eastAsia="en-GB"/>
        </w:rPr>
        <w:t xml:space="preserve">refreshed </w:t>
      </w:r>
      <w:proofErr w:type="gramStart"/>
      <w:r w:rsidR="00251BEF">
        <w:rPr>
          <w:rFonts w:asciiTheme="minorHAnsi" w:hAnsiTheme="minorHAnsi" w:cstheme="minorHAnsi"/>
          <w:sz w:val="22"/>
          <w:szCs w:val="22"/>
          <w:lang w:eastAsia="en-GB"/>
        </w:rPr>
        <w:t>in light of</w:t>
      </w:r>
      <w:proofErr w:type="gramEnd"/>
      <w:r w:rsidR="00251BEF">
        <w:rPr>
          <w:rFonts w:asciiTheme="minorHAnsi" w:hAnsiTheme="minorHAnsi" w:cstheme="minorHAnsi"/>
          <w:sz w:val="22"/>
          <w:szCs w:val="22"/>
          <w:lang w:eastAsia="en-GB"/>
        </w:rPr>
        <w:t xml:space="preserve"> the follow up visit.</w:t>
      </w:r>
    </w:p>
    <w:sectPr w:rsidR="00BF6C68" w:rsidRPr="00347771" w:rsidSect="005433AD">
      <w:footerReference w:type="default" r:id="rId10"/>
      <w:headerReference w:type="first" r:id="rId11"/>
      <w:pgSz w:w="12240" w:h="15840" w:code="1"/>
      <w:pgMar w:top="567" w:right="900" w:bottom="568"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308033"/>
      <w:docPartObj>
        <w:docPartGallery w:val="Page Numbers (Bottom of Page)"/>
        <w:docPartUnique/>
      </w:docPartObj>
    </w:sdtPr>
    <w:sdtEndPr>
      <w:rPr>
        <w:noProof/>
      </w:rPr>
    </w:sdtEndPr>
    <w:sdtContent>
      <w:p w:rsidR="000A583B" w:rsidRDefault="000A583B">
        <w:pPr>
          <w:pStyle w:val="Footer"/>
          <w:jc w:val="right"/>
        </w:pPr>
        <w:r>
          <w:fldChar w:fldCharType="begin"/>
        </w:r>
        <w:r>
          <w:instrText xml:space="preserve"> PAGE   \* MERGEFORMAT </w:instrText>
        </w:r>
        <w:r>
          <w:fldChar w:fldCharType="separate"/>
        </w:r>
        <w:r w:rsidR="00251BEF">
          <w:rPr>
            <w:noProof/>
          </w:rPr>
          <w:t>2</w:t>
        </w:r>
        <w:r>
          <w:rPr>
            <w:noProof/>
          </w:rPr>
          <w:fldChar w:fldCharType="end"/>
        </w:r>
      </w:p>
    </w:sdtContent>
  </w:sdt>
  <w:p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F0F" w:rsidRPr="00FA3993" w:rsidRDefault="00262F0F" w:rsidP="00BF6C68">
    <w:pPr>
      <w:pStyle w:val="Header"/>
      <w:jc w:val="center"/>
      <w:rPr>
        <w:rFonts w:ascii="Segoe UI" w:hAnsi="Segoe UI" w:cs="Segoe UI"/>
      </w:rPr>
    </w:pPr>
    <w:r w:rsidRPr="00FA3993">
      <w:rPr>
        <w:rFonts w:ascii="Segoe UI" w:hAnsi="Segoe UI" w:cs="Segoe UI"/>
        <w:b/>
        <w:i/>
      </w:rPr>
      <w:t>P</w:t>
    </w:r>
    <w:r w:rsidR="00BF6C68">
      <w:rPr>
        <w:rFonts w:ascii="Segoe UI" w:hAnsi="Segoe UI" w:cs="Segoe UI"/>
        <w:b/>
        <w:i/>
      </w:rPr>
      <w:t>UBLIC</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282A26"/>
    <w:multiLevelType w:val="hybridMultilevel"/>
    <w:tmpl w:val="E1AC2BD8"/>
    <w:lvl w:ilvl="0" w:tplc="F01CE2C2">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743B"/>
    <w:rsid w:val="00030247"/>
    <w:rsid w:val="00071842"/>
    <w:rsid w:val="000A3A29"/>
    <w:rsid w:val="000A583B"/>
    <w:rsid w:val="000A5A07"/>
    <w:rsid w:val="000B420F"/>
    <w:rsid w:val="000E317C"/>
    <w:rsid w:val="00101A8F"/>
    <w:rsid w:val="001058A7"/>
    <w:rsid w:val="00145747"/>
    <w:rsid w:val="001B5873"/>
    <w:rsid w:val="001F76ED"/>
    <w:rsid w:val="002250DE"/>
    <w:rsid w:val="00227FCE"/>
    <w:rsid w:val="00241A66"/>
    <w:rsid w:val="00251BEF"/>
    <w:rsid w:val="002619EF"/>
    <w:rsid w:val="00262F0F"/>
    <w:rsid w:val="002821F8"/>
    <w:rsid w:val="00292613"/>
    <w:rsid w:val="00294687"/>
    <w:rsid w:val="002A59FB"/>
    <w:rsid w:val="002A73E8"/>
    <w:rsid w:val="002B7785"/>
    <w:rsid w:val="002C2F97"/>
    <w:rsid w:val="002E6FC6"/>
    <w:rsid w:val="002F0D9E"/>
    <w:rsid w:val="00306AF0"/>
    <w:rsid w:val="00347771"/>
    <w:rsid w:val="003927AC"/>
    <w:rsid w:val="003971F6"/>
    <w:rsid w:val="003F2AF4"/>
    <w:rsid w:val="003F7366"/>
    <w:rsid w:val="004326BB"/>
    <w:rsid w:val="00456DDE"/>
    <w:rsid w:val="004742D0"/>
    <w:rsid w:val="0049399C"/>
    <w:rsid w:val="004B1397"/>
    <w:rsid w:val="004D0692"/>
    <w:rsid w:val="004F4BBA"/>
    <w:rsid w:val="005233AA"/>
    <w:rsid w:val="00523450"/>
    <w:rsid w:val="005433AD"/>
    <w:rsid w:val="00551AD9"/>
    <w:rsid w:val="00551B0F"/>
    <w:rsid w:val="005659FB"/>
    <w:rsid w:val="005B3E3C"/>
    <w:rsid w:val="005C3FC1"/>
    <w:rsid w:val="005D3499"/>
    <w:rsid w:val="005E2583"/>
    <w:rsid w:val="0061684E"/>
    <w:rsid w:val="00683031"/>
    <w:rsid w:val="006B14EF"/>
    <w:rsid w:val="006C3147"/>
    <w:rsid w:val="006E3C3E"/>
    <w:rsid w:val="006F2F62"/>
    <w:rsid w:val="0073522A"/>
    <w:rsid w:val="00745B27"/>
    <w:rsid w:val="007769CD"/>
    <w:rsid w:val="0078032B"/>
    <w:rsid w:val="00781566"/>
    <w:rsid w:val="007976E7"/>
    <w:rsid w:val="007A2CF0"/>
    <w:rsid w:val="007B02FB"/>
    <w:rsid w:val="007B6D77"/>
    <w:rsid w:val="00802701"/>
    <w:rsid w:val="008038A2"/>
    <w:rsid w:val="00811FE8"/>
    <w:rsid w:val="0084720C"/>
    <w:rsid w:val="0086436B"/>
    <w:rsid w:val="0088096A"/>
    <w:rsid w:val="008865A9"/>
    <w:rsid w:val="00894B97"/>
    <w:rsid w:val="00946E6E"/>
    <w:rsid w:val="009869DE"/>
    <w:rsid w:val="009A3886"/>
    <w:rsid w:val="00A016A0"/>
    <w:rsid w:val="00A15A88"/>
    <w:rsid w:val="00A2080F"/>
    <w:rsid w:val="00A674FB"/>
    <w:rsid w:val="00A85311"/>
    <w:rsid w:val="00A86977"/>
    <w:rsid w:val="00AA0C3F"/>
    <w:rsid w:val="00AC041B"/>
    <w:rsid w:val="00AC3814"/>
    <w:rsid w:val="00AF0562"/>
    <w:rsid w:val="00B1093F"/>
    <w:rsid w:val="00B10FB2"/>
    <w:rsid w:val="00B26E1A"/>
    <w:rsid w:val="00B26F2C"/>
    <w:rsid w:val="00B50D5E"/>
    <w:rsid w:val="00BA3B3E"/>
    <w:rsid w:val="00BB510B"/>
    <w:rsid w:val="00BC152C"/>
    <w:rsid w:val="00BF3538"/>
    <w:rsid w:val="00BF5367"/>
    <w:rsid w:val="00BF6C68"/>
    <w:rsid w:val="00C07817"/>
    <w:rsid w:val="00C11AA2"/>
    <w:rsid w:val="00C67635"/>
    <w:rsid w:val="00C71005"/>
    <w:rsid w:val="00D029E8"/>
    <w:rsid w:val="00D07064"/>
    <w:rsid w:val="00D101CB"/>
    <w:rsid w:val="00D279FC"/>
    <w:rsid w:val="00D557DE"/>
    <w:rsid w:val="00D55ADD"/>
    <w:rsid w:val="00D628E5"/>
    <w:rsid w:val="00D8544F"/>
    <w:rsid w:val="00D870AD"/>
    <w:rsid w:val="00DA0FA6"/>
    <w:rsid w:val="00DA6606"/>
    <w:rsid w:val="00DB0979"/>
    <w:rsid w:val="00DB161E"/>
    <w:rsid w:val="00DD33DF"/>
    <w:rsid w:val="00DE1293"/>
    <w:rsid w:val="00DE4919"/>
    <w:rsid w:val="00DF10CC"/>
    <w:rsid w:val="00E827C5"/>
    <w:rsid w:val="00EE261A"/>
    <w:rsid w:val="00F24EB2"/>
    <w:rsid w:val="00F50A07"/>
    <w:rsid w:val="00F57119"/>
    <w:rsid w:val="00F77C13"/>
    <w:rsid w:val="00F945DB"/>
    <w:rsid w:val="00FA3993"/>
    <w:rsid w:val="00FA5118"/>
    <w:rsid w:val="00FB3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76A1099"/>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link w:val="ListParagraphChar"/>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character" w:customStyle="1" w:styleId="ListParagraphChar">
    <w:name w:val="List Paragraph Char"/>
    <w:basedOn w:val="DefaultParagraphFont"/>
    <w:link w:val="ListParagraph"/>
    <w:uiPriority w:val="34"/>
    <w:rsid w:val="00BF6C6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2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qc.org.uk/local-system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3304-503C-4F77-88C6-0B0A04F1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2019-01-21T18:58:00Z</dcterms:created>
  <dcterms:modified xsi:type="dcterms:W3CDTF">2019-01-24T23:12:00Z</dcterms:modified>
</cp:coreProperties>
</file>