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973671" w:rsidRDefault="007B6D77" w:rsidP="00823FED">
      <w:pPr>
        <w:jc w:val="right"/>
        <w:rPr>
          <w:lang w:val="en-GB"/>
        </w:rPr>
      </w:pPr>
      <w:bookmarkStart w:id="0" w:name="_Hlk529542753"/>
      <w:bookmarkStart w:id="1" w:name="_GoBack"/>
      <w:bookmarkEnd w:id="0"/>
      <w:r w:rsidRPr="00973671">
        <w:rPr>
          <w:noProof/>
          <w:lang w:val="en-GB" w:eastAsia="en-GB"/>
        </w:rPr>
        <w:drawing>
          <wp:inline distT="0" distB="0" distL="0" distR="0" wp14:anchorId="1351AEEA" wp14:editId="3FB001AD">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bookmarkEnd w:id="1"/>
    <w:p w:rsidR="005D3499" w:rsidRPr="00973671" w:rsidRDefault="005D3499" w:rsidP="00C6233E">
      <w:pPr>
        <w:pStyle w:val="Heading1"/>
        <w:jc w:val="center"/>
        <w:rPr>
          <w:rFonts w:cs="Arial"/>
          <w:sz w:val="24"/>
          <w:szCs w:val="24"/>
          <w:u w:val="none"/>
        </w:rPr>
      </w:pPr>
    </w:p>
    <w:p w:rsidR="005E2583" w:rsidRPr="00973671" w:rsidRDefault="00E60D96" w:rsidP="00C6233E">
      <w:pPr>
        <w:pStyle w:val="Heading1"/>
        <w:jc w:val="center"/>
        <w:rPr>
          <w:rFonts w:cs="Arial"/>
          <w:sz w:val="24"/>
          <w:szCs w:val="24"/>
          <w:u w:val="none"/>
        </w:rPr>
      </w:pPr>
      <w:r w:rsidRPr="00973671">
        <w:rPr>
          <w:rFonts w:cs="Arial"/>
          <w:noProof/>
          <w:sz w:val="24"/>
          <w:szCs w:val="24"/>
          <w:lang w:eastAsia="en-GB"/>
        </w:rPr>
        <mc:AlternateContent>
          <mc:Choice Requires="wps">
            <w:drawing>
              <wp:anchor distT="0" distB="0" distL="114300" distR="114300" simplePos="0" relativeHeight="251657728" behindDoc="0" locked="0" layoutInCell="1" allowOverlap="1" wp14:anchorId="5E3D2C4D" wp14:editId="6BD979BC">
                <wp:simplePos x="0" y="0"/>
                <wp:positionH relativeFrom="column">
                  <wp:posOffset>4707255</wp:posOffset>
                </wp:positionH>
                <wp:positionV relativeFrom="paragraph">
                  <wp:posOffset>37465</wp:posOffset>
                </wp:positionV>
                <wp:extent cx="1371600" cy="409575"/>
                <wp:effectExtent l="0" t="0" r="1905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9575"/>
                        </a:xfrm>
                        <a:prstGeom prst="rect">
                          <a:avLst/>
                        </a:prstGeom>
                        <a:solidFill>
                          <a:srgbClr val="FFFFFF"/>
                        </a:solidFill>
                        <a:ln w="9525">
                          <a:solidFill>
                            <a:srgbClr val="000000"/>
                          </a:solidFill>
                          <a:miter lim="800000"/>
                          <a:headEnd/>
                          <a:tailEnd/>
                        </a:ln>
                      </wps:spPr>
                      <wps:txbx>
                        <w:txbxContent>
                          <w:p w:rsidR="00191199" w:rsidRPr="004E70CB" w:rsidRDefault="00191199">
                            <w:pPr>
                              <w:jc w:val="center"/>
                              <w:rPr>
                                <w:rFonts w:ascii="Segoe UI" w:hAnsi="Segoe UI" w:cs="Segoe UI"/>
                              </w:rPr>
                            </w:pPr>
                            <w:proofErr w:type="spellStart"/>
                            <w:r w:rsidRPr="004E70CB">
                              <w:rPr>
                                <w:rFonts w:ascii="Segoe UI" w:hAnsi="Segoe UI" w:cs="Segoe UI"/>
                                <w:b/>
                              </w:rPr>
                              <w:t>C</w:t>
                            </w:r>
                            <w:r w:rsidR="00AF1D2C" w:rsidRPr="004E70CB">
                              <w:rPr>
                                <w:rFonts w:ascii="Segoe UI" w:hAnsi="Segoe UI" w:cs="Segoe UI"/>
                                <w:b/>
                              </w:rPr>
                              <w:t>o</w:t>
                            </w:r>
                            <w:r w:rsidRPr="004E70CB">
                              <w:rPr>
                                <w:rFonts w:ascii="Segoe UI" w:hAnsi="Segoe UI" w:cs="Segoe UI"/>
                                <w:b/>
                              </w:rPr>
                              <w:t>G</w:t>
                            </w:r>
                            <w:proofErr w:type="spellEnd"/>
                            <w:r w:rsidRPr="004E70CB">
                              <w:rPr>
                                <w:rFonts w:ascii="Segoe UI" w:hAnsi="Segoe UI" w:cs="Segoe UI"/>
                                <w:b/>
                              </w:rPr>
                              <w:t xml:space="preserve"> </w:t>
                            </w:r>
                            <w:r w:rsidR="00940A98">
                              <w:rPr>
                                <w:rFonts w:ascii="Segoe UI" w:hAnsi="Segoe UI" w:cs="Segoe UI"/>
                                <w:b/>
                              </w:rPr>
                              <w:t>06</w:t>
                            </w:r>
                            <w:r w:rsidR="00AF1D2C" w:rsidRPr="004E70CB">
                              <w:rPr>
                                <w:rFonts w:ascii="Segoe UI" w:hAnsi="Segoe UI" w:cs="Segoe UI"/>
                                <w:b/>
                              </w:rPr>
                              <w:t>/2019</w:t>
                            </w:r>
                          </w:p>
                          <w:p w:rsidR="00191199" w:rsidRPr="00FA3993" w:rsidRDefault="00191199">
                            <w:pPr>
                              <w:jc w:val="center"/>
                              <w:rPr>
                                <w:rFonts w:ascii="Segoe UI" w:hAnsi="Segoe UI" w:cs="Segoe UI"/>
                                <w:sz w:val="22"/>
                                <w:szCs w:val="22"/>
                              </w:rPr>
                            </w:pPr>
                            <w:r w:rsidRPr="004E70CB">
                              <w:rPr>
                                <w:rFonts w:ascii="Segoe UI" w:hAnsi="Segoe UI" w:cs="Segoe UI"/>
                                <w:sz w:val="22"/>
                                <w:szCs w:val="22"/>
                              </w:rPr>
                              <w:t>(</w:t>
                            </w:r>
                            <w:r w:rsidR="00D02D95" w:rsidRPr="004E70CB">
                              <w:rPr>
                                <w:rFonts w:ascii="Segoe UI" w:hAnsi="Segoe UI" w:cs="Segoe UI"/>
                                <w:sz w:val="22"/>
                                <w:szCs w:val="22"/>
                              </w:rPr>
                              <w:t>Agenda I</w:t>
                            </w:r>
                            <w:r w:rsidRPr="004E70CB">
                              <w:rPr>
                                <w:rFonts w:ascii="Segoe UI" w:hAnsi="Segoe UI" w:cs="Segoe UI"/>
                                <w:sz w:val="22"/>
                                <w:szCs w:val="22"/>
                              </w:rPr>
                              <w:t>tem:</w:t>
                            </w:r>
                            <w:r w:rsidR="004E4FCF" w:rsidRPr="004E70CB">
                              <w:rPr>
                                <w:rFonts w:ascii="Segoe UI" w:hAnsi="Segoe UI" w:cs="Segoe UI"/>
                                <w:sz w:val="22"/>
                                <w:szCs w:val="22"/>
                              </w:rPr>
                              <w:t xml:space="preserve"> 1</w:t>
                            </w:r>
                            <w:r w:rsidR="00940A98">
                              <w:rPr>
                                <w:rFonts w:ascii="Segoe UI" w:hAnsi="Segoe UI" w:cs="Segoe UI"/>
                                <w:sz w:val="22"/>
                                <w:szCs w:val="22"/>
                              </w:rPr>
                              <w:t>2</w:t>
                            </w:r>
                            <w:r w:rsidRPr="004E70CB">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D2C4D" id="Rectangle 10" o:spid="_x0000_s1026" style="position:absolute;left:0;text-align:left;margin-left:370.65pt;margin-top:2.95pt;width:108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">
                <v:textbox inset="0,0,0,0">
                  <w:txbxContent>
                    <w:p w:rsidR="00191199" w:rsidRPr="004E70CB" w:rsidRDefault="00191199">
                      <w:pPr>
                        <w:jc w:val="center"/>
                        <w:rPr>
                          <w:rFonts w:ascii="Segoe UI" w:hAnsi="Segoe UI" w:cs="Segoe UI"/>
                        </w:rPr>
                      </w:pPr>
                      <w:proofErr w:type="spellStart"/>
                      <w:r w:rsidRPr="004E70CB">
                        <w:rPr>
                          <w:rFonts w:ascii="Segoe UI" w:hAnsi="Segoe UI" w:cs="Segoe UI"/>
                          <w:b/>
                        </w:rPr>
                        <w:t>C</w:t>
                      </w:r>
                      <w:r w:rsidR="00AF1D2C" w:rsidRPr="004E70CB">
                        <w:rPr>
                          <w:rFonts w:ascii="Segoe UI" w:hAnsi="Segoe UI" w:cs="Segoe UI"/>
                          <w:b/>
                        </w:rPr>
                        <w:t>o</w:t>
                      </w:r>
                      <w:r w:rsidRPr="004E70CB">
                        <w:rPr>
                          <w:rFonts w:ascii="Segoe UI" w:hAnsi="Segoe UI" w:cs="Segoe UI"/>
                          <w:b/>
                        </w:rPr>
                        <w:t>G</w:t>
                      </w:r>
                      <w:proofErr w:type="spellEnd"/>
                      <w:r w:rsidRPr="004E70CB">
                        <w:rPr>
                          <w:rFonts w:ascii="Segoe UI" w:hAnsi="Segoe UI" w:cs="Segoe UI"/>
                          <w:b/>
                        </w:rPr>
                        <w:t xml:space="preserve"> </w:t>
                      </w:r>
                      <w:r w:rsidR="00940A98">
                        <w:rPr>
                          <w:rFonts w:ascii="Segoe UI" w:hAnsi="Segoe UI" w:cs="Segoe UI"/>
                          <w:b/>
                        </w:rPr>
                        <w:t>06</w:t>
                      </w:r>
                      <w:bookmarkStart w:id="2" w:name="_GoBack"/>
                      <w:bookmarkEnd w:id="2"/>
                      <w:r w:rsidR="00AF1D2C" w:rsidRPr="004E70CB">
                        <w:rPr>
                          <w:rFonts w:ascii="Segoe UI" w:hAnsi="Segoe UI" w:cs="Segoe UI"/>
                          <w:b/>
                        </w:rPr>
                        <w:t>/2019</w:t>
                      </w:r>
                    </w:p>
                    <w:p w:rsidR="00191199" w:rsidRPr="00FA3993" w:rsidRDefault="00191199">
                      <w:pPr>
                        <w:jc w:val="center"/>
                        <w:rPr>
                          <w:rFonts w:ascii="Segoe UI" w:hAnsi="Segoe UI" w:cs="Segoe UI"/>
                          <w:sz w:val="22"/>
                          <w:szCs w:val="22"/>
                        </w:rPr>
                      </w:pPr>
                      <w:r w:rsidRPr="004E70CB">
                        <w:rPr>
                          <w:rFonts w:ascii="Segoe UI" w:hAnsi="Segoe UI" w:cs="Segoe UI"/>
                          <w:sz w:val="22"/>
                          <w:szCs w:val="22"/>
                        </w:rPr>
                        <w:t>(</w:t>
                      </w:r>
                      <w:r w:rsidR="00D02D95" w:rsidRPr="004E70CB">
                        <w:rPr>
                          <w:rFonts w:ascii="Segoe UI" w:hAnsi="Segoe UI" w:cs="Segoe UI"/>
                          <w:sz w:val="22"/>
                          <w:szCs w:val="22"/>
                        </w:rPr>
                        <w:t>Agenda I</w:t>
                      </w:r>
                      <w:r w:rsidRPr="004E70CB">
                        <w:rPr>
                          <w:rFonts w:ascii="Segoe UI" w:hAnsi="Segoe UI" w:cs="Segoe UI"/>
                          <w:sz w:val="22"/>
                          <w:szCs w:val="22"/>
                        </w:rPr>
                        <w:t>tem:</w:t>
                      </w:r>
                      <w:r w:rsidR="004E4FCF" w:rsidRPr="004E70CB">
                        <w:rPr>
                          <w:rFonts w:ascii="Segoe UI" w:hAnsi="Segoe UI" w:cs="Segoe UI"/>
                          <w:sz w:val="22"/>
                          <w:szCs w:val="22"/>
                        </w:rPr>
                        <w:t xml:space="preserve"> 1</w:t>
                      </w:r>
                      <w:r w:rsidR="00940A98">
                        <w:rPr>
                          <w:rFonts w:ascii="Segoe UI" w:hAnsi="Segoe UI" w:cs="Segoe UI"/>
                          <w:sz w:val="22"/>
                          <w:szCs w:val="22"/>
                        </w:rPr>
                        <w:t>2</w:t>
                      </w:r>
                      <w:r w:rsidRPr="004E70CB">
                        <w:rPr>
                          <w:rFonts w:ascii="Segoe UI" w:hAnsi="Segoe UI" w:cs="Segoe UI"/>
                          <w:sz w:val="22"/>
                          <w:szCs w:val="22"/>
                        </w:rPr>
                        <w:t>)</w:t>
                      </w:r>
                    </w:p>
                  </w:txbxContent>
                </v:textbox>
              </v:rect>
            </w:pict>
          </mc:Fallback>
        </mc:AlternateContent>
      </w:r>
      <w:r w:rsidR="005D3499" w:rsidRPr="00973671">
        <w:rPr>
          <w:rFonts w:cs="Arial"/>
          <w:sz w:val="24"/>
          <w:szCs w:val="24"/>
          <w:u w:val="none"/>
        </w:rPr>
        <w:t xml:space="preserve">Report to the Meeting </w:t>
      </w:r>
      <w:r w:rsidR="00B50D5E" w:rsidRPr="00973671">
        <w:rPr>
          <w:rFonts w:cs="Arial"/>
          <w:sz w:val="24"/>
          <w:szCs w:val="24"/>
          <w:u w:val="none"/>
        </w:rPr>
        <w:t>of the</w:t>
      </w:r>
    </w:p>
    <w:p w:rsidR="002821F8" w:rsidRPr="00973671" w:rsidRDefault="00B50D5E" w:rsidP="00C6233E">
      <w:pPr>
        <w:pStyle w:val="Heading1"/>
        <w:jc w:val="center"/>
        <w:rPr>
          <w:rFonts w:cs="Arial"/>
          <w:sz w:val="24"/>
          <w:szCs w:val="24"/>
          <w:u w:val="none"/>
        </w:rPr>
      </w:pPr>
      <w:r w:rsidRPr="00973671">
        <w:rPr>
          <w:rFonts w:cs="Arial"/>
          <w:sz w:val="24"/>
          <w:szCs w:val="24"/>
          <w:u w:val="none"/>
        </w:rPr>
        <w:t xml:space="preserve">Oxford Health NHS </w:t>
      </w:r>
      <w:r w:rsidR="002821F8" w:rsidRPr="00973671">
        <w:rPr>
          <w:rFonts w:cs="Arial"/>
          <w:sz w:val="24"/>
          <w:szCs w:val="24"/>
          <w:u w:val="none"/>
        </w:rPr>
        <w:t>Foundation Trust</w:t>
      </w:r>
    </w:p>
    <w:p w:rsidR="00FA3993" w:rsidRPr="00973671" w:rsidRDefault="00FA3993" w:rsidP="00C6233E">
      <w:pPr>
        <w:pStyle w:val="Heading1"/>
        <w:jc w:val="center"/>
        <w:rPr>
          <w:rFonts w:cs="Arial"/>
          <w:sz w:val="24"/>
          <w:szCs w:val="24"/>
          <w:u w:val="none"/>
        </w:rPr>
      </w:pPr>
    </w:p>
    <w:p w:rsidR="005D3499" w:rsidRPr="00973671" w:rsidRDefault="00342219" w:rsidP="00C6233E">
      <w:pPr>
        <w:pStyle w:val="Heading1"/>
        <w:jc w:val="center"/>
        <w:rPr>
          <w:rFonts w:cs="Arial"/>
          <w:sz w:val="24"/>
          <w:szCs w:val="24"/>
          <w:u w:val="none"/>
        </w:rPr>
      </w:pPr>
      <w:r w:rsidRPr="00973671">
        <w:rPr>
          <w:rFonts w:cs="Arial"/>
          <w:sz w:val="24"/>
          <w:szCs w:val="24"/>
          <w:u w:val="none"/>
        </w:rPr>
        <w:t>Council of Governors</w:t>
      </w:r>
    </w:p>
    <w:p w:rsidR="005D3499" w:rsidRPr="00973671" w:rsidRDefault="005D3499" w:rsidP="00C6233E">
      <w:pPr>
        <w:jc w:val="center"/>
        <w:rPr>
          <w:rFonts w:ascii="Arial" w:hAnsi="Arial" w:cs="Arial"/>
          <w:b/>
        </w:rPr>
      </w:pPr>
    </w:p>
    <w:p w:rsidR="005D3499" w:rsidRPr="00973671" w:rsidRDefault="007C570A" w:rsidP="00C6233E">
      <w:pPr>
        <w:jc w:val="center"/>
        <w:rPr>
          <w:rFonts w:ascii="Arial" w:hAnsi="Arial" w:cs="Arial"/>
          <w:b/>
        </w:rPr>
      </w:pPr>
      <w:r>
        <w:rPr>
          <w:rFonts w:ascii="Arial" w:hAnsi="Arial" w:cs="Arial"/>
          <w:b/>
        </w:rPr>
        <w:t>February 28</w:t>
      </w:r>
      <w:r w:rsidRPr="007C570A">
        <w:rPr>
          <w:rFonts w:ascii="Arial" w:hAnsi="Arial" w:cs="Arial"/>
          <w:b/>
          <w:vertAlign w:val="superscript"/>
        </w:rPr>
        <w:t>th</w:t>
      </w:r>
      <w:r>
        <w:rPr>
          <w:rFonts w:ascii="Arial" w:hAnsi="Arial" w:cs="Arial"/>
          <w:b/>
        </w:rPr>
        <w:t xml:space="preserve"> 2019</w:t>
      </w:r>
    </w:p>
    <w:p w:rsidR="005D3499" w:rsidRPr="00973671" w:rsidRDefault="005D3499" w:rsidP="00C6233E">
      <w:pPr>
        <w:jc w:val="center"/>
        <w:rPr>
          <w:rFonts w:ascii="Arial" w:hAnsi="Arial" w:cs="Arial"/>
          <w:b/>
        </w:rPr>
      </w:pPr>
    </w:p>
    <w:p w:rsidR="00C40728" w:rsidRPr="00973671" w:rsidRDefault="00F715FD" w:rsidP="00C6233E">
      <w:pPr>
        <w:jc w:val="center"/>
        <w:rPr>
          <w:rFonts w:ascii="Arial" w:hAnsi="Arial" w:cs="Arial"/>
          <w:b/>
        </w:rPr>
      </w:pPr>
      <w:r w:rsidRPr="00973671">
        <w:rPr>
          <w:rFonts w:ascii="Arial" w:hAnsi="Arial" w:cs="Arial"/>
          <w:b/>
        </w:rPr>
        <w:t>Performance Report</w:t>
      </w:r>
      <w:r w:rsidR="00C40728" w:rsidRPr="00973671">
        <w:rPr>
          <w:rFonts w:ascii="Arial" w:hAnsi="Arial" w:cs="Arial"/>
          <w:b/>
        </w:rPr>
        <w:t xml:space="preserve"> </w:t>
      </w:r>
      <w:r w:rsidR="00243EF5" w:rsidRPr="00973671">
        <w:rPr>
          <w:rFonts w:ascii="Arial" w:hAnsi="Arial" w:cs="Arial"/>
          <w:b/>
        </w:rPr>
        <w:t>Q</w:t>
      </w:r>
      <w:r w:rsidR="007C570A">
        <w:rPr>
          <w:rFonts w:ascii="Arial" w:hAnsi="Arial" w:cs="Arial"/>
          <w:b/>
        </w:rPr>
        <w:t>3</w:t>
      </w:r>
    </w:p>
    <w:p w:rsidR="00F715FD" w:rsidRPr="00973671" w:rsidRDefault="00C40728" w:rsidP="00C6233E">
      <w:pPr>
        <w:jc w:val="center"/>
        <w:rPr>
          <w:rFonts w:ascii="Arial" w:hAnsi="Arial" w:cs="Arial"/>
          <w:b/>
        </w:rPr>
      </w:pPr>
      <w:r w:rsidRPr="00973671">
        <w:rPr>
          <w:rFonts w:ascii="Arial" w:hAnsi="Arial" w:cs="Arial"/>
          <w:b/>
        </w:rPr>
        <w:t>(</w:t>
      </w:r>
      <w:r w:rsidR="007C570A">
        <w:rPr>
          <w:rFonts w:ascii="Arial" w:hAnsi="Arial" w:cs="Arial"/>
          <w:b/>
        </w:rPr>
        <w:t>October</w:t>
      </w:r>
      <w:r w:rsidR="00243EF5" w:rsidRPr="00973671">
        <w:rPr>
          <w:rFonts w:ascii="Arial" w:hAnsi="Arial" w:cs="Arial"/>
          <w:b/>
        </w:rPr>
        <w:t xml:space="preserve"> 2018</w:t>
      </w:r>
      <w:r w:rsidR="00C6357C" w:rsidRPr="00973671">
        <w:rPr>
          <w:rFonts w:ascii="Arial" w:hAnsi="Arial" w:cs="Arial"/>
          <w:b/>
        </w:rPr>
        <w:t xml:space="preserve"> </w:t>
      </w:r>
      <w:r w:rsidR="00C855F5" w:rsidRPr="00973671">
        <w:rPr>
          <w:rFonts w:ascii="Arial" w:hAnsi="Arial" w:cs="Arial"/>
          <w:b/>
        </w:rPr>
        <w:t>–</w:t>
      </w:r>
      <w:r w:rsidR="00C6357C" w:rsidRPr="00973671">
        <w:rPr>
          <w:rFonts w:ascii="Arial" w:hAnsi="Arial" w:cs="Arial"/>
          <w:b/>
        </w:rPr>
        <w:t xml:space="preserve"> </w:t>
      </w:r>
      <w:r w:rsidR="007C570A">
        <w:rPr>
          <w:rFonts w:ascii="Arial" w:hAnsi="Arial" w:cs="Arial"/>
          <w:b/>
        </w:rPr>
        <w:t>December</w:t>
      </w:r>
      <w:r w:rsidR="00D44BD6" w:rsidRPr="00973671">
        <w:rPr>
          <w:rFonts w:ascii="Arial" w:hAnsi="Arial" w:cs="Arial"/>
          <w:b/>
        </w:rPr>
        <w:t xml:space="preserve"> </w:t>
      </w:r>
      <w:r w:rsidR="00243EF5" w:rsidRPr="00973671">
        <w:rPr>
          <w:rFonts w:ascii="Arial" w:hAnsi="Arial" w:cs="Arial"/>
          <w:b/>
        </w:rPr>
        <w:t>2018</w:t>
      </w:r>
      <w:r w:rsidR="009B1280" w:rsidRPr="00973671">
        <w:rPr>
          <w:rFonts w:ascii="Arial" w:hAnsi="Arial" w:cs="Arial"/>
          <w:b/>
        </w:rPr>
        <w:t>)</w:t>
      </w:r>
    </w:p>
    <w:p w:rsidR="005D3499" w:rsidRPr="00973671" w:rsidRDefault="005D3499" w:rsidP="00C6233E">
      <w:pPr>
        <w:jc w:val="center"/>
        <w:rPr>
          <w:rFonts w:ascii="Arial" w:hAnsi="Arial" w:cs="Arial"/>
          <w:b/>
        </w:rPr>
      </w:pPr>
    </w:p>
    <w:p w:rsidR="00241A66" w:rsidRPr="00973671" w:rsidRDefault="00F715FD" w:rsidP="00C6233E">
      <w:pPr>
        <w:jc w:val="center"/>
        <w:rPr>
          <w:rFonts w:ascii="Arial" w:hAnsi="Arial" w:cs="Arial"/>
        </w:rPr>
      </w:pPr>
      <w:r w:rsidRPr="00973671">
        <w:rPr>
          <w:rFonts w:ascii="Arial" w:hAnsi="Arial" w:cs="Arial"/>
          <w:b/>
          <w:u w:val="single"/>
        </w:rPr>
        <w:t xml:space="preserve">For: </w:t>
      </w:r>
      <w:r w:rsidR="00292613" w:rsidRPr="00973671">
        <w:rPr>
          <w:rFonts w:ascii="Arial" w:hAnsi="Arial" w:cs="Arial"/>
          <w:b/>
          <w:u w:val="single"/>
        </w:rPr>
        <w:t>Information</w:t>
      </w:r>
    </w:p>
    <w:p w:rsidR="00292613" w:rsidRPr="00973671" w:rsidRDefault="00292613" w:rsidP="00C6233E">
      <w:pPr>
        <w:jc w:val="center"/>
        <w:rPr>
          <w:rFonts w:ascii="Arial" w:hAnsi="Arial" w:cs="Arial"/>
          <w:b/>
        </w:rPr>
      </w:pPr>
    </w:p>
    <w:p w:rsidR="007A2CF0" w:rsidRPr="00973671" w:rsidRDefault="007A2CF0" w:rsidP="001A54DC">
      <w:pPr>
        <w:rPr>
          <w:rFonts w:ascii="Arial" w:hAnsi="Arial" w:cs="Arial"/>
          <w:b/>
        </w:rPr>
      </w:pPr>
      <w:r w:rsidRPr="00973671">
        <w:rPr>
          <w:rFonts w:ascii="Arial" w:hAnsi="Arial" w:cs="Arial"/>
          <w:b/>
        </w:rPr>
        <w:t>Executive Summary</w:t>
      </w:r>
    </w:p>
    <w:p w:rsidR="007A2CF0" w:rsidRPr="00973671" w:rsidRDefault="007A2CF0" w:rsidP="00626BB3">
      <w:pPr>
        <w:jc w:val="both"/>
        <w:rPr>
          <w:rFonts w:ascii="Arial" w:hAnsi="Arial" w:cs="Arial"/>
          <w:i/>
        </w:rPr>
      </w:pPr>
    </w:p>
    <w:p w:rsidR="001A54DC" w:rsidRDefault="001A54DC" w:rsidP="00626BB3">
      <w:pPr>
        <w:jc w:val="both"/>
        <w:rPr>
          <w:rFonts w:ascii="Arial" w:hAnsi="Arial" w:cs="Arial"/>
        </w:rPr>
      </w:pPr>
      <w:r>
        <w:rPr>
          <w:rFonts w:ascii="Arial" w:hAnsi="Arial" w:cs="Arial"/>
        </w:rPr>
        <w:t xml:space="preserve">This report provides a consolidated view of the Trust’s operational performance against both national and local (contracted) indicators for </w:t>
      </w:r>
      <w:r w:rsidR="007C570A">
        <w:rPr>
          <w:rFonts w:ascii="Arial" w:hAnsi="Arial" w:cs="Arial"/>
        </w:rPr>
        <w:t>October</w:t>
      </w:r>
      <w:r>
        <w:rPr>
          <w:rFonts w:ascii="Arial" w:hAnsi="Arial" w:cs="Arial"/>
        </w:rPr>
        <w:t xml:space="preserve"> – </w:t>
      </w:r>
      <w:r w:rsidR="007C570A">
        <w:rPr>
          <w:rFonts w:ascii="Arial" w:hAnsi="Arial" w:cs="Arial"/>
        </w:rPr>
        <w:t>December</w:t>
      </w:r>
      <w:r>
        <w:rPr>
          <w:rFonts w:ascii="Arial" w:hAnsi="Arial" w:cs="Arial"/>
        </w:rPr>
        <w:t xml:space="preserve"> 2018 (Q</w:t>
      </w:r>
      <w:r w:rsidR="007C570A">
        <w:rPr>
          <w:rFonts w:ascii="Arial" w:hAnsi="Arial" w:cs="Arial"/>
        </w:rPr>
        <w:t>3</w:t>
      </w:r>
      <w:r>
        <w:rPr>
          <w:rFonts w:ascii="Arial" w:hAnsi="Arial" w:cs="Arial"/>
        </w:rPr>
        <w:t>).</w:t>
      </w:r>
    </w:p>
    <w:p w:rsidR="001A54DC" w:rsidRDefault="001A54DC" w:rsidP="00626BB3">
      <w:pPr>
        <w:jc w:val="both"/>
        <w:rPr>
          <w:rFonts w:ascii="Arial" w:hAnsi="Arial" w:cs="Arial"/>
        </w:rPr>
      </w:pPr>
    </w:p>
    <w:p w:rsidR="001A54DC" w:rsidRDefault="001A54DC" w:rsidP="00626BB3">
      <w:pPr>
        <w:jc w:val="both"/>
        <w:rPr>
          <w:rFonts w:ascii="Arial" w:hAnsi="Arial" w:cs="Arial"/>
        </w:rPr>
      </w:pPr>
      <w:r>
        <w:rPr>
          <w:rFonts w:ascii="Arial" w:hAnsi="Arial" w:cs="Arial"/>
        </w:rPr>
        <w:t xml:space="preserve">A standard scorecard approach is used for all reporting within the Trust and compliance against targets are measured using a RAG rating system.  Performance reporting is presented monthly and </w:t>
      </w:r>
      <w:proofErr w:type="spellStart"/>
      <w:r>
        <w:rPr>
          <w:rFonts w:ascii="Arial" w:hAnsi="Arial" w:cs="Arial"/>
        </w:rPr>
        <w:t>scrutinised</w:t>
      </w:r>
      <w:proofErr w:type="spellEnd"/>
      <w:r>
        <w:rPr>
          <w:rFonts w:ascii="Arial" w:hAnsi="Arial" w:cs="Arial"/>
        </w:rPr>
        <w:t xml:space="preserve"> by various leadership and oversight committees up to and including the Trust Board and Commissioners.  See Appendix 1 for a diagram showing the performance governance process.</w:t>
      </w:r>
    </w:p>
    <w:p w:rsidR="001A54DC" w:rsidRDefault="001A54DC" w:rsidP="00626BB3">
      <w:pPr>
        <w:jc w:val="both"/>
        <w:rPr>
          <w:rFonts w:ascii="Arial" w:hAnsi="Arial" w:cs="Arial"/>
        </w:rPr>
      </w:pPr>
    </w:p>
    <w:p w:rsidR="001A54DC" w:rsidRDefault="001A54DC" w:rsidP="00626BB3">
      <w:pPr>
        <w:jc w:val="both"/>
        <w:rPr>
          <w:rFonts w:ascii="Arial" w:hAnsi="Arial" w:cs="Arial"/>
        </w:rPr>
      </w:pPr>
      <w:r>
        <w:rPr>
          <w:rFonts w:ascii="Arial" w:hAnsi="Arial" w:cs="Arial"/>
        </w:rPr>
        <w:t>The report is divided into three major sections:</w:t>
      </w:r>
    </w:p>
    <w:p w:rsidR="001A54DC" w:rsidRDefault="001A54DC" w:rsidP="00626BB3">
      <w:pPr>
        <w:jc w:val="both"/>
        <w:rPr>
          <w:rFonts w:ascii="Arial" w:hAnsi="Arial" w:cs="Arial"/>
        </w:rPr>
      </w:pPr>
    </w:p>
    <w:p w:rsidR="001A54DC" w:rsidRDefault="001A54DC" w:rsidP="001A54DC">
      <w:pPr>
        <w:jc w:val="both"/>
        <w:rPr>
          <w:rFonts w:ascii="Arial" w:hAnsi="Arial" w:cs="Arial"/>
        </w:rPr>
      </w:pPr>
      <w:r w:rsidRPr="001A54DC">
        <w:rPr>
          <w:rFonts w:ascii="Arial" w:hAnsi="Arial" w:cs="Arial"/>
          <w:b/>
        </w:rPr>
        <w:t>Section 1</w:t>
      </w:r>
      <w:r>
        <w:rPr>
          <w:rFonts w:ascii="Arial" w:hAnsi="Arial" w:cs="Arial"/>
        </w:rPr>
        <w:t xml:space="preserve"> – An update on the overall position and trends for the Trust</w:t>
      </w:r>
    </w:p>
    <w:p w:rsidR="001A54DC" w:rsidRDefault="001A54DC" w:rsidP="00626BB3">
      <w:pPr>
        <w:jc w:val="both"/>
        <w:rPr>
          <w:rFonts w:ascii="Arial" w:hAnsi="Arial" w:cs="Arial"/>
        </w:rPr>
      </w:pPr>
    </w:p>
    <w:p w:rsidR="001A54DC" w:rsidRDefault="001A54DC" w:rsidP="001A54DC">
      <w:pPr>
        <w:jc w:val="both"/>
        <w:rPr>
          <w:rFonts w:ascii="Arial" w:hAnsi="Arial" w:cs="Arial"/>
        </w:rPr>
      </w:pPr>
      <w:r w:rsidRPr="001A54DC">
        <w:rPr>
          <w:rFonts w:ascii="Arial" w:hAnsi="Arial" w:cs="Arial"/>
          <w:b/>
        </w:rPr>
        <w:t>Section 2</w:t>
      </w:r>
      <w:r>
        <w:rPr>
          <w:rFonts w:ascii="Arial" w:hAnsi="Arial" w:cs="Arial"/>
        </w:rPr>
        <w:t xml:space="preserve"> – An update on the Trust’s performance against the national criteria</w:t>
      </w:r>
    </w:p>
    <w:p w:rsidR="001A54DC" w:rsidRDefault="001A54DC" w:rsidP="00626BB3">
      <w:pPr>
        <w:jc w:val="both"/>
        <w:rPr>
          <w:rFonts w:ascii="Arial" w:hAnsi="Arial" w:cs="Arial"/>
        </w:rPr>
      </w:pPr>
    </w:p>
    <w:p w:rsidR="001A54DC" w:rsidRDefault="001A54DC" w:rsidP="001A54DC">
      <w:pPr>
        <w:jc w:val="both"/>
        <w:rPr>
          <w:rFonts w:ascii="Arial" w:hAnsi="Arial" w:cs="Arial"/>
        </w:rPr>
      </w:pPr>
      <w:r w:rsidRPr="001A54DC">
        <w:rPr>
          <w:rFonts w:ascii="Arial" w:hAnsi="Arial" w:cs="Arial"/>
          <w:b/>
        </w:rPr>
        <w:t>Section 3</w:t>
      </w:r>
      <w:r>
        <w:rPr>
          <w:rFonts w:ascii="Arial" w:hAnsi="Arial" w:cs="Arial"/>
        </w:rPr>
        <w:t xml:space="preserve"> – An update on the individual Directorates performance against targeted key performance indicators. </w:t>
      </w:r>
    </w:p>
    <w:p w:rsidR="001A54DC" w:rsidRDefault="001A54DC" w:rsidP="00626BB3">
      <w:pPr>
        <w:jc w:val="both"/>
        <w:rPr>
          <w:rFonts w:ascii="Arial" w:hAnsi="Arial" w:cs="Arial"/>
        </w:rPr>
      </w:pPr>
    </w:p>
    <w:p w:rsidR="001A54DC" w:rsidRDefault="001A54DC" w:rsidP="00626BB3">
      <w:pPr>
        <w:jc w:val="both"/>
        <w:rPr>
          <w:rFonts w:ascii="Arial" w:hAnsi="Arial" w:cs="Arial"/>
        </w:rPr>
      </w:pPr>
    </w:p>
    <w:p w:rsidR="00A647D9" w:rsidRDefault="00A647D9" w:rsidP="00626BB3">
      <w:pPr>
        <w:jc w:val="both"/>
        <w:rPr>
          <w:rFonts w:ascii="Arial" w:hAnsi="Arial" w:cs="Arial"/>
          <w:b/>
        </w:rPr>
      </w:pPr>
    </w:p>
    <w:p w:rsidR="00A647D9" w:rsidRDefault="00A647D9">
      <w:pPr>
        <w:rPr>
          <w:rFonts w:ascii="Arial" w:hAnsi="Arial" w:cs="Arial"/>
          <w:b/>
        </w:rPr>
      </w:pPr>
      <w:r>
        <w:rPr>
          <w:rFonts w:ascii="Arial" w:hAnsi="Arial" w:cs="Arial"/>
          <w:b/>
        </w:rPr>
        <w:br w:type="page"/>
      </w:r>
    </w:p>
    <w:p w:rsidR="001A54DC" w:rsidRPr="00A647D9" w:rsidRDefault="00A647D9" w:rsidP="00ED0106">
      <w:pPr>
        <w:shd w:val="clear" w:color="auto" w:fill="8DB3E2" w:themeFill="text2" w:themeFillTint="66"/>
        <w:jc w:val="both"/>
        <w:rPr>
          <w:rFonts w:ascii="Arial" w:hAnsi="Arial" w:cs="Arial"/>
          <w:b/>
        </w:rPr>
      </w:pPr>
      <w:bookmarkStart w:id="2" w:name="_Hlk529957214"/>
      <w:r w:rsidRPr="00A647D9">
        <w:rPr>
          <w:rFonts w:ascii="Arial" w:hAnsi="Arial" w:cs="Arial"/>
          <w:b/>
        </w:rPr>
        <w:lastRenderedPageBreak/>
        <w:t>Section 1 – The Trust’s Overall Position</w:t>
      </w:r>
    </w:p>
    <w:p w:rsidR="00533F41" w:rsidRPr="00973671" w:rsidRDefault="00533F41" w:rsidP="00626BB3">
      <w:pPr>
        <w:jc w:val="both"/>
        <w:rPr>
          <w:rFonts w:ascii="Arial" w:hAnsi="Arial" w:cs="Arial"/>
        </w:rPr>
      </w:pPr>
    </w:p>
    <w:p w:rsidR="00D90BCC" w:rsidRDefault="007C570A" w:rsidP="00D90BCC">
      <w:pPr>
        <w:jc w:val="both"/>
        <w:rPr>
          <w:rFonts w:ascii="Arial" w:hAnsi="Arial" w:cs="Arial"/>
        </w:rPr>
      </w:pPr>
      <w:r>
        <w:rPr>
          <w:rFonts w:ascii="Arial" w:hAnsi="Arial" w:cs="Arial"/>
        </w:rPr>
        <w:t xml:space="preserve">As of </w:t>
      </w:r>
      <w:proofErr w:type="gramStart"/>
      <w:r>
        <w:rPr>
          <w:rFonts w:ascii="Arial" w:hAnsi="Arial" w:cs="Arial"/>
        </w:rPr>
        <w:t>Month</w:t>
      </w:r>
      <w:proofErr w:type="gramEnd"/>
      <w:r>
        <w:rPr>
          <w:rFonts w:ascii="Arial" w:hAnsi="Arial" w:cs="Arial"/>
        </w:rPr>
        <w:t xml:space="preserve"> 9 (December) t</w:t>
      </w:r>
      <w:r w:rsidR="00D90BCC" w:rsidRPr="00973671">
        <w:rPr>
          <w:rFonts w:ascii="Arial" w:hAnsi="Arial" w:cs="Arial"/>
        </w:rPr>
        <w:t xml:space="preserve">he Trust achieved </w:t>
      </w:r>
      <w:r w:rsidR="00D90BCC" w:rsidRPr="00AF6F2E">
        <w:rPr>
          <w:rFonts w:ascii="Arial" w:hAnsi="Arial" w:cs="Arial"/>
        </w:rPr>
        <w:t>7</w:t>
      </w:r>
      <w:r w:rsidR="00191199">
        <w:rPr>
          <w:rFonts w:ascii="Arial" w:hAnsi="Arial" w:cs="Arial"/>
        </w:rPr>
        <w:t>5</w:t>
      </w:r>
      <w:r w:rsidR="00D90BCC" w:rsidRPr="00AF6F2E">
        <w:rPr>
          <w:rFonts w:ascii="Arial" w:hAnsi="Arial" w:cs="Arial"/>
        </w:rPr>
        <w:t>% compliance</w:t>
      </w:r>
      <w:r w:rsidR="00DB4D78">
        <w:rPr>
          <w:rFonts w:ascii="Arial" w:hAnsi="Arial" w:cs="Arial"/>
        </w:rPr>
        <w:t xml:space="preserve"> across National and local (JMG and contractual) indicators</w:t>
      </w:r>
      <w:r w:rsidR="00D90BCC" w:rsidRPr="00973671">
        <w:rPr>
          <w:rFonts w:ascii="Arial" w:hAnsi="Arial" w:cs="Arial"/>
        </w:rPr>
        <w:t xml:space="preserve">.  </w:t>
      </w:r>
      <w:r w:rsidR="00D90BCC">
        <w:rPr>
          <w:rFonts w:ascii="Arial" w:hAnsi="Arial" w:cs="Arial"/>
        </w:rPr>
        <w:t xml:space="preserve">This </w:t>
      </w:r>
      <w:r>
        <w:rPr>
          <w:rFonts w:ascii="Arial" w:hAnsi="Arial" w:cs="Arial"/>
        </w:rPr>
        <w:t>is consistent with performance in Q2</w:t>
      </w:r>
      <w:r w:rsidR="00191199">
        <w:rPr>
          <w:rFonts w:ascii="Arial" w:hAnsi="Arial" w:cs="Arial"/>
        </w:rPr>
        <w:t xml:space="preserve"> </w:t>
      </w:r>
      <w:r>
        <w:rPr>
          <w:rFonts w:ascii="Arial" w:hAnsi="Arial" w:cs="Arial"/>
        </w:rPr>
        <w:t xml:space="preserve">and reflects the </w:t>
      </w:r>
      <w:r w:rsidR="00D90BCC">
        <w:rPr>
          <w:rFonts w:ascii="Arial" w:hAnsi="Arial" w:cs="Arial"/>
        </w:rPr>
        <w:t>ongoing workforce and financial pressures that extend beyond the Trust and into the broader health and social care system.</w:t>
      </w:r>
    </w:p>
    <w:p w:rsidR="00D90BCC" w:rsidRDefault="00D90BCC" w:rsidP="00D90BCC">
      <w:pPr>
        <w:jc w:val="both"/>
        <w:rPr>
          <w:rFonts w:ascii="Arial" w:hAnsi="Arial" w:cs="Arial"/>
        </w:rPr>
      </w:pPr>
    </w:p>
    <w:p w:rsidR="00D90BCC" w:rsidRDefault="00D90BCC" w:rsidP="00D90BCC">
      <w:pPr>
        <w:jc w:val="both"/>
        <w:rPr>
          <w:rFonts w:ascii="Arial" w:hAnsi="Arial" w:cs="Arial"/>
        </w:rPr>
      </w:pPr>
      <w:r>
        <w:rPr>
          <w:rFonts w:ascii="Arial" w:hAnsi="Arial" w:cs="Arial"/>
        </w:rPr>
        <w:t>The table below illustrates the position as at Q</w:t>
      </w:r>
      <w:r w:rsidR="00191199">
        <w:rPr>
          <w:rFonts w:ascii="Arial" w:hAnsi="Arial" w:cs="Arial"/>
        </w:rPr>
        <w:t>3</w:t>
      </w:r>
      <w:r>
        <w:rPr>
          <w:rFonts w:ascii="Arial" w:hAnsi="Arial" w:cs="Arial"/>
        </w:rPr>
        <w:t xml:space="preserve"> broken down by National performance</w:t>
      </w:r>
      <w:r w:rsidR="00191199">
        <w:rPr>
          <w:rFonts w:ascii="Arial" w:hAnsi="Arial" w:cs="Arial"/>
        </w:rPr>
        <w:t xml:space="preserve"> (SOF)</w:t>
      </w:r>
      <w:r>
        <w:rPr>
          <w:rFonts w:ascii="Arial" w:hAnsi="Arial" w:cs="Arial"/>
        </w:rPr>
        <w:t>, Local Joint Management Group</w:t>
      </w:r>
      <w:r w:rsidR="00191199">
        <w:rPr>
          <w:rFonts w:ascii="Arial" w:hAnsi="Arial" w:cs="Arial"/>
        </w:rPr>
        <w:t xml:space="preserve"> (JMG)</w:t>
      </w:r>
      <w:r>
        <w:rPr>
          <w:rFonts w:ascii="Arial" w:hAnsi="Arial" w:cs="Arial"/>
        </w:rPr>
        <w:t xml:space="preserve"> Performance and </w:t>
      </w:r>
      <w:r w:rsidR="00191199">
        <w:rPr>
          <w:rFonts w:ascii="Arial" w:hAnsi="Arial" w:cs="Arial"/>
        </w:rPr>
        <w:t xml:space="preserve">local contractual performance broken down by </w:t>
      </w:r>
      <w:r>
        <w:rPr>
          <w:rFonts w:ascii="Arial" w:hAnsi="Arial" w:cs="Arial"/>
        </w:rPr>
        <w:t>Directorate</w:t>
      </w:r>
      <w:r w:rsidR="00191199">
        <w:rPr>
          <w:rFonts w:ascii="Arial" w:hAnsi="Arial" w:cs="Arial"/>
        </w:rPr>
        <w:t>.  The</w:t>
      </w:r>
      <w:r>
        <w:rPr>
          <w:rFonts w:ascii="Arial" w:hAnsi="Arial" w:cs="Arial"/>
        </w:rPr>
        <w:t xml:space="preserve"> underlying graph</w:t>
      </w:r>
      <w:r w:rsidR="00DB4D78">
        <w:rPr>
          <w:rFonts w:ascii="Arial" w:hAnsi="Arial" w:cs="Arial"/>
        </w:rPr>
        <w:t>s</w:t>
      </w:r>
      <w:r>
        <w:rPr>
          <w:rFonts w:ascii="Arial" w:hAnsi="Arial" w:cs="Arial"/>
        </w:rPr>
        <w:t xml:space="preserve"> shows the performance trend to date</w:t>
      </w:r>
      <w:r w:rsidR="00DB4D78">
        <w:rPr>
          <w:rFonts w:ascii="Arial" w:hAnsi="Arial" w:cs="Arial"/>
        </w:rPr>
        <w:t xml:space="preserve">.  The left-hand graph shows the split of indicators achieved versus not achieved.  The right-hand graphs </w:t>
      </w:r>
      <w:proofErr w:type="gramStart"/>
      <w:r w:rsidR="00DB4D78">
        <w:rPr>
          <w:rFonts w:ascii="Arial" w:hAnsi="Arial" w:cs="Arial"/>
        </w:rPr>
        <w:t>shows</w:t>
      </w:r>
      <w:proofErr w:type="gramEnd"/>
      <w:r w:rsidR="00DB4D78">
        <w:rPr>
          <w:rFonts w:ascii="Arial" w:hAnsi="Arial" w:cs="Arial"/>
        </w:rPr>
        <w:t xml:space="preserve"> the % compliance trend.</w:t>
      </w:r>
      <w:r>
        <w:rPr>
          <w:rFonts w:ascii="Arial" w:hAnsi="Arial" w:cs="Arial"/>
        </w:rPr>
        <w:t xml:space="preserve"> </w:t>
      </w:r>
    </w:p>
    <w:p w:rsidR="007C570A" w:rsidRDefault="007C570A" w:rsidP="00D90BCC">
      <w:pPr>
        <w:jc w:val="both"/>
        <w:rPr>
          <w:rFonts w:ascii="Arial" w:hAnsi="Arial" w:cs="Arial"/>
        </w:rPr>
      </w:pPr>
    </w:p>
    <w:p w:rsidR="00191199" w:rsidRDefault="00191199" w:rsidP="00D90BCC">
      <w:pPr>
        <w:jc w:val="both"/>
        <w:rPr>
          <w:rFonts w:ascii="Arial" w:hAnsi="Arial" w:cs="Arial"/>
        </w:rPr>
      </w:pPr>
      <w:r w:rsidRPr="00191199">
        <w:rPr>
          <w:noProof/>
          <w:lang w:val="en-GB" w:eastAsia="en-GB"/>
        </w:rPr>
        <w:drawing>
          <wp:inline distT="0" distB="0" distL="0" distR="0">
            <wp:extent cx="5490210" cy="2147437"/>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210" cy="2147437"/>
                    </a:xfrm>
                    <a:prstGeom prst="rect">
                      <a:avLst/>
                    </a:prstGeom>
                    <a:noFill/>
                    <a:ln>
                      <a:noFill/>
                    </a:ln>
                  </pic:spPr>
                </pic:pic>
              </a:graphicData>
            </a:graphic>
          </wp:inline>
        </w:drawing>
      </w:r>
    </w:p>
    <w:p w:rsidR="00191199" w:rsidRDefault="00DB4D78" w:rsidP="00D90BCC">
      <w:pPr>
        <w:jc w:val="both"/>
        <w:rPr>
          <w:rFonts w:ascii="Arial" w:hAnsi="Arial" w:cs="Arial"/>
        </w:rPr>
      </w:pPr>
      <w:r>
        <w:rPr>
          <w:rFonts w:ascii="Arial" w:hAnsi="Arial" w:cs="Arial"/>
          <w:noProof/>
          <w:lang w:val="en-GB" w:eastAsia="en-GB"/>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130810</wp:posOffset>
                </wp:positionV>
                <wp:extent cx="2657475" cy="19907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2657475" cy="1990725"/>
                        </a:xfrm>
                        <a:prstGeom prst="rect">
                          <a:avLst/>
                        </a:prstGeom>
                        <a:solidFill>
                          <a:schemeClr val="lt1"/>
                        </a:solidFill>
                        <a:ln w="6350">
                          <a:noFill/>
                        </a:ln>
                      </wps:spPr>
                      <wps:txbx>
                        <w:txbxContent>
                          <w:p w:rsidR="00DB4D78" w:rsidRDefault="00DB4D78" w:rsidP="00DB4D78">
                            <w:pPr>
                              <w:ind w:left="-142"/>
                            </w:pPr>
                            <w:r w:rsidRPr="00DB4D78">
                              <w:rPr>
                                <w:noProof/>
                                <w:lang w:val="en-GB" w:eastAsia="en-GB"/>
                              </w:rPr>
                              <w:drawing>
                                <wp:inline distT="0" distB="0" distL="0" distR="0">
                                  <wp:extent cx="2674427" cy="1733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9387" cy="1756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Text Box 12" o:spid="_x0000_s1027" type="#_x0000_t202" style="position:absolute;left:0;text-align:left;margin-left:158.05pt;margin-top:10.3pt;width:209.25pt;height:156.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" fillcolor="white [3201]" stroked="f" strokeweight=".5pt">
                <v:textbox>
                  <w:txbxContent>
                    <w:p w:rsidR="00DB4D78" w:rsidRDefault="00DB4D78" w:rsidP="00DB4D78">
                      <w:pPr>
                        <w:ind w:left="-142"/>
                      </w:pPr>
                      <w:r w:rsidRPr="00DB4D78">
                        <w:drawing>
                          <wp:inline distT="0" distB="0" distL="0" distR="0">
                            <wp:extent cx="2674427" cy="1733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9387" cy="1756211"/>
                                    </a:xfrm>
                                    <a:prstGeom prst="rect">
                                      <a:avLst/>
                                    </a:prstGeom>
                                    <a:noFill/>
                                    <a:ln>
                                      <a:noFill/>
                                    </a:ln>
                                  </pic:spPr>
                                </pic:pic>
                              </a:graphicData>
                            </a:graphic>
                          </wp:inline>
                        </w:drawing>
                      </w:r>
                    </w:p>
                  </w:txbxContent>
                </v:textbox>
                <w10:wrap anchorx="margin"/>
              </v:shape>
            </w:pict>
          </mc:Fallback>
        </mc:AlternateContent>
      </w:r>
    </w:p>
    <w:p w:rsidR="00191199" w:rsidRDefault="00191199" w:rsidP="00191199">
      <w:pPr>
        <w:rPr>
          <w:rFonts w:ascii="Arial" w:hAnsi="Arial" w:cs="Arial"/>
        </w:rPr>
      </w:pPr>
      <w:r>
        <w:rPr>
          <w:rFonts w:ascii="Arial" w:hAnsi="Arial" w:cs="Arial"/>
          <w:noProof/>
          <w:lang w:val="en-GB" w:eastAsia="en-GB"/>
        </w:rPr>
        <w:drawing>
          <wp:inline distT="0" distB="0" distL="0" distR="0" wp14:anchorId="10F7AB4D">
            <wp:extent cx="2748659" cy="1752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1887" cy="1754659"/>
                    </a:xfrm>
                    <a:prstGeom prst="rect">
                      <a:avLst/>
                    </a:prstGeom>
                    <a:noFill/>
                  </pic:spPr>
                </pic:pic>
              </a:graphicData>
            </a:graphic>
          </wp:inline>
        </w:drawing>
      </w:r>
    </w:p>
    <w:p w:rsidR="007C570A" w:rsidRDefault="007C570A" w:rsidP="00A1326C">
      <w:pPr>
        <w:rPr>
          <w:rFonts w:ascii="Arial" w:hAnsi="Arial" w:cs="Arial"/>
        </w:rPr>
      </w:pPr>
    </w:p>
    <w:p w:rsidR="00A647D9" w:rsidRDefault="00A647D9" w:rsidP="00626BB3">
      <w:pPr>
        <w:jc w:val="both"/>
        <w:rPr>
          <w:rFonts w:ascii="Segoe UI" w:hAnsi="Segoe UI" w:cs="Segoe UI"/>
          <w:noProof/>
          <w:sz w:val="22"/>
          <w:lang w:val="en-GB" w:eastAsia="en-GB"/>
        </w:rPr>
      </w:pPr>
    </w:p>
    <w:bookmarkEnd w:id="2"/>
    <w:p w:rsidR="00C068F9" w:rsidRDefault="00036566" w:rsidP="00ED0106">
      <w:pPr>
        <w:shd w:val="clear" w:color="auto" w:fill="8DB3E2" w:themeFill="text2" w:themeFillTint="66"/>
        <w:jc w:val="both"/>
        <w:rPr>
          <w:rFonts w:ascii="Arial" w:hAnsi="Arial" w:cs="Arial"/>
          <w:b/>
        </w:rPr>
      </w:pPr>
      <w:r w:rsidRPr="00036566">
        <w:rPr>
          <w:rFonts w:ascii="Arial" w:hAnsi="Arial" w:cs="Arial"/>
          <w:b/>
        </w:rPr>
        <w:t>Sec</w:t>
      </w:r>
      <w:r w:rsidR="00C068F9">
        <w:rPr>
          <w:rFonts w:ascii="Arial" w:hAnsi="Arial" w:cs="Arial"/>
          <w:b/>
        </w:rPr>
        <w:t xml:space="preserve">tion 2 – The National Position </w:t>
      </w:r>
    </w:p>
    <w:p w:rsidR="00C068F9" w:rsidRDefault="00C068F9" w:rsidP="00626BB3">
      <w:pPr>
        <w:jc w:val="both"/>
        <w:rPr>
          <w:rFonts w:ascii="Arial" w:hAnsi="Arial" w:cs="Arial"/>
          <w:b/>
        </w:rPr>
      </w:pPr>
    </w:p>
    <w:p w:rsidR="00B07AA8" w:rsidRPr="00036566" w:rsidRDefault="00B07AA8" w:rsidP="00B07AA8">
      <w:pPr>
        <w:jc w:val="both"/>
        <w:rPr>
          <w:rFonts w:ascii="Arial" w:hAnsi="Arial" w:cs="Arial"/>
          <w:b/>
        </w:rPr>
      </w:pPr>
      <w:r w:rsidRPr="00036566">
        <w:rPr>
          <w:rFonts w:ascii="Arial" w:hAnsi="Arial" w:cs="Arial"/>
          <w:b/>
        </w:rPr>
        <w:t>NHS Single Oversight Framework</w:t>
      </w:r>
    </w:p>
    <w:p w:rsidR="00B07AA8" w:rsidRDefault="00B07AA8" w:rsidP="00B07AA8">
      <w:pPr>
        <w:jc w:val="both"/>
        <w:rPr>
          <w:rFonts w:ascii="Arial" w:hAnsi="Arial" w:cs="Arial"/>
        </w:rPr>
      </w:pPr>
    </w:p>
    <w:p w:rsidR="00B07AA8" w:rsidRPr="00B07AA8" w:rsidRDefault="00DB4D78" w:rsidP="00B07AA8">
      <w:pPr>
        <w:jc w:val="both"/>
        <w:rPr>
          <w:rFonts w:ascii="Arial" w:hAnsi="Arial" w:cs="Arial"/>
        </w:rPr>
      </w:pPr>
      <w:r>
        <w:rPr>
          <w:rFonts w:ascii="Arial" w:hAnsi="Arial" w:cs="Arial"/>
        </w:rPr>
        <w:t>There is</w:t>
      </w:r>
      <w:r w:rsidR="00B07AA8" w:rsidRPr="00973671">
        <w:rPr>
          <w:rFonts w:ascii="Arial" w:hAnsi="Arial" w:cs="Arial"/>
        </w:rPr>
        <w:t xml:space="preserve"> a national requirement</w:t>
      </w:r>
      <w:r>
        <w:rPr>
          <w:rFonts w:ascii="Arial" w:hAnsi="Arial" w:cs="Arial"/>
        </w:rPr>
        <w:t xml:space="preserve"> for Trust’s</w:t>
      </w:r>
      <w:r w:rsidR="00B07AA8" w:rsidRPr="00973671">
        <w:rPr>
          <w:rFonts w:ascii="Arial" w:hAnsi="Arial" w:cs="Arial"/>
        </w:rPr>
        <w:t xml:space="preserve"> to report against targets defined within the NHS Single Oversight Framework</w:t>
      </w:r>
      <w:r>
        <w:rPr>
          <w:rFonts w:ascii="Arial" w:hAnsi="Arial" w:cs="Arial"/>
        </w:rPr>
        <w:t xml:space="preserve"> (SOF)</w:t>
      </w:r>
      <w:r w:rsidR="00B07AA8" w:rsidRPr="00973671">
        <w:rPr>
          <w:rFonts w:ascii="Arial" w:hAnsi="Arial" w:cs="Arial"/>
        </w:rPr>
        <w:t xml:space="preserve">.  </w:t>
      </w:r>
      <w:r w:rsidR="00B07AA8">
        <w:rPr>
          <w:rFonts w:ascii="Arial" w:hAnsi="Arial" w:cs="Arial"/>
        </w:rPr>
        <w:t>Th</w:t>
      </w:r>
      <w:r w:rsidR="00B07AA8" w:rsidRPr="00B07AA8">
        <w:rPr>
          <w:rFonts w:ascii="Arial" w:hAnsi="Arial" w:cs="Arial"/>
        </w:rPr>
        <w:t xml:space="preserve">e first SOF was published in Sept 2016 which replaced Monitor’s Risk Assessment Framework, to help NHSI identify where NHS Trusts/Foundation Trusts may benefit from, or require, improvement support.  It sets out how NHSI will identify providers’ potential support needs under the following themes (linked to, but not identical to CQC themes); </w:t>
      </w:r>
      <w:r w:rsidR="00B07AA8" w:rsidRPr="00552A4E">
        <w:rPr>
          <w:rFonts w:ascii="Arial" w:hAnsi="Arial" w:cs="Arial"/>
          <w:b/>
        </w:rPr>
        <w:t xml:space="preserve">Quality of Care, </w:t>
      </w:r>
      <w:r w:rsidR="00B07AA8" w:rsidRPr="00552A4E">
        <w:rPr>
          <w:rFonts w:ascii="Arial" w:hAnsi="Arial" w:cs="Arial"/>
          <w:b/>
        </w:rPr>
        <w:lastRenderedPageBreak/>
        <w:t xml:space="preserve">Operational Performance and </w:t>
      </w:r>
      <w:proofErr w:type="spellStart"/>
      <w:r w:rsidR="00B07AA8" w:rsidRPr="00552A4E">
        <w:rPr>
          <w:rFonts w:ascii="Arial" w:hAnsi="Arial" w:cs="Arial"/>
          <w:b/>
        </w:rPr>
        <w:t>Organisational</w:t>
      </w:r>
      <w:proofErr w:type="spellEnd"/>
      <w:r w:rsidR="00B07AA8" w:rsidRPr="00552A4E">
        <w:rPr>
          <w:rFonts w:ascii="Arial" w:hAnsi="Arial" w:cs="Arial"/>
          <w:b/>
        </w:rPr>
        <w:t xml:space="preserve"> Health. </w:t>
      </w:r>
      <w:r w:rsidR="00B07AA8">
        <w:rPr>
          <w:rFonts w:ascii="Arial" w:hAnsi="Arial" w:cs="Arial"/>
        </w:rPr>
        <w:t>The table below illustrates the number of indicators we are required to report against each theme and the frequency.</w:t>
      </w:r>
    </w:p>
    <w:p w:rsidR="00B07AA8" w:rsidRPr="0056209F" w:rsidRDefault="00B07AA8" w:rsidP="00B07AA8">
      <w:pPr>
        <w:jc w:val="both"/>
        <w:rPr>
          <w:rFonts w:ascii="Segoe UI" w:hAnsi="Segoe UI" w:cs="Segoe UI"/>
          <w:iCs/>
          <w:sz w:val="22"/>
          <w:szCs w:val="22"/>
        </w:rPr>
      </w:pPr>
    </w:p>
    <w:tbl>
      <w:tblPr>
        <w:tblW w:w="8647" w:type="dxa"/>
        <w:tblInd w:w="-5" w:type="dxa"/>
        <w:tblCellMar>
          <w:top w:w="15" w:type="dxa"/>
          <w:bottom w:w="15" w:type="dxa"/>
        </w:tblCellMar>
        <w:tblLook w:val="04A0" w:firstRow="1" w:lastRow="0" w:firstColumn="1" w:lastColumn="0" w:noHBand="0" w:noVBand="1"/>
      </w:tblPr>
      <w:tblGrid>
        <w:gridCol w:w="2835"/>
        <w:gridCol w:w="1418"/>
        <w:gridCol w:w="1276"/>
        <w:gridCol w:w="1275"/>
        <w:gridCol w:w="1843"/>
      </w:tblGrid>
      <w:tr w:rsidR="00B07AA8" w:rsidRPr="0056209F" w:rsidTr="00B07AA8">
        <w:trPr>
          <w:trHeight w:val="392"/>
        </w:trPr>
        <w:tc>
          <w:tcPr>
            <w:tcW w:w="2835"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B07AA8" w:rsidRPr="0056209F" w:rsidRDefault="00B07AA8" w:rsidP="00D41522">
            <w:pPr>
              <w:jc w:val="center"/>
              <w:rPr>
                <w:rFonts w:ascii="Segoe UI" w:hAnsi="Segoe UI" w:cs="Segoe UI"/>
                <w:bCs/>
                <w:color w:val="FFFFFF"/>
                <w:sz w:val="22"/>
                <w:szCs w:val="22"/>
              </w:rPr>
            </w:pPr>
            <w:r w:rsidRPr="0056209F">
              <w:rPr>
                <w:rFonts w:ascii="Segoe UI" w:hAnsi="Segoe UI" w:cs="Segoe UI"/>
                <w:bCs/>
                <w:color w:val="FFFFFF"/>
                <w:sz w:val="22"/>
                <w:szCs w:val="22"/>
              </w:rPr>
              <w:t>Theme</w:t>
            </w:r>
          </w:p>
        </w:tc>
        <w:tc>
          <w:tcPr>
            <w:tcW w:w="1418"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B07AA8" w:rsidRPr="0056209F" w:rsidRDefault="00B07AA8" w:rsidP="00D41522">
            <w:pPr>
              <w:jc w:val="center"/>
              <w:rPr>
                <w:rFonts w:ascii="Segoe UI" w:hAnsi="Segoe UI" w:cs="Segoe UI"/>
                <w:bCs/>
                <w:color w:val="FFFFFF"/>
                <w:sz w:val="22"/>
                <w:szCs w:val="22"/>
              </w:rPr>
            </w:pPr>
            <w:r w:rsidRPr="0056209F">
              <w:rPr>
                <w:rFonts w:ascii="Segoe UI" w:hAnsi="Segoe UI" w:cs="Segoe UI"/>
                <w:bCs/>
                <w:color w:val="FFFFFF"/>
                <w:sz w:val="22"/>
                <w:szCs w:val="22"/>
              </w:rPr>
              <w:t>Monthly</w:t>
            </w:r>
          </w:p>
        </w:tc>
        <w:tc>
          <w:tcPr>
            <w:tcW w:w="1276"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B07AA8" w:rsidRPr="0056209F" w:rsidRDefault="00B07AA8" w:rsidP="00D41522">
            <w:pPr>
              <w:jc w:val="center"/>
              <w:rPr>
                <w:rFonts w:ascii="Segoe UI" w:hAnsi="Segoe UI" w:cs="Segoe UI"/>
                <w:bCs/>
                <w:color w:val="FFFFFF"/>
                <w:sz w:val="22"/>
                <w:szCs w:val="22"/>
              </w:rPr>
            </w:pPr>
            <w:r w:rsidRPr="0056209F">
              <w:rPr>
                <w:rFonts w:ascii="Segoe UI" w:hAnsi="Segoe UI" w:cs="Segoe UI"/>
                <w:bCs/>
                <w:color w:val="FFFFFF"/>
                <w:sz w:val="22"/>
                <w:szCs w:val="22"/>
              </w:rPr>
              <w:t>Quarterly</w:t>
            </w:r>
          </w:p>
        </w:tc>
        <w:tc>
          <w:tcPr>
            <w:tcW w:w="1275"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B07AA8" w:rsidRPr="0056209F" w:rsidRDefault="00B07AA8" w:rsidP="00D41522">
            <w:pPr>
              <w:jc w:val="center"/>
              <w:rPr>
                <w:rFonts w:ascii="Segoe UI" w:hAnsi="Segoe UI" w:cs="Segoe UI"/>
                <w:bCs/>
                <w:color w:val="FFFFFF"/>
                <w:sz w:val="22"/>
                <w:szCs w:val="22"/>
              </w:rPr>
            </w:pPr>
            <w:r w:rsidRPr="0056209F">
              <w:rPr>
                <w:rFonts w:ascii="Segoe UI" w:hAnsi="Segoe UI" w:cs="Segoe UI"/>
                <w:bCs/>
                <w:color w:val="FFFFFF"/>
                <w:sz w:val="22"/>
                <w:szCs w:val="22"/>
              </w:rPr>
              <w:t>Yearly</w:t>
            </w:r>
          </w:p>
        </w:tc>
        <w:tc>
          <w:tcPr>
            <w:tcW w:w="1843"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B07AA8" w:rsidRPr="0056209F" w:rsidRDefault="00B07AA8" w:rsidP="00D41522">
            <w:pPr>
              <w:jc w:val="center"/>
              <w:rPr>
                <w:rFonts w:ascii="Segoe UI" w:hAnsi="Segoe UI" w:cs="Segoe UI"/>
                <w:bCs/>
                <w:color w:val="FFFFFF"/>
                <w:sz w:val="22"/>
                <w:szCs w:val="22"/>
              </w:rPr>
            </w:pPr>
            <w:r w:rsidRPr="0056209F">
              <w:rPr>
                <w:rFonts w:ascii="Segoe UI" w:hAnsi="Segoe UI" w:cs="Segoe UI"/>
                <w:bCs/>
                <w:color w:val="FFFFFF"/>
                <w:sz w:val="22"/>
                <w:szCs w:val="22"/>
              </w:rPr>
              <w:t>No Target</w:t>
            </w:r>
          </w:p>
        </w:tc>
      </w:tr>
      <w:tr w:rsidR="00B07AA8" w:rsidRPr="0056209F" w:rsidTr="00B07AA8">
        <w:trPr>
          <w:trHeight w:val="243"/>
        </w:trPr>
        <w:tc>
          <w:tcPr>
            <w:tcW w:w="2835" w:type="dxa"/>
            <w:tcBorders>
              <w:top w:val="single" w:sz="4" w:space="0" w:color="auto"/>
              <w:left w:val="single" w:sz="4" w:space="0" w:color="auto"/>
              <w:bottom w:val="single" w:sz="4" w:space="0" w:color="auto"/>
              <w:right w:val="single" w:sz="4" w:space="0" w:color="auto"/>
            </w:tcBorders>
            <w:vAlign w:val="center"/>
          </w:tcPr>
          <w:p w:rsidR="00B07AA8" w:rsidRPr="0056209F" w:rsidRDefault="00B07AA8" w:rsidP="00D41522">
            <w:pPr>
              <w:rPr>
                <w:rFonts w:ascii="Segoe UI" w:hAnsi="Segoe UI" w:cs="Segoe UI"/>
                <w:bCs/>
                <w:color w:val="000000"/>
                <w:sz w:val="22"/>
                <w:szCs w:val="22"/>
              </w:rPr>
            </w:pPr>
            <w:r w:rsidRPr="0056209F">
              <w:rPr>
                <w:rFonts w:ascii="Segoe UI" w:hAnsi="Segoe UI" w:cs="Segoe UI"/>
                <w:bCs/>
                <w:color w:val="000000"/>
                <w:sz w:val="22"/>
                <w:szCs w:val="22"/>
              </w:rPr>
              <w:t xml:space="preserve">Quality of Care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AA8" w:rsidRPr="0056209F" w:rsidRDefault="007B2C46" w:rsidP="00D41522">
            <w:pPr>
              <w:jc w:val="center"/>
              <w:rPr>
                <w:rFonts w:ascii="Segoe UI" w:hAnsi="Segoe UI" w:cs="Segoe UI"/>
                <w:bCs/>
                <w:color w:val="000000"/>
                <w:sz w:val="22"/>
                <w:szCs w:val="22"/>
              </w:rPr>
            </w:pPr>
            <w:r>
              <w:rPr>
                <w:rFonts w:ascii="Segoe UI" w:hAnsi="Segoe UI" w:cs="Segoe UI"/>
                <w:bCs/>
                <w:color w:val="000000"/>
                <w:sz w:val="22"/>
                <w:szCs w:val="22"/>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AA8" w:rsidRPr="0056209F" w:rsidRDefault="00B07AA8" w:rsidP="00D41522">
            <w:pPr>
              <w:jc w:val="center"/>
              <w:rPr>
                <w:rFonts w:ascii="Segoe UI" w:hAnsi="Segoe UI" w:cs="Segoe UI"/>
                <w:bCs/>
                <w:color w:val="000000"/>
                <w:sz w:val="22"/>
                <w:szCs w:val="22"/>
              </w:rPr>
            </w:pPr>
            <w:r w:rsidRPr="0056209F">
              <w:rPr>
                <w:rFonts w:ascii="Segoe UI" w:hAnsi="Segoe UI" w:cs="Segoe UI"/>
                <w:bCs/>
                <w:color w:val="000000"/>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AA8" w:rsidRPr="0056209F" w:rsidRDefault="00B07AA8" w:rsidP="00D41522">
            <w:pPr>
              <w:jc w:val="center"/>
              <w:rPr>
                <w:rFonts w:ascii="Segoe UI" w:hAnsi="Segoe UI" w:cs="Segoe UI"/>
                <w:bCs/>
                <w:color w:val="000000"/>
                <w:sz w:val="22"/>
                <w:szCs w:val="22"/>
              </w:rPr>
            </w:pPr>
            <w:r w:rsidRPr="0056209F">
              <w:rPr>
                <w:rFonts w:ascii="Segoe UI" w:hAnsi="Segoe UI" w:cs="Segoe UI"/>
                <w:bCs/>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7AA8" w:rsidRPr="0056209F" w:rsidRDefault="007B2C46" w:rsidP="00D41522">
            <w:pPr>
              <w:jc w:val="center"/>
              <w:rPr>
                <w:rFonts w:ascii="Segoe UI" w:hAnsi="Segoe UI" w:cs="Segoe UI"/>
                <w:bCs/>
                <w:color w:val="000000"/>
                <w:sz w:val="22"/>
                <w:szCs w:val="22"/>
              </w:rPr>
            </w:pPr>
            <w:r>
              <w:rPr>
                <w:rFonts w:ascii="Segoe UI" w:hAnsi="Segoe UI" w:cs="Segoe UI"/>
                <w:bCs/>
                <w:color w:val="000000"/>
                <w:sz w:val="22"/>
                <w:szCs w:val="22"/>
              </w:rPr>
              <w:t>1</w:t>
            </w:r>
          </w:p>
        </w:tc>
      </w:tr>
      <w:tr w:rsidR="00B07AA8" w:rsidRPr="0056209F" w:rsidTr="00B07AA8">
        <w:trPr>
          <w:trHeight w:val="190"/>
        </w:trPr>
        <w:tc>
          <w:tcPr>
            <w:tcW w:w="2835" w:type="dxa"/>
            <w:tcBorders>
              <w:top w:val="single" w:sz="4" w:space="0" w:color="auto"/>
              <w:left w:val="single" w:sz="4" w:space="0" w:color="auto"/>
              <w:bottom w:val="single" w:sz="4" w:space="0" w:color="auto"/>
              <w:right w:val="single" w:sz="4" w:space="0" w:color="auto"/>
            </w:tcBorders>
            <w:vAlign w:val="center"/>
          </w:tcPr>
          <w:p w:rsidR="00B07AA8" w:rsidRPr="0056209F" w:rsidRDefault="00B07AA8" w:rsidP="00D41522">
            <w:pPr>
              <w:rPr>
                <w:rFonts w:ascii="Segoe UI" w:hAnsi="Segoe UI" w:cs="Segoe UI"/>
                <w:bCs/>
                <w:color w:val="000000"/>
                <w:sz w:val="22"/>
                <w:szCs w:val="22"/>
              </w:rPr>
            </w:pPr>
            <w:r w:rsidRPr="0056209F">
              <w:rPr>
                <w:rFonts w:ascii="Segoe UI" w:hAnsi="Segoe UI" w:cs="Segoe UI"/>
                <w:bCs/>
                <w:color w:val="000000"/>
                <w:sz w:val="22"/>
                <w:szCs w:val="22"/>
              </w:rPr>
              <w:t>Operational Performance</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AA8" w:rsidRPr="0056209F" w:rsidRDefault="007B2C46" w:rsidP="00D41522">
            <w:pPr>
              <w:jc w:val="center"/>
              <w:rPr>
                <w:rFonts w:ascii="Segoe UI" w:hAnsi="Segoe UI" w:cs="Segoe UI"/>
                <w:bCs/>
                <w:color w:val="000000"/>
                <w:sz w:val="22"/>
                <w:szCs w:val="22"/>
              </w:rPr>
            </w:pPr>
            <w:r>
              <w:rPr>
                <w:rFonts w:ascii="Segoe UI" w:hAnsi="Segoe UI" w:cs="Segoe UI"/>
                <w:bCs/>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AA8" w:rsidRPr="0056209F" w:rsidRDefault="007B2C46" w:rsidP="00D41522">
            <w:pPr>
              <w:jc w:val="center"/>
              <w:rPr>
                <w:rFonts w:ascii="Segoe UI" w:hAnsi="Segoe UI" w:cs="Segoe UI"/>
                <w:bCs/>
                <w:color w:val="000000"/>
                <w:sz w:val="22"/>
                <w:szCs w:val="22"/>
              </w:rPr>
            </w:pPr>
            <w:r>
              <w:rPr>
                <w:rFonts w:ascii="Segoe UI" w:hAnsi="Segoe UI" w:cs="Segoe UI"/>
                <w:bCs/>
                <w:color w:val="000000"/>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AA8" w:rsidRPr="0056209F" w:rsidRDefault="007B2C46" w:rsidP="00D41522">
            <w:pPr>
              <w:jc w:val="center"/>
              <w:rPr>
                <w:rFonts w:ascii="Segoe UI" w:hAnsi="Segoe UI" w:cs="Segoe UI"/>
                <w:bCs/>
                <w:color w:val="000000"/>
                <w:sz w:val="22"/>
                <w:szCs w:val="22"/>
              </w:rPr>
            </w:pPr>
            <w:r>
              <w:rPr>
                <w:rFonts w:ascii="Segoe UI" w:hAnsi="Segoe UI" w:cs="Segoe UI"/>
                <w:bCs/>
                <w:color w:val="000000"/>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7AA8" w:rsidRPr="0056209F" w:rsidRDefault="007B2C46" w:rsidP="00D41522">
            <w:pPr>
              <w:jc w:val="center"/>
              <w:rPr>
                <w:rFonts w:ascii="Segoe UI" w:hAnsi="Segoe UI" w:cs="Segoe UI"/>
                <w:bCs/>
                <w:color w:val="000000"/>
                <w:sz w:val="22"/>
                <w:szCs w:val="22"/>
              </w:rPr>
            </w:pPr>
            <w:r>
              <w:rPr>
                <w:rFonts w:ascii="Segoe UI" w:hAnsi="Segoe UI" w:cs="Segoe UI"/>
                <w:bCs/>
                <w:color w:val="000000"/>
                <w:sz w:val="22"/>
                <w:szCs w:val="22"/>
              </w:rPr>
              <w:t>0</w:t>
            </w:r>
          </w:p>
        </w:tc>
      </w:tr>
      <w:tr w:rsidR="00B07AA8" w:rsidRPr="0056209F" w:rsidTr="00B07AA8">
        <w:trPr>
          <w:trHeight w:val="253"/>
        </w:trPr>
        <w:tc>
          <w:tcPr>
            <w:tcW w:w="2835" w:type="dxa"/>
            <w:tcBorders>
              <w:top w:val="single" w:sz="4" w:space="0" w:color="auto"/>
              <w:left w:val="single" w:sz="4" w:space="0" w:color="auto"/>
              <w:bottom w:val="single" w:sz="4" w:space="0" w:color="auto"/>
              <w:right w:val="single" w:sz="4" w:space="0" w:color="auto"/>
            </w:tcBorders>
            <w:vAlign w:val="center"/>
          </w:tcPr>
          <w:p w:rsidR="00B07AA8" w:rsidRPr="0056209F" w:rsidRDefault="00B07AA8" w:rsidP="00D41522">
            <w:pPr>
              <w:rPr>
                <w:rFonts w:ascii="Segoe UI" w:hAnsi="Segoe UI" w:cs="Segoe UI"/>
                <w:bCs/>
                <w:color w:val="000000"/>
                <w:sz w:val="22"/>
                <w:szCs w:val="22"/>
              </w:rPr>
            </w:pPr>
            <w:proofErr w:type="spellStart"/>
            <w:r w:rsidRPr="0056209F">
              <w:rPr>
                <w:rFonts w:ascii="Segoe UI" w:hAnsi="Segoe UI" w:cs="Segoe UI"/>
                <w:bCs/>
                <w:color w:val="000000"/>
                <w:sz w:val="22"/>
                <w:szCs w:val="22"/>
              </w:rPr>
              <w:t>Organisational</w:t>
            </w:r>
            <w:proofErr w:type="spellEnd"/>
            <w:r w:rsidRPr="0056209F">
              <w:rPr>
                <w:rFonts w:ascii="Segoe UI" w:hAnsi="Segoe UI" w:cs="Segoe UI"/>
                <w:bCs/>
                <w:color w:val="000000"/>
                <w:sz w:val="22"/>
                <w:szCs w:val="22"/>
              </w:rPr>
              <w:t xml:space="preserve"> Health</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AA8" w:rsidRPr="0056209F" w:rsidRDefault="007B2C46" w:rsidP="00D41522">
            <w:pPr>
              <w:jc w:val="center"/>
              <w:rPr>
                <w:rFonts w:ascii="Segoe UI" w:hAnsi="Segoe UI" w:cs="Segoe UI"/>
                <w:bCs/>
                <w:color w:val="000000"/>
                <w:sz w:val="22"/>
                <w:szCs w:val="22"/>
              </w:rPr>
            </w:pPr>
            <w:r>
              <w:rPr>
                <w:rFonts w:ascii="Segoe UI" w:hAnsi="Segoe UI" w:cs="Segoe UI"/>
                <w:bCs/>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AA8" w:rsidRPr="0056209F" w:rsidRDefault="00B07AA8" w:rsidP="00D41522">
            <w:pPr>
              <w:jc w:val="center"/>
              <w:rPr>
                <w:rFonts w:ascii="Segoe UI" w:hAnsi="Segoe UI" w:cs="Segoe UI"/>
                <w:bCs/>
                <w:color w:val="000000"/>
                <w:sz w:val="22"/>
                <w:szCs w:val="22"/>
              </w:rPr>
            </w:pPr>
            <w:r w:rsidRPr="0056209F">
              <w:rPr>
                <w:rFonts w:ascii="Segoe UI" w:hAnsi="Segoe UI" w:cs="Segoe UI"/>
                <w:bCs/>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AA8" w:rsidRPr="0056209F" w:rsidRDefault="00B07AA8" w:rsidP="00D41522">
            <w:pPr>
              <w:jc w:val="center"/>
              <w:rPr>
                <w:rFonts w:ascii="Segoe UI" w:hAnsi="Segoe UI" w:cs="Segoe UI"/>
                <w:bCs/>
                <w:color w:val="000000"/>
                <w:sz w:val="22"/>
                <w:szCs w:val="22"/>
              </w:rPr>
            </w:pPr>
            <w:r w:rsidRPr="0056209F">
              <w:rPr>
                <w:rFonts w:ascii="Segoe UI" w:hAnsi="Segoe UI" w:cs="Segoe UI"/>
                <w:bCs/>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7AA8" w:rsidRPr="0056209F" w:rsidRDefault="007B2C46" w:rsidP="00D41522">
            <w:pPr>
              <w:jc w:val="center"/>
              <w:rPr>
                <w:rFonts w:ascii="Segoe UI" w:hAnsi="Segoe UI" w:cs="Segoe UI"/>
                <w:bCs/>
                <w:color w:val="000000"/>
                <w:sz w:val="22"/>
                <w:szCs w:val="22"/>
              </w:rPr>
            </w:pPr>
            <w:r>
              <w:rPr>
                <w:rFonts w:ascii="Segoe UI" w:hAnsi="Segoe UI" w:cs="Segoe UI"/>
                <w:bCs/>
                <w:color w:val="000000"/>
                <w:sz w:val="22"/>
                <w:szCs w:val="22"/>
              </w:rPr>
              <w:t>1</w:t>
            </w:r>
          </w:p>
        </w:tc>
      </w:tr>
      <w:tr w:rsidR="00B07AA8" w:rsidRPr="0056209F" w:rsidTr="00B07AA8">
        <w:trPr>
          <w:trHeight w:val="201"/>
        </w:trPr>
        <w:tc>
          <w:tcPr>
            <w:tcW w:w="28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07AA8" w:rsidRPr="0056209F" w:rsidRDefault="00B07AA8" w:rsidP="00D41522">
            <w:pPr>
              <w:jc w:val="right"/>
              <w:rPr>
                <w:rFonts w:ascii="Segoe UI" w:hAnsi="Segoe UI" w:cs="Segoe UI"/>
                <w:bCs/>
                <w:color w:val="000000"/>
                <w:sz w:val="22"/>
                <w:szCs w:val="22"/>
              </w:rPr>
            </w:pPr>
            <w:r w:rsidRPr="0056209F">
              <w:rPr>
                <w:rFonts w:ascii="Segoe UI" w:hAnsi="Segoe UI" w:cs="Segoe UI"/>
                <w:bCs/>
                <w:color w:val="000000"/>
                <w:sz w:val="22"/>
                <w:szCs w:val="22"/>
              </w:rPr>
              <w:t>Sub-Totals</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B07AA8" w:rsidRPr="0056209F" w:rsidRDefault="00B07AA8" w:rsidP="00D41522">
            <w:pPr>
              <w:jc w:val="center"/>
              <w:rPr>
                <w:rFonts w:ascii="Segoe UI" w:hAnsi="Segoe UI" w:cs="Segoe UI"/>
                <w:bCs/>
                <w:color w:val="000000"/>
                <w:sz w:val="22"/>
                <w:szCs w:val="22"/>
              </w:rPr>
            </w:pPr>
            <w:r w:rsidRPr="0056209F">
              <w:rPr>
                <w:rFonts w:ascii="Segoe UI" w:hAnsi="Segoe UI" w:cs="Segoe UI"/>
                <w:bCs/>
                <w:color w:val="000000"/>
                <w:sz w:val="22"/>
                <w:szCs w:val="22"/>
              </w:rPr>
              <w:t>1</w:t>
            </w:r>
            <w:r w:rsidR="007B2C46">
              <w:rPr>
                <w:rFonts w:ascii="Segoe UI" w:hAnsi="Segoe UI" w:cs="Segoe UI"/>
                <w:bCs/>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B07AA8" w:rsidRPr="0056209F" w:rsidRDefault="007B2C46" w:rsidP="00D41522">
            <w:pPr>
              <w:jc w:val="center"/>
              <w:rPr>
                <w:rFonts w:ascii="Segoe UI" w:hAnsi="Segoe UI" w:cs="Segoe UI"/>
                <w:bCs/>
                <w:color w:val="000000"/>
                <w:sz w:val="22"/>
                <w:szCs w:val="22"/>
              </w:rPr>
            </w:pPr>
            <w:r>
              <w:rPr>
                <w:rFonts w:ascii="Segoe UI" w:hAnsi="Segoe UI" w:cs="Segoe UI"/>
                <w:bCs/>
                <w:color w:val="000000"/>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B07AA8" w:rsidRPr="0056209F" w:rsidRDefault="007B2C46" w:rsidP="00D41522">
            <w:pPr>
              <w:jc w:val="center"/>
              <w:rPr>
                <w:rFonts w:ascii="Segoe UI" w:hAnsi="Segoe UI" w:cs="Segoe UI"/>
                <w:bCs/>
                <w:color w:val="000000"/>
                <w:sz w:val="22"/>
                <w:szCs w:val="22"/>
              </w:rPr>
            </w:pPr>
            <w:r>
              <w:rPr>
                <w:rFonts w:ascii="Segoe UI" w:hAnsi="Segoe UI" w:cs="Segoe UI"/>
                <w:bCs/>
                <w:color w:val="000000"/>
                <w:sz w:val="22"/>
                <w:szCs w:val="22"/>
              </w:rPr>
              <w:t>5</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B07AA8" w:rsidRPr="0056209F" w:rsidRDefault="007B2C46" w:rsidP="00D41522">
            <w:pPr>
              <w:jc w:val="center"/>
              <w:rPr>
                <w:rFonts w:ascii="Segoe UI" w:hAnsi="Segoe UI" w:cs="Segoe UI"/>
                <w:bCs/>
                <w:color w:val="000000"/>
                <w:sz w:val="22"/>
                <w:szCs w:val="22"/>
              </w:rPr>
            </w:pPr>
            <w:r>
              <w:rPr>
                <w:rFonts w:ascii="Segoe UI" w:hAnsi="Segoe UI" w:cs="Segoe UI"/>
                <w:bCs/>
                <w:color w:val="000000"/>
                <w:sz w:val="22"/>
                <w:szCs w:val="22"/>
              </w:rPr>
              <w:t>2</w:t>
            </w:r>
          </w:p>
        </w:tc>
      </w:tr>
    </w:tbl>
    <w:p w:rsidR="00B07AA8" w:rsidRPr="0056209F" w:rsidRDefault="00B07AA8" w:rsidP="00B07AA8">
      <w:pPr>
        <w:jc w:val="both"/>
        <w:rPr>
          <w:rFonts w:ascii="Segoe UI" w:hAnsi="Segoe UI" w:cs="Segoe UI"/>
          <w:iCs/>
          <w:sz w:val="22"/>
          <w:szCs w:val="22"/>
        </w:rPr>
      </w:pPr>
    </w:p>
    <w:p w:rsidR="00B07AA8" w:rsidRPr="00B07AA8" w:rsidRDefault="00B07AA8" w:rsidP="00B07AA8">
      <w:pPr>
        <w:jc w:val="both"/>
        <w:rPr>
          <w:rFonts w:ascii="Arial" w:hAnsi="Arial" w:cs="Arial"/>
        </w:rPr>
      </w:pPr>
      <w:r w:rsidRPr="00B07AA8">
        <w:rPr>
          <w:rFonts w:ascii="Arial" w:hAnsi="Arial" w:cs="Arial"/>
        </w:rPr>
        <w:t xml:space="preserve">In </w:t>
      </w:r>
      <w:proofErr w:type="gramStart"/>
      <w:r w:rsidRPr="00B07AA8">
        <w:rPr>
          <w:rFonts w:ascii="Arial" w:hAnsi="Arial" w:cs="Arial"/>
        </w:rPr>
        <w:t>the majority of</w:t>
      </w:r>
      <w:proofErr w:type="gramEnd"/>
      <w:r w:rsidRPr="00B07AA8">
        <w:rPr>
          <w:rFonts w:ascii="Arial" w:hAnsi="Arial" w:cs="Arial"/>
        </w:rPr>
        <w:t xml:space="preserve"> cases NHSI will be sourcing Trust performance data from publicly available sources e.g. CQC, NHS Digital, NHS England, and Unify.  </w:t>
      </w:r>
      <w:proofErr w:type="gramStart"/>
      <w:r w:rsidRPr="00B07AA8">
        <w:rPr>
          <w:rFonts w:ascii="Arial" w:hAnsi="Arial" w:cs="Arial"/>
        </w:rPr>
        <w:t>The majority of</w:t>
      </w:r>
      <w:proofErr w:type="gramEnd"/>
      <w:r w:rsidRPr="00B07AA8">
        <w:rPr>
          <w:rFonts w:ascii="Arial" w:hAnsi="Arial" w:cs="Arial"/>
        </w:rPr>
        <w:t xml:space="preserve"> the indicators do not have targets/thresholds, so where information is available the published performance has been measured against the average position for England. </w:t>
      </w:r>
    </w:p>
    <w:p w:rsidR="00B07AA8" w:rsidRDefault="00B07AA8" w:rsidP="00B07AA8">
      <w:pPr>
        <w:jc w:val="both"/>
        <w:rPr>
          <w:rFonts w:ascii="Arial" w:hAnsi="Arial" w:cs="Arial"/>
        </w:rPr>
      </w:pPr>
    </w:p>
    <w:p w:rsidR="00B07AA8" w:rsidRPr="00324AF9" w:rsidRDefault="00552A4E" w:rsidP="00B07AA8">
      <w:pPr>
        <w:jc w:val="both"/>
        <w:rPr>
          <w:rFonts w:ascii="Arial" w:hAnsi="Arial" w:cs="Arial"/>
        </w:rPr>
      </w:pPr>
      <w:r>
        <w:rPr>
          <w:rFonts w:ascii="Arial" w:hAnsi="Arial" w:cs="Arial"/>
          <w:b/>
        </w:rPr>
        <w:t>Performance at Q</w:t>
      </w:r>
      <w:r w:rsidR="00A1326C">
        <w:rPr>
          <w:rFonts w:ascii="Arial" w:hAnsi="Arial" w:cs="Arial"/>
          <w:b/>
        </w:rPr>
        <w:t>3</w:t>
      </w:r>
      <w:r w:rsidR="00602A89">
        <w:rPr>
          <w:rFonts w:ascii="Arial" w:hAnsi="Arial" w:cs="Arial"/>
          <w:b/>
        </w:rPr>
        <w:t xml:space="preserve"> was </w:t>
      </w:r>
      <w:r w:rsidR="00DB4D78">
        <w:rPr>
          <w:rFonts w:ascii="Arial" w:hAnsi="Arial" w:cs="Arial"/>
          <w:b/>
        </w:rPr>
        <w:t xml:space="preserve">70%.  </w:t>
      </w:r>
      <w:r w:rsidR="00DB4D78" w:rsidRPr="00DB4D78">
        <w:rPr>
          <w:rFonts w:ascii="Arial" w:hAnsi="Arial" w:cs="Arial"/>
        </w:rPr>
        <w:t>P</w:t>
      </w:r>
      <w:r w:rsidR="00324AF9" w:rsidRPr="00DB4D78">
        <w:rPr>
          <w:rFonts w:ascii="Arial" w:hAnsi="Arial" w:cs="Arial"/>
        </w:rPr>
        <w:t>le</w:t>
      </w:r>
      <w:r w:rsidR="00324AF9" w:rsidRPr="00324AF9">
        <w:rPr>
          <w:rFonts w:ascii="Arial" w:hAnsi="Arial" w:cs="Arial"/>
        </w:rPr>
        <w:t xml:space="preserve">ase note this performance relates to the last available </w:t>
      </w:r>
      <w:r w:rsidR="00324AF9">
        <w:rPr>
          <w:rFonts w:ascii="Arial" w:hAnsi="Arial" w:cs="Arial"/>
        </w:rPr>
        <w:t xml:space="preserve">published </w:t>
      </w:r>
      <w:r w:rsidR="00324AF9" w:rsidRPr="00324AF9">
        <w:rPr>
          <w:rFonts w:ascii="Arial" w:hAnsi="Arial" w:cs="Arial"/>
        </w:rPr>
        <w:t>position</w:t>
      </w:r>
      <w:r w:rsidR="00A1326C">
        <w:rPr>
          <w:rFonts w:ascii="Arial" w:hAnsi="Arial" w:cs="Arial"/>
        </w:rPr>
        <w:t>, this is an improvement from the 60% reported at Q2</w:t>
      </w:r>
      <w:r w:rsidR="00324AF9" w:rsidRPr="00324AF9">
        <w:rPr>
          <w:rFonts w:ascii="Arial" w:hAnsi="Arial" w:cs="Arial"/>
        </w:rPr>
        <w:t xml:space="preserve"> </w:t>
      </w:r>
      <w:r w:rsidR="007B2C46">
        <w:rPr>
          <w:rFonts w:ascii="Arial" w:hAnsi="Arial" w:cs="Arial"/>
        </w:rPr>
        <w:t>but should be noted that the number of indicators in the SOF has reduced</w:t>
      </w:r>
      <w:r w:rsidR="00DB4D78">
        <w:rPr>
          <w:rFonts w:ascii="Arial" w:hAnsi="Arial" w:cs="Arial"/>
        </w:rPr>
        <w:t>.</w:t>
      </w:r>
    </w:p>
    <w:p w:rsidR="00EA3A26" w:rsidRDefault="00EA3A26" w:rsidP="00626BB3">
      <w:pPr>
        <w:jc w:val="both"/>
        <w:rPr>
          <w:rFonts w:ascii="Arial" w:hAnsi="Arial" w:cs="Arial"/>
          <w:b/>
        </w:rPr>
      </w:pPr>
    </w:p>
    <w:tbl>
      <w:tblPr>
        <w:tblW w:w="8647" w:type="dxa"/>
        <w:tblInd w:w="-5" w:type="dxa"/>
        <w:tblCellMar>
          <w:top w:w="15" w:type="dxa"/>
          <w:bottom w:w="15" w:type="dxa"/>
        </w:tblCellMar>
        <w:tblLook w:val="04A0" w:firstRow="1" w:lastRow="0" w:firstColumn="1" w:lastColumn="0" w:noHBand="0" w:noVBand="1"/>
      </w:tblPr>
      <w:tblGrid>
        <w:gridCol w:w="2694"/>
        <w:gridCol w:w="1134"/>
        <w:gridCol w:w="992"/>
        <w:gridCol w:w="992"/>
        <w:gridCol w:w="992"/>
        <w:gridCol w:w="851"/>
        <w:gridCol w:w="992"/>
      </w:tblGrid>
      <w:tr w:rsidR="00EA3A26" w:rsidRPr="007B2C46" w:rsidTr="00B07AA8">
        <w:trPr>
          <w:trHeight w:val="686"/>
        </w:trPr>
        <w:tc>
          <w:tcPr>
            <w:tcW w:w="2694"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EA3A26" w:rsidRPr="007B2C46" w:rsidRDefault="00EA3A26" w:rsidP="00D41522">
            <w:pPr>
              <w:rPr>
                <w:rFonts w:ascii="Segoe UI" w:hAnsi="Segoe UI" w:cs="Segoe UI"/>
                <w:color w:val="FFFFFF"/>
                <w:sz w:val="22"/>
                <w:szCs w:val="22"/>
              </w:rPr>
            </w:pPr>
            <w:r w:rsidRPr="007B2C46">
              <w:rPr>
                <w:rFonts w:ascii="Segoe UI" w:hAnsi="Segoe UI" w:cs="Segoe UI"/>
                <w:color w:val="FFFFFF"/>
                <w:sz w:val="22"/>
                <w:szCs w:val="22"/>
              </w:rPr>
              <w:t>Service</w:t>
            </w:r>
          </w:p>
        </w:tc>
        <w:tc>
          <w:tcPr>
            <w:tcW w:w="1134"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EA3A26" w:rsidRPr="007B2C46" w:rsidRDefault="00EA3A26" w:rsidP="00D41522">
            <w:pPr>
              <w:jc w:val="center"/>
              <w:rPr>
                <w:rFonts w:ascii="Segoe UI" w:hAnsi="Segoe UI" w:cs="Segoe UI"/>
                <w:color w:val="FFFFFF"/>
                <w:sz w:val="22"/>
                <w:szCs w:val="22"/>
              </w:rPr>
            </w:pPr>
            <w:r w:rsidRPr="007B2C46">
              <w:rPr>
                <w:rFonts w:ascii="Segoe UI" w:hAnsi="Segoe UI" w:cs="Segoe UI"/>
                <w:color w:val="FFFFFF"/>
                <w:sz w:val="22"/>
                <w:szCs w:val="22"/>
              </w:rPr>
              <w:t>Below target &gt;10%</w:t>
            </w:r>
          </w:p>
        </w:tc>
        <w:tc>
          <w:tcPr>
            <w:tcW w:w="992"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EA3A26" w:rsidRPr="007B2C46" w:rsidRDefault="00EA3A26" w:rsidP="00D41522">
            <w:pPr>
              <w:jc w:val="center"/>
              <w:rPr>
                <w:rFonts w:ascii="Segoe UI" w:hAnsi="Segoe UI" w:cs="Segoe UI"/>
                <w:color w:val="FFFFFF"/>
                <w:sz w:val="22"/>
                <w:szCs w:val="22"/>
              </w:rPr>
            </w:pPr>
            <w:r w:rsidRPr="007B2C46">
              <w:rPr>
                <w:rFonts w:ascii="Segoe UI" w:hAnsi="Segoe UI" w:cs="Segoe UI"/>
                <w:color w:val="FFFFFF"/>
                <w:sz w:val="22"/>
                <w:szCs w:val="22"/>
              </w:rPr>
              <w:t xml:space="preserve">Below Target </w:t>
            </w:r>
          </w:p>
          <w:p w:rsidR="00EA3A26" w:rsidRPr="007B2C46" w:rsidRDefault="00EA3A26" w:rsidP="00D41522">
            <w:pPr>
              <w:jc w:val="center"/>
              <w:rPr>
                <w:rFonts w:ascii="Segoe UI" w:hAnsi="Segoe UI" w:cs="Segoe UI"/>
                <w:color w:val="FFFFFF"/>
                <w:sz w:val="22"/>
                <w:szCs w:val="22"/>
              </w:rPr>
            </w:pPr>
            <w:r w:rsidRPr="007B2C46">
              <w:rPr>
                <w:rFonts w:ascii="Segoe UI" w:hAnsi="Segoe UI" w:cs="Segoe UI"/>
                <w:color w:val="FFFFFF"/>
                <w:sz w:val="22"/>
                <w:szCs w:val="22"/>
              </w:rPr>
              <w:t>1-9%</w:t>
            </w:r>
          </w:p>
        </w:tc>
        <w:tc>
          <w:tcPr>
            <w:tcW w:w="992"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EA3A26" w:rsidRPr="007B2C46" w:rsidRDefault="00EA3A26" w:rsidP="00D41522">
            <w:pPr>
              <w:jc w:val="center"/>
              <w:rPr>
                <w:rFonts w:ascii="Segoe UI" w:hAnsi="Segoe UI" w:cs="Segoe UI"/>
                <w:color w:val="FFFFFF"/>
                <w:sz w:val="22"/>
                <w:szCs w:val="22"/>
              </w:rPr>
            </w:pPr>
            <w:r w:rsidRPr="007B2C46">
              <w:rPr>
                <w:rFonts w:ascii="Segoe UI" w:hAnsi="Segoe UI" w:cs="Segoe UI"/>
                <w:color w:val="FFFFFF"/>
                <w:sz w:val="22"/>
                <w:szCs w:val="22"/>
              </w:rPr>
              <w:t>Target Met</w:t>
            </w:r>
          </w:p>
        </w:tc>
        <w:tc>
          <w:tcPr>
            <w:tcW w:w="992"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EA3A26" w:rsidRPr="007B2C46" w:rsidRDefault="00EA3A26" w:rsidP="00D41522">
            <w:pPr>
              <w:jc w:val="center"/>
              <w:rPr>
                <w:rFonts w:ascii="Segoe UI" w:hAnsi="Segoe UI" w:cs="Segoe UI"/>
                <w:color w:val="FFFFFF"/>
                <w:sz w:val="22"/>
                <w:szCs w:val="22"/>
              </w:rPr>
            </w:pPr>
            <w:r w:rsidRPr="007B2C46">
              <w:rPr>
                <w:rFonts w:ascii="Segoe UI" w:hAnsi="Segoe UI" w:cs="Segoe UI"/>
                <w:color w:val="FFFFFF"/>
                <w:sz w:val="22"/>
                <w:szCs w:val="22"/>
              </w:rPr>
              <w:t>No Target</w:t>
            </w:r>
          </w:p>
        </w:tc>
        <w:tc>
          <w:tcPr>
            <w:tcW w:w="851"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EA3A26" w:rsidRPr="007B2C46" w:rsidRDefault="00EA3A26" w:rsidP="00D41522">
            <w:pPr>
              <w:jc w:val="center"/>
              <w:rPr>
                <w:rFonts w:ascii="Segoe UI" w:hAnsi="Segoe UI" w:cs="Segoe UI"/>
                <w:color w:val="FFFFFF"/>
                <w:sz w:val="22"/>
                <w:szCs w:val="22"/>
              </w:rPr>
            </w:pPr>
            <w:r w:rsidRPr="007B2C46">
              <w:rPr>
                <w:rFonts w:ascii="Segoe UI" w:hAnsi="Segoe UI" w:cs="Segoe UI"/>
                <w:color w:val="FFFFFF"/>
                <w:sz w:val="22"/>
                <w:szCs w:val="22"/>
              </w:rPr>
              <w:t>Total</w:t>
            </w:r>
          </w:p>
        </w:tc>
        <w:tc>
          <w:tcPr>
            <w:tcW w:w="992"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EA3A26" w:rsidRPr="007B2C46" w:rsidRDefault="00EA3A26" w:rsidP="00D41522">
            <w:pPr>
              <w:jc w:val="center"/>
              <w:rPr>
                <w:rFonts w:ascii="Segoe UI" w:hAnsi="Segoe UI" w:cs="Segoe UI"/>
                <w:color w:val="FFFFFF"/>
                <w:sz w:val="22"/>
                <w:szCs w:val="22"/>
              </w:rPr>
            </w:pPr>
            <w:r w:rsidRPr="007B2C46">
              <w:rPr>
                <w:rFonts w:ascii="Segoe UI" w:hAnsi="Segoe UI" w:cs="Segoe UI"/>
                <w:color w:val="FFFFFF"/>
                <w:sz w:val="22"/>
                <w:szCs w:val="22"/>
              </w:rPr>
              <w:t>% Met</w:t>
            </w:r>
          </w:p>
        </w:tc>
      </w:tr>
      <w:tr w:rsidR="00EA3A26" w:rsidRPr="007B2C46" w:rsidTr="007B2C46">
        <w:trPr>
          <w:trHeight w:val="330"/>
        </w:trPr>
        <w:tc>
          <w:tcPr>
            <w:tcW w:w="269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EA3A26" w:rsidRPr="007B2C46" w:rsidRDefault="00EA3A26" w:rsidP="00D41522">
            <w:pPr>
              <w:rPr>
                <w:rFonts w:ascii="Segoe UI" w:hAnsi="Segoe UI" w:cs="Segoe UI"/>
                <w:bCs/>
                <w:color w:val="000000"/>
                <w:sz w:val="22"/>
                <w:szCs w:val="22"/>
              </w:rPr>
            </w:pPr>
            <w:r w:rsidRPr="007B2C46">
              <w:rPr>
                <w:rFonts w:ascii="Segoe UI" w:hAnsi="Segoe UI" w:cs="Segoe UI"/>
                <w:bCs/>
                <w:color w:val="000000"/>
                <w:sz w:val="22"/>
                <w:szCs w:val="22"/>
              </w:rPr>
              <w:t>Total</w:t>
            </w: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EA3A26" w:rsidRPr="007B2C46" w:rsidRDefault="007B2C46" w:rsidP="00D41522">
            <w:pPr>
              <w:jc w:val="center"/>
              <w:rPr>
                <w:rFonts w:ascii="Segoe UI" w:hAnsi="Segoe UI" w:cs="Segoe UI"/>
                <w:b/>
                <w:bCs/>
                <w:color w:val="000000"/>
                <w:sz w:val="22"/>
                <w:szCs w:val="22"/>
              </w:rPr>
            </w:pPr>
            <w:r>
              <w:rPr>
                <w:rFonts w:ascii="Segoe UI" w:hAnsi="Segoe UI" w:cs="Segoe UI"/>
                <w:b/>
                <w:bCs/>
                <w:color w:val="000000"/>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EA3A26" w:rsidRPr="007B2C46" w:rsidRDefault="00EA3A26" w:rsidP="00D41522">
            <w:pPr>
              <w:jc w:val="center"/>
              <w:rPr>
                <w:rFonts w:ascii="Segoe UI" w:hAnsi="Segoe UI" w:cs="Segoe UI"/>
                <w:b/>
                <w:bCs/>
                <w:color w:val="000000"/>
                <w:sz w:val="22"/>
                <w:szCs w:val="22"/>
              </w:rPr>
            </w:pPr>
            <w:r w:rsidRPr="007B2C46">
              <w:rPr>
                <w:rFonts w:ascii="Segoe UI" w:hAnsi="Segoe UI" w:cs="Segoe UI"/>
                <w:b/>
                <w:bCs/>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EA3A26" w:rsidRPr="007B2C46" w:rsidRDefault="007B2C46" w:rsidP="00D41522">
            <w:pPr>
              <w:jc w:val="center"/>
              <w:rPr>
                <w:rFonts w:ascii="Segoe UI" w:hAnsi="Segoe UI" w:cs="Segoe UI"/>
                <w:b/>
                <w:bCs/>
                <w:color w:val="000000"/>
                <w:sz w:val="22"/>
                <w:szCs w:val="22"/>
              </w:rPr>
            </w:pPr>
            <w:r>
              <w:rPr>
                <w:rFonts w:ascii="Segoe UI" w:hAnsi="Segoe UI" w:cs="Segoe UI"/>
                <w:b/>
                <w:bCs/>
                <w:color w:val="000000"/>
                <w:sz w:val="22"/>
                <w:szCs w:val="22"/>
              </w:rPr>
              <w:t>14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A3A26" w:rsidRPr="007B2C46" w:rsidRDefault="007B2C46" w:rsidP="00D41522">
            <w:pPr>
              <w:jc w:val="center"/>
              <w:rPr>
                <w:rFonts w:ascii="Segoe UI" w:hAnsi="Segoe UI" w:cs="Segoe UI"/>
                <w:b/>
                <w:bCs/>
                <w:color w:val="000000"/>
                <w:sz w:val="22"/>
                <w:szCs w:val="22"/>
              </w:rPr>
            </w:pPr>
            <w:r>
              <w:rPr>
                <w:rFonts w:ascii="Segoe UI" w:hAnsi="Segoe UI" w:cs="Segoe UI"/>
                <w:b/>
                <w:bCs/>
                <w:color w:val="000000"/>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A26" w:rsidRPr="007B2C46" w:rsidRDefault="00324AF9" w:rsidP="00D41522">
            <w:pPr>
              <w:jc w:val="center"/>
              <w:rPr>
                <w:rFonts w:ascii="Segoe UI" w:hAnsi="Segoe UI" w:cs="Segoe UI"/>
                <w:b/>
                <w:bCs/>
                <w:color w:val="000000"/>
                <w:sz w:val="22"/>
                <w:szCs w:val="22"/>
              </w:rPr>
            </w:pPr>
            <w:r w:rsidRPr="007B2C46">
              <w:rPr>
                <w:rFonts w:ascii="Segoe UI" w:hAnsi="Segoe UI" w:cs="Segoe UI"/>
                <w:b/>
                <w:bCs/>
                <w:color w:val="000000"/>
                <w:sz w:val="22"/>
                <w:szCs w:val="22"/>
              </w:rPr>
              <w:t>20</w:t>
            </w:r>
          </w:p>
        </w:tc>
        <w:tc>
          <w:tcPr>
            <w:tcW w:w="992"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EA3A26" w:rsidRPr="007B2C46" w:rsidRDefault="007B2C46" w:rsidP="007B2C46">
            <w:pPr>
              <w:jc w:val="center"/>
              <w:rPr>
                <w:rFonts w:ascii="Segoe UI" w:hAnsi="Segoe UI" w:cs="Segoe UI"/>
                <w:b/>
                <w:bCs/>
                <w:color w:val="000000"/>
                <w:sz w:val="22"/>
                <w:szCs w:val="22"/>
              </w:rPr>
            </w:pPr>
            <w:r>
              <w:rPr>
                <w:rFonts w:ascii="Segoe UI" w:hAnsi="Segoe UI" w:cs="Segoe UI"/>
                <w:b/>
                <w:bCs/>
                <w:color w:val="000000"/>
                <w:sz w:val="22"/>
                <w:szCs w:val="22"/>
              </w:rPr>
              <w:t>7</w:t>
            </w:r>
            <w:r w:rsidR="00324AF9" w:rsidRPr="007B2C46">
              <w:rPr>
                <w:rFonts w:ascii="Segoe UI" w:hAnsi="Segoe UI" w:cs="Segoe UI"/>
                <w:b/>
                <w:bCs/>
                <w:color w:val="000000"/>
                <w:sz w:val="22"/>
                <w:szCs w:val="22"/>
              </w:rPr>
              <w:t>0</w:t>
            </w:r>
            <w:r w:rsidR="00EA3A26" w:rsidRPr="007B2C46">
              <w:rPr>
                <w:rFonts w:ascii="Segoe UI" w:hAnsi="Segoe UI" w:cs="Segoe UI"/>
                <w:b/>
                <w:bCs/>
                <w:color w:val="000000"/>
                <w:sz w:val="22"/>
                <w:szCs w:val="22"/>
              </w:rPr>
              <w:t>%</w:t>
            </w:r>
          </w:p>
        </w:tc>
      </w:tr>
    </w:tbl>
    <w:p w:rsidR="00EA3A26" w:rsidRPr="007B2C46" w:rsidRDefault="00EA3A26" w:rsidP="00626BB3">
      <w:pPr>
        <w:jc w:val="both"/>
        <w:rPr>
          <w:rFonts w:ascii="Arial" w:hAnsi="Arial" w:cs="Arial"/>
          <w:b/>
        </w:rPr>
      </w:pPr>
    </w:p>
    <w:p w:rsidR="00552A4E" w:rsidRPr="007B2C46" w:rsidRDefault="00B07AA8" w:rsidP="00626BB3">
      <w:pPr>
        <w:jc w:val="both"/>
        <w:rPr>
          <w:rFonts w:ascii="Arial" w:hAnsi="Arial" w:cs="Arial"/>
          <w:b/>
        </w:rPr>
      </w:pPr>
      <w:r w:rsidRPr="007B2C46">
        <w:rPr>
          <w:rFonts w:ascii="Arial" w:hAnsi="Arial" w:cs="Arial"/>
          <w:b/>
        </w:rPr>
        <w:t>Headlines</w:t>
      </w:r>
      <w:r w:rsidRPr="007B2C46">
        <w:rPr>
          <w:rFonts w:ascii="Arial" w:hAnsi="Arial" w:cs="Arial"/>
        </w:rPr>
        <w:t xml:space="preserve"> for each theme </w:t>
      </w:r>
      <w:r w:rsidR="00552A4E" w:rsidRPr="007B2C46">
        <w:rPr>
          <w:rFonts w:ascii="Arial" w:hAnsi="Arial" w:cs="Arial"/>
        </w:rPr>
        <w:t>are as</w:t>
      </w:r>
      <w:r w:rsidRPr="007B2C46">
        <w:rPr>
          <w:rFonts w:ascii="Arial" w:hAnsi="Arial" w:cs="Arial"/>
        </w:rPr>
        <w:t xml:space="preserve"> follows</w:t>
      </w:r>
      <w:r w:rsidR="00D90BCC" w:rsidRPr="007B2C46">
        <w:rPr>
          <w:rFonts w:ascii="Arial" w:hAnsi="Arial" w:cs="Arial"/>
        </w:rPr>
        <w:t xml:space="preserve">.  </w:t>
      </w:r>
      <w:r w:rsidR="00B35EB8" w:rsidRPr="007B2C46">
        <w:rPr>
          <w:rFonts w:ascii="Arial" w:hAnsi="Arial" w:cs="Arial"/>
        </w:rPr>
        <w:t xml:space="preserve">The </w:t>
      </w:r>
      <w:proofErr w:type="spellStart"/>
      <w:r w:rsidR="00B35EB8" w:rsidRPr="007B2C46">
        <w:rPr>
          <w:rFonts w:ascii="Arial" w:hAnsi="Arial" w:cs="Arial"/>
        </w:rPr>
        <w:t>coloured</w:t>
      </w:r>
      <w:proofErr w:type="spellEnd"/>
      <w:r w:rsidR="00B35EB8" w:rsidRPr="007B2C46">
        <w:rPr>
          <w:rFonts w:ascii="Arial" w:hAnsi="Arial" w:cs="Arial"/>
        </w:rPr>
        <w:t xml:space="preserve"> square indicates whether performance against this indicator is good (green) or requiring improvement (red);</w:t>
      </w:r>
    </w:p>
    <w:p w:rsidR="005A13DD" w:rsidRPr="007B2C46" w:rsidRDefault="005A13DD" w:rsidP="00626BB3">
      <w:pPr>
        <w:jc w:val="both"/>
        <w:rPr>
          <w:rFonts w:ascii="Arial" w:hAnsi="Arial" w:cs="Arial"/>
          <w:b/>
        </w:rPr>
      </w:pPr>
    </w:p>
    <w:p w:rsidR="00B07AA8" w:rsidRPr="005A13DD" w:rsidRDefault="00B07AA8" w:rsidP="00B07AA8">
      <w:pPr>
        <w:jc w:val="both"/>
        <w:rPr>
          <w:rFonts w:ascii="Arial" w:hAnsi="Arial" w:cs="Arial"/>
          <w:b/>
        </w:rPr>
      </w:pPr>
      <w:r w:rsidRPr="00B11F76">
        <w:rPr>
          <w:rFonts w:ascii="Arial" w:hAnsi="Arial" w:cs="Arial"/>
          <w:b/>
          <w:noProof/>
          <w:lang w:val="en-GB" w:eastAsia="en-GB"/>
        </w:rPr>
        <w:drawing>
          <wp:inline distT="0" distB="0" distL="0" distR="0" wp14:anchorId="317BADD9" wp14:editId="70C93BB7">
            <wp:extent cx="450376" cy="450376"/>
            <wp:effectExtent l="0" t="0" r="0" b="0"/>
            <wp:docPr id="14" name="Graphic 14"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umbsUpSign.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2647" cy="452647"/>
                    </a:xfrm>
                    <a:prstGeom prst="rect">
                      <a:avLst/>
                    </a:prstGeom>
                  </pic:spPr>
                </pic:pic>
              </a:graphicData>
            </a:graphic>
          </wp:inline>
        </w:drawing>
      </w:r>
      <w:r w:rsidR="005A13DD" w:rsidRPr="00B11F76">
        <w:rPr>
          <w:rFonts w:ascii="Arial" w:hAnsi="Arial" w:cs="Arial"/>
          <w:b/>
        </w:rPr>
        <w:t xml:space="preserve">  </w:t>
      </w:r>
      <w:r w:rsidRPr="00B11F76">
        <w:rPr>
          <w:rFonts w:ascii="Arial" w:hAnsi="Arial" w:cs="Arial"/>
          <w:b/>
        </w:rPr>
        <w:t>Quality of Care</w:t>
      </w:r>
      <w:r w:rsidR="005A13DD" w:rsidRPr="00B11F76">
        <w:rPr>
          <w:rFonts w:ascii="Arial" w:hAnsi="Arial" w:cs="Arial"/>
          <w:b/>
        </w:rPr>
        <w:t xml:space="preserve"> Headlines</w:t>
      </w:r>
    </w:p>
    <w:p w:rsidR="00B07AA8" w:rsidRDefault="00B07AA8" w:rsidP="00626BB3">
      <w:pPr>
        <w:jc w:val="both"/>
        <w:rPr>
          <w:rFonts w:ascii="Arial" w:hAnsi="Arial" w:cs="Arial"/>
          <w:b/>
        </w:rPr>
      </w:pPr>
    </w:p>
    <w:p w:rsidR="005A13DD" w:rsidRPr="005A13DD" w:rsidRDefault="00552A4E" w:rsidP="00B07AA8">
      <w:pPr>
        <w:pStyle w:val="ListParagraph"/>
        <w:numPr>
          <w:ilvl w:val="0"/>
          <w:numId w:val="16"/>
        </w:numPr>
        <w:jc w:val="both"/>
        <w:rPr>
          <w:rFonts w:ascii="Arial" w:hAnsi="Arial" w:cs="Arial"/>
        </w:rPr>
      </w:pPr>
      <w:r>
        <w:rPr>
          <w:rFonts w:ascii="Arial" w:hAnsi="Arial" w:cs="Arial"/>
          <w:b/>
        </w:rPr>
        <w:t xml:space="preserve">Family and Friends Test </w:t>
      </w:r>
      <w:proofErr w:type="spellStart"/>
      <w:r w:rsidR="00B07AA8">
        <w:rPr>
          <w:rFonts w:ascii="Arial" w:hAnsi="Arial" w:cs="Arial"/>
          <w:b/>
        </w:rPr>
        <w:t>Oxfordshire</w:t>
      </w:r>
      <w:proofErr w:type="spellEnd"/>
      <w:r w:rsidR="00B07AA8">
        <w:rPr>
          <w:rFonts w:ascii="Arial" w:hAnsi="Arial" w:cs="Arial"/>
          <w:b/>
        </w:rPr>
        <w:t xml:space="preserve"> </w:t>
      </w:r>
      <w:r w:rsidR="00B07AA8" w:rsidRPr="00785E7D">
        <w:rPr>
          <w:rFonts w:ascii="Arial" w:hAnsi="Arial" w:cs="Arial"/>
          <w:b/>
        </w:rPr>
        <w:t>Community</w:t>
      </w:r>
      <w:r w:rsidR="00B07AA8">
        <w:rPr>
          <w:rFonts w:ascii="Arial" w:hAnsi="Arial" w:cs="Arial"/>
          <w:b/>
        </w:rPr>
        <w:t xml:space="preserve"> Services</w:t>
      </w:r>
      <w:r w:rsidR="00B07AA8" w:rsidRPr="00785E7D">
        <w:rPr>
          <w:rFonts w:ascii="Arial" w:hAnsi="Arial" w:cs="Arial"/>
          <w:b/>
        </w:rPr>
        <w:t xml:space="preserve"> </w:t>
      </w:r>
    </w:p>
    <w:p w:rsidR="00B07AA8" w:rsidRDefault="00B11F76" w:rsidP="005A13DD">
      <w:pPr>
        <w:pStyle w:val="ListParagraph"/>
        <w:jc w:val="both"/>
        <w:rPr>
          <w:rFonts w:ascii="Arial" w:hAnsi="Arial" w:cs="Arial"/>
        </w:rPr>
      </w:pPr>
      <w:r>
        <w:rPr>
          <w:rFonts w:ascii="Arial" w:hAnsi="Arial" w:cs="Arial"/>
        </w:rPr>
        <w:t>Latest position 9</w:t>
      </w:r>
      <w:r w:rsidR="00993B47">
        <w:rPr>
          <w:rFonts w:ascii="Arial" w:hAnsi="Arial" w:cs="Arial"/>
        </w:rPr>
        <w:t>7</w:t>
      </w:r>
      <w:r>
        <w:rPr>
          <w:rFonts w:ascii="Arial" w:hAnsi="Arial" w:cs="Arial"/>
        </w:rPr>
        <w:t>% (</w:t>
      </w:r>
      <w:r w:rsidR="00993B47">
        <w:rPr>
          <w:rFonts w:ascii="Arial" w:hAnsi="Arial" w:cs="Arial"/>
        </w:rPr>
        <w:t>Dec</w:t>
      </w:r>
      <w:r>
        <w:rPr>
          <w:rFonts w:ascii="Arial" w:hAnsi="Arial" w:cs="Arial"/>
        </w:rPr>
        <w:t xml:space="preserve"> 18)</w:t>
      </w:r>
    </w:p>
    <w:p w:rsidR="00B07AA8" w:rsidRPr="00785E7D" w:rsidRDefault="00B07AA8" w:rsidP="00B07AA8">
      <w:pPr>
        <w:jc w:val="both"/>
        <w:rPr>
          <w:rFonts w:ascii="Arial" w:hAnsi="Arial" w:cs="Arial"/>
        </w:rPr>
      </w:pPr>
    </w:p>
    <w:p w:rsidR="005A13DD" w:rsidRDefault="00552A4E" w:rsidP="00B07AA8">
      <w:pPr>
        <w:pStyle w:val="ListParagraph"/>
        <w:numPr>
          <w:ilvl w:val="0"/>
          <w:numId w:val="16"/>
        </w:numPr>
        <w:jc w:val="both"/>
        <w:rPr>
          <w:rFonts w:ascii="Arial" w:hAnsi="Arial" w:cs="Arial"/>
        </w:rPr>
      </w:pPr>
      <w:r>
        <w:rPr>
          <w:rFonts w:ascii="Arial" w:hAnsi="Arial" w:cs="Arial"/>
          <w:b/>
        </w:rPr>
        <w:t xml:space="preserve">Family and Friends Test </w:t>
      </w:r>
      <w:r w:rsidR="00B07AA8" w:rsidRPr="00785E7D">
        <w:rPr>
          <w:rFonts w:ascii="Arial" w:hAnsi="Arial" w:cs="Arial"/>
          <w:b/>
        </w:rPr>
        <w:t>Mental Health</w:t>
      </w:r>
      <w:r w:rsidR="00B07AA8" w:rsidRPr="00785E7D">
        <w:rPr>
          <w:rFonts w:ascii="Arial" w:hAnsi="Arial" w:cs="Arial"/>
        </w:rPr>
        <w:t xml:space="preserve"> </w:t>
      </w:r>
    </w:p>
    <w:p w:rsidR="00B07AA8" w:rsidRPr="00785E7D" w:rsidRDefault="00B11F76" w:rsidP="005A13DD">
      <w:pPr>
        <w:pStyle w:val="ListParagraph"/>
        <w:jc w:val="both"/>
        <w:rPr>
          <w:rFonts w:ascii="Arial" w:hAnsi="Arial" w:cs="Arial"/>
        </w:rPr>
      </w:pPr>
      <w:r>
        <w:rPr>
          <w:rFonts w:ascii="Arial" w:hAnsi="Arial" w:cs="Arial"/>
        </w:rPr>
        <w:t>Latest position 93% (</w:t>
      </w:r>
      <w:r w:rsidR="00993B47">
        <w:rPr>
          <w:rFonts w:ascii="Arial" w:hAnsi="Arial" w:cs="Arial"/>
        </w:rPr>
        <w:t>Dec</w:t>
      </w:r>
      <w:r>
        <w:rPr>
          <w:rFonts w:ascii="Arial" w:hAnsi="Arial" w:cs="Arial"/>
        </w:rPr>
        <w:t xml:space="preserve"> 18)</w:t>
      </w:r>
      <w:r w:rsidR="00B07AA8" w:rsidRPr="00785E7D">
        <w:rPr>
          <w:rFonts w:ascii="Arial" w:hAnsi="Arial" w:cs="Arial"/>
        </w:rPr>
        <w:t>.</w:t>
      </w:r>
    </w:p>
    <w:p w:rsidR="00B07AA8" w:rsidRDefault="00B07AA8" w:rsidP="00626BB3">
      <w:pPr>
        <w:jc w:val="both"/>
        <w:rPr>
          <w:rFonts w:ascii="Arial" w:hAnsi="Arial" w:cs="Arial"/>
          <w:b/>
        </w:rPr>
      </w:pPr>
    </w:p>
    <w:p w:rsidR="005A13DD" w:rsidRPr="002F79F6" w:rsidRDefault="00552A4E" w:rsidP="00B07AA8">
      <w:pPr>
        <w:pStyle w:val="ListParagraph"/>
        <w:numPr>
          <w:ilvl w:val="0"/>
          <w:numId w:val="18"/>
        </w:numPr>
        <w:jc w:val="both"/>
        <w:rPr>
          <w:rFonts w:ascii="Arial" w:hAnsi="Arial" w:cs="Arial"/>
        </w:rPr>
      </w:pPr>
      <w:r w:rsidRPr="002F79F6">
        <w:rPr>
          <w:rFonts w:ascii="Arial" w:hAnsi="Arial" w:cs="Arial"/>
          <w:b/>
        </w:rPr>
        <w:t xml:space="preserve">Care </w:t>
      </w:r>
      <w:proofErr w:type="spellStart"/>
      <w:r w:rsidRPr="002F79F6">
        <w:rPr>
          <w:rFonts w:ascii="Arial" w:hAnsi="Arial" w:cs="Arial"/>
          <w:b/>
        </w:rPr>
        <w:t>Programme</w:t>
      </w:r>
      <w:proofErr w:type="spellEnd"/>
      <w:r w:rsidRPr="002F79F6">
        <w:rPr>
          <w:rFonts w:ascii="Arial" w:hAnsi="Arial" w:cs="Arial"/>
          <w:b/>
        </w:rPr>
        <w:t xml:space="preserve"> Approach </w:t>
      </w:r>
      <w:r w:rsidR="00B07AA8" w:rsidRPr="002F79F6">
        <w:rPr>
          <w:rFonts w:ascii="Arial" w:hAnsi="Arial" w:cs="Arial"/>
          <w:b/>
        </w:rPr>
        <w:t>7 Day Follow Up</w:t>
      </w:r>
    </w:p>
    <w:p w:rsidR="00B07AA8" w:rsidRPr="002F79F6" w:rsidRDefault="00C66196" w:rsidP="005A13DD">
      <w:pPr>
        <w:pStyle w:val="ListParagraph"/>
        <w:jc w:val="both"/>
        <w:rPr>
          <w:rFonts w:ascii="Arial" w:hAnsi="Arial" w:cs="Arial"/>
        </w:rPr>
      </w:pPr>
      <w:r>
        <w:rPr>
          <w:rFonts w:ascii="Arial" w:hAnsi="Arial" w:cs="Arial"/>
        </w:rPr>
        <w:t>Latest position</w:t>
      </w:r>
      <w:r w:rsidR="00B07AA8" w:rsidRPr="002F79F6">
        <w:rPr>
          <w:rFonts w:ascii="Arial" w:hAnsi="Arial" w:cs="Arial"/>
        </w:rPr>
        <w:t xml:space="preserve"> </w:t>
      </w:r>
      <w:r w:rsidR="002F79F6" w:rsidRPr="002F79F6">
        <w:rPr>
          <w:rFonts w:ascii="Arial" w:hAnsi="Arial" w:cs="Arial"/>
        </w:rPr>
        <w:t>96.2</w:t>
      </w:r>
      <w:r w:rsidR="00B07AA8" w:rsidRPr="002F79F6">
        <w:rPr>
          <w:rFonts w:ascii="Arial" w:hAnsi="Arial" w:cs="Arial"/>
        </w:rPr>
        <w:t xml:space="preserve">% </w:t>
      </w:r>
      <w:r>
        <w:rPr>
          <w:rFonts w:ascii="Arial" w:hAnsi="Arial" w:cs="Arial"/>
        </w:rPr>
        <w:t>(</w:t>
      </w:r>
      <w:r w:rsidR="002F79F6" w:rsidRPr="002F79F6">
        <w:rPr>
          <w:rFonts w:ascii="Arial" w:hAnsi="Arial" w:cs="Arial"/>
        </w:rPr>
        <w:t>Dec</w:t>
      </w:r>
      <w:r w:rsidR="00B11F76" w:rsidRPr="002F79F6">
        <w:rPr>
          <w:rFonts w:ascii="Arial" w:hAnsi="Arial" w:cs="Arial"/>
        </w:rPr>
        <w:t xml:space="preserve"> 18</w:t>
      </w:r>
      <w:r>
        <w:rPr>
          <w:rFonts w:ascii="Arial" w:hAnsi="Arial" w:cs="Arial"/>
        </w:rPr>
        <w:t>)</w:t>
      </w:r>
    </w:p>
    <w:p w:rsidR="00B07AA8" w:rsidRPr="002F79F6" w:rsidRDefault="00B07AA8" w:rsidP="00B07AA8">
      <w:pPr>
        <w:jc w:val="both"/>
        <w:rPr>
          <w:rFonts w:ascii="Arial" w:hAnsi="Arial" w:cs="Arial"/>
        </w:rPr>
      </w:pPr>
    </w:p>
    <w:p w:rsidR="005A13DD" w:rsidRPr="002F79F6" w:rsidRDefault="00552A4E" w:rsidP="00D41522">
      <w:pPr>
        <w:pStyle w:val="ListParagraph"/>
        <w:numPr>
          <w:ilvl w:val="0"/>
          <w:numId w:val="20"/>
        </w:numPr>
        <w:jc w:val="both"/>
        <w:rPr>
          <w:rFonts w:ascii="Arial" w:hAnsi="Arial" w:cs="Arial"/>
        </w:rPr>
      </w:pPr>
      <w:r w:rsidRPr="002F79F6">
        <w:rPr>
          <w:rFonts w:ascii="Arial" w:hAnsi="Arial" w:cs="Arial"/>
          <w:b/>
        </w:rPr>
        <w:t>% of clients in settled accommodation</w:t>
      </w:r>
      <w:r w:rsidR="005A13DD" w:rsidRPr="002F79F6">
        <w:rPr>
          <w:rFonts w:ascii="Arial" w:hAnsi="Arial" w:cs="Arial"/>
          <w:b/>
        </w:rPr>
        <w:t xml:space="preserve"> </w:t>
      </w:r>
    </w:p>
    <w:p w:rsidR="00602A89" w:rsidRDefault="00C66196" w:rsidP="005A13DD">
      <w:pPr>
        <w:pStyle w:val="ListParagraph"/>
        <w:jc w:val="both"/>
        <w:rPr>
          <w:rFonts w:ascii="Arial" w:hAnsi="Arial" w:cs="Arial"/>
        </w:rPr>
      </w:pPr>
      <w:r>
        <w:rPr>
          <w:rFonts w:ascii="Arial" w:hAnsi="Arial" w:cs="Arial"/>
        </w:rPr>
        <w:t>At Dec 18;</w:t>
      </w:r>
      <w:r w:rsidR="00552A4E" w:rsidRPr="002F79F6">
        <w:rPr>
          <w:rFonts w:ascii="Arial" w:hAnsi="Arial" w:cs="Arial"/>
        </w:rPr>
        <w:t xml:space="preserve"> 4</w:t>
      </w:r>
      <w:r w:rsidR="002F79F6" w:rsidRPr="002F79F6">
        <w:rPr>
          <w:rFonts w:ascii="Arial" w:hAnsi="Arial" w:cs="Arial"/>
        </w:rPr>
        <w:t>1</w:t>
      </w:r>
      <w:r w:rsidR="00552A4E" w:rsidRPr="002F79F6">
        <w:rPr>
          <w:rFonts w:ascii="Arial" w:hAnsi="Arial" w:cs="Arial"/>
        </w:rPr>
        <w:t>.</w:t>
      </w:r>
      <w:r w:rsidR="002F79F6" w:rsidRPr="002F79F6">
        <w:rPr>
          <w:rFonts w:ascii="Arial" w:hAnsi="Arial" w:cs="Arial"/>
        </w:rPr>
        <w:t>2</w:t>
      </w:r>
      <w:r w:rsidR="00552A4E" w:rsidRPr="002F79F6">
        <w:rPr>
          <w:rFonts w:ascii="Arial" w:hAnsi="Arial" w:cs="Arial"/>
        </w:rPr>
        <w:t xml:space="preserve">% of clients were in settled accommodation against a </w:t>
      </w:r>
      <w:r w:rsidR="002F79F6" w:rsidRPr="002F79F6">
        <w:rPr>
          <w:rFonts w:ascii="Arial" w:hAnsi="Arial" w:cs="Arial"/>
        </w:rPr>
        <w:t xml:space="preserve">national average of </w:t>
      </w:r>
      <w:r w:rsidR="00552A4E" w:rsidRPr="002F79F6">
        <w:rPr>
          <w:rFonts w:ascii="Arial" w:hAnsi="Arial" w:cs="Arial"/>
        </w:rPr>
        <w:t>57%</w:t>
      </w:r>
      <w:r w:rsidR="002F79F6" w:rsidRPr="002F79F6">
        <w:rPr>
          <w:rFonts w:ascii="Arial" w:hAnsi="Arial" w:cs="Arial"/>
        </w:rPr>
        <w:t xml:space="preserve">.  Some discrepancies with the reporting extract are in the process of being investigated to ensure that the information reported </w:t>
      </w:r>
    </w:p>
    <w:p w:rsidR="00552A4E" w:rsidRPr="005A13DD" w:rsidRDefault="002F79F6" w:rsidP="005A13DD">
      <w:pPr>
        <w:pStyle w:val="ListParagraph"/>
        <w:jc w:val="both"/>
        <w:rPr>
          <w:rFonts w:ascii="Arial" w:hAnsi="Arial" w:cs="Arial"/>
        </w:rPr>
      </w:pPr>
      <w:r w:rsidRPr="002F79F6">
        <w:rPr>
          <w:rFonts w:ascii="Arial" w:hAnsi="Arial" w:cs="Arial"/>
        </w:rPr>
        <w:t>is accurate.</w:t>
      </w:r>
    </w:p>
    <w:p w:rsidR="00602A89" w:rsidRDefault="00602A89" w:rsidP="00B07AA8">
      <w:pPr>
        <w:jc w:val="both"/>
        <w:rPr>
          <w:rFonts w:ascii="Arial" w:hAnsi="Arial" w:cs="Arial"/>
          <w:b/>
        </w:rPr>
      </w:pPr>
    </w:p>
    <w:p w:rsidR="00602A89" w:rsidRDefault="00602A89" w:rsidP="00B07AA8">
      <w:pPr>
        <w:jc w:val="both"/>
        <w:rPr>
          <w:rFonts w:ascii="Arial" w:hAnsi="Arial" w:cs="Arial"/>
          <w:b/>
        </w:rPr>
      </w:pPr>
    </w:p>
    <w:p w:rsidR="00552A4E" w:rsidRDefault="005A13DD" w:rsidP="00B07AA8">
      <w:pPr>
        <w:jc w:val="both"/>
        <w:rPr>
          <w:rFonts w:ascii="Arial" w:hAnsi="Arial" w:cs="Arial"/>
          <w:b/>
        </w:rPr>
      </w:pPr>
      <w:r>
        <w:rPr>
          <w:rFonts w:ascii="Arial" w:hAnsi="Arial" w:cs="Arial"/>
          <w:b/>
          <w:noProof/>
          <w:lang w:val="en-GB" w:eastAsia="en-GB"/>
        </w:rPr>
        <w:lastRenderedPageBreak/>
        <mc:AlternateContent>
          <mc:Choice Requires="wps">
            <w:drawing>
              <wp:anchor distT="0" distB="0" distL="114300" distR="114300" simplePos="0" relativeHeight="251679744" behindDoc="0" locked="0" layoutInCell="1" allowOverlap="1">
                <wp:simplePos x="0" y="0"/>
                <wp:positionH relativeFrom="column">
                  <wp:posOffset>-144809</wp:posOffset>
                </wp:positionH>
                <wp:positionV relativeFrom="paragraph">
                  <wp:posOffset>50383</wp:posOffset>
                </wp:positionV>
                <wp:extent cx="736979" cy="599715"/>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736979" cy="599715"/>
                        </a:xfrm>
                        <a:prstGeom prst="rect">
                          <a:avLst/>
                        </a:prstGeom>
                        <a:solidFill>
                          <a:schemeClr val="lt1"/>
                        </a:solidFill>
                        <a:ln w="6350">
                          <a:noFill/>
                        </a:ln>
                      </wps:spPr>
                      <wps:txbx>
                        <w:txbxContent>
                          <w:p w:rsidR="00191199" w:rsidRDefault="00191199">
                            <w:r>
                              <w:rPr>
                                <w:noProof/>
                                <w:lang w:val="en-GB" w:eastAsia="en-GB"/>
                              </w:rPr>
                              <w:drawing>
                                <wp:inline distT="0" distB="0" distL="0" distR="0" wp14:anchorId="554B63C3" wp14:editId="36601E81">
                                  <wp:extent cx="532263" cy="544849"/>
                                  <wp:effectExtent l="0" t="0" r="0" b="7620"/>
                                  <wp:docPr id="7" name="Graphic 7" descr="Stopwatch"/>
                                  <wp:cNvGraphicFramePr/>
                                  <a:graphic xmlns:a="http://schemas.openxmlformats.org/drawingml/2006/main">
                                    <a:graphicData uri="http://schemas.openxmlformats.org/drawingml/2006/picture">
                                      <pic:pic xmlns:pic="http://schemas.openxmlformats.org/drawingml/2006/picture">
                                        <pic:nvPicPr>
                                          <pic:cNvPr id="7" name="Graphic 7" descr="Stopwatch"/>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52781" cy="5658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id="Text Box 10" o:spid="_x0000_s1028" type="#_x0000_t202" style="position:absolute;left:0;text-align:left;margin-left:-11.4pt;margin-top:3.95pt;width:58.05pt;height:4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" fillcolor="white [3201]" stroked="f" strokeweight=".5pt">
                <v:textbox>
                  <w:txbxContent>
                    <w:p w:rsidR="00191199" w:rsidRDefault="00191199">
                      <w:r>
                        <w:rPr>
                          <w:noProof/>
                        </w:rPr>
                        <w:drawing>
                          <wp:inline distT="0" distB="0" distL="0" distR="0" wp14:anchorId="554B63C3" wp14:editId="36601E81">
                            <wp:extent cx="532263" cy="544849"/>
                            <wp:effectExtent l="0" t="0" r="0" b="7620"/>
                            <wp:docPr id="7" name="Graphic 7" descr="Stopwatch"/>
                            <wp:cNvGraphicFramePr/>
                            <a:graphic xmlns:a="http://schemas.openxmlformats.org/drawingml/2006/main">
                              <a:graphicData uri="http://schemas.openxmlformats.org/drawingml/2006/picture">
                                <pic:pic xmlns:pic="http://schemas.openxmlformats.org/drawingml/2006/picture">
                                  <pic:nvPicPr>
                                    <pic:cNvPr id="7" name="Graphic 7" descr="Stopwatch"/>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52781" cy="565852"/>
                                    </a:xfrm>
                                    <a:prstGeom prst="rect">
                                      <a:avLst/>
                                    </a:prstGeom>
                                  </pic:spPr>
                                </pic:pic>
                              </a:graphicData>
                            </a:graphic>
                          </wp:inline>
                        </w:drawing>
                      </w:r>
                    </w:p>
                  </w:txbxContent>
                </v:textbox>
              </v:shape>
            </w:pict>
          </mc:Fallback>
        </mc:AlternateContent>
      </w:r>
    </w:p>
    <w:p w:rsidR="005A13DD" w:rsidRDefault="005A13DD" w:rsidP="005A13DD">
      <w:pPr>
        <w:rPr>
          <w:rFonts w:ascii="Arial" w:hAnsi="Arial" w:cs="Arial"/>
          <w:b/>
        </w:rPr>
      </w:pPr>
    </w:p>
    <w:p w:rsidR="005A13DD" w:rsidRPr="002F79F6" w:rsidRDefault="005A13DD" w:rsidP="005A13DD">
      <w:pPr>
        <w:ind w:firstLine="720"/>
        <w:rPr>
          <w:rFonts w:ascii="Arial" w:hAnsi="Arial" w:cs="Arial"/>
          <w:b/>
        </w:rPr>
      </w:pPr>
      <w:r>
        <w:rPr>
          <w:rFonts w:ascii="Arial" w:hAnsi="Arial" w:cs="Arial"/>
          <w:b/>
        </w:rPr>
        <w:t xml:space="preserve">   </w:t>
      </w:r>
      <w:r w:rsidRPr="002F79F6">
        <w:rPr>
          <w:rFonts w:ascii="Arial" w:hAnsi="Arial" w:cs="Arial"/>
          <w:b/>
        </w:rPr>
        <w:t xml:space="preserve">Operational Performance Headlines </w:t>
      </w:r>
    </w:p>
    <w:p w:rsidR="005A13DD" w:rsidRPr="002F79F6" w:rsidRDefault="005A13DD" w:rsidP="005A13DD">
      <w:pPr>
        <w:pStyle w:val="ListParagraph"/>
        <w:jc w:val="both"/>
        <w:rPr>
          <w:rFonts w:ascii="Arial" w:hAnsi="Arial" w:cs="Arial"/>
          <w:b/>
        </w:rPr>
      </w:pPr>
    </w:p>
    <w:p w:rsidR="005A13DD" w:rsidRPr="002F79F6" w:rsidRDefault="005A13DD" w:rsidP="005A13DD">
      <w:pPr>
        <w:jc w:val="both"/>
        <w:rPr>
          <w:rFonts w:ascii="Arial" w:hAnsi="Arial" w:cs="Arial"/>
          <w:b/>
        </w:rPr>
      </w:pPr>
    </w:p>
    <w:p w:rsidR="005A13DD" w:rsidRPr="002F79F6" w:rsidRDefault="005A13DD" w:rsidP="005A13DD">
      <w:pPr>
        <w:pStyle w:val="ListParagraph"/>
        <w:numPr>
          <w:ilvl w:val="0"/>
          <w:numId w:val="21"/>
        </w:numPr>
        <w:jc w:val="both"/>
        <w:rPr>
          <w:rFonts w:ascii="Arial" w:hAnsi="Arial" w:cs="Arial"/>
          <w:b/>
        </w:rPr>
      </w:pPr>
      <w:r w:rsidRPr="002F79F6">
        <w:rPr>
          <w:rFonts w:ascii="Arial" w:hAnsi="Arial" w:cs="Arial"/>
          <w:b/>
        </w:rPr>
        <w:t xml:space="preserve">4 Hour Wait Times in Minor Injury Units (MIUs) </w:t>
      </w:r>
    </w:p>
    <w:p w:rsidR="005A13DD" w:rsidRPr="002F79F6" w:rsidRDefault="005A13DD" w:rsidP="005A13DD">
      <w:pPr>
        <w:pStyle w:val="ListParagraph"/>
        <w:jc w:val="both"/>
        <w:rPr>
          <w:rFonts w:ascii="Arial" w:hAnsi="Arial" w:cs="Arial"/>
          <w:b/>
        </w:rPr>
      </w:pPr>
      <w:r w:rsidRPr="002F79F6">
        <w:rPr>
          <w:rFonts w:ascii="Arial" w:hAnsi="Arial" w:cs="Arial"/>
        </w:rPr>
        <w:t>Trust performance is consistently above target</w:t>
      </w:r>
      <w:r w:rsidR="00C66196">
        <w:rPr>
          <w:rFonts w:ascii="Arial" w:hAnsi="Arial" w:cs="Arial"/>
        </w:rPr>
        <w:t>.  Performance</w:t>
      </w:r>
      <w:r w:rsidRPr="002F79F6">
        <w:rPr>
          <w:rFonts w:ascii="Arial" w:hAnsi="Arial" w:cs="Arial"/>
        </w:rPr>
        <w:t xml:space="preserve"> </w:t>
      </w:r>
      <w:r w:rsidR="00C66196">
        <w:rPr>
          <w:rFonts w:ascii="Arial" w:hAnsi="Arial" w:cs="Arial"/>
        </w:rPr>
        <w:t xml:space="preserve">was </w:t>
      </w:r>
      <w:r w:rsidRPr="002F79F6">
        <w:rPr>
          <w:rFonts w:ascii="Arial" w:hAnsi="Arial" w:cs="Arial"/>
        </w:rPr>
        <w:t>9</w:t>
      </w:r>
      <w:r w:rsidR="002F79F6" w:rsidRPr="002F79F6">
        <w:rPr>
          <w:rFonts w:ascii="Arial" w:hAnsi="Arial" w:cs="Arial"/>
        </w:rPr>
        <w:t>5.2</w:t>
      </w:r>
      <w:r w:rsidRPr="002F79F6">
        <w:rPr>
          <w:rFonts w:ascii="Arial" w:hAnsi="Arial" w:cs="Arial"/>
        </w:rPr>
        <w:t xml:space="preserve">% for </w:t>
      </w:r>
      <w:r w:rsidR="002F79F6" w:rsidRPr="002F79F6">
        <w:rPr>
          <w:rFonts w:ascii="Arial" w:hAnsi="Arial" w:cs="Arial"/>
        </w:rPr>
        <w:t>Dec 18</w:t>
      </w:r>
      <w:r w:rsidRPr="002F79F6">
        <w:rPr>
          <w:rFonts w:ascii="Arial" w:hAnsi="Arial" w:cs="Arial"/>
        </w:rPr>
        <w:t>, maintaining positive performance throughout the year.</w:t>
      </w:r>
    </w:p>
    <w:p w:rsidR="005A13DD" w:rsidRPr="002F79F6" w:rsidRDefault="005A13DD" w:rsidP="00B07AA8">
      <w:pPr>
        <w:jc w:val="both"/>
        <w:rPr>
          <w:rFonts w:ascii="Arial" w:hAnsi="Arial" w:cs="Arial"/>
          <w:b/>
        </w:rPr>
      </w:pPr>
    </w:p>
    <w:p w:rsidR="005A13DD" w:rsidRPr="004D0C7F" w:rsidRDefault="005A13DD" w:rsidP="00D41522">
      <w:pPr>
        <w:pStyle w:val="ListParagraph"/>
        <w:numPr>
          <w:ilvl w:val="0"/>
          <w:numId w:val="16"/>
        </w:numPr>
        <w:jc w:val="both"/>
        <w:rPr>
          <w:rFonts w:ascii="Arial" w:hAnsi="Arial" w:cs="Arial"/>
        </w:rPr>
      </w:pPr>
      <w:r w:rsidRPr="004D0C7F">
        <w:rPr>
          <w:rFonts w:ascii="Arial" w:hAnsi="Arial" w:cs="Arial"/>
          <w:b/>
        </w:rPr>
        <w:t xml:space="preserve">Improving Access to Psychological Therapies (IAPT) 50% proportion of people completing treatment move to recovery: </w:t>
      </w:r>
      <w:r w:rsidRPr="004D0C7F">
        <w:rPr>
          <w:rFonts w:ascii="Arial" w:hAnsi="Arial" w:cs="Arial"/>
        </w:rPr>
        <w:t xml:space="preserve">Trust </w:t>
      </w:r>
      <w:r w:rsidR="004D0C7F" w:rsidRPr="004D0C7F">
        <w:rPr>
          <w:rFonts w:ascii="Arial" w:hAnsi="Arial" w:cs="Arial"/>
        </w:rPr>
        <w:t>consistently continues to achieve.  Latest position 51%</w:t>
      </w:r>
      <w:r w:rsidR="00C66196">
        <w:rPr>
          <w:rFonts w:ascii="Arial" w:hAnsi="Arial" w:cs="Arial"/>
        </w:rPr>
        <w:t xml:space="preserve"> (Dec 18)</w:t>
      </w:r>
    </w:p>
    <w:p w:rsidR="005A13DD" w:rsidRPr="004D0C7F" w:rsidRDefault="005A13DD" w:rsidP="005A13DD">
      <w:pPr>
        <w:jc w:val="both"/>
        <w:rPr>
          <w:rFonts w:ascii="Arial" w:hAnsi="Arial" w:cs="Arial"/>
        </w:rPr>
      </w:pPr>
    </w:p>
    <w:p w:rsidR="005A13DD" w:rsidRPr="004D0C7F" w:rsidRDefault="005A13DD" w:rsidP="005A13DD">
      <w:pPr>
        <w:pStyle w:val="ListParagraph"/>
        <w:numPr>
          <w:ilvl w:val="0"/>
          <w:numId w:val="16"/>
        </w:numPr>
        <w:jc w:val="both"/>
        <w:rPr>
          <w:rFonts w:ascii="Arial" w:hAnsi="Arial" w:cs="Arial"/>
        </w:rPr>
      </w:pPr>
      <w:r w:rsidRPr="004D0C7F">
        <w:rPr>
          <w:rFonts w:ascii="Arial" w:hAnsi="Arial" w:cs="Arial"/>
          <w:b/>
        </w:rPr>
        <w:t>IAPT 75% waiting time target to beginning treatment within 6 weeks</w:t>
      </w:r>
    </w:p>
    <w:p w:rsidR="005A13DD" w:rsidRPr="004D0C7F" w:rsidRDefault="00C66196" w:rsidP="005A13DD">
      <w:pPr>
        <w:ind w:firstLine="720"/>
        <w:jc w:val="both"/>
        <w:rPr>
          <w:rFonts w:ascii="Arial" w:hAnsi="Arial" w:cs="Arial"/>
        </w:rPr>
      </w:pPr>
      <w:r>
        <w:rPr>
          <w:rFonts w:ascii="Arial" w:hAnsi="Arial" w:cs="Arial"/>
        </w:rPr>
        <w:t>Latest</w:t>
      </w:r>
      <w:r w:rsidR="005A13DD" w:rsidRPr="004D0C7F">
        <w:rPr>
          <w:rFonts w:ascii="Arial" w:hAnsi="Arial" w:cs="Arial"/>
        </w:rPr>
        <w:t xml:space="preserve"> position 99% </w:t>
      </w:r>
      <w:r>
        <w:rPr>
          <w:rFonts w:ascii="Arial" w:hAnsi="Arial" w:cs="Arial"/>
        </w:rPr>
        <w:t>(</w:t>
      </w:r>
      <w:r w:rsidR="004D0C7F" w:rsidRPr="004D0C7F">
        <w:rPr>
          <w:rFonts w:ascii="Arial" w:hAnsi="Arial" w:cs="Arial"/>
        </w:rPr>
        <w:t>Dec 18</w:t>
      </w:r>
      <w:r>
        <w:rPr>
          <w:rFonts w:ascii="Arial" w:hAnsi="Arial" w:cs="Arial"/>
        </w:rPr>
        <w:t>)</w:t>
      </w:r>
    </w:p>
    <w:p w:rsidR="005A13DD" w:rsidRPr="004D0C7F" w:rsidRDefault="005A13DD" w:rsidP="005A13DD">
      <w:pPr>
        <w:jc w:val="both"/>
        <w:rPr>
          <w:rFonts w:ascii="Arial" w:hAnsi="Arial" w:cs="Arial"/>
        </w:rPr>
      </w:pPr>
    </w:p>
    <w:p w:rsidR="005A13DD" w:rsidRPr="004D0C7F" w:rsidRDefault="005A13DD" w:rsidP="005A13DD">
      <w:pPr>
        <w:pStyle w:val="ListParagraph"/>
        <w:numPr>
          <w:ilvl w:val="0"/>
          <w:numId w:val="16"/>
        </w:numPr>
        <w:jc w:val="both"/>
        <w:rPr>
          <w:rFonts w:ascii="Arial" w:hAnsi="Arial" w:cs="Arial"/>
          <w:b/>
        </w:rPr>
      </w:pPr>
      <w:r w:rsidRPr="004D0C7F">
        <w:rPr>
          <w:rFonts w:ascii="Arial" w:hAnsi="Arial" w:cs="Arial"/>
          <w:b/>
        </w:rPr>
        <w:t>IAPT 95% target of patients to be treated within 18 weeks</w:t>
      </w:r>
    </w:p>
    <w:p w:rsidR="005A13DD" w:rsidRPr="004D0C7F" w:rsidRDefault="005A13DD" w:rsidP="005A13DD">
      <w:pPr>
        <w:pStyle w:val="ListParagraph"/>
        <w:jc w:val="both"/>
        <w:rPr>
          <w:rFonts w:ascii="Arial" w:hAnsi="Arial" w:cs="Arial"/>
          <w:b/>
        </w:rPr>
      </w:pPr>
      <w:r w:rsidRPr="004D0C7F">
        <w:rPr>
          <w:rFonts w:ascii="Arial" w:hAnsi="Arial" w:cs="Arial"/>
        </w:rPr>
        <w:t>Latest position 100%</w:t>
      </w:r>
      <w:r w:rsidR="00C66196">
        <w:rPr>
          <w:rFonts w:ascii="Arial" w:hAnsi="Arial" w:cs="Arial"/>
        </w:rPr>
        <w:t xml:space="preserve"> (Dec 18)</w:t>
      </w:r>
    </w:p>
    <w:p w:rsidR="005A13DD" w:rsidRPr="002F79F6" w:rsidRDefault="005A13DD" w:rsidP="005A13DD">
      <w:pPr>
        <w:jc w:val="both"/>
        <w:rPr>
          <w:rFonts w:ascii="Arial" w:hAnsi="Arial" w:cs="Arial"/>
          <w:b/>
        </w:rPr>
      </w:pPr>
    </w:p>
    <w:p w:rsidR="005A13DD" w:rsidRPr="002F79F6" w:rsidRDefault="005A13DD" w:rsidP="005A13DD">
      <w:pPr>
        <w:pStyle w:val="ListParagraph"/>
        <w:numPr>
          <w:ilvl w:val="0"/>
          <w:numId w:val="16"/>
        </w:numPr>
        <w:jc w:val="both"/>
        <w:rPr>
          <w:rFonts w:ascii="Arial" w:hAnsi="Arial" w:cs="Arial"/>
        </w:rPr>
      </w:pPr>
      <w:r w:rsidRPr="002F79F6">
        <w:rPr>
          <w:rFonts w:ascii="Arial" w:hAnsi="Arial" w:cs="Arial"/>
          <w:b/>
        </w:rPr>
        <w:t xml:space="preserve">Early Intervention in Psychosis; 50% of people with first episode of psychosis begin treatment with a NICE recommended package of care within 2 weeks of referral: </w:t>
      </w:r>
      <w:proofErr w:type="spellStart"/>
      <w:r w:rsidRPr="002F79F6">
        <w:rPr>
          <w:rFonts w:ascii="Arial" w:hAnsi="Arial" w:cs="Arial"/>
        </w:rPr>
        <w:t>Qtr</w:t>
      </w:r>
      <w:proofErr w:type="spellEnd"/>
      <w:r w:rsidRPr="002F79F6">
        <w:rPr>
          <w:rFonts w:ascii="Arial" w:hAnsi="Arial" w:cs="Arial"/>
        </w:rPr>
        <w:t xml:space="preserve"> </w:t>
      </w:r>
      <w:r w:rsidR="002F79F6" w:rsidRPr="002F79F6">
        <w:rPr>
          <w:rFonts w:ascii="Arial" w:hAnsi="Arial" w:cs="Arial"/>
        </w:rPr>
        <w:t>3 performance consistently above target with 94% achieved in Dec 18</w:t>
      </w:r>
      <w:r w:rsidRPr="002F79F6">
        <w:rPr>
          <w:rFonts w:ascii="Arial" w:hAnsi="Arial" w:cs="Arial"/>
        </w:rPr>
        <w:t>.</w:t>
      </w:r>
    </w:p>
    <w:p w:rsidR="00EA0E45" w:rsidRPr="002F79F6" w:rsidRDefault="00EA0E45" w:rsidP="00EA0E45">
      <w:pPr>
        <w:jc w:val="both"/>
        <w:rPr>
          <w:rFonts w:ascii="Arial" w:hAnsi="Arial" w:cs="Arial"/>
        </w:rPr>
      </w:pPr>
    </w:p>
    <w:p w:rsidR="00EA0E45" w:rsidRPr="004D0C7F" w:rsidRDefault="004D0C7F" w:rsidP="00EA0E45">
      <w:pPr>
        <w:pStyle w:val="ListParagraph"/>
        <w:numPr>
          <w:ilvl w:val="0"/>
          <w:numId w:val="29"/>
        </w:numPr>
        <w:rPr>
          <w:rFonts w:ascii="Arial" w:hAnsi="Arial" w:cs="Arial"/>
          <w:b/>
        </w:rPr>
      </w:pPr>
      <w:r w:rsidRPr="004D0C7F">
        <w:rPr>
          <w:rFonts w:ascii="Arial" w:hAnsi="Arial" w:cs="Arial"/>
          <w:b/>
        </w:rPr>
        <w:t>Data Quality Maturity Index</w:t>
      </w:r>
    </w:p>
    <w:p w:rsidR="00EA0E45" w:rsidRPr="004D0C7F" w:rsidRDefault="00EA0E45" w:rsidP="00C66196">
      <w:pPr>
        <w:pStyle w:val="ListParagraph"/>
        <w:ind w:left="709"/>
        <w:rPr>
          <w:rFonts w:ascii="Arial" w:hAnsi="Arial" w:cs="Arial"/>
        </w:rPr>
      </w:pPr>
      <w:r w:rsidRPr="004D0C7F">
        <w:rPr>
          <w:rFonts w:ascii="Arial" w:hAnsi="Arial" w:cs="Arial"/>
        </w:rPr>
        <w:t xml:space="preserve">Trust performance </w:t>
      </w:r>
      <w:r w:rsidR="00324AF9" w:rsidRPr="004D0C7F">
        <w:rPr>
          <w:rFonts w:ascii="Arial" w:hAnsi="Arial" w:cs="Arial"/>
        </w:rPr>
        <w:t>at the last available position (</w:t>
      </w:r>
      <w:r w:rsidR="004D0C7F" w:rsidRPr="004D0C7F">
        <w:rPr>
          <w:rFonts w:ascii="Arial" w:hAnsi="Arial" w:cs="Arial"/>
        </w:rPr>
        <w:t>Qtr2</w:t>
      </w:r>
      <w:r w:rsidR="00324AF9" w:rsidRPr="004D0C7F">
        <w:rPr>
          <w:rFonts w:ascii="Arial" w:hAnsi="Arial" w:cs="Arial"/>
        </w:rPr>
        <w:t xml:space="preserve">) </w:t>
      </w:r>
      <w:r w:rsidR="00231A08" w:rsidRPr="004D0C7F">
        <w:rPr>
          <w:rFonts w:ascii="Arial" w:hAnsi="Arial" w:cs="Arial"/>
        </w:rPr>
        <w:t xml:space="preserve">was at </w:t>
      </w:r>
      <w:r w:rsidR="004D0C7F" w:rsidRPr="004D0C7F">
        <w:rPr>
          <w:rFonts w:ascii="Arial" w:hAnsi="Arial" w:cs="Arial"/>
        </w:rPr>
        <w:t>9</w:t>
      </w:r>
      <w:r w:rsidR="00C66196">
        <w:rPr>
          <w:rFonts w:ascii="Arial" w:hAnsi="Arial" w:cs="Arial"/>
        </w:rPr>
        <w:t>3</w:t>
      </w:r>
      <w:r w:rsidR="004D0C7F" w:rsidRPr="004D0C7F">
        <w:rPr>
          <w:rFonts w:ascii="Arial" w:hAnsi="Arial" w:cs="Arial"/>
        </w:rPr>
        <w:t>.3%</w:t>
      </w:r>
      <w:r w:rsidR="00324AF9" w:rsidRPr="004D0C7F">
        <w:rPr>
          <w:rFonts w:ascii="Arial" w:hAnsi="Arial" w:cs="Arial"/>
        </w:rPr>
        <w:t xml:space="preserve"> against a target of </w:t>
      </w:r>
      <w:r w:rsidR="004D0C7F" w:rsidRPr="004D0C7F">
        <w:rPr>
          <w:rFonts w:ascii="Arial" w:hAnsi="Arial" w:cs="Arial"/>
        </w:rPr>
        <w:t>9</w:t>
      </w:r>
      <w:r w:rsidR="00324AF9" w:rsidRPr="004D0C7F">
        <w:rPr>
          <w:rFonts w:ascii="Arial" w:hAnsi="Arial" w:cs="Arial"/>
        </w:rPr>
        <w:t xml:space="preserve">5%.   </w:t>
      </w:r>
    </w:p>
    <w:p w:rsidR="00B07AA8" w:rsidRPr="004D0C7F" w:rsidRDefault="00B07AA8" w:rsidP="00626BB3">
      <w:pPr>
        <w:jc w:val="both"/>
        <w:rPr>
          <w:rFonts w:ascii="Arial" w:hAnsi="Arial" w:cs="Arial"/>
        </w:rPr>
      </w:pPr>
    </w:p>
    <w:p w:rsidR="005A13DD" w:rsidRPr="004D0C7F" w:rsidRDefault="005A13DD" w:rsidP="00D41522">
      <w:pPr>
        <w:pStyle w:val="ListParagraph"/>
        <w:numPr>
          <w:ilvl w:val="0"/>
          <w:numId w:val="22"/>
        </w:numPr>
        <w:jc w:val="both"/>
        <w:rPr>
          <w:rFonts w:ascii="Arial" w:hAnsi="Arial" w:cs="Arial"/>
          <w:color w:val="000000" w:themeColor="text1"/>
        </w:rPr>
      </w:pPr>
      <w:r w:rsidRPr="004D0C7F">
        <w:rPr>
          <w:rFonts w:ascii="Arial" w:hAnsi="Arial" w:cs="Arial"/>
          <w:b/>
          <w:color w:val="000000" w:themeColor="text1"/>
        </w:rPr>
        <w:t>Out of Area Placements (OAPs)</w:t>
      </w:r>
      <w:r w:rsidR="00D90BCC" w:rsidRPr="004D0C7F">
        <w:rPr>
          <w:rFonts w:ascii="Arial" w:hAnsi="Arial" w:cs="Arial"/>
          <w:b/>
          <w:color w:val="000000" w:themeColor="text1"/>
        </w:rPr>
        <w:t xml:space="preserve"> i</w:t>
      </w:r>
      <w:r w:rsidRPr="004D0C7F">
        <w:rPr>
          <w:rFonts w:ascii="Arial" w:hAnsi="Arial" w:cs="Arial"/>
          <w:color w:val="000000" w:themeColor="text1"/>
        </w:rPr>
        <w:t xml:space="preserve">n </w:t>
      </w:r>
      <w:r w:rsidR="0096192A">
        <w:rPr>
          <w:rFonts w:ascii="Arial" w:hAnsi="Arial" w:cs="Arial"/>
          <w:color w:val="000000" w:themeColor="text1"/>
        </w:rPr>
        <w:t>Oxon and Bucks</w:t>
      </w:r>
      <w:r w:rsidRPr="004D0C7F">
        <w:rPr>
          <w:rFonts w:ascii="Arial" w:hAnsi="Arial" w:cs="Arial"/>
          <w:color w:val="000000" w:themeColor="text1"/>
        </w:rPr>
        <w:t xml:space="preserve"> continue to expose the Trust to significant financial risk and actions are being taken to address this issue as a priority.  The Trust position for Qtr</w:t>
      </w:r>
      <w:r w:rsidR="004D0C7F" w:rsidRPr="004D0C7F">
        <w:rPr>
          <w:rFonts w:ascii="Arial" w:hAnsi="Arial" w:cs="Arial"/>
          <w:color w:val="000000" w:themeColor="text1"/>
        </w:rPr>
        <w:t>3</w:t>
      </w:r>
      <w:r w:rsidRPr="004D0C7F">
        <w:rPr>
          <w:rFonts w:ascii="Arial" w:hAnsi="Arial" w:cs="Arial"/>
          <w:color w:val="000000" w:themeColor="text1"/>
        </w:rPr>
        <w:t xml:space="preserve"> was above planned target for numbers of OAP days for both counties.</w:t>
      </w:r>
      <w:r w:rsidR="00D90BCC" w:rsidRPr="004D0C7F">
        <w:rPr>
          <w:rFonts w:ascii="Arial" w:hAnsi="Arial" w:cs="Arial"/>
          <w:color w:val="000000" w:themeColor="text1"/>
        </w:rPr>
        <w:t xml:space="preserve"> The</w:t>
      </w:r>
      <w:r w:rsidR="00D90BCC" w:rsidRPr="004D0C7F">
        <w:t xml:space="preserve"> </w:t>
      </w:r>
      <w:r w:rsidR="00D90BCC" w:rsidRPr="004D0C7F">
        <w:rPr>
          <w:rFonts w:ascii="Arial" w:hAnsi="Arial" w:cs="Arial"/>
          <w:color w:val="000000" w:themeColor="text1"/>
        </w:rPr>
        <w:t>MH FYFV ambition is also to reduce the number of patients in an out of area placement.</w:t>
      </w:r>
    </w:p>
    <w:p w:rsidR="005A13DD" w:rsidRPr="003C579A" w:rsidRDefault="005A13DD" w:rsidP="005A13DD">
      <w:pPr>
        <w:jc w:val="both"/>
        <w:rPr>
          <w:rFonts w:ascii="Arial" w:hAnsi="Arial" w:cs="Arial"/>
          <w:color w:val="000000" w:themeColor="text1"/>
          <w:highlight w:val="yellow"/>
        </w:rPr>
      </w:pPr>
    </w:p>
    <w:tbl>
      <w:tblPr>
        <w:tblStyle w:val="TableGrid"/>
        <w:tblW w:w="0" w:type="auto"/>
        <w:tblInd w:w="704" w:type="dxa"/>
        <w:tblLayout w:type="fixed"/>
        <w:tblLook w:val="04A0" w:firstRow="1" w:lastRow="0" w:firstColumn="1" w:lastColumn="0" w:noHBand="0" w:noVBand="1"/>
      </w:tblPr>
      <w:tblGrid>
        <w:gridCol w:w="834"/>
        <w:gridCol w:w="1009"/>
        <w:gridCol w:w="1134"/>
        <w:gridCol w:w="1276"/>
        <w:gridCol w:w="992"/>
        <w:gridCol w:w="1134"/>
        <w:gridCol w:w="1276"/>
      </w:tblGrid>
      <w:tr w:rsidR="005A13DD" w:rsidRPr="003C579A" w:rsidTr="00C66196">
        <w:trPr>
          <w:trHeight w:val="255"/>
        </w:trPr>
        <w:tc>
          <w:tcPr>
            <w:tcW w:w="834" w:type="dxa"/>
          </w:tcPr>
          <w:p w:rsidR="005A13DD" w:rsidRPr="00C66196" w:rsidRDefault="005A13DD" w:rsidP="00D41522">
            <w:pPr>
              <w:jc w:val="center"/>
              <w:rPr>
                <w:rFonts w:ascii="Arial" w:hAnsi="Arial" w:cs="Arial"/>
                <w:color w:val="000000" w:themeColor="text1"/>
              </w:rPr>
            </w:pPr>
          </w:p>
        </w:tc>
        <w:tc>
          <w:tcPr>
            <w:tcW w:w="3419" w:type="dxa"/>
            <w:gridSpan w:val="3"/>
            <w:shd w:val="clear" w:color="auto" w:fill="DBE5F1" w:themeFill="accent1" w:themeFillTint="33"/>
          </w:tcPr>
          <w:p w:rsidR="005A13DD" w:rsidRPr="00C66196" w:rsidRDefault="005A13DD" w:rsidP="00D41522">
            <w:pPr>
              <w:jc w:val="center"/>
              <w:rPr>
                <w:rFonts w:ascii="Arial" w:hAnsi="Arial" w:cs="Arial"/>
                <w:b/>
                <w:color w:val="000000" w:themeColor="text1"/>
              </w:rPr>
            </w:pPr>
            <w:r w:rsidRPr="00C66196">
              <w:rPr>
                <w:rFonts w:ascii="Arial" w:hAnsi="Arial" w:cs="Arial"/>
                <w:b/>
                <w:color w:val="000000" w:themeColor="text1"/>
              </w:rPr>
              <w:t>Bucks</w:t>
            </w:r>
          </w:p>
        </w:tc>
        <w:tc>
          <w:tcPr>
            <w:tcW w:w="3402" w:type="dxa"/>
            <w:gridSpan w:val="3"/>
            <w:shd w:val="clear" w:color="auto" w:fill="DBE5F1" w:themeFill="accent1" w:themeFillTint="33"/>
          </w:tcPr>
          <w:p w:rsidR="005A13DD" w:rsidRPr="00C66196" w:rsidRDefault="005A13DD" w:rsidP="00D41522">
            <w:pPr>
              <w:jc w:val="center"/>
              <w:rPr>
                <w:rFonts w:ascii="Arial" w:hAnsi="Arial" w:cs="Arial"/>
                <w:b/>
                <w:color w:val="000000" w:themeColor="text1"/>
              </w:rPr>
            </w:pPr>
            <w:r w:rsidRPr="00C66196">
              <w:rPr>
                <w:rFonts w:ascii="Arial" w:hAnsi="Arial" w:cs="Arial"/>
                <w:b/>
                <w:color w:val="000000" w:themeColor="text1"/>
              </w:rPr>
              <w:t>Oxon</w:t>
            </w:r>
          </w:p>
        </w:tc>
      </w:tr>
      <w:tr w:rsidR="005A13DD" w:rsidRPr="003C579A" w:rsidTr="00C66196">
        <w:trPr>
          <w:trHeight w:val="255"/>
        </w:trPr>
        <w:tc>
          <w:tcPr>
            <w:tcW w:w="834" w:type="dxa"/>
          </w:tcPr>
          <w:p w:rsidR="005A13DD" w:rsidRPr="00C66196" w:rsidRDefault="005A13DD" w:rsidP="00D41522">
            <w:pPr>
              <w:jc w:val="both"/>
              <w:rPr>
                <w:rFonts w:ascii="Arial" w:hAnsi="Arial" w:cs="Arial"/>
                <w:color w:val="000000" w:themeColor="text1"/>
              </w:rPr>
            </w:pPr>
          </w:p>
        </w:tc>
        <w:tc>
          <w:tcPr>
            <w:tcW w:w="1009" w:type="dxa"/>
          </w:tcPr>
          <w:p w:rsidR="005A13DD" w:rsidRPr="00C66196" w:rsidRDefault="005A13DD" w:rsidP="00D41522">
            <w:pPr>
              <w:jc w:val="both"/>
              <w:rPr>
                <w:rFonts w:ascii="Arial" w:hAnsi="Arial" w:cs="Arial"/>
                <w:b/>
                <w:color w:val="000000" w:themeColor="text1"/>
              </w:rPr>
            </w:pPr>
            <w:r w:rsidRPr="00C66196">
              <w:rPr>
                <w:rFonts w:ascii="Arial" w:hAnsi="Arial" w:cs="Arial"/>
                <w:b/>
                <w:color w:val="000000" w:themeColor="text1"/>
              </w:rPr>
              <w:t>Target</w:t>
            </w:r>
          </w:p>
        </w:tc>
        <w:tc>
          <w:tcPr>
            <w:tcW w:w="1134" w:type="dxa"/>
          </w:tcPr>
          <w:p w:rsidR="005A13DD" w:rsidRPr="00C66196" w:rsidRDefault="005A13DD" w:rsidP="00D41522">
            <w:pPr>
              <w:jc w:val="both"/>
              <w:rPr>
                <w:rFonts w:ascii="Arial" w:hAnsi="Arial" w:cs="Arial"/>
                <w:b/>
                <w:color w:val="000000" w:themeColor="text1"/>
              </w:rPr>
            </w:pPr>
            <w:r w:rsidRPr="00C66196">
              <w:rPr>
                <w:rFonts w:ascii="Arial" w:hAnsi="Arial" w:cs="Arial"/>
                <w:b/>
                <w:color w:val="000000" w:themeColor="text1"/>
              </w:rPr>
              <w:t>Actual</w:t>
            </w:r>
          </w:p>
        </w:tc>
        <w:tc>
          <w:tcPr>
            <w:tcW w:w="1276" w:type="dxa"/>
          </w:tcPr>
          <w:p w:rsidR="005A13DD" w:rsidRPr="00C66196" w:rsidRDefault="005A13DD" w:rsidP="00D41522">
            <w:pPr>
              <w:jc w:val="both"/>
              <w:rPr>
                <w:rFonts w:ascii="Arial" w:hAnsi="Arial" w:cs="Arial"/>
                <w:b/>
                <w:color w:val="000000" w:themeColor="text1"/>
              </w:rPr>
            </w:pPr>
            <w:r w:rsidRPr="00C66196">
              <w:rPr>
                <w:rFonts w:ascii="Arial" w:hAnsi="Arial" w:cs="Arial"/>
                <w:b/>
                <w:color w:val="000000" w:themeColor="text1"/>
              </w:rPr>
              <w:t>Variance</w:t>
            </w:r>
          </w:p>
        </w:tc>
        <w:tc>
          <w:tcPr>
            <w:tcW w:w="992" w:type="dxa"/>
          </w:tcPr>
          <w:p w:rsidR="005A13DD" w:rsidRPr="00C66196" w:rsidRDefault="005A13DD" w:rsidP="00D41522">
            <w:pPr>
              <w:jc w:val="both"/>
              <w:rPr>
                <w:rFonts w:ascii="Arial" w:hAnsi="Arial" w:cs="Arial"/>
                <w:b/>
                <w:color w:val="000000" w:themeColor="text1"/>
              </w:rPr>
            </w:pPr>
            <w:r w:rsidRPr="00C66196">
              <w:rPr>
                <w:rFonts w:ascii="Arial" w:hAnsi="Arial" w:cs="Arial"/>
                <w:b/>
                <w:color w:val="000000" w:themeColor="text1"/>
              </w:rPr>
              <w:t>Target</w:t>
            </w:r>
          </w:p>
        </w:tc>
        <w:tc>
          <w:tcPr>
            <w:tcW w:w="1134" w:type="dxa"/>
          </w:tcPr>
          <w:p w:rsidR="005A13DD" w:rsidRPr="00C66196" w:rsidRDefault="005A13DD" w:rsidP="00D41522">
            <w:pPr>
              <w:jc w:val="both"/>
              <w:rPr>
                <w:rFonts w:ascii="Arial" w:hAnsi="Arial" w:cs="Arial"/>
                <w:b/>
                <w:color w:val="000000" w:themeColor="text1"/>
              </w:rPr>
            </w:pPr>
            <w:r w:rsidRPr="00C66196">
              <w:rPr>
                <w:rFonts w:ascii="Arial" w:hAnsi="Arial" w:cs="Arial"/>
                <w:b/>
                <w:color w:val="000000" w:themeColor="text1"/>
              </w:rPr>
              <w:t>Actual</w:t>
            </w:r>
          </w:p>
        </w:tc>
        <w:tc>
          <w:tcPr>
            <w:tcW w:w="1276" w:type="dxa"/>
          </w:tcPr>
          <w:p w:rsidR="005A13DD" w:rsidRPr="00C66196" w:rsidRDefault="005A13DD" w:rsidP="00D41522">
            <w:pPr>
              <w:jc w:val="both"/>
              <w:rPr>
                <w:rFonts w:ascii="Arial" w:hAnsi="Arial" w:cs="Arial"/>
                <w:b/>
                <w:color w:val="000000" w:themeColor="text1"/>
              </w:rPr>
            </w:pPr>
            <w:r w:rsidRPr="00C66196">
              <w:rPr>
                <w:rFonts w:ascii="Arial" w:hAnsi="Arial" w:cs="Arial"/>
                <w:b/>
                <w:color w:val="000000" w:themeColor="text1"/>
              </w:rPr>
              <w:t>Variance</w:t>
            </w:r>
          </w:p>
        </w:tc>
      </w:tr>
      <w:tr w:rsidR="005A13DD" w:rsidRPr="003C579A" w:rsidTr="00C66196">
        <w:trPr>
          <w:trHeight w:val="255"/>
        </w:trPr>
        <w:tc>
          <w:tcPr>
            <w:tcW w:w="834" w:type="dxa"/>
          </w:tcPr>
          <w:p w:rsidR="005A13DD" w:rsidRPr="00C66196" w:rsidRDefault="005A13DD" w:rsidP="00D41522">
            <w:pPr>
              <w:jc w:val="both"/>
              <w:rPr>
                <w:rFonts w:ascii="Arial" w:hAnsi="Arial" w:cs="Arial"/>
                <w:color w:val="000000" w:themeColor="text1"/>
              </w:rPr>
            </w:pPr>
            <w:proofErr w:type="spellStart"/>
            <w:r w:rsidRPr="00C66196">
              <w:rPr>
                <w:rFonts w:ascii="Arial" w:hAnsi="Arial" w:cs="Arial"/>
                <w:color w:val="000000" w:themeColor="text1"/>
              </w:rPr>
              <w:t>Qtr</w:t>
            </w:r>
            <w:proofErr w:type="spellEnd"/>
            <w:r w:rsidRPr="00C66196">
              <w:rPr>
                <w:rFonts w:ascii="Arial" w:hAnsi="Arial" w:cs="Arial"/>
                <w:color w:val="000000" w:themeColor="text1"/>
              </w:rPr>
              <w:t xml:space="preserve"> 1</w:t>
            </w:r>
          </w:p>
        </w:tc>
        <w:tc>
          <w:tcPr>
            <w:tcW w:w="1009" w:type="dxa"/>
          </w:tcPr>
          <w:p w:rsidR="005A13DD" w:rsidRPr="00C66196" w:rsidRDefault="005A13DD" w:rsidP="00D41522">
            <w:pPr>
              <w:jc w:val="both"/>
              <w:rPr>
                <w:rFonts w:ascii="Arial" w:hAnsi="Arial" w:cs="Arial"/>
                <w:color w:val="000000" w:themeColor="text1"/>
              </w:rPr>
            </w:pPr>
            <w:r w:rsidRPr="00C66196">
              <w:rPr>
                <w:rFonts w:ascii="Arial" w:hAnsi="Arial" w:cs="Arial"/>
                <w:color w:val="000000" w:themeColor="text1"/>
              </w:rPr>
              <w:t>281</w:t>
            </w:r>
          </w:p>
        </w:tc>
        <w:tc>
          <w:tcPr>
            <w:tcW w:w="1134" w:type="dxa"/>
          </w:tcPr>
          <w:p w:rsidR="005A13DD" w:rsidRPr="00C66196" w:rsidRDefault="005A13DD" w:rsidP="00D41522">
            <w:pPr>
              <w:jc w:val="both"/>
              <w:rPr>
                <w:rFonts w:ascii="Arial" w:hAnsi="Arial" w:cs="Arial"/>
                <w:color w:val="000000" w:themeColor="text1"/>
              </w:rPr>
            </w:pPr>
            <w:r w:rsidRPr="00C66196">
              <w:rPr>
                <w:rFonts w:ascii="Arial" w:hAnsi="Arial" w:cs="Arial"/>
                <w:color w:val="000000" w:themeColor="text1"/>
              </w:rPr>
              <w:t>452</w:t>
            </w:r>
          </w:p>
        </w:tc>
        <w:tc>
          <w:tcPr>
            <w:tcW w:w="1276" w:type="dxa"/>
            <w:shd w:val="clear" w:color="auto" w:fill="FF0000"/>
          </w:tcPr>
          <w:p w:rsidR="005A13DD" w:rsidRPr="00C66196" w:rsidRDefault="005A13DD" w:rsidP="00D41522">
            <w:pPr>
              <w:jc w:val="both"/>
              <w:rPr>
                <w:rFonts w:ascii="Arial" w:hAnsi="Arial" w:cs="Arial"/>
                <w:color w:val="000000" w:themeColor="text1"/>
              </w:rPr>
            </w:pPr>
            <w:r w:rsidRPr="00C66196">
              <w:rPr>
                <w:rFonts w:ascii="Arial" w:hAnsi="Arial" w:cs="Arial"/>
                <w:color w:val="000000" w:themeColor="text1"/>
              </w:rPr>
              <w:t>+171</w:t>
            </w:r>
          </w:p>
        </w:tc>
        <w:tc>
          <w:tcPr>
            <w:tcW w:w="992" w:type="dxa"/>
          </w:tcPr>
          <w:p w:rsidR="005A13DD" w:rsidRPr="00C66196" w:rsidRDefault="005A13DD" w:rsidP="00D41522">
            <w:pPr>
              <w:jc w:val="both"/>
              <w:rPr>
                <w:rFonts w:ascii="Arial" w:hAnsi="Arial" w:cs="Arial"/>
                <w:color w:val="000000" w:themeColor="text1"/>
              </w:rPr>
            </w:pPr>
            <w:r w:rsidRPr="00C66196">
              <w:rPr>
                <w:rFonts w:ascii="Arial" w:hAnsi="Arial" w:cs="Arial"/>
                <w:color w:val="000000" w:themeColor="text1"/>
              </w:rPr>
              <w:t>302</w:t>
            </w:r>
          </w:p>
        </w:tc>
        <w:tc>
          <w:tcPr>
            <w:tcW w:w="1134" w:type="dxa"/>
          </w:tcPr>
          <w:p w:rsidR="005A13DD" w:rsidRPr="00C66196" w:rsidRDefault="005A13DD" w:rsidP="00D41522">
            <w:pPr>
              <w:jc w:val="both"/>
              <w:rPr>
                <w:rFonts w:ascii="Arial" w:hAnsi="Arial" w:cs="Arial"/>
                <w:color w:val="000000" w:themeColor="text1"/>
              </w:rPr>
            </w:pPr>
            <w:r w:rsidRPr="00C66196">
              <w:rPr>
                <w:rFonts w:ascii="Arial" w:hAnsi="Arial" w:cs="Arial"/>
                <w:color w:val="000000" w:themeColor="text1"/>
              </w:rPr>
              <w:t>388</w:t>
            </w:r>
          </w:p>
        </w:tc>
        <w:tc>
          <w:tcPr>
            <w:tcW w:w="1276" w:type="dxa"/>
            <w:shd w:val="clear" w:color="auto" w:fill="FF0000"/>
          </w:tcPr>
          <w:p w:rsidR="005A13DD" w:rsidRPr="00C66196" w:rsidRDefault="005A13DD" w:rsidP="00D41522">
            <w:pPr>
              <w:jc w:val="both"/>
              <w:rPr>
                <w:rFonts w:ascii="Arial" w:hAnsi="Arial" w:cs="Arial"/>
                <w:color w:val="000000" w:themeColor="text1"/>
              </w:rPr>
            </w:pPr>
            <w:r w:rsidRPr="00C66196">
              <w:rPr>
                <w:rFonts w:ascii="Arial" w:hAnsi="Arial" w:cs="Arial"/>
                <w:color w:val="000000" w:themeColor="text1"/>
              </w:rPr>
              <w:t>+86</w:t>
            </w:r>
          </w:p>
        </w:tc>
      </w:tr>
      <w:tr w:rsidR="005A13DD" w:rsidTr="00C66196">
        <w:trPr>
          <w:trHeight w:val="255"/>
        </w:trPr>
        <w:tc>
          <w:tcPr>
            <w:tcW w:w="834" w:type="dxa"/>
          </w:tcPr>
          <w:p w:rsidR="005A13DD" w:rsidRPr="00C66196" w:rsidRDefault="005A13DD" w:rsidP="00D41522">
            <w:pPr>
              <w:jc w:val="both"/>
              <w:rPr>
                <w:rFonts w:ascii="Arial" w:hAnsi="Arial" w:cs="Arial"/>
                <w:color w:val="000000" w:themeColor="text1"/>
              </w:rPr>
            </w:pPr>
            <w:proofErr w:type="spellStart"/>
            <w:r w:rsidRPr="00C66196">
              <w:rPr>
                <w:rFonts w:ascii="Arial" w:hAnsi="Arial" w:cs="Arial"/>
                <w:color w:val="000000" w:themeColor="text1"/>
              </w:rPr>
              <w:t>Qtr</w:t>
            </w:r>
            <w:proofErr w:type="spellEnd"/>
            <w:r w:rsidRPr="00C66196">
              <w:rPr>
                <w:rFonts w:ascii="Arial" w:hAnsi="Arial" w:cs="Arial"/>
                <w:color w:val="000000" w:themeColor="text1"/>
              </w:rPr>
              <w:t xml:space="preserve"> 2</w:t>
            </w:r>
          </w:p>
        </w:tc>
        <w:tc>
          <w:tcPr>
            <w:tcW w:w="1009" w:type="dxa"/>
          </w:tcPr>
          <w:p w:rsidR="005A13DD" w:rsidRPr="00C66196" w:rsidRDefault="005A13DD" w:rsidP="00D41522">
            <w:pPr>
              <w:jc w:val="both"/>
              <w:rPr>
                <w:rFonts w:ascii="Arial" w:hAnsi="Arial" w:cs="Arial"/>
                <w:color w:val="000000" w:themeColor="text1"/>
              </w:rPr>
            </w:pPr>
            <w:r w:rsidRPr="00C66196">
              <w:rPr>
                <w:rFonts w:ascii="Arial" w:hAnsi="Arial" w:cs="Arial"/>
                <w:color w:val="000000" w:themeColor="text1"/>
              </w:rPr>
              <w:t>249</w:t>
            </w:r>
          </w:p>
        </w:tc>
        <w:tc>
          <w:tcPr>
            <w:tcW w:w="1134" w:type="dxa"/>
          </w:tcPr>
          <w:p w:rsidR="005A13DD" w:rsidRPr="00C66196" w:rsidRDefault="005A13DD" w:rsidP="00D41522">
            <w:pPr>
              <w:jc w:val="both"/>
              <w:rPr>
                <w:rFonts w:ascii="Arial" w:hAnsi="Arial" w:cs="Arial"/>
                <w:color w:val="000000" w:themeColor="text1"/>
              </w:rPr>
            </w:pPr>
            <w:r w:rsidRPr="00C66196">
              <w:rPr>
                <w:rFonts w:ascii="Arial" w:hAnsi="Arial" w:cs="Arial"/>
                <w:color w:val="000000" w:themeColor="text1"/>
              </w:rPr>
              <w:t>494</w:t>
            </w:r>
          </w:p>
        </w:tc>
        <w:tc>
          <w:tcPr>
            <w:tcW w:w="1276" w:type="dxa"/>
            <w:shd w:val="clear" w:color="auto" w:fill="FF0000"/>
          </w:tcPr>
          <w:p w:rsidR="005A13DD" w:rsidRPr="00C66196" w:rsidRDefault="005A13DD" w:rsidP="00D41522">
            <w:pPr>
              <w:jc w:val="both"/>
              <w:rPr>
                <w:rFonts w:ascii="Arial" w:hAnsi="Arial" w:cs="Arial"/>
                <w:color w:val="000000" w:themeColor="text1"/>
              </w:rPr>
            </w:pPr>
            <w:r w:rsidRPr="00C66196">
              <w:rPr>
                <w:rFonts w:ascii="Arial" w:hAnsi="Arial" w:cs="Arial"/>
                <w:color w:val="000000" w:themeColor="text1"/>
              </w:rPr>
              <w:t>+245</w:t>
            </w:r>
          </w:p>
        </w:tc>
        <w:tc>
          <w:tcPr>
            <w:tcW w:w="992" w:type="dxa"/>
          </w:tcPr>
          <w:p w:rsidR="005A13DD" w:rsidRPr="00C66196" w:rsidRDefault="005A13DD" w:rsidP="00D41522">
            <w:pPr>
              <w:jc w:val="both"/>
              <w:rPr>
                <w:rFonts w:ascii="Arial" w:hAnsi="Arial" w:cs="Arial"/>
                <w:color w:val="000000" w:themeColor="text1"/>
              </w:rPr>
            </w:pPr>
            <w:r w:rsidRPr="00C66196">
              <w:rPr>
                <w:rFonts w:ascii="Arial" w:hAnsi="Arial" w:cs="Arial"/>
                <w:color w:val="000000" w:themeColor="text1"/>
              </w:rPr>
              <w:t>268</w:t>
            </w:r>
          </w:p>
        </w:tc>
        <w:tc>
          <w:tcPr>
            <w:tcW w:w="1134" w:type="dxa"/>
          </w:tcPr>
          <w:p w:rsidR="005A13DD" w:rsidRPr="00C66196" w:rsidRDefault="005A13DD" w:rsidP="00D41522">
            <w:pPr>
              <w:jc w:val="both"/>
              <w:rPr>
                <w:rFonts w:ascii="Arial" w:hAnsi="Arial" w:cs="Arial"/>
                <w:color w:val="000000" w:themeColor="text1"/>
              </w:rPr>
            </w:pPr>
            <w:r w:rsidRPr="00C66196">
              <w:rPr>
                <w:rFonts w:ascii="Arial" w:hAnsi="Arial" w:cs="Arial"/>
                <w:color w:val="000000" w:themeColor="text1"/>
              </w:rPr>
              <w:t>442</w:t>
            </w:r>
          </w:p>
        </w:tc>
        <w:tc>
          <w:tcPr>
            <w:tcW w:w="1276" w:type="dxa"/>
            <w:shd w:val="clear" w:color="auto" w:fill="FF0000"/>
          </w:tcPr>
          <w:p w:rsidR="005A13DD" w:rsidRPr="00C66196" w:rsidRDefault="005A13DD" w:rsidP="00D41522">
            <w:pPr>
              <w:jc w:val="both"/>
              <w:rPr>
                <w:rFonts w:ascii="Arial" w:hAnsi="Arial" w:cs="Arial"/>
                <w:color w:val="000000" w:themeColor="text1"/>
              </w:rPr>
            </w:pPr>
            <w:r w:rsidRPr="00C66196">
              <w:rPr>
                <w:rFonts w:ascii="Arial" w:hAnsi="Arial" w:cs="Arial"/>
                <w:color w:val="000000" w:themeColor="text1"/>
              </w:rPr>
              <w:t>+174</w:t>
            </w:r>
          </w:p>
        </w:tc>
      </w:tr>
      <w:tr w:rsidR="004D0C7F" w:rsidTr="00C66196">
        <w:trPr>
          <w:trHeight w:val="255"/>
        </w:trPr>
        <w:tc>
          <w:tcPr>
            <w:tcW w:w="834" w:type="dxa"/>
          </w:tcPr>
          <w:p w:rsidR="004D0C7F" w:rsidRPr="00C66196" w:rsidRDefault="004D0C7F" w:rsidP="00D41522">
            <w:pPr>
              <w:jc w:val="both"/>
              <w:rPr>
                <w:rFonts w:ascii="Arial" w:hAnsi="Arial" w:cs="Arial"/>
                <w:color w:val="000000" w:themeColor="text1"/>
              </w:rPr>
            </w:pPr>
            <w:proofErr w:type="spellStart"/>
            <w:r w:rsidRPr="00C66196">
              <w:rPr>
                <w:rFonts w:ascii="Arial" w:hAnsi="Arial" w:cs="Arial"/>
                <w:color w:val="000000" w:themeColor="text1"/>
              </w:rPr>
              <w:t>Qtr</w:t>
            </w:r>
            <w:proofErr w:type="spellEnd"/>
            <w:r w:rsidRPr="00C66196">
              <w:rPr>
                <w:rFonts w:ascii="Arial" w:hAnsi="Arial" w:cs="Arial"/>
                <w:color w:val="000000" w:themeColor="text1"/>
              </w:rPr>
              <w:t xml:space="preserve"> 3</w:t>
            </w:r>
          </w:p>
        </w:tc>
        <w:tc>
          <w:tcPr>
            <w:tcW w:w="1009" w:type="dxa"/>
          </w:tcPr>
          <w:p w:rsidR="004D0C7F" w:rsidRPr="00C66196" w:rsidRDefault="00C66196" w:rsidP="00D41522">
            <w:pPr>
              <w:jc w:val="both"/>
              <w:rPr>
                <w:rFonts w:ascii="Arial" w:hAnsi="Arial" w:cs="Arial"/>
                <w:color w:val="000000" w:themeColor="text1"/>
              </w:rPr>
            </w:pPr>
            <w:r w:rsidRPr="00C66196">
              <w:rPr>
                <w:rFonts w:ascii="Arial" w:hAnsi="Arial" w:cs="Arial"/>
                <w:color w:val="000000" w:themeColor="text1"/>
              </w:rPr>
              <w:t>221</w:t>
            </w:r>
          </w:p>
        </w:tc>
        <w:tc>
          <w:tcPr>
            <w:tcW w:w="1134" w:type="dxa"/>
          </w:tcPr>
          <w:p w:rsidR="004D0C7F" w:rsidRPr="00C66196" w:rsidRDefault="004D0C7F" w:rsidP="00D41522">
            <w:pPr>
              <w:jc w:val="both"/>
              <w:rPr>
                <w:rFonts w:ascii="Arial" w:hAnsi="Arial" w:cs="Arial"/>
                <w:color w:val="000000" w:themeColor="text1"/>
              </w:rPr>
            </w:pPr>
            <w:r w:rsidRPr="00C66196">
              <w:rPr>
                <w:rFonts w:ascii="Arial" w:hAnsi="Arial" w:cs="Arial"/>
                <w:color w:val="000000" w:themeColor="text1"/>
              </w:rPr>
              <w:t>518</w:t>
            </w:r>
          </w:p>
        </w:tc>
        <w:tc>
          <w:tcPr>
            <w:tcW w:w="1276" w:type="dxa"/>
            <w:shd w:val="clear" w:color="auto" w:fill="FF0000"/>
          </w:tcPr>
          <w:p w:rsidR="004D0C7F" w:rsidRPr="00C66196" w:rsidRDefault="00C66196" w:rsidP="00D41522">
            <w:pPr>
              <w:jc w:val="both"/>
              <w:rPr>
                <w:rFonts w:ascii="Arial" w:hAnsi="Arial" w:cs="Arial"/>
                <w:color w:val="000000" w:themeColor="text1"/>
              </w:rPr>
            </w:pPr>
            <w:r w:rsidRPr="00C66196">
              <w:rPr>
                <w:rFonts w:ascii="Arial" w:hAnsi="Arial" w:cs="Arial"/>
                <w:color w:val="000000" w:themeColor="text1"/>
              </w:rPr>
              <w:t>+297</w:t>
            </w:r>
          </w:p>
        </w:tc>
        <w:tc>
          <w:tcPr>
            <w:tcW w:w="992" w:type="dxa"/>
          </w:tcPr>
          <w:p w:rsidR="004D0C7F" w:rsidRPr="00C66196" w:rsidRDefault="00C66196" w:rsidP="00D41522">
            <w:pPr>
              <w:jc w:val="both"/>
              <w:rPr>
                <w:rFonts w:ascii="Arial" w:hAnsi="Arial" w:cs="Arial"/>
                <w:color w:val="000000" w:themeColor="text1"/>
              </w:rPr>
            </w:pPr>
            <w:r w:rsidRPr="00C66196">
              <w:rPr>
                <w:rFonts w:ascii="Arial" w:hAnsi="Arial" w:cs="Arial"/>
                <w:color w:val="000000" w:themeColor="text1"/>
              </w:rPr>
              <w:t>238</w:t>
            </w:r>
          </w:p>
        </w:tc>
        <w:tc>
          <w:tcPr>
            <w:tcW w:w="1134" w:type="dxa"/>
          </w:tcPr>
          <w:p w:rsidR="004D0C7F" w:rsidRPr="00C66196" w:rsidRDefault="004D0C7F" w:rsidP="00D41522">
            <w:pPr>
              <w:jc w:val="both"/>
              <w:rPr>
                <w:rFonts w:ascii="Arial" w:hAnsi="Arial" w:cs="Arial"/>
                <w:color w:val="000000" w:themeColor="text1"/>
              </w:rPr>
            </w:pPr>
            <w:r w:rsidRPr="00C66196">
              <w:rPr>
                <w:rFonts w:ascii="Arial" w:hAnsi="Arial" w:cs="Arial"/>
                <w:color w:val="000000" w:themeColor="text1"/>
              </w:rPr>
              <w:t>660</w:t>
            </w:r>
          </w:p>
        </w:tc>
        <w:tc>
          <w:tcPr>
            <w:tcW w:w="1276" w:type="dxa"/>
            <w:shd w:val="clear" w:color="auto" w:fill="FF0000"/>
          </w:tcPr>
          <w:p w:rsidR="004D0C7F" w:rsidRPr="00C66196" w:rsidRDefault="00C66196" w:rsidP="00D41522">
            <w:pPr>
              <w:jc w:val="both"/>
              <w:rPr>
                <w:rFonts w:ascii="Arial" w:hAnsi="Arial" w:cs="Arial"/>
                <w:color w:val="000000" w:themeColor="text1"/>
              </w:rPr>
            </w:pPr>
            <w:r w:rsidRPr="00C66196">
              <w:rPr>
                <w:rFonts w:ascii="Arial" w:hAnsi="Arial" w:cs="Arial"/>
                <w:color w:val="000000" w:themeColor="text1"/>
              </w:rPr>
              <w:t>+422</w:t>
            </w:r>
          </w:p>
        </w:tc>
      </w:tr>
    </w:tbl>
    <w:p w:rsidR="005A13DD" w:rsidRDefault="005A13DD" w:rsidP="00626BB3">
      <w:pPr>
        <w:jc w:val="both"/>
        <w:rPr>
          <w:rFonts w:ascii="Arial" w:hAnsi="Arial" w:cs="Arial"/>
        </w:rPr>
      </w:pPr>
    </w:p>
    <w:p w:rsidR="00017A12" w:rsidRDefault="00D01E91" w:rsidP="00017A12">
      <w:pPr>
        <w:jc w:val="both"/>
        <w:rPr>
          <w:rFonts w:ascii="Arial" w:hAnsi="Arial" w:cs="Arial"/>
          <w:b/>
        </w:rPr>
      </w:pPr>
      <w:r>
        <w:rPr>
          <w:rFonts w:ascii="Arial" w:hAnsi="Arial" w:cs="Arial"/>
          <w:b/>
          <w:noProof/>
        </w:rPr>
        <w:t xml:space="preserve">  </w:t>
      </w:r>
      <w:r>
        <w:rPr>
          <w:rFonts w:ascii="Arial" w:hAnsi="Arial" w:cs="Arial"/>
          <w:b/>
          <w:noProof/>
          <w:lang w:val="en-GB" w:eastAsia="en-GB"/>
        </w:rPr>
        <w:drawing>
          <wp:inline distT="0" distB="0" distL="0" distR="0" wp14:anchorId="71DB00D1" wp14:editId="79BB4D2E">
            <wp:extent cx="285750" cy="3670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645" cy="379758"/>
                    </a:xfrm>
                    <a:prstGeom prst="rect">
                      <a:avLst/>
                    </a:prstGeom>
                    <a:noFill/>
                  </pic:spPr>
                </pic:pic>
              </a:graphicData>
            </a:graphic>
          </wp:inline>
        </w:drawing>
      </w:r>
      <w:r>
        <w:rPr>
          <w:rFonts w:ascii="Arial" w:hAnsi="Arial" w:cs="Arial"/>
          <w:b/>
        </w:rPr>
        <w:t xml:space="preserve">      </w:t>
      </w:r>
      <w:proofErr w:type="spellStart"/>
      <w:r w:rsidR="005A13DD">
        <w:rPr>
          <w:rFonts w:ascii="Arial" w:hAnsi="Arial" w:cs="Arial"/>
          <w:b/>
        </w:rPr>
        <w:t>Organisational</w:t>
      </w:r>
      <w:proofErr w:type="spellEnd"/>
      <w:r w:rsidR="005A13DD">
        <w:rPr>
          <w:rFonts w:ascii="Arial" w:hAnsi="Arial" w:cs="Arial"/>
          <w:b/>
        </w:rPr>
        <w:t xml:space="preserve"> Health Headlines</w:t>
      </w:r>
    </w:p>
    <w:p w:rsidR="00017A12" w:rsidRDefault="00017A12" w:rsidP="00017A12">
      <w:pPr>
        <w:jc w:val="both"/>
        <w:rPr>
          <w:rFonts w:ascii="Arial" w:hAnsi="Arial" w:cs="Arial"/>
          <w:b/>
        </w:rPr>
      </w:pPr>
    </w:p>
    <w:p w:rsidR="005A13DD" w:rsidRPr="005A13DD" w:rsidRDefault="00E6707E" w:rsidP="005A13DD">
      <w:pPr>
        <w:pStyle w:val="ListParagraph"/>
        <w:numPr>
          <w:ilvl w:val="0"/>
          <w:numId w:val="23"/>
        </w:numPr>
        <w:jc w:val="both"/>
        <w:rPr>
          <w:rFonts w:ascii="Arial" w:hAnsi="Arial" w:cs="Arial"/>
          <w:b/>
        </w:rPr>
      </w:pPr>
      <w:r w:rsidRPr="005A13DD">
        <w:rPr>
          <w:rFonts w:ascii="Arial" w:hAnsi="Arial" w:cs="Arial"/>
          <w:b/>
        </w:rPr>
        <w:t>Staff Turnover</w:t>
      </w:r>
    </w:p>
    <w:p w:rsidR="005A13DD" w:rsidRPr="005A13DD" w:rsidRDefault="003C579A" w:rsidP="00D90BCC">
      <w:pPr>
        <w:ind w:left="720"/>
        <w:jc w:val="both"/>
        <w:rPr>
          <w:rFonts w:ascii="Arial" w:hAnsi="Arial" w:cs="Arial"/>
        </w:rPr>
      </w:pPr>
      <w:r w:rsidRPr="007B2C46">
        <w:rPr>
          <w:rFonts w:ascii="Arial" w:hAnsi="Arial" w:cs="Arial"/>
        </w:rPr>
        <w:t xml:space="preserve">Latest published data </w:t>
      </w:r>
      <w:r w:rsidR="002F79F6">
        <w:rPr>
          <w:rFonts w:ascii="Arial" w:hAnsi="Arial" w:cs="Arial"/>
        </w:rPr>
        <w:t>Dec</w:t>
      </w:r>
      <w:r w:rsidRPr="007B2C46">
        <w:rPr>
          <w:rFonts w:ascii="Arial" w:hAnsi="Arial" w:cs="Arial"/>
        </w:rPr>
        <w:t xml:space="preserve"> 18 </w:t>
      </w:r>
      <w:r w:rsidR="00E6707E" w:rsidRPr="007B2C46">
        <w:rPr>
          <w:rFonts w:ascii="Arial" w:hAnsi="Arial" w:cs="Arial"/>
        </w:rPr>
        <w:t>is at 1</w:t>
      </w:r>
      <w:r w:rsidRPr="007B2C46">
        <w:rPr>
          <w:rFonts w:ascii="Arial" w:hAnsi="Arial" w:cs="Arial"/>
        </w:rPr>
        <w:t>3.</w:t>
      </w:r>
      <w:r w:rsidR="002F79F6">
        <w:rPr>
          <w:rFonts w:ascii="Arial" w:hAnsi="Arial" w:cs="Arial"/>
        </w:rPr>
        <w:t>57</w:t>
      </w:r>
      <w:r w:rsidRPr="007B2C46">
        <w:rPr>
          <w:rFonts w:ascii="Arial" w:hAnsi="Arial" w:cs="Arial"/>
        </w:rPr>
        <w:t>%</w:t>
      </w:r>
      <w:r w:rsidR="005A13DD" w:rsidRPr="007B2C46">
        <w:rPr>
          <w:rFonts w:ascii="Arial" w:hAnsi="Arial" w:cs="Arial"/>
        </w:rPr>
        <w:t>.  The difficulties in recruiting and retaining suitably qualified staff continues to have a direct impact on the Trust’s ability to deliver services.  Work to streamline the recruitment process and to improve staff retention rates continues under the workforce strategy being led by HR.</w:t>
      </w:r>
    </w:p>
    <w:p w:rsidR="00C068F9" w:rsidRDefault="00C068F9" w:rsidP="00626BB3">
      <w:pPr>
        <w:jc w:val="both"/>
        <w:rPr>
          <w:rFonts w:ascii="Arial" w:hAnsi="Arial" w:cs="Arial"/>
        </w:rPr>
      </w:pPr>
    </w:p>
    <w:p w:rsidR="0058211E" w:rsidRDefault="00C66196" w:rsidP="00D90BCC">
      <w:pPr>
        <w:shd w:val="clear" w:color="auto" w:fill="8DB3E2" w:themeFill="text2" w:themeFillTint="66"/>
        <w:jc w:val="both"/>
        <w:rPr>
          <w:rFonts w:ascii="Arial" w:hAnsi="Arial" w:cs="Arial"/>
          <w:b/>
        </w:rPr>
      </w:pPr>
      <w:r>
        <w:rPr>
          <w:rFonts w:ascii="Arial" w:hAnsi="Arial" w:cs="Arial"/>
          <w:b/>
        </w:rPr>
        <w:t>S</w:t>
      </w:r>
      <w:r w:rsidR="00D90BCC">
        <w:rPr>
          <w:rFonts w:ascii="Arial" w:hAnsi="Arial" w:cs="Arial"/>
          <w:b/>
        </w:rPr>
        <w:t>ection 3 – I</w:t>
      </w:r>
      <w:r w:rsidR="007C3BE6" w:rsidRPr="00D90BCC">
        <w:rPr>
          <w:rFonts w:ascii="Arial" w:hAnsi="Arial" w:cs="Arial"/>
          <w:b/>
        </w:rPr>
        <w:t>ndividual Directorate performance against</w:t>
      </w:r>
      <w:r w:rsidR="007C3BE6">
        <w:rPr>
          <w:rFonts w:ascii="Arial" w:hAnsi="Arial" w:cs="Arial"/>
        </w:rPr>
        <w:t xml:space="preserve"> targeted </w:t>
      </w:r>
      <w:r w:rsidR="0078238E">
        <w:rPr>
          <w:rFonts w:ascii="Arial" w:hAnsi="Arial" w:cs="Arial"/>
        </w:rPr>
        <w:t>KPIs</w:t>
      </w:r>
    </w:p>
    <w:p w:rsidR="007C3BE6" w:rsidRDefault="007C3BE6" w:rsidP="00626BB3">
      <w:pPr>
        <w:jc w:val="both"/>
        <w:rPr>
          <w:rFonts w:ascii="Arial" w:hAnsi="Arial" w:cs="Arial"/>
          <w:b/>
        </w:rPr>
      </w:pPr>
    </w:p>
    <w:p w:rsidR="0056581C" w:rsidRPr="00801A75" w:rsidRDefault="0078238E" w:rsidP="0056581C">
      <w:pPr>
        <w:shd w:val="clear" w:color="auto" w:fill="DBE5F1" w:themeFill="accent1" w:themeFillTint="33"/>
        <w:rPr>
          <w:rFonts w:ascii="Arial" w:hAnsi="Arial" w:cs="Arial"/>
          <w:b/>
        </w:rPr>
      </w:pPr>
      <w:r>
        <w:rPr>
          <w:rFonts w:ascii="Arial" w:hAnsi="Arial" w:cs="Arial"/>
          <w:b/>
        </w:rPr>
        <w:t xml:space="preserve">3.1 </w:t>
      </w:r>
      <w:proofErr w:type="spellStart"/>
      <w:r w:rsidR="0056581C">
        <w:rPr>
          <w:rFonts w:ascii="Arial" w:hAnsi="Arial" w:cs="Arial"/>
          <w:b/>
        </w:rPr>
        <w:t>Oxfordshire</w:t>
      </w:r>
      <w:proofErr w:type="spellEnd"/>
      <w:r w:rsidR="0056581C">
        <w:rPr>
          <w:rFonts w:ascii="Arial" w:hAnsi="Arial" w:cs="Arial"/>
          <w:b/>
        </w:rPr>
        <w:t xml:space="preserve">, </w:t>
      </w:r>
      <w:r w:rsidR="0002440D">
        <w:rPr>
          <w:rFonts w:ascii="Arial" w:hAnsi="Arial" w:cs="Arial"/>
          <w:b/>
        </w:rPr>
        <w:t xml:space="preserve">Banes, </w:t>
      </w:r>
      <w:proofErr w:type="spellStart"/>
      <w:r w:rsidR="0056581C">
        <w:rPr>
          <w:rFonts w:ascii="Arial" w:hAnsi="Arial" w:cs="Arial"/>
          <w:b/>
        </w:rPr>
        <w:t>Swindon</w:t>
      </w:r>
      <w:proofErr w:type="spellEnd"/>
      <w:r w:rsidR="0002440D">
        <w:rPr>
          <w:rFonts w:ascii="Arial" w:hAnsi="Arial" w:cs="Arial"/>
          <w:b/>
        </w:rPr>
        <w:t xml:space="preserve"> &amp;</w:t>
      </w:r>
      <w:r w:rsidR="0056581C">
        <w:rPr>
          <w:rFonts w:ascii="Arial" w:hAnsi="Arial" w:cs="Arial"/>
          <w:b/>
        </w:rPr>
        <w:t xml:space="preserve"> Wiltshire</w:t>
      </w:r>
      <w:r w:rsidR="0002440D">
        <w:rPr>
          <w:rFonts w:ascii="Arial" w:hAnsi="Arial" w:cs="Arial"/>
          <w:b/>
        </w:rPr>
        <w:t xml:space="preserve"> -</w:t>
      </w:r>
      <w:r w:rsidR="0056581C">
        <w:rPr>
          <w:rFonts w:ascii="Arial" w:hAnsi="Arial" w:cs="Arial"/>
          <w:b/>
        </w:rPr>
        <w:t xml:space="preserve"> All Ages Mental Health</w:t>
      </w:r>
    </w:p>
    <w:p w:rsidR="00D37A32" w:rsidRDefault="00D37A32" w:rsidP="00626BB3">
      <w:pPr>
        <w:jc w:val="both"/>
        <w:rPr>
          <w:rFonts w:ascii="Arial" w:hAnsi="Arial" w:cs="Arial"/>
          <w:b/>
        </w:rPr>
      </w:pPr>
    </w:p>
    <w:p w:rsidR="00D41522" w:rsidRDefault="007D025B" w:rsidP="007D025B">
      <w:pPr>
        <w:rPr>
          <w:rFonts w:ascii="Arial" w:hAnsi="Arial" w:cs="Arial"/>
        </w:rPr>
      </w:pPr>
      <w:r>
        <w:rPr>
          <w:rFonts w:ascii="Arial" w:hAnsi="Arial" w:cs="Arial"/>
        </w:rPr>
        <w:t>The table below illustrates the directorate’s performance against its contracts as at Q</w:t>
      </w:r>
      <w:r w:rsidR="00C66196">
        <w:rPr>
          <w:rFonts w:ascii="Arial" w:hAnsi="Arial" w:cs="Arial"/>
        </w:rPr>
        <w:t>3</w:t>
      </w:r>
      <w:r>
        <w:rPr>
          <w:rFonts w:ascii="Arial" w:hAnsi="Arial" w:cs="Arial"/>
        </w:rPr>
        <w:t>;</w:t>
      </w:r>
    </w:p>
    <w:p w:rsidR="007D025B" w:rsidRDefault="007D025B" w:rsidP="00D37A32">
      <w:pPr>
        <w:jc w:val="both"/>
        <w:rPr>
          <w:rFonts w:ascii="Arial" w:hAnsi="Arial" w:cs="Arial"/>
        </w:rPr>
      </w:pPr>
    </w:p>
    <w:p w:rsidR="00AF07FE" w:rsidRDefault="00AF07FE" w:rsidP="00D37A32">
      <w:pPr>
        <w:jc w:val="both"/>
        <w:rPr>
          <w:rFonts w:ascii="Arial" w:hAnsi="Arial" w:cs="Arial"/>
        </w:rPr>
      </w:pPr>
      <w:r w:rsidRPr="00AF07FE">
        <w:rPr>
          <w:noProof/>
          <w:lang w:val="en-GB" w:eastAsia="en-GB"/>
        </w:rPr>
        <w:drawing>
          <wp:inline distT="0" distB="0" distL="0" distR="0">
            <wp:extent cx="5490210" cy="183470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0210" cy="1834703"/>
                    </a:xfrm>
                    <a:prstGeom prst="rect">
                      <a:avLst/>
                    </a:prstGeom>
                    <a:noFill/>
                    <a:ln>
                      <a:noFill/>
                    </a:ln>
                  </pic:spPr>
                </pic:pic>
              </a:graphicData>
            </a:graphic>
          </wp:inline>
        </w:drawing>
      </w:r>
    </w:p>
    <w:p w:rsidR="00AF07FE" w:rsidRDefault="00AF07FE" w:rsidP="00D37A32">
      <w:pPr>
        <w:jc w:val="both"/>
        <w:rPr>
          <w:rFonts w:ascii="Arial" w:hAnsi="Arial" w:cs="Arial"/>
        </w:rPr>
      </w:pPr>
    </w:p>
    <w:p w:rsidR="00D41522" w:rsidRDefault="007D025B" w:rsidP="00D37A32">
      <w:pPr>
        <w:jc w:val="both"/>
        <w:rPr>
          <w:rFonts w:ascii="Arial" w:hAnsi="Arial" w:cs="Arial"/>
        </w:rPr>
      </w:pPr>
      <w:r w:rsidRPr="00973671">
        <w:rPr>
          <w:rFonts w:ascii="Arial" w:hAnsi="Arial" w:cs="Arial"/>
        </w:rPr>
        <w:t>The Trust is in the process of meeti</w:t>
      </w:r>
      <w:r>
        <w:rPr>
          <w:rFonts w:ascii="Arial" w:hAnsi="Arial" w:cs="Arial"/>
        </w:rPr>
        <w:t xml:space="preserve">ng with commissioners to review </w:t>
      </w:r>
      <w:r w:rsidRPr="00973671">
        <w:rPr>
          <w:rFonts w:ascii="Arial" w:hAnsi="Arial" w:cs="Arial"/>
        </w:rPr>
        <w:t xml:space="preserve">contractual KPIs </w:t>
      </w:r>
      <w:r>
        <w:rPr>
          <w:rFonts w:ascii="Arial" w:hAnsi="Arial" w:cs="Arial"/>
        </w:rPr>
        <w:t>for Oxon Mental Health Services.  The aim is to e</w:t>
      </w:r>
      <w:r w:rsidRPr="00973671">
        <w:rPr>
          <w:rFonts w:ascii="Arial" w:hAnsi="Arial" w:cs="Arial"/>
        </w:rPr>
        <w:t xml:space="preserve">nsure </w:t>
      </w:r>
      <w:r>
        <w:rPr>
          <w:rFonts w:ascii="Arial" w:hAnsi="Arial" w:cs="Arial"/>
        </w:rPr>
        <w:t xml:space="preserve">that they </w:t>
      </w:r>
      <w:r w:rsidRPr="00973671">
        <w:rPr>
          <w:rFonts w:ascii="Arial" w:hAnsi="Arial" w:cs="Arial"/>
        </w:rPr>
        <w:t>have clinical value.</w:t>
      </w:r>
      <w:r>
        <w:rPr>
          <w:rFonts w:ascii="Arial" w:hAnsi="Arial" w:cs="Arial"/>
        </w:rPr>
        <w:t xml:space="preserve">  </w:t>
      </w:r>
      <w:r w:rsidR="0078238E" w:rsidRPr="0078238E">
        <w:rPr>
          <w:rFonts w:ascii="Arial" w:hAnsi="Arial" w:cs="Arial"/>
        </w:rPr>
        <w:t xml:space="preserve">This review will include cluster review indicators.  </w:t>
      </w:r>
    </w:p>
    <w:p w:rsidR="007D025B" w:rsidRDefault="007D025B" w:rsidP="00D37A32">
      <w:pPr>
        <w:jc w:val="both"/>
        <w:rPr>
          <w:rFonts w:ascii="Arial" w:hAnsi="Arial" w:cs="Arial"/>
        </w:rPr>
      </w:pPr>
    </w:p>
    <w:p w:rsidR="007D025B" w:rsidRDefault="007D025B" w:rsidP="007D025B">
      <w:pPr>
        <w:jc w:val="both"/>
        <w:rPr>
          <w:rFonts w:ascii="Arial" w:hAnsi="Arial" w:cs="Arial"/>
          <w:b/>
        </w:rPr>
      </w:pPr>
      <w:r>
        <w:rPr>
          <w:rFonts w:ascii="Arial" w:hAnsi="Arial" w:cs="Arial"/>
          <w:b/>
        </w:rPr>
        <w:t>Key Performance Indicator Headlines;</w:t>
      </w:r>
    </w:p>
    <w:p w:rsidR="0078238E" w:rsidRDefault="0078238E" w:rsidP="00626BB3">
      <w:pPr>
        <w:jc w:val="both"/>
        <w:rPr>
          <w:rFonts w:ascii="Arial" w:hAnsi="Arial" w:cs="Arial"/>
          <w:noProof/>
          <w:lang w:val="en-GB" w:eastAsia="en-GB"/>
        </w:rPr>
      </w:pPr>
    </w:p>
    <w:p w:rsidR="00602A89" w:rsidRDefault="0002440D" w:rsidP="00626BB3">
      <w:pPr>
        <w:jc w:val="both"/>
        <w:rPr>
          <w:rFonts w:ascii="Arial" w:hAnsi="Arial" w:cs="Arial"/>
          <w:noProof/>
          <w:lang w:val="en-GB" w:eastAsia="en-GB"/>
        </w:rPr>
      </w:pPr>
      <w:r>
        <w:rPr>
          <w:rFonts w:ascii="Arial" w:hAnsi="Arial" w:cs="Arial"/>
          <w:noProof/>
          <w:lang w:val="en-GB" w:eastAsia="en-GB"/>
        </w:rPr>
        <w:t xml:space="preserve">82 of the 114 indicators (72%) were achieved </w:t>
      </w:r>
      <w:r w:rsidR="0078238E">
        <w:rPr>
          <w:rFonts w:ascii="Arial" w:hAnsi="Arial" w:cs="Arial"/>
          <w:noProof/>
          <w:lang w:val="en-GB" w:eastAsia="en-GB"/>
        </w:rPr>
        <w:t>by the Directorate in</w:t>
      </w:r>
      <w:r w:rsidRPr="0002440D">
        <w:rPr>
          <w:rFonts w:ascii="Arial" w:hAnsi="Arial" w:cs="Arial"/>
          <w:noProof/>
          <w:lang w:val="en-GB" w:eastAsia="en-GB"/>
        </w:rPr>
        <w:t xml:space="preserve"> Dec 18</w:t>
      </w:r>
      <w:r>
        <w:rPr>
          <w:rFonts w:ascii="Arial" w:hAnsi="Arial" w:cs="Arial"/>
          <w:noProof/>
          <w:lang w:val="en-GB" w:eastAsia="en-GB"/>
        </w:rPr>
        <w:t xml:space="preserve">.  20 indicators, however, </w:t>
      </w:r>
      <w:r w:rsidR="00602A89">
        <w:rPr>
          <w:rFonts w:ascii="Arial" w:hAnsi="Arial" w:cs="Arial"/>
          <w:noProof/>
          <w:lang w:val="en-GB" w:eastAsia="en-GB"/>
        </w:rPr>
        <w:t>were below target by more than 10%</w:t>
      </w:r>
      <w:r>
        <w:rPr>
          <w:rFonts w:ascii="Arial" w:hAnsi="Arial" w:cs="Arial"/>
          <w:noProof/>
          <w:lang w:val="en-GB" w:eastAsia="en-GB"/>
        </w:rPr>
        <w:t xml:space="preserve">. </w:t>
      </w:r>
    </w:p>
    <w:p w:rsidR="00602A89" w:rsidRDefault="00602A89" w:rsidP="00626BB3">
      <w:pPr>
        <w:jc w:val="both"/>
        <w:rPr>
          <w:rFonts w:ascii="Arial" w:hAnsi="Arial" w:cs="Arial"/>
          <w:noProof/>
          <w:lang w:val="en-GB" w:eastAsia="en-GB"/>
        </w:rPr>
      </w:pPr>
    </w:p>
    <w:p w:rsidR="0002440D" w:rsidRDefault="00602A89" w:rsidP="00626BB3">
      <w:pPr>
        <w:jc w:val="both"/>
        <w:rPr>
          <w:rFonts w:ascii="Arial" w:hAnsi="Arial" w:cs="Arial"/>
          <w:noProof/>
          <w:lang w:val="en-GB" w:eastAsia="en-GB"/>
        </w:rPr>
      </w:pPr>
      <w:r>
        <w:rPr>
          <w:rFonts w:ascii="Arial" w:hAnsi="Arial" w:cs="Arial"/>
          <w:noProof/>
          <w:lang w:val="en-GB" w:eastAsia="en-GB"/>
        </w:rPr>
        <w:t>13 of the 20 indicators that were below target by more than 10% related to;</w:t>
      </w:r>
    </w:p>
    <w:p w:rsidR="0002440D" w:rsidRPr="0002440D" w:rsidRDefault="0002440D" w:rsidP="00626BB3">
      <w:pPr>
        <w:jc w:val="both"/>
        <w:rPr>
          <w:rFonts w:ascii="Arial" w:hAnsi="Arial" w:cs="Arial"/>
          <w:noProof/>
          <w:lang w:val="en-GB" w:eastAsia="en-GB"/>
        </w:rPr>
      </w:pPr>
    </w:p>
    <w:p w:rsidR="0002440D" w:rsidRPr="00973671" w:rsidRDefault="0002440D" w:rsidP="0002440D">
      <w:pPr>
        <w:jc w:val="both"/>
        <w:rPr>
          <w:rFonts w:ascii="Arial" w:hAnsi="Arial" w:cs="Arial"/>
          <w:b/>
        </w:rPr>
      </w:pPr>
      <w:r>
        <w:rPr>
          <w:rFonts w:ascii="Arial" w:hAnsi="Arial" w:cs="Arial"/>
          <w:b/>
        </w:rPr>
        <w:t>Demand – Waiting Times for Community Mental Health Services</w:t>
      </w:r>
    </w:p>
    <w:p w:rsidR="0002440D" w:rsidRDefault="0002440D" w:rsidP="0002440D">
      <w:pPr>
        <w:pStyle w:val="Default"/>
        <w:jc w:val="both"/>
        <w:rPr>
          <w:rFonts w:ascii="Arial" w:hAnsi="Arial" w:cs="Arial"/>
        </w:rPr>
      </w:pPr>
    </w:p>
    <w:p w:rsidR="0002440D" w:rsidRPr="00973671" w:rsidRDefault="0002440D" w:rsidP="0002440D">
      <w:pPr>
        <w:pStyle w:val="Default"/>
        <w:numPr>
          <w:ilvl w:val="0"/>
          <w:numId w:val="23"/>
        </w:numPr>
        <w:jc w:val="both"/>
        <w:rPr>
          <w:rFonts w:ascii="Arial" w:hAnsi="Arial" w:cs="Arial"/>
        </w:rPr>
      </w:pPr>
      <w:r>
        <w:rPr>
          <w:rFonts w:ascii="Arial" w:hAnsi="Arial" w:cs="Arial"/>
          <w:b/>
        </w:rPr>
        <w:t xml:space="preserve">Oxfordshire:  </w:t>
      </w:r>
      <w:proofErr w:type="gramStart"/>
      <w:r>
        <w:rPr>
          <w:rFonts w:ascii="Arial" w:hAnsi="Arial" w:cs="Arial"/>
        </w:rPr>
        <w:t>As a result of</w:t>
      </w:r>
      <w:proofErr w:type="gramEnd"/>
      <w:r>
        <w:rPr>
          <w:rFonts w:ascii="Arial" w:hAnsi="Arial" w:cs="Arial"/>
        </w:rPr>
        <w:t xml:space="preserve"> a long term under investment in mental health services in Oxfordshire, the Trust is not able to achieve the routine waiting time targets for either Adults or Children and Adolescent mental health.  </w:t>
      </w:r>
      <w:r w:rsidRPr="00973671">
        <w:rPr>
          <w:rFonts w:ascii="Arial" w:hAnsi="Arial" w:cs="Arial"/>
        </w:rPr>
        <w:t>As demand exceeds available capacity work is underway with commissioners a</w:t>
      </w:r>
      <w:r>
        <w:rPr>
          <w:rFonts w:ascii="Arial" w:hAnsi="Arial" w:cs="Arial"/>
        </w:rPr>
        <w:t xml:space="preserve">nd internally with the Trust to consider options to </w:t>
      </w:r>
      <w:r w:rsidRPr="00973671">
        <w:rPr>
          <w:rFonts w:ascii="Arial" w:hAnsi="Arial" w:cs="Arial"/>
        </w:rPr>
        <w:t>tackle this issue.</w:t>
      </w:r>
      <w:r>
        <w:rPr>
          <w:rFonts w:ascii="Arial" w:hAnsi="Arial" w:cs="Arial"/>
        </w:rPr>
        <w:t xml:space="preserve">  Emergency referrals are being seen within timescales.</w:t>
      </w:r>
    </w:p>
    <w:p w:rsidR="0002440D" w:rsidRPr="00973671" w:rsidRDefault="0002440D" w:rsidP="0002440D">
      <w:pPr>
        <w:jc w:val="both"/>
        <w:rPr>
          <w:rFonts w:ascii="Arial" w:hAnsi="Arial" w:cs="Arial"/>
          <w:color w:val="000000"/>
          <w:lang w:val="en-GB" w:eastAsia="en-GB"/>
        </w:rPr>
      </w:pPr>
    </w:p>
    <w:p w:rsidR="0002440D" w:rsidRPr="00D37A32" w:rsidRDefault="0002440D" w:rsidP="0002440D">
      <w:pPr>
        <w:pStyle w:val="ListParagraph"/>
        <w:numPr>
          <w:ilvl w:val="0"/>
          <w:numId w:val="23"/>
        </w:numPr>
        <w:jc w:val="both"/>
        <w:rPr>
          <w:rFonts w:ascii="Arial" w:hAnsi="Arial" w:cs="Arial"/>
        </w:rPr>
      </w:pPr>
      <w:proofErr w:type="spellStart"/>
      <w:r w:rsidRPr="00D37A32">
        <w:rPr>
          <w:rFonts w:ascii="Arial" w:hAnsi="Arial" w:cs="Arial"/>
          <w:b/>
        </w:rPr>
        <w:t>Swindon</w:t>
      </w:r>
      <w:proofErr w:type="spellEnd"/>
      <w:r w:rsidRPr="00D37A32">
        <w:rPr>
          <w:rFonts w:ascii="Arial" w:hAnsi="Arial" w:cs="Arial"/>
          <w:b/>
        </w:rPr>
        <w:t>, Wiltshire, Bath &amp; North East Somerset (SWB) CAMHS</w:t>
      </w:r>
      <w:r w:rsidRPr="00D37A32">
        <w:rPr>
          <w:rFonts w:ascii="Arial" w:hAnsi="Arial" w:cs="Arial"/>
        </w:rPr>
        <w:t xml:space="preserve"> – The Trust </w:t>
      </w:r>
      <w:r w:rsidR="00C46F71">
        <w:rPr>
          <w:rFonts w:ascii="Arial" w:hAnsi="Arial" w:cs="Arial"/>
        </w:rPr>
        <w:t>has not been</w:t>
      </w:r>
      <w:r w:rsidRPr="00D37A32">
        <w:rPr>
          <w:rFonts w:ascii="Arial" w:hAnsi="Arial" w:cs="Arial"/>
        </w:rPr>
        <w:t xml:space="preserve"> achieving </w:t>
      </w:r>
      <w:proofErr w:type="gramStart"/>
      <w:r w:rsidRPr="00D37A32">
        <w:rPr>
          <w:rFonts w:ascii="Arial" w:hAnsi="Arial" w:cs="Arial"/>
        </w:rPr>
        <w:t>a number of</w:t>
      </w:r>
      <w:proofErr w:type="gramEnd"/>
      <w:r w:rsidRPr="00D37A32">
        <w:rPr>
          <w:rFonts w:ascii="Arial" w:hAnsi="Arial" w:cs="Arial"/>
        </w:rPr>
        <w:t xml:space="preserve"> waiting time targets for CAMHS in SWB.  Service managers </w:t>
      </w:r>
      <w:r w:rsidR="00C46F71">
        <w:rPr>
          <w:rFonts w:ascii="Arial" w:hAnsi="Arial" w:cs="Arial"/>
        </w:rPr>
        <w:t>have been</w:t>
      </w:r>
      <w:r w:rsidRPr="00D37A32">
        <w:rPr>
          <w:rFonts w:ascii="Arial" w:hAnsi="Arial" w:cs="Arial"/>
        </w:rPr>
        <w:t xml:space="preserve"> reviewing work plans and with the recruitment of some new staff, performance </w:t>
      </w:r>
      <w:r w:rsidR="00C46F71">
        <w:rPr>
          <w:rFonts w:ascii="Arial" w:hAnsi="Arial" w:cs="Arial"/>
        </w:rPr>
        <w:t>has started to</w:t>
      </w:r>
      <w:r w:rsidRPr="00D37A32">
        <w:rPr>
          <w:rFonts w:ascii="Arial" w:hAnsi="Arial" w:cs="Arial"/>
        </w:rPr>
        <w:t xml:space="preserve"> improve </w:t>
      </w:r>
      <w:r w:rsidR="00C46F71">
        <w:rPr>
          <w:rFonts w:ascii="Arial" w:hAnsi="Arial" w:cs="Arial"/>
        </w:rPr>
        <w:t>which was forecast to happen</w:t>
      </w:r>
      <w:r w:rsidRPr="00D37A32">
        <w:rPr>
          <w:rFonts w:ascii="Arial" w:hAnsi="Arial" w:cs="Arial"/>
        </w:rPr>
        <w:t>. Performance</w:t>
      </w:r>
      <w:r w:rsidR="00C46F71">
        <w:rPr>
          <w:rFonts w:ascii="Arial" w:hAnsi="Arial" w:cs="Arial"/>
        </w:rPr>
        <w:t xml:space="preserve"> continues to be </w:t>
      </w:r>
      <w:r w:rsidRPr="00D37A32">
        <w:rPr>
          <w:rFonts w:ascii="Arial" w:hAnsi="Arial" w:cs="Arial"/>
        </w:rPr>
        <w:t>monitored closely by the Directorate Senior Management Team and the Operations Management Team</w:t>
      </w:r>
      <w:r w:rsidR="00C46F71">
        <w:rPr>
          <w:rFonts w:ascii="Arial" w:hAnsi="Arial" w:cs="Arial"/>
        </w:rPr>
        <w:t xml:space="preserve"> and is anticipated to improve further.</w:t>
      </w:r>
    </w:p>
    <w:p w:rsidR="00D37A32" w:rsidRDefault="00D37A32" w:rsidP="00626BB3">
      <w:pPr>
        <w:jc w:val="both"/>
        <w:rPr>
          <w:rFonts w:ascii="Arial" w:hAnsi="Arial" w:cs="Arial"/>
          <w:b/>
          <w:noProof/>
          <w:lang w:val="en-GB" w:eastAsia="en-GB"/>
        </w:rPr>
      </w:pPr>
    </w:p>
    <w:p w:rsidR="00602A89" w:rsidRDefault="00602A89" w:rsidP="00626BB3">
      <w:pPr>
        <w:jc w:val="both"/>
        <w:rPr>
          <w:rFonts w:ascii="Arial" w:hAnsi="Arial" w:cs="Arial"/>
          <w:b/>
          <w:noProof/>
          <w:lang w:val="en-GB" w:eastAsia="en-GB"/>
        </w:rPr>
      </w:pPr>
    </w:p>
    <w:p w:rsidR="00602A89" w:rsidRDefault="00602A89" w:rsidP="00626BB3">
      <w:pPr>
        <w:jc w:val="both"/>
        <w:rPr>
          <w:rFonts w:ascii="Arial" w:hAnsi="Arial" w:cs="Arial"/>
          <w:b/>
          <w:noProof/>
          <w:lang w:val="en-GB" w:eastAsia="en-GB"/>
        </w:rPr>
      </w:pPr>
    </w:p>
    <w:p w:rsidR="00602A89" w:rsidRDefault="00602A89" w:rsidP="00626BB3">
      <w:pPr>
        <w:jc w:val="both"/>
        <w:rPr>
          <w:rFonts w:ascii="Arial" w:hAnsi="Arial" w:cs="Arial"/>
          <w:b/>
          <w:noProof/>
          <w:lang w:val="en-GB" w:eastAsia="en-GB"/>
        </w:rPr>
      </w:pPr>
    </w:p>
    <w:p w:rsidR="00C46F71" w:rsidRDefault="00C46F71" w:rsidP="00626BB3">
      <w:pPr>
        <w:jc w:val="both"/>
        <w:rPr>
          <w:rFonts w:ascii="Arial" w:hAnsi="Arial" w:cs="Arial"/>
          <w:noProof/>
          <w:lang w:val="en-GB" w:eastAsia="en-GB"/>
        </w:rPr>
      </w:pPr>
      <w:r w:rsidRPr="00C46F71">
        <w:rPr>
          <w:rFonts w:ascii="Arial" w:hAnsi="Arial" w:cs="Arial"/>
          <w:noProof/>
          <w:lang w:val="en-GB" w:eastAsia="en-GB"/>
        </w:rPr>
        <w:t xml:space="preserve">2 of the 20 indicators that were </w:t>
      </w:r>
      <w:r w:rsidR="00602A89">
        <w:rPr>
          <w:rFonts w:ascii="Arial" w:hAnsi="Arial" w:cs="Arial"/>
          <w:noProof/>
          <w:lang w:val="en-GB" w:eastAsia="en-GB"/>
        </w:rPr>
        <w:t>below target by more than 10%</w:t>
      </w:r>
      <w:r w:rsidRPr="00C46F71">
        <w:rPr>
          <w:rFonts w:ascii="Arial" w:hAnsi="Arial" w:cs="Arial"/>
          <w:noProof/>
          <w:lang w:val="en-GB" w:eastAsia="en-GB"/>
        </w:rPr>
        <w:t xml:space="preserve"> related to</w:t>
      </w:r>
      <w:r w:rsidR="007E57E3">
        <w:rPr>
          <w:rFonts w:ascii="Arial" w:hAnsi="Arial" w:cs="Arial"/>
          <w:noProof/>
          <w:lang w:val="en-GB" w:eastAsia="en-GB"/>
        </w:rPr>
        <w:t>;</w:t>
      </w:r>
    </w:p>
    <w:p w:rsidR="007E57E3" w:rsidRDefault="007E57E3" w:rsidP="00626BB3">
      <w:pPr>
        <w:jc w:val="both"/>
        <w:rPr>
          <w:rFonts w:ascii="Arial" w:hAnsi="Arial" w:cs="Arial"/>
          <w:b/>
          <w:noProof/>
          <w:lang w:val="en-GB" w:eastAsia="en-GB"/>
        </w:rPr>
      </w:pPr>
    </w:p>
    <w:p w:rsidR="00AF07FE" w:rsidRDefault="0078238E" w:rsidP="00AF07FE">
      <w:pPr>
        <w:jc w:val="both"/>
        <w:rPr>
          <w:rFonts w:ascii="Arial" w:hAnsi="Arial" w:cs="Arial"/>
          <w:b/>
        </w:rPr>
      </w:pPr>
      <w:r>
        <w:rPr>
          <w:rFonts w:ascii="Arial" w:hAnsi="Arial" w:cs="Arial"/>
          <w:b/>
        </w:rPr>
        <w:t>%</w:t>
      </w:r>
      <w:r w:rsidR="00AF07FE" w:rsidRPr="00AF07FE">
        <w:rPr>
          <w:rFonts w:ascii="Arial" w:hAnsi="Arial" w:cs="Arial"/>
          <w:b/>
        </w:rPr>
        <w:t xml:space="preserve"> of outpatient letters that are sent back to GPs within 10 calendar days</w:t>
      </w:r>
    </w:p>
    <w:p w:rsidR="00AF07FE" w:rsidRDefault="00AF07FE" w:rsidP="00AF07FE">
      <w:pPr>
        <w:jc w:val="both"/>
        <w:rPr>
          <w:rFonts w:ascii="Arial" w:hAnsi="Arial" w:cs="Arial"/>
          <w:b/>
        </w:rPr>
      </w:pPr>
    </w:p>
    <w:p w:rsidR="00AF07FE" w:rsidRPr="00AF07FE" w:rsidRDefault="00AF07FE" w:rsidP="00AF07FE">
      <w:pPr>
        <w:pStyle w:val="Default"/>
        <w:numPr>
          <w:ilvl w:val="0"/>
          <w:numId w:val="23"/>
        </w:numPr>
        <w:jc w:val="both"/>
        <w:rPr>
          <w:rFonts w:ascii="Arial" w:hAnsi="Arial" w:cs="Arial"/>
        </w:rPr>
      </w:pPr>
      <w:r>
        <w:rPr>
          <w:rFonts w:ascii="Arial" w:hAnsi="Arial" w:cs="Arial"/>
          <w:b/>
        </w:rPr>
        <w:t>Oxon Adults 80</w:t>
      </w:r>
      <w:r w:rsidR="00CF552D">
        <w:rPr>
          <w:rFonts w:ascii="Arial" w:hAnsi="Arial" w:cs="Arial"/>
          <w:b/>
        </w:rPr>
        <w:t>%</w:t>
      </w:r>
      <w:r w:rsidR="00B87668">
        <w:rPr>
          <w:rFonts w:ascii="Arial" w:hAnsi="Arial" w:cs="Arial"/>
          <w:b/>
        </w:rPr>
        <w:t xml:space="preserve"> (target 95%)</w:t>
      </w:r>
      <w:r>
        <w:rPr>
          <w:rFonts w:ascii="Arial" w:hAnsi="Arial" w:cs="Arial"/>
          <w:b/>
        </w:rPr>
        <w:t xml:space="preserve">: </w:t>
      </w:r>
      <w:r w:rsidRPr="00AF07FE">
        <w:rPr>
          <w:rFonts w:ascii="Arial" w:hAnsi="Arial" w:cs="Arial"/>
        </w:rPr>
        <w:t xml:space="preserve">Performance </w:t>
      </w:r>
      <w:r>
        <w:rPr>
          <w:rFonts w:ascii="Arial" w:hAnsi="Arial" w:cs="Arial"/>
        </w:rPr>
        <w:t>has</w:t>
      </w:r>
      <w:r w:rsidRPr="00AF07FE">
        <w:rPr>
          <w:rFonts w:ascii="Arial" w:hAnsi="Arial" w:cs="Arial"/>
        </w:rPr>
        <w:t xml:space="preserve"> improved for this month. The Trust continues to improve efficiency and productivity wherever possible.  Changes to reporting requirements (7 calendar days for letters to be sent back to GPs) come in </w:t>
      </w:r>
      <w:r>
        <w:rPr>
          <w:rFonts w:ascii="Arial" w:hAnsi="Arial" w:cs="Arial"/>
        </w:rPr>
        <w:t>to effect</w:t>
      </w:r>
      <w:r w:rsidRPr="00AF07FE">
        <w:rPr>
          <w:rFonts w:ascii="Arial" w:hAnsi="Arial" w:cs="Arial"/>
        </w:rPr>
        <w:t xml:space="preserve"> from January.  </w:t>
      </w:r>
    </w:p>
    <w:p w:rsidR="00AF07FE" w:rsidRPr="00C46F71" w:rsidRDefault="00AF07FE" w:rsidP="00C46F71">
      <w:pPr>
        <w:pStyle w:val="ListParagraph"/>
        <w:numPr>
          <w:ilvl w:val="0"/>
          <w:numId w:val="32"/>
        </w:numPr>
        <w:ind w:left="709" w:hanging="425"/>
        <w:jc w:val="both"/>
        <w:rPr>
          <w:rFonts w:ascii="Arial" w:hAnsi="Arial" w:cs="Arial"/>
        </w:rPr>
      </w:pPr>
      <w:r w:rsidRPr="00C46F71">
        <w:rPr>
          <w:rFonts w:ascii="Arial" w:hAnsi="Arial" w:cs="Arial"/>
          <w:b/>
        </w:rPr>
        <w:t xml:space="preserve">Oxon CAMHS </w:t>
      </w:r>
      <w:r w:rsidR="0002440D" w:rsidRPr="00C46F71">
        <w:rPr>
          <w:rFonts w:ascii="Arial" w:hAnsi="Arial" w:cs="Arial"/>
          <w:b/>
        </w:rPr>
        <w:t>63</w:t>
      </w:r>
      <w:r w:rsidRPr="00C46F71">
        <w:rPr>
          <w:rFonts w:ascii="Arial" w:hAnsi="Arial" w:cs="Arial"/>
          <w:b/>
        </w:rPr>
        <w:t>%</w:t>
      </w:r>
      <w:r w:rsidR="00B87668">
        <w:rPr>
          <w:rFonts w:ascii="Arial" w:hAnsi="Arial" w:cs="Arial"/>
          <w:b/>
        </w:rPr>
        <w:t xml:space="preserve"> (target 95%)</w:t>
      </w:r>
      <w:r w:rsidRPr="00C46F71">
        <w:rPr>
          <w:rFonts w:ascii="Arial" w:hAnsi="Arial" w:cs="Arial"/>
          <w:b/>
        </w:rPr>
        <w:t xml:space="preserve">: </w:t>
      </w:r>
      <w:r w:rsidRPr="00C46F71">
        <w:rPr>
          <w:rFonts w:ascii="Arial" w:hAnsi="Arial" w:cs="Arial"/>
        </w:rPr>
        <w:t xml:space="preserve">The target for this KPI has already changed from 10 days to 7 days which has </w:t>
      </w:r>
      <w:r w:rsidR="00C46F71">
        <w:rPr>
          <w:rFonts w:ascii="Arial" w:hAnsi="Arial" w:cs="Arial"/>
        </w:rPr>
        <w:t>resulted in a</w:t>
      </w:r>
      <w:r w:rsidRPr="00C46F71">
        <w:rPr>
          <w:rFonts w:ascii="Arial" w:hAnsi="Arial" w:cs="Arial"/>
        </w:rPr>
        <w:t xml:space="preserve"> </w:t>
      </w:r>
      <w:proofErr w:type="gramStart"/>
      <w:r w:rsidRPr="00C46F71">
        <w:rPr>
          <w:rFonts w:ascii="Arial" w:hAnsi="Arial" w:cs="Arial"/>
        </w:rPr>
        <w:t>drop in</w:t>
      </w:r>
      <w:proofErr w:type="gramEnd"/>
      <w:r w:rsidRPr="00C46F71">
        <w:rPr>
          <w:rFonts w:ascii="Arial" w:hAnsi="Arial" w:cs="Arial"/>
        </w:rPr>
        <w:t xml:space="preserve"> performance. Vacancies are</w:t>
      </w:r>
      <w:r w:rsidR="0002440D" w:rsidRPr="00C46F71">
        <w:rPr>
          <w:rFonts w:ascii="Arial" w:hAnsi="Arial" w:cs="Arial"/>
        </w:rPr>
        <w:t xml:space="preserve"> also contributing to under performance, however, r</w:t>
      </w:r>
      <w:r w:rsidRPr="00C46F71">
        <w:rPr>
          <w:rFonts w:ascii="Arial" w:hAnsi="Arial" w:cs="Arial"/>
        </w:rPr>
        <w:t xml:space="preserve">ecruitment has been challenging due to geographical locations </w:t>
      </w:r>
      <w:r w:rsidR="0002440D" w:rsidRPr="00C46F71">
        <w:rPr>
          <w:rFonts w:ascii="Arial" w:hAnsi="Arial" w:cs="Arial"/>
        </w:rPr>
        <w:t>of vacant positions</w:t>
      </w:r>
    </w:p>
    <w:p w:rsidR="00AF07FE" w:rsidRDefault="00AF07FE" w:rsidP="00D37A32">
      <w:pPr>
        <w:ind w:firstLine="360"/>
        <w:jc w:val="both"/>
        <w:rPr>
          <w:rFonts w:ascii="Arial" w:hAnsi="Arial" w:cs="Arial"/>
          <w:b/>
        </w:rPr>
      </w:pPr>
    </w:p>
    <w:p w:rsidR="00602A89" w:rsidRDefault="00602A89" w:rsidP="00602A89">
      <w:pPr>
        <w:jc w:val="both"/>
        <w:rPr>
          <w:rFonts w:ascii="Arial" w:hAnsi="Arial" w:cs="Arial"/>
          <w:noProof/>
          <w:lang w:val="en-GB" w:eastAsia="en-GB"/>
        </w:rPr>
      </w:pPr>
      <w:r w:rsidRPr="00C46F71">
        <w:rPr>
          <w:rFonts w:ascii="Arial" w:hAnsi="Arial" w:cs="Arial"/>
          <w:noProof/>
          <w:lang w:val="en-GB" w:eastAsia="en-GB"/>
        </w:rPr>
        <w:t xml:space="preserve">2 of the 20 indicators that were </w:t>
      </w:r>
      <w:r>
        <w:rPr>
          <w:rFonts w:ascii="Arial" w:hAnsi="Arial" w:cs="Arial"/>
          <w:noProof/>
          <w:lang w:val="en-GB" w:eastAsia="en-GB"/>
        </w:rPr>
        <w:t>below target by more than 10%</w:t>
      </w:r>
      <w:r w:rsidRPr="00C46F71">
        <w:rPr>
          <w:rFonts w:ascii="Arial" w:hAnsi="Arial" w:cs="Arial"/>
          <w:noProof/>
          <w:lang w:val="en-GB" w:eastAsia="en-GB"/>
        </w:rPr>
        <w:t xml:space="preserve"> related to</w:t>
      </w:r>
      <w:r>
        <w:rPr>
          <w:rFonts w:ascii="Arial" w:hAnsi="Arial" w:cs="Arial"/>
          <w:noProof/>
          <w:lang w:val="en-GB" w:eastAsia="en-GB"/>
        </w:rPr>
        <w:t>;</w:t>
      </w:r>
    </w:p>
    <w:p w:rsidR="007E57E3" w:rsidRDefault="007E57E3" w:rsidP="001D61AD">
      <w:pPr>
        <w:jc w:val="both"/>
        <w:rPr>
          <w:rFonts w:ascii="Arial" w:hAnsi="Arial" w:cs="Arial"/>
        </w:rPr>
      </w:pPr>
    </w:p>
    <w:p w:rsidR="001D61AD" w:rsidRPr="007E57E3" w:rsidRDefault="007E57E3" w:rsidP="001D61AD">
      <w:pPr>
        <w:jc w:val="both"/>
        <w:rPr>
          <w:rFonts w:ascii="Arial" w:hAnsi="Arial" w:cs="Arial"/>
          <w:b/>
        </w:rPr>
      </w:pPr>
      <w:r w:rsidRPr="007E57E3">
        <w:rPr>
          <w:rFonts w:ascii="Arial" w:hAnsi="Arial" w:cs="Arial"/>
          <w:b/>
        </w:rPr>
        <w:t>A</w:t>
      </w:r>
      <w:r w:rsidR="00C46F71" w:rsidRPr="007E57E3">
        <w:rPr>
          <w:rFonts w:ascii="Arial" w:hAnsi="Arial" w:cs="Arial"/>
          <w:b/>
        </w:rPr>
        <w:t>ccess to wellbeing</w:t>
      </w:r>
      <w:r w:rsidR="00B87668" w:rsidRPr="007E57E3">
        <w:rPr>
          <w:rFonts w:ascii="Arial" w:hAnsi="Arial" w:cs="Arial"/>
          <w:b/>
        </w:rPr>
        <w:t xml:space="preserve"> support</w:t>
      </w:r>
    </w:p>
    <w:p w:rsidR="00B87668" w:rsidRDefault="00B87668" w:rsidP="001A4275">
      <w:pPr>
        <w:pStyle w:val="Default"/>
        <w:numPr>
          <w:ilvl w:val="0"/>
          <w:numId w:val="32"/>
        </w:numPr>
        <w:ind w:left="709" w:hanging="425"/>
        <w:jc w:val="both"/>
        <w:rPr>
          <w:rFonts w:ascii="Arial" w:hAnsi="Arial" w:cs="Arial"/>
        </w:rPr>
      </w:pPr>
      <w:r w:rsidRPr="00B87668">
        <w:rPr>
          <w:rFonts w:ascii="Arial" w:hAnsi="Arial" w:cs="Arial"/>
          <w:b/>
        </w:rPr>
        <w:t xml:space="preserve">Oxon Older People 6 (target 10): </w:t>
      </w:r>
      <w:r w:rsidRPr="00B87668">
        <w:rPr>
          <w:rFonts w:ascii="Arial" w:hAnsi="Arial" w:cs="Arial"/>
        </w:rPr>
        <w:t xml:space="preserve">6 people received support from the wellbeing service in Dec 18 against a target of 10.  This is an improvement on last month and an improvement plan is in progress. </w:t>
      </w:r>
    </w:p>
    <w:p w:rsidR="00B87668" w:rsidRDefault="00B87668" w:rsidP="001A4275">
      <w:pPr>
        <w:pStyle w:val="Default"/>
        <w:numPr>
          <w:ilvl w:val="0"/>
          <w:numId w:val="32"/>
        </w:numPr>
        <w:ind w:left="709" w:hanging="425"/>
        <w:jc w:val="both"/>
        <w:rPr>
          <w:rFonts w:ascii="Arial" w:hAnsi="Arial" w:cs="Arial"/>
        </w:rPr>
      </w:pPr>
      <w:r w:rsidRPr="00B87668">
        <w:rPr>
          <w:rFonts w:ascii="Arial" w:hAnsi="Arial" w:cs="Arial"/>
          <w:b/>
        </w:rPr>
        <w:t xml:space="preserve">Adults 89% (target 95%): </w:t>
      </w:r>
      <w:r w:rsidRPr="00B87668">
        <w:rPr>
          <w:rFonts w:ascii="Arial" w:hAnsi="Arial" w:cs="Arial"/>
        </w:rPr>
        <w:t xml:space="preserve">A high number of people did not attend planned appointments around the Christmas period.  Some sessions </w:t>
      </w:r>
      <w:r>
        <w:rPr>
          <w:rFonts w:ascii="Arial" w:hAnsi="Arial" w:cs="Arial"/>
        </w:rPr>
        <w:t xml:space="preserve">were </w:t>
      </w:r>
      <w:r w:rsidRPr="00B87668">
        <w:rPr>
          <w:rFonts w:ascii="Arial" w:hAnsi="Arial" w:cs="Arial"/>
        </w:rPr>
        <w:t xml:space="preserve">cancelled as people only wanted 1:1 counselling.  </w:t>
      </w:r>
    </w:p>
    <w:p w:rsidR="00B87668" w:rsidRPr="00B87668" w:rsidRDefault="00B87668" w:rsidP="00B87668">
      <w:pPr>
        <w:pStyle w:val="Default"/>
        <w:ind w:left="709"/>
        <w:jc w:val="both"/>
        <w:rPr>
          <w:rFonts w:ascii="Arial" w:hAnsi="Arial" w:cs="Arial"/>
        </w:rPr>
      </w:pPr>
    </w:p>
    <w:p w:rsidR="0030378F" w:rsidRDefault="00B87668" w:rsidP="00B87668">
      <w:pPr>
        <w:jc w:val="both"/>
        <w:rPr>
          <w:rFonts w:ascii="Arial" w:hAnsi="Arial" w:cs="Arial"/>
        </w:rPr>
      </w:pPr>
      <w:r>
        <w:rPr>
          <w:rFonts w:ascii="Arial" w:hAnsi="Arial" w:cs="Arial"/>
        </w:rPr>
        <w:t xml:space="preserve">The remaining 3 indicators that were not achieved related to timely reviews; </w:t>
      </w:r>
      <w:proofErr w:type="gramStart"/>
      <w:r>
        <w:rPr>
          <w:rFonts w:ascii="Arial" w:hAnsi="Arial" w:cs="Arial"/>
        </w:rPr>
        <w:t>specifically</w:t>
      </w:r>
      <w:proofErr w:type="gramEnd"/>
      <w:r>
        <w:rPr>
          <w:rFonts w:ascii="Arial" w:hAnsi="Arial" w:cs="Arial"/>
        </w:rPr>
        <w:t xml:space="preserve"> patients having a cluster or physical health review within the required timescale and the associated improvement in outcomes associated with those reviews.</w:t>
      </w:r>
    </w:p>
    <w:p w:rsidR="0078238E" w:rsidRDefault="0078238E" w:rsidP="00B87668">
      <w:pPr>
        <w:jc w:val="both"/>
        <w:rPr>
          <w:rFonts w:ascii="Arial" w:hAnsi="Arial" w:cs="Arial"/>
          <w:b/>
        </w:rPr>
      </w:pPr>
    </w:p>
    <w:p w:rsidR="0036734F" w:rsidRDefault="0078238E" w:rsidP="0030378F">
      <w:pPr>
        <w:shd w:val="clear" w:color="auto" w:fill="DBE5F1" w:themeFill="accent1" w:themeFillTint="33"/>
        <w:rPr>
          <w:rFonts w:ascii="Arial" w:hAnsi="Arial" w:cs="Arial"/>
          <w:b/>
        </w:rPr>
      </w:pPr>
      <w:r>
        <w:rPr>
          <w:rFonts w:ascii="Arial" w:hAnsi="Arial" w:cs="Arial"/>
          <w:b/>
        </w:rPr>
        <w:t xml:space="preserve">3.2 </w:t>
      </w:r>
      <w:r w:rsidR="0036734F">
        <w:rPr>
          <w:rFonts w:ascii="Arial" w:hAnsi="Arial" w:cs="Arial"/>
          <w:b/>
        </w:rPr>
        <w:t>Buckinghamshire – All Ages Mental Health</w:t>
      </w:r>
    </w:p>
    <w:p w:rsidR="00D37A32" w:rsidRDefault="00D37A32" w:rsidP="00D37A32">
      <w:pPr>
        <w:jc w:val="both"/>
        <w:rPr>
          <w:rFonts w:ascii="Arial" w:hAnsi="Arial" w:cs="Arial"/>
        </w:rPr>
      </w:pPr>
    </w:p>
    <w:p w:rsidR="007D025B" w:rsidRDefault="007D025B" w:rsidP="007D025B">
      <w:pPr>
        <w:rPr>
          <w:rFonts w:ascii="Arial" w:hAnsi="Arial" w:cs="Arial"/>
        </w:rPr>
      </w:pPr>
      <w:r>
        <w:rPr>
          <w:rFonts w:ascii="Arial" w:hAnsi="Arial" w:cs="Arial"/>
        </w:rPr>
        <w:t>The table below illustrates the directorate’s performance against its contracts as at Q</w:t>
      </w:r>
      <w:r w:rsidR="007E57E3">
        <w:rPr>
          <w:rFonts w:ascii="Arial" w:hAnsi="Arial" w:cs="Arial"/>
        </w:rPr>
        <w:t>3</w:t>
      </w:r>
      <w:r>
        <w:rPr>
          <w:rFonts w:ascii="Arial" w:hAnsi="Arial" w:cs="Arial"/>
        </w:rPr>
        <w:t>;</w:t>
      </w:r>
    </w:p>
    <w:p w:rsidR="0078238E" w:rsidRDefault="0078238E" w:rsidP="007D025B">
      <w:pPr>
        <w:rPr>
          <w:rFonts w:ascii="Arial" w:hAnsi="Arial" w:cs="Arial"/>
        </w:rPr>
      </w:pPr>
    </w:p>
    <w:p w:rsidR="0078238E" w:rsidRDefault="0078238E" w:rsidP="007D025B">
      <w:pPr>
        <w:rPr>
          <w:rFonts w:ascii="Arial" w:hAnsi="Arial" w:cs="Arial"/>
        </w:rPr>
      </w:pPr>
      <w:r w:rsidRPr="0078238E">
        <w:rPr>
          <w:noProof/>
          <w:lang w:val="en-GB" w:eastAsia="en-GB"/>
        </w:rPr>
        <w:drawing>
          <wp:inline distT="0" distB="0" distL="0" distR="0">
            <wp:extent cx="5490210" cy="105634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0210" cy="1056344"/>
                    </a:xfrm>
                    <a:prstGeom prst="rect">
                      <a:avLst/>
                    </a:prstGeom>
                    <a:noFill/>
                    <a:ln>
                      <a:noFill/>
                    </a:ln>
                  </pic:spPr>
                </pic:pic>
              </a:graphicData>
            </a:graphic>
          </wp:inline>
        </w:drawing>
      </w:r>
    </w:p>
    <w:p w:rsidR="007D025B" w:rsidRDefault="007D025B" w:rsidP="00D37A32">
      <w:pPr>
        <w:jc w:val="both"/>
        <w:rPr>
          <w:rFonts w:ascii="Arial" w:hAnsi="Arial" w:cs="Arial"/>
        </w:rPr>
      </w:pPr>
    </w:p>
    <w:p w:rsidR="007D025B" w:rsidRDefault="007D025B" w:rsidP="007D025B">
      <w:pPr>
        <w:jc w:val="both"/>
        <w:rPr>
          <w:rFonts w:ascii="Arial" w:hAnsi="Arial" w:cs="Arial"/>
        </w:rPr>
      </w:pPr>
      <w:r w:rsidRPr="00973671">
        <w:rPr>
          <w:rFonts w:ascii="Arial" w:hAnsi="Arial" w:cs="Arial"/>
        </w:rPr>
        <w:t>The Trust is in the process of meeting with commissioners to review</w:t>
      </w:r>
      <w:r>
        <w:rPr>
          <w:rFonts w:ascii="Arial" w:hAnsi="Arial" w:cs="Arial"/>
        </w:rPr>
        <w:t xml:space="preserve"> </w:t>
      </w:r>
      <w:r w:rsidRPr="00973671">
        <w:rPr>
          <w:rFonts w:ascii="Arial" w:hAnsi="Arial" w:cs="Arial"/>
        </w:rPr>
        <w:t xml:space="preserve">contractual KPIs </w:t>
      </w:r>
      <w:r>
        <w:rPr>
          <w:rFonts w:ascii="Arial" w:hAnsi="Arial" w:cs="Arial"/>
        </w:rPr>
        <w:t>for Bucks Mental Health Services.  The aim is to e</w:t>
      </w:r>
      <w:r w:rsidRPr="00973671">
        <w:rPr>
          <w:rFonts w:ascii="Arial" w:hAnsi="Arial" w:cs="Arial"/>
        </w:rPr>
        <w:t xml:space="preserve">nsure </w:t>
      </w:r>
      <w:r>
        <w:rPr>
          <w:rFonts w:ascii="Arial" w:hAnsi="Arial" w:cs="Arial"/>
        </w:rPr>
        <w:t xml:space="preserve">that they </w:t>
      </w:r>
      <w:r w:rsidRPr="00973671">
        <w:rPr>
          <w:rFonts w:ascii="Arial" w:hAnsi="Arial" w:cs="Arial"/>
        </w:rPr>
        <w:t xml:space="preserve">have clinical value.  </w:t>
      </w:r>
      <w:r>
        <w:rPr>
          <w:rFonts w:ascii="Arial" w:hAnsi="Arial" w:cs="Arial"/>
        </w:rPr>
        <w:t xml:space="preserve">This review will include </w:t>
      </w:r>
      <w:r w:rsidR="0078238E">
        <w:rPr>
          <w:rFonts w:ascii="Arial" w:hAnsi="Arial" w:cs="Arial"/>
        </w:rPr>
        <w:t>c</w:t>
      </w:r>
      <w:r w:rsidRPr="0078238E">
        <w:rPr>
          <w:rFonts w:ascii="Arial" w:hAnsi="Arial" w:cs="Arial"/>
        </w:rPr>
        <w:t xml:space="preserve">luster </w:t>
      </w:r>
      <w:r w:rsidR="0078238E">
        <w:rPr>
          <w:rFonts w:ascii="Arial" w:hAnsi="Arial" w:cs="Arial"/>
        </w:rPr>
        <w:t>r</w:t>
      </w:r>
      <w:r w:rsidRPr="0078238E">
        <w:rPr>
          <w:rFonts w:ascii="Arial" w:hAnsi="Arial" w:cs="Arial"/>
        </w:rPr>
        <w:t>eview</w:t>
      </w:r>
      <w:r>
        <w:rPr>
          <w:rFonts w:ascii="Arial" w:hAnsi="Arial" w:cs="Arial"/>
        </w:rPr>
        <w:t xml:space="preserve"> indicators.  </w:t>
      </w:r>
    </w:p>
    <w:p w:rsidR="007D025B" w:rsidRDefault="007D025B" w:rsidP="00D37A32">
      <w:pPr>
        <w:jc w:val="both"/>
        <w:rPr>
          <w:rFonts w:ascii="Arial" w:hAnsi="Arial" w:cs="Arial"/>
        </w:rPr>
      </w:pPr>
    </w:p>
    <w:p w:rsidR="00602A89" w:rsidRDefault="00602A89" w:rsidP="00D37A32">
      <w:pPr>
        <w:jc w:val="both"/>
        <w:rPr>
          <w:rFonts w:ascii="Arial" w:hAnsi="Arial" w:cs="Arial"/>
        </w:rPr>
      </w:pPr>
    </w:p>
    <w:p w:rsidR="00602A89" w:rsidRDefault="00602A89" w:rsidP="00D37A32">
      <w:pPr>
        <w:jc w:val="both"/>
        <w:rPr>
          <w:rFonts w:ascii="Arial" w:hAnsi="Arial" w:cs="Arial"/>
        </w:rPr>
      </w:pPr>
    </w:p>
    <w:p w:rsidR="007D025B" w:rsidRDefault="007D025B" w:rsidP="007D025B">
      <w:pPr>
        <w:jc w:val="both"/>
        <w:rPr>
          <w:rFonts w:ascii="Arial" w:hAnsi="Arial" w:cs="Arial"/>
          <w:b/>
        </w:rPr>
      </w:pPr>
      <w:r>
        <w:rPr>
          <w:rFonts w:ascii="Arial" w:hAnsi="Arial" w:cs="Arial"/>
          <w:b/>
        </w:rPr>
        <w:t>Key Performance Indicator Headlines as follows;</w:t>
      </w:r>
    </w:p>
    <w:p w:rsidR="007D025B" w:rsidRDefault="007D025B" w:rsidP="0036734F">
      <w:pPr>
        <w:jc w:val="both"/>
        <w:rPr>
          <w:rFonts w:ascii="Arial" w:hAnsi="Arial" w:cs="Arial"/>
        </w:rPr>
      </w:pPr>
    </w:p>
    <w:p w:rsidR="00602A89" w:rsidRDefault="0078238E" w:rsidP="0036734F">
      <w:pPr>
        <w:jc w:val="both"/>
        <w:rPr>
          <w:rFonts w:ascii="Arial" w:hAnsi="Arial" w:cs="Arial"/>
        </w:rPr>
      </w:pPr>
      <w:r>
        <w:rPr>
          <w:rFonts w:ascii="Arial" w:hAnsi="Arial" w:cs="Arial"/>
        </w:rPr>
        <w:t>38</w:t>
      </w:r>
      <w:r w:rsidRPr="0078238E">
        <w:rPr>
          <w:rFonts w:ascii="Arial" w:hAnsi="Arial" w:cs="Arial"/>
        </w:rPr>
        <w:t xml:space="preserve"> of the </w:t>
      </w:r>
      <w:r>
        <w:rPr>
          <w:rFonts w:ascii="Arial" w:hAnsi="Arial" w:cs="Arial"/>
        </w:rPr>
        <w:t>52</w:t>
      </w:r>
      <w:r w:rsidRPr="0078238E">
        <w:rPr>
          <w:rFonts w:ascii="Arial" w:hAnsi="Arial" w:cs="Arial"/>
        </w:rPr>
        <w:t xml:space="preserve"> indicators (7</w:t>
      </w:r>
      <w:r>
        <w:rPr>
          <w:rFonts w:ascii="Arial" w:hAnsi="Arial" w:cs="Arial"/>
        </w:rPr>
        <w:t>3</w:t>
      </w:r>
      <w:r w:rsidRPr="0078238E">
        <w:rPr>
          <w:rFonts w:ascii="Arial" w:hAnsi="Arial" w:cs="Arial"/>
        </w:rPr>
        <w:t xml:space="preserve">%) were achieved in the </w:t>
      </w:r>
      <w:r>
        <w:rPr>
          <w:rFonts w:ascii="Arial" w:hAnsi="Arial" w:cs="Arial"/>
        </w:rPr>
        <w:t xml:space="preserve">Buckinghamshire </w:t>
      </w:r>
      <w:r w:rsidRPr="0078238E">
        <w:rPr>
          <w:rFonts w:ascii="Arial" w:hAnsi="Arial" w:cs="Arial"/>
        </w:rPr>
        <w:t xml:space="preserve">All Ages Mental Health Directorate in Dec 18.  </w:t>
      </w:r>
      <w:r>
        <w:rPr>
          <w:rFonts w:ascii="Arial" w:hAnsi="Arial" w:cs="Arial"/>
        </w:rPr>
        <w:t>7</w:t>
      </w:r>
      <w:r w:rsidRPr="0078238E">
        <w:rPr>
          <w:rFonts w:ascii="Arial" w:hAnsi="Arial" w:cs="Arial"/>
        </w:rPr>
        <w:t xml:space="preserve"> indicators, however, </w:t>
      </w:r>
      <w:r w:rsidR="00602A89">
        <w:rPr>
          <w:rFonts w:ascii="Arial" w:hAnsi="Arial" w:cs="Arial"/>
        </w:rPr>
        <w:t>were below target by more than 10%</w:t>
      </w:r>
      <w:r w:rsidRPr="0078238E">
        <w:rPr>
          <w:rFonts w:ascii="Arial" w:hAnsi="Arial" w:cs="Arial"/>
        </w:rPr>
        <w:t xml:space="preserve">.  </w:t>
      </w:r>
    </w:p>
    <w:p w:rsidR="00602A89" w:rsidRDefault="00602A89" w:rsidP="0036734F">
      <w:pPr>
        <w:jc w:val="both"/>
        <w:rPr>
          <w:rFonts w:ascii="Arial" w:hAnsi="Arial" w:cs="Arial"/>
        </w:rPr>
      </w:pPr>
    </w:p>
    <w:p w:rsidR="0078238E" w:rsidRDefault="00602A89" w:rsidP="0036734F">
      <w:pPr>
        <w:jc w:val="both"/>
        <w:rPr>
          <w:rFonts w:ascii="Arial" w:hAnsi="Arial" w:cs="Arial"/>
        </w:rPr>
      </w:pPr>
      <w:r>
        <w:rPr>
          <w:rFonts w:ascii="Arial" w:hAnsi="Arial" w:cs="Arial"/>
        </w:rPr>
        <w:t>4 of the 7 indicators that were below target by more than 10% related to;</w:t>
      </w:r>
      <w:r w:rsidR="00D37A32">
        <w:rPr>
          <w:rFonts w:ascii="Arial" w:hAnsi="Arial" w:cs="Arial"/>
        </w:rPr>
        <w:tab/>
      </w:r>
    </w:p>
    <w:p w:rsidR="0036734F" w:rsidRPr="00973671" w:rsidRDefault="00D37A32" w:rsidP="0036734F">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6734F">
        <w:rPr>
          <w:rFonts w:ascii="Arial" w:hAnsi="Arial" w:cs="Arial"/>
          <w:b/>
        </w:rPr>
        <w:t>Demand - Waiting Times for Community Mental Health Services</w:t>
      </w:r>
    </w:p>
    <w:p w:rsidR="0036734F" w:rsidRDefault="0036734F" w:rsidP="00626BB3">
      <w:pPr>
        <w:jc w:val="both"/>
        <w:rPr>
          <w:rFonts w:ascii="Arial" w:hAnsi="Arial" w:cs="Arial"/>
        </w:rPr>
      </w:pPr>
    </w:p>
    <w:p w:rsidR="0036734F" w:rsidRPr="00D37A32" w:rsidRDefault="00FD25FE" w:rsidP="00D37A32">
      <w:pPr>
        <w:pStyle w:val="ListParagraph"/>
        <w:numPr>
          <w:ilvl w:val="0"/>
          <w:numId w:val="24"/>
        </w:numPr>
        <w:jc w:val="both"/>
        <w:rPr>
          <w:rFonts w:ascii="Arial" w:hAnsi="Arial" w:cs="Arial"/>
        </w:rPr>
      </w:pPr>
      <w:r w:rsidRPr="00D37A32">
        <w:rPr>
          <w:rFonts w:ascii="Arial" w:hAnsi="Arial" w:cs="Arial"/>
          <w:b/>
        </w:rPr>
        <w:t>Bucks Memory Services</w:t>
      </w:r>
      <w:r w:rsidR="00CF552D">
        <w:rPr>
          <w:rFonts w:ascii="Arial" w:hAnsi="Arial" w:cs="Arial"/>
          <w:b/>
        </w:rPr>
        <w:t>: 56% (Target 85%)</w:t>
      </w:r>
    </w:p>
    <w:p w:rsidR="00264C94" w:rsidRDefault="00CF552D" w:rsidP="00CF552D">
      <w:pPr>
        <w:ind w:left="720"/>
        <w:jc w:val="both"/>
        <w:rPr>
          <w:rFonts w:ascii="Arial" w:hAnsi="Arial" w:cs="Arial"/>
        </w:rPr>
      </w:pPr>
      <w:r>
        <w:rPr>
          <w:rFonts w:ascii="Arial" w:hAnsi="Arial" w:cs="Arial"/>
        </w:rPr>
        <w:t>A r</w:t>
      </w:r>
      <w:r w:rsidRPr="00CF552D">
        <w:rPr>
          <w:rFonts w:ascii="Arial" w:hAnsi="Arial" w:cs="Arial"/>
        </w:rPr>
        <w:t xml:space="preserve">emedial action plan </w:t>
      </w:r>
      <w:r>
        <w:rPr>
          <w:rFonts w:ascii="Arial" w:hAnsi="Arial" w:cs="Arial"/>
        </w:rPr>
        <w:t xml:space="preserve">is now </w:t>
      </w:r>
      <w:r w:rsidRPr="00CF552D">
        <w:rPr>
          <w:rFonts w:ascii="Arial" w:hAnsi="Arial" w:cs="Arial"/>
        </w:rPr>
        <w:t>in place</w:t>
      </w:r>
      <w:r>
        <w:rPr>
          <w:rFonts w:ascii="Arial" w:hAnsi="Arial" w:cs="Arial"/>
        </w:rPr>
        <w:t xml:space="preserve"> and the Trust </w:t>
      </w:r>
      <w:r w:rsidRPr="00CF552D">
        <w:rPr>
          <w:rFonts w:ascii="Arial" w:hAnsi="Arial" w:cs="Arial"/>
        </w:rPr>
        <w:t>expect</w:t>
      </w:r>
      <w:r>
        <w:rPr>
          <w:rFonts w:ascii="Arial" w:hAnsi="Arial" w:cs="Arial"/>
        </w:rPr>
        <w:t>s</w:t>
      </w:r>
      <w:r w:rsidRPr="00CF552D">
        <w:rPr>
          <w:rFonts w:ascii="Arial" w:hAnsi="Arial" w:cs="Arial"/>
        </w:rPr>
        <w:t xml:space="preserve"> to see an improvement in the January figures given the measures already taken.</w:t>
      </w:r>
    </w:p>
    <w:p w:rsidR="00CF552D" w:rsidRDefault="00CF552D" w:rsidP="00626BB3">
      <w:pPr>
        <w:jc w:val="both"/>
        <w:rPr>
          <w:rFonts w:ascii="Arial" w:hAnsi="Arial" w:cs="Arial"/>
        </w:rPr>
      </w:pPr>
    </w:p>
    <w:p w:rsidR="00CF552D" w:rsidRPr="00CF552D" w:rsidRDefault="00264C94" w:rsidP="00253675">
      <w:pPr>
        <w:pStyle w:val="ListParagraph"/>
        <w:numPr>
          <w:ilvl w:val="0"/>
          <w:numId w:val="25"/>
        </w:numPr>
        <w:jc w:val="both"/>
        <w:rPr>
          <w:rFonts w:ascii="Arial" w:hAnsi="Arial" w:cs="Arial"/>
          <w:b/>
        </w:rPr>
      </w:pPr>
      <w:r w:rsidRPr="00CF552D">
        <w:rPr>
          <w:rFonts w:ascii="Arial" w:hAnsi="Arial" w:cs="Arial"/>
          <w:b/>
        </w:rPr>
        <w:t xml:space="preserve">Bucks CAMHS </w:t>
      </w:r>
      <w:r w:rsidR="00CF552D" w:rsidRPr="00CF552D">
        <w:rPr>
          <w:rFonts w:ascii="Arial" w:hAnsi="Arial" w:cs="Arial"/>
          <w:b/>
        </w:rPr>
        <w:t xml:space="preserve">Targeted: 56% and Getting More Help: 71% (target 90%) </w:t>
      </w:r>
    </w:p>
    <w:p w:rsidR="00CF552D" w:rsidRDefault="00CF552D" w:rsidP="00CF552D">
      <w:pPr>
        <w:ind w:left="709"/>
        <w:jc w:val="both"/>
        <w:rPr>
          <w:rFonts w:ascii="Arial" w:hAnsi="Arial" w:cs="Arial"/>
        </w:rPr>
      </w:pPr>
      <w:r>
        <w:rPr>
          <w:rFonts w:ascii="Arial" w:hAnsi="Arial" w:cs="Arial"/>
        </w:rPr>
        <w:t>Referrals have averaged 200 per month this quarter</w:t>
      </w:r>
      <w:r w:rsidRPr="00CF552D">
        <w:rPr>
          <w:rFonts w:ascii="Arial" w:hAnsi="Arial" w:cs="Arial"/>
        </w:rPr>
        <w:t xml:space="preserve">. </w:t>
      </w:r>
      <w:r>
        <w:rPr>
          <w:rFonts w:ascii="Arial" w:hAnsi="Arial" w:cs="Arial"/>
        </w:rPr>
        <w:t xml:space="preserve">The Trust is </w:t>
      </w:r>
      <w:r w:rsidRPr="00CF552D">
        <w:rPr>
          <w:rFonts w:ascii="Arial" w:hAnsi="Arial" w:cs="Arial"/>
        </w:rPr>
        <w:t xml:space="preserve">expecting an increase due to the change in operational practice where SPA referrals are allocated to </w:t>
      </w:r>
      <w:r>
        <w:rPr>
          <w:rFonts w:ascii="Arial" w:hAnsi="Arial" w:cs="Arial"/>
        </w:rPr>
        <w:t>Getting More Help f</w:t>
      </w:r>
      <w:r w:rsidRPr="00CF552D">
        <w:rPr>
          <w:rFonts w:ascii="Arial" w:hAnsi="Arial" w:cs="Arial"/>
        </w:rPr>
        <w:t xml:space="preserve">or an initial assessment. </w:t>
      </w:r>
      <w:r>
        <w:rPr>
          <w:rFonts w:ascii="Arial" w:hAnsi="Arial" w:cs="Arial"/>
        </w:rPr>
        <w:t>C</w:t>
      </w:r>
      <w:r w:rsidRPr="00CF552D">
        <w:rPr>
          <w:rFonts w:ascii="Arial" w:hAnsi="Arial" w:cs="Arial"/>
        </w:rPr>
        <w:t xml:space="preserve">apacity </w:t>
      </w:r>
      <w:r>
        <w:rPr>
          <w:rFonts w:ascii="Arial" w:hAnsi="Arial" w:cs="Arial"/>
        </w:rPr>
        <w:t>is being reviewed and a</w:t>
      </w:r>
      <w:r w:rsidRPr="00CF552D">
        <w:rPr>
          <w:rFonts w:ascii="Arial" w:hAnsi="Arial" w:cs="Arial"/>
        </w:rPr>
        <w:t xml:space="preserve"> waiting list initiative</w:t>
      </w:r>
      <w:r>
        <w:rPr>
          <w:rFonts w:ascii="Arial" w:hAnsi="Arial" w:cs="Arial"/>
        </w:rPr>
        <w:t xml:space="preserve"> in underway</w:t>
      </w:r>
      <w:r w:rsidRPr="00CF552D">
        <w:rPr>
          <w:rFonts w:ascii="Arial" w:hAnsi="Arial" w:cs="Arial"/>
        </w:rPr>
        <w:t xml:space="preserve"> to ensure there is no change or risk to patients on the waiting list.</w:t>
      </w:r>
    </w:p>
    <w:p w:rsidR="00E24154" w:rsidRDefault="00E24154" w:rsidP="00E24154">
      <w:pPr>
        <w:jc w:val="both"/>
        <w:rPr>
          <w:rFonts w:ascii="Arial" w:hAnsi="Arial" w:cs="Arial"/>
        </w:rPr>
      </w:pPr>
    </w:p>
    <w:p w:rsidR="00E24154" w:rsidRPr="00E24154" w:rsidRDefault="00E24154" w:rsidP="0021211F">
      <w:pPr>
        <w:pStyle w:val="ListParagraph"/>
        <w:numPr>
          <w:ilvl w:val="0"/>
          <w:numId w:val="25"/>
        </w:numPr>
        <w:ind w:left="709"/>
        <w:jc w:val="both"/>
        <w:rPr>
          <w:rFonts w:ascii="Arial" w:hAnsi="Arial" w:cs="Arial"/>
        </w:rPr>
      </w:pPr>
      <w:r w:rsidRPr="00E24154">
        <w:rPr>
          <w:rFonts w:ascii="Arial" w:hAnsi="Arial" w:cs="Arial"/>
          <w:b/>
        </w:rPr>
        <w:t>Older Peoples Mental Health</w:t>
      </w:r>
      <w:r>
        <w:rPr>
          <w:rFonts w:ascii="Arial" w:hAnsi="Arial" w:cs="Arial"/>
          <w:b/>
        </w:rPr>
        <w:t>: 79% (target 95%)</w:t>
      </w:r>
    </w:p>
    <w:p w:rsidR="00E24154" w:rsidRDefault="00E24154" w:rsidP="00CF552D">
      <w:pPr>
        <w:ind w:left="709"/>
        <w:jc w:val="both"/>
        <w:rPr>
          <w:rFonts w:ascii="Arial" w:hAnsi="Arial" w:cs="Arial"/>
        </w:rPr>
      </w:pPr>
      <w:r w:rsidRPr="00E24154">
        <w:rPr>
          <w:rFonts w:ascii="Arial" w:hAnsi="Arial" w:cs="Arial"/>
        </w:rPr>
        <w:t xml:space="preserve">2 clients breached through patient choice. </w:t>
      </w:r>
    </w:p>
    <w:p w:rsidR="00E24154" w:rsidRDefault="00E24154" w:rsidP="00CF552D">
      <w:pPr>
        <w:ind w:left="709"/>
        <w:jc w:val="both"/>
        <w:rPr>
          <w:rFonts w:ascii="Arial" w:hAnsi="Arial" w:cs="Arial"/>
        </w:rPr>
      </w:pPr>
    </w:p>
    <w:p w:rsidR="0078238E" w:rsidRDefault="0078238E" w:rsidP="00CF552D">
      <w:pPr>
        <w:jc w:val="both"/>
        <w:rPr>
          <w:rFonts w:ascii="Arial" w:hAnsi="Arial" w:cs="Arial"/>
        </w:rPr>
      </w:pPr>
      <w:r>
        <w:rPr>
          <w:rFonts w:ascii="Arial" w:hAnsi="Arial" w:cs="Arial"/>
        </w:rPr>
        <w:t>The remaining 3 indicators that breached their target by more than 10% related to cluster reviews within the required timescale, mandatory training compliance and up to date care plans for woman being supported by the perinatal service.</w:t>
      </w:r>
    </w:p>
    <w:p w:rsidR="0078238E" w:rsidRPr="0078238E" w:rsidRDefault="0078238E" w:rsidP="0078238E">
      <w:pPr>
        <w:jc w:val="both"/>
        <w:rPr>
          <w:rFonts w:ascii="Arial" w:hAnsi="Arial" w:cs="Arial"/>
        </w:rPr>
      </w:pPr>
    </w:p>
    <w:p w:rsidR="0036734F" w:rsidRDefault="0036734F" w:rsidP="0036734F">
      <w:pPr>
        <w:shd w:val="clear" w:color="auto" w:fill="DBE5F1" w:themeFill="accent1" w:themeFillTint="33"/>
        <w:rPr>
          <w:rFonts w:ascii="Arial" w:hAnsi="Arial" w:cs="Arial"/>
          <w:b/>
        </w:rPr>
      </w:pPr>
      <w:proofErr w:type="spellStart"/>
      <w:r w:rsidRPr="000161D5">
        <w:rPr>
          <w:rFonts w:ascii="Arial" w:hAnsi="Arial" w:cs="Arial"/>
          <w:b/>
        </w:rPr>
        <w:t>Oxfordshire</w:t>
      </w:r>
      <w:proofErr w:type="spellEnd"/>
      <w:r w:rsidRPr="000161D5">
        <w:rPr>
          <w:rFonts w:ascii="Arial" w:hAnsi="Arial" w:cs="Arial"/>
          <w:b/>
        </w:rPr>
        <w:t xml:space="preserve"> Community Services Directorate</w:t>
      </w:r>
    </w:p>
    <w:p w:rsidR="0036734F" w:rsidRDefault="0036734F" w:rsidP="0072226A">
      <w:pPr>
        <w:jc w:val="both"/>
        <w:rPr>
          <w:rFonts w:ascii="Arial" w:hAnsi="Arial" w:cs="Arial"/>
          <w:b/>
        </w:rPr>
      </w:pPr>
    </w:p>
    <w:p w:rsidR="00A54F8C" w:rsidRDefault="00A54F8C" w:rsidP="00A54F8C">
      <w:pPr>
        <w:rPr>
          <w:rFonts w:ascii="Arial" w:hAnsi="Arial" w:cs="Arial"/>
        </w:rPr>
      </w:pPr>
      <w:r>
        <w:rPr>
          <w:rFonts w:ascii="Arial" w:hAnsi="Arial" w:cs="Arial"/>
        </w:rPr>
        <w:t>The table below illustrates the directorate’s performance against its contracts as at Q</w:t>
      </w:r>
      <w:r w:rsidR="002461E1">
        <w:rPr>
          <w:rFonts w:ascii="Arial" w:hAnsi="Arial" w:cs="Arial"/>
        </w:rPr>
        <w:t>3</w:t>
      </w:r>
      <w:r>
        <w:rPr>
          <w:rFonts w:ascii="Arial" w:hAnsi="Arial" w:cs="Arial"/>
        </w:rPr>
        <w:t>;</w:t>
      </w:r>
    </w:p>
    <w:p w:rsidR="00A54F8C" w:rsidRDefault="00A54F8C" w:rsidP="0072226A">
      <w:pPr>
        <w:jc w:val="both"/>
        <w:rPr>
          <w:rFonts w:ascii="Arial" w:hAnsi="Arial" w:cs="Arial"/>
          <w:b/>
        </w:rPr>
      </w:pPr>
    </w:p>
    <w:p w:rsidR="007D025B" w:rsidRDefault="002461E1" w:rsidP="0072226A">
      <w:pPr>
        <w:jc w:val="both"/>
        <w:rPr>
          <w:rFonts w:ascii="Arial" w:hAnsi="Arial" w:cs="Arial"/>
          <w:b/>
        </w:rPr>
      </w:pPr>
      <w:r w:rsidRPr="002461E1">
        <w:rPr>
          <w:noProof/>
          <w:lang w:val="en-GB" w:eastAsia="en-GB"/>
        </w:rPr>
        <w:drawing>
          <wp:inline distT="0" distB="0" distL="0" distR="0">
            <wp:extent cx="5490210" cy="183470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0210" cy="1834703"/>
                    </a:xfrm>
                    <a:prstGeom prst="rect">
                      <a:avLst/>
                    </a:prstGeom>
                    <a:noFill/>
                    <a:ln>
                      <a:noFill/>
                    </a:ln>
                  </pic:spPr>
                </pic:pic>
              </a:graphicData>
            </a:graphic>
          </wp:inline>
        </w:drawing>
      </w:r>
    </w:p>
    <w:p w:rsidR="002461E1" w:rsidRDefault="002461E1" w:rsidP="001D61AD">
      <w:pPr>
        <w:jc w:val="both"/>
        <w:rPr>
          <w:rFonts w:ascii="Arial" w:hAnsi="Arial" w:cs="Arial"/>
          <w:b/>
        </w:rPr>
      </w:pPr>
    </w:p>
    <w:p w:rsidR="00D20212" w:rsidRDefault="002461E1" w:rsidP="001D61AD">
      <w:pPr>
        <w:jc w:val="both"/>
        <w:rPr>
          <w:rFonts w:ascii="Arial" w:hAnsi="Arial" w:cs="Arial"/>
        </w:rPr>
      </w:pPr>
      <w:r>
        <w:rPr>
          <w:rFonts w:ascii="Arial" w:hAnsi="Arial" w:cs="Arial"/>
        </w:rPr>
        <w:t xml:space="preserve">The number of indicators applicable to the directorate has reduced following negotiations with commissioners.  This reduction has been agreed initially over the winter period. </w:t>
      </w:r>
    </w:p>
    <w:p w:rsidR="00602A89" w:rsidRDefault="00602A89" w:rsidP="001D61AD">
      <w:pPr>
        <w:jc w:val="both"/>
        <w:rPr>
          <w:rFonts w:ascii="Arial" w:hAnsi="Arial" w:cs="Arial"/>
        </w:rPr>
      </w:pPr>
    </w:p>
    <w:p w:rsidR="00A54F8C" w:rsidRDefault="00A54F8C" w:rsidP="00A54F8C">
      <w:pPr>
        <w:jc w:val="both"/>
        <w:rPr>
          <w:rFonts w:ascii="Arial" w:hAnsi="Arial" w:cs="Arial"/>
          <w:b/>
        </w:rPr>
      </w:pPr>
      <w:r>
        <w:rPr>
          <w:rFonts w:ascii="Arial" w:hAnsi="Arial" w:cs="Arial"/>
          <w:b/>
        </w:rPr>
        <w:lastRenderedPageBreak/>
        <w:t>Key Performance Indicator Headlines as follows;</w:t>
      </w:r>
    </w:p>
    <w:p w:rsidR="002461E1" w:rsidRDefault="002461E1" w:rsidP="001D61AD">
      <w:pPr>
        <w:rPr>
          <w:rFonts w:ascii="Arial" w:hAnsi="Arial" w:cs="Arial"/>
        </w:rPr>
      </w:pPr>
    </w:p>
    <w:p w:rsidR="00602A89" w:rsidRDefault="002461E1" w:rsidP="001D61AD">
      <w:pPr>
        <w:rPr>
          <w:rFonts w:ascii="Arial" w:hAnsi="Arial" w:cs="Arial"/>
        </w:rPr>
      </w:pPr>
      <w:r>
        <w:rPr>
          <w:rFonts w:ascii="Arial" w:hAnsi="Arial" w:cs="Arial"/>
        </w:rPr>
        <w:t>74</w:t>
      </w:r>
      <w:r w:rsidRPr="002461E1">
        <w:rPr>
          <w:rFonts w:ascii="Arial" w:hAnsi="Arial" w:cs="Arial"/>
        </w:rPr>
        <w:t xml:space="preserve"> of the 1</w:t>
      </w:r>
      <w:r>
        <w:rPr>
          <w:rFonts w:ascii="Arial" w:hAnsi="Arial" w:cs="Arial"/>
        </w:rPr>
        <w:t>03</w:t>
      </w:r>
      <w:r w:rsidRPr="002461E1">
        <w:rPr>
          <w:rFonts w:ascii="Arial" w:hAnsi="Arial" w:cs="Arial"/>
        </w:rPr>
        <w:t xml:space="preserve"> indicators (72%) were achieved by the Directorate in Dec 18.  </w:t>
      </w:r>
      <w:r>
        <w:rPr>
          <w:rFonts w:ascii="Arial" w:hAnsi="Arial" w:cs="Arial"/>
        </w:rPr>
        <w:t xml:space="preserve">13 </w:t>
      </w:r>
      <w:r w:rsidRPr="002461E1">
        <w:rPr>
          <w:rFonts w:ascii="Arial" w:hAnsi="Arial" w:cs="Arial"/>
        </w:rPr>
        <w:t xml:space="preserve">indicators, however, </w:t>
      </w:r>
      <w:r w:rsidR="00602A89">
        <w:rPr>
          <w:rFonts w:ascii="Arial" w:hAnsi="Arial" w:cs="Arial"/>
        </w:rPr>
        <w:t>were below</w:t>
      </w:r>
      <w:r w:rsidR="00752AB1">
        <w:rPr>
          <w:rFonts w:ascii="Arial" w:hAnsi="Arial" w:cs="Arial"/>
        </w:rPr>
        <w:t xml:space="preserve"> </w:t>
      </w:r>
      <w:r w:rsidRPr="002461E1">
        <w:rPr>
          <w:rFonts w:ascii="Arial" w:hAnsi="Arial" w:cs="Arial"/>
        </w:rPr>
        <w:t>target</w:t>
      </w:r>
      <w:r>
        <w:rPr>
          <w:rFonts w:ascii="Arial" w:hAnsi="Arial" w:cs="Arial"/>
        </w:rPr>
        <w:t xml:space="preserve"> by more than 10%</w:t>
      </w:r>
      <w:r w:rsidRPr="002461E1">
        <w:rPr>
          <w:rFonts w:ascii="Arial" w:hAnsi="Arial" w:cs="Arial"/>
        </w:rPr>
        <w:t>.</w:t>
      </w:r>
      <w:r>
        <w:rPr>
          <w:rFonts w:ascii="Arial" w:hAnsi="Arial" w:cs="Arial"/>
        </w:rPr>
        <w:t xml:space="preserve">  </w:t>
      </w:r>
    </w:p>
    <w:p w:rsidR="00602A89" w:rsidRDefault="00602A89" w:rsidP="001D61AD">
      <w:pPr>
        <w:rPr>
          <w:rFonts w:ascii="Arial" w:hAnsi="Arial" w:cs="Arial"/>
        </w:rPr>
      </w:pPr>
    </w:p>
    <w:p w:rsidR="002461E1" w:rsidRDefault="00752AB1" w:rsidP="001D61AD">
      <w:pPr>
        <w:rPr>
          <w:rFonts w:ascii="Arial" w:hAnsi="Arial" w:cs="Arial"/>
        </w:rPr>
      </w:pPr>
      <w:r>
        <w:rPr>
          <w:rFonts w:ascii="Arial" w:hAnsi="Arial" w:cs="Arial"/>
        </w:rPr>
        <w:t>7</w:t>
      </w:r>
      <w:r w:rsidR="00602A89">
        <w:rPr>
          <w:rFonts w:ascii="Arial" w:hAnsi="Arial" w:cs="Arial"/>
        </w:rPr>
        <w:t xml:space="preserve"> of the 13 indicators that were below target by more than 10% related to;</w:t>
      </w:r>
    </w:p>
    <w:p w:rsidR="00752AB1" w:rsidRDefault="00752AB1" w:rsidP="001D61AD">
      <w:pPr>
        <w:rPr>
          <w:rFonts w:ascii="Arial" w:hAnsi="Arial" w:cs="Arial"/>
        </w:rPr>
      </w:pPr>
    </w:p>
    <w:p w:rsidR="00752AB1" w:rsidRPr="00752AB1" w:rsidRDefault="00752AB1" w:rsidP="001D61AD">
      <w:pPr>
        <w:rPr>
          <w:rFonts w:ascii="Arial" w:hAnsi="Arial" w:cs="Arial"/>
          <w:b/>
        </w:rPr>
      </w:pPr>
      <w:r w:rsidRPr="00752AB1">
        <w:rPr>
          <w:rFonts w:ascii="Arial" w:hAnsi="Arial" w:cs="Arial"/>
          <w:b/>
        </w:rPr>
        <w:t>Demand - Waiting Times for Community Mental Health Services</w:t>
      </w:r>
    </w:p>
    <w:p w:rsidR="002461E1" w:rsidRDefault="002461E1" w:rsidP="001D61AD">
      <w:pPr>
        <w:rPr>
          <w:rFonts w:ascii="Arial" w:hAnsi="Arial" w:cs="Arial"/>
        </w:rPr>
      </w:pPr>
    </w:p>
    <w:p w:rsidR="0072226A" w:rsidRDefault="0072226A" w:rsidP="00161311">
      <w:pPr>
        <w:pStyle w:val="ListParagraph"/>
        <w:numPr>
          <w:ilvl w:val="0"/>
          <w:numId w:val="25"/>
        </w:numPr>
        <w:ind w:left="360"/>
        <w:jc w:val="both"/>
        <w:rPr>
          <w:rFonts w:ascii="Arial" w:hAnsi="Arial" w:cs="Arial"/>
        </w:rPr>
      </w:pPr>
      <w:r w:rsidRPr="00161311">
        <w:rPr>
          <w:rFonts w:ascii="Arial" w:hAnsi="Arial" w:cs="Arial"/>
          <w:b/>
        </w:rPr>
        <w:t>Continuing Health Care (CHC)</w:t>
      </w:r>
      <w:r w:rsidRPr="00161311">
        <w:rPr>
          <w:rFonts w:ascii="Arial" w:hAnsi="Arial" w:cs="Arial"/>
        </w:rPr>
        <w:t xml:space="preserve"> – Referrals into the </w:t>
      </w:r>
      <w:proofErr w:type="spellStart"/>
      <w:r w:rsidRPr="00161311">
        <w:rPr>
          <w:rFonts w:ascii="Arial" w:hAnsi="Arial" w:cs="Arial"/>
        </w:rPr>
        <w:t>Oxfordshire</w:t>
      </w:r>
      <w:proofErr w:type="spellEnd"/>
      <w:r w:rsidRPr="00161311">
        <w:rPr>
          <w:rFonts w:ascii="Arial" w:hAnsi="Arial" w:cs="Arial"/>
        </w:rPr>
        <w:t xml:space="preserve"> CHC service continue </w:t>
      </w:r>
      <w:r w:rsidRPr="00752AB1">
        <w:rPr>
          <w:rFonts w:ascii="Arial" w:hAnsi="Arial" w:cs="Arial"/>
        </w:rPr>
        <w:t xml:space="preserve">to increase and there is insufficient capacity in the service to meet demand.  The service is </w:t>
      </w:r>
      <w:proofErr w:type="spellStart"/>
      <w:r w:rsidRPr="00752AB1">
        <w:rPr>
          <w:rFonts w:ascii="Arial" w:hAnsi="Arial" w:cs="Arial"/>
        </w:rPr>
        <w:t>prioritising</w:t>
      </w:r>
      <w:proofErr w:type="spellEnd"/>
      <w:r w:rsidRPr="00752AB1">
        <w:rPr>
          <w:rFonts w:ascii="Arial" w:hAnsi="Arial" w:cs="Arial"/>
        </w:rPr>
        <w:t xml:space="preserve"> referrals based on need and work to produce a suitable business case for additional resource is being developed.</w:t>
      </w:r>
    </w:p>
    <w:p w:rsidR="00752AB1" w:rsidRDefault="00752AB1" w:rsidP="00752AB1">
      <w:pPr>
        <w:pStyle w:val="ListParagraph"/>
        <w:ind w:left="360"/>
        <w:jc w:val="both"/>
        <w:rPr>
          <w:rFonts w:ascii="Arial" w:hAnsi="Arial" w:cs="Arial"/>
        </w:rPr>
      </w:pPr>
    </w:p>
    <w:p w:rsidR="00752AB1" w:rsidRPr="00752AB1" w:rsidRDefault="00752AB1" w:rsidP="00161311">
      <w:pPr>
        <w:pStyle w:val="ListParagraph"/>
        <w:numPr>
          <w:ilvl w:val="0"/>
          <w:numId w:val="25"/>
        </w:numPr>
        <w:ind w:left="360"/>
        <w:jc w:val="both"/>
        <w:rPr>
          <w:rFonts w:ascii="Arial" w:hAnsi="Arial" w:cs="Arial"/>
        </w:rPr>
      </w:pPr>
      <w:r>
        <w:rPr>
          <w:rFonts w:ascii="Arial" w:hAnsi="Arial" w:cs="Arial"/>
          <w:b/>
        </w:rPr>
        <w:t xml:space="preserve">Falls Service 40% (target 90%) - </w:t>
      </w:r>
      <w:r w:rsidRPr="00752AB1">
        <w:rPr>
          <w:rFonts w:ascii="Arial" w:hAnsi="Arial" w:cs="Arial"/>
        </w:rPr>
        <w:t>There continues to be a shortfall in the number of available clinical appointments with the current staffing levels.  There is however no clinical risk as this is a falls prevention service. The service provides a telephone triage system and if a clinical risk is identified the patient will be signposted to their GP and/or an appropriate service.  Discussions have commenced regarding a proposed joint review of the service with OCCG</w:t>
      </w:r>
      <w:r>
        <w:rPr>
          <w:rFonts w:ascii="Arial" w:hAnsi="Arial" w:cs="Arial"/>
        </w:rPr>
        <w:t>.</w:t>
      </w:r>
    </w:p>
    <w:p w:rsidR="002461E1" w:rsidRDefault="002461E1" w:rsidP="002461E1">
      <w:pPr>
        <w:jc w:val="both"/>
        <w:rPr>
          <w:rFonts w:ascii="Arial" w:hAnsi="Arial" w:cs="Arial"/>
        </w:rPr>
      </w:pPr>
    </w:p>
    <w:p w:rsidR="002461E1" w:rsidRDefault="002461E1" w:rsidP="002461E1">
      <w:pPr>
        <w:jc w:val="both"/>
        <w:rPr>
          <w:rFonts w:ascii="Arial" w:hAnsi="Arial" w:cs="Arial"/>
        </w:rPr>
      </w:pPr>
      <w:r>
        <w:rPr>
          <w:rFonts w:ascii="Arial" w:hAnsi="Arial" w:cs="Arial"/>
        </w:rPr>
        <w:t xml:space="preserve">2 of the 13 indicators that </w:t>
      </w:r>
      <w:r w:rsidR="00602A89">
        <w:rPr>
          <w:rFonts w:ascii="Arial" w:hAnsi="Arial" w:cs="Arial"/>
        </w:rPr>
        <w:t>were below</w:t>
      </w:r>
      <w:r>
        <w:rPr>
          <w:rFonts w:ascii="Arial" w:hAnsi="Arial" w:cs="Arial"/>
        </w:rPr>
        <w:t xml:space="preserve"> target by more than 10% related to;</w:t>
      </w:r>
    </w:p>
    <w:p w:rsidR="002461E1" w:rsidRDefault="002461E1" w:rsidP="002461E1">
      <w:pPr>
        <w:jc w:val="both"/>
        <w:rPr>
          <w:rFonts w:ascii="Arial" w:hAnsi="Arial" w:cs="Arial"/>
        </w:rPr>
      </w:pPr>
    </w:p>
    <w:p w:rsidR="00752AB1" w:rsidRPr="00752AB1" w:rsidRDefault="00752AB1" w:rsidP="002461E1">
      <w:pPr>
        <w:jc w:val="both"/>
        <w:rPr>
          <w:rFonts w:ascii="Arial" w:hAnsi="Arial" w:cs="Arial"/>
          <w:b/>
        </w:rPr>
      </w:pPr>
      <w:r w:rsidRPr="00752AB1">
        <w:rPr>
          <w:rFonts w:ascii="Arial" w:hAnsi="Arial" w:cs="Arial"/>
          <w:b/>
        </w:rPr>
        <w:t>College Nursing vacancies</w:t>
      </w:r>
    </w:p>
    <w:p w:rsidR="00752AB1" w:rsidRPr="002461E1" w:rsidRDefault="00752AB1" w:rsidP="002461E1">
      <w:pPr>
        <w:jc w:val="both"/>
        <w:rPr>
          <w:rFonts w:ascii="Arial" w:hAnsi="Arial" w:cs="Arial"/>
        </w:rPr>
      </w:pPr>
    </w:p>
    <w:p w:rsidR="00752AB1" w:rsidRPr="00752AB1" w:rsidRDefault="00752AB1" w:rsidP="00161311">
      <w:pPr>
        <w:pStyle w:val="ListParagraph"/>
        <w:numPr>
          <w:ilvl w:val="0"/>
          <w:numId w:val="25"/>
        </w:numPr>
        <w:ind w:left="360"/>
        <w:jc w:val="both"/>
        <w:rPr>
          <w:rFonts w:ascii="Arial" w:hAnsi="Arial" w:cs="Arial"/>
        </w:rPr>
      </w:pPr>
      <w:r>
        <w:rPr>
          <w:rFonts w:ascii="Arial" w:hAnsi="Arial" w:cs="Arial"/>
          <w:b/>
        </w:rPr>
        <w:t xml:space="preserve">Under </w:t>
      </w:r>
      <w:r w:rsidR="001F0164">
        <w:rPr>
          <w:rFonts w:ascii="Arial" w:hAnsi="Arial" w:cs="Arial"/>
          <w:b/>
        </w:rPr>
        <w:t xml:space="preserve">25s </w:t>
      </w:r>
      <w:r w:rsidR="002461E1">
        <w:rPr>
          <w:rFonts w:ascii="Arial" w:hAnsi="Arial" w:cs="Arial"/>
          <w:b/>
        </w:rPr>
        <w:t>Chlamydia screening</w:t>
      </w:r>
      <w:r w:rsidR="001F0164">
        <w:rPr>
          <w:rFonts w:ascii="Arial" w:hAnsi="Arial" w:cs="Arial"/>
          <w:b/>
        </w:rPr>
        <w:t>: 36% (target 80%)</w:t>
      </w:r>
    </w:p>
    <w:p w:rsidR="00752AB1" w:rsidRPr="00752AB1" w:rsidRDefault="00752AB1" w:rsidP="00752AB1">
      <w:pPr>
        <w:pStyle w:val="ListParagraph"/>
        <w:ind w:left="360"/>
        <w:jc w:val="both"/>
        <w:rPr>
          <w:rFonts w:ascii="Arial" w:hAnsi="Arial" w:cs="Arial"/>
        </w:rPr>
      </w:pPr>
    </w:p>
    <w:p w:rsidR="002461E1" w:rsidRPr="00752AB1" w:rsidRDefault="00752AB1" w:rsidP="00161311">
      <w:pPr>
        <w:pStyle w:val="ListParagraph"/>
        <w:numPr>
          <w:ilvl w:val="0"/>
          <w:numId w:val="25"/>
        </w:numPr>
        <w:ind w:left="360"/>
        <w:jc w:val="both"/>
        <w:rPr>
          <w:rFonts w:ascii="Arial" w:hAnsi="Arial" w:cs="Arial"/>
        </w:rPr>
      </w:pPr>
      <w:r>
        <w:rPr>
          <w:rFonts w:ascii="Arial" w:hAnsi="Arial" w:cs="Arial"/>
          <w:b/>
        </w:rPr>
        <w:t>S</w:t>
      </w:r>
      <w:r w:rsidRPr="00752AB1">
        <w:rPr>
          <w:rFonts w:ascii="Arial" w:hAnsi="Arial" w:cs="Arial"/>
          <w:b/>
        </w:rPr>
        <w:t xml:space="preserve">essions cancelled by the service due to staffing issues: 3 in Dec (target less than 1 per month) </w:t>
      </w:r>
      <w:r w:rsidR="00602A89">
        <w:rPr>
          <w:rFonts w:ascii="Arial" w:hAnsi="Arial" w:cs="Arial"/>
          <w:b/>
        </w:rPr>
        <w:t xml:space="preserve">- </w:t>
      </w:r>
      <w:r w:rsidR="00602A89" w:rsidRPr="00752AB1">
        <w:rPr>
          <w:rFonts w:ascii="Arial" w:hAnsi="Arial" w:cs="Arial"/>
        </w:rPr>
        <w:t>Vacancies have affected performance</w:t>
      </w:r>
      <w:r>
        <w:rPr>
          <w:rFonts w:ascii="Arial" w:hAnsi="Arial" w:cs="Arial"/>
        </w:rPr>
        <w:t xml:space="preserve"> of both these indicators, however, recruitment to posts has been successful.  </w:t>
      </w:r>
      <w:r w:rsidR="00602A89" w:rsidRPr="00752AB1">
        <w:rPr>
          <w:rFonts w:ascii="Arial" w:hAnsi="Arial" w:cs="Arial"/>
        </w:rPr>
        <w:t xml:space="preserve">  In addition</w:t>
      </w:r>
      <w:r>
        <w:rPr>
          <w:rFonts w:ascii="Arial" w:hAnsi="Arial" w:cs="Arial"/>
        </w:rPr>
        <w:t>,</w:t>
      </w:r>
      <w:r w:rsidR="00602A89" w:rsidRPr="00752AB1">
        <w:rPr>
          <w:rFonts w:ascii="Arial" w:hAnsi="Arial" w:cs="Arial"/>
        </w:rPr>
        <w:t xml:space="preserve"> it is not always appropriate to offer chlamydia testing during a consultation, for example where an appointment was made solely to discuss mental health issues </w:t>
      </w:r>
    </w:p>
    <w:p w:rsidR="00017A12" w:rsidRDefault="00017A12" w:rsidP="00161311">
      <w:pPr>
        <w:ind w:left="-76" w:firstLine="195"/>
        <w:jc w:val="both"/>
        <w:rPr>
          <w:rFonts w:ascii="Arial" w:hAnsi="Arial" w:cs="Arial"/>
        </w:rPr>
      </w:pPr>
    </w:p>
    <w:p w:rsidR="002461E1" w:rsidRDefault="00752AB1" w:rsidP="00752AB1">
      <w:pPr>
        <w:ind w:left="-76"/>
        <w:jc w:val="both"/>
        <w:rPr>
          <w:rFonts w:ascii="Arial" w:hAnsi="Arial" w:cs="Arial"/>
        </w:rPr>
      </w:pPr>
      <w:r>
        <w:rPr>
          <w:rFonts w:ascii="Arial" w:hAnsi="Arial" w:cs="Arial"/>
        </w:rPr>
        <w:t xml:space="preserve">The remaining 4 indicators that were below target by more than 10% have only been </w:t>
      </w:r>
      <w:proofErr w:type="spellStart"/>
      <w:r>
        <w:rPr>
          <w:rFonts w:ascii="Arial" w:hAnsi="Arial" w:cs="Arial"/>
        </w:rPr>
        <w:t>under performing</w:t>
      </w:r>
      <w:proofErr w:type="spellEnd"/>
      <w:r>
        <w:rPr>
          <w:rFonts w:ascii="Arial" w:hAnsi="Arial" w:cs="Arial"/>
        </w:rPr>
        <w:t xml:space="preserve"> for a short </w:t>
      </w:r>
      <w:proofErr w:type="gramStart"/>
      <w:r>
        <w:rPr>
          <w:rFonts w:ascii="Arial" w:hAnsi="Arial" w:cs="Arial"/>
        </w:rPr>
        <w:t>period of time</w:t>
      </w:r>
      <w:proofErr w:type="gramEnd"/>
      <w:r>
        <w:rPr>
          <w:rFonts w:ascii="Arial" w:hAnsi="Arial" w:cs="Arial"/>
        </w:rPr>
        <w:t xml:space="preserve"> and are being monitored.</w:t>
      </w:r>
    </w:p>
    <w:p w:rsidR="002461E1" w:rsidRDefault="002461E1" w:rsidP="00161311">
      <w:pPr>
        <w:ind w:left="-76" w:firstLine="195"/>
        <w:jc w:val="both"/>
        <w:rPr>
          <w:rFonts w:ascii="Arial" w:hAnsi="Arial" w:cs="Arial"/>
        </w:rPr>
      </w:pPr>
    </w:p>
    <w:p w:rsidR="0036734F" w:rsidRDefault="0036734F" w:rsidP="0036734F">
      <w:pPr>
        <w:shd w:val="clear" w:color="auto" w:fill="DBE5F1" w:themeFill="accent1" w:themeFillTint="33"/>
        <w:rPr>
          <w:rFonts w:ascii="Arial" w:hAnsi="Arial" w:cs="Arial"/>
          <w:b/>
        </w:rPr>
      </w:pPr>
      <w:r>
        <w:rPr>
          <w:rFonts w:ascii="Arial" w:hAnsi="Arial" w:cs="Arial"/>
          <w:b/>
        </w:rPr>
        <w:t>Specialist</w:t>
      </w:r>
      <w:r w:rsidRPr="000161D5">
        <w:rPr>
          <w:rFonts w:ascii="Arial" w:hAnsi="Arial" w:cs="Arial"/>
          <w:b/>
        </w:rPr>
        <w:t xml:space="preserve"> Services Directorate</w:t>
      </w:r>
    </w:p>
    <w:p w:rsidR="00EC12AC" w:rsidRDefault="00EC12AC" w:rsidP="00626BB3">
      <w:pPr>
        <w:pStyle w:val="ListParagraph"/>
        <w:jc w:val="both"/>
        <w:rPr>
          <w:rFonts w:ascii="Arial" w:hAnsi="Arial" w:cs="Arial"/>
        </w:rPr>
      </w:pPr>
    </w:p>
    <w:p w:rsidR="00A54F8C" w:rsidRDefault="00A54F8C" w:rsidP="00A54F8C">
      <w:pPr>
        <w:rPr>
          <w:rFonts w:ascii="Arial" w:hAnsi="Arial" w:cs="Arial"/>
        </w:rPr>
      </w:pPr>
      <w:r>
        <w:rPr>
          <w:rFonts w:ascii="Arial" w:hAnsi="Arial" w:cs="Arial"/>
        </w:rPr>
        <w:t>The table below illustrates the directorate’s performance against its contracts as at Q</w:t>
      </w:r>
      <w:r w:rsidR="00752AB1">
        <w:rPr>
          <w:rFonts w:ascii="Arial" w:hAnsi="Arial" w:cs="Arial"/>
        </w:rPr>
        <w:t>3</w:t>
      </w:r>
      <w:r>
        <w:rPr>
          <w:rFonts w:ascii="Arial" w:hAnsi="Arial" w:cs="Arial"/>
        </w:rPr>
        <w:t>;</w:t>
      </w:r>
    </w:p>
    <w:p w:rsidR="00752AB1" w:rsidRDefault="00752AB1" w:rsidP="00A54F8C">
      <w:pPr>
        <w:rPr>
          <w:rFonts w:ascii="Arial" w:hAnsi="Arial" w:cs="Arial"/>
        </w:rPr>
      </w:pPr>
    </w:p>
    <w:p w:rsidR="00752AB1" w:rsidRDefault="00752AB1" w:rsidP="00A54F8C">
      <w:pPr>
        <w:rPr>
          <w:rFonts w:ascii="Arial" w:hAnsi="Arial" w:cs="Arial"/>
        </w:rPr>
      </w:pPr>
      <w:r w:rsidRPr="00752AB1">
        <w:rPr>
          <w:noProof/>
          <w:lang w:val="en-GB" w:eastAsia="en-GB"/>
        </w:rPr>
        <w:lastRenderedPageBreak/>
        <w:drawing>
          <wp:inline distT="0" distB="0" distL="0" distR="0">
            <wp:extent cx="5490210" cy="1480272"/>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0210" cy="1480272"/>
                    </a:xfrm>
                    <a:prstGeom prst="rect">
                      <a:avLst/>
                    </a:prstGeom>
                    <a:noFill/>
                    <a:ln>
                      <a:noFill/>
                    </a:ln>
                  </pic:spPr>
                </pic:pic>
              </a:graphicData>
            </a:graphic>
          </wp:inline>
        </w:drawing>
      </w:r>
    </w:p>
    <w:p w:rsidR="00A54F8C" w:rsidRDefault="00A54F8C" w:rsidP="00626BB3">
      <w:pPr>
        <w:pStyle w:val="ListParagraph"/>
        <w:jc w:val="both"/>
        <w:rPr>
          <w:rFonts w:ascii="Arial" w:hAnsi="Arial" w:cs="Arial"/>
        </w:rPr>
      </w:pPr>
    </w:p>
    <w:p w:rsidR="00A54F8C" w:rsidRDefault="00A54F8C" w:rsidP="00A54F8C">
      <w:pPr>
        <w:jc w:val="both"/>
        <w:rPr>
          <w:rFonts w:ascii="Arial" w:hAnsi="Arial" w:cs="Arial"/>
          <w:b/>
        </w:rPr>
      </w:pPr>
      <w:r>
        <w:rPr>
          <w:rFonts w:ascii="Arial" w:hAnsi="Arial" w:cs="Arial"/>
          <w:b/>
        </w:rPr>
        <w:t>Key Performance Indicator Headlines as follows;</w:t>
      </w:r>
    </w:p>
    <w:p w:rsidR="00A54F8C" w:rsidRDefault="00A54F8C" w:rsidP="00626BB3">
      <w:pPr>
        <w:pStyle w:val="ListParagraph"/>
        <w:jc w:val="both"/>
        <w:rPr>
          <w:rFonts w:ascii="Arial" w:hAnsi="Arial" w:cs="Arial"/>
        </w:rPr>
      </w:pPr>
    </w:p>
    <w:p w:rsidR="00A87604" w:rsidRDefault="00A87604" w:rsidP="00A87604">
      <w:pPr>
        <w:rPr>
          <w:rFonts w:ascii="Arial" w:hAnsi="Arial" w:cs="Arial"/>
        </w:rPr>
      </w:pPr>
      <w:r>
        <w:rPr>
          <w:rFonts w:ascii="Arial" w:hAnsi="Arial" w:cs="Arial"/>
        </w:rPr>
        <w:t>72</w:t>
      </w:r>
      <w:r w:rsidRPr="002461E1">
        <w:rPr>
          <w:rFonts w:ascii="Arial" w:hAnsi="Arial" w:cs="Arial"/>
        </w:rPr>
        <w:t xml:space="preserve"> of the </w:t>
      </w:r>
      <w:r>
        <w:rPr>
          <w:rFonts w:ascii="Arial" w:hAnsi="Arial" w:cs="Arial"/>
        </w:rPr>
        <w:t>88</w:t>
      </w:r>
      <w:r w:rsidRPr="002461E1">
        <w:rPr>
          <w:rFonts w:ascii="Arial" w:hAnsi="Arial" w:cs="Arial"/>
        </w:rPr>
        <w:t xml:space="preserve"> indicators (</w:t>
      </w:r>
      <w:r>
        <w:rPr>
          <w:rFonts w:ascii="Arial" w:hAnsi="Arial" w:cs="Arial"/>
        </w:rPr>
        <w:t>8</w:t>
      </w:r>
      <w:r w:rsidRPr="002461E1">
        <w:rPr>
          <w:rFonts w:ascii="Arial" w:hAnsi="Arial" w:cs="Arial"/>
        </w:rPr>
        <w:t xml:space="preserve">2%) were achieved by the Directorate in Dec 18.  </w:t>
      </w:r>
      <w:r>
        <w:rPr>
          <w:rFonts w:ascii="Arial" w:hAnsi="Arial" w:cs="Arial"/>
        </w:rPr>
        <w:t xml:space="preserve">3 </w:t>
      </w:r>
      <w:r w:rsidRPr="002461E1">
        <w:rPr>
          <w:rFonts w:ascii="Arial" w:hAnsi="Arial" w:cs="Arial"/>
        </w:rPr>
        <w:t xml:space="preserve">indicators, however, </w:t>
      </w:r>
      <w:r>
        <w:rPr>
          <w:rFonts w:ascii="Arial" w:hAnsi="Arial" w:cs="Arial"/>
        </w:rPr>
        <w:t xml:space="preserve">were below </w:t>
      </w:r>
      <w:r w:rsidRPr="002461E1">
        <w:rPr>
          <w:rFonts w:ascii="Arial" w:hAnsi="Arial" w:cs="Arial"/>
        </w:rPr>
        <w:t>target</w:t>
      </w:r>
      <w:r>
        <w:rPr>
          <w:rFonts w:ascii="Arial" w:hAnsi="Arial" w:cs="Arial"/>
        </w:rPr>
        <w:t xml:space="preserve"> by more than 10%</w:t>
      </w:r>
      <w:r w:rsidRPr="002461E1">
        <w:rPr>
          <w:rFonts w:ascii="Arial" w:hAnsi="Arial" w:cs="Arial"/>
        </w:rPr>
        <w:t>.</w:t>
      </w:r>
      <w:r>
        <w:rPr>
          <w:rFonts w:ascii="Arial" w:hAnsi="Arial" w:cs="Arial"/>
        </w:rPr>
        <w:t xml:space="preserve">  </w:t>
      </w:r>
    </w:p>
    <w:p w:rsidR="00A87604" w:rsidRDefault="00A87604" w:rsidP="00A87604">
      <w:pPr>
        <w:rPr>
          <w:rFonts w:ascii="Arial" w:hAnsi="Arial" w:cs="Arial"/>
        </w:rPr>
      </w:pPr>
    </w:p>
    <w:p w:rsidR="00A87604" w:rsidRDefault="00A87604" w:rsidP="00A87604">
      <w:pPr>
        <w:rPr>
          <w:rFonts w:ascii="Arial" w:hAnsi="Arial" w:cs="Arial"/>
        </w:rPr>
      </w:pPr>
      <w:r>
        <w:rPr>
          <w:rFonts w:ascii="Arial" w:hAnsi="Arial" w:cs="Arial"/>
        </w:rPr>
        <w:t>2 of the 3 indicators that were below target by more than 10% related to;</w:t>
      </w:r>
    </w:p>
    <w:p w:rsidR="00A87604" w:rsidRDefault="00A87604" w:rsidP="00A87604">
      <w:pPr>
        <w:rPr>
          <w:rFonts w:ascii="Arial" w:hAnsi="Arial" w:cs="Arial"/>
        </w:rPr>
      </w:pPr>
    </w:p>
    <w:p w:rsidR="00A87604" w:rsidRDefault="00A87604" w:rsidP="00A87604">
      <w:pPr>
        <w:rPr>
          <w:rFonts w:ascii="Arial" w:hAnsi="Arial" w:cs="Arial"/>
          <w:b/>
        </w:rPr>
      </w:pPr>
      <w:r w:rsidRPr="00A87604">
        <w:rPr>
          <w:rFonts w:ascii="Arial" w:hAnsi="Arial" w:cs="Arial"/>
          <w:b/>
        </w:rPr>
        <w:t>The number of in-patients who have accessed a routine dental check-up/ examination in the last 12 months</w:t>
      </w:r>
    </w:p>
    <w:p w:rsidR="00A87604" w:rsidRDefault="00A87604" w:rsidP="00A87604">
      <w:pPr>
        <w:rPr>
          <w:rFonts w:ascii="Arial" w:hAnsi="Arial" w:cs="Arial"/>
          <w:b/>
        </w:rPr>
      </w:pPr>
    </w:p>
    <w:p w:rsidR="00A87604" w:rsidRDefault="00A87604" w:rsidP="00176624">
      <w:pPr>
        <w:pStyle w:val="ListParagraph"/>
        <w:numPr>
          <w:ilvl w:val="0"/>
          <w:numId w:val="25"/>
        </w:numPr>
        <w:jc w:val="both"/>
        <w:rPr>
          <w:rFonts w:ascii="Arial" w:hAnsi="Arial" w:cs="Arial"/>
        </w:rPr>
      </w:pPr>
      <w:r w:rsidRPr="00A87604">
        <w:rPr>
          <w:rFonts w:ascii="Arial" w:hAnsi="Arial" w:cs="Arial"/>
          <w:b/>
        </w:rPr>
        <w:t>Medium Secure Unit (MSU) and Low Secure Unit (LSU)</w:t>
      </w:r>
      <w:r w:rsidRPr="00A87604">
        <w:rPr>
          <w:rFonts w:ascii="Arial" w:hAnsi="Arial" w:cs="Arial"/>
        </w:rPr>
        <w:t xml:space="preserve">– Patients in the MSU and LSU services are not registered with a dentist. This means that they do not attend annual dental check-up/examinations. </w:t>
      </w:r>
      <w:proofErr w:type="gramStart"/>
      <w:r w:rsidRPr="00A87604">
        <w:rPr>
          <w:rFonts w:ascii="Arial" w:hAnsi="Arial" w:cs="Arial"/>
        </w:rPr>
        <w:t>A number of</w:t>
      </w:r>
      <w:proofErr w:type="gramEnd"/>
      <w:r w:rsidRPr="00A87604">
        <w:rPr>
          <w:rFonts w:ascii="Arial" w:hAnsi="Arial" w:cs="Arial"/>
        </w:rPr>
        <w:t xml:space="preserve"> patients refuse treatment.  All patients are treated for emergency dental work and attend clinics in Oxford and Milton Keynes</w:t>
      </w:r>
      <w:r>
        <w:rPr>
          <w:rFonts w:ascii="Arial" w:hAnsi="Arial" w:cs="Arial"/>
        </w:rPr>
        <w:t>.</w:t>
      </w:r>
      <w:r w:rsidRPr="00A87604">
        <w:rPr>
          <w:rFonts w:ascii="Arial" w:hAnsi="Arial" w:cs="Arial"/>
        </w:rPr>
        <w:t xml:space="preserve"> This has been discussed </w:t>
      </w:r>
      <w:r>
        <w:rPr>
          <w:rFonts w:ascii="Arial" w:hAnsi="Arial" w:cs="Arial"/>
        </w:rPr>
        <w:t>at</w:t>
      </w:r>
      <w:r w:rsidRPr="00A87604">
        <w:rPr>
          <w:rFonts w:ascii="Arial" w:hAnsi="Arial" w:cs="Arial"/>
        </w:rPr>
        <w:t xml:space="preserve"> contract review meetings with an undertaking from NHS England to review this but no resolution at this stage</w:t>
      </w:r>
      <w:r>
        <w:rPr>
          <w:rFonts w:ascii="Arial" w:hAnsi="Arial" w:cs="Arial"/>
        </w:rPr>
        <w:t>.</w:t>
      </w:r>
    </w:p>
    <w:p w:rsidR="00A87604" w:rsidRPr="00A87604" w:rsidRDefault="00A87604" w:rsidP="00A87604">
      <w:pPr>
        <w:pStyle w:val="ListParagraph"/>
        <w:jc w:val="both"/>
        <w:rPr>
          <w:rFonts w:ascii="Arial" w:hAnsi="Arial" w:cs="Arial"/>
        </w:rPr>
      </w:pPr>
    </w:p>
    <w:p w:rsidR="00A54F8C" w:rsidRDefault="00A54F8C" w:rsidP="00626BB3">
      <w:pPr>
        <w:pStyle w:val="ListParagraph"/>
        <w:jc w:val="both"/>
        <w:rPr>
          <w:rFonts w:ascii="Arial" w:hAnsi="Arial" w:cs="Arial"/>
        </w:rPr>
      </w:pPr>
    </w:p>
    <w:p w:rsidR="00FA3993" w:rsidRPr="00973671" w:rsidRDefault="00FA3993" w:rsidP="00626BB3">
      <w:pPr>
        <w:jc w:val="both"/>
        <w:rPr>
          <w:rFonts w:ascii="Arial" w:hAnsi="Arial" w:cs="Arial"/>
          <w:b/>
        </w:rPr>
      </w:pPr>
      <w:r w:rsidRPr="00973671">
        <w:rPr>
          <w:rFonts w:ascii="Arial" w:hAnsi="Arial" w:cs="Arial"/>
          <w:b/>
        </w:rPr>
        <w:t>Governance Route/Approval Process</w:t>
      </w:r>
    </w:p>
    <w:p w:rsidR="005D3499" w:rsidRPr="00973671" w:rsidRDefault="00F715FD" w:rsidP="00626BB3">
      <w:pPr>
        <w:jc w:val="both"/>
        <w:rPr>
          <w:rFonts w:ascii="Arial" w:hAnsi="Arial" w:cs="Arial"/>
        </w:rPr>
      </w:pPr>
      <w:r w:rsidRPr="00973671">
        <w:rPr>
          <w:rFonts w:ascii="Arial" w:hAnsi="Arial" w:cs="Arial"/>
        </w:rPr>
        <w:t xml:space="preserve">This is a </w:t>
      </w:r>
      <w:r w:rsidR="007A2CF0" w:rsidRPr="00973671">
        <w:rPr>
          <w:rFonts w:ascii="Arial" w:hAnsi="Arial" w:cs="Arial"/>
        </w:rPr>
        <w:t xml:space="preserve">quarterly update </w:t>
      </w:r>
      <w:r w:rsidRPr="00973671">
        <w:rPr>
          <w:rFonts w:ascii="Arial" w:hAnsi="Arial" w:cs="Arial"/>
        </w:rPr>
        <w:t>report</w:t>
      </w:r>
      <w:r w:rsidR="007A2CF0" w:rsidRPr="00973671">
        <w:rPr>
          <w:rFonts w:ascii="Arial" w:hAnsi="Arial" w:cs="Arial"/>
        </w:rPr>
        <w:t xml:space="preserve">.  </w:t>
      </w:r>
    </w:p>
    <w:p w:rsidR="00F715FD" w:rsidRPr="00973671" w:rsidRDefault="00F715FD" w:rsidP="00626BB3">
      <w:pPr>
        <w:jc w:val="both"/>
        <w:rPr>
          <w:rFonts w:ascii="Arial" w:hAnsi="Arial" w:cs="Arial"/>
        </w:rPr>
      </w:pPr>
    </w:p>
    <w:p w:rsidR="0073522A" w:rsidRPr="00973671" w:rsidRDefault="0073522A" w:rsidP="00626BB3">
      <w:pPr>
        <w:jc w:val="both"/>
        <w:rPr>
          <w:rFonts w:ascii="Arial" w:hAnsi="Arial" w:cs="Arial"/>
          <w:b/>
        </w:rPr>
      </w:pPr>
      <w:r w:rsidRPr="00973671">
        <w:rPr>
          <w:rFonts w:ascii="Arial" w:hAnsi="Arial" w:cs="Arial"/>
          <w:b/>
        </w:rPr>
        <w:t>Recommendation</w:t>
      </w:r>
    </w:p>
    <w:p w:rsidR="000A5A07" w:rsidRPr="00973671" w:rsidRDefault="000A5A07" w:rsidP="00626BB3">
      <w:pPr>
        <w:jc w:val="both"/>
        <w:rPr>
          <w:rFonts w:ascii="Arial" w:hAnsi="Arial" w:cs="Arial"/>
        </w:rPr>
      </w:pPr>
      <w:r w:rsidRPr="00973671">
        <w:rPr>
          <w:rFonts w:ascii="Arial" w:hAnsi="Arial" w:cs="Arial"/>
        </w:rPr>
        <w:t xml:space="preserve">The </w:t>
      </w:r>
      <w:r w:rsidR="00342219" w:rsidRPr="00973671">
        <w:rPr>
          <w:rFonts w:ascii="Arial" w:hAnsi="Arial" w:cs="Arial"/>
        </w:rPr>
        <w:t>Council of Governors is invited</w:t>
      </w:r>
      <w:r w:rsidR="00F715FD" w:rsidRPr="00973671">
        <w:rPr>
          <w:rFonts w:ascii="Arial" w:hAnsi="Arial" w:cs="Arial"/>
        </w:rPr>
        <w:t xml:space="preserve"> to </w:t>
      </w:r>
      <w:r w:rsidRPr="00973671">
        <w:rPr>
          <w:rFonts w:ascii="Arial" w:hAnsi="Arial" w:cs="Arial"/>
        </w:rPr>
        <w:t xml:space="preserve">note the report.  </w:t>
      </w:r>
    </w:p>
    <w:p w:rsidR="002432A2" w:rsidRPr="00973671" w:rsidRDefault="002432A2" w:rsidP="00626BB3">
      <w:pPr>
        <w:ind w:left="1440" w:hanging="1440"/>
        <w:jc w:val="both"/>
        <w:rPr>
          <w:rFonts w:ascii="Arial" w:hAnsi="Arial" w:cs="Arial"/>
          <w:b/>
        </w:rPr>
      </w:pPr>
    </w:p>
    <w:p w:rsidR="00F715FD" w:rsidRPr="00973671" w:rsidRDefault="002619EF" w:rsidP="00626BB3">
      <w:pPr>
        <w:ind w:left="1440" w:hanging="1440"/>
        <w:jc w:val="both"/>
        <w:rPr>
          <w:rFonts w:ascii="Arial" w:hAnsi="Arial" w:cs="Arial"/>
        </w:rPr>
      </w:pPr>
      <w:r w:rsidRPr="00973671">
        <w:rPr>
          <w:rFonts w:ascii="Arial" w:hAnsi="Arial" w:cs="Arial"/>
          <w:b/>
        </w:rPr>
        <w:t>Author and T</w:t>
      </w:r>
      <w:r w:rsidR="0073522A" w:rsidRPr="00973671">
        <w:rPr>
          <w:rFonts w:ascii="Arial" w:hAnsi="Arial" w:cs="Arial"/>
          <w:b/>
        </w:rPr>
        <w:t>itle:</w:t>
      </w:r>
      <w:r w:rsidR="007B02FB" w:rsidRPr="00973671">
        <w:rPr>
          <w:rFonts w:ascii="Arial" w:hAnsi="Arial" w:cs="Arial"/>
          <w:b/>
        </w:rPr>
        <w:t xml:space="preserve"> </w:t>
      </w:r>
      <w:r w:rsidR="006B6902" w:rsidRPr="00973671">
        <w:rPr>
          <w:rFonts w:ascii="Arial" w:hAnsi="Arial" w:cs="Arial"/>
        </w:rPr>
        <w:t>Claire Page</w:t>
      </w:r>
      <w:r w:rsidR="0022259D" w:rsidRPr="00973671">
        <w:rPr>
          <w:rFonts w:ascii="Arial" w:hAnsi="Arial" w:cs="Arial"/>
        </w:rPr>
        <w:t xml:space="preserve">, </w:t>
      </w:r>
      <w:r w:rsidR="006B6902" w:rsidRPr="00973671">
        <w:rPr>
          <w:rFonts w:ascii="Arial" w:hAnsi="Arial" w:cs="Arial"/>
        </w:rPr>
        <w:t>Head of Performance and Information</w:t>
      </w:r>
      <w:r w:rsidR="0022259D" w:rsidRPr="00973671">
        <w:rPr>
          <w:rFonts w:ascii="Arial" w:hAnsi="Arial" w:cs="Arial"/>
        </w:rPr>
        <w:t xml:space="preserve"> </w:t>
      </w:r>
    </w:p>
    <w:p w:rsidR="004B24B2" w:rsidRPr="00973671" w:rsidRDefault="0073522A" w:rsidP="00626BB3">
      <w:pPr>
        <w:jc w:val="both"/>
        <w:rPr>
          <w:rFonts w:ascii="Arial" w:hAnsi="Arial" w:cs="Arial"/>
        </w:rPr>
      </w:pPr>
      <w:r w:rsidRPr="00973671">
        <w:rPr>
          <w:rFonts w:ascii="Arial" w:hAnsi="Arial" w:cs="Arial"/>
          <w:b/>
        </w:rPr>
        <w:t>Lead Executive Director:</w:t>
      </w:r>
      <w:r w:rsidR="00F715FD" w:rsidRPr="00973671">
        <w:rPr>
          <w:rFonts w:ascii="Arial" w:hAnsi="Arial" w:cs="Arial"/>
          <w:b/>
        </w:rPr>
        <w:t xml:space="preserve"> </w:t>
      </w:r>
      <w:r w:rsidR="00C57358" w:rsidRPr="00973671">
        <w:rPr>
          <w:rFonts w:ascii="Arial" w:hAnsi="Arial" w:cs="Arial"/>
        </w:rPr>
        <w:t>Martyn Ward, Director of Strategy &amp; Performance </w:t>
      </w:r>
    </w:p>
    <w:p w:rsidR="004B24B2" w:rsidRPr="00973671" w:rsidRDefault="004B24B2" w:rsidP="00626BB3">
      <w:pPr>
        <w:jc w:val="both"/>
        <w:rPr>
          <w:rFonts w:ascii="Arial" w:hAnsi="Arial" w:cs="Arial"/>
        </w:rPr>
        <w:sectPr w:rsidR="004B24B2" w:rsidRPr="00973671" w:rsidSect="00D90BCC">
          <w:headerReference w:type="first" r:id="rId24"/>
          <w:pgSz w:w="12240" w:h="15840" w:code="1"/>
          <w:pgMar w:top="1135" w:right="1797" w:bottom="851" w:left="1797" w:header="709" w:footer="709" w:gutter="0"/>
          <w:cols w:space="708"/>
          <w:titlePg/>
          <w:docGrid w:linePitch="360"/>
        </w:sectPr>
      </w:pPr>
    </w:p>
    <w:p w:rsidR="00F2180B" w:rsidRPr="00973671" w:rsidRDefault="00F2180B" w:rsidP="00626BB3">
      <w:pPr>
        <w:jc w:val="both"/>
        <w:rPr>
          <w:rFonts w:ascii="Arial" w:hAnsi="Arial" w:cs="Arial"/>
          <w:b/>
        </w:rPr>
      </w:pPr>
      <w:r w:rsidRPr="00973671">
        <w:rPr>
          <w:rFonts w:ascii="Arial" w:hAnsi="Arial" w:cs="Arial"/>
          <w:b/>
        </w:rPr>
        <w:lastRenderedPageBreak/>
        <w:t>Appendix 1 – Performance Reporting Structure</w:t>
      </w:r>
    </w:p>
    <w:p w:rsidR="00F2180B" w:rsidRPr="00973671" w:rsidRDefault="00F2180B" w:rsidP="00626BB3">
      <w:pPr>
        <w:jc w:val="both"/>
        <w:rPr>
          <w:rFonts w:ascii="Arial" w:hAnsi="Arial" w:cs="Arial"/>
          <w:b/>
        </w:rPr>
      </w:pPr>
    </w:p>
    <w:p w:rsidR="00FA3993" w:rsidRPr="00973671" w:rsidRDefault="00F2180B" w:rsidP="00626BB3">
      <w:pPr>
        <w:jc w:val="both"/>
        <w:rPr>
          <w:rFonts w:ascii="Arial" w:hAnsi="Arial" w:cs="Arial"/>
        </w:rPr>
      </w:pPr>
      <w:r w:rsidRPr="00973671">
        <w:rPr>
          <w:rFonts w:ascii="Arial" w:hAnsi="Arial" w:cs="Arial"/>
          <w:b/>
          <w:noProof/>
          <w:lang w:val="en-GB" w:eastAsia="en-GB"/>
        </w:rPr>
        <w:drawing>
          <wp:inline distT="0" distB="0" distL="0" distR="0" wp14:anchorId="6796873F" wp14:editId="14CF719A">
            <wp:extent cx="7210425" cy="4992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Reporting Structure COG.jpg"/>
                    <pic:cNvPicPr/>
                  </pic:nvPicPr>
                  <pic:blipFill>
                    <a:blip r:embed="rId25">
                      <a:extLst>
                        <a:ext uri="{28A0092B-C50C-407E-A947-70E740481C1C}">
                          <a14:useLocalDpi xmlns:a14="http://schemas.microsoft.com/office/drawing/2010/main" val="0"/>
                        </a:ext>
                      </a:extLst>
                    </a:blip>
                    <a:stretch>
                      <a:fillRect/>
                    </a:stretch>
                  </pic:blipFill>
                  <pic:spPr>
                    <a:xfrm>
                      <a:off x="0" y="0"/>
                      <a:ext cx="7218620" cy="4998173"/>
                    </a:xfrm>
                    <a:prstGeom prst="rect">
                      <a:avLst/>
                    </a:prstGeom>
                  </pic:spPr>
                </pic:pic>
              </a:graphicData>
            </a:graphic>
          </wp:inline>
        </w:drawing>
      </w:r>
    </w:p>
    <w:sectPr w:rsidR="00FA3993" w:rsidRPr="00973671" w:rsidSect="004B24B2">
      <w:pgSz w:w="15840" w:h="12240" w:orient="landscape" w:code="1"/>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199" w:rsidRDefault="00191199" w:rsidP="005B3E3C">
      <w:r>
        <w:separator/>
      </w:r>
    </w:p>
  </w:endnote>
  <w:endnote w:type="continuationSeparator" w:id="0">
    <w:p w:rsidR="00191199" w:rsidRDefault="0019119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199" w:rsidRDefault="00191199" w:rsidP="005B3E3C">
      <w:r>
        <w:separator/>
      </w:r>
    </w:p>
  </w:footnote>
  <w:footnote w:type="continuationSeparator" w:id="0">
    <w:p w:rsidR="00191199" w:rsidRDefault="00191199"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99" w:rsidRPr="00342219" w:rsidRDefault="00191199" w:rsidP="00262F0F">
    <w:pPr>
      <w:pStyle w:val="Header"/>
      <w:jc w:val="center"/>
      <w:rPr>
        <w:rFonts w:ascii="Segoe UI" w:hAnsi="Segoe UI" w:cs="Segoe UI"/>
        <w:b/>
        <w:i/>
        <w:sz w:val="20"/>
        <w:szCs w:val="20"/>
      </w:rPr>
    </w:pPr>
    <w:r w:rsidRPr="00342219">
      <w:rPr>
        <w:rFonts w:ascii="Segoe UI" w:hAnsi="Segoe UI" w:cs="Segoe UI"/>
        <w:b/>
        <w:i/>
        <w:sz w:val="20"/>
        <w:szCs w:val="2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170"/>
    <w:multiLevelType w:val="hybridMultilevel"/>
    <w:tmpl w:val="C25248E6"/>
    <w:lvl w:ilvl="0" w:tplc="100C06E8">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62991"/>
    <w:multiLevelType w:val="hybridMultilevel"/>
    <w:tmpl w:val="A5505DD8"/>
    <w:lvl w:ilvl="0" w:tplc="9814D778">
      <w:start w:val="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05D37"/>
    <w:multiLevelType w:val="hybridMultilevel"/>
    <w:tmpl w:val="AF888868"/>
    <w:lvl w:ilvl="0" w:tplc="9574009A">
      <w:start w:val="1"/>
      <w:numFmt w:val="bullet"/>
      <w:lvlText w:val=""/>
      <w:lvlJc w:val="left"/>
      <w:pPr>
        <w:ind w:left="1080" w:hanging="360"/>
      </w:pPr>
      <w:rPr>
        <w:rFonts w:ascii="Wingdings" w:hAnsi="Wingdings" w:hint="default"/>
        <w:b/>
        <w:color w:val="FF0000"/>
        <w:sz w:val="5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233E61"/>
    <w:multiLevelType w:val="hybridMultilevel"/>
    <w:tmpl w:val="DD00054C"/>
    <w:lvl w:ilvl="0" w:tplc="AAE6A902">
      <w:start w:val="1"/>
      <w:numFmt w:val="bullet"/>
      <w:lvlText w:val=""/>
      <w:lvlJc w:val="left"/>
      <w:pPr>
        <w:ind w:left="1080" w:hanging="360"/>
      </w:pPr>
      <w:rPr>
        <w:rFonts w:ascii="Wingdings" w:hAnsi="Wingdings" w:hint="default"/>
        <w:b/>
        <w:color w:val="FF0000"/>
        <w:sz w:val="4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D0E72"/>
    <w:multiLevelType w:val="hybridMultilevel"/>
    <w:tmpl w:val="C8E0E21C"/>
    <w:lvl w:ilvl="0" w:tplc="AAE6A902">
      <w:start w:val="1"/>
      <w:numFmt w:val="bullet"/>
      <w:lvlText w:val=""/>
      <w:lvlJc w:val="left"/>
      <w:pPr>
        <w:ind w:left="1080" w:hanging="360"/>
      </w:pPr>
      <w:rPr>
        <w:rFonts w:ascii="Wingdings" w:hAnsi="Wingdings" w:hint="default"/>
        <w:b/>
        <w:color w:val="FF0000"/>
        <w:sz w:val="4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611AA"/>
    <w:multiLevelType w:val="hybridMultilevel"/>
    <w:tmpl w:val="B5D434CE"/>
    <w:lvl w:ilvl="0" w:tplc="238049FE">
      <w:numFmt w:val="bullet"/>
      <w:lvlText w:val=""/>
      <w:lvlJc w:val="left"/>
      <w:pPr>
        <w:ind w:left="720" w:hanging="360"/>
      </w:pPr>
      <w:rPr>
        <w:rFonts w:ascii="Wingdings" w:eastAsia="Times New Roman" w:hAnsi="Wingdings" w:cs="Segoe UI"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F2C5B"/>
    <w:multiLevelType w:val="hybridMultilevel"/>
    <w:tmpl w:val="FE1AD872"/>
    <w:lvl w:ilvl="0" w:tplc="25DA6D60">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42D78"/>
    <w:multiLevelType w:val="hybridMultilevel"/>
    <w:tmpl w:val="2752F14C"/>
    <w:lvl w:ilvl="0" w:tplc="79704CA6">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8447C3"/>
    <w:multiLevelType w:val="hybridMultilevel"/>
    <w:tmpl w:val="99A4D5F6"/>
    <w:lvl w:ilvl="0" w:tplc="E5B29F52">
      <w:start w:val="1"/>
      <w:numFmt w:val="bullet"/>
      <w:lvlText w:val=""/>
      <w:lvlJc w:val="left"/>
      <w:pPr>
        <w:ind w:left="720" w:hanging="360"/>
      </w:pPr>
      <w:rPr>
        <w:rFonts w:ascii="Wingdings" w:eastAsia="Times New Roman" w:hAnsi="Wingdings" w:cs="Arial"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D2499"/>
    <w:multiLevelType w:val="hybridMultilevel"/>
    <w:tmpl w:val="7436D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3" w15:restartNumberingAfterBreak="0">
    <w:nsid w:val="274B1C1A"/>
    <w:multiLevelType w:val="hybridMultilevel"/>
    <w:tmpl w:val="2228D3C0"/>
    <w:lvl w:ilvl="0" w:tplc="79704CA6">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A2F6A"/>
    <w:multiLevelType w:val="hybridMultilevel"/>
    <w:tmpl w:val="B004042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60EBD"/>
    <w:multiLevelType w:val="hybridMultilevel"/>
    <w:tmpl w:val="5ADC05F6"/>
    <w:lvl w:ilvl="0" w:tplc="938009D0">
      <w:numFmt w:val="bullet"/>
      <w:lvlText w:val=""/>
      <w:lvlJc w:val="left"/>
      <w:pPr>
        <w:ind w:left="360" w:hanging="360"/>
      </w:pPr>
      <w:rPr>
        <w:rFonts w:ascii="Wingdings" w:eastAsia="Times New Roman" w:hAnsi="Wingdings" w:cs="Segoe UI" w:hint="default"/>
        <w:b/>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F60E94"/>
    <w:multiLevelType w:val="hybridMultilevel"/>
    <w:tmpl w:val="49802B04"/>
    <w:lvl w:ilvl="0" w:tplc="DD769A34">
      <w:numFmt w:val="bullet"/>
      <w:lvlText w:val=""/>
      <w:lvlJc w:val="left"/>
      <w:pPr>
        <w:ind w:left="360" w:hanging="360"/>
      </w:pPr>
      <w:rPr>
        <w:rFonts w:ascii="Wingdings" w:eastAsia="Times New Roman"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4C2C9A"/>
    <w:multiLevelType w:val="hybridMultilevel"/>
    <w:tmpl w:val="A156D7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F6A6E22"/>
    <w:multiLevelType w:val="hybridMultilevel"/>
    <w:tmpl w:val="BA16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162A5"/>
    <w:multiLevelType w:val="hybridMultilevel"/>
    <w:tmpl w:val="FD12462A"/>
    <w:lvl w:ilvl="0" w:tplc="252C7370">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D6005"/>
    <w:multiLevelType w:val="hybridMultilevel"/>
    <w:tmpl w:val="0BA062CE"/>
    <w:lvl w:ilvl="0" w:tplc="0BD2EE8C">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3D29E2"/>
    <w:multiLevelType w:val="hybridMultilevel"/>
    <w:tmpl w:val="64129414"/>
    <w:lvl w:ilvl="0" w:tplc="79704CA6">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6E73B5"/>
    <w:multiLevelType w:val="hybridMultilevel"/>
    <w:tmpl w:val="796A57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6" w15:restartNumberingAfterBreak="0">
    <w:nsid w:val="586A312C"/>
    <w:multiLevelType w:val="hybridMultilevel"/>
    <w:tmpl w:val="FD24E916"/>
    <w:lvl w:ilvl="0" w:tplc="DF3471E6">
      <w:numFmt w:val="bullet"/>
      <w:lvlText w:val=""/>
      <w:lvlJc w:val="left"/>
      <w:pPr>
        <w:ind w:left="720" w:hanging="360"/>
      </w:pPr>
      <w:rPr>
        <w:rFonts w:ascii="Wingdings" w:eastAsia="Times New Roman" w:hAnsi="Wingdings"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37711F"/>
    <w:multiLevelType w:val="hybridMultilevel"/>
    <w:tmpl w:val="E214A356"/>
    <w:lvl w:ilvl="0" w:tplc="79704CA6">
      <w:numFmt w:val="bullet"/>
      <w:lvlText w:val=""/>
      <w:lvlJc w:val="left"/>
      <w:pPr>
        <w:ind w:left="720" w:hanging="360"/>
      </w:pPr>
      <w:rPr>
        <w:rFonts w:ascii="Wingdings" w:eastAsia="Times New Roman" w:hAnsi="Wingdings" w:cs="Segoe U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15D3C"/>
    <w:multiLevelType w:val="hybridMultilevel"/>
    <w:tmpl w:val="2BA49F00"/>
    <w:lvl w:ilvl="0" w:tplc="5F662F82">
      <w:numFmt w:val="bullet"/>
      <w:lvlText w:val=""/>
      <w:lvlJc w:val="left"/>
      <w:pPr>
        <w:ind w:left="720" w:hanging="360"/>
      </w:pPr>
      <w:rPr>
        <w:rFonts w:ascii="Wingdings" w:eastAsia="Times New Roman" w:hAnsi="Wingdings" w:cs="Segoe UI"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16D80"/>
    <w:multiLevelType w:val="hybridMultilevel"/>
    <w:tmpl w:val="1BAC0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60085F"/>
    <w:multiLevelType w:val="hybridMultilevel"/>
    <w:tmpl w:val="8DE03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B22EC3"/>
    <w:multiLevelType w:val="hybridMultilevel"/>
    <w:tmpl w:val="73B43BF4"/>
    <w:lvl w:ilvl="0" w:tplc="81CCE4B2">
      <w:numFmt w:val="bullet"/>
      <w:lvlText w:val=""/>
      <w:lvlJc w:val="left"/>
      <w:pPr>
        <w:ind w:left="720" w:hanging="360"/>
      </w:pPr>
      <w:rPr>
        <w:rFonts w:ascii="Wingdings" w:eastAsia="Times New Roman" w:hAnsi="Wingdings" w:cs="Segoe UI"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22"/>
  </w:num>
  <w:num w:numId="4">
    <w:abstractNumId w:val="9"/>
  </w:num>
  <w:num w:numId="5">
    <w:abstractNumId w:val="25"/>
  </w:num>
  <w:num w:numId="6">
    <w:abstractNumId w:val="12"/>
  </w:num>
  <w:num w:numId="7">
    <w:abstractNumId w:val="6"/>
  </w:num>
  <w:num w:numId="8">
    <w:abstractNumId w:val="26"/>
  </w:num>
  <w:num w:numId="9">
    <w:abstractNumId w:val="16"/>
  </w:num>
  <w:num w:numId="10">
    <w:abstractNumId w:val="14"/>
  </w:num>
  <w:num w:numId="11">
    <w:abstractNumId w:val="21"/>
  </w:num>
  <w:num w:numId="12">
    <w:abstractNumId w:val="31"/>
  </w:num>
  <w:num w:numId="13">
    <w:abstractNumId w:val="29"/>
  </w:num>
  <w:num w:numId="14">
    <w:abstractNumId w:val="11"/>
  </w:num>
  <w:num w:numId="15">
    <w:abstractNumId w:val="17"/>
  </w:num>
  <w:num w:numId="16">
    <w:abstractNumId w:val="10"/>
  </w:num>
  <w:num w:numId="17">
    <w:abstractNumId w:val="1"/>
  </w:num>
  <w:num w:numId="18">
    <w:abstractNumId w:val="5"/>
  </w:num>
  <w:num w:numId="19">
    <w:abstractNumId w:val="19"/>
  </w:num>
  <w:num w:numId="20">
    <w:abstractNumId w:val="0"/>
  </w:num>
  <w:num w:numId="21">
    <w:abstractNumId w:val="28"/>
  </w:num>
  <w:num w:numId="22">
    <w:abstractNumId w:val="7"/>
  </w:num>
  <w:num w:numId="23">
    <w:abstractNumId w:val="27"/>
  </w:num>
  <w:num w:numId="24">
    <w:abstractNumId w:val="8"/>
  </w:num>
  <w:num w:numId="25">
    <w:abstractNumId w:val="13"/>
  </w:num>
  <w:num w:numId="26">
    <w:abstractNumId w:val="15"/>
  </w:num>
  <w:num w:numId="27">
    <w:abstractNumId w:val="23"/>
  </w:num>
  <w:num w:numId="28">
    <w:abstractNumId w:val="32"/>
  </w:num>
  <w:num w:numId="29">
    <w:abstractNumId w:val="20"/>
  </w:num>
  <w:num w:numId="30">
    <w:abstractNumId w:val="24"/>
  </w:num>
  <w:num w:numId="31">
    <w:abstractNumId w:val="2"/>
  </w:num>
  <w:num w:numId="32">
    <w:abstractNumId w:val="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4B2B"/>
    <w:rsid w:val="00017A12"/>
    <w:rsid w:val="0002155B"/>
    <w:rsid w:val="000234E5"/>
    <w:rsid w:val="0002440D"/>
    <w:rsid w:val="00025757"/>
    <w:rsid w:val="00030247"/>
    <w:rsid w:val="00036566"/>
    <w:rsid w:val="0004428A"/>
    <w:rsid w:val="0005156E"/>
    <w:rsid w:val="0005551D"/>
    <w:rsid w:val="00071842"/>
    <w:rsid w:val="00077AD7"/>
    <w:rsid w:val="00084EB3"/>
    <w:rsid w:val="000A3A29"/>
    <w:rsid w:val="000A5A07"/>
    <w:rsid w:val="000E039E"/>
    <w:rsid w:val="000E317C"/>
    <w:rsid w:val="00104CA1"/>
    <w:rsid w:val="00130B75"/>
    <w:rsid w:val="00140CB9"/>
    <w:rsid w:val="00161311"/>
    <w:rsid w:val="00175125"/>
    <w:rsid w:val="00191199"/>
    <w:rsid w:val="001A1359"/>
    <w:rsid w:val="001A54DC"/>
    <w:rsid w:val="001C1254"/>
    <w:rsid w:val="001D32C5"/>
    <w:rsid w:val="001D61AD"/>
    <w:rsid w:val="001D6C0B"/>
    <w:rsid w:val="001F0164"/>
    <w:rsid w:val="001F1FA5"/>
    <w:rsid w:val="001F76ED"/>
    <w:rsid w:val="00216A21"/>
    <w:rsid w:val="00221126"/>
    <w:rsid w:val="0022259D"/>
    <w:rsid w:val="002250DE"/>
    <w:rsid w:val="00227FCE"/>
    <w:rsid w:val="00231A08"/>
    <w:rsid w:val="00241A66"/>
    <w:rsid w:val="002432A2"/>
    <w:rsid w:val="00243EF5"/>
    <w:rsid w:val="002461E1"/>
    <w:rsid w:val="00260E05"/>
    <w:rsid w:val="002619EF"/>
    <w:rsid w:val="00262F0F"/>
    <w:rsid w:val="00264C94"/>
    <w:rsid w:val="0027199E"/>
    <w:rsid w:val="00272A14"/>
    <w:rsid w:val="00276E7F"/>
    <w:rsid w:val="00280D0C"/>
    <w:rsid w:val="002821F8"/>
    <w:rsid w:val="00284094"/>
    <w:rsid w:val="00291052"/>
    <w:rsid w:val="00292613"/>
    <w:rsid w:val="002A73E8"/>
    <w:rsid w:val="002C2F97"/>
    <w:rsid w:val="002E6FC6"/>
    <w:rsid w:val="002F3A41"/>
    <w:rsid w:val="002F4082"/>
    <w:rsid w:val="002F50BA"/>
    <w:rsid w:val="002F79F6"/>
    <w:rsid w:val="0030378F"/>
    <w:rsid w:val="00306AF0"/>
    <w:rsid w:val="00324AF9"/>
    <w:rsid w:val="00335AAA"/>
    <w:rsid w:val="00342219"/>
    <w:rsid w:val="003437AA"/>
    <w:rsid w:val="00343C8E"/>
    <w:rsid w:val="00366067"/>
    <w:rsid w:val="0036734F"/>
    <w:rsid w:val="003927AC"/>
    <w:rsid w:val="003971F6"/>
    <w:rsid w:val="003B4537"/>
    <w:rsid w:val="003C579A"/>
    <w:rsid w:val="003D139D"/>
    <w:rsid w:val="003E4B85"/>
    <w:rsid w:val="003F2325"/>
    <w:rsid w:val="003F2AF4"/>
    <w:rsid w:val="003F5A5E"/>
    <w:rsid w:val="003F7366"/>
    <w:rsid w:val="00400273"/>
    <w:rsid w:val="00410EC5"/>
    <w:rsid w:val="00425DC2"/>
    <w:rsid w:val="004326BB"/>
    <w:rsid w:val="004432A3"/>
    <w:rsid w:val="00456DDE"/>
    <w:rsid w:val="004618BA"/>
    <w:rsid w:val="00470D0A"/>
    <w:rsid w:val="00472322"/>
    <w:rsid w:val="00473055"/>
    <w:rsid w:val="004742D0"/>
    <w:rsid w:val="004900E9"/>
    <w:rsid w:val="00497C5A"/>
    <w:rsid w:val="004A5E53"/>
    <w:rsid w:val="004B087A"/>
    <w:rsid w:val="004B1961"/>
    <w:rsid w:val="004B24B2"/>
    <w:rsid w:val="004D0C7F"/>
    <w:rsid w:val="004E0AAE"/>
    <w:rsid w:val="004E4FCF"/>
    <w:rsid w:val="004E70CB"/>
    <w:rsid w:val="004F4BBA"/>
    <w:rsid w:val="005233AA"/>
    <w:rsid w:val="0052560D"/>
    <w:rsid w:val="00533F41"/>
    <w:rsid w:val="005347A5"/>
    <w:rsid w:val="0054519F"/>
    <w:rsid w:val="00551B0F"/>
    <w:rsid w:val="00552A4E"/>
    <w:rsid w:val="0056581C"/>
    <w:rsid w:val="005659FB"/>
    <w:rsid w:val="0058211E"/>
    <w:rsid w:val="00582831"/>
    <w:rsid w:val="00582F51"/>
    <w:rsid w:val="0058377A"/>
    <w:rsid w:val="005A13DD"/>
    <w:rsid w:val="005B1614"/>
    <w:rsid w:val="005B3E3C"/>
    <w:rsid w:val="005C2C6E"/>
    <w:rsid w:val="005C3FC1"/>
    <w:rsid w:val="005C538F"/>
    <w:rsid w:val="005D0E04"/>
    <w:rsid w:val="005D20D4"/>
    <w:rsid w:val="005D3499"/>
    <w:rsid w:val="005E2583"/>
    <w:rsid w:val="00602A89"/>
    <w:rsid w:val="00613ED9"/>
    <w:rsid w:val="0061684E"/>
    <w:rsid w:val="00626BB3"/>
    <w:rsid w:val="00645AAD"/>
    <w:rsid w:val="00655B10"/>
    <w:rsid w:val="00656584"/>
    <w:rsid w:val="00674B5D"/>
    <w:rsid w:val="006B1F5F"/>
    <w:rsid w:val="006B6902"/>
    <w:rsid w:val="006D05A6"/>
    <w:rsid w:val="006E38F4"/>
    <w:rsid w:val="006E3C3E"/>
    <w:rsid w:val="006F2F62"/>
    <w:rsid w:val="006F7B3D"/>
    <w:rsid w:val="0072226A"/>
    <w:rsid w:val="00722A2B"/>
    <w:rsid w:val="00732A93"/>
    <w:rsid w:val="0073522A"/>
    <w:rsid w:val="00752AB1"/>
    <w:rsid w:val="0076314E"/>
    <w:rsid w:val="00766230"/>
    <w:rsid w:val="00766BA2"/>
    <w:rsid w:val="007769CD"/>
    <w:rsid w:val="00777400"/>
    <w:rsid w:val="00777514"/>
    <w:rsid w:val="0078032B"/>
    <w:rsid w:val="00781566"/>
    <w:rsid w:val="0078238E"/>
    <w:rsid w:val="00785E7D"/>
    <w:rsid w:val="007976E7"/>
    <w:rsid w:val="007A2C43"/>
    <w:rsid w:val="007A2CF0"/>
    <w:rsid w:val="007A318A"/>
    <w:rsid w:val="007B02FB"/>
    <w:rsid w:val="007B2C46"/>
    <w:rsid w:val="007B6D77"/>
    <w:rsid w:val="007C201D"/>
    <w:rsid w:val="007C3BE6"/>
    <w:rsid w:val="007C570A"/>
    <w:rsid w:val="007C5E98"/>
    <w:rsid w:val="007D025B"/>
    <w:rsid w:val="007E3B7E"/>
    <w:rsid w:val="007E4A11"/>
    <w:rsid w:val="007E57E3"/>
    <w:rsid w:val="007E5EEF"/>
    <w:rsid w:val="00802701"/>
    <w:rsid w:val="008038A2"/>
    <w:rsid w:val="00811FE8"/>
    <w:rsid w:val="00823FED"/>
    <w:rsid w:val="0084720C"/>
    <w:rsid w:val="008620A8"/>
    <w:rsid w:val="0086436B"/>
    <w:rsid w:val="0087006D"/>
    <w:rsid w:val="00877A5E"/>
    <w:rsid w:val="00894B97"/>
    <w:rsid w:val="00895A10"/>
    <w:rsid w:val="008A3E17"/>
    <w:rsid w:val="008B448F"/>
    <w:rsid w:val="008B5883"/>
    <w:rsid w:val="008C6B13"/>
    <w:rsid w:val="008E27C9"/>
    <w:rsid w:val="008E3A3C"/>
    <w:rsid w:val="009005E7"/>
    <w:rsid w:val="009155CE"/>
    <w:rsid w:val="0092104D"/>
    <w:rsid w:val="0092780F"/>
    <w:rsid w:val="0093333D"/>
    <w:rsid w:val="00935D5C"/>
    <w:rsid w:val="00940A98"/>
    <w:rsid w:val="00946E6E"/>
    <w:rsid w:val="0096192A"/>
    <w:rsid w:val="00962A8E"/>
    <w:rsid w:val="00964F8D"/>
    <w:rsid w:val="00973671"/>
    <w:rsid w:val="009869CE"/>
    <w:rsid w:val="009869DE"/>
    <w:rsid w:val="00993B47"/>
    <w:rsid w:val="009954E9"/>
    <w:rsid w:val="00996676"/>
    <w:rsid w:val="009B1280"/>
    <w:rsid w:val="009C1F87"/>
    <w:rsid w:val="009C5EA0"/>
    <w:rsid w:val="009C77E5"/>
    <w:rsid w:val="009F32DC"/>
    <w:rsid w:val="00A10B9D"/>
    <w:rsid w:val="00A1326C"/>
    <w:rsid w:val="00A54F8C"/>
    <w:rsid w:val="00A647D9"/>
    <w:rsid w:val="00A674FB"/>
    <w:rsid w:val="00A85311"/>
    <w:rsid w:val="00A85BD8"/>
    <w:rsid w:val="00A863D2"/>
    <w:rsid w:val="00A86977"/>
    <w:rsid w:val="00A87604"/>
    <w:rsid w:val="00AA0C3F"/>
    <w:rsid w:val="00AC3814"/>
    <w:rsid w:val="00AF0562"/>
    <w:rsid w:val="00AF07FE"/>
    <w:rsid w:val="00AF1D2C"/>
    <w:rsid w:val="00AF22A8"/>
    <w:rsid w:val="00AF5363"/>
    <w:rsid w:val="00AF565E"/>
    <w:rsid w:val="00AF6F2E"/>
    <w:rsid w:val="00B07AA8"/>
    <w:rsid w:val="00B10FB2"/>
    <w:rsid w:val="00B11F76"/>
    <w:rsid w:val="00B26E1A"/>
    <w:rsid w:val="00B26F2C"/>
    <w:rsid w:val="00B35EB8"/>
    <w:rsid w:val="00B508F4"/>
    <w:rsid w:val="00B50D5E"/>
    <w:rsid w:val="00B52C34"/>
    <w:rsid w:val="00B54E2B"/>
    <w:rsid w:val="00B6064B"/>
    <w:rsid w:val="00B7384F"/>
    <w:rsid w:val="00B74B41"/>
    <w:rsid w:val="00B87668"/>
    <w:rsid w:val="00BA3B3E"/>
    <w:rsid w:val="00BB24B0"/>
    <w:rsid w:val="00BC152C"/>
    <w:rsid w:val="00BC37A3"/>
    <w:rsid w:val="00BD0322"/>
    <w:rsid w:val="00BE066C"/>
    <w:rsid w:val="00BF3538"/>
    <w:rsid w:val="00BF5367"/>
    <w:rsid w:val="00C068F9"/>
    <w:rsid w:val="00C07817"/>
    <w:rsid w:val="00C11AA2"/>
    <w:rsid w:val="00C31AC8"/>
    <w:rsid w:val="00C40728"/>
    <w:rsid w:val="00C46F71"/>
    <w:rsid w:val="00C53697"/>
    <w:rsid w:val="00C56F57"/>
    <w:rsid w:val="00C57358"/>
    <w:rsid w:val="00C6233E"/>
    <w:rsid w:val="00C62501"/>
    <w:rsid w:val="00C6357C"/>
    <w:rsid w:val="00C66196"/>
    <w:rsid w:val="00C67635"/>
    <w:rsid w:val="00C71005"/>
    <w:rsid w:val="00C8120E"/>
    <w:rsid w:val="00C855F5"/>
    <w:rsid w:val="00C94AAE"/>
    <w:rsid w:val="00CB3A79"/>
    <w:rsid w:val="00CC2108"/>
    <w:rsid w:val="00CC629B"/>
    <w:rsid w:val="00CF552D"/>
    <w:rsid w:val="00D01E91"/>
    <w:rsid w:val="00D02D95"/>
    <w:rsid w:val="00D07064"/>
    <w:rsid w:val="00D101CB"/>
    <w:rsid w:val="00D20212"/>
    <w:rsid w:val="00D20ACD"/>
    <w:rsid w:val="00D227FC"/>
    <w:rsid w:val="00D279FC"/>
    <w:rsid w:val="00D3125F"/>
    <w:rsid w:val="00D37A32"/>
    <w:rsid w:val="00D41522"/>
    <w:rsid w:val="00D44BD6"/>
    <w:rsid w:val="00D5045C"/>
    <w:rsid w:val="00D55ADD"/>
    <w:rsid w:val="00D8544F"/>
    <w:rsid w:val="00D870AD"/>
    <w:rsid w:val="00D90BCC"/>
    <w:rsid w:val="00DA0FA6"/>
    <w:rsid w:val="00DB161E"/>
    <w:rsid w:val="00DB4D78"/>
    <w:rsid w:val="00DC46A7"/>
    <w:rsid w:val="00DC4DAE"/>
    <w:rsid w:val="00DD21B1"/>
    <w:rsid w:val="00DD33DF"/>
    <w:rsid w:val="00DE1293"/>
    <w:rsid w:val="00DF10CC"/>
    <w:rsid w:val="00E021CA"/>
    <w:rsid w:val="00E0392C"/>
    <w:rsid w:val="00E23F61"/>
    <w:rsid w:val="00E24154"/>
    <w:rsid w:val="00E402C3"/>
    <w:rsid w:val="00E43938"/>
    <w:rsid w:val="00E60D96"/>
    <w:rsid w:val="00E61928"/>
    <w:rsid w:val="00E6707E"/>
    <w:rsid w:val="00E827C5"/>
    <w:rsid w:val="00E94A21"/>
    <w:rsid w:val="00EA0E45"/>
    <w:rsid w:val="00EA3A26"/>
    <w:rsid w:val="00EB6220"/>
    <w:rsid w:val="00EC12AC"/>
    <w:rsid w:val="00ED0106"/>
    <w:rsid w:val="00EE17F7"/>
    <w:rsid w:val="00EF35EC"/>
    <w:rsid w:val="00F10A21"/>
    <w:rsid w:val="00F2180B"/>
    <w:rsid w:val="00F24EB2"/>
    <w:rsid w:val="00F259ED"/>
    <w:rsid w:val="00F26AF8"/>
    <w:rsid w:val="00F34F5C"/>
    <w:rsid w:val="00F50A07"/>
    <w:rsid w:val="00F56312"/>
    <w:rsid w:val="00F57119"/>
    <w:rsid w:val="00F715FD"/>
    <w:rsid w:val="00F77C13"/>
    <w:rsid w:val="00F77DD1"/>
    <w:rsid w:val="00F81D9A"/>
    <w:rsid w:val="00F90501"/>
    <w:rsid w:val="00F945DB"/>
    <w:rsid w:val="00FA3993"/>
    <w:rsid w:val="00FA5118"/>
    <w:rsid w:val="00FC35E4"/>
    <w:rsid w:val="00FC39F8"/>
    <w:rsid w:val="00FC71D8"/>
    <w:rsid w:val="00FD08B2"/>
    <w:rsid w:val="00FD2279"/>
    <w:rsid w:val="00FD25FE"/>
    <w:rsid w:val="00FD7257"/>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A1A984DE-B752-40E2-A81D-F267A1DA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rsid w:val="00C8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0D0C"/>
    <w:pPr>
      <w:autoSpaceDE w:val="0"/>
      <w:autoSpaceDN w:val="0"/>
      <w:adjustRightInd w:val="0"/>
    </w:pPr>
    <w:rPr>
      <w:rFonts w:ascii="Segoe UI" w:hAnsi="Segoe UI" w:cs="Segoe UI"/>
      <w:color w:val="000000"/>
      <w:sz w:val="24"/>
      <w:szCs w:val="24"/>
    </w:rPr>
  </w:style>
  <w:style w:type="character" w:styleId="CommentReference">
    <w:name w:val="annotation reference"/>
    <w:basedOn w:val="DefaultParagraphFont"/>
    <w:semiHidden/>
    <w:unhideWhenUsed/>
    <w:rsid w:val="0058377A"/>
    <w:rPr>
      <w:sz w:val="16"/>
      <w:szCs w:val="16"/>
    </w:rPr>
  </w:style>
  <w:style w:type="paragraph" w:styleId="CommentText">
    <w:name w:val="annotation text"/>
    <w:basedOn w:val="Normal"/>
    <w:link w:val="CommentTextChar"/>
    <w:semiHidden/>
    <w:unhideWhenUsed/>
    <w:rsid w:val="0058377A"/>
    <w:rPr>
      <w:sz w:val="20"/>
      <w:szCs w:val="20"/>
    </w:rPr>
  </w:style>
  <w:style w:type="character" w:customStyle="1" w:styleId="CommentTextChar">
    <w:name w:val="Comment Text Char"/>
    <w:basedOn w:val="DefaultParagraphFont"/>
    <w:link w:val="CommentText"/>
    <w:semiHidden/>
    <w:rsid w:val="0058377A"/>
    <w:rPr>
      <w:lang w:val="en-US" w:eastAsia="en-US"/>
    </w:rPr>
  </w:style>
  <w:style w:type="paragraph" w:styleId="CommentSubject">
    <w:name w:val="annotation subject"/>
    <w:basedOn w:val="CommentText"/>
    <w:next w:val="CommentText"/>
    <w:link w:val="CommentSubjectChar"/>
    <w:semiHidden/>
    <w:unhideWhenUsed/>
    <w:rsid w:val="0058377A"/>
    <w:rPr>
      <w:b/>
      <w:bCs/>
    </w:rPr>
  </w:style>
  <w:style w:type="character" w:customStyle="1" w:styleId="CommentSubjectChar">
    <w:name w:val="Comment Subject Char"/>
    <w:basedOn w:val="CommentTextChar"/>
    <w:link w:val="CommentSubject"/>
    <w:semiHidden/>
    <w:rsid w:val="0058377A"/>
    <w:rPr>
      <w:b/>
      <w:bCs/>
      <w:lang w:val="en-US" w:eastAsia="en-US"/>
    </w:rPr>
  </w:style>
  <w:style w:type="table" w:customStyle="1" w:styleId="TableGrid2">
    <w:name w:val="Table Grid2"/>
    <w:basedOn w:val="TableNormal"/>
    <w:next w:val="TableGrid"/>
    <w:rsid w:val="00B0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5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1630">
      <w:bodyDiv w:val="1"/>
      <w:marLeft w:val="0"/>
      <w:marRight w:val="0"/>
      <w:marTop w:val="0"/>
      <w:marBottom w:val="0"/>
      <w:divBdr>
        <w:top w:val="none" w:sz="0" w:space="0" w:color="auto"/>
        <w:left w:val="none" w:sz="0" w:space="0" w:color="auto"/>
        <w:bottom w:val="none" w:sz="0" w:space="0" w:color="auto"/>
        <w:right w:val="none" w:sz="0" w:space="0" w:color="auto"/>
      </w:divBdr>
    </w:div>
    <w:div w:id="147837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0.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0.png"/><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emf"/><Relationship Id="rId10" Type="http://schemas.openxmlformats.org/officeDocument/2006/relationships/image" Target="media/image3.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svg"/><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A2E5-6B51-48D0-9359-C427C456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2230</Words>
  <Characters>11924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Strain Dellisha (RNU) Oxford Health</cp:lastModifiedBy>
  <cp:revision>7</cp:revision>
  <cp:lastPrinted>2019-03-14T10:32:00Z</cp:lastPrinted>
  <dcterms:created xsi:type="dcterms:W3CDTF">2019-03-11T11:44:00Z</dcterms:created>
  <dcterms:modified xsi:type="dcterms:W3CDTF">2019-03-14T11:01:00Z</dcterms:modified>
</cp:coreProperties>
</file>