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2E5" w:rsidRDefault="009409B7" w:rsidP="00322AC9">
      <w:pPr>
        <w:ind w:right="-188"/>
        <w:jc w:val="right"/>
      </w:pPr>
      <w:r>
        <w:rPr>
          <w:noProof/>
          <w:lang w:eastAsia="en-GB"/>
        </w:rPr>
        <w:drawing>
          <wp:inline distT="0" distB="0" distL="0" distR="0" wp14:anchorId="54B41E24" wp14:editId="078E115D">
            <wp:extent cx="2552700" cy="504825"/>
            <wp:effectExtent l="0" t="0" r="0" b="9525"/>
            <wp:docPr id="1" name="Picture 1" descr="Logo.jpg"/>
            <wp:cNvGraphicFramePr/>
            <a:graphic xmlns:a="http://schemas.openxmlformats.org/drawingml/2006/main">
              <a:graphicData uri="http://schemas.openxmlformats.org/drawingml/2006/picture">
                <pic:pic xmlns:pic="http://schemas.openxmlformats.org/drawingml/2006/picture">
                  <pic:nvPicPr>
                    <pic:cNvPr id="1" name="Picture 1" descr="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322AC9" w:rsidRPr="00322AC9" w:rsidRDefault="00322AC9" w:rsidP="000B311A">
      <w:pPr>
        <w:spacing w:after="0" w:line="240" w:lineRule="auto"/>
        <w:jc w:val="center"/>
        <w:rPr>
          <w:rFonts w:ascii="Segoe UI" w:hAnsi="Segoe UI" w:cs="Segoe UI"/>
          <w:b/>
        </w:rPr>
      </w:pPr>
    </w:p>
    <w:p w:rsidR="009409B7" w:rsidRPr="000B311A" w:rsidRDefault="009409B7" w:rsidP="000B311A">
      <w:pPr>
        <w:spacing w:after="0" w:line="240" w:lineRule="auto"/>
        <w:jc w:val="center"/>
        <w:rPr>
          <w:rFonts w:ascii="Segoe UI" w:hAnsi="Segoe UI" w:cs="Segoe UI"/>
          <w:b/>
          <w:sz w:val="32"/>
        </w:rPr>
      </w:pPr>
      <w:r w:rsidRPr="000B311A">
        <w:rPr>
          <w:rFonts w:ascii="Segoe UI" w:hAnsi="Segoe UI" w:cs="Segoe UI"/>
          <w:b/>
          <w:sz w:val="32"/>
        </w:rPr>
        <w:t xml:space="preserve">Operational Plan 2018/19: Quarter </w:t>
      </w:r>
      <w:r w:rsidR="00C16A78">
        <w:rPr>
          <w:rFonts w:ascii="Segoe UI" w:hAnsi="Segoe UI" w:cs="Segoe UI"/>
          <w:b/>
          <w:sz w:val="32"/>
        </w:rPr>
        <w:t>3</w:t>
      </w:r>
      <w:r w:rsidRPr="000B311A">
        <w:rPr>
          <w:rFonts w:ascii="Segoe UI" w:hAnsi="Segoe UI" w:cs="Segoe UI"/>
          <w:b/>
          <w:sz w:val="32"/>
        </w:rPr>
        <w:t xml:space="preserve"> Report</w:t>
      </w:r>
    </w:p>
    <w:p w:rsidR="009409B7" w:rsidRPr="00322AC9" w:rsidRDefault="009409B7" w:rsidP="000B311A">
      <w:pPr>
        <w:spacing w:after="0" w:line="240" w:lineRule="auto"/>
        <w:rPr>
          <w:rFonts w:ascii="Segoe UI" w:hAnsi="Segoe UI" w:cs="Segoe UI"/>
          <w:sz w:val="32"/>
        </w:rPr>
      </w:pPr>
    </w:p>
    <w:p w:rsidR="009409B7" w:rsidRPr="00322AC9" w:rsidRDefault="00FD141B" w:rsidP="00F366AE">
      <w:pPr>
        <w:pStyle w:val="ListParagraph"/>
        <w:numPr>
          <w:ilvl w:val="0"/>
          <w:numId w:val="3"/>
        </w:numPr>
        <w:shd w:val="clear" w:color="auto" w:fill="FFFFFF" w:themeFill="background1"/>
        <w:spacing w:after="0" w:line="240" w:lineRule="auto"/>
        <w:rPr>
          <w:rFonts w:ascii="Segoe UI" w:hAnsi="Segoe UI" w:cs="Segoe UI"/>
          <w:b/>
          <w:sz w:val="24"/>
        </w:rPr>
      </w:pPr>
      <w:r>
        <w:rPr>
          <w:rFonts w:ascii="Segoe UI" w:hAnsi="Segoe UI" w:cs="Segoe UI"/>
          <w:b/>
          <w:sz w:val="24"/>
        </w:rPr>
        <w:t>Introduction</w:t>
      </w:r>
      <w:bookmarkStart w:id="0" w:name="_GoBack"/>
      <w:bookmarkEnd w:id="0"/>
    </w:p>
    <w:p w:rsidR="000B311A" w:rsidRPr="000B311A" w:rsidRDefault="000B311A" w:rsidP="000B311A">
      <w:pPr>
        <w:pStyle w:val="ListParagraph"/>
        <w:spacing w:after="0" w:line="240" w:lineRule="auto"/>
        <w:ind w:left="375"/>
        <w:rPr>
          <w:rFonts w:ascii="Segoe UI" w:hAnsi="Segoe UI" w:cs="Segoe UI"/>
          <w:b/>
        </w:rPr>
      </w:pPr>
    </w:p>
    <w:p w:rsidR="008816F5" w:rsidRDefault="008816F5" w:rsidP="00C16A78">
      <w:pPr>
        <w:spacing w:after="0" w:line="240" w:lineRule="auto"/>
        <w:jc w:val="both"/>
        <w:rPr>
          <w:rFonts w:ascii="Segoe UI" w:hAnsi="Segoe UI" w:cs="Segoe UI"/>
        </w:rPr>
      </w:pPr>
      <w:r w:rsidRPr="000B311A">
        <w:rPr>
          <w:rFonts w:ascii="Segoe UI" w:hAnsi="Segoe UI" w:cs="Segoe UI"/>
        </w:rPr>
        <w:t xml:space="preserve">This report </w:t>
      </w:r>
      <w:r w:rsidR="00322AC9">
        <w:rPr>
          <w:rFonts w:ascii="Segoe UI" w:hAnsi="Segoe UI" w:cs="Segoe UI"/>
        </w:rPr>
        <w:t>provides an update to the</w:t>
      </w:r>
      <w:r w:rsidRPr="000B311A">
        <w:rPr>
          <w:rFonts w:ascii="Segoe UI" w:hAnsi="Segoe UI" w:cs="Segoe UI"/>
        </w:rPr>
        <w:t xml:space="preserve"> Trust’s Board of Directors on progress in delivering the Trust’s Operational Plan 2018/19 in Quarter </w:t>
      </w:r>
      <w:r w:rsidR="00C16A78">
        <w:rPr>
          <w:rFonts w:ascii="Segoe UI" w:hAnsi="Segoe UI" w:cs="Segoe UI"/>
        </w:rPr>
        <w:t>3</w:t>
      </w:r>
      <w:r w:rsidR="006F0282" w:rsidRPr="000B311A">
        <w:rPr>
          <w:rFonts w:ascii="Segoe UI" w:hAnsi="Segoe UI" w:cs="Segoe UI"/>
        </w:rPr>
        <w:t xml:space="preserve"> (</w:t>
      </w:r>
      <w:r w:rsidR="00C16A78">
        <w:rPr>
          <w:rFonts w:ascii="Segoe UI" w:hAnsi="Segoe UI" w:cs="Segoe UI"/>
        </w:rPr>
        <w:t>December 2018</w:t>
      </w:r>
      <w:r w:rsidR="006F0282" w:rsidRPr="000B311A">
        <w:rPr>
          <w:rFonts w:ascii="Segoe UI" w:hAnsi="Segoe UI" w:cs="Segoe UI"/>
        </w:rPr>
        <w:t xml:space="preserve">). </w:t>
      </w:r>
      <w:r w:rsidRPr="000B311A">
        <w:rPr>
          <w:rFonts w:ascii="Segoe UI" w:hAnsi="Segoe UI" w:cs="Segoe UI"/>
        </w:rPr>
        <w:t xml:space="preserve">The report outlines key achievements for </w:t>
      </w:r>
      <w:r w:rsidR="00315388" w:rsidRPr="000B311A">
        <w:rPr>
          <w:rFonts w:ascii="Segoe UI" w:hAnsi="Segoe UI" w:cs="Segoe UI"/>
        </w:rPr>
        <w:t>the quarter</w:t>
      </w:r>
      <w:r w:rsidRPr="000B311A">
        <w:rPr>
          <w:rFonts w:ascii="Segoe UI" w:hAnsi="Segoe UI" w:cs="Segoe UI"/>
        </w:rPr>
        <w:t xml:space="preserve"> against the activity, quality, workforce, finance and key programme targets and commitments </w:t>
      </w:r>
      <w:r w:rsidR="000531E8">
        <w:rPr>
          <w:rFonts w:ascii="Segoe UI" w:hAnsi="Segoe UI" w:cs="Segoe UI"/>
        </w:rPr>
        <w:t>set out</w:t>
      </w:r>
      <w:r w:rsidRPr="000B311A">
        <w:rPr>
          <w:rFonts w:ascii="Segoe UI" w:hAnsi="Segoe UI" w:cs="Segoe UI"/>
        </w:rPr>
        <w:t xml:space="preserve"> in the Plan.</w:t>
      </w:r>
    </w:p>
    <w:p w:rsidR="000B311A" w:rsidRPr="000B311A" w:rsidRDefault="000B311A" w:rsidP="000B311A">
      <w:pPr>
        <w:spacing w:after="0" w:line="240" w:lineRule="auto"/>
        <w:rPr>
          <w:rFonts w:ascii="Segoe UI" w:hAnsi="Segoe UI" w:cs="Segoe UI"/>
        </w:rPr>
      </w:pPr>
    </w:p>
    <w:p w:rsidR="009409B7" w:rsidRDefault="009409B7" w:rsidP="00F366AE">
      <w:pPr>
        <w:pStyle w:val="ListParagraph"/>
        <w:numPr>
          <w:ilvl w:val="0"/>
          <w:numId w:val="3"/>
        </w:numPr>
        <w:shd w:val="clear" w:color="auto" w:fill="FFFFFF" w:themeFill="background1"/>
        <w:spacing w:after="0" w:line="240" w:lineRule="auto"/>
        <w:rPr>
          <w:rFonts w:ascii="Segoe UI" w:hAnsi="Segoe UI" w:cs="Segoe UI"/>
          <w:b/>
          <w:sz w:val="24"/>
        </w:rPr>
      </w:pPr>
      <w:r w:rsidRPr="00322AC9">
        <w:rPr>
          <w:rFonts w:ascii="Segoe UI" w:hAnsi="Segoe UI" w:cs="Segoe UI"/>
          <w:b/>
          <w:sz w:val="24"/>
        </w:rPr>
        <w:t>Activity</w:t>
      </w:r>
    </w:p>
    <w:p w:rsidR="000B311A" w:rsidRDefault="000B311A" w:rsidP="00E26E5E">
      <w:pPr>
        <w:spacing w:after="0" w:line="240" w:lineRule="auto"/>
        <w:rPr>
          <w:rFonts w:ascii="Segoe UI" w:hAnsi="Segoe UI" w:cs="Segoe UI"/>
          <w:color w:val="FF0000"/>
        </w:rPr>
      </w:pPr>
    </w:p>
    <w:p w:rsidR="00030336" w:rsidRDefault="00396B5E" w:rsidP="00E2207D">
      <w:pPr>
        <w:shd w:val="clear" w:color="auto" w:fill="FFFFFF" w:themeFill="background1"/>
        <w:spacing w:after="0" w:line="240" w:lineRule="auto"/>
        <w:jc w:val="both"/>
        <w:rPr>
          <w:rFonts w:ascii="Segoe UI" w:hAnsi="Segoe UI" w:cs="Segoe UI"/>
        </w:rPr>
      </w:pPr>
      <w:r w:rsidRPr="00D6176C">
        <w:rPr>
          <w:rFonts w:ascii="Segoe UI" w:hAnsi="Segoe UI" w:cs="Segoe UI"/>
        </w:rPr>
        <w:t>The follo</w:t>
      </w:r>
      <w:r>
        <w:rPr>
          <w:rFonts w:ascii="Segoe UI" w:hAnsi="Segoe UI" w:cs="Segoe UI"/>
        </w:rPr>
        <w:t>wing table</w:t>
      </w:r>
      <w:r w:rsidR="00C16A78">
        <w:rPr>
          <w:rFonts w:ascii="Segoe UI" w:hAnsi="Segoe UI" w:cs="Segoe UI"/>
        </w:rPr>
        <w:t>s</w:t>
      </w:r>
      <w:r>
        <w:rPr>
          <w:rFonts w:ascii="Segoe UI" w:hAnsi="Segoe UI" w:cs="Segoe UI"/>
        </w:rPr>
        <w:t xml:space="preserve"> </w:t>
      </w:r>
      <w:r w:rsidR="00C16A78">
        <w:rPr>
          <w:rFonts w:ascii="Segoe UI" w:hAnsi="Segoe UI" w:cs="Segoe UI"/>
        </w:rPr>
        <w:t>illustrate the high level Q3</w:t>
      </w:r>
      <w:r w:rsidRPr="00D6176C">
        <w:rPr>
          <w:rFonts w:ascii="Segoe UI" w:hAnsi="Segoe UI" w:cs="Segoe UI"/>
        </w:rPr>
        <w:t xml:space="preserve"> activity outtu</w:t>
      </w:r>
      <w:r w:rsidR="00EF2C04">
        <w:rPr>
          <w:rFonts w:ascii="Segoe UI" w:hAnsi="Segoe UI" w:cs="Segoe UI"/>
        </w:rPr>
        <w:t>rn against plan by service area</w:t>
      </w:r>
      <w:r w:rsidR="000531E8">
        <w:rPr>
          <w:rFonts w:ascii="Segoe UI" w:hAnsi="Segoe UI" w:cs="Segoe UI"/>
        </w:rPr>
        <w:t>,</w:t>
      </w:r>
      <w:r w:rsidR="00EF2C04">
        <w:rPr>
          <w:rFonts w:ascii="Segoe UI" w:hAnsi="Segoe UI" w:cs="Segoe UI"/>
        </w:rPr>
        <w:t xml:space="preserve"> as listed in the Operational Plan 18/19.</w:t>
      </w:r>
      <w:r w:rsidR="00552DAA">
        <w:rPr>
          <w:rFonts w:ascii="Segoe UI" w:hAnsi="Segoe UI" w:cs="Segoe UI"/>
        </w:rPr>
        <w:t xml:space="preserve"> Detailed demand and capacity work is</w:t>
      </w:r>
      <w:r w:rsidR="00E504B1">
        <w:rPr>
          <w:rFonts w:ascii="Segoe UI" w:hAnsi="Segoe UI" w:cs="Segoe UI"/>
        </w:rPr>
        <w:t xml:space="preserve"> now</w:t>
      </w:r>
      <w:r w:rsidR="00552DAA">
        <w:rPr>
          <w:rFonts w:ascii="Segoe UI" w:hAnsi="Segoe UI" w:cs="Segoe UI"/>
        </w:rPr>
        <w:t xml:space="preserve"> underway, linking with </w:t>
      </w:r>
      <w:r w:rsidR="00E504B1">
        <w:rPr>
          <w:rFonts w:ascii="Segoe UI" w:hAnsi="Segoe UI" w:cs="Segoe UI"/>
        </w:rPr>
        <w:t>Directorates</w:t>
      </w:r>
      <w:r w:rsidR="00552DAA">
        <w:rPr>
          <w:rFonts w:ascii="Segoe UI" w:hAnsi="Segoe UI" w:cs="Segoe UI"/>
        </w:rPr>
        <w:t xml:space="preserve">, to inform 2019/20 Operational Plan drafting and develop the Trust’s approach to and use of activity </w:t>
      </w:r>
      <w:r w:rsidR="00E2207D">
        <w:rPr>
          <w:rFonts w:ascii="Segoe UI" w:hAnsi="Segoe UI" w:cs="Segoe UI"/>
        </w:rPr>
        <w:t>work.</w:t>
      </w:r>
    </w:p>
    <w:p w:rsidR="00030336" w:rsidRDefault="00030336" w:rsidP="00396B5E">
      <w:pPr>
        <w:shd w:val="clear" w:color="auto" w:fill="FFFFFF" w:themeFill="background1"/>
        <w:spacing w:after="0" w:line="240" w:lineRule="auto"/>
        <w:rPr>
          <w:rFonts w:ascii="Segoe UI" w:hAnsi="Segoe UI" w:cs="Segoe UI"/>
        </w:rPr>
      </w:pPr>
    </w:p>
    <w:p w:rsidR="00396B5E" w:rsidRPr="00030336" w:rsidRDefault="00030336" w:rsidP="00396B5E">
      <w:pPr>
        <w:shd w:val="clear" w:color="auto" w:fill="FFFFFF" w:themeFill="background1"/>
        <w:spacing w:after="0" w:line="240" w:lineRule="auto"/>
        <w:rPr>
          <w:rFonts w:ascii="Segoe UI" w:hAnsi="Segoe UI" w:cs="Segoe UI"/>
          <w:u w:val="single"/>
        </w:rPr>
      </w:pPr>
      <w:r w:rsidRPr="00030336">
        <w:rPr>
          <w:rFonts w:ascii="Segoe UI" w:hAnsi="Segoe UI" w:cs="Segoe UI"/>
          <w:u w:val="single"/>
        </w:rPr>
        <w:t>CAMHS contacts overall and by area</w:t>
      </w:r>
      <w:r w:rsidR="00396B5E" w:rsidRPr="00030336">
        <w:rPr>
          <w:rFonts w:ascii="Segoe UI" w:hAnsi="Segoe UI" w:cs="Segoe UI"/>
          <w:u w:val="single"/>
        </w:rPr>
        <w:t xml:space="preserve"> </w:t>
      </w:r>
    </w:p>
    <w:p w:rsidR="00396B5E" w:rsidRDefault="00396B5E" w:rsidP="00E26E5E">
      <w:pPr>
        <w:spacing w:after="0" w:line="240" w:lineRule="auto"/>
        <w:rPr>
          <w:rFonts w:ascii="Segoe UI" w:hAnsi="Segoe UI" w:cs="Segoe UI"/>
          <w:color w:val="FF0000"/>
        </w:rPr>
      </w:pPr>
    </w:p>
    <w:p w:rsidR="005F095C" w:rsidRDefault="00030336" w:rsidP="00AA4F80">
      <w:pPr>
        <w:spacing w:after="0" w:line="240" w:lineRule="auto"/>
        <w:rPr>
          <w:rFonts w:ascii="Segoe UI" w:hAnsi="Segoe UI" w:cs="Segoe UI"/>
        </w:rPr>
      </w:pPr>
      <w:r w:rsidRPr="00030336">
        <w:rPr>
          <w:noProof/>
        </w:rPr>
        <w:drawing>
          <wp:inline distT="0" distB="0" distL="0" distR="0">
            <wp:extent cx="5731510" cy="1707571"/>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07571"/>
                    </a:xfrm>
                    <a:prstGeom prst="rect">
                      <a:avLst/>
                    </a:prstGeom>
                    <a:noFill/>
                    <a:ln>
                      <a:noFill/>
                    </a:ln>
                  </pic:spPr>
                </pic:pic>
              </a:graphicData>
            </a:graphic>
          </wp:inline>
        </w:drawing>
      </w:r>
    </w:p>
    <w:p w:rsidR="00C16A78" w:rsidRDefault="00C16A78" w:rsidP="00AA4F80">
      <w:pPr>
        <w:spacing w:after="0" w:line="240" w:lineRule="auto"/>
        <w:rPr>
          <w:rFonts w:ascii="Segoe UI" w:hAnsi="Segoe UI" w:cs="Segoe UI"/>
        </w:rPr>
      </w:pPr>
    </w:p>
    <w:p w:rsidR="00C16A78" w:rsidRPr="00030336" w:rsidRDefault="00030336" w:rsidP="00AA4F80">
      <w:pPr>
        <w:spacing w:after="0" w:line="240" w:lineRule="auto"/>
        <w:rPr>
          <w:rFonts w:ascii="Segoe UI" w:hAnsi="Segoe UI" w:cs="Segoe UI"/>
          <w:u w:val="single"/>
        </w:rPr>
      </w:pPr>
      <w:r w:rsidRPr="00030336">
        <w:rPr>
          <w:rFonts w:ascii="Segoe UI" w:hAnsi="Segoe UI" w:cs="Segoe UI"/>
          <w:u w:val="single"/>
        </w:rPr>
        <w:t>CAMHS referrals overall and by area</w:t>
      </w:r>
    </w:p>
    <w:p w:rsidR="00030336" w:rsidRDefault="00030336" w:rsidP="00AA4F80">
      <w:pPr>
        <w:spacing w:after="0" w:line="240" w:lineRule="auto"/>
        <w:rPr>
          <w:rFonts w:ascii="Segoe UI" w:hAnsi="Segoe UI" w:cs="Segoe UI"/>
        </w:rPr>
      </w:pPr>
    </w:p>
    <w:p w:rsidR="00030336" w:rsidRDefault="00030336" w:rsidP="00AA4F80">
      <w:pPr>
        <w:spacing w:after="0" w:line="240" w:lineRule="auto"/>
        <w:rPr>
          <w:rFonts w:ascii="Segoe UI" w:hAnsi="Segoe UI" w:cs="Segoe UI"/>
        </w:rPr>
      </w:pPr>
      <w:r w:rsidRPr="00030336">
        <w:rPr>
          <w:noProof/>
        </w:rPr>
        <w:drawing>
          <wp:inline distT="0" distB="0" distL="0" distR="0">
            <wp:extent cx="5731510" cy="17033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703368"/>
                    </a:xfrm>
                    <a:prstGeom prst="rect">
                      <a:avLst/>
                    </a:prstGeom>
                    <a:noFill/>
                    <a:ln>
                      <a:noFill/>
                    </a:ln>
                  </pic:spPr>
                </pic:pic>
              </a:graphicData>
            </a:graphic>
          </wp:inline>
        </w:drawing>
      </w:r>
    </w:p>
    <w:p w:rsidR="00030336" w:rsidRDefault="00030336" w:rsidP="00AA4F80">
      <w:pPr>
        <w:spacing w:after="0" w:line="240" w:lineRule="auto"/>
        <w:rPr>
          <w:rFonts w:ascii="Segoe UI" w:hAnsi="Segoe UI" w:cs="Segoe UI"/>
        </w:rPr>
      </w:pPr>
    </w:p>
    <w:p w:rsidR="00844D0E" w:rsidRDefault="00844D0E" w:rsidP="00AA4F80">
      <w:pPr>
        <w:spacing w:after="0" w:line="240" w:lineRule="auto"/>
        <w:rPr>
          <w:rFonts w:ascii="Segoe UI" w:hAnsi="Segoe UI" w:cs="Segoe UI"/>
          <w:u w:val="single"/>
        </w:rPr>
      </w:pPr>
    </w:p>
    <w:p w:rsidR="00844D0E" w:rsidRDefault="00844D0E" w:rsidP="00AA4F80">
      <w:pPr>
        <w:spacing w:after="0" w:line="240" w:lineRule="auto"/>
        <w:rPr>
          <w:rFonts w:ascii="Segoe UI" w:hAnsi="Segoe UI" w:cs="Segoe UI"/>
          <w:u w:val="single"/>
        </w:rPr>
      </w:pPr>
    </w:p>
    <w:p w:rsidR="00844D0E" w:rsidRDefault="00844D0E" w:rsidP="00AA4F80">
      <w:pPr>
        <w:spacing w:after="0" w:line="240" w:lineRule="auto"/>
        <w:rPr>
          <w:rFonts w:ascii="Segoe UI" w:hAnsi="Segoe UI" w:cs="Segoe UI"/>
          <w:u w:val="single"/>
        </w:rPr>
      </w:pPr>
    </w:p>
    <w:p w:rsidR="00844D0E" w:rsidRDefault="00844D0E" w:rsidP="00AA4F80">
      <w:pPr>
        <w:spacing w:after="0" w:line="240" w:lineRule="auto"/>
        <w:rPr>
          <w:rFonts w:ascii="Segoe UI" w:hAnsi="Segoe UI" w:cs="Segoe UI"/>
          <w:u w:val="single"/>
        </w:rPr>
      </w:pPr>
    </w:p>
    <w:p w:rsidR="00844D0E" w:rsidRDefault="00844D0E" w:rsidP="00AA4F80">
      <w:pPr>
        <w:spacing w:after="0" w:line="240" w:lineRule="auto"/>
        <w:rPr>
          <w:rFonts w:ascii="Segoe UI" w:hAnsi="Segoe UI" w:cs="Segoe UI"/>
          <w:u w:val="single"/>
        </w:rPr>
      </w:pPr>
    </w:p>
    <w:p w:rsidR="00030336" w:rsidRPr="00030336" w:rsidRDefault="00030336" w:rsidP="00AA4F80">
      <w:pPr>
        <w:spacing w:after="0" w:line="240" w:lineRule="auto"/>
        <w:rPr>
          <w:rFonts w:ascii="Segoe UI" w:hAnsi="Segoe UI" w:cs="Segoe UI"/>
          <w:u w:val="single"/>
        </w:rPr>
      </w:pPr>
      <w:r w:rsidRPr="00030336">
        <w:rPr>
          <w:rFonts w:ascii="Segoe UI" w:hAnsi="Segoe UI" w:cs="Segoe UI"/>
          <w:u w:val="single"/>
        </w:rPr>
        <w:t>Adult referrals MHT</w:t>
      </w:r>
    </w:p>
    <w:p w:rsidR="00030336" w:rsidRDefault="00030336" w:rsidP="00AA4F80">
      <w:pPr>
        <w:spacing w:after="0" w:line="240" w:lineRule="auto"/>
        <w:rPr>
          <w:rFonts w:ascii="Segoe UI" w:hAnsi="Segoe UI" w:cs="Segoe UI"/>
        </w:rPr>
      </w:pPr>
    </w:p>
    <w:p w:rsidR="00030336" w:rsidRDefault="00030336" w:rsidP="00AA4F80">
      <w:pPr>
        <w:spacing w:after="0" w:line="240" w:lineRule="auto"/>
        <w:rPr>
          <w:rFonts w:ascii="Segoe UI" w:hAnsi="Segoe UI" w:cs="Segoe UI"/>
        </w:rPr>
      </w:pPr>
      <w:r w:rsidRPr="00030336">
        <w:rPr>
          <w:noProof/>
        </w:rPr>
        <w:drawing>
          <wp:inline distT="0" distB="0" distL="0" distR="0">
            <wp:extent cx="5731510" cy="1533482"/>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533482"/>
                    </a:xfrm>
                    <a:prstGeom prst="rect">
                      <a:avLst/>
                    </a:prstGeom>
                    <a:noFill/>
                    <a:ln>
                      <a:noFill/>
                    </a:ln>
                  </pic:spPr>
                </pic:pic>
              </a:graphicData>
            </a:graphic>
          </wp:inline>
        </w:drawing>
      </w:r>
    </w:p>
    <w:p w:rsidR="00910163" w:rsidRPr="00396B5E" w:rsidRDefault="00910163" w:rsidP="00910163">
      <w:pPr>
        <w:spacing w:after="0" w:line="240" w:lineRule="auto"/>
        <w:rPr>
          <w:rFonts w:ascii="Segoe UI" w:hAnsi="Segoe UI" w:cs="Segoe UI"/>
        </w:rPr>
      </w:pPr>
    </w:p>
    <w:p w:rsidR="009409B7" w:rsidRPr="00322AC9" w:rsidRDefault="009409B7" w:rsidP="00F366AE">
      <w:pPr>
        <w:pStyle w:val="ListParagraph"/>
        <w:numPr>
          <w:ilvl w:val="0"/>
          <w:numId w:val="3"/>
        </w:numPr>
        <w:shd w:val="clear" w:color="auto" w:fill="FFFFFF" w:themeFill="background1"/>
        <w:spacing w:after="0" w:line="240" w:lineRule="auto"/>
        <w:rPr>
          <w:rFonts w:ascii="Segoe UI" w:hAnsi="Segoe UI" w:cs="Segoe UI"/>
          <w:b/>
          <w:sz w:val="24"/>
        </w:rPr>
      </w:pPr>
      <w:r w:rsidRPr="00322AC9">
        <w:rPr>
          <w:rFonts w:ascii="Segoe UI" w:hAnsi="Segoe UI" w:cs="Segoe UI"/>
          <w:b/>
          <w:sz w:val="24"/>
        </w:rPr>
        <w:t xml:space="preserve">Quality </w:t>
      </w:r>
    </w:p>
    <w:p w:rsidR="00322AC9" w:rsidRDefault="00322AC9" w:rsidP="00322AC9">
      <w:pPr>
        <w:pStyle w:val="ListParagraph"/>
        <w:spacing w:after="0" w:line="240" w:lineRule="auto"/>
        <w:ind w:left="375"/>
        <w:rPr>
          <w:rFonts w:ascii="Segoe UI" w:hAnsi="Segoe UI" w:cs="Segoe UI"/>
          <w:b/>
        </w:rPr>
      </w:pPr>
    </w:p>
    <w:p w:rsidR="001C589C" w:rsidRPr="001C589C" w:rsidRDefault="001C589C" w:rsidP="001C589C">
      <w:pPr>
        <w:pStyle w:val="ListParagraph"/>
        <w:numPr>
          <w:ilvl w:val="1"/>
          <w:numId w:val="3"/>
        </w:numPr>
        <w:spacing w:after="0" w:line="240" w:lineRule="auto"/>
        <w:ind w:left="720"/>
        <w:rPr>
          <w:rFonts w:ascii="Segoe UI" w:hAnsi="Segoe UI" w:cs="Segoe UI"/>
          <w:b/>
          <w:bCs/>
        </w:rPr>
      </w:pPr>
      <w:r w:rsidRPr="001C589C">
        <w:rPr>
          <w:rFonts w:ascii="Segoe UI" w:hAnsi="Segoe UI" w:cs="Segoe UI"/>
          <w:b/>
          <w:bCs/>
        </w:rPr>
        <w:t>Quality Improvement</w:t>
      </w:r>
    </w:p>
    <w:p w:rsidR="001C589C" w:rsidRDefault="001C589C" w:rsidP="00322AC9">
      <w:pPr>
        <w:pStyle w:val="ListParagraph"/>
        <w:spacing w:after="0" w:line="240" w:lineRule="auto"/>
        <w:ind w:left="375"/>
        <w:rPr>
          <w:rFonts w:ascii="Segoe UI" w:hAnsi="Segoe UI" w:cs="Segoe UI"/>
          <w:b/>
        </w:rPr>
      </w:pPr>
    </w:p>
    <w:p w:rsidR="0093101D" w:rsidRPr="0093101D" w:rsidRDefault="0093101D" w:rsidP="0093101D">
      <w:pPr>
        <w:spacing w:after="0" w:line="240" w:lineRule="auto"/>
        <w:jc w:val="both"/>
        <w:rPr>
          <w:rFonts w:ascii="Segoe UI" w:hAnsi="Segoe UI" w:cs="Segoe UI"/>
        </w:rPr>
      </w:pPr>
      <w:r w:rsidRPr="0093101D">
        <w:rPr>
          <w:rFonts w:ascii="Segoe UI" w:hAnsi="Segoe UI" w:cs="Segoe UI"/>
        </w:rPr>
        <w:t>The revised quality governance frameworks for each new clinical directorate have</w:t>
      </w:r>
      <w:r w:rsidR="004727DC">
        <w:rPr>
          <w:rFonts w:ascii="Segoe UI" w:hAnsi="Segoe UI" w:cs="Segoe UI"/>
        </w:rPr>
        <w:t xml:space="preserve"> now</w:t>
      </w:r>
      <w:r w:rsidRPr="0093101D">
        <w:rPr>
          <w:rFonts w:ascii="Segoe UI" w:hAnsi="Segoe UI" w:cs="Segoe UI"/>
        </w:rPr>
        <w:t xml:space="preserve"> </w:t>
      </w:r>
      <w:r>
        <w:rPr>
          <w:rFonts w:ascii="Segoe UI" w:hAnsi="Segoe UI" w:cs="Segoe UI"/>
        </w:rPr>
        <w:t xml:space="preserve">been </w:t>
      </w:r>
      <w:r w:rsidRPr="0093101D">
        <w:rPr>
          <w:rFonts w:ascii="Segoe UI" w:hAnsi="Segoe UI" w:cs="Segoe UI"/>
        </w:rPr>
        <w:t>implemented.</w:t>
      </w:r>
      <w:r w:rsidR="004727DC">
        <w:rPr>
          <w:rFonts w:ascii="Segoe UI" w:hAnsi="Segoe UI" w:cs="Segoe UI"/>
        </w:rPr>
        <w:t xml:space="preserve"> </w:t>
      </w:r>
      <w:r w:rsidRPr="0093101D">
        <w:rPr>
          <w:rFonts w:ascii="Segoe UI" w:hAnsi="Segoe UI" w:cs="Segoe UI"/>
        </w:rPr>
        <w:t>The Trustwide quality governance framework has been reviewed with a decision made to separate the oversight of the Caring and Responsive quality domains</w:t>
      </w:r>
      <w:r w:rsidR="004727DC">
        <w:rPr>
          <w:rFonts w:ascii="Segoe UI" w:hAnsi="Segoe UI" w:cs="Segoe UI"/>
        </w:rPr>
        <w:t>;</w:t>
      </w:r>
      <w:r w:rsidRPr="0093101D">
        <w:rPr>
          <w:rFonts w:ascii="Segoe UI" w:hAnsi="Segoe UI" w:cs="Segoe UI"/>
        </w:rPr>
        <w:t xml:space="preserve"> the sub-committee structure will be revised in 2019.</w:t>
      </w:r>
    </w:p>
    <w:p w:rsidR="0093101D" w:rsidRPr="0093101D" w:rsidRDefault="0093101D" w:rsidP="0093101D">
      <w:pPr>
        <w:spacing w:after="0" w:line="240" w:lineRule="auto"/>
        <w:jc w:val="both"/>
        <w:rPr>
          <w:rFonts w:ascii="Segoe UI" w:hAnsi="Segoe UI" w:cs="Segoe UI"/>
        </w:rPr>
      </w:pPr>
    </w:p>
    <w:p w:rsidR="0093101D" w:rsidRPr="0093101D" w:rsidRDefault="0093101D" w:rsidP="0093101D">
      <w:pPr>
        <w:spacing w:after="0" w:line="240" w:lineRule="auto"/>
        <w:jc w:val="both"/>
        <w:rPr>
          <w:rFonts w:ascii="Segoe UI" w:hAnsi="Segoe UI" w:cs="Segoe UI"/>
        </w:rPr>
      </w:pPr>
      <w:r w:rsidRPr="0093101D">
        <w:rPr>
          <w:rFonts w:ascii="Segoe UI" w:hAnsi="Segoe UI" w:cs="Segoe UI"/>
        </w:rPr>
        <w:t>The Experience and Involvement Strategy with aligned objectives (patients) is being refreshed with patients, carers, staff and external stakeholders to be approved in March 2019 for the next 2 years.</w:t>
      </w:r>
    </w:p>
    <w:p w:rsidR="0093101D" w:rsidRPr="0093101D" w:rsidRDefault="0093101D" w:rsidP="0093101D">
      <w:pPr>
        <w:spacing w:after="0" w:line="240" w:lineRule="auto"/>
        <w:jc w:val="both"/>
        <w:rPr>
          <w:rFonts w:ascii="Segoe UI" w:hAnsi="Segoe UI" w:cs="Segoe UI"/>
        </w:rPr>
      </w:pPr>
    </w:p>
    <w:p w:rsidR="0093101D" w:rsidRPr="0093101D" w:rsidRDefault="0093101D" w:rsidP="0093101D">
      <w:pPr>
        <w:spacing w:after="0" w:line="240" w:lineRule="auto"/>
        <w:jc w:val="both"/>
        <w:rPr>
          <w:rFonts w:ascii="Segoe UI" w:hAnsi="Segoe UI" w:cs="Segoe UI"/>
        </w:rPr>
      </w:pPr>
      <w:r w:rsidRPr="0093101D">
        <w:rPr>
          <w:rFonts w:ascii="Segoe UI" w:hAnsi="Segoe UI" w:cs="Segoe UI"/>
        </w:rPr>
        <w:t>The following national guidance ha</w:t>
      </w:r>
      <w:r w:rsidR="004727DC">
        <w:rPr>
          <w:rFonts w:ascii="Segoe UI" w:hAnsi="Segoe UI" w:cs="Segoe UI"/>
        </w:rPr>
        <w:t>s</w:t>
      </w:r>
      <w:r w:rsidRPr="0093101D">
        <w:rPr>
          <w:rFonts w:ascii="Segoe UI" w:hAnsi="Segoe UI" w:cs="Segoe UI"/>
        </w:rPr>
        <w:t xml:space="preserve"> been recently published and a self-assessment against suggested standards </w:t>
      </w:r>
      <w:r w:rsidR="004727DC">
        <w:rPr>
          <w:rFonts w:ascii="Segoe UI" w:hAnsi="Segoe UI" w:cs="Segoe UI"/>
        </w:rPr>
        <w:t>has</w:t>
      </w:r>
      <w:r w:rsidRPr="0093101D">
        <w:rPr>
          <w:rFonts w:ascii="Segoe UI" w:hAnsi="Segoe UI" w:cs="Segoe UI"/>
        </w:rPr>
        <w:t xml:space="preserve"> been completed to feed into quality improvements for the next 12 months</w:t>
      </w:r>
      <w:r w:rsidR="004727DC">
        <w:rPr>
          <w:rFonts w:ascii="Segoe UI" w:hAnsi="Segoe UI" w:cs="Segoe UI"/>
        </w:rPr>
        <w:t>:</w:t>
      </w:r>
    </w:p>
    <w:p w:rsidR="0093101D" w:rsidRPr="0093101D" w:rsidRDefault="0093101D" w:rsidP="0093101D">
      <w:pPr>
        <w:pStyle w:val="ListParagraph"/>
        <w:numPr>
          <w:ilvl w:val="0"/>
          <w:numId w:val="14"/>
        </w:numPr>
        <w:spacing w:after="0" w:line="240" w:lineRule="auto"/>
        <w:jc w:val="both"/>
        <w:rPr>
          <w:rFonts w:ascii="Segoe UI" w:hAnsi="Segoe UI" w:cs="Segoe UI"/>
        </w:rPr>
      </w:pPr>
      <w:r w:rsidRPr="0093101D">
        <w:rPr>
          <w:rFonts w:ascii="Segoe UI" w:hAnsi="Segoe UI" w:cs="Segoe UI"/>
        </w:rPr>
        <w:t>Extended guidance for child death reviews (Oct 2018)</w:t>
      </w:r>
    </w:p>
    <w:p w:rsidR="0093101D" w:rsidRPr="0093101D" w:rsidRDefault="0093101D" w:rsidP="0093101D">
      <w:pPr>
        <w:pStyle w:val="ListParagraph"/>
        <w:numPr>
          <w:ilvl w:val="0"/>
          <w:numId w:val="14"/>
        </w:numPr>
        <w:spacing w:after="0" w:line="240" w:lineRule="auto"/>
        <w:jc w:val="both"/>
        <w:rPr>
          <w:rFonts w:ascii="Segoe UI" w:hAnsi="Segoe UI" w:cs="Segoe UI"/>
        </w:rPr>
      </w:pPr>
      <w:r w:rsidRPr="0093101D">
        <w:rPr>
          <w:rFonts w:ascii="Segoe UI" w:hAnsi="Segoe UI" w:cs="Segoe UI"/>
        </w:rPr>
        <w:t>Learning from deaths guidance: engagement with bereaved families (July 2018)</w:t>
      </w:r>
    </w:p>
    <w:p w:rsidR="0093101D" w:rsidRPr="0093101D" w:rsidRDefault="0093101D" w:rsidP="0093101D">
      <w:pPr>
        <w:pStyle w:val="ListParagraph"/>
        <w:numPr>
          <w:ilvl w:val="0"/>
          <w:numId w:val="14"/>
        </w:numPr>
        <w:spacing w:after="0" w:line="240" w:lineRule="auto"/>
        <w:jc w:val="both"/>
        <w:rPr>
          <w:rFonts w:ascii="Segoe UI" w:hAnsi="Segoe UI" w:cs="Segoe UI"/>
        </w:rPr>
      </w:pPr>
      <w:r w:rsidRPr="0093101D">
        <w:rPr>
          <w:rFonts w:ascii="Segoe UI" w:hAnsi="Segoe UI" w:cs="Segoe UI"/>
        </w:rPr>
        <w:t>NHS resolution thematic review: learning from suicide related claims (Sept 2018)</w:t>
      </w:r>
    </w:p>
    <w:p w:rsidR="0093101D" w:rsidRPr="0093101D" w:rsidRDefault="0093101D" w:rsidP="0093101D">
      <w:pPr>
        <w:pStyle w:val="ListParagraph"/>
        <w:numPr>
          <w:ilvl w:val="0"/>
          <w:numId w:val="14"/>
        </w:numPr>
        <w:spacing w:after="0" w:line="240" w:lineRule="auto"/>
        <w:jc w:val="both"/>
        <w:rPr>
          <w:rFonts w:ascii="Segoe UI" w:hAnsi="Segoe UI" w:cs="Segoe UI"/>
        </w:rPr>
      </w:pPr>
      <w:r w:rsidRPr="0093101D">
        <w:rPr>
          <w:rFonts w:ascii="Segoe UI" w:hAnsi="Segoe UI" w:cs="Segoe UI"/>
        </w:rPr>
        <w:t>Pressure ulcers; revised definition and measurement (June 2018)</w:t>
      </w:r>
    </w:p>
    <w:p w:rsidR="0093101D" w:rsidRPr="0093101D" w:rsidRDefault="0093101D" w:rsidP="0093101D">
      <w:pPr>
        <w:pStyle w:val="ListParagraph"/>
        <w:numPr>
          <w:ilvl w:val="0"/>
          <w:numId w:val="14"/>
        </w:numPr>
        <w:spacing w:after="0" w:line="240" w:lineRule="auto"/>
        <w:jc w:val="both"/>
        <w:rPr>
          <w:rFonts w:ascii="Segoe UI" w:hAnsi="Segoe UI" w:cs="Segoe UI"/>
        </w:rPr>
      </w:pPr>
      <w:r w:rsidRPr="0093101D">
        <w:rPr>
          <w:rFonts w:ascii="Segoe UI" w:hAnsi="Segoe UI" w:cs="Segoe UI"/>
        </w:rPr>
        <w:t>Patient experience improvement framework (June 2018)</w:t>
      </w:r>
    </w:p>
    <w:p w:rsidR="0093101D" w:rsidRPr="0093101D" w:rsidRDefault="0093101D" w:rsidP="0093101D">
      <w:pPr>
        <w:pStyle w:val="ListParagraph"/>
        <w:numPr>
          <w:ilvl w:val="0"/>
          <w:numId w:val="14"/>
        </w:numPr>
        <w:spacing w:after="0" w:line="240" w:lineRule="auto"/>
        <w:jc w:val="both"/>
        <w:rPr>
          <w:rFonts w:ascii="Segoe UI" w:hAnsi="Segoe UI" w:cs="Segoe UI"/>
        </w:rPr>
      </w:pPr>
      <w:r w:rsidRPr="0093101D">
        <w:rPr>
          <w:rFonts w:ascii="Segoe UI" w:hAnsi="Segoe UI" w:cs="Segoe UI"/>
        </w:rPr>
        <w:t>Sexual safety on mental health wards (Sept 2018)</w:t>
      </w:r>
    </w:p>
    <w:p w:rsidR="0093101D" w:rsidRPr="0093101D" w:rsidRDefault="0093101D" w:rsidP="0093101D">
      <w:pPr>
        <w:pStyle w:val="ListParagraph"/>
        <w:numPr>
          <w:ilvl w:val="0"/>
          <w:numId w:val="14"/>
        </w:numPr>
        <w:spacing w:after="0" w:line="240" w:lineRule="auto"/>
        <w:jc w:val="both"/>
        <w:rPr>
          <w:rFonts w:ascii="Segoe UI" w:hAnsi="Segoe UI" w:cs="Segoe UI"/>
        </w:rPr>
      </w:pPr>
      <w:r w:rsidRPr="0093101D">
        <w:rPr>
          <w:rFonts w:ascii="Segoe UI" w:hAnsi="Segoe UI" w:cs="Segoe UI"/>
        </w:rPr>
        <w:t>CQC thematic review on restrictive practice (Dec 2018)</w:t>
      </w:r>
    </w:p>
    <w:p w:rsidR="0093101D" w:rsidRPr="0093101D" w:rsidRDefault="0093101D" w:rsidP="0093101D">
      <w:pPr>
        <w:pStyle w:val="ListParagraph"/>
        <w:numPr>
          <w:ilvl w:val="0"/>
          <w:numId w:val="14"/>
        </w:numPr>
        <w:spacing w:after="0" w:line="240" w:lineRule="auto"/>
        <w:jc w:val="both"/>
        <w:rPr>
          <w:rFonts w:ascii="Segoe UI" w:hAnsi="Segoe UI" w:cs="Segoe UI"/>
        </w:rPr>
      </w:pPr>
      <w:r w:rsidRPr="0093101D">
        <w:rPr>
          <w:rFonts w:ascii="Segoe UI" w:hAnsi="Segoe UI" w:cs="Segoe UI"/>
        </w:rPr>
        <w:t>The learning disability improvement standards (June 2018)</w:t>
      </w:r>
    </w:p>
    <w:p w:rsidR="0093101D" w:rsidRPr="0093101D" w:rsidRDefault="0093101D" w:rsidP="0093101D">
      <w:pPr>
        <w:spacing w:after="0" w:line="240" w:lineRule="auto"/>
        <w:jc w:val="both"/>
        <w:rPr>
          <w:rFonts w:ascii="Segoe UI" w:hAnsi="Segoe UI" w:cs="Segoe UI"/>
        </w:rPr>
      </w:pPr>
    </w:p>
    <w:p w:rsidR="0093101D" w:rsidRPr="0093101D" w:rsidRDefault="0093101D" w:rsidP="0093101D">
      <w:pPr>
        <w:spacing w:after="0" w:line="240" w:lineRule="auto"/>
        <w:jc w:val="both"/>
        <w:rPr>
          <w:rFonts w:ascii="Segoe UI" w:hAnsi="Segoe UI" w:cs="Segoe UI"/>
        </w:rPr>
      </w:pPr>
      <w:r w:rsidRPr="0093101D">
        <w:rPr>
          <w:rFonts w:ascii="Segoe UI" w:hAnsi="Segoe UI" w:cs="Segoe UI"/>
        </w:rPr>
        <w:t>The following Trust strategies have been approved recently to improve the quality of care provided:</w:t>
      </w:r>
    </w:p>
    <w:p w:rsidR="0093101D" w:rsidRPr="0093101D" w:rsidRDefault="0093101D" w:rsidP="0093101D">
      <w:pPr>
        <w:pStyle w:val="ListParagraph"/>
        <w:numPr>
          <w:ilvl w:val="0"/>
          <w:numId w:val="17"/>
        </w:numPr>
        <w:spacing w:after="0" w:line="240" w:lineRule="auto"/>
        <w:ind w:left="709" w:hanging="349"/>
        <w:jc w:val="both"/>
        <w:rPr>
          <w:rFonts w:ascii="Segoe UI" w:hAnsi="Segoe UI" w:cs="Segoe UI"/>
        </w:rPr>
      </w:pPr>
      <w:r w:rsidRPr="0093101D">
        <w:rPr>
          <w:rFonts w:ascii="Segoe UI" w:hAnsi="Segoe UI" w:cs="Segoe UI"/>
        </w:rPr>
        <w:t>Dementia strategy (approved Nov</w:t>
      </w:r>
      <w:r w:rsidR="004727DC">
        <w:rPr>
          <w:rFonts w:ascii="Segoe UI" w:hAnsi="Segoe UI" w:cs="Segoe UI"/>
        </w:rPr>
        <w:t>ember</w:t>
      </w:r>
      <w:r w:rsidRPr="0093101D">
        <w:rPr>
          <w:rFonts w:ascii="Segoe UI" w:hAnsi="Segoe UI" w:cs="Segoe UI"/>
        </w:rPr>
        <w:t xml:space="preserve"> 2018)</w:t>
      </w:r>
    </w:p>
    <w:p w:rsidR="0093101D" w:rsidRPr="0093101D" w:rsidRDefault="0093101D" w:rsidP="0093101D">
      <w:pPr>
        <w:pStyle w:val="ListParagraph"/>
        <w:numPr>
          <w:ilvl w:val="0"/>
          <w:numId w:val="17"/>
        </w:numPr>
        <w:spacing w:after="0" w:line="240" w:lineRule="auto"/>
        <w:ind w:left="709" w:hanging="349"/>
        <w:jc w:val="both"/>
        <w:rPr>
          <w:rFonts w:ascii="Segoe UI" w:hAnsi="Segoe UI" w:cs="Segoe UI"/>
        </w:rPr>
      </w:pPr>
      <w:r w:rsidRPr="0093101D">
        <w:rPr>
          <w:rFonts w:ascii="Segoe UI" w:hAnsi="Segoe UI" w:cs="Segoe UI"/>
        </w:rPr>
        <w:t>Suicide and self-harm reduction strategy (approved Nov</w:t>
      </w:r>
      <w:r w:rsidR="004727DC">
        <w:rPr>
          <w:rFonts w:ascii="Segoe UI" w:hAnsi="Segoe UI" w:cs="Segoe UI"/>
        </w:rPr>
        <w:t>ember</w:t>
      </w:r>
      <w:r w:rsidRPr="0093101D">
        <w:rPr>
          <w:rFonts w:ascii="Segoe UI" w:hAnsi="Segoe UI" w:cs="Segoe UI"/>
        </w:rPr>
        <w:t xml:space="preserve"> 2018)</w:t>
      </w:r>
    </w:p>
    <w:p w:rsidR="0093101D" w:rsidRPr="0093101D" w:rsidRDefault="0093101D" w:rsidP="0093101D">
      <w:pPr>
        <w:pStyle w:val="ListParagraph"/>
        <w:numPr>
          <w:ilvl w:val="0"/>
          <w:numId w:val="17"/>
        </w:numPr>
        <w:spacing w:after="0" w:line="240" w:lineRule="auto"/>
        <w:ind w:left="709" w:hanging="349"/>
        <w:jc w:val="both"/>
        <w:rPr>
          <w:rFonts w:ascii="Segoe UI" w:hAnsi="Segoe UI" w:cs="Segoe UI"/>
        </w:rPr>
      </w:pPr>
      <w:r w:rsidRPr="0093101D">
        <w:rPr>
          <w:rFonts w:ascii="Segoe UI" w:hAnsi="Segoe UI" w:cs="Segoe UI"/>
        </w:rPr>
        <w:t>AHP strategy</w:t>
      </w:r>
    </w:p>
    <w:p w:rsidR="0093101D" w:rsidRPr="0093101D" w:rsidRDefault="0093101D" w:rsidP="0093101D">
      <w:pPr>
        <w:spacing w:after="0" w:line="240" w:lineRule="auto"/>
        <w:jc w:val="both"/>
        <w:rPr>
          <w:rFonts w:ascii="Segoe UI" w:hAnsi="Segoe UI" w:cs="Segoe UI"/>
        </w:rPr>
      </w:pPr>
    </w:p>
    <w:p w:rsidR="0093101D" w:rsidRPr="0093101D" w:rsidRDefault="0093101D" w:rsidP="0093101D">
      <w:pPr>
        <w:spacing w:after="0" w:line="240" w:lineRule="auto"/>
        <w:jc w:val="both"/>
        <w:rPr>
          <w:rFonts w:ascii="Segoe UI" w:hAnsi="Segoe UI" w:cs="Segoe UI"/>
        </w:rPr>
      </w:pPr>
      <w:r w:rsidRPr="0093101D">
        <w:rPr>
          <w:rFonts w:ascii="Segoe UI" w:hAnsi="Segoe UI" w:cs="Segoe UI"/>
        </w:rPr>
        <w:t>A joint group of leaders delivered a second training day in Nov</w:t>
      </w:r>
      <w:r w:rsidR="004727DC">
        <w:rPr>
          <w:rFonts w:ascii="Segoe UI" w:hAnsi="Segoe UI" w:cs="Segoe UI"/>
        </w:rPr>
        <w:t>ember</w:t>
      </w:r>
      <w:r w:rsidRPr="0093101D">
        <w:rPr>
          <w:rFonts w:ascii="Segoe UI" w:hAnsi="Segoe UI" w:cs="Segoe UI"/>
        </w:rPr>
        <w:t xml:space="preserve"> 2018 to the second cohort of staff on the Trust’s </w:t>
      </w:r>
      <w:r w:rsidR="004727DC">
        <w:rPr>
          <w:rFonts w:ascii="Segoe UI" w:hAnsi="Segoe UI" w:cs="Segoe UI"/>
        </w:rPr>
        <w:t>L</w:t>
      </w:r>
      <w:r w:rsidRPr="0093101D">
        <w:rPr>
          <w:rFonts w:ascii="Segoe UI" w:hAnsi="Segoe UI" w:cs="Segoe UI"/>
        </w:rPr>
        <w:t xml:space="preserve">eadership </w:t>
      </w:r>
      <w:r w:rsidR="004727DC">
        <w:rPr>
          <w:rFonts w:ascii="Segoe UI" w:hAnsi="Segoe UI" w:cs="Segoe UI"/>
        </w:rPr>
        <w:t>D</w:t>
      </w:r>
      <w:r w:rsidRPr="0093101D">
        <w:rPr>
          <w:rFonts w:ascii="Segoe UI" w:hAnsi="Segoe UI" w:cs="Segoe UI"/>
        </w:rPr>
        <w:t xml:space="preserve">evelopment </w:t>
      </w:r>
      <w:r w:rsidR="004727DC">
        <w:rPr>
          <w:rFonts w:ascii="Segoe UI" w:hAnsi="Segoe UI" w:cs="Segoe UI"/>
        </w:rPr>
        <w:t>P</w:t>
      </w:r>
      <w:r w:rsidRPr="0093101D">
        <w:rPr>
          <w:rFonts w:ascii="Segoe UI" w:hAnsi="Segoe UI" w:cs="Segoe UI"/>
        </w:rPr>
        <w:t>rogramme focused on accountability in relation to quality and performance and leadership styles.</w:t>
      </w:r>
    </w:p>
    <w:p w:rsidR="0093101D" w:rsidRPr="0093101D" w:rsidRDefault="0093101D" w:rsidP="0093101D">
      <w:pPr>
        <w:spacing w:after="0" w:line="240" w:lineRule="auto"/>
        <w:jc w:val="both"/>
        <w:rPr>
          <w:rFonts w:ascii="Segoe UI" w:hAnsi="Segoe UI" w:cs="Segoe UI"/>
        </w:rPr>
      </w:pPr>
    </w:p>
    <w:p w:rsidR="0093101D" w:rsidRPr="0093101D" w:rsidRDefault="0093101D" w:rsidP="0093101D">
      <w:pPr>
        <w:spacing w:after="0" w:line="240" w:lineRule="auto"/>
        <w:jc w:val="both"/>
        <w:rPr>
          <w:rFonts w:ascii="Segoe UI" w:hAnsi="Segoe UI" w:cs="Segoe UI"/>
        </w:rPr>
      </w:pPr>
      <w:r w:rsidRPr="0093101D">
        <w:rPr>
          <w:rFonts w:ascii="Segoe UI" w:hAnsi="Segoe UI" w:cs="Segoe UI"/>
        </w:rPr>
        <w:lastRenderedPageBreak/>
        <w:t xml:space="preserve">An independent corporate governance audit </w:t>
      </w:r>
      <w:r w:rsidR="004727DC">
        <w:rPr>
          <w:rFonts w:ascii="Segoe UI" w:hAnsi="Segoe UI" w:cs="Segoe UI"/>
        </w:rPr>
        <w:t>began</w:t>
      </w:r>
      <w:r w:rsidRPr="0093101D">
        <w:rPr>
          <w:rFonts w:ascii="Segoe UI" w:hAnsi="Segoe UI" w:cs="Segoe UI"/>
        </w:rPr>
        <w:t xml:space="preserve"> in December 2018 by P</w:t>
      </w:r>
      <w:r w:rsidR="004727DC">
        <w:rPr>
          <w:rFonts w:ascii="Segoe UI" w:hAnsi="Segoe UI" w:cs="Segoe UI"/>
        </w:rPr>
        <w:t>w</w:t>
      </w:r>
      <w:r w:rsidRPr="0093101D">
        <w:rPr>
          <w:rFonts w:ascii="Segoe UI" w:hAnsi="Segoe UI" w:cs="Segoe UI"/>
        </w:rPr>
        <w:t>C which includes a review of</w:t>
      </w:r>
      <w:r w:rsidR="004727DC">
        <w:rPr>
          <w:rFonts w:ascii="Segoe UI" w:hAnsi="Segoe UI" w:cs="Segoe UI"/>
        </w:rPr>
        <w:t>: serious incidents;</w:t>
      </w:r>
      <w:r w:rsidRPr="0093101D">
        <w:rPr>
          <w:rFonts w:ascii="Segoe UI" w:hAnsi="Segoe UI" w:cs="Segoe UI"/>
        </w:rPr>
        <w:t xml:space="preserve"> complaints</w:t>
      </w:r>
      <w:r w:rsidR="004727DC">
        <w:rPr>
          <w:rFonts w:ascii="Segoe UI" w:hAnsi="Segoe UI" w:cs="Segoe UI"/>
        </w:rPr>
        <w:t>;</w:t>
      </w:r>
      <w:r w:rsidRPr="0093101D">
        <w:rPr>
          <w:rFonts w:ascii="Segoe UI" w:hAnsi="Segoe UI" w:cs="Segoe UI"/>
        </w:rPr>
        <w:t xml:space="preserve"> coroner inquests</w:t>
      </w:r>
      <w:r w:rsidR="004727DC">
        <w:rPr>
          <w:rFonts w:ascii="Segoe UI" w:hAnsi="Segoe UI" w:cs="Segoe UI"/>
        </w:rPr>
        <w:t>;</w:t>
      </w:r>
      <w:r w:rsidRPr="0093101D">
        <w:rPr>
          <w:rFonts w:ascii="Segoe UI" w:hAnsi="Segoe UI" w:cs="Segoe UI"/>
        </w:rPr>
        <w:t xml:space="preserve"> learning from national guidance</w:t>
      </w:r>
      <w:r w:rsidR="004727DC">
        <w:rPr>
          <w:rFonts w:ascii="Segoe UI" w:hAnsi="Segoe UI" w:cs="Segoe UI"/>
        </w:rPr>
        <w:t>;</w:t>
      </w:r>
      <w:r w:rsidRPr="0093101D">
        <w:rPr>
          <w:rFonts w:ascii="Segoe UI" w:hAnsi="Segoe UI" w:cs="Segoe UI"/>
        </w:rPr>
        <w:t xml:space="preserve"> patient experiences</w:t>
      </w:r>
      <w:r w:rsidR="004727DC">
        <w:rPr>
          <w:rFonts w:ascii="Segoe UI" w:hAnsi="Segoe UI" w:cs="Segoe UI"/>
        </w:rPr>
        <w:t>;</w:t>
      </w:r>
      <w:r w:rsidRPr="0093101D">
        <w:rPr>
          <w:rFonts w:ascii="Segoe UI" w:hAnsi="Segoe UI" w:cs="Segoe UI"/>
        </w:rPr>
        <w:t xml:space="preserve"> and national patient safety alerts. Provisional results highlighted reasonable assurance with no major concerns</w:t>
      </w:r>
      <w:r w:rsidR="004727DC">
        <w:rPr>
          <w:rFonts w:ascii="Segoe UI" w:hAnsi="Segoe UI" w:cs="Segoe UI"/>
        </w:rPr>
        <w:t>. The</w:t>
      </w:r>
      <w:r w:rsidRPr="0093101D">
        <w:rPr>
          <w:rFonts w:ascii="Segoe UI" w:hAnsi="Segoe UI" w:cs="Segoe UI"/>
        </w:rPr>
        <w:t xml:space="preserve"> final report </w:t>
      </w:r>
      <w:r w:rsidR="004727DC">
        <w:rPr>
          <w:rFonts w:ascii="Segoe UI" w:hAnsi="Segoe UI" w:cs="Segoe UI"/>
        </w:rPr>
        <w:t>will</w:t>
      </w:r>
      <w:r w:rsidRPr="0093101D">
        <w:rPr>
          <w:rFonts w:ascii="Segoe UI" w:hAnsi="Segoe UI" w:cs="Segoe UI"/>
        </w:rPr>
        <w:t xml:space="preserve"> be shared</w:t>
      </w:r>
      <w:r w:rsidR="004727DC">
        <w:rPr>
          <w:rFonts w:ascii="Segoe UI" w:hAnsi="Segoe UI" w:cs="Segoe UI"/>
        </w:rPr>
        <w:t xml:space="preserve"> with the Board once available.</w:t>
      </w:r>
    </w:p>
    <w:p w:rsidR="0093101D" w:rsidRPr="0093101D" w:rsidRDefault="0093101D" w:rsidP="0093101D">
      <w:pPr>
        <w:spacing w:after="0" w:line="240" w:lineRule="auto"/>
        <w:jc w:val="both"/>
        <w:rPr>
          <w:rFonts w:ascii="Segoe UI" w:hAnsi="Segoe UI" w:cs="Segoe UI"/>
        </w:rPr>
      </w:pPr>
    </w:p>
    <w:p w:rsidR="004D6F25" w:rsidRDefault="0093101D" w:rsidP="0093101D">
      <w:pPr>
        <w:spacing w:after="0" w:line="240" w:lineRule="auto"/>
        <w:jc w:val="both"/>
        <w:rPr>
          <w:rFonts w:ascii="Segoe UI" w:hAnsi="Segoe UI" w:cs="Segoe UI"/>
        </w:rPr>
      </w:pPr>
      <w:r w:rsidRPr="0093101D">
        <w:rPr>
          <w:rFonts w:ascii="Segoe UI" w:hAnsi="Segoe UI" w:cs="Segoe UI"/>
        </w:rPr>
        <w:t>Work across the systems</w:t>
      </w:r>
      <w:r w:rsidR="00E566A3">
        <w:rPr>
          <w:rFonts w:ascii="Segoe UI" w:hAnsi="Segoe UI" w:cs="Segoe UI"/>
        </w:rPr>
        <w:t xml:space="preserve"> in which the Trust operates</w:t>
      </w:r>
      <w:r w:rsidRPr="0093101D">
        <w:rPr>
          <w:rFonts w:ascii="Segoe UI" w:hAnsi="Segoe UI" w:cs="Segoe UI"/>
        </w:rPr>
        <w:t xml:space="preserve"> continues</w:t>
      </w:r>
      <w:r w:rsidR="004727DC">
        <w:rPr>
          <w:rFonts w:ascii="Segoe UI" w:hAnsi="Segoe UI" w:cs="Segoe UI"/>
        </w:rPr>
        <w:t>.</w:t>
      </w:r>
      <w:r w:rsidRPr="0093101D">
        <w:rPr>
          <w:rFonts w:ascii="Segoe UI" w:hAnsi="Segoe UI" w:cs="Segoe UI"/>
        </w:rPr>
        <w:t xml:space="preserve"> </w:t>
      </w:r>
      <w:r w:rsidR="00E566A3">
        <w:rPr>
          <w:rFonts w:ascii="Segoe UI" w:hAnsi="Segoe UI" w:cs="Segoe UI"/>
        </w:rPr>
        <w:t>The Trust is</w:t>
      </w:r>
      <w:r w:rsidRPr="0093101D">
        <w:rPr>
          <w:rFonts w:ascii="Segoe UI" w:hAnsi="Segoe UI" w:cs="Segoe UI"/>
        </w:rPr>
        <w:t xml:space="preserve"> </w:t>
      </w:r>
      <w:r w:rsidR="00E566A3">
        <w:rPr>
          <w:rFonts w:ascii="Segoe UI" w:hAnsi="Segoe UI" w:cs="Segoe UI"/>
        </w:rPr>
        <w:t>now</w:t>
      </w:r>
      <w:r w:rsidRPr="0093101D">
        <w:rPr>
          <w:rFonts w:ascii="Segoe UI" w:hAnsi="Segoe UI" w:cs="Segoe UI"/>
        </w:rPr>
        <w:t xml:space="preserve"> actively involved in a number of quality forums and the Quality Committee in the Buckinghamshire </w:t>
      </w:r>
      <w:r w:rsidR="004727DC">
        <w:rPr>
          <w:rFonts w:ascii="Segoe UI" w:hAnsi="Segoe UI" w:cs="Segoe UI"/>
        </w:rPr>
        <w:t>I</w:t>
      </w:r>
      <w:r w:rsidRPr="0093101D">
        <w:rPr>
          <w:rFonts w:ascii="Segoe UI" w:hAnsi="Segoe UI" w:cs="Segoe UI"/>
        </w:rPr>
        <w:t xml:space="preserve">ntegrated </w:t>
      </w:r>
      <w:r w:rsidR="004727DC">
        <w:rPr>
          <w:rFonts w:ascii="Segoe UI" w:hAnsi="Segoe UI" w:cs="Segoe UI"/>
        </w:rPr>
        <w:t>C</w:t>
      </w:r>
      <w:r w:rsidRPr="0093101D">
        <w:rPr>
          <w:rFonts w:ascii="Segoe UI" w:hAnsi="Segoe UI" w:cs="Segoe UI"/>
        </w:rPr>
        <w:t xml:space="preserve">are </w:t>
      </w:r>
      <w:r w:rsidR="004727DC">
        <w:rPr>
          <w:rFonts w:ascii="Segoe UI" w:hAnsi="Segoe UI" w:cs="Segoe UI"/>
        </w:rPr>
        <w:t>S</w:t>
      </w:r>
      <w:r w:rsidRPr="0093101D">
        <w:rPr>
          <w:rFonts w:ascii="Segoe UI" w:hAnsi="Segoe UI" w:cs="Segoe UI"/>
        </w:rPr>
        <w:t>ystem and also system working in Oxfordshire.</w:t>
      </w:r>
    </w:p>
    <w:p w:rsidR="0093101D" w:rsidRDefault="0093101D" w:rsidP="0093101D">
      <w:pPr>
        <w:spacing w:after="0" w:line="240" w:lineRule="auto"/>
        <w:jc w:val="both"/>
        <w:rPr>
          <w:rFonts w:ascii="Segoe UI" w:hAnsi="Segoe UI" w:cs="Segoe UI"/>
        </w:rPr>
      </w:pPr>
    </w:p>
    <w:p w:rsidR="0093101D" w:rsidRPr="0093101D" w:rsidRDefault="0093101D" w:rsidP="0093101D">
      <w:pPr>
        <w:spacing w:after="0" w:line="240" w:lineRule="auto"/>
        <w:rPr>
          <w:rFonts w:ascii="Segoe UI" w:hAnsi="Segoe UI" w:cs="Segoe UI"/>
          <w:i/>
        </w:rPr>
      </w:pPr>
      <w:r w:rsidRPr="0093101D">
        <w:rPr>
          <w:rFonts w:ascii="Segoe UI" w:hAnsi="Segoe UI" w:cs="Segoe UI"/>
          <w:i/>
        </w:rPr>
        <w:t xml:space="preserve">Source: </w:t>
      </w:r>
      <w:r>
        <w:rPr>
          <w:rFonts w:ascii="Segoe UI" w:hAnsi="Segoe UI" w:cs="Segoe UI"/>
          <w:i/>
        </w:rPr>
        <w:t xml:space="preserve">OHI </w:t>
      </w:r>
      <w:r w:rsidRPr="0093101D">
        <w:rPr>
          <w:rFonts w:ascii="Segoe UI" w:hAnsi="Segoe UI" w:cs="Segoe UI"/>
          <w:i/>
        </w:rPr>
        <w:t>Quality Governance</w:t>
      </w:r>
    </w:p>
    <w:p w:rsidR="001C589C" w:rsidRPr="0059053C" w:rsidRDefault="001C589C" w:rsidP="0059053C">
      <w:pPr>
        <w:spacing w:after="0" w:line="240" w:lineRule="auto"/>
        <w:rPr>
          <w:rFonts w:ascii="Segoe UI" w:hAnsi="Segoe UI" w:cs="Segoe UI"/>
          <w:b/>
        </w:rPr>
      </w:pPr>
    </w:p>
    <w:p w:rsidR="001C589C" w:rsidRPr="001C589C" w:rsidRDefault="001C589C" w:rsidP="001C589C">
      <w:pPr>
        <w:pStyle w:val="ListParagraph"/>
        <w:numPr>
          <w:ilvl w:val="1"/>
          <w:numId w:val="3"/>
        </w:numPr>
        <w:spacing w:after="0" w:line="240" w:lineRule="auto"/>
        <w:ind w:left="720"/>
        <w:rPr>
          <w:rFonts w:ascii="Segoe UI" w:hAnsi="Segoe UI" w:cs="Segoe UI"/>
          <w:b/>
          <w:bCs/>
        </w:rPr>
      </w:pPr>
      <w:r w:rsidRPr="001C589C">
        <w:rPr>
          <w:rFonts w:ascii="Segoe UI" w:hAnsi="Segoe UI" w:cs="Segoe UI"/>
          <w:b/>
          <w:bCs/>
        </w:rPr>
        <w:t>CQUINs</w:t>
      </w:r>
    </w:p>
    <w:p w:rsidR="00C04818" w:rsidRDefault="00C04818" w:rsidP="00C04818">
      <w:pPr>
        <w:spacing w:after="0" w:line="240" w:lineRule="auto"/>
        <w:rPr>
          <w:rFonts w:ascii="Segoe UI" w:hAnsi="Segoe UI" w:cs="Segoe UI"/>
        </w:rPr>
      </w:pPr>
    </w:p>
    <w:p w:rsidR="0077315E" w:rsidRPr="00340F54" w:rsidRDefault="00340F54" w:rsidP="00340F54">
      <w:pPr>
        <w:spacing w:after="0" w:line="240" w:lineRule="auto"/>
        <w:jc w:val="both"/>
        <w:rPr>
          <w:rFonts w:ascii="Segoe UI" w:hAnsi="Segoe UI" w:cs="Segoe UI"/>
        </w:rPr>
      </w:pPr>
      <w:r w:rsidRPr="00340F54">
        <w:rPr>
          <w:rFonts w:ascii="Segoe UI" w:hAnsi="Segoe UI" w:cs="Segoe UI"/>
        </w:rPr>
        <w:t>The Trust’s Q</w:t>
      </w:r>
      <w:r w:rsidR="0077315E" w:rsidRPr="00340F54">
        <w:rPr>
          <w:rFonts w:ascii="Segoe UI" w:hAnsi="Segoe UI" w:cs="Segoe UI"/>
        </w:rPr>
        <w:t>2 CQUIN reports were submit</w:t>
      </w:r>
      <w:r>
        <w:rPr>
          <w:rFonts w:ascii="Segoe UI" w:hAnsi="Segoe UI" w:cs="Segoe UI"/>
        </w:rPr>
        <w:t>ted to commissioners by the 31</w:t>
      </w:r>
      <w:r w:rsidR="0077315E" w:rsidRPr="00340F54">
        <w:rPr>
          <w:rFonts w:ascii="Segoe UI" w:hAnsi="Segoe UI" w:cs="Segoe UI"/>
        </w:rPr>
        <w:t xml:space="preserve"> October</w:t>
      </w:r>
      <w:r w:rsidR="004727DC">
        <w:rPr>
          <w:rFonts w:ascii="Segoe UI" w:hAnsi="Segoe UI" w:cs="Segoe UI"/>
        </w:rPr>
        <w:t xml:space="preserve"> 2018</w:t>
      </w:r>
      <w:r w:rsidR="0077315E" w:rsidRPr="00340F54">
        <w:rPr>
          <w:rFonts w:ascii="Segoe UI" w:hAnsi="Segoe UI" w:cs="Segoe UI"/>
        </w:rPr>
        <w:t xml:space="preserve"> deadline. Overall </w:t>
      </w:r>
      <w:r w:rsidR="00E566A3">
        <w:rPr>
          <w:rFonts w:ascii="Segoe UI" w:hAnsi="Segoe UI" w:cs="Segoe UI"/>
        </w:rPr>
        <w:t>the Trust</w:t>
      </w:r>
      <w:r w:rsidR="0077315E" w:rsidRPr="00340F54">
        <w:rPr>
          <w:rFonts w:ascii="Segoe UI" w:hAnsi="Segoe UI" w:cs="Segoe UI"/>
        </w:rPr>
        <w:t xml:space="preserve"> performed strongly against the CQUIN milestones, with sustained improvements in embedding physical health checks into our mental health work practices and recording systems. </w:t>
      </w:r>
    </w:p>
    <w:p w:rsidR="0077315E" w:rsidRPr="00340F54" w:rsidRDefault="0077315E" w:rsidP="00340F54">
      <w:pPr>
        <w:spacing w:after="0" w:line="240" w:lineRule="auto"/>
        <w:jc w:val="both"/>
        <w:rPr>
          <w:rFonts w:ascii="Segoe UI" w:hAnsi="Segoe UI" w:cs="Segoe UI"/>
        </w:rPr>
      </w:pPr>
    </w:p>
    <w:p w:rsidR="0077315E" w:rsidRPr="00340F54" w:rsidRDefault="004727DC" w:rsidP="00340F54">
      <w:pPr>
        <w:spacing w:after="0" w:line="240" w:lineRule="auto"/>
        <w:jc w:val="both"/>
        <w:rPr>
          <w:rFonts w:ascii="Segoe UI" w:hAnsi="Segoe UI" w:cs="Segoe UI"/>
        </w:rPr>
      </w:pPr>
      <w:r>
        <w:rPr>
          <w:rFonts w:ascii="Segoe UI" w:hAnsi="Segoe UI" w:cs="Segoe UI"/>
        </w:rPr>
        <w:t>The Trust</w:t>
      </w:r>
      <w:r w:rsidR="0077315E" w:rsidRPr="00340F54">
        <w:rPr>
          <w:rFonts w:ascii="Segoe UI" w:hAnsi="Segoe UI" w:cs="Segoe UI"/>
        </w:rPr>
        <w:t xml:space="preserve"> met all targets in specialis</w:t>
      </w:r>
      <w:r w:rsidR="00340F54">
        <w:rPr>
          <w:rFonts w:ascii="Segoe UI" w:hAnsi="Segoe UI" w:cs="Segoe UI"/>
        </w:rPr>
        <w:t>ed services and community CQUINs</w:t>
      </w:r>
      <w:r w:rsidR="0077315E" w:rsidRPr="00340F54">
        <w:rPr>
          <w:rFonts w:ascii="Segoe UI" w:hAnsi="Segoe UI" w:cs="Segoe UI"/>
        </w:rPr>
        <w:t xml:space="preserve">. </w:t>
      </w:r>
      <w:r>
        <w:rPr>
          <w:rFonts w:ascii="Segoe UI" w:hAnsi="Segoe UI" w:cs="Segoe UI"/>
        </w:rPr>
        <w:t>The Trust’s</w:t>
      </w:r>
      <w:r w:rsidR="0077315E" w:rsidRPr="00340F54">
        <w:rPr>
          <w:rFonts w:ascii="Segoe UI" w:hAnsi="Segoe UI" w:cs="Segoe UI"/>
        </w:rPr>
        <w:t xml:space="preserve"> flu jab campaign has been well supported, with front-line staff vaccination rates 8% higher than the same time last year.</w:t>
      </w:r>
    </w:p>
    <w:p w:rsidR="0077315E" w:rsidRPr="00340F54" w:rsidRDefault="0077315E" w:rsidP="00340F54">
      <w:pPr>
        <w:spacing w:after="0" w:line="240" w:lineRule="auto"/>
        <w:jc w:val="both"/>
        <w:rPr>
          <w:rFonts w:ascii="Segoe UI" w:hAnsi="Segoe UI" w:cs="Segoe UI"/>
        </w:rPr>
      </w:pPr>
    </w:p>
    <w:p w:rsidR="00C24459" w:rsidRDefault="004727DC" w:rsidP="00340F54">
      <w:pPr>
        <w:spacing w:after="0" w:line="240" w:lineRule="auto"/>
        <w:jc w:val="both"/>
        <w:rPr>
          <w:rFonts w:ascii="Segoe UI" w:hAnsi="Segoe UI" w:cs="Segoe UI"/>
        </w:rPr>
      </w:pPr>
      <w:r>
        <w:rPr>
          <w:rFonts w:ascii="Segoe UI" w:hAnsi="Segoe UI" w:cs="Segoe UI"/>
        </w:rPr>
        <w:t>The Trust</w:t>
      </w:r>
      <w:r w:rsidR="0077315E" w:rsidRPr="00340F54">
        <w:rPr>
          <w:rFonts w:ascii="Segoe UI" w:hAnsi="Segoe UI" w:cs="Segoe UI"/>
        </w:rPr>
        <w:t xml:space="preserve"> continue</w:t>
      </w:r>
      <w:r>
        <w:rPr>
          <w:rFonts w:ascii="Segoe UI" w:hAnsi="Segoe UI" w:cs="Segoe UI"/>
        </w:rPr>
        <w:t>s</w:t>
      </w:r>
      <w:r w:rsidR="0077315E" w:rsidRPr="00340F54">
        <w:rPr>
          <w:rFonts w:ascii="Segoe UI" w:hAnsi="Segoe UI" w:cs="Segoe UI"/>
        </w:rPr>
        <w:t xml:space="preserve"> to strengthen </w:t>
      </w:r>
      <w:r>
        <w:rPr>
          <w:rFonts w:ascii="Segoe UI" w:hAnsi="Segoe UI" w:cs="Segoe UI"/>
        </w:rPr>
        <w:t>its</w:t>
      </w:r>
      <w:r w:rsidR="0077315E" w:rsidRPr="00340F54">
        <w:rPr>
          <w:rFonts w:ascii="Segoe UI" w:hAnsi="Segoe UI" w:cs="Segoe UI"/>
        </w:rPr>
        <w:t xml:space="preserve"> processes and practices to ensure a more effective transition of Children and Young People into Adult mental health services.</w:t>
      </w:r>
    </w:p>
    <w:p w:rsidR="00340F54" w:rsidRDefault="00340F54" w:rsidP="00340F54">
      <w:pPr>
        <w:spacing w:after="0" w:line="240" w:lineRule="auto"/>
        <w:jc w:val="both"/>
        <w:rPr>
          <w:rFonts w:ascii="Segoe UI" w:hAnsi="Segoe UI" w:cs="Segoe UI"/>
        </w:rPr>
      </w:pPr>
    </w:p>
    <w:p w:rsidR="00340F54" w:rsidRPr="00340F54" w:rsidRDefault="00340F54" w:rsidP="00340F54">
      <w:pPr>
        <w:spacing w:after="0" w:line="240" w:lineRule="auto"/>
        <w:jc w:val="both"/>
        <w:rPr>
          <w:rFonts w:ascii="Segoe UI" w:hAnsi="Segoe UI" w:cs="Segoe UI"/>
          <w:i/>
        </w:rPr>
      </w:pPr>
      <w:r w:rsidRPr="00340F54">
        <w:rPr>
          <w:rFonts w:ascii="Segoe UI" w:hAnsi="Segoe UI" w:cs="Segoe UI"/>
          <w:i/>
        </w:rPr>
        <w:t>Source: Service Change &amp; Delivery</w:t>
      </w:r>
    </w:p>
    <w:p w:rsidR="001C589C" w:rsidRPr="00CD7D17" w:rsidRDefault="001C589C" w:rsidP="00CD7D17">
      <w:pPr>
        <w:spacing w:after="0" w:line="240" w:lineRule="auto"/>
        <w:rPr>
          <w:rFonts w:ascii="Segoe UI" w:hAnsi="Segoe UI" w:cs="Segoe UI"/>
          <w:b/>
        </w:rPr>
      </w:pPr>
    </w:p>
    <w:p w:rsidR="001C589C" w:rsidRPr="001C589C" w:rsidRDefault="001C589C" w:rsidP="001C589C">
      <w:pPr>
        <w:pStyle w:val="ListParagraph"/>
        <w:numPr>
          <w:ilvl w:val="1"/>
          <w:numId w:val="3"/>
        </w:numPr>
        <w:spacing w:after="0" w:line="240" w:lineRule="auto"/>
        <w:ind w:left="720"/>
        <w:rPr>
          <w:rFonts w:ascii="Segoe UI" w:hAnsi="Segoe UI" w:cs="Segoe UI"/>
          <w:b/>
          <w:bCs/>
        </w:rPr>
      </w:pPr>
      <w:r w:rsidRPr="001C589C">
        <w:rPr>
          <w:rFonts w:ascii="Segoe UI" w:hAnsi="Segoe UI" w:cs="Segoe UI"/>
          <w:b/>
          <w:bCs/>
        </w:rPr>
        <w:t>CQC</w:t>
      </w:r>
    </w:p>
    <w:p w:rsidR="001C589C" w:rsidRDefault="001C589C" w:rsidP="00322AC9">
      <w:pPr>
        <w:pStyle w:val="ListParagraph"/>
        <w:spacing w:after="0" w:line="240" w:lineRule="auto"/>
        <w:ind w:left="375"/>
        <w:rPr>
          <w:rFonts w:ascii="Segoe UI" w:hAnsi="Segoe UI" w:cs="Segoe UI"/>
          <w:b/>
        </w:rPr>
      </w:pPr>
    </w:p>
    <w:p w:rsidR="0093101D" w:rsidRPr="0093101D" w:rsidRDefault="0093101D" w:rsidP="0093101D">
      <w:pPr>
        <w:spacing w:after="0" w:line="240" w:lineRule="auto"/>
        <w:jc w:val="both"/>
        <w:rPr>
          <w:rFonts w:ascii="Segoe UI" w:hAnsi="Segoe UI" w:cs="Segoe UI"/>
        </w:rPr>
      </w:pPr>
      <w:r w:rsidRPr="0093101D">
        <w:rPr>
          <w:rFonts w:ascii="Segoe UI" w:hAnsi="Segoe UI" w:cs="Segoe UI"/>
        </w:rPr>
        <w:t>The Trust’s Quality Summit with the CQC, NHS Improvement, HEE and CCGs took place in Nov</w:t>
      </w:r>
      <w:r w:rsidR="004727DC">
        <w:rPr>
          <w:rFonts w:ascii="Segoe UI" w:hAnsi="Segoe UI" w:cs="Segoe UI"/>
        </w:rPr>
        <w:t>ember</w:t>
      </w:r>
      <w:r w:rsidRPr="0093101D">
        <w:rPr>
          <w:rFonts w:ascii="Segoe UI" w:hAnsi="Segoe UI" w:cs="Segoe UI"/>
        </w:rPr>
        <w:t xml:space="preserve"> 2018.</w:t>
      </w:r>
      <w:r w:rsidR="004727DC">
        <w:rPr>
          <w:rFonts w:ascii="Segoe UI" w:hAnsi="Segoe UI" w:cs="Segoe UI"/>
        </w:rPr>
        <w:t xml:space="preserve"> </w:t>
      </w:r>
      <w:r w:rsidRPr="0093101D">
        <w:rPr>
          <w:rFonts w:ascii="Segoe UI" w:hAnsi="Segoe UI" w:cs="Segoe UI"/>
        </w:rPr>
        <w:t>A follow up system-wide health and social care review was completed by the CQC in Oxfordshire in Nov</w:t>
      </w:r>
      <w:r w:rsidR="004727DC">
        <w:rPr>
          <w:rFonts w:ascii="Segoe UI" w:hAnsi="Segoe UI" w:cs="Segoe UI"/>
        </w:rPr>
        <w:t>ember</w:t>
      </w:r>
      <w:r w:rsidRPr="0093101D">
        <w:rPr>
          <w:rFonts w:ascii="Segoe UI" w:hAnsi="Segoe UI" w:cs="Segoe UI"/>
        </w:rPr>
        <w:t xml:space="preserve"> 2018. The final report was published in Jan</w:t>
      </w:r>
      <w:r w:rsidR="004727DC">
        <w:rPr>
          <w:rFonts w:ascii="Segoe UI" w:hAnsi="Segoe UI" w:cs="Segoe UI"/>
        </w:rPr>
        <w:t>uary</w:t>
      </w:r>
      <w:r w:rsidRPr="0093101D">
        <w:rPr>
          <w:rFonts w:ascii="Segoe UI" w:hAnsi="Segoe UI" w:cs="Segoe UI"/>
        </w:rPr>
        <w:t xml:space="preserve"> 2019 and a ‘Quality Summit’ with the Oxfordshire Health and Well-being board members is scheduled for the end of Jan</w:t>
      </w:r>
      <w:r w:rsidR="004727DC">
        <w:rPr>
          <w:rFonts w:ascii="Segoe UI" w:hAnsi="Segoe UI" w:cs="Segoe UI"/>
        </w:rPr>
        <w:t>uary</w:t>
      </w:r>
      <w:r w:rsidRPr="0093101D">
        <w:rPr>
          <w:rFonts w:ascii="Segoe UI" w:hAnsi="Segoe UI" w:cs="Segoe UI"/>
        </w:rPr>
        <w:t xml:space="preserve"> 2019.</w:t>
      </w:r>
    </w:p>
    <w:p w:rsidR="0093101D" w:rsidRPr="0093101D" w:rsidRDefault="0093101D" w:rsidP="0093101D">
      <w:pPr>
        <w:spacing w:after="0" w:line="240" w:lineRule="auto"/>
        <w:jc w:val="both"/>
        <w:rPr>
          <w:rFonts w:ascii="Segoe UI" w:hAnsi="Segoe UI" w:cs="Segoe UI"/>
        </w:rPr>
      </w:pPr>
    </w:p>
    <w:p w:rsidR="0093101D" w:rsidRPr="0093101D" w:rsidRDefault="0093101D" w:rsidP="0093101D">
      <w:pPr>
        <w:spacing w:after="0" w:line="240" w:lineRule="auto"/>
        <w:jc w:val="both"/>
        <w:rPr>
          <w:rFonts w:ascii="Segoe UI" w:hAnsi="Segoe UI" w:cs="Segoe UI"/>
        </w:rPr>
      </w:pPr>
      <w:r w:rsidRPr="0093101D">
        <w:rPr>
          <w:rFonts w:ascii="Segoe UI" w:hAnsi="Segoe UI" w:cs="Segoe UI"/>
        </w:rPr>
        <w:t>The Trustwide Improving Care</w:t>
      </w:r>
      <w:r w:rsidR="004727DC">
        <w:rPr>
          <w:rFonts w:ascii="Segoe UI" w:hAnsi="Segoe UI" w:cs="Segoe UI"/>
        </w:rPr>
        <w:t xml:space="preserve"> ‘</w:t>
      </w:r>
      <w:r w:rsidRPr="0093101D">
        <w:rPr>
          <w:rFonts w:ascii="Segoe UI" w:hAnsi="Segoe UI" w:cs="Segoe UI"/>
        </w:rPr>
        <w:t>5 questions group</w:t>
      </w:r>
      <w:r w:rsidR="004727DC">
        <w:rPr>
          <w:rFonts w:ascii="Segoe UI" w:hAnsi="Segoe UI" w:cs="Segoe UI"/>
        </w:rPr>
        <w:t>’</w:t>
      </w:r>
      <w:r w:rsidRPr="0093101D">
        <w:rPr>
          <w:rFonts w:ascii="Segoe UI" w:hAnsi="Segoe UI" w:cs="Segoe UI"/>
        </w:rPr>
        <w:t xml:space="preserve"> continues to meet monthly with oversight of all improvement and action plans submitted to the CQC from inspections and reviews. A monthly update goes to the Executive Team and a quarterly report to the Trust’s well-led quality sub-committee.</w:t>
      </w:r>
    </w:p>
    <w:p w:rsidR="0093101D" w:rsidRPr="0093101D" w:rsidRDefault="0093101D" w:rsidP="0093101D">
      <w:pPr>
        <w:spacing w:after="0" w:line="240" w:lineRule="auto"/>
        <w:jc w:val="both"/>
        <w:rPr>
          <w:rFonts w:ascii="Segoe UI" w:hAnsi="Segoe UI" w:cs="Segoe UI"/>
        </w:rPr>
      </w:pPr>
    </w:p>
    <w:p w:rsidR="0093101D" w:rsidRPr="0093101D" w:rsidRDefault="0093101D" w:rsidP="0093101D">
      <w:pPr>
        <w:spacing w:after="0" w:line="240" w:lineRule="auto"/>
        <w:jc w:val="both"/>
        <w:rPr>
          <w:rFonts w:ascii="Segoe UI" w:hAnsi="Segoe UI" w:cs="Segoe UI"/>
        </w:rPr>
      </w:pPr>
      <w:r w:rsidRPr="0093101D">
        <w:rPr>
          <w:rFonts w:ascii="Segoe UI" w:hAnsi="Segoe UI" w:cs="Segoe UI"/>
        </w:rPr>
        <w:t xml:space="preserve">An internal peer review programme is in place and work continues to embed the national quality standards into how </w:t>
      </w:r>
      <w:r w:rsidR="00E566A3">
        <w:rPr>
          <w:rFonts w:ascii="Segoe UI" w:hAnsi="Segoe UI" w:cs="Segoe UI"/>
        </w:rPr>
        <w:t>the Trust</w:t>
      </w:r>
      <w:r w:rsidRPr="0093101D">
        <w:rPr>
          <w:rFonts w:ascii="Segoe UI" w:hAnsi="Segoe UI" w:cs="Segoe UI"/>
        </w:rPr>
        <w:t xml:space="preserve"> review</w:t>
      </w:r>
      <w:r w:rsidR="00E566A3">
        <w:rPr>
          <w:rFonts w:ascii="Segoe UI" w:hAnsi="Segoe UI" w:cs="Segoe UI"/>
        </w:rPr>
        <w:t>s</w:t>
      </w:r>
      <w:r w:rsidRPr="0093101D">
        <w:rPr>
          <w:rFonts w:ascii="Segoe UI" w:hAnsi="Segoe UI" w:cs="Segoe UI"/>
        </w:rPr>
        <w:t xml:space="preserve"> and provide</w:t>
      </w:r>
      <w:r w:rsidR="00E566A3">
        <w:rPr>
          <w:rFonts w:ascii="Segoe UI" w:hAnsi="Segoe UI" w:cs="Segoe UI"/>
        </w:rPr>
        <w:t>s</w:t>
      </w:r>
      <w:r w:rsidRPr="0093101D">
        <w:rPr>
          <w:rFonts w:ascii="Segoe UI" w:hAnsi="Segoe UI" w:cs="Segoe UI"/>
        </w:rPr>
        <w:t xml:space="preserve"> assurance about the quality of care.</w:t>
      </w:r>
    </w:p>
    <w:p w:rsidR="0093101D" w:rsidRPr="0093101D" w:rsidRDefault="0093101D" w:rsidP="0093101D">
      <w:pPr>
        <w:spacing w:after="0" w:line="240" w:lineRule="auto"/>
        <w:jc w:val="both"/>
        <w:rPr>
          <w:rFonts w:ascii="Segoe UI" w:hAnsi="Segoe UI" w:cs="Segoe UI"/>
        </w:rPr>
      </w:pPr>
    </w:p>
    <w:p w:rsidR="001C589C" w:rsidRDefault="0093101D" w:rsidP="0093101D">
      <w:pPr>
        <w:spacing w:after="0" w:line="240" w:lineRule="auto"/>
        <w:jc w:val="both"/>
        <w:rPr>
          <w:rFonts w:ascii="Segoe UI" w:hAnsi="Segoe UI" w:cs="Segoe UI"/>
        </w:rPr>
      </w:pPr>
      <w:r w:rsidRPr="0093101D">
        <w:rPr>
          <w:rFonts w:ascii="Segoe UI" w:hAnsi="Segoe UI" w:cs="Segoe UI"/>
        </w:rPr>
        <w:t xml:space="preserve">Preparation for the Trust’s next well-led inspection has started including a series of mock inspections to the community hospitals, work with senior clinicians to complete a quality assessment at service line and work to develop how </w:t>
      </w:r>
      <w:r w:rsidR="00E566A3">
        <w:rPr>
          <w:rFonts w:ascii="Segoe UI" w:hAnsi="Segoe UI" w:cs="Segoe UI"/>
        </w:rPr>
        <w:t>the Trust achieves</w:t>
      </w:r>
      <w:r w:rsidRPr="0093101D">
        <w:rPr>
          <w:rFonts w:ascii="Segoe UI" w:hAnsi="Segoe UI" w:cs="Segoe UI"/>
        </w:rPr>
        <w:t xml:space="preserve"> an overview</w:t>
      </w:r>
      <w:r>
        <w:rPr>
          <w:rFonts w:ascii="Segoe UI" w:hAnsi="Segoe UI" w:cs="Segoe UI"/>
        </w:rPr>
        <w:t xml:space="preserve"> </w:t>
      </w:r>
      <w:r w:rsidRPr="0093101D">
        <w:rPr>
          <w:rFonts w:ascii="Segoe UI" w:hAnsi="Segoe UI" w:cs="Segoe UI"/>
        </w:rPr>
        <w:t>of safeguarding referrals, waiting times and caseload sizes.</w:t>
      </w:r>
    </w:p>
    <w:p w:rsidR="0093101D" w:rsidRDefault="0093101D" w:rsidP="0093101D">
      <w:pPr>
        <w:spacing w:after="0" w:line="240" w:lineRule="auto"/>
        <w:jc w:val="both"/>
        <w:rPr>
          <w:rFonts w:ascii="Segoe UI" w:hAnsi="Segoe UI" w:cs="Segoe UI"/>
        </w:rPr>
      </w:pPr>
    </w:p>
    <w:p w:rsidR="0093101D" w:rsidRPr="0093101D" w:rsidRDefault="0093101D" w:rsidP="0093101D">
      <w:pPr>
        <w:spacing w:after="0" w:line="240" w:lineRule="auto"/>
        <w:rPr>
          <w:rFonts w:ascii="Segoe UI" w:hAnsi="Segoe UI" w:cs="Segoe UI"/>
          <w:i/>
        </w:rPr>
      </w:pPr>
      <w:r w:rsidRPr="0093101D">
        <w:rPr>
          <w:rFonts w:ascii="Segoe UI" w:hAnsi="Segoe UI" w:cs="Segoe UI"/>
          <w:i/>
        </w:rPr>
        <w:lastRenderedPageBreak/>
        <w:t>Source: Quality Governance</w:t>
      </w:r>
    </w:p>
    <w:p w:rsidR="001C589C" w:rsidRPr="0059053C" w:rsidRDefault="001C589C" w:rsidP="0059053C">
      <w:pPr>
        <w:spacing w:after="0" w:line="240" w:lineRule="auto"/>
        <w:rPr>
          <w:rFonts w:ascii="Segoe UI" w:hAnsi="Segoe UI" w:cs="Segoe UI"/>
          <w:b/>
        </w:rPr>
      </w:pPr>
    </w:p>
    <w:p w:rsidR="001C589C" w:rsidRPr="001C589C" w:rsidRDefault="001C589C" w:rsidP="001C589C">
      <w:pPr>
        <w:pStyle w:val="ListParagraph"/>
        <w:numPr>
          <w:ilvl w:val="1"/>
          <w:numId w:val="3"/>
        </w:numPr>
        <w:spacing w:after="0" w:line="240" w:lineRule="auto"/>
        <w:ind w:left="720"/>
        <w:rPr>
          <w:rFonts w:ascii="Segoe UI" w:hAnsi="Segoe UI" w:cs="Segoe UI"/>
          <w:b/>
          <w:bCs/>
        </w:rPr>
      </w:pPr>
      <w:r w:rsidRPr="001C589C">
        <w:rPr>
          <w:rFonts w:ascii="Segoe UI" w:hAnsi="Segoe UI" w:cs="Segoe UI"/>
          <w:b/>
          <w:bCs/>
        </w:rPr>
        <w:t>Quality Metrics</w:t>
      </w:r>
    </w:p>
    <w:p w:rsidR="001C589C" w:rsidRDefault="001C589C" w:rsidP="00322AC9">
      <w:pPr>
        <w:pStyle w:val="ListParagraph"/>
        <w:spacing w:after="0" w:line="240" w:lineRule="auto"/>
        <w:ind w:left="375"/>
        <w:rPr>
          <w:rFonts w:ascii="Segoe UI" w:hAnsi="Segoe UI" w:cs="Segoe UI"/>
          <w:b/>
        </w:rPr>
      </w:pPr>
    </w:p>
    <w:p w:rsidR="0093101D" w:rsidRDefault="0093101D" w:rsidP="0093101D">
      <w:pPr>
        <w:spacing w:after="0" w:line="240" w:lineRule="auto"/>
        <w:jc w:val="both"/>
        <w:rPr>
          <w:rFonts w:ascii="Segoe UI" w:hAnsi="Segoe UI" w:cs="Segoe UI"/>
        </w:rPr>
      </w:pPr>
      <w:r w:rsidRPr="0093101D">
        <w:rPr>
          <w:rFonts w:ascii="Segoe UI" w:hAnsi="Segoe UI" w:cs="Segoe UI"/>
        </w:rPr>
        <w:t>The Trust has a rich amount of information and data about the quality</w:t>
      </w:r>
      <w:r>
        <w:rPr>
          <w:rFonts w:ascii="Segoe UI" w:hAnsi="Segoe UI" w:cs="Segoe UI"/>
        </w:rPr>
        <w:t xml:space="preserve"> of care provided</w:t>
      </w:r>
      <w:r w:rsidRPr="0093101D">
        <w:rPr>
          <w:rFonts w:ascii="Segoe UI" w:hAnsi="Segoe UI" w:cs="Segoe UI"/>
        </w:rPr>
        <w:t xml:space="preserve"> which is reviewed weekly, monthly and quarterly.</w:t>
      </w:r>
      <w:r>
        <w:rPr>
          <w:rFonts w:ascii="Segoe UI" w:hAnsi="Segoe UI" w:cs="Segoe UI"/>
        </w:rPr>
        <w:t xml:space="preserve"> The list reviewed is:</w:t>
      </w:r>
    </w:p>
    <w:p w:rsidR="0093101D" w:rsidRPr="0093101D" w:rsidRDefault="0093101D" w:rsidP="0093101D">
      <w:pPr>
        <w:pStyle w:val="ListParagraph"/>
        <w:numPr>
          <w:ilvl w:val="0"/>
          <w:numId w:val="18"/>
        </w:numPr>
        <w:spacing w:after="0" w:line="240" w:lineRule="auto"/>
        <w:jc w:val="both"/>
        <w:rPr>
          <w:rFonts w:ascii="Segoe UI" w:hAnsi="Segoe UI" w:cs="Segoe UI"/>
        </w:rPr>
      </w:pPr>
      <w:r w:rsidRPr="0093101D">
        <w:rPr>
          <w:rFonts w:ascii="Segoe UI" w:hAnsi="Segoe UI" w:cs="Segoe UI"/>
        </w:rPr>
        <w:t>patient information systems</w:t>
      </w:r>
      <w:r w:rsidR="004727DC">
        <w:rPr>
          <w:rFonts w:ascii="Segoe UI" w:hAnsi="Segoe UI" w:cs="Segoe UI"/>
        </w:rPr>
        <w:t>;</w:t>
      </w:r>
    </w:p>
    <w:p w:rsidR="0093101D" w:rsidRPr="0093101D" w:rsidRDefault="0093101D" w:rsidP="0093101D">
      <w:pPr>
        <w:pStyle w:val="ListParagraph"/>
        <w:numPr>
          <w:ilvl w:val="0"/>
          <w:numId w:val="18"/>
        </w:numPr>
        <w:spacing w:after="0" w:line="240" w:lineRule="auto"/>
        <w:jc w:val="both"/>
        <w:rPr>
          <w:rFonts w:ascii="Segoe UI" w:hAnsi="Segoe UI" w:cs="Segoe UI"/>
        </w:rPr>
      </w:pPr>
      <w:r w:rsidRPr="0093101D">
        <w:rPr>
          <w:rFonts w:ascii="Segoe UI" w:hAnsi="Segoe UI" w:cs="Segoe UI"/>
        </w:rPr>
        <w:t>finance system (including agency use, vacancies and sickness)</w:t>
      </w:r>
      <w:r w:rsidR="004727DC">
        <w:rPr>
          <w:rFonts w:ascii="Segoe UI" w:hAnsi="Segoe UI" w:cs="Segoe UI"/>
        </w:rPr>
        <w:t>;</w:t>
      </w:r>
    </w:p>
    <w:p w:rsidR="0093101D" w:rsidRPr="0093101D" w:rsidRDefault="0093101D" w:rsidP="0093101D">
      <w:pPr>
        <w:pStyle w:val="ListParagraph"/>
        <w:numPr>
          <w:ilvl w:val="0"/>
          <w:numId w:val="18"/>
        </w:numPr>
        <w:spacing w:after="0" w:line="240" w:lineRule="auto"/>
        <w:jc w:val="both"/>
        <w:rPr>
          <w:rFonts w:ascii="Segoe UI" w:hAnsi="Segoe UI" w:cs="Segoe UI"/>
        </w:rPr>
      </w:pPr>
      <w:r w:rsidRPr="0093101D">
        <w:rPr>
          <w:rFonts w:ascii="Segoe UI" w:hAnsi="Segoe UI" w:cs="Segoe UI"/>
        </w:rPr>
        <w:t>incident (including SIs) complaints and deaths recording system</w:t>
      </w:r>
      <w:r w:rsidR="004727DC">
        <w:rPr>
          <w:rFonts w:ascii="Segoe UI" w:hAnsi="Segoe UI" w:cs="Segoe UI"/>
        </w:rPr>
        <w:t>;</w:t>
      </w:r>
    </w:p>
    <w:p w:rsidR="0093101D" w:rsidRPr="0093101D" w:rsidRDefault="0093101D" w:rsidP="0093101D">
      <w:pPr>
        <w:pStyle w:val="ListParagraph"/>
        <w:numPr>
          <w:ilvl w:val="0"/>
          <w:numId w:val="18"/>
        </w:numPr>
        <w:spacing w:after="0" w:line="240" w:lineRule="auto"/>
        <w:jc w:val="both"/>
        <w:rPr>
          <w:rFonts w:ascii="Segoe UI" w:hAnsi="Segoe UI" w:cs="Segoe UI"/>
        </w:rPr>
      </w:pPr>
      <w:r w:rsidRPr="0093101D">
        <w:rPr>
          <w:rFonts w:ascii="Segoe UI" w:hAnsi="Segoe UI" w:cs="Segoe UI"/>
          <w:i/>
        </w:rPr>
        <w:t>I Want Great Care</w:t>
      </w:r>
      <w:r w:rsidRPr="0093101D">
        <w:rPr>
          <w:rFonts w:ascii="Segoe UI" w:hAnsi="Segoe UI" w:cs="Segoe UI"/>
        </w:rPr>
        <w:t xml:space="preserve"> (for patient and carer feedback)</w:t>
      </w:r>
      <w:r w:rsidR="004727DC">
        <w:rPr>
          <w:rFonts w:ascii="Segoe UI" w:hAnsi="Segoe UI" w:cs="Segoe UI"/>
        </w:rPr>
        <w:t>;</w:t>
      </w:r>
    </w:p>
    <w:p w:rsidR="0093101D" w:rsidRPr="0093101D" w:rsidRDefault="0093101D" w:rsidP="0093101D">
      <w:pPr>
        <w:pStyle w:val="ListParagraph"/>
        <w:numPr>
          <w:ilvl w:val="0"/>
          <w:numId w:val="18"/>
        </w:numPr>
        <w:spacing w:after="0" w:line="240" w:lineRule="auto"/>
        <w:jc w:val="both"/>
        <w:rPr>
          <w:rFonts w:ascii="Segoe UI" w:hAnsi="Segoe UI" w:cs="Segoe UI"/>
        </w:rPr>
      </w:pPr>
      <w:r w:rsidRPr="0093101D">
        <w:rPr>
          <w:rFonts w:ascii="Segoe UI" w:hAnsi="Segoe UI" w:cs="Segoe UI"/>
        </w:rPr>
        <w:t>training and appraisal system</w:t>
      </w:r>
      <w:r w:rsidR="004727DC">
        <w:rPr>
          <w:rFonts w:ascii="Segoe UI" w:hAnsi="Segoe UI" w:cs="Segoe UI"/>
        </w:rPr>
        <w:t>;</w:t>
      </w:r>
    </w:p>
    <w:p w:rsidR="0093101D" w:rsidRPr="0093101D" w:rsidRDefault="0093101D" w:rsidP="0093101D">
      <w:pPr>
        <w:pStyle w:val="ListParagraph"/>
        <w:numPr>
          <w:ilvl w:val="0"/>
          <w:numId w:val="18"/>
        </w:numPr>
        <w:spacing w:after="0" w:line="240" w:lineRule="auto"/>
        <w:jc w:val="both"/>
        <w:rPr>
          <w:rFonts w:ascii="Segoe UI" w:hAnsi="Segoe UI" w:cs="Segoe UI"/>
        </w:rPr>
      </w:pPr>
      <w:r w:rsidRPr="0093101D">
        <w:rPr>
          <w:rFonts w:ascii="Segoe UI" w:hAnsi="Segoe UI" w:cs="Segoe UI"/>
        </w:rPr>
        <w:t>e-rostering for staffing information</w:t>
      </w:r>
      <w:r w:rsidR="004727DC">
        <w:rPr>
          <w:rFonts w:ascii="Segoe UI" w:hAnsi="Segoe UI" w:cs="Segoe UI"/>
        </w:rPr>
        <w:t>.</w:t>
      </w:r>
    </w:p>
    <w:p w:rsidR="0093101D" w:rsidRPr="0093101D" w:rsidRDefault="0093101D" w:rsidP="0093101D">
      <w:pPr>
        <w:spacing w:after="0" w:line="240" w:lineRule="auto"/>
        <w:jc w:val="both"/>
        <w:rPr>
          <w:rFonts w:ascii="Segoe UI" w:hAnsi="Segoe UI" w:cs="Segoe UI"/>
        </w:rPr>
      </w:pPr>
    </w:p>
    <w:p w:rsidR="00F15BED" w:rsidRDefault="0093101D" w:rsidP="0093101D">
      <w:pPr>
        <w:spacing w:after="0" w:line="240" w:lineRule="auto"/>
        <w:jc w:val="both"/>
        <w:rPr>
          <w:rFonts w:ascii="Segoe UI" w:hAnsi="Segoe UI" w:cs="Segoe UI"/>
        </w:rPr>
      </w:pPr>
      <w:r w:rsidRPr="0093101D">
        <w:rPr>
          <w:rFonts w:ascii="Segoe UI" w:hAnsi="Segoe UI" w:cs="Segoe UI"/>
        </w:rPr>
        <w:t>The focus of the Trust is on better automating the triangulation of quality, activity and performance information into an integrated dashboard. There is progress towards developing an integrated dashboard which has included work to</w:t>
      </w:r>
      <w:r w:rsidR="004727DC">
        <w:rPr>
          <w:rFonts w:ascii="Segoe UI" w:hAnsi="Segoe UI" w:cs="Segoe UI"/>
        </w:rPr>
        <w:t>:</w:t>
      </w:r>
      <w:r w:rsidRPr="0093101D">
        <w:rPr>
          <w:rFonts w:ascii="Segoe UI" w:hAnsi="Segoe UI" w:cs="Segoe UI"/>
        </w:rPr>
        <w:t xml:space="preserve"> develop automatic feeds from a number of systems into a single </w:t>
      </w:r>
      <w:r w:rsidRPr="004727DC">
        <w:rPr>
          <w:rFonts w:ascii="Segoe UI" w:hAnsi="Segoe UI" w:cs="Segoe UI"/>
          <w:i/>
        </w:rPr>
        <w:t>Power BI</w:t>
      </w:r>
      <w:r w:rsidRPr="0093101D">
        <w:rPr>
          <w:rFonts w:ascii="Segoe UI" w:hAnsi="Segoe UI" w:cs="Segoe UI"/>
        </w:rPr>
        <w:t xml:space="preserve"> reporting solution</w:t>
      </w:r>
      <w:r w:rsidR="004727DC">
        <w:rPr>
          <w:rFonts w:ascii="Segoe UI" w:hAnsi="Segoe UI" w:cs="Segoe UI"/>
        </w:rPr>
        <w:t>;</w:t>
      </w:r>
      <w:r w:rsidRPr="0093101D">
        <w:rPr>
          <w:rFonts w:ascii="Segoe UI" w:hAnsi="Segoe UI" w:cs="Segoe UI"/>
        </w:rPr>
        <w:t xml:space="preserve"> develop a reporting structure and hierarchy across systems</w:t>
      </w:r>
      <w:r w:rsidR="004727DC">
        <w:rPr>
          <w:rFonts w:ascii="Segoe UI" w:hAnsi="Segoe UI" w:cs="Segoe UI"/>
        </w:rPr>
        <w:t>;</w:t>
      </w:r>
      <w:r w:rsidRPr="0093101D">
        <w:rPr>
          <w:rFonts w:ascii="Segoe UI" w:hAnsi="Segoe UI" w:cs="Segoe UI"/>
        </w:rPr>
        <w:t xml:space="preserve"> </w:t>
      </w:r>
      <w:r w:rsidR="004727DC">
        <w:rPr>
          <w:rFonts w:ascii="Segoe UI" w:hAnsi="Segoe UI" w:cs="Segoe UI"/>
        </w:rPr>
        <w:t xml:space="preserve">define </w:t>
      </w:r>
      <w:r w:rsidRPr="0093101D">
        <w:rPr>
          <w:rFonts w:ascii="Segoe UI" w:hAnsi="Segoe UI" w:cs="Segoe UI"/>
        </w:rPr>
        <w:t>clinical service line</w:t>
      </w:r>
      <w:r w:rsidR="004727DC">
        <w:rPr>
          <w:rFonts w:ascii="Segoe UI" w:hAnsi="Segoe UI" w:cs="Segoe UI"/>
        </w:rPr>
        <w:t>s;</w:t>
      </w:r>
      <w:r w:rsidRPr="0093101D">
        <w:rPr>
          <w:rFonts w:ascii="Segoe UI" w:hAnsi="Segoe UI" w:cs="Segoe UI"/>
        </w:rPr>
        <w:t xml:space="preserve"> and a team change process across all systems. An initial version of the dashboard has been developed and further work is needed before wider consultation</w:t>
      </w:r>
      <w:r w:rsidR="004727DC">
        <w:rPr>
          <w:rFonts w:ascii="Segoe UI" w:hAnsi="Segoe UI" w:cs="Segoe UI"/>
        </w:rPr>
        <w:t xml:space="preserve"> and testing.</w:t>
      </w:r>
    </w:p>
    <w:p w:rsidR="0093101D" w:rsidRDefault="0093101D" w:rsidP="0093101D">
      <w:pPr>
        <w:spacing w:after="0" w:line="240" w:lineRule="auto"/>
        <w:rPr>
          <w:rFonts w:ascii="Segoe UI" w:hAnsi="Segoe UI" w:cs="Segoe UI"/>
        </w:rPr>
      </w:pPr>
    </w:p>
    <w:p w:rsidR="0093101D" w:rsidRPr="0093101D" w:rsidRDefault="0093101D" w:rsidP="0093101D">
      <w:pPr>
        <w:spacing w:after="0" w:line="240" w:lineRule="auto"/>
        <w:rPr>
          <w:rFonts w:ascii="Segoe UI" w:hAnsi="Segoe UI" w:cs="Segoe UI"/>
          <w:i/>
        </w:rPr>
      </w:pPr>
      <w:r w:rsidRPr="0093101D">
        <w:rPr>
          <w:rFonts w:ascii="Segoe UI" w:hAnsi="Segoe UI" w:cs="Segoe UI"/>
          <w:i/>
        </w:rPr>
        <w:t>Source: Quality Governance</w:t>
      </w:r>
    </w:p>
    <w:p w:rsidR="00F15BED" w:rsidRPr="000B311A" w:rsidRDefault="00F15BED" w:rsidP="000B311A">
      <w:pPr>
        <w:spacing w:after="0" w:line="240" w:lineRule="auto"/>
        <w:rPr>
          <w:rFonts w:ascii="Segoe UI" w:hAnsi="Segoe UI" w:cs="Segoe UI"/>
        </w:rPr>
      </w:pPr>
    </w:p>
    <w:p w:rsidR="00322AC9" w:rsidRPr="0059053C" w:rsidRDefault="00CB1448" w:rsidP="0059053C">
      <w:pPr>
        <w:pStyle w:val="ListParagraph"/>
        <w:numPr>
          <w:ilvl w:val="0"/>
          <w:numId w:val="3"/>
        </w:numPr>
        <w:shd w:val="clear" w:color="auto" w:fill="FFFFFF" w:themeFill="background1"/>
        <w:spacing w:after="0" w:line="240" w:lineRule="auto"/>
        <w:rPr>
          <w:rFonts w:ascii="Segoe UI" w:hAnsi="Segoe UI" w:cs="Segoe UI"/>
          <w:b/>
        </w:rPr>
      </w:pPr>
      <w:r w:rsidRPr="00322AC9">
        <w:rPr>
          <w:rFonts w:ascii="Segoe UI" w:hAnsi="Segoe UI" w:cs="Segoe UI"/>
          <w:b/>
        </w:rPr>
        <w:t>Workforce</w:t>
      </w:r>
    </w:p>
    <w:p w:rsidR="00B332E4" w:rsidRPr="00322AC9" w:rsidRDefault="00B332E4" w:rsidP="00322AC9">
      <w:pPr>
        <w:pStyle w:val="ListParagraph"/>
        <w:spacing w:after="0" w:line="240" w:lineRule="auto"/>
        <w:ind w:left="375"/>
        <w:rPr>
          <w:rFonts w:ascii="Segoe UI" w:hAnsi="Segoe UI" w:cs="Segoe UI"/>
          <w:b/>
        </w:rPr>
      </w:pPr>
    </w:p>
    <w:p w:rsidR="00322AC9" w:rsidRDefault="00322AC9" w:rsidP="00F366AE">
      <w:pPr>
        <w:pStyle w:val="ListParagraph"/>
        <w:numPr>
          <w:ilvl w:val="1"/>
          <w:numId w:val="3"/>
        </w:numPr>
        <w:spacing w:after="0" w:line="240" w:lineRule="auto"/>
        <w:ind w:left="720"/>
        <w:rPr>
          <w:rFonts w:ascii="Segoe UI" w:hAnsi="Segoe UI" w:cs="Segoe UI"/>
          <w:b/>
          <w:bCs/>
        </w:rPr>
      </w:pPr>
      <w:r w:rsidRPr="00322AC9">
        <w:rPr>
          <w:rFonts w:ascii="Segoe UI" w:hAnsi="Segoe UI" w:cs="Segoe UI"/>
          <w:b/>
          <w:bCs/>
        </w:rPr>
        <w:t>Staff Turnover</w:t>
      </w:r>
    </w:p>
    <w:p w:rsidR="0059053C" w:rsidRPr="0059053C" w:rsidRDefault="0059053C" w:rsidP="0059053C">
      <w:pPr>
        <w:spacing w:after="0" w:line="240" w:lineRule="auto"/>
        <w:ind w:left="360"/>
        <w:rPr>
          <w:rFonts w:ascii="Segoe UI" w:hAnsi="Segoe UI" w:cs="Segoe UI"/>
          <w:b/>
          <w:bCs/>
        </w:rPr>
      </w:pPr>
    </w:p>
    <w:p w:rsidR="00322AC9" w:rsidRPr="00052A2E" w:rsidRDefault="00052A2E" w:rsidP="0059053C">
      <w:pPr>
        <w:spacing w:after="0" w:line="240" w:lineRule="auto"/>
        <w:rPr>
          <w:rFonts w:ascii="Segoe UI" w:hAnsi="Segoe UI" w:cs="Segoe UI"/>
          <w:i/>
        </w:rPr>
      </w:pPr>
      <w:bookmarkStart w:id="1" w:name="_Hlk535481246"/>
      <w:r>
        <w:rPr>
          <w:rFonts w:ascii="Segoe UI" w:hAnsi="Segoe UI" w:cs="Segoe UI"/>
          <w:i/>
        </w:rPr>
        <w:t>Refer to</w:t>
      </w:r>
      <w:r w:rsidRPr="00052A2E">
        <w:rPr>
          <w:rFonts w:ascii="Segoe UI" w:hAnsi="Segoe UI" w:cs="Segoe UI"/>
          <w:i/>
        </w:rPr>
        <w:t xml:space="preserve"> recent Q3 workforce reports to sub-committees from Director o</w:t>
      </w:r>
      <w:r>
        <w:rPr>
          <w:rFonts w:ascii="Segoe UI" w:hAnsi="Segoe UI" w:cs="Segoe UI"/>
          <w:i/>
        </w:rPr>
        <w:t>f HR</w:t>
      </w:r>
      <w:r w:rsidRPr="00052A2E">
        <w:rPr>
          <w:rFonts w:ascii="Segoe UI" w:hAnsi="Segoe UI" w:cs="Segoe UI"/>
          <w:i/>
        </w:rPr>
        <w:t>.</w:t>
      </w:r>
      <w:bookmarkEnd w:id="1"/>
    </w:p>
    <w:p w:rsidR="00322AC9" w:rsidRDefault="00322AC9" w:rsidP="00F366AE">
      <w:pPr>
        <w:spacing w:after="0" w:line="240" w:lineRule="auto"/>
        <w:ind w:left="360"/>
        <w:rPr>
          <w:rFonts w:ascii="Segoe UI" w:hAnsi="Segoe UI" w:cs="Segoe UI"/>
          <w:i/>
        </w:rPr>
      </w:pPr>
    </w:p>
    <w:p w:rsidR="006F0282" w:rsidRPr="00322AC9" w:rsidRDefault="00322AC9" w:rsidP="00F366AE">
      <w:pPr>
        <w:spacing w:after="0" w:line="240" w:lineRule="auto"/>
        <w:ind w:left="360"/>
        <w:rPr>
          <w:rFonts w:ascii="Segoe UI" w:hAnsi="Segoe UI" w:cs="Segoe UI"/>
          <w:b/>
        </w:rPr>
      </w:pPr>
      <w:r w:rsidRPr="00322AC9">
        <w:rPr>
          <w:rFonts w:ascii="Segoe UI" w:hAnsi="Segoe UI" w:cs="Segoe UI"/>
          <w:b/>
        </w:rPr>
        <w:t xml:space="preserve">4.1 </w:t>
      </w:r>
      <w:r>
        <w:rPr>
          <w:rFonts w:ascii="Segoe UI" w:hAnsi="Segoe UI" w:cs="Segoe UI"/>
          <w:b/>
        </w:rPr>
        <w:t>Retaining and Engaging with o</w:t>
      </w:r>
      <w:r w:rsidR="006F0282" w:rsidRPr="00322AC9">
        <w:rPr>
          <w:rFonts w:ascii="Segoe UI" w:hAnsi="Segoe UI" w:cs="Segoe UI"/>
          <w:b/>
        </w:rPr>
        <w:t>ur Workforce</w:t>
      </w:r>
    </w:p>
    <w:p w:rsidR="00322AC9" w:rsidRDefault="00322AC9" w:rsidP="00F366AE">
      <w:pPr>
        <w:spacing w:after="0" w:line="240" w:lineRule="auto"/>
        <w:ind w:left="360"/>
        <w:rPr>
          <w:rFonts w:ascii="Segoe UI" w:hAnsi="Segoe UI" w:cs="Segoe UI"/>
          <w:i/>
        </w:rPr>
      </w:pPr>
    </w:p>
    <w:p w:rsidR="00910163" w:rsidRPr="00052A2E" w:rsidRDefault="00052A2E" w:rsidP="00052A2E">
      <w:pPr>
        <w:spacing w:after="0" w:line="240" w:lineRule="auto"/>
        <w:rPr>
          <w:rFonts w:ascii="Segoe UI" w:hAnsi="Segoe UI" w:cs="Segoe UI"/>
          <w:strike/>
        </w:rPr>
      </w:pPr>
      <w:r>
        <w:rPr>
          <w:rFonts w:ascii="Segoe UI" w:hAnsi="Segoe UI" w:cs="Segoe UI"/>
          <w:i/>
        </w:rPr>
        <w:t>Refer</w:t>
      </w:r>
      <w:r w:rsidRPr="00052A2E">
        <w:rPr>
          <w:rFonts w:ascii="Segoe UI" w:hAnsi="Segoe UI" w:cs="Segoe UI"/>
          <w:i/>
        </w:rPr>
        <w:t xml:space="preserve"> recent Q3 workforce reports to sub-committees from Director o</w:t>
      </w:r>
      <w:r>
        <w:rPr>
          <w:rFonts w:ascii="Segoe UI" w:hAnsi="Segoe UI" w:cs="Segoe UI"/>
          <w:i/>
        </w:rPr>
        <w:t>f HR</w:t>
      </w:r>
      <w:r w:rsidRPr="00052A2E">
        <w:rPr>
          <w:rFonts w:ascii="Segoe UI" w:hAnsi="Segoe UI" w:cs="Segoe UI"/>
          <w:i/>
        </w:rPr>
        <w:t>.</w:t>
      </w:r>
    </w:p>
    <w:p w:rsidR="00322AC9" w:rsidRPr="000B311A" w:rsidRDefault="00322AC9" w:rsidP="0059053C">
      <w:pPr>
        <w:spacing w:after="0" w:line="240" w:lineRule="auto"/>
        <w:rPr>
          <w:rFonts w:ascii="Segoe UI" w:hAnsi="Segoe UI" w:cs="Segoe UI"/>
        </w:rPr>
      </w:pPr>
    </w:p>
    <w:p w:rsidR="00C03D10" w:rsidRPr="00322AC9" w:rsidRDefault="00322AC9" w:rsidP="00F366AE">
      <w:pPr>
        <w:spacing w:after="0" w:line="240" w:lineRule="auto"/>
        <w:ind w:left="360"/>
        <w:rPr>
          <w:rFonts w:ascii="Segoe UI" w:hAnsi="Segoe UI" w:cs="Segoe UI"/>
          <w:b/>
        </w:rPr>
      </w:pPr>
      <w:bookmarkStart w:id="2" w:name="_Hlk519767858"/>
      <w:r w:rsidRPr="00322AC9">
        <w:rPr>
          <w:rFonts w:ascii="Segoe UI" w:hAnsi="Segoe UI" w:cs="Segoe UI"/>
          <w:b/>
        </w:rPr>
        <w:t xml:space="preserve">4.2 </w:t>
      </w:r>
      <w:r w:rsidR="006F0282" w:rsidRPr="00322AC9">
        <w:rPr>
          <w:rFonts w:ascii="Segoe UI" w:hAnsi="Segoe UI" w:cs="Segoe UI"/>
          <w:b/>
        </w:rPr>
        <w:t xml:space="preserve">Agency </w:t>
      </w:r>
      <w:r w:rsidR="00C03D10" w:rsidRPr="00322AC9">
        <w:rPr>
          <w:rFonts w:ascii="Segoe UI" w:hAnsi="Segoe UI" w:cs="Segoe UI"/>
          <w:b/>
        </w:rPr>
        <w:t>Staffing</w:t>
      </w:r>
    </w:p>
    <w:bookmarkEnd w:id="2"/>
    <w:p w:rsidR="00322AC9" w:rsidRDefault="00322AC9" w:rsidP="000B311A">
      <w:pPr>
        <w:spacing w:after="0" w:line="240" w:lineRule="auto"/>
        <w:rPr>
          <w:rFonts w:ascii="Segoe UI" w:hAnsi="Segoe UI" w:cs="Segoe UI"/>
        </w:rPr>
      </w:pPr>
    </w:p>
    <w:p w:rsidR="00030336" w:rsidRPr="00030336" w:rsidRDefault="00052A2E" w:rsidP="00052A2E">
      <w:pPr>
        <w:spacing w:after="0" w:line="240" w:lineRule="auto"/>
        <w:jc w:val="both"/>
        <w:rPr>
          <w:rFonts w:ascii="Segoe UI" w:hAnsi="Segoe UI" w:cs="Segoe UI"/>
        </w:rPr>
      </w:pPr>
      <w:r>
        <w:rPr>
          <w:rFonts w:ascii="Segoe UI" w:hAnsi="Segoe UI" w:cs="Segoe UI"/>
        </w:rPr>
        <w:t>Total temporary s</w:t>
      </w:r>
      <w:r w:rsidR="00030336" w:rsidRPr="00030336">
        <w:rPr>
          <w:rFonts w:ascii="Segoe UI" w:hAnsi="Segoe UI" w:cs="Segoe UI"/>
        </w:rPr>
        <w:t>taffing spend has increased by 3% of payroll in the past year.   Agency spend has remained static and the increase has been absorbed by growing the Trust’s internal bank where spend has increased by 40% in the last year.  Agency spend remains high at approximately 10% of payroll, despite the growth of the bank.</w:t>
      </w:r>
    </w:p>
    <w:p w:rsidR="00030336" w:rsidRPr="00030336" w:rsidRDefault="00030336" w:rsidP="00052A2E">
      <w:pPr>
        <w:spacing w:after="0" w:line="240" w:lineRule="auto"/>
        <w:jc w:val="both"/>
        <w:rPr>
          <w:rFonts w:ascii="Segoe UI" w:hAnsi="Segoe UI" w:cs="Segoe UI"/>
        </w:rPr>
      </w:pPr>
    </w:p>
    <w:p w:rsidR="00030336" w:rsidRPr="00030336" w:rsidRDefault="00030336" w:rsidP="00052A2E">
      <w:pPr>
        <w:spacing w:after="0" w:line="240" w:lineRule="auto"/>
        <w:jc w:val="both"/>
        <w:rPr>
          <w:rFonts w:ascii="Segoe UI" w:hAnsi="Segoe UI" w:cs="Segoe UI"/>
        </w:rPr>
      </w:pPr>
      <w:r w:rsidRPr="00030336">
        <w:rPr>
          <w:rFonts w:ascii="Segoe UI" w:hAnsi="Segoe UI" w:cs="Segoe UI"/>
        </w:rPr>
        <w:t>The Trust has continued to hold the line on not using agency staff for HCA shifts</w:t>
      </w:r>
      <w:r w:rsidR="004727DC">
        <w:rPr>
          <w:rFonts w:ascii="Segoe UI" w:hAnsi="Segoe UI" w:cs="Segoe UI"/>
        </w:rPr>
        <w:t>.</w:t>
      </w:r>
      <w:r w:rsidRPr="00030336">
        <w:rPr>
          <w:rFonts w:ascii="Segoe UI" w:hAnsi="Segoe UI" w:cs="Segoe UI"/>
        </w:rPr>
        <w:t xml:space="preserve"> </w:t>
      </w:r>
      <w:r w:rsidR="004727DC">
        <w:rPr>
          <w:rFonts w:ascii="Segoe UI" w:hAnsi="Segoe UI" w:cs="Segoe UI"/>
        </w:rPr>
        <w:t>T</w:t>
      </w:r>
      <w:r w:rsidRPr="00030336">
        <w:rPr>
          <w:rFonts w:ascii="Segoe UI" w:hAnsi="Segoe UI" w:cs="Segoe UI"/>
        </w:rPr>
        <w:t>he number of grade sw</w:t>
      </w:r>
      <w:r w:rsidR="004727DC">
        <w:rPr>
          <w:rFonts w:ascii="Segoe UI" w:hAnsi="Segoe UI" w:cs="Segoe UI"/>
        </w:rPr>
        <w:t>aps</w:t>
      </w:r>
      <w:r w:rsidRPr="00030336">
        <w:rPr>
          <w:rFonts w:ascii="Segoe UI" w:hAnsi="Segoe UI" w:cs="Segoe UI"/>
        </w:rPr>
        <w:t xml:space="preserve"> to Registered nurses and expensive off</w:t>
      </w:r>
      <w:r w:rsidR="004727DC">
        <w:rPr>
          <w:rFonts w:ascii="Segoe UI" w:hAnsi="Segoe UI" w:cs="Segoe UI"/>
        </w:rPr>
        <w:t>-</w:t>
      </w:r>
      <w:r w:rsidRPr="00030336">
        <w:rPr>
          <w:rFonts w:ascii="Segoe UI" w:hAnsi="Segoe UI" w:cs="Segoe UI"/>
        </w:rPr>
        <w:t>framework agency</w:t>
      </w:r>
      <w:r w:rsidR="004727DC">
        <w:rPr>
          <w:rFonts w:ascii="Segoe UI" w:hAnsi="Segoe UI" w:cs="Segoe UI"/>
        </w:rPr>
        <w:t>,</w:t>
      </w:r>
      <w:r w:rsidRPr="00030336">
        <w:rPr>
          <w:rFonts w:ascii="Segoe UI" w:hAnsi="Segoe UI" w:cs="Segoe UI"/>
        </w:rPr>
        <w:t xml:space="preserve"> although slight</w:t>
      </w:r>
      <w:r w:rsidR="004727DC">
        <w:rPr>
          <w:rFonts w:ascii="Segoe UI" w:hAnsi="Segoe UI" w:cs="Segoe UI"/>
        </w:rPr>
        <w:t>,</w:t>
      </w:r>
      <w:r w:rsidRPr="00030336">
        <w:rPr>
          <w:rFonts w:ascii="Segoe UI" w:hAnsi="Segoe UI" w:cs="Segoe UI"/>
        </w:rPr>
        <w:t xml:space="preserve"> remains a concern.  Work continues to grow the HCA bank although availability of training has become a barrier. This has been a major piece of work and will have significant benefits in raising the quality and reducing the reliance on Agency staff</w:t>
      </w:r>
      <w:r w:rsidR="004727DC">
        <w:rPr>
          <w:rFonts w:ascii="Segoe UI" w:hAnsi="Segoe UI" w:cs="Segoe UI"/>
        </w:rPr>
        <w:t xml:space="preserve"> for the Trust.</w:t>
      </w:r>
    </w:p>
    <w:p w:rsidR="00030336" w:rsidRPr="00030336" w:rsidRDefault="00030336" w:rsidP="00052A2E">
      <w:pPr>
        <w:spacing w:after="0" w:line="240" w:lineRule="auto"/>
        <w:jc w:val="both"/>
        <w:rPr>
          <w:rFonts w:ascii="Segoe UI" w:hAnsi="Segoe UI" w:cs="Segoe UI"/>
        </w:rPr>
      </w:pPr>
    </w:p>
    <w:p w:rsidR="00F15BED" w:rsidRDefault="00030336" w:rsidP="00052A2E">
      <w:pPr>
        <w:spacing w:after="0" w:line="240" w:lineRule="auto"/>
        <w:jc w:val="both"/>
        <w:rPr>
          <w:rFonts w:ascii="Segoe UI" w:hAnsi="Segoe UI" w:cs="Segoe UI"/>
        </w:rPr>
      </w:pPr>
      <w:r w:rsidRPr="00030336">
        <w:rPr>
          <w:rFonts w:ascii="Segoe UI" w:hAnsi="Segoe UI" w:cs="Segoe UI"/>
        </w:rPr>
        <w:t>Significant focus is now being given to replace</w:t>
      </w:r>
      <w:r w:rsidR="004727DC">
        <w:rPr>
          <w:rFonts w:ascii="Segoe UI" w:hAnsi="Segoe UI" w:cs="Segoe UI"/>
        </w:rPr>
        <w:t xml:space="preserve"> with bank workers</w:t>
      </w:r>
      <w:r w:rsidRPr="00030336">
        <w:rPr>
          <w:rFonts w:ascii="Segoe UI" w:hAnsi="Segoe UI" w:cs="Segoe UI"/>
        </w:rPr>
        <w:t xml:space="preserve"> admin and clerical and estates and facilities agency </w:t>
      </w:r>
      <w:r w:rsidR="004727DC">
        <w:rPr>
          <w:rFonts w:ascii="Segoe UI" w:hAnsi="Segoe UI" w:cs="Segoe UI"/>
        </w:rPr>
        <w:t>staff,</w:t>
      </w:r>
      <w:r w:rsidRPr="00030336">
        <w:rPr>
          <w:rFonts w:ascii="Segoe UI" w:hAnsi="Segoe UI" w:cs="Segoe UI"/>
        </w:rPr>
        <w:t xml:space="preserve"> with the new Staffing Solutions structure nearing completion.</w:t>
      </w:r>
    </w:p>
    <w:p w:rsidR="0077315E" w:rsidRDefault="0077315E" w:rsidP="00052A2E">
      <w:pPr>
        <w:spacing w:after="0" w:line="240" w:lineRule="auto"/>
        <w:jc w:val="both"/>
        <w:rPr>
          <w:rFonts w:ascii="Segoe UI" w:hAnsi="Segoe UI" w:cs="Segoe UI"/>
        </w:rPr>
      </w:pPr>
    </w:p>
    <w:p w:rsidR="0077315E" w:rsidRPr="0077315E" w:rsidRDefault="0077315E" w:rsidP="00052A2E">
      <w:pPr>
        <w:spacing w:after="0" w:line="240" w:lineRule="auto"/>
        <w:jc w:val="both"/>
        <w:rPr>
          <w:rFonts w:ascii="Segoe UI" w:hAnsi="Segoe UI" w:cs="Segoe UI"/>
          <w:i/>
        </w:rPr>
      </w:pPr>
      <w:r w:rsidRPr="0077315E">
        <w:rPr>
          <w:rFonts w:ascii="Segoe UI" w:hAnsi="Segoe UI" w:cs="Segoe UI"/>
          <w:i/>
        </w:rPr>
        <w:t>Source: Staffing Solutions</w:t>
      </w:r>
    </w:p>
    <w:p w:rsidR="00F15BED" w:rsidRPr="000B311A" w:rsidRDefault="00F15BED" w:rsidP="000B311A">
      <w:pPr>
        <w:spacing w:after="0" w:line="240" w:lineRule="auto"/>
        <w:rPr>
          <w:rFonts w:ascii="Segoe UI" w:hAnsi="Segoe UI" w:cs="Segoe UI"/>
        </w:rPr>
      </w:pPr>
    </w:p>
    <w:p w:rsidR="00CB1448" w:rsidRPr="00322AC9" w:rsidRDefault="00CB1448" w:rsidP="00F366AE">
      <w:pPr>
        <w:pStyle w:val="ListParagraph"/>
        <w:numPr>
          <w:ilvl w:val="0"/>
          <w:numId w:val="3"/>
        </w:numPr>
        <w:shd w:val="clear" w:color="auto" w:fill="FFFFFF" w:themeFill="background1"/>
        <w:spacing w:after="0" w:line="240" w:lineRule="auto"/>
        <w:rPr>
          <w:rFonts w:ascii="Segoe UI" w:hAnsi="Segoe UI" w:cs="Segoe UI"/>
          <w:b/>
          <w:sz w:val="24"/>
        </w:rPr>
      </w:pPr>
      <w:r w:rsidRPr="00322AC9">
        <w:rPr>
          <w:rFonts w:ascii="Segoe UI" w:hAnsi="Segoe UI" w:cs="Segoe UI"/>
          <w:b/>
          <w:sz w:val="24"/>
        </w:rPr>
        <w:t>Finance</w:t>
      </w:r>
    </w:p>
    <w:p w:rsidR="00322AC9" w:rsidRDefault="00322AC9" w:rsidP="000B311A">
      <w:pPr>
        <w:spacing w:after="0" w:line="240" w:lineRule="auto"/>
        <w:rPr>
          <w:rFonts w:ascii="Segoe UI" w:hAnsi="Segoe UI" w:cs="Segoe UI"/>
          <w:i/>
          <w:highlight w:val="yellow"/>
        </w:rPr>
      </w:pPr>
    </w:p>
    <w:p w:rsidR="00340F54" w:rsidRPr="00340F54" w:rsidRDefault="00340F54" w:rsidP="00340F54">
      <w:pPr>
        <w:spacing w:after="0" w:line="240" w:lineRule="auto"/>
        <w:rPr>
          <w:rFonts w:ascii="Segoe UI" w:hAnsi="Segoe UI" w:cs="Segoe UI"/>
        </w:rPr>
      </w:pPr>
      <w:r w:rsidRPr="00340F54">
        <w:rPr>
          <w:rFonts w:ascii="Segoe UI" w:hAnsi="Segoe UI" w:cs="Segoe UI"/>
        </w:rPr>
        <w:t>The Trust has delivered savings of £2.9m (including mitigations of £0.9m) as at month 8 year-to-date, which is £0.1m above plan.  The £2.9m savings includes £0.9m of non-recurrent mitigations and agency premium cost avoidance, rather than cost reduction, of £0.7m. It also includes £0.8m one-off PFI liability saving.</w:t>
      </w:r>
    </w:p>
    <w:p w:rsidR="00340F54" w:rsidRPr="00340F54" w:rsidRDefault="00340F54" w:rsidP="00340F54">
      <w:pPr>
        <w:spacing w:after="0" w:line="240" w:lineRule="auto"/>
        <w:rPr>
          <w:rFonts w:ascii="Segoe UI" w:hAnsi="Segoe UI" w:cs="Segoe UI"/>
        </w:rPr>
      </w:pPr>
    </w:p>
    <w:p w:rsidR="00340F54" w:rsidRPr="00340F54" w:rsidRDefault="00340F54" w:rsidP="00340F54">
      <w:pPr>
        <w:spacing w:after="0" w:line="240" w:lineRule="auto"/>
        <w:rPr>
          <w:rFonts w:ascii="Segoe UI" w:hAnsi="Segoe UI" w:cs="Segoe UI"/>
        </w:rPr>
      </w:pPr>
      <w:r w:rsidRPr="00340F54">
        <w:rPr>
          <w:rFonts w:ascii="Segoe UI" w:hAnsi="Segoe UI" w:cs="Segoe UI"/>
        </w:rPr>
        <w:t>Achievements to date include:</w:t>
      </w:r>
    </w:p>
    <w:p w:rsidR="00340F54" w:rsidRPr="00340F54" w:rsidRDefault="00340F54" w:rsidP="00340F54">
      <w:pPr>
        <w:pStyle w:val="ListParagraph"/>
        <w:numPr>
          <w:ilvl w:val="0"/>
          <w:numId w:val="20"/>
        </w:numPr>
        <w:spacing w:after="0" w:line="240" w:lineRule="auto"/>
        <w:rPr>
          <w:rFonts w:ascii="Segoe UI" w:hAnsi="Segoe UI" w:cs="Segoe UI"/>
        </w:rPr>
      </w:pPr>
      <w:r w:rsidRPr="00340F54">
        <w:rPr>
          <w:rFonts w:ascii="Segoe UI" w:hAnsi="Segoe UI" w:cs="Segoe UI"/>
        </w:rPr>
        <w:t>Reduced utilisation/savings in postage, printing, photocopying, medicines and IT hardware contracts;</w:t>
      </w:r>
    </w:p>
    <w:p w:rsidR="00340F54" w:rsidRPr="00340F54" w:rsidRDefault="00340F54" w:rsidP="00340F54">
      <w:pPr>
        <w:pStyle w:val="ListParagraph"/>
        <w:numPr>
          <w:ilvl w:val="0"/>
          <w:numId w:val="20"/>
        </w:numPr>
        <w:spacing w:after="0" w:line="240" w:lineRule="auto"/>
        <w:rPr>
          <w:rFonts w:ascii="Segoe UI" w:hAnsi="Segoe UI" w:cs="Segoe UI"/>
        </w:rPr>
      </w:pPr>
      <w:r w:rsidRPr="00340F54">
        <w:rPr>
          <w:rFonts w:ascii="Segoe UI" w:hAnsi="Segoe UI" w:cs="Segoe UI"/>
        </w:rPr>
        <w:t>Further development in service line productivity, including creating a Service Directory, defining activity measures and validating data, producing draft finance/productivity reporting and commencing activity and process analysis;</w:t>
      </w:r>
    </w:p>
    <w:p w:rsidR="00340F54" w:rsidRPr="00340F54" w:rsidRDefault="00340F54" w:rsidP="00340F54">
      <w:pPr>
        <w:pStyle w:val="ListParagraph"/>
        <w:numPr>
          <w:ilvl w:val="0"/>
          <w:numId w:val="20"/>
        </w:numPr>
        <w:spacing w:after="0" w:line="240" w:lineRule="auto"/>
        <w:rPr>
          <w:rFonts w:ascii="Segoe UI" w:hAnsi="Segoe UI" w:cs="Segoe UI"/>
        </w:rPr>
      </w:pPr>
      <w:r w:rsidRPr="00340F54">
        <w:rPr>
          <w:rFonts w:ascii="Segoe UI" w:hAnsi="Segoe UI" w:cs="Segoe UI"/>
        </w:rPr>
        <w:t>Continuing to grow our staff Bank and in certain areas attracting people across from agencies.</w:t>
      </w:r>
    </w:p>
    <w:p w:rsidR="00340F54" w:rsidRPr="00340F54" w:rsidRDefault="00340F54" w:rsidP="00340F54">
      <w:pPr>
        <w:spacing w:after="0" w:line="240" w:lineRule="auto"/>
        <w:rPr>
          <w:rFonts w:ascii="Segoe UI" w:hAnsi="Segoe UI" w:cs="Segoe UI"/>
        </w:rPr>
      </w:pPr>
    </w:p>
    <w:p w:rsidR="002F2216" w:rsidRPr="00340F54" w:rsidRDefault="00340F54" w:rsidP="00340F54">
      <w:pPr>
        <w:spacing w:after="0" w:line="240" w:lineRule="auto"/>
        <w:rPr>
          <w:rFonts w:ascii="Segoe UI" w:hAnsi="Segoe UI" w:cs="Segoe UI"/>
        </w:rPr>
      </w:pPr>
      <w:r w:rsidRPr="00340F54">
        <w:rPr>
          <w:rFonts w:ascii="Segoe UI" w:hAnsi="Segoe UI" w:cs="Segoe UI"/>
        </w:rPr>
        <w:t>The forecast savings for FY19 are £5.7m, including £0.9m for mitigations.</w:t>
      </w:r>
    </w:p>
    <w:p w:rsidR="002F2216" w:rsidRDefault="002F2216" w:rsidP="002F2216">
      <w:pPr>
        <w:spacing w:after="0" w:line="240" w:lineRule="auto"/>
        <w:rPr>
          <w:rFonts w:ascii="Segoe UI" w:hAnsi="Segoe UI" w:cs="Segoe UI"/>
          <w:color w:val="FF0000"/>
        </w:rPr>
      </w:pPr>
    </w:p>
    <w:p w:rsidR="00910163" w:rsidRDefault="00910163">
      <w:pPr>
        <w:rPr>
          <w:rFonts w:ascii="Segoe UI" w:hAnsi="Segoe UI" w:cs="Segoe UI"/>
        </w:rPr>
      </w:pPr>
      <w:r>
        <w:rPr>
          <w:rFonts w:ascii="Segoe UI" w:hAnsi="Segoe UI" w:cs="Segoe UI"/>
        </w:rPr>
        <w:br w:type="page"/>
      </w:r>
    </w:p>
    <w:p w:rsidR="00F15BED" w:rsidRPr="00F15BED" w:rsidRDefault="00F15BED" w:rsidP="00F15BED">
      <w:pPr>
        <w:spacing w:after="0" w:line="240" w:lineRule="auto"/>
        <w:rPr>
          <w:rFonts w:ascii="Segoe UI" w:hAnsi="Segoe UI" w:cs="Segoe UI"/>
        </w:rPr>
      </w:pPr>
    </w:p>
    <w:p w:rsidR="009409B7" w:rsidRDefault="009409B7" w:rsidP="00F366AE">
      <w:pPr>
        <w:pStyle w:val="ListParagraph"/>
        <w:numPr>
          <w:ilvl w:val="0"/>
          <w:numId w:val="3"/>
        </w:numPr>
        <w:spacing w:after="0" w:line="240" w:lineRule="auto"/>
        <w:rPr>
          <w:rFonts w:ascii="Segoe UI" w:hAnsi="Segoe UI" w:cs="Segoe UI"/>
          <w:b/>
        </w:rPr>
      </w:pPr>
      <w:r w:rsidRPr="00F366AE">
        <w:rPr>
          <w:rFonts w:ascii="Segoe UI" w:hAnsi="Segoe UI" w:cs="Segoe UI"/>
          <w:b/>
        </w:rPr>
        <w:t>Key Programmes</w:t>
      </w:r>
    </w:p>
    <w:p w:rsidR="00F366AE" w:rsidRPr="00F366AE" w:rsidRDefault="00F366AE" w:rsidP="00F366AE">
      <w:pPr>
        <w:pStyle w:val="ListParagraph"/>
        <w:spacing w:after="0" w:line="240" w:lineRule="auto"/>
        <w:ind w:left="360"/>
        <w:rPr>
          <w:rFonts w:ascii="Segoe UI" w:hAnsi="Segoe UI" w:cs="Segoe UI"/>
          <w:b/>
        </w:rPr>
      </w:pPr>
    </w:p>
    <w:p w:rsidR="001A4D77" w:rsidRDefault="001A4D77" w:rsidP="001A4D77">
      <w:pPr>
        <w:spacing w:after="0" w:line="240" w:lineRule="auto"/>
        <w:rPr>
          <w:rFonts w:ascii="Segoe UI" w:hAnsi="Segoe UI" w:cs="Segoe UI"/>
        </w:rPr>
      </w:pPr>
      <w:r>
        <w:rPr>
          <w:rFonts w:ascii="Segoe UI" w:hAnsi="Segoe UI" w:cs="Segoe UI"/>
        </w:rPr>
        <w:t>The tables below summarise Q3 progress on the Trust’s key programmes.</w:t>
      </w:r>
    </w:p>
    <w:p w:rsidR="001A4D77" w:rsidRDefault="001A4D77" w:rsidP="001A4D77">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3114"/>
        <w:gridCol w:w="5902"/>
      </w:tblGrid>
      <w:tr w:rsidR="001A4D77" w:rsidRPr="00F15BED" w:rsidTr="00A116B6">
        <w:trPr>
          <w:tblHeader/>
        </w:trPr>
        <w:tc>
          <w:tcPr>
            <w:tcW w:w="3114" w:type="dxa"/>
            <w:shd w:val="clear" w:color="auto" w:fill="C6D9F1" w:themeFill="text2" w:themeFillTint="33"/>
          </w:tcPr>
          <w:p w:rsidR="001A4D77" w:rsidRPr="00F15BED" w:rsidRDefault="001A4D77" w:rsidP="00A116B6">
            <w:pPr>
              <w:jc w:val="center"/>
              <w:rPr>
                <w:rFonts w:ascii="Segoe UI" w:hAnsi="Segoe UI" w:cs="Segoe UI"/>
              </w:rPr>
            </w:pPr>
            <w:r w:rsidRPr="00F15BED">
              <w:rPr>
                <w:rFonts w:ascii="Segoe UI" w:hAnsi="Segoe UI" w:cs="Segoe UI"/>
              </w:rPr>
              <w:t>Mental Health Five Year Forward View</w:t>
            </w:r>
          </w:p>
        </w:tc>
        <w:tc>
          <w:tcPr>
            <w:tcW w:w="5902" w:type="dxa"/>
            <w:shd w:val="clear" w:color="auto" w:fill="C6D9F1" w:themeFill="text2" w:themeFillTint="33"/>
          </w:tcPr>
          <w:p w:rsidR="001A4D77" w:rsidRPr="00F15BED" w:rsidRDefault="001A4D77" w:rsidP="00A116B6">
            <w:pPr>
              <w:jc w:val="center"/>
              <w:rPr>
                <w:rFonts w:ascii="Segoe UI" w:hAnsi="Segoe UI" w:cs="Segoe UI"/>
              </w:rPr>
            </w:pPr>
            <w:r w:rsidRPr="00F15BED">
              <w:rPr>
                <w:rFonts w:ascii="Segoe UI" w:hAnsi="Segoe UI" w:cs="Segoe UI"/>
              </w:rPr>
              <w:t>Progress</w:t>
            </w:r>
          </w:p>
        </w:tc>
      </w:tr>
      <w:tr w:rsidR="001A4D77" w:rsidRPr="00F15BED" w:rsidTr="00A116B6">
        <w:tc>
          <w:tcPr>
            <w:tcW w:w="3114" w:type="dxa"/>
          </w:tcPr>
          <w:p w:rsidR="001A4D77" w:rsidRPr="00F15BED" w:rsidRDefault="001A4D77" w:rsidP="00A116B6">
            <w:pPr>
              <w:rPr>
                <w:rFonts w:ascii="Segoe UI" w:hAnsi="Segoe UI" w:cs="Segoe UI"/>
              </w:rPr>
            </w:pPr>
            <w:r w:rsidRPr="00F15BED">
              <w:rPr>
                <w:rFonts w:ascii="Segoe UI" w:hAnsi="Segoe UI" w:cs="Segoe UI"/>
              </w:rPr>
              <w:t>Perinatal Service</w:t>
            </w:r>
          </w:p>
        </w:tc>
        <w:tc>
          <w:tcPr>
            <w:tcW w:w="5902" w:type="dxa"/>
          </w:tcPr>
          <w:p w:rsidR="001A4D77" w:rsidRPr="00F15BED" w:rsidRDefault="001A4D77" w:rsidP="00A116B6">
            <w:pPr>
              <w:rPr>
                <w:rFonts w:ascii="Segoe UI" w:hAnsi="Segoe UI" w:cs="Segoe UI"/>
              </w:rPr>
            </w:pPr>
            <w:r>
              <w:rPr>
                <w:rFonts w:ascii="Segoe UI" w:hAnsi="Segoe UI" w:cs="Segoe UI"/>
              </w:rPr>
              <w:t xml:space="preserve">Ongoing recruitment. </w:t>
            </w:r>
            <w:r w:rsidRPr="00D51408">
              <w:rPr>
                <w:rFonts w:ascii="Segoe UI" w:hAnsi="Segoe UI" w:cs="Segoe UI"/>
              </w:rPr>
              <w:t>Attendance at national tr</w:t>
            </w:r>
            <w:r>
              <w:rPr>
                <w:rFonts w:ascii="Segoe UI" w:hAnsi="Segoe UI" w:cs="Segoe UI"/>
              </w:rPr>
              <w:t>aining and collaboration events</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Community Acute &amp; Crisis</w:t>
            </w:r>
          </w:p>
        </w:tc>
        <w:tc>
          <w:tcPr>
            <w:tcW w:w="5902" w:type="dxa"/>
          </w:tcPr>
          <w:p w:rsidR="001A4D77" w:rsidRPr="00F15BED" w:rsidRDefault="001A4D77" w:rsidP="00A116B6">
            <w:pPr>
              <w:rPr>
                <w:rFonts w:ascii="Segoe UI" w:hAnsi="Segoe UI" w:cs="Segoe UI"/>
              </w:rPr>
            </w:pPr>
            <w:r>
              <w:rPr>
                <w:rFonts w:ascii="Segoe UI" w:hAnsi="Segoe UI" w:cs="Segoe UI"/>
              </w:rPr>
              <w:t xml:space="preserve">Submitted EOI for IPS bid. </w:t>
            </w:r>
            <w:r w:rsidRPr="00D51408">
              <w:rPr>
                <w:rFonts w:ascii="Segoe UI" w:hAnsi="Segoe UI" w:cs="Segoe UI"/>
              </w:rPr>
              <w:t>Oxfords</w:t>
            </w:r>
            <w:r>
              <w:rPr>
                <w:rFonts w:ascii="Segoe UI" w:hAnsi="Segoe UI" w:cs="Segoe UI"/>
              </w:rPr>
              <w:t xml:space="preserve">hire MH Recovery Plan complete. </w:t>
            </w:r>
            <w:r w:rsidRPr="00D51408">
              <w:rPr>
                <w:rFonts w:ascii="Segoe UI" w:hAnsi="Segoe UI" w:cs="Segoe UI"/>
              </w:rPr>
              <w:t>Safe</w:t>
            </w:r>
            <w:r>
              <w:rPr>
                <w:rFonts w:ascii="Segoe UI" w:hAnsi="Segoe UI" w:cs="Segoe UI"/>
              </w:rPr>
              <w:t xml:space="preserve"> Haven capital funds drawn down</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Children &amp; Young People</w:t>
            </w:r>
          </w:p>
        </w:tc>
        <w:tc>
          <w:tcPr>
            <w:tcW w:w="5902" w:type="dxa"/>
          </w:tcPr>
          <w:p w:rsidR="001A4D77" w:rsidRPr="00F15BED" w:rsidRDefault="001A4D77" w:rsidP="00A116B6">
            <w:pPr>
              <w:rPr>
                <w:rFonts w:ascii="Segoe UI" w:hAnsi="Segoe UI" w:cs="Segoe UI"/>
              </w:rPr>
            </w:pPr>
            <w:r w:rsidRPr="00D51408">
              <w:rPr>
                <w:rFonts w:ascii="Segoe UI" w:hAnsi="Segoe UI" w:cs="Segoe UI"/>
              </w:rPr>
              <w:t>Green Paper Trailblazer applications across all 3 CAMHS patc</w:t>
            </w:r>
            <w:r>
              <w:rPr>
                <w:rFonts w:ascii="Segoe UI" w:hAnsi="Segoe UI" w:cs="Segoe UI"/>
              </w:rPr>
              <w:t>hes. Successful in Ox and Bucks.</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IAPT</w:t>
            </w:r>
          </w:p>
        </w:tc>
        <w:tc>
          <w:tcPr>
            <w:tcW w:w="5902" w:type="dxa"/>
          </w:tcPr>
          <w:p w:rsidR="001A4D77" w:rsidRPr="00F15BED" w:rsidRDefault="001A4D77" w:rsidP="00A116B6">
            <w:pPr>
              <w:rPr>
                <w:rFonts w:ascii="Segoe UI" w:hAnsi="Segoe UI" w:cs="Segoe UI"/>
              </w:rPr>
            </w:pPr>
            <w:r w:rsidRPr="00D51408">
              <w:rPr>
                <w:rFonts w:ascii="Segoe UI" w:hAnsi="Segoe UI" w:cs="Segoe UI"/>
              </w:rPr>
              <w:t>Targeted marketing campaigns in place to increase access.</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Dementia &amp; Frailty</w:t>
            </w:r>
          </w:p>
        </w:tc>
        <w:tc>
          <w:tcPr>
            <w:tcW w:w="5902" w:type="dxa"/>
          </w:tcPr>
          <w:p w:rsidR="001A4D77" w:rsidRPr="00D51408" w:rsidRDefault="001A4D77" w:rsidP="00A116B6">
            <w:pPr>
              <w:rPr>
                <w:rFonts w:ascii="Segoe UI" w:hAnsi="Segoe UI" w:cs="Segoe UI"/>
              </w:rPr>
            </w:pPr>
            <w:r w:rsidRPr="00D51408">
              <w:rPr>
                <w:rFonts w:ascii="Segoe UI" w:hAnsi="Segoe UI" w:cs="Segoe UI"/>
              </w:rPr>
              <w:t>Dementia Diagnosis Rates close to 66% target.</w:t>
            </w:r>
          </w:p>
          <w:p w:rsidR="001A4D77" w:rsidRPr="00F15BED" w:rsidRDefault="001A4D77" w:rsidP="00A116B6">
            <w:pPr>
              <w:rPr>
                <w:rFonts w:ascii="Segoe UI" w:hAnsi="Segoe UI" w:cs="Segoe UI"/>
              </w:rPr>
            </w:pPr>
            <w:r w:rsidRPr="00D51408">
              <w:rPr>
                <w:rFonts w:ascii="Segoe UI" w:hAnsi="Segoe UI" w:cs="Segoe UI"/>
              </w:rPr>
              <w:t>Delir</w:t>
            </w:r>
            <w:r>
              <w:rPr>
                <w:rFonts w:ascii="Segoe UI" w:hAnsi="Segoe UI" w:cs="Segoe UI"/>
              </w:rPr>
              <w:t>ium pathway developments in A&amp;E</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Suicide Prevention</w:t>
            </w:r>
          </w:p>
        </w:tc>
        <w:tc>
          <w:tcPr>
            <w:tcW w:w="5902" w:type="dxa"/>
          </w:tcPr>
          <w:p w:rsidR="001A4D77" w:rsidRPr="00F15BED" w:rsidRDefault="001A4D77" w:rsidP="00A116B6">
            <w:pPr>
              <w:rPr>
                <w:rFonts w:ascii="Segoe UI" w:hAnsi="Segoe UI" w:cs="Segoe UI"/>
              </w:rPr>
            </w:pPr>
            <w:r w:rsidRPr="00D51408">
              <w:rPr>
                <w:rFonts w:ascii="Segoe UI" w:hAnsi="Segoe UI" w:cs="Segoe UI"/>
              </w:rPr>
              <w:t>72 hour follow ups from</w:t>
            </w:r>
            <w:r>
              <w:rPr>
                <w:rFonts w:ascii="Segoe UI" w:hAnsi="Segoe UI" w:cs="Segoe UI"/>
              </w:rPr>
              <w:t xml:space="preserve"> acute ward discharges now live.</w:t>
            </w:r>
          </w:p>
        </w:tc>
      </w:tr>
      <w:tr w:rsidR="001A4D77" w:rsidRPr="00F15BED" w:rsidTr="00A116B6">
        <w:tc>
          <w:tcPr>
            <w:tcW w:w="3114" w:type="dxa"/>
          </w:tcPr>
          <w:p w:rsidR="001A4D77" w:rsidRDefault="001A4D77" w:rsidP="00A116B6">
            <w:pPr>
              <w:rPr>
                <w:rFonts w:ascii="Segoe UI" w:hAnsi="Segoe UI" w:cs="Segoe UI"/>
              </w:rPr>
            </w:pPr>
            <w:r>
              <w:rPr>
                <w:rFonts w:ascii="Segoe UI" w:hAnsi="Segoe UI" w:cs="Segoe UI"/>
              </w:rPr>
              <w:t>Health &amp; Justice</w:t>
            </w:r>
          </w:p>
        </w:tc>
        <w:tc>
          <w:tcPr>
            <w:tcW w:w="5902" w:type="dxa"/>
          </w:tcPr>
          <w:p w:rsidR="001A4D77" w:rsidRPr="00D51408" w:rsidRDefault="001A4D77" w:rsidP="00A116B6">
            <w:pPr>
              <w:rPr>
                <w:rFonts w:ascii="Segoe UI" w:hAnsi="Segoe UI" w:cs="Segoe UI"/>
              </w:rPr>
            </w:pPr>
            <w:r w:rsidRPr="00D51408">
              <w:rPr>
                <w:rFonts w:ascii="Segoe UI" w:hAnsi="Segoe UI" w:cs="Segoe UI"/>
              </w:rPr>
              <w:t>Liaison &amp; Diversion s</w:t>
            </w:r>
            <w:r>
              <w:rPr>
                <w:rFonts w:ascii="Segoe UI" w:hAnsi="Segoe UI" w:cs="Segoe UI"/>
              </w:rPr>
              <w:t>ervices in place as appropriate.</w:t>
            </w:r>
          </w:p>
        </w:tc>
      </w:tr>
    </w:tbl>
    <w:p w:rsidR="001A4D77" w:rsidRDefault="001A4D77" w:rsidP="001A4D77">
      <w:pPr>
        <w:spacing w:after="0" w:line="240" w:lineRule="auto"/>
        <w:ind w:firstLine="720"/>
        <w:rPr>
          <w:rFonts w:ascii="Segoe UI" w:hAnsi="Segoe UI" w:cs="Segoe UI"/>
        </w:rPr>
      </w:pPr>
    </w:p>
    <w:p w:rsidR="001A4D77" w:rsidRDefault="001A4D77" w:rsidP="001A4D77">
      <w:pPr>
        <w:spacing w:after="0" w:line="240" w:lineRule="auto"/>
        <w:ind w:firstLine="720"/>
        <w:rPr>
          <w:rFonts w:ascii="Segoe UI" w:hAnsi="Segoe UI" w:cs="Segoe UI"/>
        </w:rPr>
      </w:pPr>
    </w:p>
    <w:tbl>
      <w:tblPr>
        <w:tblStyle w:val="TableGrid"/>
        <w:tblW w:w="0" w:type="auto"/>
        <w:tblLook w:val="04A0" w:firstRow="1" w:lastRow="0" w:firstColumn="1" w:lastColumn="0" w:noHBand="0" w:noVBand="1"/>
      </w:tblPr>
      <w:tblGrid>
        <w:gridCol w:w="3114"/>
        <w:gridCol w:w="5902"/>
      </w:tblGrid>
      <w:tr w:rsidR="001A4D77" w:rsidRPr="00F15BED" w:rsidTr="00A116B6">
        <w:tc>
          <w:tcPr>
            <w:tcW w:w="3114" w:type="dxa"/>
            <w:shd w:val="clear" w:color="auto" w:fill="C6D9F1" w:themeFill="text2" w:themeFillTint="33"/>
          </w:tcPr>
          <w:p w:rsidR="001A4D77" w:rsidRPr="00F15BED" w:rsidRDefault="001A4D77" w:rsidP="00A116B6">
            <w:pPr>
              <w:jc w:val="center"/>
              <w:rPr>
                <w:rFonts w:ascii="Segoe UI" w:hAnsi="Segoe UI" w:cs="Segoe UI"/>
              </w:rPr>
            </w:pPr>
            <w:r w:rsidRPr="00F15BED">
              <w:rPr>
                <w:rFonts w:ascii="Segoe UI" w:hAnsi="Segoe UI" w:cs="Segoe UI"/>
              </w:rPr>
              <w:t>New Care Models</w:t>
            </w:r>
          </w:p>
        </w:tc>
        <w:tc>
          <w:tcPr>
            <w:tcW w:w="5902" w:type="dxa"/>
            <w:shd w:val="clear" w:color="auto" w:fill="C6D9F1" w:themeFill="text2" w:themeFillTint="33"/>
          </w:tcPr>
          <w:p w:rsidR="001A4D77" w:rsidRPr="00F15BED" w:rsidRDefault="001A4D77" w:rsidP="00A116B6">
            <w:pPr>
              <w:jc w:val="center"/>
              <w:rPr>
                <w:rFonts w:ascii="Segoe UI" w:hAnsi="Segoe UI" w:cs="Segoe UI"/>
              </w:rPr>
            </w:pPr>
            <w:r w:rsidRPr="00F15BED">
              <w:rPr>
                <w:rFonts w:ascii="Segoe UI" w:hAnsi="Segoe UI" w:cs="Segoe UI"/>
              </w:rPr>
              <w:t>Progress</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Partnerships</w:t>
            </w:r>
          </w:p>
        </w:tc>
        <w:tc>
          <w:tcPr>
            <w:tcW w:w="5902" w:type="dxa"/>
          </w:tcPr>
          <w:p w:rsidR="001A4D77" w:rsidRPr="0078798B" w:rsidRDefault="001A4D77" w:rsidP="00A116B6">
            <w:pPr>
              <w:tabs>
                <w:tab w:val="num" w:pos="720"/>
              </w:tabs>
              <w:rPr>
                <w:rFonts w:ascii="Segoe UI" w:hAnsi="Segoe UI" w:cs="Segoe UI"/>
              </w:rPr>
            </w:pPr>
            <w:r w:rsidRPr="0078798B">
              <w:rPr>
                <w:rFonts w:ascii="Segoe UI" w:hAnsi="Segoe UI" w:cs="Segoe UI"/>
              </w:rPr>
              <w:t xml:space="preserve">Partnerships strengthening especially with Priory group. </w:t>
            </w:r>
          </w:p>
          <w:p w:rsidR="001A4D77" w:rsidRPr="00F15BED" w:rsidRDefault="001A4D77" w:rsidP="00A116B6">
            <w:pPr>
              <w:tabs>
                <w:tab w:val="num" w:pos="720"/>
              </w:tabs>
              <w:rPr>
                <w:rFonts w:ascii="Segoe UI" w:hAnsi="Segoe UI" w:cs="Segoe UI"/>
              </w:rPr>
            </w:pPr>
            <w:r w:rsidRPr="0078798B">
              <w:rPr>
                <w:rFonts w:ascii="Segoe UI" w:hAnsi="Segoe UI" w:cs="Segoe UI"/>
              </w:rPr>
              <w:t>All groups me</w:t>
            </w:r>
            <w:r>
              <w:rPr>
                <w:rFonts w:ascii="Segoe UI" w:hAnsi="Segoe UI" w:cs="Segoe UI"/>
              </w:rPr>
              <w:t>eting regularly except CAMHS T4 finance – these are planned.</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Clinical Model &amp; Quality</w:t>
            </w:r>
          </w:p>
        </w:tc>
        <w:tc>
          <w:tcPr>
            <w:tcW w:w="5902" w:type="dxa"/>
          </w:tcPr>
          <w:p w:rsidR="001A4D77" w:rsidRPr="0078798B" w:rsidRDefault="001A4D77" w:rsidP="00A116B6">
            <w:pPr>
              <w:rPr>
                <w:rFonts w:ascii="Segoe UI" w:hAnsi="Segoe UI" w:cs="Segoe UI"/>
              </w:rPr>
            </w:pPr>
            <w:r>
              <w:rPr>
                <w:rFonts w:ascii="Segoe UI" w:hAnsi="Segoe UI" w:cs="Segoe UI"/>
              </w:rPr>
              <w:t xml:space="preserve">Improved partner engagement and </w:t>
            </w:r>
            <w:r w:rsidRPr="0078798B">
              <w:rPr>
                <w:rFonts w:ascii="Segoe UI" w:hAnsi="Segoe UI" w:cs="Segoe UI"/>
              </w:rPr>
              <w:t>Clinical Model maturing.</w:t>
            </w:r>
          </w:p>
          <w:p w:rsidR="001A4D77" w:rsidRPr="00F15BED" w:rsidRDefault="001A4D77" w:rsidP="00A116B6">
            <w:pPr>
              <w:rPr>
                <w:rFonts w:ascii="Segoe UI" w:hAnsi="Segoe UI" w:cs="Segoe UI"/>
              </w:rPr>
            </w:pPr>
            <w:r w:rsidRPr="0078798B">
              <w:rPr>
                <w:rFonts w:ascii="Segoe UI" w:hAnsi="Segoe UI" w:cs="Segoe UI"/>
              </w:rPr>
              <w:t>H</w:t>
            </w:r>
            <w:r>
              <w:rPr>
                <w:rFonts w:ascii="Segoe UI" w:hAnsi="Segoe UI" w:cs="Segoe UI"/>
              </w:rPr>
              <w:t>OPE SPA handing over to operation.</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Data sharing, validation and reporting</w:t>
            </w:r>
            <w:r w:rsidRPr="00F15BED">
              <w:rPr>
                <w:rFonts w:ascii="Segoe UI" w:hAnsi="Segoe UI" w:cs="Segoe UI"/>
              </w:rPr>
              <w:t xml:space="preserve"> </w:t>
            </w:r>
          </w:p>
        </w:tc>
        <w:tc>
          <w:tcPr>
            <w:tcW w:w="5902" w:type="dxa"/>
          </w:tcPr>
          <w:p w:rsidR="001A4D77" w:rsidRPr="0078798B" w:rsidRDefault="001A4D77" w:rsidP="00A116B6">
            <w:pPr>
              <w:rPr>
                <w:rFonts w:ascii="Segoe UI" w:hAnsi="Segoe UI" w:cs="Segoe UI"/>
              </w:rPr>
            </w:pPr>
            <w:r w:rsidRPr="0078798B">
              <w:rPr>
                <w:rFonts w:ascii="Segoe UI" w:hAnsi="Segoe UI" w:cs="Segoe UI"/>
              </w:rPr>
              <w:t>H</w:t>
            </w:r>
            <w:r>
              <w:rPr>
                <w:rFonts w:ascii="Segoe UI" w:hAnsi="Segoe UI" w:cs="Segoe UI"/>
              </w:rPr>
              <w:t>OPE Bed oversight underway.</w:t>
            </w:r>
          </w:p>
          <w:p w:rsidR="001A4D77" w:rsidRPr="0078798B" w:rsidRDefault="001A4D77" w:rsidP="00A116B6">
            <w:pPr>
              <w:rPr>
                <w:rFonts w:ascii="Segoe UI" w:hAnsi="Segoe UI" w:cs="Segoe UI"/>
              </w:rPr>
            </w:pPr>
            <w:r>
              <w:rPr>
                <w:rFonts w:ascii="Segoe UI" w:hAnsi="Segoe UI" w:cs="Segoe UI"/>
              </w:rPr>
              <w:t>HOPE &amp; CAMHS T4 d</w:t>
            </w:r>
            <w:r w:rsidRPr="0078798B">
              <w:rPr>
                <w:rFonts w:ascii="Segoe UI" w:hAnsi="Segoe UI" w:cs="Segoe UI"/>
              </w:rPr>
              <w:t xml:space="preserve">ata validation on going.  </w:t>
            </w:r>
          </w:p>
          <w:p w:rsidR="001A4D77" w:rsidRPr="00F15BED" w:rsidRDefault="001A4D77" w:rsidP="00A116B6">
            <w:pPr>
              <w:rPr>
                <w:rFonts w:ascii="Segoe UI" w:hAnsi="Segoe UI" w:cs="Segoe UI"/>
              </w:rPr>
            </w:pPr>
            <w:r w:rsidRPr="0078798B">
              <w:rPr>
                <w:rFonts w:ascii="Segoe UI" w:hAnsi="Segoe UI" w:cs="Segoe UI"/>
              </w:rPr>
              <w:t>F</w:t>
            </w:r>
            <w:r>
              <w:rPr>
                <w:rFonts w:ascii="Segoe UI" w:hAnsi="Segoe UI" w:cs="Segoe UI"/>
              </w:rPr>
              <w:t>orensics v</w:t>
            </w:r>
            <w:r w:rsidRPr="0078798B">
              <w:rPr>
                <w:rFonts w:ascii="Segoe UI" w:hAnsi="Segoe UI" w:cs="Segoe UI"/>
              </w:rPr>
              <w:t>alidation and discrepancy correction ongoing</w:t>
            </w:r>
            <w:r>
              <w:rPr>
                <w:rFonts w:ascii="Segoe UI" w:hAnsi="Segoe UI" w:cs="Segoe UI"/>
              </w:rPr>
              <w:t>.</w:t>
            </w:r>
          </w:p>
        </w:tc>
      </w:tr>
      <w:tr w:rsidR="001A4D77" w:rsidRPr="00F15BED" w:rsidTr="00A116B6">
        <w:tc>
          <w:tcPr>
            <w:tcW w:w="3114" w:type="dxa"/>
          </w:tcPr>
          <w:p w:rsidR="001A4D77" w:rsidRDefault="001A4D77" w:rsidP="00A116B6">
            <w:pPr>
              <w:rPr>
                <w:rFonts w:ascii="Segoe UI" w:hAnsi="Segoe UI" w:cs="Segoe UI"/>
              </w:rPr>
            </w:pPr>
            <w:r>
              <w:rPr>
                <w:rFonts w:ascii="Segoe UI" w:hAnsi="Segoe UI" w:cs="Segoe UI"/>
              </w:rPr>
              <w:t>Finance</w:t>
            </w:r>
          </w:p>
        </w:tc>
        <w:tc>
          <w:tcPr>
            <w:tcW w:w="5902" w:type="dxa"/>
          </w:tcPr>
          <w:p w:rsidR="001A4D77" w:rsidRPr="0078798B" w:rsidRDefault="001A4D77" w:rsidP="00A116B6">
            <w:pPr>
              <w:rPr>
                <w:rFonts w:ascii="Segoe UI" w:hAnsi="Segoe UI" w:cs="Segoe UI"/>
              </w:rPr>
            </w:pPr>
            <w:r w:rsidRPr="0078798B">
              <w:rPr>
                <w:rFonts w:ascii="Segoe UI" w:hAnsi="Segoe UI" w:cs="Segoe UI"/>
              </w:rPr>
              <w:t>All</w:t>
            </w:r>
            <w:r>
              <w:rPr>
                <w:rFonts w:ascii="Segoe UI" w:hAnsi="Segoe UI" w:cs="Segoe UI"/>
              </w:rPr>
              <w:t>: Comprehensive support and SOP.</w:t>
            </w:r>
          </w:p>
          <w:p w:rsidR="001A4D77" w:rsidRPr="0078798B" w:rsidRDefault="001A4D77" w:rsidP="00A116B6">
            <w:pPr>
              <w:rPr>
                <w:rFonts w:ascii="Segoe UI" w:hAnsi="Segoe UI" w:cs="Segoe UI"/>
              </w:rPr>
            </w:pPr>
            <w:r>
              <w:rPr>
                <w:rFonts w:ascii="Segoe UI" w:hAnsi="Segoe UI" w:cs="Segoe UI"/>
              </w:rPr>
              <w:t>Forensics</w:t>
            </w:r>
            <w:r w:rsidRPr="0078798B">
              <w:rPr>
                <w:rFonts w:ascii="Segoe UI" w:hAnsi="Segoe UI" w:cs="Segoe UI"/>
              </w:rPr>
              <w:t xml:space="preserve"> 17/18 budget agreed and 18/19 nearing agreement.  </w:t>
            </w:r>
          </w:p>
        </w:tc>
      </w:tr>
    </w:tbl>
    <w:p w:rsidR="001A4D77" w:rsidRDefault="001A4D77" w:rsidP="001A4D77">
      <w:pPr>
        <w:spacing w:after="0" w:line="240" w:lineRule="auto"/>
        <w:rPr>
          <w:rFonts w:ascii="Segoe UI" w:hAnsi="Segoe UI" w:cs="Segoe UI"/>
        </w:rPr>
      </w:pPr>
    </w:p>
    <w:p w:rsidR="001A4D77" w:rsidRPr="000B311A" w:rsidRDefault="001A4D77" w:rsidP="001A4D77">
      <w:pPr>
        <w:spacing w:after="0" w:line="240" w:lineRule="auto"/>
        <w:rPr>
          <w:rFonts w:ascii="Segoe UI" w:hAnsi="Segoe UI" w:cs="Segoe UI"/>
        </w:rPr>
      </w:pPr>
    </w:p>
    <w:p w:rsidR="001A4D77" w:rsidRDefault="001A4D77" w:rsidP="001A4D77">
      <w:pPr>
        <w:spacing w:after="0" w:line="240" w:lineRule="auto"/>
        <w:rPr>
          <w:rFonts w:ascii="Segoe UI" w:hAnsi="Segoe UI" w:cs="Segoe UI"/>
        </w:rPr>
      </w:pPr>
    </w:p>
    <w:tbl>
      <w:tblPr>
        <w:tblW w:w="0" w:type="auto"/>
        <w:tblCellMar>
          <w:left w:w="0" w:type="dxa"/>
          <w:right w:w="0" w:type="dxa"/>
        </w:tblCellMar>
        <w:tblLook w:val="04A0" w:firstRow="1" w:lastRow="0" w:firstColumn="1" w:lastColumn="0" w:noHBand="0" w:noVBand="1"/>
      </w:tblPr>
      <w:tblGrid>
        <w:gridCol w:w="3111"/>
        <w:gridCol w:w="5895"/>
      </w:tblGrid>
      <w:tr w:rsidR="001A4D77" w:rsidRPr="0087543D" w:rsidTr="00A116B6">
        <w:trPr>
          <w:tblHeader/>
        </w:trPr>
        <w:tc>
          <w:tcPr>
            <w:tcW w:w="3114"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1A4D77" w:rsidRPr="0087543D" w:rsidRDefault="001A4D77" w:rsidP="00A116B6">
            <w:pPr>
              <w:spacing w:after="0" w:line="240" w:lineRule="auto"/>
              <w:jc w:val="center"/>
              <w:rPr>
                <w:rFonts w:ascii="Segoe UI" w:hAnsi="Segoe UI" w:cs="Segoe UI"/>
              </w:rPr>
            </w:pPr>
            <w:r w:rsidRPr="0087543D">
              <w:rPr>
                <w:rFonts w:ascii="Segoe UI" w:hAnsi="Segoe UI" w:cs="Segoe UI"/>
              </w:rPr>
              <w:t>Care Alliance and Care Closer to Home</w:t>
            </w:r>
          </w:p>
        </w:tc>
        <w:tc>
          <w:tcPr>
            <w:tcW w:w="5902"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1A4D77" w:rsidRPr="0087543D" w:rsidRDefault="001A4D77" w:rsidP="00A116B6">
            <w:pPr>
              <w:spacing w:after="0" w:line="240" w:lineRule="auto"/>
              <w:jc w:val="center"/>
              <w:rPr>
                <w:rFonts w:ascii="Segoe UI" w:hAnsi="Segoe UI" w:cs="Segoe UI"/>
              </w:rPr>
            </w:pPr>
            <w:r w:rsidRPr="0087543D">
              <w:rPr>
                <w:rFonts w:ascii="Segoe UI" w:hAnsi="Segoe UI" w:cs="Segoe UI"/>
              </w:rPr>
              <w:t>Progress</w:t>
            </w:r>
          </w:p>
        </w:tc>
      </w:tr>
      <w:tr w:rsidR="001A4D77" w:rsidRPr="0087543D" w:rsidTr="00A116B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D77" w:rsidRPr="0087543D" w:rsidRDefault="001A4D77" w:rsidP="00A116B6">
            <w:pPr>
              <w:spacing w:after="0" w:line="240" w:lineRule="auto"/>
              <w:rPr>
                <w:rFonts w:ascii="Segoe UI" w:hAnsi="Segoe UI" w:cs="Segoe UI"/>
              </w:rPr>
            </w:pPr>
            <w:r w:rsidRPr="0087543D">
              <w:rPr>
                <w:rFonts w:ascii="Segoe UI" w:hAnsi="Segoe UI" w:cs="Segoe UI"/>
              </w:rPr>
              <w:t>Oxfordshire Care Alliance</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1A4D77" w:rsidRPr="0087543D" w:rsidRDefault="001A4D77" w:rsidP="00A116B6">
            <w:pPr>
              <w:spacing w:after="0" w:line="240" w:lineRule="auto"/>
              <w:rPr>
                <w:rFonts w:ascii="Segoe UI" w:hAnsi="Segoe UI" w:cs="Segoe UI"/>
              </w:rPr>
            </w:pPr>
            <w:r w:rsidRPr="005A0BEF">
              <w:rPr>
                <w:rFonts w:ascii="Segoe UI" w:hAnsi="Segoe UI" w:cs="Segoe UI"/>
              </w:rPr>
              <w:t>Work is progressing between the GP Federations and the Communities services to develop a joint approach in the delivery of neighbourhood working and urgent care services.  </w:t>
            </w:r>
          </w:p>
        </w:tc>
      </w:tr>
      <w:tr w:rsidR="001A4D77" w:rsidRPr="0087543D" w:rsidTr="00A116B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D77" w:rsidRPr="0087543D" w:rsidRDefault="001A4D77" w:rsidP="00A116B6">
            <w:pPr>
              <w:spacing w:after="0" w:line="240" w:lineRule="auto"/>
              <w:rPr>
                <w:rFonts w:ascii="Segoe UI" w:hAnsi="Segoe UI" w:cs="Segoe UI"/>
              </w:rPr>
            </w:pPr>
            <w:r w:rsidRPr="0087543D">
              <w:rPr>
                <w:rFonts w:ascii="Segoe UI" w:hAnsi="Segoe UI" w:cs="Segoe UI"/>
              </w:rPr>
              <w:t>Scheduled Care &amp; Prevention</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1A4D77" w:rsidRPr="0087543D" w:rsidRDefault="001A4D77" w:rsidP="00A116B6">
            <w:pPr>
              <w:spacing w:after="0" w:line="240" w:lineRule="auto"/>
              <w:rPr>
                <w:rFonts w:ascii="Segoe UI" w:hAnsi="Segoe UI" w:cs="Segoe UI"/>
              </w:rPr>
            </w:pPr>
            <w:r w:rsidRPr="0087543D">
              <w:rPr>
                <w:rFonts w:ascii="Segoe UI" w:hAnsi="Segoe UI" w:cs="Segoe UI"/>
              </w:rPr>
              <w:t>Workstream Vision and Governance established. Children’s Integrated Therapies review on track and SI150 Action plan closed. Palliative Pathway recommissioning slipped to Mar 2020; Head of Service engaging with CCG to understand impact/next steps. Respiratory/Diabetes pathway under way.</w:t>
            </w:r>
          </w:p>
        </w:tc>
      </w:tr>
      <w:tr w:rsidR="001A4D77" w:rsidRPr="0087543D" w:rsidTr="00A116B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D77" w:rsidRPr="0087543D" w:rsidRDefault="001A4D77" w:rsidP="00A116B6">
            <w:pPr>
              <w:spacing w:after="0" w:line="240" w:lineRule="auto"/>
              <w:rPr>
                <w:rFonts w:ascii="Segoe UI" w:hAnsi="Segoe UI" w:cs="Segoe UI"/>
              </w:rPr>
            </w:pPr>
            <w:r w:rsidRPr="0087543D">
              <w:rPr>
                <w:rFonts w:ascii="Segoe UI" w:hAnsi="Segoe UI" w:cs="Segoe UI"/>
              </w:rPr>
              <w:lastRenderedPageBreak/>
              <w:t>Unscheduled Care</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1A4D77" w:rsidRPr="0087543D" w:rsidRDefault="001A4D77" w:rsidP="00A116B6">
            <w:pPr>
              <w:spacing w:after="0" w:line="240" w:lineRule="auto"/>
              <w:rPr>
                <w:rFonts w:ascii="Segoe UI" w:hAnsi="Segoe UI" w:cs="Segoe UI"/>
              </w:rPr>
            </w:pPr>
            <w:r w:rsidRPr="0087543D">
              <w:rPr>
                <w:rFonts w:ascii="Segoe UI" w:hAnsi="Segoe UI" w:cs="Segoe UI"/>
              </w:rPr>
              <w:t>Workstream Vision and Governance established. Gold ward development underway. OOH integration with SPA on track.</w:t>
            </w:r>
          </w:p>
        </w:tc>
      </w:tr>
      <w:tr w:rsidR="001A4D77" w:rsidRPr="0087543D" w:rsidTr="00A116B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4D77" w:rsidRPr="0087543D" w:rsidRDefault="001A4D77" w:rsidP="00A116B6">
            <w:pPr>
              <w:spacing w:after="0" w:line="240" w:lineRule="auto"/>
              <w:rPr>
                <w:rFonts w:ascii="Segoe UI" w:hAnsi="Segoe UI" w:cs="Segoe UI"/>
              </w:rPr>
            </w:pPr>
            <w:r w:rsidRPr="0087543D">
              <w:rPr>
                <w:rFonts w:ascii="Segoe UI" w:hAnsi="Segoe UI" w:cs="Segoe UI"/>
              </w:rPr>
              <w:t>Neighbourhood Teams &amp; Working (Frailty)</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1A4D77" w:rsidRPr="0087543D" w:rsidRDefault="001A4D77" w:rsidP="00A116B6">
            <w:pPr>
              <w:spacing w:after="0" w:line="240" w:lineRule="auto"/>
              <w:rPr>
                <w:rFonts w:ascii="Segoe UI" w:hAnsi="Segoe UI" w:cs="Segoe UI"/>
              </w:rPr>
            </w:pPr>
            <w:r w:rsidRPr="0087543D">
              <w:rPr>
                <w:rFonts w:ascii="Segoe UI" w:hAnsi="Segoe UI" w:cs="Segoe UI"/>
              </w:rPr>
              <w:t>NT rollout &amp; SPA to DNs on track. Support to OxFEd Frailty p/w underway. CTS review ongoing; waiting lists of 900 in May reduced to 400 by 1 November.</w:t>
            </w:r>
          </w:p>
        </w:tc>
      </w:tr>
    </w:tbl>
    <w:p w:rsidR="001A4D77" w:rsidRDefault="001A4D77" w:rsidP="001A4D77">
      <w:pPr>
        <w:spacing w:after="0" w:line="240" w:lineRule="auto"/>
        <w:rPr>
          <w:rFonts w:ascii="Segoe UI" w:hAnsi="Segoe UI" w:cs="Segoe UI"/>
        </w:rPr>
      </w:pPr>
    </w:p>
    <w:p w:rsidR="001A4D77" w:rsidRPr="000B311A" w:rsidRDefault="001A4D77" w:rsidP="001A4D77">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3114"/>
        <w:gridCol w:w="5902"/>
      </w:tblGrid>
      <w:tr w:rsidR="001A4D77" w:rsidRPr="00F15BED" w:rsidTr="00A116B6">
        <w:tc>
          <w:tcPr>
            <w:tcW w:w="3114" w:type="dxa"/>
            <w:shd w:val="clear" w:color="auto" w:fill="C6D9F1" w:themeFill="text2" w:themeFillTint="33"/>
          </w:tcPr>
          <w:p w:rsidR="001A4D77" w:rsidRPr="00F15BED" w:rsidRDefault="001A4D77" w:rsidP="00A116B6">
            <w:pPr>
              <w:jc w:val="center"/>
              <w:rPr>
                <w:rFonts w:ascii="Segoe UI" w:hAnsi="Segoe UI" w:cs="Segoe UI"/>
              </w:rPr>
            </w:pPr>
            <w:r w:rsidRPr="00F15BED">
              <w:rPr>
                <w:rFonts w:ascii="Segoe UI" w:hAnsi="Segoe UI" w:cs="Segoe UI"/>
              </w:rPr>
              <w:t xml:space="preserve">Learning Disabilities </w:t>
            </w:r>
          </w:p>
        </w:tc>
        <w:tc>
          <w:tcPr>
            <w:tcW w:w="5902" w:type="dxa"/>
            <w:shd w:val="clear" w:color="auto" w:fill="C6D9F1" w:themeFill="text2" w:themeFillTint="33"/>
          </w:tcPr>
          <w:p w:rsidR="001A4D77" w:rsidRPr="00F15BED" w:rsidRDefault="001A4D77" w:rsidP="00A116B6">
            <w:pPr>
              <w:jc w:val="center"/>
              <w:rPr>
                <w:rFonts w:ascii="Segoe UI" w:hAnsi="Segoe UI" w:cs="Segoe UI"/>
              </w:rPr>
            </w:pPr>
            <w:r w:rsidRPr="00F15BED">
              <w:rPr>
                <w:rFonts w:ascii="Segoe UI" w:hAnsi="Segoe UI" w:cs="Segoe UI"/>
              </w:rPr>
              <w:t>Progress</w:t>
            </w:r>
          </w:p>
        </w:tc>
      </w:tr>
      <w:tr w:rsidR="001A4D77" w:rsidRPr="00F15BED" w:rsidTr="00A116B6">
        <w:tc>
          <w:tcPr>
            <w:tcW w:w="3114" w:type="dxa"/>
          </w:tcPr>
          <w:p w:rsidR="001A4D77" w:rsidRDefault="001A4D77" w:rsidP="00A116B6">
            <w:pPr>
              <w:rPr>
                <w:rFonts w:ascii="Segoe UI" w:hAnsi="Segoe UI" w:cs="Segoe UI"/>
              </w:rPr>
            </w:pPr>
            <w:r>
              <w:rPr>
                <w:rFonts w:ascii="Segoe UI" w:hAnsi="Segoe UI" w:cs="Segoe UI"/>
              </w:rPr>
              <w:t>Physical Health</w:t>
            </w:r>
          </w:p>
        </w:tc>
        <w:tc>
          <w:tcPr>
            <w:tcW w:w="5902" w:type="dxa"/>
          </w:tcPr>
          <w:p w:rsidR="001A4D77" w:rsidRDefault="001A4D77" w:rsidP="00A116B6">
            <w:pPr>
              <w:rPr>
                <w:rFonts w:ascii="Segoe UI" w:hAnsi="Segoe UI" w:cs="Segoe UI"/>
              </w:rPr>
            </w:pPr>
            <w:r>
              <w:rPr>
                <w:rFonts w:ascii="Segoe UI" w:hAnsi="Segoe UI" w:cs="Segoe UI"/>
              </w:rPr>
              <w:t>Physical Health CQUIN completed.</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Mental Health</w:t>
            </w:r>
          </w:p>
          <w:p w:rsidR="001A4D77" w:rsidRPr="00F15BED" w:rsidRDefault="001A4D77" w:rsidP="00A116B6">
            <w:pPr>
              <w:rPr>
                <w:rFonts w:ascii="Segoe UI" w:hAnsi="Segoe UI" w:cs="Segoe UI"/>
              </w:rPr>
            </w:pPr>
          </w:p>
        </w:tc>
        <w:tc>
          <w:tcPr>
            <w:tcW w:w="5902" w:type="dxa"/>
          </w:tcPr>
          <w:p w:rsidR="001A4D77" w:rsidRPr="00F15BED" w:rsidRDefault="001A4D77" w:rsidP="00A116B6">
            <w:pPr>
              <w:rPr>
                <w:rFonts w:ascii="Segoe UI" w:hAnsi="Segoe UI" w:cs="Segoe UI"/>
              </w:rPr>
            </w:pPr>
            <w:r w:rsidRPr="0078798B">
              <w:rPr>
                <w:rFonts w:ascii="Segoe UI" w:hAnsi="Segoe UI" w:cs="Segoe UI"/>
              </w:rPr>
              <w:t>Bu</w:t>
            </w:r>
            <w:r>
              <w:rPr>
                <w:rFonts w:ascii="Segoe UI" w:hAnsi="Segoe UI" w:cs="Segoe UI"/>
              </w:rPr>
              <w:t>cks GLTK baseline audit drafted.</w:t>
            </w:r>
          </w:p>
        </w:tc>
      </w:tr>
      <w:tr w:rsidR="001A4D77" w:rsidRPr="00F15BED" w:rsidTr="00A116B6">
        <w:tc>
          <w:tcPr>
            <w:tcW w:w="3114" w:type="dxa"/>
          </w:tcPr>
          <w:p w:rsidR="001A4D77" w:rsidRPr="00F15BED" w:rsidRDefault="001A4D77" w:rsidP="00A116B6">
            <w:pPr>
              <w:rPr>
                <w:rFonts w:ascii="Segoe UI" w:hAnsi="Segoe UI" w:cs="Segoe UI"/>
              </w:rPr>
            </w:pPr>
            <w:r>
              <w:rPr>
                <w:rFonts w:ascii="Segoe UI" w:hAnsi="Segoe UI" w:cs="Segoe UI"/>
              </w:rPr>
              <w:t>Forensic</w:t>
            </w:r>
          </w:p>
        </w:tc>
        <w:tc>
          <w:tcPr>
            <w:tcW w:w="5902" w:type="dxa"/>
          </w:tcPr>
          <w:p w:rsidR="001A4D77" w:rsidRPr="0078798B" w:rsidRDefault="001A4D77" w:rsidP="00A116B6">
            <w:pPr>
              <w:rPr>
                <w:rFonts w:ascii="Segoe UI" w:hAnsi="Segoe UI" w:cs="Segoe UI"/>
              </w:rPr>
            </w:pPr>
            <w:r w:rsidRPr="0078798B">
              <w:rPr>
                <w:rFonts w:ascii="Segoe UI" w:hAnsi="Segoe UI" w:cs="Segoe UI"/>
              </w:rPr>
              <w:t>NHSE confirmed LSU capital bid.</w:t>
            </w:r>
          </w:p>
          <w:p w:rsidR="001A4D77" w:rsidRPr="0078798B" w:rsidRDefault="001A4D77" w:rsidP="00A116B6">
            <w:pPr>
              <w:rPr>
                <w:rFonts w:ascii="Segoe UI" w:hAnsi="Segoe UI" w:cs="Segoe UI"/>
              </w:rPr>
            </w:pPr>
            <w:r w:rsidRPr="0078798B">
              <w:rPr>
                <w:rFonts w:ascii="Segoe UI" w:hAnsi="Segoe UI" w:cs="Segoe UI"/>
              </w:rPr>
              <w:t xml:space="preserve">LSU detailed delivery and impact plan scoped and shared with Board. </w:t>
            </w:r>
          </w:p>
          <w:p w:rsidR="001A4D77" w:rsidRPr="00F15BED" w:rsidRDefault="001A4D77" w:rsidP="00A116B6">
            <w:pPr>
              <w:rPr>
                <w:rFonts w:ascii="Segoe UI" w:hAnsi="Segoe UI" w:cs="Segoe UI"/>
              </w:rPr>
            </w:pPr>
            <w:r w:rsidRPr="0078798B">
              <w:rPr>
                <w:rFonts w:ascii="Segoe UI" w:hAnsi="Segoe UI" w:cs="Segoe UI"/>
              </w:rPr>
              <w:t>Expressions of interest launched for recruitment of new FIND team.</w:t>
            </w:r>
          </w:p>
        </w:tc>
      </w:tr>
      <w:tr w:rsidR="001A4D77" w:rsidRPr="00F15BED" w:rsidTr="00A116B6">
        <w:tc>
          <w:tcPr>
            <w:tcW w:w="3114" w:type="dxa"/>
          </w:tcPr>
          <w:p w:rsidR="001A4D77" w:rsidRDefault="001A4D77" w:rsidP="00A116B6">
            <w:pPr>
              <w:rPr>
                <w:rFonts w:ascii="Segoe UI" w:hAnsi="Segoe UI" w:cs="Segoe UI"/>
              </w:rPr>
            </w:pPr>
            <w:r>
              <w:rPr>
                <w:rFonts w:ascii="Segoe UI" w:hAnsi="Segoe UI" w:cs="Segoe UI"/>
              </w:rPr>
              <w:t>Autism</w:t>
            </w:r>
          </w:p>
        </w:tc>
        <w:tc>
          <w:tcPr>
            <w:tcW w:w="5902" w:type="dxa"/>
          </w:tcPr>
          <w:p w:rsidR="001A4D77" w:rsidRPr="0078798B" w:rsidRDefault="001A4D77" w:rsidP="00A116B6">
            <w:pPr>
              <w:rPr>
                <w:rFonts w:ascii="Segoe UI" w:hAnsi="Segoe UI" w:cs="Segoe UI"/>
              </w:rPr>
            </w:pPr>
            <w:r w:rsidRPr="0078798B">
              <w:rPr>
                <w:rFonts w:ascii="Segoe UI" w:hAnsi="Segoe UI" w:cs="Segoe UI"/>
              </w:rPr>
              <w:t>Oxon Autism Strateg</w:t>
            </w:r>
            <w:r>
              <w:rPr>
                <w:rFonts w:ascii="Segoe UI" w:hAnsi="Segoe UI" w:cs="Segoe UI"/>
              </w:rPr>
              <w:t>y Implementation Group convened.</w:t>
            </w:r>
          </w:p>
          <w:p w:rsidR="001A4D77" w:rsidRPr="0078798B" w:rsidRDefault="001A4D77" w:rsidP="00A116B6">
            <w:pPr>
              <w:rPr>
                <w:rFonts w:ascii="Segoe UI" w:hAnsi="Segoe UI" w:cs="Segoe UI"/>
              </w:rPr>
            </w:pPr>
          </w:p>
        </w:tc>
      </w:tr>
      <w:tr w:rsidR="001A4D77" w:rsidRPr="00F15BED" w:rsidTr="00A116B6">
        <w:tc>
          <w:tcPr>
            <w:tcW w:w="3114" w:type="dxa"/>
          </w:tcPr>
          <w:p w:rsidR="001A4D77" w:rsidRDefault="001A4D77" w:rsidP="00A116B6">
            <w:pPr>
              <w:rPr>
                <w:rFonts w:ascii="Segoe UI" w:hAnsi="Segoe UI" w:cs="Segoe UI"/>
              </w:rPr>
            </w:pPr>
            <w:r>
              <w:rPr>
                <w:rFonts w:ascii="Segoe UI" w:hAnsi="Segoe UI" w:cs="Segoe UI"/>
              </w:rPr>
              <w:t>Quality</w:t>
            </w:r>
          </w:p>
        </w:tc>
        <w:tc>
          <w:tcPr>
            <w:tcW w:w="5902" w:type="dxa"/>
          </w:tcPr>
          <w:p w:rsidR="001A4D77" w:rsidRPr="0078798B" w:rsidRDefault="001A4D77" w:rsidP="00A116B6">
            <w:pPr>
              <w:rPr>
                <w:rFonts w:ascii="Segoe UI" w:hAnsi="Segoe UI" w:cs="Segoe UI"/>
              </w:rPr>
            </w:pPr>
            <w:r w:rsidRPr="0078798B">
              <w:rPr>
                <w:rFonts w:ascii="Segoe UI" w:hAnsi="Segoe UI" w:cs="Segoe UI"/>
              </w:rPr>
              <w:t>Service User Experience consultation data collated and analysed</w:t>
            </w:r>
            <w:r>
              <w:rPr>
                <w:rFonts w:ascii="Segoe UI" w:hAnsi="Segoe UI" w:cs="Segoe UI"/>
              </w:rPr>
              <w:t>.</w:t>
            </w:r>
          </w:p>
        </w:tc>
      </w:tr>
      <w:tr w:rsidR="001A4D77" w:rsidRPr="00F15BED" w:rsidTr="00A116B6">
        <w:tc>
          <w:tcPr>
            <w:tcW w:w="3114" w:type="dxa"/>
          </w:tcPr>
          <w:p w:rsidR="001A4D77" w:rsidRDefault="001A4D77" w:rsidP="00A116B6">
            <w:pPr>
              <w:rPr>
                <w:rFonts w:ascii="Segoe UI" w:hAnsi="Segoe UI" w:cs="Segoe UI"/>
              </w:rPr>
            </w:pPr>
            <w:r>
              <w:rPr>
                <w:rFonts w:ascii="Segoe UI" w:hAnsi="Segoe UI" w:cs="Segoe UI"/>
              </w:rPr>
              <w:t>Transition</w:t>
            </w:r>
          </w:p>
        </w:tc>
        <w:tc>
          <w:tcPr>
            <w:tcW w:w="5902" w:type="dxa"/>
          </w:tcPr>
          <w:p w:rsidR="001A4D77" w:rsidRPr="0078798B" w:rsidRDefault="001A4D77" w:rsidP="00A116B6">
            <w:pPr>
              <w:rPr>
                <w:rFonts w:ascii="Segoe UI" w:hAnsi="Segoe UI" w:cs="Segoe UI"/>
              </w:rPr>
            </w:pPr>
            <w:r w:rsidRPr="0078798B">
              <w:rPr>
                <w:rFonts w:ascii="Segoe UI" w:hAnsi="Segoe UI" w:cs="Segoe UI"/>
              </w:rPr>
              <w:t>LD Transition pathway signed off</w:t>
            </w:r>
            <w:r>
              <w:rPr>
                <w:rFonts w:ascii="Segoe UI" w:hAnsi="Segoe UI" w:cs="Segoe UI"/>
              </w:rPr>
              <w:t>.</w:t>
            </w:r>
          </w:p>
        </w:tc>
      </w:tr>
      <w:tr w:rsidR="001A4D77" w:rsidRPr="00F15BED" w:rsidTr="00A116B6">
        <w:tc>
          <w:tcPr>
            <w:tcW w:w="3114" w:type="dxa"/>
          </w:tcPr>
          <w:p w:rsidR="001A4D77" w:rsidRDefault="001A4D77" w:rsidP="00A116B6">
            <w:pPr>
              <w:rPr>
                <w:rFonts w:ascii="Segoe UI" w:hAnsi="Segoe UI" w:cs="Segoe UI"/>
              </w:rPr>
            </w:pPr>
            <w:r>
              <w:rPr>
                <w:rFonts w:ascii="Segoe UI" w:hAnsi="Segoe UI" w:cs="Segoe UI"/>
              </w:rPr>
              <w:t>Workforce</w:t>
            </w:r>
          </w:p>
        </w:tc>
        <w:tc>
          <w:tcPr>
            <w:tcW w:w="5902" w:type="dxa"/>
          </w:tcPr>
          <w:p w:rsidR="001A4D77" w:rsidRPr="0078798B" w:rsidRDefault="001A4D77" w:rsidP="00A116B6">
            <w:pPr>
              <w:rPr>
                <w:rFonts w:ascii="Segoe UI" w:hAnsi="Segoe UI" w:cs="Segoe UI"/>
              </w:rPr>
            </w:pPr>
            <w:r w:rsidRPr="0078798B">
              <w:rPr>
                <w:rFonts w:ascii="Segoe UI" w:hAnsi="Segoe UI" w:cs="Segoe UI"/>
              </w:rPr>
              <w:t xml:space="preserve">HEE </w:t>
            </w:r>
            <w:r>
              <w:rPr>
                <w:rFonts w:ascii="Segoe UI" w:hAnsi="Segoe UI" w:cs="Segoe UI"/>
              </w:rPr>
              <w:t>Project Manager appointed (STP).</w:t>
            </w:r>
          </w:p>
          <w:p w:rsidR="001A4D77" w:rsidRPr="0078798B" w:rsidRDefault="001A4D77" w:rsidP="00A116B6">
            <w:pPr>
              <w:rPr>
                <w:rFonts w:ascii="Segoe UI" w:hAnsi="Segoe UI" w:cs="Segoe UI"/>
              </w:rPr>
            </w:pPr>
            <w:r w:rsidRPr="0078798B">
              <w:rPr>
                <w:rFonts w:ascii="Segoe UI" w:hAnsi="Segoe UI" w:cs="Segoe UI"/>
              </w:rPr>
              <w:t>HEE/NSHE informed of workforce plan progress</w:t>
            </w:r>
            <w:r>
              <w:rPr>
                <w:rFonts w:ascii="Segoe UI" w:hAnsi="Segoe UI" w:cs="Segoe UI"/>
              </w:rPr>
              <w:t>.</w:t>
            </w:r>
          </w:p>
        </w:tc>
      </w:tr>
    </w:tbl>
    <w:p w:rsidR="00F15BED" w:rsidRPr="000B311A" w:rsidRDefault="00F15BED" w:rsidP="001A4D77">
      <w:pPr>
        <w:tabs>
          <w:tab w:val="left" w:pos="2001"/>
        </w:tabs>
        <w:rPr>
          <w:rFonts w:ascii="Segoe UI" w:hAnsi="Segoe UI" w:cs="Segoe UI"/>
        </w:rPr>
      </w:pPr>
    </w:p>
    <w:p w:rsidR="00C16A78" w:rsidRDefault="00C16A78" w:rsidP="00156E5B">
      <w:pPr>
        <w:spacing w:after="0" w:line="240" w:lineRule="auto"/>
        <w:rPr>
          <w:rFonts w:ascii="Segoe UI" w:hAnsi="Segoe UI" w:cs="Segoe UI"/>
        </w:rPr>
      </w:pPr>
    </w:p>
    <w:p w:rsidR="008204FB" w:rsidRPr="000B311A" w:rsidRDefault="008204FB" w:rsidP="000B311A">
      <w:pPr>
        <w:spacing w:after="0" w:line="240" w:lineRule="auto"/>
        <w:rPr>
          <w:rFonts w:ascii="Segoe UI" w:hAnsi="Segoe UI" w:cs="Segoe UI"/>
        </w:rPr>
      </w:pPr>
    </w:p>
    <w:sectPr w:rsidR="008204FB" w:rsidRPr="000B311A" w:rsidSect="000B311A">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D34" w:rsidRDefault="005C5D34" w:rsidP="000C5D3F">
      <w:pPr>
        <w:spacing w:after="0" w:line="240" w:lineRule="auto"/>
      </w:pPr>
      <w:r>
        <w:separator/>
      </w:r>
    </w:p>
  </w:endnote>
  <w:endnote w:type="continuationSeparator" w:id="0">
    <w:p w:rsidR="005C5D34" w:rsidRDefault="005C5D34" w:rsidP="000C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A78" w:rsidRDefault="00C16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69388"/>
      <w:docPartObj>
        <w:docPartGallery w:val="Page Numbers (Bottom of Page)"/>
        <w:docPartUnique/>
      </w:docPartObj>
    </w:sdtPr>
    <w:sdtEndPr>
      <w:rPr>
        <w:noProof/>
      </w:rPr>
    </w:sdtEndPr>
    <w:sdtContent>
      <w:p w:rsidR="000C5D3F" w:rsidRDefault="000C5D3F">
        <w:pPr>
          <w:pStyle w:val="Footer"/>
          <w:jc w:val="right"/>
        </w:pPr>
        <w:r>
          <w:fldChar w:fldCharType="begin"/>
        </w:r>
        <w:r>
          <w:instrText xml:space="preserve"> PAGE   \* MERGEFORMAT </w:instrText>
        </w:r>
        <w:r>
          <w:fldChar w:fldCharType="separate"/>
        </w:r>
        <w:r w:rsidR="00910163">
          <w:rPr>
            <w:noProof/>
          </w:rPr>
          <w:t>4</w:t>
        </w:r>
        <w:r>
          <w:rPr>
            <w:noProof/>
          </w:rPr>
          <w:fldChar w:fldCharType="end"/>
        </w:r>
      </w:p>
    </w:sdtContent>
  </w:sdt>
  <w:p w:rsidR="000C5D3F" w:rsidRDefault="000C5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A78" w:rsidRDefault="00C16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D34" w:rsidRDefault="005C5D34" w:rsidP="000C5D3F">
      <w:pPr>
        <w:spacing w:after="0" w:line="240" w:lineRule="auto"/>
      </w:pPr>
      <w:r>
        <w:separator/>
      </w:r>
    </w:p>
  </w:footnote>
  <w:footnote w:type="continuationSeparator" w:id="0">
    <w:p w:rsidR="005C5D34" w:rsidRDefault="005C5D34" w:rsidP="000C5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A78" w:rsidRDefault="00C16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886126"/>
      <w:docPartObj>
        <w:docPartGallery w:val="Watermarks"/>
        <w:docPartUnique/>
      </w:docPartObj>
    </w:sdtPr>
    <w:sdtEndPr/>
    <w:sdtContent>
      <w:p w:rsidR="00C16A78" w:rsidRDefault="001E21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A78" w:rsidRDefault="00C16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30C1"/>
    <w:multiLevelType w:val="hybridMultilevel"/>
    <w:tmpl w:val="A4D4DD34"/>
    <w:lvl w:ilvl="0" w:tplc="333E631C">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35F88"/>
    <w:multiLevelType w:val="hybridMultilevel"/>
    <w:tmpl w:val="4C74662A"/>
    <w:lvl w:ilvl="0" w:tplc="BE402F40">
      <w:start w:val="1"/>
      <w:numFmt w:val="bullet"/>
      <w:lvlText w:val="•"/>
      <w:lvlJc w:val="left"/>
      <w:pPr>
        <w:tabs>
          <w:tab w:val="num" w:pos="720"/>
        </w:tabs>
        <w:ind w:left="720" w:hanging="360"/>
      </w:pPr>
      <w:rPr>
        <w:rFonts w:ascii="Arial" w:hAnsi="Arial" w:hint="default"/>
      </w:rPr>
    </w:lvl>
    <w:lvl w:ilvl="1" w:tplc="0674E2D6" w:tentative="1">
      <w:start w:val="1"/>
      <w:numFmt w:val="bullet"/>
      <w:lvlText w:val="•"/>
      <w:lvlJc w:val="left"/>
      <w:pPr>
        <w:tabs>
          <w:tab w:val="num" w:pos="1440"/>
        </w:tabs>
        <w:ind w:left="1440" w:hanging="360"/>
      </w:pPr>
      <w:rPr>
        <w:rFonts w:ascii="Arial" w:hAnsi="Arial" w:hint="default"/>
      </w:rPr>
    </w:lvl>
    <w:lvl w:ilvl="2" w:tplc="CE6C9D54" w:tentative="1">
      <w:start w:val="1"/>
      <w:numFmt w:val="bullet"/>
      <w:lvlText w:val="•"/>
      <w:lvlJc w:val="left"/>
      <w:pPr>
        <w:tabs>
          <w:tab w:val="num" w:pos="2160"/>
        </w:tabs>
        <w:ind w:left="2160" w:hanging="360"/>
      </w:pPr>
      <w:rPr>
        <w:rFonts w:ascii="Arial" w:hAnsi="Arial" w:hint="default"/>
      </w:rPr>
    </w:lvl>
    <w:lvl w:ilvl="3" w:tplc="47FA9526" w:tentative="1">
      <w:start w:val="1"/>
      <w:numFmt w:val="bullet"/>
      <w:lvlText w:val="•"/>
      <w:lvlJc w:val="left"/>
      <w:pPr>
        <w:tabs>
          <w:tab w:val="num" w:pos="2880"/>
        </w:tabs>
        <w:ind w:left="2880" w:hanging="360"/>
      </w:pPr>
      <w:rPr>
        <w:rFonts w:ascii="Arial" w:hAnsi="Arial" w:hint="default"/>
      </w:rPr>
    </w:lvl>
    <w:lvl w:ilvl="4" w:tplc="529E0DDE" w:tentative="1">
      <w:start w:val="1"/>
      <w:numFmt w:val="bullet"/>
      <w:lvlText w:val="•"/>
      <w:lvlJc w:val="left"/>
      <w:pPr>
        <w:tabs>
          <w:tab w:val="num" w:pos="3600"/>
        </w:tabs>
        <w:ind w:left="3600" w:hanging="360"/>
      </w:pPr>
      <w:rPr>
        <w:rFonts w:ascii="Arial" w:hAnsi="Arial" w:hint="default"/>
      </w:rPr>
    </w:lvl>
    <w:lvl w:ilvl="5" w:tplc="5E44B37A" w:tentative="1">
      <w:start w:val="1"/>
      <w:numFmt w:val="bullet"/>
      <w:lvlText w:val="•"/>
      <w:lvlJc w:val="left"/>
      <w:pPr>
        <w:tabs>
          <w:tab w:val="num" w:pos="4320"/>
        </w:tabs>
        <w:ind w:left="4320" w:hanging="360"/>
      </w:pPr>
      <w:rPr>
        <w:rFonts w:ascii="Arial" w:hAnsi="Arial" w:hint="default"/>
      </w:rPr>
    </w:lvl>
    <w:lvl w:ilvl="6" w:tplc="F8986956" w:tentative="1">
      <w:start w:val="1"/>
      <w:numFmt w:val="bullet"/>
      <w:lvlText w:val="•"/>
      <w:lvlJc w:val="left"/>
      <w:pPr>
        <w:tabs>
          <w:tab w:val="num" w:pos="5040"/>
        </w:tabs>
        <w:ind w:left="5040" w:hanging="360"/>
      </w:pPr>
      <w:rPr>
        <w:rFonts w:ascii="Arial" w:hAnsi="Arial" w:hint="default"/>
      </w:rPr>
    </w:lvl>
    <w:lvl w:ilvl="7" w:tplc="62C6C422" w:tentative="1">
      <w:start w:val="1"/>
      <w:numFmt w:val="bullet"/>
      <w:lvlText w:val="•"/>
      <w:lvlJc w:val="left"/>
      <w:pPr>
        <w:tabs>
          <w:tab w:val="num" w:pos="5760"/>
        </w:tabs>
        <w:ind w:left="5760" w:hanging="360"/>
      </w:pPr>
      <w:rPr>
        <w:rFonts w:ascii="Arial" w:hAnsi="Arial" w:hint="default"/>
      </w:rPr>
    </w:lvl>
    <w:lvl w:ilvl="8" w:tplc="02EEA5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194702"/>
    <w:multiLevelType w:val="hybridMultilevel"/>
    <w:tmpl w:val="D9C85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24E"/>
    <w:multiLevelType w:val="hybridMultilevel"/>
    <w:tmpl w:val="6B46C5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C0AB3"/>
    <w:multiLevelType w:val="hybridMultilevel"/>
    <w:tmpl w:val="4548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C410E"/>
    <w:multiLevelType w:val="hybridMultilevel"/>
    <w:tmpl w:val="26FCECB4"/>
    <w:lvl w:ilvl="0" w:tplc="9FDC55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3264B"/>
    <w:multiLevelType w:val="hybridMultilevel"/>
    <w:tmpl w:val="8474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F05AB"/>
    <w:multiLevelType w:val="hybridMultilevel"/>
    <w:tmpl w:val="268401FC"/>
    <w:lvl w:ilvl="0" w:tplc="78B8A7F6">
      <w:start w:val="1"/>
      <w:numFmt w:val="bullet"/>
      <w:lvlText w:val="•"/>
      <w:lvlJc w:val="left"/>
      <w:pPr>
        <w:tabs>
          <w:tab w:val="num" w:pos="720"/>
        </w:tabs>
        <w:ind w:left="720" w:hanging="360"/>
      </w:pPr>
      <w:rPr>
        <w:rFonts w:ascii="Arial" w:hAnsi="Arial" w:hint="default"/>
      </w:rPr>
    </w:lvl>
    <w:lvl w:ilvl="1" w:tplc="F424B462" w:tentative="1">
      <w:start w:val="1"/>
      <w:numFmt w:val="bullet"/>
      <w:lvlText w:val="•"/>
      <w:lvlJc w:val="left"/>
      <w:pPr>
        <w:tabs>
          <w:tab w:val="num" w:pos="1440"/>
        </w:tabs>
        <w:ind w:left="1440" w:hanging="360"/>
      </w:pPr>
      <w:rPr>
        <w:rFonts w:ascii="Arial" w:hAnsi="Arial" w:hint="default"/>
      </w:rPr>
    </w:lvl>
    <w:lvl w:ilvl="2" w:tplc="8444C746" w:tentative="1">
      <w:start w:val="1"/>
      <w:numFmt w:val="bullet"/>
      <w:lvlText w:val="•"/>
      <w:lvlJc w:val="left"/>
      <w:pPr>
        <w:tabs>
          <w:tab w:val="num" w:pos="2160"/>
        </w:tabs>
        <w:ind w:left="2160" w:hanging="360"/>
      </w:pPr>
      <w:rPr>
        <w:rFonts w:ascii="Arial" w:hAnsi="Arial" w:hint="default"/>
      </w:rPr>
    </w:lvl>
    <w:lvl w:ilvl="3" w:tplc="53D45026" w:tentative="1">
      <w:start w:val="1"/>
      <w:numFmt w:val="bullet"/>
      <w:lvlText w:val="•"/>
      <w:lvlJc w:val="left"/>
      <w:pPr>
        <w:tabs>
          <w:tab w:val="num" w:pos="2880"/>
        </w:tabs>
        <w:ind w:left="2880" w:hanging="360"/>
      </w:pPr>
      <w:rPr>
        <w:rFonts w:ascii="Arial" w:hAnsi="Arial" w:hint="default"/>
      </w:rPr>
    </w:lvl>
    <w:lvl w:ilvl="4" w:tplc="3DC0663A" w:tentative="1">
      <w:start w:val="1"/>
      <w:numFmt w:val="bullet"/>
      <w:lvlText w:val="•"/>
      <w:lvlJc w:val="left"/>
      <w:pPr>
        <w:tabs>
          <w:tab w:val="num" w:pos="3600"/>
        </w:tabs>
        <w:ind w:left="3600" w:hanging="360"/>
      </w:pPr>
      <w:rPr>
        <w:rFonts w:ascii="Arial" w:hAnsi="Arial" w:hint="default"/>
      </w:rPr>
    </w:lvl>
    <w:lvl w:ilvl="5" w:tplc="549C3E3A" w:tentative="1">
      <w:start w:val="1"/>
      <w:numFmt w:val="bullet"/>
      <w:lvlText w:val="•"/>
      <w:lvlJc w:val="left"/>
      <w:pPr>
        <w:tabs>
          <w:tab w:val="num" w:pos="4320"/>
        </w:tabs>
        <w:ind w:left="4320" w:hanging="360"/>
      </w:pPr>
      <w:rPr>
        <w:rFonts w:ascii="Arial" w:hAnsi="Arial" w:hint="default"/>
      </w:rPr>
    </w:lvl>
    <w:lvl w:ilvl="6" w:tplc="84AEA81E" w:tentative="1">
      <w:start w:val="1"/>
      <w:numFmt w:val="bullet"/>
      <w:lvlText w:val="•"/>
      <w:lvlJc w:val="left"/>
      <w:pPr>
        <w:tabs>
          <w:tab w:val="num" w:pos="5040"/>
        </w:tabs>
        <w:ind w:left="5040" w:hanging="360"/>
      </w:pPr>
      <w:rPr>
        <w:rFonts w:ascii="Arial" w:hAnsi="Arial" w:hint="default"/>
      </w:rPr>
    </w:lvl>
    <w:lvl w:ilvl="7" w:tplc="F1F49DBE" w:tentative="1">
      <w:start w:val="1"/>
      <w:numFmt w:val="bullet"/>
      <w:lvlText w:val="•"/>
      <w:lvlJc w:val="left"/>
      <w:pPr>
        <w:tabs>
          <w:tab w:val="num" w:pos="5760"/>
        </w:tabs>
        <w:ind w:left="5760" w:hanging="360"/>
      </w:pPr>
      <w:rPr>
        <w:rFonts w:ascii="Arial" w:hAnsi="Arial" w:hint="default"/>
      </w:rPr>
    </w:lvl>
    <w:lvl w:ilvl="8" w:tplc="FD4E59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1252F7"/>
    <w:multiLevelType w:val="hybridMultilevel"/>
    <w:tmpl w:val="15027280"/>
    <w:lvl w:ilvl="0" w:tplc="0D665938">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00B13"/>
    <w:multiLevelType w:val="hybridMultilevel"/>
    <w:tmpl w:val="176C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55A78"/>
    <w:multiLevelType w:val="hybridMultilevel"/>
    <w:tmpl w:val="E472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238A0"/>
    <w:multiLevelType w:val="hybridMultilevel"/>
    <w:tmpl w:val="3D4AA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D54406"/>
    <w:multiLevelType w:val="hybridMultilevel"/>
    <w:tmpl w:val="346A1778"/>
    <w:lvl w:ilvl="0" w:tplc="C08064B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C3965"/>
    <w:multiLevelType w:val="hybridMultilevel"/>
    <w:tmpl w:val="20B2BD18"/>
    <w:lvl w:ilvl="0" w:tplc="B994DA44">
      <w:start w:val="1"/>
      <w:numFmt w:val="bullet"/>
      <w:lvlText w:val="•"/>
      <w:lvlJc w:val="left"/>
      <w:pPr>
        <w:tabs>
          <w:tab w:val="num" w:pos="720"/>
        </w:tabs>
        <w:ind w:left="720" w:hanging="360"/>
      </w:pPr>
      <w:rPr>
        <w:rFonts w:ascii="Arial" w:hAnsi="Arial" w:hint="default"/>
      </w:rPr>
    </w:lvl>
    <w:lvl w:ilvl="1" w:tplc="EA6E11A4" w:tentative="1">
      <w:start w:val="1"/>
      <w:numFmt w:val="bullet"/>
      <w:lvlText w:val="•"/>
      <w:lvlJc w:val="left"/>
      <w:pPr>
        <w:tabs>
          <w:tab w:val="num" w:pos="1440"/>
        </w:tabs>
        <w:ind w:left="1440" w:hanging="360"/>
      </w:pPr>
      <w:rPr>
        <w:rFonts w:ascii="Arial" w:hAnsi="Arial" w:hint="default"/>
      </w:rPr>
    </w:lvl>
    <w:lvl w:ilvl="2" w:tplc="2B20EA7A" w:tentative="1">
      <w:start w:val="1"/>
      <w:numFmt w:val="bullet"/>
      <w:lvlText w:val="•"/>
      <w:lvlJc w:val="left"/>
      <w:pPr>
        <w:tabs>
          <w:tab w:val="num" w:pos="2160"/>
        </w:tabs>
        <w:ind w:left="2160" w:hanging="360"/>
      </w:pPr>
      <w:rPr>
        <w:rFonts w:ascii="Arial" w:hAnsi="Arial" w:hint="default"/>
      </w:rPr>
    </w:lvl>
    <w:lvl w:ilvl="3" w:tplc="E7C4F4B2" w:tentative="1">
      <w:start w:val="1"/>
      <w:numFmt w:val="bullet"/>
      <w:lvlText w:val="•"/>
      <w:lvlJc w:val="left"/>
      <w:pPr>
        <w:tabs>
          <w:tab w:val="num" w:pos="2880"/>
        </w:tabs>
        <w:ind w:left="2880" w:hanging="360"/>
      </w:pPr>
      <w:rPr>
        <w:rFonts w:ascii="Arial" w:hAnsi="Arial" w:hint="default"/>
      </w:rPr>
    </w:lvl>
    <w:lvl w:ilvl="4" w:tplc="E8DCFE6E" w:tentative="1">
      <w:start w:val="1"/>
      <w:numFmt w:val="bullet"/>
      <w:lvlText w:val="•"/>
      <w:lvlJc w:val="left"/>
      <w:pPr>
        <w:tabs>
          <w:tab w:val="num" w:pos="3600"/>
        </w:tabs>
        <w:ind w:left="3600" w:hanging="360"/>
      </w:pPr>
      <w:rPr>
        <w:rFonts w:ascii="Arial" w:hAnsi="Arial" w:hint="default"/>
      </w:rPr>
    </w:lvl>
    <w:lvl w:ilvl="5" w:tplc="7A465686" w:tentative="1">
      <w:start w:val="1"/>
      <w:numFmt w:val="bullet"/>
      <w:lvlText w:val="•"/>
      <w:lvlJc w:val="left"/>
      <w:pPr>
        <w:tabs>
          <w:tab w:val="num" w:pos="4320"/>
        </w:tabs>
        <w:ind w:left="4320" w:hanging="360"/>
      </w:pPr>
      <w:rPr>
        <w:rFonts w:ascii="Arial" w:hAnsi="Arial" w:hint="default"/>
      </w:rPr>
    </w:lvl>
    <w:lvl w:ilvl="6" w:tplc="A5B8F8BA" w:tentative="1">
      <w:start w:val="1"/>
      <w:numFmt w:val="bullet"/>
      <w:lvlText w:val="•"/>
      <w:lvlJc w:val="left"/>
      <w:pPr>
        <w:tabs>
          <w:tab w:val="num" w:pos="5040"/>
        </w:tabs>
        <w:ind w:left="5040" w:hanging="360"/>
      </w:pPr>
      <w:rPr>
        <w:rFonts w:ascii="Arial" w:hAnsi="Arial" w:hint="default"/>
      </w:rPr>
    </w:lvl>
    <w:lvl w:ilvl="7" w:tplc="7988CA7C" w:tentative="1">
      <w:start w:val="1"/>
      <w:numFmt w:val="bullet"/>
      <w:lvlText w:val="•"/>
      <w:lvlJc w:val="left"/>
      <w:pPr>
        <w:tabs>
          <w:tab w:val="num" w:pos="5760"/>
        </w:tabs>
        <w:ind w:left="5760" w:hanging="360"/>
      </w:pPr>
      <w:rPr>
        <w:rFonts w:ascii="Arial" w:hAnsi="Arial" w:hint="default"/>
      </w:rPr>
    </w:lvl>
    <w:lvl w:ilvl="8" w:tplc="9AD206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BC3BF6"/>
    <w:multiLevelType w:val="hybridMultilevel"/>
    <w:tmpl w:val="38AEC958"/>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12AA7"/>
    <w:multiLevelType w:val="hybridMultilevel"/>
    <w:tmpl w:val="055AA58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963356"/>
    <w:multiLevelType w:val="multilevel"/>
    <w:tmpl w:val="DDB4F608"/>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61F41C0"/>
    <w:multiLevelType w:val="multilevel"/>
    <w:tmpl w:val="4A227C8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BC0E21"/>
    <w:multiLevelType w:val="hybridMultilevel"/>
    <w:tmpl w:val="55B8092C"/>
    <w:lvl w:ilvl="0" w:tplc="61F21B46">
      <w:start w:val="1"/>
      <w:numFmt w:val="bullet"/>
      <w:lvlText w:val="•"/>
      <w:lvlJc w:val="left"/>
      <w:pPr>
        <w:tabs>
          <w:tab w:val="num" w:pos="720"/>
        </w:tabs>
        <w:ind w:left="720" w:hanging="360"/>
      </w:pPr>
      <w:rPr>
        <w:rFonts w:ascii="Arial" w:hAnsi="Arial" w:hint="default"/>
      </w:rPr>
    </w:lvl>
    <w:lvl w:ilvl="1" w:tplc="C8645E40" w:tentative="1">
      <w:start w:val="1"/>
      <w:numFmt w:val="bullet"/>
      <w:lvlText w:val="•"/>
      <w:lvlJc w:val="left"/>
      <w:pPr>
        <w:tabs>
          <w:tab w:val="num" w:pos="1440"/>
        </w:tabs>
        <w:ind w:left="1440" w:hanging="360"/>
      </w:pPr>
      <w:rPr>
        <w:rFonts w:ascii="Arial" w:hAnsi="Arial" w:hint="default"/>
      </w:rPr>
    </w:lvl>
    <w:lvl w:ilvl="2" w:tplc="56E04150" w:tentative="1">
      <w:start w:val="1"/>
      <w:numFmt w:val="bullet"/>
      <w:lvlText w:val="•"/>
      <w:lvlJc w:val="left"/>
      <w:pPr>
        <w:tabs>
          <w:tab w:val="num" w:pos="2160"/>
        </w:tabs>
        <w:ind w:left="2160" w:hanging="360"/>
      </w:pPr>
      <w:rPr>
        <w:rFonts w:ascii="Arial" w:hAnsi="Arial" w:hint="default"/>
      </w:rPr>
    </w:lvl>
    <w:lvl w:ilvl="3" w:tplc="21AC0D3C" w:tentative="1">
      <w:start w:val="1"/>
      <w:numFmt w:val="bullet"/>
      <w:lvlText w:val="•"/>
      <w:lvlJc w:val="left"/>
      <w:pPr>
        <w:tabs>
          <w:tab w:val="num" w:pos="2880"/>
        </w:tabs>
        <w:ind w:left="2880" w:hanging="360"/>
      </w:pPr>
      <w:rPr>
        <w:rFonts w:ascii="Arial" w:hAnsi="Arial" w:hint="default"/>
      </w:rPr>
    </w:lvl>
    <w:lvl w:ilvl="4" w:tplc="2F008C0A" w:tentative="1">
      <w:start w:val="1"/>
      <w:numFmt w:val="bullet"/>
      <w:lvlText w:val="•"/>
      <w:lvlJc w:val="left"/>
      <w:pPr>
        <w:tabs>
          <w:tab w:val="num" w:pos="3600"/>
        </w:tabs>
        <w:ind w:left="3600" w:hanging="360"/>
      </w:pPr>
      <w:rPr>
        <w:rFonts w:ascii="Arial" w:hAnsi="Arial" w:hint="default"/>
      </w:rPr>
    </w:lvl>
    <w:lvl w:ilvl="5" w:tplc="EE9A388E" w:tentative="1">
      <w:start w:val="1"/>
      <w:numFmt w:val="bullet"/>
      <w:lvlText w:val="•"/>
      <w:lvlJc w:val="left"/>
      <w:pPr>
        <w:tabs>
          <w:tab w:val="num" w:pos="4320"/>
        </w:tabs>
        <w:ind w:left="4320" w:hanging="360"/>
      </w:pPr>
      <w:rPr>
        <w:rFonts w:ascii="Arial" w:hAnsi="Arial" w:hint="default"/>
      </w:rPr>
    </w:lvl>
    <w:lvl w:ilvl="6" w:tplc="FBB4CA4E" w:tentative="1">
      <w:start w:val="1"/>
      <w:numFmt w:val="bullet"/>
      <w:lvlText w:val="•"/>
      <w:lvlJc w:val="left"/>
      <w:pPr>
        <w:tabs>
          <w:tab w:val="num" w:pos="5040"/>
        </w:tabs>
        <w:ind w:left="5040" w:hanging="360"/>
      </w:pPr>
      <w:rPr>
        <w:rFonts w:ascii="Arial" w:hAnsi="Arial" w:hint="default"/>
      </w:rPr>
    </w:lvl>
    <w:lvl w:ilvl="7" w:tplc="BB121E8C" w:tentative="1">
      <w:start w:val="1"/>
      <w:numFmt w:val="bullet"/>
      <w:lvlText w:val="•"/>
      <w:lvlJc w:val="left"/>
      <w:pPr>
        <w:tabs>
          <w:tab w:val="num" w:pos="5760"/>
        </w:tabs>
        <w:ind w:left="5760" w:hanging="360"/>
      </w:pPr>
      <w:rPr>
        <w:rFonts w:ascii="Arial" w:hAnsi="Arial" w:hint="default"/>
      </w:rPr>
    </w:lvl>
    <w:lvl w:ilvl="8" w:tplc="62CA5A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FC6F56"/>
    <w:multiLevelType w:val="hybridMultilevel"/>
    <w:tmpl w:val="24FAF8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63110F"/>
    <w:multiLevelType w:val="hybridMultilevel"/>
    <w:tmpl w:val="E52C7EA6"/>
    <w:lvl w:ilvl="0" w:tplc="573C0534">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4"/>
  </w:num>
  <w:num w:numId="5">
    <w:abstractNumId w:val="9"/>
  </w:num>
  <w:num w:numId="6">
    <w:abstractNumId w:val="10"/>
  </w:num>
  <w:num w:numId="7">
    <w:abstractNumId w:val="7"/>
  </w:num>
  <w:num w:numId="8">
    <w:abstractNumId w:val="13"/>
  </w:num>
  <w:num w:numId="9">
    <w:abstractNumId w:val="18"/>
  </w:num>
  <w:num w:numId="10">
    <w:abstractNumId w:val="1"/>
  </w:num>
  <w:num w:numId="11">
    <w:abstractNumId w:val="6"/>
  </w:num>
  <w:num w:numId="12">
    <w:abstractNumId w:val="11"/>
  </w:num>
  <w:num w:numId="13">
    <w:abstractNumId w:val="0"/>
  </w:num>
  <w:num w:numId="14">
    <w:abstractNumId w:val="15"/>
  </w:num>
  <w:num w:numId="15">
    <w:abstractNumId w:val="3"/>
  </w:num>
  <w:num w:numId="16">
    <w:abstractNumId w:val="12"/>
  </w:num>
  <w:num w:numId="17">
    <w:abstractNumId w:val="14"/>
  </w:num>
  <w:num w:numId="18">
    <w:abstractNumId w:val="2"/>
  </w:num>
  <w:num w:numId="19">
    <w:abstractNumId w:val="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B7"/>
    <w:rsid w:val="00005B3B"/>
    <w:rsid w:val="00030336"/>
    <w:rsid w:val="00052A2E"/>
    <w:rsid w:val="000531E8"/>
    <w:rsid w:val="00061F12"/>
    <w:rsid w:val="000A7332"/>
    <w:rsid w:val="000B311A"/>
    <w:rsid w:val="000C5D3F"/>
    <w:rsid w:val="000D6D82"/>
    <w:rsid w:val="00156E5B"/>
    <w:rsid w:val="00167D76"/>
    <w:rsid w:val="00182369"/>
    <w:rsid w:val="001832E5"/>
    <w:rsid w:val="001847C4"/>
    <w:rsid w:val="00194E65"/>
    <w:rsid w:val="001A4D77"/>
    <w:rsid w:val="001A5C90"/>
    <w:rsid w:val="001C589C"/>
    <w:rsid w:val="001D2E7F"/>
    <w:rsid w:val="001E21EA"/>
    <w:rsid w:val="001E72DD"/>
    <w:rsid w:val="00206AA3"/>
    <w:rsid w:val="002249FA"/>
    <w:rsid w:val="00240FA9"/>
    <w:rsid w:val="002518C5"/>
    <w:rsid w:val="002543B4"/>
    <w:rsid w:val="002564A5"/>
    <w:rsid w:val="002638CD"/>
    <w:rsid w:val="002A3412"/>
    <w:rsid w:val="002B094F"/>
    <w:rsid w:val="002D139C"/>
    <w:rsid w:val="002F2216"/>
    <w:rsid w:val="00302934"/>
    <w:rsid w:val="00307856"/>
    <w:rsid w:val="00315388"/>
    <w:rsid w:val="00322AC9"/>
    <w:rsid w:val="00340F54"/>
    <w:rsid w:val="00353A43"/>
    <w:rsid w:val="00396A6A"/>
    <w:rsid w:val="00396B5E"/>
    <w:rsid w:val="003B0EE9"/>
    <w:rsid w:val="003F33BB"/>
    <w:rsid w:val="004727DC"/>
    <w:rsid w:val="00484DA6"/>
    <w:rsid w:val="004A3104"/>
    <w:rsid w:val="004C55E0"/>
    <w:rsid w:val="004D6F25"/>
    <w:rsid w:val="00505D27"/>
    <w:rsid w:val="0053378A"/>
    <w:rsid w:val="00552DAA"/>
    <w:rsid w:val="00586F12"/>
    <w:rsid w:val="0059053C"/>
    <w:rsid w:val="005C5D34"/>
    <w:rsid w:val="005F095C"/>
    <w:rsid w:val="006E60CB"/>
    <w:rsid w:val="006E749F"/>
    <w:rsid w:val="006F0282"/>
    <w:rsid w:val="007037B6"/>
    <w:rsid w:val="007203FE"/>
    <w:rsid w:val="0076297A"/>
    <w:rsid w:val="0077315E"/>
    <w:rsid w:val="007B2585"/>
    <w:rsid w:val="00817F9E"/>
    <w:rsid w:val="008204FB"/>
    <w:rsid w:val="0083204A"/>
    <w:rsid w:val="00844D0E"/>
    <w:rsid w:val="00851A6F"/>
    <w:rsid w:val="00855050"/>
    <w:rsid w:val="0087165D"/>
    <w:rsid w:val="008816F5"/>
    <w:rsid w:val="008B1215"/>
    <w:rsid w:val="008B5CDF"/>
    <w:rsid w:val="008F2952"/>
    <w:rsid w:val="00910163"/>
    <w:rsid w:val="0093101D"/>
    <w:rsid w:val="009409B7"/>
    <w:rsid w:val="009D4CD8"/>
    <w:rsid w:val="009E5AE5"/>
    <w:rsid w:val="009E61B5"/>
    <w:rsid w:val="009F059A"/>
    <w:rsid w:val="00A90596"/>
    <w:rsid w:val="00AA4F80"/>
    <w:rsid w:val="00B23E4B"/>
    <w:rsid w:val="00B332E4"/>
    <w:rsid w:val="00B74A21"/>
    <w:rsid w:val="00B8793C"/>
    <w:rsid w:val="00BB04D6"/>
    <w:rsid w:val="00BD657F"/>
    <w:rsid w:val="00C03D10"/>
    <w:rsid w:val="00C04818"/>
    <w:rsid w:val="00C16A78"/>
    <w:rsid w:val="00C17985"/>
    <w:rsid w:val="00C24459"/>
    <w:rsid w:val="00C25FBA"/>
    <w:rsid w:val="00C50D3E"/>
    <w:rsid w:val="00CA219A"/>
    <w:rsid w:val="00CB1448"/>
    <w:rsid w:val="00CB2BA6"/>
    <w:rsid w:val="00CB47AA"/>
    <w:rsid w:val="00CC3AEC"/>
    <w:rsid w:val="00CD7D17"/>
    <w:rsid w:val="00CE7CCA"/>
    <w:rsid w:val="00D07B9B"/>
    <w:rsid w:val="00D50AAA"/>
    <w:rsid w:val="00D6176C"/>
    <w:rsid w:val="00DF234A"/>
    <w:rsid w:val="00E16FC4"/>
    <w:rsid w:val="00E2207D"/>
    <w:rsid w:val="00E26E5E"/>
    <w:rsid w:val="00E504B1"/>
    <w:rsid w:val="00E566A3"/>
    <w:rsid w:val="00EB675A"/>
    <w:rsid w:val="00ED7E9C"/>
    <w:rsid w:val="00EE6EDC"/>
    <w:rsid w:val="00EF2C04"/>
    <w:rsid w:val="00F02B4C"/>
    <w:rsid w:val="00F079CB"/>
    <w:rsid w:val="00F11FFE"/>
    <w:rsid w:val="00F15BED"/>
    <w:rsid w:val="00F366AE"/>
    <w:rsid w:val="00F81E37"/>
    <w:rsid w:val="00FD1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E7CA5B-31E5-4C50-8F5F-92171325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6F5"/>
    <w:pPr>
      <w:spacing w:after="0" w:line="240" w:lineRule="auto"/>
    </w:pPr>
  </w:style>
  <w:style w:type="paragraph" w:styleId="Header">
    <w:name w:val="header"/>
    <w:basedOn w:val="Normal"/>
    <w:link w:val="HeaderChar"/>
    <w:uiPriority w:val="99"/>
    <w:unhideWhenUsed/>
    <w:rsid w:val="000C5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3F"/>
  </w:style>
  <w:style w:type="paragraph" w:styleId="Footer">
    <w:name w:val="footer"/>
    <w:basedOn w:val="Normal"/>
    <w:link w:val="FooterChar"/>
    <w:uiPriority w:val="99"/>
    <w:unhideWhenUsed/>
    <w:rsid w:val="000C5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D3F"/>
  </w:style>
  <w:style w:type="table" w:styleId="TableGrid">
    <w:name w:val="Table Grid"/>
    <w:basedOn w:val="TableNormal"/>
    <w:uiPriority w:val="59"/>
    <w:rsid w:val="001A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12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11FFE"/>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2518C5"/>
    <w:pPr>
      <w:ind w:left="720"/>
      <w:contextualSpacing/>
    </w:pPr>
  </w:style>
  <w:style w:type="paragraph" w:styleId="BalloonText">
    <w:name w:val="Balloon Text"/>
    <w:basedOn w:val="Normal"/>
    <w:link w:val="BalloonTextChar"/>
    <w:uiPriority w:val="99"/>
    <w:semiHidden/>
    <w:unhideWhenUsed/>
    <w:rsid w:val="00053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1276">
      <w:bodyDiv w:val="1"/>
      <w:marLeft w:val="0"/>
      <w:marRight w:val="0"/>
      <w:marTop w:val="0"/>
      <w:marBottom w:val="0"/>
      <w:divBdr>
        <w:top w:val="none" w:sz="0" w:space="0" w:color="auto"/>
        <w:left w:val="none" w:sz="0" w:space="0" w:color="auto"/>
        <w:bottom w:val="none" w:sz="0" w:space="0" w:color="auto"/>
        <w:right w:val="none" w:sz="0" w:space="0" w:color="auto"/>
      </w:divBdr>
    </w:div>
    <w:div w:id="72552507">
      <w:bodyDiv w:val="1"/>
      <w:marLeft w:val="0"/>
      <w:marRight w:val="0"/>
      <w:marTop w:val="0"/>
      <w:marBottom w:val="0"/>
      <w:divBdr>
        <w:top w:val="none" w:sz="0" w:space="0" w:color="auto"/>
        <w:left w:val="none" w:sz="0" w:space="0" w:color="auto"/>
        <w:bottom w:val="none" w:sz="0" w:space="0" w:color="auto"/>
        <w:right w:val="none" w:sz="0" w:space="0" w:color="auto"/>
      </w:divBdr>
    </w:div>
    <w:div w:id="73161449">
      <w:bodyDiv w:val="1"/>
      <w:marLeft w:val="0"/>
      <w:marRight w:val="0"/>
      <w:marTop w:val="0"/>
      <w:marBottom w:val="0"/>
      <w:divBdr>
        <w:top w:val="none" w:sz="0" w:space="0" w:color="auto"/>
        <w:left w:val="none" w:sz="0" w:space="0" w:color="auto"/>
        <w:bottom w:val="none" w:sz="0" w:space="0" w:color="auto"/>
        <w:right w:val="none" w:sz="0" w:space="0" w:color="auto"/>
      </w:divBdr>
    </w:div>
    <w:div w:id="230193673">
      <w:bodyDiv w:val="1"/>
      <w:marLeft w:val="0"/>
      <w:marRight w:val="0"/>
      <w:marTop w:val="0"/>
      <w:marBottom w:val="0"/>
      <w:divBdr>
        <w:top w:val="none" w:sz="0" w:space="0" w:color="auto"/>
        <w:left w:val="none" w:sz="0" w:space="0" w:color="auto"/>
        <w:bottom w:val="none" w:sz="0" w:space="0" w:color="auto"/>
        <w:right w:val="none" w:sz="0" w:space="0" w:color="auto"/>
      </w:divBdr>
    </w:div>
    <w:div w:id="236209898">
      <w:bodyDiv w:val="1"/>
      <w:marLeft w:val="0"/>
      <w:marRight w:val="0"/>
      <w:marTop w:val="0"/>
      <w:marBottom w:val="0"/>
      <w:divBdr>
        <w:top w:val="none" w:sz="0" w:space="0" w:color="auto"/>
        <w:left w:val="none" w:sz="0" w:space="0" w:color="auto"/>
        <w:bottom w:val="none" w:sz="0" w:space="0" w:color="auto"/>
        <w:right w:val="none" w:sz="0" w:space="0" w:color="auto"/>
      </w:divBdr>
    </w:div>
    <w:div w:id="240876572">
      <w:bodyDiv w:val="1"/>
      <w:marLeft w:val="0"/>
      <w:marRight w:val="0"/>
      <w:marTop w:val="0"/>
      <w:marBottom w:val="0"/>
      <w:divBdr>
        <w:top w:val="none" w:sz="0" w:space="0" w:color="auto"/>
        <w:left w:val="none" w:sz="0" w:space="0" w:color="auto"/>
        <w:bottom w:val="none" w:sz="0" w:space="0" w:color="auto"/>
        <w:right w:val="none" w:sz="0" w:space="0" w:color="auto"/>
      </w:divBdr>
    </w:div>
    <w:div w:id="288707004">
      <w:bodyDiv w:val="1"/>
      <w:marLeft w:val="0"/>
      <w:marRight w:val="0"/>
      <w:marTop w:val="0"/>
      <w:marBottom w:val="0"/>
      <w:divBdr>
        <w:top w:val="none" w:sz="0" w:space="0" w:color="auto"/>
        <w:left w:val="none" w:sz="0" w:space="0" w:color="auto"/>
        <w:bottom w:val="none" w:sz="0" w:space="0" w:color="auto"/>
        <w:right w:val="none" w:sz="0" w:space="0" w:color="auto"/>
      </w:divBdr>
    </w:div>
    <w:div w:id="307832112">
      <w:bodyDiv w:val="1"/>
      <w:marLeft w:val="0"/>
      <w:marRight w:val="0"/>
      <w:marTop w:val="0"/>
      <w:marBottom w:val="0"/>
      <w:divBdr>
        <w:top w:val="none" w:sz="0" w:space="0" w:color="auto"/>
        <w:left w:val="none" w:sz="0" w:space="0" w:color="auto"/>
        <w:bottom w:val="none" w:sz="0" w:space="0" w:color="auto"/>
        <w:right w:val="none" w:sz="0" w:space="0" w:color="auto"/>
      </w:divBdr>
    </w:div>
    <w:div w:id="472407330">
      <w:bodyDiv w:val="1"/>
      <w:marLeft w:val="0"/>
      <w:marRight w:val="0"/>
      <w:marTop w:val="0"/>
      <w:marBottom w:val="0"/>
      <w:divBdr>
        <w:top w:val="none" w:sz="0" w:space="0" w:color="auto"/>
        <w:left w:val="none" w:sz="0" w:space="0" w:color="auto"/>
        <w:bottom w:val="none" w:sz="0" w:space="0" w:color="auto"/>
        <w:right w:val="none" w:sz="0" w:space="0" w:color="auto"/>
      </w:divBdr>
    </w:div>
    <w:div w:id="557936709">
      <w:bodyDiv w:val="1"/>
      <w:marLeft w:val="0"/>
      <w:marRight w:val="0"/>
      <w:marTop w:val="0"/>
      <w:marBottom w:val="0"/>
      <w:divBdr>
        <w:top w:val="none" w:sz="0" w:space="0" w:color="auto"/>
        <w:left w:val="none" w:sz="0" w:space="0" w:color="auto"/>
        <w:bottom w:val="none" w:sz="0" w:space="0" w:color="auto"/>
        <w:right w:val="none" w:sz="0" w:space="0" w:color="auto"/>
      </w:divBdr>
    </w:div>
    <w:div w:id="582839687">
      <w:bodyDiv w:val="1"/>
      <w:marLeft w:val="0"/>
      <w:marRight w:val="0"/>
      <w:marTop w:val="0"/>
      <w:marBottom w:val="0"/>
      <w:divBdr>
        <w:top w:val="none" w:sz="0" w:space="0" w:color="auto"/>
        <w:left w:val="none" w:sz="0" w:space="0" w:color="auto"/>
        <w:bottom w:val="none" w:sz="0" w:space="0" w:color="auto"/>
        <w:right w:val="none" w:sz="0" w:space="0" w:color="auto"/>
      </w:divBdr>
    </w:div>
    <w:div w:id="612787042">
      <w:bodyDiv w:val="1"/>
      <w:marLeft w:val="0"/>
      <w:marRight w:val="0"/>
      <w:marTop w:val="0"/>
      <w:marBottom w:val="0"/>
      <w:divBdr>
        <w:top w:val="none" w:sz="0" w:space="0" w:color="auto"/>
        <w:left w:val="none" w:sz="0" w:space="0" w:color="auto"/>
        <w:bottom w:val="none" w:sz="0" w:space="0" w:color="auto"/>
        <w:right w:val="none" w:sz="0" w:space="0" w:color="auto"/>
      </w:divBdr>
    </w:div>
    <w:div w:id="666664776">
      <w:bodyDiv w:val="1"/>
      <w:marLeft w:val="0"/>
      <w:marRight w:val="0"/>
      <w:marTop w:val="0"/>
      <w:marBottom w:val="0"/>
      <w:divBdr>
        <w:top w:val="none" w:sz="0" w:space="0" w:color="auto"/>
        <w:left w:val="none" w:sz="0" w:space="0" w:color="auto"/>
        <w:bottom w:val="none" w:sz="0" w:space="0" w:color="auto"/>
        <w:right w:val="none" w:sz="0" w:space="0" w:color="auto"/>
      </w:divBdr>
    </w:div>
    <w:div w:id="670059904">
      <w:bodyDiv w:val="1"/>
      <w:marLeft w:val="0"/>
      <w:marRight w:val="0"/>
      <w:marTop w:val="0"/>
      <w:marBottom w:val="0"/>
      <w:divBdr>
        <w:top w:val="none" w:sz="0" w:space="0" w:color="auto"/>
        <w:left w:val="none" w:sz="0" w:space="0" w:color="auto"/>
        <w:bottom w:val="none" w:sz="0" w:space="0" w:color="auto"/>
        <w:right w:val="none" w:sz="0" w:space="0" w:color="auto"/>
      </w:divBdr>
    </w:div>
    <w:div w:id="705983868">
      <w:bodyDiv w:val="1"/>
      <w:marLeft w:val="0"/>
      <w:marRight w:val="0"/>
      <w:marTop w:val="0"/>
      <w:marBottom w:val="0"/>
      <w:divBdr>
        <w:top w:val="none" w:sz="0" w:space="0" w:color="auto"/>
        <w:left w:val="none" w:sz="0" w:space="0" w:color="auto"/>
        <w:bottom w:val="none" w:sz="0" w:space="0" w:color="auto"/>
        <w:right w:val="none" w:sz="0" w:space="0" w:color="auto"/>
      </w:divBdr>
    </w:div>
    <w:div w:id="709574647">
      <w:bodyDiv w:val="1"/>
      <w:marLeft w:val="0"/>
      <w:marRight w:val="0"/>
      <w:marTop w:val="0"/>
      <w:marBottom w:val="0"/>
      <w:divBdr>
        <w:top w:val="none" w:sz="0" w:space="0" w:color="auto"/>
        <w:left w:val="none" w:sz="0" w:space="0" w:color="auto"/>
        <w:bottom w:val="none" w:sz="0" w:space="0" w:color="auto"/>
        <w:right w:val="none" w:sz="0" w:space="0" w:color="auto"/>
      </w:divBdr>
    </w:div>
    <w:div w:id="755249449">
      <w:bodyDiv w:val="1"/>
      <w:marLeft w:val="0"/>
      <w:marRight w:val="0"/>
      <w:marTop w:val="0"/>
      <w:marBottom w:val="0"/>
      <w:divBdr>
        <w:top w:val="none" w:sz="0" w:space="0" w:color="auto"/>
        <w:left w:val="none" w:sz="0" w:space="0" w:color="auto"/>
        <w:bottom w:val="none" w:sz="0" w:space="0" w:color="auto"/>
        <w:right w:val="none" w:sz="0" w:space="0" w:color="auto"/>
      </w:divBdr>
    </w:div>
    <w:div w:id="787896461">
      <w:bodyDiv w:val="1"/>
      <w:marLeft w:val="0"/>
      <w:marRight w:val="0"/>
      <w:marTop w:val="0"/>
      <w:marBottom w:val="0"/>
      <w:divBdr>
        <w:top w:val="none" w:sz="0" w:space="0" w:color="auto"/>
        <w:left w:val="none" w:sz="0" w:space="0" w:color="auto"/>
        <w:bottom w:val="none" w:sz="0" w:space="0" w:color="auto"/>
        <w:right w:val="none" w:sz="0" w:space="0" w:color="auto"/>
      </w:divBdr>
    </w:div>
    <w:div w:id="806168716">
      <w:bodyDiv w:val="1"/>
      <w:marLeft w:val="0"/>
      <w:marRight w:val="0"/>
      <w:marTop w:val="0"/>
      <w:marBottom w:val="0"/>
      <w:divBdr>
        <w:top w:val="none" w:sz="0" w:space="0" w:color="auto"/>
        <w:left w:val="none" w:sz="0" w:space="0" w:color="auto"/>
        <w:bottom w:val="none" w:sz="0" w:space="0" w:color="auto"/>
        <w:right w:val="none" w:sz="0" w:space="0" w:color="auto"/>
      </w:divBdr>
    </w:div>
    <w:div w:id="846823363">
      <w:bodyDiv w:val="1"/>
      <w:marLeft w:val="0"/>
      <w:marRight w:val="0"/>
      <w:marTop w:val="0"/>
      <w:marBottom w:val="0"/>
      <w:divBdr>
        <w:top w:val="none" w:sz="0" w:space="0" w:color="auto"/>
        <w:left w:val="none" w:sz="0" w:space="0" w:color="auto"/>
        <w:bottom w:val="none" w:sz="0" w:space="0" w:color="auto"/>
        <w:right w:val="none" w:sz="0" w:space="0" w:color="auto"/>
      </w:divBdr>
    </w:div>
    <w:div w:id="898058918">
      <w:bodyDiv w:val="1"/>
      <w:marLeft w:val="0"/>
      <w:marRight w:val="0"/>
      <w:marTop w:val="0"/>
      <w:marBottom w:val="0"/>
      <w:divBdr>
        <w:top w:val="none" w:sz="0" w:space="0" w:color="auto"/>
        <w:left w:val="none" w:sz="0" w:space="0" w:color="auto"/>
        <w:bottom w:val="none" w:sz="0" w:space="0" w:color="auto"/>
        <w:right w:val="none" w:sz="0" w:space="0" w:color="auto"/>
      </w:divBdr>
    </w:div>
    <w:div w:id="935020104">
      <w:bodyDiv w:val="1"/>
      <w:marLeft w:val="0"/>
      <w:marRight w:val="0"/>
      <w:marTop w:val="0"/>
      <w:marBottom w:val="0"/>
      <w:divBdr>
        <w:top w:val="none" w:sz="0" w:space="0" w:color="auto"/>
        <w:left w:val="none" w:sz="0" w:space="0" w:color="auto"/>
        <w:bottom w:val="none" w:sz="0" w:space="0" w:color="auto"/>
        <w:right w:val="none" w:sz="0" w:space="0" w:color="auto"/>
      </w:divBdr>
    </w:div>
    <w:div w:id="1096487427">
      <w:bodyDiv w:val="1"/>
      <w:marLeft w:val="0"/>
      <w:marRight w:val="0"/>
      <w:marTop w:val="0"/>
      <w:marBottom w:val="0"/>
      <w:divBdr>
        <w:top w:val="none" w:sz="0" w:space="0" w:color="auto"/>
        <w:left w:val="none" w:sz="0" w:space="0" w:color="auto"/>
        <w:bottom w:val="none" w:sz="0" w:space="0" w:color="auto"/>
        <w:right w:val="none" w:sz="0" w:space="0" w:color="auto"/>
      </w:divBdr>
    </w:div>
    <w:div w:id="1103502006">
      <w:bodyDiv w:val="1"/>
      <w:marLeft w:val="0"/>
      <w:marRight w:val="0"/>
      <w:marTop w:val="0"/>
      <w:marBottom w:val="0"/>
      <w:divBdr>
        <w:top w:val="none" w:sz="0" w:space="0" w:color="auto"/>
        <w:left w:val="none" w:sz="0" w:space="0" w:color="auto"/>
        <w:bottom w:val="none" w:sz="0" w:space="0" w:color="auto"/>
        <w:right w:val="none" w:sz="0" w:space="0" w:color="auto"/>
      </w:divBdr>
      <w:divsChild>
        <w:div w:id="270095521">
          <w:marLeft w:val="446"/>
          <w:marRight w:val="0"/>
          <w:marTop w:val="0"/>
          <w:marBottom w:val="0"/>
          <w:divBdr>
            <w:top w:val="none" w:sz="0" w:space="0" w:color="auto"/>
            <w:left w:val="none" w:sz="0" w:space="0" w:color="auto"/>
            <w:bottom w:val="none" w:sz="0" w:space="0" w:color="auto"/>
            <w:right w:val="none" w:sz="0" w:space="0" w:color="auto"/>
          </w:divBdr>
        </w:div>
        <w:div w:id="532349572">
          <w:marLeft w:val="446"/>
          <w:marRight w:val="0"/>
          <w:marTop w:val="0"/>
          <w:marBottom w:val="0"/>
          <w:divBdr>
            <w:top w:val="none" w:sz="0" w:space="0" w:color="auto"/>
            <w:left w:val="none" w:sz="0" w:space="0" w:color="auto"/>
            <w:bottom w:val="none" w:sz="0" w:space="0" w:color="auto"/>
            <w:right w:val="none" w:sz="0" w:space="0" w:color="auto"/>
          </w:divBdr>
        </w:div>
        <w:div w:id="413206103">
          <w:marLeft w:val="446"/>
          <w:marRight w:val="0"/>
          <w:marTop w:val="0"/>
          <w:marBottom w:val="0"/>
          <w:divBdr>
            <w:top w:val="none" w:sz="0" w:space="0" w:color="auto"/>
            <w:left w:val="none" w:sz="0" w:space="0" w:color="auto"/>
            <w:bottom w:val="none" w:sz="0" w:space="0" w:color="auto"/>
            <w:right w:val="none" w:sz="0" w:space="0" w:color="auto"/>
          </w:divBdr>
        </w:div>
        <w:div w:id="68577390">
          <w:marLeft w:val="446"/>
          <w:marRight w:val="0"/>
          <w:marTop w:val="0"/>
          <w:marBottom w:val="0"/>
          <w:divBdr>
            <w:top w:val="none" w:sz="0" w:space="0" w:color="auto"/>
            <w:left w:val="none" w:sz="0" w:space="0" w:color="auto"/>
            <w:bottom w:val="none" w:sz="0" w:space="0" w:color="auto"/>
            <w:right w:val="none" w:sz="0" w:space="0" w:color="auto"/>
          </w:divBdr>
        </w:div>
        <w:div w:id="472334249">
          <w:marLeft w:val="446"/>
          <w:marRight w:val="0"/>
          <w:marTop w:val="0"/>
          <w:marBottom w:val="0"/>
          <w:divBdr>
            <w:top w:val="none" w:sz="0" w:space="0" w:color="auto"/>
            <w:left w:val="none" w:sz="0" w:space="0" w:color="auto"/>
            <w:bottom w:val="none" w:sz="0" w:space="0" w:color="auto"/>
            <w:right w:val="none" w:sz="0" w:space="0" w:color="auto"/>
          </w:divBdr>
        </w:div>
      </w:divsChild>
    </w:div>
    <w:div w:id="1155300575">
      <w:bodyDiv w:val="1"/>
      <w:marLeft w:val="0"/>
      <w:marRight w:val="0"/>
      <w:marTop w:val="0"/>
      <w:marBottom w:val="0"/>
      <w:divBdr>
        <w:top w:val="none" w:sz="0" w:space="0" w:color="auto"/>
        <w:left w:val="none" w:sz="0" w:space="0" w:color="auto"/>
        <w:bottom w:val="none" w:sz="0" w:space="0" w:color="auto"/>
        <w:right w:val="none" w:sz="0" w:space="0" w:color="auto"/>
      </w:divBdr>
    </w:div>
    <w:div w:id="1188593244">
      <w:bodyDiv w:val="1"/>
      <w:marLeft w:val="0"/>
      <w:marRight w:val="0"/>
      <w:marTop w:val="0"/>
      <w:marBottom w:val="0"/>
      <w:divBdr>
        <w:top w:val="none" w:sz="0" w:space="0" w:color="auto"/>
        <w:left w:val="none" w:sz="0" w:space="0" w:color="auto"/>
        <w:bottom w:val="none" w:sz="0" w:space="0" w:color="auto"/>
        <w:right w:val="none" w:sz="0" w:space="0" w:color="auto"/>
      </w:divBdr>
    </w:div>
    <w:div w:id="1205409212">
      <w:bodyDiv w:val="1"/>
      <w:marLeft w:val="0"/>
      <w:marRight w:val="0"/>
      <w:marTop w:val="0"/>
      <w:marBottom w:val="0"/>
      <w:divBdr>
        <w:top w:val="none" w:sz="0" w:space="0" w:color="auto"/>
        <w:left w:val="none" w:sz="0" w:space="0" w:color="auto"/>
        <w:bottom w:val="none" w:sz="0" w:space="0" w:color="auto"/>
        <w:right w:val="none" w:sz="0" w:space="0" w:color="auto"/>
      </w:divBdr>
    </w:div>
    <w:div w:id="1221357722">
      <w:bodyDiv w:val="1"/>
      <w:marLeft w:val="0"/>
      <w:marRight w:val="0"/>
      <w:marTop w:val="0"/>
      <w:marBottom w:val="0"/>
      <w:divBdr>
        <w:top w:val="none" w:sz="0" w:space="0" w:color="auto"/>
        <w:left w:val="none" w:sz="0" w:space="0" w:color="auto"/>
        <w:bottom w:val="none" w:sz="0" w:space="0" w:color="auto"/>
        <w:right w:val="none" w:sz="0" w:space="0" w:color="auto"/>
      </w:divBdr>
    </w:div>
    <w:div w:id="1223250176">
      <w:bodyDiv w:val="1"/>
      <w:marLeft w:val="0"/>
      <w:marRight w:val="0"/>
      <w:marTop w:val="0"/>
      <w:marBottom w:val="0"/>
      <w:divBdr>
        <w:top w:val="none" w:sz="0" w:space="0" w:color="auto"/>
        <w:left w:val="none" w:sz="0" w:space="0" w:color="auto"/>
        <w:bottom w:val="none" w:sz="0" w:space="0" w:color="auto"/>
        <w:right w:val="none" w:sz="0" w:space="0" w:color="auto"/>
      </w:divBdr>
    </w:div>
    <w:div w:id="1319067259">
      <w:bodyDiv w:val="1"/>
      <w:marLeft w:val="0"/>
      <w:marRight w:val="0"/>
      <w:marTop w:val="0"/>
      <w:marBottom w:val="0"/>
      <w:divBdr>
        <w:top w:val="none" w:sz="0" w:space="0" w:color="auto"/>
        <w:left w:val="none" w:sz="0" w:space="0" w:color="auto"/>
        <w:bottom w:val="none" w:sz="0" w:space="0" w:color="auto"/>
        <w:right w:val="none" w:sz="0" w:space="0" w:color="auto"/>
      </w:divBdr>
    </w:div>
    <w:div w:id="1329363523">
      <w:bodyDiv w:val="1"/>
      <w:marLeft w:val="0"/>
      <w:marRight w:val="0"/>
      <w:marTop w:val="0"/>
      <w:marBottom w:val="0"/>
      <w:divBdr>
        <w:top w:val="none" w:sz="0" w:space="0" w:color="auto"/>
        <w:left w:val="none" w:sz="0" w:space="0" w:color="auto"/>
        <w:bottom w:val="none" w:sz="0" w:space="0" w:color="auto"/>
        <w:right w:val="none" w:sz="0" w:space="0" w:color="auto"/>
      </w:divBdr>
    </w:div>
    <w:div w:id="1342004646">
      <w:bodyDiv w:val="1"/>
      <w:marLeft w:val="0"/>
      <w:marRight w:val="0"/>
      <w:marTop w:val="0"/>
      <w:marBottom w:val="0"/>
      <w:divBdr>
        <w:top w:val="none" w:sz="0" w:space="0" w:color="auto"/>
        <w:left w:val="none" w:sz="0" w:space="0" w:color="auto"/>
        <w:bottom w:val="none" w:sz="0" w:space="0" w:color="auto"/>
        <w:right w:val="none" w:sz="0" w:space="0" w:color="auto"/>
      </w:divBdr>
    </w:div>
    <w:div w:id="1352612808">
      <w:bodyDiv w:val="1"/>
      <w:marLeft w:val="0"/>
      <w:marRight w:val="0"/>
      <w:marTop w:val="0"/>
      <w:marBottom w:val="0"/>
      <w:divBdr>
        <w:top w:val="none" w:sz="0" w:space="0" w:color="auto"/>
        <w:left w:val="none" w:sz="0" w:space="0" w:color="auto"/>
        <w:bottom w:val="none" w:sz="0" w:space="0" w:color="auto"/>
        <w:right w:val="none" w:sz="0" w:space="0" w:color="auto"/>
      </w:divBdr>
    </w:div>
    <w:div w:id="1384988339">
      <w:bodyDiv w:val="1"/>
      <w:marLeft w:val="0"/>
      <w:marRight w:val="0"/>
      <w:marTop w:val="0"/>
      <w:marBottom w:val="0"/>
      <w:divBdr>
        <w:top w:val="none" w:sz="0" w:space="0" w:color="auto"/>
        <w:left w:val="none" w:sz="0" w:space="0" w:color="auto"/>
        <w:bottom w:val="none" w:sz="0" w:space="0" w:color="auto"/>
        <w:right w:val="none" w:sz="0" w:space="0" w:color="auto"/>
      </w:divBdr>
    </w:div>
    <w:div w:id="1420563575">
      <w:bodyDiv w:val="1"/>
      <w:marLeft w:val="0"/>
      <w:marRight w:val="0"/>
      <w:marTop w:val="0"/>
      <w:marBottom w:val="0"/>
      <w:divBdr>
        <w:top w:val="none" w:sz="0" w:space="0" w:color="auto"/>
        <w:left w:val="none" w:sz="0" w:space="0" w:color="auto"/>
        <w:bottom w:val="none" w:sz="0" w:space="0" w:color="auto"/>
        <w:right w:val="none" w:sz="0" w:space="0" w:color="auto"/>
      </w:divBdr>
    </w:div>
    <w:div w:id="1449734076">
      <w:bodyDiv w:val="1"/>
      <w:marLeft w:val="0"/>
      <w:marRight w:val="0"/>
      <w:marTop w:val="0"/>
      <w:marBottom w:val="0"/>
      <w:divBdr>
        <w:top w:val="none" w:sz="0" w:space="0" w:color="auto"/>
        <w:left w:val="none" w:sz="0" w:space="0" w:color="auto"/>
        <w:bottom w:val="none" w:sz="0" w:space="0" w:color="auto"/>
        <w:right w:val="none" w:sz="0" w:space="0" w:color="auto"/>
      </w:divBdr>
    </w:div>
    <w:div w:id="1537235522">
      <w:bodyDiv w:val="1"/>
      <w:marLeft w:val="0"/>
      <w:marRight w:val="0"/>
      <w:marTop w:val="0"/>
      <w:marBottom w:val="0"/>
      <w:divBdr>
        <w:top w:val="none" w:sz="0" w:space="0" w:color="auto"/>
        <w:left w:val="none" w:sz="0" w:space="0" w:color="auto"/>
        <w:bottom w:val="none" w:sz="0" w:space="0" w:color="auto"/>
        <w:right w:val="none" w:sz="0" w:space="0" w:color="auto"/>
      </w:divBdr>
    </w:div>
    <w:div w:id="1543249056">
      <w:bodyDiv w:val="1"/>
      <w:marLeft w:val="0"/>
      <w:marRight w:val="0"/>
      <w:marTop w:val="0"/>
      <w:marBottom w:val="0"/>
      <w:divBdr>
        <w:top w:val="none" w:sz="0" w:space="0" w:color="auto"/>
        <w:left w:val="none" w:sz="0" w:space="0" w:color="auto"/>
        <w:bottom w:val="none" w:sz="0" w:space="0" w:color="auto"/>
        <w:right w:val="none" w:sz="0" w:space="0" w:color="auto"/>
      </w:divBdr>
    </w:div>
    <w:div w:id="1565213346">
      <w:bodyDiv w:val="1"/>
      <w:marLeft w:val="0"/>
      <w:marRight w:val="0"/>
      <w:marTop w:val="0"/>
      <w:marBottom w:val="0"/>
      <w:divBdr>
        <w:top w:val="none" w:sz="0" w:space="0" w:color="auto"/>
        <w:left w:val="none" w:sz="0" w:space="0" w:color="auto"/>
        <w:bottom w:val="none" w:sz="0" w:space="0" w:color="auto"/>
        <w:right w:val="none" w:sz="0" w:space="0" w:color="auto"/>
      </w:divBdr>
    </w:div>
    <w:div w:id="1681270270">
      <w:bodyDiv w:val="1"/>
      <w:marLeft w:val="0"/>
      <w:marRight w:val="0"/>
      <w:marTop w:val="0"/>
      <w:marBottom w:val="0"/>
      <w:divBdr>
        <w:top w:val="none" w:sz="0" w:space="0" w:color="auto"/>
        <w:left w:val="none" w:sz="0" w:space="0" w:color="auto"/>
        <w:bottom w:val="none" w:sz="0" w:space="0" w:color="auto"/>
        <w:right w:val="none" w:sz="0" w:space="0" w:color="auto"/>
      </w:divBdr>
    </w:div>
    <w:div w:id="1811166197">
      <w:bodyDiv w:val="1"/>
      <w:marLeft w:val="0"/>
      <w:marRight w:val="0"/>
      <w:marTop w:val="0"/>
      <w:marBottom w:val="0"/>
      <w:divBdr>
        <w:top w:val="none" w:sz="0" w:space="0" w:color="auto"/>
        <w:left w:val="none" w:sz="0" w:space="0" w:color="auto"/>
        <w:bottom w:val="none" w:sz="0" w:space="0" w:color="auto"/>
        <w:right w:val="none" w:sz="0" w:space="0" w:color="auto"/>
      </w:divBdr>
      <w:divsChild>
        <w:div w:id="1625497285">
          <w:marLeft w:val="274"/>
          <w:marRight w:val="0"/>
          <w:marTop w:val="0"/>
          <w:marBottom w:val="0"/>
          <w:divBdr>
            <w:top w:val="none" w:sz="0" w:space="0" w:color="auto"/>
            <w:left w:val="none" w:sz="0" w:space="0" w:color="auto"/>
            <w:bottom w:val="none" w:sz="0" w:space="0" w:color="auto"/>
            <w:right w:val="none" w:sz="0" w:space="0" w:color="auto"/>
          </w:divBdr>
        </w:div>
        <w:div w:id="1277714231">
          <w:marLeft w:val="274"/>
          <w:marRight w:val="0"/>
          <w:marTop w:val="0"/>
          <w:marBottom w:val="0"/>
          <w:divBdr>
            <w:top w:val="none" w:sz="0" w:space="0" w:color="auto"/>
            <w:left w:val="none" w:sz="0" w:space="0" w:color="auto"/>
            <w:bottom w:val="none" w:sz="0" w:space="0" w:color="auto"/>
            <w:right w:val="none" w:sz="0" w:space="0" w:color="auto"/>
          </w:divBdr>
        </w:div>
        <w:div w:id="164321486">
          <w:marLeft w:val="274"/>
          <w:marRight w:val="0"/>
          <w:marTop w:val="0"/>
          <w:marBottom w:val="0"/>
          <w:divBdr>
            <w:top w:val="none" w:sz="0" w:space="0" w:color="auto"/>
            <w:left w:val="none" w:sz="0" w:space="0" w:color="auto"/>
            <w:bottom w:val="none" w:sz="0" w:space="0" w:color="auto"/>
            <w:right w:val="none" w:sz="0" w:space="0" w:color="auto"/>
          </w:divBdr>
        </w:div>
        <w:div w:id="632098978">
          <w:marLeft w:val="274"/>
          <w:marRight w:val="0"/>
          <w:marTop w:val="0"/>
          <w:marBottom w:val="0"/>
          <w:divBdr>
            <w:top w:val="none" w:sz="0" w:space="0" w:color="auto"/>
            <w:left w:val="none" w:sz="0" w:space="0" w:color="auto"/>
            <w:bottom w:val="none" w:sz="0" w:space="0" w:color="auto"/>
            <w:right w:val="none" w:sz="0" w:space="0" w:color="auto"/>
          </w:divBdr>
        </w:div>
        <w:div w:id="910117172">
          <w:marLeft w:val="274"/>
          <w:marRight w:val="0"/>
          <w:marTop w:val="0"/>
          <w:marBottom w:val="0"/>
          <w:divBdr>
            <w:top w:val="none" w:sz="0" w:space="0" w:color="auto"/>
            <w:left w:val="none" w:sz="0" w:space="0" w:color="auto"/>
            <w:bottom w:val="none" w:sz="0" w:space="0" w:color="auto"/>
            <w:right w:val="none" w:sz="0" w:space="0" w:color="auto"/>
          </w:divBdr>
        </w:div>
      </w:divsChild>
    </w:div>
    <w:div w:id="1887449470">
      <w:bodyDiv w:val="1"/>
      <w:marLeft w:val="0"/>
      <w:marRight w:val="0"/>
      <w:marTop w:val="0"/>
      <w:marBottom w:val="0"/>
      <w:divBdr>
        <w:top w:val="none" w:sz="0" w:space="0" w:color="auto"/>
        <w:left w:val="none" w:sz="0" w:space="0" w:color="auto"/>
        <w:bottom w:val="none" w:sz="0" w:space="0" w:color="auto"/>
        <w:right w:val="none" w:sz="0" w:space="0" w:color="auto"/>
      </w:divBdr>
    </w:div>
    <w:div w:id="1898927751">
      <w:bodyDiv w:val="1"/>
      <w:marLeft w:val="0"/>
      <w:marRight w:val="0"/>
      <w:marTop w:val="0"/>
      <w:marBottom w:val="0"/>
      <w:divBdr>
        <w:top w:val="none" w:sz="0" w:space="0" w:color="auto"/>
        <w:left w:val="none" w:sz="0" w:space="0" w:color="auto"/>
        <w:bottom w:val="none" w:sz="0" w:space="0" w:color="auto"/>
        <w:right w:val="none" w:sz="0" w:space="0" w:color="auto"/>
      </w:divBdr>
    </w:div>
    <w:div w:id="2016226790">
      <w:bodyDiv w:val="1"/>
      <w:marLeft w:val="0"/>
      <w:marRight w:val="0"/>
      <w:marTop w:val="0"/>
      <w:marBottom w:val="0"/>
      <w:divBdr>
        <w:top w:val="none" w:sz="0" w:space="0" w:color="auto"/>
        <w:left w:val="none" w:sz="0" w:space="0" w:color="auto"/>
        <w:bottom w:val="none" w:sz="0" w:space="0" w:color="auto"/>
        <w:right w:val="none" w:sz="0" w:space="0" w:color="auto"/>
      </w:divBdr>
    </w:div>
    <w:div w:id="2101178867">
      <w:bodyDiv w:val="1"/>
      <w:marLeft w:val="0"/>
      <w:marRight w:val="0"/>
      <w:marTop w:val="0"/>
      <w:marBottom w:val="0"/>
      <w:divBdr>
        <w:top w:val="none" w:sz="0" w:space="0" w:color="auto"/>
        <w:left w:val="none" w:sz="0" w:space="0" w:color="auto"/>
        <w:bottom w:val="none" w:sz="0" w:space="0" w:color="auto"/>
        <w:right w:val="none" w:sz="0" w:space="0" w:color="auto"/>
      </w:divBdr>
    </w:div>
    <w:div w:id="2105762379">
      <w:bodyDiv w:val="1"/>
      <w:marLeft w:val="0"/>
      <w:marRight w:val="0"/>
      <w:marTop w:val="0"/>
      <w:marBottom w:val="0"/>
      <w:divBdr>
        <w:top w:val="none" w:sz="0" w:space="0" w:color="auto"/>
        <w:left w:val="none" w:sz="0" w:space="0" w:color="auto"/>
        <w:bottom w:val="none" w:sz="0" w:space="0" w:color="auto"/>
        <w:right w:val="none" w:sz="0" w:space="0" w:color="auto"/>
      </w:divBdr>
    </w:div>
    <w:div w:id="21286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Craig (RNU) Oxford Health</dc:creator>
  <cp:keywords/>
  <dc:description/>
  <cp:lastModifiedBy>Cahill Benjamin (RNU) Oxford Health</cp:lastModifiedBy>
  <cp:revision>16</cp:revision>
  <cp:lastPrinted>2019-01-18T10:49:00Z</cp:lastPrinted>
  <dcterms:created xsi:type="dcterms:W3CDTF">2019-01-17T10:18:00Z</dcterms:created>
  <dcterms:modified xsi:type="dcterms:W3CDTF">2019-01-23T15:54:00Z</dcterms:modified>
</cp:coreProperties>
</file>