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Default="007B6D77" w:rsidP="0086436B">
      <w:pPr>
        <w:ind w:right="-900"/>
        <w:jc w:val="right"/>
        <w:rPr>
          <w:lang w:val="en-GB"/>
        </w:rPr>
      </w:pPr>
      <w:r>
        <w:rPr>
          <w:noProof/>
          <w:lang w:val="en-GB" w:eastAsia="en-GB"/>
        </w:rPr>
        <w:drawing>
          <wp:inline distT="0" distB="0" distL="0" distR="0" wp14:anchorId="36C336EE" wp14:editId="7A1F1316">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C6246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152C2FE7" wp14:editId="5B365C9A">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25508D">
                            <w:pPr>
                              <w:jc w:val="center"/>
                              <w:rPr>
                                <w:rFonts w:ascii="Arial" w:hAnsi="Arial" w:cs="Arial"/>
                              </w:rPr>
                            </w:pPr>
                            <w:r>
                              <w:rPr>
                                <w:rFonts w:ascii="Arial" w:hAnsi="Arial" w:cs="Arial"/>
                                <w:b/>
                              </w:rPr>
                              <w:t xml:space="preserve">BOD </w:t>
                            </w:r>
                            <w:r w:rsidR="000112A6">
                              <w:rPr>
                                <w:rFonts w:ascii="Arial" w:hAnsi="Arial" w:cs="Arial"/>
                                <w:b/>
                              </w:rPr>
                              <w:t>19/2019</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0112A6">
                              <w:rPr>
                                <w:rFonts w:ascii="Arial" w:hAnsi="Arial" w:cs="Arial"/>
                                <w:sz w:val="22"/>
                                <w:szCs w:val="22"/>
                              </w:rPr>
                              <w:t>5</w:t>
                            </w:r>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2FE7"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781566" w:rsidRDefault="0025508D">
                      <w:pPr>
                        <w:jc w:val="center"/>
                        <w:rPr>
                          <w:rFonts w:ascii="Arial" w:hAnsi="Arial" w:cs="Arial"/>
                        </w:rPr>
                      </w:pPr>
                      <w:r>
                        <w:rPr>
                          <w:rFonts w:ascii="Arial" w:hAnsi="Arial" w:cs="Arial"/>
                          <w:b/>
                        </w:rPr>
                        <w:t xml:space="preserve">BOD </w:t>
                      </w:r>
                      <w:r w:rsidR="000112A6">
                        <w:rPr>
                          <w:rFonts w:ascii="Arial" w:hAnsi="Arial" w:cs="Arial"/>
                          <w:b/>
                        </w:rPr>
                        <w:t>19/2019</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0112A6">
                        <w:rPr>
                          <w:rFonts w:ascii="Arial" w:hAnsi="Arial" w:cs="Arial"/>
                          <w:sz w:val="22"/>
                          <w:szCs w:val="22"/>
                        </w:rPr>
                        <w:t>5</w:t>
                      </w:r>
                      <w:r w:rsidR="0025508D">
                        <w:rPr>
                          <w:rFonts w:ascii="Arial" w:hAnsi="Arial" w:cs="Arial"/>
                          <w:sz w:val="22"/>
                          <w:szCs w:val="22"/>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rsidP="00FA5118">
      <w:pPr>
        <w:pStyle w:val="Heading1"/>
        <w:jc w:val="center"/>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465CF0">
      <w:pPr>
        <w:jc w:val="center"/>
        <w:rPr>
          <w:rFonts w:ascii="Arial" w:hAnsi="Arial" w:cs="Arial"/>
          <w:b/>
        </w:rPr>
      </w:pPr>
      <w:r>
        <w:rPr>
          <w:rFonts w:ascii="Arial" w:hAnsi="Arial" w:cs="Arial"/>
          <w:b/>
        </w:rPr>
        <w:t>27</w:t>
      </w:r>
      <w:r w:rsidRPr="00465CF0">
        <w:rPr>
          <w:rFonts w:ascii="Arial" w:hAnsi="Arial" w:cs="Arial"/>
          <w:b/>
          <w:vertAlign w:val="superscript"/>
        </w:rPr>
        <w:t>th</w:t>
      </w:r>
      <w:r>
        <w:rPr>
          <w:rFonts w:ascii="Arial" w:hAnsi="Arial" w:cs="Arial"/>
          <w:b/>
        </w:rPr>
        <w:t xml:space="preserve"> February 2019</w:t>
      </w:r>
      <w:bookmarkStart w:id="0" w:name="_GoBack"/>
      <w:bookmarkEnd w:id="0"/>
    </w:p>
    <w:p w:rsidR="005D3499" w:rsidRDefault="005D3499">
      <w:pPr>
        <w:jc w:val="center"/>
        <w:rPr>
          <w:rFonts w:ascii="Arial" w:hAnsi="Arial" w:cs="Arial"/>
          <w:b/>
        </w:rPr>
      </w:pPr>
    </w:p>
    <w:p w:rsidR="005D3499" w:rsidRDefault="00922966" w:rsidP="00FD2279">
      <w:pPr>
        <w:jc w:val="center"/>
        <w:rPr>
          <w:rFonts w:ascii="Arial" w:hAnsi="Arial" w:cs="Arial"/>
          <w:b/>
        </w:rPr>
      </w:pPr>
      <w:r>
        <w:rPr>
          <w:rFonts w:ascii="Arial" w:hAnsi="Arial" w:cs="Arial"/>
          <w:b/>
        </w:rPr>
        <w:t>Monthly Performance Report</w:t>
      </w:r>
      <w:r w:rsidR="000B77F9">
        <w:rPr>
          <w:rFonts w:ascii="Arial" w:hAnsi="Arial" w:cs="Arial"/>
          <w:b/>
        </w:rPr>
        <w:t xml:space="preserve"> – </w:t>
      </w:r>
      <w:r w:rsidR="00D67B4A">
        <w:rPr>
          <w:rFonts w:ascii="Arial" w:hAnsi="Arial" w:cs="Arial"/>
          <w:b/>
        </w:rPr>
        <w:t>M</w:t>
      </w:r>
      <w:r w:rsidR="00465CF0">
        <w:rPr>
          <w:rFonts w:ascii="Arial" w:hAnsi="Arial" w:cs="Arial"/>
          <w:b/>
        </w:rPr>
        <w:t>10</w:t>
      </w:r>
      <w:r w:rsidR="00D67B4A">
        <w:rPr>
          <w:rFonts w:ascii="Arial" w:hAnsi="Arial" w:cs="Arial"/>
          <w:b/>
        </w:rPr>
        <w:t xml:space="preserve"> </w:t>
      </w:r>
      <w:r w:rsidR="00465CF0">
        <w:rPr>
          <w:rFonts w:ascii="Arial" w:hAnsi="Arial" w:cs="Arial"/>
          <w:b/>
        </w:rPr>
        <w:t>January 2019</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C36082">
        <w:rPr>
          <w:rFonts w:ascii="Arial" w:hAnsi="Arial" w:cs="Arial"/>
          <w:b/>
          <w:u w:val="single"/>
        </w:rPr>
        <w:t xml:space="preserve">Information </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E6088B" w:rsidRDefault="00E6088B" w:rsidP="006B6FE8">
      <w:pPr>
        <w:jc w:val="both"/>
        <w:rPr>
          <w:rFonts w:ascii="Arial" w:hAnsi="Arial" w:cs="Arial"/>
        </w:rPr>
      </w:pPr>
      <w:r>
        <w:rPr>
          <w:rFonts w:ascii="Arial" w:hAnsi="Arial" w:cs="Arial"/>
        </w:rPr>
        <w:t xml:space="preserve">This report </w:t>
      </w:r>
      <w:proofErr w:type="spellStart"/>
      <w:r>
        <w:rPr>
          <w:rFonts w:ascii="Arial" w:hAnsi="Arial" w:cs="Arial"/>
        </w:rPr>
        <w:t>summarises</w:t>
      </w:r>
      <w:proofErr w:type="spellEnd"/>
      <w:r>
        <w:rPr>
          <w:rFonts w:ascii="Arial" w:hAnsi="Arial" w:cs="Arial"/>
        </w:rPr>
        <w:t xml:space="preserve"> and provides assurance against the Trust’s national and locally contracted </w:t>
      </w:r>
      <w:r w:rsidR="00C57113">
        <w:rPr>
          <w:rFonts w:ascii="Arial" w:hAnsi="Arial" w:cs="Arial"/>
        </w:rPr>
        <w:t>key performance indicators (KPI</w:t>
      </w:r>
      <w:r>
        <w:rPr>
          <w:rFonts w:ascii="Arial" w:hAnsi="Arial" w:cs="Arial"/>
        </w:rPr>
        <w:t xml:space="preserve">s) for Month </w:t>
      </w:r>
      <w:r w:rsidR="00731303">
        <w:rPr>
          <w:rFonts w:ascii="Arial" w:hAnsi="Arial" w:cs="Arial"/>
        </w:rPr>
        <w:t>10</w:t>
      </w:r>
      <w:r>
        <w:rPr>
          <w:rFonts w:ascii="Arial" w:hAnsi="Arial" w:cs="Arial"/>
        </w:rPr>
        <w:t xml:space="preserve"> (</w:t>
      </w:r>
      <w:r w:rsidR="00731303">
        <w:rPr>
          <w:rFonts w:ascii="Arial" w:hAnsi="Arial" w:cs="Arial"/>
        </w:rPr>
        <w:t>January 2019</w:t>
      </w:r>
      <w:r>
        <w:rPr>
          <w:rFonts w:ascii="Arial" w:hAnsi="Arial" w:cs="Arial"/>
        </w:rPr>
        <w:t xml:space="preserve">).  Overall, the Trust achieved </w:t>
      </w:r>
      <w:r w:rsidR="000104E4">
        <w:rPr>
          <w:rFonts w:ascii="Arial" w:hAnsi="Arial" w:cs="Arial"/>
        </w:rPr>
        <w:t xml:space="preserve">219 </w:t>
      </w:r>
      <w:r>
        <w:rPr>
          <w:rFonts w:ascii="Arial" w:hAnsi="Arial" w:cs="Arial"/>
        </w:rPr>
        <w:t xml:space="preserve">of the </w:t>
      </w:r>
      <w:r w:rsidR="00731303">
        <w:rPr>
          <w:rFonts w:ascii="Arial" w:hAnsi="Arial" w:cs="Arial"/>
        </w:rPr>
        <w:t>297</w:t>
      </w:r>
      <w:r>
        <w:rPr>
          <w:rFonts w:ascii="Arial" w:hAnsi="Arial" w:cs="Arial"/>
        </w:rPr>
        <w:t xml:space="preserve"> targeted indicators (7</w:t>
      </w:r>
      <w:r w:rsidR="000104E4">
        <w:rPr>
          <w:rFonts w:ascii="Arial" w:hAnsi="Arial" w:cs="Arial"/>
        </w:rPr>
        <w:t>4</w:t>
      </w:r>
      <w:r>
        <w:rPr>
          <w:rFonts w:ascii="Arial" w:hAnsi="Arial" w:cs="Arial"/>
        </w:rPr>
        <w:t>%).  This is broadly consistent with the performance achieved since the start of the financial year and reflects the ongoing pressures (particularly a lack of a workforce).</w:t>
      </w:r>
    </w:p>
    <w:p w:rsidR="00C83803" w:rsidRDefault="00C83803" w:rsidP="006B6FE8">
      <w:pPr>
        <w:jc w:val="both"/>
        <w:rPr>
          <w:rFonts w:ascii="Arial" w:hAnsi="Arial" w:cs="Arial"/>
        </w:rPr>
      </w:pPr>
    </w:p>
    <w:p w:rsidR="00C83803" w:rsidRDefault="00C57113" w:rsidP="00C83803">
      <w:pPr>
        <w:jc w:val="both"/>
        <w:rPr>
          <w:rFonts w:ascii="Arial" w:hAnsi="Arial" w:cs="Arial"/>
          <w:b/>
        </w:rPr>
      </w:pPr>
      <w:r>
        <w:rPr>
          <w:rFonts w:ascii="Arial" w:hAnsi="Arial" w:cs="Arial"/>
          <w:b/>
        </w:rPr>
        <w:t>Performance Trend</w:t>
      </w:r>
      <w:r w:rsidR="00C83803">
        <w:rPr>
          <w:rFonts w:ascii="Arial" w:hAnsi="Arial" w:cs="Arial"/>
          <w:b/>
        </w:rPr>
        <w:t>:</w:t>
      </w:r>
    </w:p>
    <w:p w:rsidR="00C83803" w:rsidRDefault="00C83803" w:rsidP="006B6FE8">
      <w:pPr>
        <w:jc w:val="both"/>
        <w:rPr>
          <w:rFonts w:ascii="Arial" w:hAnsi="Arial" w:cs="Arial"/>
        </w:rPr>
      </w:pPr>
    </w:p>
    <w:p w:rsidR="005E09C4" w:rsidRDefault="00731303" w:rsidP="00731303">
      <w:pPr>
        <w:jc w:val="center"/>
        <w:rPr>
          <w:rFonts w:ascii="Arial" w:hAnsi="Arial" w:cs="Arial"/>
        </w:rPr>
      </w:pPr>
      <w:r>
        <w:rPr>
          <w:noProof/>
        </w:rPr>
        <w:drawing>
          <wp:inline distT="0" distB="0" distL="0" distR="0" wp14:anchorId="49417CB0" wp14:editId="1FC4AE79">
            <wp:extent cx="4679808" cy="286702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4923" cy="2876285"/>
                    </a:xfrm>
                    <a:prstGeom prst="rect">
                      <a:avLst/>
                    </a:prstGeom>
                  </pic:spPr>
                </pic:pic>
              </a:graphicData>
            </a:graphic>
          </wp:inline>
        </w:drawing>
      </w:r>
    </w:p>
    <w:p w:rsidR="00FD74D2" w:rsidRDefault="00FD74D2" w:rsidP="00294343">
      <w:pPr>
        <w:jc w:val="center"/>
        <w:rPr>
          <w:noProof/>
          <w:lang w:val="en-GB" w:eastAsia="en-GB"/>
        </w:rPr>
      </w:pPr>
    </w:p>
    <w:p w:rsidR="00FD74D2" w:rsidRDefault="00FD74D2" w:rsidP="00294343">
      <w:pPr>
        <w:jc w:val="center"/>
        <w:rPr>
          <w:noProof/>
          <w:lang w:val="en-GB" w:eastAsia="en-GB"/>
        </w:rPr>
      </w:pPr>
    </w:p>
    <w:p w:rsidR="00FD74D2" w:rsidRDefault="00FD74D2" w:rsidP="00294343">
      <w:pPr>
        <w:jc w:val="center"/>
        <w:rPr>
          <w:noProof/>
          <w:lang w:val="en-GB" w:eastAsia="en-GB"/>
        </w:rPr>
      </w:pPr>
    </w:p>
    <w:p w:rsidR="005E09C4" w:rsidRDefault="00731303" w:rsidP="00294343">
      <w:pPr>
        <w:jc w:val="center"/>
        <w:rPr>
          <w:rFonts w:ascii="Arial" w:hAnsi="Arial" w:cs="Arial"/>
        </w:rPr>
      </w:pPr>
      <w:r>
        <w:rPr>
          <w:noProof/>
        </w:rPr>
        <w:drawing>
          <wp:inline distT="0" distB="0" distL="0" distR="0" wp14:anchorId="6E7C1D60" wp14:editId="5C15BFB1">
            <wp:extent cx="4391751" cy="252412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3829" cy="2531067"/>
                    </a:xfrm>
                    <a:prstGeom prst="rect">
                      <a:avLst/>
                    </a:prstGeom>
                  </pic:spPr>
                </pic:pic>
              </a:graphicData>
            </a:graphic>
          </wp:inline>
        </w:drawing>
      </w:r>
    </w:p>
    <w:p w:rsidR="00E6088B" w:rsidRDefault="00E6088B" w:rsidP="006B6FE8">
      <w:pPr>
        <w:jc w:val="both"/>
        <w:rPr>
          <w:rFonts w:ascii="Arial" w:hAnsi="Arial" w:cs="Arial"/>
        </w:rPr>
      </w:pPr>
    </w:p>
    <w:p w:rsidR="003C19D3" w:rsidRDefault="00C57113" w:rsidP="006B6FE8">
      <w:pPr>
        <w:jc w:val="both"/>
        <w:rPr>
          <w:rFonts w:ascii="Arial" w:hAnsi="Arial" w:cs="Arial"/>
        </w:rPr>
      </w:pPr>
      <w:r>
        <w:rPr>
          <w:rFonts w:ascii="Arial" w:hAnsi="Arial" w:cs="Arial"/>
        </w:rPr>
        <w:t xml:space="preserve">The number of </w:t>
      </w:r>
      <w:r w:rsidR="00731303">
        <w:rPr>
          <w:rFonts w:ascii="Arial" w:hAnsi="Arial" w:cs="Arial"/>
        </w:rPr>
        <w:t xml:space="preserve">locally contracted </w:t>
      </w:r>
      <w:r>
        <w:rPr>
          <w:rFonts w:ascii="Arial" w:hAnsi="Arial" w:cs="Arial"/>
        </w:rPr>
        <w:t>indicators varies throughout the year as is illustrated in the graph above</w:t>
      </w:r>
      <w:r w:rsidR="000104E4">
        <w:rPr>
          <w:rFonts w:ascii="Arial" w:hAnsi="Arial" w:cs="Arial"/>
        </w:rPr>
        <w:t xml:space="preserve">.  </w:t>
      </w:r>
      <w:r>
        <w:rPr>
          <w:rFonts w:ascii="Arial" w:hAnsi="Arial" w:cs="Arial"/>
        </w:rPr>
        <w:t>This is due to some indicators only being reportable on a quarterly basis.</w:t>
      </w:r>
      <w:r w:rsidR="00731303">
        <w:rPr>
          <w:rFonts w:ascii="Arial" w:hAnsi="Arial" w:cs="Arial"/>
        </w:rPr>
        <w:t xml:space="preserve">  Of the 75 indicators not met, 36 were more than 10% away from the commissioner defined target and almost half of those were due to a lack of workforce.</w:t>
      </w:r>
    </w:p>
    <w:p w:rsidR="003C19D3" w:rsidRDefault="003C19D3">
      <w:pPr>
        <w:rPr>
          <w:rFonts w:ascii="Arial" w:hAnsi="Arial" w:cs="Arial"/>
        </w:rPr>
      </w:pPr>
    </w:p>
    <w:p w:rsidR="003C19D3" w:rsidRDefault="003C19D3">
      <w:pPr>
        <w:rPr>
          <w:rFonts w:ascii="Arial" w:hAnsi="Arial" w:cs="Arial"/>
        </w:rPr>
      </w:pPr>
      <w:r w:rsidRPr="002D575D">
        <w:rPr>
          <w:rFonts w:ascii="Arial" w:hAnsi="Arial" w:cs="Arial"/>
          <w:b/>
        </w:rPr>
        <w:t>Areas to highlight to the Board from an overall Trust perspective</w:t>
      </w:r>
      <w:r>
        <w:rPr>
          <w:rFonts w:ascii="Arial" w:hAnsi="Arial" w:cs="Arial"/>
        </w:rPr>
        <w:t>:</w:t>
      </w:r>
    </w:p>
    <w:p w:rsidR="009035FA" w:rsidRDefault="009035FA">
      <w:pPr>
        <w:rPr>
          <w:rFonts w:ascii="Arial" w:hAnsi="Arial" w:cs="Arial"/>
        </w:rPr>
      </w:pPr>
    </w:p>
    <w:p w:rsidR="002D575D" w:rsidRDefault="002D575D">
      <w:pPr>
        <w:rPr>
          <w:rFonts w:ascii="Arial" w:hAnsi="Arial" w:cs="Arial"/>
        </w:rPr>
      </w:pPr>
      <w:r>
        <w:rPr>
          <w:noProof/>
        </w:rPr>
        <w:drawing>
          <wp:inline distT="0" distB="0" distL="0" distR="0" wp14:anchorId="5E53B717" wp14:editId="64E63ED3">
            <wp:extent cx="5486400" cy="995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995680"/>
                    </a:xfrm>
                    <a:prstGeom prst="rect">
                      <a:avLst/>
                    </a:prstGeom>
                  </pic:spPr>
                </pic:pic>
              </a:graphicData>
            </a:graphic>
          </wp:inline>
        </w:drawing>
      </w:r>
    </w:p>
    <w:p w:rsidR="002D575D" w:rsidRDefault="002D575D">
      <w:pPr>
        <w:rPr>
          <w:rFonts w:ascii="Arial" w:hAnsi="Arial" w:cs="Arial"/>
        </w:rPr>
      </w:pPr>
    </w:p>
    <w:p w:rsidR="003C19D3" w:rsidRDefault="002D575D">
      <w:pPr>
        <w:rPr>
          <w:rFonts w:ascii="Arial" w:hAnsi="Arial" w:cs="Arial"/>
        </w:rPr>
      </w:pPr>
      <w:r>
        <w:rPr>
          <w:rFonts w:ascii="Arial" w:hAnsi="Arial" w:cs="Arial"/>
        </w:rPr>
        <w:t>There was an increase in staff sickness reported via the national Single Oversight Framework in September and that trend has continued</w:t>
      </w:r>
      <w:r w:rsidR="00C94AE5">
        <w:rPr>
          <w:rFonts w:ascii="Arial" w:hAnsi="Arial" w:cs="Arial"/>
        </w:rPr>
        <w:t xml:space="preserve"> throughout the winter months</w:t>
      </w:r>
      <w:r>
        <w:rPr>
          <w:rFonts w:ascii="Arial" w:hAnsi="Arial" w:cs="Arial"/>
        </w:rPr>
        <w:t xml:space="preserve">.  The national targets do not appear to adjust for seasonal fluctuations and further details on sickness is included in the Workforce Management Reports. </w:t>
      </w:r>
      <w:r w:rsidR="003C19D3">
        <w:rPr>
          <w:rFonts w:ascii="Arial" w:hAnsi="Arial" w:cs="Arial"/>
        </w:rPr>
        <w:br w:type="page"/>
      </w:r>
    </w:p>
    <w:p w:rsidR="00036D9C" w:rsidRDefault="0037138A" w:rsidP="00C57113">
      <w:pPr>
        <w:ind w:left="-993" w:firstLine="993"/>
        <w:jc w:val="both"/>
        <w:rPr>
          <w:rFonts w:ascii="Arial" w:hAnsi="Arial" w:cs="Arial"/>
          <w:b/>
        </w:rPr>
      </w:pPr>
      <w:r w:rsidRPr="0037138A">
        <w:rPr>
          <w:rFonts w:ascii="Arial" w:hAnsi="Arial" w:cs="Arial"/>
          <w:b/>
        </w:rPr>
        <w:lastRenderedPageBreak/>
        <w:t>National Position:</w:t>
      </w:r>
    </w:p>
    <w:p w:rsidR="00C24BAC" w:rsidRDefault="00C24BAC" w:rsidP="007A2CF0">
      <w:pPr>
        <w:jc w:val="both"/>
        <w:rPr>
          <w:rFonts w:ascii="Arial" w:hAnsi="Arial" w:cs="Arial"/>
          <w:b/>
        </w:rPr>
      </w:pPr>
    </w:p>
    <w:p w:rsidR="009804CA" w:rsidRPr="009804CA" w:rsidRDefault="009804CA" w:rsidP="009804CA">
      <w:pPr>
        <w:jc w:val="both"/>
        <w:rPr>
          <w:rFonts w:ascii="Arial" w:hAnsi="Arial" w:cs="Arial"/>
        </w:rPr>
      </w:pPr>
      <w:r w:rsidRPr="009804CA">
        <w:rPr>
          <w:rFonts w:ascii="Arial" w:hAnsi="Arial" w:cs="Arial"/>
        </w:rPr>
        <w:t xml:space="preserve">The table below shows how the Trust is performing against the </w:t>
      </w:r>
      <w:r w:rsidRPr="009804CA">
        <w:rPr>
          <w:rFonts w:ascii="Arial" w:hAnsi="Arial" w:cs="Arial"/>
          <w:b/>
        </w:rPr>
        <w:t>operational performance</w:t>
      </w:r>
      <w:r w:rsidRPr="009804CA">
        <w:rPr>
          <w:rFonts w:ascii="Arial" w:hAnsi="Arial" w:cs="Arial"/>
        </w:rPr>
        <w:t xml:space="preserve"> indicators within the NHSI Single Oversight Framework (as at the latest available position) and how performance also compares to the national average.  The Trust is achieving all indicators </w:t>
      </w:r>
      <w:proofErr w:type="gramStart"/>
      <w:r w:rsidRPr="009804CA">
        <w:rPr>
          <w:rFonts w:ascii="Arial" w:hAnsi="Arial" w:cs="Arial"/>
        </w:rPr>
        <w:t>with the exception of</w:t>
      </w:r>
      <w:proofErr w:type="gramEnd"/>
      <w:r w:rsidRPr="009804CA">
        <w:rPr>
          <w:rFonts w:ascii="Arial" w:hAnsi="Arial" w:cs="Arial"/>
        </w:rPr>
        <w:t xml:space="preserve"> Out of Area Placements (OAPs) which continue to be a major issue for the Trust and is due to a lack of community alternatives.</w:t>
      </w:r>
    </w:p>
    <w:p w:rsidR="009804CA" w:rsidRDefault="009804CA" w:rsidP="009804CA"/>
    <w:p w:rsidR="009804CA" w:rsidRDefault="009804CA" w:rsidP="009804CA">
      <w:pPr>
        <w:ind w:left="-709"/>
      </w:pPr>
      <w:r w:rsidRPr="00BA3267">
        <w:rPr>
          <w:noProof/>
        </w:rPr>
        <w:drawing>
          <wp:inline distT="0" distB="0" distL="0" distR="0" wp14:anchorId="0D8948EB" wp14:editId="66BF25E0">
            <wp:extent cx="6418869" cy="39052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0955" cy="3924771"/>
                    </a:xfrm>
                    <a:prstGeom prst="rect">
                      <a:avLst/>
                    </a:prstGeom>
                    <a:noFill/>
                    <a:ln>
                      <a:noFill/>
                    </a:ln>
                  </pic:spPr>
                </pic:pic>
              </a:graphicData>
            </a:graphic>
          </wp:inline>
        </w:drawing>
      </w:r>
    </w:p>
    <w:p w:rsidR="009804CA" w:rsidRPr="00F24DA3" w:rsidRDefault="009804CA" w:rsidP="009804CA">
      <w:pPr>
        <w:rPr>
          <w:sz w:val="20"/>
          <w:szCs w:val="20"/>
        </w:rPr>
      </w:pPr>
    </w:p>
    <w:p w:rsidR="009804CA" w:rsidRPr="009804CA" w:rsidRDefault="009804CA" w:rsidP="009804CA">
      <w:pPr>
        <w:ind w:left="-993" w:firstLine="993"/>
        <w:jc w:val="both"/>
        <w:rPr>
          <w:rFonts w:ascii="Arial" w:hAnsi="Arial" w:cs="Arial"/>
          <w:b/>
        </w:rPr>
      </w:pPr>
      <w:r w:rsidRPr="009804CA">
        <w:rPr>
          <w:rFonts w:ascii="Arial" w:hAnsi="Arial" w:cs="Arial"/>
          <w:b/>
        </w:rPr>
        <w:t xml:space="preserve">Local Position: </w:t>
      </w:r>
    </w:p>
    <w:p w:rsidR="009804CA" w:rsidRPr="009804CA" w:rsidRDefault="009804CA" w:rsidP="009804CA">
      <w:pPr>
        <w:ind w:left="-993" w:firstLine="993"/>
        <w:jc w:val="both"/>
        <w:rPr>
          <w:rFonts w:ascii="Arial" w:hAnsi="Arial" w:cs="Arial"/>
          <w:b/>
        </w:rPr>
      </w:pPr>
    </w:p>
    <w:p w:rsidR="009804CA" w:rsidRPr="009804CA" w:rsidRDefault="009804CA" w:rsidP="009804CA">
      <w:pPr>
        <w:ind w:left="-993" w:firstLine="993"/>
        <w:jc w:val="both"/>
        <w:rPr>
          <w:rFonts w:ascii="Arial" w:hAnsi="Arial" w:cs="Arial"/>
          <w:b/>
        </w:rPr>
      </w:pPr>
      <w:r w:rsidRPr="009804CA">
        <w:rPr>
          <w:rFonts w:ascii="Arial" w:hAnsi="Arial" w:cs="Arial"/>
          <w:b/>
        </w:rPr>
        <w:t>Patient Access and Patient Flow</w:t>
      </w:r>
    </w:p>
    <w:p w:rsidR="009804CA" w:rsidRPr="009804CA" w:rsidRDefault="009804CA" w:rsidP="009804CA">
      <w:pPr>
        <w:ind w:left="-993"/>
        <w:jc w:val="both"/>
        <w:rPr>
          <w:rFonts w:ascii="Arial" w:hAnsi="Arial" w:cs="Arial"/>
          <w:b/>
        </w:rPr>
      </w:pPr>
    </w:p>
    <w:p w:rsidR="009804CA" w:rsidRPr="009804CA" w:rsidRDefault="009804CA" w:rsidP="009804CA">
      <w:pPr>
        <w:jc w:val="both"/>
        <w:rPr>
          <w:rFonts w:ascii="Arial" w:hAnsi="Arial" w:cs="Arial"/>
        </w:rPr>
      </w:pPr>
      <w:r w:rsidRPr="009804CA">
        <w:rPr>
          <w:rFonts w:ascii="Arial" w:hAnsi="Arial" w:cs="Arial"/>
        </w:rPr>
        <w:t>The table below</w:t>
      </w:r>
      <w:r w:rsidR="00897AC8">
        <w:rPr>
          <w:rFonts w:ascii="Arial" w:hAnsi="Arial" w:cs="Arial"/>
        </w:rPr>
        <w:t xml:space="preserve"> </w:t>
      </w:r>
      <w:r w:rsidRPr="009804CA">
        <w:rPr>
          <w:rFonts w:ascii="Arial" w:hAnsi="Arial" w:cs="Arial"/>
        </w:rPr>
        <w:t>shows performance in relation to the Trust’s core mental health community services concerning demand, patient access and patient flow.  Key headlines;</w:t>
      </w:r>
    </w:p>
    <w:p w:rsidR="009804CA" w:rsidRPr="009804CA" w:rsidRDefault="009804CA" w:rsidP="009804CA">
      <w:pPr>
        <w:jc w:val="both"/>
        <w:rPr>
          <w:rFonts w:ascii="Arial" w:hAnsi="Arial" w:cs="Arial"/>
        </w:rPr>
      </w:pPr>
    </w:p>
    <w:p w:rsidR="009804CA" w:rsidRPr="009804CA" w:rsidRDefault="009804CA" w:rsidP="009804CA">
      <w:pPr>
        <w:pStyle w:val="ListParagraph"/>
        <w:numPr>
          <w:ilvl w:val="0"/>
          <w:numId w:val="23"/>
        </w:numPr>
        <w:ind w:left="426"/>
        <w:jc w:val="both"/>
        <w:rPr>
          <w:rFonts w:ascii="Arial" w:hAnsi="Arial" w:cs="Arial"/>
          <w:b/>
        </w:rPr>
      </w:pPr>
      <w:r w:rsidRPr="009804CA">
        <w:rPr>
          <w:rFonts w:ascii="Arial" w:hAnsi="Arial" w:cs="Arial"/>
          <w:b/>
        </w:rPr>
        <w:t>Demand</w:t>
      </w:r>
    </w:p>
    <w:p w:rsidR="009804CA" w:rsidRPr="009804CA" w:rsidRDefault="009804CA" w:rsidP="009804CA">
      <w:pPr>
        <w:pStyle w:val="ListParagraph"/>
        <w:ind w:left="426"/>
        <w:jc w:val="both"/>
        <w:rPr>
          <w:rFonts w:ascii="Arial" w:hAnsi="Arial" w:cs="Arial"/>
        </w:rPr>
      </w:pPr>
      <w:r w:rsidRPr="009804CA">
        <w:rPr>
          <w:rFonts w:ascii="Arial" w:hAnsi="Arial" w:cs="Arial"/>
        </w:rPr>
        <w:t xml:space="preserve">The number of </w:t>
      </w:r>
      <w:r w:rsidRPr="009804CA">
        <w:rPr>
          <w:rFonts w:ascii="Arial" w:hAnsi="Arial" w:cs="Arial"/>
          <w:b/>
        </w:rPr>
        <w:t>Adult Mental Health</w:t>
      </w:r>
      <w:r w:rsidRPr="009804CA">
        <w:rPr>
          <w:rFonts w:ascii="Arial" w:hAnsi="Arial" w:cs="Arial"/>
        </w:rPr>
        <w:t xml:space="preserve"> referrals received in </w:t>
      </w:r>
      <w:r w:rsidRPr="009804CA">
        <w:rPr>
          <w:rFonts w:ascii="Arial" w:hAnsi="Arial" w:cs="Arial"/>
          <w:b/>
        </w:rPr>
        <w:t>Oxfordshire</w:t>
      </w:r>
      <w:r w:rsidRPr="009804CA">
        <w:rPr>
          <w:rFonts w:ascii="Arial" w:hAnsi="Arial" w:cs="Arial"/>
        </w:rPr>
        <w:t xml:space="preserve"> is significantly higher than Buckinghamshire (42% in January), despite comparable population sizes </w:t>
      </w:r>
    </w:p>
    <w:p w:rsidR="009804CA" w:rsidRPr="009804CA" w:rsidRDefault="009804CA" w:rsidP="009804CA">
      <w:pPr>
        <w:pStyle w:val="ListParagraph"/>
        <w:ind w:left="426"/>
        <w:jc w:val="both"/>
        <w:rPr>
          <w:rFonts w:ascii="Arial" w:hAnsi="Arial" w:cs="Arial"/>
        </w:rPr>
      </w:pPr>
    </w:p>
    <w:p w:rsidR="009804CA" w:rsidRPr="009804CA" w:rsidRDefault="009804CA" w:rsidP="009804CA">
      <w:pPr>
        <w:pStyle w:val="ListParagraph"/>
        <w:ind w:left="426"/>
        <w:jc w:val="both"/>
        <w:rPr>
          <w:rFonts w:ascii="Arial" w:hAnsi="Arial" w:cs="Arial"/>
        </w:rPr>
      </w:pPr>
      <w:r w:rsidRPr="009804CA">
        <w:rPr>
          <w:rFonts w:ascii="Arial" w:hAnsi="Arial" w:cs="Arial"/>
        </w:rPr>
        <w:t xml:space="preserve">The number of referrals received by the </w:t>
      </w:r>
      <w:r w:rsidRPr="009804CA">
        <w:rPr>
          <w:rFonts w:ascii="Arial" w:hAnsi="Arial" w:cs="Arial"/>
          <w:b/>
        </w:rPr>
        <w:t>Oxfordshire CAMH service</w:t>
      </w:r>
      <w:r w:rsidRPr="009804CA">
        <w:rPr>
          <w:rFonts w:ascii="Arial" w:hAnsi="Arial" w:cs="Arial"/>
        </w:rPr>
        <w:t xml:space="preserve"> </w:t>
      </w:r>
      <w:proofErr w:type="gramStart"/>
      <w:r w:rsidRPr="009804CA">
        <w:rPr>
          <w:rFonts w:ascii="Arial" w:hAnsi="Arial" w:cs="Arial"/>
        </w:rPr>
        <w:t>continues on</w:t>
      </w:r>
      <w:proofErr w:type="gramEnd"/>
      <w:r w:rsidRPr="009804CA">
        <w:rPr>
          <w:rFonts w:ascii="Arial" w:hAnsi="Arial" w:cs="Arial"/>
        </w:rPr>
        <w:t xml:space="preserve"> an upwards trend with referrals having increased significantly since the start of the year.  The service received over 1000 referrals in January </w:t>
      </w:r>
      <w:r w:rsidRPr="009804CA">
        <w:rPr>
          <w:rFonts w:ascii="Arial" w:hAnsi="Arial" w:cs="Arial"/>
        </w:rPr>
        <w:lastRenderedPageBreak/>
        <w:t xml:space="preserve">which is the third highest figure this year to date.  This is having a direct impact on patient access to the service and increasing waits.  </w:t>
      </w:r>
      <w:r w:rsidRPr="00897AC8">
        <w:rPr>
          <w:rFonts w:ascii="Arial" w:hAnsi="Arial" w:cs="Arial"/>
          <w:b/>
        </w:rPr>
        <w:t>Overall referrals to the Trust’s CAMH services across Oxon, Bucks and BSW were 2215 in January; the third highest overall figure year to date.</w:t>
      </w:r>
    </w:p>
    <w:p w:rsidR="009804CA" w:rsidRPr="009804CA" w:rsidRDefault="009804CA" w:rsidP="009804CA">
      <w:pPr>
        <w:pStyle w:val="ListParagraph"/>
        <w:ind w:left="426"/>
        <w:jc w:val="both"/>
        <w:rPr>
          <w:rFonts w:ascii="Arial" w:hAnsi="Arial" w:cs="Arial"/>
        </w:rPr>
      </w:pPr>
    </w:p>
    <w:p w:rsidR="009804CA" w:rsidRPr="009804CA" w:rsidRDefault="009804CA" w:rsidP="009804CA">
      <w:pPr>
        <w:pStyle w:val="ListParagraph"/>
        <w:numPr>
          <w:ilvl w:val="0"/>
          <w:numId w:val="23"/>
        </w:numPr>
        <w:ind w:left="426"/>
        <w:jc w:val="both"/>
        <w:rPr>
          <w:rFonts w:ascii="Arial" w:hAnsi="Arial" w:cs="Arial"/>
          <w:b/>
        </w:rPr>
      </w:pPr>
      <w:r w:rsidRPr="009804CA">
        <w:rPr>
          <w:rFonts w:ascii="Arial" w:hAnsi="Arial" w:cs="Arial"/>
          <w:b/>
        </w:rPr>
        <w:t>Access/Waits</w:t>
      </w:r>
    </w:p>
    <w:p w:rsidR="009804CA" w:rsidRPr="009804CA" w:rsidRDefault="009804CA" w:rsidP="009804CA">
      <w:pPr>
        <w:pStyle w:val="ListParagraph"/>
        <w:ind w:left="426"/>
        <w:jc w:val="both"/>
        <w:rPr>
          <w:rFonts w:ascii="Arial" w:hAnsi="Arial" w:cs="Arial"/>
        </w:rPr>
      </w:pPr>
      <w:r w:rsidRPr="009804CA">
        <w:rPr>
          <w:rFonts w:ascii="Arial" w:hAnsi="Arial" w:cs="Arial"/>
        </w:rPr>
        <w:t>Access to the Oxfordshire CAMHS service continues to be challenging, with only 32.3% of patients who were referred on the routine pathway being seen in January withi</w:t>
      </w:r>
      <w:r w:rsidR="002F3C92">
        <w:rPr>
          <w:rFonts w:ascii="Arial" w:hAnsi="Arial" w:cs="Arial"/>
        </w:rPr>
        <w:t>n</w:t>
      </w:r>
      <w:r w:rsidRPr="009804CA">
        <w:rPr>
          <w:rFonts w:ascii="Arial" w:hAnsi="Arial" w:cs="Arial"/>
        </w:rPr>
        <w:t xml:space="preserve"> 12 weeks and 60% of patients referred on the urgent pathway being seen in January within 1 week.  This is a direct result of the increase in demand on the service.  Emergency referrals are being </w:t>
      </w:r>
      <w:proofErr w:type="spellStart"/>
      <w:r w:rsidRPr="009804CA">
        <w:rPr>
          <w:rFonts w:ascii="Arial" w:hAnsi="Arial" w:cs="Arial"/>
        </w:rPr>
        <w:t>prioritised</w:t>
      </w:r>
      <w:proofErr w:type="spellEnd"/>
      <w:r w:rsidRPr="009804CA">
        <w:rPr>
          <w:rFonts w:ascii="Arial" w:hAnsi="Arial" w:cs="Arial"/>
        </w:rPr>
        <w:t xml:space="preserve"> within available resources and </w:t>
      </w:r>
      <w:r w:rsidR="008D2EA8">
        <w:rPr>
          <w:rFonts w:ascii="Arial" w:hAnsi="Arial" w:cs="Arial"/>
        </w:rPr>
        <w:t xml:space="preserve">all patients are seen within the </w:t>
      </w:r>
      <w:proofErr w:type="gramStart"/>
      <w:r w:rsidR="008D2EA8">
        <w:rPr>
          <w:rFonts w:ascii="Arial" w:hAnsi="Arial" w:cs="Arial"/>
        </w:rPr>
        <w:t>4 hour</w:t>
      </w:r>
      <w:proofErr w:type="gramEnd"/>
      <w:r w:rsidR="008D2EA8">
        <w:rPr>
          <w:rFonts w:ascii="Arial" w:hAnsi="Arial" w:cs="Arial"/>
        </w:rPr>
        <w:t xml:space="preserve"> target.</w:t>
      </w:r>
    </w:p>
    <w:p w:rsidR="009804CA" w:rsidRPr="009804CA" w:rsidRDefault="009804CA" w:rsidP="009804CA">
      <w:pPr>
        <w:pStyle w:val="ListParagraph"/>
        <w:ind w:left="426"/>
        <w:jc w:val="both"/>
        <w:rPr>
          <w:rFonts w:ascii="Arial" w:hAnsi="Arial" w:cs="Arial"/>
        </w:rPr>
      </w:pPr>
    </w:p>
    <w:p w:rsidR="009804CA" w:rsidRPr="009804CA" w:rsidRDefault="009804CA" w:rsidP="009804CA">
      <w:pPr>
        <w:pStyle w:val="ListParagraph"/>
        <w:numPr>
          <w:ilvl w:val="0"/>
          <w:numId w:val="23"/>
        </w:numPr>
        <w:ind w:left="426"/>
        <w:jc w:val="both"/>
        <w:rPr>
          <w:rFonts w:ascii="Arial" w:hAnsi="Arial" w:cs="Arial"/>
          <w:b/>
        </w:rPr>
      </w:pPr>
      <w:r w:rsidRPr="009804CA">
        <w:rPr>
          <w:rFonts w:ascii="Arial" w:hAnsi="Arial" w:cs="Arial"/>
          <w:b/>
        </w:rPr>
        <w:t>Delayed Transfers of Care (DTOC)</w:t>
      </w:r>
    </w:p>
    <w:p w:rsidR="009804CA" w:rsidRPr="009804CA" w:rsidRDefault="009804CA" w:rsidP="009804CA">
      <w:pPr>
        <w:pStyle w:val="ListParagraph"/>
        <w:ind w:left="426"/>
        <w:jc w:val="both"/>
        <w:rPr>
          <w:rFonts w:ascii="Arial" w:hAnsi="Arial" w:cs="Arial"/>
        </w:rPr>
      </w:pPr>
      <w:r w:rsidRPr="009804CA">
        <w:rPr>
          <w:rFonts w:ascii="Arial" w:hAnsi="Arial" w:cs="Arial"/>
        </w:rPr>
        <w:t xml:space="preserve">A significant number of bed days have been lost this year to date due to DTOC; 2026 days in mental health and 12,577 days in community.  This equates to 7 beds in mental health and 46 beds in community.  </w:t>
      </w:r>
    </w:p>
    <w:p w:rsidR="00693F68" w:rsidRDefault="00693F68" w:rsidP="00693F68">
      <w:pPr>
        <w:ind w:left="-709"/>
        <w:jc w:val="both"/>
        <w:rPr>
          <w:rFonts w:ascii="Arial" w:hAnsi="Arial" w:cs="Arial"/>
        </w:rPr>
      </w:pPr>
    </w:p>
    <w:p w:rsidR="00693F68" w:rsidRPr="00C24BAC" w:rsidRDefault="009804CA" w:rsidP="009804CA">
      <w:pPr>
        <w:ind w:left="-851"/>
        <w:jc w:val="both"/>
        <w:rPr>
          <w:rFonts w:ascii="Arial" w:hAnsi="Arial" w:cs="Arial"/>
        </w:rPr>
      </w:pPr>
      <w:r w:rsidRPr="00F24DA3">
        <w:rPr>
          <w:noProof/>
        </w:rPr>
        <w:drawing>
          <wp:inline distT="0" distB="0" distL="0" distR="0" wp14:anchorId="1E94A040" wp14:editId="46D47E95">
            <wp:extent cx="6600825" cy="4314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0825" cy="4314825"/>
                    </a:xfrm>
                    <a:prstGeom prst="rect">
                      <a:avLst/>
                    </a:prstGeom>
                    <a:noFill/>
                    <a:ln>
                      <a:noFill/>
                    </a:ln>
                  </pic:spPr>
                </pic:pic>
              </a:graphicData>
            </a:graphic>
          </wp:inline>
        </w:drawing>
      </w:r>
    </w:p>
    <w:p w:rsidR="00C57113" w:rsidRDefault="00C57113" w:rsidP="00C83803">
      <w:pPr>
        <w:ind w:left="-993"/>
        <w:jc w:val="both"/>
        <w:rPr>
          <w:rFonts w:ascii="Arial" w:hAnsi="Arial" w:cs="Arial"/>
          <w:b/>
        </w:rPr>
      </w:pPr>
    </w:p>
    <w:p w:rsidR="00C57113" w:rsidRDefault="00C57113" w:rsidP="00C83803">
      <w:pPr>
        <w:ind w:left="-993"/>
        <w:jc w:val="both"/>
        <w:rPr>
          <w:rFonts w:ascii="Arial" w:hAnsi="Arial" w:cs="Arial"/>
          <w:b/>
        </w:rPr>
      </w:pPr>
    </w:p>
    <w:p w:rsidR="008C780D" w:rsidRDefault="008C780D" w:rsidP="007A2CF0">
      <w:pPr>
        <w:jc w:val="both"/>
        <w:rPr>
          <w:rFonts w:ascii="Arial" w:hAnsi="Arial" w:cs="Arial"/>
        </w:rPr>
      </w:pPr>
    </w:p>
    <w:p w:rsidR="00C57113" w:rsidRDefault="00C57113" w:rsidP="009227B8">
      <w:pPr>
        <w:pStyle w:val="ListParagraph"/>
        <w:ind w:left="426"/>
        <w:jc w:val="both"/>
        <w:rPr>
          <w:rFonts w:ascii="Arial" w:hAnsi="Arial" w:cs="Arial"/>
        </w:rPr>
      </w:pPr>
    </w:p>
    <w:p w:rsidR="0001134C" w:rsidRPr="00F8330B" w:rsidRDefault="0001134C" w:rsidP="001E3511">
      <w:pPr>
        <w:rPr>
          <w:rFonts w:ascii="Arial" w:hAnsi="Arial" w:cs="Arial"/>
          <w:b/>
        </w:rPr>
      </w:pPr>
      <w:r w:rsidRPr="00F8330B">
        <w:rPr>
          <w:rFonts w:ascii="Arial" w:hAnsi="Arial" w:cs="Arial"/>
          <w:b/>
        </w:rPr>
        <w:lastRenderedPageBreak/>
        <w:t>S75 Agreements with Oxfordshire County Council and Buckinghamshire County Councils</w:t>
      </w:r>
    </w:p>
    <w:p w:rsidR="0001134C" w:rsidRPr="00F8330B" w:rsidRDefault="0001134C" w:rsidP="001E3511">
      <w:pPr>
        <w:rPr>
          <w:rFonts w:ascii="Arial" w:hAnsi="Arial" w:cs="Arial"/>
          <w:b/>
        </w:rPr>
      </w:pPr>
    </w:p>
    <w:p w:rsidR="0001134C" w:rsidRDefault="00841EB0" w:rsidP="001E3511">
      <w:pPr>
        <w:rPr>
          <w:rFonts w:ascii="Arial" w:hAnsi="Arial" w:cs="Arial"/>
        </w:rPr>
      </w:pPr>
      <w:r>
        <w:rPr>
          <w:rFonts w:ascii="Arial" w:hAnsi="Arial" w:cs="Arial"/>
        </w:rPr>
        <w:t xml:space="preserve">The Trust achieved </w:t>
      </w:r>
      <w:r w:rsidR="00722108">
        <w:rPr>
          <w:rFonts w:ascii="Arial" w:hAnsi="Arial" w:cs="Arial"/>
          <w:b/>
        </w:rPr>
        <w:t>100</w:t>
      </w:r>
      <w:r w:rsidR="00146C68" w:rsidRPr="006F5021">
        <w:rPr>
          <w:rFonts w:ascii="Arial" w:hAnsi="Arial" w:cs="Arial"/>
          <w:b/>
        </w:rPr>
        <w:t xml:space="preserve">% </w:t>
      </w:r>
      <w:r w:rsidR="00146C68" w:rsidRPr="00F8330B">
        <w:rPr>
          <w:rFonts w:ascii="Arial" w:hAnsi="Arial" w:cs="Arial"/>
        </w:rPr>
        <w:t xml:space="preserve">compliance against the indicators </w:t>
      </w:r>
      <w:r>
        <w:rPr>
          <w:rFonts w:ascii="Arial" w:hAnsi="Arial" w:cs="Arial"/>
        </w:rPr>
        <w:t xml:space="preserve">for Oxfordshire </w:t>
      </w:r>
      <w:r w:rsidR="00897AC8">
        <w:rPr>
          <w:rFonts w:ascii="Arial" w:hAnsi="Arial" w:cs="Arial"/>
        </w:rPr>
        <w:t>and Buckinghamshire for</w:t>
      </w:r>
      <w:r w:rsidR="001F2541">
        <w:rPr>
          <w:rFonts w:ascii="Arial" w:hAnsi="Arial" w:cs="Arial"/>
        </w:rPr>
        <w:t xml:space="preserve"> </w:t>
      </w:r>
      <w:r w:rsidR="00897AC8">
        <w:rPr>
          <w:rFonts w:ascii="Arial" w:hAnsi="Arial" w:cs="Arial"/>
        </w:rPr>
        <w:t>January</w:t>
      </w:r>
      <w:r w:rsidR="001F2541">
        <w:rPr>
          <w:rFonts w:ascii="Arial" w:hAnsi="Arial" w:cs="Arial"/>
        </w:rPr>
        <w:t xml:space="preserve"> 2018</w:t>
      </w:r>
      <w:r w:rsidR="00146C68" w:rsidRPr="00F8330B">
        <w:rPr>
          <w:rFonts w:ascii="Arial" w:hAnsi="Arial" w:cs="Arial"/>
        </w:rPr>
        <w:t xml:space="preserve">.  </w:t>
      </w:r>
      <w:r w:rsidR="006F5021">
        <w:rPr>
          <w:rFonts w:ascii="Arial" w:hAnsi="Arial" w:cs="Arial"/>
        </w:rPr>
        <w:t>Reports are one month in arrears.</w:t>
      </w:r>
    </w:p>
    <w:p w:rsidR="00110E24" w:rsidRDefault="00110E24" w:rsidP="001E3511">
      <w:pPr>
        <w:rPr>
          <w:rFonts w:ascii="Arial" w:hAnsi="Arial" w:cs="Arial"/>
        </w:rPr>
      </w:pPr>
    </w:p>
    <w:p w:rsidR="00EA34EB" w:rsidRDefault="00EA34EB" w:rsidP="001E3511">
      <w:pPr>
        <w:rPr>
          <w:rFonts w:ascii="Arial" w:hAnsi="Arial" w:cs="Arial"/>
          <w:b/>
        </w:rPr>
      </w:pPr>
      <w:r>
        <w:rPr>
          <w:rFonts w:ascii="Arial" w:hAnsi="Arial" w:cs="Arial"/>
          <w:b/>
        </w:rPr>
        <w:t xml:space="preserve">Performance by Directorate in </w:t>
      </w:r>
      <w:r w:rsidR="008D36D2">
        <w:rPr>
          <w:rFonts w:ascii="Arial" w:hAnsi="Arial" w:cs="Arial"/>
          <w:b/>
        </w:rPr>
        <w:t>January 2019</w:t>
      </w:r>
      <w:r>
        <w:rPr>
          <w:rFonts w:ascii="Arial" w:hAnsi="Arial" w:cs="Arial"/>
          <w:b/>
        </w:rPr>
        <w:t>:</w:t>
      </w:r>
    </w:p>
    <w:p w:rsidR="00EA34EB" w:rsidRDefault="00EA34EB" w:rsidP="001E3511">
      <w:pPr>
        <w:rPr>
          <w:rFonts w:ascii="Arial" w:hAnsi="Arial" w:cs="Arial"/>
          <w:b/>
        </w:rPr>
      </w:pPr>
    </w:p>
    <w:p w:rsidR="00302535" w:rsidRDefault="000161D5" w:rsidP="001E3511">
      <w:pPr>
        <w:rPr>
          <w:rFonts w:ascii="Arial" w:hAnsi="Arial" w:cs="Arial"/>
        </w:rPr>
      </w:pPr>
      <w:r>
        <w:rPr>
          <w:rFonts w:ascii="Arial" w:hAnsi="Arial" w:cs="Arial"/>
          <w:b/>
        </w:rPr>
        <w:t>Oxfordshire, Sw</w:t>
      </w:r>
      <w:r w:rsidR="00302535">
        <w:rPr>
          <w:rFonts w:ascii="Arial" w:hAnsi="Arial" w:cs="Arial"/>
          <w:b/>
        </w:rPr>
        <w:t xml:space="preserve">indon, Wiltshire &amp; </w:t>
      </w:r>
      <w:proofErr w:type="spellStart"/>
      <w:r w:rsidR="00302535">
        <w:rPr>
          <w:rFonts w:ascii="Arial" w:hAnsi="Arial" w:cs="Arial"/>
          <w:b/>
        </w:rPr>
        <w:t>Ba</w:t>
      </w:r>
      <w:r>
        <w:rPr>
          <w:rFonts w:ascii="Arial" w:hAnsi="Arial" w:cs="Arial"/>
          <w:b/>
        </w:rPr>
        <w:t>NES</w:t>
      </w:r>
      <w:proofErr w:type="spellEnd"/>
      <w:r>
        <w:rPr>
          <w:rFonts w:ascii="Arial" w:hAnsi="Arial" w:cs="Arial"/>
          <w:b/>
        </w:rPr>
        <w:t xml:space="preserve"> – All Ages Mental Health</w:t>
      </w:r>
      <w:r w:rsidR="00EA34EB">
        <w:rPr>
          <w:rFonts w:ascii="Arial" w:hAnsi="Arial" w:cs="Arial"/>
          <w:b/>
        </w:rPr>
        <w:t xml:space="preserve"> </w:t>
      </w:r>
      <w:r w:rsidR="00EA34EB">
        <w:rPr>
          <w:rFonts w:ascii="Arial" w:hAnsi="Arial" w:cs="Arial"/>
        </w:rPr>
        <w:t xml:space="preserve">achieved </w:t>
      </w:r>
      <w:r w:rsidR="005F4BA9">
        <w:rPr>
          <w:rFonts w:ascii="Arial" w:hAnsi="Arial" w:cs="Arial"/>
        </w:rPr>
        <w:t>77</w:t>
      </w:r>
      <w:r w:rsidR="00EA34EB">
        <w:rPr>
          <w:rFonts w:ascii="Arial" w:hAnsi="Arial" w:cs="Arial"/>
        </w:rPr>
        <w:t xml:space="preserve"> of the</w:t>
      </w:r>
      <w:r w:rsidR="00DB3604">
        <w:rPr>
          <w:rFonts w:ascii="Arial" w:hAnsi="Arial" w:cs="Arial"/>
        </w:rPr>
        <w:t xml:space="preserve"> 114</w:t>
      </w:r>
      <w:r w:rsidR="00EA34EB">
        <w:rPr>
          <w:rFonts w:ascii="Arial" w:hAnsi="Arial" w:cs="Arial"/>
        </w:rPr>
        <w:t xml:space="preserve"> targeted indicators</w:t>
      </w:r>
      <w:r w:rsidR="00DB3604">
        <w:rPr>
          <w:rFonts w:ascii="Arial" w:hAnsi="Arial" w:cs="Arial"/>
        </w:rPr>
        <w:t xml:space="preserve"> (</w:t>
      </w:r>
      <w:r w:rsidR="005F4BA9">
        <w:rPr>
          <w:rFonts w:ascii="Arial" w:hAnsi="Arial" w:cs="Arial"/>
        </w:rPr>
        <w:t>68</w:t>
      </w:r>
      <w:r w:rsidR="00DB3604">
        <w:rPr>
          <w:rFonts w:ascii="Arial" w:hAnsi="Arial" w:cs="Arial"/>
        </w:rPr>
        <w:t>%)</w:t>
      </w:r>
      <w:r w:rsidR="00EA34EB">
        <w:rPr>
          <w:rFonts w:ascii="Arial" w:hAnsi="Arial" w:cs="Arial"/>
        </w:rPr>
        <w:t>.</w:t>
      </w:r>
    </w:p>
    <w:p w:rsidR="00302535" w:rsidRDefault="00302535" w:rsidP="001E3511">
      <w:pPr>
        <w:rPr>
          <w:rFonts w:ascii="Arial" w:hAnsi="Arial" w:cs="Arial"/>
        </w:rPr>
      </w:pPr>
    </w:p>
    <w:p w:rsidR="00302535" w:rsidRPr="00132863" w:rsidRDefault="00302535" w:rsidP="001E3511">
      <w:pPr>
        <w:rPr>
          <w:rFonts w:ascii="Arial" w:hAnsi="Arial" w:cs="Arial"/>
          <w:b/>
        </w:rPr>
      </w:pPr>
      <w:r w:rsidRPr="00132863">
        <w:rPr>
          <w:rFonts w:ascii="Arial" w:hAnsi="Arial" w:cs="Arial"/>
          <w:b/>
        </w:rPr>
        <w:t>Highlights for the Board:</w:t>
      </w:r>
    </w:p>
    <w:p w:rsidR="00302535" w:rsidRDefault="00302535" w:rsidP="001E3511">
      <w:pPr>
        <w:rPr>
          <w:rFonts w:ascii="Arial" w:hAnsi="Arial" w:cs="Arial"/>
        </w:rPr>
      </w:pPr>
    </w:p>
    <w:p w:rsidR="005F6A8B" w:rsidRPr="005F6A8B" w:rsidRDefault="0021416A" w:rsidP="00302535">
      <w:pPr>
        <w:pStyle w:val="ListParagraph"/>
        <w:numPr>
          <w:ilvl w:val="0"/>
          <w:numId w:val="18"/>
        </w:numPr>
        <w:rPr>
          <w:rFonts w:ascii="Arial" w:hAnsi="Arial" w:cs="Arial"/>
          <w:b/>
        </w:rPr>
      </w:pPr>
      <w:r>
        <w:rPr>
          <w:rFonts w:ascii="Arial" w:hAnsi="Arial" w:cs="Arial"/>
          <w:b/>
        </w:rPr>
        <w:t xml:space="preserve">Emergency Department Psychiatric Service (EDPS) </w:t>
      </w:r>
      <w:r w:rsidR="00BD4B96">
        <w:rPr>
          <w:rFonts w:ascii="Arial" w:hAnsi="Arial" w:cs="Arial"/>
        </w:rPr>
        <w:t>–</w:t>
      </w:r>
      <w:r>
        <w:rPr>
          <w:rFonts w:ascii="Arial" w:hAnsi="Arial" w:cs="Arial"/>
        </w:rPr>
        <w:t xml:space="preserve"> </w:t>
      </w:r>
      <w:r w:rsidR="00BD4B96">
        <w:rPr>
          <w:rFonts w:ascii="Arial" w:hAnsi="Arial" w:cs="Arial"/>
        </w:rPr>
        <w:t>Horton General Hospital</w:t>
      </w:r>
      <w:r w:rsidR="00AF345D">
        <w:rPr>
          <w:rFonts w:ascii="Arial" w:hAnsi="Arial" w:cs="Arial"/>
        </w:rPr>
        <w:t xml:space="preserve"> (HGH)</w:t>
      </w:r>
      <w:r w:rsidR="00BD4B96">
        <w:rPr>
          <w:rFonts w:ascii="Arial" w:hAnsi="Arial" w:cs="Arial"/>
        </w:rPr>
        <w:t>.  Staffing pressures have resulted in</w:t>
      </w:r>
      <w:r w:rsidR="00437FB4">
        <w:rPr>
          <w:rFonts w:ascii="Arial" w:hAnsi="Arial" w:cs="Arial"/>
        </w:rPr>
        <w:t xml:space="preserve"> </w:t>
      </w:r>
      <w:proofErr w:type="gramStart"/>
      <w:r w:rsidR="00437FB4">
        <w:rPr>
          <w:rFonts w:ascii="Arial" w:hAnsi="Arial" w:cs="Arial"/>
        </w:rPr>
        <w:t>a number of</w:t>
      </w:r>
      <w:proofErr w:type="gramEnd"/>
      <w:r w:rsidR="00BD4B96">
        <w:rPr>
          <w:rFonts w:ascii="Arial" w:hAnsi="Arial" w:cs="Arial"/>
        </w:rPr>
        <w:t xml:space="preserve"> breaches of the 60 min and 90 min waiting time targets at the</w:t>
      </w:r>
      <w:r w:rsidR="00AF345D">
        <w:rPr>
          <w:rFonts w:ascii="Arial" w:hAnsi="Arial" w:cs="Arial"/>
        </w:rPr>
        <w:t xml:space="preserve"> HGH.  The pressures will be reported to the Quality Review Meeting (Oxfordshire CCG) so that risk to patients can be understood and mitigated.</w:t>
      </w:r>
    </w:p>
    <w:p w:rsidR="005F6A8B" w:rsidRPr="005F6A8B" w:rsidRDefault="005F6A8B" w:rsidP="005F6A8B">
      <w:pPr>
        <w:pStyle w:val="ListParagraph"/>
        <w:rPr>
          <w:rFonts w:ascii="Arial" w:hAnsi="Arial" w:cs="Arial"/>
        </w:rPr>
      </w:pPr>
    </w:p>
    <w:p w:rsidR="009A0683" w:rsidRPr="00BD4B96" w:rsidRDefault="00BD4B96" w:rsidP="00302535">
      <w:pPr>
        <w:pStyle w:val="ListParagraph"/>
        <w:numPr>
          <w:ilvl w:val="0"/>
          <w:numId w:val="18"/>
        </w:numPr>
        <w:rPr>
          <w:rFonts w:ascii="Arial" w:hAnsi="Arial" w:cs="Arial"/>
        </w:rPr>
      </w:pPr>
      <w:r>
        <w:rPr>
          <w:rFonts w:ascii="Arial" w:hAnsi="Arial" w:cs="Arial"/>
          <w:b/>
        </w:rPr>
        <w:t xml:space="preserve">CAMHS </w:t>
      </w:r>
      <w:r w:rsidR="00330845" w:rsidRPr="00BD4B96">
        <w:rPr>
          <w:rFonts w:ascii="Arial" w:hAnsi="Arial" w:cs="Arial"/>
          <w:b/>
        </w:rPr>
        <w:t>Waiting Times (</w:t>
      </w:r>
      <w:r w:rsidRPr="00BD4B96">
        <w:rPr>
          <w:rFonts w:ascii="Arial" w:hAnsi="Arial" w:cs="Arial"/>
          <w:b/>
        </w:rPr>
        <w:t>Wiltshire</w:t>
      </w:r>
      <w:r w:rsidR="00330845" w:rsidRPr="00BD4B96">
        <w:rPr>
          <w:rFonts w:ascii="Arial" w:hAnsi="Arial" w:cs="Arial"/>
          <w:b/>
        </w:rPr>
        <w:t>)</w:t>
      </w:r>
      <w:r w:rsidR="00330845" w:rsidRPr="00BD4B96">
        <w:rPr>
          <w:rFonts w:ascii="Arial" w:hAnsi="Arial" w:cs="Arial"/>
        </w:rPr>
        <w:t xml:space="preserve"> </w:t>
      </w:r>
      <w:r>
        <w:rPr>
          <w:rFonts w:ascii="Arial" w:hAnsi="Arial" w:cs="Arial"/>
        </w:rPr>
        <w:t>–</w:t>
      </w:r>
      <w:r w:rsidR="00330845" w:rsidRPr="00BD4B96">
        <w:rPr>
          <w:rFonts w:ascii="Arial" w:hAnsi="Arial" w:cs="Arial"/>
        </w:rPr>
        <w:t xml:space="preserve"> </w:t>
      </w:r>
      <w:r>
        <w:rPr>
          <w:rFonts w:ascii="Arial" w:hAnsi="Arial" w:cs="Arial"/>
        </w:rPr>
        <w:t>Although t</w:t>
      </w:r>
      <w:r w:rsidR="00302535" w:rsidRPr="00BD4B96">
        <w:rPr>
          <w:rFonts w:ascii="Arial" w:hAnsi="Arial" w:cs="Arial"/>
        </w:rPr>
        <w:t xml:space="preserve">here </w:t>
      </w:r>
      <w:r>
        <w:rPr>
          <w:rFonts w:ascii="Arial" w:hAnsi="Arial" w:cs="Arial"/>
        </w:rPr>
        <w:t>was</w:t>
      </w:r>
      <w:r w:rsidR="00302535" w:rsidRPr="00BD4B96">
        <w:rPr>
          <w:rFonts w:ascii="Arial" w:hAnsi="Arial" w:cs="Arial"/>
        </w:rPr>
        <w:t xml:space="preserve"> </w:t>
      </w:r>
      <w:r>
        <w:rPr>
          <w:rFonts w:ascii="Arial" w:hAnsi="Arial" w:cs="Arial"/>
        </w:rPr>
        <w:t xml:space="preserve">some steady </w:t>
      </w:r>
      <w:r w:rsidR="00302535" w:rsidRPr="00BD4B96">
        <w:rPr>
          <w:rFonts w:ascii="Arial" w:hAnsi="Arial" w:cs="Arial"/>
        </w:rPr>
        <w:t xml:space="preserve">improvement </w:t>
      </w:r>
      <w:r>
        <w:rPr>
          <w:rFonts w:ascii="Arial" w:hAnsi="Arial" w:cs="Arial"/>
        </w:rPr>
        <w:t xml:space="preserve">seen </w:t>
      </w:r>
      <w:r w:rsidR="00302535" w:rsidRPr="00BD4B96">
        <w:rPr>
          <w:rFonts w:ascii="Arial" w:hAnsi="Arial" w:cs="Arial"/>
        </w:rPr>
        <w:t>in</w:t>
      </w:r>
      <w:r w:rsidR="009A0683" w:rsidRPr="00BD4B96">
        <w:rPr>
          <w:rFonts w:ascii="Arial" w:hAnsi="Arial" w:cs="Arial"/>
        </w:rPr>
        <w:t xml:space="preserve"> 4 week (first appointment) and 8 week (referral to treatment)</w:t>
      </w:r>
      <w:r w:rsidR="00302535" w:rsidRPr="00BD4B96">
        <w:rPr>
          <w:rFonts w:ascii="Arial" w:hAnsi="Arial" w:cs="Arial"/>
        </w:rPr>
        <w:t xml:space="preserve"> waiting times in </w:t>
      </w:r>
      <w:r>
        <w:rPr>
          <w:rFonts w:ascii="Arial" w:hAnsi="Arial" w:cs="Arial"/>
        </w:rPr>
        <w:t>Wiltshire, performance appears to have taken a sharp decline in December and January.  Further work to confirm data accuracy is now underway.</w:t>
      </w:r>
      <w:r w:rsidR="009A0683" w:rsidRPr="00BD4B96">
        <w:rPr>
          <w:rFonts w:ascii="Arial" w:hAnsi="Arial" w:cs="Arial"/>
        </w:rPr>
        <w:t xml:space="preserve">  </w:t>
      </w:r>
    </w:p>
    <w:p w:rsidR="00330845" w:rsidRDefault="00330845" w:rsidP="00330845">
      <w:pPr>
        <w:pStyle w:val="ListParagraph"/>
        <w:rPr>
          <w:rFonts w:ascii="Arial" w:hAnsi="Arial" w:cs="Arial"/>
        </w:rPr>
      </w:pPr>
    </w:p>
    <w:p w:rsidR="009E31B0" w:rsidRDefault="00330845" w:rsidP="00302535">
      <w:pPr>
        <w:pStyle w:val="ListParagraph"/>
        <w:numPr>
          <w:ilvl w:val="0"/>
          <w:numId w:val="18"/>
        </w:numPr>
        <w:rPr>
          <w:rFonts w:ascii="Arial" w:hAnsi="Arial" w:cs="Arial"/>
        </w:rPr>
      </w:pPr>
      <w:r w:rsidRPr="00330845">
        <w:rPr>
          <w:rFonts w:ascii="Arial" w:hAnsi="Arial" w:cs="Arial"/>
          <w:b/>
        </w:rPr>
        <w:t>Adult Mental Health (OXON)</w:t>
      </w:r>
      <w:r>
        <w:rPr>
          <w:rFonts w:ascii="Arial" w:hAnsi="Arial" w:cs="Arial"/>
        </w:rPr>
        <w:t xml:space="preserve"> – A significant underfunding of mental health in Oxfordshire has resulted in considerable pressure building up for mental health services.  </w:t>
      </w:r>
      <w:r w:rsidR="005F4BA9" w:rsidRPr="005F4BA9">
        <w:rPr>
          <w:rFonts w:ascii="Arial" w:hAnsi="Arial" w:cs="Arial"/>
          <w:b/>
        </w:rPr>
        <w:t xml:space="preserve">The Trust was not able to achieve the originally contracted 4 week waiting time target for routine referrals and is now under pressure to achieve even the </w:t>
      </w:r>
      <w:proofErr w:type="gramStart"/>
      <w:r w:rsidR="005F4BA9" w:rsidRPr="005F4BA9">
        <w:rPr>
          <w:rFonts w:ascii="Arial" w:hAnsi="Arial" w:cs="Arial"/>
          <w:b/>
        </w:rPr>
        <w:t>8 week</w:t>
      </w:r>
      <w:proofErr w:type="gramEnd"/>
      <w:r w:rsidR="005F4BA9" w:rsidRPr="005F4BA9">
        <w:rPr>
          <w:rFonts w:ascii="Arial" w:hAnsi="Arial" w:cs="Arial"/>
          <w:b/>
        </w:rPr>
        <w:t xml:space="preserve"> target.</w:t>
      </w:r>
      <w:r w:rsidR="005F4BA9">
        <w:rPr>
          <w:rFonts w:ascii="Arial" w:hAnsi="Arial" w:cs="Arial"/>
        </w:rPr>
        <w:t xml:space="preserve">  </w:t>
      </w:r>
      <w:r w:rsidR="009E31B0">
        <w:rPr>
          <w:rFonts w:ascii="Arial" w:hAnsi="Arial" w:cs="Arial"/>
        </w:rPr>
        <w:t xml:space="preserve">This position </w:t>
      </w:r>
      <w:r w:rsidR="005F4BA9">
        <w:rPr>
          <w:rFonts w:ascii="Arial" w:hAnsi="Arial" w:cs="Arial"/>
        </w:rPr>
        <w:t>continues to be discussed</w:t>
      </w:r>
      <w:r w:rsidR="009E31B0">
        <w:rPr>
          <w:rFonts w:ascii="Arial" w:hAnsi="Arial" w:cs="Arial"/>
        </w:rPr>
        <w:t xml:space="preserve"> with </w:t>
      </w:r>
      <w:proofErr w:type="spellStart"/>
      <w:r w:rsidR="005F4BA9">
        <w:rPr>
          <w:rFonts w:ascii="Arial" w:hAnsi="Arial" w:cs="Arial"/>
        </w:rPr>
        <w:t>C</w:t>
      </w:r>
      <w:r w:rsidR="009E31B0">
        <w:rPr>
          <w:rFonts w:ascii="Arial" w:hAnsi="Arial" w:cs="Arial"/>
        </w:rPr>
        <w:t>ommissoners</w:t>
      </w:r>
      <w:proofErr w:type="spellEnd"/>
      <w:r w:rsidR="009E31B0">
        <w:rPr>
          <w:rFonts w:ascii="Arial" w:hAnsi="Arial" w:cs="Arial"/>
        </w:rPr>
        <w:t>.</w:t>
      </w:r>
    </w:p>
    <w:p w:rsidR="009E31B0" w:rsidRPr="009E31B0" w:rsidRDefault="009E31B0" w:rsidP="009E31B0">
      <w:pPr>
        <w:pStyle w:val="ListParagraph"/>
        <w:rPr>
          <w:rFonts w:ascii="Arial" w:hAnsi="Arial" w:cs="Arial"/>
        </w:rPr>
      </w:pPr>
    </w:p>
    <w:p w:rsidR="001E3511" w:rsidRDefault="009E31B0" w:rsidP="00302535">
      <w:pPr>
        <w:pStyle w:val="ListParagraph"/>
        <w:numPr>
          <w:ilvl w:val="0"/>
          <w:numId w:val="18"/>
        </w:numPr>
        <w:rPr>
          <w:rFonts w:ascii="Arial" w:hAnsi="Arial" w:cs="Arial"/>
        </w:rPr>
      </w:pPr>
      <w:r w:rsidRPr="009E31B0">
        <w:rPr>
          <w:rFonts w:ascii="Arial" w:hAnsi="Arial" w:cs="Arial"/>
          <w:b/>
        </w:rPr>
        <w:t>Children &amp; Young People Mental Health (OXON)</w:t>
      </w:r>
      <w:r>
        <w:rPr>
          <w:rFonts w:ascii="Arial" w:hAnsi="Arial" w:cs="Arial"/>
        </w:rPr>
        <w:t xml:space="preserve"> – Although Oxfordshire has been awarded additional funding through the national trailblazer scheme, </w:t>
      </w:r>
      <w:r w:rsidRPr="005F4BA9">
        <w:rPr>
          <w:rFonts w:ascii="Arial" w:hAnsi="Arial" w:cs="Arial"/>
          <w:b/>
        </w:rPr>
        <w:t>further investment is still required</w:t>
      </w:r>
      <w:r w:rsidR="005F4BA9" w:rsidRPr="005F4BA9">
        <w:rPr>
          <w:rFonts w:ascii="Arial" w:hAnsi="Arial" w:cs="Arial"/>
          <w:b/>
        </w:rPr>
        <w:t xml:space="preserve"> to meet the existing demand</w:t>
      </w:r>
      <w:r w:rsidR="005F4BA9">
        <w:rPr>
          <w:rFonts w:ascii="Arial" w:hAnsi="Arial" w:cs="Arial"/>
        </w:rPr>
        <w:t xml:space="preserve"> and </w:t>
      </w:r>
      <w:r>
        <w:rPr>
          <w:rFonts w:ascii="Arial" w:hAnsi="Arial" w:cs="Arial"/>
        </w:rPr>
        <w:t xml:space="preserve">to achieve the national access and treatment targets.  As with the position reported for Adults, </w:t>
      </w:r>
      <w:r w:rsidRPr="005F4BA9">
        <w:rPr>
          <w:rFonts w:ascii="Arial" w:hAnsi="Arial" w:cs="Arial"/>
          <w:b/>
        </w:rPr>
        <w:t>the Trust will not be able to</w:t>
      </w:r>
      <w:r w:rsidR="005F4BA9" w:rsidRPr="005F4BA9">
        <w:rPr>
          <w:rFonts w:ascii="Arial" w:hAnsi="Arial" w:cs="Arial"/>
          <w:b/>
        </w:rPr>
        <w:t xml:space="preserve"> respond to the existing demand and</w:t>
      </w:r>
      <w:r w:rsidRPr="005F4BA9">
        <w:rPr>
          <w:rFonts w:ascii="Arial" w:hAnsi="Arial" w:cs="Arial"/>
          <w:b/>
        </w:rPr>
        <w:t xml:space="preserve"> achieve </w:t>
      </w:r>
      <w:proofErr w:type="gramStart"/>
      <w:r w:rsidRPr="005F4BA9">
        <w:rPr>
          <w:rFonts w:ascii="Arial" w:hAnsi="Arial" w:cs="Arial"/>
          <w:b/>
        </w:rPr>
        <w:t>all of</w:t>
      </w:r>
      <w:proofErr w:type="gramEnd"/>
      <w:r w:rsidRPr="005F4BA9">
        <w:rPr>
          <w:rFonts w:ascii="Arial" w:hAnsi="Arial" w:cs="Arial"/>
          <w:b/>
        </w:rPr>
        <w:t xml:space="preserve"> the required targets unless further investment is received</w:t>
      </w:r>
      <w:r>
        <w:rPr>
          <w:rFonts w:ascii="Arial" w:hAnsi="Arial" w:cs="Arial"/>
        </w:rPr>
        <w:t xml:space="preserve">.  This position is being discussed with </w:t>
      </w:r>
      <w:proofErr w:type="spellStart"/>
      <w:r>
        <w:rPr>
          <w:rFonts w:ascii="Arial" w:hAnsi="Arial" w:cs="Arial"/>
        </w:rPr>
        <w:t>Commissoners</w:t>
      </w:r>
      <w:proofErr w:type="spellEnd"/>
      <w:r>
        <w:rPr>
          <w:rFonts w:ascii="Arial" w:hAnsi="Arial" w:cs="Arial"/>
        </w:rPr>
        <w:t>.</w:t>
      </w:r>
      <w:r w:rsidR="00302535">
        <w:rPr>
          <w:rFonts w:ascii="Arial" w:hAnsi="Arial" w:cs="Arial"/>
        </w:rPr>
        <w:t xml:space="preserve">  </w:t>
      </w:r>
      <w:r w:rsidR="00EA34EB" w:rsidRPr="00302535">
        <w:rPr>
          <w:rFonts w:ascii="Arial" w:hAnsi="Arial" w:cs="Arial"/>
        </w:rPr>
        <w:t xml:space="preserve">  </w:t>
      </w:r>
    </w:p>
    <w:p w:rsidR="007319DB" w:rsidRPr="007319DB" w:rsidRDefault="007319DB" w:rsidP="007319DB">
      <w:pPr>
        <w:pStyle w:val="ListParagraph"/>
        <w:rPr>
          <w:rFonts w:ascii="Arial" w:hAnsi="Arial" w:cs="Arial"/>
        </w:rPr>
      </w:pPr>
    </w:p>
    <w:p w:rsidR="009142DE" w:rsidRDefault="007319DB" w:rsidP="00EE0BDB">
      <w:pPr>
        <w:pStyle w:val="ListParagraph"/>
        <w:numPr>
          <w:ilvl w:val="0"/>
          <w:numId w:val="18"/>
        </w:numPr>
        <w:rPr>
          <w:rFonts w:ascii="Arial" w:hAnsi="Arial" w:cs="Arial"/>
        </w:rPr>
      </w:pPr>
      <w:r w:rsidRPr="00830125">
        <w:rPr>
          <w:rFonts w:ascii="Arial" w:hAnsi="Arial" w:cs="Arial"/>
          <w:b/>
        </w:rPr>
        <w:t>GP Outpatient Letters sent within 10 days</w:t>
      </w:r>
      <w:r w:rsidRPr="00830125">
        <w:rPr>
          <w:rFonts w:ascii="Arial" w:hAnsi="Arial" w:cs="Arial"/>
        </w:rPr>
        <w:t xml:space="preserve"> – Performance against this target continues to improve and the trajectory suggests compliance within the next month or two.  However, at a national level, the NHS target has been changed and the Trust will be required to send letters within 7 days from March 1</w:t>
      </w:r>
      <w:r w:rsidRPr="00830125">
        <w:rPr>
          <w:rFonts w:ascii="Arial" w:hAnsi="Arial" w:cs="Arial"/>
          <w:vertAlign w:val="superscript"/>
        </w:rPr>
        <w:t>st</w:t>
      </w:r>
      <w:r w:rsidRPr="00830125">
        <w:rPr>
          <w:rFonts w:ascii="Arial" w:hAnsi="Arial" w:cs="Arial"/>
        </w:rPr>
        <w:t xml:space="preserve">.  Staff are being reminded of the need to ensure that letters are sent in a timely </w:t>
      </w:r>
      <w:proofErr w:type="gramStart"/>
      <w:r w:rsidRPr="00830125">
        <w:rPr>
          <w:rFonts w:ascii="Arial" w:hAnsi="Arial" w:cs="Arial"/>
        </w:rPr>
        <w:t>way</w:t>
      </w:r>
      <w:proofErr w:type="gramEnd"/>
      <w:r w:rsidRPr="00830125">
        <w:rPr>
          <w:rFonts w:ascii="Arial" w:hAnsi="Arial" w:cs="Arial"/>
        </w:rPr>
        <w:t xml:space="preserve"> but this change of target </w:t>
      </w:r>
      <w:r w:rsidR="00C61CC5" w:rsidRPr="00830125">
        <w:rPr>
          <w:rFonts w:ascii="Arial" w:hAnsi="Arial" w:cs="Arial"/>
        </w:rPr>
        <w:t>is likely to</w:t>
      </w:r>
      <w:r w:rsidRPr="00830125">
        <w:rPr>
          <w:rFonts w:ascii="Arial" w:hAnsi="Arial" w:cs="Arial"/>
        </w:rPr>
        <w:t xml:space="preserve"> result in a </w:t>
      </w:r>
      <w:r w:rsidRPr="00830125">
        <w:rPr>
          <w:rFonts w:ascii="Arial" w:hAnsi="Arial" w:cs="Arial"/>
        </w:rPr>
        <w:lastRenderedPageBreak/>
        <w:t>further period of non-compliance.  Work is underway within the Trust’s IM&amp;T Service to support productivity and efficiency improvements.</w:t>
      </w:r>
      <w:r w:rsidR="00830125" w:rsidRPr="00830125">
        <w:rPr>
          <w:rFonts w:ascii="Arial" w:hAnsi="Arial" w:cs="Arial"/>
        </w:rPr>
        <w:t xml:space="preserve">   </w:t>
      </w:r>
    </w:p>
    <w:p w:rsidR="00830125" w:rsidRPr="00830125" w:rsidRDefault="00830125" w:rsidP="00830125">
      <w:pPr>
        <w:pStyle w:val="ListParagraph"/>
        <w:rPr>
          <w:rFonts w:ascii="Arial" w:hAnsi="Arial" w:cs="Arial"/>
        </w:rPr>
      </w:pPr>
    </w:p>
    <w:p w:rsidR="00EA34EB" w:rsidRDefault="00EA34EB" w:rsidP="001E3511">
      <w:pPr>
        <w:rPr>
          <w:rFonts w:ascii="Arial" w:hAnsi="Arial" w:cs="Arial"/>
        </w:rPr>
      </w:pPr>
      <w:r>
        <w:rPr>
          <w:rFonts w:ascii="Arial" w:hAnsi="Arial" w:cs="Arial"/>
          <w:b/>
        </w:rPr>
        <w:t xml:space="preserve">Buckinghamshire – All Ages Mental Health </w:t>
      </w:r>
      <w:r>
        <w:rPr>
          <w:rFonts w:ascii="Arial" w:hAnsi="Arial" w:cs="Arial"/>
        </w:rPr>
        <w:t xml:space="preserve">achieved </w:t>
      </w:r>
      <w:r w:rsidR="00DB3604">
        <w:rPr>
          <w:rFonts w:ascii="Arial" w:hAnsi="Arial" w:cs="Arial"/>
        </w:rPr>
        <w:t>3</w:t>
      </w:r>
      <w:r w:rsidR="008D36D2">
        <w:rPr>
          <w:rFonts w:ascii="Arial" w:hAnsi="Arial" w:cs="Arial"/>
        </w:rPr>
        <w:t>2</w:t>
      </w:r>
      <w:r w:rsidR="00DB3604">
        <w:rPr>
          <w:rFonts w:ascii="Arial" w:hAnsi="Arial" w:cs="Arial"/>
        </w:rPr>
        <w:t xml:space="preserve"> of the </w:t>
      </w:r>
      <w:r w:rsidR="008D36D2">
        <w:rPr>
          <w:rFonts w:ascii="Arial" w:hAnsi="Arial" w:cs="Arial"/>
        </w:rPr>
        <w:t>47</w:t>
      </w:r>
      <w:r>
        <w:rPr>
          <w:rFonts w:ascii="Arial" w:hAnsi="Arial" w:cs="Arial"/>
        </w:rPr>
        <w:t xml:space="preserve"> targeted indicators</w:t>
      </w:r>
      <w:r w:rsidR="00DB3604">
        <w:rPr>
          <w:rFonts w:ascii="Arial" w:hAnsi="Arial" w:cs="Arial"/>
        </w:rPr>
        <w:t xml:space="preserve"> (</w:t>
      </w:r>
      <w:r w:rsidR="008D36D2">
        <w:rPr>
          <w:rFonts w:ascii="Arial" w:hAnsi="Arial" w:cs="Arial"/>
        </w:rPr>
        <w:t>68</w:t>
      </w:r>
      <w:r w:rsidR="00DB3604">
        <w:rPr>
          <w:rFonts w:ascii="Arial" w:hAnsi="Arial" w:cs="Arial"/>
        </w:rPr>
        <w:t>%)</w:t>
      </w:r>
      <w:r>
        <w:rPr>
          <w:rFonts w:ascii="Arial" w:hAnsi="Arial" w:cs="Arial"/>
        </w:rPr>
        <w:t xml:space="preserve">.  </w:t>
      </w:r>
    </w:p>
    <w:p w:rsidR="00132863" w:rsidRDefault="00132863" w:rsidP="001E3511">
      <w:pPr>
        <w:rPr>
          <w:rFonts w:ascii="Arial" w:hAnsi="Arial" w:cs="Arial"/>
          <w:b/>
        </w:rPr>
      </w:pPr>
    </w:p>
    <w:p w:rsidR="00132863" w:rsidRPr="00132863" w:rsidRDefault="00132863" w:rsidP="00132863">
      <w:pPr>
        <w:rPr>
          <w:rFonts w:ascii="Arial" w:hAnsi="Arial" w:cs="Arial"/>
          <w:b/>
        </w:rPr>
      </w:pPr>
      <w:r w:rsidRPr="00132863">
        <w:rPr>
          <w:rFonts w:ascii="Arial" w:hAnsi="Arial" w:cs="Arial"/>
          <w:b/>
        </w:rPr>
        <w:t>Highlights for the Board:</w:t>
      </w:r>
    </w:p>
    <w:p w:rsidR="00132863" w:rsidRPr="00801A75" w:rsidRDefault="00132863" w:rsidP="001E3511">
      <w:pPr>
        <w:rPr>
          <w:rFonts w:ascii="Arial" w:hAnsi="Arial" w:cs="Arial"/>
          <w:b/>
        </w:rPr>
      </w:pPr>
    </w:p>
    <w:p w:rsidR="00BB3BD5" w:rsidRDefault="00BB3BD5" w:rsidP="00BB3BD5">
      <w:pPr>
        <w:pStyle w:val="ListParagraph"/>
        <w:numPr>
          <w:ilvl w:val="0"/>
          <w:numId w:val="19"/>
        </w:numPr>
        <w:jc w:val="both"/>
        <w:rPr>
          <w:rFonts w:ascii="Arial" w:hAnsi="Arial" w:cs="Arial"/>
        </w:rPr>
      </w:pPr>
      <w:r w:rsidRPr="005F270E">
        <w:rPr>
          <w:rFonts w:ascii="Arial" w:hAnsi="Arial" w:cs="Arial"/>
          <w:b/>
        </w:rPr>
        <w:t>Memory Services</w:t>
      </w:r>
      <w:r>
        <w:rPr>
          <w:rFonts w:ascii="Arial" w:hAnsi="Arial" w:cs="Arial"/>
        </w:rPr>
        <w:t xml:space="preserve"> – </w:t>
      </w:r>
      <w:r w:rsidR="001B4B9D">
        <w:rPr>
          <w:rFonts w:ascii="Arial" w:hAnsi="Arial" w:cs="Arial"/>
        </w:rPr>
        <w:t xml:space="preserve">Performance </w:t>
      </w:r>
      <w:r w:rsidR="006160CC">
        <w:rPr>
          <w:rFonts w:ascii="Arial" w:hAnsi="Arial" w:cs="Arial"/>
        </w:rPr>
        <w:t>continues to improve</w:t>
      </w:r>
      <w:r w:rsidR="001B4B9D">
        <w:rPr>
          <w:rFonts w:ascii="Arial" w:hAnsi="Arial" w:cs="Arial"/>
        </w:rPr>
        <w:t xml:space="preserve"> since the low reported in September 2018 and </w:t>
      </w:r>
      <w:r w:rsidR="006160CC">
        <w:rPr>
          <w:rFonts w:ascii="Arial" w:hAnsi="Arial" w:cs="Arial"/>
        </w:rPr>
        <w:t xml:space="preserve">if the trend continues, the service will achieve their target of </w:t>
      </w:r>
      <w:r w:rsidR="007319DB">
        <w:rPr>
          <w:rFonts w:ascii="Arial" w:hAnsi="Arial" w:cs="Arial"/>
        </w:rPr>
        <w:t>85% in either March or April 2019</w:t>
      </w:r>
      <w:r w:rsidR="001B4B9D">
        <w:rPr>
          <w:rFonts w:ascii="Arial" w:hAnsi="Arial" w:cs="Arial"/>
        </w:rPr>
        <w:t>.</w:t>
      </w:r>
      <w:r w:rsidR="007319DB">
        <w:rPr>
          <w:rFonts w:ascii="Arial" w:hAnsi="Arial" w:cs="Arial"/>
        </w:rPr>
        <w:t xml:space="preserve">  </w:t>
      </w:r>
    </w:p>
    <w:p w:rsidR="007319DB" w:rsidRDefault="007319DB" w:rsidP="007319DB">
      <w:pPr>
        <w:pStyle w:val="ListParagraph"/>
        <w:jc w:val="both"/>
        <w:rPr>
          <w:rFonts w:ascii="Arial" w:hAnsi="Arial" w:cs="Arial"/>
        </w:rPr>
      </w:pPr>
    </w:p>
    <w:p w:rsidR="007319DB" w:rsidRDefault="007319DB" w:rsidP="00BB3BD5">
      <w:pPr>
        <w:pStyle w:val="ListParagraph"/>
        <w:numPr>
          <w:ilvl w:val="0"/>
          <w:numId w:val="19"/>
        </w:numPr>
        <w:jc w:val="both"/>
        <w:rPr>
          <w:rFonts w:ascii="Arial" w:hAnsi="Arial" w:cs="Arial"/>
        </w:rPr>
      </w:pPr>
      <w:r>
        <w:rPr>
          <w:rFonts w:ascii="Arial" w:hAnsi="Arial" w:cs="Arial"/>
          <w:b/>
        </w:rPr>
        <w:t xml:space="preserve">Care Reviews (Clusters) </w:t>
      </w:r>
      <w:r w:rsidR="00983ECE">
        <w:rPr>
          <w:rFonts w:ascii="Arial" w:hAnsi="Arial" w:cs="Arial"/>
        </w:rPr>
        <w:t>–</w:t>
      </w:r>
      <w:r>
        <w:rPr>
          <w:rFonts w:ascii="Arial" w:hAnsi="Arial" w:cs="Arial"/>
        </w:rPr>
        <w:t xml:space="preserve"> </w:t>
      </w:r>
      <w:r w:rsidR="00983ECE">
        <w:rPr>
          <w:rFonts w:ascii="Arial" w:hAnsi="Arial" w:cs="Arial"/>
        </w:rPr>
        <w:t>A new dashboard is currently being piloted prior to rollout within front line teams.  The aim is to proactively provide clinicians with a view on when care reviews need to be carried out.  The pilot is expected to complete in late February and then a review carried out in March to decide next steps.  A further update will be provided in March 2019.</w:t>
      </w:r>
    </w:p>
    <w:p w:rsidR="00BB3BD5" w:rsidRDefault="00BB3BD5" w:rsidP="00BB3BD5">
      <w:pPr>
        <w:pStyle w:val="ListParagraph"/>
        <w:jc w:val="both"/>
        <w:rPr>
          <w:rFonts w:ascii="Arial" w:hAnsi="Arial" w:cs="Arial"/>
        </w:rPr>
      </w:pPr>
    </w:p>
    <w:p w:rsidR="00EA34EB" w:rsidRDefault="00EA34EB" w:rsidP="00EA34EB">
      <w:pPr>
        <w:jc w:val="both"/>
        <w:rPr>
          <w:rFonts w:ascii="Arial" w:hAnsi="Arial" w:cs="Arial"/>
        </w:rPr>
      </w:pPr>
      <w:r w:rsidRPr="000161D5">
        <w:rPr>
          <w:rFonts w:ascii="Arial" w:hAnsi="Arial" w:cs="Arial"/>
          <w:b/>
        </w:rPr>
        <w:t>Oxfordshire Community Services Directorate</w:t>
      </w:r>
      <w:r>
        <w:rPr>
          <w:rFonts w:ascii="Arial" w:hAnsi="Arial" w:cs="Arial"/>
          <w:b/>
        </w:rPr>
        <w:t xml:space="preserve"> </w:t>
      </w:r>
      <w:r>
        <w:rPr>
          <w:rFonts w:ascii="Arial" w:hAnsi="Arial" w:cs="Arial"/>
        </w:rPr>
        <w:t xml:space="preserve">achieved </w:t>
      </w:r>
      <w:r w:rsidR="000A3319">
        <w:rPr>
          <w:rFonts w:ascii="Arial" w:hAnsi="Arial" w:cs="Arial"/>
        </w:rPr>
        <w:t>31</w:t>
      </w:r>
      <w:r>
        <w:rPr>
          <w:rFonts w:ascii="Arial" w:hAnsi="Arial" w:cs="Arial"/>
        </w:rPr>
        <w:t xml:space="preserve"> of the </w:t>
      </w:r>
      <w:r w:rsidR="000A3319">
        <w:rPr>
          <w:rFonts w:ascii="Arial" w:hAnsi="Arial" w:cs="Arial"/>
        </w:rPr>
        <w:t>43</w:t>
      </w:r>
      <w:r>
        <w:rPr>
          <w:rFonts w:ascii="Arial" w:hAnsi="Arial" w:cs="Arial"/>
        </w:rPr>
        <w:t xml:space="preserve"> targeted indicators</w:t>
      </w:r>
      <w:r w:rsidR="007F19A4">
        <w:rPr>
          <w:rFonts w:ascii="Arial" w:hAnsi="Arial" w:cs="Arial"/>
        </w:rPr>
        <w:t xml:space="preserve"> (72%)</w:t>
      </w:r>
      <w:r>
        <w:rPr>
          <w:rFonts w:ascii="Arial" w:hAnsi="Arial" w:cs="Arial"/>
        </w:rPr>
        <w:t xml:space="preserve">. </w:t>
      </w:r>
    </w:p>
    <w:p w:rsidR="00132863" w:rsidRDefault="00132863" w:rsidP="00EA34EB">
      <w:pPr>
        <w:jc w:val="both"/>
        <w:rPr>
          <w:rFonts w:ascii="Arial" w:hAnsi="Arial" w:cs="Arial"/>
        </w:rPr>
      </w:pPr>
    </w:p>
    <w:p w:rsidR="00132863" w:rsidRPr="00132863" w:rsidRDefault="00132863" w:rsidP="00132863">
      <w:pPr>
        <w:rPr>
          <w:rFonts w:ascii="Arial" w:hAnsi="Arial" w:cs="Arial"/>
          <w:b/>
        </w:rPr>
      </w:pPr>
      <w:r w:rsidRPr="00132863">
        <w:rPr>
          <w:rFonts w:ascii="Arial" w:hAnsi="Arial" w:cs="Arial"/>
          <w:b/>
        </w:rPr>
        <w:t>Highlights for the Board:</w:t>
      </w:r>
    </w:p>
    <w:p w:rsidR="00132863" w:rsidRDefault="00132863" w:rsidP="00EA34EB">
      <w:pPr>
        <w:jc w:val="both"/>
        <w:rPr>
          <w:rFonts w:ascii="Arial" w:hAnsi="Arial" w:cs="Arial"/>
        </w:rPr>
      </w:pPr>
    </w:p>
    <w:p w:rsidR="00353DB4" w:rsidRPr="00353DB4" w:rsidRDefault="00353DB4" w:rsidP="00E0208E">
      <w:pPr>
        <w:pStyle w:val="ListParagraph"/>
        <w:numPr>
          <w:ilvl w:val="0"/>
          <w:numId w:val="20"/>
        </w:numPr>
        <w:jc w:val="both"/>
        <w:rPr>
          <w:rFonts w:ascii="Arial" w:hAnsi="Arial" w:cs="Arial"/>
          <w:b/>
        </w:rPr>
      </w:pPr>
      <w:r w:rsidRPr="00353DB4">
        <w:rPr>
          <w:rFonts w:ascii="Arial" w:hAnsi="Arial" w:cs="Arial"/>
          <w:b/>
        </w:rPr>
        <w:t>Physical Disabilities Physiotherapy Service (PDPS)</w:t>
      </w:r>
      <w:r>
        <w:rPr>
          <w:rFonts w:ascii="Arial" w:hAnsi="Arial" w:cs="Arial"/>
        </w:rPr>
        <w:t xml:space="preserve"> – Due to a significant increase in referrals to the PDPS service (Parkinson’s patients) the Trust has not been able to achieve the waiting time targets.  This has been discussed with commissioners and further investment has been requested.  To date, no additional funding has been </w:t>
      </w:r>
      <w:proofErr w:type="gramStart"/>
      <w:r>
        <w:rPr>
          <w:rFonts w:ascii="Arial" w:hAnsi="Arial" w:cs="Arial"/>
        </w:rPr>
        <w:t>available</w:t>
      </w:r>
      <w:proofErr w:type="gramEnd"/>
      <w:r>
        <w:rPr>
          <w:rFonts w:ascii="Arial" w:hAnsi="Arial" w:cs="Arial"/>
        </w:rPr>
        <w:t xml:space="preserve"> so the waiting time targets continue to be suspended.  The number of patients referred continues to be high and waiting times are increasing due to the additional pressure.</w:t>
      </w:r>
    </w:p>
    <w:p w:rsidR="00353DB4" w:rsidRPr="00353DB4" w:rsidRDefault="00353DB4" w:rsidP="00353DB4">
      <w:pPr>
        <w:pStyle w:val="ListParagraph"/>
        <w:jc w:val="both"/>
        <w:rPr>
          <w:rFonts w:ascii="Arial" w:hAnsi="Arial" w:cs="Arial"/>
        </w:rPr>
      </w:pPr>
    </w:p>
    <w:p w:rsidR="00EA34EB" w:rsidRPr="00E0208E" w:rsidRDefault="007F19A4" w:rsidP="00E0208E">
      <w:pPr>
        <w:pStyle w:val="ListParagraph"/>
        <w:numPr>
          <w:ilvl w:val="0"/>
          <w:numId w:val="20"/>
        </w:numPr>
        <w:jc w:val="both"/>
        <w:rPr>
          <w:rFonts w:ascii="Arial" w:hAnsi="Arial" w:cs="Arial"/>
        </w:rPr>
      </w:pPr>
      <w:r w:rsidRPr="00C37643">
        <w:rPr>
          <w:rFonts w:ascii="Arial" w:hAnsi="Arial" w:cs="Arial"/>
          <w:b/>
        </w:rPr>
        <w:t xml:space="preserve">Oxfordshire and Buckinghamshire </w:t>
      </w:r>
      <w:r w:rsidR="00C37643" w:rsidRPr="00C37643">
        <w:rPr>
          <w:rFonts w:ascii="Arial" w:hAnsi="Arial" w:cs="Arial"/>
          <w:b/>
        </w:rPr>
        <w:t>Continuing Health Care (CHC</w:t>
      </w:r>
      <w:r w:rsidR="00C37643">
        <w:rPr>
          <w:rFonts w:ascii="Arial" w:hAnsi="Arial" w:cs="Arial"/>
        </w:rPr>
        <w:t xml:space="preserve">) – Detailed discussions are now underway with commissioners in Oxfordshire and Buckinghamshire to resolve a number of </w:t>
      </w:r>
      <w:proofErr w:type="gramStart"/>
      <w:r w:rsidR="00C37643">
        <w:rPr>
          <w:rFonts w:ascii="Arial" w:hAnsi="Arial" w:cs="Arial"/>
        </w:rPr>
        <w:t>long standing</w:t>
      </w:r>
      <w:proofErr w:type="gramEnd"/>
      <w:r w:rsidR="00C37643">
        <w:rPr>
          <w:rFonts w:ascii="Arial" w:hAnsi="Arial" w:cs="Arial"/>
        </w:rPr>
        <w:t xml:space="preserve"> issues in both counties.  </w:t>
      </w:r>
      <w:r w:rsidR="00095F98">
        <w:rPr>
          <w:rFonts w:ascii="Arial" w:hAnsi="Arial" w:cs="Arial"/>
        </w:rPr>
        <w:t xml:space="preserve">A new specification for CHC services </w:t>
      </w:r>
      <w:r w:rsidR="006D0B6C">
        <w:rPr>
          <w:rFonts w:ascii="Arial" w:hAnsi="Arial" w:cs="Arial"/>
        </w:rPr>
        <w:t>was</w:t>
      </w:r>
      <w:r w:rsidR="00095F98">
        <w:rPr>
          <w:rFonts w:ascii="Arial" w:hAnsi="Arial" w:cs="Arial"/>
        </w:rPr>
        <w:t xml:space="preserve"> drafted by commissioners and </w:t>
      </w:r>
      <w:r w:rsidR="006D0B6C">
        <w:rPr>
          <w:rFonts w:ascii="Arial" w:hAnsi="Arial" w:cs="Arial"/>
        </w:rPr>
        <w:t xml:space="preserve">following </w:t>
      </w:r>
      <w:r w:rsidR="00095F98">
        <w:rPr>
          <w:rFonts w:ascii="Arial" w:hAnsi="Arial" w:cs="Arial"/>
        </w:rPr>
        <w:t xml:space="preserve">a PIN (procurement information notice) </w:t>
      </w:r>
      <w:r w:rsidR="006D0B6C">
        <w:rPr>
          <w:rFonts w:ascii="Arial" w:hAnsi="Arial" w:cs="Arial"/>
        </w:rPr>
        <w:t xml:space="preserve">there has been some interest from the </w:t>
      </w:r>
      <w:proofErr w:type="gramStart"/>
      <w:r w:rsidR="006D0B6C">
        <w:rPr>
          <w:rFonts w:ascii="Arial" w:hAnsi="Arial" w:cs="Arial"/>
        </w:rPr>
        <w:t>market</w:t>
      </w:r>
      <w:proofErr w:type="gramEnd"/>
      <w:r w:rsidR="006D0B6C">
        <w:rPr>
          <w:rFonts w:ascii="Arial" w:hAnsi="Arial" w:cs="Arial"/>
        </w:rPr>
        <w:t xml:space="preserve"> so commissioners will undertake a procurement exercise</w:t>
      </w:r>
      <w:r w:rsidR="00095F98">
        <w:rPr>
          <w:rFonts w:ascii="Arial" w:hAnsi="Arial" w:cs="Arial"/>
        </w:rPr>
        <w:t xml:space="preserve">.  </w:t>
      </w:r>
    </w:p>
    <w:p w:rsidR="00E0208E" w:rsidRDefault="00E0208E" w:rsidP="00EA34EB">
      <w:pPr>
        <w:jc w:val="both"/>
        <w:rPr>
          <w:rFonts w:ascii="Arial" w:hAnsi="Arial" w:cs="Arial"/>
        </w:rPr>
      </w:pPr>
    </w:p>
    <w:p w:rsidR="00EA34EB" w:rsidRDefault="00EA34EB" w:rsidP="00EA34EB">
      <w:pPr>
        <w:jc w:val="both"/>
        <w:rPr>
          <w:rFonts w:ascii="Arial" w:hAnsi="Arial" w:cs="Arial"/>
        </w:rPr>
      </w:pPr>
      <w:r>
        <w:rPr>
          <w:rFonts w:ascii="Arial" w:hAnsi="Arial" w:cs="Arial"/>
          <w:b/>
        </w:rPr>
        <w:t>Specialist</w:t>
      </w:r>
      <w:r w:rsidR="00C37643">
        <w:rPr>
          <w:rFonts w:ascii="Arial" w:hAnsi="Arial" w:cs="Arial"/>
          <w:b/>
        </w:rPr>
        <w:t xml:space="preserve"> Services</w:t>
      </w:r>
      <w:r w:rsidRPr="000161D5">
        <w:rPr>
          <w:rFonts w:ascii="Arial" w:hAnsi="Arial" w:cs="Arial"/>
          <w:b/>
        </w:rPr>
        <w:t xml:space="preserve"> </w:t>
      </w:r>
      <w:r>
        <w:rPr>
          <w:rFonts w:ascii="Arial" w:hAnsi="Arial" w:cs="Arial"/>
        </w:rPr>
        <w:t xml:space="preserve">achieved </w:t>
      </w:r>
      <w:r w:rsidR="009750DE">
        <w:rPr>
          <w:rFonts w:ascii="Arial" w:hAnsi="Arial" w:cs="Arial"/>
        </w:rPr>
        <w:t xml:space="preserve">61 </w:t>
      </w:r>
      <w:r>
        <w:rPr>
          <w:rFonts w:ascii="Arial" w:hAnsi="Arial" w:cs="Arial"/>
        </w:rPr>
        <w:t xml:space="preserve">of the </w:t>
      </w:r>
      <w:r w:rsidR="009750DE">
        <w:rPr>
          <w:rFonts w:ascii="Arial" w:hAnsi="Arial" w:cs="Arial"/>
        </w:rPr>
        <w:t xml:space="preserve">72 </w:t>
      </w:r>
      <w:r>
        <w:rPr>
          <w:rFonts w:ascii="Arial" w:hAnsi="Arial" w:cs="Arial"/>
        </w:rPr>
        <w:t>targeted indicators</w:t>
      </w:r>
      <w:r w:rsidR="00DB3604">
        <w:rPr>
          <w:rFonts w:ascii="Arial" w:hAnsi="Arial" w:cs="Arial"/>
        </w:rPr>
        <w:t xml:space="preserve"> (8</w:t>
      </w:r>
      <w:r w:rsidR="009750DE">
        <w:rPr>
          <w:rFonts w:ascii="Arial" w:hAnsi="Arial" w:cs="Arial"/>
        </w:rPr>
        <w:t>5</w:t>
      </w:r>
      <w:r w:rsidR="00DB3604">
        <w:rPr>
          <w:rFonts w:ascii="Arial" w:hAnsi="Arial" w:cs="Arial"/>
        </w:rPr>
        <w:t>%)</w:t>
      </w:r>
      <w:r>
        <w:rPr>
          <w:rFonts w:ascii="Arial" w:hAnsi="Arial" w:cs="Arial"/>
        </w:rPr>
        <w:t>.</w:t>
      </w:r>
    </w:p>
    <w:p w:rsidR="00132863" w:rsidRDefault="00132863" w:rsidP="00EA34EB">
      <w:pPr>
        <w:jc w:val="both"/>
        <w:rPr>
          <w:rFonts w:ascii="Arial" w:hAnsi="Arial" w:cs="Arial"/>
          <w:b/>
        </w:rPr>
      </w:pPr>
    </w:p>
    <w:p w:rsidR="00132863" w:rsidRPr="00132863" w:rsidRDefault="00132863" w:rsidP="00132863">
      <w:pPr>
        <w:rPr>
          <w:rFonts w:ascii="Arial" w:hAnsi="Arial" w:cs="Arial"/>
          <w:b/>
        </w:rPr>
      </w:pPr>
      <w:r w:rsidRPr="00132863">
        <w:rPr>
          <w:rFonts w:ascii="Arial" w:hAnsi="Arial" w:cs="Arial"/>
          <w:b/>
        </w:rPr>
        <w:t>Highlights for the Board:</w:t>
      </w:r>
    </w:p>
    <w:p w:rsidR="00405D2D" w:rsidRDefault="00405D2D" w:rsidP="001E3511">
      <w:pPr>
        <w:jc w:val="both"/>
        <w:rPr>
          <w:rFonts w:ascii="Arial" w:hAnsi="Arial" w:cs="Arial"/>
        </w:rPr>
      </w:pPr>
    </w:p>
    <w:p w:rsidR="00142BB1" w:rsidRPr="00142BB1" w:rsidRDefault="00012059" w:rsidP="00142BB1">
      <w:pPr>
        <w:pStyle w:val="ListParagraph"/>
        <w:numPr>
          <w:ilvl w:val="0"/>
          <w:numId w:val="22"/>
        </w:numPr>
        <w:jc w:val="both"/>
        <w:rPr>
          <w:rFonts w:ascii="Arial" w:hAnsi="Arial" w:cs="Arial"/>
        </w:rPr>
      </w:pPr>
      <w:r>
        <w:rPr>
          <w:rFonts w:ascii="Arial" w:hAnsi="Arial" w:cs="Arial"/>
          <w:b/>
        </w:rPr>
        <w:t xml:space="preserve">Eating Disorders (Bed Occupancy) </w:t>
      </w:r>
      <w:r>
        <w:rPr>
          <w:rFonts w:ascii="Arial" w:hAnsi="Arial" w:cs="Arial"/>
        </w:rPr>
        <w:t xml:space="preserve">– The Trust </w:t>
      </w:r>
      <w:r w:rsidR="00E12FA9">
        <w:rPr>
          <w:rFonts w:ascii="Arial" w:hAnsi="Arial" w:cs="Arial"/>
        </w:rPr>
        <w:t xml:space="preserve">is not able to use </w:t>
      </w:r>
      <w:proofErr w:type="gramStart"/>
      <w:r w:rsidR="00E12FA9">
        <w:rPr>
          <w:rFonts w:ascii="Arial" w:hAnsi="Arial" w:cs="Arial"/>
        </w:rPr>
        <w:t>all of</w:t>
      </w:r>
      <w:proofErr w:type="gramEnd"/>
      <w:r w:rsidR="00E12FA9">
        <w:rPr>
          <w:rFonts w:ascii="Arial" w:hAnsi="Arial" w:cs="Arial"/>
        </w:rPr>
        <w:t xml:space="preserve"> its available bed stock </w:t>
      </w:r>
      <w:r w:rsidR="00AD13EF">
        <w:rPr>
          <w:rFonts w:ascii="Arial" w:hAnsi="Arial" w:cs="Arial"/>
        </w:rPr>
        <w:t>due to high levels of patient acuity and a lack of workforce</w:t>
      </w:r>
      <w:r w:rsidR="004862BC">
        <w:rPr>
          <w:rFonts w:ascii="Arial" w:hAnsi="Arial" w:cs="Arial"/>
        </w:rPr>
        <w:t xml:space="preserve">.  </w:t>
      </w:r>
      <w:r w:rsidR="00AD13EF">
        <w:rPr>
          <w:rFonts w:ascii="Arial" w:hAnsi="Arial" w:cs="Arial"/>
        </w:rPr>
        <w:t xml:space="preserve">Commissioners (NHS England) have been notified and further </w:t>
      </w:r>
      <w:r w:rsidR="00AD13EF">
        <w:rPr>
          <w:rFonts w:ascii="Arial" w:hAnsi="Arial" w:cs="Arial"/>
        </w:rPr>
        <w:lastRenderedPageBreak/>
        <w:t>work needs to be done to identify how this issue will be addressed in the medium to long term.</w:t>
      </w:r>
    </w:p>
    <w:p w:rsidR="00180EDB" w:rsidRDefault="00180EDB" w:rsidP="0073522A">
      <w:pPr>
        <w:jc w:val="both"/>
        <w:rPr>
          <w:rFonts w:ascii="Arial" w:hAnsi="Arial" w:cs="Arial"/>
          <w:b/>
        </w:rPr>
      </w:pPr>
    </w:p>
    <w:p w:rsidR="00142BB1" w:rsidRDefault="00142BB1"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5D3499" w:rsidRDefault="00F95454">
      <w:pPr>
        <w:jc w:val="both"/>
        <w:rPr>
          <w:rFonts w:ascii="Arial" w:hAnsi="Arial" w:cs="Arial"/>
        </w:rPr>
      </w:pPr>
      <w:r>
        <w:rPr>
          <w:rFonts w:ascii="Arial" w:hAnsi="Arial" w:cs="Arial"/>
        </w:rPr>
        <w:t>The Board of Directors is</w:t>
      </w:r>
      <w:r w:rsidR="00C62464">
        <w:rPr>
          <w:rFonts w:ascii="Arial" w:hAnsi="Arial" w:cs="Arial"/>
        </w:rPr>
        <w:t xml:space="preserve"> asked to review </w:t>
      </w:r>
      <w:r w:rsidR="00982842">
        <w:rPr>
          <w:rFonts w:ascii="Arial" w:hAnsi="Arial" w:cs="Arial"/>
        </w:rPr>
        <w:t xml:space="preserve">and note </w:t>
      </w:r>
      <w:r w:rsidR="00C62464">
        <w:rPr>
          <w:rFonts w:ascii="Arial" w:hAnsi="Arial" w:cs="Arial"/>
        </w:rPr>
        <w:t xml:space="preserve">the </w:t>
      </w:r>
      <w:r w:rsidR="00982842">
        <w:rPr>
          <w:rFonts w:ascii="Arial" w:hAnsi="Arial" w:cs="Arial"/>
        </w:rPr>
        <w:t>monthly Board performance report.</w:t>
      </w:r>
    </w:p>
    <w:p w:rsidR="00982842" w:rsidRDefault="00982842">
      <w:pPr>
        <w:jc w:val="both"/>
        <w:rPr>
          <w:rFonts w:ascii="Arial" w:hAnsi="Arial" w:cs="Arial"/>
          <w:b/>
        </w:rPr>
      </w:pPr>
    </w:p>
    <w:p w:rsidR="003F7366"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C36082">
        <w:rPr>
          <w:rFonts w:ascii="Arial" w:hAnsi="Arial" w:cs="Arial"/>
        </w:rPr>
        <w:t xml:space="preserve">Martyn Ward – </w:t>
      </w:r>
      <w:r w:rsidR="00BF72AE">
        <w:rPr>
          <w:rFonts w:ascii="Arial" w:hAnsi="Arial" w:cs="Arial"/>
        </w:rPr>
        <w:t xml:space="preserve">Director of </w:t>
      </w:r>
      <w:r w:rsidR="00C77CF2">
        <w:rPr>
          <w:rFonts w:ascii="Arial" w:hAnsi="Arial" w:cs="Arial"/>
        </w:rPr>
        <w:t xml:space="preserve">Strategy &amp; </w:t>
      </w:r>
      <w:r w:rsidR="00C24259">
        <w:rPr>
          <w:rFonts w:ascii="Arial" w:hAnsi="Arial" w:cs="Arial"/>
        </w:rPr>
        <w:t>Chief Information Officer</w:t>
      </w:r>
    </w:p>
    <w:p w:rsidR="000E317C" w:rsidRDefault="000E317C" w:rsidP="0073522A">
      <w:pPr>
        <w:ind w:left="1440" w:hanging="1440"/>
        <w:jc w:val="both"/>
        <w:rPr>
          <w:rFonts w:ascii="Arial" w:hAnsi="Arial" w:cs="Arial"/>
        </w:rPr>
      </w:pPr>
    </w:p>
    <w:p w:rsidR="00AF0562" w:rsidRPr="0073522A" w:rsidRDefault="00AF0562" w:rsidP="00BE48C0">
      <w:pPr>
        <w:jc w:val="both"/>
        <w:rPr>
          <w:rFonts w:ascii="Arial" w:hAnsi="Arial" w:cs="Arial"/>
          <w:sz w:val="20"/>
          <w:szCs w:val="20"/>
        </w:rPr>
      </w:pPr>
    </w:p>
    <w:sectPr w:rsidR="00AF0562" w:rsidRPr="0073522A" w:rsidSect="009227B8">
      <w:headerReference w:type="default" r:id="rId14"/>
      <w:pgSz w:w="12240" w:h="15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84D" w:rsidRDefault="0064084D" w:rsidP="005B3E3C">
      <w:r>
        <w:separator/>
      </w:r>
    </w:p>
  </w:endnote>
  <w:endnote w:type="continuationSeparator" w:id="0">
    <w:p w:rsidR="0064084D" w:rsidRDefault="0064084D"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84D" w:rsidRDefault="0064084D" w:rsidP="005B3E3C">
      <w:r>
        <w:separator/>
      </w:r>
    </w:p>
  </w:footnote>
  <w:footnote w:type="continuationSeparator" w:id="0">
    <w:p w:rsidR="0064084D" w:rsidRDefault="0064084D"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B68"/>
    <w:multiLevelType w:val="hybridMultilevel"/>
    <w:tmpl w:val="CBF2B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3839"/>
    <w:multiLevelType w:val="hybridMultilevel"/>
    <w:tmpl w:val="73365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C32DF"/>
    <w:multiLevelType w:val="hybridMultilevel"/>
    <w:tmpl w:val="50C62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6678F"/>
    <w:multiLevelType w:val="hybridMultilevel"/>
    <w:tmpl w:val="6CE06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C6656"/>
    <w:multiLevelType w:val="hybridMultilevel"/>
    <w:tmpl w:val="155A5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01369"/>
    <w:multiLevelType w:val="hybridMultilevel"/>
    <w:tmpl w:val="79F058E2"/>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2" w15:restartNumberingAfterBreak="0">
    <w:nsid w:val="44081F66"/>
    <w:multiLevelType w:val="hybridMultilevel"/>
    <w:tmpl w:val="FCF4E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0D6005"/>
    <w:multiLevelType w:val="hybridMultilevel"/>
    <w:tmpl w:val="0BA062CE"/>
    <w:lvl w:ilvl="0" w:tplc="0BD2EE8C">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E1F25AD"/>
    <w:multiLevelType w:val="hybridMultilevel"/>
    <w:tmpl w:val="22E28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2D20DC"/>
    <w:multiLevelType w:val="hybridMultilevel"/>
    <w:tmpl w:val="F4502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1E7606"/>
    <w:multiLevelType w:val="hybridMultilevel"/>
    <w:tmpl w:val="8B4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954DD5"/>
    <w:multiLevelType w:val="hybridMultilevel"/>
    <w:tmpl w:val="1B722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3"/>
  </w:num>
  <w:num w:numId="3">
    <w:abstractNumId w:val="16"/>
  </w:num>
  <w:num w:numId="4">
    <w:abstractNumId w:val="8"/>
  </w:num>
  <w:num w:numId="5">
    <w:abstractNumId w:val="15"/>
  </w:num>
  <w:num w:numId="6">
    <w:abstractNumId w:val="1"/>
  </w:num>
  <w:num w:numId="7">
    <w:abstractNumId w:val="10"/>
  </w:num>
  <w:num w:numId="8">
    <w:abstractNumId w:val="7"/>
  </w:num>
  <w:num w:numId="9">
    <w:abstractNumId w:val="2"/>
  </w:num>
  <w:num w:numId="10">
    <w:abstractNumId w:val="9"/>
  </w:num>
  <w:num w:numId="11">
    <w:abstractNumId w:val="18"/>
  </w:num>
  <w:num w:numId="12">
    <w:abstractNumId w:val="4"/>
  </w:num>
  <w:num w:numId="13">
    <w:abstractNumId w:val="5"/>
  </w:num>
  <w:num w:numId="14">
    <w:abstractNumId w:val="20"/>
  </w:num>
  <w:num w:numId="15">
    <w:abstractNumId w:val="0"/>
  </w:num>
  <w:num w:numId="16">
    <w:abstractNumId w:val="14"/>
  </w:num>
  <w:num w:numId="17">
    <w:abstractNumId w:val="21"/>
  </w:num>
  <w:num w:numId="18">
    <w:abstractNumId w:val="22"/>
  </w:num>
  <w:num w:numId="19">
    <w:abstractNumId w:val="17"/>
  </w:num>
  <w:num w:numId="20">
    <w:abstractNumId w:val="12"/>
  </w:num>
  <w:num w:numId="21">
    <w:abstractNumId w:val="6"/>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7830"/>
    <w:rsid w:val="000104E4"/>
    <w:rsid w:val="000112A6"/>
    <w:rsid w:val="0001134C"/>
    <w:rsid w:val="00012059"/>
    <w:rsid w:val="000161D5"/>
    <w:rsid w:val="00016B35"/>
    <w:rsid w:val="00023074"/>
    <w:rsid w:val="00024D76"/>
    <w:rsid w:val="00026260"/>
    <w:rsid w:val="000302E0"/>
    <w:rsid w:val="00031871"/>
    <w:rsid w:val="0003209B"/>
    <w:rsid w:val="000344E6"/>
    <w:rsid w:val="00036D9C"/>
    <w:rsid w:val="00041960"/>
    <w:rsid w:val="00045966"/>
    <w:rsid w:val="00050037"/>
    <w:rsid w:val="0005194A"/>
    <w:rsid w:val="00053FB7"/>
    <w:rsid w:val="00057F0B"/>
    <w:rsid w:val="0006115B"/>
    <w:rsid w:val="00071531"/>
    <w:rsid w:val="00080E72"/>
    <w:rsid w:val="00095F98"/>
    <w:rsid w:val="000A0020"/>
    <w:rsid w:val="000A3319"/>
    <w:rsid w:val="000A47D9"/>
    <w:rsid w:val="000B77F9"/>
    <w:rsid w:val="000C0988"/>
    <w:rsid w:val="000D24FB"/>
    <w:rsid w:val="000E317C"/>
    <w:rsid w:val="000E49A0"/>
    <w:rsid w:val="000F2610"/>
    <w:rsid w:val="000F47AD"/>
    <w:rsid w:val="000F4C46"/>
    <w:rsid w:val="000F77BF"/>
    <w:rsid w:val="00103519"/>
    <w:rsid w:val="0010685F"/>
    <w:rsid w:val="00107AAC"/>
    <w:rsid w:val="00110E24"/>
    <w:rsid w:val="001123A3"/>
    <w:rsid w:val="001141A1"/>
    <w:rsid w:val="00130D9D"/>
    <w:rsid w:val="00130E60"/>
    <w:rsid w:val="00132863"/>
    <w:rsid w:val="00136461"/>
    <w:rsid w:val="00142BB1"/>
    <w:rsid w:val="0014509D"/>
    <w:rsid w:val="0014622C"/>
    <w:rsid w:val="00146C68"/>
    <w:rsid w:val="001513D5"/>
    <w:rsid w:val="00152B4C"/>
    <w:rsid w:val="001604E3"/>
    <w:rsid w:val="00172D01"/>
    <w:rsid w:val="00180EDB"/>
    <w:rsid w:val="001944AC"/>
    <w:rsid w:val="001963F3"/>
    <w:rsid w:val="0019785F"/>
    <w:rsid w:val="001A2F3F"/>
    <w:rsid w:val="001A7443"/>
    <w:rsid w:val="001B3AEB"/>
    <w:rsid w:val="001B4B9D"/>
    <w:rsid w:val="001B6EEE"/>
    <w:rsid w:val="001C295C"/>
    <w:rsid w:val="001D03E1"/>
    <w:rsid w:val="001D48E6"/>
    <w:rsid w:val="001D65AB"/>
    <w:rsid w:val="001E1C83"/>
    <w:rsid w:val="001E1E6B"/>
    <w:rsid w:val="001E3511"/>
    <w:rsid w:val="001E48F5"/>
    <w:rsid w:val="001E6DBC"/>
    <w:rsid w:val="001E7831"/>
    <w:rsid w:val="001F23B3"/>
    <w:rsid w:val="001F2541"/>
    <w:rsid w:val="001F76ED"/>
    <w:rsid w:val="00200556"/>
    <w:rsid w:val="00213006"/>
    <w:rsid w:val="0021416A"/>
    <w:rsid w:val="0022050F"/>
    <w:rsid w:val="00227BA7"/>
    <w:rsid w:val="00227FCE"/>
    <w:rsid w:val="002306E2"/>
    <w:rsid w:val="00232D98"/>
    <w:rsid w:val="00233516"/>
    <w:rsid w:val="00252E51"/>
    <w:rsid w:val="0025508D"/>
    <w:rsid w:val="00256F43"/>
    <w:rsid w:val="00260A9C"/>
    <w:rsid w:val="002619EF"/>
    <w:rsid w:val="002710D7"/>
    <w:rsid w:val="002821F8"/>
    <w:rsid w:val="002875D9"/>
    <w:rsid w:val="00290581"/>
    <w:rsid w:val="00291E9E"/>
    <w:rsid w:val="00292613"/>
    <w:rsid w:val="00294343"/>
    <w:rsid w:val="002A0F36"/>
    <w:rsid w:val="002A73E8"/>
    <w:rsid w:val="002B1020"/>
    <w:rsid w:val="002B55A4"/>
    <w:rsid w:val="002B6E44"/>
    <w:rsid w:val="002C2F97"/>
    <w:rsid w:val="002C3D1A"/>
    <w:rsid w:val="002C5F95"/>
    <w:rsid w:val="002C7C79"/>
    <w:rsid w:val="002D3AAD"/>
    <w:rsid w:val="002D575D"/>
    <w:rsid w:val="002E3C80"/>
    <w:rsid w:val="002E4CF9"/>
    <w:rsid w:val="002E6FC6"/>
    <w:rsid w:val="002F0C3A"/>
    <w:rsid w:val="002F1E5B"/>
    <w:rsid w:val="002F3C92"/>
    <w:rsid w:val="002F73C3"/>
    <w:rsid w:val="0030031A"/>
    <w:rsid w:val="00302535"/>
    <w:rsid w:val="003066A9"/>
    <w:rsid w:val="003208EA"/>
    <w:rsid w:val="00325CB3"/>
    <w:rsid w:val="00330275"/>
    <w:rsid w:val="00330845"/>
    <w:rsid w:val="00330886"/>
    <w:rsid w:val="003518BC"/>
    <w:rsid w:val="00352ACA"/>
    <w:rsid w:val="00353DB4"/>
    <w:rsid w:val="003623C4"/>
    <w:rsid w:val="003633C8"/>
    <w:rsid w:val="003640F0"/>
    <w:rsid w:val="0037138A"/>
    <w:rsid w:val="00375478"/>
    <w:rsid w:val="0037692B"/>
    <w:rsid w:val="00381949"/>
    <w:rsid w:val="00382967"/>
    <w:rsid w:val="00384B87"/>
    <w:rsid w:val="00384BF2"/>
    <w:rsid w:val="00384DB2"/>
    <w:rsid w:val="00385BF1"/>
    <w:rsid w:val="00386B91"/>
    <w:rsid w:val="00391668"/>
    <w:rsid w:val="003965D7"/>
    <w:rsid w:val="003971F6"/>
    <w:rsid w:val="003A1BA3"/>
    <w:rsid w:val="003A413B"/>
    <w:rsid w:val="003C19D3"/>
    <w:rsid w:val="003C2222"/>
    <w:rsid w:val="003D0B91"/>
    <w:rsid w:val="003D7F7F"/>
    <w:rsid w:val="003E47E9"/>
    <w:rsid w:val="003E4910"/>
    <w:rsid w:val="003F226B"/>
    <w:rsid w:val="003F3BD5"/>
    <w:rsid w:val="003F7366"/>
    <w:rsid w:val="004015FF"/>
    <w:rsid w:val="0040186B"/>
    <w:rsid w:val="00401AC7"/>
    <w:rsid w:val="004021C5"/>
    <w:rsid w:val="00405D2D"/>
    <w:rsid w:val="00410244"/>
    <w:rsid w:val="004104C7"/>
    <w:rsid w:val="00413D9F"/>
    <w:rsid w:val="00414A70"/>
    <w:rsid w:val="00415ACB"/>
    <w:rsid w:val="00421734"/>
    <w:rsid w:val="00423058"/>
    <w:rsid w:val="004326BB"/>
    <w:rsid w:val="00436775"/>
    <w:rsid w:val="00437FB4"/>
    <w:rsid w:val="00445343"/>
    <w:rsid w:val="00447BE4"/>
    <w:rsid w:val="0045048F"/>
    <w:rsid w:val="00451DB0"/>
    <w:rsid w:val="00465CF0"/>
    <w:rsid w:val="00472286"/>
    <w:rsid w:val="004829AE"/>
    <w:rsid w:val="0048584C"/>
    <w:rsid w:val="004862BC"/>
    <w:rsid w:val="00492483"/>
    <w:rsid w:val="004A1287"/>
    <w:rsid w:val="004A4DFB"/>
    <w:rsid w:val="004A7F6B"/>
    <w:rsid w:val="004B1544"/>
    <w:rsid w:val="004B6756"/>
    <w:rsid w:val="004C5125"/>
    <w:rsid w:val="004C5897"/>
    <w:rsid w:val="004D0BB5"/>
    <w:rsid w:val="004D1192"/>
    <w:rsid w:val="004D3C66"/>
    <w:rsid w:val="004E1C4A"/>
    <w:rsid w:val="004E2219"/>
    <w:rsid w:val="004E4D94"/>
    <w:rsid w:val="004E740C"/>
    <w:rsid w:val="004F4BBA"/>
    <w:rsid w:val="004F5DE5"/>
    <w:rsid w:val="004F61D8"/>
    <w:rsid w:val="005027DB"/>
    <w:rsid w:val="005051F3"/>
    <w:rsid w:val="00513994"/>
    <w:rsid w:val="00520D02"/>
    <w:rsid w:val="005233AA"/>
    <w:rsid w:val="00527C15"/>
    <w:rsid w:val="00530D1F"/>
    <w:rsid w:val="00531625"/>
    <w:rsid w:val="0054040B"/>
    <w:rsid w:val="0054546A"/>
    <w:rsid w:val="00551B0F"/>
    <w:rsid w:val="00557CC7"/>
    <w:rsid w:val="00563E0F"/>
    <w:rsid w:val="005659FB"/>
    <w:rsid w:val="00574A97"/>
    <w:rsid w:val="0057512E"/>
    <w:rsid w:val="00584D27"/>
    <w:rsid w:val="005A4A64"/>
    <w:rsid w:val="005A5ADF"/>
    <w:rsid w:val="005B01FE"/>
    <w:rsid w:val="005B3E3C"/>
    <w:rsid w:val="005B7F81"/>
    <w:rsid w:val="005C1D1C"/>
    <w:rsid w:val="005C3FC1"/>
    <w:rsid w:val="005D3499"/>
    <w:rsid w:val="005E09C4"/>
    <w:rsid w:val="005E2583"/>
    <w:rsid w:val="005E617C"/>
    <w:rsid w:val="005F270E"/>
    <w:rsid w:val="005F36B6"/>
    <w:rsid w:val="005F4BA9"/>
    <w:rsid w:val="005F6A8B"/>
    <w:rsid w:val="00606B48"/>
    <w:rsid w:val="006114E4"/>
    <w:rsid w:val="006160CC"/>
    <w:rsid w:val="0061684E"/>
    <w:rsid w:val="0062376E"/>
    <w:rsid w:val="00624CC9"/>
    <w:rsid w:val="00626EFA"/>
    <w:rsid w:val="006403C3"/>
    <w:rsid w:val="0064084D"/>
    <w:rsid w:val="00650771"/>
    <w:rsid w:val="00654880"/>
    <w:rsid w:val="00657D10"/>
    <w:rsid w:val="00662DC5"/>
    <w:rsid w:val="00665F45"/>
    <w:rsid w:val="00666651"/>
    <w:rsid w:val="00666E6B"/>
    <w:rsid w:val="0067461E"/>
    <w:rsid w:val="00693F68"/>
    <w:rsid w:val="00697940"/>
    <w:rsid w:val="00697AA7"/>
    <w:rsid w:val="006B33BC"/>
    <w:rsid w:val="006B6FE8"/>
    <w:rsid w:val="006C1F9B"/>
    <w:rsid w:val="006C22C2"/>
    <w:rsid w:val="006C2A9A"/>
    <w:rsid w:val="006C62F1"/>
    <w:rsid w:val="006D09AA"/>
    <w:rsid w:val="006D0B6C"/>
    <w:rsid w:val="006E3C3E"/>
    <w:rsid w:val="006F0D59"/>
    <w:rsid w:val="006F5021"/>
    <w:rsid w:val="00700391"/>
    <w:rsid w:val="007003DD"/>
    <w:rsid w:val="00722032"/>
    <w:rsid w:val="00722108"/>
    <w:rsid w:val="00724AD0"/>
    <w:rsid w:val="00725AD2"/>
    <w:rsid w:val="007273B3"/>
    <w:rsid w:val="00731303"/>
    <w:rsid w:val="007319DB"/>
    <w:rsid w:val="00732301"/>
    <w:rsid w:val="00733C5D"/>
    <w:rsid w:val="0073522A"/>
    <w:rsid w:val="007359C0"/>
    <w:rsid w:val="007364D9"/>
    <w:rsid w:val="00742E7D"/>
    <w:rsid w:val="007439EC"/>
    <w:rsid w:val="0074404D"/>
    <w:rsid w:val="007441B8"/>
    <w:rsid w:val="007601EB"/>
    <w:rsid w:val="00764D01"/>
    <w:rsid w:val="0077522B"/>
    <w:rsid w:val="007769CD"/>
    <w:rsid w:val="0078032B"/>
    <w:rsid w:val="007813A6"/>
    <w:rsid w:val="00781566"/>
    <w:rsid w:val="007847D9"/>
    <w:rsid w:val="0078491E"/>
    <w:rsid w:val="007960BE"/>
    <w:rsid w:val="007972A2"/>
    <w:rsid w:val="007976E7"/>
    <w:rsid w:val="007A1640"/>
    <w:rsid w:val="007A2CF0"/>
    <w:rsid w:val="007A515B"/>
    <w:rsid w:val="007B1760"/>
    <w:rsid w:val="007B4C1E"/>
    <w:rsid w:val="007B6D77"/>
    <w:rsid w:val="007C3339"/>
    <w:rsid w:val="007C3C27"/>
    <w:rsid w:val="007C5E02"/>
    <w:rsid w:val="007C6925"/>
    <w:rsid w:val="007D7901"/>
    <w:rsid w:val="007F19A4"/>
    <w:rsid w:val="00801A75"/>
    <w:rsid w:val="00802701"/>
    <w:rsid w:val="008038A2"/>
    <w:rsid w:val="00810306"/>
    <w:rsid w:val="00811148"/>
    <w:rsid w:val="00811FE8"/>
    <w:rsid w:val="00817DF5"/>
    <w:rsid w:val="00821F0D"/>
    <w:rsid w:val="008275B5"/>
    <w:rsid w:val="00830125"/>
    <w:rsid w:val="00830CA6"/>
    <w:rsid w:val="00841715"/>
    <w:rsid w:val="00841EB0"/>
    <w:rsid w:val="00845979"/>
    <w:rsid w:val="008477E1"/>
    <w:rsid w:val="00847BC4"/>
    <w:rsid w:val="0085366E"/>
    <w:rsid w:val="0085688C"/>
    <w:rsid w:val="008635F0"/>
    <w:rsid w:val="0086436B"/>
    <w:rsid w:val="00864ED6"/>
    <w:rsid w:val="0087047B"/>
    <w:rsid w:val="0087190C"/>
    <w:rsid w:val="00872ACD"/>
    <w:rsid w:val="0088128C"/>
    <w:rsid w:val="0089208D"/>
    <w:rsid w:val="00893C1C"/>
    <w:rsid w:val="00894B97"/>
    <w:rsid w:val="00895A62"/>
    <w:rsid w:val="008967B9"/>
    <w:rsid w:val="00897AC8"/>
    <w:rsid w:val="008A6A48"/>
    <w:rsid w:val="008C1666"/>
    <w:rsid w:val="008C512E"/>
    <w:rsid w:val="008C780D"/>
    <w:rsid w:val="008D2EA8"/>
    <w:rsid w:val="008D36D2"/>
    <w:rsid w:val="008D5C80"/>
    <w:rsid w:val="008E0BA4"/>
    <w:rsid w:val="008E1F96"/>
    <w:rsid w:val="008F77AE"/>
    <w:rsid w:val="009035FA"/>
    <w:rsid w:val="00913610"/>
    <w:rsid w:val="009142DE"/>
    <w:rsid w:val="009227B8"/>
    <w:rsid w:val="00922966"/>
    <w:rsid w:val="009305CD"/>
    <w:rsid w:val="009320C6"/>
    <w:rsid w:val="00945E1F"/>
    <w:rsid w:val="0094603B"/>
    <w:rsid w:val="00946E6E"/>
    <w:rsid w:val="009478B1"/>
    <w:rsid w:val="00954068"/>
    <w:rsid w:val="00954B73"/>
    <w:rsid w:val="009551BC"/>
    <w:rsid w:val="00956A0A"/>
    <w:rsid w:val="00961343"/>
    <w:rsid w:val="0096293E"/>
    <w:rsid w:val="00963FBC"/>
    <w:rsid w:val="00966D7B"/>
    <w:rsid w:val="009750DE"/>
    <w:rsid w:val="00975819"/>
    <w:rsid w:val="009804CA"/>
    <w:rsid w:val="0098250E"/>
    <w:rsid w:val="00982842"/>
    <w:rsid w:val="0098298E"/>
    <w:rsid w:val="00983EAF"/>
    <w:rsid w:val="00983ECE"/>
    <w:rsid w:val="009857D9"/>
    <w:rsid w:val="009869DE"/>
    <w:rsid w:val="00994695"/>
    <w:rsid w:val="009A0683"/>
    <w:rsid w:val="009A2D0F"/>
    <w:rsid w:val="009A4401"/>
    <w:rsid w:val="009B143F"/>
    <w:rsid w:val="009C1F52"/>
    <w:rsid w:val="009C223E"/>
    <w:rsid w:val="009C484B"/>
    <w:rsid w:val="009C7F8D"/>
    <w:rsid w:val="009D1058"/>
    <w:rsid w:val="009D265C"/>
    <w:rsid w:val="009D5FD0"/>
    <w:rsid w:val="009D6F76"/>
    <w:rsid w:val="009E31B0"/>
    <w:rsid w:val="009F50E5"/>
    <w:rsid w:val="00A00EDD"/>
    <w:rsid w:val="00A0284F"/>
    <w:rsid w:val="00A1521F"/>
    <w:rsid w:val="00A241A3"/>
    <w:rsid w:val="00A27187"/>
    <w:rsid w:val="00A3401E"/>
    <w:rsid w:val="00A51265"/>
    <w:rsid w:val="00A674FB"/>
    <w:rsid w:val="00A752CB"/>
    <w:rsid w:val="00A766A0"/>
    <w:rsid w:val="00A82952"/>
    <w:rsid w:val="00A85311"/>
    <w:rsid w:val="00A92981"/>
    <w:rsid w:val="00A940CF"/>
    <w:rsid w:val="00A97A92"/>
    <w:rsid w:val="00AA0C3F"/>
    <w:rsid w:val="00AA306E"/>
    <w:rsid w:val="00AA61FB"/>
    <w:rsid w:val="00AA759A"/>
    <w:rsid w:val="00AC07C2"/>
    <w:rsid w:val="00AC3814"/>
    <w:rsid w:val="00AC640D"/>
    <w:rsid w:val="00AD04D3"/>
    <w:rsid w:val="00AD0CF6"/>
    <w:rsid w:val="00AD13EF"/>
    <w:rsid w:val="00AD169B"/>
    <w:rsid w:val="00AD6DB3"/>
    <w:rsid w:val="00AD7098"/>
    <w:rsid w:val="00AF0562"/>
    <w:rsid w:val="00AF345D"/>
    <w:rsid w:val="00B04788"/>
    <w:rsid w:val="00B06C21"/>
    <w:rsid w:val="00B07778"/>
    <w:rsid w:val="00B10453"/>
    <w:rsid w:val="00B10E37"/>
    <w:rsid w:val="00B165F0"/>
    <w:rsid w:val="00B20CD2"/>
    <w:rsid w:val="00B21287"/>
    <w:rsid w:val="00B26E1A"/>
    <w:rsid w:val="00B26F2C"/>
    <w:rsid w:val="00B27AE5"/>
    <w:rsid w:val="00B32D55"/>
    <w:rsid w:val="00B407B7"/>
    <w:rsid w:val="00B40C2D"/>
    <w:rsid w:val="00B50D5E"/>
    <w:rsid w:val="00B57EC7"/>
    <w:rsid w:val="00B606FB"/>
    <w:rsid w:val="00B607AE"/>
    <w:rsid w:val="00B612E7"/>
    <w:rsid w:val="00B72B51"/>
    <w:rsid w:val="00B92B14"/>
    <w:rsid w:val="00B93287"/>
    <w:rsid w:val="00BA2E08"/>
    <w:rsid w:val="00BA3B3E"/>
    <w:rsid w:val="00BA761E"/>
    <w:rsid w:val="00BB3BD5"/>
    <w:rsid w:val="00BD4559"/>
    <w:rsid w:val="00BD4B96"/>
    <w:rsid w:val="00BD5C2B"/>
    <w:rsid w:val="00BD6B8C"/>
    <w:rsid w:val="00BE48C0"/>
    <w:rsid w:val="00BF482A"/>
    <w:rsid w:val="00BF5367"/>
    <w:rsid w:val="00BF6D0E"/>
    <w:rsid w:val="00BF72AE"/>
    <w:rsid w:val="00C053BB"/>
    <w:rsid w:val="00C07817"/>
    <w:rsid w:val="00C11726"/>
    <w:rsid w:val="00C11AA2"/>
    <w:rsid w:val="00C205E5"/>
    <w:rsid w:val="00C24259"/>
    <w:rsid w:val="00C24BAC"/>
    <w:rsid w:val="00C26D06"/>
    <w:rsid w:val="00C27C64"/>
    <w:rsid w:val="00C36082"/>
    <w:rsid w:val="00C37643"/>
    <w:rsid w:val="00C41F8A"/>
    <w:rsid w:val="00C42F0B"/>
    <w:rsid w:val="00C56B87"/>
    <w:rsid w:val="00C57113"/>
    <w:rsid w:val="00C60F3E"/>
    <w:rsid w:val="00C6166D"/>
    <w:rsid w:val="00C61CC5"/>
    <w:rsid w:val="00C62464"/>
    <w:rsid w:val="00C65D84"/>
    <w:rsid w:val="00C72519"/>
    <w:rsid w:val="00C75116"/>
    <w:rsid w:val="00C76E03"/>
    <w:rsid w:val="00C77CF2"/>
    <w:rsid w:val="00C83803"/>
    <w:rsid w:val="00C907A3"/>
    <w:rsid w:val="00C92A42"/>
    <w:rsid w:val="00C94AE5"/>
    <w:rsid w:val="00CA6F2A"/>
    <w:rsid w:val="00CB4E16"/>
    <w:rsid w:val="00CB6FA1"/>
    <w:rsid w:val="00CC62C4"/>
    <w:rsid w:val="00CC7855"/>
    <w:rsid w:val="00CD72A7"/>
    <w:rsid w:val="00CE0678"/>
    <w:rsid w:val="00CE10CD"/>
    <w:rsid w:val="00CE39F8"/>
    <w:rsid w:val="00CE6E6A"/>
    <w:rsid w:val="00CF2916"/>
    <w:rsid w:val="00CF3AC2"/>
    <w:rsid w:val="00CF5DCD"/>
    <w:rsid w:val="00D07064"/>
    <w:rsid w:val="00D17123"/>
    <w:rsid w:val="00D179A0"/>
    <w:rsid w:val="00D250C8"/>
    <w:rsid w:val="00D279FC"/>
    <w:rsid w:val="00D34F5E"/>
    <w:rsid w:val="00D35A98"/>
    <w:rsid w:val="00D43903"/>
    <w:rsid w:val="00D45AD7"/>
    <w:rsid w:val="00D55ADD"/>
    <w:rsid w:val="00D64FF5"/>
    <w:rsid w:val="00D651A1"/>
    <w:rsid w:val="00D65795"/>
    <w:rsid w:val="00D67B4A"/>
    <w:rsid w:val="00D737A3"/>
    <w:rsid w:val="00D765AE"/>
    <w:rsid w:val="00D805E8"/>
    <w:rsid w:val="00D8544F"/>
    <w:rsid w:val="00D95F7A"/>
    <w:rsid w:val="00D97428"/>
    <w:rsid w:val="00DA0FA6"/>
    <w:rsid w:val="00DB3604"/>
    <w:rsid w:val="00DB4DC4"/>
    <w:rsid w:val="00DC111B"/>
    <w:rsid w:val="00DC29F5"/>
    <w:rsid w:val="00DC5669"/>
    <w:rsid w:val="00DD04A9"/>
    <w:rsid w:val="00DD33DF"/>
    <w:rsid w:val="00DD4A27"/>
    <w:rsid w:val="00DE0FC5"/>
    <w:rsid w:val="00DE1293"/>
    <w:rsid w:val="00DE67A8"/>
    <w:rsid w:val="00DF4A53"/>
    <w:rsid w:val="00DF6116"/>
    <w:rsid w:val="00DF6E0E"/>
    <w:rsid w:val="00E0208E"/>
    <w:rsid w:val="00E12DF5"/>
    <w:rsid w:val="00E12FA9"/>
    <w:rsid w:val="00E2349F"/>
    <w:rsid w:val="00E2445F"/>
    <w:rsid w:val="00E2778C"/>
    <w:rsid w:val="00E33061"/>
    <w:rsid w:val="00E334B0"/>
    <w:rsid w:val="00E41E87"/>
    <w:rsid w:val="00E42165"/>
    <w:rsid w:val="00E45B62"/>
    <w:rsid w:val="00E51AB8"/>
    <w:rsid w:val="00E54343"/>
    <w:rsid w:val="00E6088B"/>
    <w:rsid w:val="00E64282"/>
    <w:rsid w:val="00E64C48"/>
    <w:rsid w:val="00E71F1F"/>
    <w:rsid w:val="00E722CA"/>
    <w:rsid w:val="00E73227"/>
    <w:rsid w:val="00E827C5"/>
    <w:rsid w:val="00E82DFF"/>
    <w:rsid w:val="00E83000"/>
    <w:rsid w:val="00E841B0"/>
    <w:rsid w:val="00E93F2C"/>
    <w:rsid w:val="00E97CCE"/>
    <w:rsid w:val="00EA34EB"/>
    <w:rsid w:val="00EC09B2"/>
    <w:rsid w:val="00ED3BCF"/>
    <w:rsid w:val="00ED4ABC"/>
    <w:rsid w:val="00ED6B7C"/>
    <w:rsid w:val="00EE1C5E"/>
    <w:rsid w:val="00EE6F42"/>
    <w:rsid w:val="00EF4243"/>
    <w:rsid w:val="00EF4E03"/>
    <w:rsid w:val="00EF6A4B"/>
    <w:rsid w:val="00F14F75"/>
    <w:rsid w:val="00F150BB"/>
    <w:rsid w:val="00F24980"/>
    <w:rsid w:val="00F24EB2"/>
    <w:rsid w:val="00F33065"/>
    <w:rsid w:val="00F3433E"/>
    <w:rsid w:val="00F36757"/>
    <w:rsid w:val="00F37E0C"/>
    <w:rsid w:val="00F46AA5"/>
    <w:rsid w:val="00F50A07"/>
    <w:rsid w:val="00F57119"/>
    <w:rsid w:val="00F6367D"/>
    <w:rsid w:val="00F65ABF"/>
    <w:rsid w:val="00F65DCD"/>
    <w:rsid w:val="00F678C9"/>
    <w:rsid w:val="00F77C13"/>
    <w:rsid w:val="00F8330B"/>
    <w:rsid w:val="00F83DC2"/>
    <w:rsid w:val="00F86FA3"/>
    <w:rsid w:val="00F94979"/>
    <w:rsid w:val="00F95454"/>
    <w:rsid w:val="00F95C29"/>
    <w:rsid w:val="00F95C54"/>
    <w:rsid w:val="00FA3668"/>
    <w:rsid w:val="00FA5118"/>
    <w:rsid w:val="00FA5818"/>
    <w:rsid w:val="00FB07D8"/>
    <w:rsid w:val="00FB2022"/>
    <w:rsid w:val="00FB3980"/>
    <w:rsid w:val="00FB7008"/>
    <w:rsid w:val="00FC1FA6"/>
    <w:rsid w:val="00FC43CD"/>
    <w:rsid w:val="00FC4EF6"/>
    <w:rsid w:val="00FC6DA7"/>
    <w:rsid w:val="00FC75D3"/>
    <w:rsid w:val="00FD2279"/>
    <w:rsid w:val="00FD6142"/>
    <w:rsid w:val="00FD74D2"/>
    <w:rsid w:val="00FE0C76"/>
    <w:rsid w:val="00FE113A"/>
    <w:rsid w:val="00FE2385"/>
    <w:rsid w:val="00FF028F"/>
    <w:rsid w:val="00FF0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94D08C"/>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 w:type="paragraph" w:styleId="PlainText">
    <w:name w:val="Plain Text"/>
    <w:basedOn w:val="Normal"/>
    <w:link w:val="PlainTextChar"/>
    <w:uiPriority w:val="99"/>
    <w:unhideWhenUsed/>
    <w:rsid w:val="00B607AE"/>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B607A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37261">
      <w:bodyDiv w:val="1"/>
      <w:marLeft w:val="0"/>
      <w:marRight w:val="0"/>
      <w:marTop w:val="0"/>
      <w:marBottom w:val="0"/>
      <w:divBdr>
        <w:top w:val="none" w:sz="0" w:space="0" w:color="auto"/>
        <w:left w:val="none" w:sz="0" w:space="0" w:color="auto"/>
        <w:bottom w:val="none" w:sz="0" w:space="0" w:color="auto"/>
        <w:right w:val="none" w:sz="0" w:space="0" w:color="auto"/>
      </w:divBdr>
    </w:div>
    <w:div w:id="126002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AF76-276A-466A-979E-04BEE96E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1305</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3</cp:revision>
  <cp:lastPrinted>2014-03-17T14:55:00Z</cp:lastPrinted>
  <dcterms:created xsi:type="dcterms:W3CDTF">2019-02-20T12:02:00Z</dcterms:created>
  <dcterms:modified xsi:type="dcterms:W3CDTF">2019-02-20T20:54:00Z</dcterms:modified>
</cp:coreProperties>
</file>