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E21471" w:rsidRDefault="00D31E24" w:rsidP="00A85BD8">
      <w:pPr>
        <w:rPr>
          <w:lang w:val="en-GB"/>
        </w:rPr>
      </w:pPr>
      <w:r w:rsidRPr="005E1596">
        <w:rPr>
          <w:rFonts w:cs="Arial"/>
          <w:b/>
          <w:noProof/>
          <w:sz w:val="28"/>
          <w:szCs w:val="28"/>
          <w:lang w:eastAsia="en-GB"/>
        </w:rPr>
        <mc:AlternateContent>
          <mc:Choice Requires="wps">
            <w:drawing>
              <wp:anchor distT="45720" distB="45720" distL="114300" distR="114300" simplePos="0" relativeHeight="251662848" behindDoc="0" locked="0" layoutInCell="1" allowOverlap="1" wp14:anchorId="071E79E2" wp14:editId="37369A5C">
                <wp:simplePos x="0" y="0"/>
                <wp:positionH relativeFrom="column">
                  <wp:posOffset>4678680</wp:posOffset>
                </wp:positionH>
                <wp:positionV relativeFrom="paragraph">
                  <wp:posOffset>260350</wp:posOffset>
                </wp:positionV>
                <wp:extent cx="1371600" cy="5143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4350"/>
                        </a:xfrm>
                        <a:prstGeom prst="rect">
                          <a:avLst/>
                        </a:prstGeom>
                        <a:solidFill>
                          <a:srgbClr val="FFFFFF"/>
                        </a:solidFill>
                        <a:ln w="9525">
                          <a:solidFill>
                            <a:srgbClr val="000000"/>
                          </a:solidFill>
                          <a:miter lim="800000"/>
                          <a:headEnd/>
                          <a:tailEnd/>
                        </a:ln>
                      </wps:spPr>
                      <wps:txbx>
                        <w:txbxContent>
                          <w:p w:rsidR="00D31E24" w:rsidRDefault="00D31E24" w:rsidP="00D31E24">
                            <w:pPr>
                              <w:jc w:val="center"/>
                              <w:rPr>
                                <w:rFonts w:ascii="Arial" w:hAnsi="Arial" w:cs="Arial"/>
                              </w:rPr>
                            </w:pPr>
                            <w:proofErr w:type="spellStart"/>
                            <w:r>
                              <w:rPr>
                                <w:rFonts w:ascii="Arial" w:hAnsi="Arial" w:cs="Arial"/>
                                <w:b/>
                              </w:rPr>
                              <w:t>CoG</w:t>
                            </w:r>
                            <w:proofErr w:type="spellEnd"/>
                            <w:r>
                              <w:rPr>
                                <w:rFonts w:ascii="Arial" w:hAnsi="Arial" w:cs="Arial"/>
                                <w:b/>
                              </w:rPr>
                              <w:t xml:space="preserve"> </w:t>
                            </w:r>
                            <w:r>
                              <w:rPr>
                                <w:rFonts w:ascii="Arial" w:hAnsi="Arial" w:cs="Arial"/>
                                <w:b/>
                              </w:rPr>
                              <w:t>32</w:t>
                            </w:r>
                            <w:r>
                              <w:rPr>
                                <w:rFonts w:ascii="Arial" w:hAnsi="Arial" w:cs="Arial"/>
                                <w:b/>
                              </w:rPr>
                              <w:t>/2019</w:t>
                            </w:r>
                          </w:p>
                          <w:p w:rsidR="00D31E24" w:rsidRPr="005E1596" w:rsidRDefault="00D31E24" w:rsidP="00D31E24">
                            <w:pPr>
                              <w:jc w:val="center"/>
                              <w:rPr>
                                <w:rFonts w:ascii="Arial" w:hAnsi="Arial" w:cs="Arial"/>
                                <w:sz w:val="22"/>
                                <w:szCs w:val="22"/>
                              </w:rPr>
                            </w:pPr>
                            <w:r>
                              <w:rPr>
                                <w:rFonts w:ascii="Arial" w:hAnsi="Arial" w:cs="Arial"/>
                                <w:sz w:val="22"/>
                                <w:szCs w:val="22"/>
                              </w:rPr>
                              <w:t>(Agenda item:</w:t>
                            </w:r>
                            <w:r>
                              <w:rPr>
                                <w:rFonts w:ascii="Arial" w:hAnsi="Arial" w:cs="Arial"/>
                                <w:sz w:val="22"/>
                                <w:szCs w:val="22"/>
                              </w:rPr>
                              <w:t xml:space="preserve"> 12</w:t>
                            </w:r>
                            <w:r>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79E2" id="_x0000_t202" coordsize="21600,21600" o:spt="202" path="m,l,21600r21600,l21600,xe">
                <v:stroke joinstyle="miter"/>
                <v:path gradientshapeok="t" o:connecttype="rect"/>
              </v:shapetype>
              <v:shape id="Text Box 2" o:spid="_x0000_s1026" type="#_x0000_t202" style="position:absolute;margin-left:368.4pt;margin-top:20.5pt;width:108pt;height:4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8HIwIAAEY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">
                <v:textbox>
                  <w:txbxContent>
                    <w:p w:rsidR="00D31E24" w:rsidRDefault="00D31E24" w:rsidP="00D31E24">
                      <w:pPr>
                        <w:jc w:val="center"/>
                        <w:rPr>
                          <w:rFonts w:ascii="Arial" w:hAnsi="Arial" w:cs="Arial"/>
                        </w:rPr>
                      </w:pPr>
                      <w:proofErr w:type="spellStart"/>
                      <w:r>
                        <w:rPr>
                          <w:rFonts w:ascii="Arial" w:hAnsi="Arial" w:cs="Arial"/>
                          <w:b/>
                        </w:rPr>
                        <w:t>CoG</w:t>
                      </w:r>
                      <w:proofErr w:type="spellEnd"/>
                      <w:r>
                        <w:rPr>
                          <w:rFonts w:ascii="Arial" w:hAnsi="Arial" w:cs="Arial"/>
                          <w:b/>
                        </w:rPr>
                        <w:t xml:space="preserve"> </w:t>
                      </w:r>
                      <w:r>
                        <w:rPr>
                          <w:rFonts w:ascii="Arial" w:hAnsi="Arial" w:cs="Arial"/>
                          <w:b/>
                        </w:rPr>
                        <w:t>32</w:t>
                      </w:r>
                      <w:r>
                        <w:rPr>
                          <w:rFonts w:ascii="Arial" w:hAnsi="Arial" w:cs="Arial"/>
                          <w:b/>
                        </w:rPr>
                        <w:t>/2019</w:t>
                      </w:r>
                    </w:p>
                    <w:p w:rsidR="00D31E24" w:rsidRPr="005E1596" w:rsidRDefault="00D31E24" w:rsidP="00D31E24">
                      <w:pPr>
                        <w:jc w:val="center"/>
                        <w:rPr>
                          <w:rFonts w:ascii="Arial" w:hAnsi="Arial" w:cs="Arial"/>
                          <w:sz w:val="22"/>
                          <w:szCs w:val="22"/>
                        </w:rPr>
                      </w:pPr>
                      <w:r>
                        <w:rPr>
                          <w:rFonts w:ascii="Arial" w:hAnsi="Arial" w:cs="Arial"/>
                          <w:sz w:val="22"/>
                          <w:szCs w:val="22"/>
                        </w:rPr>
                        <w:t>(Agenda item:</w:t>
                      </w:r>
                      <w:r>
                        <w:rPr>
                          <w:rFonts w:ascii="Arial" w:hAnsi="Arial" w:cs="Arial"/>
                          <w:sz w:val="22"/>
                          <w:szCs w:val="22"/>
                        </w:rPr>
                        <w:t xml:space="preserve"> 12</w:t>
                      </w:r>
                      <w:r>
                        <w:rPr>
                          <w:rFonts w:ascii="Arial" w:hAnsi="Arial" w:cs="Arial"/>
                          <w:sz w:val="22"/>
                          <w:szCs w:val="22"/>
                        </w:rPr>
                        <w:t>)</w:t>
                      </w:r>
                    </w:p>
                  </w:txbxContent>
                </v:textbox>
              </v:shape>
            </w:pict>
          </mc:Fallback>
        </mc:AlternateContent>
      </w:r>
      <w:r w:rsidR="007B6D77" w:rsidRPr="00E21471">
        <w:rPr>
          <w:noProof/>
          <w:lang w:val="en-GB" w:eastAsia="en-GB"/>
        </w:rPr>
        <w:drawing>
          <wp:inline distT="0" distB="0" distL="0" distR="0" wp14:anchorId="1351AEEA" wp14:editId="3FB001AD">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E21471" w:rsidRDefault="005D3499" w:rsidP="00C6233E">
      <w:pPr>
        <w:pStyle w:val="Heading1"/>
        <w:jc w:val="center"/>
        <w:rPr>
          <w:rFonts w:cs="Arial"/>
          <w:sz w:val="24"/>
          <w:szCs w:val="24"/>
          <w:u w:val="none"/>
        </w:rPr>
      </w:pPr>
    </w:p>
    <w:p w:rsidR="00D06C2D" w:rsidRDefault="00D06C2D" w:rsidP="00C6233E">
      <w:pPr>
        <w:pStyle w:val="Heading1"/>
        <w:jc w:val="center"/>
        <w:rPr>
          <w:rFonts w:cs="Arial"/>
          <w:sz w:val="24"/>
          <w:szCs w:val="24"/>
          <w:u w:val="none"/>
        </w:rPr>
      </w:pPr>
    </w:p>
    <w:p w:rsidR="005E2583" w:rsidRPr="001F2225" w:rsidRDefault="005D3499" w:rsidP="00C6233E">
      <w:pPr>
        <w:pStyle w:val="Heading1"/>
        <w:jc w:val="center"/>
        <w:rPr>
          <w:rFonts w:ascii="Segoe UI" w:hAnsi="Segoe UI" w:cs="Segoe UI"/>
          <w:sz w:val="24"/>
          <w:szCs w:val="22"/>
          <w:u w:val="none"/>
        </w:rPr>
      </w:pPr>
      <w:bookmarkStart w:id="0" w:name="_Hlk529542753"/>
      <w:bookmarkEnd w:id="0"/>
      <w:r w:rsidRPr="001F2225">
        <w:rPr>
          <w:rFonts w:ascii="Segoe UI" w:hAnsi="Segoe UI" w:cs="Segoe UI"/>
          <w:sz w:val="24"/>
          <w:szCs w:val="22"/>
          <w:u w:val="none"/>
        </w:rPr>
        <w:t xml:space="preserve">Report to the Meeting </w:t>
      </w:r>
      <w:r w:rsidR="00B50D5E" w:rsidRPr="001F2225">
        <w:rPr>
          <w:rFonts w:ascii="Segoe UI" w:hAnsi="Segoe UI" w:cs="Segoe UI"/>
          <w:sz w:val="24"/>
          <w:szCs w:val="22"/>
          <w:u w:val="none"/>
        </w:rPr>
        <w:t>of the</w:t>
      </w:r>
    </w:p>
    <w:p w:rsidR="001F2225" w:rsidRDefault="00B50D5E" w:rsidP="00C6233E">
      <w:pPr>
        <w:pStyle w:val="Heading1"/>
        <w:jc w:val="center"/>
        <w:rPr>
          <w:rFonts w:ascii="Segoe UI" w:hAnsi="Segoe UI" w:cs="Segoe UI"/>
          <w:sz w:val="24"/>
          <w:szCs w:val="22"/>
          <w:u w:val="none"/>
        </w:rPr>
      </w:pPr>
      <w:r w:rsidRPr="001F2225">
        <w:rPr>
          <w:rFonts w:ascii="Segoe UI" w:hAnsi="Segoe UI" w:cs="Segoe UI"/>
          <w:sz w:val="24"/>
          <w:szCs w:val="22"/>
          <w:u w:val="none"/>
        </w:rPr>
        <w:t xml:space="preserve">Oxford Health NHS </w:t>
      </w:r>
      <w:r w:rsidR="002821F8" w:rsidRPr="001F2225">
        <w:rPr>
          <w:rFonts w:ascii="Segoe UI" w:hAnsi="Segoe UI" w:cs="Segoe UI"/>
          <w:sz w:val="24"/>
          <w:szCs w:val="22"/>
          <w:u w:val="none"/>
        </w:rPr>
        <w:t>Foundation Trust</w:t>
      </w:r>
      <w:r w:rsidR="001F2225">
        <w:rPr>
          <w:rFonts w:ascii="Segoe UI" w:hAnsi="Segoe UI" w:cs="Segoe UI"/>
          <w:sz w:val="24"/>
          <w:szCs w:val="22"/>
          <w:u w:val="none"/>
        </w:rPr>
        <w:t xml:space="preserve"> </w:t>
      </w:r>
    </w:p>
    <w:p w:rsidR="001F2225" w:rsidRDefault="001F2225" w:rsidP="00C6233E">
      <w:pPr>
        <w:pStyle w:val="Heading1"/>
        <w:jc w:val="center"/>
        <w:rPr>
          <w:rFonts w:ascii="Segoe UI" w:hAnsi="Segoe UI" w:cs="Segoe UI"/>
          <w:sz w:val="24"/>
          <w:szCs w:val="22"/>
          <w:u w:val="none"/>
        </w:rPr>
      </w:pPr>
    </w:p>
    <w:p w:rsidR="005D3499" w:rsidRPr="001F2225" w:rsidRDefault="00342219" w:rsidP="001F2225">
      <w:pPr>
        <w:pStyle w:val="Heading1"/>
        <w:jc w:val="center"/>
        <w:rPr>
          <w:rFonts w:ascii="Segoe UI" w:hAnsi="Segoe UI" w:cs="Segoe UI"/>
          <w:b w:val="0"/>
          <w:sz w:val="24"/>
          <w:szCs w:val="22"/>
        </w:rPr>
      </w:pPr>
      <w:r w:rsidRPr="001F2225">
        <w:rPr>
          <w:rFonts w:ascii="Segoe UI" w:hAnsi="Segoe UI" w:cs="Segoe UI"/>
          <w:sz w:val="24"/>
          <w:szCs w:val="22"/>
          <w:u w:val="none"/>
        </w:rPr>
        <w:t>Council of Governors</w:t>
      </w:r>
      <w:r w:rsidR="001F2225">
        <w:rPr>
          <w:rFonts w:ascii="Segoe UI" w:hAnsi="Segoe UI" w:cs="Segoe UI"/>
          <w:sz w:val="24"/>
          <w:szCs w:val="22"/>
          <w:u w:val="none"/>
        </w:rPr>
        <w:t xml:space="preserve"> </w:t>
      </w:r>
      <w:bookmarkStart w:id="1" w:name="_GoBack"/>
      <w:bookmarkEnd w:id="1"/>
    </w:p>
    <w:p w:rsidR="005D3499" w:rsidRPr="001F2225" w:rsidRDefault="00346201" w:rsidP="00C6233E">
      <w:pPr>
        <w:jc w:val="center"/>
        <w:rPr>
          <w:rFonts w:ascii="Segoe UI" w:hAnsi="Segoe UI" w:cs="Segoe UI"/>
          <w:b/>
          <w:szCs w:val="22"/>
        </w:rPr>
      </w:pPr>
      <w:r w:rsidRPr="001F2225">
        <w:rPr>
          <w:rFonts w:ascii="Segoe UI" w:hAnsi="Segoe UI" w:cs="Segoe UI"/>
          <w:b/>
          <w:szCs w:val="22"/>
        </w:rPr>
        <w:t>21 November 2019</w:t>
      </w:r>
    </w:p>
    <w:p w:rsidR="005D3499" w:rsidRPr="001F2225" w:rsidRDefault="005D3499" w:rsidP="00C6233E">
      <w:pPr>
        <w:jc w:val="center"/>
        <w:rPr>
          <w:rFonts w:ascii="Segoe UI" w:hAnsi="Segoe UI" w:cs="Segoe UI"/>
          <w:b/>
          <w:szCs w:val="22"/>
        </w:rPr>
      </w:pPr>
    </w:p>
    <w:p w:rsidR="00F715FD" w:rsidRPr="001F2225" w:rsidRDefault="00F715FD" w:rsidP="00C6233E">
      <w:pPr>
        <w:jc w:val="center"/>
        <w:rPr>
          <w:rFonts w:ascii="Segoe UI" w:hAnsi="Segoe UI" w:cs="Segoe UI"/>
          <w:b/>
          <w:szCs w:val="22"/>
        </w:rPr>
      </w:pPr>
      <w:r w:rsidRPr="001F2225">
        <w:rPr>
          <w:rFonts w:ascii="Segoe UI" w:hAnsi="Segoe UI" w:cs="Segoe UI"/>
          <w:b/>
          <w:szCs w:val="22"/>
        </w:rPr>
        <w:t>Performance Report</w:t>
      </w:r>
      <w:r w:rsidR="00C40728" w:rsidRPr="001F2225">
        <w:rPr>
          <w:rFonts w:ascii="Segoe UI" w:hAnsi="Segoe UI" w:cs="Segoe UI"/>
          <w:b/>
          <w:szCs w:val="22"/>
        </w:rPr>
        <w:t xml:space="preserve"> </w:t>
      </w:r>
      <w:r w:rsidR="00243EF5" w:rsidRPr="001F2225">
        <w:rPr>
          <w:rFonts w:ascii="Segoe UI" w:hAnsi="Segoe UI" w:cs="Segoe UI"/>
          <w:b/>
          <w:szCs w:val="22"/>
        </w:rPr>
        <w:t>Q</w:t>
      </w:r>
      <w:r w:rsidR="00346201" w:rsidRPr="001F2225">
        <w:rPr>
          <w:rFonts w:ascii="Segoe UI" w:hAnsi="Segoe UI" w:cs="Segoe UI"/>
          <w:b/>
          <w:szCs w:val="22"/>
        </w:rPr>
        <w:t>2</w:t>
      </w:r>
      <w:r w:rsidR="00D06C2D" w:rsidRPr="001F2225">
        <w:rPr>
          <w:rFonts w:ascii="Segoe UI" w:hAnsi="Segoe UI" w:cs="Segoe UI"/>
          <w:b/>
          <w:szCs w:val="22"/>
        </w:rPr>
        <w:t xml:space="preserve"> </w:t>
      </w:r>
      <w:r w:rsidR="00C40728" w:rsidRPr="001F2225">
        <w:rPr>
          <w:rFonts w:ascii="Segoe UI" w:hAnsi="Segoe UI" w:cs="Segoe UI"/>
          <w:b/>
          <w:szCs w:val="22"/>
        </w:rPr>
        <w:t>(</w:t>
      </w:r>
      <w:r w:rsidR="00346201" w:rsidRPr="001F2225">
        <w:rPr>
          <w:rFonts w:ascii="Segoe UI" w:hAnsi="Segoe UI" w:cs="Segoe UI"/>
          <w:b/>
          <w:szCs w:val="22"/>
        </w:rPr>
        <w:t>Jul</w:t>
      </w:r>
      <w:r w:rsidR="00974446" w:rsidRPr="001F2225">
        <w:rPr>
          <w:rFonts w:ascii="Segoe UI" w:hAnsi="Segoe UI" w:cs="Segoe UI"/>
          <w:b/>
          <w:szCs w:val="22"/>
        </w:rPr>
        <w:t xml:space="preserve"> 2019</w:t>
      </w:r>
      <w:r w:rsidR="00C6357C" w:rsidRPr="001F2225">
        <w:rPr>
          <w:rFonts w:ascii="Segoe UI" w:hAnsi="Segoe UI" w:cs="Segoe UI"/>
          <w:b/>
          <w:szCs w:val="22"/>
        </w:rPr>
        <w:t xml:space="preserve"> </w:t>
      </w:r>
      <w:r w:rsidR="00C855F5" w:rsidRPr="001F2225">
        <w:rPr>
          <w:rFonts w:ascii="Segoe UI" w:hAnsi="Segoe UI" w:cs="Segoe UI"/>
          <w:b/>
          <w:szCs w:val="22"/>
        </w:rPr>
        <w:t>–</w:t>
      </w:r>
      <w:r w:rsidR="00C6357C" w:rsidRPr="001F2225">
        <w:rPr>
          <w:rFonts w:ascii="Segoe UI" w:hAnsi="Segoe UI" w:cs="Segoe UI"/>
          <w:b/>
          <w:szCs w:val="22"/>
        </w:rPr>
        <w:t xml:space="preserve"> </w:t>
      </w:r>
      <w:r w:rsidR="00346201" w:rsidRPr="001F2225">
        <w:rPr>
          <w:rFonts w:ascii="Segoe UI" w:hAnsi="Segoe UI" w:cs="Segoe UI"/>
          <w:b/>
          <w:szCs w:val="22"/>
        </w:rPr>
        <w:t>Sept</w:t>
      </w:r>
      <w:r w:rsidR="00974446" w:rsidRPr="001F2225">
        <w:rPr>
          <w:rFonts w:ascii="Segoe UI" w:hAnsi="Segoe UI" w:cs="Segoe UI"/>
          <w:b/>
          <w:szCs w:val="22"/>
        </w:rPr>
        <w:t xml:space="preserve"> 2019</w:t>
      </w:r>
      <w:r w:rsidR="009B1280" w:rsidRPr="001F2225">
        <w:rPr>
          <w:rFonts w:ascii="Segoe UI" w:hAnsi="Segoe UI" w:cs="Segoe UI"/>
          <w:b/>
          <w:szCs w:val="22"/>
        </w:rPr>
        <w:t>)</w:t>
      </w:r>
    </w:p>
    <w:p w:rsidR="005D3499" w:rsidRPr="001F2225" w:rsidRDefault="005D3499" w:rsidP="00C6233E">
      <w:pPr>
        <w:jc w:val="center"/>
        <w:rPr>
          <w:rFonts w:ascii="Segoe UI" w:hAnsi="Segoe UI" w:cs="Segoe UI"/>
          <w:b/>
          <w:szCs w:val="22"/>
        </w:rPr>
      </w:pPr>
    </w:p>
    <w:p w:rsidR="00241A66" w:rsidRPr="001F2225" w:rsidRDefault="00F715FD" w:rsidP="00C6233E">
      <w:pPr>
        <w:jc w:val="center"/>
        <w:rPr>
          <w:rFonts w:ascii="Segoe UI" w:hAnsi="Segoe UI" w:cs="Segoe UI"/>
          <w:szCs w:val="22"/>
        </w:rPr>
      </w:pPr>
      <w:r w:rsidRPr="001F2225">
        <w:rPr>
          <w:rFonts w:ascii="Segoe UI" w:hAnsi="Segoe UI" w:cs="Segoe UI"/>
          <w:b/>
          <w:szCs w:val="22"/>
          <w:u w:val="single"/>
        </w:rPr>
        <w:t xml:space="preserve">For: </w:t>
      </w:r>
      <w:r w:rsidR="00292613" w:rsidRPr="001F2225">
        <w:rPr>
          <w:rFonts w:ascii="Segoe UI" w:hAnsi="Segoe UI" w:cs="Segoe UI"/>
          <w:b/>
          <w:szCs w:val="22"/>
          <w:u w:val="single"/>
        </w:rPr>
        <w:t>Information</w:t>
      </w:r>
    </w:p>
    <w:p w:rsidR="00292613" w:rsidRPr="001F2225" w:rsidRDefault="00292613" w:rsidP="00C6233E">
      <w:pPr>
        <w:jc w:val="center"/>
        <w:rPr>
          <w:rFonts w:ascii="Segoe UI" w:hAnsi="Segoe UI" w:cs="Segoe UI"/>
          <w:b/>
          <w:sz w:val="22"/>
          <w:szCs w:val="22"/>
        </w:rPr>
      </w:pPr>
    </w:p>
    <w:p w:rsidR="000475D8" w:rsidRPr="001F2225" w:rsidRDefault="000475D8" w:rsidP="000475D8">
      <w:pPr>
        <w:rPr>
          <w:rFonts w:ascii="Segoe UI" w:hAnsi="Segoe UI" w:cs="Segoe UI"/>
          <w:b/>
          <w:sz w:val="22"/>
          <w:szCs w:val="22"/>
        </w:rPr>
      </w:pPr>
      <w:r w:rsidRPr="001F2225">
        <w:rPr>
          <w:rFonts w:ascii="Segoe UI" w:hAnsi="Segoe UI" w:cs="Segoe UI"/>
          <w:b/>
          <w:sz w:val="22"/>
          <w:szCs w:val="22"/>
        </w:rPr>
        <w:t>Executive Summary</w:t>
      </w:r>
    </w:p>
    <w:p w:rsidR="000475D8" w:rsidRPr="001F2225" w:rsidRDefault="000475D8" w:rsidP="000475D8">
      <w:pPr>
        <w:jc w:val="both"/>
        <w:rPr>
          <w:rFonts w:ascii="Segoe UI" w:hAnsi="Segoe UI" w:cs="Segoe UI"/>
          <w:i/>
          <w:sz w:val="22"/>
          <w:szCs w:val="22"/>
        </w:rPr>
      </w:pPr>
    </w:p>
    <w:p w:rsidR="000475D8" w:rsidRPr="001F2225" w:rsidRDefault="000475D8" w:rsidP="000475D8">
      <w:pPr>
        <w:jc w:val="both"/>
        <w:rPr>
          <w:rFonts w:ascii="Segoe UI" w:hAnsi="Segoe UI" w:cs="Segoe UI"/>
          <w:sz w:val="22"/>
          <w:szCs w:val="22"/>
        </w:rPr>
      </w:pPr>
      <w:r w:rsidRPr="001F2225">
        <w:rPr>
          <w:rFonts w:ascii="Segoe UI" w:hAnsi="Segoe UI" w:cs="Segoe UI"/>
          <w:sz w:val="22"/>
          <w:szCs w:val="22"/>
        </w:rPr>
        <w:t xml:space="preserve">This report provides a consolidated view of the Trust’s operational performance against both national and local (contracted) indicators for </w:t>
      </w:r>
      <w:r w:rsidR="00346201" w:rsidRPr="001F2225">
        <w:rPr>
          <w:rFonts w:ascii="Segoe UI" w:hAnsi="Segoe UI" w:cs="Segoe UI"/>
          <w:sz w:val="22"/>
          <w:szCs w:val="22"/>
        </w:rPr>
        <w:t xml:space="preserve">July – Sept </w:t>
      </w:r>
      <w:r w:rsidRPr="001F2225">
        <w:rPr>
          <w:rFonts w:ascii="Segoe UI" w:hAnsi="Segoe UI" w:cs="Segoe UI"/>
          <w:sz w:val="22"/>
          <w:szCs w:val="22"/>
        </w:rPr>
        <w:t>2019 (Q</w:t>
      </w:r>
      <w:r w:rsidR="00346201" w:rsidRPr="001F2225">
        <w:rPr>
          <w:rFonts w:ascii="Segoe UI" w:hAnsi="Segoe UI" w:cs="Segoe UI"/>
          <w:sz w:val="22"/>
          <w:szCs w:val="22"/>
        </w:rPr>
        <w:t>2</w:t>
      </w:r>
      <w:r w:rsidRPr="001F2225">
        <w:rPr>
          <w:rFonts w:ascii="Segoe UI" w:hAnsi="Segoe UI" w:cs="Segoe UI"/>
          <w:sz w:val="22"/>
          <w:szCs w:val="22"/>
        </w:rPr>
        <w:t>).</w:t>
      </w:r>
    </w:p>
    <w:p w:rsidR="000475D8" w:rsidRPr="001F2225" w:rsidRDefault="000475D8" w:rsidP="000475D8">
      <w:pPr>
        <w:jc w:val="both"/>
        <w:rPr>
          <w:rFonts w:ascii="Segoe UI" w:hAnsi="Segoe UI" w:cs="Segoe UI"/>
          <w:sz w:val="22"/>
          <w:szCs w:val="22"/>
        </w:rPr>
      </w:pPr>
    </w:p>
    <w:p w:rsidR="000475D8" w:rsidRPr="001F2225" w:rsidRDefault="000475D8" w:rsidP="000475D8">
      <w:pPr>
        <w:jc w:val="both"/>
        <w:rPr>
          <w:rFonts w:ascii="Segoe UI" w:hAnsi="Segoe UI" w:cs="Segoe UI"/>
          <w:sz w:val="22"/>
          <w:szCs w:val="22"/>
        </w:rPr>
      </w:pPr>
      <w:r w:rsidRPr="001F2225">
        <w:rPr>
          <w:rFonts w:ascii="Segoe UI" w:hAnsi="Segoe UI" w:cs="Segoe UI"/>
          <w:sz w:val="22"/>
          <w:szCs w:val="22"/>
        </w:rPr>
        <w:t xml:space="preserve">A standard scorecard approach is used for all reporting within the Trust and compliance against targets are measured using a RAG rating system.  Performance reporting is presented monthly and scrutinised by various leadership and oversight committees up to and including the Trust Board and Commissioners.  See Appendix </w:t>
      </w:r>
      <w:r w:rsidR="003D7659" w:rsidRPr="001F2225">
        <w:rPr>
          <w:rFonts w:ascii="Segoe UI" w:hAnsi="Segoe UI" w:cs="Segoe UI"/>
          <w:sz w:val="22"/>
          <w:szCs w:val="22"/>
        </w:rPr>
        <w:t>2</w:t>
      </w:r>
      <w:r w:rsidRPr="001F2225">
        <w:rPr>
          <w:rFonts w:ascii="Segoe UI" w:hAnsi="Segoe UI" w:cs="Segoe UI"/>
          <w:sz w:val="22"/>
          <w:szCs w:val="22"/>
        </w:rPr>
        <w:t xml:space="preserve"> for a diagram showing the performance governance process.</w:t>
      </w:r>
    </w:p>
    <w:p w:rsidR="000475D8" w:rsidRPr="001F2225" w:rsidRDefault="000475D8" w:rsidP="000475D8">
      <w:pPr>
        <w:jc w:val="both"/>
        <w:rPr>
          <w:rFonts w:ascii="Segoe UI" w:hAnsi="Segoe UI" w:cs="Segoe UI"/>
          <w:sz w:val="22"/>
          <w:szCs w:val="22"/>
        </w:rPr>
      </w:pPr>
    </w:p>
    <w:p w:rsidR="000475D8" w:rsidRPr="001F2225" w:rsidRDefault="000475D8" w:rsidP="000475D8">
      <w:pPr>
        <w:jc w:val="both"/>
        <w:rPr>
          <w:rFonts w:ascii="Segoe UI" w:hAnsi="Segoe UI" w:cs="Segoe UI"/>
          <w:sz w:val="22"/>
          <w:szCs w:val="22"/>
        </w:rPr>
      </w:pPr>
      <w:r w:rsidRPr="001F2225">
        <w:rPr>
          <w:rFonts w:ascii="Segoe UI" w:hAnsi="Segoe UI" w:cs="Segoe UI"/>
          <w:sz w:val="22"/>
          <w:szCs w:val="22"/>
        </w:rPr>
        <w:t>The report is divided into three major sections:</w:t>
      </w:r>
    </w:p>
    <w:p w:rsidR="000475D8" w:rsidRPr="001F2225" w:rsidRDefault="000475D8" w:rsidP="000475D8">
      <w:pPr>
        <w:jc w:val="both"/>
        <w:rPr>
          <w:rFonts w:ascii="Segoe UI" w:hAnsi="Segoe UI" w:cs="Segoe UI"/>
          <w:sz w:val="22"/>
          <w:szCs w:val="22"/>
        </w:rPr>
      </w:pPr>
    </w:p>
    <w:p w:rsidR="000475D8" w:rsidRPr="001F2225" w:rsidRDefault="000475D8" w:rsidP="000475D8">
      <w:pPr>
        <w:jc w:val="both"/>
        <w:rPr>
          <w:rFonts w:ascii="Segoe UI" w:hAnsi="Segoe UI" w:cs="Segoe UI"/>
          <w:sz w:val="22"/>
          <w:szCs w:val="22"/>
        </w:rPr>
      </w:pPr>
      <w:r w:rsidRPr="001F2225">
        <w:rPr>
          <w:rFonts w:ascii="Segoe UI" w:hAnsi="Segoe UI" w:cs="Segoe UI"/>
          <w:b/>
          <w:sz w:val="22"/>
          <w:szCs w:val="22"/>
        </w:rPr>
        <w:t>Section 1</w:t>
      </w:r>
      <w:r w:rsidR="00D06C2D" w:rsidRPr="001F2225">
        <w:rPr>
          <w:rFonts w:ascii="Segoe UI" w:hAnsi="Segoe UI" w:cs="Segoe UI"/>
          <w:sz w:val="22"/>
          <w:szCs w:val="22"/>
        </w:rPr>
        <w:t>: a</w:t>
      </w:r>
      <w:r w:rsidRPr="001F2225">
        <w:rPr>
          <w:rFonts w:ascii="Segoe UI" w:hAnsi="Segoe UI" w:cs="Segoe UI"/>
          <w:sz w:val="22"/>
          <w:szCs w:val="22"/>
        </w:rPr>
        <w:t xml:space="preserve">n update on the </w:t>
      </w:r>
      <w:r w:rsidRPr="001F2225">
        <w:rPr>
          <w:rFonts w:ascii="Segoe UI" w:hAnsi="Segoe UI" w:cs="Segoe UI"/>
          <w:b/>
          <w:sz w:val="22"/>
          <w:szCs w:val="22"/>
        </w:rPr>
        <w:t>overall position</w:t>
      </w:r>
      <w:r w:rsidRPr="001F2225">
        <w:rPr>
          <w:rFonts w:ascii="Segoe UI" w:hAnsi="Segoe UI" w:cs="Segoe UI"/>
          <w:sz w:val="22"/>
          <w:szCs w:val="22"/>
        </w:rPr>
        <w:t xml:space="preserve"> and trends for the Trust</w:t>
      </w:r>
    </w:p>
    <w:p w:rsidR="000475D8" w:rsidRPr="001F2225" w:rsidRDefault="000475D8" w:rsidP="000475D8">
      <w:pPr>
        <w:jc w:val="both"/>
        <w:rPr>
          <w:rFonts w:ascii="Segoe UI" w:hAnsi="Segoe UI" w:cs="Segoe UI"/>
          <w:sz w:val="22"/>
          <w:szCs w:val="22"/>
        </w:rPr>
      </w:pPr>
    </w:p>
    <w:p w:rsidR="000475D8" w:rsidRPr="001F2225" w:rsidRDefault="000475D8" w:rsidP="000475D8">
      <w:pPr>
        <w:jc w:val="both"/>
        <w:rPr>
          <w:rFonts w:ascii="Segoe UI" w:hAnsi="Segoe UI" w:cs="Segoe UI"/>
          <w:sz w:val="22"/>
          <w:szCs w:val="22"/>
        </w:rPr>
      </w:pPr>
      <w:r w:rsidRPr="001F2225">
        <w:rPr>
          <w:rFonts w:ascii="Segoe UI" w:hAnsi="Segoe UI" w:cs="Segoe UI"/>
          <w:b/>
          <w:sz w:val="22"/>
          <w:szCs w:val="22"/>
        </w:rPr>
        <w:t>Section 2</w:t>
      </w:r>
      <w:r w:rsidR="00D06C2D" w:rsidRPr="001F2225">
        <w:rPr>
          <w:rFonts w:ascii="Segoe UI" w:hAnsi="Segoe UI" w:cs="Segoe UI"/>
          <w:sz w:val="22"/>
          <w:szCs w:val="22"/>
        </w:rPr>
        <w:t>: a</w:t>
      </w:r>
      <w:r w:rsidRPr="001F2225">
        <w:rPr>
          <w:rFonts w:ascii="Segoe UI" w:hAnsi="Segoe UI" w:cs="Segoe UI"/>
          <w:sz w:val="22"/>
          <w:szCs w:val="22"/>
        </w:rPr>
        <w:t xml:space="preserve">n update on the Trust’s performance against </w:t>
      </w:r>
      <w:r w:rsidR="00D06C2D" w:rsidRPr="001F2225">
        <w:rPr>
          <w:rFonts w:ascii="Segoe UI" w:hAnsi="Segoe UI" w:cs="Segoe UI"/>
          <w:sz w:val="22"/>
          <w:szCs w:val="22"/>
        </w:rPr>
        <w:t xml:space="preserve">the Single Oversight Framework (SOF) which is the </w:t>
      </w:r>
      <w:r w:rsidR="00D06C2D" w:rsidRPr="001F2225">
        <w:rPr>
          <w:rFonts w:ascii="Segoe UI" w:hAnsi="Segoe UI" w:cs="Segoe UI"/>
          <w:b/>
          <w:sz w:val="22"/>
          <w:szCs w:val="22"/>
        </w:rPr>
        <w:t>National (NHSI) criteria</w:t>
      </w:r>
    </w:p>
    <w:p w:rsidR="000475D8" w:rsidRPr="001F2225" w:rsidRDefault="000475D8" w:rsidP="000475D8">
      <w:pPr>
        <w:jc w:val="both"/>
        <w:rPr>
          <w:rFonts w:ascii="Segoe UI" w:hAnsi="Segoe UI" w:cs="Segoe UI"/>
          <w:sz w:val="22"/>
          <w:szCs w:val="22"/>
        </w:rPr>
      </w:pPr>
    </w:p>
    <w:p w:rsidR="000475D8" w:rsidRPr="001F2225" w:rsidRDefault="000475D8" w:rsidP="000475D8">
      <w:pPr>
        <w:jc w:val="both"/>
        <w:rPr>
          <w:rFonts w:ascii="Segoe UI" w:hAnsi="Segoe UI" w:cs="Segoe UI"/>
          <w:sz w:val="22"/>
          <w:szCs w:val="22"/>
        </w:rPr>
      </w:pPr>
      <w:r w:rsidRPr="001F2225">
        <w:rPr>
          <w:rFonts w:ascii="Segoe UI" w:hAnsi="Segoe UI" w:cs="Segoe UI"/>
          <w:b/>
          <w:sz w:val="22"/>
          <w:szCs w:val="22"/>
        </w:rPr>
        <w:t>Section 3</w:t>
      </w:r>
      <w:r w:rsidR="00D06C2D" w:rsidRPr="001F2225">
        <w:rPr>
          <w:rFonts w:ascii="Segoe UI" w:hAnsi="Segoe UI" w:cs="Segoe UI"/>
          <w:sz w:val="22"/>
          <w:szCs w:val="22"/>
        </w:rPr>
        <w:t>: a</w:t>
      </w:r>
      <w:r w:rsidRPr="001F2225">
        <w:rPr>
          <w:rFonts w:ascii="Segoe UI" w:hAnsi="Segoe UI" w:cs="Segoe UI"/>
          <w:sz w:val="22"/>
          <w:szCs w:val="22"/>
        </w:rPr>
        <w:t xml:space="preserve">n update on the individual </w:t>
      </w:r>
      <w:r w:rsidR="00D06C2D" w:rsidRPr="001F2225">
        <w:rPr>
          <w:rFonts w:ascii="Segoe UI" w:hAnsi="Segoe UI" w:cs="Segoe UI"/>
          <w:b/>
          <w:sz w:val="22"/>
          <w:szCs w:val="22"/>
        </w:rPr>
        <w:t>d</w:t>
      </w:r>
      <w:r w:rsidRPr="001F2225">
        <w:rPr>
          <w:rFonts w:ascii="Segoe UI" w:hAnsi="Segoe UI" w:cs="Segoe UI"/>
          <w:b/>
          <w:sz w:val="22"/>
          <w:szCs w:val="22"/>
        </w:rPr>
        <w:t>irectorate performance</w:t>
      </w:r>
      <w:r w:rsidRPr="001F2225">
        <w:rPr>
          <w:rFonts w:ascii="Segoe UI" w:hAnsi="Segoe UI" w:cs="Segoe UI"/>
          <w:sz w:val="22"/>
          <w:szCs w:val="22"/>
        </w:rPr>
        <w:t xml:space="preserve"> against targeted key performance indicators. </w:t>
      </w:r>
    </w:p>
    <w:p w:rsidR="000475D8" w:rsidRPr="001F2225" w:rsidRDefault="000475D8" w:rsidP="000475D8">
      <w:pPr>
        <w:jc w:val="both"/>
        <w:rPr>
          <w:rFonts w:ascii="Segoe UI" w:hAnsi="Segoe UI" w:cs="Segoe UI"/>
          <w:sz w:val="22"/>
          <w:szCs w:val="22"/>
        </w:rPr>
      </w:pPr>
    </w:p>
    <w:p w:rsidR="000475D8" w:rsidRPr="001F2225" w:rsidRDefault="000475D8" w:rsidP="000475D8">
      <w:pPr>
        <w:shd w:val="clear" w:color="auto" w:fill="8DB3E2" w:themeFill="text2" w:themeFillTint="66"/>
        <w:jc w:val="both"/>
        <w:rPr>
          <w:rFonts w:ascii="Segoe UI" w:hAnsi="Segoe UI" w:cs="Segoe UI"/>
          <w:b/>
          <w:sz w:val="22"/>
          <w:szCs w:val="22"/>
        </w:rPr>
      </w:pPr>
      <w:bookmarkStart w:id="2" w:name="_Hlk529957214"/>
      <w:r w:rsidRPr="001F2225">
        <w:rPr>
          <w:rFonts w:ascii="Segoe UI" w:hAnsi="Segoe UI" w:cs="Segoe UI"/>
          <w:b/>
          <w:sz w:val="22"/>
          <w:szCs w:val="22"/>
        </w:rPr>
        <w:t>Section 1 – The Trust’s Overall Position</w:t>
      </w:r>
    </w:p>
    <w:p w:rsidR="000475D8" w:rsidRPr="001F2225" w:rsidRDefault="000475D8" w:rsidP="000475D8">
      <w:pPr>
        <w:jc w:val="both"/>
        <w:rPr>
          <w:rFonts w:ascii="Segoe UI" w:hAnsi="Segoe UI" w:cs="Segoe UI"/>
          <w:sz w:val="22"/>
          <w:szCs w:val="22"/>
        </w:rPr>
      </w:pPr>
    </w:p>
    <w:p w:rsidR="008A02F7" w:rsidRPr="001F2225" w:rsidRDefault="00346201" w:rsidP="000475D8">
      <w:pPr>
        <w:jc w:val="both"/>
        <w:rPr>
          <w:rFonts w:ascii="Segoe UI" w:hAnsi="Segoe UI" w:cs="Segoe UI"/>
          <w:sz w:val="22"/>
          <w:szCs w:val="22"/>
        </w:rPr>
      </w:pPr>
      <w:r w:rsidRPr="001F2225">
        <w:rPr>
          <w:rFonts w:ascii="Segoe UI" w:hAnsi="Segoe UI" w:cs="Segoe UI"/>
          <w:sz w:val="22"/>
          <w:szCs w:val="22"/>
        </w:rPr>
        <w:t>In Q2,</w:t>
      </w:r>
      <w:r w:rsidR="000475D8" w:rsidRPr="001F2225">
        <w:rPr>
          <w:rFonts w:ascii="Segoe UI" w:hAnsi="Segoe UI" w:cs="Segoe UI"/>
          <w:sz w:val="22"/>
          <w:szCs w:val="22"/>
        </w:rPr>
        <w:t xml:space="preserve"> the Trust achieved 7</w:t>
      </w:r>
      <w:r w:rsidRPr="001F2225">
        <w:rPr>
          <w:rFonts w:ascii="Segoe UI" w:hAnsi="Segoe UI" w:cs="Segoe UI"/>
          <w:sz w:val="22"/>
          <w:szCs w:val="22"/>
        </w:rPr>
        <w:t>6</w:t>
      </w:r>
      <w:r w:rsidR="000475D8" w:rsidRPr="001F2225">
        <w:rPr>
          <w:rFonts w:ascii="Segoe UI" w:hAnsi="Segoe UI" w:cs="Segoe UI"/>
          <w:sz w:val="22"/>
          <w:szCs w:val="22"/>
        </w:rPr>
        <w:t>% compliance</w:t>
      </w:r>
      <w:r w:rsidR="001F2225">
        <w:rPr>
          <w:rFonts w:ascii="Segoe UI" w:hAnsi="Segoe UI" w:cs="Segoe UI"/>
          <w:sz w:val="22"/>
          <w:szCs w:val="22"/>
        </w:rPr>
        <w:t xml:space="preserve"> which is broken down by directorate below;</w:t>
      </w:r>
    </w:p>
    <w:p w:rsidR="00D06C2D" w:rsidRPr="001F2225" w:rsidRDefault="00D06C2D" w:rsidP="000475D8">
      <w:pPr>
        <w:jc w:val="both"/>
        <w:rPr>
          <w:rFonts w:ascii="Segoe UI" w:hAnsi="Segoe UI" w:cs="Segoe UI"/>
          <w:sz w:val="22"/>
          <w:szCs w:val="22"/>
        </w:rPr>
      </w:pPr>
    </w:p>
    <w:tbl>
      <w:tblPr>
        <w:tblW w:w="8642" w:type="dxa"/>
        <w:tblLook w:val="04A0" w:firstRow="1" w:lastRow="0" w:firstColumn="1" w:lastColumn="0" w:noHBand="0" w:noVBand="1"/>
      </w:tblPr>
      <w:tblGrid>
        <w:gridCol w:w="4815"/>
        <w:gridCol w:w="1984"/>
        <w:gridCol w:w="1843"/>
      </w:tblGrid>
      <w:tr w:rsidR="00FB168E" w:rsidRPr="001F2225" w:rsidTr="00D06C2D">
        <w:trPr>
          <w:trHeight w:val="300"/>
        </w:trPr>
        <w:tc>
          <w:tcPr>
            <w:tcW w:w="4815" w:type="dxa"/>
            <w:tcBorders>
              <w:top w:val="single" w:sz="4" w:space="0" w:color="9BC2E6"/>
              <w:left w:val="single" w:sz="4" w:space="0" w:color="9BC2E6"/>
              <w:bottom w:val="single" w:sz="4" w:space="0" w:color="9BC2E6"/>
              <w:right w:val="nil"/>
            </w:tcBorders>
            <w:shd w:val="clear" w:color="5B9BD5" w:fill="5B9BD5"/>
            <w:noWrap/>
            <w:vAlign w:val="bottom"/>
            <w:hideMark/>
          </w:tcPr>
          <w:p w:rsidR="00FB168E" w:rsidRPr="001F2225" w:rsidRDefault="00FB168E">
            <w:pPr>
              <w:rPr>
                <w:rFonts w:ascii="Segoe UI" w:hAnsi="Segoe UI" w:cs="Segoe UI"/>
                <w:b/>
                <w:bCs/>
                <w:color w:val="FFFFFF"/>
                <w:sz w:val="22"/>
                <w:szCs w:val="22"/>
                <w:lang w:val="en-GB" w:eastAsia="en-GB"/>
              </w:rPr>
            </w:pPr>
            <w:r w:rsidRPr="001F2225">
              <w:rPr>
                <w:rFonts w:ascii="Segoe UI" w:hAnsi="Segoe UI" w:cs="Segoe UI"/>
                <w:b/>
                <w:bCs/>
                <w:color w:val="FFFFFF"/>
                <w:sz w:val="22"/>
                <w:szCs w:val="22"/>
              </w:rPr>
              <w:t>Directorate</w:t>
            </w:r>
          </w:p>
        </w:tc>
        <w:tc>
          <w:tcPr>
            <w:tcW w:w="1984" w:type="dxa"/>
            <w:tcBorders>
              <w:top w:val="single" w:sz="4" w:space="0" w:color="9BC2E6"/>
              <w:left w:val="nil"/>
              <w:bottom w:val="single" w:sz="4" w:space="0" w:color="9BC2E6"/>
              <w:right w:val="nil"/>
            </w:tcBorders>
            <w:shd w:val="clear" w:color="5B9BD5" w:fill="5B9BD5"/>
            <w:noWrap/>
            <w:vAlign w:val="bottom"/>
            <w:hideMark/>
          </w:tcPr>
          <w:p w:rsidR="00FB168E" w:rsidRPr="001F2225" w:rsidRDefault="00FB168E" w:rsidP="00D06C2D">
            <w:pPr>
              <w:jc w:val="center"/>
              <w:rPr>
                <w:rFonts w:ascii="Segoe UI" w:hAnsi="Segoe UI" w:cs="Segoe UI"/>
                <w:b/>
                <w:bCs/>
                <w:color w:val="FFFFFF"/>
                <w:sz w:val="22"/>
                <w:szCs w:val="22"/>
              </w:rPr>
            </w:pPr>
            <w:r w:rsidRPr="001F2225">
              <w:rPr>
                <w:rFonts w:ascii="Segoe UI" w:hAnsi="Segoe UI" w:cs="Segoe UI"/>
                <w:b/>
                <w:bCs/>
                <w:color w:val="FFFFFF"/>
                <w:sz w:val="22"/>
                <w:szCs w:val="22"/>
              </w:rPr>
              <w:t>Quarter 1</w:t>
            </w:r>
          </w:p>
        </w:tc>
        <w:tc>
          <w:tcPr>
            <w:tcW w:w="1843" w:type="dxa"/>
            <w:tcBorders>
              <w:top w:val="single" w:sz="4" w:space="0" w:color="9BC2E6"/>
              <w:left w:val="nil"/>
              <w:bottom w:val="single" w:sz="4" w:space="0" w:color="9BC2E6"/>
              <w:right w:val="nil"/>
            </w:tcBorders>
            <w:shd w:val="clear" w:color="5B9BD5" w:fill="5B9BD5"/>
            <w:noWrap/>
            <w:vAlign w:val="bottom"/>
            <w:hideMark/>
          </w:tcPr>
          <w:p w:rsidR="00FB168E" w:rsidRPr="001F2225" w:rsidRDefault="00FB168E" w:rsidP="00D06C2D">
            <w:pPr>
              <w:jc w:val="center"/>
              <w:rPr>
                <w:rFonts w:ascii="Segoe UI" w:hAnsi="Segoe UI" w:cs="Segoe UI"/>
                <w:b/>
                <w:bCs/>
                <w:color w:val="FFFFFF"/>
                <w:sz w:val="22"/>
                <w:szCs w:val="22"/>
              </w:rPr>
            </w:pPr>
            <w:r w:rsidRPr="001F2225">
              <w:rPr>
                <w:rFonts w:ascii="Segoe UI" w:hAnsi="Segoe UI" w:cs="Segoe UI"/>
                <w:b/>
                <w:bCs/>
                <w:color w:val="FFFFFF"/>
                <w:sz w:val="22"/>
                <w:szCs w:val="22"/>
              </w:rPr>
              <w:t>Quarter 2</w:t>
            </w:r>
          </w:p>
        </w:tc>
      </w:tr>
      <w:tr w:rsidR="00FB168E" w:rsidRPr="001F2225" w:rsidTr="00D06C2D">
        <w:trPr>
          <w:trHeight w:val="300"/>
        </w:trPr>
        <w:tc>
          <w:tcPr>
            <w:tcW w:w="4815" w:type="dxa"/>
            <w:tcBorders>
              <w:top w:val="single" w:sz="4" w:space="0" w:color="9BC2E6"/>
              <w:left w:val="single" w:sz="4" w:space="0" w:color="9BC2E6"/>
              <w:bottom w:val="single" w:sz="4" w:space="0" w:color="9BC2E6"/>
              <w:right w:val="nil"/>
            </w:tcBorders>
            <w:shd w:val="clear" w:color="DDEBF7" w:fill="DDEBF7"/>
            <w:noWrap/>
            <w:vAlign w:val="bottom"/>
            <w:hideMark/>
          </w:tcPr>
          <w:p w:rsidR="00FB168E" w:rsidRPr="001F2225" w:rsidRDefault="00FB168E">
            <w:pPr>
              <w:rPr>
                <w:rFonts w:ascii="Segoe UI" w:hAnsi="Segoe UI" w:cs="Segoe UI"/>
                <w:color w:val="000000"/>
                <w:sz w:val="22"/>
                <w:szCs w:val="22"/>
              </w:rPr>
            </w:pPr>
            <w:r w:rsidRPr="001F2225">
              <w:rPr>
                <w:rFonts w:ascii="Segoe UI" w:hAnsi="Segoe UI" w:cs="Segoe UI"/>
                <w:color w:val="000000"/>
                <w:sz w:val="22"/>
                <w:szCs w:val="22"/>
              </w:rPr>
              <w:t>All Ages Mental Health - Oxon</w:t>
            </w:r>
          </w:p>
        </w:tc>
        <w:tc>
          <w:tcPr>
            <w:tcW w:w="1984" w:type="dxa"/>
            <w:tcBorders>
              <w:top w:val="single" w:sz="4" w:space="0" w:color="9BC2E6"/>
              <w:left w:val="nil"/>
              <w:bottom w:val="single" w:sz="4" w:space="0" w:color="9BC2E6"/>
              <w:right w:val="nil"/>
            </w:tcBorders>
            <w:shd w:val="clear" w:color="DDEBF7" w:fill="DDEBF7"/>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74%</w:t>
            </w:r>
          </w:p>
        </w:tc>
        <w:tc>
          <w:tcPr>
            <w:tcW w:w="1843" w:type="dxa"/>
            <w:tcBorders>
              <w:top w:val="single" w:sz="4" w:space="0" w:color="9BC2E6"/>
              <w:left w:val="nil"/>
              <w:bottom w:val="single" w:sz="4" w:space="0" w:color="9BC2E6"/>
              <w:right w:val="nil"/>
            </w:tcBorders>
            <w:shd w:val="clear" w:color="DDEBF7" w:fill="DDEBF7"/>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70%</w:t>
            </w:r>
          </w:p>
        </w:tc>
      </w:tr>
      <w:tr w:rsidR="00FB168E" w:rsidRPr="001F2225" w:rsidTr="00D06C2D">
        <w:trPr>
          <w:trHeight w:val="300"/>
        </w:trPr>
        <w:tc>
          <w:tcPr>
            <w:tcW w:w="4815" w:type="dxa"/>
            <w:tcBorders>
              <w:top w:val="single" w:sz="4" w:space="0" w:color="9BC2E6"/>
              <w:left w:val="single" w:sz="4" w:space="0" w:color="9BC2E6"/>
              <w:bottom w:val="single" w:sz="4" w:space="0" w:color="9BC2E6"/>
              <w:right w:val="nil"/>
            </w:tcBorders>
            <w:shd w:val="clear" w:color="auto" w:fill="auto"/>
            <w:noWrap/>
            <w:vAlign w:val="bottom"/>
            <w:hideMark/>
          </w:tcPr>
          <w:p w:rsidR="00FB168E" w:rsidRPr="001F2225" w:rsidRDefault="00FB168E">
            <w:pPr>
              <w:rPr>
                <w:rFonts w:ascii="Segoe UI" w:hAnsi="Segoe UI" w:cs="Segoe UI"/>
                <w:color w:val="000000"/>
                <w:sz w:val="22"/>
                <w:szCs w:val="22"/>
              </w:rPr>
            </w:pPr>
            <w:r w:rsidRPr="001F2225">
              <w:rPr>
                <w:rFonts w:ascii="Segoe UI" w:hAnsi="Segoe UI" w:cs="Segoe UI"/>
                <w:color w:val="000000"/>
                <w:sz w:val="22"/>
                <w:szCs w:val="22"/>
              </w:rPr>
              <w:t>All Ages Mental Health - Bucks</w:t>
            </w:r>
          </w:p>
        </w:tc>
        <w:tc>
          <w:tcPr>
            <w:tcW w:w="1984" w:type="dxa"/>
            <w:tcBorders>
              <w:top w:val="single" w:sz="4" w:space="0" w:color="9BC2E6"/>
              <w:left w:val="nil"/>
              <w:bottom w:val="single" w:sz="4" w:space="0" w:color="9BC2E6"/>
              <w:right w:val="nil"/>
            </w:tcBorders>
            <w:shd w:val="clear" w:color="auto" w:fill="auto"/>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64%</w:t>
            </w:r>
          </w:p>
        </w:tc>
        <w:tc>
          <w:tcPr>
            <w:tcW w:w="1843" w:type="dxa"/>
            <w:tcBorders>
              <w:top w:val="single" w:sz="4" w:space="0" w:color="9BC2E6"/>
              <w:left w:val="nil"/>
              <w:bottom w:val="single" w:sz="4" w:space="0" w:color="9BC2E6"/>
              <w:right w:val="nil"/>
            </w:tcBorders>
            <w:shd w:val="clear" w:color="auto" w:fill="auto"/>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70%</w:t>
            </w:r>
          </w:p>
        </w:tc>
      </w:tr>
      <w:tr w:rsidR="00FB168E" w:rsidRPr="001F2225" w:rsidTr="00D06C2D">
        <w:trPr>
          <w:trHeight w:val="300"/>
        </w:trPr>
        <w:tc>
          <w:tcPr>
            <w:tcW w:w="4815" w:type="dxa"/>
            <w:tcBorders>
              <w:top w:val="single" w:sz="4" w:space="0" w:color="9BC2E6"/>
              <w:left w:val="single" w:sz="4" w:space="0" w:color="9BC2E6"/>
              <w:bottom w:val="single" w:sz="4" w:space="0" w:color="9BC2E6"/>
              <w:right w:val="nil"/>
            </w:tcBorders>
            <w:shd w:val="clear" w:color="DDEBF7" w:fill="DDEBF7"/>
            <w:noWrap/>
            <w:vAlign w:val="bottom"/>
            <w:hideMark/>
          </w:tcPr>
          <w:p w:rsidR="00FB168E" w:rsidRPr="001F2225" w:rsidRDefault="00FB168E">
            <w:pPr>
              <w:rPr>
                <w:rFonts w:ascii="Segoe UI" w:hAnsi="Segoe UI" w:cs="Segoe UI"/>
                <w:color w:val="000000"/>
                <w:sz w:val="22"/>
                <w:szCs w:val="22"/>
              </w:rPr>
            </w:pPr>
            <w:r w:rsidRPr="001F2225">
              <w:rPr>
                <w:rFonts w:ascii="Segoe UI" w:hAnsi="Segoe UI" w:cs="Segoe UI"/>
                <w:color w:val="000000"/>
                <w:sz w:val="22"/>
                <w:szCs w:val="22"/>
              </w:rPr>
              <w:t>Community Services Directorate</w:t>
            </w:r>
          </w:p>
        </w:tc>
        <w:tc>
          <w:tcPr>
            <w:tcW w:w="1984" w:type="dxa"/>
            <w:tcBorders>
              <w:top w:val="single" w:sz="4" w:space="0" w:color="9BC2E6"/>
              <w:left w:val="nil"/>
              <w:bottom w:val="single" w:sz="4" w:space="0" w:color="9BC2E6"/>
              <w:right w:val="nil"/>
            </w:tcBorders>
            <w:shd w:val="clear" w:color="DDEBF7" w:fill="DDEBF7"/>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67%</w:t>
            </w:r>
          </w:p>
        </w:tc>
        <w:tc>
          <w:tcPr>
            <w:tcW w:w="1843" w:type="dxa"/>
            <w:tcBorders>
              <w:top w:val="single" w:sz="4" w:space="0" w:color="9BC2E6"/>
              <w:left w:val="nil"/>
              <w:bottom w:val="single" w:sz="4" w:space="0" w:color="9BC2E6"/>
              <w:right w:val="nil"/>
            </w:tcBorders>
            <w:shd w:val="clear" w:color="DDEBF7" w:fill="DDEBF7"/>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77%</w:t>
            </w:r>
          </w:p>
        </w:tc>
      </w:tr>
      <w:tr w:rsidR="00FB168E" w:rsidRPr="001F2225" w:rsidTr="00D06C2D">
        <w:trPr>
          <w:trHeight w:val="300"/>
        </w:trPr>
        <w:tc>
          <w:tcPr>
            <w:tcW w:w="4815" w:type="dxa"/>
            <w:tcBorders>
              <w:top w:val="single" w:sz="4" w:space="0" w:color="9BC2E6"/>
              <w:left w:val="single" w:sz="4" w:space="0" w:color="9BC2E6"/>
              <w:bottom w:val="single" w:sz="4" w:space="0" w:color="9BC2E6"/>
              <w:right w:val="nil"/>
            </w:tcBorders>
            <w:shd w:val="clear" w:color="auto" w:fill="auto"/>
            <w:noWrap/>
            <w:vAlign w:val="bottom"/>
            <w:hideMark/>
          </w:tcPr>
          <w:p w:rsidR="00FB168E" w:rsidRPr="001F2225" w:rsidRDefault="00FB168E">
            <w:pPr>
              <w:rPr>
                <w:rFonts w:ascii="Segoe UI" w:hAnsi="Segoe UI" w:cs="Segoe UI"/>
                <w:color w:val="000000"/>
                <w:sz w:val="22"/>
                <w:szCs w:val="22"/>
              </w:rPr>
            </w:pPr>
            <w:proofErr w:type="spellStart"/>
            <w:r w:rsidRPr="001F2225">
              <w:rPr>
                <w:rFonts w:ascii="Segoe UI" w:hAnsi="Segoe UI" w:cs="Segoe UI"/>
                <w:color w:val="000000"/>
                <w:sz w:val="22"/>
                <w:szCs w:val="22"/>
              </w:rPr>
              <w:t>Specialised</w:t>
            </w:r>
            <w:proofErr w:type="spellEnd"/>
            <w:r w:rsidRPr="001F2225">
              <w:rPr>
                <w:rFonts w:ascii="Segoe UI" w:hAnsi="Segoe UI" w:cs="Segoe UI"/>
                <w:color w:val="000000"/>
                <w:sz w:val="22"/>
                <w:szCs w:val="22"/>
              </w:rPr>
              <w:t xml:space="preserve"> Services Directorate</w:t>
            </w:r>
          </w:p>
        </w:tc>
        <w:tc>
          <w:tcPr>
            <w:tcW w:w="1984" w:type="dxa"/>
            <w:tcBorders>
              <w:top w:val="single" w:sz="4" w:space="0" w:color="9BC2E6"/>
              <w:left w:val="nil"/>
              <w:bottom w:val="single" w:sz="4" w:space="0" w:color="9BC2E6"/>
              <w:right w:val="nil"/>
            </w:tcBorders>
            <w:shd w:val="clear" w:color="auto" w:fill="auto"/>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87%</w:t>
            </w:r>
          </w:p>
        </w:tc>
        <w:tc>
          <w:tcPr>
            <w:tcW w:w="1843" w:type="dxa"/>
            <w:tcBorders>
              <w:top w:val="single" w:sz="4" w:space="0" w:color="9BC2E6"/>
              <w:left w:val="nil"/>
              <w:bottom w:val="single" w:sz="4" w:space="0" w:color="9BC2E6"/>
              <w:right w:val="nil"/>
            </w:tcBorders>
            <w:shd w:val="clear" w:color="auto" w:fill="auto"/>
            <w:noWrap/>
            <w:vAlign w:val="bottom"/>
            <w:hideMark/>
          </w:tcPr>
          <w:p w:rsidR="00FB168E" w:rsidRPr="001F2225" w:rsidRDefault="00FB168E" w:rsidP="00D06C2D">
            <w:pPr>
              <w:jc w:val="center"/>
              <w:rPr>
                <w:rFonts w:ascii="Segoe UI" w:hAnsi="Segoe UI" w:cs="Segoe UI"/>
                <w:color w:val="000000"/>
                <w:sz w:val="22"/>
                <w:szCs w:val="22"/>
              </w:rPr>
            </w:pPr>
            <w:r w:rsidRPr="001F2225">
              <w:rPr>
                <w:rFonts w:ascii="Segoe UI" w:hAnsi="Segoe UI" w:cs="Segoe UI"/>
                <w:color w:val="000000"/>
                <w:sz w:val="22"/>
                <w:szCs w:val="22"/>
              </w:rPr>
              <w:t>85%</w:t>
            </w:r>
          </w:p>
        </w:tc>
      </w:tr>
      <w:tr w:rsidR="00FB168E" w:rsidRPr="001F2225" w:rsidTr="00D06C2D">
        <w:trPr>
          <w:trHeight w:val="300"/>
        </w:trPr>
        <w:tc>
          <w:tcPr>
            <w:tcW w:w="4815" w:type="dxa"/>
            <w:tcBorders>
              <w:top w:val="single" w:sz="4" w:space="0" w:color="9BC2E6"/>
              <w:left w:val="single" w:sz="4" w:space="0" w:color="9BC2E6"/>
              <w:bottom w:val="single" w:sz="4" w:space="0" w:color="9BC2E6"/>
              <w:right w:val="nil"/>
            </w:tcBorders>
            <w:shd w:val="clear" w:color="DDEBF7" w:fill="DDEBF7"/>
            <w:noWrap/>
            <w:vAlign w:val="bottom"/>
            <w:hideMark/>
          </w:tcPr>
          <w:p w:rsidR="00FB168E" w:rsidRPr="001F2225" w:rsidRDefault="00FB168E">
            <w:pPr>
              <w:rPr>
                <w:rFonts w:ascii="Segoe UI" w:hAnsi="Segoe UI" w:cs="Segoe UI"/>
                <w:b/>
                <w:color w:val="000000"/>
                <w:sz w:val="22"/>
                <w:szCs w:val="22"/>
              </w:rPr>
            </w:pPr>
            <w:r w:rsidRPr="001F2225">
              <w:rPr>
                <w:rFonts w:ascii="Segoe UI" w:hAnsi="Segoe UI" w:cs="Segoe UI"/>
                <w:b/>
                <w:color w:val="000000"/>
                <w:sz w:val="22"/>
                <w:szCs w:val="22"/>
              </w:rPr>
              <w:t>Grand Total</w:t>
            </w:r>
          </w:p>
        </w:tc>
        <w:tc>
          <w:tcPr>
            <w:tcW w:w="1984" w:type="dxa"/>
            <w:tcBorders>
              <w:top w:val="single" w:sz="4" w:space="0" w:color="9BC2E6"/>
              <w:left w:val="nil"/>
              <w:bottom w:val="single" w:sz="4" w:space="0" w:color="9BC2E6"/>
              <w:right w:val="nil"/>
            </w:tcBorders>
            <w:shd w:val="clear" w:color="DDEBF7" w:fill="DDEBF7"/>
            <w:noWrap/>
            <w:vAlign w:val="bottom"/>
            <w:hideMark/>
          </w:tcPr>
          <w:p w:rsidR="00FB168E" w:rsidRPr="001F2225" w:rsidRDefault="00FB168E" w:rsidP="00D06C2D">
            <w:pPr>
              <w:jc w:val="center"/>
              <w:rPr>
                <w:rFonts w:ascii="Segoe UI" w:hAnsi="Segoe UI" w:cs="Segoe UI"/>
                <w:b/>
                <w:color w:val="000000"/>
                <w:sz w:val="22"/>
                <w:szCs w:val="22"/>
              </w:rPr>
            </w:pPr>
            <w:r w:rsidRPr="001F2225">
              <w:rPr>
                <w:rFonts w:ascii="Segoe UI" w:hAnsi="Segoe UI" w:cs="Segoe UI"/>
                <w:b/>
                <w:color w:val="000000"/>
                <w:sz w:val="22"/>
                <w:szCs w:val="22"/>
              </w:rPr>
              <w:t>76%</w:t>
            </w:r>
          </w:p>
        </w:tc>
        <w:tc>
          <w:tcPr>
            <w:tcW w:w="1843" w:type="dxa"/>
            <w:tcBorders>
              <w:top w:val="single" w:sz="4" w:space="0" w:color="9BC2E6"/>
              <w:left w:val="nil"/>
              <w:bottom w:val="single" w:sz="4" w:space="0" w:color="9BC2E6"/>
              <w:right w:val="nil"/>
            </w:tcBorders>
            <w:shd w:val="clear" w:color="DDEBF7" w:fill="DDEBF7"/>
            <w:noWrap/>
            <w:vAlign w:val="bottom"/>
            <w:hideMark/>
          </w:tcPr>
          <w:p w:rsidR="00FB168E" w:rsidRPr="001F2225" w:rsidRDefault="00FB168E" w:rsidP="00D06C2D">
            <w:pPr>
              <w:jc w:val="center"/>
              <w:rPr>
                <w:rFonts w:ascii="Segoe UI" w:hAnsi="Segoe UI" w:cs="Segoe UI"/>
                <w:b/>
                <w:color w:val="000000"/>
                <w:sz w:val="22"/>
                <w:szCs w:val="22"/>
              </w:rPr>
            </w:pPr>
            <w:r w:rsidRPr="001F2225">
              <w:rPr>
                <w:rFonts w:ascii="Segoe UI" w:hAnsi="Segoe UI" w:cs="Segoe UI"/>
                <w:b/>
                <w:color w:val="000000"/>
                <w:sz w:val="22"/>
                <w:szCs w:val="22"/>
              </w:rPr>
              <w:t>76%</w:t>
            </w:r>
          </w:p>
        </w:tc>
      </w:tr>
    </w:tbl>
    <w:p w:rsidR="008A02F7" w:rsidRPr="001F2225" w:rsidRDefault="001F2225" w:rsidP="000475D8">
      <w:pPr>
        <w:jc w:val="both"/>
        <w:rPr>
          <w:rFonts w:ascii="Segoe UI" w:hAnsi="Segoe UI" w:cs="Segoe UI"/>
          <w:sz w:val="22"/>
          <w:szCs w:val="22"/>
        </w:rPr>
      </w:pPr>
      <w:r w:rsidRPr="001F2225">
        <w:rPr>
          <w:rFonts w:ascii="Segoe UI" w:hAnsi="Segoe UI" w:cs="Segoe UI"/>
          <w:sz w:val="22"/>
          <w:szCs w:val="22"/>
        </w:rPr>
        <w:lastRenderedPageBreak/>
        <w:t>The underlying graphs show the performance trend by month</w:t>
      </w:r>
      <w:r>
        <w:rPr>
          <w:rFonts w:ascii="Segoe UI" w:hAnsi="Segoe UI" w:cs="Segoe UI"/>
          <w:sz w:val="22"/>
          <w:szCs w:val="22"/>
        </w:rPr>
        <w:t>;</w:t>
      </w:r>
    </w:p>
    <w:p w:rsidR="000475D8" w:rsidRPr="00E21471" w:rsidRDefault="008A02F7" w:rsidP="000475D8">
      <w:pPr>
        <w:jc w:val="both"/>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page">
                  <wp:posOffset>3943350</wp:posOffset>
                </wp:positionH>
                <wp:positionV relativeFrom="paragraph">
                  <wp:posOffset>123190</wp:posOffset>
                </wp:positionV>
                <wp:extent cx="3238500" cy="2095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238500" cy="2095500"/>
                        </a:xfrm>
                        <a:prstGeom prst="rect">
                          <a:avLst/>
                        </a:prstGeom>
                        <a:solidFill>
                          <a:schemeClr val="lt1"/>
                        </a:solidFill>
                        <a:ln w="6350">
                          <a:noFill/>
                        </a:ln>
                      </wps:spPr>
                      <wps:txbx>
                        <w:txbxContent>
                          <w:p w:rsidR="008A02F7" w:rsidRDefault="004D768A">
                            <w:r w:rsidRPr="004D768A">
                              <w:rPr>
                                <w:noProof/>
                              </w:rPr>
                              <w:drawing>
                                <wp:inline distT="0" distB="0" distL="0" distR="0">
                                  <wp:extent cx="2600325" cy="1762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966" cy="17686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310.5pt;margin-top:9.7pt;width:255pt;height:1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" fillcolor="white [3201]" stroked="f" strokeweight=".5pt">
                <v:textbox>
                  <w:txbxContent>
                    <w:p w:rsidR="008A02F7" w:rsidRDefault="004D768A">
                      <w:r w:rsidRPr="004D768A">
                        <w:rPr>
                          <w:noProof/>
                        </w:rPr>
                        <w:drawing>
                          <wp:inline distT="0" distB="0" distL="0" distR="0">
                            <wp:extent cx="2600325" cy="1762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966" cy="1768658"/>
                                    </a:xfrm>
                                    <a:prstGeom prst="rect">
                                      <a:avLst/>
                                    </a:prstGeom>
                                    <a:noFill/>
                                    <a:ln>
                                      <a:noFill/>
                                    </a:ln>
                                  </pic:spPr>
                                </pic:pic>
                              </a:graphicData>
                            </a:graphic>
                          </wp:inline>
                        </w:drawing>
                      </w:r>
                    </w:p>
                  </w:txbxContent>
                </v:textbox>
                <w10:wrap anchorx="page"/>
              </v:shape>
            </w:pict>
          </mc:Fallback>
        </mc:AlternateContent>
      </w:r>
    </w:p>
    <w:p w:rsidR="000475D8" w:rsidRPr="00E21471" w:rsidRDefault="00FB168E" w:rsidP="000475D8">
      <w:pPr>
        <w:jc w:val="both"/>
        <w:rPr>
          <w:rFonts w:ascii="Arial" w:hAnsi="Arial" w:cs="Arial"/>
        </w:rPr>
      </w:pPr>
      <w:r>
        <w:rPr>
          <w:rFonts w:ascii="Arial" w:hAnsi="Arial" w:cs="Arial"/>
          <w:noProof/>
        </w:rPr>
        <w:drawing>
          <wp:inline distT="0" distB="0" distL="0" distR="0" wp14:anchorId="410A8BD0">
            <wp:extent cx="2752193" cy="177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627" cy="1785447"/>
                    </a:xfrm>
                    <a:prstGeom prst="rect">
                      <a:avLst/>
                    </a:prstGeom>
                    <a:noFill/>
                  </pic:spPr>
                </pic:pic>
              </a:graphicData>
            </a:graphic>
          </wp:inline>
        </w:drawing>
      </w:r>
    </w:p>
    <w:p w:rsidR="000475D8" w:rsidRPr="00E21471" w:rsidRDefault="000475D8" w:rsidP="000475D8">
      <w:pPr>
        <w:jc w:val="both"/>
        <w:rPr>
          <w:rFonts w:ascii="Arial" w:hAnsi="Arial" w:cs="Arial"/>
        </w:rPr>
      </w:pPr>
    </w:p>
    <w:p w:rsidR="000475D8" w:rsidRPr="00E21471" w:rsidRDefault="000475D8" w:rsidP="00D06C2D">
      <w:pPr>
        <w:jc w:val="both"/>
        <w:rPr>
          <w:rFonts w:ascii="Arial" w:hAnsi="Arial" w:cs="Arial"/>
        </w:rPr>
      </w:pPr>
      <w:r w:rsidRPr="00E21471">
        <w:rPr>
          <w:rFonts w:ascii="Arial" w:hAnsi="Arial" w:cs="Arial"/>
        </w:rPr>
        <w:t xml:space="preserve"> </w:t>
      </w:r>
    </w:p>
    <w:bookmarkEnd w:id="2"/>
    <w:p w:rsidR="000475D8" w:rsidRPr="008E6F5B" w:rsidRDefault="000475D8" w:rsidP="000475D8">
      <w:pPr>
        <w:shd w:val="clear" w:color="auto" w:fill="8DB3E2" w:themeFill="text2" w:themeFillTint="66"/>
        <w:jc w:val="both"/>
        <w:rPr>
          <w:rFonts w:ascii="Segoe UI" w:hAnsi="Segoe UI" w:cs="Segoe UI"/>
          <w:b/>
          <w:sz w:val="22"/>
        </w:rPr>
      </w:pPr>
      <w:r w:rsidRPr="008E6F5B">
        <w:rPr>
          <w:rFonts w:ascii="Segoe UI" w:hAnsi="Segoe UI" w:cs="Segoe UI"/>
          <w:b/>
          <w:sz w:val="22"/>
        </w:rPr>
        <w:t xml:space="preserve">Section 2 – The National Position </w:t>
      </w:r>
    </w:p>
    <w:p w:rsidR="000475D8" w:rsidRPr="008E6F5B" w:rsidRDefault="000475D8" w:rsidP="000475D8">
      <w:pPr>
        <w:jc w:val="both"/>
        <w:rPr>
          <w:rFonts w:ascii="Segoe UI" w:hAnsi="Segoe UI" w:cs="Segoe UI"/>
          <w:b/>
          <w:sz w:val="22"/>
        </w:rPr>
      </w:pPr>
    </w:p>
    <w:p w:rsidR="000475D8" w:rsidRPr="008E6F5B" w:rsidRDefault="000475D8" w:rsidP="000475D8">
      <w:pPr>
        <w:jc w:val="both"/>
        <w:rPr>
          <w:rFonts w:ascii="Segoe UI" w:hAnsi="Segoe UI" w:cs="Segoe UI"/>
          <w:sz w:val="22"/>
        </w:rPr>
      </w:pPr>
      <w:bookmarkStart w:id="3" w:name="_Hlk18045295"/>
      <w:r w:rsidRPr="008E6F5B">
        <w:rPr>
          <w:rFonts w:ascii="Segoe UI" w:hAnsi="Segoe UI" w:cs="Segoe UI"/>
          <w:b/>
          <w:sz w:val="22"/>
        </w:rPr>
        <w:t>NHS Single Oversight Framework</w:t>
      </w:r>
      <w:r w:rsidR="00D06C2D">
        <w:rPr>
          <w:rFonts w:ascii="Segoe UI" w:hAnsi="Segoe UI" w:cs="Segoe UI"/>
          <w:b/>
          <w:sz w:val="22"/>
        </w:rPr>
        <w:t xml:space="preserve"> (SOF)</w:t>
      </w:r>
    </w:p>
    <w:p w:rsidR="008E6F5B" w:rsidRPr="008E6F5B" w:rsidRDefault="008E6F5B" w:rsidP="000475D8">
      <w:pPr>
        <w:jc w:val="both"/>
        <w:rPr>
          <w:rFonts w:ascii="Segoe UI" w:hAnsi="Segoe UI" w:cs="Segoe UI"/>
          <w:sz w:val="22"/>
        </w:rPr>
      </w:pPr>
    </w:p>
    <w:p w:rsidR="0072642A" w:rsidRPr="008E6F5B" w:rsidRDefault="000475D8" w:rsidP="000475D8">
      <w:pPr>
        <w:jc w:val="both"/>
        <w:rPr>
          <w:rFonts w:ascii="Segoe UI" w:hAnsi="Segoe UI" w:cs="Segoe UI"/>
          <w:sz w:val="22"/>
        </w:rPr>
      </w:pPr>
      <w:r w:rsidRPr="008E6F5B">
        <w:rPr>
          <w:rFonts w:ascii="Segoe UI" w:hAnsi="Segoe UI" w:cs="Segoe UI"/>
          <w:sz w:val="22"/>
        </w:rPr>
        <w:t xml:space="preserve">There is a national requirement for Trust’s to report against </w:t>
      </w:r>
      <w:r w:rsidR="001924D5">
        <w:rPr>
          <w:rFonts w:ascii="Segoe UI" w:hAnsi="Segoe UI" w:cs="Segoe UI"/>
          <w:sz w:val="22"/>
        </w:rPr>
        <w:t>NHSI</w:t>
      </w:r>
      <w:r w:rsidR="00D06C2D">
        <w:rPr>
          <w:rFonts w:ascii="Segoe UI" w:hAnsi="Segoe UI" w:cs="Segoe UI"/>
          <w:sz w:val="22"/>
        </w:rPr>
        <w:t xml:space="preserve"> defined </w:t>
      </w:r>
      <w:r w:rsidRPr="008E6F5B">
        <w:rPr>
          <w:rFonts w:ascii="Segoe UI" w:hAnsi="Segoe UI" w:cs="Segoe UI"/>
          <w:sz w:val="22"/>
        </w:rPr>
        <w:t>targets</w:t>
      </w:r>
      <w:r w:rsidR="001924D5">
        <w:rPr>
          <w:rFonts w:ascii="Segoe UI" w:hAnsi="Segoe UI" w:cs="Segoe UI"/>
          <w:sz w:val="22"/>
        </w:rPr>
        <w:t xml:space="preserve"> which is called the Single Oversight Framework</w:t>
      </w:r>
      <w:r w:rsidR="00D06C2D">
        <w:rPr>
          <w:rFonts w:ascii="Segoe UI" w:hAnsi="Segoe UI" w:cs="Segoe UI"/>
          <w:sz w:val="22"/>
        </w:rPr>
        <w:t xml:space="preserve">.  </w:t>
      </w:r>
      <w:r w:rsidRPr="008E6F5B">
        <w:rPr>
          <w:rFonts w:ascii="Segoe UI" w:hAnsi="Segoe UI" w:cs="Segoe UI"/>
          <w:sz w:val="22"/>
        </w:rPr>
        <w:t xml:space="preserve">The first SOF was published in Sept 2016 to help NHSI identify where NHS Trusts may benefit from, or require, improvement support.  It sets out how NHSI will identify providers’ potential support needs under the following themes; </w:t>
      </w:r>
      <w:r w:rsidRPr="008E6F5B">
        <w:rPr>
          <w:rFonts w:ascii="Segoe UI" w:hAnsi="Segoe UI" w:cs="Segoe UI"/>
          <w:b/>
          <w:sz w:val="22"/>
        </w:rPr>
        <w:t>Quality of Care, Operational Performance and Organisational Health. </w:t>
      </w:r>
      <w:r w:rsidR="008E6F5B" w:rsidRPr="008E6F5B">
        <w:rPr>
          <w:rFonts w:ascii="Segoe UI" w:hAnsi="Segoe UI" w:cs="Segoe UI"/>
          <w:b/>
          <w:sz w:val="22"/>
        </w:rPr>
        <w:t xml:space="preserve"> </w:t>
      </w:r>
      <w:r w:rsidRPr="008E6F5B">
        <w:rPr>
          <w:rFonts w:ascii="Segoe UI" w:hAnsi="Segoe UI" w:cs="Segoe UI"/>
          <w:sz w:val="22"/>
        </w:rPr>
        <w:t xml:space="preserve">In </w:t>
      </w:r>
      <w:proofErr w:type="gramStart"/>
      <w:r w:rsidRPr="008E6F5B">
        <w:rPr>
          <w:rFonts w:ascii="Segoe UI" w:hAnsi="Segoe UI" w:cs="Segoe UI"/>
          <w:sz w:val="22"/>
        </w:rPr>
        <w:t>the majority of</w:t>
      </w:r>
      <w:proofErr w:type="gramEnd"/>
      <w:r w:rsidRPr="008E6F5B">
        <w:rPr>
          <w:rFonts w:ascii="Segoe UI" w:hAnsi="Segoe UI" w:cs="Segoe UI"/>
          <w:sz w:val="22"/>
        </w:rPr>
        <w:t xml:space="preserve"> cases NHSI will be sourcing Trust performance data from publicly available sources e.g. CQC, NHS Digital, NHS England, and Unify.  </w:t>
      </w:r>
    </w:p>
    <w:p w:rsidR="0072642A" w:rsidRPr="008E6F5B" w:rsidRDefault="0072642A" w:rsidP="000475D8">
      <w:pPr>
        <w:jc w:val="both"/>
        <w:rPr>
          <w:rFonts w:ascii="Segoe UI" w:hAnsi="Segoe UI" w:cs="Segoe UI"/>
          <w:sz w:val="22"/>
        </w:rPr>
      </w:pPr>
    </w:p>
    <w:p w:rsidR="0072642A" w:rsidRDefault="0072642A" w:rsidP="008E6F5B">
      <w:pPr>
        <w:jc w:val="both"/>
        <w:rPr>
          <w:rFonts w:ascii="Segoe UI" w:hAnsi="Segoe UI" w:cs="Segoe UI"/>
          <w:sz w:val="22"/>
        </w:rPr>
      </w:pPr>
      <w:r w:rsidRPr="008E6F5B">
        <w:rPr>
          <w:rFonts w:ascii="Segoe UI" w:hAnsi="Segoe UI" w:cs="Segoe UI"/>
          <w:sz w:val="22"/>
        </w:rPr>
        <w:t xml:space="preserve">The Trust </w:t>
      </w:r>
      <w:r w:rsidR="008E6F5B" w:rsidRPr="008E6F5B">
        <w:rPr>
          <w:rFonts w:ascii="Segoe UI" w:hAnsi="Segoe UI" w:cs="Segoe UI"/>
          <w:sz w:val="22"/>
        </w:rPr>
        <w:t>recently revised</w:t>
      </w:r>
      <w:r w:rsidRPr="008E6F5B">
        <w:rPr>
          <w:rFonts w:ascii="Segoe UI" w:hAnsi="Segoe UI" w:cs="Segoe UI"/>
          <w:sz w:val="22"/>
        </w:rPr>
        <w:t xml:space="preserve"> its approach to the RAG rating of its performance</w:t>
      </w:r>
      <w:r w:rsidR="008E6F5B" w:rsidRPr="008E6F5B">
        <w:rPr>
          <w:rFonts w:ascii="Segoe UI" w:hAnsi="Segoe UI" w:cs="Segoe UI"/>
          <w:sz w:val="22"/>
        </w:rPr>
        <w:t xml:space="preserve"> against the SOF</w:t>
      </w:r>
      <w:r w:rsidRPr="008E6F5B">
        <w:rPr>
          <w:rFonts w:ascii="Segoe UI" w:hAnsi="Segoe UI" w:cs="Segoe UI"/>
          <w:sz w:val="22"/>
        </w:rPr>
        <w:t xml:space="preserve">.  </w:t>
      </w:r>
      <w:r w:rsidR="008E6F5B">
        <w:rPr>
          <w:rFonts w:ascii="Segoe UI" w:hAnsi="Segoe UI" w:cs="Segoe UI"/>
          <w:sz w:val="22"/>
        </w:rPr>
        <w:t xml:space="preserve">Previously if indicators did not have </w:t>
      </w:r>
      <w:r w:rsidR="000475D8" w:rsidRPr="008E6F5B">
        <w:rPr>
          <w:rFonts w:ascii="Segoe UI" w:hAnsi="Segoe UI" w:cs="Segoe UI"/>
          <w:sz w:val="22"/>
        </w:rPr>
        <w:t>targets/thresholds</w:t>
      </w:r>
      <w:r w:rsidR="008E6F5B">
        <w:rPr>
          <w:rFonts w:ascii="Segoe UI" w:hAnsi="Segoe UI" w:cs="Segoe UI"/>
          <w:sz w:val="22"/>
        </w:rPr>
        <w:t xml:space="preserve">, </w:t>
      </w:r>
      <w:r w:rsidR="001924D5">
        <w:rPr>
          <w:rFonts w:ascii="Segoe UI" w:hAnsi="Segoe UI" w:cs="Segoe UI"/>
          <w:sz w:val="22"/>
        </w:rPr>
        <w:t>we</w:t>
      </w:r>
      <w:r w:rsidR="00566329" w:rsidRPr="008E6F5B">
        <w:rPr>
          <w:rFonts w:ascii="Segoe UI" w:hAnsi="Segoe UI" w:cs="Segoe UI"/>
          <w:sz w:val="22"/>
        </w:rPr>
        <w:t xml:space="preserve"> measured our performance against </w:t>
      </w:r>
      <w:r w:rsidR="000475D8" w:rsidRPr="008E6F5B">
        <w:rPr>
          <w:rFonts w:ascii="Segoe UI" w:hAnsi="Segoe UI" w:cs="Segoe UI"/>
          <w:sz w:val="22"/>
        </w:rPr>
        <w:t xml:space="preserve">the </w:t>
      </w:r>
      <w:r w:rsidR="001924D5">
        <w:rPr>
          <w:rFonts w:ascii="Segoe UI" w:hAnsi="Segoe UI" w:cs="Segoe UI"/>
          <w:sz w:val="22"/>
        </w:rPr>
        <w:t>national average</w:t>
      </w:r>
      <w:r w:rsidR="008E6F5B">
        <w:rPr>
          <w:rFonts w:ascii="Segoe UI" w:hAnsi="Segoe UI" w:cs="Segoe UI"/>
          <w:sz w:val="22"/>
        </w:rPr>
        <w:t>, however, this is potentially misleading</w:t>
      </w:r>
      <w:r w:rsidR="000475D8" w:rsidRPr="008E6F5B">
        <w:rPr>
          <w:rFonts w:ascii="Segoe UI" w:hAnsi="Segoe UI" w:cs="Segoe UI"/>
          <w:sz w:val="22"/>
        </w:rPr>
        <w:t xml:space="preserve">. </w:t>
      </w:r>
      <w:r w:rsidRPr="008E6F5B">
        <w:rPr>
          <w:rFonts w:ascii="Segoe UI" w:hAnsi="Segoe UI" w:cs="Segoe UI"/>
          <w:sz w:val="22"/>
        </w:rPr>
        <w:t xml:space="preserve"> </w:t>
      </w:r>
      <w:r w:rsidR="008E6F5B">
        <w:rPr>
          <w:rFonts w:ascii="Segoe UI" w:hAnsi="Segoe UI" w:cs="Segoe UI"/>
          <w:sz w:val="22"/>
        </w:rPr>
        <w:t>Therefore</w:t>
      </w:r>
      <w:r w:rsidR="001924D5">
        <w:rPr>
          <w:rFonts w:ascii="Segoe UI" w:hAnsi="Segoe UI" w:cs="Segoe UI"/>
          <w:sz w:val="22"/>
        </w:rPr>
        <w:t>,</w:t>
      </w:r>
      <w:r w:rsidR="008E6F5B">
        <w:rPr>
          <w:rFonts w:ascii="Segoe UI" w:hAnsi="Segoe UI" w:cs="Segoe UI"/>
          <w:sz w:val="22"/>
        </w:rPr>
        <w:t xml:space="preserve"> i</w:t>
      </w:r>
      <w:r w:rsidR="00566329" w:rsidRPr="008E6F5B">
        <w:rPr>
          <w:rFonts w:ascii="Segoe UI" w:hAnsi="Segoe UI" w:cs="Segoe UI"/>
          <w:sz w:val="22"/>
        </w:rPr>
        <w:t xml:space="preserve">n order to more accurately reflect our performance, the Trust </w:t>
      </w:r>
      <w:r w:rsidR="008E6F5B" w:rsidRPr="008E6F5B">
        <w:rPr>
          <w:rFonts w:ascii="Segoe UI" w:hAnsi="Segoe UI" w:cs="Segoe UI"/>
          <w:sz w:val="22"/>
        </w:rPr>
        <w:t xml:space="preserve">has made </w:t>
      </w:r>
      <w:r w:rsidR="00566329" w:rsidRPr="008E6F5B">
        <w:rPr>
          <w:rFonts w:ascii="Segoe UI" w:hAnsi="Segoe UI" w:cs="Segoe UI"/>
          <w:sz w:val="22"/>
        </w:rPr>
        <w:t>a clear distinction between measures that have a target and measures that do not.  The Trust will only report its performance as non-compliant where a target exists.</w:t>
      </w:r>
    </w:p>
    <w:p w:rsidR="008E6F5B" w:rsidRDefault="008E6F5B" w:rsidP="008E6F5B">
      <w:pPr>
        <w:jc w:val="both"/>
        <w:rPr>
          <w:rFonts w:ascii="Segoe UI" w:hAnsi="Segoe UI" w:cs="Segoe UI"/>
          <w:sz w:val="22"/>
        </w:rPr>
      </w:pPr>
    </w:p>
    <w:p w:rsidR="008E6F5B" w:rsidRPr="00F70170" w:rsidRDefault="00F70170" w:rsidP="008E6F5B">
      <w:pPr>
        <w:jc w:val="both"/>
        <w:rPr>
          <w:rFonts w:ascii="Segoe UI" w:hAnsi="Segoe UI" w:cs="Segoe UI"/>
          <w:b/>
          <w:sz w:val="22"/>
        </w:rPr>
      </w:pPr>
      <w:r>
        <w:rPr>
          <w:rFonts w:ascii="Segoe UI" w:hAnsi="Segoe UI" w:cs="Segoe UI"/>
          <w:b/>
          <w:sz w:val="22"/>
        </w:rPr>
        <w:t>The</w:t>
      </w:r>
      <w:r w:rsidR="008E6F5B" w:rsidRPr="00F70170">
        <w:rPr>
          <w:rFonts w:ascii="Segoe UI" w:hAnsi="Segoe UI" w:cs="Segoe UI"/>
          <w:b/>
          <w:sz w:val="22"/>
        </w:rPr>
        <w:t xml:space="preserve"> Trust was achieving 80% of the SOF indicators</w:t>
      </w:r>
      <w:r>
        <w:rPr>
          <w:rFonts w:ascii="Segoe UI" w:hAnsi="Segoe UI" w:cs="Segoe UI"/>
          <w:b/>
          <w:sz w:val="22"/>
        </w:rPr>
        <w:t xml:space="preserve"> at Q2;</w:t>
      </w:r>
    </w:p>
    <w:p w:rsidR="000475D8" w:rsidRPr="008E6F5B" w:rsidRDefault="000475D8" w:rsidP="000475D8">
      <w:pPr>
        <w:jc w:val="both"/>
        <w:rPr>
          <w:rFonts w:ascii="Segoe UI" w:hAnsi="Segoe UI" w:cs="Segoe UI"/>
          <w:sz w:val="22"/>
        </w:rPr>
      </w:pPr>
    </w:p>
    <w:tbl>
      <w:tblPr>
        <w:tblW w:w="8642" w:type="dxa"/>
        <w:tblLook w:val="04A0" w:firstRow="1" w:lastRow="0" w:firstColumn="1" w:lastColumn="0" w:noHBand="0" w:noVBand="1"/>
      </w:tblPr>
      <w:tblGrid>
        <w:gridCol w:w="2685"/>
        <w:gridCol w:w="1138"/>
        <w:gridCol w:w="1220"/>
        <w:gridCol w:w="906"/>
        <w:gridCol w:w="868"/>
        <w:gridCol w:w="833"/>
        <w:gridCol w:w="992"/>
      </w:tblGrid>
      <w:tr w:rsidR="00F70170" w:rsidTr="00D06C2D">
        <w:trPr>
          <w:trHeight w:val="990"/>
        </w:trPr>
        <w:tc>
          <w:tcPr>
            <w:tcW w:w="2685"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8E6F5B" w:rsidRDefault="008E6F5B">
            <w:pPr>
              <w:rPr>
                <w:rFonts w:ascii="Segoe UI" w:hAnsi="Segoe UI" w:cs="Segoe UI"/>
                <w:color w:val="FFFFFF"/>
                <w:sz w:val="22"/>
                <w:szCs w:val="22"/>
                <w:lang w:val="en-GB" w:eastAsia="en-GB"/>
              </w:rPr>
            </w:pPr>
            <w:r>
              <w:rPr>
                <w:rFonts w:ascii="Segoe UI" w:hAnsi="Segoe UI" w:cs="Segoe UI"/>
                <w:color w:val="FFFFFF"/>
                <w:sz w:val="22"/>
                <w:szCs w:val="22"/>
              </w:rPr>
              <w:t>Service</w:t>
            </w:r>
          </w:p>
        </w:tc>
        <w:tc>
          <w:tcPr>
            <w:tcW w:w="1138" w:type="dxa"/>
            <w:tcBorders>
              <w:top w:val="single" w:sz="4" w:space="0" w:color="auto"/>
              <w:left w:val="nil"/>
              <w:bottom w:val="single" w:sz="4" w:space="0" w:color="auto"/>
              <w:right w:val="single" w:sz="4" w:space="0" w:color="auto"/>
            </w:tcBorders>
            <w:shd w:val="clear" w:color="000000" w:fill="2F75B5"/>
            <w:vAlign w:val="center"/>
            <w:hideMark/>
          </w:tcPr>
          <w:p w:rsidR="008E6F5B" w:rsidRDefault="008E6F5B">
            <w:pPr>
              <w:jc w:val="center"/>
              <w:rPr>
                <w:rFonts w:ascii="Segoe UI" w:hAnsi="Segoe UI" w:cs="Segoe UI"/>
                <w:color w:val="FFFFFF"/>
                <w:sz w:val="22"/>
                <w:szCs w:val="22"/>
              </w:rPr>
            </w:pPr>
            <w:r>
              <w:rPr>
                <w:rFonts w:ascii="Segoe UI" w:hAnsi="Segoe UI" w:cs="Segoe UI"/>
                <w:color w:val="FFFFFF"/>
                <w:sz w:val="22"/>
                <w:szCs w:val="22"/>
              </w:rPr>
              <w:t>Below target &gt;10%</w:t>
            </w:r>
          </w:p>
        </w:tc>
        <w:tc>
          <w:tcPr>
            <w:tcW w:w="1220" w:type="dxa"/>
            <w:tcBorders>
              <w:top w:val="single" w:sz="4" w:space="0" w:color="auto"/>
              <w:left w:val="nil"/>
              <w:bottom w:val="single" w:sz="4" w:space="0" w:color="auto"/>
              <w:right w:val="single" w:sz="4" w:space="0" w:color="auto"/>
            </w:tcBorders>
            <w:shd w:val="clear" w:color="000000" w:fill="2F75B5"/>
            <w:vAlign w:val="center"/>
            <w:hideMark/>
          </w:tcPr>
          <w:p w:rsidR="008E6F5B" w:rsidRDefault="008E6F5B">
            <w:pPr>
              <w:jc w:val="center"/>
              <w:rPr>
                <w:rFonts w:ascii="Segoe UI" w:hAnsi="Segoe UI" w:cs="Segoe UI"/>
                <w:color w:val="FFFFFF"/>
                <w:sz w:val="22"/>
                <w:szCs w:val="22"/>
              </w:rPr>
            </w:pPr>
            <w:r>
              <w:rPr>
                <w:rFonts w:ascii="Segoe UI" w:hAnsi="Segoe UI" w:cs="Segoe UI"/>
                <w:color w:val="FFFFFF"/>
                <w:sz w:val="22"/>
                <w:szCs w:val="22"/>
              </w:rPr>
              <w:t>Below Target 1-9%</w:t>
            </w:r>
          </w:p>
        </w:tc>
        <w:tc>
          <w:tcPr>
            <w:tcW w:w="906" w:type="dxa"/>
            <w:tcBorders>
              <w:top w:val="single" w:sz="4" w:space="0" w:color="auto"/>
              <w:left w:val="nil"/>
              <w:bottom w:val="single" w:sz="4" w:space="0" w:color="auto"/>
              <w:right w:val="single" w:sz="4" w:space="0" w:color="auto"/>
            </w:tcBorders>
            <w:shd w:val="clear" w:color="000000" w:fill="2F75B5"/>
            <w:vAlign w:val="center"/>
            <w:hideMark/>
          </w:tcPr>
          <w:p w:rsidR="008E6F5B" w:rsidRDefault="008E6F5B">
            <w:pPr>
              <w:jc w:val="center"/>
              <w:rPr>
                <w:rFonts w:ascii="Segoe UI" w:hAnsi="Segoe UI" w:cs="Segoe UI"/>
                <w:color w:val="FFFFFF"/>
                <w:sz w:val="22"/>
                <w:szCs w:val="22"/>
              </w:rPr>
            </w:pPr>
            <w:r>
              <w:rPr>
                <w:rFonts w:ascii="Segoe UI" w:hAnsi="Segoe UI" w:cs="Segoe UI"/>
                <w:color w:val="FFFFFF"/>
                <w:sz w:val="22"/>
                <w:szCs w:val="22"/>
              </w:rPr>
              <w:t>Target Met</w:t>
            </w:r>
          </w:p>
        </w:tc>
        <w:tc>
          <w:tcPr>
            <w:tcW w:w="868" w:type="dxa"/>
            <w:tcBorders>
              <w:top w:val="single" w:sz="4" w:space="0" w:color="auto"/>
              <w:left w:val="nil"/>
              <w:bottom w:val="single" w:sz="4" w:space="0" w:color="auto"/>
              <w:right w:val="single" w:sz="4" w:space="0" w:color="auto"/>
            </w:tcBorders>
            <w:shd w:val="clear" w:color="000000" w:fill="2F75B5"/>
            <w:vAlign w:val="center"/>
            <w:hideMark/>
          </w:tcPr>
          <w:p w:rsidR="008E6F5B" w:rsidRDefault="008E6F5B">
            <w:pPr>
              <w:jc w:val="center"/>
              <w:rPr>
                <w:rFonts w:ascii="Segoe UI" w:hAnsi="Segoe UI" w:cs="Segoe UI"/>
                <w:color w:val="FFFFFF"/>
                <w:sz w:val="22"/>
                <w:szCs w:val="22"/>
              </w:rPr>
            </w:pPr>
            <w:r>
              <w:rPr>
                <w:rFonts w:ascii="Segoe UI" w:hAnsi="Segoe UI" w:cs="Segoe UI"/>
                <w:color w:val="FFFFFF"/>
                <w:sz w:val="22"/>
                <w:szCs w:val="22"/>
              </w:rPr>
              <w:t>No Target</w:t>
            </w:r>
          </w:p>
        </w:tc>
        <w:tc>
          <w:tcPr>
            <w:tcW w:w="833" w:type="dxa"/>
            <w:tcBorders>
              <w:top w:val="single" w:sz="4" w:space="0" w:color="auto"/>
              <w:left w:val="nil"/>
              <w:bottom w:val="single" w:sz="4" w:space="0" w:color="auto"/>
              <w:right w:val="single" w:sz="4" w:space="0" w:color="auto"/>
            </w:tcBorders>
            <w:shd w:val="clear" w:color="000000" w:fill="2F75B5"/>
            <w:vAlign w:val="center"/>
            <w:hideMark/>
          </w:tcPr>
          <w:p w:rsidR="008E6F5B" w:rsidRDefault="008E6F5B">
            <w:pPr>
              <w:jc w:val="center"/>
              <w:rPr>
                <w:rFonts w:ascii="Segoe UI" w:hAnsi="Segoe UI" w:cs="Segoe UI"/>
                <w:color w:val="FFFFFF"/>
                <w:sz w:val="22"/>
                <w:szCs w:val="22"/>
              </w:rPr>
            </w:pPr>
            <w:r>
              <w:rPr>
                <w:rFonts w:ascii="Segoe UI" w:hAnsi="Segoe UI" w:cs="Segoe UI"/>
                <w:color w:val="FFFFFF"/>
                <w:sz w:val="22"/>
                <w:szCs w:val="22"/>
              </w:rPr>
              <w:t>Total</w:t>
            </w:r>
          </w:p>
        </w:tc>
        <w:tc>
          <w:tcPr>
            <w:tcW w:w="992" w:type="dxa"/>
            <w:tcBorders>
              <w:top w:val="single" w:sz="4" w:space="0" w:color="auto"/>
              <w:left w:val="nil"/>
              <w:bottom w:val="single" w:sz="4" w:space="0" w:color="auto"/>
              <w:right w:val="single" w:sz="4" w:space="0" w:color="auto"/>
            </w:tcBorders>
            <w:shd w:val="clear" w:color="000000" w:fill="2F75B5"/>
            <w:vAlign w:val="center"/>
            <w:hideMark/>
          </w:tcPr>
          <w:p w:rsidR="008E6F5B" w:rsidRDefault="008E6F5B">
            <w:pPr>
              <w:jc w:val="center"/>
              <w:rPr>
                <w:rFonts w:ascii="Segoe UI" w:hAnsi="Segoe UI" w:cs="Segoe UI"/>
                <w:color w:val="FFFFFF"/>
                <w:sz w:val="22"/>
                <w:szCs w:val="22"/>
              </w:rPr>
            </w:pPr>
            <w:r>
              <w:rPr>
                <w:rFonts w:ascii="Segoe UI" w:hAnsi="Segoe UI" w:cs="Segoe UI"/>
                <w:color w:val="FFFFFF"/>
                <w:sz w:val="22"/>
                <w:szCs w:val="22"/>
              </w:rPr>
              <w:t>% Met</w:t>
            </w:r>
          </w:p>
        </w:tc>
      </w:tr>
      <w:tr w:rsidR="00D06C2D" w:rsidTr="00D06C2D">
        <w:trPr>
          <w:trHeight w:val="330"/>
        </w:trPr>
        <w:tc>
          <w:tcPr>
            <w:tcW w:w="2685" w:type="dxa"/>
            <w:tcBorders>
              <w:top w:val="nil"/>
              <w:left w:val="single" w:sz="4" w:space="0" w:color="auto"/>
              <w:bottom w:val="single" w:sz="4" w:space="0" w:color="auto"/>
              <w:right w:val="single" w:sz="4" w:space="0" w:color="auto"/>
            </w:tcBorders>
            <w:shd w:val="clear" w:color="auto" w:fill="auto"/>
            <w:vAlign w:val="bottom"/>
            <w:hideMark/>
          </w:tcPr>
          <w:p w:rsidR="008E6F5B" w:rsidRDefault="008E6F5B">
            <w:pPr>
              <w:rPr>
                <w:rFonts w:ascii="Segoe UI" w:hAnsi="Segoe UI" w:cs="Segoe UI"/>
                <w:color w:val="000000"/>
                <w:sz w:val="22"/>
                <w:szCs w:val="22"/>
              </w:rPr>
            </w:pPr>
            <w:r>
              <w:rPr>
                <w:rFonts w:ascii="Segoe UI" w:hAnsi="Segoe UI" w:cs="Segoe UI"/>
                <w:color w:val="000000"/>
                <w:sz w:val="22"/>
                <w:szCs w:val="22"/>
              </w:rPr>
              <w:t>Quality of Care</w:t>
            </w:r>
          </w:p>
        </w:tc>
        <w:tc>
          <w:tcPr>
            <w:tcW w:w="1138" w:type="dxa"/>
            <w:tcBorders>
              <w:top w:val="nil"/>
              <w:left w:val="nil"/>
              <w:bottom w:val="single" w:sz="4" w:space="0" w:color="auto"/>
              <w:right w:val="single" w:sz="4" w:space="0" w:color="auto"/>
            </w:tcBorders>
            <w:shd w:val="clear" w:color="000000" w:fill="FF000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1</w:t>
            </w:r>
          </w:p>
        </w:tc>
        <w:tc>
          <w:tcPr>
            <w:tcW w:w="1220" w:type="dxa"/>
            <w:tcBorders>
              <w:top w:val="nil"/>
              <w:left w:val="nil"/>
              <w:bottom w:val="single" w:sz="4" w:space="0" w:color="auto"/>
              <w:right w:val="single" w:sz="4" w:space="0" w:color="auto"/>
            </w:tcBorders>
            <w:shd w:val="clear" w:color="000000" w:fill="FFC00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1</w:t>
            </w:r>
          </w:p>
        </w:tc>
        <w:tc>
          <w:tcPr>
            <w:tcW w:w="906" w:type="dxa"/>
            <w:tcBorders>
              <w:top w:val="nil"/>
              <w:left w:val="nil"/>
              <w:bottom w:val="single" w:sz="4" w:space="0" w:color="auto"/>
              <w:right w:val="single" w:sz="4" w:space="0" w:color="auto"/>
            </w:tcBorders>
            <w:shd w:val="clear" w:color="000000" w:fill="92D05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2</w:t>
            </w:r>
          </w:p>
        </w:tc>
        <w:tc>
          <w:tcPr>
            <w:tcW w:w="868" w:type="dxa"/>
            <w:tcBorders>
              <w:top w:val="nil"/>
              <w:left w:val="nil"/>
              <w:bottom w:val="single" w:sz="4" w:space="0" w:color="auto"/>
              <w:right w:val="single" w:sz="4" w:space="0" w:color="auto"/>
            </w:tcBorders>
            <w:shd w:val="clear" w:color="000000" w:fill="D9D9D9"/>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9</w:t>
            </w:r>
          </w:p>
        </w:tc>
        <w:tc>
          <w:tcPr>
            <w:tcW w:w="833" w:type="dxa"/>
            <w:tcBorders>
              <w:top w:val="nil"/>
              <w:left w:val="nil"/>
              <w:bottom w:val="single" w:sz="4" w:space="0" w:color="auto"/>
              <w:right w:val="single" w:sz="4" w:space="0" w:color="auto"/>
            </w:tcBorders>
            <w:shd w:val="clear" w:color="000000" w:fill="FFFFFF"/>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50%</w:t>
            </w:r>
          </w:p>
        </w:tc>
      </w:tr>
      <w:tr w:rsidR="00D06C2D" w:rsidTr="00D06C2D">
        <w:trPr>
          <w:trHeight w:val="315"/>
        </w:trPr>
        <w:tc>
          <w:tcPr>
            <w:tcW w:w="2685" w:type="dxa"/>
            <w:tcBorders>
              <w:top w:val="nil"/>
              <w:left w:val="single" w:sz="4" w:space="0" w:color="auto"/>
              <w:bottom w:val="single" w:sz="4" w:space="0" w:color="auto"/>
              <w:right w:val="single" w:sz="4" w:space="0" w:color="auto"/>
            </w:tcBorders>
            <w:shd w:val="clear" w:color="auto" w:fill="auto"/>
            <w:vAlign w:val="bottom"/>
            <w:hideMark/>
          </w:tcPr>
          <w:p w:rsidR="008E6F5B" w:rsidRDefault="008E6F5B">
            <w:pPr>
              <w:rPr>
                <w:rFonts w:ascii="Segoe UI" w:hAnsi="Segoe UI" w:cs="Segoe UI"/>
                <w:color w:val="000000"/>
                <w:sz w:val="22"/>
                <w:szCs w:val="22"/>
              </w:rPr>
            </w:pPr>
            <w:r>
              <w:rPr>
                <w:rFonts w:ascii="Segoe UI" w:hAnsi="Segoe UI" w:cs="Segoe UI"/>
                <w:color w:val="000000"/>
                <w:sz w:val="22"/>
                <w:szCs w:val="22"/>
              </w:rPr>
              <w:t>Operational Performance</w:t>
            </w:r>
          </w:p>
        </w:tc>
        <w:tc>
          <w:tcPr>
            <w:tcW w:w="1138" w:type="dxa"/>
            <w:tcBorders>
              <w:top w:val="nil"/>
              <w:left w:val="nil"/>
              <w:bottom w:val="single" w:sz="4" w:space="0" w:color="auto"/>
              <w:right w:val="single" w:sz="4" w:space="0" w:color="auto"/>
            </w:tcBorders>
            <w:shd w:val="clear" w:color="000000" w:fill="FF000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0</w:t>
            </w:r>
          </w:p>
        </w:tc>
        <w:tc>
          <w:tcPr>
            <w:tcW w:w="1220" w:type="dxa"/>
            <w:tcBorders>
              <w:top w:val="nil"/>
              <w:left w:val="nil"/>
              <w:bottom w:val="single" w:sz="4" w:space="0" w:color="auto"/>
              <w:right w:val="single" w:sz="4" w:space="0" w:color="auto"/>
            </w:tcBorders>
            <w:shd w:val="clear" w:color="000000" w:fill="FFC00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0</w:t>
            </w:r>
          </w:p>
        </w:tc>
        <w:tc>
          <w:tcPr>
            <w:tcW w:w="906" w:type="dxa"/>
            <w:tcBorders>
              <w:top w:val="nil"/>
              <w:left w:val="nil"/>
              <w:bottom w:val="single" w:sz="4" w:space="0" w:color="auto"/>
              <w:right w:val="single" w:sz="4" w:space="0" w:color="auto"/>
            </w:tcBorders>
            <w:shd w:val="clear" w:color="000000" w:fill="92D05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6</w:t>
            </w:r>
          </w:p>
        </w:tc>
        <w:tc>
          <w:tcPr>
            <w:tcW w:w="868" w:type="dxa"/>
            <w:tcBorders>
              <w:top w:val="nil"/>
              <w:left w:val="nil"/>
              <w:bottom w:val="single" w:sz="4" w:space="0" w:color="auto"/>
              <w:right w:val="single" w:sz="4" w:space="0" w:color="auto"/>
            </w:tcBorders>
            <w:shd w:val="clear" w:color="000000" w:fill="D9D9D9"/>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3</w:t>
            </w:r>
          </w:p>
        </w:tc>
        <w:tc>
          <w:tcPr>
            <w:tcW w:w="833" w:type="dxa"/>
            <w:tcBorders>
              <w:top w:val="nil"/>
              <w:left w:val="nil"/>
              <w:bottom w:val="single" w:sz="4" w:space="0" w:color="auto"/>
              <w:right w:val="single" w:sz="4" w:space="0" w:color="auto"/>
            </w:tcBorders>
            <w:shd w:val="clear" w:color="000000" w:fill="FFFFFF"/>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100%</w:t>
            </w:r>
          </w:p>
        </w:tc>
      </w:tr>
      <w:tr w:rsidR="00D06C2D" w:rsidTr="00D06C2D">
        <w:trPr>
          <w:trHeight w:val="330"/>
        </w:trPr>
        <w:tc>
          <w:tcPr>
            <w:tcW w:w="2685" w:type="dxa"/>
            <w:tcBorders>
              <w:top w:val="nil"/>
              <w:left w:val="single" w:sz="4" w:space="0" w:color="auto"/>
              <w:bottom w:val="single" w:sz="4" w:space="0" w:color="auto"/>
              <w:right w:val="single" w:sz="4" w:space="0" w:color="auto"/>
            </w:tcBorders>
            <w:shd w:val="clear" w:color="auto" w:fill="auto"/>
            <w:vAlign w:val="bottom"/>
            <w:hideMark/>
          </w:tcPr>
          <w:p w:rsidR="008E6F5B" w:rsidRDefault="008E6F5B">
            <w:pPr>
              <w:rPr>
                <w:rFonts w:ascii="Segoe UI" w:hAnsi="Segoe UI" w:cs="Segoe UI"/>
                <w:color w:val="000000"/>
                <w:sz w:val="22"/>
                <w:szCs w:val="22"/>
              </w:rPr>
            </w:pPr>
            <w:proofErr w:type="spellStart"/>
            <w:r>
              <w:rPr>
                <w:rFonts w:ascii="Segoe UI" w:hAnsi="Segoe UI" w:cs="Segoe UI"/>
                <w:color w:val="000000"/>
                <w:sz w:val="22"/>
                <w:szCs w:val="22"/>
              </w:rPr>
              <w:t>Organisational</w:t>
            </w:r>
            <w:proofErr w:type="spellEnd"/>
            <w:r>
              <w:rPr>
                <w:rFonts w:ascii="Segoe UI" w:hAnsi="Segoe UI" w:cs="Segoe UI"/>
                <w:color w:val="000000"/>
                <w:sz w:val="22"/>
                <w:szCs w:val="22"/>
              </w:rPr>
              <w:t xml:space="preserve"> Health</w:t>
            </w:r>
          </w:p>
        </w:tc>
        <w:tc>
          <w:tcPr>
            <w:tcW w:w="1138" w:type="dxa"/>
            <w:tcBorders>
              <w:top w:val="nil"/>
              <w:left w:val="nil"/>
              <w:bottom w:val="single" w:sz="4" w:space="0" w:color="auto"/>
              <w:right w:val="single" w:sz="4" w:space="0" w:color="auto"/>
            </w:tcBorders>
            <w:shd w:val="clear" w:color="000000" w:fill="FF000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0</w:t>
            </w:r>
          </w:p>
        </w:tc>
        <w:tc>
          <w:tcPr>
            <w:tcW w:w="1220" w:type="dxa"/>
            <w:tcBorders>
              <w:top w:val="nil"/>
              <w:left w:val="nil"/>
              <w:bottom w:val="single" w:sz="4" w:space="0" w:color="auto"/>
              <w:right w:val="single" w:sz="4" w:space="0" w:color="auto"/>
            </w:tcBorders>
            <w:shd w:val="clear" w:color="000000" w:fill="FFC00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0</w:t>
            </w:r>
          </w:p>
        </w:tc>
        <w:tc>
          <w:tcPr>
            <w:tcW w:w="906" w:type="dxa"/>
            <w:tcBorders>
              <w:top w:val="nil"/>
              <w:left w:val="nil"/>
              <w:bottom w:val="single" w:sz="4" w:space="0" w:color="auto"/>
              <w:right w:val="single" w:sz="4" w:space="0" w:color="auto"/>
            </w:tcBorders>
            <w:shd w:val="clear" w:color="000000" w:fill="92D050"/>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0</w:t>
            </w:r>
          </w:p>
        </w:tc>
        <w:tc>
          <w:tcPr>
            <w:tcW w:w="868" w:type="dxa"/>
            <w:tcBorders>
              <w:top w:val="nil"/>
              <w:left w:val="nil"/>
              <w:bottom w:val="single" w:sz="4" w:space="0" w:color="auto"/>
              <w:right w:val="single" w:sz="4" w:space="0" w:color="auto"/>
            </w:tcBorders>
            <w:shd w:val="clear" w:color="000000" w:fill="D9D9D9"/>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3</w:t>
            </w:r>
          </w:p>
        </w:tc>
        <w:tc>
          <w:tcPr>
            <w:tcW w:w="833" w:type="dxa"/>
            <w:tcBorders>
              <w:top w:val="nil"/>
              <w:left w:val="nil"/>
              <w:bottom w:val="single" w:sz="4" w:space="0" w:color="auto"/>
              <w:right w:val="single" w:sz="4" w:space="0" w:color="auto"/>
            </w:tcBorders>
            <w:shd w:val="clear" w:color="000000" w:fill="FFFFFF"/>
            <w:noWrap/>
            <w:vAlign w:val="center"/>
            <w:hideMark/>
          </w:tcPr>
          <w:p w:rsidR="008E6F5B" w:rsidRDefault="008E6F5B">
            <w:pPr>
              <w:jc w:val="center"/>
              <w:rPr>
                <w:rFonts w:ascii="Segoe UI" w:hAnsi="Segoe UI" w:cs="Segoe UI"/>
                <w:color w:val="000000"/>
                <w:sz w:val="22"/>
                <w:szCs w:val="22"/>
              </w:rPr>
            </w:pPr>
            <w:r>
              <w:rPr>
                <w:rFonts w:ascii="Segoe UI" w:hAnsi="Segoe UI" w:cs="Segoe UI"/>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8E6F5B" w:rsidRDefault="00D06C2D">
            <w:pPr>
              <w:jc w:val="center"/>
              <w:rPr>
                <w:rFonts w:ascii="Segoe UI" w:hAnsi="Segoe UI" w:cs="Segoe UI"/>
                <w:color w:val="000000"/>
                <w:sz w:val="22"/>
                <w:szCs w:val="22"/>
              </w:rPr>
            </w:pPr>
            <w:r>
              <w:rPr>
                <w:rFonts w:ascii="Segoe UI" w:hAnsi="Segoe UI" w:cs="Segoe UI"/>
                <w:color w:val="000000"/>
                <w:sz w:val="22"/>
                <w:szCs w:val="22"/>
              </w:rPr>
              <w:t>n/a</w:t>
            </w:r>
          </w:p>
        </w:tc>
      </w:tr>
      <w:tr w:rsidR="00F70170" w:rsidTr="00D06C2D">
        <w:trPr>
          <w:trHeight w:val="330"/>
        </w:trPr>
        <w:tc>
          <w:tcPr>
            <w:tcW w:w="2685" w:type="dxa"/>
            <w:tcBorders>
              <w:top w:val="nil"/>
              <w:left w:val="single" w:sz="4" w:space="0" w:color="auto"/>
              <w:bottom w:val="single" w:sz="4" w:space="0" w:color="auto"/>
              <w:right w:val="single" w:sz="4" w:space="0" w:color="auto"/>
            </w:tcBorders>
            <w:shd w:val="clear" w:color="000000" w:fill="B8CCE4"/>
            <w:vAlign w:val="bottom"/>
            <w:hideMark/>
          </w:tcPr>
          <w:p w:rsidR="008E6F5B" w:rsidRDefault="008E6F5B">
            <w:pPr>
              <w:rPr>
                <w:rFonts w:ascii="Segoe UI" w:hAnsi="Segoe UI" w:cs="Segoe UI"/>
                <w:b/>
                <w:bCs/>
                <w:color w:val="000000"/>
                <w:sz w:val="22"/>
                <w:szCs w:val="22"/>
              </w:rPr>
            </w:pPr>
            <w:r>
              <w:rPr>
                <w:rFonts w:ascii="Segoe UI" w:hAnsi="Segoe UI" w:cs="Segoe UI"/>
                <w:b/>
                <w:bCs/>
                <w:color w:val="000000"/>
                <w:sz w:val="22"/>
                <w:szCs w:val="22"/>
              </w:rPr>
              <w:t>Sub-Totals</w:t>
            </w:r>
          </w:p>
        </w:tc>
        <w:tc>
          <w:tcPr>
            <w:tcW w:w="1138" w:type="dxa"/>
            <w:tcBorders>
              <w:top w:val="nil"/>
              <w:left w:val="nil"/>
              <w:bottom w:val="single" w:sz="4" w:space="0" w:color="auto"/>
              <w:right w:val="single" w:sz="4" w:space="0" w:color="auto"/>
            </w:tcBorders>
            <w:shd w:val="clear" w:color="000000" w:fill="BDD7EE"/>
            <w:noWrap/>
            <w:vAlign w:val="center"/>
            <w:hideMark/>
          </w:tcPr>
          <w:p w:rsidR="008E6F5B" w:rsidRDefault="008E6F5B">
            <w:pPr>
              <w:jc w:val="center"/>
              <w:rPr>
                <w:rFonts w:ascii="Segoe UI" w:hAnsi="Segoe UI" w:cs="Segoe UI"/>
                <w:b/>
                <w:bCs/>
                <w:color w:val="000000"/>
                <w:sz w:val="22"/>
                <w:szCs w:val="22"/>
              </w:rPr>
            </w:pPr>
            <w:r>
              <w:rPr>
                <w:rFonts w:ascii="Segoe UI" w:hAnsi="Segoe UI" w:cs="Segoe UI"/>
                <w:b/>
                <w:bCs/>
                <w:color w:val="000000"/>
                <w:sz w:val="22"/>
                <w:szCs w:val="22"/>
              </w:rPr>
              <w:t>1</w:t>
            </w:r>
          </w:p>
        </w:tc>
        <w:tc>
          <w:tcPr>
            <w:tcW w:w="1220" w:type="dxa"/>
            <w:tcBorders>
              <w:top w:val="nil"/>
              <w:left w:val="nil"/>
              <w:bottom w:val="single" w:sz="4" w:space="0" w:color="auto"/>
              <w:right w:val="single" w:sz="4" w:space="0" w:color="auto"/>
            </w:tcBorders>
            <w:shd w:val="clear" w:color="000000" w:fill="BDD7EE"/>
            <w:noWrap/>
            <w:vAlign w:val="center"/>
            <w:hideMark/>
          </w:tcPr>
          <w:p w:rsidR="008E6F5B" w:rsidRDefault="008E6F5B">
            <w:pPr>
              <w:jc w:val="center"/>
              <w:rPr>
                <w:rFonts w:ascii="Segoe UI" w:hAnsi="Segoe UI" w:cs="Segoe UI"/>
                <w:b/>
                <w:bCs/>
                <w:color w:val="000000"/>
                <w:sz w:val="22"/>
                <w:szCs w:val="22"/>
              </w:rPr>
            </w:pPr>
            <w:r>
              <w:rPr>
                <w:rFonts w:ascii="Segoe UI" w:hAnsi="Segoe UI" w:cs="Segoe UI"/>
                <w:b/>
                <w:bCs/>
                <w:color w:val="000000"/>
                <w:sz w:val="22"/>
                <w:szCs w:val="22"/>
              </w:rPr>
              <w:t>1</w:t>
            </w:r>
          </w:p>
        </w:tc>
        <w:tc>
          <w:tcPr>
            <w:tcW w:w="906" w:type="dxa"/>
            <w:tcBorders>
              <w:top w:val="nil"/>
              <w:left w:val="nil"/>
              <w:bottom w:val="single" w:sz="4" w:space="0" w:color="auto"/>
              <w:right w:val="single" w:sz="4" w:space="0" w:color="auto"/>
            </w:tcBorders>
            <w:shd w:val="clear" w:color="000000" w:fill="BDD7EE"/>
            <w:noWrap/>
            <w:vAlign w:val="center"/>
            <w:hideMark/>
          </w:tcPr>
          <w:p w:rsidR="008E6F5B" w:rsidRDefault="008E6F5B">
            <w:pPr>
              <w:jc w:val="center"/>
              <w:rPr>
                <w:rFonts w:ascii="Segoe UI" w:hAnsi="Segoe UI" w:cs="Segoe UI"/>
                <w:b/>
                <w:bCs/>
                <w:color w:val="000000"/>
                <w:sz w:val="22"/>
                <w:szCs w:val="22"/>
              </w:rPr>
            </w:pPr>
            <w:r>
              <w:rPr>
                <w:rFonts w:ascii="Segoe UI" w:hAnsi="Segoe UI" w:cs="Segoe UI"/>
                <w:b/>
                <w:bCs/>
                <w:color w:val="000000"/>
                <w:sz w:val="22"/>
                <w:szCs w:val="22"/>
              </w:rPr>
              <w:t>8</w:t>
            </w:r>
          </w:p>
        </w:tc>
        <w:tc>
          <w:tcPr>
            <w:tcW w:w="868" w:type="dxa"/>
            <w:tcBorders>
              <w:top w:val="nil"/>
              <w:left w:val="nil"/>
              <w:bottom w:val="single" w:sz="4" w:space="0" w:color="auto"/>
              <w:right w:val="single" w:sz="4" w:space="0" w:color="auto"/>
            </w:tcBorders>
            <w:shd w:val="clear" w:color="000000" w:fill="BDD7EE"/>
            <w:noWrap/>
            <w:vAlign w:val="center"/>
            <w:hideMark/>
          </w:tcPr>
          <w:p w:rsidR="008E6F5B" w:rsidRDefault="008E6F5B">
            <w:pPr>
              <w:jc w:val="center"/>
              <w:rPr>
                <w:rFonts w:ascii="Segoe UI" w:hAnsi="Segoe UI" w:cs="Segoe UI"/>
                <w:b/>
                <w:bCs/>
                <w:color w:val="000000"/>
                <w:sz w:val="22"/>
                <w:szCs w:val="22"/>
              </w:rPr>
            </w:pPr>
            <w:r>
              <w:rPr>
                <w:rFonts w:ascii="Segoe UI" w:hAnsi="Segoe UI" w:cs="Segoe UI"/>
                <w:b/>
                <w:bCs/>
                <w:color w:val="000000"/>
                <w:sz w:val="22"/>
                <w:szCs w:val="22"/>
              </w:rPr>
              <w:t>15</w:t>
            </w:r>
          </w:p>
        </w:tc>
        <w:tc>
          <w:tcPr>
            <w:tcW w:w="833" w:type="dxa"/>
            <w:tcBorders>
              <w:top w:val="nil"/>
              <w:left w:val="nil"/>
              <w:bottom w:val="single" w:sz="4" w:space="0" w:color="auto"/>
              <w:right w:val="single" w:sz="4" w:space="0" w:color="auto"/>
            </w:tcBorders>
            <w:shd w:val="clear" w:color="000000" w:fill="BDD7EE"/>
            <w:noWrap/>
            <w:vAlign w:val="center"/>
            <w:hideMark/>
          </w:tcPr>
          <w:p w:rsidR="008E6F5B" w:rsidRDefault="008E6F5B">
            <w:pPr>
              <w:jc w:val="center"/>
              <w:rPr>
                <w:rFonts w:ascii="Segoe UI" w:hAnsi="Segoe UI" w:cs="Segoe UI"/>
                <w:b/>
                <w:bCs/>
                <w:color w:val="000000"/>
                <w:sz w:val="22"/>
                <w:szCs w:val="22"/>
              </w:rPr>
            </w:pPr>
            <w:r>
              <w:rPr>
                <w:rFonts w:ascii="Segoe UI" w:hAnsi="Segoe UI" w:cs="Segoe UI"/>
                <w:b/>
                <w:bCs/>
                <w:color w:val="000000"/>
                <w:sz w:val="22"/>
                <w:szCs w:val="22"/>
              </w:rPr>
              <w:t>10</w:t>
            </w:r>
          </w:p>
        </w:tc>
        <w:tc>
          <w:tcPr>
            <w:tcW w:w="992" w:type="dxa"/>
            <w:tcBorders>
              <w:top w:val="nil"/>
              <w:left w:val="nil"/>
              <w:bottom w:val="single" w:sz="4" w:space="0" w:color="auto"/>
              <w:right w:val="single" w:sz="4" w:space="0" w:color="auto"/>
            </w:tcBorders>
            <w:shd w:val="clear" w:color="000000" w:fill="BDD7EE"/>
            <w:noWrap/>
            <w:vAlign w:val="center"/>
            <w:hideMark/>
          </w:tcPr>
          <w:p w:rsidR="008E6F5B" w:rsidRDefault="008E6F5B">
            <w:pPr>
              <w:jc w:val="center"/>
              <w:rPr>
                <w:rFonts w:ascii="Segoe UI" w:hAnsi="Segoe UI" w:cs="Segoe UI"/>
                <w:b/>
                <w:bCs/>
                <w:color w:val="000000"/>
                <w:sz w:val="22"/>
                <w:szCs w:val="22"/>
              </w:rPr>
            </w:pPr>
            <w:r>
              <w:rPr>
                <w:rFonts w:ascii="Segoe UI" w:hAnsi="Segoe UI" w:cs="Segoe UI"/>
                <w:b/>
                <w:bCs/>
                <w:color w:val="000000"/>
                <w:sz w:val="22"/>
                <w:szCs w:val="22"/>
              </w:rPr>
              <w:t>80%</w:t>
            </w:r>
          </w:p>
        </w:tc>
      </w:tr>
    </w:tbl>
    <w:p w:rsidR="005333A2" w:rsidRDefault="005333A2" w:rsidP="000475D8">
      <w:pPr>
        <w:jc w:val="both"/>
        <w:rPr>
          <w:rFonts w:ascii="Arial" w:hAnsi="Arial" w:cs="Arial"/>
        </w:rPr>
      </w:pPr>
    </w:p>
    <w:p w:rsidR="008E6F5B" w:rsidRPr="001924D5" w:rsidRDefault="00F70170" w:rsidP="000475D8">
      <w:pPr>
        <w:jc w:val="both"/>
        <w:rPr>
          <w:rFonts w:ascii="Segoe UI" w:hAnsi="Segoe UI" w:cs="Segoe UI"/>
          <w:sz w:val="22"/>
          <w:szCs w:val="22"/>
        </w:rPr>
      </w:pPr>
      <w:r w:rsidRPr="006A70A2">
        <w:rPr>
          <w:rFonts w:ascii="Segoe UI" w:hAnsi="Segoe UI" w:cs="Segoe UI"/>
          <w:sz w:val="22"/>
          <w:szCs w:val="22"/>
        </w:rPr>
        <w:t xml:space="preserve">The one red indicator in Q2 which was a </w:t>
      </w:r>
      <w:r w:rsidR="006A70A2">
        <w:rPr>
          <w:rFonts w:ascii="Segoe UI" w:hAnsi="Segoe UI" w:cs="Segoe UI"/>
          <w:sz w:val="22"/>
          <w:szCs w:val="22"/>
        </w:rPr>
        <w:t>‘n</w:t>
      </w:r>
      <w:r w:rsidRPr="006A70A2">
        <w:rPr>
          <w:rFonts w:ascii="Segoe UI" w:hAnsi="Segoe UI" w:cs="Segoe UI"/>
          <w:sz w:val="22"/>
          <w:szCs w:val="22"/>
        </w:rPr>
        <w:t xml:space="preserve">ever </w:t>
      </w:r>
      <w:r w:rsidR="006A70A2">
        <w:rPr>
          <w:rFonts w:ascii="Segoe UI" w:hAnsi="Segoe UI" w:cs="Segoe UI"/>
          <w:sz w:val="22"/>
          <w:szCs w:val="22"/>
        </w:rPr>
        <w:t>e</w:t>
      </w:r>
      <w:r w:rsidRPr="006A70A2">
        <w:rPr>
          <w:rFonts w:ascii="Segoe UI" w:hAnsi="Segoe UI" w:cs="Segoe UI"/>
          <w:sz w:val="22"/>
          <w:szCs w:val="22"/>
        </w:rPr>
        <w:t>vent</w:t>
      </w:r>
      <w:r w:rsidR="006A70A2">
        <w:rPr>
          <w:rFonts w:ascii="Segoe UI" w:hAnsi="Segoe UI" w:cs="Segoe UI"/>
          <w:sz w:val="22"/>
          <w:szCs w:val="22"/>
        </w:rPr>
        <w:t>’</w:t>
      </w:r>
      <w:r w:rsidRPr="006A70A2">
        <w:rPr>
          <w:rFonts w:ascii="Segoe UI" w:hAnsi="Segoe UI" w:cs="Segoe UI"/>
          <w:sz w:val="22"/>
          <w:szCs w:val="22"/>
        </w:rPr>
        <w:t xml:space="preserve"> associated with wrong site</w:t>
      </w:r>
      <w:r w:rsidR="00BE6437" w:rsidRPr="006A70A2">
        <w:rPr>
          <w:rFonts w:ascii="Segoe UI" w:hAnsi="Segoe UI" w:cs="Segoe UI"/>
          <w:sz w:val="22"/>
          <w:szCs w:val="22"/>
        </w:rPr>
        <w:t xml:space="preserve"> dental</w:t>
      </w:r>
      <w:r w:rsidRPr="006A70A2">
        <w:rPr>
          <w:rFonts w:ascii="Segoe UI" w:hAnsi="Segoe UI" w:cs="Segoe UI"/>
          <w:sz w:val="22"/>
          <w:szCs w:val="22"/>
        </w:rPr>
        <w:t xml:space="preserve"> surgery.</w:t>
      </w:r>
    </w:p>
    <w:p w:rsidR="001924D5" w:rsidRDefault="001924D5" w:rsidP="000475D8">
      <w:pPr>
        <w:jc w:val="both"/>
        <w:rPr>
          <w:rFonts w:ascii="Arial" w:hAnsi="Arial" w:cs="Arial"/>
        </w:rPr>
      </w:pPr>
    </w:p>
    <w:p w:rsidR="001924D5" w:rsidRDefault="001924D5" w:rsidP="000475D8">
      <w:pPr>
        <w:jc w:val="both"/>
        <w:rPr>
          <w:rFonts w:ascii="Arial" w:hAnsi="Arial" w:cs="Arial"/>
        </w:rPr>
      </w:pPr>
    </w:p>
    <w:p w:rsidR="001924D5" w:rsidRDefault="001924D5" w:rsidP="000475D8">
      <w:pPr>
        <w:jc w:val="both"/>
        <w:rPr>
          <w:rFonts w:ascii="Arial" w:hAnsi="Arial" w:cs="Arial"/>
        </w:rPr>
      </w:pPr>
    </w:p>
    <w:p w:rsidR="001924D5" w:rsidRDefault="001924D5" w:rsidP="001924D5">
      <w:pPr>
        <w:jc w:val="both"/>
        <w:rPr>
          <w:rFonts w:ascii="Segoe UI" w:hAnsi="Segoe UI" w:cs="Segoe UI"/>
          <w:sz w:val="22"/>
          <w:szCs w:val="22"/>
        </w:rPr>
      </w:pPr>
      <w:r>
        <w:rPr>
          <w:rFonts w:ascii="Segoe UI" w:hAnsi="Segoe UI" w:cs="Segoe UI"/>
          <w:sz w:val="22"/>
          <w:szCs w:val="22"/>
        </w:rPr>
        <w:t>Highlights include;</w:t>
      </w:r>
    </w:p>
    <w:p w:rsidR="001924D5" w:rsidRDefault="001924D5" w:rsidP="001924D5">
      <w:pPr>
        <w:jc w:val="both"/>
        <w:rPr>
          <w:rFonts w:ascii="Segoe UI" w:hAnsi="Segoe UI" w:cs="Segoe UI"/>
          <w:sz w:val="22"/>
          <w:szCs w:val="22"/>
        </w:rPr>
      </w:pPr>
    </w:p>
    <w:p w:rsidR="001924D5" w:rsidRPr="00D42A42" w:rsidRDefault="001924D5" w:rsidP="001F2225">
      <w:pPr>
        <w:pStyle w:val="ListParagraph"/>
        <w:numPr>
          <w:ilvl w:val="0"/>
          <w:numId w:val="1"/>
        </w:numPr>
        <w:jc w:val="both"/>
        <w:rPr>
          <w:rFonts w:ascii="Segoe UI" w:hAnsi="Segoe UI" w:cs="Segoe UI"/>
          <w:sz w:val="22"/>
          <w:szCs w:val="22"/>
        </w:rPr>
      </w:pPr>
      <w:r w:rsidRPr="00D42A42">
        <w:rPr>
          <w:rFonts w:ascii="Segoe UI" w:hAnsi="Segoe UI" w:cs="Segoe UI"/>
          <w:sz w:val="22"/>
          <w:szCs w:val="22"/>
        </w:rPr>
        <w:t xml:space="preserve">The Minor Injuries Unit performance remained at 97% in September.  This is above the 95% national target and the </w:t>
      </w:r>
      <w:r>
        <w:rPr>
          <w:rFonts w:ascii="Segoe UI" w:hAnsi="Segoe UI" w:cs="Segoe UI"/>
          <w:sz w:val="22"/>
          <w:szCs w:val="22"/>
        </w:rPr>
        <w:t>second</w:t>
      </w:r>
      <w:r w:rsidRPr="00D42A42">
        <w:rPr>
          <w:rFonts w:ascii="Segoe UI" w:hAnsi="Segoe UI" w:cs="Segoe UI"/>
          <w:sz w:val="22"/>
          <w:szCs w:val="22"/>
        </w:rPr>
        <w:t xml:space="preserve"> month there has been an improvement.</w:t>
      </w:r>
    </w:p>
    <w:p w:rsidR="001924D5" w:rsidRDefault="001924D5" w:rsidP="001924D5">
      <w:pPr>
        <w:pStyle w:val="ListParagraph"/>
        <w:jc w:val="both"/>
        <w:rPr>
          <w:rFonts w:ascii="Segoe UI" w:hAnsi="Segoe UI" w:cs="Segoe UI"/>
          <w:sz w:val="22"/>
          <w:szCs w:val="22"/>
        </w:rPr>
      </w:pPr>
    </w:p>
    <w:p w:rsidR="001924D5" w:rsidRDefault="001924D5" w:rsidP="001F2225">
      <w:pPr>
        <w:pStyle w:val="ListParagraph"/>
        <w:numPr>
          <w:ilvl w:val="0"/>
          <w:numId w:val="1"/>
        </w:numPr>
        <w:jc w:val="both"/>
        <w:rPr>
          <w:rFonts w:ascii="Segoe UI" w:hAnsi="Segoe UI" w:cs="Segoe UI"/>
          <w:sz w:val="22"/>
          <w:szCs w:val="22"/>
        </w:rPr>
      </w:pPr>
      <w:r w:rsidRPr="000A1AF7">
        <w:rPr>
          <w:rFonts w:ascii="Segoe UI" w:hAnsi="Segoe UI" w:cs="Segoe UI"/>
          <w:sz w:val="22"/>
          <w:szCs w:val="22"/>
        </w:rPr>
        <w:t>Out of Area Placements (OAPs) is monitored on a quarterly basis within the SOF and the Trust has substantially improved</w:t>
      </w:r>
      <w:r>
        <w:rPr>
          <w:rFonts w:ascii="Segoe UI" w:hAnsi="Segoe UI" w:cs="Segoe UI"/>
          <w:sz w:val="22"/>
          <w:szCs w:val="22"/>
        </w:rPr>
        <w:t xml:space="preserve"> its performance over the past 6 months.  There has been a significant reduction in the number of patients sent out of area due to a shortage of available beds.  The Trust is on track to achieve the planned improvement and progress against plan is shown in the </w:t>
      </w:r>
      <w:r w:rsidRPr="00D42A42">
        <w:rPr>
          <w:rFonts w:ascii="Segoe UI" w:hAnsi="Segoe UI" w:cs="Segoe UI"/>
          <w:sz w:val="22"/>
          <w:szCs w:val="22"/>
        </w:rPr>
        <w:t>table below.</w:t>
      </w:r>
    </w:p>
    <w:p w:rsidR="001924D5" w:rsidRDefault="001924D5" w:rsidP="000475D8">
      <w:pPr>
        <w:jc w:val="both"/>
        <w:rPr>
          <w:rFonts w:ascii="Arial" w:hAnsi="Arial" w:cs="Arial"/>
        </w:rPr>
      </w:pPr>
    </w:p>
    <w:p w:rsidR="001924D5" w:rsidRPr="00F70170" w:rsidRDefault="001924D5" w:rsidP="000475D8">
      <w:pPr>
        <w:jc w:val="both"/>
        <w:rPr>
          <w:rFonts w:ascii="Arial" w:hAnsi="Arial" w:cs="Arial"/>
        </w:rPr>
      </w:pPr>
      <w:r>
        <w:rPr>
          <w:rFonts w:ascii="Arial" w:hAnsi="Arial" w:cs="Arial"/>
          <w:noProof/>
        </w:rPr>
        <w:drawing>
          <wp:inline distT="0" distB="0" distL="0" distR="0" wp14:anchorId="78D2F54B">
            <wp:extent cx="5706110" cy="270700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110" cy="2707005"/>
                    </a:xfrm>
                    <a:prstGeom prst="rect">
                      <a:avLst/>
                    </a:prstGeom>
                    <a:noFill/>
                  </pic:spPr>
                </pic:pic>
              </a:graphicData>
            </a:graphic>
          </wp:inline>
        </w:drawing>
      </w:r>
    </w:p>
    <w:bookmarkEnd w:id="3"/>
    <w:p w:rsidR="000475D8" w:rsidRPr="00E21471" w:rsidRDefault="000475D8" w:rsidP="00F70170">
      <w:pPr>
        <w:rPr>
          <w:rFonts w:ascii="Arial" w:hAnsi="Arial" w:cs="Arial"/>
        </w:rPr>
      </w:pPr>
      <w:r w:rsidRPr="00E21471">
        <w:rPr>
          <w:rFonts w:ascii="Arial" w:hAnsi="Arial" w:cs="Arial"/>
          <w:b/>
        </w:rPr>
        <w:t xml:space="preserve">      </w:t>
      </w:r>
    </w:p>
    <w:p w:rsidR="000475D8" w:rsidRPr="001924D5" w:rsidRDefault="000475D8" w:rsidP="000475D8">
      <w:pPr>
        <w:shd w:val="clear" w:color="auto" w:fill="8DB3E2" w:themeFill="text2" w:themeFillTint="66"/>
        <w:jc w:val="both"/>
        <w:rPr>
          <w:rFonts w:ascii="Arial" w:hAnsi="Arial" w:cs="Arial"/>
          <w:b/>
        </w:rPr>
      </w:pPr>
      <w:r w:rsidRPr="00E21471">
        <w:rPr>
          <w:rFonts w:ascii="Arial" w:hAnsi="Arial" w:cs="Arial"/>
          <w:b/>
        </w:rPr>
        <w:t>Section 3 – Individual Directorate performance against</w:t>
      </w:r>
      <w:r w:rsidRPr="00E21471">
        <w:rPr>
          <w:rFonts w:ascii="Arial" w:hAnsi="Arial" w:cs="Arial"/>
        </w:rPr>
        <w:t xml:space="preserve"> </w:t>
      </w:r>
      <w:r w:rsidRPr="001924D5">
        <w:rPr>
          <w:rFonts w:ascii="Arial" w:hAnsi="Arial" w:cs="Arial"/>
          <w:b/>
        </w:rPr>
        <w:t>targeted KPIs</w:t>
      </w:r>
    </w:p>
    <w:p w:rsidR="000475D8" w:rsidRPr="001924D5" w:rsidRDefault="000475D8" w:rsidP="000475D8">
      <w:pPr>
        <w:jc w:val="both"/>
        <w:rPr>
          <w:rFonts w:ascii="Segoe UI" w:hAnsi="Segoe UI" w:cs="Segoe UI"/>
          <w:b/>
          <w:sz w:val="22"/>
          <w:szCs w:val="22"/>
        </w:rPr>
      </w:pPr>
    </w:p>
    <w:p w:rsidR="000475D8" w:rsidRPr="001924D5" w:rsidRDefault="000475D8" w:rsidP="000475D8">
      <w:pPr>
        <w:shd w:val="clear" w:color="auto" w:fill="DBE5F1" w:themeFill="accent1" w:themeFillTint="33"/>
        <w:rPr>
          <w:rFonts w:ascii="Segoe UI" w:hAnsi="Segoe UI" w:cs="Segoe UI"/>
          <w:b/>
          <w:sz w:val="22"/>
          <w:szCs w:val="22"/>
        </w:rPr>
      </w:pPr>
      <w:r w:rsidRPr="001924D5">
        <w:rPr>
          <w:rFonts w:ascii="Segoe UI" w:hAnsi="Segoe UI" w:cs="Segoe UI"/>
          <w:b/>
          <w:sz w:val="22"/>
          <w:szCs w:val="22"/>
        </w:rPr>
        <w:t>3.1 Oxfordshire, Banes, Swindon &amp; Wiltshire - All Ages Mental Health</w:t>
      </w:r>
    </w:p>
    <w:p w:rsidR="000475D8" w:rsidRPr="001924D5" w:rsidRDefault="000475D8" w:rsidP="000475D8">
      <w:pPr>
        <w:jc w:val="both"/>
        <w:rPr>
          <w:rFonts w:ascii="Segoe UI" w:hAnsi="Segoe UI" w:cs="Segoe UI"/>
          <w:b/>
          <w:sz w:val="22"/>
          <w:szCs w:val="22"/>
        </w:rPr>
      </w:pPr>
    </w:p>
    <w:p w:rsidR="000475D8" w:rsidRDefault="001924D5" w:rsidP="000475D8">
      <w:pPr>
        <w:rPr>
          <w:rFonts w:ascii="Segoe UI" w:hAnsi="Segoe UI" w:cs="Segoe UI"/>
          <w:sz w:val="22"/>
          <w:szCs w:val="22"/>
        </w:rPr>
      </w:pPr>
      <w:r>
        <w:rPr>
          <w:rFonts w:ascii="Segoe UI" w:hAnsi="Segoe UI" w:cs="Segoe UI"/>
          <w:sz w:val="22"/>
          <w:szCs w:val="22"/>
        </w:rPr>
        <w:t xml:space="preserve">The directorate achieved </w:t>
      </w:r>
      <w:r w:rsidRPr="001924D5">
        <w:rPr>
          <w:rFonts w:ascii="Segoe UI" w:hAnsi="Segoe UI" w:cs="Segoe UI"/>
          <w:sz w:val="22"/>
          <w:szCs w:val="22"/>
        </w:rPr>
        <w:t xml:space="preserve">90 of the 124 targeted indicators (73%) </w:t>
      </w:r>
      <w:r>
        <w:rPr>
          <w:rFonts w:ascii="Segoe UI" w:hAnsi="Segoe UI" w:cs="Segoe UI"/>
          <w:sz w:val="22"/>
          <w:szCs w:val="22"/>
        </w:rPr>
        <w:t>as at the end of Q2.  A breakdown by contract is illustrated in the table below;</w:t>
      </w:r>
    </w:p>
    <w:p w:rsidR="001924D5" w:rsidRPr="001924D5" w:rsidRDefault="001924D5" w:rsidP="000475D8">
      <w:pPr>
        <w:rPr>
          <w:rFonts w:ascii="Segoe UI" w:hAnsi="Segoe UI" w:cs="Segoe UI"/>
          <w:sz w:val="22"/>
          <w:szCs w:val="22"/>
        </w:rPr>
      </w:pPr>
    </w:p>
    <w:p w:rsidR="000475D8" w:rsidRPr="001924D5" w:rsidRDefault="001924D5" w:rsidP="000475D8">
      <w:pPr>
        <w:jc w:val="center"/>
        <w:rPr>
          <w:rFonts w:ascii="Segoe UI" w:hAnsi="Segoe UI" w:cs="Segoe UI"/>
          <w:sz w:val="22"/>
          <w:szCs w:val="22"/>
        </w:rPr>
      </w:pPr>
      <w:r w:rsidRPr="001924D5">
        <w:rPr>
          <w:rFonts w:ascii="Segoe UI" w:hAnsi="Segoe UI" w:cs="Segoe UI"/>
          <w:noProof/>
          <w:sz w:val="22"/>
          <w:szCs w:val="22"/>
        </w:rPr>
        <w:drawing>
          <wp:inline distT="0" distB="0" distL="0" distR="0">
            <wp:extent cx="5490210" cy="23107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0210" cy="2310765"/>
                    </a:xfrm>
                    <a:prstGeom prst="rect">
                      <a:avLst/>
                    </a:prstGeom>
                    <a:noFill/>
                    <a:ln>
                      <a:noFill/>
                    </a:ln>
                  </pic:spPr>
                </pic:pic>
              </a:graphicData>
            </a:graphic>
          </wp:inline>
        </w:drawing>
      </w:r>
    </w:p>
    <w:p w:rsidR="000475D8" w:rsidRPr="001924D5" w:rsidRDefault="000475D8" w:rsidP="000475D8">
      <w:pPr>
        <w:rPr>
          <w:rFonts w:ascii="Segoe UI" w:hAnsi="Segoe UI" w:cs="Segoe UI"/>
          <w:sz w:val="22"/>
          <w:szCs w:val="22"/>
        </w:rPr>
      </w:pPr>
    </w:p>
    <w:p w:rsidR="000475D8" w:rsidRPr="001924D5" w:rsidRDefault="000475D8" w:rsidP="000475D8">
      <w:pPr>
        <w:jc w:val="both"/>
        <w:rPr>
          <w:rFonts w:ascii="Segoe UI" w:hAnsi="Segoe UI" w:cs="Segoe UI"/>
          <w:noProof/>
          <w:sz w:val="22"/>
          <w:szCs w:val="22"/>
          <w:lang w:val="en-GB" w:eastAsia="en-GB"/>
        </w:rPr>
      </w:pPr>
    </w:p>
    <w:p w:rsidR="001924D5" w:rsidRPr="001924D5" w:rsidRDefault="001924D5" w:rsidP="001924D5">
      <w:pPr>
        <w:jc w:val="both"/>
        <w:rPr>
          <w:rFonts w:ascii="Segoe UI" w:eastAsia="Calibri" w:hAnsi="Segoe UI" w:cs="Segoe UI"/>
          <w:b/>
          <w:bCs/>
          <w:sz w:val="22"/>
          <w:szCs w:val="22"/>
        </w:rPr>
      </w:pPr>
      <w:r w:rsidRPr="001924D5">
        <w:rPr>
          <w:rFonts w:ascii="Segoe UI" w:eastAsia="Calibri" w:hAnsi="Segoe UI" w:cs="Segoe UI"/>
          <w:b/>
          <w:bCs/>
          <w:sz w:val="22"/>
          <w:szCs w:val="22"/>
        </w:rPr>
        <w:t>Key messages:</w:t>
      </w:r>
    </w:p>
    <w:p w:rsidR="001924D5" w:rsidRPr="001924D5" w:rsidRDefault="001924D5" w:rsidP="001924D5">
      <w:pPr>
        <w:jc w:val="both"/>
        <w:rPr>
          <w:rFonts w:ascii="Segoe UI" w:eastAsia="Calibri" w:hAnsi="Segoe UI" w:cs="Segoe UI"/>
          <w:sz w:val="22"/>
          <w:szCs w:val="22"/>
        </w:rPr>
      </w:pPr>
    </w:p>
    <w:p w:rsidR="001924D5" w:rsidRPr="001924D5" w:rsidRDefault="001924D5" w:rsidP="001F2225">
      <w:pPr>
        <w:numPr>
          <w:ilvl w:val="0"/>
          <w:numId w:val="3"/>
        </w:numPr>
        <w:jc w:val="both"/>
        <w:rPr>
          <w:rFonts w:ascii="Segoe UI" w:hAnsi="Segoe UI" w:cs="Segoe UI"/>
          <w:b/>
          <w:bCs/>
          <w:sz w:val="22"/>
          <w:szCs w:val="22"/>
        </w:rPr>
      </w:pPr>
      <w:r w:rsidRPr="001924D5">
        <w:rPr>
          <w:rFonts w:ascii="Segoe UI" w:hAnsi="Segoe UI" w:cs="Segoe UI"/>
          <w:b/>
          <w:bCs/>
          <w:sz w:val="22"/>
          <w:szCs w:val="22"/>
        </w:rPr>
        <w:t xml:space="preserve">Emergency Department Psychiatric Service (EDPS). </w:t>
      </w:r>
      <w:r w:rsidRPr="001924D5">
        <w:rPr>
          <w:rFonts w:ascii="Segoe UI" w:hAnsi="Segoe UI" w:cs="Segoe UI"/>
          <w:bCs/>
          <w:sz w:val="22"/>
          <w:szCs w:val="22"/>
        </w:rPr>
        <w:t>S</w:t>
      </w:r>
      <w:r w:rsidRPr="001924D5">
        <w:rPr>
          <w:rFonts w:ascii="Segoe UI" w:hAnsi="Segoe UI" w:cs="Segoe UI"/>
          <w:sz w:val="22"/>
          <w:szCs w:val="22"/>
        </w:rPr>
        <w:t xml:space="preserve">taffing pressures continue to affect performance at both the John Radcliffe and Horton General Hospitals.  The pressures have been reported to the Quality Review Meeting (Oxfordshire CCG) so that any identified risks to patients can be understood and mitigated. Until workforce shortages are resolved (through additional investment), the service will not be able to achieve the commissioner defined targets. </w:t>
      </w:r>
    </w:p>
    <w:p w:rsidR="001924D5" w:rsidRPr="001924D5" w:rsidRDefault="001924D5" w:rsidP="001924D5">
      <w:pPr>
        <w:ind w:left="720"/>
        <w:jc w:val="both"/>
        <w:rPr>
          <w:rFonts w:ascii="Segoe UI" w:hAnsi="Segoe UI" w:cs="Segoe UI"/>
          <w:b/>
          <w:bCs/>
          <w:sz w:val="22"/>
          <w:szCs w:val="22"/>
        </w:rPr>
      </w:pPr>
    </w:p>
    <w:p w:rsidR="001924D5" w:rsidRPr="001924D5" w:rsidRDefault="001924D5" w:rsidP="001F2225">
      <w:pPr>
        <w:numPr>
          <w:ilvl w:val="0"/>
          <w:numId w:val="3"/>
        </w:numPr>
        <w:jc w:val="both"/>
        <w:rPr>
          <w:rFonts w:ascii="Segoe UI" w:hAnsi="Segoe UI" w:cs="Segoe UI"/>
          <w:b/>
          <w:bCs/>
          <w:sz w:val="22"/>
          <w:szCs w:val="22"/>
        </w:rPr>
      </w:pPr>
      <w:r w:rsidRPr="001924D5">
        <w:rPr>
          <w:rFonts w:ascii="Segoe UI" w:hAnsi="Segoe UI" w:cs="Segoe UI"/>
          <w:b/>
          <w:bCs/>
          <w:sz w:val="22"/>
          <w:szCs w:val="22"/>
        </w:rPr>
        <w:t xml:space="preserve">CAMHS (Swindon, Wiltshire, Bath and North East Somerset) – </w:t>
      </w:r>
      <w:r w:rsidRPr="001924D5">
        <w:rPr>
          <w:rFonts w:ascii="Segoe UI" w:hAnsi="Segoe UI" w:cs="Segoe UI"/>
          <w:bCs/>
          <w:sz w:val="22"/>
          <w:szCs w:val="22"/>
        </w:rPr>
        <w:t xml:space="preserve">A comprehensive waiting time improvement plan has been put in place by the service and shared with the commissioners (from April 2019). Implementation is being overseen by a new Outcomes Performance and Improvement Group chaired by the Head of Service. Regular updates on performance are provided to commissioners at bi-monthly Contract Review Meetings. The plan is beginning to have a positive impact on waits with improvements continuing. </w:t>
      </w:r>
    </w:p>
    <w:p w:rsidR="001924D5" w:rsidRPr="001924D5" w:rsidRDefault="001924D5" w:rsidP="001924D5">
      <w:pPr>
        <w:pStyle w:val="ListParagraph"/>
        <w:rPr>
          <w:rFonts w:ascii="Segoe UI" w:eastAsia="Calibri" w:hAnsi="Segoe UI" w:cs="Segoe UI"/>
          <w:sz w:val="22"/>
          <w:szCs w:val="22"/>
        </w:rPr>
      </w:pPr>
    </w:p>
    <w:p w:rsidR="000475D8" w:rsidRPr="00E21471" w:rsidRDefault="000475D8" w:rsidP="000475D8">
      <w:pPr>
        <w:shd w:val="clear" w:color="auto" w:fill="DBE5F1" w:themeFill="accent1" w:themeFillTint="33"/>
        <w:rPr>
          <w:rFonts w:ascii="Arial" w:hAnsi="Arial" w:cs="Arial"/>
          <w:b/>
        </w:rPr>
      </w:pPr>
      <w:r w:rsidRPr="00E21471">
        <w:rPr>
          <w:rFonts w:ascii="Arial" w:hAnsi="Arial" w:cs="Arial"/>
          <w:b/>
        </w:rPr>
        <w:t>3.2 Buckinghamshire – All Ages Mental Health</w:t>
      </w:r>
    </w:p>
    <w:p w:rsidR="000475D8" w:rsidRPr="00E21471" w:rsidRDefault="000475D8" w:rsidP="000475D8">
      <w:pPr>
        <w:jc w:val="both"/>
        <w:rPr>
          <w:rFonts w:ascii="Arial" w:hAnsi="Arial" w:cs="Arial"/>
        </w:rPr>
      </w:pPr>
    </w:p>
    <w:p w:rsidR="001924D5" w:rsidRDefault="001924D5" w:rsidP="001924D5">
      <w:pPr>
        <w:rPr>
          <w:rFonts w:ascii="Segoe UI" w:hAnsi="Segoe UI" w:cs="Segoe UI"/>
          <w:sz w:val="22"/>
          <w:szCs w:val="22"/>
        </w:rPr>
      </w:pPr>
      <w:r>
        <w:rPr>
          <w:rFonts w:ascii="Segoe UI" w:hAnsi="Segoe UI" w:cs="Segoe UI"/>
          <w:sz w:val="22"/>
          <w:szCs w:val="22"/>
        </w:rPr>
        <w:t>The directorate achieved 37 of the 47</w:t>
      </w:r>
      <w:r w:rsidRPr="001924D5">
        <w:rPr>
          <w:rFonts w:ascii="Segoe UI" w:hAnsi="Segoe UI" w:cs="Segoe UI"/>
          <w:sz w:val="22"/>
          <w:szCs w:val="22"/>
        </w:rPr>
        <w:t xml:space="preserve"> targeted indicators (7</w:t>
      </w:r>
      <w:r>
        <w:rPr>
          <w:rFonts w:ascii="Segoe UI" w:hAnsi="Segoe UI" w:cs="Segoe UI"/>
          <w:sz w:val="22"/>
          <w:szCs w:val="22"/>
        </w:rPr>
        <w:t>9</w:t>
      </w:r>
      <w:r w:rsidRPr="001924D5">
        <w:rPr>
          <w:rFonts w:ascii="Segoe UI" w:hAnsi="Segoe UI" w:cs="Segoe UI"/>
          <w:sz w:val="22"/>
          <w:szCs w:val="22"/>
        </w:rPr>
        <w:t xml:space="preserve">%) </w:t>
      </w:r>
      <w:r>
        <w:rPr>
          <w:rFonts w:ascii="Segoe UI" w:hAnsi="Segoe UI" w:cs="Segoe UI"/>
          <w:sz w:val="22"/>
          <w:szCs w:val="22"/>
        </w:rPr>
        <w:t>as at the end of Q2.  A breakdown by contract is illustrated in the table below;</w:t>
      </w:r>
    </w:p>
    <w:p w:rsidR="000475D8" w:rsidRPr="00E21471" w:rsidRDefault="000475D8" w:rsidP="000475D8">
      <w:pPr>
        <w:rPr>
          <w:rFonts w:ascii="Arial" w:hAnsi="Arial" w:cs="Arial"/>
        </w:rPr>
      </w:pPr>
    </w:p>
    <w:p w:rsidR="000475D8" w:rsidRPr="00E21471" w:rsidRDefault="001924D5" w:rsidP="000475D8">
      <w:pPr>
        <w:rPr>
          <w:rFonts w:ascii="Arial" w:hAnsi="Arial" w:cs="Arial"/>
        </w:rPr>
      </w:pPr>
      <w:r w:rsidRPr="001924D5">
        <w:rPr>
          <w:noProof/>
        </w:rPr>
        <w:drawing>
          <wp:inline distT="0" distB="0" distL="0" distR="0">
            <wp:extent cx="5490210" cy="1703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210" cy="1703070"/>
                    </a:xfrm>
                    <a:prstGeom prst="rect">
                      <a:avLst/>
                    </a:prstGeom>
                    <a:noFill/>
                    <a:ln>
                      <a:noFill/>
                    </a:ln>
                  </pic:spPr>
                </pic:pic>
              </a:graphicData>
            </a:graphic>
          </wp:inline>
        </w:drawing>
      </w:r>
    </w:p>
    <w:p w:rsidR="000475D8" w:rsidRPr="00E21471" w:rsidRDefault="000475D8" w:rsidP="000475D8">
      <w:pPr>
        <w:rPr>
          <w:rFonts w:ascii="Arial" w:hAnsi="Arial" w:cs="Arial"/>
        </w:rPr>
      </w:pPr>
    </w:p>
    <w:p w:rsidR="001924D5" w:rsidRPr="001924D5" w:rsidRDefault="001924D5" w:rsidP="001924D5">
      <w:pPr>
        <w:jc w:val="both"/>
        <w:rPr>
          <w:rFonts w:ascii="Segoe UI" w:hAnsi="Segoe UI" w:cs="Segoe UI"/>
          <w:b/>
          <w:sz w:val="22"/>
        </w:rPr>
      </w:pPr>
      <w:r>
        <w:rPr>
          <w:rFonts w:ascii="Segoe UI" w:hAnsi="Segoe UI" w:cs="Segoe UI"/>
          <w:b/>
          <w:sz w:val="22"/>
        </w:rPr>
        <w:t>Key points to note;</w:t>
      </w:r>
    </w:p>
    <w:p w:rsidR="001924D5" w:rsidRPr="001924D5" w:rsidRDefault="001924D5" w:rsidP="001924D5">
      <w:pPr>
        <w:jc w:val="both"/>
        <w:rPr>
          <w:rFonts w:ascii="Segoe UI" w:hAnsi="Segoe UI" w:cs="Segoe UI"/>
          <w:b/>
          <w:sz w:val="22"/>
        </w:rPr>
      </w:pPr>
    </w:p>
    <w:p w:rsidR="001924D5" w:rsidRPr="001924D5" w:rsidRDefault="001924D5" w:rsidP="001F2225">
      <w:pPr>
        <w:pStyle w:val="ListParagraph"/>
        <w:numPr>
          <w:ilvl w:val="0"/>
          <w:numId w:val="2"/>
        </w:numPr>
        <w:jc w:val="both"/>
        <w:rPr>
          <w:rFonts w:ascii="Segoe UI" w:hAnsi="Segoe UI" w:cs="Segoe UI"/>
          <w:sz w:val="22"/>
        </w:rPr>
      </w:pPr>
      <w:r w:rsidRPr="001924D5">
        <w:rPr>
          <w:rFonts w:ascii="Segoe UI" w:hAnsi="Segoe UI" w:cs="Segoe UI"/>
          <w:b/>
          <w:sz w:val="22"/>
        </w:rPr>
        <w:t>Buck</w:t>
      </w:r>
      <w:r w:rsidR="001F2225">
        <w:rPr>
          <w:rFonts w:ascii="Segoe UI" w:hAnsi="Segoe UI" w:cs="Segoe UI"/>
          <w:b/>
          <w:sz w:val="22"/>
        </w:rPr>
        <w:t>inghamshire</w:t>
      </w:r>
      <w:r w:rsidRPr="001924D5">
        <w:rPr>
          <w:rFonts w:ascii="Segoe UI" w:hAnsi="Segoe UI" w:cs="Segoe UI"/>
          <w:b/>
          <w:sz w:val="22"/>
        </w:rPr>
        <w:t xml:space="preserve"> Care Reviews</w:t>
      </w:r>
      <w:r w:rsidRPr="001924D5">
        <w:rPr>
          <w:rFonts w:ascii="Segoe UI" w:hAnsi="Segoe UI" w:cs="Segoe UI"/>
          <w:sz w:val="22"/>
        </w:rPr>
        <w:t xml:space="preserve"> – </w:t>
      </w:r>
      <w:r w:rsidR="001F2225">
        <w:rPr>
          <w:rFonts w:ascii="Segoe UI" w:hAnsi="Segoe UI" w:cs="Segoe UI"/>
          <w:sz w:val="22"/>
        </w:rPr>
        <w:t>e</w:t>
      </w:r>
      <w:r w:rsidRPr="001924D5">
        <w:rPr>
          <w:rFonts w:ascii="Segoe UI" w:hAnsi="Segoe UI" w:cs="Segoe UI"/>
          <w:sz w:val="22"/>
        </w:rPr>
        <w:t xml:space="preserve">nsuring that Care Reviews are carried out within the timeframes set out in the clusters continue to be an area of underperformance for the Directorate.  This issue also affects performance in Oxfordshire.  A new </w:t>
      </w:r>
      <w:proofErr w:type="spellStart"/>
      <w:r w:rsidRPr="001924D5">
        <w:rPr>
          <w:rFonts w:ascii="Segoe UI" w:hAnsi="Segoe UI" w:cs="Segoe UI"/>
          <w:sz w:val="22"/>
        </w:rPr>
        <w:t>Carenotes</w:t>
      </w:r>
      <w:proofErr w:type="spellEnd"/>
      <w:r w:rsidRPr="001924D5">
        <w:rPr>
          <w:rFonts w:ascii="Segoe UI" w:hAnsi="Segoe UI" w:cs="Segoe UI"/>
          <w:sz w:val="22"/>
        </w:rPr>
        <w:t xml:space="preserve"> dashboard has gone live in September that will give clinicians greater visibility of their caseload which will include early warning of when care reviews are required.  As at September 60% had their review within time.  Now that the new dashboard is operational, performance against this </w:t>
      </w:r>
      <w:proofErr w:type="gramStart"/>
      <w:r w:rsidRPr="001924D5">
        <w:rPr>
          <w:rFonts w:ascii="Segoe UI" w:hAnsi="Segoe UI" w:cs="Segoe UI"/>
          <w:sz w:val="22"/>
        </w:rPr>
        <w:t>particular indicator</w:t>
      </w:r>
      <w:proofErr w:type="gramEnd"/>
      <w:r w:rsidRPr="001924D5">
        <w:rPr>
          <w:rFonts w:ascii="Segoe UI" w:hAnsi="Segoe UI" w:cs="Segoe UI"/>
          <w:sz w:val="22"/>
        </w:rPr>
        <w:t xml:space="preserve"> is expected to improve.</w:t>
      </w:r>
    </w:p>
    <w:p w:rsidR="001924D5" w:rsidRPr="001924D5" w:rsidRDefault="001924D5" w:rsidP="001F2225">
      <w:pPr>
        <w:pStyle w:val="ListParagraph"/>
        <w:jc w:val="both"/>
        <w:rPr>
          <w:rFonts w:ascii="Segoe UI" w:hAnsi="Segoe UI" w:cs="Segoe UI"/>
          <w:sz w:val="22"/>
          <w:highlight w:val="green"/>
        </w:rPr>
      </w:pPr>
    </w:p>
    <w:p w:rsidR="001924D5" w:rsidRDefault="001924D5" w:rsidP="001F2225">
      <w:pPr>
        <w:pStyle w:val="ListParagraph"/>
        <w:numPr>
          <w:ilvl w:val="0"/>
          <w:numId w:val="2"/>
        </w:numPr>
        <w:jc w:val="both"/>
        <w:rPr>
          <w:rFonts w:ascii="Segoe UI" w:hAnsi="Segoe UI" w:cs="Segoe UI"/>
          <w:sz w:val="22"/>
        </w:rPr>
      </w:pPr>
      <w:r w:rsidRPr="001924D5">
        <w:rPr>
          <w:rFonts w:ascii="Segoe UI" w:hAnsi="Segoe UI" w:cs="Segoe UI"/>
          <w:b/>
          <w:sz w:val="22"/>
        </w:rPr>
        <w:lastRenderedPageBreak/>
        <w:t xml:space="preserve">Bucks CAMHS </w:t>
      </w:r>
      <w:r w:rsidRPr="001924D5">
        <w:rPr>
          <w:rFonts w:ascii="Segoe UI" w:hAnsi="Segoe UI" w:cs="Segoe UI"/>
          <w:sz w:val="22"/>
        </w:rPr>
        <w:t xml:space="preserve">– There has been a change to the measure of routine referrals assessed within 4 weeks from September to “The count of routine referrals offered within 4 weeks”. The percentage for September is 94.6%, with a target of 90%. </w:t>
      </w:r>
    </w:p>
    <w:p w:rsidR="006A70A2" w:rsidRPr="006A70A2" w:rsidRDefault="006A70A2" w:rsidP="006A70A2">
      <w:pPr>
        <w:jc w:val="both"/>
        <w:rPr>
          <w:rFonts w:ascii="Segoe UI" w:hAnsi="Segoe UI" w:cs="Segoe UI"/>
          <w:sz w:val="22"/>
        </w:rPr>
      </w:pPr>
    </w:p>
    <w:p w:rsidR="000475D8" w:rsidRPr="001F2225" w:rsidRDefault="000475D8" w:rsidP="000475D8">
      <w:pPr>
        <w:shd w:val="clear" w:color="auto" w:fill="DBE5F1" w:themeFill="accent1" w:themeFillTint="33"/>
        <w:rPr>
          <w:rFonts w:ascii="Segoe UI" w:hAnsi="Segoe UI" w:cs="Segoe UI"/>
          <w:b/>
          <w:sz w:val="22"/>
          <w:szCs w:val="22"/>
        </w:rPr>
      </w:pPr>
      <w:r w:rsidRPr="001F2225">
        <w:rPr>
          <w:rFonts w:ascii="Segoe UI" w:hAnsi="Segoe UI" w:cs="Segoe UI"/>
          <w:b/>
          <w:sz w:val="22"/>
          <w:szCs w:val="22"/>
        </w:rPr>
        <w:t>Oxfordshire Community Services Directorate</w:t>
      </w:r>
    </w:p>
    <w:p w:rsidR="000475D8" w:rsidRPr="00E21471" w:rsidRDefault="000475D8" w:rsidP="000475D8">
      <w:pPr>
        <w:jc w:val="both"/>
        <w:rPr>
          <w:rFonts w:ascii="Arial" w:hAnsi="Arial" w:cs="Arial"/>
          <w:b/>
        </w:rPr>
      </w:pPr>
    </w:p>
    <w:p w:rsidR="001F2225" w:rsidRDefault="001F2225" w:rsidP="001F2225">
      <w:pPr>
        <w:rPr>
          <w:rFonts w:ascii="Segoe UI" w:hAnsi="Segoe UI" w:cs="Segoe UI"/>
          <w:sz w:val="22"/>
          <w:szCs w:val="22"/>
        </w:rPr>
      </w:pPr>
      <w:r>
        <w:rPr>
          <w:rFonts w:ascii="Segoe UI" w:hAnsi="Segoe UI" w:cs="Segoe UI"/>
          <w:sz w:val="22"/>
          <w:szCs w:val="22"/>
        </w:rPr>
        <w:t>The directorate achieved 66 of the 88</w:t>
      </w:r>
      <w:r w:rsidRPr="001924D5">
        <w:rPr>
          <w:rFonts w:ascii="Segoe UI" w:hAnsi="Segoe UI" w:cs="Segoe UI"/>
          <w:sz w:val="22"/>
          <w:szCs w:val="22"/>
        </w:rPr>
        <w:t xml:space="preserve"> targeted indicators (7</w:t>
      </w:r>
      <w:r>
        <w:rPr>
          <w:rFonts w:ascii="Segoe UI" w:hAnsi="Segoe UI" w:cs="Segoe UI"/>
          <w:sz w:val="22"/>
          <w:szCs w:val="22"/>
        </w:rPr>
        <w:t>5</w:t>
      </w:r>
      <w:r w:rsidRPr="001924D5">
        <w:rPr>
          <w:rFonts w:ascii="Segoe UI" w:hAnsi="Segoe UI" w:cs="Segoe UI"/>
          <w:sz w:val="22"/>
          <w:szCs w:val="22"/>
        </w:rPr>
        <w:t xml:space="preserve">%) </w:t>
      </w:r>
      <w:r>
        <w:rPr>
          <w:rFonts w:ascii="Segoe UI" w:hAnsi="Segoe UI" w:cs="Segoe UI"/>
          <w:sz w:val="22"/>
          <w:szCs w:val="22"/>
        </w:rPr>
        <w:t>as at the end of Q2.  A breakdown by contract is illustrated in the table below;</w:t>
      </w:r>
    </w:p>
    <w:p w:rsidR="000475D8" w:rsidRPr="00E21471" w:rsidRDefault="000475D8" w:rsidP="000475D8">
      <w:pPr>
        <w:rPr>
          <w:rFonts w:ascii="Arial" w:hAnsi="Arial" w:cs="Arial"/>
        </w:rPr>
      </w:pPr>
    </w:p>
    <w:p w:rsidR="000475D8" w:rsidRPr="00E21471" w:rsidRDefault="001F2225" w:rsidP="000475D8">
      <w:pPr>
        <w:rPr>
          <w:rFonts w:ascii="Arial" w:hAnsi="Arial" w:cs="Arial"/>
        </w:rPr>
      </w:pPr>
      <w:r w:rsidRPr="001F2225">
        <w:rPr>
          <w:noProof/>
        </w:rPr>
        <w:drawing>
          <wp:inline distT="0" distB="0" distL="0" distR="0">
            <wp:extent cx="5490210" cy="24307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2430780"/>
                    </a:xfrm>
                    <a:prstGeom prst="rect">
                      <a:avLst/>
                    </a:prstGeom>
                    <a:noFill/>
                    <a:ln>
                      <a:noFill/>
                    </a:ln>
                  </pic:spPr>
                </pic:pic>
              </a:graphicData>
            </a:graphic>
          </wp:inline>
        </w:drawing>
      </w:r>
    </w:p>
    <w:p w:rsidR="000475D8" w:rsidRPr="00E21471" w:rsidRDefault="000475D8" w:rsidP="000475D8">
      <w:pPr>
        <w:rPr>
          <w:rFonts w:ascii="Arial" w:hAnsi="Arial" w:cs="Arial"/>
        </w:rPr>
      </w:pPr>
    </w:p>
    <w:p w:rsidR="001F2225" w:rsidRPr="001F2225" w:rsidRDefault="001F2225" w:rsidP="001F2225">
      <w:pPr>
        <w:jc w:val="both"/>
        <w:rPr>
          <w:rFonts w:ascii="Segoe UI" w:eastAsia="Calibri" w:hAnsi="Segoe UI" w:cs="Segoe UI"/>
          <w:b/>
          <w:bCs/>
          <w:sz w:val="22"/>
        </w:rPr>
      </w:pPr>
      <w:r w:rsidRPr="001F2225">
        <w:rPr>
          <w:rFonts w:ascii="Segoe UI" w:eastAsia="Calibri" w:hAnsi="Segoe UI" w:cs="Segoe UI"/>
          <w:b/>
          <w:bCs/>
          <w:sz w:val="22"/>
        </w:rPr>
        <w:t>Key points to note;</w:t>
      </w:r>
    </w:p>
    <w:p w:rsidR="001F2225" w:rsidRPr="001F2225" w:rsidRDefault="001F2225" w:rsidP="001F2225">
      <w:pPr>
        <w:jc w:val="both"/>
        <w:rPr>
          <w:rFonts w:ascii="Segoe UI" w:hAnsi="Segoe UI" w:cs="Segoe UI"/>
          <w:b/>
          <w:bCs/>
          <w:sz w:val="22"/>
          <w:highlight w:val="green"/>
        </w:rPr>
      </w:pPr>
    </w:p>
    <w:p w:rsidR="001F2225" w:rsidRPr="001F2225" w:rsidRDefault="001F2225" w:rsidP="001F2225">
      <w:pPr>
        <w:pStyle w:val="ListParagraph"/>
        <w:numPr>
          <w:ilvl w:val="0"/>
          <w:numId w:val="5"/>
        </w:numPr>
        <w:jc w:val="both"/>
        <w:rPr>
          <w:rFonts w:ascii="Segoe UI" w:hAnsi="Segoe UI" w:cs="Segoe UI"/>
          <w:sz w:val="22"/>
        </w:rPr>
      </w:pPr>
      <w:r w:rsidRPr="001F2225">
        <w:rPr>
          <w:rFonts w:ascii="Segoe UI" w:hAnsi="Segoe UI" w:cs="Segoe UI"/>
          <w:b/>
          <w:sz w:val="22"/>
        </w:rPr>
        <w:t>Buckinghamshire C</w:t>
      </w:r>
      <w:r>
        <w:rPr>
          <w:rFonts w:ascii="Segoe UI" w:hAnsi="Segoe UI" w:cs="Segoe UI"/>
          <w:b/>
          <w:sz w:val="22"/>
        </w:rPr>
        <w:t>ontinuing Health Care (C</w:t>
      </w:r>
      <w:r w:rsidRPr="001F2225">
        <w:rPr>
          <w:rFonts w:ascii="Segoe UI" w:hAnsi="Segoe UI" w:cs="Segoe UI"/>
          <w:b/>
          <w:sz w:val="22"/>
        </w:rPr>
        <w:t>HC</w:t>
      </w:r>
      <w:r>
        <w:rPr>
          <w:rFonts w:ascii="Segoe UI" w:hAnsi="Segoe UI" w:cs="Segoe UI"/>
          <w:b/>
          <w:sz w:val="22"/>
        </w:rPr>
        <w:t>)</w:t>
      </w:r>
      <w:r w:rsidRPr="001F2225">
        <w:rPr>
          <w:rFonts w:ascii="Segoe UI" w:hAnsi="Segoe UI" w:cs="Segoe UI"/>
          <w:sz w:val="22"/>
        </w:rPr>
        <w:t xml:space="preserve"> – The Trust continues to underperform against the referrals completed within 28 days target.   However continuous improvement has been s</w:t>
      </w:r>
      <w:r>
        <w:rPr>
          <w:rFonts w:ascii="Segoe UI" w:hAnsi="Segoe UI" w:cs="Segoe UI"/>
          <w:sz w:val="22"/>
        </w:rPr>
        <w:t>een</w:t>
      </w:r>
      <w:r w:rsidRPr="001F2225">
        <w:rPr>
          <w:rFonts w:ascii="Segoe UI" w:hAnsi="Segoe UI" w:cs="Segoe UI"/>
          <w:sz w:val="22"/>
        </w:rPr>
        <w:t xml:space="preserve"> since May 2019.   </w:t>
      </w:r>
    </w:p>
    <w:p w:rsidR="001F2225" w:rsidRPr="001F2225" w:rsidRDefault="001F2225" w:rsidP="001F2225">
      <w:pPr>
        <w:pStyle w:val="ListParagraph"/>
        <w:jc w:val="both"/>
        <w:rPr>
          <w:rFonts w:ascii="Segoe UI" w:hAnsi="Segoe UI" w:cs="Segoe UI"/>
          <w:b/>
          <w:bCs/>
          <w:sz w:val="22"/>
        </w:rPr>
      </w:pPr>
    </w:p>
    <w:p w:rsidR="001F2225" w:rsidRDefault="001F2225" w:rsidP="001F2225">
      <w:pPr>
        <w:pStyle w:val="ListParagraph"/>
        <w:numPr>
          <w:ilvl w:val="0"/>
          <w:numId w:val="5"/>
        </w:numPr>
        <w:jc w:val="both"/>
        <w:rPr>
          <w:rFonts w:ascii="Segoe UI" w:hAnsi="Segoe UI" w:cs="Segoe UI"/>
          <w:sz w:val="22"/>
        </w:rPr>
      </w:pPr>
      <w:r w:rsidRPr="001F2225">
        <w:rPr>
          <w:rFonts w:ascii="Segoe UI" w:hAnsi="Segoe UI" w:cs="Segoe UI"/>
          <w:b/>
          <w:bCs/>
          <w:sz w:val="22"/>
        </w:rPr>
        <w:t xml:space="preserve">Oxfordshire CHC </w:t>
      </w:r>
      <w:r w:rsidRPr="001F2225">
        <w:rPr>
          <w:rFonts w:ascii="Segoe UI" w:hAnsi="Segoe UI" w:cs="Segoe UI"/>
          <w:bCs/>
          <w:sz w:val="22"/>
        </w:rPr>
        <w:t>–</w:t>
      </w:r>
      <w:r w:rsidRPr="001F2225">
        <w:rPr>
          <w:rFonts w:ascii="Segoe UI" w:hAnsi="Segoe UI" w:cs="Segoe UI"/>
          <w:b/>
          <w:bCs/>
          <w:sz w:val="22"/>
        </w:rPr>
        <w:t xml:space="preserve"> </w:t>
      </w:r>
      <w:r w:rsidRPr="001F2225">
        <w:rPr>
          <w:rFonts w:ascii="Segoe UI" w:hAnsi="Segoe UI" w:cs="Segoe UI"/>
          <w:bCs/>
          <w:sz w:val="22"/>
        </w:rPr>
        <w:t>The</w:t>
      </w:r>
      <w:r w:rsidRPr="001F2225">
        <w:rPr>
          <w:rFonts w:ascii="Segoe UI" w:hAnsi="Segoe UI" w:cs="Segoe UI"/>
          <w:b/>
          <w:bCs/>
          <w:sz w:val="22"/>
        </w:rPr>
        <w:t xml:space="preserve"> </w:t>
      </w:r>
      <w:proofErr w:type="spellStart"/>
      <w:r w:rsidRPr="001F2225">
        <w:rPr>
          <w:rFonts w:ascii="Segoe UI" w:hAnsi="Segoe UI" w:cs="Segoe UI"/>
          <w:sz w:val="22"/>
        </w:rPr>
        <w:t>Oxfordshire</w:t>
      </w:r>
      <w:proofErr w:type="spellEnd"/>
      <w:r w:rsidRPr="001F2225">
        <w:rPr>
          <w:rFonts w:ascii="Segoe UI" w:hAnsi="Segoe UI" w:cs="Segoe UI"/>
          <w:sz w:val="22"/>
        </w:rPr>
        <w:t xml:space="preserve"> CCG has </w:t>
      </w:r>
      <w:proofErr w:type="spellStart"/>
      <w:r w:rsidRPr="001F2225">
        <w:rPr>
          <w:rFonts w:ascii="Segoe UI" w:hAnsi="Segoe UI" w:cs="Segoe UI"/>
          <w:sz w:val="22"/>
        </w:rPr>
        <w:t>recognised</w:t>
      </w:r>
      <w:proofErr w:type="spellEnd"/>
      <w:r w:rsidRPr="001F2225">
        <w:rPr>
          <w:rFonts w:ascii="Segoe UI" w:hAnsi="Segoe UI" w:cs="Segoe UI"/>
          <w:sz w:val="22"/>
        </w:rPr>
        <w:t xml:space="preserve"> the challenges of the </w:t>
      </w:r>
      <w:proofErr w:type="gramStart"/>
      <w:r w:rsidRPr="001F2225">
        <w:rPr>
          <w:rFonts w:ascii="Segoe UI" w:hAnsi="Segoe UI" w:cs="Segoe UI"/>
          <w:sz w:val="22"/>
        </w:rPr>
        <w:t>28 day</w:t>
      </w:r>
      <w:proofErr w:type="gramEnd"/>
      <w:r w:rsidRPr="001F2225">
        <w:rPr>
          <w:rFonts w:ascii="Segoe UI" w:hAnsi="Segoe UI" w:cs="Segoe UI"/>
          <w:sz w:val="22"/>
        </w:rPr>
        <w:t xml:space="preserve"> target and is now </w:t>
      </w:r>
      <w:proofErr w:type="spellStart"/>
      <w:r w:rsidRPr="001F2225">
        <w:rPr>
          <w:rFonts w:ascii="Segoe UI" w:hAnsi="Segoe UI" w:cs="Segoe UI"/>
          <w:sz w:val="22"/>
        </w:rPr>
        <w:t>organising</w:t>
      </w:r>
      <w:proofErr w:type="spellEnd"/>
      <w:r w:rsidRPr="001F2225">
        <w:rPr>
          <w:rFonts w:ascii="Segoe UI" w:hAnsi="Segoe UI" w:cs="Segoe UI"/>
          <w:sz w:val="22"/>
        </w:rPr>
        <w:t xml:space="preserve"> a system-wide Task &amp; Finish group that will have oversight of 4 different workstreams:</w:t>
      </w:r>
    </w:p>
    <w:p w:rsidR="001F2225" w:rsidRPr="001F2225" w:rsidRDefault="001F2225" w:rsidP="001F2225">
      <w:pPr>
        <w:pStyle w:val="ListParagraph"/>
        <w:jc w:val="both"/>
        <w:rPr>
          <w:rFonts w:ascii="Segoe UI" w:hAnsi="Segoe UI" w:cs="Segoe UI"/>
          <w:sz w:val="22"/>
        </w:rPr>
      </w:pPr>
    </w:p>
    <w:p w:rsidR="001F2225" w:rsidRPr="001F2225" w:rsidRDefault="001F2225" w:rsidP="001F2225">
      <w:pPr>
        <w:pStyle w:val="ListParagraph"/>
        <w:numPr>
          <w:ilvl w:val="0"/>
          <w:numId w:val="4"/>
        </w:numPr>
        <w:jc w:val="both"/>
        <w:rPr>
          <w:rFonts w:ascii="Segoe UI" w:hAnsi="Segoe UI" w:cs="Segoe UI"/>
          <w:sz w:val="22"/>
        </w:rPr>
      </w:pPr>
      <w:r w:rsidRPr="001F2225">
        <w:rPr>
          <w:rFonts w:ascii="Segoe UI" w:hAnsi="Segoe UI" w:cs="Segoe UI"/>
          <w:sz w:val="22"/>
        </w:rPr>
        <w:t>Reducing potentially unwarranted variation in CHC</w:t>
      </w:r>
    </w:p>
    <w:p w:rsidR="001F2225" w:rsidRPr="001F2225" w:rsidRDefault="001F2225" w:rsidP="001F2225">
      <w:pPr>
        <w:pStyle w:val="ListParagraph"/>
        <w:numPr>
          <w:ilvl w:val="0"/>
          <w:numId w:val="4"/>
        </w:numPr>
        <w:jc w:val="both"/>
        <w:rPr>
          <w:rFonts w:ascii="Segoe UI" w:hAnsi="Segoe UI" w:cs="Segoe UI"/>
          <w:sz w:val="22"/>
        </w:rPr>
      </w:pPr>
      <w:r w:rsidRPr="001F2225">
        <w:rPr>
          <w:rFonts w:ascii="Segoe UI" w:hAnsi="Segoe UI" w:cs="Segoe UI"/>
          <w:sz w:val="22"/>
        </w:rPr>
        <w:t>Improving commissioning and procurement</w:t>
      </w:r>
    </w:p>
    <w:p w:rsidR="001F2225" w:rsidRPr="001F2225" w:rsidRDefault="001F2225" w:rsidP="001F2225">
      <w:pPr>
        <w:pStyle w:val="ListParagraph"/>
        <w:numPr>
          <w:ilvl w:val="0"/>
          <w:numId w:val="4"/>
        </w:numPr>
        <w:jc w:val="both"/>
        <w:rPr>
          <w:rFonts w:ascii="Segoe UI" w:hAnsi="Segoe UI" w:cs="Segoe UI"/>
          <w:sz w:val="22"/>
        </w:rPr>
      </w:pPr>
      <w:proofErr w:type="spellStart"/>
      <w:r w:rsidRPr="001F2225">
        <w:rPr>
          <w:rFonts w:ascii="Segoe UI" w:hAnsi="Segoe UI" w:cs="Segoe UI"/>
          <w:sz w:val="22"/>
        </w:rPr>
        <w:t>Personalisation</w:t>
      </w:r>
      <w:proofErr w:type="spellEnd"/>
      <w:r w:rsidRPr="001F2225">
        <w:rPr>
          <w:rFonts w:ascii="Segoe UI" w:hAnsi="Segoe UI" w:cs="Segoe UI"/>
          <w:sz w:val="22"/>
        </w:rPr>
        <w:t>;</w:t>
      </w:r>
    </w:p>
    <w:p w:rsidR="001F2225" w:rsidRDefault="001F2225" w:rsidP="001F2225">
      <w:pPr>
        <w:pStyle w:val="ListParagraph"/>
        <w:numPr>
          <w:ilvl w:val="0"/>
          <w:numId w:val="4"/>
        </w:numPr>
        <w:jc w:val="both"/>
        <w:rPr>
          <w:rFonts w:ascii="Segoe UI" w:hAnsi="Segoe UI" w:cs="Segoe UI"/>
          <w:sz w:val="22"/>
        </w:rPr>
      </w:pPr>
      <w:r w:rsidRPr="001F2225">
        <w:rPr>
          <w:rFonts w:ascii="Segoe UI" w:hAnsi="Segoe UI" w:cs="Segoe UI"/>
          <w:sz w:val="22"/>
        </w:rPr>
        <w:t>Sustaining and improving quality</w:t>
      </w:r>
    </w:p>
    <w:p w:rsidR="001F2225" w:rsidRPr="001F2225" w:rsidRDefault="001F2225" w:rsidP="001F2225">
      <w:pPr>
        <w:pStyle w:val="ListParagraph"/>
        <w:ind w:left="1440"/>
        <w:jc w:val="both"/>
        <w:rPr>
          <w:rFonts w:ascii="Segoe UI" w:hAnsi="Segoe UI" w:cs="Segoe UI"/>
          <w:sz w:val="22"/>
        </w:rPr>
      </w:pPr>
    </w:p>
    <w:p w:rsidR="001F2225" w:rsidRPr="001F2225" w:rsidRDefault="001F2225" w:rsidP="001F2225">
      <w:pPr>
        <w:ind w:left="720"/>
        <w:jc w:val="both"/>
        <w:rPr>
          <w:rFonts w:ascii="Segoe UI" w:eastAsiaTheme="minorHAnsi" w:hAnsi="Segoe UI" w:cs="Segoe UI"/>
          <w:sz w:val="22"/>
        </w:rPr>
      </w:pPr>
      <w:r w:rsidRPr="001F2225">
        <w:rPr>
          <w:rFonts w:ascii="Segoe UI" w:hAnsi="Segoe UI" w:cs="Segoe UI"/>
          <w:sz w:val="22"/>
        </w:rPr>
        <w:t>The latter workstream will be addressing performance against the contracted KPIs. The CCG has acknowledged that some of the contributing factors are external and that a collaborative approach is required to achieve a system wide improvement.</w:t>
      </w:r>
    </w:p>
    <w:p w:rsidR="000475D8" w:rsidRPr="00E21471" w:rsidRDefault="000475D8" w:rsidP="001F2225">
      <w:pPr>
        <w:pStyle w:val="ListParagraph"/>
        <w:ind w:left="644"/>
        <w:jc w:val="both"/>
        <w:rPr>
          <w:rFonts w:ascii="Arial" w:hAnsi="Arial" w:cs="Arial"/>
          <w:noProof/>
          <w:lang w:val="en-GB" w:eastAsia="en-GB"/>
        </w:rPr>
      </w:pPr>
    </w:p>
    <w:p w:rsidR="000475D8" w:rsidRPr="00E21471" w:rsidRDefault="000475D8" w:rsidP="000475D8">
      <w:pPr>
        <w:shd w:val="clear" w:color="auto" w:fill="DBE5F1" w:themeFill="accent1" w:themeFillTint="33"/>
        <w:rPr>
          <w:rFonts w:ascii="Arial" w:hAnsi="Arial" w:cs="Arial"/>
          <w:b/>
        </w:rPr>
      </w:pPr>
      <w:r w:rsidRPr="00E21471">
        <w:rPr>
          <w:rFonts w:ascii="Arial" w:hAnsi="Arial" w:cs="Arial"/>
          <w:b/>
        </w:rPr>
        <w:t>Specialist Services Directorate</w:t>
      </w:r>
    </w:p>
    <w:p w:rsidR="000475D8" w:rsidRPr="00E21471" w:rsidRDefault="000475D8" w:rsidP="000475D8">
      <w:pPr>
        <w:pStyle w:val="ListParagraph"/>
        <w:jc w:val="both"/>
        <w:rPr>
          <w:rFonts w:ascii="Arial" w:hAnsi="Arial" w:cs="Arial"/>
        </w:rPr>
      </w:pPr>
    </w:p>
    <w:p w:rsidR="001F2225" w:rsidRDefault="001F2225" w:rsidP="001F2225">
      <w:pPr>
        <w:rPr>
          <w:rFonts w:ascii="Segoe UI" w:hAnsi="Segoe UI" w:cs="Segoe UI"/>
          <w:sz w:val="22"/>
          <w:szCs w:val="22"/>
        </w:rPr>
      </w:pPr>
      <w:r>
        <w:rPr>
          <w:rFonts w:ascii="Segoe UI" w:hAnsi="Segoe UI" w:cs="Segoe UI"/>
          <w:sz w:val="22"/>
          <w:szCs w:val="22"/>
        </w:rPr>
        <w:t>The directorate achieved 121 of the 135</w:t>
      </w:r>
      <w:r w:rsidRPr="001924D5">
        <w:rPr>
          <w:rFonts w:ascii="Segoe UI" w:hAnsi="Segoe UI" w:cs="Segoe UI"/>
          <w:sz w:val="22"/>
          <w:szCs w:val="22"/>
        </w:rPr>
        <w:t xml:space="preserve"> targeted indicators (</w:t>
      </w:r>
      <w:r>
        <w:rPr>
          <w:rFonts w:ascii="Segoe UI" w:hAnsi="Segoe UI" w:cs="Segoe UI"/>
          <w:sz w:val="22"/>
          <w:szCs w:val="22"/>
        </w:rPr>
        <w:t>90</w:t>
      </w:r>
      <w:r w:rsidRPr="001924D5">
        <w:rPr>
          <w:rFonts w:ascii="Segoe UI" w:hAnsi="Segoe UI" w:cs="Segoe UI"/>
          <w:sz w:val="22"/>
          <w:szCs w:val="22"/>
        </w:rPr>
        <w:t xml:space="preserve">%) </w:t>
      </w:r>
      <w:r>
        <w:rPr>
          <w:rFonts w:ascii="Segoe UI" w:hAnsi="Segoe UI" w:cs="Segoe UI"/>
          <w:sz w:val="22"/>
          <w:szCs w:val="22"/>
        </w:rPr>
        <w:t>as at the end of Q2.  A breakdown by contract is illustrated in the table below;</w:t>
      </w:r>
    </w:p>
    <w:p w:rsidR="00B235C6" w:rsidRPr="00E21471" w:rsidRDefault="001F2225" w:rsidP="000475D8">
      <w:pPr>
        <w:rPr>
          <w:rFonts w:ascii="Arial" w:hAnsi="Arial" w:cs="Arial"/>
        </w:rPr>
      </w:pPr>
      <w:r w:rsidRPr="001F2225">
        <w:rPr>
          <w:noProof/>
        </w:rPr>
        <w:lastRenderedPageBreak/>
        <w:drawing>
          <wp:inline distT="0" distB="0" distL="0" distR="0">
            <wp:extent cx="5490210" cy="19221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210" cy="1922145"/>
                    </a:xfrm>
                    <a:prstGeom prst="rect">
                      <a:avLst/>
                    </a:prstGeom>
                    <a:noFill/>
                    <a:ln>
                      <a:noFill/>
                    </a:ln>
                  </pic:spPr>
                </pic:pic>
              </a:graphicData>
            </a:graphic>
          </wp:inline>
        </w:drawing>
      </w:r>
    </w:p>
    <w:p w:rsidR="000475D8" w:rsidRDefault="000475D8" w:rsidP="000475D8">
      <w:pPr>
        <w:rPr>
          <w:rFonts w:ascii="Arial" w:hAnsi="Arial" w:cs="Arial"/>
          <w:sz w:val="22"/>
          <w:szCs w:val="22"/>
        </w:rPr>
      </w:pPr>
    </w:p>
    <w:p w:rsidR="001F2225" w:rsidRPr="001F2225" w:rsidRDefault="001F2225" w:rsidP="000475D8">
      <w:pPr>
        <w:rPr>
          <w:rFonts w:ascii="Arial" w:hAnsi="Arial" w:cs="Arial"/>
          <w:b/>
          <w:sz w:val="22"/>
          <w:szCs w:val="22"/>
        </w:rPr>
      </w:pPr>
      <w:r w:rsidRPr="001F2225">
        <w:rPr>
          <w:rFonts w:ascii="Arial" w:hAnsi="Arial" w:cs="Arial"/>
          <w:b/>
          <w:sz w:val="22"/>
          <w:szCs w:val="22"/>
        </w:rPr>
        <w:t>Key point to note;</w:t>
      </w:r>
    </w:p>
    <w:p w:rsidR="001F2225" w:rsidRPr="001F2225" w:rsidRDefault="001F2225" w:rsidP="000475D8">
      <w:pPr>
        <w:rPr>
          <w:rFonts w:ascii="Arial" w:hAnsi="Arial" w:cs="Arial"/>
          <w:sz w:val="22"/>
          <w:szCs w:val="22"/>
        </w:rPr>
      </w:pPr>
    </w:p>
    <w:p w:rsidR="001F2225" w:rsidRPr="001F2225" w:rsidRDefault="001F2225" w:rsidP="001F2225">
      <w:pPr>
        <w:pStyle w:val="ListParagraph"/>
        <w:numPr>
          <w:ilvl w:val="0"/>
          <w:numId w:val="6"/>
        </w:numPr>
        <w:jc w:val="both"/>
        <w:rPr>
          <w:rFonts w:ascii="Segoe UI" w:hAnsi="Segoe UI" w:cs="Segoe UI"/>
          <w:b/>
          <w:sz w:val="22"/>
          <w:szCs w:val="22"/>
        </w:rPr>
      </w:pPr>
      <w:r w:rsidRPr="001F2225">
        <w:rPr>
          <w:rFonts w:ascii="Segoe UI" w:hAnsi="Segoe UI" w:cs="Segoe UI"/>
          <w:b/>
          <w:sz w:val="22"/>
          <w:szCs w:val="22"/>
        </w:rPr>
        <w:t xml:space="preserve">Eating Disorders (Bed Occupancy) </w:t>
      </w:r>
      <w:r w:rsidRPr="001F2225">
        <w:rPr>
          <w:rFonts w:ascii="Segoe UI" w:hAnsi="Segoe UI" w:cs="Segoe UI"/>
          <w:sz w:val="22"/>
          <w:szCs w:val="22"/>
        </w:rPr>
        <w:t>– The service has implemented a Single Point of Access (SPA) as part of the New Care Models improvement work and expect bed status to improve as patient flow becomes established across the network.  There is a monitoring mechanism in place that is overseen by the Forensic Senior group.</w:t>
      </w:r>
    </w:p>
    <w:p w:rsidR="000475D8" w:rsidRPr="00E21471" w:rsidRDefault="000475D8" w:rsidP="000475D8">
      <w:pPr>
        <w:ind w:left="360"/>
        <w:jc w:val="both"/>
        <w:rPr>
          <w:rFonts w:ascii="Arial" w:hAnsi="Arial" w:cs="Arial"/>
        </w:rPr>
      </w:pPr>
    </w:p>
    <w:p w:rsidR="000475D8" w:rsidRPr="001F2225" w:rsidRDefault="000475D8" w:rsidP="000475D8">
      <w:pPr>
        <w:ind w:left="1440" w:hanging="1440"/>
        <w:jc w:val="both"/>
        <w:rPr>
          <w:rFonts w:ascii="Segoe UI" w:hAnsi="Segoe UI" w:cs="Segoe UI"/>
          <w:sz w:val="22"/>
          <w:szCs w:val="22"/>
        </w:rPr>
      </w:pPr>
      <w:r w:rsidRPr="001F2225">
        <w:rPr>
          <w:rFonts w:ascii="Segoe UI" w:hAnsi="Segoe UI" w:cs="Segoe UI"/>
          <w:b/>
          <w:sz w:val="22"/>
          <w:szCs w:val="22"/>
        </w:rPr>
        <w:t xml:space="preserve">Author and Title: </w:t>
      </w:r>
      <w:r w:rsidRPr="001F2225">
        <w:rPr>
          <w:rFonts w:ascii="Segoe UI" w:hAnsi="Segoe UI" w:cs="Segoe UI"/>
          <w:sz w:val="22"/>
          <w:szCs w:val="22"/>
        </w:rPr>
        <w:t xml:space="preserve">Claire Page, Head of Performance and Information </w:t>
      </w:r>
    </w:p>
    <w:p w:rsidR="000475D8" w:rsidRPr="001F2225" w:rsidRDefault="000475D8" w:rsidP="000475D8">
      <w:pPr>
        <w:jc w:val="both"/>
        <w:rPr>
          <w:rFonts w:ascii="Segoe UI" w:hAnsi="Segoe UI" w:cs="Segoe UI"/>
          <w:sz w:val="22"/>
          <w:szCs w:val="22"/>
        </w:rPr>
        <w:sectPr w:rsidR="000475D8" w:rsidRPr="001F2225" w:rsidSect="00D90BCC">
          <w:pgSz w:w="12240" w:h="15840" w:code="1"/>
          <w:pgMar w:top="1135" w:right="1797" w:bottom="851" w:left="1797" w:header="709" w:footer="709" w:gutter="0"/>
          <w:cols w:space="708"/>
          <w:titlePg/>
          <w:docGrid w:linePitch="360"/>
        </w:sectPr>
      </w:pPr>
      <w:r w:rsidRPr="001F2225">
        <w:rPr>
          <w:rFonts w:ascii="Segoe UI" w:hAnsi="Segoe UI" w:cs="Segoe UI"/>
          <w:b/>
          <w:sz w:val="22"/>
          <w:szCs w:val="22"/>
        </w:rPr>
        <w:t xml:space="preserve">Lead Executive Director: </w:t>
      </w:r>
      <w:r w:rsidRPr="001F2225">
        <w:rPr>
          <w:rFonts w:ascii="Segoe UI" w:hAnsi="Segoe UI" w:cs="Segoe UI"/>
          <w:sz w:val="22"/>
          <w:szCs w:val="22"/>
        </w:rPr>
        <w:t xml:space="preserve">Martyn Ward, Director of Strategy </w:t>
      </w:r>
      <w:r w:rsidR="006D6238">
        <w:rPr>
          <w:rFonts w:ascii="Segoe UI" w:hAnsi="Segoe UI" w:cs="Segoe UI"/>
          <w:sz w:val="22"/>
          <w:szCs w:val="22"/>
        </w:rPr>
        <w:t>and CIO</w:t>
      </w:r>
      <w:r w:rsidRPr="001F2225">
        <w:rPr>
          <w:rFonts w:ascii="Segoe UI" w:hAnsi="Segoe UI" w:cs="Segoe UI"/>
          <w:sz w:val="22"/>
          <w:szCs w:val="22"/>
        </w:rPr>
        <w:t> </w:t>
      </w:r>
    </w:p>
    <w:p w:rsidR="000475D8" w:rsidRPr="00E21471" w:rsidRDefault="000475D8" w:rsidP="001F2225">
      <w:pPr>
        <w:rPr>
          <w:rFonts w:ascii="Arial" w:hAnsi="Arial" w:cs="Arial"/>
          <w:b/>
        </w:rPr>
      </w:pPr>
      <w:r w:rsidRPr="00E21471">
        <w:rPr>
          <w:rFonts w:ascii="Arial" w:hAnsi="Arial" w:cs="Arial"/>
          <w:b/>
        </w:rPr>
        <w:lastRenderedPageBreak/>
        <w:t xml:space="preserve">Appendix </w:t>
      </w:r>
      <w:r w:rsidR="001F2225">
        <w:rPr>
          <w:rFonts w:ascii="Arial" w:hAnsi="Arial" w:cs="Arial"/>
          <w:b/>
        </w:rPr>
        <w:t>1</w:t>
      </w:r>
      <w:r w:rsidRPr="00E21471">
        <w:rPr>
          <w:rFonts w:ascii="Arial" w:hAnsi="Arial" w:cs="Arial"/>
          <w:b/>
        </w:rPr>
        <w:t xml:space="preserve"> – Performance Reporting Structure</w:t>
      </w:r>
    </w:p>
    <w:p w:rsidR="000475D8" w:rsidRPr="00E21471" w:rsidRDefault="000475D8" w:rsidP="000475D8">
      <w:pPr>
        <w:jc w:val="both"/>
        <w:rPr>
          <w:rFonts w:ascii="Arial" w:hAnsi="Arial" w:cs="Arial"/>
          <w:b/>
        </w:rPr>
      </w:pPr>
    </w:p>
    <w:p w:rsidR="00FA3993" w:rsidRPr="00973671" w:rsidRDefault="00F2180B" w:rsidP="00626BB3">
      <w:pPr>
        <w:jc w:val="both"/>
        <w:rPr>
          <w:rFonts w:ascii="Arial" w:hAnsi="Arial" w:cs="Arial"/>
        </w:rPr>
      </w:pPr>
      <w:r w:rsidRPr="00E21471">
        <w:rPr>
          <w:rFonts w:ascii="Arial" w:hAnsi="Arial" w:cs="Arial"/>
          <w:b/>
          <w:noProof/>
          <w:lang w:val="en-GB" w:eastAsia="en-GB"/>
        </w:rPr>
        <w:drawing>
          <wp:inline distT="0" distB="0" distL="0" distR="0" wp14:anchorId="6796873F" wp14:editId="14CF719A">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16">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973671" w:rsidSect="004B24B2">
      <w:headerReference w:type="first" r:id="rId17"/>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199" w:rsidRDefault="00191199" w:rsidP="005B3E3C">
      <w:r>
        <w:separator/>
      </w:r>
    </w:p>
  </w:endnote>
  <w:endnote w:type="continuationSeparator" w:id="0">
    <w:p w:rsidR="00191199" w:rsidRDefault="0019119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199" w:rsidRDefault="00191199" w:rsidP="005B3E3C">
      <w:r>
        <w:separator/>
      </w:r>
    </w:p>
  </w:footnote>
  <w:footnote w:type="continuationSeparator" w:id="0">
    <w:p w:rsidR="00191199" w:rsidRDefault="0019119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99" w:rsidRPr="00342219" w:rsidRDefault="00191199"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6DD"/>
    <w:multiLevelType w:val="hybridMultilevel"/>
    <w:tmpl w:val="8B9AF612"/>
    <w:lvl w:ilvl="0" w:tplc="0809000F">
      <w:start w:val="1"/>
      <w:numFmt w:val="decimal"/>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A235A88"/>
    <w:multiLevelType w:val="hybridMultilevel"/>
    <w:tmpl w:val="C608C8FE"/>
    <w:lvl w:ilvl="0" w:tplc="29783DA4">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E81"/>
    <w:multiLevelType w:val="hybridMultilevel"/>
    <w:tmpl w:val="D87E1580"/>
    <w:lvl w:ilvl="0" w:tplc="29783DA4">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212B5"/>
    <w:multiLevelType w:val="hybridMultilevel"/>
    <w:tmpl w:val="DA4886C4"/>
    <w:lvl w:ilvl="0" w:tplc="29783DA4">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8614C"/>
    <w:multiLevelType w:val="hybridMultilevel"/>
    <w:tmpl w:val="1B44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417F1"/>
    <w:multiLevelType w:val="hybridMultilevel"/>
    <w:tmpl w:val="6B80A306"/>
    <w:lvl w:ilvl="0" w:tplc="29783DA4">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4B2B"/>
    <w:rsid w:val="00017A12"/>
    <w:rsid w:val="0002155B"/>
    <w:rsid w:val="000234E5"/>
    <w:rsid w:val="0002440D"/>
    <w:rsid w:val="00025757"/>
    <w:rsid w:val="00030247"/>
    <w:rsid w:val="00036566"/>
    <w:rsid w:val="0004428A"/>
    <w:rsid w:val="000475D8"/>
    <w:rsid w:val="0005156E"/>
    <w:rsid w:val="0005551D"/>
    <w:rsid w:val="00071842"/>
    <w:rsid w:val="0007368C"/>
    <w:rsid w:val="00077AD7"/>
    <w:rsid w:val="00084EB3"/>
    <w:rsid w:val="000A3A29"/>
    <w:rsid w:val="000A5A07"/>
    <w:rsid w:val="000D494A"/>
    <w:rsid w:val="000E039E"/>
    <w:rsid w:val="000E317C"/>
    <w:rsid w:val="00104CA1"/>
    <w:rsid w:val="00105C74"/>
    <w:rsid w:val="00130B75"/>
    <w:rsid w:val="00140CB9"/>
    <w:rsid w:val="00161311"/>
    <w:rsid w:val="00175125"/>
    <w:rsid w:val="00191199"/>
    <w:rsid w:val="001924D5"/>
    <w:rsid w:val="001A1359"/>
    <w:rsid w:val="001A54DC"/>
    <w:rsid w:val="001C1254"/>
    <w:rsid w:val="001D2EFC"/>
    <w:rsid w:val="001D32C5"/>
    <w:rsid w:val="001D61AD"/>
    <w:rsid w:val="001D6C0B"/>
    <w:rsid w:val="001F0164"/>
    <w:rsid w:val="001F1FA5"/>
    <w:rsid w:val="001F2225"/>
    <w:rsid w:val="001F76ED"/>
    <w:rsid w:val="00216A21"/>
    <w:rsid w:val="00221126"/>
    <w:rsid w:val="0022259D"/>
    <w:rsid w:val="002250DE"/>
    <w:rsid w:val="00227FCE"/>
    <w:rsid w:val="00231A08"/>
    <w:rsid w:val="00241A66"/>
    <w:rsid w:val="002432A2"/>
    <w:rsid w:val="00243EF5"/>
    <w:rsid w:val="002461E1"/>
    <w:rsid w:val="00260E05"/>
    <w:rsid w:val="002619EF"/>
    <w:rsid w:val="00262F0F"/>
    <w:rsid w:val="00264C94"/>
    <w:rsid w:val="0027199E"/>
    <w:rsid w:val="00272A14"/>
    <w:rsid w:val="00276E7F"/>
    <w:rsid w:val="00280D0C"/>
    <w:rsid w:val="002821F8"/>
    <w:rsid w:val="00283A50"/>
    <w:rsid w:val="00284094"/>
    <w:rsid w:val="00291052"/>
    <w:rsid w:val="00292613"/>
    <w:rsid w:val="002A73E8"/>
    <w:rsid w:val="002C2F97"/>
    <w:rsid w:val="002D76C6"/>
    <w:rsid w:val="002E6FC6"/>
    <w:rsid w:val="002F3A41"/>
    <w:rsid w:val="002F4082"/>
    <w:rsid w:val="002F50BA"/>
    <w:rsid w:val="002F79F6"/>
    <w:rsid w:val="0030378F"/>
    <w:rsid w:val="00306AF0"/>
    <w:rsid w:val="00324AF9"/>
    <w:rsid w:val="00335AAA"/>
    <w:rsid w:val="00342219"/>
    <w:rsid w:val="003437AA"/>
    <w:rsid w:val="00343C8E"/>
    <w:rsid w:val="00346201"/>
    <w:rsid w:val="00366067"/>
    <w:rsid w:val="0036734F"/>
    <w:rsid w:val="003927AC"/>
    <w:rsid w:val="003971F6"/>
    <w:rsid w:val="003B4537"/>
    <w:rsid w:val="003C579A"/>
    <w:rsid w:val="003D139D"/>
    <w:rsid w:val="003D7659"/>
    <w:rsid w:val="003E330A"/>
    <w:rsid w:val="003E4B85"/>
    <w:rsid w:val="003F2325"/>
    <w:rsid w:val="003F2AF4"/>
    <w:rsid w:val="003F5A5E"/>
    <w:rsid w:val="003F7366"/>
    <w:rsid w:val="00400273"/>
    <w:rsid w:val="00410EC5"/>
    <w:rsid w:val="0041417A"/>
    <w:rsid w:val="00425DC2"/>
    <w:rsid w:val="004326BB"/>
    <w:rsid w:val="004432A3"/>
    <w:rsid w:val="0045393B"/>
    <w:rsid w:val="00456DDE"/>
    <w:rsid w:val="004618BA"/>
    <w:rsid w:val="00470D0A"/>
    <w:rsid w:val="00472322"/>
    <w:rsid w:val="00473055"/>
    <w:rsid w:val="004742D0"/>
    <w:rsid w:val="004900E9"/>
    <w:rsid w:val="00497C5A"/>
    <w:rsid w:val="004A5E53"/>
    <w:rsid w:val="004B087A"/>
    <w:rsid w:val="004B1961"/>
    <w:rsid w:val="004B24B2"/>
    <w:rsid w:val="004D0C7F"/>
    <w:rsid w:val="004D768A"/>
    <w:rsid w:val="004E0AAE"/>
    <w:rsid w:val="004F4BBA"/>
    <w:rsid w:val="005233AA"/>
    <w:rsid w:val="0052560D"/>
    <w:rsid w:val="005333A2"/>
    <w:rsid w:val="00533F41"/>
    <w:rsid w:val="005347A5"/>
    <w:rsid w:val="0054519F"/>
    <w:rsid w:val="00551B0F"/>
    <w:rsid w:val="00552A4E"/>
    <w:rsid w:val="0056581C"/>
    <w:rsid w:val="005659FB"/>
    <w:rsid w:val="00566329"/>
    <w:rsid w:val="0058211E"/>
    <w:rsid w:val="00582831"/>
    <w:rsid w:val="00582F51"/>
    <w:rsid w:val="0058377A"/>
    <w:rsid w:val="005A13DD"/>
    <w:rsid w:val="005B1614"/>
    <w:rsid w:val="005B3E3C"/>
    <w:rsid w:val="005C2C6E"/>
    <w:rsid w:val="005C3FC1"/>
    <w:rsid w:val="005C538F"/>
    <w:rsid w:val="005D0E04"/>
    <w:rsid w:val="005D20D4"/>
    <w:rsid w:val="005D2A83"/>
    <w:rsid w:val="005D3499"/>
    <w:rsid w:val="005E2583"/>
    <w:rsid w:val="00602A89"/>
    <w:rsid w:val="00613ED9"/>
    <w:rsid w:val="0061684E"/>
    <w:rsid w:val="00626BB3"/>
    <w:rsid w:val="006271F2"/>
    <w:rsid w:val="00645AAD"/>
    <w:rsid w:val="00655B10"/>
    <w:rsid w:val="00656584"/>
    <w:rsid w:val="00674B5D"/>
    <w:rsid w:val="006A70A2"/>
    <w:rsid w:val="006B1F5F"/>
    <w:rsid w:val="006B6902"/>
    <w:rsid w:val="006D05A6"/>
    <w:rsid w:val="006D6238"/>
    <w:rsid w:val="006E38F4"/>
    <w:rsid w:val="006E3C3E"/>
    <w:rsid w:val="006F2F62"/>
    <w:rsid w:val="006F7B3D"/>
    <w:rsid w:val="0072226A"/>
    <w:rsid w:val="00722A2B"/>
    <w:rsid w:val="0072642A"/>
    <w:rsid w:val="00732A93"/>
    <w:rsid w:val="0073522A"/>
    <w:rsid w:val="00752AB1"/>
    <w:rsid w:val="0076314E"/>
    <w:rsid w:val="00766230"/>
    <w:rsid w:val="00766BA2"/>
    <w:rsid w:val="007769CD"/>
    <w:rsid w:val="00777400"/>
    <w:rsid w:val="00777514"/>
    <w:rsid w:val="0078032B"/>
    <w:rsid w:val="00781566"/>
    <w:rsid w:val="0078238E"/>
    <w:rsid w:val="00785E7D"/>
    <w:rsid w:val="007976E7"/>
    <w:rsid w:val="007A2C43"/>
    <w:rsid w:val="007A2CF0"/>
    <w:rsid w:val="007A318A"/>
    <w:rsid w:val="007B02FB"/>
    <w:rsid w:val="007B2C46"/>
    <w:rsid w:val="007B6D77"/>
    <w:rsid w:val="007C201D"/>
    <w:rsid w:val="007C3BE6"/>
    <w:rsid w:val="007C570A"/>
    <w:rsid w:val="007C5E98"/>
    <w:rsid w:val="007D025B"/>
    <w:rsid w:val="007E3B7E"/>
    <w:rsid w:val="007E4A11"/>
    <w:rsid w:val="007E57E3"/>
    <w:rsid w:val="007E5EEF"/>
    <w:rsid w:val="00802701"/>
    <w:rsid w:val="008038A2"/>
    <w:rsid w:val="00811FE8"/>
    <w:rsid w:val="00820E3F"/>
    <w:rsid w:val="0084720C"/>
    <w:rsid w:val="008620A8"/>
    <w:rsid w:val="0086436B"/>
    <w:rsid w:val="0087006D"/>
    <w:rsid w:val="00877A5E"/>
    <w:rsid w:val="00894B97"/>
    <w:rsid w:val="00895A10"/>
    <w:rsid w:val="008A02F7"/>
    <w:rsid w:val="008A239E"/>
    <w:rsid w:val="008A3E17"/>
    <w:rsid w:val="008B448F"/>
    <w:rsid w:val="008B5883"/>
    <w:rsid w:val="008C6B13"/>
    <w:rsid w:val="008E27C9"/>
    <w:rsid w:val="008E3A3C"/>
    <w:rsid w:val="008E6F5B"/>
    <w:rsid w:val="009005E7"/>
    <w:rsid w:val="0090283F"/>
    <w:rsid w:val="009155CE"/>
    <w:rsid w:val="0092104D"/>
    <w:rsid w:val="0092780F"/>
    <w:rsid w:val="0093333D"/>
    <w:rsid w:val="00935D5C"/>
    <w:rsid w:val="00946E6E"/>
    <w:rsid w:val="0096192A"/>
    <w:rsid w:val="00962A8E"/>
    <w:rsid w:val="00964F8D"/>
    <w:rsid w:val="00973671"/>
    <w:rsid w:val="00974446"/>
    <w:rsid w:val="009869CE"/>
    <w:rsid w:val="009869DE"/>
    <w:rsid w:val="00993B47"/>
    <w:rsid w:val="009954E9"/>
    <w:rsid w:val="00996676"/>
    <w:rsid w:val="009B1280"/>
    <w:rsid w:val="009C1F87"/>
    <w:rsid w:val="009C5EA0"/>
    <w:rsid w:val="009C77E5"/>
    <w:rsid w:val="009D7608"/>
    <w:rsid w:val="009F32DC"/>
    <w:rsid w:val="00A10B9D"/>
    <w:rsid w:val="00A1326C"/>
    <w:rsid w:val="00A54F8C"/>
    <w:rsid w:val="00A647D9"/>
    <w:rsid w:val="00A674FB"/>
    <w:rsid w:val="00A85311"/>
    <w:rsid w:val="00A85BD8"/>
    <w:rsid w:val="00A863D2"/>
    <w:rsid w:val="00A86977"/>
    <w:rsid w:val="00A87604"/>
    <w:rsid w:val="00AA0C3F"/>
    <w:rsid w:val="00AC3814"/>
    <w:rsid w:val="00AF0562"/>
    <w:rsid w:val="00AF07FE"/>
    <w:rsid w:val="00AF22A8"/>
    <w:rsid w:val="00AF5363"/>
    <w:rsid w:val="00AF565E"/>
    <w:rsid w:val="00AF6F2E"/>
    <w:rsid w:val="00B07AA8"/>
    <w:rsid w:val="00B10FB2"/>
    <w:rsid w:val="00B11F76"/>
    <w:rsid w:val="00B235C6"/>
    <w:rsid w:val="00B26E1A"/>
    <w:rsid w:val="00B26F2C"/>
    <w:rsid w:val="00B35EB8"/>
    <w:rsid w:val="00B508F4"/>
    <w:rsid w:val="00B50D5E"/>
    <w:rsid w:val="00B52C34"/>
    <w:rsid w:val="00B54E2B"/>
    <w:rsid w:val="00B6064B"/>
    <w:rsid w:val="00B7384F"/>
    <w:rsid w:val="00B74B41"/>
    <w:rsid w:val="00B87668"/>
    <w:rsid w:val="00BA3B3E"/>
    <w:rsid w:val="00BB24B0"/>
    <w:rsid w:val="00BC152C"/>
    <w:rsid w:val="00BC37A3"/>
    <w:rsid w:val="00BD0322"/>
    <w:rsid w:val="00BE066C"/>
    <w:rsid w:val="00BE6437"/>
    <w:rsid w:val="00BF3538"/>
    <w:rsid w:val="00BF5367"/>
    <w:rsid w:val="00C068F9"/>
    <w:rsid w:val="00C07817"/>
    <w:rsid w:val="00C11AA2"/>
    <w:rsid w:val="00C31AC8"/>
    <w:rsid w:val="00C40728"/>
    <w:rsid w:val="00C46F71"/>
    <w:rsid w:val="00C53697"/>
    <w:rsid w:val="00C56F57"/>
    <w:rsid w:val="00C57358"/>
    <w:rsid w:val="00C6233E"/>
    <w:rsid w:val="00C62501"/>
    <w:rsid w:val="00C6357C"/>
    <w:rsid w:val="00C66196"/>
    <w:rsid w:val="00C67635"/>
    <w:rsid w:val="00C71005"/>
    <w:rsid w:val="00C8120E"/>
    <w:rsid w:val="00C855F5"/>
    <w:rsid w:val="00C94AAE"/>
    <w:rsid w:val="00CB3A79"/>
    <w:rsid w:val="00CC2108"/>
    <w:rsid w:val="00CC3236"/>
    <w:rsid w:val="00CC629B"/>
    <w:rsid w:val="00CD6FE9"/>
    <w:rsid w:val="00CF552D"/>
    <w:rsid w:val="00D01E91"/>
    <w:rsid w:val="00D02041"/>
    <w:rsid w:val="00D04B33"/>
    <w:rsid w:val="00D06C2D"/>
    <w:rsid w:val="00D07064"/>
    <w:rsid w:val="00D101CB"/>
    <w:rsid w:val="00D20212"/>
    <w:rsid w:val="00D2078B"/>
    <w:rsid w:val="00D20ACD"/>
    <w:rsid w:val="00D227FC"/>
    <w:rsid w:val="00D279FC"/>
    <w:rsid w:val="00D3125F"/>
    <w:rsid w:val="00D31E24"/>
    <w:rsid w:val="00D37A32"/>
    <w:rsid w:val="00D41522"/>
    <w:rsid w:val="00D44BD6"/>
    <w:rsid w:val="00D5045C"/>
    <w:rsid w:val="00D55ADD"/>
    <w:rsid w:val="00D80173"/>
    <w:rsid w:val="00D8544F"/>
    <w:rsid w:val="00D870AD"/>
    <w:rsid w:val="00D90BCC"/>
    <w:rsid w:val="00DA0FA6"/>
    <w:rsid w:val="00DB161E"/>
    <w:rsid w:val="00DB4D78"/>
    <w:rsid w:val="00DC46A7"/>
    <w:rsid w:val="00DC4DAE"/>
    <w:rsid w:val="00DD21B1"/>
    <w:rsid w:val="00DD33DF"/>
    <w:rsid w:val="00DE1293"/>
    <w:rsid w:val="00DF10CC"/>
    <w:rsid w:val="00E021CA"/>
    <w:rsid w:val="00E0392C"/>
    <w:rsid w:val="00E21471"/>
    <w:rsid w:val="00E23F61"/>
    <w:rsid w:val="00E24154"/>
    <w:rsid w:val="00E402C3"/>
    <w:rsid w:val="00E43938"/>
    <w:rsid w:val="00E60D96"/>
    <w:rsid w:val="00E61928"/>
    <w:rsid w:val="00E6707E"/>
    <w:rsid w:val="00E827C5"/>
    <w:rsid w:val="00E94A21"/>
    <w:rsid w:val="00EA0E45"/>
    <w:rsid w:val="00EA3A26"/>
    <w:rsid w:val="00EB6220"/>
    <w:rsid w:val="00EC12AC"/>
    <w:rsid w:val="00ED0106"/>
    <w:rsid w:val="00EE17F7"/>
    <w:rsid w:val="00EF35EC"/>
    <w:rsid w:val="00F10A21"/>
    <w:rsid w:val="00F2180B"/>
    <w:rsid w:val="00F24EB2"/>
    <w:rsid w:val="00F259ED"/>
    <w:rsid w:val="00F26AF8"/>
    <w:rsid w:val="00F34F5C"/>
    <w:rsid w:val="00F50A07"/>
    <w:rsid w:val="00F56312"/>
    <w:rsid w:val="00F57119"/>
    <w:rsid w:val="00F70170"/>
    <w:rsid w:val="00F715FD"/>
    <w:rsid w:val="00F77C13"/>
    <w:rsid w:val="00F77DD1"/>
    <w:rsid w:val="00F81D9A"/>
    <w:rsid w:val="00F90501"/>
    <w:rsid w:val="00F945DB"/>
    <w:rsid w:val="00FA14DC"/>
    <w:rsid w:val="00FA3993"/>
    <w:rsid w:val="00FA5118"/>
    <w:rsid w:val="00FB168E"/>
    <w:rsid w:val="00FC35E4"/>
    <w:rsid w:val="00FC39F8"/>
    <w:rsid w:val="00FC71D8"/>
    <w:rsid w:val="00FD08B2"/>
    <w:rsid w:val="00FD2279"/>
    <w:rsid w:val="00FD25FE"/>
    <w:rsid w:val="00FD7257"/>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C936D6"/>
  <w15:docId w15:val="{A1A984DE-B752-40E2-A81D-F267A1D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rsid w:val="00C8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D0C"/>
    <w:pPr>
      <w:autoSpaceDE w:val="0"/>
      <w:autoSpaceDN w:val="0"/>
      <w:adjustRightInd w:val="0"/>
    </w:pPr>
    <w:rPr>
      <w:rFonts w:ascii="Segoe UI" w:hAnsi="Segoe UI" w:cs="Segoe UI"/>
      <w:color w:val="000000"/>
      <w:sz w:val="24"/>
      <w:szCs w:val="24"/>
    </w:rPr>
  </w:style>
  <w:style w:type="character" w:styleId="CommentReference">
    <w:name w:val="annotation reference"/>
    <w:basedOn w:val="DefaultParagraphFont"/>
    <w:semiHidden/>
    <w:unhideWhenUsed/>
    <w:rsid w:val="0058377A"/>
    <w:rPr>
      <w:sz w:val="16"/>
      <w:szCs w:val="16"/>
    </w:rPr>
  </w:style>
  <w:style w:type="paragraph" w:styleId="CommentText">
    <w:name w:val="annotation text"/>
    <w:basedOn w:val="Normal"/>
    <w:link w:val="CommentTextChar"/>
    <w:semiHidden/>
    <w:unhideWhenUsed/>
    <w:rsid w:val="0058377A"/>
    <w:rPr>
      <w:sz w:val="20"/>
      <w:szCs w:val="20"/>
    </w:rPr>
  </w:style>
  <w:style w:type="character" w:customStyle="1" w:styleId="CommentTextChar">
    <w:name w:val="Comment Text Char"/>
    <w:basedOn w:val="DefaultParagraphFont"/>
    <w:link w:val="CommentText"/>
    <w:semiHidden/>
    <w:rsid w:val="0058377A"/>
    <w:rPr>
      <w:lang w:val="en-US" w:eastAsia="en-US"/>
    </w:rPr>
  </w:style>
  <w:style w:type="paragraph" w:styleId="CommentSubject">
    <w:name w:val="annotation subject"/>
    <w:basedOn w:val="CommentText"/>
    <w:next w:val="CommentText"/>
    <w:link w:val="CommentSubjectChar"/>
    <w:semiHidden/>
    <w:unhideWhenUsed/>
    <w:rsid w:val="0058377A"/>
    <w:rPr>
      <w:b/>
      <w:bCs/>
    </w:rPr>
  </w:style>
  <w:style w:type="character" w:customStyle="1" w:styleId="CommentSubjectChar">
    <w:name w:val="Comment Subject Char"/>
    <w:basedOn w:val="CommentTextChar"/>
    <w:link w:val="CommentSubject"/>
    <w:semiHidden/>
    <w:rsid w:val="0058377A"/>
    <w:rPr>
      <w:b/>
      <w:bCs/>
      <w:lang w:val="en-US" w:eastAsia="en-US"/>
    </w:rPr>
  </w:style>
  <w:style w:type="table" w:customStyle="1" w:styleId="TableGrid2">
    <w:name w:val="Table Grid2"/>
    <w:basedOn w:val="TableNormal"/>
    <w:next w:val="TableGrid"/>
    <w:rsid w:val="00B0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5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3182">
      <w:bodyDiv w:val="1"/>
      <w:marLeft w:val="0"/>
      <w:marRight w:val="0"/>
      <w:marTop w:val="0"/>
      <w:marBottom w:val="0"/>
      <w:divBdr>
        <w:top w:val="none" w:sz="0" w:space="0" w:color="auto"/>
        <w:left w:val="none" w:sz="0" w:space="0" w:color="auto"/>
        <w:bottom w:val="none" w:sz="0" w:space="0" w:color="auto"/>
        <w:right w:val="none" w:sz="0" w:space="0" w:color="auto"/>
      </w:divBdr>
    </w:div>
    <w:div w:id="512846642">
      <w:bodyDiv w:val="1"/>
      <w:marLeft w:val="0"/>
      <w:marRight w:val="0"/>
      <w:marTop w:val="0"/>
      <w:marBottom w:val="0"/>
      <w:divBdr>
        <w:top w:val="none" w:sz="0" w:space="0" w:color="auto"/>
        <w:left w:val="none" w:sz="0" w:space="0" w:color="auto"/>
        <w:bottom w:val="none" w:sz="0" w:space="0" w:color="auto"/>
        <w:right w:val="none" w:sz="0" w:space="0" w:color="auto"/>
      </w:divBdr>
    </w:div>
    <w:div w:id="625621630">
      <w:bodyDiv w:val="1"/>
      <w:marLeft w:val="0"/>
      <w:marRight w:val="0"/>
      <w:marTop w:val="0"/>
      <w:marBottom w:val="0"/>
      <w:divBdr>
        <w:top w:val="none" w:sz="0" w:space="0" w:color="auto"/>
        <w:left w:val="none" w:sz="0" w:space="0" w:color="auto"/>
        <w:bottom w:val="none" w:sz="0" w:space="0" w:color="auto"/>
        <w:right w:val="none" w:sz="0" w:space="0" w:color="auto"/>
      </w:divBdr>
    </w:div>
    <w:div w:id="647591207">
      <w:bodyDiv w:val="1"/>
      <w:marLeft w:val="0"/>
      <w:marRight w:val="0"/>
      <w:marTop w:val="0"/>
      <w:marBottom w:val="0"/>
      <w:divBdr>
        <w:top w:val="none" w:sz="0" w:space="0" w:color="auto"/>
        <w:left w:val="none" w:sz="0" w:space="0" w:color="auto"/>
        <w:bottom w:val="none" w:sz="0" w:space="0" w:color="auto"/>
        <w:right w:val="none" w:sz="0" w:space="0" w:color="auto"/>
      </w:divBdr>
    </w:div>
    <w:div w:id="994336941">
      <w:bodyDiv w:val="1"/>
      <w:marLeft w:val="0"/>
      <w:marRight w:val="0"/>
      <w:marTop w:val="0"/>
      <w:marBottom w:val="0"/>
      <w:divBdr>
        <w:top w:val="none" w:sz="0" w:space="0" w:color="auto"/>
        <w:left w:val="none" w:sz="0" w:space="0" w:color="auto"/>
        <w:bottom w:val="none" w:sz="0" w:space="0" w:color="auto"/>
        <w:right w:val="none" w:sz="0" w:space="0" w:color="auto"/>
      </w:divBdr>
    </w:div>
    <w:div w:id="14783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8178-1B16-49CD-A93B-AEEB1B17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1181</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Weerawarnakula Surangi (RNU) Oxford Health</cp:lastModifiedBy>
  <cp:revision>3</cp:revision>
  <cp:lastPrinted>2014-03-17T14:55:00Z</cp:lastPrinted>
  <dcterms:created xsi:type="dcterms:W3CDTF">2019-11-13T10:41:00Z</dcterms:created>
  <dcterms:modified xsi:type="dcterms:W3CDTF">2019-11-14T17:19:00Z</dcterms:modified>
</cp:coreProperties>
</file>